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E113E" w:rsidRPr="00815738" w:rsidTr="00FB35DC">
        <w:tc>
          <w:tcPr>
            <w:tcW w:w="6522" w:type="dxa"/>
          </w:tcPr>
          <w:p w:rsidR="00FE113E" w:rsidRPr="00AC2883" w:rsidRDefault="00FE113E" w:rsidP="00FB35DC">
            <w:bookmarkStart w:id="0" w:name="TitleOfDoc"/>
            <w:bookmarkEnd w:id="0"/>
            <w:r w:rsidRPr="00D250C5">
              <w:rPr>
                <w:noProof/>
              </w:rPr>
              <w:drawing>
                <wp:inline distT="0" distB="0" distL="0" distR="0" wp14:anchorId="5671C796" wp14:editId="6602A2C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E113E" w:rsidRPr="007C1D92" w:rsidRDefault="00FE113E" w:rsidP="00FB35DC">
            <w:pPr>
              <w:pStyle w:val="Lettrine"/>
            </w:pPr>
            <w:r>
              <w:t>F</w:t>
            </w:r>
          </w:p>
        </w:tc>
      </w:tr>
      <w:tr w:rsidR="00FE113E" w:rsidRPr="00125B2C" w:rsidTr="00FB35DC">
        <w:trPr>
          <w:trHeight w:val="219"/>
        </w:trPr>
        <w:tc>
          <w:tcPr>
            <w:tcW w:w="6522" w:type="dxa"/>
          </w:tcPr>
          <w:p w:rsidR="00FE113E" w:rsidRPr="00FE113E" w:rsidRDefault="00FE113E" w:rsidP="00FB35DC">
            <w:pPr>
              <w:pStyle w:val="upove"/>
              <w:rPr>
                <w:lang w:val="fr-CH"/>
              </w:rPr>
            </w:pPr>
            <w:r w:rsidRPr="00FE113E">
              <w:rPr>
                <w:lang w:val="fr-CH"/>
              </w:rPr>
              <w:t>Union internationale pour la protection des obtentions végétales</w:t>
            </w:r>
          </w:p>
        </w:tc>
        <w:tc>
          <w:tcPr>
            <w:tcW w:w="3117" w:type="dxa"/>
          </w:tcPr>
          <w:p w:rsidR="00FE113E" w:rsidRPr="00FE113E" w:rsidRDefault="00FE113E" w:rsidP="00FB35DC">
            <w:pPr>
              <w:rPr>
                <w:lang w:val="fr-CH"/>
              </w:rPr>
            </w:pPr>
          </w:p>
        </w:tc>
      </w:tr>
    </w:tbl>
    <w:p w:rsidR="00072873" w:rsidRDefault="00072873" w:rsidP="00FE113E">
      <w:pPr>
        <w:rPr>
          <w:lang w:val="fr-CH"/>
        </w:rPr>
      </w:pPr>
    </w:p>
    <w:p w:rsidR="00FE113E" w:rsidRPr="00FE113E" w:rsidRDefault="00FE113E" w:rsidP="00FE113E">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E113E" w:rsidRPr="00125B2C" w:rsidTr="00FB35DC">
        <w:tc>
          <w:tcPr>
            <w:tcW w:w="6512" w:type="dxa"/>
          </w:tcPr>
          <w:p w:rsidR="00072873" w:rsidRDefault="00FE113E" w:rsidP="00FB35DC">
            <w:pPr>
              <w:pStyle w:val="Sessiontc"/>
              <w:spacing w:line="240" w:lineRule="auto"/>
              <w:rPr>
                <w:lang w:val="fr-CH"/>
              </w:rPr>
            </w:pPr>
            <w:r w:rsidRPr="00FE113E">
              <w:rPr>
                <w:lang w:val="fr-CH"/>
              </w:rPr>
              <w:t>Comité technique</w:t>
            </w:r>
          </w:p>
          <w:p w:rsidR="00FE113E" w:rsidRPr="00FE113E" w:rsidRDefault="00FE113E" w:rsidP="00FB35DC">
            <w:pPr>
              <w:pStyle w:val="Sessiontcplacedate"/>
              <w:rPr>
                <w:sz w:val="22"/>
                <w:lang w:val="fr-CH"/>
              </w:rPr>
            </w:pPr>
            <w:r w:rsidRPr="00FE113E">
              <w:rPr>
                <w:lang w:val="fr-CH"/>
              </w:rPr>
              <w:t>Cinquante</w:t>
            </w:r>
            <w:r w:rsidR="00414730">
              <w:rPr>
                <w:lang w:val="fr-CH"/>
              </w:rPr>
              <w:t>-</w:t>
            </w:r>
            <w:r w:rsidRPr="00FE113E">
              <w:rPr>
                <w:lang w:val="fr-CH"/>
              </w:rPr>
              <w:t>six</w:t>
            </w:r>
            <w:r w:rsidR="00414730">
              <w:rPr>
                <w:lang w:val="fr-CH"/>
              </w:rPr>
              <w:t>ième session</w:t>
            </w:r>
            <w:r w:rsidRPr="00FE113E">
              <w:rPr>
                <w:lang w:val="fr-CH"/>
              </w:rPr>
              <w:br/>
              <w:t>Genève, 26 et 2</w:t>
            </w:r>
            <w:r w:rsidR="00255288" w:rsidRPr="00FE113E">
              <w:rPr>
                <w:lang w:val="fr-CH"/>
              </w:rPr>
              <w:t>7</w:t>
            </w:r>
            <w:r w:rsidR="00255288">
              <w:rPr>
                <w:lang w:val="fr-CH"/>
              </w:rPr>
              <w:t> </w:t>
            </w:r>
            <w:r w:rsidR="00255288" w:rsidRPr="00FE113E">
              <w:rPr>
                <w:lang w:val="fr-CH"/>
              </w:rPr>
              <w:t>octobre</w:t>
            </w:r>
            <w:r w:rsidR="00255288">
              <w:rPr>
                <w:lang w:val="fr-CH"/>
              </w:rPr>
              <w:t> </w:t>
            </w:r>
            <w:r w:rsidR="00255288" w:rsidRPr="00FE113E">
              <w:rPr>
                <w:lang w:val="fr-CH"/>
              </w:rPr>
              <w:t>20</w:t>
            </w:r>
            <w:r w:rsidRPr="00FE113E">
              <w:rPr>
                <w:lang w:val="fr-CH"/>
              </w:rPr>
              <w:t>20</w:t>
            </w:r>
          </w:p>
        </w:tc>
        <w:tc>
          <w:tcPr>
            <w:tcW w:w="3127" w:type="dxa"/>
          </w:tcPr>
          <w:p w:rsidR="00072873" w:rsidRDefault="00FE113E" w:rsidP="00FB35DC">
            <w:pPr>
              <w:pStyle w:val="Doccode"/>
              <w:rPr>
                <w:lang w:val="fr-FR"/>
              </w:rPr>
            </w:pPr>
            <w:r>
              <w:rPr>
                <w:lang w:val="fr-FR"/>
              </w:rPr>
              <w:t>TC/56</w:t>
            </w:r>
            <w:r w:rsidRPr="00027994">
              <w:rPr>
                <w:lang w:val="fr-FR"/>
              </w:rPr>
              <w:t>/</w:t>
            </w:r>
            <w:r>
              <w:rPr>
                <w:lang w:val="fr-FR"/>
              </w:rPr>
              <w:t>INF/5</w:t>
            </w:r>
          </w:p>
          <w:p w:rsidR="00072873" w:rsidRDefault="00FE113E" w:rsidP="00FB35DC">
            <w:pPr>
              <w:pStyle w:val="Docoriginal"/>
              <w:rPr>
                <w:lang w:val="fr-CH"/>
              </w:rPr>
            </w:pPr>
            <w:r w:rsidRPr="00FE113E">
              <w:rPr>
                <w:lang w:val="fr-CH"/>
              </w:rPr>
              <w:t>Original</w:t>
            </w:r>
            <w:r w:rsidR="00414730">
              <w:rPr>
                <w:lang w:val="fr-CH"/>
              </w:rPr>
              <w:t> :</w:t>
            </w:r>
            <w:r w:rsidRPr="00FE113E">
              <w:rPr>
                <w:b w:val="0"/>
                <w:spacing w:val="0"/>
                <w:lang w:val="fr-CH"/>
              </w:rPr>
              <w:t xml:space="preserve"> anglais</w:t>
            </w:r>
          </w:p>
          <w:p w:rsidR="00FE113E" w:rsidRPr="00FE113E" w:rsidRDefault="00FE113E" w:rsidP="00125B2C">
            <w:pPr>
              <w:pStyle w:val="Docoriginal"/>
              <w:rPr>
                <w:lang w:val="fr-CH"/>
              </w:rPr>
            </w:pPr>
            <w:r w:rsidRPr="00FE113E">
              <w:rPr>
                <w:lang w:val="fr-CH"/>
              </w:rPr>
              <w:t>Date</w:t>
            </w:r>
            <w:r w:rsidR="00414730">
              <w:rPr>
                <w:lang w:val="fr-CH"/>
              </w:rPr>
              <w:t> :</w:t>
            </w:r>
            <w:r w:rsidRPr="00FE113E">
              <w:rPr>
                <w:b w:val="0"/>
                <w:spacing w:val="0"/>
                <w:lang w:val="fr-CH"/>
              </w:rPr>
              <w:t xml:space="preserve"> </w:t>
            </w:r>
            <w:r w:rsidR="00125B2C" w:rsidRPr="00125B2C">
              <w:rPr>
                <w:b w:val="0"/>
                <w:spacing w:val="0"/>
                <w:lang w:val="fr-CH"/>
              </w:rPr>
              <w:t>7</w:t>
            </w:r>
            <w:r w:rsidRPr="00125B2C">
              <w:rPr>
                <w:b w:val="0"/>
                <w:spacing w:val="0"/>
                <w:lang w:val="fr-CH"/>
              </w:rPr>
              <w:t> octobre 2020</w:t>
            </w:r>
          </w:p>
        </w:tc>
      </w:tr>
    </w:tbl>
    <w:p w:rsidR="00072873" w:rsidRPr="00AD1716" w:rsidRDefault="00F1646C" w:rsidP="00F1646C">
      <w:pPr>
        <w:pStyle w:val="Titleofdoc0"/>
        <w:rPr>
          <w:lang w:val="fr-CH"/>
        </w:rPr>
      </w:pPr>
      <w:r w:rsidRPr="00AD1716">
        <w:rPr>
          <w:lang w:val="fr-CH"/>
        </w:rPr>
        <w:t>Bases de données sur les descriptions variétales</w:t>
      </w:r>
    </w:p>
    <w:p w:rsidR="00072873" w:rsidRDefault="00FE113E" w:rsidP="00FE113E">
      <w:pPr>
        <w:pStyle w:val="preparedby1"/>
        <w:jc w:val="left"/>
        <w:rPr>
          <w:lang w:val="fr-CH"/>
        </w:rPr>
      </w:pPr>
      <w:bookmarkStart w:id="1" w:name="Prepared"/>
      <w:bookmarkEnd w:id="1"/>
      <w:r w:rsidRPr="00FE113E">
        <w:rPr>
          <w:lang w:val="fr-CH"/>
        </w:rPr>
        <w:t>Document établi par le Bureau de l</w:t>
      </w:r>
      <w:r w:rsidR="00414730">
        <w:rPr>
          <w:lang w:val="fr-CH"/>
        </w:rPr>
        <w:t>’</w:t>
      </w:r>
      <w:r w:rsidRPr="00FE113E">
        <w:rPr>
          <w:lang w:val="fr-CH"/>
        </w:rPr>
        <w:t>Union</w:t>
      </w:r>
    </w:p>
    <w:p w:rsidR="00072873" w:rsidRDefault="00FE113E" w:rsidP="00FE113E">
      <w:pPr>
        <w:pStyle w:val="Disclaimer"/>
        <w:rPr>
          <w:lang w:val="fr-CH"/>
        </w:rPr>
      </w:pPr>
      <w:r w:rsidRPr="00FE113E">
        <w:rPr>
          <w:lang w:val="fr-CH"/>
        </w:rPr>
        <w:t>Avertissement</w:t>
      </w:r>
      <w:r w:rsidR="00414730">
        <w:rPr>
          <w:lang w:val="fr-CH"/>
        </w:rPr>
        <w:t> :</w:t>
      </w:r>
      <w:r w:rsidRPr="00FE113E">
        <w:rPr>
          <w:lang w:val="fr-CH"/>
        </w:rPr>
        <w:t xml:space="preserve"> le présent document ne représente pas les principes ou les orientations de l</w:t>
      </w:r>
      <w:r w:rsidR="00414730">
        <w:rPr>
          <w:lang w:val="fr-CH"/>
        </w:rPr>
        <w:t>’</w:t>
      </w:r>
      <w:r w:rsidRPr="00FE113E">
        <w:rPr>
          <w:lang w:val="fr-CH"/>
        </w:rPr>
        <w:t>UPOV</w:t>
      </w:r>
    </w:p>
    <w:p w:rsidR="00072873" w:rsidRPr="00AD1716" w:rsidRDefault="00F1646C" w:rsidP="00F1646C">
      <w:pPr>
        <w:pStyle w:val="Heading1"/>
        <w:rPr>
          <w:snapToGrid w:val="0"/>
          <w:lang w:val="fr-CH"/>
        </w:rPr>
      </w:pPr>
      <w:bookmarkStart w:id="2" w:name="_Toc53490087"/>
      <w:r w:rsidRPr="00AD1716">
        <w:rPr>
          <w:snapToGrid w:val="0"/>
          <w:lang w:val="fr-CH"/>
        </w:rPr>
        <w:t>Résumé</w:t>
      </w:r>
      <w:bookmarkEnd w:id="2"/>
    </w:p>
    <w:p w:rsidR="00072873" w:rsidRPr="00AD1716" w:rsidRDefault="00072873" w:rsidP="00185BB5">
      <w:pPr>
        <w:rPr>
          <w:snapToGrid w:val="0"/>
          <w:lang w:val="fr-CH"/>
        </w:rPr>
      </w:pPr>
    </w:p>
    <w:p w:rsidR="00072873" w:rsidRPr="00AD1716" w:rsidRDefault="00185BB5" w:rsidP="00F1646C">
      <w:pPr>
        <w:rPr>
          <w:lang w:val="fr-CH"/>
        </w:rPr>
      </w:pPr>
      <w:r w:rsidRPr="00AD1716">
        <w:rPr>
          <w:snapToGrid w:val="0"/>
          <w:lang w:val="fr-CH"/>
        </w:rPr>
        <w:fldChar w:fldCharType="begin"/>
      </w:r>
      <w:r w:rsidRPr="00AD1716">
        <w:rPr>
          <w:snapToGrid w:val="0"/>
          <w:lang w:val="fr-CH"/>
        </w:rPr>
        <w:instrText xml:space="preserve"> AUTONUM  </w:instrText>
      </w:r>
      <w:r w:rsidRPr="00AD1716">
        <w:rPr>
          <w:snapToGrid w:val="0"/>
          <w:lang w:val="fr-CH"/>
        </w:rPr>
        <w:fldChar w:fldCharType="end"/>
      </w:r>
      <w:r w:rsidRPr="00AD1716">
        <w:rPr>
          <w:snapToGrid w:val="0"/>
          <w:lang w:val="fr-CH"/>
        </w:rPr>
        <w:tab/>
      </w:r>
      <w:r w:rsidR="00F1646C" w:rsidRPr="00AD1716">
        <w:rPr>
          <w:snapToGrid w:val="0"/>
          <w:lang w:val="fr-CH"/>
        </w:rPr>
        <w:t>L</w:t>
      </w:r>
      <w:r w:rsidR="00414730">
        <w:rPr>
          <w:snapToGrid w:val="0"/>
          <w:lang w:val="fr-CH"/>
        </w:rPr>
        <w:t>’</w:t>
      </w:r>
      <w:r w:rsidR="00F1646C" w:rsidRPr="00AD1716">
        <w:rPr>
          <w:snapToGrid w:val="0"/>
          <w:lang w:val="fr-CH"/>
        </w:rPr>
        <w:t>objet du présent document est de faire rapport sur les faits nouveaux concernant les bases de données sur les descriptions variétales et d</w:t>
      </w:r>
      <w:r w:rsidR="00414730">
        <w:rPr>
          <w:snapToGrid w:val="0"/>
          <w:lang w:val="fr-CH"/>
        </w:rPr>
        <w:t>’</w:t>
      </w:r>
      <w:r w:rsidR="00F1646C" w:rsidRPr="00AD1716">
        <w:rPr>
          <w:snapToGrid w:val="0"/>
          <w:lang w:val="fr-CH"/>
        </w:rPr>
        <w:t>inviter les membres de l</w:t>
      </w:r>
      <w:r w:rsidR="00414730">
        <w:rPr>
          <w:snapToGrid w:val="0"/>
          <w:lang w:val="fr-CH"/>
        </w:rPr>
        <w:t>’</w:t>
      </w:r>
      <w:r w:rsidR="00F1646C" w:rsidRPr="00AD1716">
        <w:rPr>
          <w:snapToGrid w:val="0"/>
          <w:lang w:val="fr-CH"/>
        </w:rPr>
        <w:t>Union à rendre compte des travaux concernant la création de bases de données contenant des données morphologiques ou moléculaires.</w:t>
      </w:r>
    </w:p>
    <w:p w:rsidR="00072873" w:rsidRPr="00AD1716" w:rsidRDefault="00072873" w:rsidP="00185BB5">
      <w:pPr>
        <w:rPr>
          <w:lang w:val="fr-CH"/>
        </w:rPr>
      </w:pPr>
    </w:p>
    <w:p w:rsidR="00072873" w:rsidRPr="00AD1716" w:rsidRDefault="00185BB5" w:rsidP="00F1646C">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F1646C" w:rsidRPr="00AD1716">
        <w:rPr>
          <w:lang w:val="fr-CH"/>
        </w:rPr>
        <w:t>Les abréviations suivantes sont utilisées dans le présent document</w:t>
      </w:r>
      <w:r w:rsidR="00414730">
        <w:rPr>
          <w:lang w:val="fr-CH"/>
        </w:rPr>
        <w:t> :</w:t>
      </w:r>
    </w:p>
    <w:p w:rsidR="00072873" w:rsidRPr="00AD1716" w:rsidRDefault="00072873" w:rsidP="00185BB5">
      <w:pPr>
        <w:rPr>
          <w:lang w:val="fr-CH"/>
        </w:rPr>
      </w:pPr>
    </w:p>
    <w:p w:rsidR="00072873" w:rsidRPr="00AD1716" w:rsidRDefault="00F1646C" w:rsidP="00F1646C">
      <w:pPr>
        <w:rPr>
          <w:lang w:val="fr-CH"/>
        </w:rPr>
      </w:pPr>
      <w:r w:rsidRPr="00AD1716">
        <w:rPr>
          <w:lang w:val="fr-CH"/>
        </w:rPr>
        <w:t>BMT</w:t>
      </w:r>
      <w:r w:rsidR="00414730">
        <w:rPr>
          <w:lang w:val="fr-CH"/>
        </w:rPr>
        <w:t> :</w:t>
      </w:r>
      <w:r w:rsidRPr="00AD1716">
        <w:rPr>
          <w:lang w:val="fr-CH"/>
        </w:rPr>
        <w:t xml:space="preserve"> </w:t>
      </w:r>
      <w:r w:rsidRPr="00AD1716">
        <w:rPr>
          <w:lang w:val="fr-CH"/>
        </w:rPr>
        <w:tab/>
        <w:t>Groupe de travail sur les techniques biochimiques et moléculaires, notamment les profils d</w:t>
      </w:r>
      <w:r w:rsidR="00414730">
        <w:rPr>
          <w:lang w:val="fr-CH"/>
        </w:rPr>
        <w:t>’</w:t>
      </w:r>
      <w:r w:rsidRPr="00AD1716">
        <w:rPr>
          <w:lang w:val="fr-CH"/>
        </w:rPr>
        <w:t>ADN</w:t>
      </w:r>
    </w:p>
    <w:p w:rsidR="00072873" w:rsidRPr="00AD1716" w:rsidRDefault="00F1646C" w:rsidP="00F1646C">
      <w:pPr>
        <w:rPr>
          <w:lang w:val="fr-CH"/>
        </w:rPr>
      </w:pPr>
      <w:r w:rsidRPr="00AD1716">
        <w:rPr>
          <w:lang w:val="fr-CH"/>
        </w:rPr>
        <w:t>TC</w:t>
      </w:r>
      <w:r w:rsidR="00414730">
        <w:rPr>
          <w:lang w:val="fr-CH"/>
        </w:rPr>
        <w:t> :</w:t>
      </w:r>
      <w:r w:rsidR="00F30186" w:rsidRPr="00AD1716">
        <w:rPr>
          <w:lang w:val="fr-CH"/>
        </w:rPr>
        <w:t xml:space="preserve"> </w:t>
      </w:r>
      <w:r w:rsidRPr="00AD1716">
        <w:rPr>
          <w:lang w:val="fr-CH"/>
        </w:rPr>
        <w:tab/>
      </w:r>
      <w:r w:rsidR="00F046CA" w:rsidRPr="00AD1716">
        <w:rPr>
          <w:lang w:val="fr-CH"/>
        </w:rPr>
        <w:tab/>
      </w:r>
      <w:r w:rsidRPr="00AD1716">
        <w:rPr>
          <w:lang w:val="fr-CH"/>
        </w:rPr>
        <w:t>Comité technique</w:t>
      </w:r>
    </w:p>
    <w:p w:rsidR="00072873" w:rsidRPr="00AD1716" w:rsidRDefault="00F1646C" w:rsidP="00F1646C">
      <w:pPr>
        <w:rPr>
          <w:lang w:val="fr-CH"/>
        </w:rPr>
      </w:pPr>
      <w:r w:rsidRPr="00AD1716">
        <w:rPr>
          <w:lang w:val="fr-CH"/>
        </w:rPr>
        <w:t>TC</w:t>
      </w:r>
      <w:r w:rsidR="00414730">
        <w:rPr>
          <w:lang w:val="fr-CH"/>
        </w:rPr>
        <w:t>-</w:t>
      </w:r>
      <w:r w:rsidRPr="00AD1716">
        <w:rPr>
          <w:lang w:val="fr-CH"/>
        </w:rPr>
        <w:t>EDC</w:t>
      </w:r>
      <w:r w:rsidR="00414730">
        <w:rPr>
          <w:lang w:val="fr-CH"/>
        </w:rPr>
        <w:t> :</w:t>
      </w:r>
      <w:r w:rsidR="00F30186" w:rsidRPr="00AD1716">
        <w:rPr>
          <w:lang w:val="fr-CH"/>
        </w:rPr>
        <w:t xml:space="preserve"> </w:t>
      </w:r>
      <w:r w:rsidRPr="00AD1716">
        <w:rPr>
          <w:lang w:val="fr-CH"/>
        </w:rPr>
        <w:tab/>
        <w:t>Comité de rédaction élargi</w:t>
      </w:r>
    </w:p>
    <w:p w:rsidR="00072873" w:rsidRPr="00AD1716" w:rsidRDefault="00F1646C" w:rsidP="00F1646C">
      <w:pPr>
        <w:rPr>
          <w:lang w:val="fr-CH"/>
        </w:rPr>
      </w:pPr>
      <w:r w:rsidRPr="00AD1716">
        <w:rPr>
          <w:lang w:val="fr-CH"/>
        </w:rPr>
        <w:t>TWA</w:t>
      </w:r>
      <w:r w:rsidR="00414730">
        <w:rPr>
          <w:lang w:val="fr-CH"/>
        </w:rPr>
        <w:t> :</w:t>
      </w:r>
      <w:r w:rsidRPr="00AD1716">
        <w:rPr>
          <w:lang w:val="fr-CH"/>
        </w:rPr>
        <w:t xml:space="preserve"> </w:t>
      </w:r>
      <w:r w:rsidRPr="00AD1716">
        <w:rPr>
          <w:lang w:val="fr-CH"/>
        </w:rPr>
        <w:tab/>
        <w:t>Groupe de travail technique sur les plantes agricoles</w:t>
      </w:r>
    </w:p>
    <w:p w:rsidR="00072873" w:rsidRPr="00AD1716" w:rsidRDefault="00F1646C" w:rsidP="00F1646C">
      <w:pPr>
        <w:rPr>
          <w:lang w:val="fr-CH"/>
        </w:rPr>
      </w:pPr>
      <w:r w:rsidRPr="00AD1716">
        <w:rPr>
          <w:lang w:val="fr-CH"/>
        </w:rPr>
        <w:t>TWC</w:t>
      </w:r>
      <w:r w:rsidR="00414730">
        <w:rPr>
          <w:lang w:val="fr-CH"/>
        </w:rPr>
        <w:t> :</w:t>
      </w:r>
      <w:r w:rsidRPr="00AD1716">
        <w:rPr>
          <w:lang w:val="fr-CH"/>
        </w:rPr>
        <w:t xml:space="preserve"> </w:t>
      </w:r>
      <w:r w:rsidRPr="00AD1716">
        <w:rPr>
          <w:lang w:val="fr-CH"/>
        </w:rPr>
        <w:tab/>
        <w:t>Groupe de travail technique sur les systèmes d</w:t>
      </w:r>
      <w:r w:rsidR="00414730">
        <w:rPr>
          <w:lang w:val="fr-CH"/>
        </w:rPr>
        <w:t>’</w:t>
      </w:r>
      <w:r w:rsidRPr="00AD1716">
        <w:rPr>
          <w:lang w:val="fr-CH"/>
        </w:rPr>
        <w:t>automatisation et les programmes d</w:t>
      </w:r>
      <w:r w:rsidR="00414730">
        <w:rPr>
          <w:lang w:val="fr-CH"/>
        </w:rPr>
        <w:t>’</w:t>
      </w:r>
      <w:r w:rsidRPr="00AD1716">
        <w:rPr>
          <w:lang w:val="fr-CH"/>
        </w:rPr>
        <w:t>ordinateur</w:t>
      </w:r>
    </w:p>
    <w:p w:rsidR="00255288" w:rsidRPr="00AD1716" w:rsidRDefault="00F1646C" w:rsidP="00F1646C">
      <w:pPr>
        <w:rPr>
          <w:lang w:val="fr-CH"/>
        </w:rPr>
      </w:pPr>
      <w:r w:rsidRPr="00AD1716">
        <w:rPr>
          <w:lang w:val="fr-CH"/>
        </w:rPr>
        <w:t>TWF</w:t>
      </w:r>
      <w:r w:rsidR="00414730">
        <w:rPr>
          <w:lang w:val="fr-CH"/>
        </w:rPr>
        <w:t> :</w:t>
      </w:r>
      <w:r w:rsidRPr="00AD1716">
        <w:rPr>
          <w:lang w:val="fr-CH"/>
        </w:rPr>
        <w:t xml:space="preserve"> </w:t>
      </w:r>
      <w:r w:rsidRPr="00AD1716">
        <w:rPr>
          <w:lang w:val="fr-CH"/>
        </w:rPr>
        <w:tab/>
        <w:t>Groupe de travail technique sur les plantes fruitières</w:t>
      </w:r>
    </w:p>
    <w:p w:rsidR="00255288" w:rsidRPr="00AD1716" w:rsidRDefault="00F1646C" w:rsidP="00F1646C">
      <w:pPr>
        <w:rPr>
          <w:lang w:val="fr-CH"/>
        </w:rPr>
      </w:pPr>
      <w:r w:rsidRPr="00AD1716">
        <w:rPr>
          <w:lang w:val="fr-CH"/>
        </w:rPr>
        <w:t>TWO</w:t>
      </w:r>
      <w:r w:rsidR="00414730">
        <w:rPr>
          <w:lang w:val="fr-CH"/>
        </w:rPr>
        <w:t> :</w:t>
      </w:r>
      <w:r w:rsidRPr="00AD1716">
        <w:rPr>
          <w:lang w:val="fr-CH"/>
        </w:rPr>
        <w:t xml:space="preserve"> </w:t>
      </w:r>
      <w:r w:rsidRPr="00AD1716">
        <w:rPr>
          <w:lang w:val="fr-CH"/>
        </w:rPr>
        <w:tab/>
        <w:t>Groupe de travail technique sur les plantes ornementales et les arbres forestiers</w:t>
      </w:r>
    </w:p>
    <w:p w:rsidR="00072873" w:rsidRPr="00AD1716" w:rsidRDefault="00F1646C" w:rsidP="00F1646C">
      <w:pPr>
        <w:rPr>
          <w:lang w:val="fr-CH"/>
        </w:rPr>
      </w:pPr>
      <w:r w:rsidRPr="00AD1716">
        <w:rPr>
          <w:lang w:val="fr-CH"/>
        </w:rPr>
        <w:t>TWV</w:t>
      </w:r>
      <w:r w:rsidR="00414730">
        <w:rPr>
          <w:lang w:val="fr-CH"/>
        </w:rPr>
        <w:t> :</w:t>
      </w:r>
      <w:r w:rsidRPr="00AD1716">
        <w:rPr>
          <w:lang w:val="fr-CH"/>
        </w:rPr>
        <w:t xml:space="preserve"> </w:t>
      </w:r>
      <w:r w:rsidRPr="00AD1716">
        <w:rPr>
          <w:lang w:val="fr-CH"/>
        </w:rPr>
        <w:tab/>
        <w:t>Groupe de travail technique sur les plantes potagères</w:t>
      </w:r>
    </w:p>
    <w:p w:rsidR="00072873" w:rsidRPr="00AD1716" w:rsidRDefault="00F1646C" w:rsidP="00F1646C">
      <w:pPr>
        <w:rPr>
          <w:lang w:val="fr-CH"/>
        </w:rPr>
      </w:pPr>
      <w:r w:rsidRPr="00AD1716">
        <w:rPr>
          <w:lang w:val="fr-CH"/>
        </w:rPr>
        <w:t>TWP</w:t>
      </w:r>
      <w:r w:rsidR="00414730">
        <w:rPr>
          <w:lang w:val="fr-CH"/>
        </w:rPr>
        <w:t> :</w:t>
      </w:r>
      <w:r w:rsidRPr="00AD1716">
        <w:rPr>
          <w:lang w:val="fr-CH"/>
        </w:rPr>
        <w:t xml:space="preserve"> </w:t>
      </w:r>
      <w:r w:rsidRPr="00AD1716">
        <w:rPr>
          <w:lang w:val="fr-CH"/>
        </w:rPr>
        <w:tab/>
        <w:t>Groupe(s) de travail technique(s)</w:t>
      </w:r>
    </w:p>
    <w:p w:rsidR="00072873" w:rsidRPr="00AD1716" w:rsidRDefault="00072873" w:rsidP="00185BB5">
      <w:pPr>
        <w:rPr>
          <w:snapToGrid w:val="0"/>
          <w:lang w:val="fr-CH"/>
        </w:rPr>
      </w:pPr>
    </w:p>
    <w:p w:rsidR="00072873" w:rsidRPr="00AD1716" w:rsidRDefault="00185BB5" w:rsidP="00F1646C">
      <w:pPr>
        <w:rPr>
          <w:snapToGrid w:val="0"/>
          <w:lang w:val="fr-CH"/>
        </w:rPr>
      </w:pPr>
      <w:r w:rsidRPr="00AD1716">
        <w:rPr>
          <w:snapToGrid w:val="0"/>
          <w:lang w:val="fr-CH"/>
        </w:rPr>
        <w:fldChar w:fldCharType="begin"/>
      </w:r>
      <w:r w:rsidRPr="00AD1716">
        <w:rPr>
          <w:snapToGrid w:val="0"/>
          <w:lang w:val="fr-CH"/>
        </w:rPr>
        <w:instrText xml:space="preserve"> AUTONUM  </w:instrText>
      </w:r>
      <w:r w:rsidRPr="00AD1716">
        <w:rPr>
          <w:snapToGrid w:val="0"/>
          <w:lang w:val="fr-CH"/>
        </w:rPr>
        <w:fldChar w:fldCharType="end"/>
      </w:r>
      <w:r w:rsidRPr="00AD1716">
        <w:rPr>
          <w:snapToGrid w:val="0"/>
          <w:lang w:val="fr-CH"/>
        </w:rPr>
        <w:tab/>
      </w:r>
      <w:r w:rsidR="00F1646C" w:rsidRPr="00AD1716">
        <w:rPr>
          <w:snapToGrid w:val="0"/>
          <w:lang w:val="fr-CH"/>
        </w:rPr>
        <w:t>Le présent document est structuré comme suit</w:t>
      </w:r>
      <w:r w:rsidR="00414730">
        <w:rPr>
          <w:snapToGrid w:val="0"/>
          <w:lang w:val="fr-CH"/>
        </w:rPr>
        <w:t> :</w:t>
      </w:r>
    </w:p>
    <w:p w:rsidR="00F046CA" w:rsidRPr="00AD1716" w:rsidRDefault="00185BB5">
      <w:pPr>
        <w:pStyle w:val="TOC1"/>
        <w:rPr>
          <w:rFonts w:asciiTheme="minorHAnsi" w:eastAsiaTheme="minorEastAsia" w:hAnsiTheme="minorHAnsi" w:cstheme="minorBidi"/>
          <w:caps w:val="0"/>
          <w:noProof/>
          <w:sz w:val="22"/>
          <w:szCs w:val="22"/>
        </w:rPr>
      </w:pPr>
      <w:r w:rsidRPr="00AD1716">
        <w:rPr>
          <w:bCs/>
          <w:noProof/>
          <w:highlight w:val="yellow"/>
          <w:lang w:val="fr-CH"/>
        </w:rPr>
        <w:fldChar w:fldCharType="begin"/>
      </w:r>
      <w:r w:rsidRPr="00AD1716">
        <w:rPr>
          <w:highlight w:val="yellow"/>
          <w:lang w:val="fr-CH"/>
        </w:rPr>
        <w:instrText xml:space="preserve"> TOC \o "1-3" \h \z \u </w:instrText>
      </w:r>
      <w:r w:rsidRPr="00AD1716">
        <w:rPr>
          <w:bCs/>
          <w:noProof/>
          <w:highlight w:val="yellow"/>
          <w:lang w:val="fr-CH"/>
        </w:rPr>
        <w:fldChar w:fldCharType="separate"/>
      </w:r>
      <w:hyperlink w:anchor="_Toc53490087" w:history="1">
        <w:r w:rsidR="00F046CA" w:rsidRPr="00AD1716">
          <w:rPr>
            <w:rStyle w:val="Hyperlink"/>
            <w:noProof/>
            <w:snapToGrid w:val="0"/>
            <w:color w:val="auto"/>
            <w:lang w:val="fr-CH"/>
          </w:rPr>
          <w:t>Résumé</w:t>
        </w:r>
        <w:r w:rsidR="00F046CA" w:rsidRPr="00AD1716">
          <w:rPr>
            <w:noProof/>
            <w:webHidden/>
          </w:rPr>
          <w:tab/>
        </w:r>
        <w:r w:rsidR="00F046CA" w:rsidRPr="00AD1716">
          <w:rPr>
            <w:noProof/>
            <w:webHidden/>
          </w:rPr>
          <w:fldChar w:fldCharType="begin"/>
        </w:r>
        <w:r w:rsidR="00F046CA" w:rsidRPr="00AD1716">
          <w:rPr>
            <w:noProof/>
            <w:webHidden/>
          </w:rPr>
          <w:instrText xml:space="preserve"> PAGEREF _Toc53490087 \h </w:instrText>
        </w:r>
        <w:r w:rsidR="00F046CA" w:rsidRPr="00AD1716">
          <w:rPr>
            <w:noProof/>
            <w:webHidden/>
          </w:rPr>
        </w:r>
        <w:r w:rsidR="00F046CA" w:rsidRPr="00AD1716">
          <w:rPr>
            <w:noProof/>
            <w:webHidden/>
          </w:rPr>
          <w:fldChar w:fldCharType="separate"/>
        </w:r>
        <w:r w:rsidR="00F046CA" w:rsidRPr="00AD1716">
          <w:rPr>
            <w:noProof/>
            <w:webHidden/>
          </w:rPr>
          <w:t>1</w:t>
        </w:r>
        <w:r w:rsidR="00F046CA" w:rsidRPr="00AD1716">
          <w:rPr>
            <w:noProof/>
            <w:webHidden/>
          </w:rPr>
          <w:fldChar w:fldCharType="end"/>
        </w:r>
      </w:hyperlink>
    </w:p>
    <w:p w:rsidR="00F046CA" w:rsidRPr="00AD1716" w:rsidRDefault="004E4BA6">
      <w:pPr>
        <w:pStyle w:val="TOC1"/>
        <w:rPr>
          <w:rFonts w:asciiTheme="minorHAnsi" w:eastAsiaTheme="minorEastAsia" w:hAnsiTheme="minorHAnsi" w:cstheme="minorBidi"/>
          <w:caps w:val="0"/>
          <w:noProof/>
          <w:sz w:val="22"/>
          <w:szCs w:val="22"/>
        </w:rPr>
      </w:pPr>
      <w:hyperlink w:anchor="_Toc53490088" w:history="1">
        <w:r w:rsidR="00F046CA" w:rsidRPr="00AD1716">
          <w:rPr>
            <w:rStyle w:val="Hyperlink"/>
            <w:noProof/>
            <w:color w:val="auto"/>
            <w:lang w:val="fr-CH"/>
          </w:rPr>
          <w:t>Informations générales</w:t>
        </w:r>
        <w:r w:rsidR="00F046CA" w:rsidRPr="00AD1716">
          <w:rPr>
            <w:noProof/>
            <w:webHidden/>
          </w:rPr>
          <w:tab/>
        </w:r>
        <w:r w:rsidR="00F046CA" w:rsidRPr="00AD1716">
          <w:rPr>
            <w:noProof/>
            <w:webHidden/>
          </w:rPr>
          <w:fldChar w:fldCharType="begin"/>
        </w:r>
        <w:r w:rsidR="00F046CA" w:rsidRPr="00AD1716">
          <w:rPr>
            <w:noProof/>
            <w:webHidden/>
          </w:rPr>
          <w:instrText xml:space="preserve"> PAGEREF _Toc53490088 \h </w:instrText>
        </w:r>
        <w:r w:rsidR="00F046CA" w:rsidRPr="00AD1716">
          <w:rPr>
            <w:noProof/>
            <w:webHidden/>
          </w:rPr>
        </w:r>
        <w:r w:rsidR="00F046CA" w:rsidRPr="00AD1716">
          <w:rPr>
            <w:noProof/>
            <w:webHidden/>
          </w:rPr>
          <w:fldChar w:fldCharType="separate"/>
        </w:r>
        <w:r w:rsidR="00F046CA" w:rsidRPr="00AD1716">
          <w:rPr>
            <w:noProof/>
            <w:webHidden/>
          </w:rPr>
          <w:t>1</w:t>
        </w:r>
        <w:r w:rsidR="00F046CA" w:rsidRPr="00AD1716">
          <w:rPr>
            <w:noProof/>
            <w:webHidden/>
          </w:rPr>
          <w:fldChar w:fldCharType="end"/>
        </w:r>
      </w:hyperlink>
    </w:p>
    <w:p w:rsidR="00F046CA" w:rsidRPr="00AD1716" w:rsidRDefault="004E4BA6">
      <w:pPr>
        <w:pStyle w:val="TOC1"/>
        <w:rPr>
          <w:rFonts w:asciiTheme="minorHAnsi" w:eastAsiaTheme="minorEastAsia" w:hAnsiTheme="minorHAnsi" w:cstheme="minorBidi"/>
          <w:caps w:val="0"/>
          <w:noProof/>
          <w:sz w:val="22"/>
          <w:szCs w:val="22"/>
        </w:rPr>
      </w:pPr>
      <w:hyperlink w:anchor="_Toc53490089" w:history="1">
        <w:r w:rsidR="00F046CA" w:rsidRPr="00AD1716">
          <w:rPr>
            <w:rStyle w:val="Hyperlink"/>
            <w:noProof/>
            <w:color w:val="auto"/>
            <w:lang w:val="fr-CH"/>
          </w:rPr>
          <w:t>Faits nouveaux concernant les groupes de travail techniques à leurs sessions de 2020</w:t>
        </w:r>
        <w:r w:rsidR="00F046CA" w:rsidRPr="00AD1716">
          <w:rPr>
            <w:noProof/>
            <w:webHidden/>
          </w:rPr>
          <w:tab/>
        </w:r>
        <w:r w:rsidR="00F046CA" w:rsidRPr="00AD1716">
          <w:rPr>
            <w:noProof/>
            <w:webHidden/>
          </w:rPr>
          <w:fldChar w:fldCharType="begin"/>
        </w:r>
        <w:r w:rsidR="00F046CA" w:rsidRPr="00AD1716">
          <w:rPr>
            <w:noProof/>
            <w:webHidden/>
          </w:rPr>
          <w:instrText xml:space="preserve"> PAGEREF _Toc53490089 \h </w:instrText>
        </w:r>
        <w:r w:rsidR="00F046CA" w:rsidRPr="00AD1716">
          <w:rPr>
            <w:noProof/>
            <w:webHidden/>
          </w:rPr>
        </w:r>
        <w:r w:rsidR="00F046CA" w:rsidRPr="00AD1716">
          <w:rPr>
            <w:noProof/>
            <w:webHidden/>
          </w:rPr>
          <w:fldChar w:fldCharType="separate"/>
        </w:r>
        <w:r w:rsidR="00F046CA" w:rsidRPr="00AD1716">
          <w:rPr>
            <w:noProof/>
            <w:webHidden/>
          </w:rPr>
          <w:t>2</w:t>
        </w:r>
        <w:r w:rsidR="00F046CA" w:rsidRPr="00AD1716">
          <w:rPr>
            <w:noProof/>
            <w:webHidden/>
          </w:rPr>
          <w:fldChar w:fldCharType="end"/>
        </w:r>
      </w:hyperlink>
    </w:p>
    <w:p w:rsidR="00072873" w:rsidRPr="00AD1716" w:rsidRDefault="00185BB5" w:rsidP="00185BB5">
      <w:pPr>
        <w:rPr>
          <w:rFonts w:cs="Arial"/>
          <w:lang w:val="fr-CH"/>
        </w:rPr>
      </w:pPr>
      <w:r w:rsidRPr="00AD1716">
        <w:rPr>
          <w:rFonts w:cs="Arial"/>
          <w:highlight w:val="yellow"/>
          <w:lang w:val="fr-CH"/>
        </w:rPr>
        <w:fldChar w:fldCharType="end"/>
      </w:r>
    </w:p>
    <w:p w:rsidR="00072873" w:rsidRPr="00AD1716" w:rsidRDefault="00072873" w:rsidP="00185BB5">
      <w:pPr>
        <w:rPr>
          <w:lang w:val="fr-CH"/>
        </w:rPr>
      </w:pPr>
    </w:p>
    <w:p w:rsidR="00072873" w:rsidRPr="00AD1716" w:rsidRDefault="00F1646C" w:rsidP="00F1646C">
      <w:pPr>
        <w:keepNext/>
        <w:outlineLvl w:val="0"/>
        <w:rPr>
          <w:caps/>
          <w:lang w:val="fr-CH"/>
        </w:rPr>
      </w:pPr>
      <w:bookmarkStart w:id="3" w:name="_Toc53490088"/>
      <w:r w:rsidRPr="00AD1716">
        <w:rPr>
          <w:caps/>
          <w:lang w:val="fr-CH"/>
        </w:rPr>
        <w:t>Informations générales</w:t>
      </w:r>
      <w:bookmarkEnd w:id="3"/>
    </w:p>
    <w:p w:rsidR="00072873" w:rsidRPr="00AD1716" w:rsidRDefault="00072873" w:rsidP="00185BB5">
      <w:pPr>
        <w:keepNext/>
        <w:rPr>
          <w:lang w:val="fr-CH"/>
        </w:rPr>
      </w:pPr>
    </w:p>
    <w:p w:rsidR="00072873" w:rsidRPr="00AD1716" w:rsidRDefault="00185BB5" w:rsidP="00F1646C">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F1646C" w:rsidRPr="00AD1716">
        <w:rPr>
          <w:lang w:val="fr-CH"/>
        </w:rPr>
        <w:t>À sa quarante</w:t>
      </w:r>
      <w:r w:rsidR="00414730">
        <w:rPr>
          <w:lang w:val="fr-CH"/>
        </w:rPr>
        <w:t>-</w:t>
      </w:r>
      <w:r w:rsidR="00F1646C" w:rsidRPr="00AD1716">
        <w:rPr>
          <w:lang w:val="fr-CH"/>
        </w:rPr>
        <w:t>cinqu</w:t>
      </w:r>
      <w:r w:rsidR="00414730">
        <w:rPr>
          <w:lang w:val="fr-CH"/>
        </w:rPr>
        <w:t>ième session</w:t>
      </w:r>
      <w:r w:rsidR="00F1646C" w:rsidRPr="00AD1716">
        <w:rPr>
          <w:lang w:val="fr-CH"/>
        </w:rPr>
        <w:t>, tenue à Genève du 30 mars au</w:t>
      </w:r>
      <w:r w:rsidR="00255288" w:rsidRPr="00AD1716">
        <w:rPr>
          <w:lang w:val="fr-CH"/>
        </w:rPr>
        <w:t xml:space="preserve"> 1</w:t>
      </w:r>
      <w:r w:rsidR="00255288" w:rsidRPr="00AD1716">
        <w:rPr>
          <w:vertAlign w:val="superscript"/>
          <w:lang w:val="fr-CH"/>
        </w:rPr>
        <w:t>er</w:t>
      </w:r>
      <w:r w:rsidR="00255288" w:rsidRPr="00AD1716">
        <w:rPr>
          <w:lang w:val="fr-CH"/>
        </w:rPr>
        <w:t> </w:t>
      </w:r>
      <w:r w:rsidR="00F1646C" w:rsidRPr="00AD1716">
        <w:rPr>
          <w:lang w:val="fr-CH"/>
        </w:rPr>
        <w:t>avril 2009, le Comité technique (TC) a noté qu</w:t>
      </w:r>
      <w:r w:rsidR="00414730">
        <w:rPr>
          <w:lang w:val="fr-CH"/>
        </w:rPr>
        <w:t>’</w:t>
      </w:r>
      <w:r w:rsidR="00F1646C" w:rsidRPr="00AD1716">
        <w:rPr>
          <w:lang w:val="fr-CH"/>
        </w:rPr>
        <w:t xml:space="preserve">il ressortait des faits nouveaux consignés dans le </w:t>
      </w:r>
      <w:r w:rsidR="00255288" w:rsidRPr="00AD1716">
        <w:rPr>
          <w:lang w:val="fr-CH"/>
        </w:rPr>
        <w:t>document</w:t>
      </w:r>
      <w:r w:rsidR="00414730">
        <w:rPr>
          <w:lang w:val="fr-CH"/>
        </w:rPr>
        <w:t> TC</w:t>
      </w:r>
      <w:r w:rsidR="00F1646C" w:rsidRPr="00AD1716">
        <w:rPr>
          <w:lang w:val="fr-CH"/>
        </w:rPr>
        <w:t>/45/9 “Publication des descriptions variétales” que les membres de l</w:t>
      </w:r>
      <w:r w:rsidR="00414730">
        <w:rPr>
          <w:lang w:val="fr-CH"/>
        </w:rPr>
        <w:t>’</w:t>
      </w:r>
      <w:r w:rsidR="00F1646C" w:rsidRPr="00AD1716">
        <w:rPr>
          <w:lang w:val="fr-CH"/>
        </w:rPr>
        <w:t>Union mettaient actuellement au point des bases de données contenant des données morphologiques ou moléculaires et, le cas échéant, qu</w:t>
      </w:r>
      <w:r w:rsidR="00414730">
        <w:rPr>
          <w:lang w:val="fr-CH"/>
        </w:rPr>
        <w:t>’</w:t>
      </w:r>
      <w:r w:rsidR="00F1646C" w:rsidRPr="00AD1716">
        <w:rPr>
          <w:lang w:val="fr-CH"/>
        </w:rPr>
        <w:t>ils collaboraient à la mise au point de bases de données destinées à la gestion des collections de variétés, notamment à l</w:t>
      </w:r>
      <w:r w:rsidR="00414730">
        <w:rPr>
          <w:lang w:val="fr-CH"/>
        </w:rPr>
        <w:t>’</w:t>
      </w:r>
      <w:r w:rsidR="00F1646C" w:rsidRPr="00AD1716">
        <w:rPr>
          <w:lang w:val="fr-CH"/>
        </w:rPr>
        <w:t>échelle régiona</w:t>
      </w:r>
      <w:r w:rsidR="003C7C9D" w:rsidRPr="00AD1716">
        <w:rPr>
          <w:lang w:val="fr-CH"/>
        </w:rPr>
        <w:t xml:space="preserve">le.  </w:t>
      </w:r>
      <w:r w:rsidR="003C7C9D" w:rsidRPr="00AD1716">
        <w:rPr>
          <w:snapToGrid w:val="0"/>
          <w:szCs w:val="24"/>
          <w:lang w:val="fr-CH"/>
        </w:rPr>
        <w:t>Le</w:t>
      </w:r>
      <w:r w:rsidR="00414730">
        <w:rPr>
          <w:snapToGrid w:val="0"/>
          <w:szCs w:val="24"/>
          <w:lang w:val="fr-CH"/>
        </w:rPr>
        <w:t> TC</w:t>
      </w:r>
      <w:r w:rsidR="00F1646C" w:rsidRPr="00AD1716">
        <w:rPr>
          <w:snapToGrid w:val="0"/>
          <w:szCs w:val="24"/>
          <w:lang w:val="fr-CH"/>
        </w:rPr>
        <w:t xml:space="preserve"> </w:t>
      </w:r>
      <w:r w:rsidR="00F046CA" w:rsidRPr="00AD1716">
        <w:rPr>
          <w:snapToGrid w:val="0"/>
          <w:szCs w:val="24"/>
          <w:lang w:val="fr-CH"/>
        </w:rPr>
        <w:t>est convenu</w:t>
      </w:r>
      <w:r w:rsidR="00F1646C" w:rsidRPr="00AD1716">
        <w:rPr>
          <w:snapToGrid w:val="0"/>
          <w:szCs w:val="24"/>
          <w:lang w:val="fr-CH"/>
        </w:rPr>
        <w:t xml:space="preserve"> qu</w:t>
      </w:r>
      <w:r w:rsidR="00414730">
        <w:rPr>
          <w:snapToGrid w:val="0"/>
          <w:szCs w:val="24"/>
          <w:lang w:val="fr-CH"/>
        </w:rPr>
        <w:t>’</w:t>
      </w:r>
      <w:r w:rsidR="00F1646C" w:rsidRPr="00AD1716">
        <w:rPr>
          <w:snapToGrid w:val="0"/>
          <w:szCs w:val="24"/>
          <w:lang w:val="fr-CH"/>
        </w:rPr>
        <w:t>il pourrait s</w:t>
      </w:r>
      <w:r w:rsidR="00414730">
        <w:rPr>
          <w:snapToGrid w:val="0"/>
          <w:szCs w:val="24"/>
          <w:lang w:val="fr-CH"/>
        </w:rPr>
        <w:t>’</w:t>
      </w:r>
      <w:r w:rsidR="00F1646C" w:rsidRPr="00AD1716">
        <w:rPr>
          <w:snapToGrid w:val="0"/>
          <w:szCs w:val="24"/>
          <w:lang w:val="fr-CH"/>
        </w:rPr>
        <w:t>avérer utile d</w:t>
      </w:r>
      <w:r w:rsidR="00414730">
        <w:rPr>
          <w:snapToGrid w:val="0"/>
          <w:szCs w:val="24"/>
          <w:lang w:val="fr-CH"/>
        </w:rPr>
        <w:t>’</w:t>
      </w:r>
      <w:r w:rsidR="00F1646C" w:rsidRPr="00AD1716">
        <w:rPr>
          <w:snapToGrid w:val="0"/>
          <w:szCs w:val="24"/>
          <w:lang w:val="fr-CH"/>
        </w:rPr>
        <w:t>offrir aux membres de l</w:t>
      </w:r>
      <w:r w:rsidR="00414730">
        <w:rPr>
          <w:snapToGrid w:val="0"/>
          <w:szCs w:val="24"/>
          <w:lang w:val="fr-CH"/>
        </w:rPr>
        <w:t>’</w:t>
      </w:r>
      <w:r w:rsidR="00F1646C" w:rsidRPr="00AD1716">
        <w:rPr>
          <w:snapToGrid w:val="0"/>
          <w:szCs w:val="24"/>
          <w:lang w:val="fr-CH"/>
        </w:rPr>
        <w:t>Union la possibilité de rendre compte de ces travaux de manière cohérente au</w:t>
      </w:r>
      <w:r w:rsidR="00414730">
        <w:rPr>
          <w:snapToGrid w:val="0"/>
          <w:szCs w:val="24"/>
          <w:lang w:val="fr-CH"/>
        </w:rPr>
        <w:t> TC</w:t>
      </w:r>
      <w:r w:rsidR="00F1646C" w:rsidRPr="00AD1716">
        <w:rPr>
          <w:snapToGrid w:val="0"/>
          <w:szCs w:val="24"/>
          <w:lang w:val="fr-CH"/>
        </w:rPr>
        <w:t>, aux TWP et au </w:t>
      </w:r>
      <w:r w:rsidR="003C7C9D" w:rsidRPr="00AD1716">
        <w:rPr>
          <w:snapToGrid w:val="0"/>
          <w:szCs w:val="24"/>
          <w:lang w:val="fr-CH"/>
        </w:rPr>
        <w:t>BMT.  Su</w:t>
      </w:r>
      <w:r w:rsidR="00F1646C" w:rsidRPr="00AD1716">
        <w:rPr>
          <w:snapToGrid w:val="0"/>
          <w:szCs w:val="24"/>
          <w:lang w:val="fr-CH"/>
        </w:rPr>
        <w:t>r cette base, le</w:t>
      </w:r>
      <w:r w:rsidR="00414730">
        <w:rPr>
          <w:snapToGrid w:val="0"/>
          <w:szCs w:val="24"/>
          <w:lang w:val="fr-CH"/>
        </w:rPr>
        <w:t> TC</w:t>
      </w:r>
      <w:r w:rsidR="00F1646C" w:rsidRPr="00AD1716">
        <w:rPr>
          <w:snapToGrid w:val="0"/>
          <w:szCs w:val="24"/>
          <w:lang w:val="fr-CH"/>
        </w:rPr>
        <w:t xml:space="preserve"> est convenu de remplacer le point de l</w:t>
      </w:r>
      <w:r w:rsidR="00414730">
        <w:rPr>
          <w:snapToGrid w:val="0"/>
          <w:szCs w:val="24"/>
          <w:lang w:val="fr-CH"/>
        </w:rPr>
        <w:t>’</w:t>
      </w:r>
      <w:r w:rsidR="00F1646C" w:rsidRPr="00AD1716">
        <w:rPr>
          <w:snapToGrid w:val="0"/>
          <w:szCs w:val="24"/>
          <w:lang w:val="fr-CH"/>
        </w:rPr>
        <w:t>ordre du jour “Publication des descriptions variétales” par le point “Bases de données sur les descriptions variétales” figurant aux ordres du jour des prochaines sessions du</w:t>
      </w:r>
      <w:r w:rsidR="00414730">
        <w:rPr>
          <w:snapToGrid w:val="0"/>
          <w:szCs w:val="24"/>
          <w:lang w:val="fr-CH"/>
        </w:rPr>
        <w:t> TC</w:t>
      </w:r>
      <w:r w:rsidR="00F1646C" w:rsidRPr="00AD1716">
        <w:rPr>
          <w:snapToGrid w:val="0"/>
          <w:szCs w:val="24"/>
          <w:lang w:val="fr-CH"/>
        </w:rPr>
        <w:t>, des TWP et du BMT.  À cet égard, il a rappelé l</w:t>
      </w:r>
      <w:r w:rsidR="00414730">
        <w:rPr>
          <w:snapToGrid w:val="0"/>
          <w:szCs w:val="24"/>
          <w:lang w:val="fr-CH"/>
        </w:rPr>
        <w:t>’</w:t>
      </w:r>
      <w:r w:rsidR="00F1646C" w:rsidRPr="00AD1716">
        <w:rPr>
          <w:snapToGrid w:val="0"/>
          <w:szCs w:val="24"/>
          <w:lang w:val="fr-CH"/>
        </w:rPr>
        <w:t>importance de la liste des critères à prendre en considération pour l</w:t>
      </w:r>
      <w:r w:rsidR="00414730">
        <w:rPr>
          <w:snapToGrid w:val="0"/>
          <w:szCs w:val="24"/>
          <w:lang w:val="fr-CH"/>
        </w:rPr>
        <w:t>’</w:t>
      </w:r>
      <w:r w:rsidR="00F1646C" w:rsidRPr="00AD1716">
        <w:rPr>
          <w:snapToGrid w:val="0"/>
          <w:szCs w:val="24"/>
          <w:lang w:val="fr-CH"/>
        </w:rPr>
        <w:t>utilisation des descriptions provenant de différents endroits et de différentes sources, telle qu</w:t>
      </w:r>
      <w:r w:rsidR="00414730">
        <w:rPr>
          <w:snapToGrid w:val="0"/>
          <w:szCs w:val="24"/>
          <w:lang w:val="fr-CH"/>
        </w:rPr>
        <w:t>’</w:t>
      </w:r>
      <w:r w:rsidR="00F1646C" w:rsidRPr="00AD1716">
        <w:rPr>
          <w:snapToGrid w:val="0"/>
          <w:szCs w:val="24"/>
          <w:lang w:val="fr-CH"/>
        </w:rPr>
        <w:t xml:space="preserve">elle est établie au paragraphe 3 du </w:t>
      </w:r>
      <w:r w:rsidR="00255288" w:rsidRPr="00AD1716">
        <w:rPr>
          <w:snapToGrid w:val="0"/>
          <w:szCs w:val="24"/>
          <w:lang w:val="fr-CH"/>
        </w:rPr>
        <w:t>document</w:t>
      </w:r>
      <w:r w:rsidR="00414730">
        <w:rPr>
          <w:snapToGrid w:val="0"/>
          <w:szCs w:val="24"/>
          <w:lang w:val="fr-CH"/>
        </w:rPr>
        <w:t> TC</w:t>
      </w:r>
      <w:r w:rsidR="00F1646C" w:rsidRPr="00AD1716">
        <w:rPr>
          <w:snapToGrid w:val="0"/>
          <w:szCs w:val="24"/>
          <w:lang w:val="fr-CH"/>
        </w:rPr>
        <w:t>/45/9.</w:t>
      </w:r>
      <w:r w:rsidR="00F1646C" w:rsidRPr="00AD1716">
        <w:rPr>
          <w:lang w:val="fr-CH"/>
        </w:rPr>
        <w:t xml:space="preserve"> </w:t>
      </w:r>
      <w:r w:rsidR="00F1646C" w:rsidRPr="00AD1716">
        <w:rPr>
          <w:snapToGrid w:val="0"/>
          <w:szCs w:val="24"/>
          <w:lang w:val="fr-CH"/>
        </w:rPr>
        <w:t xml:space="preserve"> Le</w:t>
      </w:r>
      <w:r w:rsidR="00414730">
        <w:rPr>
          <w:snapToGrid w:val="0"/>
          <w:szCs w:val="24"/>
          <w:lang w:val="fr-CH"/>
        </w:rPr>
        <w:t> TC</w:t>
      </w:r>
      <w:r w:rsidR="00F1646C" w:rsidRPr="00AD1716">
        <w:rPr>
          <w:snapToGrid w:val="0"/>
          <w:szCs w:val="24"/>
          <w:lang w:val="fr-CH"/>
        </w:rPr>
        <w:t xml:space="preserve"> est également convenu qu</w:t>
      </w:r>
      <w:r w:rsidR="00414730">
        <w:rPr>
          <w:snapToGrid w:val="0"/>
          <w:szCs w:val="24"/>
          <w:lang w:val="fr-CH"/>
        </w:rPr>
        <w:t>’</w:t>
      </w:r>
      <w:r w:rsidR="00F1646C" w:rsidRPr="00AD1716">
        <w:rPr>
          <w:snapToGrid w:val="0"/>
          <w:szCs w:val="24"/>
          <w:lang w:val="fr-CH"/>
        </w:rPr>
        <w:t>il ne serait pas nécessaire que l</w:t>
      </w:r>
      <w:r w:rsidR="00414730">
        <w:rPr>
          <w:snapToGrid w:val="0"/>
          <w:szCs w:val="24"/>
          <w:lang w:val="fr-CH"/>
        </w:rPr>
        <w:t>’</w:t>
      </w:r>
      <w:r w:rsidR="00F1646C" w:rsidRPr="00AD1716">
        <w:rPr>
          <w:snapToGrid w:val="0"/>
          <w:szCs w:val="24"/>
          <w:lang w:val="fr-CH"/>
        </w:rPr>
        <w:t xml:space="preserve">information présentée soit liée à la publication des descriptions (voir le paragraphe 173 du </w:t>
      </w:r>
      <w:r w:rsidR="00255288" w:rsidRPr="00AD1716">
        <w:rPr>
          <w:snapToGrid w:val="0"/>
          <w:szCs w:val="24"/>
          <w:lang w:val="fr-CH"/>
        </w:rPr>
        <w:t>document</w:t>
      </w:r>
      <w:r w:rsidR="00414730">
        <w:rPr>
          <w:snapToGrid w:val="0"/>
          <w:szCs w:val="24"/>
          <w:lang w:val="fr-CH"/>
        </w:rPr>
        <w:t> TC</w:t>
      </w:r>
      <w:r w:rsidR="00F1646C" w:rsidRPr="00AD1716">
        <w:rPr>
          <w:snapToGrid w:val="0"/>
          <w:szCs w:val="24"/>
          <w:lang w:val="fr-CH"/>
        </w:rPr>
        <w:t>/45/16 “Compte rendu”).</w:t>
      </w:r>
    </w:p>
    <w:p w:rsidR="00072873" w:rsidRPr="00AD1716" w:rsidRDefault="00072873" w:rsidP="00F1646C">
      <w:pPr>
        <w:keepNext/>
        <w:rPr>
          <w:lang w:val="fr-CH"/>
        </w:rPr>
      </w:pPr>
    </w:p>
    <w:p w:rsidR="00905282" w:rsidRDefault="00185BB5" w:rsidP="00905282">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26071C" w:rsidRPr="00AD1716">
        <w:rPr>
          <w:lang w:val="fr-CH"/>
        </w:rPr>
        <w:t>Suite à la décision prise par le</w:t>
      </w:r>
      <w:r w:rsidR="00414730">
        <w:rPr>
          <w:lang w:val="fr-CH"/>
        </w:rPr>
        <w:t> TC</w:t>
      </w:r>
      <w:r w:rsidR="0026071C" w:rsidRPr="00AD1716">
        <w:rPr>
          <w:lang w:val="fr-CH"/>
        </w:rPr>
        <w:t xml:space="preserve"> à sa quarante</w:t>
      </w:r>
      <w:r w:rsidR="00414730">
        <w:rPr>
          <w:lang w:val="fr-CH"/>
        </w:rPr>
        <w:t>-</w:t>
      </w:r>
      <w:r w:rsidR="0026071C" w:rsidRPr="00AD1716">
        <w:rPr>
          <w:lang w:val="fr-CH"/>
        </w:rPr>
        <w:t>cinqu</w:t>
      </w:r>
      <w:r w:rsidR="00414730">
        <w:rPr>
          <w:lang w:val="fr-CH"/>
        </w:rPr>
        <w:t>ième session</w:t>
      </w:r>
      <w:r w:rsidR="0026071C" w:rsidRPr="00AD1716">
        <w:rPr>
          <w:lang w:val="fr-CH"/>
        </w:rPr>
        <w:t>, il est rappelé que les membres de l</w:t>
      </w:r>
      <w:r w:rsidR="00414730">
        <w:rPr>
          <w:lang w:val="fr-CH"/>
        </w:rPr>
        <w:t>’</w:t>
      </w:r>
      <w:r w:rsidR="0026071C" w:rsidRPr="00AD1716">
        <w:rPr>
          <w:lang w:val="fr-CH"/>
        </w:rPr>
        <w:t>Union sont invités à rendre compte au</w:t>
      </w:r>
      <w:r w:rsidR="00414730">
        <w:rPr>
          <w:lang w:val="fr-CH"/>
        </w:rPr>
        <w:t> TC</w:t>
      </w:r>
      <w:r w:rsidR="0026071C" w:rsidRPr="00AD1716">
        <w:rPr>
          <w:lang w:val="fr-CH"/>
        </w:rPr>
        <w:t>,</w:t>
      </w:r>
      <w:r w:rsidR="00255288" w:rsidRPr="00AD1716">
        <w:rPr>
          <w:lang w:val="fr-CH"/>
        </w:rPr>
        <w:t xml:space="preserve"> aux TWP</w:t>
      </w:r>
      <w:r w:rsidR="0026071C" w:rsidRPr="00AD1716">
        <w:rPr>
          <w:lang w:val="fr-CH"/>
        </w:rPr>
        <w:t xml:space="preserve"> et</w:t>
      </w:r>
      <w:r w:rsidR="00255288" w:rsidRPr="00AD1716">
        <w:rPr>
          <w:lang w:val="fr-CH"/>
        </w:rPr>
        <w:t xml:space="preserve"> au BMT</w:t>
      </w:r>
      <w:r w:rsidR="0026071C" w:rsidRPr="00AD1716">
        <w:rPr>
          <w:lang w:val="fr-CH"/>
        </w:rPr>
        <w:t xml:space="preserve"> des travaux concernant la création de bases de données contenant des données morphologiques ou moléculaires.</w:t>
      </w:r>
    </w:p>
    <w:p w:rsidR="004E4BA6" w:rsidRDefault="004E4BA6" w:rsidP="00905282">
      <w:pPr>
        <w:rPr>
          <w:lang w:val="fr-CH"/>
        </w:rPr>
      </w:pPr>
    </w:p>
    <w:p w:rsidR="004E4BA6" w:rsidRPr="00AD1716" w:rsidRDefault="004E4BA6" w:rsidP="00905282">
      <w:pPr>
        <w:rPr>
          <w:lang w:val="fr-CH"/>
        </w:rPr>
      </w:pPr>
    </w:p>
    <w:p w:rsidR="00072873" w:rsidRPr="00AD1716" w:rsidRDefault="0026071C" w:rsidP="0026071C">
      <w:pPr>
        <w:pStyle w:val="Heading1"/>
        <w:rPr>
          <w:lang w:val="fr-CH"/>
        </w:rPr>
      </w:pPr>
      <w:bookmarkStart w:id="4" w:name="_Toc53490089"/>
      <w:r w:rsidRPr="00AD1716">
        <w:rPr>
          <w:lang w:val="fr-CH"/>
        </w:rPr>
        <w:lastRenderedPageBreak/>
        <w:t xml:space="preserve">Faits nouveaux concernant les groupes de travail techniques à leurs sessions </w:t>
      </w:r>
      <w:r w:rsidR="00255288" w:rsidRPr="00AD1716">
        <w:rPr>
          <w:lang w:val="fr-CH"/>
        </w:rPr>
        <w:t>de 2020</w:t>
      </w:r>
      <w:bookmarkEnd w:id="4"/>
    </w:p>
    <w:p w:rsidR="00072873" w:rsidRPr="00AD1716" w:rsidRDefault="00072873" w:rsidP="00596608">
      <w:pPr>
        <w:keepNext/>
        <w:rPr>
          <w:lang w:val="fr-CH"/>
        </w:rPr>
      </w:pPr>
    </w:p>
    <w:p w:rsidR="00072873" w:rsidRPr="00AD1716" w:rsidRDefault="00D02ACF" w:rsidP="0026071C">
      <w:pPr>
        <w:keepNext/>
        <w:rPr>
          <w:lang w:val="fr-CH" w:eastAsia="ja-JP"/>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26071C" w:rsidRPr="00AD1716">
        <w:rPr>
          <w:lang w:val="fr-CH"/>
        </w:rPr>
        <w:t xml:space="preserve">À leurs sessions </w:t>
      </w:r>
      <w:r w:rsidR="00255288" w:rsidRPr="00AD1716">
        <w:rPr>
          <w:lang w:val="fr-CH"/>
        </w:rPr>
        <w:t>de 2020</w:t>
      </w:r>
      <w:r w:rsidR="0026071C" w:rsidRPr="00AD1716">
        <w:rPr>
          <w:lang w:val="fr-CH"/>
        </w:rPr>
        <w:t>,</w:t>
      </w:r>
      <w:r w:rsidR="00255288" w:rsidRPr="00AD1716">
        <w:rPr>
          <w:lang w:val="fr-CH"/>
        </w:rPr>
        <w:t xml:space="preserve"> le TWV</w:t>
      </w:r>
      <w:r w:rsidR="0026071C" w:rsidRPr="00AD1716">
        <w:rPr>
          <w:rStyle w:val="FootnoteReference"/>
        </w:rPr>
        <w:footnoteReference w:id="2"/>
      </w:r>
      <w:r w:rsidR="0026071C" w:rsidRPr="00AD1716">
        <w:rPr>
          <w:lang w:val="fr-CH"/>
        </w:rPr>
        <w:t>,</w:t>
      </w:r>
      <w:r w:rsidR="00255288" w:rsidRPr="00AD1716">
        <w:rPr>
          <w:lang w:val="fr-CH"/>
        </w:rPr>
        <w:t xml:space="preserve"> le TWO</w:t>
      </w:r>
      <w:r w:rsidR="0026071C" w:rsidRPr="00AD1716">
        <w:rPr>
          <w:rStyle w:val="FootnoteReference"/>
        </w:rPr>
        <w:footnoteReference w:id="3"/>
      </w:r>
      <w:r w:rsidR="0026071C" w:rsidRPr="00AD1716">
        <w:rPr>
          <w:lang w:val="fr-CH"/>
        </w:rPr>
        <w:t>,</w:t>
      </w:r>
      <w:r w:rsidR="00255288" w:rsidRPr="00AD1716">
        <w:rPr>
          <w:lang w:val="fr-CH"/>
        </w:rPr>
        <w:t xml:space="preserve"> le TWA</w:t>
      </w:r>
      <w:r w:rsidR="0026071C" w:rsidRPr="00AD1716">
        <w:rPr>
          <w:rStyle w:val="FootnoteReference"/>
        </w:rPr>
        <w:footnoteReference w:id="4"/>
      </w:r>
      <w:r w:rsidR="0026071C" w:rsidRPr="00AD1716">
        <w:rPr>
          <w:lang w:val="fr-CH"/>
        </w:rPr>
        <w:t>,</w:t>
      </w:r>
      <w:r w:rsidR="00255288" w:rsidRPr="00AD1716">
        <w:rPr>
          <w:lang w:val="fr-CH"/>
        </w:rPr>
        <w:t xml:space="preserve"> le TWF</w:t>
      </w:r>
      <w:r w:rsidR="0026071C" w:rsidRPr="00AD1716">
        <w:rPr>
          <w:rStyle w:val="FootnoteReference"/>
        </w:rPr>
        <w:footnoteReference w:id="5"/>
      </w:r>
      <w:r w:rsidR="0026071C" w:rsidRPr="00AD1716">
        <w:rPr>
          <w:lang w:val="fr-CH"/>
        </w:rPr>
        <w:t xml:space="preserve"> et</w:t>
      </w:r>
      <w:r w:rsidR="00255288" w:rsidRPr="00AD1716">
        <w:rPr>
          <w:lang w:val="fr-CH"/>
        </w:rPr>
        <w:t xml:space="preserve"> le TWC</w:t>
      </w:r>
      <w:r w:rsidR="0026071C" w:rsidRPr="00AD1716">
        <w:rPr>
          <w:rStyle w:val="FootnoteReference"/>
        </w:rPr>
        <w:footnoteReference w:id="6"/>
      </w:r>
      <w:r w:rsidR="0026071C" w:rsidRPr="00AD1716">
        <w:rPr>
          <w:lang w:val="fr-CH"/>
        </w:rPr>
        <w:t xml:space="preserve"> ont examiné le document TWP/4/2 “</w:t>
      </w:r>
      <w:proofErr w:type="spellStart"/>
      <w:r w:rsidR="0026071C" w:rsidRPr="00AD1716">
        <w:rPr>
          <w:lang w:val="fr-CH"/>
        </w:rPr>
        <w:t>Variety</w:t>
      </w:r>
      <w:proofErr w:type="spellEnd"/>
      <w:r w:rsidR="0026071C" w:rsidRPr="00AD1716">
        <w:rPr>
          <w:lang w:val="fr-CH"/>
        </w:rPr>
        <w:t xml:space="preserve"> description </w:t>
      </w:r>
      <w:proofErr w:type="spellStart"/>
      <w:r w:rsidR="0026071C" w:rsidRPr="00AD1716">
        <w:rPr>
          <w:lang w:val="fr-CH"/>
        </w:rPr>
        <w:t>databases</w:t>
      </w:r>
      <w:proofErr w:type="spellEnd"/>
      <w:r w:rsidR="0026071C" w:rsidRPr="00AD1716">
        <w:rPr>
          <w:lang w:val="fr-CH"/>
        </w:rPr>
        <w:t xml:space="preserve">” (voir les </w:t>
      </w:r>
      <w:r w:rsidR="00255288" w:rsidRPr="00AD1716">
        <w:rPr>
          <w:lang w:val="fr-CH"/>
        </w:rPr>
        <w:t>paragraphes 4</w:t>
      </w:r>
      <w:r w:rsidR="0026071C" w:rsidRPr="00AD1716">
        <w:rPr>
          <w:lang w:val="fr-CH"/>
        </w:rPr>
        <w:t xml:space="preserve">9 à 53 du document TWV/54/9 </w:t>
      </w:r>
      <w:r w:rsidR="0026071C" w:rsidRPr="004E4BA6">
        <w:rPr>
          <w:i/>
          <w:lang w:val="fr-CH"/>
        </w:rPr>
        <w:t>“Report”</w:t>
      </w:r>
      <w:r w:rsidR="0026071C" w:rsidRPr="00AD1716">
        <w:rPr>
          <w:lang w:val="fr-CH"/>
        </w:rPr>
        <w:t xml:space="preserve">;  les </w:t>
      </w:r>
      <w:r w:rsidR="00255288" w:rsidRPr="00AD1716">
        <w:rPr>
          <w:lang w:val="fr-CH"/>
        </w:rPr>
        <w:t>paragraphes 5</w:t>
      </w:r>
      <w:r w:rsidR="0026071C" w:rsidRPr="00AD1716">
        <w:rPr>
          <w:lang w:val="fr-CH"/>
        </w:rPr>
        <w:t>6 à 58 du document</w:t>
      </w:r>
      <w:r w:rsidR="003C7C9D" w:rsidRPr="00AD1716">
        <w:rPr>
          <w:lang w:val="fr-CH"/>
        </w:rPr>
        <w:t> </w:t>
      </w:r>
      <w:r w:rsidR="0026071C" w:rsidRPr="00AD1716">
        <w:rPr>
          <w:lang w:val="fr-CH"/>
        </w:rPr>
        <w:t xml:space="preserve">TWO/52/11 </w:t>
      </w:r>
      <w:r w:rsidR="0026071C" w:rsidRPr="004E4BA6">
        <w:rPr>
          <w:i/>
          <w:lang w:val="fr-CH"/>
        </w:rPr>
        <w:t>“Report”</w:t>
      </w:r>
      <w:r w:rsidR="0026071C" w:rsidRPr="00AD1716">
        <w:rPr>
          <w:lang w:val="fr-CH"/>
        </w:rPr>
        <w:t xml:space="preserve">;  les </w:t>
      </w:r>
      <w:r w:rsidR="00255288" w:rsidRPr="00AD1716">
        <w:rPr>
          <w:lang w:val="fr-CH"/>
        </w:rPr>
        <w:t>paragraphes 3</w:t>
      </w:r>
      <w:r w:rsidR="0026071C" w:rsidRPr="00AD1716">
        <w:rPr>
          <w:lang w:val="fr-CH"/>
        </w:rPr>
        <w:t>9 à 42 du document</w:t>
      </w:r>
      <w:r w:rsidR="003C7C9D" w:rsidRPr="00AD1716">
        <w:rPr>
          <w:lang w:val="fr-CH"/>
        </w:rPr>
        <w:t> </w:t>
      </w:r>
      <w:r w:rsidR="0026071C" w:rsidRPr="00AD1716">
        <w:rPr>
          <w:lang w:val="fr-CH"/>
        </w:rPr>
        <w:t xml:space="preserve">TWA/49/7 </w:t>
      </w:r>
      <w:r w:rsidR="0026071C" w:rsidRPr="004E4BA6">
        <w:rPr>
          <w:i/>
          <w:lang w:val="fr-CH"/>
        </w:rPr>
        <w:t>“Report”</w:t>
      </w:r>
      <w:r w:rsidR="0026071C" w:rsidRPr="00AD1716">
        <w:rPr>
          <w:lang w:val="fr-CH"/>
        </w:rPr>
        <w:t xml:space="preserve">;  les </w:t>
      </w:r>
      <w:r w:rsidR="00255288" w:rsidRPr="00AD1716">
        <w:rPr>
          <w:lang w:val="fr-CH"/>
        </w:rPr>
        <w:t>paragraphes 5</w:t>
      </w:r>
      <w:r w:rsidR="0026071C" w:rsidRPr="00AD1716">
        <w:rPr>
          <w:lang w:val="fr-CH"/>
        </w:rPr>
        <w:t xml:space="preserve">8 à 60 du document TWF/51/10 </w:t>
      </w:r>
      <w:r w:rsidR="0026071C" w:rsidRPr="004E4BA6">
        <w:rPr>
          <w:i/>
          <w:lang w:val="fr-CH"/>
        </w:rPr>
        <w:t>“Report”</w:t>
      </w:r>
      <w:r w:rsidR="0026071C" w:rsidRPr="00AD1716">
        <w:rPr>
          <w:lang w:val="fr-CH"/>
        </w:rPr>
        <w:t xml:space="preserve"> et les paragr</w:t>
      </w:r>
      <w:r w:rsidR="003C7C9D" w:rsidRPr="00AD1716">
        <w:rPr>
          <w:lang w:val="fr-CH"/>
        </w:rPr>
        <w:t>ap</w:t>
      </w:r>
      <w:r w:rsidR="0026071C" w:rsidRPr="00AD1716">
        <w:rPr>
          <w:lang w:val="fr-CH"/>
        </w:rPr>
        <w:t>hes</w:t>
      </w:r>
      <w:r w:rsidR="003C7C9D" w:rsidRPr="00AD1716">
        <w:rPr>
          <w:lang w:val="fr-CH"/>
        </w:rPr>
        <w:t> </w:t>
      </w:r>
      <w:r w:rsidR="0026071C" w:rsidRPr="00AD1716">
        <w:rPr>
          <w:lang w:val="fr-CH"/>
        </w:rPr>
        <w:t xml:space="preserve">34 à 37 du document TWC/38/11 </w:t>
      </w:r>
      <w:r w:rsidR="0026071C" w:rsidRPr="004E4BA6">
        <w:rPr>
          <w:i/>
          <w:lang w:val="fr-CH"/>
        </w:rPr>
        <w:t>“Report”</w:t>
      </w:r>
      <w:r w:rsidR="0026071C" w:rsidRPr="00AD1716">
        <w:rPr>
          <w:lang w:val="fr-CH"/>
        </w:rPr>
        <w:t>).</w:t>
      </w:r>
    </w:p>
    <w:p w:rsidR="00072873" w:rsidRPr="00AD1716" w:rsidRDefault="00072873" w:rsidP="00050E16">
      <w:pPr>
        <w:rPr>
          <w:lang w:val="fr-CH"/>
        </w:rPr>
      </w:pPr>
    </w:p>
    <w:p w:rsidR="00072873" w:rsidRPr="00AD1716" w:rsidRDefault="00D474B3" w:rsidP="0026071C">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26071C" w:rsidRPr="00AD1716">
        <w:rPr>
          <w:lang w:val="fr-CH"/>
        </w:rPr>
        <w:t>Le TWV,</w:t>
      </w:r>
      <w:r w:rsidR="00255288" w:rsidRPr="00AD1716">
        <w:rPr>
          <w:lang w:val="fr-CH"/>
        </w:rPr>
        <w:t xml:space="preserve"> le TWO</w:t>
      </w:r>
      <w:r w:rsidR="0026071C" w:rsidRPr="00AD1716">
        <w:rPr>
          <w:lang w:val="fr-CH"/>
        </w:rPr>
        <w:t>,</w:t>
      </w:r>
      <w:r w:rsidR="00255288" w:rsidRPr="00AD1716">
        <w:rPr>
          <w:lang w:val="fr-CH"/>
        </w:rPr>
        <w:t xml:space="preserve"> le TWA</w:t>
      </w:r>
      <w:r w:rsidR="0026071C" w:rsidRPr="00AD1716">
        <w:rPr>
          <w:lang w:val="fr-CH"/>
        </w:rPr>
        <w:t>,</w:t>
      </w:r>
      <w:r w:rsidR="00255288" w:rsidRPr="00AD1716">
        <w:rPr>
          <w:lang w:val="fr-CH"/>
        </w:rPr>
        <w:t xml:space="preserve"> le TWF</w:t>
      </w:r>
      <w:r w:rsidR="0026071C" w:rsidRPr="00AD1716">
        <w:rPr>
          <w:lang w:val="fr-CH"/>
        </w:rPr>
        <w:t xml:space="preserve"> et</w:t>
      </w:r>
      <w:r w:rsidR="00255288" w:rsidRPr="00AD1716">
        <w:rPr>
          <w:lang w:val="fr-CH"/>
        </w:rPr>
        <w:t xml:space="preserve"> le TWC</w:t>
      </w:r>
      <w:r w:rsidR="0026071C" w:rsidRPr="00AD1716">
        <w:rPr>
          <w:lang w:val="fr-CH"/>
        </w:rPr>
        <w:t xml:space="preserve"> ont pris note des rapports sur les bases de données contenant des données morphologiques ou moléculaires </w:t>
      </w:r>
      <w:r w:rsidR="00E16FDF">
        <w:rPr>
          <w:lang w:val="fr-CH"/>
        </w:rPr>
        <w:t xml:space="preserve">qui ont été </w:t>
      </w:r>
      <w:r w:rsidR="0026071C" w:rsidRPr="00AD1716">
        <w:rPr>
          <w:lang w:val="fr-CH"/>
        </w:rPr>
        <w:t>présentés à la dix</w:t>
      </w:r>
      <w:r w:rsidR="00414730">
        <w:rPr>
          <w:lang w:val="fr-CH"/>
        </w:rPr>
        <w:t>-</w:t>
      </w:r>
      <w:r w:rsidR="0026071C" w:rsidRPr="00AD1716">
        <w:rPr>
          <w:lang w:val="fr-CH"/>
        </w:rPr>
        <w:t>huit</w:t>
      </w:r>
      <w:r w:rsidR="00414730">
        <w:rPr>
          <w:lang w:val="fr-CH"/>
        </w:rPr>
        <w:t>ième session</w:t>
      </w:r>
      <w:r w:rsidR="00255288" w:rsidRPr="00AD1716">
        <w:rPr>
          <w:lang w:val="fr-CH"/>
        </w:rPr>
        <w:t xml:space="preserve"> du BMT</w:t>
      </w:r>
      <w:r w:rsidR="0026071C" w:rsidRPr="00AD1716">
        <w:rPr>
          <w:lang w:val="fr-CH"/>
        </w:rPr>
        <w:t xml:space="preserve"> tenue à Hangzhou (Chine) du 16 au 1</w:t>
      </w:r>
      <w:r w:rsidR="00255288" w:rsidRPr="00AD1716">
        <w:rPr>
          <w:lang w:val="fr-CH"/>
        </w:rPr>
        <w:t>8 octobre 20</w:t>
      </w:r>
      <w:r w:rsidR="0026071C" w:rsidRPr="00AD1716">
        <w:rPr>
          <w:lang w:val="fr-CH"/>
        </w:rPr>
        <w:t>19.</w:t>
      </w:r>
    </w:p>
    <w:p w:rsidR="00072873" w:rsidRPr="00AD1716" w:rsidRDefault="00072873" w:rsidP="00050E16">
      <w:pPr>
        <w:rPr>
          <w:lang w:val="fr-CH"/>
        </w:rPr>
      </w:pPr>
    </w:p>
    <w:p w:rsidR="00072873" w:rsidRPr="00AD1716" w:rsidRDefault="00D474B3" w:rsidP="0026071C">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26071C" w:rsidRPr="00AD1716">
        <w:rPr>
          <w:lang w:val="fr-CH"/>
        </w:rPr>
        <w:t>Le TWV,</w:t>
      </w:r>
      <w:r w:rsidR="00255288" w:rsidRPr="00AD1716">
        <w:rPr>
          <w:lang w:val="fr-CH"/>
        </w:rPr>
        <w:t xml:space="preserve"> le TWO</w:t>
      </w:r>
      <w:r w:rsidR="0026071C" w:rsidRPr="00AD1716">
        <w:rPr>
          <w:lang w:val="fr-CH"/>
        </w:rPr>
        <w:t>,</w:t>
      </w:r>
      <w:r w:rsidR="00255288" w:rsidRPr="00AD1716">
        <w:rPr>
          <w:lang w:val="fr-CH"/>
        </w:rPr>
        <w:t xml:space="preserve"> le TWA</w:t>
      </w:r>
      <w:r w:rsidR="0026071C" w:rsidRPr="00AD1716">
        <w:rPr>
          <w:lang w:val="fr-CH"/>
        </w:rPr>
        <w:t>,</w:t>
      </w:r>
      <w:r w:rsidR="00255288" w:rsidRPr="00AD1716">
        <w:rPr>
          <w:lang w:val="fr-CH"/>
        </w:rPr>
        <w:t xml:space="preserve"> le TWF</w:t>
      </w:r>
      <w:r w:rsidR="0026071C" w:rsidRPr="00AD1716">
        <w:rPr>
          <w:lang w:val="fr-CH"/>
        </w:rPr>
        <w:t xml:space="preserve"> et</w:t>
      </w:r>
      <w:r w:rsidR="00255288" w:rsidRPr="00AD1716">
        <w:rPr>
          <w:lang w:val="fr-CH"/>
        </w:rPr>
        <w:t xml:space="preserve"> le TWC</w:t>
      </w:r>
      <w:r w:rsidR="0026071C" w:rsidRPr="00AD1716">
        <w:rPr>
          <w:lang w:val="fr-CH"/>
        </w:rPr>
        <w:t xml:space="preserve"> ont noté que les membres de l</w:t>
      </w:r>
      <w:r w:rsidR="00414730">
        <w:rPr>
          <w:lang w:val="fr-CH"/>
        </w:rPr>
        <w:t>’</w:t>
      </w:r>
      <w:r w:rsidR="0026071C" w:rsidRPr="00AD1716">
        <w:rPr>
          <w:lang w:val="fr-CH"/>
        </w:rPr>
        <w:t>Union avaient été invités à rendre compte</w:t>
      </w:r>
      <w:r w:rsidR="00255288" w:rsidRPr="00AD1716">
        <w:rPr>
          <w:lang w:val="fr-CH"/>
        </w:rPr>
        <w:t xml:space="preserve"> aux TWP</w:t>
      </w:r>
      <w:r w:rsidR="0026071C" w:rsidRPr="00AD1716">
        <w:rPr>
          <w:lang w:val="fr-CH"/>
        </w:rPr>
        <w:t xml:space="preserve"> des travaux concernant la création de bases de données contenant des données morphologiques ou moléculaires.</w:t>
      </w:r>
    </w:p>
    <w:p w:rsidR="00072873" w:rsidRPr="00AD1716" w:rsidRDefault="00072873" w:rsidP="00050E16">
      <w:pPr>
        <w:rPr>
          <w:lang w:val="fr-CH"/>
        </w:rPr>
      </w:pPr>
    </w:p>
    <w:p w:rsidR="00072873" w:rsidRPr="00AD1716" w:rsidRDefault="007C7E22" w:rsidP="00F51961">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F51961" w:rsidRPr="00AD1716">
        <w:rPr>
          <w:lang w:val="fr-CH"/>
        </w:rPr>
        <w:t>Le TWV a pris note du rapport de l</w:t>
      </w:r>
      <w:r w:rsidR="00414730">
        <w:rPr>
          <w:lang w:val="fr-CH"/>
        </w:rPr>
        <w:t>’</w:t>
      </w:r>
      <w:r w:rsidR="00F51961" w:rsidRPr="00AD1716">
        <w:rPr>
          <w:lang w:val="fr-CH"/>
        </w:rPr>
        <w:t>expert des Pays</w:t>
      </w:r>
      <w:r w:rsidR="00414730">
        <w:rPr>
          <w:lang w:val="fr-CH"/>
        </w:rPr>
        <w:t>-</w:t>
      </w:r>
      <w:r w:rsidR="00F51961" w:rsidRPr="00AD1716">
        <w:rPr>
          <w:lang w:val="fr-CH"/>
        </w:rPr>
        <w:t>Bas, selon lequel de nouvelles bases de données contenant des informations morphologiques sur le melon et un ensemble de marqueurs moléculaires validés (SNP) pour les variétés de tomate étaient en cours d</w:t>
      </w:r>
      <w:r w:rsidR="00414730">
        <w:rPr>
          <w:lang w:val="fr-CH"/>
        </w:rPr>
        <w:t>’</w:t>
      </w:r>
      <w:r w:rsidR="00F51961" w:rsidRPr="00AD1716">
        <w:rPr>
          <w:lang w:val="fr-CH"/>
        </w:rPr>
        <w:t xml:space="preserve">élaboration grâce à un financement partiel </w:t>
      </w:r>
      <w:r w:rsidR="00905282" w:rsidRPr="00AD1716">
        <w:rPr>
          <w:lang w:val="fr-CH"/>
        </w:rPr>
        <w:t>de</w:t>
      </w:r>
      <w:r w:rsidR="00F51961" w:rsidRPr="00AD1716">
        <w:rPr>
          <w:lang w:val="fr-CH"/>
        </w:rPr>
        <w:t xml:space="preserve"> l</w:t>
      </w:r>
      <w:r w:rsidR="00414730">
        <w:rPr>
          <w:lang w:val="fr-CH"/>
        </w:rPr>
        <w:t>’</w:t>
      </w:r>
      <w:r w:rsidR="00F51961" w:rsidRPr="00AD1716">
        <w:rPr>
          <w:lang w:val="fr-CH"/>
        </w:rPr>
        <w:t>Office communautaire des variétés végétales (OCVV) de l</w:t>
      </w:r>
      <w:r w:rsidR="00414730">
        <w:rPr>
          <w:lang w:val="fr-CH"/>
        </w:rPr>
        <w:t>’</w:t>
      </w:r>
      <w:r w:rsidR="00F51961" w:rsidRPr="00AD1716">
        <w:rPr>
          <w:lang w:val="fr-CH"/>
        </w:rPr>
        <w:t>Union européenne.</w:t>
      </w:r>
    </w:p>
    <w:p w:rsidR="00072873" w:rsidRPr="00AD1716" w:rsidRDefault="00072873" w:rsidP="00050E16">
      <w:pPr>
        <w:rPr>
          <w:lang w:val="fr-CH"/>
        </w:rPr>
      </w:pPr>
    </w:p>
    <w:p w:rsidR="00072873" w:rsidRPr="00AD1716" w:rsidRDefault="007C7E22" w:rsidP="00B30AD0">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B30AD0" w:rsidRPr="00AD1716">
        <w:rPr>
          <w:lang w:val="fr-CH"/>
        </w:rPr>
        <w:t>Le TWV est convenu d</w:t>
      </w:r>
      <w:r w:rsidR="00414730">
        <w:rPr>
          <w:lang w:val="fr-CH"/>
        </w:rPr>
        <w:t>’</w:t>
      </w:r>
      <w:r w:rsidR="00B30AD0" w:rsidRPr="00AD1716">
        <w:rPr>
          <w:lang w:val="fr-CH"/>
        </w:rPr>
        <w:t>inviter la France et les Pays</w:t>
      </w:r>
      <w:r w:rsidR="00414730">
        <w:rPr>
          <w:lang w:val="fr-CH"/>
        </w:rPr>
        <w:t>-</w:t>
      </w:r>
      <w:r w:rsidR="00B30AD0" w:rsidRPr="00AD1716">
        <w:rPr>
          <w:lang w:val="fr-CH"/>
        </w:rPr>
        <w:t>Bas à présenter respectivement des exposés sur la mise au point des bases de données relatives au melon et à la tomate à sa cinquante</w:t>
      </w:r>
      <w:r w:rsidR="00414730">
        <w:rPr>
          <w:lang w:val="fr-CH"/>
        </w:rPr>
        <w:t>-</w:t>
      </w:r>
      <w:r w:rsidR="00B30AD0" w:rsidRPr="00AD1716">
        <w:rPr>
          <w:lang w:val="fr-CH"/>
        </w:rPr>
        <w:t>cinqu</w:t>
      </w:r>
      <w:r w:rsidR="00414730">
        <w:rPr>
          <w:lang w:val="fr-CH"/>
        </w:rPr>
        <w:t>ième session</w:t>
      </w:r>
      <w:r w:rsidR="00B30AD0" w:rsidRPr="00AD1716">
        <w:rPr>
          <w:lang w:val="fr-CH"/>
        </w:rPr>
        <w:t>.</w:t>
      </w:r>
    </w:p>
    <w:p w:rsidR="00072873" w:rsidRPr="00AD1716" w:rsidRDefault="00072873" w:rsidP="00050E16">
      <w:pPr>
        <w:rPr>
          <w:lang w:val="fr-CH"/>
        </w:rPr>
      </w:pPr>
    </w:p>
    <w:p w:rsidR="00072873" w:rsidRPr="00AD1716" w:rsidRDefault="007C7E22" w:rsidP="00F51961">
      <w:pPr>
        <w:rPr>
          <w:rFonts w:cs="Arial"/>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F51961" w:rsidRPr="00AD1716">
        <w:rPr>
          <w:lang w:val="fr-CH"/>
        </w:rPr>
        <w:t>Le TWA a pris note du rapport des Pays</w:t>
      </w:r>
      <w:r w:rsidR="00414730">
        <w:rPr>
          <w:lang w:val="fr-CH"/>
        </w:rPr>
        <w:t>-</w:t>
      </w:r>
      <w:r w:rsidR="00F51961" w:rsidRPr="00AD1716">
        <w:rPr>
          <w:lang w:val="fr-CH"/>
        </w:rPr>
        <w:t>Bas sur la mise au point de marqueurs SNP pour le chanvre fibreux et non fibreux, dans le but de créer une base de données pour la gestion de la collection de variétés.</w:t>
      </w:r>
    </w:p>
    <w:p w:rsidR="00072873" w:rsidRPr="00AD1716" w:rsidRDefault="00072873" w:rsidP="00050E16">
      <w:pPr>
        <w:rPr>
          <w:rFonts w:cs="Arial"/>
          <w:lang w:val="fr-CH"/>
        </w:rPr>
      </w:pPr>
    </w:p>
    <w:p w:rsidR="00072873" w:rsidRPr="00AD1716" w:rsidRDefault="007C7E22" w:rsidP="00F51961">
      <w:pPr>
        <w:rPr>
          <w:lang w:val="fr-CH"/>
        </w:rPr>
      </w:pPr>
      <w:r w:rsidRPr="00AD1716">
        <w:rPr>
          <w:lang w:val="fr-CH"/>
        </w:rPr>
        <w:fldChar w:fldCharType="begin"/>
      </w:r>
      <w:r w:rsidRPr="00AD1716">
        <w:rPr>
          <w:lang w:val="fr-CH"/>
        </w:rPr>
        <w:instrText xml:space="preserve"> AUTONUM  </w:instrText>
      </w:r>
      <w:r w:rsidRPr="00AD1716">
        <w:rPr>
          <w:lang w:val="fr-CH"/>
        </w:rPr>
        <w:fldChar w:fldCharType="end"/>
      </w:r>
      <w:r w:rsidRPr="00AD1716">
        <w:rPr>
          <w:lang w:val="fr-CH"/>
        </w:rPr>
        <w:tab/>
      </w:r>
      <w:r w:rsidR="00F51961" w:rsidRPr="00AD1716">
        <w:rPr>
          <w:lang w:val="fr-CH"/>
        </w:rPr>
        <w:t>Le TWC a noté qu</w:t>
      </w:r>
      <w:r w:rsidR="00414730">
        <w:rPr>
          <w:lang w:val="fr-CH"/>
        </w:rPr>
        <w:t>’</w:t>
      </w:r>
      <w:r w:rsidR="00F51961" w:rsidRPr="00AD1716">
        <w:rPr>
          <w:lang w:val="fr-CH"/>
        </w:rPr>
        <w:t>un rapport des Pays</w:t>
      </w:r>
      <w:r w:rsidR="00414730">
        <w:rPr>
          <w:lang w:val="fr-CH"/>
        </w:rPr>
        <w:t>-</w:t>
      </w:r>
      <w:r w:rsidR="00F51961" w:rsidRPr="00AD1716">
        <w:rPr>
          <w:lang w:val="fr-CH"/>
        </w:rPr>
        <w:t>Bas sur la création de bases de données pour différentes plantes cultivées avait été publié à l</w:t>
      </w:r>
      <w:r w:rsidR="00414730">
        <w:rPr>
          <w:lang w:val="fr-CH"/>
        </w:rPr>
        <w:t>’</w:t>
      </w:r>
      <w:r w:rsidR="00255288" w:rsidRPr="00AD1716">
        <w:rPr>
          <w:lang w:val="fr-CH"/>
        </w:rPr>
        <w:t>annexe I</w:t>
      </w:r>
      <w:r w:rsidR="00F51961" w:rsidRPr="00AD1716">
        <w:rPr>
          <w:lang w:val="fr-CH"/>
        </w:rPr>
        <w:t xml:space="preserve">I du document TWC/38/3 </w:t>
      </w:r>
      <w:r w:rsidR="00F51961" w:rsidRPr="004E4BA6">
        <w:rPr>
          <w:i/>
          <w:lang w:val="fr-CH"/>
        </w:rPr>
        <w:t xml:space="preserve">“Reports on </w:t>
      </w:r>
      <w:proofErr w:type="spellStart"/>
      <w:r w:rsidR="00F51961" w:rsidRPr="004E4BA6">
        <w:rPr>
          <w:i/>
          <w:lang w:val="fr-CH"/>
        </w:rPr>
        <w:t>developments</w:t>
      </w:r>
      <w:proofErr w:type="spellEnd"/>
      <w:r w:rsidR="00F51961" w:rsidRPr="004E4BA6">
        <w:rPr>
          <w:i/>
          <w:lang w:val="fr-CH"/>
        </w:rPr>
        <w:t xml:space="preserve"> in plant </w:t>
      </w:r>
      <w:proofErr w:type="spellStart"/>
      <w:r w:rsidR="00F51961" w:rsidRPr="004E4BA6">
        <w:rPr>
          <w:i/>
          <w:lang w:val="fr-CH"/>
        </w:rPr>
        <w:t>variety</w:t>
      </w:r>
      <w:proofErr w:type="spellEnd"/>
      <w:r w:rsidR="00F51961" w:rsidRPr="004E4BA6">
        <w:rPr>
          <w:i/>
          <w:lang w:val="fr-CH"/>
        </w:rPr>
        <w:t xml:space="preserve"> protection </w:t>
      </w:r>
      <w:proofErr w:type="spellStart"/>
      <w:r w:rsidR="00F51961" w:rsidRPr="004E4BA6">
        <w:rPr>
          <w:i/>
          <w:lang w:val="fr-CH"/>
        </w:rPr>
        <w:t>from</w:t>
      </w:r>
      <w:proofErr w:type="spellEnd"/>
      <w:r w:rsidR="00F51961" w:rsidRPr="004E4BA6">
        <w:rPr>
          <w:i/>
          <w:lang w:val="fr-CH"/>
        </w:rPr>
        <w:t xml:space="preserve"> </w:t>
      </w:r>
      <w:proofErr w:type="spellStart"/>
      <w:r w:rsidR="00F51961" w:rsidRPr="004E4BA6">
        <w:rPr>
          <w:i/>
          <w:lang w:val="fr-CH"/>
        </w:rPr>
        <w:t>members</w:t>
      </w:r>
      <w:proofErr w:type="spellEnd"/>
      <w:r w:rsidR="00F51961" w:rsidRPr="004E4BA6">
        <w:rPr>
          <w:i/>
          <w:lang w:val="fr-CH"/>
        </w:rPr>
        <w:t xml:space="preserve"> and </w:t>
      </w:r>
      <w:proofErr w:type="spellStart"/>
      <w:r w:rsidR="00F51961" w:rsidRPr="004E4BA6">
        <w:rPr>
          <w:i/>
          <w:lang w:val="fr-CH"/>
        </w:rPr>
        <w:t>observers</w:t>
      </w:r>
      <w:proofErr w:type="spellEnd"/>
      <w:r w:rsidR="00F51961" w:rsidRPr="004E4BA6">
        <w:rPr>
          <w:i/>
          <w:lang w:val="fr-CH"/>
        </w:rPr>
        <w:t>”</w:t>
      </w:r>
      <w:r w:rsidR="00F51961" w:rsidRPr="00AD1716">
        <w:rPr>
          <w:lang w:val="fr-CH"/>
        </w:rPr>
        <w:t xml:space="preserve"> (voir ci</w:t>
      </w:r>
      <w:r w:rsidR="00414730">
        <w:rPr>
          <w:lang w:val="fr-CH"/>
        </w:rPr>
        <w:t>-</w:t>
      </w:r>
      <w:r w:rsidR="00F51961" w:rsidRPr="00AD1716">
        <w:rPr>
          <w:lang w:val="fr-CH"/>
        </w:rPr>
        <w:t>dessous).</w:t>
      </w:r>
    </w:p>
    <w:p w:rsidR="00072873" w:rsidRPr="00AD1716" w:rsidRDefault="00072873" w:rsidP="00050E16">
      <w:pPr>
        <w:rPr>
          <w:lang w:val="fr-CH"/>
        </w:rPr>
      </w:pPr>
    </w:p>
    <w:p w:rsidR="00072873" w:rsidRPr="00AD1716" w:rsidRDefault="008B73A5" w:rsidP="008B73A5">
      <w:pPr>
        <w:keepNext/>
        <w:ind w:left="567"/>
        <w:rPr>
          <w:lang w:val="fr-CH" w:eastAsia="nl-NL"/>
        </w:rPr>
      </w:pPr>
      <w:r w:rsidRPr="00AD1716">
        <w:rPr>
          <w:lang w:val="fr-CH" w:eastAsia="nl-NL"/>
        </w:rPr>
        <w:t>“</w:t>
      </w:r>
      <w:r w:rsidRPr="00E16FDF">
        <w:rPr>
          <w:sz w:val="18"/>
          <w:szCs w:val="18"/>
          <w:u w:val="single"/>
          <w:lang w:val="fr-CH" w:eastAsia="nl-NL"/>
        </w:rPr>
        <w:t>Création de bases de données relatives à l</w:t>
      </w:r>
      <w:r w:rsidR="00414730">
        <w:rPr>
          <w:sz w:val="18"/>
          <w:szCs w:val="18"/>
          <w:u w:val="single"/>
          <w:lang w:val="fr-CH" w:eastAsia="nl-NL"/>
        </w:rPr>
        <w:t>’</w:t>
      </w:r>
      <w:r w:rsidRPr="00E16FDF">
        <w:rPr>
          <w:sz w:val="18"/>
          <w:szCs w:val="18"/>
          <w:u w:val="single"/>
          <w:lang w:val="fr-CH" w:eastAsia="nl-NL"/>
        </w:rPr>
        <w:t>ADN</w:t>
      </w:r>
    </w:p>
    <w:p w:rsidR="00072873" w:rsidRPr="00AD1716" w:rsidRDefault="00072873" w:rsidP="00AE2347">
      <w:pPr>
        <w:keepNext/>
        <w:ind w:left="567" w:right="567"/>
        <w:rPr>
          <w:sz w:val="18"/>
          <w:lang w:val="fr-CH" w:eastAsia="nl-NL"/>
        </w:rPr>
      </w:pPr>
    </w:p>
    <w:p w:rsidR="00072873" w:rsidRPr="00AD1716" w:rsidRDefault="008B73A5" w:rsidP="008B73A5">
      <w:pPr>
        <w:numPr>
          <w:ilvl w:val="0"/>
          <w:numId w:val="1"/>
        </w:numPr>
        <w:spacing w:line="240" w:lineRule="atLeast"/>
        <w:ind w:left="851" w:right="567" w:hanging="284"/>
        <w:rPr>
          <w:rFonts w:cs="Maiandra GD"/>
          <w:sz w:val="18"/>
          <w:lang w:val="fr-CH" w:eastAsia="nl-NL"/>
        </w:rPr>
      </w:pPr>
      <w:r w:rsidRPr="00AD1716">
        <w:rPr>
          <w:rFonts w:cs="Maiandra GD"/>
          <w:sz w:val="18"/>
          <w:lang w:val="fr-CH" w:eastAsia="nl-NL"/>
        </w:rPr>
        <w:t>Base de données Laitue et marqueur de la résistance au virus de la mosaïque de la laitue</w:t>
      </w:r>
    </w:p>
    <w:p w:rsidR="00072873" w:rsidRPr="00AD1716" w:rsidRDefault="00B11E7E" w:rsidP="00437795">
      <w:pPr>
        <w:spacing w:line="240" w:lineRule="atLeast"/>
        <w:ind w:left="567" w:right="567"/>
        <w:rPr>
          <w:rFonts w:cs="Maiandra GD"/>
          <w:sz w:val="18"/>
          <w:lang w:val="fr-CH" w:eastAsia="nl-NL"/>
        </w:rPr>
      </w:pPr>
      <w:r w:rsidRPr="00AD1716">
        <w:rPr>
          <w:rFonts w:cs="Maiandra GD"/>
          <w:sz w:val="18"/>
          <w:lang w:val="fr-CH" w:eastAsia="nl-NL"/>
        </w:rPr>
        <w:t xml:space="preserve">Toutes les </w:t>
      </w:r>
      <w:r w:rsidR="00E16FDF">
        <w:rPr>
          <w:rFonts w:cs="Maiandra GD"/>
          <w:sz w:val="18"/>
          <w:lang w:val="fr-CH" w:eastAsia="nl-NL"/>
        </w:rPr>
        <w:t xml:space="preserve">variétés candidates de </w:t>
      </w:r>
      <w:r w:rsidRPr="00AD1716">
        <w:rPr>
          <w:rFonts w:cs="Maiandra GD"/>
          <w:sz w:val="18"/>
          <w:lang w:val="fr-CH" w:eastAsia="nl-NL"/>
        </w:rPr>
        <w:t>laitue sont analysées, en plus des essais biologiques, avec un marqueur d</w:t>
      </w:r>
      <w:r w:rsidR="00414730">
        <w:rPr>
          <w:rFonts w:cs="Maiandra GD"/>
          <w:sz w:val="18"/>
          <w:lang w:val="fr-CH" w:eastAsia="nl-NL"/>
        </w:rPr>
        <w:t>’</w:t>
      </w:r>
      <w:r w:rsidRPr="00AD1716">
        <w:rPr>
          <w:rFonts w:cs="Maiandra GD"/>
          <w:sz w:val="18"/>
          <w:lang w:val="fr-CH" w:eastAsia="nl-NL"/>
        </w:rPr>
        <w:t>ADN pour la résistance au virus de la mosaïque de la lait</w:t>
      </w:r>
      <w:r w:rsidR="003C7C9D" w:rsidRPr="00AD1716">
        <w:rPr>
          <w:rFonts w:cs="Maiandra GD"/>
          <w:sz w:val="18"/>
          <w:lang w:val="fr-CH" w:eastAsia="nl-NL"/>
        </w:rPr>
        <w:t>ue.  No</w:t>
      </w:r>
      <w:r w:rsidRPr="00AD1716">
        <w:rPr>
          <w:rFonts w:cs="Maiandra GD"/>
          <w:sz w:val="18"/>
          <w:lang w:val="fr-CH" w:eastAsia="nl-NL"/>
        </w:rPr>
        <w:t>us avons maintenant une expérience suffisante de ce marqueur et nous proposons de l</w:t>
      </w:r>
      <w:r w:rsidR="00414730">
        <w:rPr>
          <w:rFonts w:cs="Maiandra GD"/>
          <w:sz w:val="18"/>
          <w:lang w:val="fr-CH" w:eastAsia="nl-NL"/>
        </w:rPr>
        <w:t>’</w:t>
      </w:r>
      <w:r w:rsidRPr="00AD1716">
        <w:rPr>
          <w:rFonts w:cs="Maiandra GD"/>
          <w:sz w:val="18"/>
          <w:lang w:val="fr-CH" w:eastAsia="nl-NL"/>
        </w:rPr>
        <w:t>utiliser comme méthode complémentaire dans un avenir proche (TGP/15).</w:t>
      </w:r>
      <w:r w:rsidR="00F30186" w:rsidRPr="00AD1716">
        <w:rPr>
          <w:rFonts w:cs="Maiandra GD"/>
          <w:sz w:val="18"/>
          <w:lang w:val="fr-CH" w:eastAsia="nl-NL"/>
        </w:rPr>
        <w:t xml:space="preserve"> </w:t>
      </w:r>
      <w:r w:rsidR="00D604B3" w:rsidRPr="00AD1716">
        <w:rPr>
          <w:rFonts w:cs="Maiandra GD"/>
          <w:sz w:val="18"/>
          <w:lang w:val="fr-CH" w:eastAsia="nl-NL"/>
        </w:rPr>
        <w:t xml:space="preserve"> </w:t>
      </w:r>
      <w:r w:rsidR="00072873" w:rsidRPr="00AD1716">
        <w:rPr>
          <w:rFonts w:cs="Maiandra GD"/>
          <w:sz w:val="18"/>
          <w:lang w:val="fr-CH" w:eastAsia="nl-NL"/>
        </w:rPr>
        <w:t>L</w:t>
      </w:r>
      <w:r w:rsidR="00414730">
        <w:rPr>
          <w:rFonts w:cs="Maiandra GD"/>
          <w:sz w:val="18"/>
          <w:lang w:val="fr-CH" w:eastAsia="nl-NL"/>
        </w:rPr>
        <w:t>’</w:t>
      </w:r>
      <w:r w:rsidR="00072873" w:rsidRPr="00AD1716">
        <w:rPr>
          <w:rFonts w:cs="Maiandra GD"/>
          <w:sz w:val="18"/>
          <w:lang w:val="fr-CH" w:eastAsia="nl-NL"/>
        </w:rPr>
        <w:t>IBEB (groupe d</w:t>
      </w:r>
      <w:r w:rsidR="00414730">
        <w:rPr>
          <w:rFonts w:cs="Maiandra GD"/>
          <w:sz w:val="18"/>
          <w:lang w:val="fr-CH" w:eastAsia="nl-NL"/>
        </w:rPr>
        <w:t>’</w:t>
      </w:r>
      <w:r w:rsidR="00072873" w:rsidRPr="00AD1716">
        <w:rPr>
          <w:rFonts w:cs="Maiandra GD"/>
          <w:sz w:val="18"/>
          <w:lang w:val="fr-CH" w:eastAsia="nl-NL"/>
        </w:rPr>
        <w:t xml:space="preserve">obtenteurs </w:t>
      </w:r>
      <w:r w:rsidR="00905282" w:rsidRPr="00AD1716">
        <w:rPr>
          <w:rFonts w:cs="Maiandra GD"/>
          <w:sz w:val="18"/>
          <w:lang w:val="fr-CH" w:eastAsia="nl-NL"/>
        </w:rPr>
        <w:t>de variétés de laitue</w:t>
      </w:r>
      <w:r w:rsidR="00072873" w:rsidRPr="00AD1716">
        <w:rPr>
          <w:rFonts w:cs="Maiandra GD"/>
          <w:sz w:val="18"/>
          <w:lang w:val="fr-CH" w:eastAsia="nl-NL"/>
        </w:rPr>
        <w:t xml:space="preserve"> néerlandais et français) </w:t>
      </w:r>
      <w:r w:rsidR="00905282" w:rsidRPr="00AD1716">
        <w:rPr>
          <w:rFonts w:cs="Maiandra GD"/>
          <w:sz w:val="18"/>
          <w:lang w:val="fr-CH" w:eastAsia="nl-NL"/>
        </w:rPr>
        <w:t>est favorable à</w:t>
      </w:r>
      <w:r w:rsidR="00072873" w:rsidRPr="00AD1716">
        <w:rPr>
          <w:rFonts w:cs="Maiandra GD"/>
          <w:sz w:val="18"/>
          <w:lang w:val="fr-CH" w:eastAsia="nl-NL"/>
        </w:rPr>
        <w:t xml:space="preserve"> l</w:t>
      </w:r>
      <w:r w:rsidR="00414730">
        <w:rPr>
          <w:rFonts w:cs="Maiandra GD"/>
          <w:sz w:val="18"/>
          <w:lang w:val="fr-CH" w:eastAsia="nl-NL"/>
        </w:rPr>
        <w:t>’</w:t>
      </w:r>
      <w:r w:rsidR="00072873" w:rsidRPr="00AD1716">
        <w:rPr>
          <w:rFonts w:cs="Maiandra GD"/>
          <w:sz w:val="18"/>
          <w:lang w:val="fr-CH" w:eastAsia="nl-NL"/>
        </w:rPr>
        <w:t>utilisation du marqueur d</w:t>
      </w:r>
      <w:r w:rsidR="00414730">
        <w:rPr>
          <w:rFonts w:cs="Maiandra GD"/>
          <w:sz w:val="18"/>
          <w:lang w:val="fr-CH" w:eastAsia="nl-NL"/>
        </w:rPr>
        <w:t>’</w:t>
      </w:r>
      <w:r w:rsidR="003C7C9D" w:rsidRPr="00AD1716">
        <w:rPr>
          <w:rFonts w:cs="Maiandra GD"/>
          <w:sz w:val="18"/>
          <w:lang w:val="fr-CH" w:eastAsia="nl-NL"/>
        </w:rPr>
        <w:t>ADN.  Av</w:t>
      </w:r>
      <w:r w:rsidR="00C22181" w:rsidRPr="00AD1716">
        <w:rPr>
          <w:rFonts w:cs="Maiandra GD"/>
          <w:sz w:val="18"/>
          <w:lang w:val="fr-CH" w:eastAsia="nl-NL"/>
        </w:rPr>
        <w:t>ec l</w:t>
      </w:r>
      <w:r w:rsidR="00414730">
        <w:rPr>
          <w:rFonts w:cs="Maiandra GD"/>
          <w:sz w:val="18"/>
          <w:lang w:val="fr-CH" w:eastAsia="nl-NL"/>
        </w:rPr>
        <w:t>’</w:t>
      </w:r>
      <w:r w:rsidR="00C22181" w:rsidRPr="00AD1716">
        <w:rPr>
          <w:rFonts w:cs="Maiandra GD"/>
          <w:sz w:val="18"/>
          <w:lang w:val="fr-CH" w:eastAsia="nl-NL"/>
        </w:rPr>
        <w:t xml:space="preserve">ADN </w:t>
      </w:r>
      <w:r w:rsidR="00E16FDF">
        <w:rPr>
          <w:rFonts w:cs="Maiandra GD"/>
          <w:sz w:val="18"/>
          <w:lang w:val="fr-CH" w:eastAsia="nl-NL"/>
        </w:rPr>
        <w:t>recueilli</w:t>
      </w:r>
      <w:r w:rsidR="00C22181" w:rsidRPr="00AD1716">
        <w:rPr>
          <w:rFonts w:cs="Maiandra GD"/>
          <w:sz w:val="18"/>
          <w:lang w:val="fr-CH" w:eastAsia="nl-NL"/>
        </w:rPr>
        <w:t>, la création d</w:t>
      </w:r>
      <w:r w:rsidR="00414730">
        <w:rPr>
          <w:rFonts w:cs="Maiandra GD"/>
          <w:sz w:val="18"/>
          <w:lang w:val="fr-CH" w:eastAsia="nl-NL"/>
        </w:rPr>
        <w:t>’</w:t>
      </w:r>
      <w:r w:rsidR="00C22181" w:rsidRPr="00AD1716">
        <w:rPr>
          <w:rFonts w:cs="Maiandra GD"/>
          <w:sz w:val="18"/>
          <w:lang w:val="fr-CH" w:eastAsia="nl-NL"/>
        </w:rPr>
        <w:t xml:space="preserve">une nouvelle base de données ADN pour la laitue est également </w:t>
      </w:r>
      <w:r w:rsidR="00905282" w:rsidRPr="00AD1716">
        <w:rPr>
          <w:rFonts w:cs="Maiandra GD"/>
          <w:sz w:val="18"/>
          <w:lang w:val="fr-CH" w:eastAsia="nl-NL"/>
        </w:rPr>
        <w:t>lancée</w:t>
      </w:r>
      <w:r w:rsidR="00C22181" w:rsidRPr="00AD1716">
        <w:rPr>
          <w:rFonts w:cs="Maiandra GD"/>
          <w:sz w:val="18"/>
          <w:lang w:val="fr-CH" w:eastAsia="nl-NL"/>
        </w:rPr>
        <w:t>.</w:t>
      </w:r>
      <w:r w:rsidR="00D604B3" w:rsidRPr="00AD1716">
        <w:rPr>
          <w:rFonts w:cs="Maiandra GD"/>
          <w:sz w:val="18"/>
          <w:lang w:val="fr-CH" w:eastAsia="nl-NL"/>
        </w:rPr>
        <w:t xml:space="preserve"> </w:t>
      </w:r>
      <w:r w:rsidR="00F30186" w:rsidRPr="00AD1716">
        <w:rPr>
          <w:rFonts w:cs="Maiandra GD"/>
          <w:sz w:val="18"/>
          <w:lang w:val="fr-CH" w:eastAsia="nl-NL"/>
        </w:rPr>
        <w:t xml:space="preserve"> </w:t>
      </w:r>
      <w:r w:rsidR="00C22181" w:rsidRPr="00AD1716">
        <w:rPr>
          <w:rFonts w:cs="Maiandra GD"/>
          <w:sz w:val="18"/>
          <w:lang w:val="fr-CH" w:eastAsia="nl-NL"/>
        </w:rPr>
        <w:t>L</w:t>
      </w:r>
      <w:r w:rsidR="00414730">
        <w:rPr>
          <w:rFonts w:cs="Maiandra GD"/>
          <w:sz w:val="18"/>
          <w:lang w:val="fr-CH" w:eastAsia="nl-NL"/>
        </w:rPr>
        <w:t>’</w:t>
      </w:r>
      <w:r w:rsidR="00C22181" w:rsidRPr="00AD1716">
        <w:rPr>
          <w:rFonts w:cs="Maiandra GD"/>
          <w:sz w:val="18"/>
          <w:lang w:val="fr-CH" w:eastAsia="nl-NL"/>
        </w:rPr>
        <w:t>ADN des variétés notoirement connues (incluses dans les essais DHS) figurera également dans cette base de donné</w:t>
      </w:r>
      <w:r w:rsidR="003C7C9D" w:rsidRPr="00AD1716">
        <w:rPr>
          <w:rFonts w:cs="Maiandra GD"/>
          <w:sz w:val="18"/>
          <w:lang w:val="fr-CH" w:eastAsia="nl-NL"/>
        </w:rPr>
        <w:t>es.  To</w:t>
      </w:r>
      <w:r w:rsidR="00437795" w:rsidRPr="00AD1716">
        <w:rPr>
          <w:rFonts w:cs="Maiandra GD"/>
          <w:sz w:val="18"/>
          <w:lang w:val="fr-CH" w:eastAsia="nl-NL"/>
        </w:rPr>
        <w:t>ut d</w:t>
      </w:r>
      <w:r w:rsidR="00414730">
        <w:rPr>
          <w:rFonts w:cs="Maiandra GD"/>
          <w:sz w:val="18"/>
          <w:lang w:val="fr-CH" w:eastAsia="nl-NL"/>
        </w:rPr>
        <w:t>’</w:t>
      </w:r>
      <w:r w:rsidR="00437795" w:rsidRPr="00AD1716">
        <w:rPr>
          <w:rFonts w:cs="Maiandra GD"/>
          <w:sz w:val="18"/>
          <w:lang w:val="fr-CH" w:eastAsia="nl-NL"/>
        </w:rPr>
        <w:t>abord, un ensemble utile de marqueurs SNP doit être mis au poi</w:t>
      </w:r>
      <w:r w:rsidR="003C7C9D" w:rsidRPr="00AD1716">
        <w:rPr>
          <w:rFonts w:cs="Maiandra GD"/>
          <w:sz w:val="18"/>
          <w:lang w:val="fr-CH" w:eastAsia="nl-NL"/>
        </w:rPr>
        <w:t>nt.  No</w:t>
      </w:r>
      <w:r w:rsidR="00437795" w:rsidRPr="00AD1716">
        <w:rPr>
          <w:rFonts w:cs="Maiandra GD"/>
          <w:sz w:val="18"/>
          <w:lang w:val="fr-CH" w:eastAsia="nl-NL"/>
        </w:rPr>
        <w:t>us sommes à la recherche de partenaires de coopération.</w:t>
      </w:r>
    </w:p>
    <w:p w:rsidR="00072873" w:rsidRPr="00AD1716" w:rsidRDefault="00072873" w:rsidP="00D604B3">
      <w:pPr>
        <w:spacing w:line="240" w:lineRule="atLeast"/>
        <w:ind w:left="567" w:right="567"/>
        <w:rPr>
          <w:rFonts w:cs="Maiandra GD"/>
          <w:sz w:val="18"/>
          <w:lang w:val="fr-CH" w:eastAsia="nl-NL"/>
        </w:rPr>
      </w:pPr>
    </w:p>
    <w:p w:rsidR="00072873" w:rsidRPr="00AD1716" w:rsidRDefault="00437795" w:rsidP="00437795">
      <w:pPr>
        <w:numPr>
          <w:ilvl w:val="0"/>
          <w:numId w:val="1"/>
        </w:numPr>
        <w:spacing w:line="240" w:lineRule="atLeast"/>
        <w:ind w:left="851" w:right="567" w:hanging="284"/>
        <w:rPr>
          <w:rFonts w:cs="Maiandra GD"/>
          <w:sz w:val="18"/>
          <w:lang w:val="fr-CH" w:eastAsia="nl-NL"/>
        </w:rPr>
      </w:pPr>
      <w:r w:rsidRPr="00AD1716">
        <w:rPr>
          <w:rFonts w:cs="Maiandra GD"/>
          <w:sz w:val="18"/>
          <w:lang w:val="fr-CH" w:eastAsia="nl-NL"/>
        </w:rPr>
        <w:t>Base de données SNP Oignon</w:t>
      </w:r>
    </w:p>
    <w:p w:rsidR="00072873" w:rsidRPr="00AD1716" w:rsidRDefault="00DA2BBD" w:rsidP="006E527F">
      <w:pPr>
        <w:spacing w:line="240" w:lineRule="atLeast"/>
        <w:ind w:left="567" w:right="567"/>
        <w:rPr>
          <w:rFonts w:cs="Maiandra GD"/>
          <w:sz w:val="18"/>
          <w:lang w:val="fr-CH" w:eastAsia="nl-NL"/>
        </w:rPr>
      </w:pPr>
      <w:r>
        <w:rPr>
          <w:rFonts w:cs="Maiandra GD"/>
          <w:sz w:val="18"/>
          <w:lang w:val="fr-CH" w:eastAsia="nl-NL"/>
        </w:rPr>
        <w:t>Un</w:t>
      </w:r>
      <w:r w:rsidR="00437795" w:rsidRPr="00AD1716">
        <w:rPr>
          <w:rFonts w:cs="Maiandra GD"/>
          <w:sz w:val="18"/>
          <w:lang w:val="fr-CH" w:eastAsia="nl-NL"/>
        </w:rPr>
        <w:t xml:space="preserve"> projet a été lancé</w:t>
      </w:r>
      <w:r>
        <w:rPr>
          <w:rFonts w:cs="Maiandra GD"/>
          <w:sz w:val="18"/>
          <w:lang w:val="fr-CH" w:eastAsia="nl-NL"/>
        </w:rPr>
        <w:t xml:space="preserve"> en 2014</w:t>
      </w:r>
      <w:r w:rsidR="00437795" w:rsidRPr="00AD1716">
        <w:rPr>
          <w:rFonts w:cs="Maiandra GD"/>
          <w:sz w:val="18"/>
          <w:lang w:val="fr-CH" w:eastAsia="nl-NL"/>
        </w:rPr>
        <w:t>, dans le cadre duquel plusieurs variétés d</w:t>
      </w:r>
      <w:r w:rsidR="00414730">
        <w:rPr>
          <w:rFonts w:cs="Maiandra GD"/>
          <w:sz w:val="18"/>
          <w:lang w:val="fr-CH" w:eastAsia="nl-NL"/>
        </w:rPr>
        <w:t>’</w:t>
      </w:r>
      <w:r w:rsidR="00437795" w:rsidRPr="00AD1716">
        <w:rPr>
          <w:rFonts w:cs="Maiandra GD"/>
          <w:sz w:val="18"/>
          <w:lang w:val="fr-CH" w:eastAsia="nl-NL"/>
        </w:rPr>
        <w:t>oignon et d</w:t>
      </w:r>
      <w:r w:rsidR="00414730">
        <w:rPr>
          <w:rFonts w:cs="Maiandra GD"/>
          <w:sz w:val="18"/>
          <w:lang w:val="fr-CH" w:eastAsia="nl-NL"/>
        </w:rPr>
        <w:t>’</w:t>
      </w:r>
      <w:r w:rsidR="00437795" w:rsidRPr="00AD1716">
        <w:rPr>
          <w:rFonts w:cs="Maiandra GD"/>
          <w:sz w:val="18"/>
          <w:lang w:val="fr-CH" w:eastAsia="nl-NL"/>
        </w:rPr>
        <w:t>échalote ont été analysées à l</w:t>
      </w:r>
      <w:r w:rsidR="00414730">
        <w:rPr>
          <w:rFonts w:cs="Maiandra GD"/>
          <w:sz w:val="18"/>
          <w:lang w:val="fr-CH" w:eastAsia="nl-NL"/>
        </w:rPr>
        <w:t>’</w:t>
      </w:r>
      <w:r w:rsidR="00437795" w:rsidRPr="00AD1716">
        <w:rPr>
          <w:rFonts w:cs="Maiandra GD"/>
          <w:sz w:val="18"/>
          <w:lang w:val="fr-CH" w:eastAsia="nl-NL"/>
        </w:rPr>
        <w:t>aide de 93</w:t>
      </w:r>
      <w:r w:rsidR="003C7C9D" w:rsidRPr="00AD1716">
        <w:rPr>
          <w:rFonts w:cs="Maiandra GD"/>
          <w:sz w:val="18"/>
          <w:lang w:val="fr-CH" w:eastAsia="nl-NL"/>
        </w:rPr>
        <w:t> </w:t>
      </w:r>
      <w:r w:rsidR="00437795" w:rsidRPr="00AD1716">
        <w:rPr>
          <w:rFonts w:cs="Maiandra GD"/>
          <w:sz w:val="18"/>
          <w:lang w:val="fr-CH" w:eastAsia="nl-NL"/>
        </w:rPr>
        <w:t xml:space="preserve">marqueurs SNP afin de confirmer les types morphologiques utilisés pour </w:t>
      </w:r>
      <w:r w:rsidR="00905282" w:rsidRPr="00AD1716">
        <w:rPr>
          <w:rFonts w:cs="Maiandra GD"/>
          <w:sz w:val="18"/>
          <w:lang w:val="fr-CH" w:eastAsia="nl-NL"/>
        </w:rPr>
        <w:t>établir</w:t>
      </w:r>
      <w:r w:rsidR="00437795" w:rsidRPr="00AD1716">
        <w:rPr>
          <w:rFonts w:cs="Maiandra GD"/>
          <w:sz w:val="18"/>
          <w:lang w:val="fr-CH" w:eastAsia="nl-NL"/>
        </w:rPr>
        <w:t xml:space="preserve"> la collection de variét</w:t>
      </w:r>
      <w:r w:rsidR="003C7C9D" w:rsidRPr="00AD1716">
        <w:rPr>
          <w:rFonts w:cs="Maiandra GD"/>
          <w:sz w:val="18"/>
          <w:lang w:val="fr-CH" w:eastAsia="nl-NL"/>
        </w:rPr>
        <w:t>és.  Le</w:t>
      </w:r>
      <w:r w:rsidR="00437795" w:rsidRPr="00AD1716">
        <w:rPr>
          <w:rFonts w:cs="Maiandra GD"/>
          <w:sz w:val="18"/>
          <w:lang w:val="fr-CH" w:eastAsia="nl-NL"/>
        </w:rPr>
        <w:t>s marqueurs ont confirmé les types morphologiques distinc</w:t>
      </w:r>
      <w:r w:rsidR="003C7C9D" w:rsidRPr="00AD1716">
        <w:rPr>
          <w:rFonts w:cs="Maiandra GD"/>
          <w:sz w:val="18"/>
          <w:lang w:val="fr-CH" w:eastAsia="nl-NL"/>
        </w:rPr>
        <w:t>ts.  Ce</w:t>
      </w:r>
      <w:r w:rsidR="006E527F" w:rsidRPr="00AD1716">
        <w:rPr>
          <w:rFonts w:cs="Maiandra GD"/>
          <w:sz w:val="18"/>
          <w:lang w:val="fr-CH" w:eastAsia="nl-NL"/>
        </w:rPr>
        <w:t>pendant, cette analyse était assez générale et le but était de pouvoir analyser au sein des groupes la distinction entre les variét</w:t>
      </w:r>
      <w:r w:rsidR="003C7C9D" w:rsidRPr="00AD1716">
        <w:rPr>
          <w:rFonts w:cs="Maiandra GD"/>
          <w:sz w:val="18"/>
          <w:lang w:val="fr-CH" w:eastAsia="nl-NL"/>
        </w:rPr>
        <w:t>és.  Ce</w:t>
      </w:r>
      <w:r w:rsidR="006E527F" w:rsidRPr="00AD1716">
        <w:rPr>
          <w:rFonts w:cs="Maiandra GD"/>
          <w:sz w:val="18"/>
          <w:lang w:val="fr-CH" w:eastAsia="nl-NL"/>
        </w:rPr>
        <w:t>la fera l</w:t>
      </w:r>
      <w:r w:rsidR="00414730">
        <w:rPr>
          <w:rFonts w:cs="Maiandra GD"/>
          <w:sz w:val="18"/>
          <w:lang w:val="fr-CH" w:eastAsia="nl-NL"/>
        </w:rPr>
        <w:t>’</w:t>
      </w:r>
      <w:r w:rsidR="006E527F" w:rsidRPr="00AD1716">
        <w:rPr>
          <w:rFonts w:cs="Maiandra GD"/>
          <w:sz w:val="18"/>
          <w:lang w:val="fr-CH" w:eastAsia="nl-NL"/>
        </w:rPr>
        <w:t>objet d</w:t>
      </w:r>
      <w:r w:rsidR="00414730">
        <w:rPr>
          <w:rFonts w:cs="Maiandra GD"/>
          <w:sz w:val="18"/>
          <w:lang w:val="fr-CH" w:eastAsia="nl-NL"/>
        </w:rPr>
        <w:t>’</w:t>
      </w:r>
      <w:r w:rsidR="006E527F" w:rsidRPr="00AD1716">
        <w:rPr>
          <w:rFonts w:cs="Maiandra GD"/>
          <w:sz w:val="18"/>
          <w:lang w:val="fr-CH" w:eastAsia="nl-NL"/>
        </w:rPr>
        <w:t>un suivi, tandis que la recherche des meilleurs SNP distinctifs se poursuit.</w:t>
      </w:r>
    </w:p>
    <w:p w:rsidR="00072873" w:rsidRPr="00AD1716" w:rsidRDefault="00072873" w:rsidP="00D604B3">
      <w:pPr>
        <w:spacing w:line="240" w:lineRule="atLeast"/>
        <w:ind w:left="567" w:right="567"/>
        <w:rPr>
          <w:rFonts w:cs="Maiandra GD"/>
          <w:sz w:val="18"/>
          <w:lang w:val="fr-CH" w:eastAsia="nl-NL"/>
        </w:rPr>
      </w:pPr>
    </w:p>
    <w:p w:rsidR="00072873" w:rsidRPr="00AD1716" w:rsidRDefault="00743229" w:rsidP="00743229">
      <w:pPr>
        <w:numPr>
          <w:ilvl w:val="0"/>
          <w:numId w:val="1"/>
        </w:numPr>
        <w:spacing w:line="240" w:lineRule="atLeast"/>
        <w:ind w:left="851" w:right="567" w:hanging="284"/>
        <w:rPr>
          <w:rFonts w:cs="Maiandra GD"/>
          <w:sz w:val="18"/>
          <w:lang w:val="fr-CH" w:eastAsia="nl-NL"/>
        </w:rPr>
      </w:pPr>
      <w:r w:rsidRPr="00AD1716">
        <w:rPr>
          <w:rFonts w:cs="Maiandra GD"/>
          <w:sz w:val="18"/>
          <w:lang w:val="fr-CH" w:eastAsia="nl-NL"/>
        </w:rPr>
        <w:t>Base de données ADN Tomate</w:t>
      </w:r>
    </w:p>
    <w:p w:rsidR="00072873" w:rsidRPr="00AD1716" w:rsidRDefault="00905282" w:rsidP="00AC629E">
      <w:pPr>
        <w:spacing w:line="240" w:lineRule="atLeast"/>
        <w:ind w:left="567" w:right="567"/>
        <w:rPr>
          <w:rFonts w:cs="Maiandra GD"/>
          <w:sz w:val="18"/>
          <w:lang w:val="fr-CH" w:eastAsia="nl-NL"/>
        </w:rPr>
      </w:pPr>
      <w:r w:rsidRPr="00AD1716">
        <w:rPr>
          <w:rFonts w:cs="Maiandra GD"/>
          <w:sz w:val="18"/>
          <w:lang w:val="fr-CH" w:eastAsia="nl-NL"/>
        </w:rPr>
        <w:t>L</w:t>
      </w:r>
      <w:r w:rsidR="00743229" w:rsidRPr="00AD1716">
        <w:rPr>
          <w:rFonts w:cs="Maiandra GD"/>
          <w:sz w:val="18"/>
          <w:lang w:val="fr-CH" w:eastAsia="nl-NL"/>
        </w:rPr>
        <w:t xml:space="preserve">e projet IMODDUS a démarré </w:t>
      </w:r>
      <w:r w:rsidRPr="00AD1716">
        <w:rPr>
          <w:rFonts w:cs="Maiandra GD"/>
          <w:sz w:val="18"/>
          <w:lang w:val="fr-CH" w:eastAsia="nl-NL"/>
        </w:rPr>
        <w:t xml:space="preserve">en 2019 </w:t>
      </w:r>
      <w:r w:rsidR="00743229" w:rsidRPr="00AD1716">
        <w:rPr>
          <w:rFonts w:cs="Maiandra GD"/>
          <w:sz w:val="18"/>
          <w:lang w:val="fr-CH" w:eastAsia="nl-NL"/>
        </w:rPr>
        <w:t>lors d</w:t>
      </w:r>
      <w:r w:rsidR="00414730">
        <w:rPr>
          <w:rFonts w:cs="Maiandra GD"/>
          <w:sz w:val="18"/>
          <w:lang w:val="fr-CH" w:eastAsia="nl-NL"/>
        </w:rPr>
        <w:t>’</w:t>
      </w:r>
      <w:r w:rsidR="00743229" w:rsidRPr="00AD1716">
        <w:rPr>
          <w:rFonts w:cs="Maiandra GD"/>
          <w:sz w:val="18"/>
          <w:lang w:val="fr-CH" w:eastAsia="nl-NL"/>
        </w:rPr>
        <w:t>une réunion de lanceme</w:t>
      </w:r>
      <w:r w:rsidR="003C7C9D" w:rsidRPr="00AD1716">
        <w:rPr>
          <w:rFonts w:cs="Maiandra GD"/>
          <w:sz w:val="18"/>
          <w:lang w:val="fr-CH" w:eastAsia="nl-NL"/>
        </w:rPr>
        <w:t>nt.  L</w:t>
      </w:r>
      <w:r w:rsidR="00414730">
        <w:rPr>
          <w:rFonts w:cs="Maiandra GD"/>
          <w:sz w:val="18"/>
          <w:lang w:val="fr-CH" w:eastAsia="nl-NL"/>
        </w:rPr>
        <w:t>’</w:t>
      </w:r>
      <w:r w:rsidR="003C7C9D" w:rsidRPr="00AD1716">
        <w:rPr>
          <w:rFonts w:cs="Maiandra GD"/>
          <w:sz w:val="18"/>
          <w:lang w:val="fr-CH" w:eastAsia="nl-NL"/>
        </w:rPr>
        <w:t>o</w:t>
      </w:r>
      <w:r w:rsidR="00743229" w:rsidRPr="00AD1716">
        <w:rPr>
          <w:rFonts w:cs="Maiandra GD"/>
          <w:sz w:val="18"/>
          <w:lang w:val="fr-CH" w:eastAsia="nl-NL"/>
        </w:rPr>
        <w:t>bjectif principal est de trouver et de sélectionner</w:t>
      </w:r>
      <w:r w:rsidR="00255288" w:rsidRPr="00AD1716">
        <w:rPr>
          <w:rFonts w:cs="Maiandra GD"/>
          <w:sz w:val="18"/>
          <w:lang w:val="fr-CH" w:eastAsia="nl-NL"/>
        </w:rPr>
        <w:t xml:space="preserve"> des SNP</w:t>
      </w:r>
      <w:r w:rsidR="00743229" w:rsidRPr="00AD1716">
        <w:rPr>
          <w:rFonts w:cs="Maiandra GD"/>
          <w:sz w:val="18"/>
          <w:lang w:val="fr-CH" w:eastAsia="nl-NL"/>
        </w:rPr>
        <w:t xml:space="preserve"> acceptés au niveau internation</w:t>
      </w:r>
      <w:r w:rsidR="003C7C9D" w:rsidRPr="00AD1716">
        <w:rPr>
          <w:rFonts w:cs="Maiandra GD"/>
          <w:sz w:val="18"/>
          <w:lang w:val="fr-CH" w:eastAsia="nl-NL"/>
        </w:rPr>
        <w:t>al.  Le</w:t>
      </w:r>
      <w:r w:rsidR="00AC629E" w:rsidRPr="00AD1716">
        <w:rPr>
          <w:rFonts w:cs="Maiandra GD"/>
          <w:sz w:val="18"/>
          <w:lang w:val="fr-CH" w:eastAsia="nl-NL"/>
        </w:rPr>
        <w:t xml:space="preserve"> projet sera suivi par des essais </w:t>
      </w:r>
      <w:r w:rsidR="007B3C19">
        <w:rPr>
          <w:rFonts w:cs="Maiandra GD"/>
          <w:sz w:val="18"/>
          <w:lang w:val="fr-CH" w:eastAsia="nl-NL"/>
        </w:rPr>
        <w:t>conce</w:t>
      </w:r>
      <w:r w:rsidR="008C0D1C">
        <w:rPr>
          <w:rFonts w:cs="Maiandra GD"/>
          <w:sz w:val="18"/>
          <w:lang w:val="fr-CH" w:eastAsia="nl-NL"/>
        </w:rPr>
        <w:t>rn</w:t>
      </w:r>
      <w:r w:rsidR="007B3C19">
        <w:rPr>
          <w:rFonts w:cs="Maiandra GD"/>
          <w:sz w:val="18"/>
          <w:lang w:val="fr-CH" w:eastAsia="nl-NL"/>
        </w:rPr>
        <w:t xml:space="preserve">ant </w:t>
      </w:r>
      <w:r w:rsidR="007B3C19">
        <w:rPr>
          <w:rFonts w:cs="Maiandra GD"/>
          <w:sz w:val="18"/>
          <w:lang w:val="fr-CH" w:eastAsia="nl-NL"/>
        </w:rPr>
        <w:lastRenderedPageBreak/>
        <w:t>des</w:t>
      </w:r>
      <w:r w:rsidR="00AC629E" w:rsidRPr="00AD1716">
        <w:rPr>
          <w:rFonts w:cs="Maiandra GD"/>
          <w:sz w:val="18"/>
          <w:lang w:val="fr-CH" w:eastAsia="nl-NL"/>
        </w:rPr>
        <w:t xml:space="preserve"> variétés notoirement connues avec cet ensemble de marqueurs d</w:t>
      </w:r>
      <w:r w:rsidR="00414730">
        <w:rPr>
          <w:rFonts w:cs="Maiandra GD"/>
          <w:sz w:val="18"/>
          <w:lang w:val="fr-CH" w:eastAsia="nl-NL"/>
        </w:rPr>
        <w:t>’</w:t>
      </w:r>
      <w:r w:rsidR="00AC629E" w:rsidRPr="00AD1716">
        <w:rPr>
          <w:rFonts w:cs="Maiandra GD"/>
          <w:sz w:val="18"/>
          <w:lang w:val="fr-CH" w:eastAsia="nl-NL"/>
        </w:rPr>
        <w:t xml:space="preserve">ADN et le stockage des </w:t>
      </w:r>
      <w:r w:rsidR="007B3C19">
        <w:rPr>
          <w:rFonts w:cs="Maiandra GD"/>
          <w:sz w:val="18"/>
          <w:lang w:val="fr-CH" w:eastAsia="nl-NL"/>
        </w:rPr>
        <w:t>informations</w:t>
      </w:r>
      <w:r w:rsidR="00AC629E" w:rsidRPr="00AD1716">
        <w:rPr>
          <w:rFonts w:cs="Maiandra GD"/>
          <w:sz w:val="18"/>
          <w:lang w:val="fr-CH" w:eastAsia="nl-NL"/>
        </w:rPr>
        <w:t xml:space="preserve"> dans une base de donné</w:t>
      </w:r>
      <w:r w:rsidR="003C7C9D" w:rsidRPr="00AD1716">
        <w:rPr>
          <w:rFonts w:cs="Maiandra GD"/>
          <w:sz w:val="18"/>
          <w:lang w:val="fr-CH" w:eastAsia="nl-NL"/>
        </w:rPr>
        <w:t>es.  En</w:t>
      </w:r>
      <w:r w:rsidR="00AC629E" w:rsidRPr="00AD1716">
        <w:rPr>
          <w:rFonts w:cs="Maiandra GD"/>
          <w:sz w:val="18"/>
          <w:lang w:val="fr-CH" w:eastAsia="nl-NL"/>
        </w:rPr>
        <w:t xml:space="preserve">suite, il </w:t>
      </w:r>
      <w:r w:rsidR="007B3C19">
        <w:rPr>
          <w:rFonts w:cs="Maiandra GD"/>
          <w:sz w:val="18"/>
          <w:lang w:val="fr-CH" w:eastAsia="nl-NL"/>
        </w:rPr>
        <w:t>pourra</w:t>
      </w:r>
      <w:r w:rsidR="00AC629E" w:rsidRPr="00AD1716">
        <w:rPr>
          <w:rFonts w:cs="Maiandra GD"/>
          <w:sz w:val="18"/>
          <w:lang w:val="fr-CH" w:eastAsia="nl-NL"/>
        </w:rPr>
        <w:t xml:space="preserve"> être utilisé pour la gestion de la collection de référence.</w:t>
      </w:r>
    </w:p>
    <w:p w:rsidR="00072873" w:rsidRPr="00AD1716" w:rsidRDefault="00072873" w:rsidP="00D604B3">
      <w:pPr>
        <w:spacing w:line="240" w:lineRule="atLeast"/>
        <w:ind w:left="567" w:right="567"/>
        <w:rPr>
          <w:rFonts w:cs="Maiandra GD"/>
          <w:sz w:val="18"/>
          <w:lang w:val="fr-CH" w:eastAsia="nl-NL"/>
        </w:rPr>
      </w:pPr>
    </w:p>
    <w:p w:rsidR="00072873" w:rsidRPr="00AD1716" w:rsidRDefault="00AC629E" w:rsidP="00AC629E">
      <w:pPr>
        <w:numPr>
          <w:ilvl w:val="0"/>
          <w:numId w:val="1"/>
        </w:numPr>
        <w:spacing w:line="240" w:lineRule="atLeast"/>
        <w:ind w:left="851" w:right="567" w:hanging="284"/>
        <w:rPr>
          <w:rFonts w:cs="Maiandra GD"/>
          <w:bCs/>
          <w:sz w:val="18"/>
          <w:lang w:val="fr-CH" w:eastAsia="nl-NL"/>
        </w:rPr>
      </w:pPr>
      <w:r w:rsidRPr="00AD1716">
        <w:rPr>
          <w:rFonts w:cs="Maiandra GD"/>
          <w:bCs/>
          <w:sz w:val="18"/>
          <w:lang w:val="fr-CH" w:eastAsia="nl-NL"/>
        </w:rPr>
        <w:t>Base de données ADN Cannabis</w:t>
      </w:r>
    </w:p>
    <w:p w:rsidR="00072873" w:rsidRPr="00AD1716" w:rsidRDefault="007B3C19" w:rsidP="006B4A1F">
      <w:pPr>
        <w:spacing w:line="240" w:lineRule="atLeast"/>
        <w:ind w:left="567" w:right="567"/>
        <w:rPr>
          <w:rFonts w:cs="Maiandra GD"/>
          <w:sz w:val="18"/>
          <w:lang w:val="fr-CH" w:eastAsia="nl-NL"/>
        </w:rPr>
      </w:pPr>
      <w:r>
        <w:rPr>
          <w:rFonts w:cs="Maiandra GD"/>
          <w:sz w:val="18"/>
          <w:lang w:val="fr-CH" w:eastAsia="nl-NL"/>
        </w:rPr>
        <w:t>U</w:t>
      </w:r>
      <w:r w:rsidR="00AC629E" w:rsidRPr="00AD1716">
        <w:rPr>
          <w:rFonts w:cs="Maiandra GD"/>
          <w:sz w:val="18"/>
          <w:lang w:val="fr-CH" w:eastAsia="nl-NL"/>
        </w:rPr>
        <w:t xml:space="preserve">n projet a été lancé </w:t>
      </w:r>
      <w:r>
        <w:rPr>
          <w:rFonts w:cs="Maiandra GD"/>
          <w:sz w:val="18"/>
          <w:lang w:val="fr-CH" w:eastAsia="nl-NL"/>
        </w:rPr>
        <w:t xml:space="preserve">en 2019 </w:t>
      </w:r>
      <w:r w:rsidR="00AC629E" w:rsidRPr="00AD1716">
        <w:rPr>
          <w:rFonts w:cs="Maiandra GD"/>
          <w:sz w:val="18"/>
          <w:lang w:val="fr-CH" w:eastAsia="nl-NL"/>
        </w:rPr>
        <w:t>pour mettre au point un ensemble de marqueurs SNP et une méthode de génotypage adapt</w:t>
      </w:r>
      <w:r w:rsidR="003C7C9D" w:rsidRPr="00AD1716">
        <w:rPr>
          <w:rFonts w:cs="Maiandra GD"/>
          <w:sz w:val="18"/>
          <w:lang w:val="fr-CH" w:eastAsia="nl-NL"/>
        </w:rPr>
        <w:t>ée.  Ce</w:t>
      </w:r>
      <w:r w:rsidR="002929C1" w:rsidRPr="00AD1716">
        <w:rPr>
          <w:rFonts w:cs="Maiandra GD"/>
          <w:sz w:val="18"/>
          <w:lang w:val="fr-CH" w:eastAsia="nl-NL"/>
        </w:rPr>
        <w:t>la permettra de gérer efficacement la collection de référence et de limiter le risque de mauvaises décisions en matière de distincti</w:t>
      </w:r>
      <w:r w:rsidR="003C7C9D" w:rsidRPr="00AD1716">
        <w:rPr>
          <w:rFonts w:cs="Maiandra GD"/>
          <w:sz w:val="18"/>
          <w:lang w:val="fr-CH" w:eastAsia="nl-NL"/>
        </w:rPr>
        <w:t>on.  Le</w:t>
      </w:r>
      <w:r w:rsidR="006B4A1F" w:rsidRPr="00AD1716">
        <w:rPr>
          <w:rFonts w:cs="Maiandra GD"/>
          <w:sz w:val="18"/>
          <w:lang w:val="fr-CH" w:eastAsia="nl-NL"/>
        </w:rPr>
        <w:t xml:space="preserve"> nombre de </w:t>
      </w:r>
      <w:r w:rsidR="00905282" w:rsidRPr="00AD1716">
        <w:rPr>
          <w:rFonts w:cs="Maiandra GD"/>
          <w:sz w:val="18"/>
          <w:lang w:val="fr-CH" w:eastAsia="nl-NL"/>
        </w:rPr>
        <w:t xml:space="preserve">variétés candidates de </w:t>
      </w:r>
      <w:r w:rsidR="006B4A1F" w:rsidRPr="00AD1716">
        <w:rPr>
          <w:rFonts w:cs="Maiandra GD"/>
          <w:sz w:val="18"/>
          <w:lang w:val="fr-CH" w:eastAsia="nl-NL"/>
        </w:rPr>
        <w:t>cannabis à usage médical est élevé et le transport des graines ou des plantes des variétés candidates et des variétés de référence est une contrainte en raison des réglementations phytosanitaires et relatives à l</w:t>
      </w:r>
      <w:r w:rsidR="00414730">
        <w:rPr>
          <w:rFonts w:cs="Maiandra GD"/>
          <w:sz w:val="18"/>
          <w:lang w:val="fr-CH" w:eastAsia="nl-NL"/>
        </w:rPr>
        <w:t>’</w:t>
      </w:r>
      <w:r w:rsidR="006B4A1F" w:rsidRPr="00AD1716">
        <w:rPr>
          <w:rFonts w:cs="Maiandra GD"/>
          <w:sz w:val="18"/>
          <w:lang w:val="fr-CH" w:eastAsia="nl-NL"/>
        </w:rPr>
        <w:t>opium.</w:t>
      </w:r>
    </w:p>
    <w:p w:rsidR="00072873" w:rsidRPr="00AD1716" w:rsidRDefault="00072873" w:rsidP="00D604B3">
      <w:pPr>
        <w:spacing w:line="240" w:lineRule="atLeast"/>
        <w:ind w:left="567" w:right="567"/>
        <w:rPr>
          <w:rFonts w:cs="Maiandra GD"/>
          <w:sz w:val="18"/>
          <w:lang w:val="fr-CH" w:eastAsia="nl-NL"/>
        </w:rPr>
      </w:pPr>
    </w:p>
    <w:p w:rsidR="00072873" w:rsidRPr="00AD1716" w:rsidRDefault="008C4949" w:rsidP="008C4949">
      <w:pPr>
        <w:numPr>
          <w:ilvl w:val="0"/>
          <w:numId w:val="1"/>
        </w:numPr>
        <w:spacing w:line="240" w:lineRule="atLeast"/>
        <w:ind w:left="851" w:right="567" w:hanging="284"/>
        <w:rPr>
          <w:rFonts w:cs="Maiandra GD"/>
          <w:sz w:val="18"/>
          <w:lang w:val="fr-CH" w:eastAsia="nl-NL"/>
        </w:rPr>
      </w:pPr>
      <w:r w:rsidRPr="00AD1716">
        <w:rPr>
          <w:rFonts w:cs="Maiandra GD"/>
          <w:sz w:val="18"/>
          <w:lang w:val="fr-CH" w:eastAsia="nl-NL"/>
        </w:rPr>
        <w:t xml:space="preserve">Marqueurs SNP </w:t>
      </w:r>
      <w:r w:rsidR="007B3C19">
        <w:rPr>
          <w:rFonts w:cs="Maiandra GD"/>
          <w:sz w:val="18"/>
          <w:lang w:val="fr-CH" w:eastAsia="nl-NL"/>
        </w:rPr>
        <w:t>pour</w:t>
      </w:r>
      <w:r w:rsidRPr="00AD1716">
        <w:rPr>
          <w:rFonts w:cs="Maiandra GD"/>
          <w:sz w:val="18"/>
          <w:lang w:val="fr-CH" w:eastAsia="nl-NL"/>
        </w:rPr>
        <w:t xml:space="preserve"> le ray</w:t>
      </w:r>
      <w:r w:rsidR="00414730">
        <w:rPr>
          <w:rFonts w:cs="Maiandra GD"/>
          <w:sz w:val="18"/>
          <w:lang w:val="fr-CH" w:eastAsia="nl-NL"/>
        </w:rPr>
        <w:t>-</w:t>
      </w:r>
      <w:r w:rsidRPr="00AD1716">
        <w:rPr>
          <w:rFonts w:cs="Maiandra GD"/>
          <w:sz w:val="18"/>
          <w:lang w:val="fr-CH" w:eastAsia="nl-NL"/>
        </w:rPr>
        <w:t>grass vivace</w:t>
      </w:r>
    </w:p>
    <w:p w:rsidR="00255288" w:rsidRPr="00AD1716" w:rsidRDefault="008C4949" w:rsidP="009A6F23">
      <w:pPr>
        <w:spacing w:line="240" w:lineRule="atLeast"/>
        <w:ind w:left="567" w:right="567"/>
        <w:rPr>
          <w:rFonts w:cs="Maiandra GD"/>
          <w:sz w:val="18"/>
          <w:lang w:val="fr-CH" w:eastAsia="nl-NL"/>
        </w:rPr>
      </w:pPr>
      <w:proofErr w:type="spellStart"/>
      <w:r w:rsidRPr="00AD1716">
        <w:rPr>
          <w:rFonts w:cs="Maiandra GD"/>
          <w:sz w:val="18"/>
          <w:lang w:val="fr-CH" w:eastAsia="nl-NL"/>
        </w:rPr>
        <w:t>Naktuinbouw</w:t>
      </w:r>
      <w:proofErr w:type="spellEnd"/>
      <w:r w:rsidRPr="00AD1716">
        <w:rPr>
          <w:rFonts w:cs="Maiandra GD"/>
          <w:sz w:val="18"/>
          <w:lang w:val="fr-CH" w:eastAsia="nl-NL"/>
        </w:rPr>
        <w:t xml:space="preserve"> a lancé un projet spécial sur l</w:t>
      </w:r>
      <w:r w:rsidR="00414730">
        <w:rPr>
          <w:rFonts w:cs="Maiandra GD"/>
          <w:sz w:val="18"/>
          <w:lang w:val="fr-CH" w:eastAsia="nl-NL"/>
        </w:rPr>
        <w:t>’</w:t>
      </w:r>
      <w:r w:rsidRPr="00AD1716">
        <w:rPr>
          <w:rFonts w:cs="Maiandra GD"/>
          <w:sz w:val="18"/>
          <w:lang w:val="fr-CH" w:eastAsia="nl-NL"/>
        </w:rPr>
        <w:t xml:space="preserve">utilisation des marqueurs SNP </w:t>
      </w:r>
      <w:r w:rsidR="007B3C19">
        <w:rPr>
          <w:rFonts w:cs="Maiandra GD"/>
          <w:sz w:val="18"/>
          <w:lang w:val="fr-CH" w:eastAsia="nl-NL"/>
        </w:rPr>
        <w:t>pour</w:t>
      </w:r>
      <w:r w:rsidRPr="00AD1716">
        <w:rPr>
          <w:rFonts w:cs="Maiandra GD"/>
          <w:sz w:val="18"/>
          <w:lang w:val="fr-CH" w:eastAsia="nl-NL"/>
        </w:rPr>
        <w:t xml:space="preserve"> le ray</w:t>
      </w:r>
      <w:r w:rsidR="00414730">
        <w:rPr>
          <w:rFonts w:cs="Maiandra GD"/>
          <w:sz w:val="18"/>
          <w:lang w:val="fr-CH" w:eastAsia="nl-NL"/>
        </w:rPr>
        <w:t>-</w:t>
      </w:r>
      <w:r w:rsidRPr="00AD1716">
        <w:rPr>
          <w:rFonts w:cs="Maiandra GD"/>
          <w:sz w:val="18"/>
          <w:lang w:val="fr-CH" w:eastAsia="nl-NL"/>
        </w:rPr>
        <w:t>grass vivace, sur la base d</w:t>
      </w:r>
      <w:r w:rsidR="00414730">
        <w:rPr>
          <w:rFonts w:cs="Maiandra GD"/>
          <w:sz w:val="18"/>
          <w:lang w:val="fr-CH" w:eastAsia="nl-NL"/>
        </w:rPr>
        <w:t>’</w:t>
      </w:r>
      <w:r w:rsidRPr="00AD1716">
        <w:rPr>
          <w:rFonts w:cs="Maiandra GD"/>
          <w:sz w:val="18"/>
          <w:lang w:val="fr-CH" w:eastAsia="nl-NL"/>
        </w:rPr>
        <w:t>un projet pilote précéde</w:t>
      </w:r>
      <w:r w:rsidR="003C7C9D" w:rsidRPr="00AD1716">
        <w:rPr>
          <w:rFonts w:cs="Maiandra GD"/>
          <w:sz w:val="18"/>
          <w:lang w:val="fr-CH" w:eastAsia="nl-NL"/>
        </w:rPr>
        <w:t>nt.  Le</w:t>
      </w:r>
      <w:r w:rsidRPr="00AD1716">
        <w:rPr>
          <w:rFonts w:cs="Maiandra GD"/>
          <w:sz w:val="18"/>
          <w:lang w:val="fr-CH" w:eastAsia="nl-NL"/>
        </w:rPr>
        <w:t xml:space="preserve"> ray</w:t>
      </w:r>
      <w:r w:rsidR="00414730">
        <w:rPr>
          <w:rFonts w:cs="Maiandra GD"/>
          <w:sz w:val="18"/>
          <w:lang w:val="fr-CH" w:eastAsia="nl-NL"/>
        </w:rPr>
        <w:t>-</w:t>
      </w:r>
      <w:r w:rsidRPr="00AD1716">
        <w:rPr>
          <w:rFonts w:cs="Maiandra GD"/>
          <w:sz w:val="18"/>
          <w:lang w:val="fr-CH" w:eastAsia="nl-NL"/>
        </w:rPr>
        <w:t xml:space="preserve">grass vivace est une plante allogame, ce qui rend </w:t>
      </w:r>
      <w:r w:rsidR="007B3C19">
        <w:rPr>
          <w:rFonts w:cs="Maiandra GD"/>
          <w:sz w:val="18"/>
          <w:lang w:val="fr-CH" w:eastAsia="nl-NL"/>
        </w:rPr>
        <w:t xml:space="preserve">le projet </w:t>
      </w:r>
      <w:r w:rsidRPr="00AD1716">
        <w:rPr>
          <w:rFonts w:cs="Maiandra GD"/>
          <w:sz w:val="18"/>
          <w:lang w:val="fr-CH" w:eastAsia="nl-NL"/>
        </w:rPr>
        <w:t>encore plus comple</w:t>
      </w:r>
      <w:r w:rsidR="003C7C9D" w:rsidRPr="00AD1716">
        <w:rPr>
          <w:rFonts w:cs="Maiandra GD"/>
          <w:sz w:val="18"/>
          <w:lang w:val="fr-CH" w:eastAsia="nl-NL"/>
        </w:rPr>
        <w:t>xe.  Le</w:t>
      </w:r>
      <w:r w:rsidRPr="00AD1716">
        <w:rPr>
          <w:rFonts w:cs="Maiandra GD"/>
          <w:sz w:val="18"/>
          <w:lang w:val="fr-CH" w:eastAsia="nl-NL"/>
        </w:rPr>
        <w:t>s résultats sont prometteu</w:t>
      </w:r>
      <w:r w:rsidR="003C7C9D" w:rsidRPr="00AD1716">
        <w:rPr>
          <w:rFonts w:cs="Maiandra GD"/>
          <w:sz w:val="18"/>
          <w:lang w:val="fr-CH" w:eastAsia="nl-NL"/>
        </w:rPr>
        <w:t>rs.  Le</w:t>
      </w:r>
      <w:r w:rsidRPr="00AD1716">
        <w:rPr>
          <w:rFonts w:cs="Maiandra GD"/>
          <w:sz w:val="18"/>
          <w:lang w:val="fr-CH" w:eastAsia="nl-NL"/>
        </w:rPr>
        <w:t>s marqueurs SNP pourraient être utilisés pour remplacer l</w:t>
      </w:r>
      <w:r w:rsidR="00414730">
        <w:rPr>
          <w:rFonts w:cs="Maiandra GD"/>
          <w:sz w:val="18"/>
          <w:lang w:val="fr-CH" w:eastAsia="nl-NL"/>
        </w:rPr>
        <w:t>’</w:t>
      </w:r>
      <w:r w:rsidRPr="00AD1716">
        <w:rPr>
          <w:rFonts w:cs="Maiandra GD"/>
          <w:sz w:val="18"/>
          <w:lang w:val="fr-CH" w:eastAsia="nl-NL"/>
        </w:rPr>
        <w:t>électrophorèse comme caractère additionnel dans le cadre de l</w:t>
      </w:r>
      <w:r w:rsidR="00414730">
        <w:rPr>
          <w:rFonts w:cs="Maiandra GD"/>
          <w:sz w:val="18"/>
          <w:lang w:val="fr-CH" w:eastAsia="nl-NL"/>
        </w:rPr>
        <w:t>’</w:t>
      </w:r>
      <w:r w:rsidRPr="00AD1716">
        <w:rPr>
          <w:rFonts w:cs="Maiandra GD"/>
          <w:sz w:val="18"/>
          <w:lang w:val="fr-CH" w:eastAsia="nl-NL"/>
        </w:rPr>
        <w:t>examen</w:t>
      </w:r>
      <w:r w:rsidR="00F30186" w:rsidRPr="00AD1716">
        <w:rPr>
          <w:rFonts w:cs="Maiandra GD"/>
          <w:sz w:val="18"/>
          <w:lang w:val="fr-CH" w:eastAsia="nl-NL"/>
        </w:rPr>
        <w:t> </w:t>
      </w:r>
      <w:r w:rsidR="003C7C9D" w:rsidRPr="00AD1716">
        <w:rPr>
          <w:rFonts w:cs="Maiandra GD"/>
          <w:sz w:val="18"/>
          <w:lang w:val="fr-CH" w:eastAsia="nl-NL"/>
        </w:rPr>
        <w:t>DHS.  Un</w:t>
      </w:r>
      <w:r w:rsidR="009A6F23" w:rsidRPr="00AD1716">
        <w:rPr>
          <w:rFonts w:cs="Maiandra GD"/>
          <w:sz w:val="18"/>
          <w:lang w:val="fr-CH" w:eastAsia="nl-NL"/>
        </w:rPr>
        <w:t xml:space="preserve"> exposé est prévu cette année dans le cadre de la réunion des experts agricoles de l</w:t>
      </w:r>
      <w:r w:rsidR="00414730">
        <w:rPr>
          <w:rFonts w:cs="Maiandra GD"/>
          <w:sz w:val="18"/>
          <w:lang w:val="fr-CH" w:eastAsia="nl-NL"/>
        </w:rPr>
        <w:t>’</w:t>
      </w:r>
      <w:r w:rsidR="009A6F23" w:rsidRPr="00AD1716">
        <w:rPr>
          <w:rFonts w:cs="Maiandra GD"/>
          <w:sz w:val="18"/>
          <w:lang w:val="fr-CH" w:eastAsia="nl-NL"/>
        </w:rPr>
        <w:t>OCVV.</w:t>
      </w:r>
    </w:p>
    <w:p w:rsidR="00072873" w:rsidRPr="00AD1716" w:rsidRDefault="00072873" w:rsidP="00D604B3">
      <w:pPr>
        <w:spacing w:line="240" w:lineRule="atLeast"/>
        <w:ind w:left="567" w:right="567"/>
        <w:rPr>
          <w:rFonts w:cs="Maiandra GD"/>
          <w:sz w:val="18"/>
          <w:lang w:val="fr-CH" w:eastAsia="nl-NL"/>
        </w:rPr>
      </w:pPr>
    </w:p>
    <w:p w:rsidR="00072873" w:rsidRPr="00AD1716" w:rsidRDefault="009A6F23" w:rsidP="007B3C19">
      <w:pPr>
        <w:numPr>
          <w:ilvl w:val="0"/>
          <w:numId w:val="1"/>
        </w:numPr>
        <w:spacing w:line="240" w:lineRule="atLeast"/>
        <w:ind w:left="567" w:right="567" w:firstLine="0"/>
        <w:rPr>
          <w:rFonts w:cs="Maiandra GD"/>
          <w:i/>
          <w:iCs/>
          <w:sz w:val="18"/>
          <w:lang w:val="fr-CH" w:eastAsia="nl-NL"/>
        </w:rPr>
      </w:pPr>
      <w:r w:rsidRPr="00AD1716">
        <w:rPr>
          <w:rFonts w:cs="Maiandra GD"/>
          <w:iCs/>
          <w:sz w:val="18"/>
          <w:lang w:val="fr-CH" w:eastAsia="nl-NL"/>
        </w:rPr>
        <w:t>Des projets de tests de résistance aux maladies sont menés dans le cadre d</w:t>
      </w:r>
      <w:r w:rsidR="00414730">
        <w:rPr>
          <w:rFonts w:cs="Maiandra GD"/>
          <w:iCs/>
          <w:sz w:val="18"/>
          <w:lang w:val="fr-CH" w:eastAsia="nl-NL"/>
        </w:rPr>
        <w:t>’</w:t>
      </w:r>
      <w:r w:rsidRPr="00AD1716">
        <w:rPr>
          <w:rFonts w:cs="Maiandra GD"/>
          <w:iCs/>
          <w:sz w:val="18"/>
          <w:lang w:val="fr-CH" w:eastAsia="nl-NL"/>
        </w:rPr>
        <w:t xml:space="preserve">essais biologiques </w:t>
      </w:r>
      <w:r w:rsidR="007B3C19">
        <w:rPr>
          <w:rFonts w:cs="Maiandra GD"/>
          <w:iCs/>
          <w:sz w:val="18"/>
          <w:lang w:val="fr-CH" w:eastAsia="nl-NL"/>
        </w:rPr>
        <w:t>concernant</w:t>
      </w:r>
      <w:r w:rsidRPr="00AD1716">
        <w:rPr>
          <w:rFonts w:cs="Maiandra GD"/>
          <w:iCs/>
          <w:sz w:val="18"/>
          <w:lang w:val="fr-CH" w:eastAsia="nl-NL"/>
        </w:rPr>
        <w:t xml:space="preserve"> les nématodes pour le poivron et Fulvia</w:t>
      </w:r>
      <w:r w:rsidR="003C7C9D" w:rsidRPr="00AD1716">
        <w:rPr>
          <w:rFonts w:cs="Maiandra GD"/>
          <w:iCs/>
          <w:sz w:val="18"/>
          <w:lang w:val="fr-CH" w:eastAsia="nl-NL"/>
        </w:rPr>
        <w:t> </w:t>
      </w:r>
      <w:proofErr w:type="spellStart"/>
      <w:r w:rsidRPr="00AD1716">
        <w:rPr>
          <w:rFonts w:cs="Maiandra GD"/>
          <w:iCs/>
          <w:sz w:val="18"/>
          <w:lang w:val="fr-CH" w:eastAsia="nl-NL"/>
        </w:rPr>
        <w:t>fulva</w:t>
      </w:r>
      <w:proofErr w:type="spellEnd"/>
      <w:r w:rsidRPr="00AD1716">
        <w:rPr>
          <w:rFonts w:cs="Maiandra GD"/>
          <w:iCs/>
          <w:sz w:val="18"/>
          <w:lang w:val="fr-CH" w:eastAsia="nl-NL"/>
        </w:rPr>
        <w:t xml:space="preserve"> pour la tomate (essais biologiques et marqueurs d</w:t>
      </w:r>
      <w:r w:rsidR="00414730">
        <w:rPr>
          <w:rFonts w:cs="Maiandra GD"/>
          <w:iCs/>
          <w:sz w:val="18"/>
          <w:lang w:val="fr-CH" w:eastAsia="nl-NL"/>
        </w:rPr>
        <w:t>’</w:t>
      </w:r>
      <w:r w:rsidRPr="00AD1716">
        <w:rPr>
          <w:rFonts w:cs="Maiandra GD"/>
          <w:iCs/>
          <w:sz w:val="18"/>
          <w:lang w:val="fr-CH" w:eastAsia="nl-NL"/>
        </w:rPr>
        <w:t>ADN), d</w:t>
      </w:r>
      <w:r w:rsidR="00414730">
        <w:rPr>
          <w:rFonts w:cs="Maiandra GD"/>
          <w:iCs/>
          <w:sz w:val="18"/>
          <w:lang w:val="fr-CH" w:eastAsia="nl-NL"/>
        </w:rPr>
        <w:t>’</w:t>
      </w:r>
      <w:r w:rsidR="00905282" w:rsidRPr="00AD1716">
        <w:rPr>
          <w:rFonts w:cs="Maiandra GD"/>
          <w:iCs/>
          <w:sz w:val="18"/>
          <w:lang w:val="fr-CH" w:eastAsia="nl-NL"/>
        </w:rPr>
        <w:t xml:space="preserve">un </w:t>
      </w:r>
      <w:r w:rsidRPr="00AD1716">
        <w:rPr>
          <w:rFonts w:cs="Maiandra GD"/>
          <w:iCs/>
          <w:sz w:val="18"/>
          <w:lang w:val="fr-CH" w:eastAsia="nl-NL"/>
        </w:rPr>
        <w:t xml:space="preserve">essai biologique </w:t>
      </w:r>
      <w:r w:rsidR="00C63409">
        <w:rPr>
          <w:rFonts w:cs="Maiandra GD"/>
          <w:iCs/>
          <w:sz w:val="18"/>
          <w:lang w:val="fr-CH" w:eastAsia="nl-NL"/>
        </w:rPr>
        <w:t>de résistance à</w:t>
      </w:r>
      <w:r w:rsidRPr="00AD1716">
        <w:rPr>
          <w:rFonts w:cs="Maiandra GD"/>
          <w:iCs/>
          <w:sz w:val="18"/>
          <w:lang w:val="fr-CH" w:eastAsia="nl-NL"/>
        </w:rPr>
        <w:t xml:space="preserve"> </w:t>
      </w:r>
      <w:proofErr w:type="spellStart"/>
      <w:r w:rsidRPr="007B3C19">
        <w:rPr>
          <w:rFonts w:cs="Maiandra GD"/>
          <w:i/>
          <w:iCs/>
          <w:sz w:val="18"/>
          <w:lang w:val="fr-CH" w:eastAsia="nl-NL"/>
        </w:rPr>
        <w:t>Fusarium</w:t>
      </w:r>
      <w:proofErr w:type="spellEnd"/>
      <w:r w:rsidRPr="00AD1716">
        <w:rPr>
          <w:rFonts w:cs="Maiandra GD"/>
          <w:iCs/>
          <w:sz w:val="18"/>
          <w:lang w:val="fr-CH" w:eastAsia="nl-NL"/>
        </w:rPr>
        <w:t xml:space="preserve"> et de tests virologiques pour le poivron à multiplication végétative.</w:t>
      </w:r>
    </w:p>
    <w:p w:rsidR="00072873" w:rsidRPr="00AD1716" w:rsidRDefault="00072873" w:rsidP="00D604B3">
      <w:pPr>
        <w:spacing w:line="240" w:lineRule="atLeast"/>
        <w:ind w:left="567" w:right="567"/>
        <w:rPr>
          <w:rFonts w:cs="Maiandra GD"/>
          <w:i/>
          <w:iCs/>
          <w:sz w:val="18"/>
          <w:lang w:val="fr-CH" w:eastAsia="nl-NL"/>
        </w:rPr>
      </w:pPr>
    </w:p>
    <w:p w:rsidR="00072873" w:rsidRPr="00AD1716" w:rsidRDefault="00CA73C4" w:rsidP="00CA73C4">
      <w:pPr>
        <w:numPr>
          <w:ilvl w:val="0"/>
          <w:numId w:val="1"/>
        </w:numPr>
        <w:spacing w:line="240" w:lineRule="atLeast"/>
        <w:ind w:left="851" w:right="567" w:hanging="284"/>
        <w:rPr>
          <w:rFonts w:cs="Maiandra GD"/>
          <w:sz w:val="18"/>
          <w:lang w:val="fr-CH" w:eastAsia="nl-NL"/>
        </w:rPr>
      </w:pPr>
      <w:r w:rsidRPr="00AD1716">
        <w:rPr>
          <w:rFonts w:cs="Maiandra GD"/>
          <w:sz w:val="18"/>
          <w:lang w:val="fr-CH" w:eastAsia="nl-NL"/>
        </w:rPr>
        <w:t>Autres projets</w:t>
      </w:r>
      <w:r w:rsidR="00414730">
        <w:rPr>
          <w:rFonts w:cs="Maiandra GD"/>
          <w:sz w:val="18"/>
          <w:lang w:val="fr-CH" w:eastAsia="nl-NL"/>
        </w:rPr>
        <w:t> :</w:t>
      </w:r>
      <w:r w:rsidRPr="00AD1716">
        <w:rPr>
          <w:rFonts w:cs="Maiandra GD"/>
          <w:sz w:val="18"/>
          <w:lang w:val="fr-CH" w:eastAsia="nl-NL"/>
        </w:rPr>
        <w:t xml:space="preserve"> tests de résistance sous lumière LED, </w:t>
      </w:r>
      <w:proofErr w:type="spellStart"/>
      <w:r w:rsidRPr="00AD1716">
        <w:rPr>
          <w:rFonts w:cs="Maiandra GD"/>
          <w:sz w:val="18"/>
          <w:lang w:val="fr-CH" w:eastAsia="nl-NL"/>
        </w:rPr>
        <w:t>phénotypage</w:t>
      </w:r>
      <w:proofErr w:type="spellEnd"/>
      <w:r w:rsidRPr="00AD1716">
        <w:rPr>
          <w:rFonts w:cs="Maiandra GD"/>
          <w:sz w:val="18"/>
          <w:lang w:val="fr-CH" w:eastAsia="nl-NL"/>
        </w:rPr>
        <w:t xml:space="preserve">, </w:t>
      </w:r>
      <w:r w:rsidR="00905282" w:rsidRPr="00AD1716">
        <w:rPr>
          <w:rFonts w:cs="Maiandra GD"/>
          <w:sz w:val="18"/>
          <w:lang w:val="fr-CH" w:eastAsia="nl-NL"/>
        </w:rPr>
        <w:t xml:space="preserve">culture </w:t>
      </w:r>
      <w:r w:rsidRPr="00AD1716">
        <w:rPr>
          <w:rFonts w:cs="Maiandra GD"/>
          <w:sz w:val="18"/>
          <w:lang w:val="fr-CH" w:eastAsia="nl-NL"/>
        </w:rPr>
        <w:t>hydroponique pour la laitue</w:t>
      </w:r>
    </w:p>
    <w:p w:rsidR="00072873" w:rsidRPr="00AD1716" w:rsidRDefault="0032481E" w:rsidP="0032481E">
      <w:pPr>
        <w:ind w:left="567" w:right="567"/>
        <w:rPr>
          <w:sz w:val="18"/>
          <w:lang w:val="fr-CH"/>
        </w:rPr>
      </w:pPr>
      <w:r w:rsidRPr="00AD1716">
        <w:rPr>
          <w:rFonts w:cs="Maiandra GD"/>
          <w:sz w:val="18"/>
          <w:lang w:val="fr-CH" w:eastAsia="nl-NL"/>
        </w:rPr>
        <w:t>Projet visant à tester le type de lumière LED à privilégier</w:t>
      </w:r>
      <w:r w:rsidR="00905282" w:rsidRPr="00AD1716">
        <w:rPr>
          <w:rFonts w:cs="Maiandra GD"/>
          <w:sz w:val="18"/>
          <w:lang w:val="fr-CH" w:eastAsia="nl-NL"/>
        </w:rPr>
        <w:t>,</w:t>
      </w:r>
      <w:r w:rsidRPr="00AD1716">
        <w:rPr>
          <w:rFonts w:cs="Maiandra GD"/>
          <w:sz w:val="18"/>
          <w:lang w:val="fr-CH" w:eastAsia="nl-NL"/>
        </w:rPr>
        <w:t xml:space="preserve"> et à valider chaque test de résistance effectué dans les chambres climatiqu</w:t>
      </w:r>
      <w:r w:rsidR="003C7C9D" w:rsidRPr="00AD1716">
        <w:rPr>
          <w:rFonts w:cs="Maiandra GD"/>
          <w:sz w:val="18"/>
          <w:lang w:val="fr-CH" w:eastAsia="nl-NL"/>
        </w:rPr>
        <w:t>es.  Af</w:t>
      </w:r>
      <w:r w:rsidRPr="00AD1716">
        <w:rPr>
          <w:rFonts w:cs="Maiandra GD"/>
          <w:sz w:val="18"/>
          <w:lang w:val="fr-CH" w:eastAsia="nl-NL"/>
        </w:rPr>
        <w:t>in d</w:t>
      </w:r>
      <w:r w:rsidR="00414730">
        <w:rPr>
          <w:rFonts w:cs="Maiandra GD"/>
          <w:sz w:val="18"/>
          <w:lang w:val="fr-CH" w:eastAsia="nl-NL"/>
        </w:rPr>
        <w:t>’</w:t>
      </w:r>
      <w:r w:rsidRPr="00AD1716">
        <w:rPr>
          <w:rFonts w:cs="Maiandra GD"/>
          <w:sz w:val="18"/>
          <w:lang w:val="fr-CH" w:eastAsia="nl-NL"/>
        </w:rPr>
        <w:t xml:space="preserve">avoir une idée des possibilités de </w:t>
      </w:r>
      <w:proofErr w:type="spellStart"/>
      <w:r w:rsidRPr="00AD1716">
        <w:rPr>
          <w:rFonts w:cs="Maiandra GD"/>
          <w:sz w:val="18"/>
          <w:lang w:val="fr-CH" w:eastAsia="nl-NL"/>
        </w:rPr>
        <w:t>phénotypage</w:t>
      </w:r>
      <w:proofErr w:type="spellEnd"/>
      <w:r w:rsidRPr="00AD1716">
        <w:rPr>
          <w:rFonts w:cs="Maiandra GD"/>
          <w:sz w:val="18"/>
          <w:lang w:val="fr-CH" w:eastAsia="nl-NL"/>
        </w:rPr>
        <w:t xml:space="preserve"> dans les examens DHS, </w:t>
      </w:r>
      <w:proofErr w:type="spellStart"/>
      <w:r w:rsidRPr="00AD1716">
        <w:rPr>
          <w:rFonts w:cs="Maiandra GD"/>
          <w:sz w:val="18"/>
          <w:lang w:val="fr-CH" w:eastAsia="nl-NL"/>
        </w:rPr>
        <w:t>Naktuinbouw</w:t>
      </w:r>
      <w:proofErr w:type="spellEnd"/>
      <w:r w:rsidRPr="00AD1716">
        <w:rPr>
          <w:rFonts w:cs="Maiandra GD"/>
          <w:sz w:val="18"/>
          <w:lang w:val="fr-CH" w:eastAsia="nl-NL"/>
        </w:rPr>
        <w:t xml:space="preserve"> réalise cette année un projet pilote pour </w:t>
      </w:r>
      <w:proofErr w:type="spellStart"/>
      <w:r w:rsidRPr="00AD1716">
        <w:rPr>
          <w:rFonts w:cs="Maiandra GD"/>
          <w:i/>
          <w:sz w:val="18"/>
          <w:lang w:val="fr-CH" w:eastAsia="nl-NL"/>
        </w:rPr>
        <w:t>Phalaenops</w:t>
      </w:r>
      <w:r w:rsidR="003C7C9D" w:rsidRPr="00AD1716">
        <w:rPr>
          <w:rFonts w:cs="Maiandra GD"/>
          <w:i/>
          <w:sz w:val="18"/>
          <w:lang w:val="fr-CH" w:eastAsia="nl-NL"/>
        </w:rPr>
        <w:t>is</w:t>
      </w:r>
      <w:proofErr w:type="spellEnd"/>
      <w:r w:rsidR="003C7C9D" w:rsidRPr="00AD1716">
        <w:rPr>
          <w:rFonts w:cs="Maiandra GD"/>
          <w:i/>
          <w:sz w:val="18"/>
          <w:lang w:val="fr-CH" w:eastAsia="nl-NL"/>
        </w:rPr>
        <w:t xml:space="preserve">.  </w:t>
      </w:r>
      <w:r w:rsidR="003C7C9D" w:rsidRPr="00AD1716">
        <w:rPr>
          <w:rFonts w:cs="Maiandra GD"/>
          <w:sz w:val="18"/>
          <w:lang w:val="fr-CH" w:eastAsia="nl-NL"/>
        </w:rPr>
        <w:t>Co</w:t>
      </w:r>
      <w:r w:rsidRPr="00AD1716">
        <w:rPr>
          <w:rFonts w:cs="Maiandra GD"/>
          <w:sz w:val="18"/>
          <w:lang w:val="fr-CH" w:eastAsia="nl-NL"/>
        </w:rPr>
        <w:t xml:space="preserve">ncernant la laitue, un étudiant </w:t>
      </w:r>
      <w:r w:rsidR="00AD1716" w:rsidRPr="00AD1716">
        <w:rPr>
          <w:rFonts w:cs="Maiandra GD"/>
          <w:sz w:val="18"/>
          <w:lang w:val="fr-CH" w:eastAsia="nl-NL"/>
        </w:rPr>
        <w:t xml:space="preserve">fait des essais </w:t>
      </w:r>
      <w:r w:rsidRPr="00AD1716">
        <w:rPr>
          <w:rFonts w:cs="Maiandra GD"/>
          <w:sz w:val="18"/>
          <w:lang w:val="fr-CH" w:eastAsia="nl-NL"/>
        </w:rPr>
        <w:t xml:space="preserve">à </w:t>
      </w:r>
      <w:proofErr w:type="spellStart"/>
      <w:r w:rsidRPr="00AD1716">
        <w:rPr>
          <w:rFonts w:cs="Maiandra GD"/>
          <w:sz w:val="18"/>
          <w:lang w:val="fr-CH" w:eastAsia="nl-NL"/>
        </w:rPr>
        <w:t>Naktuinbouw</w:t>
      </w:r>
      <w:proofErr w:type="spellEnd"/>
      <w:r w:rsidRPr="00AD1716">
        <w:rPr>
          <w:rFonts w:cs="Maiandra GD"/>
          <w:sz w:val="18"/>
          <w:lang w:val="fr-CH" w:eastAsia="nl-NL"/>
        </w:rPr>
        <w:t xml:space="preserve"> </w:t>
      </w:r>
      <w:r w:rsidR="00AD1716" w:rsidRPr="00AD1716">
        <w:rPr>
          <w:rFonts w:cs="Maiandra GD"/>
          <w:sz w:val="18"/>
          <w:lang w:val="fr-CH" w:eastAsia="nl-NL"/>
        </w:rPr>
        <w:t xml:space="preserve">pour </w:t>
      </w:r>
      <w:r w:rsidRPr="00AD1716">
        <w:rPr>
          <w:rFonts w:cs="Maiandra GD"/>
          <w:sz w:val="18"/>
          <w:lang w:val="fr-CH" w:eastAsia="nl-NL"/>
        </w:rPr>
        <w:t>effectuer un examen</w:t>
      </w:r>
      <w:r w:rsidR="00F30186" w:rsidRPr="00AD1716">
        <w:rPr>
          <w:rFonts w:cs="Maiandra GD"/>
          <w:sz w:val="18"/>
          <w:lang w:val="fr-CH" w:eastAsia="nl-NL"/>
        </w:rPr>
        <w:t> </w:t>
      </w:r>
      <w:r w:rsidRPr="00AD1716">
        <w:rPr>
          <w:rFonts w:cs="Maiandra GD"/>
          <w:sz w:val="18"/>
          <w:lang w:val="fr-CH" w:eastAsia="nl-NL"/>
        </w:rPr>
        <w:t>DHS avec un système de culture hydroponique</w:t>
      </w:r>
      <w:r w:rsidR="00255288" w:rsidRPr="00AD1716">
        <w:rPr>
          <w:rFonts w:cs="Maiandra GD"/>
          <w:sz w:val="18"/>
          <w:lang w:val="fr-CH" w:eastAsia="nl-NL"/>
        </w:rPr>
        <w:t>.”</w:t>
      </w:r>
    </w:p>
    <w:p w:rsidR="00072873" w:rsidRPr="00AD1716" w:rsidRDefault="00072873" w:rsidP="00050E16">
      <w:pPr>
        <w:jc w:val="right"/>
        <w:rPr>
          <w:lang w:val="fr-CH"/>
        </w:rPr>
      </w:pPr>
    </w:p>
    <w:p w:rsidR="00072873" w:rsidRPr="00AD1716" w:rsidRDefault="00072873" w:rsidP="00050E16">
      <w:pPr>
        <w:jc w:val="right"/>
        <w:rPr>
          <w:lang w:val="fr-CH"/>
        </w:rPr>
      </w:pPr>
    </w:p>
    <w:p w:rsidR="00255288" w:rsidRPr="00AD1716" w:rsidRDefault="00255288" w:rsidP="00050E16">
      <w:pPr>
        <w:jc w:val="right"/>
        <w:rPr>
          <w:lang w:val="fr-CH"/>
        </w:rPr>
      </w:pPr>
    </w:p>
    <w:p w:rsidR="00072873" w:rsidRPr="00AD1716" w:rsidRDefault="004E4BA6" w:rsidP="0032481E">
      <w:pPr>
        <w:jc w:val="right"/>
        <w:rPr>
          <w:lang w:val="fr-CH"/>
        </w:rPr>
      </w:pPr>
      <w:r>
        <w:rPr>
          <w:lang w:val="fr-CH"/>
        </w:rPr>
        <w:t xml:space="preserve"> </w:t>
      </w:r>
      <w:r w:rsidR="0032481E" w:rsidRPr="00AD1716">
        <w:rPr>
          <w:lang w:val="fr-CH"/>
        </w:rPr>
        <w:t>[Fin du document]</w:t>
      </w:r>
      <w:bookmarkStart w:id="5" w:name="_GoBack"/>
      <w:bookmarkEnd w:id="5"/>
    </w:p>
    <w:sectPr w:rsidR="00072873" w:rsidRPr="00AD1716" w:rsidSect="00906DDC">
      <w:headerReference w:type="even" r:id="rId8"/>
      <w:headerReference w:type="default" r:id="rId9"/>
      <w:footerReference w:type="even" r:id="rId10"/>
      <w:footerReference w:type="default" r:id="rId11"/>
      <w:headerReference w:type="first" r:id="rId12"/>
      <w:foot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1A0" w:rsidRDefault="00F101A0" w:rsidP="006655D3">
      <w:r>
        <w:separator/>
      </w:r>
    </w:p>
    <w:p w:rsidR="00F101A0" w:rsidRDefault="00F101A0" w:rsidP="006655D3"/>
    <w:p w:rsidR="00F101A0" w:rsidRDefault="00F101A0" w:rsidP="006655D3"/>
  </w:endnote>
  <w:endnote w:type="continuationSeparator" w:id="0">
    <w:p w:rsidR="00F101A0" w:rsidRDefault="00F101A0" w:rsidP="006655D3">
      <w:r>
        <w:separator/>
      </w:r>
    </w:p>
    <w:p w:rsidR="00F101A0" w:rsidRPr="00294751" w:rsidRDefault="00F101A0">
      <w:pPr>
        <w:pStyle w:val="Footer"/>
        <w:spacing w:after="60"/>
        <w:rPr>
          <w:sz w:val="18"/>
          <w:lang w:val="fr-FR"/>
        </w:rPr>
      </w:pPr>
      <w:r w:rsidRPr="00294751">
        <w:rPr>
          <w:sz w:val="18"/>
          <w:lang w:val="fr-FR"/>
        </w:rPr>
        <w:t>[Suite de la note de la page précédente]</w:t>
      </w:r>
    </w:p>
    <w:p w:rsidR="00F101A0" w:rsidRPr="00294751" w:rsidRDefault="00F101A0" w:rsidP="006655D3">
      <w:pPr>
        <w:rPr>
          <w:lang w:val="fr-FR"/>
        </w:rPr>
      </w:pPr>
    </w:p>
    <w:p w:rsidR="00F101A0" w:rsidRPr="00294751" w:rsidRDefault="00F101A0" w:rsidP="006655D3">
      <w:pPr>
        <w:rPr>
          <w:lang w:val="fr-FR"/>
        </w:rPr>
      </w:pPr>
    </w:p>
  </w:endnote>
  <w:endnote w:type="continuationNotice" w:id="1">
    <w:p w:rsidR="00F101A0" w:rsidRPr="00294751" w:rsidRDefault="00F101A0" w:rsidP="006655D3">
      <w:pPr>
        <w:rPr>
          <w:lang w:val="fr-FR"/>
        </w:rPr>
      </w:pPr>
      <w:r w:rsidRPr="00294751">
        <w:rPr>
          <w:lang w:val="fr-FR"/>
        </w:rPr>
        <w:t>[Suite de la note page suivante]</w:t>
      </w:r>
    </w:p>
    <w:p w:rsidR="00F101A0" w:rsidRPr="00294751" w:rsidRDefault="00F101A0" w:rsidP="006655D3">
      <w:pPr>
        <w:rPr>
          <w:lang w:val="fr-FR"/>
        </w:rPr>
      </w:pPr>
    </w:p>
    <w:p w:rsidR="00F101A0" w:rsidRPr="00294751" w:rsidRDefault="00F101A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1C" w:rsidRDefault="008C0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1C" w:rsidRDefault="008C0D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1C" w:rsidRDefault="008C0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1A0" w:rsidRDefault="00F101A0" w:rsidP="006655D3">
      <w:r>
        <w:separator/>
      </w:r>
    </w:p>
  </w:footnote>
  <w:footnote w:type="continuationSeparator" w:id="0">
    <w:p w:rsidR="00F101A0" w:rsidRDefault="00F101A0" w:rsidP="006655D3">
      <w:r>
        <w:separator/>
      </w:r>
    </w:p>
  </w:footnote>
  <w:footnote w:type="continuationNotice" w:id="1">
    <w:p w:rsidR="00F101A0" w:rsidRPr="00AB530F" w:rsidRDefault="00F101A0" w:rsidP="00AB530F">
      <w:pPr>
        <w:pStyle w:val="Footer"/>
      </w:pPr>
    </w:p>
  </w:footnote>
  <w:footnote w:id="2">
    <w:p w:rsidR="0026071C" w:rsidRPr="00905282" w:rsidRDefault="0026071C" w:rsidP="0026071C">
      <w:pPr>
        <w:pStyle w:val="FootnoteText"/>
        <w:rPr>
          <w:lang w:val="fr-CH"/>
        </w:rPr>
      </w:pPr>
      <w:r w:rsidRPr="00905282">
        <w:rPr>
          <w:rStyle w:val="FootnoteReference"/>
        </w:rPr>
        <w:footnoteRef/>
      </w:r>
      <w:r w:rsidRPr="00905282">
        <w:rPr>
          <w:lang w:val="fr-CH"/>
        </w:rPr>
        <w:t xml:space="preserve"> Lors de sa cinquante</w:t>
      </w:r>
      <w:r w:rsidR="00147D02">
        <w:rPr>
          <w:lang w:val="fr-CH"/>
        </w:rPr>
        <w:t>-</w:t>
      </w:r>
      <w:r w:rsidRPr="00905282">
        <w:rPr>
          <w:lang w:val="fr-CH"/>
        </w:rPr>
        <w:t>quatr</w:t>
      </w:r>
      <w:r w:rsidR="00147D02">
        <w:rPr>
          <w:lang w:val="fr-CH"/>
        </w:rPr>
        <w:t>ième session</w:t>
      </w:r>
      <w:r w:rsidRPr="00905282">
        <w:rPr>
          <w:lang w:val="fr-CH"/>
        </w:rPr>
        <w:t xml:space="preserve"> qui s</w:t>
      </w:r>
      <w:r w:rsidR="00147D02">
        <w:rPr>
          <w:lang w:val="fr-CH"/>
        </w:rPr>
        <w:t>’</w:t>
      </w:r>
      <w:r w:rsidRPr="00905282">
        <w:rPr>
          <w:lang w:val="fr-CH"/>
        </w:rPr>
        <w:t>est tenue du 11 au 1</w:t>
      </w:r>
      <w:r w:rsidR="007219F6" w:rsidRPr="00905282">
        <w:rPr>
          <w:lang w:val="fr-CH"/>
        </w:rPr>
        <w:t>5 mai 20</w:t>
      </w:r>
      <w:r w:rsidRPr="00905282">
        <w:rPr>
          <w:lang w:val="fr-CH"/>
        </w:rPr>
        <w:t>20.</w:t>
      </w:r>
    </w:p>
  </w:footnote>
  <w:footnote w:id="3">
    <w:p w:rsidR="0026071C" w:rsidRPr="00905282" w:rsidRDefault="0026071C" w:rsidP="0026071C">
      <w:pPr>
        <w:pStyle w:val="FootnoteText"/>
        <w:rPr>
          <w:lang w:val="fr-CH"/>
        </w:rPr>
      </w:pPr>
      <w:r w:rsidRPr="00905282">
        <w:rPr>
          <w:rStyle w:val="FootnoteReference"/>
        </w:rPr>
        <w:footnoteRef/>
      </w:r>
      <w:r w:rsidRPr="00905282">
        <w:rPr>
          <w:lang w:val="fr-CH"/>
        </w:rPr>
        <w:t xml:space="preserve"> Lors de sa cinquante</w:t>
      </w:r>
      <w:r w:rsidR="00147D02">
        <w:rPr>
          <w:lang w:val="fr-CH"/>
        </w:rPr>
        <w:t>-</w:t>
      </w:r>
      <w:r w:rsidRPr="00905282">
        <w:rPr>
          <w:lang w:val="fr-CH"/>
        </w:rPr>
        <w:t>deux</w:t>
      </w:r>
      <w:r w:rsidR="00147D02">
        <w:rPr>
          <w:lang w:val="fr-CH"/>
        </w:rPr>
        <w:t>ième session</w:t>
      </w:r>
      <w:r w:rsidRPr="00905282">
        <w:rPr>
          <w:lang w:val="fr-CH"/>
        </w:rPr>
        <w:t xml:space="preserve"> qui s</w:t>
      </w:r>
      <w:r w:rsidR="00147D02">
        <w:rPr>
          <w:lang w:val="fr-CH"/>
        </w:rPr>
        <w:t>’</w:t>
      </w:r>
      <w:r w:rsidRPr="00905282">
        <w:rPr>
          <w:lang w:val="fr-CH"/>
        </w:rPr>
        <w:t>est tenue du 8 au 1</w:t>
      </w:r>
      <w:r w:rsidR="007219F6" w:rsidRPr="00905282">
        <w:rPr>
          <w:lang w:val="fr-CH"/>
        </w:rPr>
        <w:t>2 juin 20</w:t>
      </w:r>
      <w:r w:rsidRPr="00905282">
        <w:rPr>
          <w:lang w:val="fr-CH"/>
        </w:rPr>
        <w:t>20.</w:t>
      </w:r>
    </w:p>
  </w:footnote>
  <w:footnote w:id="4">
    <w:p w:rsidR="0026071C" w:rsidRPr="00905282" w:rsidRDefault="0026071C" w:rsidP="0026071C">
      <w:pPr>
        <w:pStyle w:val="FootnoteText"/>
        <w:rPr>
          <w:lang w:val="fr-CH"/>
        </w:rPr>
      </w:pPr>
      <w:r w:rsidRPr="00905282">
        <w:rPr>
          <w:rStyle w:val="FootnoteReference"/>
        </w:rPr>
        <w:footnoteRef/>
      </w:r>
      <w:r w:rsidRPr="00905282">
        <w:rPr>
          <w:lang w:val="fr-CH"/>
        </w:rPr>
        <w:t xml:space="preserve"> Lors de sa quarante</w:t>
      </w:r>
      <w:r w:rsidR="00147D02">
        <w:rPr>
          <w:lang w:val="fr-CH"/>
        </w:rPr>
        <w:t>-</w:t>
      </w:r>
      <w:r w:rsidRPr="00905282">
        <w:rPr>
          <w:lang w:val="fr-CH"/>
        </w:rPr>
        <w:t>neuv</w:t>
      </w:r>
      <w:r w:rsidR="00147D02">
        <w:rPr>
          <w:lang w:val="fr-CH"/>
        </w:rPr>
        <w:t>ième session</w:t>
      </w:r>
      <w:r w:rsidRPr="00905282">
        <w:rPr>
          <w:lang w:val="fr-CH"/>
        </w:rPr>
        <w:t xml:space="preserve"> qui s</w:t>
      </w:r>
      <w:r w:rsidR="00147D02">
        <w:rPr>
          <w:lang w:val="fr-CH"/>
        </w:rPr>
        <w:t>’</w:t>
      </w:r>
      <w:r w:rsidRPr="00905282">
        <w:rPr>
          <w:lang w:val="fr-CH"/>
        </w:rPr>
        <w:t>est tenue du 22 au 2</w:t>
      </w:r>
      <w:r w:rsidR="007219F6" w:rsidRPr="00905282">
        <w:rPr>
          <w:lang w:val="fr-CH"/>
        </w:rPr>
        <w:t>6 juin 20</w:t>
      </w:r>
      <w:r w:rsidRPr="00905282">
        <w:rPr>
          <w:lang w:val="fr-CH"/>
        </w:rPr>
        <w:t>20.</w:t>
      </w:r>
    </w:p>
  </w:footnote>
  <w:footnote w:id="5">
    <w:p w:rsidR="0026071C" w:rsidRPr="00905282" w:rsidRDefault="0026071C" w:rsidP="0026071C">
      <w:pPr>
        <w:pStyle w:val="FootnoteText"/>
        <w:rPr>
          <w:lang w:val="fr-CH"/>
        </w:rPr>
      </w:pPr>
      <w:r w:rsidRPr="00905282">
        <w:rPr>
          <w:rStyle w:val="FootnoteReference"/>
        </w:rPr>
        <w:footnoteRef/>
      </w:r>
      <w:r w:rsidRPr="00905282">
        <w:rPr>
          <w:lang w:val="fr-CH"/>
        </w:rPr>
        <w:t xml:space="preserve"> Lors de sa cinquante</w:t>
      </w:r>
      <w:r w:rsidR="00147D02">
        <w:rPr>
          <w:lang w:val="fr-CH"/>
        </w:rPr>
        <w:t> et unième session</w:t>
      </w:r>
      <w:r w:rsidRPr="00905282">
        <w:rPr>
          <w:lang w:val="fr-CH"/>
        </w:rPr>
        <w:t xml:space="preserve"> qui s</w:t>
      </w:r>
      <w:r w:rsidR="00147D02">
        <w:rPr>
          <w:lang w:val="fr-CH"/>
        </w:rPr>
        <w:t>’</w:t>
      </w:r>
      <w:r w:rsidRPr="00905282">
        <w:rPr>
          <w:lang w:val="fr-CH"/>
        </w:rPr>
        <w:t>est tenue du 6 au 1</w:t>
      </w:r>
      <w:r w:rsidR="007219F6" w:rsidRPr="00905282">
        <w:rPr>
          <w:lang w:val="fr-CH"/>
        </w:rPr>
        <w:t>0 juillet 20</w:t>
      </w:r>
      <w:r w:rsidRPr="00905282">
        <w:rPr>
          <w:lang w:val="fr-CH"/>
        </w:rPr>
        <w:t>20.</w:t>
      </w:r>
    </w:p>
  </w:footnote>
  <w:footnote w:id="6">
    <w:p w:rsidR="0026071C" w:rsidRPr="00905282" w:rsidRDefault="0026071C" w:rsidP="0026071C">
      <w:pPr>
        <w:pStyle w:val="FootnoteText"/>
        <w:rPr>
          <w:lang w:val="fr-CH"/>
        </w:rPr>
      </w:pPr>
      <w:r w:rsidRPr="00905282">
        <w:rPr>
          <w:rStyle w:val="FootnoteReference"/>
        </w:rPr>
        <w:footnoteRef/>
      </w:r>
      <w:r w:rsidRPr="00905282">
        <w:rPr>
          <w:lang w:val="fr-CH"/>
        </w:rPr>
        <w:t xml:space="preserve"> Lors de sa trente</w:t>
      </w:r>
      <w:r w:rsidR="00147D02">
        <w:rPr>
          <w:lang w:val="fr-CH"/>
        </w:rPr>
        <w:t>-</w:t>
      </w:r>
      <w:r w:rsidRPr="00905282">
        <w:rPr>
          <w:lang w:val="fr-CH"/>
        </w:rPr>
        <w:t>huit</w:t>
      </w:r>
      <w:r w:rsidR="00147D02">
        <w:rPr>
          <w:lang w:val="fr-CH"/>
        </w:rPr>
        <w:t>ième session</w:t>
      </w:r>
      <w:r w:rsidRPr="00905282">
        <w:rPr>
          <w:lang w:val="fr-CH"/>
        </w:rPr>
        <w:t xml:space="preserve"> qui s</w:t>
      </w:r>
      <w:r w:rsidR="00147D02">
        <w:rPr>
          <w:lang w:val="fr-CH"/>
        </w:rPr>
        <w:t>’</w:t>
      </w:r>
      <w:r w:rsidRPr="00905282">
        <w:rPr>
          <w:lang w:val="fr-CH"/>
        </w:rPr>
        <w:t>est tenue du 21 au 2</w:t>
      </w:r>
      <w:r w:rsidR="007219F6" w:rsidRPr="00905282">
        <w:rPr>
          <w:lang w:val="fr-CH"/>
        </w:rPr>
        <w:t>3 septembre 20</w:t>
      </w:r>
      <w:r w:rsidRPr="00905282">
        <w:rPr>
          <w:lang w:val="fr-CH"/>
        </w:rPr>
        <w:t>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1C" w:rsidRDefault="008C0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4A2014" w:rsidP="00EB048E">
    <w:pPr>
      <w:pStyle w:val="Header"/>
      <w:rPr>
        <w:rStyle w:val="PageNumber"/>
        <w:lang w:val="en-US"/>
      </w:rPr>
    </w:pPr>
    <w:r>
      <w:rPr>
        <w:rStyle w:val="PageNumber"/>
        <w:lang w:val="en-US"/>
      </w:rPr>
      <w:t>TC/56/INF/5</w:t>
    </w:r>
  </w:p>
  <w:p w:rsidR="00182B99" w:rsidRPr="00C5280D" w:rsidRDefault="00182B99" w:rsidP="00EB048E">
    <w:pPr>
      <w:pStyle w:val="Header"/>
      <w:rPr>
        <w:lang w:val="en-US"/>
      </w:rPr>
    </w:pPr>
    <w:proofErr w:type="gramStart"/>
    <w:r w:rsidRPr="00C5280D">
      <w:rPr>
        <w:lang w:val="en-US"/>
      </w:rPr>
      <w:t>page</w:t>
    </w:r>
    <w:proofErr w:type="gramEnd"/>
    <w:r w:rsidR="003C7C9D">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4BA6">
      <w:rPr>
        <w:rStyle w:val="PageNumber"/>
        <w:noProof/>
        <w:lang w:val="en-US"/>
      </w:rPr>
      <w:t>2</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D1C" w:rsidRDefault="008C0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05694"/>
    <w:multiLevelType w:val="hybridMultilevel"/>
    <w:tmpl w:val="420EA1F4"/>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am Server TMs\Default|Team Server TMs\French|Team Server TMs\French|TextBase TMs\WorkspaceFTS\Development\Development|TextBase TMs\WorkspaceFTS\xLegacy\Academy|TextBase TMs\WorkspaceFTS\xLegacy\Administrative|TextBase TMs\WorkspaceFTS\xLegacy\Budget and Finance|TextBase TMs\WorkspaceFTS\xLegacy\IP_Press_Other|TextBase TMs\WorkspaceFTS\xLegacy\Trademark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F101A0"/>
    <w:rsid w:val="00001F41"/>
    <w:rsid w:val="00010CF3"/>
    <w:rsid w:val="00011E27"/>
    <w:rsid w:val="000148BC"/>
    <w:rsid w:val="00024AB8"/>
    <w:rsid w:val="00030854"/>
    <w:rsid w:val="00036028"/>
    <w:rsid w:val="00036D11"/>
    <w:rsid w:val="000375CA"/>
    <w:rsid w:val="00044642"/>
    <w:rsid w:val="000446B9"/>
    <w:rsid w:val="00047E21"/>
    <w:rsid w:val="00050E16"/>
    <w:rsid w:val="00072873"/>
    <w:rsid w:val="00085505"/>
    <w:rsid w:val="00096B08"/>
    <w:rsid w:val="000B29B6"/>
    <w:rsid w:val="000C4E25"/>
    <w:rsid w:val="000C7021"/>
    <w:rsid w:val="000D6BBC"/>
    <w:rsid w:val="000D7780"/>
    <w:rsid w:val="000E636A"/>
    <w:rsid w:val="000F2F11"/>
    <w:rsid w:val="00105929"/>
    <w:rsid w:val="00110C36"/>
    <w:rsid w:val="001131D5"/>
    <w:rsid w:val="00125B2C"/>
    <w:rsid w:val="0013222A"/>
    <w:rsid w:val="00141DB8"/>
    <w:rsid w:val="00147D02"/>
    <w:rsid w:val="00172084"/>
    <w:rsid w:val="0017474A"/>
    <w:rsid w:val="001758C6"/>
    <w:rsid w:val="00182B99"/>
    <w:rsid w:val="001833F7"/>
    <w:rsid w:val="00185BB5"/>
    <w:rsid w:val="001B62CB"/>
    <w:rsid w:val="001D1213"/>
    <w:rsid w:val="0020054C"/>
    <w:rsid w:val="0021332C"/>
    <w:rsid w:val="00213982"/>
    <w:rsid w:val="0024416D"/>
    <w:rsid w:val="00252944"/>
    <w:rsid w:val="00255288"/>
    <w:rsid w:val="0026071C"/>
    <w:rsid w:val="00271911"/>
    <w:rsid w:val="002800A0"/>
    <w:rsid w:val="002801B3"/>
    <w:rsid w:val="00281060"/>
    <w:rsid w:val="002929C1"/>
    <w:rsid w:val="002940E8"/>
    <w:rsid w:val="00294751"/>
    <w:rsid w:val="002A6E50"/>
    <w:rsid w:val="002B2810"/>
    <w:rsid w:val="002B4298"/>
    <w:rsid w:val="002C256A"/>
    <w:rsid w:val="00304827"/>
    <w:rsid w:val="00305A7F"/>
    <w:rsid w:val="00310B95"/>
    <w:rsid w:val="003152FE"/>
    <w:rsid w:val="0032481E"/>
    <w:rsid w:val="00327436"/>
    <w:rsid w:val="00340D10"/>
    <w:rsid w:val="00344BD6"/>
    <w:rsid w:val="0035528D"/>
    <w:rsid w:val="00357E26"/>
    <w:rsid w:val="00361821"/>
    <w:rsid w:val="00361E9E"/>
    <w:rsid w:val="00391670"/>
    <w:rsid w:val="003B3EE1"/>
    <w:rsid w:val="003C7C9D"/>
    <w:rsid w:val="003C7FBE"/>
    <w:rsid w:val="003D227C"/>
    <w:rsid w:val="003D2B4D"/>
    <w:rsid w:val="003F37A5"/>
    <w:rsid w:val="0041225A"/>
    <w:rsid w:val="00414730"/>
    <w:rsid w:val="00437795"/>
    <w:rsid w:val="00444A88"/>
    <w:rsid w:val="00474DA4"/>
    <w:rsid w:val="00476B4D"/>
    <w:rsid w:val="004805FA"/>
    <w:rsid w:val="004935D2"/>
    <w:rsid w:val="004A2014"/>
    <w:rsid w:val="004B1215"/>
    <w:rsid w:val="004D047D"/>
    <w:rsid w:val="004D6A22"/>
    <w:rsid w:val="004E4BA6"/>
    <w:rsid w:val="004F1E9E"/>
    <w:rsid w:val="004F305A"/>
    <w:rsid w:val="004F6F6A"/>
    <w:rsid w:val="00512164"/>
    <w:rsid w:val="00513C24"/>
    <w:rsid w:val="00515F7C"/>
    <w:rsid w:val="00520297"/>
    <w:rsid w:val="005269A6"/>
    <w:rsid w:val="005338F9"/>
    <w:rsid w:val="0054281C"/>
    <w:rsid w:val="00544581"/>
    <w:rsid w:val="0055268D"/>
    <w:rsid w:val="00576BE4"/>
    <w:rsid w:val="005817D9"/>
    <w:rsid w:val="00596608"/>
    <w:rsid w:val="005A400A"/>
    <w:rsid w:val="005A49CA"/>
    <w:rsid w:val="005A6FAE"/>
    <w:rsid w:val="005D1380"/>
    <w:rsid w:val="005F7B92"/>
    <w:rsid w:val="00612379"/>
    <w:rsid w:val="006153B6"/>
    <w:rsid w:val="0061555F"/>
    <w:rsid w:val="00636CA6"/>
    <w:rsid w:val="00641200"/>
    <w:rsid w:val="00642B23"/>
    <w:rsid w:val="00645CA8"/>
    <w:rsid w:val="006655D3"/>
    <w:rsid w:val="00667404"/>
    <w:rsid w:val="00687EB4"/>
    <w:rsid w:val="00695C56"/>
    <w:rsid w:val="006A5CDE"/>
    <w:rsid w:val="006A644A"/>
    <w:rsid w:val="006A7A9F"/>
    <w:rsid w:val="006B17D2"/>
    <w:rsid w:val="006B4A1F"/>
    <w:rsid w:val="006C224E"/>
    <w:rsid w:val="006D1444"/>
    <w:rsid w:val="006D7435"/>
    <w:rsid w:val="006D780A"/>
    <w:rsid w:val="006E527F"/>
    <w:rsid w:val="00703082"/>
    <w:rsid w:val="0071271E"/>
    <w:rsid w:val="007219F6"/>
    <w:rsid w:val="00732DEC"/>
    <w:rsid w:val="00735BD5"/>
    <w:rsid w:val="00743229"/>
    <w:rsid w:val="00751613"/>
    <w:rsid w:val="007556F6"/>
    <w:rsid w:val="00760EEF"/>
    <w:rsid w:val="007645F2"/>
    <w:rsid w:val="00777EE5"/>
    <w:rsid w:val="00784836"/>
    <w:rsid w:val="0079023E"/>
    <w:rsid w:val="007A1CCA"/>
    <w:rsid w:val="007A2854"/>
    <w:rsid w:val="007B3C19"/>
    <w:rsid w:val="007C1D92"/>
    <w:rsid w:val="007C4CB9"/>
    <w:rsid w:val="007C7E22"/>
    <w:rsid w:val="007D0B9D"/>
    <w:rsid w:val="007D19B0"/>
    <w:rsid w:val="007F498F"/>
    <w:rsid w:val="0080679D"/>
    <w:rsid w:val="008108B0"/>
    <w:rsid w:val="00811B20"/>
    <w:rsid w:val="008211B5"/>
    <w:rsid w:val="00822657"/>
    <w:rsid w:val="0082296E"/>
    <w:rsid w:val="00824099"/>
    <w:rsid w:val="008326A0"/>
    <w:rsid w:val="00846D7C"/>
    <w:rsid w:val="008619BE"/>
    <w:rsid w:val="00867AC1"/>
    <w:rsid w:val="00882C6F"/>
    <w:rsid w:val="00890DF8"/>
    <w:rsid w:val="008A743F"/>
    <w:rsid w:val="008B6E60"/>
    <w:rsid w:val="008B73A5"/>
    <w:rsid w:val="008C0970"/>
    <w:rsid w:val="008C0D1C"/>
    <w:rsid w:val="008C4949"/>
    <w:rsid w:val="008D01EE"/>
    <w:rsid w:val="008D0BC5"/>
    <w:rsid w:val="008D2CF7"/>
    <w:rsid w:val="008D7E86"/>
    <w:rsid w:val="00900C26"/>
    <w:rsid w:val="0090197F"/>
    <w:rsid w:val="00905282"/>
    <w:rsid w:val="00906DDC"/>
    <w:rsid w:val="0091714B"/>
    <w:rsid w:val="00917E2D"/>
    <w:rsid w:val="00934E09"/>
    <w:rsid w:val="00935115"/>
    <w:rsid w:val="00936253"/>
    <w:rsid w:val="009369B8"/>
    <w:rsid w:val="00940D46"/>
    <w:rsid w:val="00952DD4"/>
    <w:rsid w:val="00965AE7"/>
    <w:rsid w:val="00970FED"/>
    <w:rsid w:val="00981F67"/>
    <w:rsid w:val="00992D82"/>
    <w:rsid w:val="00997029"/>
    <w:rsid w:val="009A6F23"/>
    <w:rsid w:val="009A7339"/>
    <w:rsid w:val="009B440E"/>
    <w:rsid w:val="009D690D"/>
    <w:rsid w:val="009E1A2A"/>
    <w:rsid w:val="009E65B6"/>
    <w:rsid w:val="00A24C10"/>
    <w:rsid w:val="00A308C3"/>
    <w:rsid w:val="00A37C2B"/>
    <w:rsid w:val="00A42AC3"/>
    <w:rsid w:val="00A430CF"/>
    <w:rsid w:val="00A54309"/>
    <w:rsid w:val="00A8305C"/>
    <w:rsid w:val="00AA18B2"/>
    <w:rsid w:val="00AB2B93"/>
    <w:rsid w:val="00AB530F"/>
    <w:rsid w:val="00AB7E5B"/>
    <w:rsid w:val="00AC2883"/>
    <w:rsid w:val="00AC629E"/>
    <w:rsid w:val="00AD1716"/>
    <w:rsid w:val="00AE0EF1"/>
    <w:rsid w:val="00AE2347"/>
    <w:rsid w:val="00AE2937"/>
    <w:rsid w:val="00B07301"/>
    <w:rsid w:val="00B104FC"/>
    <w:rsid w:val="00B11E7E"/>
    <w:rsid w:val="00B11F3E"/>
    <w:rsid w:val="00B224DE"/>
    <w:rsid w:val="00B30AD0"/>
    <w:rsid w:val="00B31E8A"/>
    <w:rsid w:val="00B324D4"/>
    <w:rsid w:val="00B46575"/>
    <w:rsid w:val="00B511AF"/>
    <w:rsid w:val="00B61777"/>
    <w:rsid w:val="00B84BBD"/>
    <w:rsid w:val="00B97F2C"/>
    <w:rsid w:val="00BA43FB"/>
    <w:rsid w:val="00BC127D"/>
    <w:rsid w:val="00BC1FE6"/>
    <w:rsid w:val="00BE6608"/>
    <w:rsid w:val="00C061B6"/>
    <w:rsid w:val="00C22181"/>
    <w:rsid w:val="00C239B5"/>
    <w:rsid w:val="00C2446C"/>
    <w:rsid w:val="00C335A0"/>
    <w:rsid w:val="00C36AE5"/>
    <w:rsid w:val="00C41F17"/>
    <w:rsid w:val="00C527FA"/>
    <w:rsid w:val="00C5280D"/>
    <w:rsid w:val="00C53EB3"/>
    <w:rsid w:val="00C5791C"/>
    <w:rsid w:val="00C62BAE"/>
    <w:rsid w:val="00C63409"/>
    <w:rsid w:val="00C66290"/>
    <w:rsid w:val="00C72B7A"/>
    <w:rsid w:val="00C973F2"/>
    <w:rsid w:val="00CA304C"/>
    <w:rsid w:val="00CA73C4"/>
    <w:rsid w:val="00CA774A"/>
    <w:rsid w:val="00CC11B0"/>
    <w:rsid w:val="00CC2841"/>
    <w:rsid w:val="00CC2A9D"/>
    <w:rsid w:val="00CF1330"/>
    <w:rsid w:val="00CF7E36"/>
    <w:rsid w:val="00D02ACF"/>
    <w:rsid w:val="00D3708D"/>
    <w:rsid w:val="00D40426"/>
    <w:rsid w:val="00D474B3"/>
    <w:rsid w:val="00D538E2"/>
    <w:rsid w:val="00D57C96"/>
    <w:rsid w:val="00D57D18"/>
    <w:rsid w:val="00D604B3"/>
    <w:rsid w:val="00D769AD"/>
    <w:rsid w:val="00D91203"/>
    <w:rsid w:val="00D95174"/>
    <w:rsid w:val="00DA2BBD"/>
    <w:rsid w:val="00DA4973"/>
    <w:rsid w:val="00DA6F36"/>
    <w:rsid w:val="00DB596E"/>
    <w:rsid w:val="00DB7773"/>
    <w:rsid w:val="00DC00EA"/>
    <w:rsid w:val="00DC3802"/>
    <w:rsid w:val="00DD7591"/>
    <w:rsid w:val="00E047E0"/>
    <w:rsid w:val="00E07D87"/>
    <w:rsid w:val="00E16FDF"/>
    <w:rsid w:val="00E32F7E"/>
    <w:rsid w:val="00E44F4E"/>
    <w:rsid w:val="00E5267B"/>
    <w:rsid w:val="00E63C0E"/>
    <w:rsid w:val="00E72D49"/>
    <w:rsid w:val="00E75233"/>
    <w:rsid w:val="00E7593C"/>
    <w:rsid w:val="00E7678A"/>
    <w:rsid w:val="00E92AA7"/>
    <w:rsid w:val="00E935F1"/>
    <w:rsid w:val="00E94A81"/>
    <w:rsid w:val="00EA1FFB"/>
    <w:rsid w:val="00EB048E"/>
    <w:rsid w:val="00EB4E9C"/>
    <w:rsid w:val="00EE34DF"/>
    <w:rsid w:val="00EF2F89"/>
    <w:rsid w:val="00F03E98"/>
    <w:rsid w:val="00F04003"/>
    <w:rsid w:val="00F046CA"/>
    <w:rsid w:val="00F101A0"/>
    <w:rsid w:val="00F1237A"/>
    <w:rsid w:val="00F159F2"/>
    <w:rsid w:val="00F1646C"/>
    <w:rsid w:val="00F22CBD"/>
    <w:rsid w:val="00F272F1"/>
    <w:rsid w:val="00F30186"/>
    <w:rsid w:val="00F30951"/>
    <w:rsid w:val="00F345F0"/>
    <w:rsid w:val="00F45372"/>
    <w:rsid w:val="00F51961"/>
    <w:rsid w:val="00F560F7"/>
    <w:rsid w:val="00F6334D"/>
    <w:rsid w:val="00F94ED8"/>
    <w:rsid w:val="00FA49AB"/>
    <w:rsid w:val="00FE113E"/>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0BA9769"/>
  <w15:docId w15:val="{FCC85B6A-60F6-4D17-B285-07E9A32F8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4E4BA6"/>
    <w:pPr>
      <w:tabs>
        <w:tab w:val="right" w:leader="dot" w:pos="9639"/>
      </w:tabs>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D02ACF"/>
    <w:rPr>
      <w:rFonts w:ascii="Arial" w:hAnsi="Arial"/>
      <w:u w:val="single"/>
    </w:rPr>
  </w:style>
  <w:style w:type="character" w:customStyle="1" w:styleId="FootnoteTextChar">
    <w:name w:val="Footnote Text Char"/>
    <w:basedOn w:val="DefaultParagraphFont"/>
    <w:link w:val="FootnoteText"/>
    <w:rsid w:val="00D02ACF"/>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1471</Words>
  <Characters>8074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TC/56/INF/5</vt:lpstr>
    </vt:vector>
  </TitlesOfParts>
  <Company>UPOV</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TC/56/INF/5</dc:title>
  <dc:creator>MAY Jessica</dc:creator>
  <cp:lastModifiedBy>MAY Jessica</cp:lastModifiedBy>
  <cp:revision>27</cp:revision>
  <cp:lastPrinted>2016-11-22T15:41:00Z</cp:lastPrinted>
  <dcterms:created xsi:type="dcterms:W3CDTF">2020-10-12T14:54:00Z</dcterms:created>
  <dcterms:modified xsi:type="dcterms:W3CDTF">2020-10-19T14:10:00Z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a551c5fe-b412-4412-ac21-5e363b05e732</vt:lpwstr>
  </property>
</Properties>
</file>