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706D3" w:rsidP="00AC2883">
            <w:pPr>
              <w:pStyle w:val="Sessiontc"/>
              <w:spacing w:line="240" w:lineRule="auto"/>
            </w:pPr>
            <w:r>
              <w:t>Comité technique</w:t>
            </w:r>
          </w:p>
          <w:p w:rsidR="00EB4E9C" w:rsidRPr="00DC3802" w:rsidRDefault="00A706D3" w:rsidP="00027994">
            <w:pPr>
              <w:pStyle w:val="Sessiontcplacedate"/>
              <w:rPr>
                <w:sz w:val="22"/>
              </w:rPr>
            </w:pPr>
            <w:r>
              <w:t>Cinquante-</w:t>
            </w:r>
            <w:r w:rsidR="00027994">
              <w:t>six</w:t>
            </w:r>
            <w:r>
              <w:t>ième s</w:t>
            </w:r>
            <w:r w:rsidR="00EB4E9C" w:rsidRPr="00DA4973">
              <w:t>ession</w:t>
            </w:r>
            <w:r w:rsidR="00EB4E9C" w:rsidRPr="00DA4973">
              <w:br/>
              <w:t>Gen</w:t>
            </w:r>
            <w:r>
              <w:t>è</w:t>
            </w:r>
            <w:r w:rsidR="00EB4E9C" w:rsidRPr="00DA4973">
              <w:t>v</w:t>
            </w:r>
            <w:r>
              <w:t>e</w:t>
            </w:r>
            <w:r w:rsidR="00EB4E9C" w:rsidRPr="00DA4973">
              <w:t xml:space="preserve">, </w:t>
            </w:r>
            <w:r w:rsidR="00897A4D">
              <w:t>2</w:t>
            </w:r>
            <w:r w:rsidR="00027994">
              <w:t>6</w:t>
            </w:r>
            <w:r w:rsidR="00897A4D">
              <w:t xml:space="preserve"> et </w:t>
            </w:r>
            <w:r w:rsidR="001C1F2F">
              <w:t>2</w:t>
            </w:r>
            <w:r w:rsidR="00027994">
              <w:t>7</w:t>
            </w:r>
            <w:r w:rsidR="00897A4D">
              <w:t xml:space="preserve"> octobre</w:t>
            </w:r>
            <w:r>
              <w:t xml:space="preserve"> </w:t>
            </w:r>
            <w:r w:rsidR="00027994">
              <w:t>2020</w:t>
            </w:r>
          </w:p>
        </w:tc>
        <w:tc>
          <w:tcPr>
            <w:tcW w:w="3127" w:type="dxa"/>
          </w:tcPr>
          <w:p w:rsidR="00EB4E9C" w:rsidRPr="00027994" w:rsidRDefault="00027994" w:rsidP="003C7FBE">
            <w:pPr>
              <w:pStyle w:val="Doccode"/>
              <w:rPr>
                <w:lang w:val="fr-FR"/>
              </w:rPr>
            </w:pPr>
            <w:r>
              <w:rPr>
                <w:lang w:val="fr-FR"/>
              </w:rPr>
              <w:t>TC/56</w:t>
            </w:r>
            <w:r w:rsidR="00EB4E9C" w:rsidRPr="00027994">
              <w:rPr>
                <w:lang w:val="fr-FR"/>
              </w:rPr>
              <w:t>/</w:t>
            </w:r>
            <w:r w:rsidR="00D73EB2">
              <w:rPr>
                <w:lang w:val="fr-FR"/>
              </w:rPr>
              <w:t>3</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7E5E03">
            <w:pPr>
              <w:pStyle w:val="Docoriginal"/>
            </w:pPr>
            <w:r w:rsidRPr="00AC2883">
              <w:t>Date:</w:t>
            </w:r>
            <w:r w:rsidR="00897A4D">
              <w:rPr>
                <w:b w:val="0"/>
                <w:spacing w:val="0"/>
              </w:rPr>
              <w:t xml:space="preserve">  </w:t>
            </w:r>
            <w:r w:rsidR="007E5E03">
              <w:rPr>
                <w:b w:val="0"/>
                <w:spacing w:val="0"/>
              </w:rPr>
              <w:t>12</w:t>
            </w:r>
            <w:r w:rsidR="00D73EB2" w:rsidRPr="007E5E03">
              <w:rPr>
                <w:b w:val="0"/>
                <w:spacing w:val="0"/>
              </w:rPr>
              <w:t xml:space="preserve"> octobre</w:t>
            </w:r>
            <w:r w:rsidR="00897A4D" w:rsidRPr="007E5E03">
              <w:rPr>
                <w:b w:val="0"/>
                <w:spacing w:val="0"/>
              </w:rPr>
              <w:t xml:space="preserve"> </w:t>
            </w:r>
            <w:r w:rsidR="00027994" w:rsidRPr="007E5E03">
              <w:rPr>
                <w:b w:val="0"/>
                <w:spacing w:val="0"/>
              </w:rPr>
              <w:t>2020</w:t>
            </w:r>
          </w:p>
        </w:tc>
      </w:tr>
    </w:tbl>
    <w:p w:rsidR="00D73EB2" w:rsidRPr="00D85F56" w:rsidRDefault="00D85F56" w:rsidP="00D73EB2">
      <w:pPr>
        <w:pStyle w:val="Titleofdoc0"/>
      </w:pPr>
      <w:bookmarkStart w:id="0" w:name="TitleOfDoc"/>
      <w:bookmarkStart w:id="1" w:name="Prepared"/>
      <w:bookmarkEnd w:id="0"/>
      <w:bookmarkEnd w:id="1"/>
      <w:r w:rsidRPr="00D85F56">
        <w:t xml:space="preserve">Questions découlant </w:t>
      </w:r>
      <w:r w:rsidR="00D73EB2" w:rsidRPr="00D85F56">
        <w:t>des travaux des groupes de travail techniques</w:t>
      </w:r>
    </w:p>
    <w:p w:rsidR="006A644A" w:rsidRPr="006A644A" w:rsidRDefault="00AE0EF1" w:rsidP="006A644A">
      <w:pPr>
        <w:pStyle w:val="preparedby1"/>
        <w:jc w:val="left"/>
      </w:pPr>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D73EB2" w:rsidRPr="00D85F56" w:rsidRDefault="00D73EB2" w:rsidP="00D85F56">
      <w:pPr>
        <w:pStyle w:val="Heading1"/>
      </w:pPr>
      <w:bookmarkStart w:id="2" w:name="_Toc54200135"/>
      <w:r w:rsidRPr="00D85F56">
        <w:t>RÉSUMÉ</w:t>
      </w:r>
      <w:bookmarkEnd w:id="2"/>
    </w:p>
    <w:p w:rsidR="00D73EB2" w:rsidRPr="002C7D30" w:rsidRDefault="00D73EB2" w:rsidP="00D73EB2">
      <w:pPr>
        <w:rPr>
          <w:color w:val="000000"/>
        </w:rPr>
      </w:pPr>
    </w:p>
    <w:p w:rsidR="00D73EB2" w:rsidRDefault="00D73EB2" w:rsidP="00D73EB2">
      <w:pPr>
        <w:rPr>
          <w:color w:val="000000"/>
        </w:rPr>
      </w:pPr>
      <w:r w:rsidRPr="002C7D30">
        <w:rPr>
          <w:color w:val="000000"/>
        </w:rPr>
        <w:fldChar w:fldCharType="begin"/>
      </w:r>
      <w:r w:rsidRPr="002C7D30">
        <w:rPr>
          <w:color w:val="000000"/>
        </w:rPr>
        <w:instrText xml:space="preserve"> AUTONUM  </w:instrText>
      </w:r>
      <w:r w:rsidRPr="002C7D30">
        <w:rPr>
          <w:color w:val="000000"/>
        </w:rPr>
        <w:fldChar w:fldCharType="end"/>
      </w:r>
      <w:r w:rsidRPr="002C7D30">
        <w:rPr>
          <w:color w:val="000000"/>
        </w:rPr>
        <w:tab/>
      </w:r>
      <w:r>
        <w:rPr>
          <w:color w:val="000000"/>
        </w:rPr>
        <w:t xml:space="preserve">Le présent document résume les questions découlant des sessions de 2020 du Groupe de travail technique sur les plantes potagères </w:t>
      </w:r>
      <w:r w:rsidRPr="002C7D30">
        <w:rPr>
          <w:rFonts w:eastAsia="PMingLiU"/>
          <w:szCs w:val="24"/>
        </w:rPr>
        <w:t>(TWV)</w:t>
      </w:r>
      <w:r w:rsidRPr="002C7D30">
        <w:rPr>
          <w:rStyle w:val="FootnoteReference"/>
          <w:rFonts w:eastAsia="PMingLiU"/>
          <w:szCs w:val="24"/>
        </w:rPr>
        <w:footnoteReference w:id="2"/>
      </w:r>
      <w:r w:rsidRPr="002C7D30">
        <w:rPr>
          <w:rFonts w:eastAsia="PMingLiU"/>
          <w:szCs w:val="24"/>
        </w:rPr>
        <w:t>,</w:t>
      </w:r>
      <w:r>
        <w:rPr>
          <w:rFonts w:eastAsia="PMingLiU"/>
          <w:szCs w:val="24"/>
        </w:rPr>
        <w:t xml:space="preserve"> du Groupe de travail technique sur les plantes ornementales et les arbres forestiers</w:t>
      </w:r>
      <w:r w:rsidRPr="002C7D30">
        <w:rPr>
          <w:rFonts w:eastAsia="PMingLiU"/>
          <w:szCs w:val="24"/>
        </w:rPr>
        <w:t xml:space="preserve"> (TWO)</w:t>
      </w:r>
      <w:r w:rsidRPr="002C7D30">
        <w:rPr>
          <w:rStyle w:val="FootnoteReference"/>
          <w:rFonts w:eastAsia="PMingLiU"/>
          <w:szCs w:val="24"/>
        </w:rPr>
        <w:footnoteReference w:id="3"/>
      </w:r>
      <w:r w:rsidRPr="002C7D30">
        <w:rPr>
          <w:rFonts w:eastAsia="PMingLiU"/>
          <w:szCs w:val="24"/>
        </w:rPr>
        <w:t xml:space="preserve">, </w:t>
      </w:r>
      <w:r>
        <w:rPr>
          <w:rFonts w:eastAsia="PMingLiU"/>
          <w:szCs w:val="24"/>
        </w:rPr>
        <w:t>du Groupe de travail technique sur les plantes agricoles</w:t>
      </w:r>
      <w:r w:rsidRPr="002C7D30">
        <w:rPr>
          <w:rFonts w:eastAsia="PMingLiU"/>
          <w:szCs w:val="24"/>
        </w:rPr>
        <w:t xml:space="preserve"> (TWA)</w:t>
      </w:r>
      <w:r w:rsidRPr="002C7D30">
        <w:rPr>
          <w:rStyle w:val="FootnoteReference"/>
          <w:rFonts w:eastAsia="PMingLiU"/>
          <w:szCs w:val="24"/>
        </w:rPr>
        <w:footnoteReference w:id="4"/>
      </w:r>
      <w:r w:rsidRPr="002C7D30">
        <w:rPr>
          <w:rFonts w:eastAsia="PMingLiU"/>
          <w:szCs w:val="24"/>
        </w:rPr>
        <w:t>,</w:t>
      </w:r>
      <w:r w:rsidRPr="002C7D30">
        <w:rPr>
          <w:color w:val="000000"/>
        </w:rPr>
        <w:t xml:space="preserve"> </w:t>
      </w:r>
      <w:r>
        <w:rPr>
          <w:color w:val="000000"/>
        </w:rPr>
        <w:t xml:space="preserve">du Groupe de travail technique sur les plantes fruitières </w:t>
      </w:r>
      <w:r w:rsidRPr="002C7D30">
        <w:rPr>
          <w:color w:val="000000"/>
        </w:rPr>
        <w:t>(TWF)</w:t>
      </w:r>
      <w:r w:rsidRPr="002C7D30">
        <w:rPr>
          <w:rStyle w:val="FootnoteReference"/>
          <w:color w:val="000000"/>
        </w:rPr>
        <w:footnoteReference w:id="5"/>
      </w:r>
      <w:r w:rsidRPr="002C7D30">
        <w:rPr>
          <w:color w:val="000000"/>
        </w:rPr>
        <w:t xml:space="preserve">, </w:t>
      </w:r>
      <w:r>
        <w:rPr>
          <w:color w:val="000000"/>
        </w:rPr>
        <w:t xml:space="preserve">du Groupe de travail technique sur les systèmes d’automatisation et les programmes d’ordinateur </w:t>
      </w:r>
      <w:r w:rsidRPr="002C7D30">
        <w:rPr>
          <w:snapToGrid w:val="0"/>
        </w:rPr>
        <w:t>(TWC)</w:t>
      </w:r>
      <w:r w:rsidRPr="002C7D30">
        <w:rPr>
          <w:rStyle w:val="FootnoteReference"/>
          <w:snapToGrid w:val="0"/>
        </w:rPr>
        <w:footnoteReference w:id="6"/>
      </w:r>
      <w:r w:rsidRPr="002C7D30">
        <w:rPr>
          <w:snapToGrid w:val="0"/>
        </w:rPr>
        <w:t xml:space="preserve"> </w:t>
      </w:r>
      <w:r>
        <w:rPr>
          <w:snapToGrid w:val="0"/>
        </w:rPr>
        <w:t xml:space="preserve">et du Groupe de travail sur les techniques biochimiques et moléculaires, notamment les profils d’ADN </w:t>
      </w:r>
      <w:r w:rsidRPr="002C7D30">
        <w:rPr>
          <w:snapToGrid w:val="0"/>
        </w:rPr>
        <w:t>(BMT)</w:t>
      </w:r>
      <w:r w:rsidRPr="002C7D30">
        <w:rPr>
          <w:rStyle w:val="FootnoteReference"/>
          <w:snapToGrid w:val="0"/>
        </w:rPr>
        <w:footnoteReference w:id="7"/>
      </w:r>
      <w:r>
        <w:rPr>
          <w:color w:val="000000"/>
        </w:rPr>
        <w:t>, ces questions n’étant pas expressément couvertes par des points spécifiques de l’ordre du jour</w:t>
      </w:r>
      <w:r w:rsidRPr="002C7D30">
        <w:rPr>
          <w:color w:val="000000"/>
        </w:rPr>
        <w:t>.</w:t>
      </w:r>
    </w:p>
    <w:p w:rsidR="00D73EB2" w:rsidRPr="002C7D30" w:rsidRDefault="00D73EB2" w:rsidP="00D73EB2">
      <w:pPr>
        <w:rPr>
          <w:color w:val="000000"/>
        </w:rPr>
      </w:pPr>
    </w:p>
    <w:p w:rsidR="00D73EB2" w:rsidRPr="002C7D30" w:rsidRDefault="00D73EB2" w:rsidP="00D73EB2">
      <w:r w:rsidRPr="002C7D30">
        <w:rPr>
          <w:color w:val="000000"/>
        </w:rPr>
        <w:fldChar w:fldCharType="begin"/>
      </w:r>
      <w:r w:rsidRPr="002C7D30">
        <w:rPr>
          <w:color w:val="000000"/>
        </w:rPr>
        <w:instrText xml:space="preserve"> AUTONUM  </w:instrText>
      </w:r>
      <w:r w:rsidRPr="002C7D30">
        <w:rPr>
          <w:color w:val="000000"/>
        </w:rPr>
        <w:fldChar w:fldCharType="end"/>
      </w:r>
      <w:r w:rsidRPr="002C7D30">
        <w:rPr>
          <w:color w:val="000000"/>
        </w:rPr>
        <w:tab/>
      </w:r>
      <w:r w:rsidRPr="005C718D">
        <w:rPr>
          <w:color w:val="000000"/>
        </w:rPr>
        <w:t>Ces questions sont regroupées en deux</w:t>
      </w:r>
      <w:r>
        <w:rPr>
          <w:color w:val="000000"/>
        </w:rPr>
        <w:t> </w:t>
      </w:r>
      <w:r w:rsidRPr="005C718D">
        <w:rPr>
          <w:color w:val="000000"/>
        </w:rPr>
        <w:t>parties</w:t>
      </w:r>
      <w:r>
        <w:rPr>
          <w:color w:val="000000"/>
        </w:rPr>
        <w:t xml:space="preserve">.  </w:t>
      </w:r>
      <w:r w:rsidRPr="005C718D">
        <w:t xml:space="preserve">La première, intitulée </w:t>
      </w:r>
      <w:r>
        <w:t>“</w:t>
      </w:r>
      <w:r w:rsidRPr="005C718D">
        <w:t>Questions pour information et décision éventuelle du Comité technique (TC)</w:t>
      </w:r>
      <w:r w:rsidR="001D53ED">
        <w:rPr>
          <w:caps/>
        </w:rPr>
        <w:t>”</w:t>
      </w:r>
      <w:r w:rsidRPr="005C718D">
        <w:rPr>
          <w:caps/>
        </w:rPr>
        <w:t>,</w:t>
      </w:r>
      <w:r w:rsidRPr="005C718D">
        <w:t xml:space="preserve"> recense les questions qui peuvent nécessiter une prise de décision par le</w:t>
      </w:r>
      <w:r>
        <w:t> TC</w:t>
      </w:r>
      <w:r w:rsidRPr="005C718D">
        <w:t xml:space="preserve">. </w:t>
      </w:r>
      <w:r>
        <w:t xml:space="preserve"> </w:t>
      </w:r>
      <w:r w:rsidRPr="005C718D">
        <w:t>Le Bureau de l</w:t>
      </w:r>
      <w:r>
        <w:t>’</w:t>
      </w:r>
      <w:r w:rsidRPr="005C718D">
        <w:t>Union (ci</w:t>
      </w:r>
      <w:r>
        <w:t>-</w:t>
      </w:r>
      <w:r w:rsidRPr="005C718D">
        <w:t xml:space="preserve">après dénommé </w:t>
      </w:r>
      <w:r>
        <w:t>“</w:t>
      </w:r>
      <w:r w:rsidRPr="005C718D">
        <w:t>Bureau</w:t>
      </w:r>
      <w:r>
        <w:t>”</w:t>
      </w:r>
      <w:r w:rsidRPr="005C718D">
        <w:t>) a précisé les questions au sujet desquelles le</w:t>
      </w:r>
      <w:r>
        <w:t> TC</w:t>
      </w:r>
      <w:r w:rsidRPr="005C718D">
        <w:t xml:space="preserve"> peut souhaiter prendre une décision en présentant un paragraphe contenant une proposition de décision</w:t>
      </w:r>
      <w:r>
        <w:t xml:space="preserve">.  </w:t>
      </w:r>
      <w:r w:rsidRPr="005C718D">
        <w:t xml:space="preserve">La seconde partie, intitulée </w:t>
      </w:r>
      <w:r>
        <w:t>“</w:t>
      </w:r>
      <w:r w:rsidRPr="005C718D">
        <w:t>Questions pour information</w:t>
      </w:r>
      <w:r>
        <w:t>”</w:t>
      </w:r>
      <w:r w:rsidRPr="005C718D">
        <w:t xml:space="preserve">, est communiquée pour information </w:t>
      </w:r>
      <w:r>
        <w:t>a</w:t>
      </w:r>
      <w:r w:rsidRPr="005C718D">
        <w:t>u</w:t>
      </w:r>
      <w:r>
        <w:t> TC</w:t>
      </w:r>
      <w:r w:rsidRPr="005C718D">
        <w:t>, mais n</w:t>
      </w:r>
      <w:r>
        <w:t>’</w:t>
      </w:r>
      <w:r w:rsidRPr="005C718D">
        <w:t>appelle pas de décision à ce stade</w:t>
      </w:r>
      <w:r w:rsidRPr="002C7D30">
        <w:t>.</w:t>
      </w:r>
    </w:p>
    <w:p w:rsidR="00D73EB2" w:rsidRPr="002C7D30" w:rsidRDefault="00D73EB2" w:rsidP="00D73EB2">
      <w:pPr>
        <w:tabs>
          <w:tab w:val="left" w:pos="567"/>
          <w:tab w:val="left" w:pos="1701"/>
        </w:tabs>
        <w:ind w:left="1695" w:hanging="1695"/>
        <w:rPr>
          <w:rFonts w:eastAsia="PMingLiU"/>
          <w:szCs w:val="24"/>
        </w:rPr>
      </w:pPr>
    </w:p>
    <w:p w:rsidR="00D73EB2" w:rsidRPr="002C7D30" w:rsidRDefault="00D73EB2" w:rsidP="00D73EB2">
      <w:pPr>
        <w:tabs>
          <w:tab w:val="left" w:pos="567"/>
        </w:tabs>
      </w:pPr>
      <w:r w:rsidRPr="002C7D30">
        <w:fldChar w:fldCharType="begin"/>
      </w:r>
      <w:r w:rsidRPr="002C7D30">
        <w:instrText xml:space="preserve"> AUTONUM  </w:instrText>
      </w:r>
      <w:r w:rsidRPr="002C7D30">
        <w:fldChar w:fldCharType="end"/>
      </w:r>
      <w:r w:rsidRPr="002C7D30">
        <w:tab/>
      </w:r>
      <w:r w:rsidRPr="005C718D">
        <w:t>Le</w:t>
      </w:r>
      <w:r>
        <w:t> TC</w:t>
      </w:r>
      <w:r w:rsidRPr="005C718D">
        <w:t xml:space="preserve"> est invité à prendre note des faits nouveaux </w:t>
      </w:r>
      <w:r>
        <w:t>intervenus</w:t>
      </w:r>
      <w:r w:rsidRPr="005C718D">
        <w:t xml:space="preserve"> au sein des groupes de travail techniques concernant les points suivants</w:t>
      </w:r>
      <w:r>
        <w:t> :</w:t>
      </w:r>
    </w:p>
    <w:p w:rsidR="00D73EB2" w:rsidRPr="002C7D30" w:rsidRDefault="00D73EB2" w:rsidP="00D73EB2">
      <w:pPr>
        <w:tabs>
          <w:tab w:val="left" w:pos="567"/>
        </w:tabs>
      </w:pPr>
    </w:p>
    <w:p w:rsidR="00D73EB2" w:rsidRPr="002C7D30" w:rsidRDefault="00D73EB2" w:rsidP="00D73EB2">
      <w:pPr>
        <w:tabs>
          <w:tab w:val="left" w:pos="1701"/>
        </w:tabs>
        <w:ind w:left="1134" w:hanging="567"/>
      </w:pPr>
      <w:r w:rsidRPr="002C7D30">
        <w:t>i)</w:t>
      </w:r>
      <w:r w:rsidRPr="002C7D30">
        <w:tab/>
      </w:r>
      <w:r>
        <w:t>Nouvelles questions se posant pour l’examen DHS</w:t>
      </w:r>
    </w:p>
    <w:p w:rsidR="00D73EB2" w:rsidRPr="002C7D30" w:rsidRDefault="00D73EB2" w:rsidP="00D73EB2">
      <w:pPr>
        <w:tabs>
          <w:tab w:val="left" w:pos="1701"/>
        </w:tabs>
        <w:ind w:left="1134" w:hanging="567"/>
      </w:pPr>
      <w:r w:rsidRPr="002C7D30">
        <w:t>ii)</w:t>
      </w:r>
      <w:r w:rsidRPr="002C7D30">
        <w:tab/>
      </w:r>
      <w:r>
        <w:t>Utilisation de caractères de résistance aux maladies</w:t>
      </w:r>
    </w:p>
    <w:p w:rsidR="00D73EB2" w:rsidRPr="002C7D30" w:rsidRDefault="00D73EB2" w:rsidP="00D73EB2">
      <w:pPr>
        <w:tabs>
          <w:tab w:val="left" w:pos="1701"/>
        </w:tabs>
        <w:ind w:left="1134" w:hanging="567"/>
      </w:pPr>
      <w:r w:rsidRPr="002C7D30">
        <w:t>iii)</w:t>
      </w:r>
      <w:r w:rsidRPr="002C7D30">
        <w:tab/>
      </w:r>
      <w:bookmarkStart w:id="6" w:name="_Hlk54074853"/>
      <w:r>
        <w:t xml:space="preserve">Évolutions possibles pour que les codes UPOV puissent fournir des informations utiles sur les groupes de variétés ou les types de variété aux fins de l’examen DHS </w:t>
      </w:r>
      <w:r w:rsidRPr="002C7D30">
        <w:t>(</w:t>
      </w:r>
      <w:r>
        <w:t xml:space="preserve">projet </w:t>
      </w:r>
      <w:proofErr w:type="spellStart"/>
      <w:r w:rsidRPr="002C7D30">
        <w:rPr>
          <w:i/>
        </w:rPr>
        <w:t>Plavarlis</w:t>
      </w:r>
      <w:proofErr w:type="spellEnd"/>
      <w:r w:rsidRPr="002C7D30">
        <w:t xml:space="preserve"> </w:t>
      </w:r>
      <w:r>
        <w:t>–</w:t>
      </w:r>
      <w:r w:rsidRPr="002C7D30">
        <w:t xml:space="preserve"> </w:t>
      </w:r>
      <w:r>
        <w:t xml:space="preserve">codes </w:t>
      </w:r>
      <w:r w:rsidRPr="002C7D30">
        <w:t>UPOV)</w:t>
      </w:r>
      <w:bookmarkEnd w:id="6"/>
    </w:p>
    <w:p w:rsidR="00D73EB2" w:rsidRDefault="00D73EB2" w:rsidP="00D73EB2">
      <w:pPr>
        <w:tabs>
          <w:tab w:val="left" w:pos="1701"/>
        </w:tabs>
        <w:ind w:left="1134" w:hanging="567"/>
      </w:pPr>
      <w:r w:rsidRPr="002C7D30">
        <w:t>iv)</w:t>
      </w:r>
      <w:r w:rsidRPr="002C7D30">
        <w:tab/>
      </w:r>
      <w:r>
        <w:t>Écarts minimaux entre les variétés ornementales à multiplication végétative</w:t>
      </w:r>
    </w:p>
    <w:p w:rsidR="00D73EB2" w:rsidRPr="002C7D30" w:rsidRDefault="00D73EB2" w:rsidP="00D73EB2">
      <w:pPr>
        <w:tabs>
          <w:tab w:val="left" w:pos="1701"/>
        </w:tabs>
        <w:ind w:left="1134" w:hanging="567"/>
      </w:pPr>
      <w:r w:rsidRPr="002C7D30">
        <w:t>v)</w:t>
      </w:r>
      <w:r w:rsidRPr="002C7D30">
        <w:tab/>
      </w:r>
      <w:r>
        <w:t>Accès au matériel végétal aux fins de la gestion des collections de variétés et de l’examen DHS</w:t>
      </w:r>
    </w:p>
    <w:p w:rsidR="00D73EB2" w:rsidRPr="002C7D30" w:rsidRDefault="00D73EB2" w:rsidP="00D73EB2">
      <w:pPr>
        <w:tabs>
          <w:tab w:val="left" w:pos="1701"/>
        </w:tabs>
        <w:ind w:left="1134" w:hanging="567"/>
      </w:pPr>
      <w:r w:rsidRPr="002C7D30">
        <w:t>vi)</w:t>
      </w:r>
      <w:r w:rsidRPr="002C7D30">
        <w:tab/>
      </w:r>
      <w:r>
        <w:t>Examen DHS des variétés mutantes du pommier</w:t>
      </w:r>
    </w:p>
    <w:p w:rsidR="00D73EB2" w:rsidRPr="002C7D30" w:rsidRDefault="00D73EB2" w:rsidP="00D73EB2">
      <w:pPr>
        <w:tabs>
          <w:tab w:val="left" w:pos="1701"/>
        </w:tabs>
        <w:ind w:left="1134" w:hanging="567"/>
      </w:pPr>
      <w:r w:rsidRPr="002C7D30">
        <w:t>vii)</w:t>
      </w:r>
      <w:r w:rsidRPr="002C7D30">
        <w:tab/>
      </w:r>
      <w:r>
        <w:t>Questions à prendre en considération dans l’examen DHS pour le secteur des fruits</w:t>
      </w:r>
    </w:p>
    <w:p w:rsidR="00D73EB2" w:rsidRPr="002C7D30" w:rsidRDefault="00D73EB2" w:rsidP="00D73EB2">
      <w:pPr>
        <w:tabs>
          <w:tab w:val="left" w:pos="1701"/>
        </w:tabs>
        <w:ind w:left="1134" w:hanging="567"/>
      </w:pPr>
      <w:r w:rsidRPr="002C7D30">
        <w:t>viii)</w:t>
      </w:r>
      <w:r w:rsidRPr="002C7D30">
        <w:tab/>
      </w:r>
      <w:bookmarkStart w:id="7" w:name="_Hlk54097840"/>
      <w:r>
        <w:t>Conseils aux rédacteurs des principes directeurs d’examen</w:t>
      </w:r>
      <w:bookmarkEnd w:id="7"/>
    </w:p>
    <w:p w:rsidR="00D73EB2" w:rsidRPr="002C7D30" w:rsidRDefault="00D73EB2" w:rsidP="00D73EB2">
      <w:pPr>
        <w:tabs>
          <w:tab w:val="left" w:pos="1701"/>
        </w:tabs>
        <w:ind w:left="1134" w:hanging="567"/>
      </w:pPr>
      <w:r w:rsidRPr="002C7D30">
        <w:t>ix)</w:t>
      </w:r>
      <w:r w:rsidRPr="002C7D30">
        <w:tab/>
      </w:r>
      <w:r>
        <w:t>Expériences avec de nouveaux types et de nouvelles espèces</w:t>
      </w:r>
    </w:p>
    <w:p w:rsidR="00D73EB2" w:rsidRPr="002C7D30" w:rsidRDefault="00D73EB2" w:rsidP="00D73EB2">
      <w:pPr>
        <w:tabs>
          <w:tab w:val="left" w:pos="1701"/>
        </w:tabs>
        <w:ind w:left="1134" w:hanging="567"/>
      </w:pPr>
      <w:r w:rsidRPr="002C7D30">
        <w:t>x)</w:t>
      </w:r>
      <w:r w:rsidRPr="002C7D30">
        <w:tab/>
      </w:r>
      <w:r>
        <w:t>Logiciel d’analyse statistique “Excel DHS”</w:t>
      </w:r>
    </w:p>
    <w:p w:rsidR="00D73EB2" w:rsidRPr="002C7D30" w:rsidRDefault="00D73EB2" w:rsidP="00D73EB2">
      <w:pPr>
        <w:tabs>
          <w:tab w:val="left" w:pos="1701"/>
        </w:tabs>
        <w:ind w:left="1134" w:hanging="567"/>
      </w:pPr>
      <w:r w:rsidRPr="002C7D30">
        <w:t>xi)</w:t>
      </w:r>
      <w:r w:rsidRPr="002C7D30">
        <w:tab/>
      </w:r>
      <w:r>
        <w:rPr>
          <w:snapToGrid w:val="0"/>
        </w:rPr>
        <w:t>Outils et méthodes pour l’examen DHS</w:t>
      </w:r>
    </w:p>
    <w:p w:rsidR="00D73EB2" w:rsidRPr="002C7D30" w:rsidRDefault="00D73EB2" w:rsidP="00D73EB2">
      <w:pPr>
        <w:tabs>
          <w:tab w:val="left" w:pos="1701"/>
        </w:tabs>
        <w:ind w:left="1134" w:hanging="567"/>
      </w:pPr>
      <w:r w:rsidRPr="002C7D30">
        <w:t>xii)</w:t>
      </w:r>
      <w:r w:rsidRPr="002C7D30">
        <w:tab/>
      </w:r>
      <w:r>
        <w:t>Établissement de phénotypes et analyse d’images</w:t>
      </w:r>
    </w:p>
    <w:p w:rsidR="00D73EB2" w:rsidRPr="002C7D30" w:rsidRDefault="00D73EB2" w:rsidP="00D73EB2">
      <w:pPr>
        <w:tabs>
          <w:tab w:val="left" w:pos="1701"/>
        </w:tabs>
        <w:rPr>
          <w:rFonts w:cs="Arial"/>
        </w:rPr>
      </w:pPr>
    </w:p>
    <w:p w:rsidR="00D73EB2" w:rsidRPr="002C7D30" w:rsidRDefault="00D73EB2" w:rsidP="00D73EB2">
      <w:pPr>
        <w:keepNext/>
        <w:rPr>
          <w:color w:val="000000"/>
        </w:rPr>
      </w:pPr>
      <w:r w:rsidRPr="002C7D30">
        <w:rPr>
          <w:color w:val="000000"/>
        </w:rPr>
        <w:lastRenderedPageBreak/>
        <w:fldChar w:fldCharType="begin"/>
      </w:r>
      <w:r w:rsidRPr="002C7D30">
        <w:rPr>
          <w:color w:val="000000"/>
        </w:rPr>
        <w:instrText xml:space="preserve"> AUTONUM  </w:instrText>
      </w:r>
      <w:r w:rsidRPr="002C7D30">
        <w:rPr>
          <w:color w:val="000000"/>
        </w:rPr>
        <w:fldChar w:fldCharType="end"/>
      </w:r>
      <w:r w:rsidRPr="002C7D30">
        <w:rPr>
          <w:color w:val="000000"/>
        </w:rPr>
        <w:tab/>
      </w:r>
      <w:r w:rsidRPr="00106748">
        <w:rPr>
          <w:rFonts w:cs="Arial"/>
        </w:rPr>
        <w:t>Les abréviations suivantes sont utilisées dans le présent document</w:t>
      </w:r>
      <w:r>
        <w:rPr>
          <w:rFonts w:cs="Arial"/>
        </w:rPr>
        <w:t> :</w:t>
      </w:r>
    </w:p>
    <w:p w:rsidR="00D73EB2" w:rsidRPr="002C7D30" w:rsidRDefault="00D73EB2" w:rsidP="00D73EB2">
      <w:pPr>
        <w:keepNext/>
        <w:ind w:left="1692" w:hanging="1125"/>
        <w:jc w:val="left"/>
        <w:rPr>
          <w:color w:val="000000"/>
        </w:rPr>
      </w:pPr>
    </w:p>
    <w:p w:rsidR="00D73EB2" w:rsidRDefault="00D73EB2" w:rsidP="00D73EB2">
      <w:pPr>
        <w:keepNext/>
        <w:tabs>
          <w:tab w:val="left" w:pos="567"/>
          <w:tab w:val="left" w:pos="1701"/>
        </w:tabs>
      </w:pPr>
      <w:r w:rsidRPr="002C7D30">
        <w:tab/>
        <w:t>CAJ</w:t>
      </w:r>
      <w:r>
        <w:t xml:space="preserve"> : </w:t>
      </w:r>
      <w:r w:rsidRPr="002C7D30">
        <w:tab/>
      </w:r>
      <w:r>
        <w:t>Comité administratif et juridique</w:t>
      </w:r>
    </w:p>
    <w:p w:rsidR="00D73EB2" w:rsidRPr="002C7D30" w:rsidRDefault="00D73EB2" w:rsidP="00D73EB2">
      <w:pPr>
        <w:keepNext/>
        <w:tabs>
          <w:tab w:val="left" w:pos="567"/>
          <w:tab w:val="left" w:pos="1701"/>
        </w:tabs>
      </w:pPr>
      <w:r w:rsidRPr="002C7D30">
        <w:tab/>
        <w:t>TC</w:t>
      </w:r>
      <w:r>
        <w:t xml:space="preserve"> : </w:t>
      </w:r>
      <w:r w:rsidRPr="002C7D30">
        <w:tab/>
      </w:r>
      <w:r>
        <w:t>Comité technique</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TC</w:t>
      </w:r>
      <w:r>
        <w:rPr>
          <w:rFonts w:eastAsia="PMingLiU"/>
          <w:szCs w:val="24"/>
        </w:rPr>
        <w:t>-</w:t>
      </w:r>
      <w:r w:rsidRPr="002C7D30">
        <w:rPr>
          <w:rFonts w:eastAsia="PMingLiU"/>
          <w:szCs w:val="24"/>
        </w:rPr>
        <w:t>EDC</w:t>
      </w:r>
      <w:r>
        <w:rPr>
          <w:rFonts w:eastAsia="PMingLiU"/>
          <w:szCs w:val="24"/>
        </w:rPr>
        <w:t xml:space="preserve"> : </w:t>
      </w:r>
      <w:r w:rsidRPr="002C7D30">
        <w:rPr>
          <w:rFonts w:eastAsia="PMingLiU"/>
          <w:szCs w:val="24"/>
        </w:rPr>
        <w:tab/>
      </w:r>
      <w:r>
        <w:rPr>
          <w:rFonts w:eastAsia="PMingLiU"/>
          <w:szCs w:val="24"/>
        </w:rPr>
        <w:t>Comité de rédaction élargi</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TWA</w:t>
      </w:r>
      <w:r>
        <w:rPr>
          <w:rFonts w:eastAsia="PMingLiU"/>
          <w:szCs w:val="24"/>
        </w:rPr>
        <w:t xml:space="preserve"> : </w:t>
      </w:r>
      <w:r w:rsidRPr="002C7D30">
        <w:rPr>
          <w:rFonts w:eastAsia="PMingLiU"/>
          <w:szCs w:val="24"/>
        </w:rPr>
        <w:tab/>
      </w:r>
      <w:r w:rsidRPr="00106748">
        <w:rPr>
          <w:rFonts w:cs="Arial"/>
        </w:rPr>
        <w:t>Groupe de travail technique sur les plantes agricoles</w:t>
      </w:r>
    </w:p>
    <w:p w:rsidR="00D73EB2" w:rsidRPr="002C7D30" w:rsidRDefault="00D73EB2" w:rsidP="00D73EB2">
      <w:pPr>
        <w:keepNext/>
        <w:tabs>
          <w:tab w:val="left" w:pos="567"/>
          <w:tab w:val="left" w:pos="1701"/>
        </w:tabs>
        <w:ind w:left="1701" w:hanging="1701"/>
        <w:rPr>
          <w:rFonts w:eastAsia="PMingLiU"/>
          <w:szCs w:val="24"/>
        </w:rPr>
      </w:pPr>
      <w:r w:rsidRPr="002C7D30">
        <w:rPr>
          <w:rFonts w:eastAsia="PMingLiU"/>
          <w:szCs w:val="24"/>
        </w:rPr>
        <w:tab/>
        <w:t>TWC</w:t>
      </w:r>
      <w:r>
        <w:rPr>
          <w:rFonts w:eastAsia="PMingLiU"/>
          <w:szCs w:val="24"/>
        </w:rPr>
        <w:t xml:space="preserve"> : </w:t>
      </w:r>
      <w:r w:rsidRPr="002C7D30">
        <w:rPr>
          <w:rFonts w:eastAsia="PMingLiU"/>
          <w:szCs w:val="24"/>
        </w:rPr>
        <w:tab/>
      </w:r>
      <w:r w:rsidRPr="00106748">
        <w:rPr>
          <w:rFonts w:cs="Arial"/>
        </w:rPr>
        <w:t>Groupe de travail technique sur les systèmes d</w:t>
      </w:r>
      <w:r>
        <w:rPr>
          <w:rFonts w:cs="Arial"/>
        </w:rPr>
        <w:t>’</w:t>
      </w:r>
      <w:r w:rsidRPr="00106748">
        <w:rPr>
          <w:rFonts w:cs="Arial"/>
        </w:rPr>
        <w:t>automatisation et les programmes d</w:t>
      </w:r>
      <w:r>
        <w:rPr>
          <w:rFonts w:cs="Arial"/>
        </w:rPr>
        <w:t>’</w:t>
      </w:r>
      <w:r w:rsidRPr="00106748">
        <w:rPr>
          <w:rFonts w:cs="Arial"/>
        </w:rPr>
        <w:t>ordinateur</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TWF</w:t>
      </w:r>
      <w:r>
        <w:rPr>
          <w:rFonts w:eastAsia="PMingLiU"/>
          <w:szCs w:val="24"/>
        </w:rPr>
        <w:t> :</w:t>
      </w:r>
      <w:r w:rsidRPr="002C7D30">
        <w:rPr>
          <w:rFonts w:eastAsia="PMingLiU"/>
          <w:szCs w:val="24"/>
        </w:rPr>
        <w:t xml:space="preserve"> </w:t>
      </w:r>
      <w:r w:rsidRPr="002C7D30">
        <w:rPr>
          <w:rFonts w:eastAsia="PMingLiU"/>
          <w:szCs w:val="24"/>
        </w:rPr>
        <w:tab/>
      </w:r>
      <w:r w:rsidRPr="00106748">
        <w:rPr>
          <w:rFonts w:cs="Arial"/>
        </w:rPr>
        <w:t>Groupe de travail technique sur les plantes fruitières</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TWO</w:t>
      </w:r>
      <w:r>
        <w:rPr>
          <w:rFonts w:eastAsia="PMingLiU"/>
          <w:szCs w:val="24"/>
        </w:rPr>
        <w:t xml:space="preserve"> : </w:t>
      </w:r>
      <w:r w:rsidRPr="002C7D30">
        <w:rPr>
          <w:rFonts w:eastAsia="PMingLiU"/>
          <w:szCs w:val="24"/>
        </w:rPr>
        <w:tab/>
      </w:r>
      <w:r w:rsidRPr="00106748">
        <w:rPr>
          <w:rFonts w:cs="Arial"/>
        </w:rPr>
        <w:t>Groupe de travail technique sur les plantes ornementales et les arbres forestiers</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TWP</w:t>
      </w:r>
      <w:r>
        <w:rPr>
          <w:rFonts w:eastAsia="PMingLiU"/>
          <w:szCs w:val="24"/>
        </w:rPr>
        <w:t xml:space="preserve"> : </w:t>
      </w:r>
      <w:r w:rsidRPr="002C7D30">
        <w:rPr>
          <w:rFonts w:eastAsia="PMingLiU"/>
          <w:szCs w:val="24"/>
        </w:rPr>
        <w:tab/>
      </w:r>
      <w:r w:rsidR="00755985">
        <w:rPr>
          <w:rFonts w:cs="Arial"/>
          <w:lang w:val="fr-CH"/>
        </w:rPr>
        <w:t>Groupe(s) de travail technique(s)</w:t>
      </w:r>
    </w:p>
    <w:p w:rsidR="00D73EB2" w:rsidRPr="002C7D30" w:rsidRDefault="00D73EB2" w:rsidP="00D73EB2">
      <w:pPr>
        <w:keepNext/>
        <w:tabs>
          <w:tab w:val="left" w:pos="567"/>
          <w:tab w:val="left" w:pos="1701"/>
        </w:tabs>
        <w:rPr>
          <w:rFonts w:eastAsia="PMingLiU"/>
          <w:szCs w:val="24"/>
        </w:rPr>
      </w:pPr>
      <w:r w:rsidRPr="002C7D30">
        <w:rPr>
          <w:rFonts w:eastAsia="PMingLiU"/>
          <w:szCs w:val="24"/>
        </w:rPr>
        <w:tab/>
        <w:t>TWV</w:t>
      </w:r>
      <w:r>
        <w:rPr>
          <w:rFonts w:eastAsia="PMingLiU"/>
          <w:szCs w:val="24"/>
        </w:rPr>
        <w:t xml:space="preserve"> : </w:t>
      </w:r>
      <w:r w:rsidRPr="002C7D30">
        <w:rPr>
          <w:rFonts w:eastAsia="PMingLiU"/>
          <w:szCs w:val="24"/>
        </w:rPr>
        <w:tab/>
      </w:r>
      <w:r>
        <w:rPr>
          <w:rFonts w:eastAsia="PMingLiU"/>
          <w:szCs w:val="24"/>
        </w:rPr>
        <w:t>Groupe de travail technique sur les plantes potagères</w:t>
      </w:r>
    </w:p>
    <w:p w:rsidR="00D73EB2" w:rsidRPr="002C7D30" w:rsidRDefault="00D73EB2" w:rsidP="00D73EB2">
      <w:pPr>
        <w:rPr>
          <w:highlight w:val="cyan"/>
        </w:rPr>
      </w:pPr>
    </w:p>
    <w:p w:rsidR="00D73EB2" w:rsidRPr="002C7D30" w:rsidRDefault="00D73EB2" w:rsidP="00D73EB2">
      <w:r w:rsidRPr="002C7D30">
        <w:rPr>
          <w:color w:val="000000"/>
        </w:rPr>
        <w:fldChar w:fldCharType="begin"/>
      </w:r>
      <w:r w:rsidRPr="002C7D30">
        <w:rPr>
          <w:color w:val="000000"/>
        </w:rPr>
        <w:instrText xml:space="preserve"> AUTONUM  </w:instrText>
      </w:r>
      <w:r w:rsidRPr="002C7D30">
        <w:rPr>
          <w:color w:val="000000"/>
        </w:rPr>
        <w:fldChar w:fldCharType="end"/>
      </w:r>
      <w:r w:rsidRPr="002C7D30">
        <w:rPr>
          <w:color w:val="000000"/>
        </w:rPr>
        <w:tab/>
      </w:r>
      <w:r>
        <w:t>Le présent document est structuré comme suit :</w:t>
      </w:r>
    </w:p>
    <w:p w:rsidR="00D73EB2" w:rsidRPr="002C7D30" w:rsidRDefault="00D73EB2" w:rsidP="00D73EB2"/>
    <w:p w:rsidR="0073053C" w:rsidRPr="0073053C" w:rsidRDefault="00D73EB2">
      <w:pPr>
        <w:pStyle w:val="TOC1"/>
        <w:rPr>
          <w:rFonts w:asciiTheme="minorHAnsi" w:eastAsiaTheme="minorEastAsia" w:hAnsiTheme="minorHAnsi" w:cstheme="minorBidi"/>
          <w:caps w:val="0"/>
          <w:noProof/>
          <w:sz w:val="22"/>
          <w:szCs w:val="22"/>
          <w:lang w:val="fr-CH"/>
        </w:rPr>
      </w:pPr>
      <w:r w:rsidRPr="002C7D30">
        <w:rPr>
          <w:rFonts w:eastAsia="MS Mincho" w:cs="Arial"/>
          <w:noProof/>
          <w:highlight w:val="yellow"/>
          <w:lang w:eastAsia="ja-JP"/>
        </w:rPr>
        <w:fldChar w:fldCharType="begin"/>
      </w:r>
      <w:r w:rsidRPr="007F298D">
        <w:rPr>
          <w:rFonts w:eastAsia="MS Mincho" w:cs="Arial"/>
          <w:noProof/>
          <w:highlight w:val="yellow"/>
          <w:lang w:val="fr-CH" w:eastAsia="ja-JP"/>
        </w:rPr>
        <w:instrText xml:space="preserve"> TOC \o "1-2" \u </w:instrText>
      </w:r>
      <w:r w:rsidRPr="002C7D30">
        <w:rPr>
          <w:rFonts w:eastAsia="MS Mincho" w:cs="Arial"/>
          <w:noProof/>
          <w:highlight w:val="yellow"/>
          <w:lang w:eastAsia="ja-JP"/>
        </w:rPr>
        <w:fldChar w:fldCharType="separate"/>
      </w:r>
      <w:r w:rsidR="0073053C" w:rsidRPr="008B06C5">
        <w:rPr>
          <w:noProof/>
        </w:rPr>
        <w:t>RÉSUMÉ</w:t>
      </w:r>
      <w:r w:rsidR="0073053C" w:rsidRPr="0073053C">
        <w:rPr>
          <w:noProof/>
          <w:lang w:val="fr-CH"/>
        </w:rPr>
        <w:tab/>
      </w:r>
      <w:r w:rsidR="0073053C">
        <w:rPr>
          <w:noProof/>
        </w:rPr>
        <w:fldChar w:fldCharType="begin"/>
      </w:r>
      <w:r w:rsidR="0073053C" w:rsidRPr="0073053C">
        <w:rPr>
          <w:noProof/>
          <w:lang w:val="fr-CH"/>
        </w:rPr>
        <w:instrText xml:space="preserve"> PAGEREF _Toc54200135 \h </w:instrText>
      </w:r>
      <w:r w:rsidR="0073053C">
        <w:rPr>
          <w:noProof/>
        </w:rPr>
      </w:r>
      <w:r w:rsidR="0073053C">
        <w:rPr>
          <w:noProof/>
        </w:rPr>
        <w:fldChar w:fldCharType="separate"/>
      </w:r>
      <w:r w:rsidR="0073053C" w:rsidRPr="0073053C">
        <w:rPr>
          <w:noProof/>
          <w:lang w:val="fr-CH"/>
        </w:rPr>
        <w:t>1</w:t>
      </w:r>
      <w:r w:rsidR="0073053C">
        <w:rPr>
          <w:noProof/>
        </w:rPr>
        <w:fldChar w:fldCharType="end"/>
      </w:r>
    </w:p>
    <w:p w:rsidR="0073053C" w:rsidRPr="0073053C" w:rsidRDefault="0073053C">
      <w:pPr>
        <w:pStyle w:val="TOC1"/>
        <w:rPr>
          <w:rFonts w:asciiTheme="minorHAnsi" w:eastAsiaTheme="minorEastAsia" w:hAnsiTheme="minorHAnsi" w:cstheme="minorBidi"/>
          <w:caps w:val="0"/>
          <w:noProof/>
          <w:sz w:val="22"/>
          <w:szCs w:val="22"/>
          <w:lang w:val="fr-CH"/>
        </w:rPr>
      </w:pPr>
      <w:r w:rsidRPr="008B06C5">
        <w:rPr>
          <w:noProof/>
        </w:rPr>
        <w:t>Questions pour information et d</w:t>
      </w:r>
      <w:r w:rsidRPr="008B06C5">
        <w:rPr>
          <w:rFonts w:cs="Arial"/>
          <w:noProof/>
        </w:rPr>
        <w:t>É</w:t>
      </w:r>
      <w:r w:rsidRPr="008B06C5">
        <w:rPr>
          <w:noProof/>
        </w:rPr>
        <w:t xml:space="preserve">cision </w:t>
      </w:r>
      <w:r w:rsidRPr="008B06C5">
        <w:rPr>
          <w:rFonts w:cs="Arial"/>
          <w:noProof/>
        </w:rPr>
        <w:t>É</w:t>
      </w:r>
      <w:r w:rsidRPr="008B06C5">
        <w:rPr>
          <w:noProof/>
        </w:rPr>
        <w:t>ventuelle du comit</w:t>
      </w:r>
      <w:r w:rsidRPr="008B06C5">
        <w:rPr>
          <w:rFonts w:cs="Arial"/>
          <w:noProof/>
        </w:rPr>
        <w:t>É</w:t>
      </w:r>
      <w:r w:rsidRPr="008B06C5">
        <w:rPr>
          <w:noProof/>
        </w:rPr>
        <w:t xml:space="preserve"> technique (TC)</w:t>
      </w:r>
      <w:r w:rsidRPr="0073053C">
        <w:rPr>
          <w:noProof/>
          <w:lang w:val="fr-CH"/>
        </w:rPr>
        <w:tab/>
      </w:r>
      <w:r>
        <w:rPr>
          <w:noProof/>
        </w:rPr>
        <w:fldChar w:fldCharType="begin"/>
      </w:r>
      <w:r w:rsidRPr="0073053C">
        <w:rPr>
          <w:noProof/>
          <w:lang w:val="fr-CH"/>
        </w:rPr>
        <w:instrText xml:space="preserve"> PAGEREF _Toc54200136 \h </w:instrText>
      </w:r>
      <w:r>
        <w:rPr>
          <w:noProof/>
        </w:rPr>
      </w:r>
      <w:r>
        <w:rPr>
          <w:noProof/>
        </w:rPr>
        <w:fldChar w:fldCharType="separate"/>
      </w:r>
      <w:r w:rsidRPr="0073053C">
        <w:rPr>
          <w:noProof/>
          <w:lang w:val="fr-CH"/>
        </w:rPr>
        <w:t>2</w:t>
      </w:r>
      <w:r>
        <w:rPr>
          <w:noProof/>
        </w:rPr>
        <w:fldChar w:fldCharType="end"/>
      </w:r>
    </w:p>
    <w:p w:rsidR="0073053C" w:rsidRPr="0073053C" w:rsidRDefault="0073053C">
      <w:pPr>
        <w:pStyle w:val="TOC1"/>
        <w:rPr>
          <w:rFonts w:asciiTheme="minorHAnsi" w:eastAsiaTheme="minorEastAsia" w:hAnsiTheme="minorHAnsi" w:cstheme="minorBidi"/>
          <w:caps w:val="0"/>
          <w:noProof/>
          <w:sz w:val="22"/>
          <w:szCs w:val="22"/>
          <w:lang w:val="fr-CH"/>
        </w:rPr>
      </w:pPr>
      <w:r w:rsidRPr="008B06C5">
        <w:rPr>
          <w:noProof/>
        </w:rPr>
        <w:t>QUESTIONS POUR information</w:t>
      </w:r>
      <w:r w:rsidRPr="0073053C">
        <w:rPr>
          <w:noProof/>
          <w:lang w:val="fr-CH"/>
        </w:rPr>
        <w:tab/>
      </w:r>
      <w:r>
        <w:rPr>
          <w:noProof/>
        </w:rPr>
        <w:fldChar w:fldCharType="begin"/>
      </w:r>
      <w:r w:rsidRPr="0073053C">
        <w:rPr>
          <w:noProof/>
          <w:lang w:val="fr-CH"/>
        </w:rPr>
        <w:instrText xml:space="preserve"> PAGEREF _Toc54200137 \h </w:instrText>
      </w:r>
      <w:r>
        <w:rPr>
          <w:noProof/>
        </w:rPr>
      </w:r>
      <w:r>
        <w:rPr>
          <w:noProof/>
        </w:rPr>
        <w:fldChar w:fldCharType="separate"/>
      </w:r>
      <w:r w:rsidRPr="0073053C">
        <w:rPr>
          <w:noProof/>
          <w:lang w:val="fr-CH"/>
        </w:rPr>
        <w:t>2</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Nouvelles questions se posant pour l’examen DHS</w:t>
      </w:r>
      <w:r w:rsidRPr="0073053C">
        <w:rPr>
          <w:noProof/>
          <w:lang w:val="fr-CH"/>
        </w:rPr>
        <w:tab/>
      </w:r>
      <w:r>
        <w:rPr>
          <w:noProof/>
        </w:rPr>
        <w:fldChar w:fldCharType="begin"/>
      </w:r>
      <w:r w:rsidRPr="0073053C">
        <w:rPr>
          <w:noProof/>
          <w:lang w:val="fr-CH"/>
        </w:rPr>
        <w:instrText xml:space="preserve"> PAGEREF _Toc54200138 \h </w:instrText>
      </w:r>
      <w:r>
        <w:rPr>
          <w:noProof/>
        </w:rPr>
      </w:r>
      <w:r>
        <w:rPr>
          <w:noProof/>
        </w:rPr>
        <w:fldChar w:fldCharType="separate"/>
      </w:r>
      <w:r w:rsidRPr="0073053C">
        <w:rPr>
          <w:noProof/>
          <w:lang w:val="fr-CH"/>
        </w:rPr>
        <w:t>2</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Utilisation de caractères de résistance aux maladies</w:t>
      </w:r>
      <w:r w:rsidRPr="0073053C">
        <w:rPr>
          <w:noProof/>
          <w:lang w:val="fr-CH"/>
        </w:rPr>
        <w:tab/>
      </w:r>
      <w:r>
        <w:rPr>
          <w:noProof/>
        </w:rPr>
        <w:fldChar w:fldCharType="begin"/>
      </w:r>
      <w:r w:rsidRPr="0073053C">
        <w:rPr>
          <w:noProof/>
          <w:lang w:val="fr-CH"/>
        </w:rPr>
        <w:instrText xml:space="preserve"> PAGEREF _Toc54200139 \h </w:instrText>
      </w:r>
      <w:r>
        <w:rPr>
          <w:noProof/>
        </w:rPr>
      </w:r>
      <w:r>
        <w:rPr>
          <w:noProof/>
        </w:rPr>
        <w:fldChar w:fldCharType="separate"/>
      </w:r>
      <w:r w:rsidRPr="0073053C">
        <w:rPr>
          <w:noProof/>
          <w:lang w:val="fr-CH"/>
        </w:rPr>
        <w:t>3</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Évolutions possibles pour que les codes UPOV puissent fournir des informations utiles sur les groupes de variétés ou les types de variété aux fins de l’examen DHS (projet Plavarlis – codes UPOV)</w:t>
      </w:r>
      <w:r w:rsidRPr="0073053C">
        <w:rPr>
          <w:noProof/>
          <w:lang w:val="fr-CH"/>
        </w:rPr>
        <w:tab/>
      </w:r>
      <w:r>
        <w:rPr>
          <w:noProof/>
        </w:rPr>
        <w:fldChar w:fldCharType="begin"/>
      </w:r>
      <w:r w:rsidRPr="0073053C">
        <w:rPr>
          <w:noProof/>
          <w:lang w:val="fr-CH"/>
        </w:rPr>
        <w:instrText xml:space="preserve"> PAGEREF _Toc54200140 \h </w:instrText>
      </w:r>
      <w:r>
        <w:rPr>
          <w:noProof/>
        </w:rPr>
      </w:r>
      <w:r>
        <w:rPr>
          <w:noProof/>
        </w:rPr>
        <w:fldChar w:fldCharType="separate"/>
      </w:r>
      <w:r w:rsidRPr="0073053C">
        <w:rPr>
          <w:noProof/>
          <w:lang w:val="fr-CH"/>
        </w:rPr>
        <w:t>4</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Écarts minimaux entre les variétés ornementales à multiplication végétative</w:t>
      </w:r>
      <w:r w:rsidRPr="0073053C">
        <w:rPr>
          <w:noProof/>
          <w:lang w:val="fr-CH"/>
        </w:rPr>
        <w:tab/>
      </w:r>
      <w:r>
        <w:rPr>
          <w:noProof/>
        </w:rPr>
        <w:fldChar w:fldCharType="begin"/>
      </w:r>
      <w:r w:rsidRPr="0073053C">
        <w:rPr>
          <w:noProof/>
          <w:lang w:val="fr-CH"/>
        </w:rPr>
        <w:instrText xml:space="preserve"> PAGEREF _Toc54200141 \h </w:instrText>
      </w:r>
      <w:r>
        <w:rPr>
          <w:noProof/>
        </w:rPr>
      </w:r>
      <w:r>
        <w:rPr>
          <w:noProof/>
        </w:rPr>
        <w:fldChar w:fldCharType="separate"/>
      </w:r>
      <w:r w:rsidRPr="0073053C">
        <w:rPr>
          <w:noProof/>
          <w:lang w:val="fr-CH"/>
        </w:rPr>
        <w:t>4</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Accès au matériel végétal aux fins de la gestion des collections de variétés et de l’examen DHS</w:t>
      </w:r>
      <w:r w:rsidRPr="0073053C">
        <w:rPr>
          <w:noProof/>
          <w:lang w:val="fr-CH"/>
        </w:rPr>
        <w:tab/>
      </w:r>
      <w:r>
        <w:rPr>
          <w:noProof/>
        </w:rPr>
        <w:fldChar w:fldCharType="begin"/>
      </w:r>
      <w:r w:rsidRPr="0073053C">
        <w:rPr>
          <w:noProof/>
          <w:lang w:val="fr-CH"/>
        </w:rPr>
        <w:instrText xml:space="preserve"> PAGEREF _Toc54200142 \h </w:instrText>
      </w:r>
      <w:r>
        <w:rPr>
          <w:noProof/>
        </w:rPr>
      </w:r>
      <w:r>
        <w:rPr>
          <w:noProof/>
        </w:rPr>
        <w:fldChar w:fldCharType="separate"/>
      </w:r>
      <w:r w:rsidRPr="0073053C">
        <w:rPr>
          <w:noProof/>
          <w:lang w:val="fr-CH"/>
        </w:rPr>
        <w:t>4</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Examen DHS des variétés mutantes du pommier</w:t>
      </w:r>
      <w:r w:rsidRPr="0073053C">
        <w:rPr>
          <w:noProof/>
          <w:lang w:val="fr-CH"/>
        </w:rPr>
        <w:tab/>
      </w:r>
      <w:r>
        <w:rPr>
          <w:noProof/>
        </w:rPr>
        <w:fldChar w:fldCharType="begin"/>
      </w:r>
      <w:r w:rsidRPr="0073053C">
        <w:rPr>
          <w:noProof/>
          <w:lang w:val="fr-CH"/>
        </w:rPr>
        <w:instrText xml:space="preserve"> PAGEREF _Toc54200143 \h </w:instrText>
      </w:r>
      <w:r>
        <w:rPr>
          <w:noProof/>
        </w:rPr>
      </w:r>
      <w:r>
        <w:rPr>
          <w:noProof/>
        </w:rPr>
        <w:fldChar w:fldCharType="separate"/>
      </w:r>
      <w:r w:rsidRPr="0073053C">
        <w:rPr>
          <w:noProof/>
          <w:lang w:val="fr-CH"/>
        </w:rPr>
        <w:t>5</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Questions à prendre en considération dans l’examen DHS pour le secteur des fruits</w:t>
      </w:r>
      <w:r w:rsidRPr="0073053C">
        <w:rPr>
          <w:noProof/>
          <w:lang w:val="fr-CH"/>
        </w:rPr>
        <w:tab/>
      </w:r>
      <w:r>
        <w:rPr>
          <w:noProof/>
        </w:rPr>
        <w:fldChar w:fldCharType="begin"/>
      </w:r>
      <w:r w:rsidRPr="0073053C">
        <w:rPr>
          <w:noProof/>
          <w:lang w:val="fr-CH"/>
        </w:rPr>
        <w:instrText xml:space="preserve"> PAGEREF _Toc54200144 \h </w:instrText>
      </w:r>
      <w:r>
        <w:rPr>
          <w:noProof/>
        </w:rPr>
      </w:r>
      <w:r>
        <w:rPr>
          <w:noProof/>
        </w:rPr>
        <w:fldChar w:fldCharType="separate"/>
      </w:r>
      <w:r w:rsidRPr="0073053C">
        <w:rPr>
          <w:noProof/>
          <w:lang w:val="fr-CH"/>
        </w:rPr>
        <w:t>5</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Conseils aux rédacteurs des principes directeurs d’examen</w:t>
      </w:r>
      <w:r w:rsidRPr="0073053C">
        <w:rPr>
          <w:noProof/>
          <w:lang w:val="fr-CH"/>
        </w:rPr>
        <w:tab/>
      </w:r>
      <w:r>
        <w:rPr>
          <w:noProof/>
        </w:rPr>
        <w:fldChar w:fldCharType="begin"/>
      </w:r>
      <w:r w:rsidRPr="0073053C">
        <w:rPr>
          <w:noProof/>
          <w:lang w:val="fr-CH"/>
        </w:rPr>
        <w:instrText xml:space="preserve"> PAGEREF _Toc54200145 \h </w:instrText>
      </w:r>
      <w:r>
        <w:rPr>
          <w:noProof/>
        </w:rPr>
      </w:r>
      <w:r>
        <w:rPr>
          <w:noProof/>
        </w:rPr>
        <w:fldChar w:fldCharType="separate"/>
      </w:r>
      <w:r w:rsidRPr="0073053C">
        <w:rPr>
          <w:noProof/>
          <w:lang w:val="fr-CH"/>
        </w:rPr>
        <w:t>6</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Expériences avec de nouveaux types et de nouvelles espèces</w:t>
      </w:r>
      <w:r w:rsidRPr="0073053C">
        <w:rPr>
          <w:noProof/>
          <w:lang w:val="fr-CH"/>
        </w:rPr>
        <w:tab/>
      </w:r>
      <w:r>
        <w:rPr>
          <w:noProof/>
        </w:rPr>
        <w:fldChar w:fldCharType="begin"/>
      </w:r>
      <w:r w:rsidRPr="0073053C">
        <w:rPr>
          <w:noProof/>
          <w:lang w:val="fr-CH"/>
        </w:rPr>
        <w:instrText xml:space="preserve"> PAGEREF _Toc54200146 \h </w:instrText>
      </w:r>
      <w:r>
        <w:rPr>
          <w:noProof/>
        </w:rPr>
      </w:r>
      <w:r>
        <w:rPr>
          <w:noProof/>
        </w:rPr>
        <w:fldChar w:fldCharType="separate"/>
      </w:r>
      <w:r w:rsidRPr="0073053C">
        <w:rPr>
          <w:noProof/>
          <w:lang w:val="fr-CH"/>
        </w:rPr>
        <w:t>6</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Logiciel d’analyse statistique “Excel DHS”</w:t>
      </w:r>
      <w:r w:rsidRPr="0073053C">
        <w:rPr>
          <w:noProof/>
          <w:lang w:val="fr-CH"/>
        </w:rPr>
        <w:tab/>
      </w:r>
      <w:r>
        <w:rPr>
          <w:noProof/>
        </w:rPr>
        <w:fldChar w:fldCharType="begin"/>
      </w:r>
      <w:r w:rsidRPr="0073053C">
        <w:rPr>
          <w:noProof/>
          <w:lang w:val="fr-CH"/>
        </w:rPr>
        <w:instrText xml:space="preserve"> PAGEREF _Toc54200147 \h </w:instrText>
      </w:r>
      <w:r>
        <w:rPr>
          <w:noProof/>
        </w:rPr>
      </w:r>
      <w:r>
        <w:rPr>
          <w:noProof/>
        </w:rPr>
        <w:fldChar w:fldCharType="separate"/>
      </w:r>
      <w:r w:rsidRPr="0073053C">
        <w:rPr>
          <w:noProof/>
          <w:lang w:val="fr-CH"/>
        </w:rPr>
        <w:t>6</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Outils et méthodes pour l’examen DHS</w:t>
      </w:r>
      <w:r w:rsidRPr="0073053C">
        <w:rPr>
          <w:noProof/>
          <w:lang w:val="fr-CH"/>
        </w:rPr>
        <w:tab/>
      </w:r>
      <w:r>
        <w:rPr>
          <w:noProof/>
        </w:rPr>
        <w:fldChar w:fldCharType="begin"/>
      </w:r>
      <w:r w:rsidRPr="0073053C">
        <w:rPr>
          <w:noProof/>
          <w:lang w:val="fr-CH"/>
        </w:rPr>
        <w:instrText xml:space="preserve"> PAGEREF _Toc54200148 \h </w:instrText>
      </w:r>
      <w:r>
        <w:rPr>
          <w:noProof/>
        </w:rPr>
      </w:r>
      <w:r>
        <w:rPr>
          <w:noProof/>
        </w:rPr>
        <w:fldChar w:fldCharType="separate"/>
      </w:r>
      <w:r w:rsidRPr="0073053C">
        <w:rPr>
          <w:noProof/>
          <w:lang w:val="fr-CH"/>
        </w:rPr>
        <w:t>7</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Série de données communes permettant de comparer les logiciels utilisés pour les méthodes COYD et COYU</w:t>
      </w:r>
      <w:r w:rsidRPr="0073053C">
        <w:rPr>
          <w:noProof/>
          <w:lang w:val="fr-CH"/>
        </w:rPr>
        <w:tab/>
      </w:r>
      <w:r>
        <w:rPr>
          <w:noProof/>
        </w:rPr>
        <w:fldChar w:fldCharType="begin"/>
      </w:r>
      <w:r w:rsidRPr="0073053C">
        <w:rPr>
          <w:noProof/>
          <w:lang w:val="fr-CH"/>
        </w:rPr>
        <w:instrText xml:space="preserve"> PAGEREF _Toc54200149 \h </w:instrText>
      </w:r>
      <w:r>
        <w:rPr>
          <w:noProof/>
        </w:rPr>
      </w:r>
      <w:r>
        <w:rPr>
          <w:noProof/>
        </w:rPr>
        <w:fldChar w:fldCharType="separate"/>
      </w:r>
      <w:r w:rsidRPr="0073053C">
        <w:rPr>
          <w:noProof/>
          <w:lang w:val="fr-CH"/>
        </w:rPr>
        <w:t>7</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Résultat des calculs COYD et COYU avec le logiciel DUSCEL 2.0</w:t>
      </w:r>
      <w:r w:rsidRPr="0073053C">
        <w:rPr>
          <w:noProof/>
          <w:lang w:val="fr-CH"/>
        </w:rPr>
        <w:tab/>
      </w:r>
      <w:r>
        <w:rPr>
          <w:noProof/>
        </w:rPr>
        <w:fldChar w:fldCharType="begin"/>
      </w:r>
      <w:r w:rsidRPr="0073053C">
        <w:rPr>
          <w:noProof/>
          <w:lang w:val="fr-CH"/>
        </w:rPr>
        <w:instrText xml:space="preserve"> PAGEREF _Toc54200150 \h </w:instrText>
      </w:r>
      <w:r>
        <w:rPr>
          <w:noProof/>
        </w:rPr>
      </w:r>
      <w:r>
        <w:rPr>
          <w:noProof/>
        </w:rPr>
        <w:fldChar w:fldCharType="separate"/>
      </w:r>
      <w:r w:rsidRPr="0073053C">
        <w:rPr>
          <w:noProof/>
          <w:lang w:val="fr-CH"/>
        </w:rPr>
        <w:t>7</w:t>
      </w:r>
      <w:r>
        <w:rPr>
          <w:noProof/>
        </w:rPr>
        <w:fldChar w:fldCharType="end"/>
      </w:r>
    </w:p>
    <w:p w:rsidR="0073053C" w:rsidRPr="0073053C" w:rsidRDefault="0073053C" w:rsidP="00BF6227">
      <w:pPr>
        <w:pStyle w:val="TOC2"/>
        <w:rPr>
          <w:rFonts w:asciiTheme="minorHAnsi" w:eastAsiaTheme="minorEastAsia" w:hAnsiTheme="minorHAnsi" w:cstheme="minorBidi"/>
          <w:noProof/>
          <w:sz w:val="22"/>
          <w:szCs w:val="22"/>
          <w:lang w:val="fr-CH"/>
        </w:rPr>
      </w:pPr>
      <w:r w:rsidRPr="008B06C5">
        <w:rPr>
          <w:noProof/>
        </w:rPr>
        <w:t>Établissement de phénotypes et analyse d’images</w:t>
      </w:r>
      <w:r w:rsidRPr="0073053C">
        <w:rPr>
          <w:noProof/>
          <w:lang w:val="fr-CH"/>
        </w:rPr>
        <w:tab/>
      </w:r>
      <w:r>
        <w:rPr>
          <w:noProof/>
        </w:rPr>
        <w:fldChar w:fldCharType="begin"/>
      </w:r>
      <w:r w:rsidRPr="0073053C">
        <w:rPr>
          <w:noProof/>
          <w:lang w:val="fr-CH"/>
        </w:rPr>
        <w:instrText xml:space="preserve"> PAGEREF _Toc54200151 \h </w:instrText>
      </w:r>
      <w:r>
        <w:rPr>
          <w:noProof/>
        </w:rPr>
      </w:r>
      <w:r>
        <w:rPr>
          <w:noProof/>
        </w:rPr>
        <w:fldChar w:fldCharType="separate"/>
      </w:r>
      <w:r w:rsidRPr="0073053C">
        <w:rPr>
          <w:noProof/>
          <w:lang w:val="fr-CH"/>
        </w:rPr>
        <w:t>7</w:t>
      </w:r>
      <w:r>
        <w:rPr>
          <w:noProof/>
        </w:rPr>
        <w:fldChar w:fldCharType="end"/>
      </w:r>
    </w:p>
    <w:p w:rsidR="00D73EB2" w:rsidRPr="002C7D30" w:rsidRDefault="00D73EB2" w:rsidP="00D73EB2">
      <w:pPr>
        <w:rPr>
          <w:rFonts w:asciiTheme="minorHAnsi" w:eastAsiaTheme="minorEastAsia" w:hAnsiTheme="minorHAnsi" w:cstheme="minorBidi"/>
          <w:noProof/>
          <w:sz w:val="22"/>
          <w:szCs w:val="22"/>
        </w:rPr>
      </w:pPr>
      <w:r w:rsidRPr="002C7D30">
        <w:rPr>
          <w:rFonts w:eastAsia="MS Mincho" w:cs="Arial"/>
          <w:bCs/>
          <w:i/>
          <w:noProof/>
          <w:highlight w:val="yellow"/>
          <w:lang w:eastAsia="ja-JP"/>
        </w:rPr>
        <w:fldChar w:fldCharType="end"/>
      </w:r>
      <w:r w:rsidRPr="002C7D30">
        <w:rPr>
          <w:caps/>
          <w:sz w:val="18"/>
        </w:rPr>
        <w:fldChar w:fldCharType="begin"/>
      </w:r>
      <w:r w:rsidRPr="002C7D30">
        <w:instrText xml:space="preserve"> TOC \o "1-3" \h \z \u </w:instrText>
      </w:r>
      <w:r w:rsidRPr="002C7D30">
        <w:rPr>
          <w:caps/>
          <w:sz w:val="18"/>
        </w:rPr>
        <w:fldChar w:fldCharType="separate"/>
      </w:r>
    </w:p>
    <w:p w:rsidR="00D73EB2" w:rsidRPr="002C7D30" w:rsidRDefault="00D73EB2" w:rsidP="00D73EB2">
      <w:pPr>
        <w:tabs>
          <w:tab w:val="left" w:pos="567"/>
        </w:tabs>
        <w:rPr>
          <w:rFonts w:cs="Arial"/>
        </w:rPr>
      </w:pPr>
      <w:r w:rsidRPr="002C7D30">
        <w:fldChar w:fldCharType="end"/>
      </w:r>
    </w:p>
    <w:p w:rsidR="00D73EB2" w:rsidRPr="00BF6227" w:rsidRDefault="00D73EB2" w:rsidP="00BF6227">
      <w:pPr>
        <w:pStyle w:val="Heading1"/>
        <w:rPr>
          <w:rFonts w:eastAsia="PMingLiU"/>
        </w:rPr>
      </w:pPr>
      <w:bookmarkStart w:id="8" w:name="_Toc441497828"/>
      <w:bookmarkStart w:id="9" w:name="_Toc527377892"/>
      <w:bookmarkStart w:id="10" w:name="_Toc20505078"/>
      <w:bookmarkStart w:id="11" w:name="_Toc22473822"/>
      <w:bookmarkStart w:id="12" w:name="_Toc54200136"/>
      <w:r w:rsidRPr="00BF6227">
        <w:t xml:space="preserve">Questions pour information et </w:t>
      </w:r>
      <w:r w:rsidR="00D85F56" w:rsidRPr="00BF6227">
        <w:t xml:space="preserve">décision éventuelle </w:t>
      </w:r>
      <w:r w:rsidRPr="00BF6227">
        <w:t xml:space="preserve">du </w:t>
      </w:r>
      <w:r w:rsidR="00D85F56" w:rsidRPr="00BF6227">
        <w:t xml:space="preserve">comité </w:t>
      </w:r>
      <w:r w:rsidRPr="00BF6227">
        <w:t>technique (TC)</w:t>
      </w:r>
      <w:bookmarkEnd w:id="8"/>
      <w:bookmarkEnd w:id="9"/>
      <w:bookmarkEnd w:id="10"/>
      <w:bookmarkEnd w:id="11"/>
      <w:bookmarkEnd w:id="12"/>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rsidRPr="005C718D">
        <w:t>Il n</w:t>
      </w:r>
      <w:r>
        <w:t>’</w:t>
      </w:r>
      <w:r w:rsidRPr="005C718D">
        <w:t xml:space="preserve">y a aucune question nécessitant une prise de décision de la part du Comité technique </w:t>
      </w:r>
      <w:r>
        <w:t>lors de</w:t>
      </w:r>
      <w:r w:rsidRPr="005C718D">
        <w:t xml:space="preserve"> sa cinquante</w:t>
      </w:r>
      <w:r>
        <w:t>-sixième session</w:t>
      </w:r>
      <w:r w:rsidRPr="002C7D30">
        <w:t>.</w:t>
      </w:r>
    </w:p>
    <w:p w:rsidR="00D73EB2" w:rsidRPr="002C7D30" w:rsidRDefault="00D73EB2" w:rsidP="00D73EB2"/>
    <w:p w:rsidR="00D73EB2" w:rsidRPr="002C7D30" w:rsidRDefault="00D73EB2" w:rsidP="00D73EB2"/>
    <w:p w:rsidR="00D73EB2" w:rsidRPr="00D85F56" w:rsidRDefault="00D85F56" w:rsidP="00D85F56">
      <w:pPr>
        <w:pStyle w:val="Heading1"/>
      </w:pPr>
      <w:bookmarkStart w:id="13" w:name="_Toc441497830"/>
      <w:bookmarkStart w:id="14" w:name="_Toc527377899"/>
      <w:bookmarkStart w:id="15" w:name="_Toc20505079"/>
      <w:bookmarkStart w:id="16" w:name="_Toc54200137"/>
      <w:r w:rsidRPr="00D85F56">
        <w:t>QUESTIONS POUR INFORMATION</w:t>
      </w:r>
      <w:bookmarkEnd w:id="13"/>
      <w:bookmarkEnd w:id="14"/>
      <w:bookmarkEnd w:id="15"/>
      <w:bookmarkEnd w:id="16"/>
    </w:p>
    <w:p w:rsidR="00D73EB2" w:rsidRPr="002C7D30" w:rsidRDefault="00D73EB2" w:rsidP="00D73EB2">
      <w:pPr>
        <w:keepNext/>
      </w:pPr>
    </w:p>
    <w:p w:rsidR="00D73EB2" w:rsidRPr="002C7D30" w:rsidRDefault="00D73EB2" w:rsidP="00D73EB2">
      <w:pPr>
        <w:pStyle w:val="Heading2"/>
        <w:rPr>
          <w:lang w:val="fr-FR"/>
        </w:rPr>
      </w:pPr>
      <w:bookmarkStart w:id="17" w:name="_Toc54200138"/>
      <w:r>
        <w:rPr>
          <w:lang w:val="fr-FR"/>
        </w:rPr>
        <w:t>Nouvelles questions se posant pour l’examen DHS</w:t>
      </w:r>
      <w:bookmarkEnd w:id="17"/>
    </w:p>
    <w:p w:rsidR="00D73EB2" w:rsidRPr="002C7D30" w:rsidRDefault="00D73EB2" w:rsidP="00D73EB2">
      <w:pPr>
        <w:keepNext/>
      </w:pPr>
    </w:p>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Le</w:t>
      </w:r>
      <w:r w:rsidRPr="002C7D30">
        <w:t xml:space="preserve"> TWV</w:t>
      </w:r>
      <w:r w:rsidRPr="002C7D30">
        <w:rPr>
          <w:rStyle w:val="FootnoteReference"/>
          <w:rFonts w:eastAsia="PMingLiU"/>
          <w:szCs w:val="24"/>
        </w:rPr>
        <w:footnoteReference w:id="8"/>
      </w:r>
      <w:r>
        <w:t xml:space="preserve"> a assisté à un exposé intitulé “</w:t>
      </w:r>
      <w:proofErr w:type="spellStart"/>
      <w:r>
        <w:t>Vegetatively</w:t>
      </w:r>
      <w:proofErr w:type="spellEnd"/>
      <w:r>
        <w:t xml:space="preserve"> </w:t>
      </w:r>
      <w:proofErr w:type="spellStart"/>
      <w:r>
        <w:t>propagated</w:t>
      </w:r>
      <w:proofErr w:type="spellEnd"/>
      <w:r>
        <w:t xml:space="preserve"> </w:t>
      </w:r>
      <w:proofErr w:type="spellStart"/>
      <w:r>
        <w:t>varieties</w:t>
      </w:r>
      <w:proofErr w:type="spellEnd"/>
      <w:r>
        <w:t xml:space="preserve"> in a </w:t>
      </w:r>
      <w:proofErr w:type="spellStart"/>
      <w:r>
        <w:t>normally</w:t>
      </w:r>
      <w:proofErr w:type="spellEnd"/>
      <w:r>
        <w:t xml:space="preserve"> </w:t>
      </w:r>
      <w:proofErr w:type="spellStart"/>
      <w:r>
        <w:t>seed-propagated</w:t>
      </w:r>
      <w:proofErr w:type="spellEnd"/>
      <w:r>
        <w:t xml:space="preserve"> </w:t>
      </w:r>
      <w:proofErr w:type="spellStart"/>
      <w:r>
        <w:t>species</w:t>
      </w:r>
      <w:proofErr w:type="spellEnd"/>
      <w:r>
        <w:t xml:space="preserve">: </w:t>
      </w:r>
      <w:proofErr w:type="spellStart"/>
      <w:r>
        <w:t>pepper</w:t>
      </w:r>
      <w:proofErr w:type="spellEnd"/>
      <w:r>
        <w:t xml:space="preserve">” (Variétés à multiplication végétative appartenant à des espèces se reproduisant normalement par voie sexuée : piment, poivron), présenté par un expert des Pays-Bas.  Le texte de cet exposé se trouve dans le document </w:t>
      </w:r>
      <w:r w:rsidRPr="002C7D30">
        <w:t>TWV/54/8 (</w:t>
      </w:r>
      <w:r>
        <w:t>voir</w:t>
      </w:r>
      <w:r w:rsidRPr="002C7D30">
        <w:t xml:space="preserve"> document TWV/54/9 </w:t>
      </w:r>
      <w:r>
        <w:t>“Report” (Compte rendu),</w:t>
      </w:r>
      <w:r w:rsidRPr="002C7D30">
        <w:t xml:space="preserve"> paragraph</w:t>
      </w:r>
      <w:r>
        <w:t>e</w:t>
      </w:r>
      <w:r w:rsidRPr="002C7D30">
        <w:t>s</w:t>
      </w:r>
      <w:r>
        <w:t> </w:t>
      </w:r>
      <w:r w:rsidRPr="002C7D30">
        <w:t xml:space="preserve">74 </w:t>
      </w:r>
      <w:r>
        <w:t>et</w:t>
      </w:r>
      <w:r w:rsidRPr="002C7D30">
        <w:t xml:space="preserve"> 75).</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 </w:t>
      </w:r>
      <w:r>
        <w:t>est convenu d’inviter l’expert des Pays-Bas à rendre compte des évolutions intervenues en liaison avec l’examen DHS de variétés de piment à multiplication végétative, lors de sa cinquante-cinquième session, en particulier sur la tendance des activités d’amélioration variétale.  Il a invité par ailleurs les experts participant aux débats sur les principes directeurs d’examen du piment, poivron (TG/76) à se pencher sur ces évolutions.</w:t>
      </w:r>
    </w:p>
    <w:p w:rsidR="00D73EB2" w:rsidRPr="002C7D30" w:rsidRDefault="00D73EB2" w:rsidP="00D73EB2"/>
    <w:p w:rsidR="00D73EB2" w:rsidRPr="002C7D30" w:rsidRDefault="00D73EB2" w:rsidP="003A0EED">
      <w:pPr>
        <w:keepLines/>
      </w:pPr>
      <w:r w:rsidRPr="002C7D30">
        <w:lastRenderedPageBreak/>
        <w:fldChar w:fldCharType="begin"/>
      </w:r>
      <w:r w:rsidRPr="002C7D30">
        <w:instrText xml:space="preserve"> AUTONUM  </w:instrText>
      </w:r>
      <w:r w:rsidRPr="002C7D30">
        <w:fldChar w:fldCharType="end"/>
      </w:r>
      <w:r w:rsidRPr="002C7D30">
        <w:tab/>
      </w:r>
      <w:r>
        <w:t xml:space="preserve">Le </w:t>
      </w:r>
      <w:r w:rsidRPr="002C7D30">
        <w:t>TWO</w:t>
      </w:r>
      <w:r w:rsidRPr="002C7D30">
        <w:rPr>
          <w:rStyle w:val="FootnoteReference"/>
          <w:rFonts w:eastAsia="PMingLiU"/>
          <w:szCs w:val="24"/>
        </w:rPr>
        <w:footnoteReference w:id="9"/>
      </w:r>
      <w:r>
        <w:t xml:space="preserve"> a assisté à un exposé intitulé “</w:t>
      </w:r>
      <w:proofErr w:type="spellStart"/>
      <w:r w:rsidRPr="002C7D30">
        <w:t>Disease</w:t>
      </w:r>
      <w:proofErr w:type="spellEnd"/>
      <w:r w:rsidRPr="002C7D30">
        <w:t xml:space="preserve"> </w:t>
      </w:r>
      <w:proofErr w:type="spellStart"/>
      <w:r w:rsidRPr="002C7D30">
        <w:t>r</w:t>
      </w:r>
      <w:r w:rsidRPr="002C7D30">
        <w:rPr>
          <w:bCs/>
        </w:rPr>
        <w:t>esistance</w:t>
      </w:r>
      <w:proofErr w:type="spellEnd"/>
      <w:r w:rsidRPr="002C7D30">
        <w:rPr>
          <w:bCs/>
        </w:rPr>
        <w:t xml:space="preserve"> in </w:t>
      </w:r>
      <w:proofErr w:type="spellStart"/>
      <w:r w:rsidRPr="002C7D30">
        <w:rPr>
          <w:bCs/>
        </w:rPr>
        <w:t>ornamental</w:t>
      </w:r>
      <w:proofErr w:type="spellEnd"/>
      <w:r w:rsidRPr="002C7D30">
        <w:rPr>
          <w:bCs/>
        </w:rPr>
        <w:t xml:space="preserve"> </w:t>
      </w:r>
      <w:proofErr w:type="spellStart"/>
      <w:r w:rsidRPr="002C7D30">
        <w:rPr>
          <w:bCs/>
        </w:rPr>
        <w:t>crops</w:t>
      </w:r>
      <w:proofErr w:type="spellEnd"/>
      <w:r>
        <w:rPr>
          <w:bCs/>
        </w:rPr>
        <w:t>”</w:t>
      </w:r>
      <w:r>
        <w:t xml:space="preserve"> </w:t>
      </w:r>
      <w:r>
        <w:rPr>
          <w:bCs/>
        </w:rPr>
        <w:t>(Résistance aux maladies chez les plantes ornementales), présenté par</w:t>
      </w:r>
      <w:r>
        <w:t xml:space="preserve"> Mme </w:t>
      </w:r>
      <w:r w:rsidRPr="002C7D30">
        <w:rPr>
          <w:bCs/>
        </w:rPr>
        <w:t xml:space="preserve">Amanda van Dijk </w:t>
      </w:r>
      <w:r>
        <w:rPr>
          <w:bCs/>
        </w:rPr>
        <w:t xml:space="preserve">(Pays-Bas).  Le texte de cet exposé se trouve dans le document </w:t>
      </w:r>
      <w:r w:rsidRPr="002C7D30">
        <w:rPr>
          <w:bCs/>
        </w:rPr>
        <w:t>TWO/52/8 (</w:t>
      </w:r>
      <w:r>
        <w:rPr>
          <w:bCs/>
        </w:rPr>
        <w:t xml:space="preserve">voir </w:t>
      </w:r>
      <w:r w:rsidRPr="002C7D30">
        <w:rPr>
          <w:bCs/>
        </w:rPr>
        <w:t xml:space="preserve">document TWO/52/11 </w:t>
      </w:r>
      <w:r>
        <w:rPr>
          <w:bCs/>
        </w:rPr>
        <w:t>“Re</w:t>
      </w:r>
      <w:r w:rsidRPr="002C7D30">
        <w:rPr>
          <w:bCs/>
        </w:rPr>
        <w:t>port</w:t>
      </w:r>
      <w:r>
        <w:rPr>
          <w:bCs/>
        </w:rPr>
        <w:t>” (Compte rendu)</w:t>
      </w:r>
      <w:r w:rsidRPr="002C7D30">
        <w:rPr>
          <w:bCs/>
        </w:rPr>
        <w:t>, paragraph</w:t>
      </w:r>
      <w:r>
        <w:rPr>
          <w:bCs/>
        </w:rPr>
        <w:t>e</w:t>
      </w:r>
      <w:r w:rsidRPr="002C7D30">
        <w:rPr>
          <w:bCs/>
        </w:rPr>
        <w:t>s</w:t>
      </w:r>
      <w:r>
        <w:rPr>
          <w:bCs/>
        </w:rPr>
        <w:t> </w:t>
      </w:r>
      <w:r w:rsidRPr="002C7D30">
        <w:rPr>
          <w:bCs/>
        </w:rPr>
        <w:t xml:space="preserve">29 </w:t>
      </w:r>
      <w:r>
        <w:rPr>
          <w:bCs/>
        </w:rPr>
        <w:t>et</w:t>
      </w:r>
      <w:r w:rsidRPr="002C7D30">
        <w:rPr>
          <w:bCs/>
        </w:rPr>
        <w:t xml:space="preserve"> 30).</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TWO </w:t>
      </w:r>
      <w:r>
        <w:t>a pris note de l’invitation adressée par les Pays-Bas à des experts intéressés par une participation à un test d’étalonnage concernant la résistance des variétés de chrysanthème à</w:t>
      </w:r>
      <w:r w:rsidRPr="002C7D30">
        <w:t xml:space="preserve"> </w:t>
      </w:r>
      <w:r w:rsidRPr="002C7D30">
        <w:rPr>
          <w:i/>
        </w:rPr>
        <w:t xml:space="preserve">Puccinia </w:t>
      </w:r>
      <w:proofErr w:type="spellStart"/>
      <w:r w:rsidRPr="002C7D30">
        <w:rPr>
          <w:i/>
        </w:rPr>
        <w:t>horiana</w:t>
      </w:r>
      <w:proofErr w:type="spellEnd"/>
      <w:r>
        <w:rPr>
          <w:i/>
        </w:rPr>
        <w:t xml:space="preserve">.  </w:t>
      </w:r>
      <w:r>
        <w:t>Le </w:t>
      </w:r>
      <w:r w:rsidRPr="002C7D30">
        <w:t xml:space="preserve">TWO </w:t>
      </w:r>
      <w:r>
        <w:t>est convenu d’inviter les Pays-Bas à rendre compte des évolutions intervenues concernant le test d’étalonnage, lors de sa cinquante-troisième session</w:t>
      </w:r>
      <w:r w:rsidRPr="002C7D30">
        <w:t>.</w:t>
      </w:r>
    </w:p>
    <w:p w:rsidR="00D73EB2" w:rsidRPr="002C7D30" w:rsidRDefault="00D73EB2" w:rsidP="00D73EB2"/>
    <w:p w:rsidR="00D73EB2" w:rsidRPr="002C7D30" w:rsidRDefault="00D73EB2" w:rsidP="00D73EB2"/>
    <w:p w:rsidR="00D73EB2" w:rsidRPr="002C7D30" w:rsidRDefault="00D73EB2" w:rsidP="00D73EB2">
      <w:pPr>
        <w:pStyle w:val="Heading2"/>
        <w:rPr>
          <w:lang w:val="fr-FR"/>
        </w:rPr>
      </w:pPr>
      <w:bookmarkStart w:id="18" w:name="_Toc54200139"/>
      <w:r>
        <w:rPr>
          <w:lang w:val="fr-FR"/>
        </w:rPr>
        <w:t>Utilisation de caractères de résistance aux maladies</w:t>
      </w:r>
      <w:bookmarkEnd w:id="18"/>
    </w:p>
    <w:p w:rsidR="00D73EB2" w:rsidRPr="002C7D30" w:rsidRDefault="00D73EB2" w:rsidP="00D73EB2">
      <w:pPr>
        <w:keepNext/>
      </w:pPr>
    </w:p>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Le</w:t>
      </w:r>
      <w:r w:rsidRPr="002C7D30">
        <w:t xml:space="preserve"> TWV</w:t>
      </w:r>
      <w:r w:rsidRPr="002C7D30">
        <w:rPr>
          <w:rStyle w:val="FootnoteReference"/>
          <w:rFonts w:eastAsia="PMingLiU"/>
          <w:szCs w:val="24"/>
        </w:rPr>
        <w:footnoteReference w:id="10"/>
      </w:r>
      <w:r w:rsidRPr="002C7D30">
        <w:t xml:space="preserve"> </w:t>
      </w:r>
      <w:r>
        <w:t>a assisté à un exposé intitulé “</w:t>
      </w:r>
      <w:r w:rsidRPr="002C7D30">
        <w:t xml:space="preserve">Data </w:t>
      </w:r>
      <w:proofErr w:type="spellStart"/>
      <w:r w:rsidRPr="002C7D30">
        <w:t>processing</w:t>
      </w:r>
      <w:proofErr w:type="spellEnd"/>
      <w:r w:rsidRPr="002C7D30">
        <w:t xml:space="preserve"> for </w:t>
      </w:r>
      <w:proofErr w:type="spellStart"/>
      <w:r w:rsidRPr="002C7D30">
        <w:t>disease</w:t>
      </w:r>
      <w:proofErr w:type="spellEnd"/>
      <w:r w:rsidRPr="002C7D30">
        <w:t xml:space="preserve"> </w:t>
      </w:r>
      <w:proofErr w:type="spellStart"/>
      <w:r w:rsidRPr="002C7D30">
        <w:t>resistance</w:t>
      </w:r>
      <w:proofErr w:type="spellEnd"/>
      <w:r w:rsidRPr="002C7D30">
        <w:t xml:space="preserve"> </w:t>
      </w:r>
      <w:proofErr w:type="spellStart"/>
      <w:r w:rsidRPr="002C7D30">
        <w:t>characteristics</w:t>
      </w:r>
      <w:proofErr w:type="spellEnd"/>
      <w:r>
        <w:t> :</w:t>
      </w:r>
      <w:r w:rsidRPr="002C7D30">
        <w:t xml:space="preserve"> the </w:t>
      </w:r>
      <w:proofErr w:type="spellStart"/>
      <w:r w:rsidRPr="002C7D30">
        <w:t>Pathostat</w:t>
      </w:r>
      <w:proofErr w:type="spellEnd"/>
      <w:r w:rsidRPr="002C7D30">
        <w:t xml:space="preserve"> application</w:t>
      </w:r>
      <w:r>
        <w:t xml:space="preserve">” (Traitement des données pour les caractères de résistance aux maladies : application </w:t>
      </w:r>
      <w:proofErr w:type="spellStart"/>
      <w:r>
        <w:t>Pathostat</w:t>
      </w:r>
      <w:proofErr w:type="spellEnd"/>
      <w:r>
        <w:t>), présenté par un expert de la France.  Le texte de cet exposé se trouve dans le</w:t>
      </w:r>
      <w:r w:rsidRPr="002C7D30">
        <w:t xml:space="preserve"> document</w:t>
      </w:r>
      <w:r>
        <w:t xml:space="preserve"> </w:t>
      </w:r>
      <w:r w:rsidRPr="002C7D30">
        <w:t>TWV/54/6 </w:t>
      </w:r>
      <w:proofErr w:type="spellStart"/>
      <w:r w:rsidRPr="002C7D30">
        <w:t>Rev</w:t>
      </w:r>
      <w:proofErr w:type="spellEnd"/>
      <w:r w:rsidRPr="002C7D30">
        <w:t>. (</w:t>
      </w:r>
      <w:proofErr w:type="gramStart"/>
      <w:r>
        <w:t>voir</w:t>
      </w:r>
      <w:proofErr w:type="gramEnd"/>
      <w:r w:rsidRPr="002C7D30">
        <w:t xml:space="preserve"> document TWV/54/9 </w:t>
      </w:r>
      <w:r>
        <w:t>“</w:t>
      </w:r>
      <w:r w:rsidRPr="002C7D30">
        <w:t>R</w:t>
      </w:r>
      <w:r>
        <w:t>e</w:t>
      </w:r>
      <w:r w:rsidRPr="002C7D30">
        <w:t>port</w:t>
      </w:r>
      <w:r>
        <w:t>” (Compte rendu)</w:t>
      </w:r>
      <w:r w:rsidRPr="002C7D30">
        <w:t>, paragraph</w:t>
      </w:r>
      <w:r>
        <w:t>e</w:t>
      </w:r>
      <w:r w:rsidRPr="002C7D30">
        <w:t>s</w:t>
      </w:r>
      <w:r>
        <w:t> 76 à</w:t>
      </w:r>
      <w:r w:rsidRPr="002C7D30">
        <w:t xml:space="preserve"> 83).</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 </w:t>
      </w:r>
      <w:r>
        <w:t>a assisté à un exposé intitulé “</w:t>
      </w:r>
      <w:proofErr w:type="spellStart"/>
      <w:r w:rsidRPr="002C7D30">
        <w:t>Disease</w:t>
      </w:r>
      <w:proofErr w:type="spellEnd"/>
      <w:r w:rsidRPr="002C7D30">
        <w:t xml:space="preserve"> </w:t>
      </w:r>
      <w:proofErr w:type="spellStart"/>
      <w:r w:rsidRPr="002C7D30">
        <w:t>resistance</w:t>
      </w:r>
      <w:proofErr w:type="spellEnd"/>
      <w:r w:rsidRPr="002C7D30">
        <w:t xml:space="preserve"> tests on </w:t>
      </w:r>
      <w:bookmarkStart w:id="19" w:name="_Hlk54020643"/>
      <w:proofErr w:type="spellStart"/>
      <w:r w:rsidRPr="002C7D30">
        <w:rPr>
          <w:i/>
        </w:rPr>
        <w:t>Solanum</w:t>
      </w:r>
      <w:proofErr w:type="spellEnd"/>
      <w:r w:rsidRPr="002C7D30">
        <w:rPr>
          <w:i/>
        </w:rPr>
        <w:t xml:space="preserve"> </w:t>
      </w:r>
      <w:proofErr w:type="spellStart"/>
      <w:r w:rsidRPr="002C7D30">
        <w:rPr>
          <w:i/>
        </w:rPr>
        <w:t>sisymbrifolium</w:t>
      </w:r>
      <w:proofErr w:type="spellEnd"/>
      <w:r w:rsidRPr="002C7D30">
        <w:t xml:space="preserve">, </w:t>
      </w:r>
      <w:r w:rsidRPr="002C7D30">
        <w:rPr>
          <w:i/>
        </w:rPr>
        <w:t>S</w:t>
      </w:r>
      <w:r w:rsidRPr="00E953C8">
        <w:t>.</w:t>
      </w:r>
      <w:r>
        <w:t> </w:t>
      </w:r>
      <w:proofErr w:type="spellStart"/>
      <w:r w:rsidRPr="00E953C8">
        <w:rPr>
          <w:i/>
          <w:lang w:val="fr-CH"/>
        </w:rPr>
        <w:t>torvum</w:t>
      </w:r>
      <w:proofErr w:type="spellEnd"/>
      <w:r w:rsidRPr="00E953C8">
        <w:rPr>
          <w:lang w:val="fr-CH"/>
        </w:rPr>
        <w:t xml:space="preserve"> and </w:t>
      </w:r>
      <w:r w:rsidRPr="00E953C8">
        <w:rPr>
          <w:i/>
          <w:lang w:val="fr-CH"/>
        </w:rPr>
        <w:t>S</w:t>
      </w:r>
      <w:r w:rsidRPr="00E953C8">
        <w:rPr>
          <w:lang w:val="fr-CH"/>
        </w:rPr>
        <w:t>. </w:t>
      </w:r>
      <w:proofErr w:type="spellStart"/>
      <w:r w:rsidRPr="00E953C8">
        <w:rPr>
          <w:i/>
        </w:rPr>
        <w:t>aethiopicum</w:t>
      </w:r>
      <w:bookmarkEnd w:id="19"/>
      <w:proofErr w:type="spellEnd"/>
      <w:r w:rsidRPr="00E953C8">
        <w:rPr>
          <w:i/>
        </w:rPr>
        <w:t> :</w:t>
      </w:r>
      <w:r w:rsidRPr="00E953C8">
        <w:t xml:space="preserve"> </w:t>
      </w:r>
      <w:proofErr w:type="spellStart"/>
      <w:r w:rsidRPr="00E953C8">
        <w:t>tomato</w:t>
      </w:r>
      <w:proofErr w:type="spellEnd"/>
      <w:r w:rsidRPr="00E953C8">
        <w:t xml:space="preserve"> and </w:t>
      </w:r>
      <w:proofErr w:type="spellStart"/>
      <w:r w:rsidRPr="00E953C8">
        <w:t>eggplant</w:t>
      </w:r>
      <w:proofErr w:type="spellEnd"/>
      <w:r w:rsidRPr="00E953C8">
        <w:t xml:space="preserve"> </w:t>
      </w:r>
      <w:proofErr w:type="spellStart"/>
      <w:r w:rsidRPr="00E953C8">
        <w:t>rootstocks</w:t>
      </w:r>
      <w:proofErr w:type="spellEnd"/>
      <w:r w:rsidRPr="00E953C8">
        <w:t xml:space="preserve"> – </w:t>
      </w:r>
      <w:proofErr w:type="spellStart"/>
      <w:r w:rsidRPr="00E953C8">
        <w:t>Italian</w:t>
      </w:r>
      <w:proofErr w:type="spellEnd"/>
      <w:r w:rsidRPr="00E953C8">
        <w:t xml:space="preserve"> </w:t>
      </w:r>
      <w:proofErr w:type="spellStart"/>
      <w:r w:rsidRPr="00E953C8">
        <w:t>laboratory</w:t>
      </w:r>
      <w:proofErr w:type="spellEnd"/>
      <w:r w:rsidRPr="00E953C8">
        <w:t xml:space="preserve"> </w:t>
      </w:r>
      <w:proofErr w:type="spellStart"/>
      <w:r w:rsidRPr="00E953C8">
        <w:t>experience</w:t>
      </w:r>
      <w:proofErr w:type="spellEnd"/>
      <w:r w:rsidRPr="00E953C8">
        <w:t xml:space="preserve">” (Tests de résistance aux maladies sur </w:t>
      </w:r>
      <w:proofErr w:type="spellStart"/>
      <w:r w:rsidRPr="00E953C8">
        <w:rPr>
          <w:i/>
        </w:rPr>
        <w:t>Solanum</w:t>
      </w:r>
      <w:proofErr w:type="spellEnd"/>
      <w:r w:rsidRPr="00E953C8">
        <w:rPr>
          <w:i/>
        </w:rPr>
        <w:t xml:space="preserve"> </w:t>
      </w:r>
      <w:proofErr w:type="spellStart"/>
      <w:r w:rsidRPr="00E953C8">
        <w:rPr>
          <w:i/>
        </w:rPr>
        <w:t>sisymbrifolium</w:t>
      </w:r>
      <w:proofErr w:type="spellEnd"/>
      <w:r w:rsidRPr="00E953C8">
        <w:t xml:space="preserve">, </w:t>
      </w:r>
      <w:r w:rsidRPr="00E953C8">
        <w:rPr>
          <w:i/>
        </w:rPr>
        <w:t>S</w:t>
      </w:r>
      <w:r w:rsidRPr="00E953C8">
        <w:t>. </w:t>
      </w:r>
      <w:proofErr w:type="spellStart"/>
      <w:r w:rsidRPr="002C7D30">
        <w:rPr>
          <w:i/>
        </w:rPr>
        <w:t>torvum</w:t>
      </w:r>
      <w:proofErr w:type="spellEnd"/>
      <w:r w:rsidRPr="002C7D30">
        <w:t xml:space="preserve"> </w:t>
      </w:r>
      <w:r>
        <w:t>et</w:t>
      </w:r>
      <w:r w:rsidRPr="002C7D30">
        <w:t xml:space="preserve"> </w:t>
      </w:r>
      <w:r w:rsidRPr="002C7D30">
        <w:rPr>
          <w:i/>
        </w:rPr>
        <w:t>S</w:t>
      </w:r>
      <w:r w:rsidRPr="00E953C8">
        <w:t>.</w:t>
      </w:r>
      <w:r>
        <w:t> </w:t>
      </w:r>
      <w:proofErr w:type="spellStart"/>
      <w:r w:rsidRPr="002C7D30">
        <w:rPr>
          <w:i/>
        </w:rPr>
        <w:t>aethiopicum</w:t>
      </w:r>
      <w:proofErr w:type="spellEnd"/>
      <w:r>
        <w:t> : porte-greffes de tomate et d’aubergine – expérience de laboratoire en Italie), présenté par un expert de l’Italie.  Le texte de cet exposé se trouve dans le</w:t>
      </w:r>
      <w:r w:rsidRPr="002C7D30">
        <w:t xml:space="preserve"> document</w:t>
      </w:r>
      <w:r>
        <w:t xml:space="preserve"> </w:t>
      </w:r>
      <w:r w:rsidRPr="002C7D30">
        <w:t>TWV/54/6 </w:t>
      </w:r>
      <w:proofErr w:type="spellStart"/>
      <w:r w:rsidRPr="002C7D30">
        <w:t>Rev</w:t>
      </w:r>
      <w:proofErr w:type="spellEnd"/>
      <w:r>
        <w:t>.</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 </w:t>
      </w:r>
      <w:r>
        <w:t xml:space="preserve">est convenu d’inviter l’expert de la France à présenter le logiciel </w:t>
      </w:r>
      <w:proofErr w:type="spellStart"/>
      <w:r w:rsidRPr="002C7D30">
        <w:t>Pathostat</w:t>
      </w:r>
      <w:proofErr w:type="spellEnd"/>
      <w:r w:rsidRPr="002C7D30">
        <w:t xml:space="preserve"> </w:t>
      </w:r>
      <w:r>
        <w:t>lors de la trente-huitième session du </w:t>
      </w:r>
      <w:r w:rsidRPr="002C7D30">
        <w:t>TW</w:t>
      </w:r>
      <w:r>
        <w:t>C</w:t>
      </w:r>
      <w:r w:rsidRPr="002C7D30">
        <w:t>.</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w:t>
      </w:r>
      <w:r>
        <w:t xml:space="preserve"> a pris note de la proposition de la France consistant à fournir des données aux experts intéressés afin qu’ils puissent tester le logiciel.  Le TWV a pris note de l’intérêt manifesté dans ce sens par l’expert de l’Allemagne, celui de l’Italie et celui des Pays-Bas.  Il a décidé d’inviter l’expert français à rendre compte des évolutions des tests lors de la prochaine session, sous le point de l’ordre du jour intitulé “Utilisation de caractères de résistance aux maladies”.</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 </w:t>
      </w:r>
      <w:r>
        <w:t xml:space="preserve">a pris note de la proposition de la France selon laquelle les membres de l’UPOV pourraient utiliser gratuitement le logiciel </w:t>
      </w:r>
      <w:proofErr w:type="spellStart"/>
      <w:r>
        <w:t>Pathostat</w:t>
      </w:r>
      <w:proofErr w:type="spellEnd"/>
      <w:r>
        <w:t xml:space="preserve">.  Il a invité par ailleurs l’expert de la France à examiner s’il convenait de proposer ou non d’intégrer </w:t>
      </w:r>
      <w:proofErr w:type="spellStart"/>
      <w:r>
        <w:t>Pathostat</w:t>
      </w:r>
      <w:proofErr w:type="spellEnd"/>
      <w:r>
        <w:t xml:space="preserve"> dans le document </w:t>
      </w:r>
      <w:r w:rsidRPr="002C7D30">
        <w:t xml:space="preserve">UPOV/INF/16 </w:t>
      </w:r>
      <w:r>
        <w:t>“Logiciels échangeables”</w:t>
      </w:r>
      <w:r w:rsidRPr="002C7D30">
        <w:t xml:space="preserve">, </w:t>
      </w:r>
      <w:r>
        <w:t>en réponse à la circulaire</w:t>
      </w:r>
      <w:r w:rsidR="00CC0641">
        <w:t> </w:t>
      </w:r>
      <w:r w:rsidRPr="002C7D30">
        <w:t>E</w:t>
      </w:r>
      <w:r>
        <w:t>-</w:t>
      </w:r>
      <w:r w:rsidRPr="002C7D30">
        <w:t xml:space="preserve">20/031, </w:t>
      </w:r>
      <w:r>
        <w:t>diffusée par le Bureau de l’</w:t>
      </w:r>
      <w:r w:rsidRPr="002C7D30">
        <w:t xml:space="preserve">Union </w:t>
      </w:r>
      <w:r>
        <w:t>le 14 avril </w:t>
      </w:r>
      <w:r w:rsidRPr="002C7D30">
        <w:t>2020.</w:t>
      </w:r>
    </w:p>
    <w:p w:rsidR="00D73EB2" w:rsidRPr="002C7D30" w:rsidRDefault="00D73EB2" w:rsidP="00D73EB2"/>
    <w:p w:rsidR="00D73EB2" w:rsidRDefault="00D73EB2" w:rsidP="00D73EB2">
      <w:pPr>
        <w:pStyle w:val="Heading3"/>
        <w:rPr>
          <w:lang w:val="fr-FR"/>
        </w:rPr>
      </w:pPr>
      <w:r>
        <w:rPr>
          <w:lang w:val="fr-FR"/>
        </w:rPr>
        <w:t>Désignation du niveau d’expression intermédiaire concernant les caractères de résistance aux maladies</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TWV </w:t>
      </w:r>
      <w:r>
        <w:t>a envisagé de désigner le niveau d’expression intermédiaire concernant les caractères de résistance aux maladies.  Le TWC a noté que les conseils figurant dans le d</w:t>
      </w:r>
      <w:r w:rsidRPr="002C7D30">
        <w:t xml:space="preserve">ocument TGP/12 </w:t>
      </w:r>
      <w:r>
        <w:t>“Conseils en ce qui concerne certains caractères physiologiques” donnaient un exemple de caractère quantitatif de résistance aux maladies avec un niveau d’expression intermédiaire “moyennement résistant”.</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 xml:space="preserve">e TWV </w:t>
      </w:r>
      <w:r>
        <w:t>a noté que le terme “intermédiaire” était couramment employé par les experts et il a décidé de proposer de modifier l’exemple concernant les caractères quantitatifs de résistance aux maladies avec l’échelle “de 1 à 3” dans le document TGP/12 et de remplacer le niveau d’expression “moyennement résistant” par “intermédiaire”.  Le TWV est convenu qu’en général, ce terme devrait être utilisé dans les principes directeurs d’examen concernant les caractères de résistance aux maladies</w:t>
      </w:r>
      <w:r w:rsidRPr="002C7D30">
        <w:t>.</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w:t>
      </w:r>
      <w:r w:rsidRPr="002C7D30">
        <w:t xml:space="preserve">e TWV </w:t>
      </w:r>
      <w:r>
        <w:t>a accueilli favorablement la proposition de la France et des Pays-Bas visant à présenter, lors de sa cinquante-cinquième session, ce qui est couramment pratiqué concernant l’expression du niveau intermédiaire pour les caractères de résistance aux maladies.  Le TWV a pris note par ailleurs de la demande formulée par le représentant de l’ISF afin d’aligner la terminologie utilisée dans le domaine de la résistance aux maladies.  Il a invité l’ISF à présenter un exposé, lors de sa cinquante-cinquième session, sur l’avis des industriels spécialisés dans la sélection des semences potagères concernant la terminologie employée pour la résistance aux maladies.</w:t>
      </w:r>
    </w:p>
    <w:p w:rsidR="00D73EB2" w:rsidRDefault="00D73EB2" w:rsidP="00D73EB2"/>
    <w:p w:rsidR="00D73EB2" w:rsidRPr="00C85977" w:rsidRDefault="00D73EB2" w:rsidP="00C85977">
      <w:pPr>
        <w:pStyle w:val="Heading2"/>
        <w:rPr>
          <w:lang w:val="fr-FR"/>
        </w:rPr>
      </w:pPr>
      <w:bookmarkStart w:id="20" w:name="_Toc54200140"/>
      <w:r w:rsidRPr="00C85977">
        <w:rPr>
          <w:lang w:val="fr-FR"/>
        </w:rPr>
        <w:t xml:space="preserve">Évolutions possibles pour que les codes UPOV puissent fournir des informations utiles sur les groupes de variétés ou les types de variété aux fins de l’examen DHS (projet </w:t>
      </w:r>
      <w:proofErr w:type="spellStart"/>
      <w:r w:rsidRPr="00C85977">
        <w:rPr>
          <w:lang w:val="fr-FR"/>
        </w:rPr>
        <w:t>Plavarlis</w:t>
      </w:r>
      <w:proofErr w:type="spellEnd"/>
      <w:r w:rsidRPr="00C85977">
        <w:rPr>
          <w:lang w:val="fr-FR"/>
        </w:rPr>
        <w:t xml:space="preserve"> – codes</w:t>
      </w:r>
      <w:r w:rsidR="00911337">
        <w:rPr>
          <w:lang w:val="fr-FR"/>
        </w:rPr>
        <w:t> </w:t>
      </w:r>
      <w:r w:rsidRPr="00C85977">
        <w:rPr>
          <w:lang w:val="fr-FR"/>
        </w:rPr>
        <w:t>UPOV)</w:t>
      </w:r>
      <w:bookmarkEnd w:id="20"/>
    </w:p>
    <w:p w:rsidR="00D73EB2" w:rsidRPr="002C7D30" w:rsidRDefault="00D73EB2" w:rsidP="001D4AD9">
      <w:pPr>
        <w:keepNext/>
        <w:keepLines/>
      </w:pPr>
    </w:p>
    <w:p w:rsidR="00D73EB2" w:rsidRPr="002C7D30" w:rsidRDefault="00D73EB2" w:rsidP="001D4AD9">
      <w:pPr>
        <w:keepNext/>
        <w:keepLines/>
      </w:pPr>
      <w:r w:rsidRPr="002C7D30">
        <w:fldChar w:fldCharType="begin"/>
      </w:r>
      <w:r w:rsidRPr="002C7D30">
        <w:instrText xml:space="preserve"> AUTONUM  </w:instrText>
      </w:r>
      <w:r w:rsidRPr="002C7D30">
        <w:fldChar w:fldCharType="end"/>
      </w:r>
      <w:r w:rsidRPr="002C7D30">
        <w:tab/>
      </w:r>
      <w:r>
        <w:t>Le</w:t>
      </w:r>
      <w:r w:rsidRPr="002C7D30">
        <w:t xml:space="preserve"> TWO</w:t>
      </w:r>
      <w:r w:rsidRPr="002C7D30">
        <w:rPr>
          <w:rStyle w:val="FootnoteReference"/>
          <w:rFonts w:eastAsia="PMingLiU"/>
          <w:szCs w:val="24"/>
        </w:rPr>
        <w:footnoteReference w:id="11"/>
      </w:r>
      <w:r w:rsidRPr="002C7D30">
        <w:t xml:space="preserve"> </w:t>
      </w:r>
      <w:r>
        <w:t>a assisté à un exposé intitulé “</w:t>
      </w:r>
      <w:r w:rsidRPr="002C7D30">
        <w:t xml:space="preserve">Possible </w:t>
      </w:r>
      <w:proofErr w:type="spellStart"/>
      <w:r w:rsidRPr="002C7D30">
        <w:t>developments</w:t>
      </w:r>
      <w:proofErr w:type="spellEnd"/>
      <w:r w:rsidRPr="002C7D30">
        <w:t xml:space="preserve"> to </w:t>
      </w:r>
      <w:proofErr w:type="spellStart"/>
      <w:r w:rsidRPr="002C7D30">
        <w:t>enable</w:t>
      </w:r>
      <w:proofErr w:type="spellEnd"/>
      <w:r w:rsidRPr="002C7D30">
        <w:t xml:space="preserve"> UPOV Codes to </w:t>
      </w:r>
      <w:proofErr w:type="spellStart"/>
      <w:r w:rsidRPr="002C7D30">
        <w:t>provide</w:t>
      </w:r>
      <w:proofErr w:type="spellEnd"/>
      <w:r w:rsidRPr="002C7D30">
        <w:t xml:space="preserve"> </w:t>
      </w:r>
      <w:proofErr w:type="spellStart"/>
      <w:r w:rsidRPr="002C7D30">
        <w:t>useful</w:t>
      </w:r>
      <w:proofErr w:type="spellEnd"/>
      <w:r w:rsidRPr="002C7D30">
        <w:t xml:space="preserve"> information on </w:t>
      </w:r>
      <w:proofErr w:type="spellStart"/>
      <w:r w:rsidRPr="002C7D30">
        <w:t>variety</w:t>
      </w:r>
      <w:proofErr w:type="spellEnd"/>
      <w:r w:rsidRPr="002C7D30">
        <w:t xml:space="preserve"> groups or types for DUS </w:t>
      </w:r>
      <w:proofErr w:type="spellStart"/>
      <w:r w:rsidRPr="002C7D30">
        <w:t>testing</w:t>
      </w:r>
      <w:proofErr w:type="spellEnd"/>
      <w:r w:rsidRPr="002C7D30">
        <w:t xml:space="preserve"> </w:t>
      </w:r>
      <w:proofErr w:type="spellStart"/>
      <w:r w:rsidRPr="002C7D30">
        <w:t>purposes</w:t>
      </w:r>
      <w:proofErr w:type="spellEnd"/>
      <w:r>
        <w:t xml:space="preserve">” </w:t>
      </w:r>
      <w:r w:rsidRPr="002C7D30">
        <w:t>(</w:t>
      </w:r>
      <w:proofErr w:type="spellStart"/>
      <w:r w:rsidRPr="002C7D30">
        <w:t>Plavarlis</w:t>
      </w:r>
      <w:proofErr w:type="spellEnd"/>
      <w:r w:rsidRPr="002C7D30">
        <w:t xml:space="preserve"> </w:t>
      </w:r>
      <w:proofErr w:type="spellStart"/>
      <w:r w:rsidRPr="002C7D30">
        <w:t>project</w:t>
      </w:r>
      <w:proofErr w:type="spellEnd"/>
      <w:r w:rsidRPr="002C7D30">
        <w:t>)</w:t>
      </w:r>
      <w:r>
        <w:t xml:space="preserve"> (</w:t>
      </w:r>
      <w:bookmarkStart w:id="21" w:name="_Hlk54075973"/>
      <w:r>
        <w:t>Évolutions possibles pour que les codes UPOV puissent fournir des informations utiles sur les groupes de variétés ou les types de variété aux fins de l’examen DHS</w:t>
      </w:r>
      <w:bookmarkEnd w:id="21"/>
      <w:r>
        <w:t xml:space="preserve"> (projet </w:t>
      </w:r>
      <w:proofErr w:type="spellStart"/>
      <w:r>
        <w:t>Plavarlis</w:t>
      </w:r>
      <w:proofErr w:type="spellEnd"/>
      <w:r>
        <w:t>)), présenté par un expert de l’Union européenne.  Le texte de cet exposé se trouve dans le</w:t>
      </w:r>
      <w:r w:rsidRPr="002C7D30">
        <w:t xml:space="preserve"> document TWO/52/9 </w:t>
      </w:r>
      <w:r w:rsidRPr="002C7D30">
        <w:rPr>
          <w:bCs/>
        </w:rPr>
        <w:t>(</w:t>
      </w:r>
      <w:r>
        <w:rPr>
          <w:bCs/>
        </w:rPr>
        <w:t>voir</w:t>
      </w:r>
      <w:r w:rsidRPr="002C7D30">
        <w:rPr>
          <w:bCs/>
        </w:rPr>
        <w:t xml:space="preserve"> document TWO/52/11</w:t>
      </w:r>
      <w:r>
        <w:rPr>
          <w:bCs/>
        </w:rPr>
        <w:t xml:space="preserve"> “Re</w:t>
      </w:r>
      <w:r w:rsidRPr="002C7D30">
        <w:rPr>
          <w:bCs/>
        </w:rPr>
        <w:t>port</w:t>
      </w:r>
      <w:r>
        <w:rPr>
          <w:bCs/>
        </w:rPr>
        <w:t>” (Compte rendu)</w:t>
      </w:r>
      <w:r w:rsidRPr="002C7D30">
        <w:rPr>
          <w:bCs/>
        </w:rPr>
        <w:t>, paragraph</w:t>
      </w:r>
      <w:r>
        <w:rPr>
          <w:bCs/>
        </w:rPr>
        <w:t>e</w:t>
      </w:r>
      <w:r w:rsidRPr="002C7D30">
        <w:rPr>
          <w:bCs/>
        </w:rPr>
        <w:t>s</w:t>
      </w:r>
      <w:r>
        <w:rPr>
          <w:bCs/>
        </w:rPr>
        <w:t> </w:t>
      </w:r>
      <w:r w:rsidRPr="002C7D30">
        <w:rPr>
          <w:bCs/>
        </w:rPr>
        <w:t xml:space="preserve">53 </w:t>
      </w:r>
      <w:r>
        <w:rPr>
          <w:bCs/>
        </w:rPr>
        <w:t>à</w:t>
      </w:r>
      <w:r w:rsidRPr="002C7D30">
        <w:rPr>
          <w:bCs/>
        </w:rPr>
        <w:t xml:space="preserve"> 55)</w:t>
      </w:r>
      <w:r w:rsidRPr="002C7D30">
        <w:t>.</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TWO </w:t>
      </w:r>
      <w:r>
        <w:t>est convenu d’inviter l’Union européenne à rendre compte des évolutions du projet lors de sa cinquante-troisième session</w:t>
      </w:r>
      <w:r w:rsidRPr="002C7D30">
        <w:t>.</w:t>
      </w:r>
    </w:p>
    <w:p w:rsidR="00D73EB2" w:rsidRPr="002C7D30" w:rsidRDefault="00D73EB2" w:rsidP="00D73EB2"/>
    <w:p w:rsidR="00D73EB2" w:rsidRDefault="00D73EB2" w:rsidP="00D73EB2">
      <w:pPr>
        <w:rPr>
          <w:bCs/>
        </w:rPr>
      </w:pPr>
      <w:r w:rsidRPr="002C7D30">
        <w:rPr>
          <w:bCs/>
        </w:rPr>
        <w:fldChar w:fldCharType="begin"/>
      </w:r>
      <w:r w:rsidRPr="002C7D30">
        <w:rPr>
          <w:bCs/>
        </w:rPr>
        <w:instrText xml:space="preserve"> AUTONUM  </w:instrText>
      </w:r>
      <w:r w:rsidRPr="002C7D30">
        <w:rPr>
          <w:bCs/>
        </w:rPr>
        <w:fldChar w:fldCharType="end"/>
      </w:r>
      <w:r w:rsidRPr="002C7D30">
        <w:rPr>
          <w:bCs/>
        </w:rPr>
        <w:tab/>
      </w:r>
      <w:r>
        <w:rPr>
          <w:bCs/>
        </w:rPr>
        <w:t>Le</w:t>
      </w:r>
      <w:r w:rsidRPr="002C7D30">
        <w:rPr>
          <w:bCs/>
        </w:rPr>
        <w:t xml:space="preserve"> TWO </w:t>
      </w:r>
      <w:r>
        <w:rPr>
          <w:bCs/>
        </w:rPr>
        <w:t>est convenu d’inviter les Pays-Bas à présenter un exposé lors de sa cinquante-troisième session afin d’expliquer les procédures utilisées pour regrouper des variétés et organiser des essais en culture, en particulier la manière dont les codes UPOV ont été utilisés ainsi que toute autre source d’information pertinente sur les groupes de variétés ou les types de variété.</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e TWA</w:t>
      </w:r>
      <w:r w:rsidRPr="002C7D30">
        <w:rPr>
          <w:rStyle w:val="FootnoteReference"/>
          <w:rFonts w:eastAsia="PMingLiU"/>
          <w:szCs w:val="24"/>
        </w:rPr>
        <w:footnoteReference w:id="12"/>
      </w:r>
      <w:r w:rsidRPr="002C7D30">
        <w:t xml:space="preserve"> </w:t>
      </w:r>
      <w:r>
        <w:t>a assisté à un exposé intitulé “</w:t>
      </w:r>
      <w:proofErr w:type="spellStart"/>
      <w:r w:rsidRPr="002C7D30">
        <w:t>Plavarlis</w:t>
      </w:r>
      <w:proofErr w:type="spellEnd"/>
      <w:r w:rsidRPr="002C7D30">
        <w:t xml:space="preserve"> </w:t>
      </w:r>
      <w:proofErr w:type="spellStart"/>
      <w:r w:rsidRPr="002C7D30">
        <w:t>project</w:t>
      </w:r>
      <w:proofErr w:type="spellEnd"/>
      <w:r>
        <w:t xml:space="preserve"> – </w:t>
      </w:r>
      <w:r w:rsidRPr="002C7D30">
        <w:t>UPOV codes</w:t>
      </w:r>
      <w:r>
        <w:t xml:space="preserve">” (Projet </w:t>
      </w:r>
      <w:proofErr w:type="spellStart"/>
      <w:r>
        <w:t>Plavarlis</w:t>
      </w:r>
      <w:proofErr w:type="spellEnd"/>
      <w:r>
        <w:t xml:space="preserve"> – codes UPOV), présenté par un expert de l’Union européenne.  Le texte de cet exposé se trouve dans le </w:t>
      </w:r>
      <w:r w:rsidRPr="002C7D30">
        <w:t xml:space="preserve">document TWA/49/4 </w:t>
      </w:r>
      <w:r>
        <w:t>(voir</w:t>
      </w:r>
      <w:r w:rsidRPr="002C7D30">
        <w:t xml:space="preserve"> document TWA/49/7 </w:t>
      </w:r>
      <w:r>
        <w:t>“Re</w:t>
      </w:r>
      <w:r w:rsidRPr="002C7D30">
        <w:t>port</w:t>
      </w:r>
      <w:r>
        <w:t>” (Compte rendu)</w:t>
      </w:r>
      <w:r w:rsidRPr="002C7D30">
        <w:t>, paragraph</w:t>
      </w:r>
      <w:r>
        <w:t>e </w:t>
      </w:r>
      <w:r w:rsidRPr="002C7D30">
        <w:t>36).</w:t>
      </w:r>
    </w:p>
    <w:p w:rsidR="00D73EB2" w:rsidRPr="002C7D30" w:rsidRDefault="00D73EB2" w:rsidP="00D73EB2">
      <w:pPr>
        <w:jc w:val="left"/>
      </w:pPr>
    </w:p>
    <w:p w:rsidR="00D73EB2" w:rsidRPr="002C7D30" w:rsidRDefault="00D73EB2" w:rsidP="00D73EB2">
      <w:pPr>
        <w:autoSpaceDE w:val="0"/>
        <w:autoSpaceDN w:val="0"/>
        <w:adjustRightInd w:val="0"/>
      </w:pPr>
      <w:r w:rsidRPr="002C7D30">
        <w:rPr>
          <w:rFonts w:cs="Arial"/>
        </w:rPr>
        <w:fldChar w:fldCharType="begin"/>
      </w:r>
      <w:r w:rsidRPr="002C7D30">
        <w:rPr>
          <w:rFonts w:cs="Arial"/>
        </w:rPr>
        <w:instrText xml:space="preserve"> AUTONUM  </w:instrText>
      </w:r>
      <w:r w:rsidRPr="002C7D30">
        <w:rPr>
          <w:rFonts w:cs="Arial"/>
        </w:rPr>
        <w:fldChar w:fldCharType="end"/>
      </w:r>
      <w:r w:rsidRPr="002C7D30">
        <w:rPr>
          <w:rFonts w:cs="Arial"/>
        </w:rPr>
        <w:tab/>
      </w:r>
      <w:r>
        <w:rPr>
          <w:rFonts w:cs="Arial"/>
        </w:rPr>
        <w:t>L</w:t>
      </w:r>
      <w:r w:rsidRPr="002C7D30">
        <w:rPr>
          <w:rFonts w:cs="Arial"/>
        </w:rPr>
        <w:t>e TWF</w:t>
      </w:r>
      <w:r w:rsidRPr="002C7D30">
        <w:rPr>
          <w:rStyle w:val="FootnoteReference"/>
          <w:color w:val="000000"/>
        </w:rPr>
        <w:footnoteReference w:id="13"/>
      </w:r>
      <w:r w:rsidRPr="002C7D30">
        <w:rPr>
          <w:rFonts w:cs="Arial"/>
        </w:rPr>
        <w:t xml:space="preserve"> </w:t>
      </w:r>
      <w:r>
        <w:rPr>
          <w:rFonts w:cs="Arial"/>
        </w:rPr>
        <w:t>a assisté à un exposé intitulé</w:t>
      </w:r>
      <w:r w:rsidRPr="002C7D30">
        <w:rPr>
          <w:rFonts w:cs="Arial"/>
        </w:rPr>
        <w:t xml:space="preserve"> </w:t>
      </w:r>
      <w:r>
        <w:rPr>
          <w:rFonts w:cs="Arial"/>
        </w:rPr>
        <w:t>“</w:t>
      </w:r>
      <w:r w:rsidRPr="002C7D30">
        <w:rPr>
          <w:rFonts w:cs="Arial"/>
        </w:rPr>
        <w:t xml:space="preserve">Possible </w:t>
      </w:r>
      <w:proofErr w:type="spellStart"/>
      <w:r w:rsidRPr="002C7D30">
        <w:rPr>
          <w:rFonts w:cs="Arial"/>
        </w:rPr>
        <w:t>developments</w:t>
      </w:r>
      <w:proofErr w:type="spellEnd"/>
      <w:r w:rsidRPr="002C7D30">
        <w:rPr>
          <w:rFonts w:cs="Arial"/>
        </w:rPr>
        <w:t xml:space="preserve"> to </w:t>
      </w:r>
      <w:proofErr w:type="spellStart"/>
      <w:r w:rsidRPr="002C7D30">
        <w:rPr>
          <w:rFonts w:cs="Arial"/>
        </w:rPr>
        <w:t>enable</w:t>
      </w:r>
      <w:proofErr w:type="spellEnd"/>
      <w:r w:rsidRPr="002C7D30">
        <w:rPr>
          <w:rFonts w:cs="Arial"/>
        </w:rPr>
        <w:t xml:space="preserve"> UPOV Codes to </w:t>
      </w:r>
      <w:proofErr w:type="spellStart"/>
      <w:r w:rsidRPr="002C7D30">
        <w:rPr>
          <w:rFonts w:cs="Arial"/>
        </w:rPr>
        <w:t>provide</w:t>
      </w:r>
      <w:proofErr w:type="spellEnd"/>
      <w:r w:rsidRPr="002C7D30">
        <w:rPr>
          <w:rFonts w:cs="Arial"/>
        </w:rPr>
        <w:t xml:space="preserve"> </w:t>
      </w:r>
      <w:proofErr w:type="spellStart"/>
      <w:r w:rsidRPr="002C7D30">
        <w:rPr>
          <w:rFonts w:cs="Arial"/>
        </w:rPr>
        <w:t>useful</w:t>
      </w:r>
      <w:proofErr w:type="spellEnd"/>
      <w:r w:rsidRPr="002C7D30">
        <w:rPr>
          <w:rFonts w:cs="Arial"/>
        </w:rPr>
        <w:t xml:space="preserve"> information on </w:t>
      </w:r>
      <w:proofErr w:type="spellStart"/>
      <w:r w:rsidRPr="002C7D30">
        <w:rPr>
          <w:rFonts w:cs="Arial"/>
        </w:rPr>
        <w:t>variety</w:t>
      </w:r>
      <w:proofErr w:type="spellEnd"/>
      <w:r w:rsidRPr="002C7D30">
        <w:rPr>
          <w:rFonts w:cs="Arial"/>
        </w:rPr>
        <w:t xml:space="preserve"> groups or types for DUS </w:t>
      </w:r>
      <w:proofErr w:type="spellStart"/>
      <w:r w:rsidRPr="002C7D30">
        <w:rPr>
          <w:rFonts w:cs="Arial"/>
        </w:rPr>
        <w:t>testing</w:t>
      </w:r>
      <w:proofErr w:type="spellEnd"/>
      <w:r w:rsidRPr="002C7D30">
        <w:rPr>
          <w:rFonts w:cs="Arial"/>
        </w:rPr>
        <w:t xml:space="preserve"> </w:t>
      </w:r>
      <w:proofErr w:type="spellStart"/>
      <w:r w:rsidRPr="002C7D30">
        <w:rPr>
          <w:rFonts w:cs="Arial"/>
        </w:rPr>
        <w:t>purposes</w:t>
      </w:r>
      <w:proofErr w:type="spellEnd"/>
      <w:r>
        <w:rPr>
          <w:rFonts w:cs="Arial"/>
        </w:rPr>
        <w:t>” (</w:t>
      </w:r>
      <w:r>
        <w:t xml:space="preserve">Évolutions possibles pour que les codes UPOV puissent fournir des informations utiles sur les groupes de variétés ou les types de variété aux fins de l’examen DHS), présenté par un expert de l’Union européenne.  Le texte de cet exposé se trouve dans le </w:t>
      </w:r>
      <w:r w:rsidRPr="002C7D30">
        <w:rPr>
          <w:rFonts w:cs="Arial"/>
          <w:sz w:val="19"/>
          <w:szCs w:val="19"/>
        </w:rPr>
        <w:t>document TWF/51/8 (</w:t>
      </w:r>
      <w:r>
        <w:rPr>
          <w:rFonts w:cs="Arial"/>
          <w:sz w:val="19"/>
          <w:szCs w:val="19"/>
        </w:rPr>
        <w:t>voir</w:t>
      </w:r>
      <w:r w:rsidRPr="002C7D30">
        <w:rPr>
          <w:rFonts w:cs="Arial"/>
          <w:sz w:val="19"/>
          <w:szCs w:val="19"/>
        </w:rPr>
        <w:t xml:space="preserve"> document </w:t>
      </w:r>
      <w:r w:rsidRPr="002C7D30">
        <w:rPr>
          <w:rFonts w:cs="Arial"/>
        </w:rPr>
        <w:t>TWF/51/10</w:t>
      </w:r>
      <w:r>
        <w:rPr>
          <w:rFonts w:cs="Arial"/>
        </w:rPr>
        <w:t xml:space="preserve"> “Rep</w:t>
      </w:r>
      <w:r w:rsidRPr="002C7D30">
        <w:rPr>
          <w:rFonts w:cs="Arial"/>
        </w:rPr>
        <w:t>ort</w:t>
      </w:r>
      <w:r>
        <w:rPr>
          <w:rFonts w:cs="Arial"/>
        </w:rPr>
        <w:t>” (Compte rendu)</w:t>
      </w:r>
      <w:r w:rsidRPr="002C7D30">
        <w:rPr>
          <w:rFonts w:cs="Arial"/>
        </w:rPr>
        <w:t>, paragraph</w:t>
      </w:r>
      <w:r>
        <w:rPr>
          <w:rFonts w:cs="Arial"/>
        </w:rPr>
        <w:t>e </w:t>
      </w:r>
      <w:r w:rsidRPr="002C7D30">
        <w:rPr>
          <w:rFonts w:cs="Arial"/>
        </w:rPr>
        <w:t>57)</w:t>
      </w:r>
      <w:r w:rsidRPr="002C7D30">
        <w:rPr>
          <w:rFonts w:cs="Arial"/>
          <w:sz w:val="19"/>
          <w:szCs w:val="19"/>
        </w:rPr>
        <w:t>.</w:t>
      </w:r>
    </w:p>
    <w:p w:rsidR="00D73EB2" w:rsidRPr="002C7D30" w:rsidRDefault="00D73EB2" w:rsidP="00D73EB2">
      <w:pPr>
        <w:jc w:val="left"/>
      </w:pPr>
    </w:p>
    <w:p w:rsidR="00D73EB2" w:rsidRPr="002C7D30" w:rsidRDefault="00D73EB2" w:rsidP="00D73EB2">
      <w:pPr>
        <w:jc w:val="left"/>
      </w:pPr>
    </w:p>
    <w:p w:rsidR="00D73EB2" w:rsidRPr="002C7D30" w:rsidRDefault="00D73EB2" w:rsidP="00C85977">
      <w:pPr>
        <w:pStyle w:val="Heading2"/>
        <w:rPr>
          <w:lang w:val="fr-FR"/>
        </w:rPr>
      </w:pPr>
      <w:bookmarkStart w:id="22" w:name="_Toc54200141"/>
      <w:r>
        <w:rPr>
          <w:lang w:val="fr-FR"/>
        </w:rPr>
        <w:t>Écarts minimaux entre les variétés ornementales à multiplication végétative</w:t>
      </w:r>
      <w:bookmarkEnd w:id="22"/>
    </w:p>
    <w:p w:rsidR="00D73EB2" w:rsidRPr="002C7D30" w:rsidRDefault="00D73EB2" w:rsidP="00D73EB2"/>
    <w:p w:rsidR="00D73EB2" w:rsidRDefault="00D73EB2" w:rsidP="00D73EB2">
      <w:pPr>
        <w:rPr>
          <w:bCs/>
        </w:rPr>
      </w:pPr>
      <w:r w:rsidRPr="002C7D30">
        <w:fldChar w:fldCharType="begin"/>
      </w:r>
      <w:r w:rsidRPr="002C7D30">
        <w:instrText xml:space="preserve"> AUTONUM  </w:instrText>
      </w:r>
      <w:r w:rsidRPr="002C7D30">
        <w:fldChar w:fldCharType="end"/>
      </w:r>
      <w:r w:rsidRPr="002C7D30">
        <w:tab/>
      </w:r>
      <w:r>
        <w:t xml:space="preserve">Le </w:t>
      </w:r>
      <w:r w:rsidRPr="002C7D30">
        <w:t>TWO</w:t>
      </w:r>
      <w:r w:rsidRPr="002C7D30">
        <w:rPr>
          <w:rStyle w:val="FootnoteReference"/>
          <w:rFonts w:eastAsia="PMingLiU"/>
          <w:szCs w:val="24"/>
        </w:rPr>
        <w:footnoteReference w:id="14"/>
      </w:r>
      <w:r w:rsidRPr="002C7D30">
        <w:t xml:space="preserve"> </w:t>
      </w:r>
      <w:r>
        <w:t xml:space="preserve">a assisté à un exposé sur les écarts minimaux concernant la tulipe, présenté par un expert des Pays-Bas.  </w:t>
      </w:r>
      <w:r>
        <w:rPr>
          <w:bCs/>
        </w:rPr>
        <w:t xml:space="preserve">Le texte de cet exposé se trouve dans le </w:t>
      </w:r>
      <w:r w:rsidRPr="002C7D30">
        <w:rPr>
          <w:bCs/>
        </w:rPr>
        <w:t>document TWO/52/7 (</w:t>
      </w:r>
      <w:r>
        <w:rPr>
          <w:bCs/>
        </w:rPr>
        <w:t>voir</w:t>
      </w:r>
      <w:r w:rsidRPr="002C7D30">
        <w:rPr>
          <w:bCs/>
        </w:rPr>
        <w:t xml:space="preserve"> document TWO/52/11 </w:t>
      </w:r>
      <w:r>
        <w:rPr>
          <w:bCs/>
        </w:rPr>
        <w:t>“Re</w:t>
      </w:r>
      <w:r w:rsidRPr="002C7D30">
        <w:rPr>
          <w:bCs/>
        </w:rPr>
        <w:t>port</w:t>
      </w:r>
      <w:r>
        <w:rPr>
          <w:bCs/>
        </w:rPr>
        <w:t>” (Compte rendu)</w:t>
      </w:r>
      <w:r w:rsidRPr="002C7D30">
        <w:rPr>
          <w:bCs/>
        </w:rPr>
        <w:t>, paragraph</w:t>
      </w:r>
      <w:r>
        <w:rPr>
          <w:bCs/>
        </w:rPr>
        <w:t>e</w:t>
      </w:r>
      <w:r w:rsidRPr="002C7D30">
        <w:rPr>
          <w:bCs/>
        </w:rPr>
        <w:t>s</w:t>
      </w:r>
      <w:r>
        <w:rPr>
          <w:bCs/>
        </w:rPr>
        <w:t> </w:t>
      </w:r>
      <w:r w:rsidRPr="002C7D30">
        <w:rPr>
          <w:bCs/>
        </w:rPr>
        <w:t xml:space="preserve">26 </w:t>
      </w:r>
      <w:r>
        <w:rPr>
          <w:bCs/>
        </w:rPr>
        <w:t>à</w:t>
      </w:r>
      <w:r w:rsidRPr="002C7D30">
        <w:rPr>
          <w:bCs/>
        </w:rPr>
        <w:t xml:space="preserve"> 28).</w:t>
      </w:r>
    </w:p>
    <w:p w:rsidR="00D73EB2" w:rsidRPr="002C7D30" w:rsidRDefault="00D73EB2" w:rsidP="00D73EB2">
      <w:pPr>
        <w:rPr>
          <w:bCs/>
        </w:rPr>
      </w:pPr>
    </w:p>
    <w:p w:rsidR="00D73EB2" w:rsidRPr="002C7D30" w:rsidRDefault="00D73EB2" w:rsidP="00D73EB2">
      <w:pPr>
        <w:rPr>
          <w:bCs/>
        </w:rPr>
      </w:pPr>
      <w:r w:rsidRPr="002C7D30">
        <w:fldChar w:fldCharType="begin"/>
      </w:r>
      <w:r w:rsidRPr="002C7D30">
        <w:instrText xml:space="preserve"> AUTONUM  </w:instrText>
      </w:r>
      <w:r w:rsidRPr="002C7D30">
        <w:fldChar w:fldCharType="end"/>
      </w:r>
      <w:r w:rsidRPr="002C7D30">
        <w:tab/>
      </w:r>
      <w:r>
        <w:t>L</w:t>
      </w:r>
      <w:r w:rsidRPr="002C7D30">
        <w:t xml:space="preserve">e TWO </w:t>
      </w:r>
      <w:r>
        <w:t>a assisté à un exposé intitulé “</w:t>
      </w:r>
      <w:r w:rsidRPr="002C7D30">
        <w:t xml:space="preserve">Minimum distances </w:t>
      </w:r>
      <w:proofErr w:type="spellStart"/>
      <w:r w:rsidRPr="002C7D30">
        <w:t>between</w:t>
      </w:r>
      <w:proofErr w:type="spellEnd"/>
      <w:r w:rsidRPr="002C7D30">
        <w:t xml:space="preserve"> </w:t>
      </w:r>
      <w:proofErr w:type="spellStart"/>
      <w:r w:rsidRPr="002C7D30">
        <w:t>vegetatively</w:t>
      </w:r>
      <w:proofErr w:type="spellEnd"/>
      <w:r w:rsidRPr="002C7D30">
        <w:t xml:space="preserve"> </w:t>
      </w:r>
      <w:proofErr w:type="spellStart"/>
      <w:r w:rsidRPr="002C7D30">
        <w:t>propagated</w:t>
      </w:r>
      <w:proofErr w:type="spellEnd"/>
      <w:r w:rsidRPr="002C7D30">
        <w:t xml:space="preserve"> </w:t>
      </w:r>
      <w:proofErr w:type="spellStart"/>
      <w:r w:rsidRPr="002C7D30">
        <w:t>ornamental</w:t>
      </w:r>
      <w:proofErr w:type="spellEnd"/>
      <w:r w:rsidRPr="002C7D30">
        <w:t xml:space="preserve"> </w:t>
      </w:r>
      <w:proofErr w:type="spellStart"/>
      <w:r w:rsidRPr="002C7D30">
        <w:t>varieties</w:t>
      </w:r>
      <w:proofErr w:type="spellEnd"/>
      <w:r>
        <w:t xml:space="preserve"> – </w:t>
      </w:r>
      <w:r w:rsidRPr="002C7D30">
        <w:t xml:space="preserve">The </w:t>
      </w:r>
      <w:proofErr w:type="spellStart"/>
      <w:r w:rsidRPr="002C7D30">
        <w:t>Pelargonium</w:t>
      </w:r>
      <w:proofErr w:type="spellEnd"/>
      <w:r w:rsidRPr="002C7D30">
        <w:t xml:space="preserve"> Case </w:t>
      </w:r>
      <w:proofErr w:type="spellStart"/>
      <w:r w:rsidRPr="002C7D30">
        <w:t>Study</w:t>
      </w:r>
      <w:proofErr w:type="spellEnd"/>
      <w:r>
        <w:t xml:space="preserve">” (Écarts minimaux entre les variétés ornementales à multiplication végétative – Étude de cas sur le pélargonium), présenté par un expert de la Communauté internationale des obtenteurs de plantes ornementales et fruitières à reproduction asexuée </w:t>
      </w:r>
      <w:r w:rsidRPr="002C7D30">
        <w:rPr>
          <w:bCs/>
        </w:rPr>
        <w:t xml:space="preserve">(CIOPORA).  </w:t>
      </w:r>
      <w:r>
        <w:rPr>
          <w:bCs/>
        </w:rPr>
        <w:t>Le texte de cet exposé se trouve dans le document</w:t>
      </w:r>
      <w:r w:rsidRPr="002C7D30">
        <w:rPr>
          <w:bCs/>
        </w:rPr>
        <w:t xml:space="preserve"> TWO/52/7</w:t>
      </w:r>
      <w:r>
        <w:rPr>
          <w:bCs/>
        </w:rPr>
        <w:t> </w:t>
      </w:r>
      <w:proofErr w:type="spellStart"/>
      <w:r w:rsidRPr="002C7D30">
        <w:rPr>
          <w:bCs/>
        </w:rPr>
        <w:t>Add</w:t>
      </w:r>
      <w:proofErr w:type="spellEnd"/>
      <w:r w:rsidRPr="002C7D30">
        <w:rPr>
          <w:bCs/>
        </w:rPr>
        <w:t>.</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rPr>
          <w:bCs/>
        </w:rPr>
        <w:t>L</w:t>
      </w:r>
      <w:r w:rsidRPr="002C7D30">
        <w:rPr>
          <w:bCs/>
        </w:rPr>
        <w:t xml:space="preserve">e TWO </w:t>
      </w:r>
      <w:r>
        <w:rPr>
          <w:bCs/>
        </w:rPr>
        <w:t>est convenu d’encourager la présentation d’exposés lors de sa cinquante-troisième session afin de rendre compte des évolutions intervenues concernant ces projets</w:t>
      </w:r>
      <w:r w:rsidRPr="002C7D30">
        <w:rPr>
          <w:bCs/>
        </w:rPr>
        <w:t>.</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3" w:name="_Toc54200142"/>
      <w:r>
        <w:rPr>
          <w:lang w:val="fr-FR"/>
        </w:rPr>
        <w:t>Accès au matériel végétal aux fins de la gestion des collections de variétés et de l’examen DHS</w:t>
      </w:r>
      <w:bookmarkEnd w:id="23"/>
    </w:p>
    <w:p w:rsidR="00D73EB2" w:rsidRPr="002C7D30" w:rsidRDefault="00D73EB2" w:rsidP="00D73EB2">
      <w:pPr>
        <w:keepNext/>
        <w:jc w:val="left"/>
      </w:pPr>
    </w:p>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w:t>
      </w:r>
      <w:r w:rsidRPr="002C7D30">
        <w:t>e TWF</w:t>
      </w:r>
      <w:r w:rsidRPr="002C7D30">
        <w:rPr>
          <w:rStyle w:val="FootnoteReference"/>
          <w:color w:val="000000"/>
        </w:rPr>
        <w:footnoteReference w:id="15"/>
      </w:r>
      <w:r w:rsidRPr="002C7D30">
        <w:t xml:space="preserve"> </w:t>
      </w:r>
      <w:r>
        <w:t xml:space="preserve">a examiné le </w:t>
      </w:r>
      <w:r w:rsidRPr="002C7D30">
        <w:t xml:space="preserve">document TWF/51/6 </w:t>
      </w:r>
      <w:r>
        <w:t>et assisté à un exposé intitulé “</w:t>
      </w:r>
      <w:r w:rsidRPr="002C7D30">
        <w:t xml:space="preserve">Access to </w:t>
      </w:r>
      <w:proofErr w:type="spellStart"/>
      <w:r w:rsidRPr="002C7D30">
        <w:t>material</w:t>
      </w:r>
      <w:proofErr w:type="spellEnd"/>
      <w:r w:rsidRPr="002C7D30">
        <w:t xml:space="preserve"> for DUS trials – </w:t>
      </w:r>
      <w:proofErr w:type="spellStart"/>
      <w:r w:rsidRPr="002C7D30">
        <w:t>draft</w:t>
      </w:r>
      <w:proofErr w:type="spellEnd"/>
      <w:r w:rsidRPr="002C7D30">
        <w:t xml:space="preserve"> </w:t>
      </w:r>
      <w:proofErr w:type="spellStart"/>
      <w:r w:rsidRPr="002C7D30">
        <w:t>analysis</w:t>
      </w:r>
      <w:proofErr w:type="spellEnd"/>
      <w:r w:rsidRPr="002C7D30">
        <w:t xml:space="preserve"> of Key points</w:t>
      </w:r>
      <w:r>
        <w:t>” (Accès au matériel aux fins d’essais DHS – projet d’analyse des points clés), présenté par un expert de l’Italie</w:t>
      </w:r>
      <w:r w:rsidRPr="002C7D30">
        <w:rPr>
          <w:snapToGrid w:val="0"/>
        </w:rPr>
        <w:t xml:space="preserve">, </w:t>
      </w:r>
      <w:r>
        <w:rPr>
          <w:snapToGrid w:val="0"/>
        </w:rPr>
        <w:t xml:space="preserve">comme indiqué à l’Annexe du </w:t>
      </w:r>
      <w:r w:rsidRPr="002C7D30">
        <w:rPr>
          <w:snapToGrid w:val="0"/>
        </w:rPr>
        <w:t xml:space="preserve">document </w:t>
      </w:r>
      <w:r w:rsidRPr="002C7D30">
        <w:t>TWF/51/6 (</w:t>
      </w:r>
      <w:r>
        <w:rPr>
          <w:rFonts w:cs="Arial"/>
        </w:rPr>
        <w:t xml:space="preserve">voir </w:t>
      </w:r>
      <w:r w:rsidRPr="002C7D30">
        <w:rPr>
          <w:rFonts w:cs="Arial"/>
        </w:rPr>
        <w:t xml:space="preserve">document TWF/51/10 </w:t>
      </w:r>
      <w:r>
        <w:rPr>
          <w:rFonts w:cs="Arial"/>
        </w:rPr>
        <w:t>“</w:t>
      </w:r>
      <w:r w:rsidRPr="002C7D30">
        <w:rPr>
          <w:rFonts w:cs="Arial"/>
        </w:rPr>
        <w:t>Report</w:t>
      </w:r>
      <w:r>
        <w:rPr>
          <w:rFonts w:cs="Arial"/>
        </w:rPr>
        <w:t>” (Compte rendu)</w:t>
      </w:r>
      <w:r w:rsidRPr="002C7D30">
        <w:rPr>
          <w:rFonts w:cs="Arial"/>
        </w:rPr>
        <w:t>, paragraph</w:t>
      </w:r>
      <w:r>
        <w:rPr>
          <w:rFonts w:cs="Arial"/>
        </w:rPr>
        <w:t>e</w:t>
      </w:r>
      <w:r w:rsidRPr="002C7D30">
        <w:rPr>
          <w:rFonts w:cs="Arial"/>
        </w:rPr>
        <w:t>s</w:t>
      </w:r>
      <w:r>
        <w:rPr>
          <w:rFonts w:cs="Arial"/>
        </w:rPr>
        <w:t> </w:t>
      </w:r>
      <w:r w:rsidRPr="002C7D30">
        <w:rPr>
          <w:rFonts w:cs="Arial"/>
        </w:rPr>
        <w:t xml:space="preserve">70 </w:t>
      </w:r>
      <w:r>
        <w:rPr>
          <w:rFonts w:cs="Arial"/>
        </w:rPr>
        <w:t>et</w:t>
      </w:r>
      <w:r w:rsidRPr="002C7D30">
        <w:rPr>
          <w:rFonts w:cs="Arial"/>
        </w:rPr>
        <w:t xml:space="preserve"> 71)</w:t>
      </w:r>
      <w:r w:rsidRPr="002C7D30">
        <w:t>.</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TWF </w:t>
      </w:r>
      <w:r>
        <w:t>a accueilli favorablement cette analyse et il est convenu d’inviter les experts de l’Union européenne, de l’Italie et de la Nouvelle-Zélande à présenter, lors de sa cinquante-deuxième session, leurs expériences sur les politiques et/ou lettres/contrats types utilisés pour présenter le matériel végétal à leur autorité et/ou aux services chargés de l’examen DHS.  Ces informations pourraient être utilisées comme bases pour d’éventuelles révisions à venir des orientations de l’</w:t>
      </w:r>
      <w:r w:rsidRPr="002C7D30">
        <w:t>UPOV (</w:t>
      </w:r>
      <w:r>
        <w:t>ex :</w:t>
      </w:r>
      <w:r w:rsidRPr="002C7D30">
        <w:t xml:space="preserve"> TGP/5, Section</w:t>
      </w:r>
      <w:r>
        <w:t> </w:t>
      </w:r>
      <w:r w:rsidRPr="002C7D30">
        <w:t xml:space="preserve">11 </w:t>
      </w:r>
      <w:r>
        <w:t>“Exemples de politiques et de contrats en ce qui concerne le matériel fourni par l’obtenteur”), afin d’aider d’autres membres de l’UPOV à faciliter l’accès au matériel végétal aux fins de la gestion des collections de variétés et de l’examen DHS.</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4" w:name="_Toc54200143"/>
      <w:r>
        <w:rPr>
          <w:lang w:val="fr-FR"/>
        </w:rPr>
        <w:t>Examen DHS des variétés mutantes du pommier</w:t>
      </w:r>
      <w:bookmarkEnd w:id="24"/>
    </w:p>
    <w:p w:rsidR="00D73EB2" w:rsidRPr="002C7D30" w:rsidRDefault="00D73EB2" w:rsidP="00D73EB2">
      <w:pPr>
        <w:keepNext/>
        <w:jc w:val="left"/>
      </w:pPr>
    </w:p>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TWF</w:t>
      </w:r>
      <w:r w:rsidRPr="002C7D30">
        <w:rPr>
          <w:rStyle w:val="FootnoteReference"/>
          <w:color w:val="000000"/>
        </w:rPr>
        <w:footnoteReference w:id="16"/>
      </w:r>
      <w:r w:rsidRPr="002C7D30">
        <w:t xml:space="preserve"> </w:t>
      </w:r>
      <w:r>
        <w:t xml:space="preserve">a examiné le </w:t>
      </w:r>
      <w:r w:rsidRPr="002C7D30">
        <w:t xml:space="preserve">document TWF/51/7 </w:t>
      </w:r>
      <w:r w:rsidRPr="005C718D">
        <w:t xml:space="preserve">et assisté à un exposé intitulé “DUS </w:t>
      </w:r>
      <w:proofErr w:type="spellStart"/>
      <w:r w:rsidRPr="005C718D">
        <w:t>examination</w:t>
      </w:r>
      <w:proofErr w:type="spellEnd"/>
      <w:r w:rsidRPr="005C718D">
        <w:t xml:space="preserve"> of mutant </w:t>
      </w:r>
      <w:proofErr w:type="spellStart"/>
      <w:r w:rsidRPr="005C718D">
        <w:t>varieties</w:t>
      </w:r>
      <w:proofErr w:type="spellEnd"/>
      <w:r w:rsidRPr="005C718D">
        <w:t xml:space="preserve"> of </w:t>
      </w:r>
      <w:proofErr w:type="spellStart"/>
      <w:r w:rsidRPr="005C718D">
        <w:t>apple</w:t>
      </w:r>
      <w:proofErr w:type="spellEnd"/>
      <w:r w:rsidRPr="005C718D">
        <w:t>” (Examen DHS des variétés mutantes du pommier) présenté par un expert de l</w:t>
      </w:r>
      <w:r>
        <w:t>’</w:t>
      </w:r>
      <w:r w:rsidRPr="005C718D">
        <w:t>Union européenne</w:t>
      </w:r>
      <w:r>
        <w:t xml:space="preserve">.  Le texte de l’exposé se trouve à l’Annexe du </w:t>
      </w:r>
      <w:r w:rsidRPr="002C7D30">
        <w:t xml:space="preserve">document TWF/51/7. </w:t>
      </w:r>
      <w:r>
        <w:t xml:space="preserve"> Le TWF a pris note de l’observation formulée par l’expert de l’Union européenne sur l’importance de recevoir du matériel végétal sain pour éviter les retards et les coûts supplémentaires pendant l’examen DHS (voir </w:t>
      </w:r>
      <w:r w:rsidRPr="002C7D30">
        <w:rPr>
          <w:rFonts w:cs="Arial"/>
        </w:rPr>
        <w:t xml:space="preserve">document TWF/51/10 </w:t>
      </w:r>
      <w:r>
        <w:rPr>
          <w:rFonts w:cs="Arial"/>
        </w:rPr>
        <w:t>“</w:t>
      </w:r>
      <w:r w:rsidRPr="002C7D30">
        <w:rPr>
          <w:rFonts w:cs="Arial"/>
        </w:rPr>
        <w:t>Report</w:t>
      </w:r>
      <w:r>
        <w:rPr>
          <w:rFonts w:cs="Arial"/>
        </w:rPr>
        <w:t>” (Compte rendu)</w:t>
      </w:r>
      <w:r w:rsidRPr="002C7D30">
        <w:rPr>
          <w:rFonts w:cs="Arial"/>
        </w:rPr>
        <w:t>, paragraph</w:t>
      </w:r>
      <w:r>
        <w:rPr>
          <w:rFonts w:cs="Arial"/>
        </w:rPr>
        <w:t>e</w:t>
      </w:r>
      <w:r w:rsidRPr="002C7D30">
        <w:rPr>
          <w:rFonts w:cs="Arial"/>
        </w:rPr>
        <w:t>s</w:t>
      </w:r>
      <w:r>
        <w:rPr>
          <w:rFonts w:cs="Arial"/>
        </w:rPr>
        <w:t> </w:t>
      </w:r>
      <w:r w:rsidRPr="002C7D30">
        <w:rPr>
          <w:rFonts w:cs="Arial"/>
        </w:rPr>
        <w:t xml:space="preserve">72 </w:t>
      </w:r>
      <w:r>
        <w:rPr>
          <w:rFonts w:cs="Arial"/>
        </w:rPr>
        <w:t>à</w:t>
      </w:r>
      <w:r w:rsidRPr="002C7D30">
        <w:rPr>
          <w:rFonts w:cs="Arial"/>
        </w:rPr>
        <w:t xml:space="preserve"> 77)</w:t>
      </w:r>
      <w:r w:rsidRPr="002C7D30">
        <w:t>.</w:t>
      </w:r>
    </w:p>
    <w:p w:rsidR="00D73EB2" w:rsidRPr="002C7D30" w:rsidRDefault="00D73EB2" w:rsidP="00D73EB2"/>
    <w:p w:rsidR="00D73EB2"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TWF</w:t>
      </w:r>
      <w:r>
        <w:t xml:space="preserve"> a rappelé combien il était important que les services de protection des obtentions végétales s’échangent des informations sur les demandes reçues, en ce qui concerne en particulier les groupes de mutation du pommier, où des variétés similaires pourraient être soumises dans différents pays.  À cet égard, le TWF s’est félicité du travail accompli précédemment par l’expert de l’Union européenne pour recueillir des informations auprès des membres de l’UPOV sur les demandes en cours d’analyse et sur les variétés existantes pour certains groupes de mutation du pommier.  Le TWF est convenu également que l’accès à ces informations permettrait de prendre en considération des variétés notoirement connues et, le cas échéant, de les intégrer dans l’essai en culture réalisé aux fins de l’examen de la distinction.</w:t>
      </w:r>
    </w:p>
    <w:p w:rsidR="00D73EB2" w:rsidRPr="002C7D30" w:rsidRDefault="00D73EB2" w:rsidP="00D73EB2"/>
    <w:p w:rsidR="00D73EB2" w:rsidRDefault="00D73EB2" w:rsidP="00D73EB2">
      <w:pPr>
        <w:rPr>
          <w:rFonts w:cs="Arial"/>
          <w:lang w:eastAsia="ja-JP"/>
        </w:rPr>
      </w:pPr>
      <w:r w:rsidRPr="002C7D30">
        <w:fldChar w:fldCharType="begin"/>
      </w:r>
      <w:r w:rsidRPr="002C7D30">
        <w:instrText xml:space="preserve"> AUTONUM  </w:instrText>
      </w:r>
      <w:r w:rsidRPr="002C7D30">
        <w:fldChar w:fldCharType="end"/>
      </w:r>
      <w:r w:rsidRPr="002C7D30">
        <w:tab/>
      </w:r>
      <w:r>
        <w:t>L</w:t>
      </w:r>
      <w:r w:rsidRPr="002C7D30">
        <w:t xml:space="preserve">e TWF </w:t>
      </w:r>
      <w:r>
        <w:t xml:space="preserve">est convenu que la feuille Excel recueillant les données administratives et techniques sur le groupe de mutation du pommier “Gala” et “Fuji” (voir </w:t>
      </w:r>
      <w:r w:rsidRPr="002C7D30">
        <w:rPr>
          <w:rFonts w:cs="Arial"/>
          <w:lang w:eastAsia="ja-JP"/>
        </w:rPr>
        <w:t>document TWF/49/8)</w:t>
      </w:r>
      <w:r>
        <w:t xml:space="preserve"> devait être mise à jour et diffusée aux participants lors de la cinquante et unième session du TWF et aussi aux participants des sessions précédentes du TWF, ayant une expérience pratique de l’examen DHS du pommier</w:t>
      </w:r>
      <w:r w:rsidRPr="002C7D30">
        <w:rPr>
          <w:rFonts w:cs="Arial"/>
          <w:lang w:eastAsia="ja-JP"/>
        </w:rPr>
        <w:t>.</w:t>
      </w:r>
    </w:p>
    <w:p w:rsidR="00D73EB2" w:rsidRPr="002C7D30" w:rsidRDefault="00D73EB2" w:rsidP="00D73EB2">
      <w:pPr>
        <w:rPr>
          <w:rFonts w:cs="Arial"/>
          <w:lang w:eastAsia="ja-JP"/>
        </w:rPr>
      </w:pPr>
    </w:p>
    <w:p w:rsidR="00D73EB2" w:rsidRPr="002C7D30" w:rsidRDefault="00D73EB2" w:rsidP="00D73EB2">
      <w:pPr>
        <w:rPr>
          <w:rFonts w:cs="Arial"/>
          <w:lang w:eastAsia="ja-JP"/>
        </w:rPr>
      </w:pPr>
      <w:r w:rsidRPr="002C7D30">
        <w:fldChar w:fldCharType="begin"/>
      </w:r>
      <w:r w:rsidRPr="002C7D30">
        <w:instrText xml:space="preserve"> AUTONUM  </w:instrText>
      </w:r>
      <w:r w:rsidRPr="002C7D30">
        <w:fldChar w:fldCharType="end"/>
      </w:r>
      <w:r w:rsidRPr="002C7D30">
        <w:tab/>
      </w:r>
      <w:r>
        <w:t>Le</w:t>
      </w:r>
      <w:r w:rsidRPr="002C7D30">
        <w:t xml:space="preserve"> TWF</w:t>
      </w:r>
      <w:r>
        <w:t xml:space="preserve"> s’est accordé à reconnaître que l’expert de l’Union européenne devait continuer de coordonner les échanges d’informations entre les autorités impliquées dans l’examen DHS du pommier, comme convenu lors de sa quarante-huitième session</w:t>
      </w:r>
      <w:r w:rsidRPr="002C7D30">
        <w:t xml:space="preserve"> </w:t>
      </w:r>
      <w:r>
        <w:t>(voir</w:t>
      </w:r>
      <w:r w:rsidRPr="002C7D30">
        <w:t xml:space="preserve"> document TWF/48/13 </w:t>
      </w:r>
      <w:r>
        <w:t>“</w:t>
      </w:r>
      <w:r w:rsidRPr="002C7D30">
        <w:t>Report</w:t>
      </w:r>
      <w:r>
        <w:t>” (Compte rendu)</w:t>
      </w:r>
      <w:r w:rsidRPr="002C7D30">
        <w:t>, paragraph</w:t>
      </w:r>
      <w:r>
        <w:t>e</w:t>
      </w:r>
      <w:r w:rsidRPr="002C7D30">
        <w:t>s</w:t>
      </w:r>
      <w:r>
        <w:t> </w:t>
      </w:r>
      <w:r w:rsidRPr="002C7D30">
        <w:t xml:space="preserve">101 </w:t>
      </w:r>
      <w:r>
        <w:t>à</w:t>
      </w:r>
      <w:r w:rsidRPr="002C7D30">
        <w:t xml:space="preserve"> 105), </w:t>
      </w:r>
      <w:r>
        <w:t>avec les ajouts ci-après</w:t>
      </w:r>
      <w:r w:rsidRPr="002C7D30">
        <w:t xml:space="preserve"> (</w:t>
      </w:r>
      <w:r>
        <w:rPr>
          <w:highlight w:val="lightGray"/>
        </w:rPr>
        <w:t>surbrillance en gris</w:t>
      </w:r>
      <w:r w:rsidRPr="002C7D30">
        <w:t>)</w:t>
      </w:r>
      <w:r>
        <w:t> :</w:t>
      </w:r>
    </w:p>
    <w:p w:rsidR="00D73EB2" w:rsidRPr="002C7D30" w:rsidRDefault="00D73EB2" w:rsidP="00D73EB2"/>
    <w:p w:rsidR="00D73EB2" w:rsidRPr="002C7D30" w:rsidRDefault="00D73EB2" w:rsidP="00D73EB2">
      <w:r w:rsidRPr="002C7D30">
        <w:t>•</w:t>
      </w:r>
      <w:r w:rsidRPr="002C7D30">
        <w:tab/>
      </w:r>
      <w:r>
        <w:t>par voie électronique</w:t>
      </w:r>
      <w:r w:rsidRPr="002C7D30">
        <w:t>;</w:t>
      </w:r>
    </w:p>
    <w:p w:rsidR="00D73EB2" w:rsidRPr="002C7D30" w:rsidRDefault="00D73EB2" w:rsidP="00D73EB2">
      <w:r w:rsidRPr="002C7D30">
        <w:t>•</w:t>
      </w:r>
      <w:r w:rsidRPr="002C7D30">
        <w:tab/>
      </w:r>
      <w:r>
        <w:t>une fois par an</w:t>
      </w:r>
      <w:r w:rsidRPr="002C7D30">
        <w:t>;</w:t>
      </w:r>
    </w:p>
    <w:p w:rsidR="00D73EB2" w:rsidRPr="002C7D30" w:rsidRDefault="00D73EB2" w:rsidP="00D73EB2">
      <w:pPr>
        <w:rPr>
          <w:highlight w:val="lightGray"/>
        </w:rPr>
      </w:pPr>
      <w:r w:rsidRPr="002C7D30">
        <w:t>•</w:t>
      </w:r>
      <w:r w:rsidRPr="002C7D30">
        <w:tab/>
      </w:r>
      <w:r>
        <w:t>en demandant des informations sur les types “</w:t>
      </w:r>
      <w:r w:rsidRPr="002C7D30">
        <w:t>Gala</w:t>
      </w:r>
      <w:r>
        <w:t>” et “</w:t>
      </w:r>
      <w:r w:rsidRPr="002C7D30">
        <w:t>Fuji</w:t>
      </w:r>
      <w:r>
        <w:t>”</w:t>
      </w:r>
      <w:r w:rsidRPr="002C7D30">
        <w:t xml:space="preserve">, </w:t>
      </w:r>
      <w:r>
        <w:rPr>
          <w:highlight w:val="lightGray"/>
        </w:rPr>
        <w:t>et pour intégrer les futures études concernant “</w:t>
      </w:r>
      <w:r w:rsidRPr="002C7D30">
        <w:rPr>
          <w:highlight w:val="lightGray"/>
        </w:rPr>
        <w:t>Cripps Pink</w:t>
      </w:r>
      <w:r>
        <w:rPr>
          <w:highlight w:val="lightGray"/>
        </w:rPr>
        <w:t>”</w:t>
      </w:r>
      <w:r w:rsidRPr="002C7D30">
        <w:rPr>
          <w:highlight w:val="lightGray"/>
        </w:rPr>
        <w:t xml:space="preserve">, </w:t>
      </w:r>
      <w:r>
        <w:rPr>
          <w:highlight w:val="lightGray"/>
        </w:rPr>
        <w:t>“</w:t>
      </w:r>
      <w:proofErr w:type="spellStart"/>
      <w:r w:rsidRPr="002C7D30">
        <w:rPr>
          <w:highlight w:val="lightGray"/>
        </w:rPr>
        <w:t>Jonagold</w:t>
      </w:r>
      <w:proofErr w:type="spellEnd"/>
      <w:r>
        <w:rPr>
          <w:highlight w:val="lightGray"/>
        </w:rPr>
        <w:t>”</w:t>
      </w:r>
      <w:r w:rsidRPr="002C7D30">
        <w:rPr>
          <w:highlight w:val="lightGray"/>
        </w:rPr>
        <w:t xml:space="preserve"> </w:t>
      </w:r>
      <w:r>
        <w:rPr>
          <w:highlight w:val="lightGray"/>
        </w:rPr>
        <w:t>et “</w:t>
      </w:r>
      <w:proofErr w:type="spellStart"/>
      <w:r w:rsidRPr="002C7D30">
        <w:rPr>
          <w:highlight w:val="lightGray"/>
        </w:rPr>
        <w:t>Elstar</w:t>
      </w:r>
      <w:proofErr w:type="spellEnd"/>
      <w:r>
        <w:rPr>
          <w:highlight w:val="lightGray"/>
        </w:rPr>
        <w:t>”;</w:t>
      </w:r>
    </w:p>
    <w:p w:rsidR="00D73EB2" w:rsidRDefault="00D73EB2" w:rsidP="00D73EB2">
      <w:pPr>
        <w:rPr>
          <w:highlight w:val="lightGray"/>
        </w:rPr>
      </w:pPr>
      <w:r w:rsidRPr="002C7D30">
        <w:rPr>
          <w:highlight w:val="lightGray"/>
        </w:rPr>
        <w:t>•</w:t>
      </w:r>
      <w:r w:rsidRPr="002C7D30">
        <w:rPr>
          <w:highlight w:val="lightGray"/>
        </w:rPr>
        <w:tab/>
      </w:r>
      <w:r>
        <w:rPr>
          <w:highlight w:val="lightGray"/>
        </w:rPr>
        <w:t>en demandant des informations aux obtenteurs sur les marques et synonymes possibles.</w:t>
      </w:r>
    </w:p>
    <w:p w:rsidR="00D73EB2" w:rsidRPr="002C7D30" w:rsidRDefault="00D73EB2" w:rsidP="00D73EB2">
      <w:pPr>
        <w:rPr>
          <w:highlight w:val="yellow"/>
        </w:rPr>
      </w:pPr>
    </w:p>
    <w:p w:rsidR="00D73EB2" w:rsidRDefault="00D73EB2" w:rsidP="00D73EB2">
      <w:pPr>
        <w:rPr>
          <w:rFonts w:cs="Arial"/>
          <w:lang w:eastAsia="ja-JP"/>
        </w:rPr>
      </w:pPr>
      <w:r w:rsidRPr="002C7D30">
        <w:fldChar w:fldCharType="begin"/>
      </w:r>
      <w:r w:rsidRPr="002C7D30">
        <w:instrText xml:space="preserve"> AUTONUM  </w:instrText>
      </w:r>
      <w:r w:rsidRPr="002C7D30">
        <w:fldChar w:fldCharType="end"/>
      </w:r>
      <w:r w:rsidRPr="002C7D30">
        <w:tab/>
      </w:r>
      <w:r>
        <w:rPr>
          <w:rFonts w:cs="Arial"/>
          <w:lang w:eastAsia="ja-JP"/>
        </w:rPr>
        <w:t>L</w:t>
      </w:r>
      <w:r w:rsidRPr="002C7D30">
        <w:rPr>
          <w:rFonts w:cs="Arial"/>
          <w:lang w:eastAsia="ja-JP"/>
        </w:rPr>
        <w:t xml:space="preserve">e TWF </w:t>
      </w:r>
      <w:r>
        <w:rPr>
          <w:rFonts w:cs="Arial"/>
          <w:lang w:eastAsia="ja-JP"/>
        </w:rPr>
        <w:t>a pris note de l’importance qu’il y avait à disposer d’une collection complète de variétés pour l’examen DHS et pour encourager la coopération et l’utilisation des rapports DHS entre les services de protection des obtentions végétales pour les variétés mutantes du pommier.  Le TWF a donc encouragé tous les membres participant à l’examen DHS du pommier et les obtenteurs à contribuer à ces échanges d’informations et à étudier avec le Bureau de l’Union la manière dont il conviendrait de donner plus facilement accès à ces informations (par exemple, via un lien vers le site Web de l’UPOV) ou la possibilité de créer une base de données.</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rPr>
          <w:rFonts w:cs="Arial"/>
          <w:lang w:eastAsia="ja-JP"/>
        </w:rPr>
        <w:t>L</w:t>
      </w:r>
      <w:r w:rsidRPr="002C7D30">
        <w:rPr>
          <w:rFonts w:cs="Arial"/>
          <w:lang w:eastAsia="ja-JP"/>
        </w:rPr>
        <w:t>e TWF</w:t>
      </w:r>
      <w:r>
        <w:rPr>
          <w:rFonts w:cs="Arial"/>
          <w:lang w:eastAsia="ja-JP"/>
        </w:rPr>
        <w:t xml:space="preserve"> a invité l’expert de l’Union européenne à rendre compte des travaux réalisés lors de sa cinquante-deuxième session</w:t>
      </w:r>
      <w:r w:rsidRPr="002C7D30">
        <w:rPr>
          <w:rFonts w:cs="Arial"/>
          <w:lang w:eastAsia="ja-JP"/>
        </w:rPr>
        <w:t>.</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5" w:name="_Toc54200144"/>
      <w:r w:rsidRPr="00900339">
        <w:rPr>
          <w:lang w:val="fr-FR"/>
        </w:rPr>
        <w:t>Questions à prendre en considération dans l</w:t>
      </w:r>
      <w:r>
        <w:rPr>
          <w:lang w:val="fr-FR"/>
        </w:rPr>
        <w:t>’</w:t>
      </w:r>
      <w:r w:rsidRPr="00900339">
        <w:rPr>
          <w:lang w:val="fr-FR"/>
        </w:rPr>
        <w:t>examen</w:t>
      </w:r>
      <w:r>
        <w:rPr>
          <w:lang w:val="fr-FR"/>
        </w:rPr>
        <w:t> </w:t>
      </w:r>
      <w:r w:rsidRPr="00900339">
        <w:rPr>
          <w:lang w:val="fr-FR"/>
        </w:rPr>
        <w:t>DHS pour le secteur des fruits</w:t>
      </w:r>
      <w:bookmarkEnd w:id="25"/>
    </w:p>
    <w:p w:rsidR="00D73EB2" w:rsidRPr="002C7D30" w:rsidRDefault="00D73EB2" w:rsidP="00D73EB2">
      <w:pPr>
        <w:keepNext/>
      </w:pPr>
    </w:p>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TWF</w:t>
      </w:r>
      <w:r w:rsidRPr="002C7D30">
        <w:rPr>
          <w:rStyle w:val="FootnoteReference"/>
          <w:color w:val="000000"/>
        </w:rPr>
        <w:footnoteReference w:id="17"/>
      </w:r>
      <w:r w:rsidRPr="002C7D30">
        <w:t xml:space="preserve"> </w:t>
      </w:r>
      <w:r>
        <w:t>a assisté à un exposé intitulé</w:t>
      </w:r>
      <w:r w:rsidRPr="002C7D30">
        <w:t xml:space="preserve"> </w:t>
      </w:r>
      <w:r>
        <w:rPr>
          <w:snapToGrid w:val="0"/>
        </w:rPr>
        <w:t>“</w:t>
      </w:r>
      <w:r w:rsidRPr="002C7D30">
        <w:rPr>
          <w:bCs/>
          <w:snapToGrid w:val="0"/>
        </w:rPr>
        <w:t xml:space="preserve">Ring tests for </w:t>
      </w:r>
      <w:proofErr w:type="spellStart"/>
      <w:r w:rsidRPr="002C7D30">
        <w:rPr>
          <w:bCs/>
          <w:snapToGrid w:val="0"/>
        </w:rPr>
        <w:t>Strawberry</w:t>
      </w:r>
      <w:proofErr w:type="spellEnd"/>
      <w:r>
        <w:rPr>
          <w:bCs/>
          <w:snapToGrid w:val="0"/>
        </w:rPr>
        <w:t xml:space="preserve"> – </w:t>
      </w:r>
      <w:r w:rsidRPr="002C7D30">
        <w:rPr>
          <w:bCs/>
          <w:snapToGrid w:val="0"/>
        </w:rPr>
        <w:t>2016</w:t>
      </w:r>
      <w:r>
        <w:rPr>
          <w:bCs/>
          <w:snapToGrid w:val="0"/>
        </w:rPr>
        <w:t>-</w:t>
      </w:r>
      <w:r w:rsidRPr="002C7D30">
        <w:rPr>
          <w:bCs/>
          <w:snapToGrid w:val="0"/>
        </w:rPr>
        <w:t>2019</w:t>
      </w:r>
      <w:r>
        <w:rPr>
          <w:bCs/>
          <w:snapToGrid w:val="0"/>
        </w:rPr>
        <w:t>”</w:t>
      </w:r>
      <w:r>
        <w:rPr>
          <w:snapToGrid w:val="0"/>
        </w:rPr>
        <w:t xml:space="preserve"> (Tests d’étalonnage du fraisier – 2016-2019), présenté par un expert de l’Union européenne.  Le texte de cet exposé se trouve à l’Annexe du </w:t>
      </w:r>
      <w:r w:rsidRPr="002C7D30">
        <w:rPr>
          <w:snapToGrid w:val="0"/>
        </w:rPr>
        <w:t xml:space="preserve">document TWF/51/5 </w:t>
      </w:r>
      <w:r w:rsidRPr="002C7D30">
        <w:t>(</w:t>
      </w:r>
      <w:r>
        <w:rPr>
          <w:rFonts w:cs="Arial"/>
        </w:rPr>
        <w:t>voir</w:t>
      </w:r>
      <w:r w:rsidRPr="002C7D30">
        <w:rPr>
          <w:rFonts w:cs="Arial"/>
        </w:rPr>
        <w:t xml:space="preserve"> document</w:t>
      </w:r>
      <w:r>
        <w:rPr>
          <w:rFonts w:cs="Arial"/>
        </w:rPr>
        <w:t xml:space="preserve"> </w:t>
      </w:r>
      <w:r w:rsidRPr="002C7D30">
        <w:rPr>
          <w:rFonts w:cs="Arial"/>
        </w:rPr>
        <w:t xml:space="preserve">TWF/51/10 </w:t>
      </w:r>
      <w:r>
        <w:rPr>
          <w:rFonts w:cs="Arial"/>
        </w:rPr>
        <w:t>“</w:t>
      </w:r>
      <w:r w:rsidRPr="002C7D30">
        <w:rPr>
          <w:rFonts w:cs="Arial"/>
        </w:rPr>
        <w:t>Report</w:t>
      </w:r>
      <w:r>
        <w:rPr>
          <w:rFonts w:cs="Arial"/>
        </w:rPr>
        <w:t>” (Compte rendu)</w:t>
      </w:r>
      <w:r w:rsidRPr="002C7D30">
        <w:rPr>
          <w:rFonts w:cs="Arial"/>
        </w:rPr>
        <w:t>, paragraph</w:t>
      </w:r>
      <w:r>
        <w:rPr>
          <w:rFonts w:cs="Arial"/>
        </w:rPr>
        <w:t>e</w:t>
      </w:r>
      <w:r w:rsidRPr="002C7D30">
        <w:rPr>
          <w:rFonts w:cs="Arial"/>
        </w:rPr>
        <w:t>s</w:t>
      </w:r>
      <w:r>
        <w:rPr>
          <w:rFonts w:cs="Arial"/>
        </w:rPr>
        <w:t> </w:t>
      </w:r>
      <w:r w:rsidRPr="002C7D30">
        <w:rPr>
          <w:rFonts w:cs="Arial"/>
        </w:rPr>
        <w:t xml:space="preserve">78 </w:t>
      </w:r>
      <w:r>
        <w:rPr>
          <w:rFonts w:cs="Arial"/>
        </w:rPr>
        <w:t>à</w:t>
      </w:r>
      <w:r w:rsidRPr="002C7D30">
        <w:rPr>
          <w:rFonts w:cs="Arial"/>
        </w:rPr>
        <w:t xml:space="preserve"> 80)</w:t>
      </w:r>
      <w:r w:rsidRPr="002C7D30">
        <w:rPr>
          <w:snapToGrid w:val="0"/>
        </w:rPr>
        <w:t>.</w:t>
      </w:r>
    </w:p>
    <w:p w:rsidR="00D73EB2" w:rsidRPr="002C7D30" w:rsidRDefault="00D73EB2" w:rsidP="00D73EB2"/>
    <w:p w:rsidR="00D73EB2" w:rsidRPr="002C7D30" w:rsidRDefault="00D73EB2" w:rsidP="00D73EB2">
      <w:r w:rsidRPr="002C7D30">
        <w:fldChar w:fldCharType="begin"/>
      </w:r>
      <w:r w:rsidRPr="00544085">
        <w:instrText xml:space="preserve"> AUTONUM  </w:instrText>
      </w:r>
      <w:r w:rsidRPr="002C7D30">
        <w:fldChar w:fldCharType="end"/>
      </w:r>
      <w:r w:rsidRPr="00544085">
        <w:tab/>
        <w:t>Le TWF s</w:t>
      </w:r>
      <w:r>
        <w:t>’</w:t>
      </w:r>
      <w:r w:rsidRPr="00544085">
        <w:t xml:space="preserve">est </w:t>
      </w:r>
      <w:r>
        <w:t>félicité du travail accompli et a pris note de la valeur de ces tests d’étalonnage avant de se pencher sur les principes directeurs d’examen.  Il a noté en particulier que les résultats pouvaient faciliter les discussions sur les caractères remplissant les critères de l’examen DHS, sur la série de variétés présentées à titre d’exemple et sur l’échelle des notes à utiliser en fonction de l’éventail d’expression pour chaque caractère</w:t>
      </w:r>
      <w:r w:rsidRPr="002C7D30">
        <w:t>.</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e TWF</w:t>
      </w:r>
      <w:r>
        <w:t xml:space="preserve"> a reconnu également qu’un test d’étalonnage était un outil utile pour sensibiliser davantage les experts sur les différences d’interprétation des caractères et sur les raisons expliquant la présence de différentes méthodes d’observation</w:t>
      </w:r>
      <w:r w:rsidRPr="002C7D30">
        <w:t>.</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6" w:name="_Toc54200145"/>
      <w:r>
        <w:rPr>
          <w:lang w:val="fr-FR"/>
        </w:rPr>
        <w:t>Conseils aux rédacteurs des principes directeurs d’examen</w:t>
      </w:r>
      <w:bookmarkEnd w:id="26"/>
    </w:p>
    <w:p w:rsidR="00D73EB2" w:rsidRPr="002C7D30" w:rsidRDefault="00D73EB2" w:rsidP="00D73EB2"/>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Les</w:t>
      </w:r>
      <w:r w:rsidRPr="002C7D30">
        <w:t xml:space="preserve"> TWV</w:t>
      </w:r>
      <w:r w:rsidRPr="002C7D30">
        <w:rPr>
          <w:rStyle w:val="FootnoteReference"/>
          <w:rFonts w:eastAsia="PMingLiU"/>
          <w:szCs w:val="24"/>
        </w:rPr>
        <w:footnoteReference w:id="18"/>
      </w:r>
      <w:r w:rsidRPr="002C7D30">
        <w:t>, TWO</w:t>
      </w:r>
      <w:r w:rsidRPr="002C7D30">
        <w:rPr>
          <w:rStyle w:val="FootnoteReference"/>
          <w:rFonts w:eastAsia="PMingLiU"/>
          <w:szCs w:val="24"/>
        </w:rPr>
        <w:footnoteReference w:id="19"/>
      </w:r>
      <w:r w:rsidRPr="002C7D30">
        <w:t>, TWA</w:t>
      </w:r>
      <w:r w:rsidRPr="002C7D30">
        <w:rPr>
          <w:rStyle w:val="FootnoteReference"/>
          <w:rFonts w:eastAsia="PMingLiU"/>
          <w:szCs w:val="24"/>
        </w:rPr>
        <w:footnoteReference w:id="20"/>
      </w:r>
      <w:r w:rsidRPr="002C7D30">
        <w:t xml:space="preserve"> </w:t>
      </w:r>
      <w:r>
        <w:t>et</w:t>
      </w:r>
      <w:r w:rsidRPr="002C7D30">
        <w:t xml:space="preserve"> TWF</w:t>
      </w:r>
      <w:r w:rsidRPr="002C7D30">
        <w:rPr>
          <w:rStyle w:val="FootnoteReference"/>
          <w:color w:val="000000"/>
        </w:rPr>
        <w:footnoteReference w:id="21"/>
      </w:r>
      <w:r w:rsidRPr="002C7D30">
        <w:t xml:space="preserve"> </w:t>
      </w:r>
      <w:r>
        <w:t>ont examiné le</w:t>
      </w:r>
      <w:r w:rsidRPr="002C7D30">
        <w:t xml:space="preserve"> document TWP/4/8 (</w:t>
      </w:r>
      <w:r>
        <w:t>voir</w:t>
      </w:r>
      <w:r w:rsidRPr="002C7D30">
        <w:t xml:space="preserve"> documents TWV/54/9 </w:t>
      </w:r>
      <w:r>
        <w:t>“</w:t>
      </w:r>
      <w:r w:rsidRPr="002C7D30">
        <w:t>Report</w:t>
      </w:r>
      <w:r>
        <w:t>” (Compte rendu)</w:t>
      </w:r>
      <w:r w:rsidRPr="002C7D30">
        <w:t>, paragraph</w:t>
      </w:r>
      <w:r>
        <w:t>e</w:t>
      </w:r>
      <w:r w:rsidRPr="002C7D30">
        <w:t>s</w:t>
      </w:r>
      <w:r>
        <w:t> </w:t>
      </w:r>
      <w:r w:rsidRPr="002C7D30">
        <w:t xml:space="preserve">110 </w:t>
      </w:r>
      <w:r>
        <w:t>à</w:t>
      </w:r>
      <w:r w:rsidRPr="002C7D30">
        <w:t xml:space="preserve"> 113</w:t>
      </w:r>
      <w:r>
        <w:t xml:space="preserve">; </w:t>
      </w:r>
      <w:r w:rsidRPr="002C7D30">
        <w:t xml:space="preserve"> TWO/52/11 </w:t>
      </w:r>
      <w:r>
        <w:t>“</w:t>
      </w:r>
      <w:r w:rsidRPr="002C7D30">
        <w:t>Report</w:t>
      </w:r>
      <w:r>
        <w:t>” (Compte rendu)</w:t>
      </w:r>
      <w:r w:rsidRPr="002C7D30">
        <w:t>, paragraph</w:t>
      </w:r>
      <w:r>
        <w:t>e</w:t>
      </w:r>
      <w:r w:rsidRPr="002C7D30">
        <w:t>s</w:t>
      </w:r>
      <w:r>
        <w:t> </w:t>
      </w:r>
      <w:r w:rsidRPr="002C7D30">
        <w:t xml:space="preserve">92 </w:t>
      </w:r>
      <w:r>
        <w:t>à</w:t>
      </w:r>
      <w:r w:rsidRPr="002C7D30">
        <w:t xml:space="preserve"> 95</w:t>
      </w:r>
      <w:r>
        <w:t xml:space="preserve">; </w:t>
      </w:r>
      <w:r w:rsidRPr="002C7D30">
        <w:t xml:space="preserve"> TWA/49/7 </w:t>
      </w:r>
      <w:r>
        <w:t>“</w:t>
      </w:r>
      <w:r w:rsidRPr="002C7D30">
        <w:t>Report</w:t>
      </w:r>
      <w:r>
        <w:t>” (Compte rendu)</w:t>
      </w:r>
      <w:r w:rsidRPr="002C7D30">
        <w:t>, paragraph</w:t>
      </w:r>
      <w:r>
        <w:t>e</w:t>
      </w:r>
      <w:r w:rsidRPr="002C7D30">
        <w:t>s</w:t>
      </w:r>
      <w:r>
        <w:t> </w:t>
      </w:r>
      <w:r w:rsidRPr="002C7D30">
        <w:t xml:space="preserve">91 </w:t>
      </w:r>
      <w:r>
        <w:t>à</w:t>
      </w:r>
      <w:r w:rsidRPr="002C7D30">
        <w:t xml:space="preserve"> 94</w:t>
      </w:r>
      <w:r>
        <w:t xml:space="preserve">; </w:t>
      </w:r>
      <w:r w:rsidRPr="002C7D30">
        <w:t xml:space="preserve"> </w:t>
      </w:r>
      <w:r w:rsidRPr="002C7D30">
        <w:rPr>
          <w:rFonts w:cs="Arial"/>
        </w:rPr>
        <w:t xml:space="preserve">TWF/51/10 </w:t>
      </w:r>
      <w:r>
        <w:rPr>
          <w:rFonts w:cs="Arial"/>
        </w:rPr>
        <w:t>“</w:t>
      </w:r>
      <w:r w:rsidRPr="002C7D30">
        <w:rPr>
          <w:rFonts w:cs="Arial"/>
        </w:rPr>
        <w:t>Report</w:t>
      </w:r>
      <w:r>
        <w:rPr>
          <w:rFonts w:cs="Arial"/>
        </w:rPr>
        <w:t>” (Compte rendu)</w:t>
      </w:r>
      <w:r w:rsidRPr="002C7D30">
        <w:rPr>
          <w:rFonts w:cs="Arial"/>
        </w:rPr>
        <w:t>, paragraph</w:t>
      </w:r>
      <w:r>
        <w:rPr>
          <w:rFonts w:cs="Arial"/>
        </w:rPr>
        <w:t>e</w:t>
      </w:r>
      <w:r w:rsidRPr="002C7D30">
        <w:rPr>
          <w:rFonts w:cs="Arial"/>
        </w:rPr>
        <w:t>s</w:t>
      </w:r>
      <w:r>
        <w:rPr>
          <w:rFonts w:cs="Arial"/>
        </w:rPr>
        <w:t> </w:t>
      </w:r>
      <w:r w:rsidRPr="002C7D30">
        <w:rPr>
          <w:rFonts w:cs="Arial"/>
        </w:rPr>
        <w:t xml:space="preserve">81 </w:t>
      </w:r>
      <w:r>
        <w:rPr>
          <w:rFonts w:cs="Arial"/>
        </w:rPr>
        <w:t>à</w:t>
      </w:r>
      <w:r w:rsidRPr="002C7D30">
        <w:rPr>
          <w:rFonts w:cs="Arial"/>
        </w:rPr>
        <w:t xml:space="preserve"> 84)</w:t>
      </w:r>
      <w:r w:rsidRPr="002C7D30">
        <w:t>.</w:t>
      </w:r>
    </w:p>
    <w:p w:rsidR="00D73EB2" w:rsidRPr="002C7D30" w:rsidRDefault="00D73EB2" w:rsidP="00D73EB2"/>
    <w:p w:rsidR="00D73EB2" w:rsidRPr="002C7D30" w:rsidRDefault="00D73EB2" w:rsidP="00D73EB2">
      <w:pPr>
        <w:rPr>
          <w:lang w:eastAsia="ja-JP"/>
        </w:rPr>
      </w:pPr>
      <w:r w:rsidRPr="002C7D30">
        <w:rPr>
          <w:lang w:eastAsia="ja-JP"/>
        </w:rPr>
        <w:fldChar w:fldCharType="begin"/>
      </w:r>
      <w:r w:rsidRPr="002C7D30">
        <w:rPr>
          <w:lang w:eastAsia="ja-JP"/>
        </w:rPr>
        <w:instrText xml:space="preserve"> AUTONUM  </w:instrText>
      </w:r>
      <w:r w:rsidRPr="002C7D30">
        <w:rPr>
          <w:lang w:eastAsia="ja-JP"/>
        </w:rPr>
        <w:fldChar w:fldCharType="end"/>
      </w:r>
      <w:r w:rsidRPr="002C7D30">
        <w:rPr>
          <w:lang w:eastAsia="ja-JP"/>
        </w:rPr>
        <w:tab/>
      </w:r>
      <w:r>
        <w:t>Le</w:t>
      </w:r>
      <w:r w:rsidRPr="002C7D30">
        <w:t xml:space="preserve"> TWV </w:t>
      </w:r>
      <w:r>
        <w:t xml:space="preserve">a pris note des évolutions du modèle Web de principes directeurs d’examen dont il est question dans le </w:t>
      </w:r>
      <w:r w:rsidRPr="002C7D30">
        <w:t>document TWP/4/8, paragraph</w:t>
      </w:r>
      <w:r>
        <w:t>e</w:t>
      </w:r>
      <w:r w:rsidRPr="002C7D30">
        <w:t xml:space="preserve">s 15 </w:t>
      </w:r>
      <w:r>
        <w:t>à</w:t>
      </w:r>
      <w:r w:rsidRPr="002C7D30">
        <w:t xml:space="preserve"> 23.</w:t>
      </w:r>
    </w:p>
    <w:p w:rsidR="00D73EB2" w:rsidRPr="002C7D30" w:rsidRDefault="00D73EB2" w:rsidP="00D73EB2">
      <w:pPr>
        <w:rPr>
          <w:lang w:eastAsia="ja-JP"/>
        </w:rPr>
      </w:pPr>
    </w:p>
    <w:p w:rsidR="00D73EB2" w:rsidRDefault="00D73EB2" w:rsidP="00D73EB2">
      <w:r w:rsidRPr="002C7D30">
        <w:rPr>
          <w:lang w:eastAsia="ja-JP"/>
        </w:rPr>
        <w:fldChar w:fldCharType="begin"/>
      </w:r>
      <w:r w:rsidRPr="002C7D30">
        <w:rPr>
          <w:lang w:eastAsia="ja-JP"/>
        </w:rPr>
        <w:instrText xml:space="preserve"> AUTONUM  </w:instrText>
      </w:r>
      <w:r w:rsidRPr="002C7D30">
        <w:rPr>
          <w:lang w:eastAsia="ja-JP"/>
        </w:rPr>
        <w:fldChar w:fldCharType="end"/>
      </w:r>
      <w:r w:rsidRPr="002C7D30">
        <w:rPr>
          <w:lang w:eastAsia="ja-JP"/>
        </w:rPr>
        <w:tab/>
      </w:r>
      <w:r>
        <w:t>L</w:t>
      </w:r>
      <w:r w:rsidRPr="002C7D30">
        <w:t xml:space="preserve">e TWV </w:t>
      </w:r>
      <w:r>
        <w:t>a noté que le Bureau de l’Union diffuserait une circulaire indiquant les exigences des membres de l’UPOV en ce qui concerne l’évolution des principes directeurs d’examen de chaque autorité, à l’aide du modèle Web de principes directeurs d’examen.</w:t>
      </w:r>
    </w:p>
    <w:p w:rsidR="00D73EB2" w:rsidRDefault="00D73EB2" w:rsidP="00D73EB2"/>
    <w:p w:rsidR="00D73EB2" w:rsidRPr="002C7D30" w:rsidRDefault="00D73EB2" w:rsidP="00D73EB2">
      <w:r w:rsidRPr="002C7D30">
        <w:rPr>
          <w:lang w:eastAsia="ja-JP"/>
        </w:rPr>
        <w:fldChar w:fldCharType="begin"/>
      </w:r>
      <w:r w:rsidRPr="002C7D30">
        <w:rPr>
          <w:lang w:eastAsia="ja-JP"/>
        </w:rPr>
        <w:instrText xml:space="preserve"> AUTONUM  </w:instrText>
      </w:r>
      <w:r w:rsidRPr="002C7D30">
        <w:rPr>
          <w:lang w:eastAsia="ja-JP"/>
        </w:rPr>
        <w:fldChar w:fldCharType="end"/>
      </w:r>
      <w:r w:rsidRPr="002C7D30">
        <w:rPr>
          <w:lang w:eastAsia="ja-JP"/>
        </w:rPr>
        <w:tab/>
      </w:r>
      <w:r>
        <w:t>L</w:t>
      </w:r>
      <w:r w:rsidRPr="002C7D30">
        <w:t xml:space="preserve">e TWV </w:t>
      </w:r>
      <w:r>
        <w:t>a noté qu’une formation sur le modèle Web de principes directeurs d’examen pourrait être organisée par voie électronique à la demande des experts</w:t>
      </w:r>
      <w:r w:rsidRPr="002C7D30">
        <w:t>.</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7" w:name="_Toc54200146"/>
      <w:r>
        <w:rPr>
          <w:lang w:val="fr-FR"/>
        </w:rPr>
        <w:t>Expériences avec de nouveaux types et de nouvelles espèces</w:t>
      </w:r>
      <w:bookmarkEnd w:id="27"/>
    </w:p>
    <w:p w:rsidR="00D73EB2" w:rsidRPr="002C7D30" w:rsidRDefault="00D73EB2" w:rsidP="00D73EB2">
      <w:pPr>
        <w:keepNext/>
        <w:rPr>
          <w:highlight w:val="green"/>
        </w:rPr>
      </w:pPr>
    </w:p>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Les</w:t>
      </w:r>
      <w:r w:rsidRPr="002C7D30">
        <w:t xml:space="preserve"> TWV</w:t>
      </w:r>
      <w:r w:rsidRPr="002C7D30">
        <w:rPr>
          <w:rStyle w:val="FootnoteReference"/>
          <w:rFonts w:eastAsia="PMingLiU"/>
          <w:szCs w:val="24"/>
        </w:rPr>
        <w:footnoteReference w:id="22"/>
      </w:r>
      <w:r w:rsidRPr="002C7D30">
        <w:t>, TWO</w:t>
      </w:r>
      <w:r w:rsidRPr="002C7D30">
        <w:rPr>
          <w:rStyle w:val="FootnoteReference"/>
          <w:rFonts w:eastAsia="PMingLiU"/>
          <w:szCs w:val="24"/>
        </w:rPr>
        <w:footnoteReference w:id="23"/>
      </w:r>
      <w:r>
        <w:t xml:space="preserve"> et</w:t>
      </w:r>
      <w:r w:rsidRPr="002C7D30">
        <w:t xml:space="preserve"> TWA</w:t>
      </w:r>
      <w:r w:rsidRPr="002C7D30">
        <w:rPr>
          <w:rStyle w:val="FootnoteReference"/>
          <w:rFonts w:eastAsia="PMingLiU"/>
          <w:szCs w:val="24"/>
        </w:rPr>
        <w:footnoteReference w:id="24"/>
      </w:r>
      <w:r w:rsidRPr="002C7D30">
        <w:t xml:space="preserve"> </w:t>
      </w:r>
      <w:r>
        <w:t xml:space="preserve">ont noté qu’aucune nouvelle expérience n’avait été enregistrée avec de nouveaux types ou de nouvelles espèces </w:t>
      </w:r>
      <w:r w:rsidRPr="002C7D30">
        <w:rPr>
          <w:rFonts w:cs="Arial"/>
        </w:rPr>
        <w:t>(</w:t>
      </w:r>
      <w:r>
        <w:rPr>
          <w:rFonts w:cs="Arial"/>
        </w:rPr>
        <w:t>voir</w:t>
      </w:r>
      <w:r w:rsidRPr="002C7D30">
        <w:rPr>
          <w:rFonts w:cs="Arial"/>
        </w:rPr>
        <w:t xml:space="preserve"> documents </w:t>
      </w:r>
      <w:r w:rsidRPr="002C7D30">
        <w:t xml:space="preserve">TWV/54/9 </w:t>
      </w:r>
      <w:r>
        <w:t>“</w:t>
      </w:r>
      <w:r w:rsidRPr="002C7D30">
        <w:t>Report</w:t>
      </w:r>
      <w:r>
        <w:t>” (Compte rendu)</w:t>
      </w:r>
      <w:r w:rsidRPr="002C7D30">
        <w:t>, paragraph</w:t>
      </w:r>
      <w:r>
        <w:t>e </w:t>
      </w:r>
      <w:r w:rsidRPr="002C7D30">
        <w:t>73</w:t>
      </w:r>
      <w:r>
        <w:t xml:space="preserve">; </w:t>
      </w:r>
      <w:r w:rsidRPr="002C7D30">
        <w:t xml:space="preserve"> TWO/52/11 </w:t>
      </w:r>
      <w:r>
        <w:t>“</w:t>
      </w:r>
      <w:r w:rsidRPr="002C7D30">
        <w:t>Report</w:t>
      </w:r>
      <w:r>
        <w:t>” (Compte rendu)</w:t>
      </w:r>
      <w:r w:rsidRPr="002C7D30">
        <w:t>, paragraph</w:t>
      </w:r>
      <w:r>
        <w:t>e </w:t>
      </w:r>
      <w:r w:rsidRPr="002C7D30">
        <w:t>78</w:t>
      </w:r>
      <w:r>
        <w:t xml:space="preserve">; </w:t>
      </w:r>
      <w:r w:rsidRPr="002C7D30">
        <w:t xml:space="preserve"> TWA/49/7 </w:t>
      </w:r>
      <w:r>
        <w:t>“</w:t>
      </w:r>
      <w:r w:rsidRPr="002C7D30">
        <w:t>Report</w:t>
      </w:r>
      <w:r>
        <w:t>” (Compte rendu)</w:t>
      </w:r>
      <w:r w:rsidRPr="002C7D30">
        <w:t>, paragraph</w:t>
      </w:r>
      <w:r>
        <w:t>e </w:t>
      </w:r>
      <w:r w:rsidRPr="002C7D30">
        <w:t>51)</w:t>
      </w:r>
      <w:r w:rsidRPr="002C7D30">
        <w:rPr>
          <w:rFonts w:cs="Arial"/>
        </w:rPr>
        <w:t>.</w:t>
      </w:r>
    </w:p>
    <w:p w:rsidR="00D73EB2" w:rsidRPr="002C7D30" w:rsidRDefault="00D73EB2" w:rsidP="00D73EB2"/>
    <w:p w:rsidR="00D73EB2" w:rsidRPr="002C7D30" w:rsidRDefault="00D73EB2" w:rsidP="00D73EB2">
      <w:r w:rsidRPr="002C7D30">
        <w:fldChar w:fldCharType="begin"/>
      </w:r>
      <w:r w:rsidRPr="00624819">
        <w:instrText xml:space="preserve"> AUTONUM  </w:instrText>
      </w:r>
      <w:r w:rsidRPr="002C7D30">
        <w:fldChar w:fldCharType="end"/>
      </w:r>
      <w:r w:rsidRPr="00624819">
        <w:tab/>
        <w:t>Le TWF</w:t>
      </w:r>
      <w:r w:rsidRPr="002C7D30">
        <w:rPr>
          <w:rStyle w:val="FootnoteReference"/>
          <w:color w:val="000000"/>
        </w:rPr>
        <w:footnoteReference w:id="25"/>
      </w:r>
      <w:r w:rsidRPr="00624819">
        <w:t xml:space="preserve"> a noté qu</w:t>
      </w:r>
      <w:r>
        <w:t>’aucune nouvelle expérience n’avait été enregistrée avec de nouveaux types ou de nouvelles espèces.  Le TWF a rappelé toutefois la pertinence de ce point de l’ordre du jour dans la mesure où il permet aux membres de l’UPOV de rendre compte des expériences liées à de nouvelles cultures au niveau national, lesquelles pourraient être utiles par la suite au niveau international.  Le TWF a donc invité tous les membres de l’UPOV à saisir cette occasion lors des sessions à venir, le cas échéant, en particulier pour éventuellement faire évoluer les principes directeurs d’examen (</w:t>
      </w:r>
      <w:r w:rsidRPr="002C7D30">
        <w:rPr>
          <w:rFonts w:cs="Arial"/>
        </w:rPr>
        <w:t xml:space="preserve">document TWF/51/10 </w:t>
      </w:r>
      <w:r>
        <w:rPr>
          <w:rFonts w:cs="Arial"/>
        </w:rPr>
        <w:t>“</w:t>
      </w:r>
      <w:r w:rsidRPr="002C7D30">
        <w:rPr>
          <w:rFonts w:cs="Arial"/>
        </w:rPr>
        <w:t>Report</w:t>
      </w:r>
      <w:r w:rsidR="00BF6227">
        <w:rPr>
          <w:rFonts w:cs="Arial"/>
        </w:rPr>
        <w:t>” (Compte </w:t>
      </w:r>
      <w:r>
        <w:rPr>
          <w:rFonts w:cs="Arial"/>
        </w:rPr>
        <w:t>rendu)</w:t>
      </w:r>
      <w:r w:rsidRPr="002C7D30">
        <w:rPr>
          <w:rFonts w:cs="Arial"/>
        </w:rPr>
        <w:t>, paragraph</w:t>
      </w:r>
      <w:r>
        <w:rPr>
          <w:rFonts w:cs="Arial"/>
        </w:rPr>
        <w:t>e</w:t>
      </w:r>
      <w:r w:rsidRPr="002C7D30">
        <w:rPr>
          <w:rFonts w:cs="Arial"/>
        </w:rPr>
        <w:t>s</w:t>
      </w:r>
      <w:r>
        <w:rPr>
          <w:rFonts w:cs="Arial"/>
        </w:rPr>
        <w:t> </w:t>
      </w:r>
      <w:r w:rsidRPr="002C7D30">
        <w:rPr>
          <w:rFonts w:cs="Arial"/>
        </w:rPr>
        <w:t xml:space="preserve">69 </w:t>
      </w:r>
      <w:r>
        <w:rPr>
          <w:rFonts w:cs="Arial"/>
        </w:rPr>
        <w:t>et</w:t>
      </w:r>
      <w:r w:rsidRPr="002C7D30">
        <w:rPr>
          <w:rFonts w:cs="Arial"/>
        </w:rPr>
        <w:t xml:space="preserve"> 112).</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8" w:name="_Toc54200147"/>
      <w:r>
        <w:rPr>
          <w:lang w:val="fr-FR"/>
        </w:rPr>
        <w:t>Logiciel d’analyse statistique “Excel DHS”</w:t>
      </w:r>
      <w:bookmarkEnd w:id="28"/>
    </w:p>
    <w:p w:rsidR="00D73EB2" w:rsidRPr="002C7D30" w:rsidRDefault="00D73EB2" w:rsidP="00D73EB2"/>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Le</w:t>
      </w:r>
      <w:r w:rsidRPr="002C7D30">
        <w:t xml:space="preserve"> TWC</w:t>
      </w:r>
      <w:r w:rsidRPr="002C7D30">
        <w:rPr>
          <w:rStyle w:val="FootnoteReference"/>
          <w:snapToGrid w:val="0"/>
        </w:rPr>
        <w:footnoteReference w:id="26"/>
      </w:r>
      <w:r w:rsidRPr="002C7D30">
        <w:t xml:space="preserve"> </w:t>
      </w:r>
      <w:r>
        <w:t xml:space="preserve">a examiné le </w:t>
      </w:r>
      <w:r w:rsidRPr="002C7D30">
        <w:t>document TWC/38/9 (</w:t>
      </w:r>
      <w:r>
        <w:t>voir</w:t>
      </w:r>
      <w:r w:rsidRPr="002C7D30">
        <w:t xml:space="preserve"> document TWC/38/11 </w:t>
      </w:r>
      <w:r>
        <w:t>“</w:t>
      </w:r>
      <w:r w:rsidRPr="002C7D30">
        <w:t>Report</w:t>
      </w:r>
      <w:r>
        <w:t>” (Compte rendu)</w:t>
      </w:r>
      <w:r w:rsidRPr="002C7D30">
        <w:t>, paragraph</w:t>
      </w:r>
      <w:r>
        <w:t>e</w:t>
      </w:r>
      <w:r w:rsidRPr="002C7D30">
        <w:t>s</w:t>
      </w:r>
      <w:r>
        <w:t> </w:t>
      </w:r>
      <w:r w:rsidRPr="002C7D30">
        <w:t xml:space="preserve">47 </w:t>
      </w:r>
      <w:r>
        <w:t>à</w:t>
      </w:r>
      <w:r w:rsidRPr="002C7D30">
        <w:t xml:space="preserve"> 50).</w:t>
      </w:r>
    </w:p>
    <w:p w:rsidR="00D73EB2" w:rsidRPr="002C7D30" w:rsidRDefault="00D73EB2" w:rsidP="00D73EB2"/>
    <w:p w:rsidR="00D73EB2" w:rsidRPr="00F855B2" w:rsidRDefault="00D73EB2" w:rsidP="00D73EB2">
      <w:pPr>
        <w:keepNext/>
      </w:pPr>
      <w:r w:rsidRPr="002C7D30">
        <w:fldChar w:fldCharType="begin"/>
      </w:r>
      <w:r w:rsidRPr="002C7D30">
        <w:instrText xml:space="preserve"> AUTONUM  </w:instrText>
      </w:r>
      <w:r w:rsidRPr="002C7D30">
        <w:fldChar w:fldCharType="end"/>
      </w:r>
      <w:r w:rsidRPr="002C7D30">
        <w:tab/>
      </w:r>
      <w:r>
        <w:t>L</w:t>
      </w:r>
      <w:r w:rsidRPr="002C7D30">
        <w:t xml:space="preserve">e TWC </w:t>
      </w:r>
      <w:r>
        <w:t>a assisté à un exposé intitulé “</w:t>
      </w:r>
      <w:r w:rsidRPr="002C7D30">
        <w:t xml:space="preserve">A </w:t>
      </w:r>
      <w:proofErr w:type="spellStart"/>
      <w:r w:rsidRPr="002C7D30">
        <w:t>statistical</w:t>
      </w:r>
      <w:proofErr w:type="spellEnd"/>
      <w:r w:rsidRPr="002C7D30">
        <w:t xml:space="preserve"> </w:t>
      </w:r>
      <w:proofErr w:type="spellStart"/>
      <w:r w:rsidRPr="002C7D30">
        <w:t>analysis</w:t>
      </w:r>
      <w:proofErr w:type="spellEnd"/>
      <w:r w:rsidRPr="002C7D30">
        <w:t xml:space="preserve"> software DUSCEL 2.0</w:t>
      </w:r>
      <w:r>
        <w:t>” (Logiciel d’analyse statistique DUSCEL</w:t>
      </w:r>
      <w:r w:rsidR="00CC0641">
        <w:t> </w:t>
      </w:r>
      <w:r>
        <w:t xml:space="preserve">2.0), présenté par un expert de la Chine.  Le texte de cet exposé se trouve dans le </w:t>
      </w:r>
      <w:r w:rsidRPr="00F855B2">
        <w:t>document TWC/38/9.</w:t>
      </w:r>
    </w:p>
    <w:p w:rsidR="00D73EB2" w:rsidRPr="00F855B2" w:rsidRDefault="00D73EB2" w:rsidP="00D73EB2">
      <w:pPr>
        <w:keepNext/>
      </w:pPr>
    </w:p>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w:t>
      </w:r>
      <w:r w:rsidRPr="002C7D30">
        <w:t xml:space="preserve">e TWC </w:t>
      </w:r>
      <w:r>
        <w:t>a pris note des évolutions intervenues sur le logiciel et de l’élaboration d’un manuel de l’utilisateur.  Le </w:t>
      </w:r>
      <w:r w:rsidRPr="002C7D30">
        <w:t xml:space="preserve">TWC </w:t>
      </w:r>
      <w:r>
        <w:t>a accepté que les experts intéressés contactent la Chine pour une session de démonstration</w:t>
      </w:r>
      <w:r w:rsidRPr="002C7D30">
        <w:t>.</w:t>
      </w:r>
    </w:p>
    <w:p w:rsidR="00D73EB2" w:rsidRPr="002C7D30" w:rsidRDefault="00D73EB2" w:rsidP="00D73EB2">
      <w:pPr>
        <w:keepNext/>
      </w:pPr>
    </w:p>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 xml:space="preserve">e TWC </w:t>
      </w:r>
      <w:r>
        <w:t xml:space="preserve">a pris note de la proposition de la Chine sur la future intégration du logiciel </w:t>
      </w:r>
      <w:r w:rsidRPr="002C7D30">
        <w:t>DUSCEL</w:t>
      </w:r>
      <w:r w:rsidR="00CC0641">
        <w:t> </w:t>
      </w:r>
      <w:r w:rsidRPr="002C7D30">
        <w:t xml:space="preserve">2.0 </w:t>
      </w:r>
      <w:r>
        <w:t xml:space="preserve">dans le document </w:t>
      </w:r>
      <w:r w:rsidRPr="002C7D30">
        <w:t xml:space="preserve">UPOV/INF/16 </w:t>
      </w:r>
      <w:r>
        <w:t>“Logiciels échangeables”.</w:t>
      </w:r>
    </w:p>
    <w:p w:rsidR="00D73EB2" w:rsidRPr="002C7D30" w:rsidRDefault="00D73EB2" w:rsidP="00D73EB2"/>
    <w:p w:rsidR="00D73EB2" w:rsidRPr="002C7D30" w:rsidRDefault="00D73EB2" w:rsidP="00D73EB2"/>
    <w:p w:rsidR="00D73EB2" w:rsidRPr="002C7D30" w:rsidRDefault="00D73EB2" w:rsidP="00C85977">
      <w:pPr>
        <w:pStyle w:val="Heading2"/>
        <w:rPr>
          <w:lang w:val="fr-FR"/>
        </w:rPr>
      </w:pPr>
      <w:bookmarkStart w:id="29" w:name="_Toc54200148"/>
      <w:r w:rsidRPr="00C85977">
        <w:rPr>
          <w:lang w:val="fr-FR"/>
        </w:rPr>
        <w:t>Outils et méthodes pour l’examen DHS</w:t>
      </w:r>
      <w:bookmarkEnd w:id="29"/>
    </w:p>
    <w:p w:rsidR="00D73EB2" w:rsidRPr="002C7D30" w:rsidRDefault="00D73EB2" w:rsidP="00D73EB2"/>
    <w:p w:rsidR="00D73EB2" w:rsidRPr="002C7D30" w:rsidRDefault="00D73EB2" w:rsidP="00D73EB2">
      <w:pPr>
        <w:pStyle w:val="Heading3"/>
        <w:rPr>
          <w:lang w:val="fr-FR"/>
        </w:rPr>
      </w:pPr>
      <w:r w:rsidRPr="002C7D30">
        <w:rPr>
          <w:lang w:val="fr-FR"/>
        </w:rPr>
        <w:t>Pr</w:t>
      </w:r>
      <w:r>
        <w:rPr>
          <w:lang w:val="fr-FR"/>
        </w:rPr>
        <w:t>é</w:t>
      </w:r>
      <w:r w:rsidRPr="002C7D30">
        <w:rPr>
          <w:lang w:val="fr-FR"/>
        </w:rPr>
        <w:t xml:space="preserve">sentation </w:t>
      </w:r>
      <w:r>
        <w:rPr>
          <w:lang w:val="fr-FR"/>
        </w:rPr>
        <w:t>de l’application</w:t>
      </w:r>
      <w:r w:rsidRPr="002C7D30">
        <w:rPr>
          <w:lang w:val="fr-FR"/>
        </w:rPr>
        <w:t xml:space="preserve"> PATHOSTAT</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e TWC</w:t>
      </w:r>
      <w:r w:rsidRPr="002C7D30">
        <w:rPr>
          <w:rStyle w:val="FootnoteReference"/>
          <w:snapToGrid w:val="0"/>
        </w:rPr>
        <w:footnoteReference w:id="27"/>
      </w:r>
      <w:r w:rsidRPr="002C7D30">
        <w:t xml:space="preserve"> </w:t>
      </w:r>
      <w:r>
        <w:t>a examiné le</w:t>
      </w:r>
      <w:r w:rsidRPr="002C7D30">
        <w:t xml:space="preserve"> document TWC/38/7 </w:t>
      </w:r>
      <w:r>
        <w:t>et assisté à un exposé sur l’application</w:t>
      </w:r>
      <w:r w:rsidRPr="002C7D30">
        <w:t xml:space="preserve"> PATHOSTA</w:t>
      </w:r>
      <w:r>
        <w:t>T, présenté par un expert de la France.  Le texte de l’exposé se trouve dans le</w:t>
      </w:r>
      <w:r w:rsidRPr="002C7D30">
        <w:t xml:space="preserve"> document TWC/38/7</w:t>
      </w:r>
      <w:r>
        <w:t>, accompagné d’un manuel de l’utilisateur sur l’application (voir document</w:t>
      </w:r>
      <w:r w:rsidRPr="002C7D30">
        <w:t xml:space="preserve"> TWC/38/11 </w:t>
      </w:r>
      <w:r>
        <w:t>“</w:t>
      </w:r>
      <w:r w:rsidRPr="002C7D30">
        <w:t>Report</w:t>
      </w:r>
      <w:r>
        <w:t>” (Compte rendu)</w:t>
      </w:r>
      <w:r w:rsidRPr="002C7D30">
        <w:t>, paragraph</w:t>
      </w:r>
      <w:r>
        <w:t>e</w:t>
      </w:r>
      <w:r w:rsidRPr="002C7D30">
        <w:t>s</w:t>
      </w:r>
      <w:r>
        <w:t> </w:t>
      </w:r>
      <w:r w:rsidRPr="002C7D30">
        <w:t xml:space="preserve">51 </w:t>
      </w:r>
      <w:r>
        <w:t>à</w:t>
      </w:r>
      <w:r w:rsidRPr="002C7D30">
        <w:t xml:space="preserve"> 58).</w:t>
      </w:r>
    </w:p>
    <w:p w:rsidR="00D73EB2" w:rsidRPr="002C7D30"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 xml:space="preserve">e TWC </w:t>
      </w:r>
      <w:r>
        <w:t>a noté que l’application était disponible pour téléchargement et il est convenu d’inviter les participants à contacter l’expert de la France en vue d’une coopération et pour utiliser l’application</w:t>
      </w:r>
      <w:r w:rsidRPr="002C7D30">
        <w:t>.</w:t>
      </w:r>
    </w:p>
    <w:p w:rsidR="00D73EB2" w:rsidRPr="002C7D30" w:rsidRDefault="00D73EB2" w:rsidP="00D73EB2"/>
    <w:p w:rsidR="00D73EB2" w:rsidRDefault="00D73EB2" w:rsidP="00D73EB2">
      <w:pPr>
        <w:pStyle w:val="Heading3"/>
        <w:rPr>
          <w:lang w:val="fr-FR"/>
        </w:rPr>
      </w:pPr>
      <w:r w:rsidRPr="002C7D30">
        <w:rPr>
          <w:lang w:val="fr-FR"/>
        </w:rPr>
        <w:t>Compar</w:t>
      </w:r>
      <w:r>
        <w:rPr>
          <w:lang w:val="fr-FR"/>
        </w:rPr>
        <w:t>ai</w:t>
      </w:r>
      <w:r w:rsidRPr="002C7D30">
        <w:rPr>
          <w:lang w:val="fr-FR"/>
        </w:rPr>
        <w:t xml:space="preserve">son </w:t>
      </w:r>
      <w:r>
        <w:rPr>
          <w:lang w:val="fr-FR"/>
        </w:rPr>
        <w:t xml:space="preserve">des résultats obtenus avec les méthodes </w:t>
      </w:r>
      <w:r w:rsidRPr="002C7D30">
        <w:rPr>
          <w:lang w:val="fr-FR"/>
        </w:rPr>
        <w:t xml:space="preserve">COYD </w:t>
      </w:r>
      <w:r>
        <w:rPr>
          <w:lang w:val="fr-FR"/>
        </w:rPr>
        <w:t xml:space="preserve">et </w:t>
      </w:r>
      <w:r w:rsidRPr="002C7D30">
        <w:rPr>
          <w:lang w:val="fr-FR"/>
        </w:rPr>
        <w:t xml:space="preserve">COYU </w:t>
      </w:r>
      <w:r>
        <w:rPr>
          <w:lang w:val="fr-FR"/>
        </w:rPr>
        <w:t>à l’aide de différents logiciels</w:t>
      </w:r>
    </w:p>
    <w:p w:rsidR="00D73EB2" w:rsidRPr="004779B6" w:rsidRDefault="00D73EB2" w:rsidP="00D73EB2"/>
    <w:p w:rsidR="00D73EB2" w:rsidRPr="002C7D30" w:rsidRDefault="00D73EB2" w:rsidP="00D73EB2">
      <w:r w:rsidRPr="002C7D30">
        <w:fldChar w:fldCharType="begin"/>
      </w:r>
      <w:r w:rsidRPr="002C7D30">
        <w:instrText xml:space="preserve"> AUTONUM  </w:instrText>
      </w:r>
      <w:r w:rsidRPr="002C7D30">
        <w:fldChar w:fldCharType="end"/>
      </w:r>
      <w:r w:rsidRPr="002C7D30">
        <w:tab/>
      </w:r>
      <w:r>
        <w:t>Le</w:t>
      </w:r>
      <w:r w:rsidRPr="002C7D30">
        <w:t xml:space="preserve"> TWC </w:t>
      </w:r>
      <w:r>
        <w:t>a examiné le</w:t>
      </w:r>
      <w:r w:rsidRPr="002C7D30">
        <w:t xml:space="preserve"> document TWC/38/8</w:t>
      </w:r>
      <w:r>
        <w:t> </w:t>
      </w:r>
      <w:proofErr w:type="spellStart"/>
      <w:r w:rsidRPr="002C7D30">
        <w:t>Rev</w:t>
      </w:r>
      <w:proofErr w:type="spellEnd"/>
      <w:r w:rsidRPr="002C7D30">
        <w:t>.</w:t>
      </w:r>
    </w:p>
    <w:p w:rsidR="00D73EB2" w:rsidRPr="002C7D30" w:rsidRDefault="00D73EB2" w:rsidP="00D73EB2"/>
    <w:p w:rsidR="00D73EB2" w:rsidRPr="00BF6227" w:rsidRDefault="00D73EB2" w:rsidP="00BF6227">
      <w:pPr>
        <w:pStyle w:val="Heading4"/>
        <w:ind w:left="567"/>
        <w:rPr>
          <w:lang w:val="en-US"/>
        </w:rPr>
      </w:pPr>
      <w:bookmarkStart w:id="30" w:name="_Toc54200149"/>
      <w:r w:rsidRPr="00BF6227">
        <w:rPr>
          <w:lang w:val="en-US"/>
        </w:rPr>
        <w:t>Série de données communes permettant de comparer les logiciels utilisés pour les méthodes COYD et COYU</w:t>
      </w:r>
      <w:bookmarkEnd w:id="30"/>
    </w:p>
    <w:p w:rsidR="00D73EB2" w:rsidRPr="002C7D30" w:rsidRDefault="00D73EB2" w:rsidP="00D73EB2"/>
    <w:p w:rsidR="00D73EB2" w:rsidRPr="002C7D30" w:rsidRDefault="00D73EB2" w:rsidP="00D73EB2">
      <w:pPr>
        <w:keepNext/>
      </w:pPr>
      <w:r w:rsidRPr="002C7D30">
        <w:fldChar w:fldCharType="begin"/>
      </w:r>
      <w:r w:rsidRPr="002C7D30">
        <w:instrText xml:space="preserve"> AUTONUM  </w:instrText>
      </w:r>
      <w:r w:rsidRPr="002C7D30">
        <w:fldChar w:fldCharType="end"/>
      </w:r>
      <w:r w:rsidRPr="002C7D30">
        <w:tab/>
      </w:r>
      <w:r>
        <w:t>L</w:t>
      </w:r>
      <w:r w:rsidRPr="002C7D30">
        <w:t xml:space="preserve">e TWC </w:t>
      </w:r>
      <w:r>
        <w:t>a examiné le</w:t>
      </w:r>
      <w:r w:rsidRPr="002C7D30">
        <w:t xml:space="preserve"> document </w:t>
      </w:r>
      <w:r>
        <w:t>“</w:t>
      </w:r>
      <w:r w:rsidRPr="002C7D30">
        <w:t xml:space="preserve">A </w:t>
      </w:r>
      <w:proofErr w:type="spellStart"/>
      <w:r w:rsidRPr="002C7D30">
        <w:t>common</w:t>
      </w:r>
      <w:proofErr w:type="spellEnd"/>
      <w:r w:rsidRPr="002C7D30">
        <w:t xml:space="preserve"> data set for </w:t>
      </w:r>
      <w:proofErr w:type="spellStart"/>
      <w:r w:rsidRPr="002C7D30">
        <w:t>comparison</w:t>
      </w:r>
      <w:proofErr w:type="spellEnd"/>
      <w:r w:rsidRPr="002C7D30">
        <w:t xml:space="preserve"> of software for COYD and COYU</w:t>
      </w:r>
      <w:r>
        <w:t xml:space="preserve">” (Série de données communes permettant de comparer les logiciels utilisés pour les méthodes COYD et COYU).  Le texte de ce document se trouve dans le </w:t>
      </w:r>
      <w:r w:rsidRPr="002C7D30">
        <w:t>document TWC/38/8</w:t>
      </w:r>
      <w:r>
        <w:t> </w:t>
      </w:r>
      <w:proofErr w:type="spellStart"/>
      <w:r w:rsidRPr="002C7D30">
        <w:t>Rev</w:t>
      </w:r>
      <w:proofErr w:type="spellEnd"/>
      <w:r w:rsidRPr="002C7D30">
        <w:t>., Annexes</w:t>
      </w:r>
      <w:r>
        <w:t> </w:t>
      </w:r>
      <w:r w:rsidRPr="002C7D30">
        <w:t xml:space="preserve">I </w:t>
      </w:r>
      <w:r>
        <w:t>et</w:t>
      </w:r>
      <w:r w:rsidRPr="002C7D30">
        <w:t xml:space="preserve"> III.</w:t>
      </w:r>
    </w:p>
    <w:p w:rsidR="00D73EB2" w:rsidRPr="002C7D30" w:rsidRDefault="00D73EB2" w:rsidP="00D73EB2"/>
    <w:p w:rsidR="00D73EB2" w:rsidRPr="002C7D30" w:rsidRDefault="00D73EB2" w:rsidP="00D73EB2">
      <w:pPr>
        <w:rPr>
          <w:rFonts w:eastAsia="Calibri"/>
          <w:spacing w:val="-4"/>
        </w:rPr>
      </w:pPr>
      <w:r w:rsidRPr="002C7D30">
        <w:rPr>
          <w:rFonts w:eastAsia="Calibri"/>
          <w:spacing w:val="-4"/>
        </w:rPr>
        <w:fldChar w:fldCharType="begin"/>
      </w:r>
      <w:r w:rsidRPr="002C7D30">
        <w:rPr>
          <w:rFonts w:eastAsia="Calibri"/>
          <w:spacing w:val="-4"/>
        </w:rPr>
        <w:instrText xml:space="preserve"> AUTONUM  </w:instrText>
      </w:r>
      <w:r w:rsidRPr="002C7D30">
        <w:rPr>
          <w:rFonts w:eastAsia="Calibri"/>
          <w:spacing w:val="-4"/>
        </w:rPr>
        <w:fldChar w:fldCharType="end"/>
      </w:r>
      <w:r w:rsidRPr="002C7D30">
        <w:rPr>
          <w:rFonts w:eastAsia="Calibri"/>
          <w:spacing w:val="-4"/>
        </w:rPr>
        <w:tab/>
      </w:r>
      <w:r>
        <w:rPr>
          <w:rFonts w:eastAsia="Calibri"/>
          <w:spacing w:val="-4"/>
        </w:rPr>
        <w:t>L</w:t>
      </w:r>
      <w:r w:rsidRPr="002C7D30">
        <w:rPr>
          <w:rFonts w:eastAsia="Calibri"/>
          <w:spacing w:val="-4"/>
        </w:rPr>
        <w:t xml:space="preserve">e TWC </w:t>
      </w:r>
      <w:r>
        <w:rPr>
          <w:rFonts w:eastAsia="Calibri"/>
          <w:spacing w:val="-4"/>
        </w:rPr>
        <w:t>a remercié les experts du Royaume-Uni pour avoir fourni une série de données communes permettant de comparer les logiciels utilisés pour les méthodes COYD et COYU, figurant dans le fichier Excel qui se trouve sur le site Web du </w:t>
      </w:r>
      <w:r w:rsidRPr="002C7D30">
        <w:rPr>
          <w:rFonts w:eastAsia="Calibri"/>
          <w:spacing w:val="-4"/>
        </w:rPr>
        <w:t>TWC/38.</w:t>
      </w:r>
    </w:p>
    <w:p w:rsidR="00D73EB2" w:rsidRPr="002C7D30" w:rsidRDefault="00D73EB2" w:rsidP="00D73EB2">
      <w:pPr>
        <w:rPr>
          <w:rFonts w:eastAsia="Calibri"/>
        </w:rPr>
      </w:pPr>
    </w:p>
    <w:p w:rsidR="00D73EB2" w:rsidRPr="002C7D30" w:rsidRDefault="00D73EB2" w:rsidP="00D73EB2">
      <w:pPr>
        <w:rPr>
          <w:rFonts w:eastAsia="Calibri"/>
        </w:rPr>
      </w:pPr>
      <w:r w:rsidRPr="002C7D30">
        <w:rPr>
          <w:rFonts w:eastAsia="Calibri"/>
        </w:rPr>
        <w:fldChar w:fldCharType="begin"/>
      </w:r>
      <w:r w:rsidRPr="002C7D30">
        <w:rPr>
          <w:rFonts w:eastAsia="Calibri"/>
        </w:rPr>
        <w:instrText xml:space="preserve"> AUTONUM  </w:instrText>
      </w:r>
      <w:r w:rsidRPr="002C7D30">
        <w:rPr>
          <w:rFonts w:eastAsia="Calibri"/>
        </w:rPr>
        <w:fldChar w:fldCharType="end"/>
      </w:r>
      <w:r w:rsidRPr="002C7D30">
        <w:rPr>
          <w:rFonts w:eastAsia="Calibri"/>
        </w:rPr>
        <w:tab/>
      </w:r>
      <w:r>
        <w:rPr>
          <w:rFonts w:eastAsia="Calibri"/>
        </w:rPr>
        <w:t>Le</w:t>
      </w:r>
      <w:r w:rsidRPr="002C7D30">
        <w:rPr>
          <w:rFonts w:eastAsia="Calibri"/>
        </w:rPr>
        <w:t xml:space="preserve"> TWC </w:t>
      </w:r>
      <w:r>
        <w:rPr>
          <w:rFonts w:eastAsia="Calibri"/>
        </w:rPr>
        <w:t>est convenu d’inviter les</w:t>
      </w:r>
      <w:r w:rsidRPr="002C7D30">
        <w:rPr>
          <w:rFonts w:eastAsia="Calibri"/>
        </w:rPr>
        <w:t xml:space="preserve"> participants </w:t>
      </w:r>
      <w:r>
        <w:rPr>
          <w:rFonts w:eastAsia="Calibri"/>
        </w:rPr>
        <w:t>à réaliser des tests</w:t>
      </w:r>
      <w:r w:rsidRPr="002C7D30">
        <w:rPr>
          <w:rFonts w:eastAsia="Calibri"/>
        </w:rPr>
        <w:t xml:space="preserve"> COYD </w:t>
      </w:r>
      <w:r>
        <w:rPr>
          <w:rFonts w:eastAsia="Calibri"/>
        </w:rPr>
        <w:t>et</w:t>
      </w:r>
      <w:r w:rsidRPr="002C7D30">
        <w:rPr>
          <w:rFonts w:eastAsia="Calibri"/>
        </w:rPr>
        <w:t xml:space="preserve"> COYU </w:t>
      </w:r>
      <w:r>
        <w:rPr>
          <w:rFonts w:eastAsia="Calibri"/>
        </w:rPr>
        <w:t xml:space="preserve">utilisant les données de trois années, fournies par le Royaume-Uni avec des niveaux de probabilité de 0,01 pour </w:t>
      </w:r>
      <w:r w:rsidRPr="002C7D30">
        <w:rPr>
          <w:rFonts w:eastAsia="Calibri"/>
        </w:rPr>
        <w:t xml:space="preserve">COYD </w:t>
      </w:r>
      <w:r>
        <w:rPr>
          <w:rFonts w:eastAsia="Calibri"/>
        </w:rPr>
        <w:t>et</w:t>
      </w:r>
      <w:r w:rsidRPr="002C7D30">
        <w:rPr>
          <w:rFonts w:eastAsia="Calibri"/>
        </w:rPr>
        <w:t xml:space="preserve"> 0</w:t>
      </w:r>
      <w:r>
        <w:rPr>
          <w:rFonts w:eastAsia="Calibri"/>
        </w:rPr>
        <w:t>,</w:t>
      </w:r>
      <w:r w:rsidRPr="002C7D30">
        <w:rPr>
          <w:rFonts w:eastAsia="Calibri"/>
        </w:rPr>
        <w:t xml:space="preserve">001 </w:t>
      </w:r>
      <w:r>
        <w:rPr>
          <w:rFonts w:eastAsia="Calibri"/>
        </w:rPr>
        <w:t>pour</w:t>
      </w:r>
      <w:r w:rsidRPr="002C7D30">
        <w:rPr>
          <w:rFonts w:eastAsia="Calibri"/>
        </w:rPr>
        <w:t xml:space="preserve"> COYU (o</w:t>
      </w:r>
      <w:r>
        <w:rPr>
          <w:rFonts w:eastAsia="Calibri"/>
        </w:rPr>
        <w:t>u</w:t>
      </w:r>
      <w:r w:rsidRPr="002C7D30">
        <w:rPr>
          <w:rFonts w:eastAsia="Calibri"/>
        </w:rPr>
        <w:t xml:space="preserve"> 0</w:t>
      </w:r>
      <w:r>
        <w:rPr>
          <w:rFonts w:eastAsia="Calibri"/>
        </w:rPr>
        <w:t>,</w:t>
      </w:r>
      <w:r w:rsidRPr="002C7D30">
        <w:rPr>
          <w:rFonts w:eastAsia="Calibri"/>
        </w:rPr>
        <w:t xml:space="preserve">003 </w:t>
      </w:r>
      <w:r>
        <w:rPr>
          <w:rFonts w:eastAsia="Calibri"/>
        </w:rPr>
        <w:t>en présence d’une nouvelle version de</w:t>
      </w:r>
      <w:r w:rsidRPr="002C7D30">
        <w:rPr>
          <w:rFonts w:eastAsia="Calibri"/>
        </w:rPr>
        <w:t xml:space="preserve"> COYU).</w:t>
      </w:r>
    </w:p>
    <w:p w:rsidR="00D73EB2" w:rsidRPr="002C7D30" w:rsidRDefault="00D73EB2" w:rsidP="00D73EB2">
      <w:pPr>
        <w:rPr>
          <w:rFonts w:eastAsia="Calibri"/>
        </w:rPr>
      </w:pPr>
    </w:p>
    <w:p w:rsidR="00D73EB2" w:rsidRDefault="00D73EB2" w:rsidP="00D73EB2">
      <w:pPr>
        <w:rPr>
          <w:rFonts w:eastAsia="Calibri"/>
          <w:spacing w:val="-4"/>
        </w:rPr>
      </w:pPr>
      <w:r w:rsidRPr="002C7D30">
        <w:rPr>
          <w:rFonts w:eastAsia="Calibri"/>
          <w:spacing w:val="-4"/>
        </w:rPr>
        <w:fldChar w:fldCharType="begin"/>
      </w:r>
      <w:r w:rsidRPr="002C7D30">
        <w:rPr>
          <w:rFonts w:eastAsia="Calibri"/>
          <w:spacing w:val="-4"/>
        </w:rPr>
        <w:instrText xml:space="preserve"> AUTONUM  </w:instrText>
      </w:r>
      <w:r w:rsidRPr="002C7D30">
        <w:rPr>
          <w:rFonts w:eastAsia="Calibri"/>
          <w:spacing w:val="-4"/>
        </w:rPr>
        <w:fldChar w:fldCharType="end"/>
      </w:r>
      <w:r w:rsidRPr="002C7D30">
        <w:rPr>
          <w:rFonts w:eastAsia="Calibri"/>
          <w:spacing w:val="-4"/>
        </w:rPr>
        <w:tab/>
      </w:r>
      <w:r>
        <w:rPr>
          <w:rFonts w:eastAsia="Calibri"/>
          <w:spacing w:val="-4"/>
        </w:rPr>
        <w:t>Le</w:t>
      </w:r>
      <w:r w:rsidRPr="002C7D30">
        <w:rPr>
          <w:rFonts w:eastAsia="Calibri"/>
          <w:spacing w:val="-4"/>
        </w:rPr>
        <w:t xml:space="preserve"> TWC </w:t>
      </w:r>
      <w:r>
        <w:rPr>
          <w:rFonts w:eastAsia="Calibri"/>
          <w:spacing w:val="-4"/>
        </w:rPr>
        <w:t>a pris note de l’intérêt exprimé par les experts de la Chine, de la</w:t>
      </w:r>
      <w:r w:rsidR="00BF6227">
        <w:rPr>
          <w:rFonts w:eastAsia="Calibri"/>
          <w:spacing w:val="-4"/>
        </w:rPr>
        <w:t xml:space="preserve"> France, du Kenya et du Royaume</w:t>
      </w:r>
      <w:r w:rsidR="00BF6227">
        <w:rPr>
          <w:rFonts w:eastAsia="Calibri"/>
          <w:spacing w:val="-4"/>
        </w:rPr>
        <w:noBreakHyphen/>
      </w:r>
      <w:r>
        <w:rPr>
          <w:rFonts w:eastAsia="Calibri"/>
          <w:spacing w:val="-4"/>
        </w:rPr>
        <w:t>Uni pour une participation à la comparaison des logiciels.  Le TWS est convenu d’inviter l’expert de la France à coordonner la comparaison des logiciels et à rendre compte au TWC, lors de sa trente-neuvième session.</w:t>
      </w:r>
    </w:p>
    <w:p w:rsidR="00D73EB2" w:rsidRPr="002C7D30" w:rsidRDefault="00D73EB2" w:rsidP="00D73EB2"/>
    <w:p w:rsidR="00D73EB2" w:rsidRPr="00BF6227" w:rsidRDefault="00D73EB2" w:rsidP="00BF6227">
      <w:pPr>
        <w:pStyle w:val="Heading4"/>
        <w:ind w:left="567"/>
        <w:rPr>
          <w:lang w:val="en-US"/>
        </w:rPr>
      </w:pPr>
      <w:bookmarkStart w:id="31" w:name="_Toc54200150"/>
      <w:r w:rsidRPr="00BF6227">
        <w:rPr>
          <w:lang w:val="en-US"/>
        </w:rPr>
        <w:t>Résultat des calculs COYD et COYU avec le logiciel DUSCEL</w:t>
      </w:r>
      <w:r w:rsidR="00CC0641" w:rsidRPr="00BF6227">
        <w:rPr>
          <w:lang w:val="en-US"/>
        </w:rPr>
        <w:t> </w:t>
      </w:r>
      <w:r w:rsidRPr="00BF6227">
        <w:rPr>
          <w:lang w:val="en-US"/>
        </w:rPr>
        <w:t>2.0</w:t>
      </w:r>
      <w:bookmarkEnd w:id="31"/>
    </w:p>
    <w:p w:rsidR="00D73EB2" w:rsidRPr="0031755F" w:rsidRDefault="00D73EB2" w:rsidP="00D73EB2"/>
    <w:p w:rsidR="00D73EB2" w:rsidRPr="002C7D30" w:rsidRDefault="00D73EB2" w:rsidP="00D73EB2">
      <w:pPr>
        <w:keepNext/>
      </w:pPr>
      <w:r w:rsidRPr="002C7D30">
        <w:fldChar w:fldCharType="begin"/>
      </w:r>
      <w:r w:rsidRPr="0031755F">
        <w:instrText xml:space="preserve"> AUTONUM  </w:instrText>
      </w:r>
      <w:r w:rsidRPr="002C7D30">
        <w:fldChar w:fldCharType="end"/>
      </w:r>
      <w:r w:rsidRPr="0031755F">
        <w:tab/>
        <w:t>Le TWC a</w:t>
      </w:r>
      <w:r>
        <w:t xml:space="preserve"> assisté à un exposé présenté par un expert de la Chine sur les résultats des calculs </w:t>
      </w:r>
      <w:r w:rsidRPr="0031755F">
        <w:t xml:space="preserve">COYU </w:t>
      </w:r>
      <w:r>
        <w:t>et</w:t>
      </w:r>
      <w:r w:rsidRPr="0031755F">
        <w:t xml:space="preserve"> COYD </w:t>
      </w:r>
      <w:r>
        <w:t>avec le logiciel</w:t>
      </w:r>
      <w:r w:rsidRPr="0031755F">
        <w:t xml:space="preserve"> DUSCEL</w:t>
      </w:r>
      <w:r w:rsidR="00CC0641">
        <w:t> </w:t>
      </w:r>
      <w:r w:rsidRPr="0031755F">
        <w:t>2.0</w:t>
      </w:r>
      <w:r>
        <w:t>, utilisant la série de données communes fournie par les experts du Royaume-Uni.  Le texte de cet exposé se trouve dans le</w:t>
      </w:r>
      <w:r w:rsidRPr="002C7D30">
        <w:t xml:space="preserve"> document TWC/38/8</w:t>
      </w:r>
      <w:r>
        <w:t> </w:t>
      </w:r>
      <w:proofErr w:type="spellStart"/>
      <w:r w:rsidRPr="002C7D30">
        <w:t>Rev</w:t>
      </w:r>
      <w:proofErr w:type="spellEnd"/>
      <w:r w:rsidRPr="002C7D30">
        <w:t>., Annexes</w:t>
      </w:r>
      <w:r>
        <w:t> </w:t>
      </w:r>
      <w:r w:rsidRPr="002C7D30">
        <w:t xml:space="preserve">II </w:t>
      </w:r>
      <w:r>
        <w:t>et</w:t>
      </w:r>
      <w:r w:rsidRPr="002C7D30">
        <w:t xml:space="preserve"> IV.</w:t>
      </w:r>
    </w:p>
    <w:p w:rsidR="00D73EB2" w:rsidRPr="002C7D30" w:rsidRDefault="00D73EB2" w:rsidP="00D73EB2"/>
    <w:p w:rsidR="00D73EB2" w:rsidRPr="002C7D30" w:rsidRDefault="00D73EB2" w:rsidP="00D73EB2"/>
    <w:p w:rsidR="00D73EB2" w:rsidRPr="002C7D30" w:rsidRDefault="00D73EB2" w:rsidP="00BF6227">
      <w:pPr>
        <w:pStyle w:val="Heading2"/>
        <w:rPr>
          <w:lang w:val="fr-FR"/>
        </w:rPr>
      </w:pPr>
      <w:bookmarkStart w:id="32" w:name="_Toc54200151"/>
      <w:bookmarkStart w:id="33" w:name="_GoBack"/>
      <w:r w:rsidRPr="003E7B71">
        <w:rPr>
          <w:lang w:val="fr-FR"/>
        </w:rPr>
        <w:t>Établissement de phénotypes et analyse d</w:t>
      </w:r>
      <w:r>
        <w:rPr>
          <w:lang w:val="fr-FR"/>
        </w:rPr>
        <w:t>’</w:t>
      </w:r>
      <w:r w:rsidRPr="003E7B71">
        <w:rPr>
          <w:lang w:val="fr-FR"/>
        </w:rPr>
        <w:t>images</w:t>
      </w:r>
      <w:bookmarkEnd w:id="32"/>
    </w:p>
    <w:p w:rsidR="00D73EB2" w:rsidRPr="002C7D30" w:rsidRDefault="00D73EB2" w:rsidP="00BF6227">
      <w:pPr>
        <w:keepNext/>
      </w:pPr>
    </w:p>
    <w:p w:rsidR="00D73EB2" w:rsidRPr="002C7D30" w:rsidRDefault="00D73EB2" w:rsidP="00BF6227">
      <w:pPr>
        <w:pStyle w:val="Heading3"/>
        <w:rPr>
          <w:lang w:val="fr-FR"/>
        </w:rPr>
      </w:pPr>
      <w:r>
        <w:rPr>
          <w:lang w:val="fr-FR"/>
        </w:rPr>
        <w:t>Vers des pratiques numériques pour l’examen des variétés : argumentation pour la sélection des caractéristiques les plus prometteuses</w:t>
      </w:r>
    </w:p>
    <w:p w:rsidR="00D73EB2" w:rsidRPr="002C7D30" w:rsidRDefault="00D73EB2" w:rsidP="00BF6227">
      <w:pPr>
        <w:keepNext/>
      </w:pPr>
    </w:p>
    <w:p w:rsidR="00D73EB2" w:rsidRDefault="00D73EB2" w:rsidP="00BF6227">
      <w:pPr>
        <w:keepNext/>
      </w:pPr>
      <w:r w:rsidRPr="002C7D30">
        <w:fldChar w:fldCharType="begin"/>
      </w:r>
      <w:r w:rsidRPr="002C7D30">
        <w:instrText xml:space="preserve"> AUTONUM  </w:instrText>
      </w:r>
      <w:r w:rsidRPr="002C7D30">
        <w:fldChar w:fldCharType="end"/>
      </w:r>
      <w:r w:rsidRPr="002C7D30">
        <w:tab/>
      </w:r>
      <w:r>
        <w:t>L</w:t>
      </w:r>
      <w:r w:rsidRPr="002C7D30">
        <w:t>e TWC</w:t>
      </w:r>
      <w:r w:rsidRPr="002C7D30">
        <w:rPr>
          <w:rStyle w:val="FootnoteReference"/>
          <w:snapToGrid w:val="0"/>
        </w:rPr>
        <w:footnoteReference w:id="28"/>
      </w:r>
      <w:r w:rsidRPr="002C7D30">
        <w:t xml:space="preserve"> </w:t>
      </w:r>
      <w:r>
        <w:t xml:space="preserve">a examiné le </w:t>
      </w:r>
      <w:r w:rsidRPr="002C7D30">
        <w:t xml:space="preserve">document TWC/38/10 </w:t>
      </w:r>
      <w:r>
        <w:t>et assisté à l’exposé intitulé</w:t>
      </w:r>
      <w:r w:rsidRPr="002C7D30">
        <w:t xml:space="preserve"> </w:t>
      </w:r>
      <w:r>
        <w:t>“</w:t>
      </w:r>
      <w:proofErr w:type="spellStart"/>
      <w:r w:rsidRPr="002C7D30">
        <w:t>Toward</w:t>
      </w:r>
      <w:proofErr w:type="spellEnd"/>
      <w:r w:rsidRPr="002C7D30">
        <w:t xml:space="preserve"> </w:t>
      </w:r>
      <w:proofErr w:type="spellStart"/>
      <w:r w:rsidRPr="002C7D30">
        <w:t>numerical</w:t>
      </w:r>
      <w:proofErr w:type="spellEnd"/>
      <w:r w:rsidRPr="002C7D30">
        <w:t xml:space="preserve"> practices </w:t>
      </w:r>
      <w:bookmarkEnd w:id="33"/>
      <w:r w:rsidRPr="002C7D30">
        <w:t xml:space="preserve">in </w:t>
      </w:r>
      <w:proofErr w:type="spellStart"/>
      <w:r w:rsidRPr="002C7D30">
        <w:t>variety</w:t>
      </w:r>
      <w:proofErr w:type="spellEnd"/>
      <w:r w:rsidRPr="002C7D30">
        <w:t xml:space="preserve"> </w:t>
      </w:r>
      <w:proofErr w:type="spellStart"/>
      <w:r w:rsidRPr="002C7D30">
        <w:t>testing</w:t>
      </w:r>
      <w:proofErr w:type="spellEnd"/>
      <w:r>
        <w:t> :</w:t>
      </w:r>
      <w:r w:rsidRPr="002C7D30">
        <w:t xml:space="preserve"> A </w:t>
      </w:r>
      <w:proofErr w:type="spellStart"/>
      <w:r w:rsidRPr="002C7D30">
        <w:t>rationale</w:t>
      </w:r>
      <w:proofErr w:type="spellEnd"/>
      <w:r w:rsidRPr="002C7D30">
        <w:t xml:space="preserve"> to select the </w:t>
      </w:r>
      <w:proofErr w:type="spellStart"/>
      <w:r w:rsidRPr="002C7D30">
        <w:t>most</w:t>
      </w:r>
      <w:proofErr w:type="spellEnd"/>
      <w:r w:rsidRPr="002C7D30">
        <w:t xml:space="preserve"> </w:t>
      </w:r>
      <w:proofErr w:type="spellStart"/>
      <w:r w:rsidRPr="002C7D30">
        <w:t>promising</w:t>
      </w:r>
      <w:proofErr w:type="spellEnd"/>
      <w:r w:rsidRPr="002C7D30">
        <w:t xml:space="preserve"> traits</w:t>
      </w:r>
      <w:r>
        <w:t>” (Vers des pratiques numériques pour l’examen des variétés : argumentation pour la sélection des caractéristiques les plus prometteuses), présenté par un expert de la France (voir</w:t>
      </w:r>
      <w:r w:rsidRPr="002C7D30">
        <w:t xml:space="preserve"> document TWC/38/11 </w:t>
      </w:r>
      <w:r>
        <w:t>“</w:t>
      </w:r>
      <w:r w:rsidRPr="002C7D30">
        <w:t>Report</w:t>
      </w:r>
      <w:r>
        <w:t>” (Compte rendu)</w:t>
      </w:r>
      <w:r w:rsidRPr="002C7D30">
        <w:t>, paragraph</w:t>
      </w:r>
      <w:r>
        <w:t>e</w:t>
      </w:r>
      <w:r w:rsidRPr="002C7D30">
        <w:t>s</w:t>
      </w:r>
      <w:r>
        <w:t> </w:t>
      </w:r>
      <w:r w:rsidRPr="002C7D30">
        <w:t xml:space="preserve">59 </w:t>
      </w:r>
      <w:r>
        <w:t>et</w:t>
      </w:r>
      <w:r w:rsidRPr="002C7D30">
        <w:t xml:space="preserve"> 60).</w:t>
      </w:r>
    </w:p>
    <w:p w:rsidR="00D73EB2" w:rsidRPr="002C7D30" w:rsidRDefault="00D73EB2" w:rsidP="00D73EB2">
      <w:pPr>
        <w:keepNext/>
      </w:pPr>
    </w:p>
    <w:p w:rsidR="00D73EB2" w:rsidRPr="002C7D30" w:rsidRDefault="00D73EB2" w:rsidP="00D73EB2">
      <w:r w:rsidRPr="002C7D30">
        <w:fldChar w:fldCharType="begin"/>
      </w:r>
      <w:r w:rsidRPr="002C7D30">
        <w:instrText xml:space="preserve"> AUTONUM  </w:instrText>
      </w:r>
      <w:r w:rsidRPr="002C7D30">
        <w:fldChar w:fldCharType="end"/>
      </w:r>
      <w:r w:rsidRPr="002C7D30">
        <w:tab/>
      </w:r>
      <w:r>
        <w:t>L</w:t>
      </w:r>
      <w:r w:rsidRPr="002C7D30">
        <w:t xml:space="preserve">e TWC </w:t>
      </w:r>
      <w:r>
        <w:t>est convenu d’inviter les experts de la France à rendre compte des évolutions du projet lors de sa trente-neuvième session</w:t>
      </w:r>
      <w:r w:rsidRPr="002C7D30">
        <w:t>.</w:t>
      </w:r>
    </w:p>
    <w:p w:rsidR="00D73EB2" w:rsidRPr="002C7D30" w:rsidRDefault="00D73EB2" w:rsidP="00D73EB2"/>
    <w:p w:rsidR="00D73EB2" w:rsidRPr="002C7D30" w:rsidRDefault="00D73EB2" w:rsidP="00D73EB2"/>
    <w:p w:rsidR="00D73EB2" w:rsidRDefault="00D73EB2" w:rsidP="00D73EB2"/>
    <w:p w:rsidR="00D73EB2" w:rsidRPr="002C7D30" w:rsidRDefault="00D73EB2" w:rsidP="00D73EB2">
      <w:pPr>
        <w:jc w:val="right"/>
      </w:pPr>
      <w:r w:rsidRPr="002C7D30">
        <w:t>[</w:t>
      </w:r>
      <w:r>
        <w:t>Fin du</w:t>
      </w:r>
      <w:r w:rsidRPr="002C7D30">
        <w:t xml:space="preserve"> document]</w:t>
      </w:r>
    </w:p>
    <w:sectPr w:rsidR="00D73EB2" w:rsidRPr="002C7D30" w:rsidSect="00D85F56">
      <w:headerReference w:type="even" r:id="rId8"/>
      <w:headerReference w:type="default" r:id="rId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EB2" w:rsidRDefault="00D73EB2" w:rsidP="006655D3">
      <w:r>
        <w:separator/>
      </w:r>
    </w:p>
    <w:p w:rsidR="00D73EB2" w:rsidRDefault="00D73EB2" w:rsidP="006655D3"/>
    <w:p w:rsidR="00D73EB2" w:rsidRDefault="00D73EB2" w:rsidP="006655D3"/>
  </w:endnote>
  <w:endnote w:type="continuationSeparator" w:id="0">
    <w:p w:rsidR="00D73EB2" w:rsidRDefault="00D73EB2" w:rsidP="006655D3">
      <w:r>
        <w:separator/>
      </w:r>
    </w:p>
    <w:p w:rsidR="00D73EB2" w:rsidRPr="00294751" w:rsidRDefault="00D73EB2">
      <w:pPr>
        <w:pStyle w:val="Footer"/>
        <w:spacing w:after="60"/>
        <w:rPr>
          <w:sz w:val="18"/>
          <w:lang w:val="fr-FR"/>
        </w:rPr>
      </w:pPr>
      <w:r w:rsidRPr="00294751">
        <w:rPr>
          <w:sz w:val="18"/>
          <w:lang w:val="fr-FR"/>
        </w:rPr>
        <w:t>[Suite de la note de la page précédente]</w:t>
      </w:r>
    </w:p>
    <w:p w:rsidR="00D73EB2" w:rsidRPr="00294751" w:rsidRDefault="00D73EB2" w:rsidP="006655D3"/>
    <w:p w:rsidR="00D73EB2" w:rsidRPr="00294751" w:rsidRDefault="00D73EB2" w:rsidP="006655D3"/>
  </w:endnote>
  <w:endnote w:type="continuationNotice" w:id="1">
    <w:p w:rsidR="00D73EB2" w:rsidRPr="00294751" w:rsidRDefault="00D73EB2" w:rsidP="006655D3">
      <w:r w:rsidRPr="00294751">
        <w:t>[Suite de la note page suivante]</w:t>
      </w:r>
    </w:p>
    <w:p w:rsidR="00D73EB2" w:rsidRPr="00294751" w:rsidRDefault="00D73EB2" w:rsidP="006655D3"/>
    <w:p w:rsidR="00D73EB2" w:rsidRPr="00294751" w:rsidRDefault="00D73EB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EB2" w:rsidRDefault="00D73EB2" w:rsidP="006655D3">
      <w:r>
        <w:separator/>
      </w:r>
    </w:p>
  </w:footnote>
  <w:footnote w:type="continuationSeparator" w:id="0">
    <w:p w:rsidR="00D73EB2" w:rsidRDefault="00D73EB2" w:rsidP="006655D3">
      <w:r>
        <w:separator/>
      </w:r>
    </w:p>
  </w:footnote>
  <w:footnote w:type="continuationNotice" w:id="1">
    <w:p w:rsidR="00D73EB2" w:rsidRPr="00AB530F" w:rsidRDefault="00D73EB2" w:rsidP="00AB530F">
      <w:pPr>
        <w:pStyle w:val="Footer"/>
      </w:pPr>
    </w:p>
  </w:footnote>
  <w:footnote w:id="2">
    <w:p w:rsidR="00D73EB2" w:rsidRPr="00E85433" w:rsidRDefault="00D73EB2" w:rsidP="00D73EB2">
      <w:pPr>
        <w:pStyle w:val="FootnoteText"/>
      </w:pPr>
      <w:r>
        <w:rPr>
          <w:rStyle w:val="FootnoteReference"/>
        </w:rPr>
        <w:footnoteRef/>
      </w:r>
      <w:r w:rsidRPr="00D77FA8">
        <w:rPr>
          <w:lang w:val="fr-CH"/>
        </w:rPr>
        <w:t xml:space="preserve"> </w:t>
      </w:r>
      <w:bookmarkStart w:id="3" w:name="_Hlk54016673"/>
      <w:r w:rsidR="001D4AD9">
        <w:rPr>
          <w:lang w:val="fr-CH"/>
        </w:rPr>
        <w:tab/>
      </w:r>
      <w:r w:rsidRPr="00E85433">
        <w:t xml:space="preserve">Lors de sa </w:t>
      </w:r>
      <w:r>
        <w:t>cinquante-</w:t>
      </w:r>
      <w:r w:rsidRPr="00E85433">
        <w:t>quatr</w:t>
      </w:r>
      <w:r>
        <w:t>ième session</w:t>
      </w:r>
      <w:r w:rsidRPr="00E85433">
        <w:t xml:space="preserve">, </w:t>
      </w:r>
      <w:r>
        <w:t>organisée par le Brésil sous forme électronique du 11 au 15 mai 2020</w:t>
      </w:r>
      <w:r w:rsidRPr="00E85433">
        <w:t>.</w:t>
      </w:r>
      <w:bookmarkEnd w:id="3"/>
    </w:p>
  </w:footnote>
  <w:footnote w:id="3">
    <w:p w:rsidR="00D73EB2" w:rsidRPr="00E85433" w:rsidRDefault="00D73EB2" w:rsidP="00D73EB2">
      <w:pPr>
        <w:pStyle w:val="FootnoteText"/>
      </w:pPr>
      <w:r w:rsidRPr="00E85433">
        <w:rPr>
          <w:rStyle w:val="FootnoteReference"/>
        </w:rPr>
        <w:footnoteRef/>
      </w:r>
      <w:r w:rsidRPr="00E85433">
        <w:t xml:space="preserve"> </w:t>
      </w:r>
      <w:bookmarkStart w:id="4" w:name="_Hlk54017406"/>
      <w:r w:rsidR="001D4AD9">
        <w:tab/>
      </w:r>
      <w:r>
        <w:t>Lors de sa cinquante-deuxième session, organisée par les Pays-Bas sous forme électronique du 8 au 12 juin </w:t>
      </w:r>
      <w:r w:rsidRPr="00E85433">
        <w:t>2020</w:t>
      </w:r>
      <w:bookmarkEnd w:id="4"/>
      <w:r w:rsidRPr="00E85433">
        <w:t>.</w:t>
      </w:r>
    </w:p>
  </w:footnote>
  <w:footnote w:id="4">
    <w:p w:rsidR="00D73EB2" w:rsidRPr="00E85433" w:rsidRDefault="00D73EB2" w:rsidP="00D73EB2">
      <w:pPr>
        <w:pStyle w:val="FootnoteText"/>
      </w:pPr>
      <w:r w:rsidRPr="00E85433">
        <w:rPr>
          <w:rStyle w:val="FootnoteReference"/>
        </w:rPr>
        <w:footnoteRef/>
      </w:r>
      <w:r w:rsidRPr="00E85433">
        <w:t xml:space="preserve"> </w:t>
      </w:r>
      <w:r w:rsidR="001D4AD9">
        <w:tab/>
      </w:r>
      <w:r>
        <w:t>Lors de sa quarante-neuvième session, organisée par le Canada sous forme électronique du 22 au 26 juin </w:t>
      </w:r>
      <w:r w:rsidRPr="00E85433">
        <w:t>2020.</w:t>
      </w:r>
    </w:p>
  </w:footnote>
  <w:footnote w:id="5">
    <w:p w:rsidR="00D73EB2" w:rsidRPr="00E85433" w:rsidRDefault="00D73EB2" w:rsidP="00D73EB2">
      <w:pPr>
        <w:pStyle w:val="FootnoteText"/>
      </w:pPr>
      <w:r w:rsidRPr="00E85433">
        <w:rPr>
          <w:rStyle w:val="FootnoteReference"/>
        </w:rPr>
        <w:footnoteRef/>
      </w:r>
      <w:r w:rsidRPr="00E85433">
        <w:t xml:space="preserve"> </w:t>
      </w:r>
      <w:bookmarkStart w:id="5" w:name="_Hlk54076107"/>
      <w:r w:rsidR="001D4AD9">
        <w:tab/>
      </w:r>
      <w:r>
        <w:t>Lors de sa cinquante et unième session, organisée par la France sous forme électronique du 6 au 10 juillet </w:t>
      </w:r>
      <w:r w:rsidRPr="00E85433">
        <w:t>2020</w:t>
      </w:r>
      <w:bookmarkEnd w:id="5"/>
      <w:r w:rsidRPr="00E85433">
        <w:t>.</w:t>
      </w:r>
    </w:p>
  </w:footnote>
  <w:footnote w:id="6">
    <w:p w:rsidR="00D73EB2" w:rsidRPr="00E85433" w:rsidRDefault="00D73EB2" w:rsidP="00D73EB2">
      <w:pPr>
        <w:pStyle w:val="FootnoteText"/>
      </w:pPr>
      <w:r w:rsidRPr="00E85433">
        <w:rPr>
          <w:rStyle w:val="FootnoteReference"/>
        </w:rPr>
        <w:footnoteRef/>
      </w:r>
      <w:r w:rsidRPr="00E85433">
        <w:t xml:space="preserve"> </w:t>
      </w:r>
      <w:r w:rsidR="001D4AD9">
        <w:tab/>
      </w:r>
      <w:r>
        <w:t>Lors de sa trente-huitième session, organisée par les États-Unis d’Amérique sous forme électronique du 21 au 23 septembre </w:t>
      </w:r>
      <w:r w:rsidRPr="00E85433">
        <w:t>2020.</w:t>
      </w:r>
    </w:p>
  </w:footnote>
  <w:footnote w:id="7">
    <w:p w:rsidR="00D73EB2" w:rsidRPr="00E85433" w:rsidRDefault="00D73EB2" w:rsidP="00D73EB2">
      <w:pPr>
        <w:pStyle w:val="FootnoteText"/>
      </w:pPr>
      <w:r w:rsidRPr="00E85433">
        <w:rPr>
          <w:rStyle w:val="FootnoteReference"/>
        </w:rPr>
        <w:footnoteRef/>
      </w:r>
      <w:r w:rsidRPr="00E85433">
        <w:t xml:space="preserve"> </w:t>
      </w:r>
      <w:r w:rsidR="001D4AD9">
        <w:tab/>
      </w:r>
      <w:r>
        <w:t>Lors de sa trente-huitième session, organisée par les États-Unis d’Amérique sous forme électronique du 23 au 25 septembre </w:t>
      </w:r>
      <w:r w:rsidRPr="00E85433">
        <w:t>2020.</w:t>
      </w:r>
    </w:p>
  </w:footnote>
  <w:footnote w:id="8">
    <w:p w:rsidR="00D73EB2" w:rsidRPr="00D77FA8" w:rsidRDefault="00D73EB2" w:rsidP="00D73EB2">
      <w:pPr>
        <w:pStyle w:val="FootnoteText"/>
        <w:rPr>
          <w:lang w:val="fr-CH"/>
        </w:rPr>
      </w:pPr>
      <w:r>
        <w:rPr>
          <w:rStyle w:val="FootnoteReference"/>
        </w:rPr>
        <w:footnoteRef/>
      </w:r>
      <w:r w:rsidRPr="00D77FA8">
        <w:rPr>
          <w:lang w:val="fr-CH"/>
        </w:rPr>
        <w:t xml:space="preserve"> </w:t>
      </w:r>
      <w:r w:rsidR="001D4AD9">
        <w:rPr>
          <w:lang w:val="fr-CH"/>
        </w:rPr>
        <w:tab/>
      </w:r>
      <w:r w:rsidRPr="00E85433">
        <w:t xml:space="preserve">Lors de sa </w:t>
      </w:r>
      <w:r>
        <w:t>cinquante-</w:t>
      </w:r>
      <w:r w:rsidRPr="00E85433">
        <w:t>quatr</w:t>
      </w:r>
      <w:r>
        <w:t>ième session</w:t>
      </w:r>
      <w:r w:rsidRPr="00E85433">
        <w:t xml:space="preserve">, </w:t>
      </w:r>
      <w:r>
        <w:t>organisée par le Brésil sous forme électronique du 11 au 15 mai 2020</w:t>
      </w:r>
      <w:r w:rsidRPr="00D77FA8">
        <w:rPr>
          <w:lang w:val="fr-CH"/>
        </w:rPr>
        <w:t>.</w:t>
      </w:r>
    </w:p>
  </w:footnote>
  <w:footnote w:id="9">
    <w:p w:rsidR="00D73EB2" w:rsidRPr="00D77FA8" w:rsidRDefault="00D73EB2" w:rsidP="00D73EB2">
      <w:pPr>
        <w:pStyle w:val="FootnoteText"/>
        <w:rPr>
          <w:lang w:val="fr-CH"/>
        </w:rPr>
      </w:pPr>
      <w:r>
        <w:rPr>
          <w:rStyle w:val="FootnoteReference"/>
        </w:rPr>
        <w:footnoteRef/>
      </w:r>
      <w:r w:rsidRPr="00D77FA8">
        <w:rPr>
          <w:lang w:val="fr-CH"/>
        </w:rPr>
        <w:t xml:space="preserve"> </w:t>
      </w:r>
      <w:r w:rsidR="001D4AD9">
        <w:rPr>
          <w:lang w:val="fr-CH"/>
        </w:rPr>
        <w:tab/>
      </w:r>
      <w:r>
        <w:t>Lors de sa cinquante-deuxième session, organisée par les Pays-Bas sous forme électronique du 8 au 12 juin </w:t>
      </w:r>
      <w:r w:rsidRPr="00E85433">
        <w:t>2020</w:t>
      </w:r>
      <w:r w:rsidRPr="00D77FA8">
        <w:rPr>
          <w:lang w:val="fr-CH"/>
        </w:rPr>
        <w:t>.</w:t>
      </w:r>
    </w:p>
  </w:footnote>
  <w:footnote w:id="10">
    <w:p w:rsidR="00D73EB2" w:rsidRPr="00D77FA8" w:rsidRDefault="00D73EB2" w:rsidP="00D73EB2">
      <w:pPr>
        <w:pStyle w:val="FootnoteText"/>
        <w:rPr>
          <w:lang w:val="fr-CH"/>
        </w:rPr>
      </w:pPr>
      <w:r>
        <w:rPr>
          <w:rStyle w:val="FootnoteReference"/>
        </w:rPr>
        <w:footnoteRef/>
      </w:r>
      <w:r w:rsidRPr="00D77FA8">
        <w:rPr>
          <w:lang w:val="fr-CH"/>
        </w:rPr>
        <w:t xml:space="preserve"> </w:t>
      </w:r>
      <w:r w:rsidR="001D4AD9">
        <w:rPr>
          <w:lang w:val="fr-CH"/>
        </w:rPr>
        <w:tab/>
      </w:r>
      <w:r w:rsidRPr="00E85433">
        <w:t xml:space="preserve">Lors de sa </w:t>
      </w:r>
      <w:r>
        <w:t>cinquante-</w:t>
      </w:r>
      <w:r w:rsidRPr="00E85433">
        <w:t>quatr</w:t>
      </w:r>
      <w:r>
        <w:t>ième session</w:t>
      </w:r>
      <w:r w:rsidRPr="00E85433">
        <w:t xml:space="preserve">, </w:t>
      </w:r>
      <w:r>
        <w:t>organisée par le Brésil sous forme électronique du 11 au 15 mai 2020</w:t>
      </w:r>
      <w:r w:rsidRPr="00D77FA8">
        <w:rPr>
          <w:lang w:val="fr-CH"/>
        </w:rPr>
        <w:t>.</w:t>
      </w:r>
    </w:p>
  </w:footnote>
  <w:footnote w:id="11">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cinquante-deuxième session, organisée par les Pays-Bas sous forme électronique du 8 au 12 juin </w:t>
      </w:r>
      <w:r w:rsidRPr="00E85433">
        <w:t>2020</w:t>
      </w:r>
      <w:r w:rsidRPr="00D77FA8">
        <w:rPr>
          <w:lang w:val="fr-CH"/>
        </w:rPr>
        <w:t>.</w:t>
      </w:r>
    </w:p>
  </w:footnote>
  <w:footnote w:id="12">
    <w:p w:rsidR="00D73EB2" w:rsidRPr="00D77FA8" w:rsidRDefault="00D73EB2" w:rsidP="000C5DD5">
      <w:pPr>
        <w:pStyle w:val="FootnoteText"/>
        <w:ind w:firstLine="0"/>
        <w:rPr>
          <w:lang w:val="fr-CH"/>
        </w:rPr>
      </w:pPr>
      <w:r>
        <w:rPr>
          <w:rStyle w:val="FootnoteReference"/>
        </w:rPr>
        <w:footnoteRef/>
      </w:r>
      <w:r w:rsidRPr="00D77FA8">
        <w:rPr>
          <w:lang w:val="fr-CH"/>
        </w:rPr>
        <w:t xml:space="preserve"> </w:t>
      </w:r>
      <w:r>
        <w:t>Lors de sa quarante-neuvième session, organisée par le Canada sous forme électronique du 22 au 26 juin </w:t>
      </w:r>
      <w:r w:rsidRPr="00E85433">
        <w:t>2020</w:t>
      </w:r>
      <w:r w:rsidRPr="00D77FA8">
        <w:rPr>
          <w:lang w:val="fr-CH"/>
        </w:rPr>
        <w:t>.</w:t>
      </w:r>
    </w:p>
  </w:footnote>
  <w:footnote w:id="13">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14">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cinquante-deuxième session, organisée par les Pays-Bas sous forme électronique du 8 au 12 juin </w:t>
      </w:r>
      <w:r w:rsidRPr="00E85433">
        <w:t>2020</w:t>
      </w:r>
      <w:r w:rsidRPr="00D77FA8">
        <w:rPr>
          <w:lang w:val="fr-CH"/>
        </w:rPr>
        <w:t>.</w:t>
      </w:r>
    </w:p>
  </w:footnote>
  <w:footnote w:id="15">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16">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17">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18">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rsidRPr="00E85433">
        <w:t xml:space="preserve">Lors de sa </w:t>
      </w:r>
      <w:r>
        <w:t>cinquante-</w:t>
      </w:r>
      <w:r w:rsidRPr="00E85433">
        <w:t>quatr</w:t>
      </w:r>
      <w:r>
        <w:t>ième session</w:t>
      </w:r>
      <w:r w:rsidRPr="00E85433">
        <w:t xml:space="preserve">, </w:t>
      </w:r>
      <w:r>
        <w:t>organisée par le Brésil sous forme électronique du 11 au 15 mai 2020</w:t>
      </w:r>
      <w:r w:rsidRPr="00D77FA8">
        <w:rPr>
          <w:lang w:val="fr-CH"/>
        </w:rPr>
        <w:t>.</w:t>
      </w:r>
    </w:p>
  </w:footnote>
  <w:footnote w:id="19">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cinquante-deuxième session, organisée par les Pays-Bas sous forme électronique du 8 au 12 juin </w:t>
      </w:r>
      <w:r w:rsidRPr="00E85433">
        <w:t>202</w:t>
      </w:r>
      <w:r w:rsidRPr="00D77FA8">
        <w:rPr>
          <w:lang w:val="fr-CH"/>
        </w:rPr>
        <w:t>0.</w:t>
      </w:r>
    </w:p>
  </w:footnote>
  <w:footnote w:id="20">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quarante-neuvième session, organisée par le Canada sous forme électronique du 22 au 26 juin </w:t>
      </w:r>
      <w:r w:rsidRPr="00E85433">
        <w:t>2020</w:t>
      </w:r>
      <w:r w:rsidRPr="00D77FA8">
        <w:rPr>
          <w:lang w:val="fr-CH"/>
        </w:rPr>
        <w:t>.</w:t>
      </w:r>
    </w:p>
  </w:footnote>
  <w:footnote w:id="21">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22">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rsidRPr="00E85433">
        <w:t xml:space="preserve">Lors de sa </w:t>
      </w:r>
      <w:r>
        <w:t>cinquante-</w:t>
      </w:r>
      <w:r w:rsidRPr="00E85433">
        <w:t>quatr</w:t>
      </w:r>
      <w:r>
        <w:t>ième session</w:t>
      </w:r>
      <w:r w:rsidRPr="00E85433">
        <w:t xml:space="preserve">, </w:t>
      </w:r>
      <w:r>
        <w:t>organisée par le Brésil sous forme électronique du 11 au 15 mai 2020</w:t>
      </w:r>
      <w:r w:rsidRPr="00D77FA8">
        <w:rPr>
          <w:lang w:val="fr-CH"/>
        </w:rPr>
        <w:t>.</w:t>
      </w:r>
    </w:p>
  </w:footnote>
  <w:footnote w:id="23">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cinquante-deuxième session, organisée par les Pays-Bas sous forme électronique du 8 au 12 juin </w:t>
      </w:r>
      <w:r w:rsidRPr="00E85433">
        <w:t>2020</w:t>
      </w:r>
      <w:r w:rsidRPr="00D77FA8">
        <w:rPr>
          <w:lang w:val="fr-CH"/>
        </w:rPr>
        <w:t>.</w:t>
      </w:r>
    </w:p>
  </w:footnote>
  <w:footnote w:id="24">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quarante-neuvième session, organisée par le Canada sous forme électronique du 22 au 26 juin </w:t>
      </w:r>
      <w:r w:rsidRPr="00E85433">
        <w:t>2020</w:t>
      </w:r>
      <w:r w:rsidRPr="00D77FA8">
        <w:rPr>
          <w:lang w:val="fr-CH"/>
        </w:rPr>
        <w:t>.</w:t>
      </w:r>
    </w:p>
  </w:footnote>
  <w:footnote w:id="25">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cinquante et unième session, organisée par la France sous forme électronique du 6 au 10 juillet </w:t>
      </w:r>
      <w:r w:rsidRPr="00E85433">
        <w:t>2020</w:t>
      </w:r>
      <w:r w:rsidRPr="00D77FA8">
        <w:rPr>
          <w:lang w:val="fr-CH"/>
        </w:rPr>
        <w:t>.</w:t>
      </w:r>
    </w:p>
  </w:footnote>
  <w:footnote w:id="26">
    <w:p w:rsidR="00D73EB2" w:rsidRPr="00D77FA8" w:rsidRDefault="00D73EB2" w:rsidP="00D73EB2">
      <w:pPr>
        <w:pStyle w:val="FootnoteText"/>
        <w:rPr>
          <w:lang w:val="fr-CH"/>
        </w:rPr>
      </w:pPr>
      <w:r>
        <w:rPr>
          <w:rStyle w:val="FootnoteReference"/>
        </w:rPr>
        <w:footnoteRef/>
      </w:r>
      <w:r w:rsidRPr="00D77FA8">
        <w:rPr>
          <w:lang w:val="fr-CH"/>
        </w:rPr>
        <w:t xml:space="preserve"> </w:t>
      </w:r>
      <w:r w:rsidR="000C5DD5">
        <w:rPr>
          <w:lang w:val="fr-CH"/>
        </w:rPr>
        <w:tab/>
      </w:r>
      <w:r>
        <w:t>Lors de sa trente-huitième session, organisée par les États-Unis d’Amérique sous forme électronique du 21 au 23 septembre </w:t>
      </w:r>
      <w:r w:rsidRPr="00E85433">
        <w:t>2020</w:t>
      </w:r>
      <w:r w:rsidRPr="00D77FA8">
        <w:rPr>
          <w:lang w:val="fr-CH"/>
        </w:rPr>
        <w:t>.</w:t>
      </w:r>
    </w:p>
  </w:footnote>
  <w:footnote w:id="27">
    <w:p w:rsidR="00D73EB2" w:rsidRPr="00D77FA8" w:rsidRDefault="00D73EB2" w:rsidP="00D73EB2">
      <w:pPr>
        <w:pStyle w:val="FootnoteText"/>
        <w:rPr>
          <w:lang w:val="fr-CH"/>
        </w:rPr>
      </w:pPr>
      <w:r>
        <w:rPr>
          <w:rStyle w:val="FootnoteReference"/>
        </w:rPr>
        <w:footnoteRef/>
      </w:r>
      <w:r w:rsidRPr="00D77FA8">
        <w:rPr>
          <w:lang w:val="fr-CH"/>
        </w:rPr>
        <w:t xml:space="preserve"> </w:t>
      </w:r>
      <w:r>
        <w:rPr>
          <w:lang w:val="fr-CH"/>
        </w:rPr>
        <w:tab/>
      </w:r>
      <w:r>
        <w:t>Lors de sa trente-huitième session, organisée par les États-Unis d’Amérique sous forme électronique du 21 au 23 septembre </w:t>
      </w:r>
      <w:r w:rsidRPr="00E85433">
        <w:t>2020</w:t>
      </w:r>
      <w:r w:rsidRPr="00D77FA8">
        <w:rPr>
          <w:lang w:val="fr-CH"/>
        </w:rPr>
        <w:t>.</w:t>
      </w:r>
    </w:p>
  </w:footnote>
  <w:footnote w:id="28">
    <w:p w:rsidR="00D73EB2" w:rsidRPr="00D77FA8" w:rsidRDefault="00D73EB2" w:rsidP="00D73EB2">
      <w:pPr>
        <w:pStyle w:val="FootnoteText"/>
        <w:rPr>
          <w:lang w:val="fr-CH"/>
        </w:rPr>
      </w:pPr>
      <w:r>
        <w:rPr>
          <w:rStyle w:val="FootnoteReference"/>
        </w:rPr>
        <w:footnoteRef/>
      </w:r>
      <w:r w:rsidRPr="00D77FA8">
        <w:rPr>
          <w:lang w:val="fr-CH"/>
        </w:rPr>
        <w:t xml:space="preserve"> </w:t>
      </w:r>
      <w:r>
        <w:rPr>
          <w:lang w:val="fr-CH"/>
        </w:rPr>
        <w:tab/>
      </w:r>
      <w:r>
        <w:t>Lors de sa trente-huitième session, organisée par les États-Unis d’Amérique sous forme électronique du 21 au 23 septembre </w:t>
      </w:r>
      <w:r w:rsidRPr="00E85433">
        <w:t>2020</w:t>
      </w:r>
      <w:r w:rsidRPr="00D77FA8">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56" w:rsidRPr="00C5280D" w:rsidRDefault="00D85F56" w:rsidP="00D85F56">
    <w:pPr>
      <w:pStyle w:val="Header"/>
      <w:rPr>
        <w:rStyle w:val="PageNumber"/>
        <w:lang w:val="en-US"/>
      </w:rPr>
    </w:pPr>
    <w:r>
      <w:rPr>
        <w:rStyle w:val="PageNumber"/>
        <w:lang w:val="en-US"/>
      </w:rPr>
      <w:t>TC/56/3</w:t>
    </w:r>
  </w:p>
  <w:p w:rsidR="00D85F56" w:rsidRPr="00C5280D" w:rsidRDefault="00D85F56" w:rsidP="00D85F56">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6227">
      <w:rPr>
        <w:rStyle w:val="PageNumber"/>
        <w:noProof/>
        <w:lang w:val="en-US"/>
      </w:rPr>
      <w:t>8</w:t>
    </w:r>
    <w:r w:rsidRPr="00C5280D">
      <w:rPr>
        <w:rStyle w:val="PageNumber"/>
        <w:lang w:val="en-US"/>
      </w:rPr>
      <w:fldChar w:fldCharType="end"/>
    </w:r>
  </w:p>
  <w:p w:rsidR="00D85F56" w:rsidRPr="00C5280D" w:rsidRDefault="00D85F56" w:rsidP="00D85F5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027994" w:rsidP="00EB048E">
    <w:pPr>
      <w:pStyle w:val="Header"/>
      <w:rPr>
        <w:rStyle w:val="PageNumber"/>
        <w:lang w:val="en-US"/>
      </w:rPr>
    </w:pPr>
    <w:r>
      <w:rPr>
        <w:rStyle w:val="PageNumber"/>
        <w:lang w:val="en-US"/>
      </w:rPr>
      <w:t>TC/56</w:t>
    </w:r>
    <w:r w:rsidR="00667404">
      <w:rPr>
        <w:rStyle w:val="PageNumber"/>
        <w:lang w:val="en-US"/>
      </w:rPr>
      <w:t>/</w:t>
    </w:r>
    <w:r w:rsidR="002226DC">
      <w:rPr>
        <w:rStyle w:val="PageNumber"/>
        <w:lang w:val="en-US"/>
      </w:rPr>
      <w:t>3</w:t>
    </w:r>
  </w:p>
  <w:p w:rsidR="00182B99" w:rsidRPr="00C5280D" w:rsidRDefault="00182B99" w:rsidP="00EB048E">
    <w:pPr>
      <w:pStyle w:val="Header"/>
      <w:rPr>
        <w:lang w:val="en-US"/>
      </w:rPr>
    </w:pPr>
    <w:proofErr w:type="gramStart"/>
    <w:r w:rsidRPr="00C5280D">
      <w:rPr>
        <w:lang w:val="en-US"/>
      </w:rPr>
      <w:t>page</w:t>
    </w:r>
    <w:proofErr w:type="gramEnd"/>
    <w:r w:rsidR="00CC0641">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6227">
      <w:rPr>
        <w:rStyle w:val="PageNumber"/>
        <w:noProof/>
        <w:lang w:val="en-US"/>
      </w:rPr>
      <w:t>7</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B2"/>
    <w:rsid w:val="00010CF3"/>
    <w:rsid w:val="00011E27"/>
    <w:rsid w:val="000148BC"/>
    <w:rsid w:val="00024AB8"/>
    <w:rsid w:val="00027994"/>
    <w:rsid w:val="00030854"/>
    <w:rsid w:val="00036028"/>
    <w:rsid w:val="00044642"/>
    <w:rsid w:val="000446B9"/>
    <w:rsid w:val="00047E21"/>
    <w:rsid w:val="00050E16"/>
    <w:rsid w:val="00085505"/>
    <w:rsid w:val="000C4E25"/>
    <w:rsid w:val="000C5DD5"/>
    <w:rsid w:val="000C7021"/>
    <w:rsid w:val="000D6BBC"/>
    <w:rsid w:val="000D7780"/>
    <w:rsid w:val="000E636A"/>
    <w:rsid w:val="000F2F11"/>
    <w:rsid w:val="00101A1A"/>
    <w:rsid w:val="00105929"/>
    <w:rsid w:val="00110C36"/>
    <w:rsid w:val="001131D5"/>
    <w:rsid w:val="00141DB8"/>
    <w:rsid w:val="00172084"/>
    <w:rsid w:val="0017474A"/>
    <w:rsid w:val="001758C6"/>
    <w:rsid w:val="00182B99"/>
    <w:rsid w:val="001C1F2F"/>
    <w:rsid w:val="001C6DB8"/>
    <w:rsid w:val="001D4AD9"/>
    <w:rsid w:val="001D53ED"/>
    <w:rsid w:val="001D6823"/>
    <w:rsid w:val="001F3D68"/>
    <w:rsid w:val="0021332C"/>
    <w:rsid w:val="00213982"/>
    <w:rsid w:val="002226DC"/>
    <w:rsid w:val="0024416D"/>
    <w:rsid w:val="00271911"/>
    <w:rsid w:val="002800A0"/>
    <w:rsid w:val="002801B3"/>
    <w:rsid w:val="00281060"/>
    <w:rsid w:val="002940E8"/>
    <w:rsid w:val="00294751"/>
    <w:rsid w:val="002A6E50"/>
    <w:rsid w:val="002B4298"/>
    <w:rsid w:val="002C256A"/>
    <w:rsid w:val="00305A7F"/>
    <w:rsid w:val="003152FE"/>
    <w:rsid w:val="00327436"/>
    <w:rsid w:val="00337C0A"/>
    <w:rsid w:val="00344BD6"/>
    <w:rsid w:val="0035084F"/>
    <w:rsid w:val="00354154"/>
    <w:rsid w:val="0035528D"/>
    <w:rsid w:val="00361821"/>
    <w:rsid w:val="00361E9E"/>
    <w:rsid w:val="003A0EED"/>
    <w:rsid w:val="003C7FBE"/>
    <w:rsid w:val="003D227C"/>
    <w:rsid w:val="003D2B4D"/>
    <w:rsid w:val="0040557F"/>
    <w:rsid w:val="00430214"/>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4CB9"/>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71271E"/>
    <w:rsid w:val="0073053C"/>
    <w:rsid w:val="00732DEC"/>
    <w:rsid w:val="00735BD5"/>
    <w:rsid w:val="00751613"/>
    <w:rsid w:val="007556F6"/>
    <w:rsid w:val="00755985"/>
    <w:rsid w:val="00760EEF"/>
    <w:rsid w:val="0077701A"/>
    <w:rsid w:val="00777EE5"/>
    <w:rsid w:val="00784836"/>
    <w:rsid w:val="0079023E"/>
    <w:rsid w:val="007A2854"/>
    <w:rsid w:val="007C1D92"/>
    <w:rsid w:val="007C4CB9"/>
    <w:rsid w:val="007D0B9D"/>
    <w:rsid w:val="007D19B0"/>
    <w:rsid w:val="007E5E03"/>
    <w:rsid w:val="007F298D"/>
    <w:rsid w:val="007F498F"/>
    <w:rsid w:val="007F6A57"/>
    <w:rsid w:val="0080679D"/>
    <w:rsid w:val="008108B0"/>
    <w:rsid w:val="00811B20"/>
    <w:rsid w:val="008211B5"/>
    <w:rsid w:val="0082296E"/>
    <w:rsid w:val="00824099"/>
    <w:rsid w:val="00846D7C"/>
    <w:rsid w:val="00847A8F"/>
    <w:rsid w:val="00864C55"/>
    <w:rsid w:val="00867AC1"/>
    <w:rsid w:val="00890DF8"/>
    <w:rsid w:val="00892780"/>
    <w:rsid w:val="00897A4D"/>
    <w:rsid w:val="008A743F"/>
    <w:rsid w:val="008C0970"/>
    <w:rsid w:val="008D0BC5"/>
    <w:rsid w:val="008D2CF7"/>
    <w:rsid w:val="00900C26"/>
    <w:rsid w:val="0090197F"/>
    <w:rsid w:val="00906DDC"/>
    <w:rsid w:val="00910B28"/>
    <w:rsid w:val="00911337"/>
    <w:rsid w:val="00934E09"/>
    <w:rsid w:val="00936253"/>
    <w:rsid w:val="00940D46"/>
    <w:rsid w:val="00952DD4"/>
    <w:rsid w:val="00965AE7"/>
    <w:rsid w:val="00970FED"/>
    <w:rsid w:val="00992D82"/>
    <w:rsid w:val="00997029"/>
    <w:rsid w:val="009A7339"/>
    <w:rsid w:val="009B440E"/>
    <w:rsid w:val="009D690D"/>
    <w:rsid w:val="009E4A3E"/>
    <w:rsid w:val="009E65B6"/>
    <w:rsid w:val="00A24C10"/>
    <w:rsid w:val="00A42AC3"/>
    <w:rsid w:val="00A430CF"/>
    <w:rsid w:val="00A54309"/>
    <w:rsid w:val="00A706D3"/>
    <w:rsid w:val="00AB2B93"/>
    <w:rsid w:val="00AB530F"/>
    <w:rsid w:val="00AB7E5B"/>
    <w:rsid w:val="00AC2883"/>
    <w:rsid w:val="00AC5306"/>
    <w:rsid w:val="00AE0EF1"/>
    <w:rsid w:val="00AE2937"/>
    <w:rsid w:val="00B07301"/>
    <w:rsid w:val="00B11F3E"/>
    <w:rsid w:val="00B224DE"/>
    <w:rsid w:val="00B324D4"/>
    <w:rsid w:val="00B32D4F"/>
    <w:rsid w:val="00B46575"/>
    <w:rsid w:val="00B61777"/>
    <w:rsid w:val="00B84BBD"/>
    <w:rsid w:val="00BA43FB"/>
    <w:rsid w:val="00BC127D"/>
    <w:rsid w:val="00BC1FE6"/>
    <w:rsid w:val="00BF6227"/>
    <w:rsid w:val="00C061B6"/>
    <w:rsid w:val="00C24129"/>
    <w:rsid w:val="00C2446C"/>
    <w:rsid w:val="00C36AE5"/>
    <w:rsid w:val="00C41F17"/>
    <w:rsid w:val="00C527FA"/>
    <w:rsid w:val="00C5280D"/>
    <w:rsid w:val="00C53EB3"/>
    <w:rsid w:val="00C5791C"/>
    <w:rsid w:val="00C66290"/>
    <w:rsid w:val="00C72B7A"/>
    <w:rsid w:val="00C85977"/>
    <w:rsid w:val="00C973F2"/>
    <w:rsid w:val="00CA304C"/>
    <w:rsid w:val="00CA72F5"/>
    <w:rsid w:val="00CA774A"/>
    <w:rsid w:val="00CC0641"/>
    <w:rsid w:val="00CC11B0"/>
    <w:rsid w:val="00CC2841"/>
    <w:rsid w:val="00CC40C2"/>
    <w:rsid w:val="00CF1330"/>
    <w:rsid w:val="00CF7E36"/>
    <w:rsid w:val="00D256A4"/>
    <w:rsid w:val="00D3708D"/>
    <w:rsid w:val="00D40426"/>
    <w:rsid w:val="00D57C96"/>
    <w:rsid w:val="00D57D18"/>
    <w:rsid w:val="00D66D66"/>
    <w:rsid w:val="00D73EB2"/>
    <w:rsid w:val="00D85F56"/>
    <w:rsid w:val="00D91203"/>
    <w:rsid w:val="00D95174"/>
    <w:rsid w:val="00DA4973"/>
    <w:rsid w:val="00DA6F36"/>
    <w:rsid w:val="00DB596E"/>
    <w:rsid w:val="00DB64E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24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0484CC"/>
  <w15:docId w15:val="{AA7C38BA-9A05-48A6-AD11-E0B31D0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BF6227"/>
    <w:pPr>
      <w:keepNext/>
      <w:jc w:val="both"/>
      <w:outlineLvl w:val="0"/>
    </w:pPr>
    <w:rPr>
      <w:rFonts w:ascii="Arial" w:hAnsi="Arial"/>
      <w:caps/>
      <w:lang w:val="fr-FR"/>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1D6823"/>
    <w:pPr>
      <w:keepNext/>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BF6227"/>
    <w:pPr>
      <w:tabs>
        <w:tab w:val="right" w:leader="dot" w:pos="9639"/>
      </w:tabs>
      <w:ind w:left="284" w:right="851"/>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BF6227"/>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D73EB2"/>
    <w:rPr>
      <w:rFonts w:ascii="Arial" w:hAnsi="Arial"/>
      <w:u w:val="single"/>
    </w:rPr>
  </w:style>
  <w:style w:type="character" w:customStyle="1" w:styleId="Heading3Char">
    <w:name w:val="Heading 3 Char"/>
    <w:basedOn w:val="DefaultParagraphFont"/>
    <w:link w:val="Heading3"/>
    <w:rsid w:val="00D73EB2"/>
    <w:rPr>
      <w:rFonts w:ascii="Arial" w:hAnsi="Arial"/>
      <w:i/>
    </w:rPr>
  </w:style>
  <w:style w:type="character" w:customStyle="1" w:styleId="Heading4Char">
    <w:name w:val="Heading 4 Char"/>
    <w:basedOn w:val="DefaultParagraphFont"/>
    <w:link w:val="Heading4"/>
    <w:rsid w:val="001D6823"/>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07E7-B271-4DD5-8CC3-BEFB4F6A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3787</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ROURE Cécile</dc:creator>
  <cp:keywords>FOR OFFICIAL USE ONLY</cp:keywords>
  <cp:lastModifiedBy>MAY Jessica</cp:lastModifiedBy>
  <cp:revision>33</cp:revision>
  <cp:lastPrinted>2016-11-22T15:41:00Z</cp:lastPrinted>
  <dcterms:created xsi:type="dcterms:W3CDTF">2020-10-21T16:50:00Z</dcterms:created>
  <dcterms:modified xsi:type="dcterms:W3CDTF">2020-10-22T07:36:00Z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c4b637a2-604a-4979-b48a-9189bf5828b9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