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B56F5" w:rsidTr="00EB4E9C">
        <w:tc>
          <w:tcPr>
            <w:tcW w:w="6522" w:type="dxa"/>
          </w:tcPr>
          <w:p w:rsidR="00DC3802" w:rsidRPr="000B56F5" w:rsidRDefault="00DC3802" w:rsidP="00AC2883">
            <w:pPr>
              <w:rPr>
                <w:lang w:val="fr-CH"/>
              </w:rPr>
            </w:pPr>
            <w:r w:rsidRPr="000B56F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B56F5" w:rsidRDefault="00A706D3" w:rsidP="00AC2883">
            <w:pPr>
              <w:pStyle w:val="Lettrine"/>
              <w:rPr>
                <w:lang w:val="fr-CH"/>
              </w:rPr>
            </w:pPr>
            <w:r w:rsidRPr="000B56F5">
              <w:rPr>
                <w:lang w:val="fr-CH"/>
              </w:rPr>
              <w:t>F</w:t>
            </w:r>
          </w:p>
        </w:tc>
      </w:tr>
      <w:tr w:rsidR="00DC3802" w:rsidRPr="000B56F5" w:rsidTr="00645CA8">
        <w:trPr>
          <w:trHeight w:val="219"/>
        </w:trPr>
        <w:tc>
          <w:tcPr>
            <w:tcW w:w="6522" w:type="dxa"/>
          </w:tcPr>
          <w:p w:rsidR="00DC3802" w:rsidRPr="000B56F5" w:rsidRDefault="00DC3802" w:rsidP="00A706D3">
            <w:pPr>
              <w:pStyle w:val="upove"/>
              <w:rPr>
                <w:lang w:val="fr-CH"/>
              </w:rPr>
            </w:pPr>
            <w:r w:rsidRPr="000B56F5">
              <w:rPr>
                <w:lang w:val="fr-CH"/>
              </w:rPr>
              <w:t xml:space="preserve">Union </w:t>
            </w:r>
            <w:r w:rsidR="00A706D3" w:rsidRPr="000B56F5">
              <w:rPr>
                <w:lang w:val="fr-CH"/>
              </w:rPr>
              <w:t>internationale pour la protection des obtentions végétales</w:t>
            </w:r>
          </w:p>
        </w:tc>
        <w:tc>
          <w:tcPr>
            <w:tcW w:w="3117" w:type="dxa"/>
          </w:tcPr>
          <w:p w:rsidR="00DC3802" w:rsidRPr="000B56F5" w:rsidRDefault="00DC3802" w:rsidP="00DA4973">
            <w:pPr>
              <w:rPr>
                <w:lang w:val="fr-CH"/>
              </w:rPr>
            </w:pPr>
          </w:p>
        </w:tc>
      </w:tr>
    </w:tbl>
    <w:p w:rsidR="00EF0D3B" w:rsidRPr="000B56F5" w:rsidRDefault="00EF0D3B" w:rsidP="00DC3802">
      <w:pPr>
        <w:rPr>
          <w:lang w:val="fr-CH"/>
        </w:rPr>
      </w:pPr>
    </w:p>
    <w:p w:rsidR="00DA4973" w:rsidRPr="000B56F5"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B56F5" w:rsidTr="00EB4E9C">
        <w:tc>
          <w:tcPr>
            <w:tcW w:w="6512" w:type="dxa"/>
          </w:tcPr>
          <w:p w:rsidR="00EF0D3B" w:rsidRPr="000B56F5" w:rsidRDefault="00A706D3" w:rsidP="00AC2883">
            <w:pPr>
              <w:pStyle w:val="Sessiontc"/>
              <w:spacing w:line="240" w:lineRule="auto"/>
              <w:rPr>
                <w:lang w:val="fr-CH"/>
              </w:rPr>
            </w:pPr>
            <w:r w:rsidRPr="000B56F5">
              <w:rPr>
                <w:lang w:val="fr-CH"/>
              </w:rPr>
              <w:t>Comité technique</w:t>
            </w:r>
          </w:p>
          <w:p w:rsidR="00EB4E9C" w:rsidRPr="000B56F5" w:rsidRDefault="00A706D3" w:rsidP="00027994">
            <w:pPr>
              <w:pStyle w:val="Sessiontcplacedate"/>
              <w:rPr>
                <w:sz w:val="22"/>
                <w:lang w:val="fr-CH"/>
              </w:rPr>
            </w:pPr>
            <w:r w:rsidRPr="000B56F5">
              <w:rPr>
                <w:lang w:val="fr-CH"/>
              </w:rPr>
              <w:t>Cinquante</w:t>
            </w:r>
            <w:r w:rsidR="00B1361A" w:rsidRPr="000B56F5">
              <w:rPr>
                <w:lang w:val="fr-CH"/>
              </w:rPr>
              <w:t>-</w:t>
            </w:r>
            <w:r w:rsidR="00027994" w:rsidRPr="000B56F5">
              <w:rPr>
                <w:lang w:val="fr-CH"/>
              </w:rPr>
              <w:t>six</w:t>
            </w:r>
            <w:r w:rsidR="00B1361A" w:rsidRPr="000B56F5">
              <w:rPr>
                <w:lang w:val="fr-CH"/>
              </w:rPr>
              <w:t>ième session</w:t>
            </w:r>
            <w:r w:rsidR="00EB4E9C" w:rsidRPr="000B56F5">
              <w:rPr>
                <w:lang w:val="fr-CH"/>
              </w:rPr>
              <w:br/>
              <w:t>Gen</w:t>
            </w:r>
            <w:r w:rsidRPr="000B56F5">
              <w:rPr>
                <w:lang w:val="fr-CH"/>
              </w:rPr>
              <w:t>è</w:t>
            </w:r>
            <w:r w:rsidR="00EB4E9C" w:rsidRPr="000B56F5">
              <w:rPr>
                <w:lang w:val="fr-CH"/>
              </w:rPr>
              <w:t>v</w:t>
            </w:r>
            <w:r w:rsidRPr="000B56F5">
              <w:rPr>
                <w:lang w:val="fr-CH"/>
              </w:rPr>
              <w:t>e</w:t>
            </w:r>
            <w:r w:rsidR="00EB4E9C" w:rsidRPr="000B56F5">
              <w:rPr>
                <w:lang w:val="fr-CH"/>
              </w:rPr>
              <w:t xml:space="preserve">, </w:t>
            </w:r>
            <w:r w:rsidR="00897A4D" w:rsidRPr="000B56F5">
              <w:rPr>
                <w:lang w:val="fr-CH"/>
              </w:rPr>
              <w:t>2</w:t>
            </w:r>
            <w:r w:rsidR="00027994" w:rsidRPr="000B56F5">
              <w:rPr>
                <w:lang w:val="fr-CH"/>
              </w:rPr>
              <w:t>6</w:t>
            </w:r>
            <w:r w:rsidR="00897A4D" w:rsidRPr="000B56F5">
              <w:rPr>
                <w:lang w:val="fr-CH"/>
              </w:rPr>
              <w:t xml:space="preserve"> et </w:t>
            </w:r>
            <w:r w:rsidR="001C1F2F" w:rsidRPr="000B56F5">
              <w:rPr>
                <w:lang w:val="fr-CH"/>
              </w:rPr>
              <w:t>2</w:t>
            </w:r>
            <w:r w:rsidR="00F874D0" w:rsidRPr="000B56F5">
              <w:rPr>
                <w:lang w:val="fr-CH"/>
              </w:rPr>
              <w:t>7 octobre 20</w:t>
            </w:r>
            <w:r w:rsidR="00027994" w:rsidRPr="000B56F5">
              <w:rPr>
                <w:lang w:val="fr-CH"/>
              </w:rPr>
              <w:t>20</w:t>
            </w:r>
          </w:p>
        </w:tc>
        <w:tc>
          <w:tcPr>
            <w:tcW w:w="3127" w:type="dxa"/>
          </w:tcPr>
          <w:p w:rsidR="00EF0D3B" w:rsidRPr="000B56F5" w:rsidRDefault="00027994" w:rsidP="003C7FBE">
            <w:pPr>
              <w:pStyle w:val="Doccode"/>
              <w:rPr>
                <w:lang w:val="fr-CH"/>
              </w:rPr>
            </w:pPr>
            <w:r w:rsidRPr="000B56F5">
              <w:rPr>
                <w:lang w:val="fr-CH"/>
              </w:rPr>
              <w:t>TC/56</w:t>
            </w:r>
            <w:r w:rsidR="00EB4E9C" w:rsidRPr="000B56F5">
              <w:rPr>
                <w:lang w:val="fr-CH"/>
              </w:rPr>
              <w:t>/</w:t>
            </w:r>
            <w:r w:rsidR="00112E25" w:rsidRPr="000B56F5">
              <w:rPr>
                <w:lang w:val="fr-CH"/>
              </w:rPr>
              <w:t>13</w:t>
            </w:r>
          </w:p>
          <w:p w:rsidR="00EF0D3B" w:rsidRPr="000B56F5" w:rsidRDefault="00EB4E9C" w:rsidP="003C7FBE">
            <w:pPr>
              <w:pStyle w:val="Docoriginal"/>
              <w:rPr>
                <w:lang w:val="fr-CH"/>
              </w:rPr>
            </w:pPr>
            <w:r w:rsidRPr="000B56F5">
              <w:rPr>
                <w:lang w:val="fr-CH"/>
              </w:rPr>
              <w:t>Original</w:t>
            </w:r>
            <w:r w:rsidR="00B1361A" w:rsidRPr="000B56F5">
              <w:rPr>
                <w:lang w:val="fr-CH"/>
              </w:rPr>
              <w:t> :</w:t>
            </w:r>
            <w:r w:rsidRPr="000B56F5">
              <w:rPr>
                <w:b w:val="0"/>
                <w:spacing w:val="0"/>
                <w:lang w:val="fr-CH"/>
              </w:rPr>
              <w:t xml:space="preserve"> </w:t>
            </w:r>
            <w:r w:rsidR="00A706D3" w:rsidRPr="000B56F5">
              <w:rPr>
                <w:b w:val="0"/>
                <w:spacing w:val="0"/>
                <w:lang w:val="fr-CH"/>
              </w:rPr>
              <w:t>anglais</w:t>
            </w:r>
          </w:p>
          <w:p w:rsidR="00EB4E9C" w:rsidRPr="000B56F5" w:rsidRDefault="00EB4E9C" w:rsidP="00112E25">
            <w:pPr>
              <w:pStyle w:val="Docoriginal"/>
              <w:rPr>
                <w:lang w:val="fr-CH"/>
              </w:rPr>
            </w:pPr>
            <w:r w:rsidRPr="000B56F5">
              <w:rPr>
                <w:lang w:val="fr-CH"/>
              </w:rPr>
              <w:t>Date</w:t>
            </w:r>
            <w:r w:rsidR="00B1361A" w:rsidRPr="000B56F5">
              <w:rPr>
                <w:lang w:val="fr-CH"/>
              </w:rPr>
              <w:t> :</w:t>
            </w:r>
            <w:r w:rsidR="00897A4D" w:rsidRPr="000B56F5">
              <w:rPr>
                <w:b w:val="0"/>
                <w:spacing w:val="0"/>
                <w:lang w:val="fr-CH"/>
              </w:rPr>
              <w:t xml:space="preserve"> </w:t>
            </w:r>
            <w:r w:rsidR="00112E25" w:rsidRPr="000B56F5">
              <w:rPr>
                <w:b w:val="0"/>
                <w:spacing w:val="0"/>
                <w:lang w:val="fr-CH"/>
              </w:rPr>
              <w:t>9 octobre 2020</w:t>
            </w:r>
          </w:p>
        </w:tc>
      </w:tr>
    </w:tbl>
    <w:p w:rsidR="00EF0D3B" w:rsidRPr="000B56F5" w:rsidRDefault="00AE29F9" w:rsidP="00AE29F9">
      <w:pPr>
        <w:pStyle w:val="Titleofdoc0"/>
        <w:rPr>
          <w:lang w:val="fr-CH"/>
        </w:rPr>
      </w:pPr>
      <w:bookmarkStart w:id="0" w:name="TitleOfDoc"/>
      <w:bookmarkStart w:id="1" w:name="Prepared"/>
      <w:bookmarkEnd w:id="0"/>
      <w:bookmarkEnd w:id="1"/>
      <w:r w:rsidRPr="000B56F5">
        <w:rPr>
          <w:lang w:val="fr-CH"/>
        </w:rPr>
        <w:t xml:space="preserve">Examen du </w:t>
      </w:r>
      <w:r w:rsidR="00B1361A" w:rsidRPr="000B56F5">
        <w:rPr>
          <w:lang w:val="fr-CH"/>
        </w:rPr>
        <w:t>document UP</w:t>
      </w:r>
      <w:r w:rsidRPr="000B56F5">
        <w:rPr>
          <w:lang w:val="fr-CH"/>
        </w:rPr>
        <w:t>OV/INF/17 “Directives concernant les profils d</w:t>
      </w:r>
      <w:r w:rsidR="00B1361A" w:rsidRPr="000B56F5">
        <w:rPr>
          <w:lang w:val="fr-CH"/>
        </w:rPr>
        <w:t>’</w:t>
      </w:r>
      <w:r w:rsidRPr="000B56F5">
        <w:rPr>
          <w:lang w:val="fr-CH"/>
        </w:rPr>
        <w:t>ADN</w:t>
      </w:r>
      <w:r w:rsidR="00B1361A" w:rsidRPr="000B56F5">
        <w:rPr>
          <w:lang w:val="fr-CH"/>
        </w:rPr>
        <w:t> :</w:t>
      </w:r>
      <w:r w:rsidRPr="000B56F5">
        <w:rPr>
          <w:lang w:val="fr-CH"/>
        </w:rPr>
        <w:t xml:space="preserve"> choix des marqueurs moléculaires et construction d</w:t>
      </w:r>
      <w:r w:rsidR="00B1361A" w:rsidRPr="000B56F5">
        <w:rPr>
          <w:lang w:val="fr-CH"/>
        </w:rPr>
        <w:t>’</w:t>
      </w:r>
      <w:r w:rsidRPr="000B56F5">
        <w:rPr>
          <w:lang w:val="fr-CH"/>
        </w:rPr>
        <w:t>une base de données y relative (</w:t>
      </w:r>
      <w:r w:rsidR="000B56F5">
        <w:rPr>
          <w:lang w:val="fr-CH"/>
        </w:rPr>
        <w:t>‘</w:t>
      </w:r>
      <w:r w:rsidRPr="000B56F5">
        <w:rPr>
          <w:lang w:val="fr-CH"/>
        </w:rPr>
        <w:t>Directives BMT</w:t>
      </w:r>
      <w:r w:rsidR="000B56F5">
        <w:rPr>
          <w:lang w:val="fr-CH"/>
        </w:rPr>
        <w:t>’</w:t>
      </w:r>
      <w:r w:rsidRPr="000B56F5">
        <w:rPr>
          <w:lang w:val="fr-CH"/>
        </w:rPr>
        <w:t>)”</w:t>
      </w:r>
    </w:p>
    <w:p w:rsidR="00EF0D3B" w:rsidRPr="000B56F5" w:rsidRDefault="00AE0EF1" w:rsidP="006A644A">
      <w:pPr>
        <w:pStyle w:val="preparedby1"/>
        <w:jc w:val="left"/>
        <w:rPr>
          <w:lang w:val="fr-CH"/>
        </w:rPr>
      </w:pPr>
      <w:r w:rsidRPr="000B56F5">
        <w:rPr>
          <w:lang w:val="fr-CH"/>
        </w:rPr>
        <w:t xml:space="preserve">Document </w:t>
      </w:r>
      <w:r w:rsidR="00A706D3" w:rsidRPr="000B56F5">
        <w:rPr>
          <w:lang w:val="fr-CH"/>
        </w:rPr>
        <w:t>établi par le Bureau de l</w:t>
      </w:r>
      <w:r w:rsidR="00B1361A" w:rsidRPr="000B56F5">
        <w:rPr>
          <w:lang w:val="fr-CH"/>
        </w:rPr>
        <w:t>’</w:t>
      </w:r>
      <w:r w:rsidR="00A706D3" w:rsidRPr="000B56F5">
        <w:rPr>
          <w:lang w:val="fr-CH"/>
        </w:rPr>
        <w:t>Union</w:t>
      </w:r>
    </w:p>
    <w:p w:rsidR="00EF0D3B" w:rsidRPr="000B56F5" w:rsidRDefault="00A706D3" w:rsidP="006A644A">
      <w:pPr>
        <w:pStyle w:val="Disclaimer"/>
        <w:rPr>
          <w:lang w:val="fr-CH"/>
        </w:rPr>
      </w:pPr>
      <w:r w:rsidRPr="000B56F5">
        <w:rPr>
          <w:lang w:val="fr-CH"/>
        </w:rPr>
        <w:t>Avertissement</w:t>
      </w:r>
      <w:r w:rsidR="00B1361A" w:rsidRPr="000B56F5">
        <w:rPr>
          <w:lang w:val="fr-CH"/>
        </w:rPr>
        <w:t> :</w:t>
      </w:r>
      <w:r w:rsidRPr="000B56F5">
        <w:rPr>
          <w:lang w:val="fr-CH"/>
        </w:rPr>
        <w:t xml:space="preserve"> le présent document ne représente pas les principes ou les orientations de l</w:t>
      </w:r>
      <w:r w:rsidR="00B1361A" w:rsidRPr="000B56F5">
        <w:rPr>
          <w:lang w:val="fr-CH"/>
        </w:rPr>
        <w:t>’</w:t>
      </w:r>
      <w:r w:rsidRPr="000B56F5">
        <w:rPr>
          <w:lang w:val="fr-CH"/>
        </w:rPr>
        <w:t>UPOV</w:t>
      </w:r>
    </w:p>
    <w:p w:rsidR="00EF0D3B" w:rsidRPr="000B56F5" w:rsidRDefault="00AE29F9" w:rsidP="00F56BEA">
      <w:pPr>
        <w:pStyle w:val="Heading1"/>
      </w:pPr>
      <w:bookmarkStart w:id="2" w:name="_Toc54002370"/>
      <w:bookmarkStart w:id="3" w:name="_Toc54003644"/>
      <w:bookmarkStart w:id="4" w:name="_Toc54004666"/>
      <w:bookmarkStart w:id="5" w:name="PartOne"/>
      <w:r w:rsidRPr="000B56F5">
        <w:t>Résumé</w:t>
      </w:r>
      <w:bookmarkEnd w:id="2"/>
      <w:bookmarkEnd w:id="3"/>
      <w:bookmarkEnd w:id="4"/>
    </w:p>
    <w:p w:rsidR="00EF0D3B" w:rsidRPr="000B56F5" w:rsidRDefault="00EF0D3B" w:rsidP="00112E25">
      <w:pPr>
        <w:rPr>
          <w:lang w:val="fr-CH"/>
        </w:rPr>
      </w:pPr>
    </w:p>
    <w:p w:rsidR="00EF0D3B" w:rsidRPr="000B56F5" w:rsidRDefault="00112E25" w:rsidP="00AE29F9">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AE29F9" w:rsidRPr="000B56F5">
        <w:rPr>
          <w:lang w:val="fr-CH"/>
        </w:rPr>
        <w:t>L</w:t>
      </w:r>
      <w:r w:rsidR="00B1361A" w:rsidRPr="000B56F5">
        <w:rPr>
          <w:lang w:val="fr-CH"/>
        </w:rPr>
        <w:t>’</w:t>
      </w:r>
      <w:r w:rsidR="00AE29F9" w:rsidRPr="000B56F5">
        <w:rPr>
          <w:lang w:val="fr-CH"/>
        </w:rPr>
        <w:t>objet du présent document est d</w:t>
      </w:r>
      <w:r w:rsidR="00B1361A" w:rsidRPr="000B56F5">
        <w:rPr>
          <w:lang w:val="fr-CH"/>
        </w:rPr>
        <w:t>’</w:t>
      </w:r>
      <w:r w:rsidR="00AE29F9" w:rsidRPr="000B56F5">
        <w:rPr>
          <w:lang w:val="fr-CH"/>
        </w:rPr>
        <w:t>examiner une proposition de révision du document UPOV/INF/17 “Directives concernant les profils d</w:t>
      </w:r>
      <w:r w:rsidR="00B1361A" w:rsidRPr="000B56F5">
        <w:rPr>
          <w:lang w:val="fr-CH"/>
        </w:rPr>
        <w:t>’</w:t>
      </w:r>
      <w:r w:rsidR="00AE29F9" w:rsidRPr="000B56F5">
        <w:rPr>
          <w:lang w:val="fr-CH"/>
        </w:rPr>
        <w:t>ADN</w:t>
      </w:r>
      <w:r w:rsidR="00B1361A" w:rsidRPr="000B56F5">
        <w:rPr>
          <w:lang w:val="fr-CH"/>
        </w:rPr>
        <w:t> :</w:t>
      </w:r>
      <w:r w:rsidR="00AE29F9" w:rsidRPr="000B56F5">
        <w:rPr>
          <w:lang w:val="fr-CH"/>
        </w:rPr>
        <w:t xml:space="preserve"> choix des marqueurs moléculaires et construction d</w:t>
      </w:r>
      <w:r w:rsidR="00B1361A" w:rsidRPr="000B56F5">
        <w:rPr>
          <w:lang w:val="fr-CH"/>
        </w:rPr>
        <w:t>’</w:t>
      </w:r>
      <w:r w:rsidR="00AE29F9" w:rsidRPr="000B56F5">
        <w:rPr>
          <w:lang w:val="fr-CH"/>
        </w:rPr>
        <w:t>une base de données y relative (</w:t>
      </w:r>
      <w:r w:rsidR="000B56F5">
        <w:rPr>
          <w:lang w:val="fr-CH"/>
        </w:rPr>
        <w:t>‘</w:t>
      </w:r>
      <w:r w:rsidR="00AE29F9" w:rsidRPr="000B56F5">
        <w:rPr>
          <w:lang w:val="fr-CH"/>
        </w:rPr>
        <w:t>Directives BMT</w:t>
      </w:r>
      <w:r w:rsidR="000B56F5">
        <w:rPr>
          <w:lang w:val="fr-CH"/>
        </w:rPr>
        <w:t>’</w:t>
      </w:r>
      <w:r w:rsidR="00AE29F9" w:rsidRPr="000B56F5">
        <w:rPr>
          <w:lang w:val="fr-CH"/>
        </w:rPr>
        <w:t>)”, figurant dans le document UPOV/INF/17/2 Draft 4 et dans l</w:t>
      </w:r>
      <w:r w:rsidR="00B1361A" w:rsidRPr="000B56F5">
        <w:rPr>
          <w:lang w:val="fr-CH"/>
        </w:rPr>
        <w:t>’</w:t>
      </w:r>
      <w:r w:rsidR="00AE29F9" w:rsidRPr="000B56F5">
        <w:rPr>
          <w:lang w:val="fr-CH"/>
        </w:rPr>
        <w:t>annexe du présent document.</w:t>
      </w:r>
    </w:p>
    <w:p w:rsidR="00EF0D3B" w:rsidRPr="000B56F5" w:rsidRDefault="00EF0D3B" w:rsidP="00112E25">
      <w:pPr>
        <w:rPr>
          <w:lang w:val="fr-CH"/>
        </w:rPr>
      </w:pPr>
    </w:p>
    <w:p w:rsidR="00F874D0" w:rsidRPr="000B56F5" w:rsidRDefault="00112E25" w:rsidP="00541D4A">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541D4A" w:rsidRPr="000B56F5">
        <w:rPr>
          <w:lang w:val="fr-CH"/>
        </w:rPr>
        <w:t>Le</w:t>
      </w:r>
      <w:r w:rsidR="00B1361A" w:rsidRPr="000B56F5">
        <w:rPr>
          <w:lang w:val="fr-CH"/>
        </w:rPr>
        <w:t> TC</w:t>
      </w:r>
      <w:r w:rsidR="00541D4A" w:rsidRPr="000B56F5">
        <w:rPr>
          <w:lang w:val="fr-CH"/>
        </w:rPr>
        <w:t xml:space="preserve"> est invité</w:t>
      </w:r>
    </w:p>
    <w:p w:rsidR="00EF0D3B" w:rsidRPr="000B56F5" w:rsidRDefault="00EF0D3B" w:rsidP="00112E25">
      <w:pPr>
        <w:rPr>
          <w:lang w:val="fr-CH"/>
        </w:rPr>
      </w:pPr>
    </w:p>
    <w:p w:rsidR="00F874D0" w:rsidRPr="000B56F5" w:rsidRDefault="00112E25" w:rsidP="00541D4A">
      <w:pPr>
        <w:rPr>
          <w:lang w:val="fr-CH"/>
        </w:rPr>
      </w:pPr>
      <w:r w:rsidRPr="000B56F5">
        <w:rPr>
          <w:lang w:val="fr-CH"/>
        </w:rPr>
        <w:tab/>
      </w:r>
      <w:r w:rsidR="00541D4A" w:rsidRPr="000B56F5">
        <w:rPr>
          <w:lang w:val="fr-CH"/>
        </w:rPr>
        <w:t>a)</w:t>
      </w:r>
      <w:r w:rsidR="00541D4A" w:rsidRPr="000B56F5">
        <w:rPr>
          <w:lang w:val="fr-CH"/>
        </w:rPr>
        <w:tab/>
        <w:t xml:space="preserve">à examiner la proposition de révision du </w:t>
      </w:r>
      <w:r w:rsidR="00B1361A" w:rsidRPr="000B56F5">
        <w:rPr>
          <w:lang w:val="fr-CH"/>
        </w:rPr>
        <w:t>document UP</w:t>
      </w:r>
      <w:r w:rsidR="00541D4A" w:rsidRPr="000B56F5">
        <w:rPr>
          <w:lang w:val="fr-CH"/>
        </w:rPr>
        <w:t xml:space="preserve">OV/INF/17 sur la base du </w:t>
      </w:r>
      <w:r w:rsidR="00B1361A" w:rsidRPr="000B56F5">
        <w:rPr>
          <w:lang w:val="fr-CH"/>
        </w:rPr>
        <w:t>document UP</w:t>
      </w:r>
      <w:r w:rsidR="00541D4A" w:rsidRPr="000B56F5">
        <w:rPr>
          <w:lang w:val="fr-CH"/>
        </w:rPr>
        <w:t>OV/INF/17/2 Draft</w:t>
      </w:r>
      <w:r w:rsidR="001045F7" w:rsidRPr="000B56F5">
        <w:rPr>
          <w:lang w:val="fr-CH"/>
        </w:rPr>
        <w:t> </w:t>
      </w:r>
      <w:r w:rsidR="00F56BEA" w:rsidRPr="000B56F5">
        <w:rPr>
          <w:lang w:val="fr-CH"/>
        </w:rPr>
        <w:t>4,</w:t>
      </w:r>
    </w:p>
    <w:p w:rsidR="00EF0D3B" w:rsidRPr="000B56F5" w:rsidRDefault="00EF0D3B" w:rsidP="00112E25">
      <w:pPr>
        <w:rPr>
          <w:lang w:val="fr-CH"/>
        </w:rPr>
      </w:pPr>
    </w:p>
    <w:p w:rsidR="00EF0D3B" w:rsidRPr="000B56F5" w:rsidRDefault="00112E25" w:rsidP="00541D4A">
      <w:pPr>
        <w:rPr>
          <w:lang w:val="fr-CH"/>
        </w:rPr>
      </w:pPr>
      <w:r w:rsidRPr="000B56F5">
        <w:rPr>
          <w:lang w:val="fr-CH"/>
        </w:rPr>
        <w:tab/>
      </w:r>
      <w:r w:rsidR="00541D4A" w:rsidRPr="000B56F5">
        <w:rPr>
          <w:lang w:val="fr-CH"/>
        </w:rPr>
        <w:t>b)</w:t>
      </w:r>
      <w:r w:rsidR="00541D4A" w:rsidRPr="000B56F5">
        <w:rPr>
          <w:lang w:val="fr-CH"/>
        </w:rPr>
        <w:tab/>
        <w:t>à demander</w:t>
      </w:r>
      <w:r w:rsidR="00F874D0" w:rsidRPr="000B56F5">
        <w:rPr>
          <w:lang w:val="fr-CH"/>
        </w:rPr>
        <w:t xml:space="preserve"> aux TWP</w:t>
      </w:r>
      <w:r w:rsidR="00541D4A" w:rsidRPr="000B56F5">
        <w:rPr>
          <w:lang w:val="fr-CH"/>
        </w:rPr>
        <w:t xml:space="preserve"> d</w:t>
      </w:r>
      <w:r w:rsidR="00B1361A" w:rsidRPr="000B56F5">
        <w:rPr>
          <w:lang w:val="fr-CH"/>
        </w:rPr>
        <w:t>’</w:t>
      </w:r>
      <w:r w:rsidR="00541D4A" w:rsidRPr="000B56F5">
        <w:rPr>
          <w:lang w:val="fr-CH"/>
        </w:rPr>
        <w:t xml:space="preserve">examiner un projet de révision du </w:t>
      </w:r>
      <w:r w:rsidR="00B1361A" w:rsidRPr="000B56F5">
        <w:rPr>
          <w:lang w:val="fr-CH"/>
        </w:rPr>
        <w:t>document UP</w:t>
      </w:r>
      <w:r w:rsidR="00541D4A" w:rsidRPr="000B56F5">
        <w:rPr>
          <w:lang w:val="fr-CH"/>
        </w:rPr>
        <w:t>OV/INF/17/1 (</w:t>
      </w:r>
      <w:r w:rsidR="00B1361A" w:rsidRPr="000B56F5">
        <w:rPr>
          <w:lang w:val="fr-CH"/>
        </w:rPr>
        <w:t>document UP</w:t>
      </w:r>
      <w:r w:rsidR="00541D4A" w:rsidRPr="000B56F5">
        <w:rPr>
          <w:lang w:val="fr-CH"/>
        </w:rPr>
        <w:t>OV/INF/17/2 Draft</w:t>
      </w:r>
      <w:r w:rsidR="00987C3E" w:rsidRPr="000B56F5">
        <w:rPr>
          <w:lang w:val="fr-CH"/>
        </w:rPr>
        <w:t> </w:t>
      </w:r>
      <w:r w:rsidR="00541D4A" w:rsidRPr="000B56F5">
        <w:rPr>
          <w:lang w:val="fr-CH"/>
        </w:rPr>
        <w:t xml:space="preserve">5) à leurs sessions </w:t>
      </w:r>
      <w:r w:rsidR="00F874D0" w:rsidRPr="000B56F5">
        <w:rPr>
          <w:lang w:val="fr-CH"/>
        </w:rPr>
        <w:t>de 2021</w:t>
      </w:r>
      <w:r w:rsidR="00541D4A" w:rsidRPr="000B56F5">
        <w:rPr>
          <w:lang w:val="fr-CH"/>
        </w:rPr>
        <w:t xml:space="preserve"> et</w:t>
      </w:r>
    </w:p>
    <w:p w:rsidR="00EF0D3B" w:rsidRPr="000B56F5" w:rsidRDefault="00EF0D3B" w:rsidP="00112E25">
      <w:pPr>
        <w:rPr>
          <w:lang w:val="fr-CH"/>
        </w:rPr>
      </w:pPr>
    </w:p>
    <w:p w:rsidR="00EF0D3B" w:rsidRPr="000B56F5" w:rsidRDefault="00112E25" w:rsidP="00541D4A">
      <w:pPr>
        <w:rPr>
          <w:lang w:val="fr-CH"/>
        </w:rPr>
      </w:pPr>
      <w:r w:rsidRPr="000B56F5">
        <w:rPr>
          <w:lang w:val="fr-CH"/>
        </w:rPr>
        <w:tab/>
      </w:r>
      <w:r w:rsidR="00541D4A" w:rsidRPr="000B56F5">
        <w:rPr>
          <w:lang w:val="fr-CH"/>
        </w:rPr>
        <w:t>c)</w:t>
      </w:r>
      <w:r w:rsidR="00541D4A" w:rsidRPr="000B56F5">
        <w:rPr>
          <w:lang w:val="fr-CH"/>
        </w:rPr>
        <w:tab/>
        <w:t>à noter qu</w:t>
      </w:r>
      <w:r w:rsidR="00B1361A" w:rsidRPr="000B56F5">
        <w:rPr>
          <w:lang w:val="fr-CH"/>
        </w:rPr>
        <w:t>’</w:t>
      </w:r>
      <w:r w:rsidR="00541D4A" w:rsidRPr="000B56F5">
        <w:rPr>
          <w:lang w:val="fr-CH"/>
        </w:rPr>
        <w:t xml:space="preserve">un projet de révision du </w:t>
      </w:r>
      <w:r w:rsidR="00B1361A" w:rsidRPr="000B56F5">
        <w:rPr>
          <w:lang w:val="fr-CH"/>
        </w:rPr>
        <w:t>document UP</w:t>
      </w:r>
      <w:r w:rsidR="00541D4A" w:rsidRPr="000B56F5">
        <w:rPr>
          <w:lang w:val="fr-CH"/>
        </w:rPr>
        <w:t>OV/INF/17 (UPOV/INF/17/2 Draft</w:t>
      </w:r>
      <w:r w:rsidR="001045F7" w:rsidRPr="000B56F5">
        <w:rPr>
          <w:lang w:val="fr-CH"/>
        </w:rPr>
        <w:t> </w:t>
      </w:r>
      <w:r w:rsidR="00541D4A" w:rsidRPr="000B56F5">
        <w:rPr>
          <w:lang w:val="fr-CH"/>
        </w:rPr>
        <w:t>6) serait proposé pour adoption par le Conseil à sa cinquante</w:t>
      </w:r>
      <w:r w:rsidR="00B1361A" w:rsidRPr="000B56F5">
        <w:rPr>
          <w:lang w:val="fr-CH"/>
        </w:rPr>
        <w:t>-</w:t>
      </w:r>
      <w:r w:rsidR="00541D4A" w:rsidRPr="000B56F5">
        <w:rPr>
          <w:lang w:val="fr-CH"/>
        </w:rPr>
        <w:t>cinqu</w:t>
      </w:r>
      <w:r w:rsidR="00B1361A" w:rsidRPr="000B56F5">
        <w:rPr>
          <w:lang w:val="fr-CH"/>
        </w:rPr>
        <w:t>ième session</w:t>
      </w:r>
      <w:r w:rsidR="00541D4A" w:rsidRPr="000B56F5">
        <w:rPr>
          <w:lang w:val="fr-CH"/>
        </w:rPr>
        <w:t xml:space="preserve"> prévue le 29 octobre 2021, sous réserve de l</w:t>
      </w:r>
      <w:r w:rsidR="00B1361A" w:rsidRPr="000B56F5">
        <w:rPr>
          <w:lang w:val="fr-CH"/>
        </w:rPr>
        <w:t>’</w:t>
      </w:r>
      <w:r w:rsidR="00541D4A" w:rsidRPr="000B56F5">
        <w:rPr>
          <w:lang w:val="fr-CH"/>
        </w:rPr>
        <w:t>accord du</w:t>
      </w:r>
      <w:r w:rsidR="00B1361A" w:rsidRPr="000B56F5">
        <w:rPr>
          <w:lang w:val="fr-CH"/>
        </w:rPr>
        <w:t> TC</w:t>
      </w:r>
      <w:r w:rsidR="00541D4A" w:rsidRPr="000B56F5">
        <w:rPr>
          <w:lang w:val="fr-CH"/>
        </w:rPr>
        <w:t xml:space="preserve"> à sa cinquante</w:t>
      </w:r>
      <w:r w:rsidR="00B1361A" w:rsidRPr="000B56F5">
        <w:rPr>
          <w:lang w:val="fr-CH"/>
        </w:rPr>
        <w:t>-</w:t>
      </w:r>
      <w:r w:rsidR="00541D4A" w:rsidRPr="000B56F5">
        <w:rPr>
          <w:lang w:val="fr-CH"/>
        </w:rPr>
        <w:t>sept</w:t>
      </w:r>
      <w:r w:rsidR="00B1361A" w:rsidRPr="000B56F5">
        <w:rPr>
          <w:lang w:val="fr-CH"/>
        </w:rPr>
        <w:t>ième session</w:t>
      </w:r>
      <w:r w:rsidR="00541D4A" w:rsidRPr="000B56F5">
        <w:rPr>
          <w:lang w:val="fr-CH"/>
        </w:rPr>
        <w:t xml:space="preserve"> et</w:t>
      </w:r>
      <w:r w:rsidR="00F874D0" w:rsidRPr="000B56F5">
        <w:rPr>
          <w:lang w:val="fr-CH"/>
        </w:rPr>
        <w:t xml:space="preserve"> du CAJ</w:t>
      </w:r>
      <w:r w:rsidR="00541D4A" w:rsidRPr="000B56F5">
        <w:rPr>
          <w:lang w:val="fr-CH"/>
        </w:rPr>
        <w:t xml:space="preserve"> à sa soixante</w:t>
      </w:r>
      <w:r w:rsidR="00B1361A" w:rsidRPr="000B56F5">
        <w:rPr>
          <w:lang w:val="fr-CH"/>
        </w:rPr>
        <w:t>-</w:t>
      </w:r>
      <w:r w:rsidR="00541D4A" w:rsidRPr="000B56F5">
        <w:rPr>
          <w:lang w:val="fr-CH"/>
        </w:rPr>
        <w:t>dix</w:t>
      </w:r>
      <w:r w:rsidR="00B1361A" w:rsidRPr="000B56F5">
        <w:rPr>
          <w:lang w:val="fr-CH"/>
        </w:rPr>
        <w:t>-</w:t>
      </w:r>
      <w:r w:rsidR="00541D4A" w:rsidRPr="000B56F5">
        <w:rPr>
          <w:lang w:val="fr-CH"/>
        </w:rPr>
        <w:t>huit</w:t>
      </w:r>
      <w:r w:rsidR="00B1361A" w:rsidRPr="000B56F5">
        <w:rPr>
          <w:lang w:val="fr-CH"/>
        </w:rPr>
        <w:t>ième session</w:t>
      </w:r>
      <w:r w:rsidR="00541D4A" w:rsidRPr="000B56F5">
        <w:rPr>
          <w:lang w:val="fr-CH"/>
        </w:rPr>
        <w:t xml:space="preserve"> prévue </w:t>
      </w:r>
      <w:r w:rsidR="00F874D0" w:rsidRPr="000B56F5">
        <w:rPr>
          <w:lang w:val="fr-CH"/>
        </w:rPr>
        <w:t>en 2021</w:t>
      </w:r>
      <w:r w:rsidR="00541D4A" w:rsidRPr="000B56F5">
        <w:rPr>
          <w:lang w:val="fr-CH"/>
        </w:rPr>
        <w:t>.</w:t>
      </w:r>
    </w:p>
    <w:p w:rsidR="00EF0D3B" w:rsidRPr="000B56F5" w:rsidRDefault="00EF0D3B" w:rsidP="00112E25">
      <w:pPr>
        <w:rPr>
          <w:lang w:val="fr-CH"/>
        </w:rPr>
      </w:pPr>
    </w:p>
    <w:p w:rsidR="00EF0D3B" w:rsidRPr="000B56F5" w:rsidRDefault="00112E25" w:rsidP="00541D4A">
      <w:pPr>
        <w:keepNext/>
        <w:spacing w:after="120"/>
        <w:rPr>
          <w:rFonts w:cs="Arial"/>
          <w:lang w:val="fr-CH"/>
        </w:rPr>
      </w:pPr>
      <w:r w:rsidRPr="003A52F4">
        <w:rPr>
          <w:rFonts w:cs="Arial"/>
          <w:lang w:val="fr-CH"/>
        </w:rPr>
        <w:fldChar w:fldCharType="begin"/>
      </w:r>
      <w:r w:rsidRPr="003A52F4">
        <w:rPr>
          <w:rFonts w:cs="Arial"/>
          <w:lang w:val="fr-CH"/>
        </w:rPr>
        <w:instrText xml:space="preserve"> AUTONUM  </w:instrText>
      </w:r>
      <w:r w:rsidRPr="003A52F4">
        <w:rPr>
          <w:rFonts w:cs="Arial"/>
          <w:lang w:val="fr-CH"/>
        </w:rPr>
        <w:fldChar w:fldCharType="end"/>
      </w:r>
      <w:r w:rsidRPr="003A52F4">
        <w:rPr>
          <w:rFonts w:cs="Arial"/>
          <w:lang w:val="fr-CH"/>
        </w:rPr>
        <w:tab/>
      </w:r>
      <w:r w:rsidR="00541D4A" w:rsidRPr="003A52F4">
        <w:rPr>
          <w:rFonts w:cs="Arial"/>
          <w:lang w:val="fr-CH"/>
        </w:rPr>
        <w:t>Le présent document est structuré comme suit</w:t>
      </w:r>
      <w:r w:rsidR="00B1361A" w:rsidRPr="003A52F4">
        <w:rPr>
          <w:rFonts w:cs="Arial"/>
          <w:lang w:val="fr-CH"/>
        </w:rPr>
        <w:t> :</w:t>
      </w:r>
    </w:p>
    <w:p w:rsidR="008A4463" w:rsidRDefault="00226F0F">
      <w:pPr>
        <w:pStyle w:val="TOC1"/>
        <w:rPr>
          <w:rFonts w:asciiTheme="minorHAnsi" w:eastAsiaTheme="minorEastAsia" w:hAnsiTheme="minorHAnsi" w:cstheme="minorBidi"/>
          <w:caps w:val="0"/>
          <w:snapToGrid/>
          <w:color w:val="auto"/>
          <w:sz w:val="22"/>
          <w:szCs w:val="22"/>
          <w:lang w:val="en-US"/>
        </w:rPr>
      </w:pPr>
      <w:r w:rsidRPr="001B5E8F">
        <w:rPr>
          <w:rFonts w:cs="Arial"/>
          <w:bCs/>
          <w:caps w:val="0"/>
          <w:noProof w:val="0"/>
          <w:snapToGrid/>
          <w:color w:val="auto"/>
          <w:sz w:val="14"/>
        </w:rPr>
        <w:fldChar w:fldCharType="begin"/>
      </w:r>
      <w:r w:rsidRPr="001B5E8F">
        <w:rPr>
          <w:rFonts w:cs="Arial"/>
          <w:bCs/>
          <w:caps w:val="0"/>
          <w:noProof w:val="0"/>
          <w:snapToGrid/>
          <w:color w:val="auto"/>
          <w:sz w:val="14"/>
        </w:rPr>
        <w:instrText xml:space="preserve"> TOC \</w:instrText>
      </w:r>
      <w:r w:rsidR="001B5E8F" w:rsidRPr="001B5E8F">
        <w:rPr>
          <w:rFonts w:cs="Arial"/>
          <w:bCs/>
          <w:caps w:val="0"/>
          <w:noProof w:val="0"/>
          <w:snapToGrid/>
          <w:color w:val="auto"/>
          <w:sz w:val="14"/>
        </w:rPr>
        <w:instrText xml:space="preserve">b </w:instrText>
      </w:r>
      <w:r w:rsidR="001B5E8F">
        <w:rPr>
          <w:rFonts w:cs="Arial"/>
          <w:bCs/>
          <w:caps w:val="0"/>
          <w:noProof w:val="0"/>
          <w:snapToGrid/>
          <w:color w:val="auto"/>
          <w:sz w:val="14"/>
        </w:rPr>
        <w:instrText>PartOne</w:instrText>
      </w:r>
      <w:r w:rsidR="001B5E8F" w:rsidRPr="001B5E8F">
        <w:rPr>
          <w:rFonts w:cs="Arial"/>
          <w:bCs/>
          <w:caps w:val="0"/>
          <w:noProof w:val="0"/>
          <w:snapToGrid/>
          <w:color w:val="auto"/>
          <w:sz w:val="14"/>
        </w:rPr>
        <w:instrText>\</w:instrText>
      </w:r>
      <w:r w:rsidRPr="001B5E8F">
        <w:rPr>
          <w:rFonts w:cs="Arial"/>
          <w:bCs/>
          <w:caps w:val="0"/>
          <w:noProof w:val="0"/>
          <w:snapToGrid/>
          <w:color w:val="auto"/>
          <w:sz w:val="14"/>
        </w:rPr>
        <w:instrText xml:space="preserve">o "1-1" \p " " \h \z \u </w:instrText>
      </w:r>
      <w:r w:rsidRPr="001B5E8F">
        <w:rPr>
          <w:rFonts w:cs="Arial"/>
          <w:bCs/>
          <w:caps w:val="0"/>
          <w:noProof w:val="0"/>
          <w:snapToGrid/>
          <w:color w:val="auto"/>
          <w:sz w:val="14"/>
        </w:rPr>
        <w:fldChar w:fldCharType="separate"/>
      </w:r>
      <w:hyperlink w:anchor="_Toc54003644" w:history="1">
        <w:r w:rsidR="008A4463" w:rsidRPr="008D1D02">
          <w:rPr>
            <w:rStyle w:val="Hyperlink"/>
          </w:rPr>
          <w:t>Résumé</w:t>
        </w:r>
        <w:r w:rsidR="008A4463">
          <w:rPr>
            <w:webHidden/>
          </w:rPr>
          <w:t xml:space="preserve"> </w:t>
        </w:r>
        <w:r w:rsidR="008A4463">
          <w:rPr>
            <w:webHidden/>
          </w:rPr>
          <w:tab/>
        </w:r>
        <w:r w:rsidR="008A4463">
          <w:rPr>
            <w:webHidden/>
          </w:rPr>
          <w:fldChar w:fldCharType="begin"/>
        </w:r>
        <w:r w:rsidR="008A4463">
          <w:rPr>
            <w:webHidden/>
          </w:rPr>
          <w:instrText xml:space="preserve"> PAGEREF _Toc54003644 \h </w:instrText>
        </w:r>
        <w:r w:rsidR="008A4463">
          <w:rPr>
            <w:webHidden/>
          </w:rPr>
        </w:r>
        <w:r w:rsidR="008A4463">
          <w:rPr>
            <w:webHidden/>
          </w:rPr>
          <w:fldChar w:fldCharType="separate"/>
        </w:r>
        <w:r w:rsidR="008A4463">
          <w:rPr>
            <w:webHidden/>
          </w:rPr>
          <w:t>1</w:t>
        </w:r>
        <w:r w:rsidR="008A4463">
          <w:rPr>
            <w:webHidden/>
          </w:rPr>
          <w:fldChar w:fldCharType="end"/>
        </w:r>
      </w:hyperlink>
    </w:p>
    <w:p w:rsidR="008A4463" w:rsidRDefault="0006260D">
      <w:pPr>
        <w:pStyle w:val="TOC1"/>
        <w:rPr>
          <w:rFonts w:asciiTheme="minorHAnsi" w:eastAsiaTheme="minorEastAsia" w:hAnsiTheme="minorHAnsi" w:cstheme="minorBidi"/>
          <w:caps w:val="0"/>
          <w:snapToGrid/>
          <w:color w:val="auto"/>
          <w:sz w:val="22"/>
          <w:szCs w:val="22"/>
          <w:lang w:val="en-US"/>
        </w:rPr>
      </w:pPr>
      <w:hyperlink w:anchor="_Toc54003645" w:history="1">
        <w:r w:rsidR="008A4463" w:rsidRPr="008D1D02">
          <w:rPr>
            <w:rStyle w:val="Hyperlink"/>
          </w:rPr>
          <w:t>Informations générales</w:t>
        </w:r>
        <w:r w:rsidR="008A4463">
          <w:rPr>
            <w:webHidden/>
          </w:rPr>
          <w:t xml:space="preserve"> </w:t>
        </w:r>
        <w:r w:rsidR="008A4463">
          <w:rPr>
            <w:webHidden/>
          </w:rPr>
          <w:tab/>
        </w:r>
        <w:r w:rsidR="008A4463">
          <w:rPr>
            <w:webHidden/>
          </w:rPr>
          <w:fldChar w:fldCharType="begin"/>
        </w:r>
        <w:r w:rsidR="008A4463">
          <w:rPr>
            <w:webHidden/>
          </w:rPr>
          <w:instrText xml:space="preserve"> PAGEREF _Toc54003645 \h </w:instrText>
        </w:r>
        <w:r w:rsidR="008A4463">
          <w:rPr>
            <w:webHidden/>
          </w:rPr>
        </w:r>
        <w:r w:rsidR="008A4463">
          <w:rPr>
            <w:webHidden/>
          </w:rPr>
          <w:fldChar w:fldCharType="separate"/>
        </w:r>
        <w:r w:rsidR="008A4463">
          <w:rPr>
            <w:webHidden/>
          </w:rPr>
          <w:t>2</w:t>
        </w:r>
        <w:r w:rsidR="008A4463">
          <w:rPr>
            <w:webHidden/>
          </w:rPr>
          <w:fldChar w:fldCharType="end"/>
        </w:r>
      </w:hyperlink>
    </w:p>
    <w:p w:rsidR="008A4463" w:rsidRDefault="0006260D">
      <w:pPr>
        <w:pStyle w:val="TOC1"/>
        <w:rPr>
          <w:rFonts w:asciiTheme="minorHAnsi" w:eastAsiaTheme="minorEastAsia" w:hAnsiTheme="minorHAnsi" w:cstheme="minorBidi"/>
          <w:caps w:val="0"/>
          <w:snapToGrid/>
          <w:color w:val="auto"/>
          <w:sz w:val="22"/>
          <w:szCs w:val="22"/>
          <w:lang w:val="en-US"/>
        </w:rPr>
      </w:pPr>
      <w:hyperlink w:anchor="_Toc54003646" w:history="1">
        <w:r w:rsidR="008A4463" w:rsidRPr="008D1D02">
          <w:rPr>
            <w:rStyle w:val="Hyperlink"/>
          </w:rPr>
          <w:t>Faits nouveaux survenus à la dix-neuvième session du BMT</w:t>
        </w:r>
        <w:r w:rsidR="008A4463">
          <w:rPr>
            <w:webHidden/>
          </w:rPr>
          <w:t xml:space="preserve"> </w:t>
        </w:r>
        <w:r w:rsidR="008A4463">
          <w:rPr>
            <w:webHidden/>
          </w:rPr>
          <w:tab/>
        </w:r>
        <w:r w:rsidR="008A4463">
          <w:rPr>
            <w:webHidden/>
          </w:rPr>
          <w:fldChar w:fldCharType="begin"/>
        </w:r>
        <w:r w:rsidR="008A4463">
          <w:rPr>
            <w:webHidden/>
          </w:rPr>
          <w:instrText xml:space="preserve"> PAGEREF _Toc54003646 \h </w:instrText>
        </w:r>
        <w:r w:rsidR="008A4463">
          <w:rPr>
            <w:webHidden/>
          </w:rPr>
        </w:r>
        <w:r w:rsidR="008A4463">
          <w:rPr>
            <w:webHidden/>
          </w:rPr>
          <w:fldChar w:fldCharType="separate"/>
        </w:r>
        <w:r w:rsidR="008A4463">
          <w:rPr>
            <w:webHidden/>
          </w:rPr>
          <w:t>2</w:t>
        </w:r>
        <w:r w:rsidR="008A4463">
          <w:rPr>
            <w:webHidden/>
          </w:rPr>
          <w:fldChar w:fldCharType="end"/>
        </w:r>
      </w:hyperlink>
    </w:p>
    <w:p w:rsidR="008A4463" w:rsidRDefault="0006260D">
      <w:pPr>
        <w:pStyle w:val="TOC1"/>
        <w:rPr>
          <w:rFonts w:asciiTheme="minorHAnsi" w:eastAsiaTheme="minorEastAsia" w:hAnsiTheme="minorHAnsi" w:cstheme="minorBidi"/>
          <w:caps w:val="0"/>
          <w:snapToGrid/>
          <w:color w:val="auto"/>
          <w:sz w:val="22"/>
          <w:szCs w:val="22"/>
          <w:lang w:val="en-US"/>
        </w:rPr>
      </w:pPr>
      <w:hyperlink w:anchor="_Toc54003647" w:history="1">
        <w:r w:rsidR="008A4463" w:rsidRPr="008D1D02">
          <w:rPr>
            <w:rStyle w:val="Hyperlink"/>
          </w:rPr>
          <w:t>Prochaines étapes</w:t>
        </w:r>
        <w:r w:rsidR="008A4463">
          <w:rPr>
            <w:webHidden/>
          </w:rPr>
          <w:t xml:space="preserve"> </w:t>
        </w:r>
        <w:r w:rsidR="008A4463">
          <w:rPr>
            <w:webHidden/>
          </w:rPr>
          <w:tab/>
        </w:r>
        <w:r w:rsidR="008A4463">
          <w:rPr>
            <w:webHidden/>
          </w:rPr>
          <w:fldChar w:fldCharType="begin"/>
        </w:r>
        <w:r w:rsidR="008A4463">
          <w:rPr>
            <w:webHidden/>
          </w:rPr>
          <w:instrText xml:space="preserve"> PAGEREF _Toc54003647 \h </w:instrText>
        </w:r>
        <w:r w:rsidR="008A4463">
          <w:rPr>
            <w:webHidden/>
          </w:rPr>
        </w:r>
        <w:r w:rsidR="008A4463">
          <w:rPr>
            <w:webHidden/>
          </w:rPr>
          <w:fldChar w:fldCharType="separate"/>
        </w:r>
        <w:r w:rsidR="008A4463">
          <w:rPr>
            <w:webHidden/>
          </w:rPr>
          <w:t>2</w:t>
        </w:r>
        <w:r w:rsidR="008A4463">
          <w:rPr>
            <w:webHidden/>
          </w:rPr>
          <w:fldChar w:fldCharType="end"/>
        </w:r>
      </w:hyperlink>
    </w:p>
    <w:p w:rsidR="00EF0D3B" w:rsidRPr="001B5E8F" w:rsidRDefault="00226F0F" w:rsidP="00226F0F">
      <w:pPr>
        <w:pStyle w:val="TOC1"/>
        <w:rPr>
          <w:caps w:val="0"/>
        </w:rPr>
      </w:pPr>
      <w:r w:rsidRPr="001B5E8F">
        <w:rPr>
          <w:caps w:val="0"/>
          <w:noProof w:val="0"/>
          <w:snapToGrid/>
        </w:rPr>
        <w:fldChar w:fldCharType="end"/>
      </w:r>
    </w:p>
    <w:p w:rsidR="00EF0D3B" w:rsidRPr="000B56F5" w:rsidRDefault="00541D4A" w:rsidP="00226F0F">
      <w:pPr>
        <w:pStyle w:val="TOC1"/>
      </w:pPr>
      <w:r w:rsidRPr="000B56F5">
        <w:t>ANNEXE</w:t>
      </w:r>
      <w:r w:rsidR="00B1361A" w:rsidRPr="000B56F5">
        <w:t> :</w:t>
      </w:r>
      <w:r w:rsidR="00DF1A3F" w:rsidRPr="000B56F5">
        <w:t xml:space="preserve"> </w:t>
      </w:r>
      <w:r w:rsidRPr="000B56F5">
        <w:t>Proposition</w:t>
      </w:r>
      <w:r w:rsidR="00F874D0" w:rsidRPr="000B56F5">
        <w:t xml:space="preserve"> du BMT</w:t>
      </w:r>
      <w:r w:rsidRPr="000B56F5">
        <w:t xml:space="preserve"> concernant la révision du </w:t>
      </w:r>
      <w:r w:rsidR="00B1361A" w:rsidRPr="000B56F5">
        <w:t>document UP</w:t>
      </w:r>
      <w:r w:rsidRPr="000B56F5">
        <w:t>OV/INF/17</w:t>
      </w:r>
    </w:p>
    <w:p w:rsidR="00EF0D3B" w:rsidRPr="000B56F5" w:rsidRDefault="00EF0D3B" w:rsidP="00112E25">
      <w:pPr>
        <w:keepNext/>
        <w:spacing w:before="60"/>
        <w:rPr>
          <w:sz w:val="18"/>
          <w:lang w:val="fr-CH"/>
        </w:rPr>
      </w:pPr>
    </w:p>
    <w:p w:rsidR="00EF0D3B" w:rsidRPr="000B56F5" w:rsidRDefault="00112E25" w:rsidP="00541D4A">
      <w:pPr>
        <w:keepNext/>
        <w:rPr>
          <w:rFonts w:cs="Arial"/>
          <w:lang w:val="fr-CH"/>
        </w:rPr>
      </w:pPr>
      <w:r w:rsidRPr="000B56F5">
        <w:rPr>
          <w:rFonts w:cs="Arial"/>
          <w:lang w:val="fr-CH"/>
        </w:rPr>
        <w:fldChar w:fldCharType="begin"/>
      </w:r>
      <w:r w:rsidRPr="000B56F5">
        <w:rPr>
          <w:rFonts w:cs="Arial"/>
          <w:lang w:val="fr-CH"/>
        </w:rPr>
        <w:instrText xml:space="preserve"> AUTONUM  </w:instrText>
      </w:r>
      <w:r w:rsidRPr="000B56F5">
        <w:rPr>
          <w:rFonts w:cs="Arial"/>
          <w:lang w:val="fr-CH"/>
        </w:rPr>
        <w:fldChar w:fldCharType="end"/>
      </w:r>
      <w:r w:rsidRPr="000B56F5">
        <w:rPr>
          <w:rFonts w:cs="Arial"/>
          <w:lang w:val="fr-CH"/>
        </w:rPr>
        <w:tab/>
      </w:r>
      <w:r w:rsidR="00541D4A" w:rsidRPr="000B56F5">
        <w:rPr>
          <w:rFonts w:cs="Arial"/>
          <w:lang w:val="fr-CH"/>
        </w:rPr>
        <w:t>Les abréviations suivantes sont utilisées dans le présent document</w:t>
      </w:r>
      <w:r w:rsidR="00B1361A" w:rsidRPr="000B56F5">
        <w:rPr>
          <w:rFonts w:cs="Arial"/>
          <w:lang w:val="fr-CH"/>
        </w:rPr>
        <w:t> :</w:t>
      </w:r>
    </w:p>
    <w:p w:rsidR="00EF0D3B" w:rsidRPr="000B56F5" w:rsidRDefault="00EF0D3B" w:rsidP="00112E25">
      <w:pPr>
        <w:jc w:val="left"/>
        <w:rPr>
          <w:rFonts w:cs="Arial"/>
          <w:lang w:val="fr-CH"/>
        </w:rPr>
      </w:pPr>
      <w:bookmarkStart w:id="6" w:name="_Toc352678045"/>
      <w:bookmarkStart w:id="7" w:name="_Toc353797725"/>
      <w:bookmarkStart w:id="8" w:name="_Toc386185970"/>
      <w:bookmarkStart w:id="9" w:name="_Toc419124858"/>
    </w:p>
    <w:p w:rsidR="00F874D0" w:rsidRPr="000B56F5" w:rsidRDefault="00112E25" w:rsidP="00541D4A">
      <w:pPr>
        <w:tabs>
          <w:tab w:val="left" w:pos="567"/>
          <w:tab w:val="left" w:pos="1701"/>
        </w:tabs>
        <w:rPr>
          <w:lang w:val="fr-CH"/>
        </w:rPr>
      </w:pPr>
      <w:r w:rsidRPr="000B56F5">
        <w:rPr>
          <w:lang w:val="fr-CH"/>
        </w:rPr>
        <w:tab/>
      </w:r>
      <w:r w:rsidR="00541D4A" w:rsidRPr="000B56F5">
        <w:rPr>
          <w:lang w:val="fr-CH"/>
        </w:rPr>
        <w:t>BMT</w:t>
      </w:r>
      <w:r w:rsidR="00B1361A" w:rsidRPr="000B56F5">
        <w:rPr>
          <w:lang w:val="fr-CH"/>
        </w:rPr>
        <w:t> :</w:t>
      </w:r>
      <w:r w:rsidR="00541D4A" w:rsidRPr="000B56F5">
        <w:rPr>
          <w:lang w:val="fr-CH"/>
        </w:rPr>
        <w:t xml:space="preserve"> </w:t>
      </w:r>
      <w:r w:rsidR="00541D4A" w:rsidRPr="000B56F5">
        <w:rPr>
          <w:lang w:val="fr-CH"/>
        </w:rPr>
        <w:tab/>
        <w:t xml:space="preserve">Groupe de travail sur les techniques biochimiques et moléculaires, notamment les profils </w:t>
      </w:r>
      <w:r w:rsidR="00AB5F0F">
        <w:rPr>
          <w:lang w:val="fr-CH"/>
        </w:rPr>
        <w:tab/>
      </w:r>
      <w:r w:rsidR="00AB5F0F">
        <w:rPr>
          <w:lang w:val="fr-CH"/>
        </w:rPr>
        <w:tab/>
      </w:r>
      <w:r w:rsidR="00AB5F0F">
        <w:rPr>
          <w:lang w:val="fr-CH"/>
        </w:rPr>
        <w:tab/>
      </w:r>
      <w:r w:rsidR="00541D4A" w:rsidRPr="000B56F5">
        <w:rPr>
          <w:lang w:val="fr-CH"/>
        </w:rPr>
        <w:t>d</w:t>
      </w:r>
      <w:r w:rsidR="00B1361A" w:rsidRPr="000B56F5">
        <w:rPr>
          <w:lang w:val="fr-CH"/>
        </w:rPr>
        <w:t>’</w:t>
      </w:r>
      <w:r w:rsidR="00541D4A" w:rsidRPr="000B56F5">
        <w:rPr>
          <w:lang w:val="fr-CH"/>
        </w:rPr>
        <w:t>ADN</w:t>
      </w:r>
    </w:p>
    <w:p w:rsidR="00F874D0" w:rsidRPr="000B56F5" w:rsidRDefault="006C1F7B" w:rsidP="006C1F7B">
      <w:pPr>
        <w:keepNext/>
        <w:tabs>
          <w:tab w:val="left" w:pos="567"/>
          <w:tab w:val="left" w:pos="1701"/>
        </w:tabs>
        <w:ind w:left="567"/>
        <w:rPr>
          <w:rFonts w:eastAsiaTheme="minorEastAsia"/>
          <w:lang w:val="fr-CH"/>
        </w:rPr>
      </w:pPr>
      <w:r w:rsidRPr="000B56F5">
        <w:rPr>
          <w:rFonts w:eastAsiaTheme="minorEastAsia"/>
          <w:lang w:val="fr-CH"/>
        </w:rPr>
        <w:t>CAJ</w:t>
      </w:r>
      <w:r w:rsidR="00B1361A" w:rsidRPr="000B56F5">
        <w:rPr>
          <w:rFonts w:eastAsiaTheme="minorEastAsia"/>
          <w:lang w:val="fr-CH"/>
        </w:rPr>
        <w:t> :</w:t>
      </w:r>
      <w:r w:rsidR="00DF1A3F" w:rsidRPr="000B56F5">
        <w:rPr>
          <w:rFonts w:eastAsiaTheme="minorEastAsia"/>
          <w:lang w:val="fr-CH"/>
        </w:rPr>
        <w:t xml:space="preserve"> </w:t>
      </w:r>
      <w:r w:rsidRPr="000B56F5">
        <w:rPr>
          <w:rFonts w:eastAsiaTheme="minorEastAsia"/>
          <w:lang w:val="fr-CH"/>
        </w:rPr>
        <w:tab/>
        <w:t>Comité administratif et juridique</w:t>
      </w:r>
    </w:p>
    <w:p w:rsidR="00F874D0" w:rsidRPr="000B56F5" w:rsidRDefault="00112E25" w:rsidP="006C1F7B">
      <w:pPr>
        <w:keepNext/>
        <w:tabs>
          <w:tab w:val="left" w:pos="567"/>
          <w:tab w:val="left" w:pos="1701"/>
        </w:tabs>
        <w:rPr>
          <w:rFonts w:eastAsia="PMingLiU"/>
          <w:szCs w:val="24"/>
          <w:lang w:val="fr-CH"/>
        </w:rPr>
      </w:pPr>
      <w:r w:rsidRPr="000B56F5">
        <w:rPr>
          <w:rFonts w:eastAsia="PMingLiU"/>
          <w:szCs w:val="24"/>
          <w:lang w:val="fr-CH"/>
        </w:rPr>
        <w:tab/>
      </w:r>
      <w:r w:rsidR="006C1F7B" w:rsidRPr="000B56F5">
        <w:rPr>
          <w:rFonts w:eastAsia="PMingLiU"/>
          <w:szCs w:val="24"/>
          <w:lang w:val="fr-CH"/>
        </w:rPr>
        <w:t>TC</w:t>
      </w:r>
      <w:r w:rsidR="00B1361A" w:rsidRPr="000B56F5">
        <w:rPr>
          <w:rFonts w:eastAsia="PMingLiU"/>
          <w:szCs w:val="24"/>
          <w:lang w:val="fr-CH"/>
        </w:rPr>
        <w:t> :</w:t>
      </w:r>
      <w:r w:rsidR="00DF1A3F" w:rsidRPr="000B56F5">
        <w:rPr>
          <w:rFonts w:eastAsia="PMingLiU"/>
          <w:szCs w:val="24"/>
          <w:lang w:val="fr-CH"/>
        </w:rPr>
        <w:t xml:space="preserve"> </w:t>
      </w:r>
      <w:r w:rsidR="006C1F7B" w:rsidRPr="000B56F5">
        <w:rPr>
          <w:rFonts w:eastAsia="PMingLiU"/>
          <w:szCs w:val="24"/>
          <w:lang w:val="fr-CH"/>
        </w:rPr>
        <w:tab/>
        <w:t>Comité technique</w:t>
      </w:r>
    </w:p>
    <w:p w:rsidR="00EF0D3B" w:rsidRPr="000B56F5" w:rsidRDefault="00112E25" w:rsidP="006C1F7B">
      <w:pPr>
        <w:keepNext/>
        <w:tabs>
          <w:tab w:val="left" w:pos="567"/>
          <w:tab w:val="left" w:pos="1701"/>
        </w:tabs>
        <w:rPr>
          <w:rFonts w:eastAsia="PMingLiU"/>
          <w:szCs w:val="24"/>
          <w:lang w:val="fr-CH"/>
        </w:rPr>
      </w:pPr>
      <w:r w:rsidRPr="000B56F5">
        <w:rPr>
          <w:rFonts w:eastAsia="PMingLiU"/>
          <w:szCs w:val="24"/>
          <w:lang w:val="fr-CH"/>
        </w:rPr>
        <w:tab/>
      </w:r>
      <w:r w:rsidR="006C1F7B" w:rsidRPr="000B56F5">
        <w:rPr>
          <w:rFonts w:eastAsia="PMingLiU"/>
          <w:szCs w:val="24"/>
          <w:lang w:val="fr-CH"/>
        </w:rPr>
        <w:t>TWA</w:t>
      </w:r>
      <w:r w:rsidR="00B1361A" w:rsidRPr="000B56F5">
        <w:rPr>
          <w:rFonts w:eastAsia="PMingLiU"/>
          <w:szCs w:val="24"/>
          <w:lang w:val="fr-CH"/>
        </w:rPr>
        <w:t> :</w:t>
      </w:r>
      <w:r w:rsidR="006C1F7B" w:rsidRPr="000B56F5">
        <w:rPr>
          <w:rFonts w:eastAsia="PMingLiU"/>
          <w:szCs w:val="24"/>
          <w:lang w:val="fr-CH"/>
        </w:rPr>
        <w:t xml:space="preserve"> </w:t>
      </w:r>
      <w:r w:rsidR="006C1F7B" w:rsidRPr="000B56F5">
        <w:rPr>
          <w:rFonts w:eastAsia="PMingLiU"/>
          <w:szCs w:val="24"/>
          <w:lang w:val="fr-CH"/>
        </w:rPr>
        <w:tab/>
        <w:t>Groupe de travail technique sur les plantes agricoles</w:t>
      </w:r>
    </w:p>
    <w:p w:rsidR="00EF0D3B" w:rsidRPr="000B56F5" w:rsidRDefault="00112E25" w:rsidP="006C1F7B">
      <w:pPr>
        <w:keepNext/>
        <w:tabs>
          <w:tab w:val="left" w:pos="567"/>
          <w:tab w:val="left" w:pos="1701"/>
        </w:tabs>
        <w:rPr>
          <w:rFonts w:eastAsia="PMingLiU"/>
          <w:szCs w:val="24"/>
          <w:lang w:val="fr-CH"/>
        </w:rPr>
      </w:pPr>
      <w:r w:rsidRPr="000B56F5">
        <w:rPr>
          <w:rFonts w:eastAsia="PMingLiU"/>
          <w:szCs w:val="24"/>
          <w:lang w:val="fr-CH"/>
        </w:rPr>
        <w:tab/>
      </w:r>
      <w:r w:rsidR="006C1F7B" w:rsidRPr="000B56F5">
        <w:rPr>
          <w:rFonts w:eastAsia="PMingLiU"/>
          <w:szCs w:val="24"/>
          <w:lang w:val="fr-CH"/>
        </w:rPr>
        <w:t>TWC</w:t>
      </w:r>
      <w:r w:rsidR="00B1361A" w:rsidRPr="000B56F5">
        <w:rPr>
          <w:rFonts w:eastAsia="PMingLiU"/>
          <w:szCs w:val="24"/>
          <w:lang w:val="fr-CH"/>
        </w:rPr>
        <w:t> :</w:t>
      </w:r>
      <w:r w:rsidR="006C1F7B" w:rsidRPr="000B56F5">
        <w:rPr>
          <w:rFonts w:eastAsia="PMingLiU"/>
          <w:szCs w:val="24"/>
          <w:lang w:val="fr-CH"/>
        </w:rPr>
        <w:t xml:space="preserve"> </w:t>
      </w:r>
      <w:r w:rsidR="006C1F7B" w:rsidRPr="000B56F5">
        <w:rPr>
          <w:rFonts w:eastAsia="PMingLiU"/>
          <w:szCs w:val="24"/>
          <w:lang w:val="fr-CH"/>
        </w:rPr>
        <w:tab/>
        <w:t>Groupe de travail technique sur les systèmes d</w:t>
      </w:r>
      <w:r w:rsidR="00B1361A" w:rsidRPr="000B56F5">
        <w:rPr>
          <w:rFonts w:eastAsia="PMingLiU"/>
          <w:szCs w:val="24"/>
          <w:lang w:val="fr-CH"/>
        </w:rPr>
        <w:t>’</w:t>
      </w:r>
      <w:r w:rsidR="006C1F7B" w:rsidRPr="000B56F5">
        <w:rPr>
          <w:rFonts w:eastAsia="PMingLiU"/>
          <w:szCs w:val="24"/>
          <w:lang w:val="fr-CH"/>
        </w:rPr>
        <w:t xml:space="preserve">automatisation et les programmes </w:t>
      </w:r>
      <w:r w:rsidR="00AB5F0F">
        <w:rPr>
          <w:rFonts w:eastAsia="PMingLiU"/>
          <w:szCs w:val="24"/>
          <w:lang w:val="fr-CH"/>
        </w:rPr>
        <w:tab/>
      </w:r>
      <w:r w:rsidR="00AB5F0F">
        <w:rPr>
          <w:rFonts w:eastAsia="PMingLiU"/>
          <w:szCs w:val="24"/>
          <w:lang w:val="fr-CH"/>
        </w:rPr>
        <w:tab/>
      </w:r>
      <w:r w:rsidR="00AB5F0F">
        <w:rPr>
          <w:rFonts w:eastAsia="PMingLiU"/>
          <w:szCs w:val="24"/>
          <w:lang w:val="fr-CH"/>
        </w:rPr>
        <w:tab/>
      </w:r>
      <w:r w:rsidR="006C1F7B" w:rsidRPr="000B56F5">
        <w:rPr>
          <w:rFonts w:eastAsia="PMingLiU"/>
          <w:szCs w:val="24"/>
          <w:lang w:val="fr-CH"/>
        </w:rPr>
        <w:t>d</w:t>
      </w:r>
      <w:r w:rsidR="00B1361A" w:rsidRPr="000B56F5">
        <w:rPr>
          <w:rFonts w:eastAsia="PMingLiU"/>
          <w:szCs w:val="24"/>
          <w:lang w:val="fr-CH"/>
        </w:rPr>
        <w:t>’</w:t>
      </w:r>
      <w:r w:rsidR="006C1F7B" w:rsidRPr="000B56F5">
        <w:rPr>
          <w:rFonts w:eastAsia="PMingLiU"/>
          <w:szCs w:val="24"/>
          <w:lang w:val="fr-CH"/>
        </w:rPr>
        <w:t>ordinateur</w:t>
      </w:r>
    </w:p>
    <w:p w:rsidR="00EF0D3B" w:rsidRPr="000B56F5" w:rsidRDefault="00112E25" w:rsidP="006C1F7B">
      <w:pPr>
        <w:keepNext/>
        <w:tabs>
          <w:tab w:val="left" w:pos="567"/>
          <w:tab w:val="left" w:pos="1701"/>
        </w:tabs>
        <w:rPr>
          <w:rFonts w:eastAsia="PMingLiU"/>
          <w:szCs w:val="24"/>
          <w:lang w:val="fr-CH"/>
        </w:rPr>
      </w:pPr>
      <w:r w:rsidRPr="000B56F5">
        <w:rPr>
          <w:rFonts w:eastAsia="PMingLiU"/>
          <w:szCs w:val="24"/>
          <w:lang w:val="fr-CH"/>
        </w:rPr>
        <w:tab/>
      </w:r>
      <w:r w:rsidR="006C1F7B" w:rsidRPr="000B56F5">
        <w:rPr>
          <w:rFonts w:eastAsia="PMingLiU"/>
          <w:szCs w:val="24"/>
          <w:lang w:val="fr-CH"/>
        </w:rPr>
        <w:t>TWF</w:t>
      </w:r>
      <w:r w:rsidR="00B1361A" w:rsidRPr="000B56F5">
        <w:rPr>
          <w:rFonts w:eastAsia="PMingLiU"/>
          <w:szCs w:val="24"/>
          <w:lang w:val="fr-CH"/>
        </w:rPr>
        <w:t> :</w:t>
      </w:r>
      <w:r w:rsidR="006C1F7B" w:rsidRPr="000B56F5">
        <w:rPr>
          <w:rFonts w:eastAsia="PMingLiU"/>
          <w:szCs w:val="24"/>
          <w:lang w:val="fr-CH"/>
        </w:rPr>
        <w:t xml:space="preserve"> </w:t>
      </w:r>
      <w:r w:rsidR="006C1F7B" w:rsidRPr="000B56F5">
        <w:rPr>
          <w:rFonts w:eastAsia="PMingLiU"/>
          <w:szCs w:val="24"/>
          <w:lang w:val="fr-CH"/>
        </w:rPr>
        <w:tab/>
        <w:t>Groupe de travail technique sur les plantes fruitières</w:t>
      </w:r>
    </w:p>
    <w:p w:rsidR="00EF0D3B" w:rsidRPr="000B56F5" w:rsidRDefault="00112E25" w:rsidP="006C1F7B">
      <w:pPr>
        <w:keepNext/>
        <w:tabs>
          <w:tab w:val="left" w:pos="567"/>
          <w:tab w:val="left" w:pos="1701"/>
        </w:tabs>
        <w:rPr>
          <w:rFonts w:eastAsia="PMingLiU"/>
          <w:szCs w:val="24"/>
          <w:lang w:val="fr-CH"/>
        </w:rPr>
      </w:pPr>
      <w:r w:rsidRPr="000B56F5">
        <w:rPr>
          <w:rFonts w:eastAsia="PMingLiU"/>
          <w:szCs w:val="24"/>
          <w:lang w:val="fr-CH"/>
        </w:rPr>
        <w:tab/>
      </w:r>
      <w:r w:rsidR="006C1F7B" w:rsidRPr="000B56F5">
        <w:rPr>
          <w:rFonts w:eastAsia="PMingLiU"/>
          <w:szCs w:val="24"/>
          <w:lang w:val="fr-CH"/>
        </w:rPr>
        <w:t>TWO</w:t>
      </w:r>
      <w:r w:rsidR="00B1361A" w:rsidRPr="000B56F5">
        <w:rPr>
          <w:rFonts w:eastAsia="PMingLiU"/>
          <w:szCs w:val="24"/>
          <w:lang w:val="fr-CH"/>
        </w:rPr>
        <w:t> :</w:t>
      </w:r>
      <w:r w:rsidR="006C1F7B" w:rsidRPr="000B56F5">
        <w:rPr>
          <w:rFonts w:eastAsia="PMingLiU"/>
          <w:szCs w:val="24"/>
          <w:lang w:val="fr-CH"/>
        </w:rPr>
        <w:t xml:space="preserve"> </w:t>
      </w:r>
      <w:r w:rsidR="006C1F7B" w:rsidRPr="000B56F5">
        <w:rPr>
          <w:rFonts w:eastAsia="PMingLiU"/>
          <w:szCs w:val="24"/>
          <w:lang w:val="fr-CH"/>
        </w:rPr>
        <w:tab/>
        <w:t>Groupe de travail technique sur les plantes ornementales et les arbres forestiers</w:t>
      </w:r>
    </w:p>
    <w:p w:rsidR="00EF0D3B" w:rsidRPr="000B56F5" w:rsidRDefault="00112E25" w:rsidP="006C1F7B">
      <w:pPr>
        <w:keepNext/>
        <w:tabs>
          <w:tab w:val="left" w:pos="567"/>
          <w:tab w:val="left" w:pos="1701"/>
        </w:tabs>
        <w:rPr>
          <w:rFonts w:eastAsia="PMingLiU"/>
          <w:szCs w:val="24"/>
          <w:lang w:val="fr-CH"/>
        </w:rPr>
      </w:pPr>
      <w:r w:rsidRPr="000B56F5">
        <w:rPr>
          <w:rFonts w:eastAsia="PMingLiU"/>
          <w:szCs w:val="24"/>
          <w:lang w:val="fr-CH"/>
        </w:rPr>
        <w:tab/>
      </w:r>
      <w:r w:rsidR="006C1F7B" w:rsidRPr="000B56F5">
        <w:rPr>
          <w:rFonts w:eastAsia="PMingLiU"/>
          <w:szCs w:val="24"/>
          <w:lang w:val="fr-CH"/>
        </w:rPr>
        <w:t>TWP</w:t>
      </w:r>
      <w:r w:rsidR="00B1361A" w:rsidRPr="000B56F5">
        <w:rPr>
          <w:rFonts w:eastAsia="PMingLiU"/>
          <w:szCs w:val="24"/>
          <w:lang w:val="fr-CH"/>
        </w:rPr>
        <w:t> :</w:t>
      </w:r>
      <w:r w:rsidR="006C1F7B" w:rsidRPr="000B56F5">
        <w:rPr>
          <w:rFonts w:eastAsia="PMingLiU"/>
          <w:szCs w:val="24"/>
          <w:lang w:val="fr-CH"/>
        </w:rPr>
        <w:t xml:space="preserve"> </w:t>
      </w:r>
      <w:r w:rsidR="006C1F7B" w:rsidRPr="000B56F5">
        <w:rPr>
          <w:rFonts w:eastAsia="PMingLiU"/>
          <w:szCs w:val="24"/>
          <w:lang w:val="fr-CH"/>
        </w:rPr>
        <w:tab/>
      </w:r>
      <w:r w:rsidR="006C1F7B" w:rsidRPr="000B56F5">
        <w:rPr>
          <w:rFonts w:eastAsia="PMingLiU"/>
          <w:szCs w:val="24"/>
          <w:lang w:val="fr-CH"/>
        </w:rPr>
        <w:tab/>
        <w:t>Groupe(s) de travail technique(s)</w:t>
      </w:r>
    </w:p>
    <w:p w:rsidR="00EF0D3B" w:rsidRPr="000B56F5" w:rsidRDefault="00112E25" w:rsidP="006C1F7B">
      <w:pPr>
        <w:tabs>
          <w:tab w:val="left" w:pos="567"/>
          <w:tab w:val="left" w:pos="1701"/>
        </w:tabs>
        <w:rPr>
          <w:rFonts w:eastAsiaTheme="minorEastAsia"/>
          <w:lang w:val="fr-CH"/>
        </w:rPr>
      </w:pPr>
      <w:r w:rsidRPr="000B56F5">
        <w:rPr>
          <w:rFonts w:eastAsiaTheme="minorEastAsia"/>
          <w:lang w:val="fr-CH"/>
        </w:rPr>
        <w:tab/>
      </w:r>
      <w:r w:rsidR="006C1F7B" w:rsidRPr="000B56F5">
        <w:rPr>
          <w:rFonts w:eastAsiaTheme="minorEastAsia"/>
          <w:lang w:val="fr-CH"/>
        </w:rPr>
        <w:t>TWV</w:t>
      </w:r>
      <w:r w:rsidR="00B1361A" w:rsidRPr="000B56F5">
        <w:rPr>
          <w:rFonts w:eastAsiaTheme="minorEastAsia"/>
          <w:lang w:val="fr-CH"/>
        </w:rPr>
        <w:t> :</w:t>
      </w:r>
      <w:r w:rsidR="006C1F7B" w:rsidRPr="000B56F5">
        <w:rPr>
          <w:rFonts w:eastAsiaTheme="minorEastAsia"/>
          <w:lang w:val="fr-CH"/>
        </w:rPr>
        <w:t xml:space="preserve"> </w:t>
      </w:r>
      <w:r w:rsidR="006C1F7B" w:rsidRPr="000B56F5">
        <w:rPr>
          <w:rFonts w:eastAsiaTheme="minorEastAsia"/>
          <w:lang w:val="fr-CH"/>
        </w:rPr>
        <w:tab/>
        <w:t>Groupe de travail technique sur les plantes potagères</w:t>
      </w:r>
    </w:p>
    <w:p w:rsidR="00EF0D3B" w:rsidRPr="000B56F5" w:rsidRDefault="00EF0D3B" w:rsidP="00112E25">
      <w:pPr>
        <w:jc w:val="left"/>
        <w:rPr>
          <w:rFonts w:cs="Arial"/>
          <w:lang w:val="fr-CH"/>
        </w:rPr>
      </w:pPr>
    </w:p>
    <w:p w:rsidR="00EF0D3B" w:rsidRPr="000B56F5" w:rsidRDefault="006C1F7B" w:rsidP="006C1F7B">
      <w:pPr>
        <w:keepNext/>
        <w:keepLines/>
        <w:outlineLvl w:val="0"/>
        <w:rPr>
          <w:caps/>
          <w:lang w:val="fr-CH"/>
        </w:rPr>
      </w:pPr>
      <w:bookmarkStart w:id="10" w:name="_Toc54003645"/>
      <w:bookmarkStart w:id="11" w:name="_Toc54004667"/>
      <w:bookmarkEnd w:id="6"/>
      <w:bookmarkEnd w:id="7"/>
      <w:bookmarkEnd w:id="8"/>
      <w:bookmarkEnd w:id="9"/>
      <w:r w:rsidRPr="000B56F5">
        <w:rPr>
          <w:caps/>
          <w:lang w:val="fr-CH"/>
        </w:rPr>
        <w:lastRenderedPageBreak/>
        <w:t>Informations générales</w:t>
      </w:r>
      <w:bookmarkEnd w:id="10"/>
      <w:bookmarkEnd w:id="11"/>
    </w:p>
    <w:p w:rsidR="00EF0D3B" w:rsidRPr="000B56F5" w:rsidRDefault="00EF0D3B" w:rsidP="00112E25">
      <w:pPr>
        <w:keepNext/>
        <w:rPr>
          <w:lang w:val="fr-CH"/>
        </w:rPr>
      </w:pPr>
    </w:p>
    <w:p w:rsidR="00EF0D3B" w:rsidRPr="000B56F5" w:rsidRDefault="00112E25" w:rsidP="006C1F7B">
      <w:pPr>
        <w:keepNext/>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6C1F7B" w:rsidRPr="000B56F5">
        <w:rPr>
          <w:lang w:val="fr-CH"/>
        </w:rPr>
        <w:t xml:space="preserve">Les informations générales sur cette question sont fournies dans le </w:t>
      </w:r>
      <w:r w:rsidR="00B1361A" w:rsidRPr="000B56F5">
        <w:rPr>
          <w:lang w:val="fr-CH"/>
        </w:rPr>
        <w:t>document TC</w:t>
      </w:r>
      <w:r w:rsidR="006C1F7B" w:rsidRPr="000B56F5">
        <w:rPr>
          <w:lang w:val="fr-CH"/>
        </w:rPr>
        <w:t>/55/7 “Techniques moléculaires”.</w:t>
      </w:r>
    </w:p>
    <w:p w:rsidR="00EF0D3B" w:rsidRPr="000B56F5" w:rsidRDefault="00EF0D3B" w:rsidP="00112E25">
      <w:pPr>
        <w:keepNext/>
        <w:rPr>
          <w:lang w:val="fr-CH"/>
        </w:rPr>
      </w:pPr>
    </w:p>
    <w:p w:rsidR="00EF0D3B" w:rsidRPr="000B56F5" w:rsidRDefault="00112E25" w:rsidP="006C1F7B">
      <w:pPr>
        <w:keepNext/>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6C1F7B" w:rsidRPr="000B56F5">
        <w:rPr>
          <w:lang w:val="fr-CH"/>
        </w:rPr>
        <w:t>À sa cinquante</w:t>
      </w:r>
      <w:r w:rsidR="00B1361A" w:rsidRPr="000B56F5">
        <w:rPr>
          <w:lang w:val="fr-CH"/>
        </w:rPr>
        <w:t>-</w:t>
      </w:r>
      <w:r w:rsidR="006C1F7B" w:rsidRPr="000B56F5">
        <w:rPr>
          <w:lang w:val="fr-CH"/>
        </w:rPr>
        <w:t>cinqu</w:t>
      </w:r>
      <w:r w:rsidR="00B1361A" w:rsidRPr="000B56F5">
        <w:rPr>
          <w:lang w:val="fr-CH"/>
        </w:rPr>
        <w:t>ième session</w:t>
      </w:r>
      <w:r w:rsidR="00F56BEA" w:rsidRPr="000B56F5">
        <w:rPr>
          <w:rStyle w:val="FootnoteReference"/>
          <w:lang w:val="fr-CH"/>
        </w:rPr>
        <w:footnoteReference w:id="2"/>
      </w:r>
      <w:r w:rsidR="00F56BEA" w:rsidRPr="000B56F5">
        <w:rPr>
          <w:lang w:val="fr-CH"/>
        </w:rPr>
        <w:t>,</w:t>
      </w:r>
      <w:r w:rsidR="006C1F7B" w:rsidRPr="000B56F5">
        <w:rPr>
          <w:lang w:val="fr-CH"/>
        </w:rPr>
        <w:t xml:space="preserve"> le</w:t>
      </w:r>
      <w:r w:rsidR="00B1361A" w:rsidRPr="000B56F5">
        <w:rPr>
          <w:lang w:val="fr-CH"/>
        </w:rPr>
        <w:t> TC</w:t>
      </w:r>
      <w:r w:rsidR="006C1F7B" w:rsidRPr="000B56F5">
        <w:rPr>
          <w:lang w:val="fr-CH"/>
        </w:rPr>
        <w:t xml:space="preserve"> a approuvé la proposition présentée par</w:t>
      </w:r>
      <w:r w:rsidR="00F874D0" w:rsidRPr="000B56F5">
        <w:rPr>
          <w:lang w:val="fr-CH"/>
        </w:rPr>
        <w:t xml:space="preserve"> le BMT</w:t>
      </w:r>
      <w:r w:rsidR="006C1F7B" w:rsidRPr="000B56F5">
        <w:rPr>
          <w:lang w:val="fr-CH"/>
        </w:rPr>
        <w:t>, à sa dix</w:t>
      </w:r>
      <w:r w:rsidR="00712576">
        <w:rPr>
          <w:lang w:val="fr-CH"/>
        </w:rPr>
        <w:noBreakHyphen/>
      </w:r>
      <w:r w:rsidR="006C1F7B" w:rsidRPr="000B56F5">
        <w:rPr>
          <w:lang w:val="fr-CH"/>
        </w:rPr>
        <w:t>huit</w:t>
      </w:r>
      <w:r w:rsidR="00B1361A" w:rsidRPr="000B56F5">
        <w:rPr>
          <w:lang w:val="fr-CH"/>
        </w:rPr>
        <w:t>ième session</w:t>
      </w:r>
      <w:r w:rsidR="006C1F7B" w:rsidRPr="000B56F5">
        <w:rPr>
          <w:rStyle w:val="FootnoteReference"/>
          <w:lang w:val="fr-CH"/>
        </w:rPr>
        <w:footnoteReference w:id="3"/>
      </w:r>
      <w:r w:rsidR="006C1F7B" w:rsidRPr="000B56F5">
        <w:rPr>
          <w:lang w:val="fr-CH"/>
        </w:rPr>
        <w:t>, de demander à la France, aux Pays</w:t>
      </w:r>
      <w:r w:rsidR="00B1361A" w:rsidRPr="000B56F5">
        <w:rPr>
          <w:lang w:val="fr-CH"/>
        </w:rPr>
        <w:t>-</w:t>
      </w:r>
      <w:r w:rsidR="006C1F7B" w:rsidRPr="000B56F5">
        <w:rPr>
          <w:lang w:val="fr-CH"/>
        </w:rPr>
        <w:t>Bas et à l</w:t>
      </w:r>
      <w:r w:rsidR="00B1361A" w:rsidRPr="000B56F5">
        <w:rPr>
          <w:lang w:val="fr-CH"/>
        </w:rPr>
        <w:t>’</w:t>
      </w:r>
      <w:r w:rsidR="006C1F7B" w:rsidRPr="000B56F5">
        <w:rPr>
          <w:lang w:val="fr-CH"/>
        </w:rPr>
        <w:t>Union européenne d</w:t>
      </w:r>
      <w:r w:rsidR="00B1361A" w:rsidRPr="000B56F5">
        <w:rPr>
          <w:lang w:val="fr-CH"/>
        </w:rPr>
        <w:t>’</w:t>
      </w:r>
      <w:r w:rsidR="006C1F7B" w:rsidRPr="000B56F5">
        <w:rPr>
          <w:lang w:val="fr-CH"/>
        </w:rPr>
        <w:t xml:space="preserve">établir un nouveau projet de </w:t>
      </w:r>
      <w:r w:rsidR="00B1361A" w:rsidRPr="000B56F5">
        <w:rPr>
          <w:lang w:val="fr-CH"/>
        </w:rPr>
        <w:t>document UP</w:t>
      </w:r>
      <w:r w:rsidR="006C1F7B" w:rsidRPr="000B56F5">
        <w:rPr>
          <w:lang w:val="fr-CH"/>
        </w:rPr>
        <w:t>OV/INF/17 (</w:t>
      </w:r>
      <w:r w:rsidR="00B1361A" w:rsidRPr="000B56F5">
        <w:rPr>
          <w:lang w:val="fr-CH"/>
        </w:rPr>
        <w:t>document UP</w:t>
      </w:r>
      <w:r w:rsidR="006C1F7B" w:rsidRPr="000B56F5">
        <w:rPr>
          <w:lang w:val="fr-CH"/>
        </w:rPr>
        <w:t>OV/INF/17/2 Draft 3) pour examen à la dix</w:t>
      </w:r>
      <w:r w:rsidR="00B1361A" w:rsidRPr="000B56F5">
        <w:rPr>
          <w:lang w:val="fr-CH"/>
        </w:rPr>
        <w:t>-</w:t>
      </w:r>
      <w:r w:rsidR="006C1F7B" w:rsidRPr="000B56F5">
        <w:rPr>
          <w:lang w:val="fr-CH"/>
        </w:rPr>
        <w:t>neuv</w:t>
      </w:r>
      <w:r w:rsidR="00B1361A" w:rsidRPr="000B56F5">
        <w:rPr>
          <w:lang w:val="fr-CH"/>
        </w:rPr>
        <w:t>ième session</w:t>
      </w:r>
      <w:r w:rsidR="00F874D0" w:rsidRPr="000B56F5">
        <w:rPr>
          <w:lang w:val="fr-CH"/>
        </w:rPr>
        <w:t xml:space="preserve"> du BMT</w:t>
      </w:r>
      <w:r w:rsidR="006C1F7B" w:rsidRPr="000B56F5">
        <w:rPr>
          <w:lang w:val="fr-CH"/>
        </w:rPr>
        <w:t xml:space="preserve"> (voir le </w:t>
      </w:r>
      <w:r w:rsidR="00F874D0" w:rsidRPr="000B56F5">
        <w:rPr>
          <w:lang w:val="fr-CH"/>
        </w:rPr>
        <w:t>paragraphe 1</w:t>
      </w:r>
      <w:r w:rsidR="006C1F7B" w:rsidRPr="000B56F5">
        <w:rPr>
          <w:lang w:val="fr-CH"/>
        </w:rPr>
        <w:t xml:space="preserve">81 du </w:t>
      </w:r>
      <w:r w:rsidR="00B1361A" w:rsidRPr="000B56F5">
        <w:rPr>
          <w:lang w:val="fr-CH"/>
        </w:rPr>
        <w:t>document TC</w:t>
      </w:r>
      <w:r w:rsidR="006C1F7B" w:rsidRPr="000B56F5">
        <w:rPr>
          <w:lang w:val="fr-CH"/>
        </w:rPr>
        <w:t>/55/25 “Compte rendu”).</w:t>
      </w:r>
    </w:p>
    <w:p w:rsidR="00EF0D3B" w:rsidRPr="000B56F5" w:rsidRDefault="00EF0D3B" w:rsidP="00112E25">
      <w:pPr>
        <w:rPr>
          <w:lang w:val="fr-CH"/>
        </w:rPr>
      </w:pPr>
    </w:p>
    <w:p w:rsidR="00EF0D3B" w:rsidRPr="000B56F5" w:rsidRDefault="00112E25" w:rsidP="00B87B60">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6C1F7B" w:rsidRPr="000B56F5">
        <w:rPr>
          <w:lang w:val="fr-CH"/>
        </w:rPr>
        <w:t xml:space="preserve">À leurs sessions </w:t>
      </w:r>
      <w:r w:rsidR="00F874D0" w:rsidRPr="000B56F5">
        <w:rPr>
          <w:lang w:val="fr-CH"/>
        </w:rPr>
        <w:t>de 2020</w:t>
      </w:r>
      <w:r w:rsidR="006C1F7B" w:rsidRPr="000B56F5">
        <w:rPr>
          <w:lang w:val="fr-CH"/>
        </w:rPr>
        <w:t>,</w:t>
      </w:r>
      <w:r w:rsidR="00F874D0" w:rsidRPr="000B56F5">
        <w:rPr>
          <w:lang w:val="fr-CH"/>
        </w:rPr>
        <w:t xml:space="preserve"> les TWP</w:t>
      </w:r>
      <w:r w:rsidR="006C1F7B" w:rsidRPr="000B56F5">
        <w:rPr>
          <w:lang w:val="fr-CH"/>
        </w:rPr>
        <w:t xml:space="preserve"> ont examiné le document TWP/4/7 </w:t>
      </w:r>
      <w:r w:rsidR="006C1F7B" w:rsidRPr="00712576">
        <w:rPr>
          <w:i/>
          <w:lang w:val="fr-CH"/>
        </w:rPr>
        <w:t>“Molecular Techniques”</w:t>
      </w:r>
      <w:r w:rsidR="006C1F7B" w:rsidRPr="000B56F5">
        <w:rPr>
          <w:lang w:val="fr-CH"/>
        </w:rPr>
        <w:t>.</w:t>
      </w:r>
      <w:r w:rsidR="00F874D0" w:rsidRPr="000B56F5">
        <w:rPr>
          <w:lang w:val="fr-CH"/>
        </w:rPr>
        <w:t xml:space="preserve"> </w:t>
      </w:r>
      <w:r w:rsidR="00DF1A3F" w:rsidRPr="000B56F5">
        <w:rPr>
          <w:lang w:val="fr-CH"/>
        </w:rPr>
        <w:t xml:space="preserve"> </w:t>
      </w:r>
      <w:r w:rsidR="00F56BEA" w:rsidRPr="000B56F5">
        <w:rPr>
          <w:lang w:val="fr-CH"/>
        </w:rPr>
        <w:t>Ils</w:t>
      </w:r>
      <w:r w:rsidR="00B87B60" w:rsidRPr="000B56F5">
        <w:rPr>
          <w:lang w:val="fr-CH"/>
        </w:rPr>
        <w:t xml:space="preserve"> ont pris note des modifications à apporter au </w:t>
      </w:r>
      <w:r w:rsidR="00B1361A" w:rsidRPr="000B56F5">
        <w:rPr>
          <w:lang w:val="fr-CH"/>
        </w:rPr>
        <w:t>document UP</w:t>
      </w:r>
      <w:r w:rsidR="00B87B60" w:rsidRPr="000B56F5">
        <w:rPr>
          <w:lang w:val="fr-CH"/>
        </w:rPr>
        <w:t>OV/INF/17</w:t>
      </w:r>
      <w:r w:rsidR="00F56BEA" w:rsidRPr="000B56F5">
        <w:rPr>
          <w:lang w:val="fr-CH"/>
        </w:rPr>
        <w:t>,</w:t>
      </w:r>
      <w:r w:rsidR="00B87B60" w:rsidRPr="000B56F5">
        <w:rPr>
          <w:lang w:val="fr-CH"/>
        </w:rPr>
        <w:t xml:space="preserve"> approuvées par</w:t>
      </w:r>
      <w:r w:rsidR="00F874D0" w:rsidRPr="000B56F5">
        <w:rPr>
          <w:lang w:val="fr-CH"/>
        </w:rPr>
        <w:t xml:space="preserve"> le BMT</w:t>
      </w:r>
      <w:r w:rsidR="00B87B60" w:rsidRPr="000B56F5">
        <w:rPr>
          <w:lang w:val="fr-CH"/>
        </w:rPr>
        <w:t>, telles qu</w:t>
      </w:r>
      <w:r w:rsidR="00B1361A" w:rsidRPr="000B56F5">
        <w:rPr>
          <w:lang w:val="fr-CH"/>
        </w:rPr>
        <w:t>’</w:t>
      </w:r>
      <w:r w:rsidR="00B87B60" w:rsidRPr="000B56F5">
        <w:rPr>
          <w:lang w:val="fr-CH"/>
        </w:rPr>
        <w:t>elles figurent dans l</w:t>
      </w:r>
      <w:r w:rsidR="00B1361A" w:rsidRPr="000B56F5">
        <w:rPr>
          <w:lang w:val="fr-CH"/>
        </w:rPr>
        <w:t>’</w:t>
      </w:r>
      <w:r w:rsidR="00F874D0" w:rsidRPr="000B56F5">
        <w:rPr>
          <w:lang w:val="fr-CH"/>
        </w:rPr>
        <w:t>annexe I</w:t>
      </w:r>
      <w:r w:rsidR="00B87B60" w:rsidRPr="000B56F5">
        <w:rPr>
          <w:lang w:val="fr-CH"/>
        </w:rPr>
        <w:t xml:space="preserve">I du </w:t>
      </w:r>
      <w:r w:rsidR="00B1361A" w:rsidRPr="000B56F5">
        <w:rPr>
          <w:lang w:val="fr-CH"/>
        </w:rPr>
        <w:t>document TW</w:t>
      </w:r>
      <w:r w:rsidR="00B87B60" w:rsidRPr="000B56F5">
        <w:rPr>
          <w:lang w:val="fr-CH"/>
        </w:rPr>
        <w:t>P/4/7.</w:t>
      </w:r>
      <w:r w:rsidRPr="000B56F5">
        <w:rPr>
          <w:lang w:val="fr-CH"/>
        </w:rPr>
        <w:t xml:space="preserve"> </w:t>
      </w:r>
      <w:r w:rsidR="00F874D0" w:rsidRPr="000B56F5">
        <w:rPr>
          <w:lang w:val="fr-CH"/>
        </w:rPr>
        <w:t xml:space="preserve"> Les TWP</w:t>
      </w:r>
      <w:r w:rsidR="00B87B60" w:rsidRPr="000B56F5">
        <w:rPr>
          <w:lang w:val="fr-CH"/>
        </w:rPr>
        <w:t xml:space="preserve"> ont noté que le</w:t>
      </w:r>
      <w:r w:rsidR="00B1361A" w:rsidRPr="000B56F5">
        <w:rPr>
          <w:lang w:val="fr-CH"/>
        </w:rPr>
        <w:t> TC</w:t>
      </w:r>
      <w:r w:rsidR="00B87B60" w:rsidRPr="000B56F5">
        <w:rPr>
          <w:lang w:val="fr-CH"/>
        </w:rPr>
        <w:t xml:space="preserve"> était </w:t>
      </w:r>
      <w:r w:rsidR="00F56BEA" w:rsidRPr="000B56F5">
        <w:rPr>
          <w:lang w:val="fr-CH"/>
        </w:rPr>
        <w:t>convenu</w:t>
      </w:r>
      <w:r w:rsidR="00B87B60" w:rsidRPr="000B56F5">
        <w:rPr>
          <w:lang w:val="fr-CH"/>
        </w:rPr>
        <w:t xml:space="preserve"> d</w:t>
      </w:r>
      <w:r w:rsidR="00B1361A" w:rsidRPr="000B56F5">
        <w:rPr>
          <w:lang w:val="fr-CH"/>
        </w:rPr>
        <w:t>’</w:t>
      </w:r>
      <w:r w:rsidR="00B87B60" w:rsidRPr="000B56F5">
        <w:rPr>
          <w:lang w:val="fr-CH"/>
        </w:rPr>
        <w:t>inviter la France, les Pays</w:t>
      </w:r>
      <w:r w:rsidR="00B1361A" w:rsidRPr="000B56F5">
        <w:rPr>
          <w:lang w:val="fr-CH"/>
        </w:rPr>
        <w:t>-</w:t>
      </w:r>
      <w:r w:rsidR="00B87B60" w:rsidRPr="000B56F5">
        <w:rPr>
          <w:lang w:val="fr-CH"/>
        </w:rPr>
        <w:t>Bas et l</w:t>
      </w:r>
      <w:r w:rsidR="00B1361A" w:rsidRPr="000B56F5">
        <w:rPr>
          <w:lang w:val="fr-CH"/>
        </w:rPr>
        <w:t>’</w:t>
      </w:r>
      <w:r w:rsidR="00B87B60" w:rsidRPr="000B56F5">
        <w:rPr>
          <w:lang w:val="fr-CH"/>
        </w:rPr>
        <w:t>Union européenne à élaborer une nouveau projet d</w:t>
      </w:r>
      <w:r w:rsidR="0068314E" w:rsidRPr="000B56F5">
        <w:rPr>
          <w:lang w:val="fr-CH"/>
        </w:rPr>
        <w:t xml:space="preserve">e </w:t>
      </w:r>
      <w:r w:rsidR="00B1361A" w:rsidRPr="000B56F5">
        <w:rPr>
          <w:lang w:val="fr-CH"/>
        </w:rPr>
        <w:t>document UP</w:t>
      </w:r>
      <w:r w:rsidR="0068314E" w:rsidRPr="000B56F5">
        <w:rPr>
          <w:lang w:val="fr-CH"/>
        </w:rPr>
        <w:t>OV/INF/17 pour exam</w:t>
      </w:r>
      <w:r w:rsidR="00B87B60" w:rsidRPr="000B56F5">
        <w:rPr>
          <w:lang w:val="fr-CH"/>
        </w:rPr>
        <w:t>en par</w:t>
      </w:r>
      <w:r w:rsidR="00F874D0" w:rsidRPr="000B56F5">
        <w:rPr>
          <w:lang w:val="fr-CH"/>
        </w:rPr>
        <w:t xml:space="preserve"> le BMT</w:t>
      </w:r>
      <w:r w:rsidR="00B87B60" w:rsidRPr="000B56F5">
        <w:rPr>
          <w:lang w:val="fr-CH"/>
        </w:rPr>
        <w:t xml:space="preserve"> à sa dix</w:t>
      </w:r>
      <w:r w:rsidR="00B1361A" w:rsidRPr="000B56F5">
        <w:rPr>
          <w:lang w:val="fr-CH"/>
        </w:rPr>
        <w:t>-</w:t>
      </w:r>
      <w:r w:rsidR="00B87B60" w:rsidRPr="000B56F5">
        <w:rPr>
          <w:lang w:val="fr-CH"/>
        </w:rPr>
        <w:t>neuv</w:t>
      </w:r>
      <w:r w:rsidR="00B1361A" w:rsidRPr="000B56F5">
        <w:rPr>
          <w:lang w:val="fr-CH"/>
        </w:rPr>
        <w:t>ième session</w:t>
      </w:r>
      <w:r w:rsidR="00B87B60" w:rsidRPr="000B56F5">
        <w:rPr>
          <w:lang w:val="fr-CH"/>
        </w:rPr>
        <w:t xml:space="preserve"> (voir les </w:t>
      </w:r>
      <w:r w:rsidR="00F874D0" w:rsidRPr="000B56F5">
        <w:rPr>
          <w:lang w:val="fr-CH"/>
        </w:rPr>
        <w:t>paragraphes 1</w:t>
      </w:r>
      <w:r w:rsidR="00B87B60" w:rsidRPr="000B56F5">
        <w:rPr>
          <w:lang w:val="fr-CH"/>
        </w:rPr>
        <w:t xml:space="preserve">3 et 14 du </w:t>
      </w:r>
      <w:r w:rsidR="00B1361A" w:rsidRPr="000B56F5">
        <w:rPr>
          <w:lang w:val="fr-CH"/>
        </w:rPr>
        <w:t>document TW</w:t>
      </w:r>
      <w:r w:rsidR="00B87B60" w:rsidRPr="000B56F5">
        <w:rPr>
          <w:lang w:val="fr-CH"/>
        </w:rPr>
        <w:t xml:space="preserve">V/54/12 </w:t>
      </w:r>
      <w:r w:rsidR="00B87B60" w:rsidRPr="00712576">
        <w:rPr>
          <w:i/>
          <w:lang w:val="fr-CH"/>
        </w:rPr>
        <w:t>“Report”</w:t>
      </w:r>
      <w:r w:rsidR="00B87B60" w:rsidRPr="000B56F5">
        <w:rPr>
          <w:lang w:val="fr-CH"/>
        </w:rPr>
        <w:t xml:space="preserve">;  les </w:t>
      </w:r>
      <w:r w:rsidR="00F874D0" w:rsidRPr="000B56F5">
        <w:rPr>
          <w:lang w:val="fr-CH"/>
        </w:rPr>
        <w:t>paragraphes 8</w:t>
      </w:r>
      <w:r w:rsidR="00B87B60" w:rsidRPr="000B56F5">
        <w:rPr>
          <w:lang w:val="fr-CH"/>
        </w:rPr>
        <w:t xml:space="preserve">4 et 85 du </w:t>
      </w:r>
      <w:r w:rsidR="00B1361A" w:rsidRPr="000B56F5">
        <w:rPr>
          <w:lang w:val="fr-CH"/>
        </w:rPr>
        <w:t>document TW</w:t>
      </w:r>
      <w:r w:rsidR="00B87B60" w:rsidRPr="000B56F5">
        <w:rPr>
          <w:lang w:val="fr-CH"/>
        </w:rPr>
        <w:t xml:space="preserve">O/52/11 </w:t>
      </w:r>
      <w:r w:rsidR="00B87B60" w:rsidRPr="00712576">
        <w:rPr>
          <w:i/>
          <w:lang w:val="fr-CH"/>
        </w:rPr>
        <w:t>“Report”</w:t>
      </w:r>
      <w:r w:rsidR="00B87B60" w:rsidRPr="000B56F5">
        <w:rPr>
          <w:lang w:val="fr-CH"/>
        </w:rPr>
        <w:t xml:space="preserve">;  les </w:t>
      </w:r>
      <w:r w:rsidR="00F874D0" w:rsidRPr="000B56F5">
        <w:rPr>
          <w:lang w:val="fr-CH"/>
        </w:rPr>
        <w:t>paragraphes 5</w:t>
      </w:r>
      <w:r w:rsidR="00B87B60" w:rsidRPr="000B56F5">
        <w:rPr>
          <w:lang w:val="fr-CH"/>
        </w:rPr>
        <w:t xml:space="preserve">8 et 59 du </w:t>
      </w:r>
      <w:r w:rsidR="00B1361A" w:rsidRPr="000B56F5">
        <w:rPr>
          <w:lang w:val="fr-CH"/>
        </w:rPr>
        <w:t>document TW</w:t>
      </w:r>
      <w:r w:rsidR="00B87B60" w:rsidRPr="000B56F5">
        <w:rPr>
          <w:lang w:val="fr-CH"/>
        </w:rPr>
        <w:t xml:space="preserve">A/49/7 </w:t>
      </w:r>
      <w:r w:rsidR="00B87B60" w:rsidRPr="00712576">
        <w:rPr>
          <w:i/>
          <w:lang w:val="fr-CH"/>
        </w:rPr>
        <w:t>“Report”</w:t>
      </w:r>
      <w:r w:rsidR="00B87B60" w:rsidRPr="000B56F5">
        <w:rPr>
          <w:lang w:val="fr-CH"/>
        </w:rPr>
        <w:t xml:space="preserve">;  les </w:t>
      </w:r>
      <w:r w:rsidR="00F874D0" w:rsidRPr="000B56F5">
        <w:rPr>
          <w:lang w:val="fr-CH"/>
        </w:rPr>
        <w:t>paragraphes 1</w:t>
      </w:r>
      <w:r w:rsidR="00B87B60" w:rsidRPr="000B56F5">
        <w:rPr>
          <w:lang w:val="fr-CH"/>
        </w:rPr>
        <w:t xml:space="preserve">3 et 14 du </w:t>
      </w:r>
      <w:r w:rsidR="00B1361A" w:rsidRPr="000B56F5">
        <w:rPr>
          <w:lang w:val="fr-CH"/>
        </w:rPr>
        <w:t>document TW</w:t>
      </w:r>
      <w:r w:rsidR="00B87B60" w:rsidRPr="000B56F5">
        <w:rPr>
          <w:lang w:val="fr-CH"/>
        </w:rPr>
        <w:t xml:space="preserve">F/51/10 </w:t>
      </w:r>
      <w:r w:rsidR="00B87B60" w:rsidRPr="00712576">
        <w:rPr>
          <w:i/>
          <w:lang w:val="fr-CH"/>
        </w:rPr>
        <w:t>“Report”</w:t>
      </w:r>
      <w:r w:rsidR="00B87B60" w:rsidRPr="000B56F5">
        <w:rPr>
          <w:lang w:val="fr-CH"/>
        </w:rPr>
        <w:t xml:space="preserve">;  et les </w:t>
      </w:r>
      <w:r w:rsidR="00F874D0" w:rsidRPr="000B56F5">
        <w:rPr>
          <w:lang w:val="fr-CH"/>
        </w:rPr>
        <w:t>paragraphes 6</w:t>
      </w:r>
      <w:r w:rsidR="00B87B60" w:rsidRPr="000B56F5">
        <w:rPr>
          <w:lang w:val="fr-CH"/>
        </w:rPr>
        <w:t xml:space="preserve">6 et 67 du </w:t>
      </w:r>
      <w:r w:rsidR="00B1361A" w:rsidRPr="000B56F5">
        <w:rPr>
          <w:lang w:val="fr-CH"/>
        </w:rPr>
        <w:t>document TW</w:t>
      </w:r>
      <w:r w:rsidR="00B87B60" w:rsidRPr="000B56F5">
        <w:rPr>
          <w:lang w:val="fr-CH"/>
        </w:rPr>
        <w:t xml:space="preserve">C/38/11 </w:t>
      </w:r>
      <w:r w:rsidR="00B87B60" w:rsidRPr="00712576">
        <w:rPr>
          <w:i/>
          <w:lang w:val="fr-CH"/>
        </w:rPr>
        <w:t>“Report”</w:t>
      </w:r>
      <w:r w:rsidR="00B87B60" w:rsidRPr="000B56F5">
        <w:rPr>
          <w:lang w:val="fr-CH"/>
        </w:rPr>
        <w:t>).</w:t>
      </w:r>
    </w:p>
    <w:p w:rsidR="00EF0D3B" w:rsidRPr="000B56F5" w:rsidRDefault="00EF0D3B" w:rsidP="00112E25">
      <w:pPr>
        <w:rPr>
          <w:lang w:val="fr-CH"/>
        </w:rPr>
      </w:pPr>
    </w:p>
    <w:p w:rsidR="00EF0D3B" w:rsidRPr="000B56F5" w:rsidRDefault="00112E25" w:rsidP="00B821E8">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B821E8" w:rsidRPr="000B56F5">
        <w:rPr>
          <w:lang w:val="fr-CH"/>
        </w:rPr>
        <w:t>Le programme d</w:t>
      </w:r>
      <w:r w:rsidR="00B1361A" w:rsidRPr="000B56F5">
        <w:rPr>
          <w:lang w:val="fr-CH"/>
        </w:rPr>
        <w:t>’</w:t>
      </w:r>
      <w:r w:rsidR="00B821E8" w:rsidRPr="000B56F5">
        <w:rPr>
          <w:lang w:val="fr-CH"/>
        </w:rPr>
        <w:t>élaboration de documents d</w:t>
      </w:r>
      <w:r w:rsidR="00B1361A" w:rsidRPr="000B56F5">
        <w:rPr>
          <w:lang w:val="fr-CH"/>
        </w:rPr>
        <w:t>’</w:t>
      </w:r>
      <w:r w:rsidR="00B821E8" w:rsidRPr="000B56F5">
        <w:rPr>
          <w:lang w:val="fr-CH"/>
        </w:rPr>
        <w:t>orientation et d</w:t>
      </w:r>
      <w:r w:rsidR="00B1361A" w:rsidRPr="000B56F5">
        <w:rPr>
          <w:lang w:val="fr-CH"/>
        </w:rPr>
        <w:t>’</w:t>
      </w:r>
      <w:r w:rsidR="00B821E8" w:rsidRPr="000B56F5">
        <w:rPr>
          <w:lang w:val="fr-CH"/>
        </w:rPr>
        <w:t>information pertinents prévoit la présentation d</w:t>
      </w:r>
      <w:r w:rsidR="00B1361A" w:rsidRPr="000B56F5">
        <w:rPr>
          <w:lang w:val="fr-CH"/>
        </w:rPr>
        <w:t>’</w:t>
      </w:r>
      <w:r w:rsidR="00B821E8" w:rsidRPr="000B56F5">
        <w:rPr>
          <w:lang w:val="fr-CH"/>
        </w:rPr>
        <w:t xml:space="preserve">un nouveau projet du </w:t>
      </w:r>
      <w:r w:rsidR="00B1361A" w:rsidRPr="000B56F5">
        <w:rPr>
          <w:lang w:val="fr-CH"/>
        </w:rPr>
        <w:t>document UP</w:t>
      </w:r>
      <w:r w:rsidR="00B821E8" w:rsidRPr="000B56F5">
        <w:rPr>
          <w:lang w:val="fr-CH"/>
        </w:rPr>
        <w:t>OV/INF/17 pour adoption éventuelle par le Conseil, à sa cinquante</w:t>
      </w:r>
      <w:r w:rsidR="00B1361A" w:rsidRPr="000B56F5">
        <w:rPr>
          <w:lang w:val="fr-CH"/>
        </w:rPr>
        <w:t>-</w:t>
      </w:r>
      <w:r w:rsidR="00B821E8" w:rsidRPr="000B56F5">
        <w:rPr>
          <w:lang w:val="fr-CH"/>
        </w:rPr>
        <w:t>cinqu</w:t>
      </w:r>
      <w:r w:rsidR="00B1361A" w:rsidRPr="000B56F5">
        <w:rPr>
          <w:lang w:val="fr-CH"/>
        </w:rPr>
        <w:t>ième session</w:t>
      </w:r>
      <w:r w:rsidR="00B821E8" w:rsidRPr="000B56F5">
        <w:rPr>
          <w:lang w:val="fr-CH"/>
        </w:rPr>
        <w:t xml:space="preserve"> prévue </w:t>
      </w:r>
      <w:r w:rsidR="00F874D0" w:rsidRPr="000B56F5">
        <w:rPr>
          <w:lang w:val="fr-CH"/>
        </w:rPr>
        <w:t>en 2021</w:t>
      </w:r>
      <w:r w:rsidR="00B821E8" w:rsidRPr="000B56F5">
        <w:rPr>
          <w:lang w:val="fr-CH"/>
        </w:rPr>
        <w:t xml:space="preserve">, comme indiqué dans le </w:t>
      </w:r>
      <w:r w:rsidR="00B1361A" w:rsidRPr="000B56F5">
        <w:rPr>
          <w:lang w:val="fr-CH"/>
        </w:rPr>
        <w:t>document TC</w:t>
      </w:r>
      <w:r w:rsidR="00B821E8" w:rsidRPr="000B56F5">
        <w:rPr>
          <w:lang w:val="fr-CH"/>
        </w:rPr>
        <w:t xml:space="preserve">/56/14 </w:t>
      </w:r>
      <w:r w:rsidR="00F874D0" w:rsidRPr="000B56F5">
        <w:rPr>
          <w:lang w:val="fr-CH"/>
        </w:rPr>
        <w:t>“É</w:t>
      </w:r>
      <w:r w:rsidR="00B821E8" w:rsidRPr="000B56F5">
        <w:rPr>
          <w:lang w:val="fr-CH"/>
        </w:rPr>
        <w:t>laboration de documents d</w:t>
      </w:r>
      <w:r w:rsidR="00B1361A" w:rsidRPr="000B56F5">
        <w:rPr>
          <w:lang w:val="fr-CH"/>
        </w:rPr>
        <w:t>’</w:t>
      </w:r>
      <w:r w:rsidR="00B821E8" w:rsidRPr="000B56F5">
        <w:rPr>
          <w:lang w:val="fr-CH"/>
        </w:rPr>
        <w:t>orientation et d</w:t>
      </w:r>
      <w:r w:rsidR="00B1361A" w:rsidRPr="000B56F5">
        <w:rPr>
          <w:lang w:val="fr-CH"/>
        </w:rPr>
        <w:t>’</w:t>
      </w:r>
      <w:r w:rsidR="00B821E8" w:rsidRPr="000B56F5">
        <w:rPr>
          <w:lang w:val="fr-CH"/>
        </w:rPr>
        <w:t>informatio</w:t>
      </w:r>
      <w:r w:rsidR="00F874D0" w:rsidRPr="000B56F5">
        <w:rPr>
          <w:lang w:val="fr-CH"/>
        </w:rPr>
        <w:t>n”</w:t>
      </w:r>
      <w:r w:rsidR="00B821E8" w:rsidRPr="000B56F5">
        <w:rPr>
          <w:lang w:val="fr-CH"/>
        </w:rPr>
        <w:t>.</w:t>
      </w:r>
    </w:p>
    <w:p w:rsidR="00EF0D3B" w:rsidRPr="000B56F5" w:rsidRDefault="00EF0D3B" w:rsidP="00112E25">
      <w:pPr>
        <w:rPr>
          <w:rFonts w:eastAsia="MS Mincho"/>
          <w:lang w:val="fr-CH"/>
        </w:rPr>
      </w:pPr>
    </w:p>
    <w:p w:rsidR="00EF0D3B" w:rsidRPr="000B56F5" w:rsidRDefault="00EF0D3B" w:rsidP="00112E25">
      <w:pPr>
        <w:rPr>
          <w:rFonts w:eastAsia="MS Mincho"/>
          <w:lang w:val="fr-CH"/>
        </w:rPr>
      </w:pPr>
    </w:p>
    <w:p w:rsidR="00EF0D3B" w:rsidRPr="000B56F5" w:rsidRDefault="00B821E8" w:rsidP="008D151A">
      <w:pPr>
        <w:pStyle w:val="Heading1"/>
        <w:keepLines/>
      </w:pPr>
      <w:bookmarkStart w:id="12" w:name="_Toc54002371"/>
      <w:bookmarkStart w:id="13" w:name="_Toc54003646"/>
      <w:bookmarkStart w:id="14" w:name="_Toc54004668"/>
      <w:r w:rsidRPr="000B56F5">
        <w:t>Faits nouveaux survenus à la dix</w:t>
      </w:r>
      <w:r w:rsidR="00B1361A" w:rsidRPr="000B56F5">
        <w:t>-</w:t>
      </w:r>
      <w:r w:rsidRPr="000B56F5">
        <w:t>neuv</w:t>
      </w:r>
      <w:r w:rsidR="00B1361A" w:rsidRPr="000B56F5">
        <w:t>ième session</w:t>
      </w:r>
      <w:r w:rsidR="00F874D0" w:rsidRPr="000B56F5">
        <w:t xml:space="preserve"> du BMT</w:t>
      </w:r>
      <w:bookmarkEnd w:id="12"/>
      <w:bookmarkEnd w:id="13"/>
      <w:bookmarkEnd w:id="14"/>
    </w:p>
    <w:p w:rsidR="00EF0D3B" w:rsidRPr="000B56F5" w:rsidRDefault="00EF0D3B" w:rsidP="008D151A">
      <w:pPr>
        <w:keepNext/>
        <w:keepLines/>
        <w:rPr>
          <w:rFonts w:eastAsia="MS Mincho"/>
          <w:lang w:val="fr-CH"/>
        </w:rPr>
      </w:pPr>
    </w:p>
    <w:p w:rsidR="00F874D0" w:rsidRPr="000B56F5" w:rsidRDefault="00112E25" w:rsidP="008D151A">
      <w:pPr>
        <w:keepNext/>
        <w:keepLines/>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AD39BD" w:rsidRPr="000B56F5">
        <w:rPr>
          <w:lang w:val="fr-CH"/>
        </w:rPr>
        <w:t>À sa dix</w:t>
      </w:r>
      <w:r w:rsidR="00B1361A" w:rsidRPr="000B56F5">
        <w:rPr>
          <w:lang w:val="fr-CH"/>
        </w:rPr>
        <w:t>-</w:t>
      </w:r>
      <w:r w:rsidR="00AD39BD" w:rsidRPr="000B56F5">
        <w:rPr>
          <w:lang w:val="fr-CH"/>
        </w:rPr>
        <w:t>neuv</w:t>
      </w:r>
      <w:r w:rsidR="00B1361A" w:rsidRPr="000B56F5">
        <w:rPr>
          <w:lang w:val="fr-CH"/>
        </w:rPr>
        <w:t>ième session</w:t>
      </w:r>
      <w:r w:rsidR="00AD39BD" w:rsidRPr="000B56F5">
        <w:rPr>
          <w:rStyle w:val="FootnoteReference"/>
          <w:lang w:val="fr-CH"/>
        </w:rPr>
        <w:footnoteReference w:id="4"/>
      </w:r>
      <w:r w:rsidR="00AD39BD" w:rsidRPr="000B56F5">
        <w:rPr>
          <w:lang w:val="fr-CH"/>
        </w:rPr>
        <w:t>,</w:t>
      </w:r>
      <w:r w:rsidR="00F874D0" w:rsidRPr="000B56F5">
        <w:rPr>
          <w:lang w:val="fr-CH"/>
        </w:rPr>
        <w:t xml:space="preserve"> le BMT</w:t>
      </w:r>
      <w:r w:rsidR="00AD39BD" w:rsidRPr="000B56F5">
        <w:rPr>
          <w:lang w:val="fr-CH"/>
        </w:rPr>
        <w:t xml:space="preserve"> a examiné les </w:t>
      </w:r>
      <w:r w:rsidR="00B1361A" w:rsidRPr="000B56F5">
        <w:rPr>
          <w:lang w:val="fr-CH"/>
        </w:rPr>
        <w:t>documents BM</w:t>
      </w:r>
      <w:r w:rsidR="00AD39BD" w:rsidRPr="000B56F5">
        <w:rPr>
          <w:lang w:val="fr-CH"/>
        </w:rPr>
        <w:t>T/19/3</w:t>
      </w:r>
      <w:r w:rsidR="00DF1A3F" w:rsidRPr="000B56F5">
        <w:rPr>
          <w:lang w:val="fr-CH"/>
        </w:rPr>
        <w:t> </w:t>
      </w:r>
      <w:r w:rsidR="00AD39BD" w:rsidRPr="000B56F5">
        <w:rPr>
          <w:lang w:val="fr-CH"/>
        </w:rPr>
        <w:t xml:space="preserve">Rev. </w:t>
      </w:r>
      <w:r w:rsidR="00AD39BD" w:rsidRPr="00712576">
        <w:rPr>
          <w:i/>
          <w:lang w:val="fr-CH"/>
        </w:rPr>
        <w:t xml:space="preserve">“Revision of </w:t>
      </w:r>
      <w:r w:rsidR="00F874D0" w:rsidRPr="00712576">
        <w:rPr>
          <w:i/>
          <w:lang w:val="fr-CH"/>
        </w:rPr>
        <w:t>document IN</w:t>
      </w:r>
      <w:r w:rsidR="00AD39BD" w:rsidRPr="00712576">
        <w:rPr>
          <w:i/>
          <w:lang w:val="fr-CH"/>
        </w:rPr>
        <w:t>F/17”</w:t>
      </w:r>
      <w:r w:rsidR="00AD39BD" w:rsidRPr="000B56F5">
        <w:rPr>
          <w:lang w:val="fr-CH"/>
        </w:rPr>
        <w:t xml:space="preserve"> et UPOV/INF/17/2 Draft</w:t>
      </w:r>
      <w:r w:rsidR="001045F7" w:rsidRPr="000B56F5">
        <w:rPr>
          <w:lang w:val="fr-CH"/>
        </w:rPr>
        <w:t> </w:t>
      </w:r>
      <w:r w:rsidR="00AD39BD" w:rsidRPr="000B56F5">
        <w:rPr>
          <w:lang w:val="fr-CH"/>
        </w:rPr>
        <w:t xml:space="preserve">3 (voir les </w:t>
      </w:r>
      <w:r w:rsidR="00F874D0" w:rsidRPr="000B56F5">
        <w:rPr>
          <w:lang w:val="fr-CH"/>
        </w:rPr>
        <w:t>paragraphes 1</w:t>
      </w:r>
      <w:r w:rsidR="00AD39BD" w:rsidRPr="000B56F5">
        <w:rPr>
          <w:lang w:val="fr-CH"/>
        </w:rPr>
        <w:t xml:space="preserve">1 et 12 du document BMT/19/15 </w:t>
      </w:r>
      <w:r w:rsidR="00AD39BD" w:rsidRPr="00712576">
        <w:rPr>
          <w:i/>
          <w:lang w:val="fr-CH"/>
        </w:rPr>
        <w:t>“Report”</w:t>
      </w:r>
      <w:r w:rsidR="00AD39BD" w:rsidRPr="000B56F5">
        <w:rPr>
          <w:lang w:val="fr-CH"/>
        </w:rPr>
        <w:t>)</w:t>
      </w:r>
      <w:r w:rsidR="00DF1A3F" w:rsidRPr="000B56F5">
        <w:rPr>
          <w:lang w:val="fr-CH"/>
        </w:rPr>
        <w:t>.</w:t>
      </w:r>
    </w:p>
    <w:p w:rsidR="00EF0D3B" w:rsidRPr="000B56F5" w:rsidRDefault="00EF0D3B" w:rsidP="008D151A">
      <w:pPr>
        <w:keepNext/>
        <w:keepLines/>
        <w:rPr>
          <w:lang w:val="fr-CH"/>
        </w:rPr>
      </w:pPr>
    </w:p>
    <w:p w:rsidR="00F874D0" w:rsidRPr="000B56F5" w:rsidRDefault="00112E25" w:rsidP="00AD39BD">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AD39BD" w:rsidRPr="000B56F5">
        <w:rPr>
          <w:lang w:val="fr-CH"/>
        </w:rPr>
        <w:t>Le BMT est convenu que le projet d</w:t>
      </w:r>
      <w:r w:rsidR="00B1361A" w:rsidRPr="000B56F5">
        <w:rPr>
          <w:lang w:val="fr-CH"/>
        </w:rPr>
        <w:t>’</w:t>
      </w:r>
      <w:r w:rsidR="00AD39BD" w:rsidRPr="000B56F5">
        <w:rPr>
          <w:lang w:val="fr-CH"/>
        </w:rPr>
        <w:t>orientations reproduit dans l</w:t>
      </w:r>
      <w:r w:rsidR="00B1361A" w:rsidRPr="000B56F5">
        <w:rPr>
          <w:lang w:val="fr-CH"/>
        </w:rPr>
        <w:t>’</w:t>
      </w:r>
      <w:r w:rsidR="00AD39BD" w:rsidRPr="000B56F5">
        <w:rPr>
          <w:lang w:val="fr-CH"/>
        </w:rPr>
        <w:t>annexe du présent document de</w:t>
      </w:r>
      <w:r w:rsidR="0068314E" w:rsidRPr="000B56F5">
        <w:rPr>
          <w:lang w:val="fr-CH"/>
        </w:rPr>
        <w:t>vait être proposé au Comité tech</w:t>
      </w:r>
      <w:r w:rsidR="00AD39BD" w:rsidRPr="000B56F5">
        <w:rPr>
          <w:lang w:val="fr-CH"/>
        </w:rPr>
        <w:t xml:space="preserve">nique comme point de départ pour la future révision du </w:t>
      </w:r>
      <w:r w:rsidR="00B1361A" w:rsidRPr="000B56F5">
        <w:rPr>
          <w:lang w:val="fr-CH"/>
        </w:rPr>
        <w:t>document UP</w:t>
      </w:r>
      <w:r w:rsidR="00AD39BD" w:rsidRPr="000B56F5">
        <w:rPr>
          <w:lang w:val="fr-CH"/>
        </w:rPr>
        <w:t>OV/INF/17.</w:t>
      </w:r>
    </w:p>
    <w:p w:rsidR="00EF0D3B" w:rsidRPr="000B56F5" w:rsidRDefault="00EF0D3B" w:rsidP="00112E25">
      <w:pPr>
        <w:rPr>
          <w:lang w:val="fr-CH"/>
        </w:rPr>
      </w:pPr>
    </w:p>
    <w:p w:rsidR="00EF0D3B" w:rsidRPr="000B56F5" w:rsidRDefault="00EF0D3B" w:rsidP="00112E25">
      <w:pPr>
        <w:rPr>
          <w:lang w:val="fr-CH"/>
        </w:rPr>
      </w:pPr>
    </w:p>
    <w:p w:rsidR="00EF0D3B" w:rsidRPr="000B56F5" w:rsidRDefault="00AD39BD" w:rsidP="00F56BEA">
      <w:pPr>
        <w:pStyle w:val="Heading1"/>
      </w:pPr>
      <w:bookmarkStart w:id="15" w:name="_Toc54002372"/>
      <w:bookmarkStart w:id="16" w:name="_Toc54003647"/>
      <w:bookmarkStart w:id="17" w:name="_Toc54004669"/>
      <w:r w:rsidRPr="000B56F5">
        <w:t>Prochaines étapes</w:t>
      </w:r>
      <w:bookmarkEnd w:id="15"/>
      <w:bookmarkEnd w:id="16"/>
      <w:bookmarkEnd w:id="17"/>
    </w:p>
    <w:p w:rsidR="00EF0D3B" w:rsidRPr="000B56F5" w:rsidRDefault="00EF0D3B" w:rsidP="00112E25">
      <w:pPr>
        <w:rPr>
          <w:lang w:val="fr-CH"/>
        </w:rPr>
      </w:pPr>
    </w:p>
    <w:p w:rsidR="00F874D0" w:rsidRPr="000B56F5" w:rsidRDefault="00112E25" w:rsidP="00DF02E1">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DF02E1" w:rsidRPr="000B56F5">
        <w:rPr>
          <w:lang w:val="fr-CH"/>
        </w:rPr>
        <w:t>Le projet d</w:t>
      </w:r>
      <w:r w:rsidR="00B1361A" w:rsidRPr="000B56F5">
        <w:rPr>
          <w:lang w:val="fr-CH"/>
        </w:rPr>
        <w:t>’</w:t>
      </w:r>
      <w:r w:rsidR="00DF02E1" w:rsidRPr="000B56F5">
        <w:rPr>
          <w:lang w:val="fr-CH"/>
        </w:rPr>
        <w:t>orientations approuvé par</w:t>
      </w:r>
      <w:r w:rsidR="00F874D0" w:rsidRPr="000B56F5">
        <w:rPr>
          <w:lang w:val="fr-CH"/>
        </w:rPr>
        <w:t xml:space="preserve"> le BMT</w:t>
      </w:r>
      <w:r w:rsidR="00DF02E1" w:rsidRPr="000B56F5">
        <w:rPr>
          <w:lang w:val="fr-CH"/>
        </w:rPr>
        <w:t>, reproduit à l</w:t>
      </w:r>
      <w:r w:rsidR="00B1361A" w:rsidRPr="000B56F5">
        <w:rPr>
          <w:lang w:val="fr-CH"/>
        </w:rPr>
        <w:t>’</w:t>
      </w:r>
      <w:r w:rsidR="00DF02E1" w:rsidRPr="000B56F5">
        <w:rPr>
          <w:lang w:val="fr-CH"/>
        </w:rPr>
        <w:t xml:space="preserve">annexe du présent document, est présenté dans le </w:t>
      </w:r>
      <w:r w:rsidR="00B1361A" w:rsidRPr="000B56F5">
        <w:rPr>
          <w:lang w:val="fr-CH"/>
        </w:rPr>
        <w:t>document UP</w:t>
      </w:r>
      <w:r w:rsidR="00DF02E1" w:rsidRPr="000B56F5">
        <w:rPr>
          <w:lang w:val="fr-CH"/>
        </w:rPr>
        <w:t>OV/INF/17/2 Draft</w:t>
      </w:r>
      <w:r w:rsidR="001045F7" w:rsidRPr="000B56F5">
        <w:rPr>
          <w:lang w:val="fr-CH"/>
        </w:rPr>
        <w:t> </w:t>
      </w:r>
      <w:r w:rsidR="00F56BEA" w:rsidRPr="000B56F5">
        <w:rPr>
          <w:lang w:val="fr-CH"/>
        </w:rPr>
        <w:t>4</w:t>
      </w:r>
      <w:r w:rsidR="00DF02E1" w:rsidRPr="000B56F5">
        <w:rPr>
          <w:lang w:val="fr-CH"/>
        </w:rPr>
        <w:t xml:space="preserve"> avec changements apparents par rapport au texte du </w:t>
      </w:r>
      <w:r w:rsidR="00B1361A" w:rsidRPr="000B56F5">
        <w:rPr>
          <w:lang w:val="fr-CH"/>
        </w:rPr>
        <w:t>document UP</w:t>
      </w:r>
      <w:r w:rsidR="00DF02E1" w:rsidRPr="000B56F5">
        <w:rPr>
          <w:lang w:val="fr-CH"/>
        </w:rPr>
        <w:t xml:space="preserve">OV/INF/17/1. </w:t>
      </w:r>
      <w:r w:rsidR="00DF1A3F" w:rsidRPr="000B56F5">
        <w:rPr>
          <w:lang w:val="fr-CH"/>
        </w:rPr>
        <w:t xml:space="preserve"> </w:t>
      </w:r>
      <w:r w:rsidR="00DF02E1" w:rsidRPr="000B56F5">
        <w:rPr>
          <w:lang w:val="fr-CH"/>
        </w:rPr>
        <w:t>Le</w:t>
      </w:r>
      <w:r w:rsidR="00B1361A" w:rsidRPr="000B56F5">
        <w:rPr>
          <w:lang w:val="fr-CH"/>
        </w:rPr>
        <w:t> TC</w:t>
      </w:r>
      <w:r w:rsidR="00DF02E1" w:rsidRPr="000B56F5">
        <w:rPr>
          <w:lang w:val="fr-CH"/>
        </w:rPr>
        <w:t xml:space="preserve"> souhaitera peut</w:t>
      </w:r>
      <w:r w:rsidR="00B1361A" w:rsidRPr="000B56F5">
        <w:rPr>
          <w:lang w:val="fr-CH"/>
        </w:rPr>
        <w:t>-</w:t>
      </w:r>
      <w:r w:rsidR="00DF02E1" w:rsidRPr="000B56F5">
        <w:rPr>
          <w:lang w:val="fr-CH"/>
        </w:rPr>
        <w:t xml:space="preserve">être examiner le </w:t>
      </w:r>
      <w:r w:rsidR="00B1361A" w:rsidRPr="000B56F5">
        <w:rPr>
          <w:lang w:val="fr-CH"/>
        </w:rPr>
        <w:t>document UP</w:t>
      </w:r>
      <w:r w:rsidR="00DF02E1" w:rsidRPr="000B56F5">
        <w:rPr>
          <w:lang w:val="fr-CH"/>
        </w:rPr>
        <w:t>OV/INF/17/2 Draft</w:t>
      </w:r>
      <w:r w:rsidR="001045F7" w:rsidRPr="000B56F5">
        <w:rPr>
          <w:lang w:val="fr-CH"/>
        </w:rPr>
        <w:t> </w:t>
      </w:r>
      <w:r w:rsidR="00DF02E1" w:rsidRPr="000B56F5">
        <w:rPr>
          <w:lang w:val="fr-CH"/>
        </w:rPr>
        <w:t xml:space="preserve">4 </w:t>
      </w:r>
      <w:r w:rsidR="008D151A" w:rsidRPr="000B56F5">
        <w:rPr>
          <w:lang w:val="fr-CH"/>
        </w:rPr>
        <w:t>comme</w:t>
      </w:r>
      <w:r w:rsidR="00F56BEA" w:rsidRPr="000B56F5">
        <w:rPr>
          <w:lang w:val="fr-CH"/>
        </w:rPr>
        <w:t xml:space="preserve"> </w:t>
      </w:r>
      <w:r w:rsidR="00DF02E1" w:rsidRPr="000B56F5">
        <w:rPr>
          <w:lang w:val="fr-CH"/>
        </w:rPr>
        <w:t xml:space="preserve">point de départ pour une révision du </w:t>
      </w:r>
      <w:r w:rsidR="00B1361A" w:rsidRPr="000B56F5">
        <w:rPr>
          <w:lang w:val="fr-CH"/>
        </w:rPr>
        <w:t>document UP</w:t>
      </w:r>
      <w:r w:rsidR="00DF02E1" w:rsidRPr="000B56F5">
        <w:rPr>
          <w:lang w:val="fr-CH"/>
        </w:rPr>
        <w:t>OV/INF/17.</w:t>
      </w:r>
    </w:p>
    <w:p w:rsidR="00EF0D3B" w:rsidRPr="000B56F5" w:rsidRDefault="00EF0D3B" w:rsidP="00112E25">
      <w:pPr>
        <w:rPr>
          <w:lang w:val="fr-CH"/>
        </w:rPr>
      </w:pPr>
    </w:p>
    <w:p w:rsidR="00F874D0" w:rsidRPr="000B56F5" w:rsidRDefault="00112E25" w:rsidP="00DF02E1">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DF02E1" w:rsidRPr="000B56F5">
        <w:rPr>
          <w:lang w:val="fr-CH"/>
        </w:rPr>
        <w:t>Le</w:t>
      </w:r>
      <w:r w:rsidR="00B1361A" w:rsidRPr="000B56F5">
        <w:rPr>
          <w:lang w:val="fr-CH"/>
        </w:rPr>
        <w:t> TC</w:t>
      </w:r>
      <w:r w:rsidR="00DF02E1" w:rsidRPr="000B56F5">
        <w:rPr>
          <w:lang w:val="fr-CH"/>
        </w:rPr>
        <w:t xml:space="preserve"> souhaitera peut</w:t>
      </w:r>
      <w:r w:rsidR="00B1361A" w:rsidRPr="000B56F5">
        <w:rPr>
          <w:lang w:val="fr-CH"/>
        </w:rPr>
        <w:t>-</w:t>
      </w:r>
      <w:r w:rsidR="00DF02E1" w:rsidRPr="000B56F5">
        <w:rPr>
          <w:lang w:val="fr-CH"/>
        </w:rPr>
        <w:t>être demander</w:t>
      </w:r>
      <w:r w:rsidR="00F874D0" w:rsidRPr="000B56F5">
        <w:rPr>
          <w:lang w:val="fr-CH"/>
        </w:rPr>
        <w:t xml:space="preserve"> aux TWP</w:t>
      </w:r>
      <w:r w:rsidR="00DF02E1" w:rsidRPr="000B56F5">
        <w:rPr>
          <w:lang w:val="fr-CH"/>
        </w:rPr>
        <w:t xml:space="preserve"> d</w:t>
      </w:r>
      <w:r w:rsidR="00B1361A" w:rsidRPr="000B56F5">
        <w:rPr>
          <w:lang w:val="fr-CH"/>
        </w:rPr>
        <w:t>’</w:t>
      </w:r>
      <w:r w:rsidR="00DF02E1" w:rsidRPr="000B56F5">
        <w:rPr>
          <w:lang w:val="fr-CH"/>
        </w:rPr>
        <w:t xml:space="preserve">examiner un projet de révision du </w:t>
      </w:r>
      <w:r w:rsidR="00B1361A" w:rsidRPr="000B56F5">
        <w:rPr>
          <w:lang w:val="fr-CH"/>
        </w:rPr>
        <w:t>document UP</w:t>
      </w:r>
      <w:r w:rsidR="00DF02E1" w:rsidRPr="000B56F5">
        <w:rPr>
          <w:lang w:val="fr-CH"/>
        </w:rPr>
        <w:t>OV/INF/17/1 (</w:t>
      </w:r>
      <w:r w:rsidR="00B1361A" w:rsidRPr="000B56F5">
        <w:rPr>
          <w:lang w:val="fr-CH"/>
        </w:rPr>
        <w:t>document UP</w:t>
      </w:r>
      <w:r w:rsidR="00DF02E1" w:rsidRPr="000B56F5">
        <w:rPr>
          <w:lang w:val="fr-CH"/>
        </w:rPr>
        <w:t>OV/INF/17/2 Draft</w:t>
      </w:r>
      <w:r w:rsidR="001045F7" w:rsidRPr="000B56F5">
        <w:rPr>
          <w:lang w:val="fr-CH"/>
        </w:rPr>
        <w:t> </w:t>
      </w:r>
      <w:r w:rsidR="00DF02E1" w:rsidRPr="000B56F5">
        <w:rPr>
          <w:lang w:val="fr-CH"/>
        </w:rPr>
        <w:t xml:space="preserve">5) à leurs sessions </w:t>
      </w:r>
      <w:r w:rsidR="00F874D0" w:rsidRPr="000B56F5">
        <w:rPr>
          <w:lang w:val="fr-CH"/>
        </w:rPr>
        <w:t>de 2021</w:t>
      </w:r>
      <w:r w:rsidR="00DF02E1" w:rsidRPr="000B56F5">
        <w:rPr>
          <w:lang w:val="fr-CH"/>
        </w:rPr>
        <w:t xml:space="preserve">, sur la base des modifications à apporter au </w:t>
      </w:r>
      <w:r w:rsidR="00B1361A" w:rsidRPr="000B56F5">
        <w:rPr>
          <w:lang w:val="fr-CH"/>
        </w:rPr>
        <w:t>document UP</w:t>
      </w:r>
      <w:r w:rsidR="00DF02E1" w:rsidRPr="000B56F5">
        <w:rPr>
          <w:lang w:val="fr-CH"/>
        </w:rPr>
        <w:t>OV/INF/17/2 Draft</w:t>
      </w:r>
      <w:r w:rsidR="001045F7" w:rsidRPr="000B56F5">
        <w:rPr>
          <w:lang w:val="fr-CH"/>
        </w:rPr>
        <w:t> </w:t>
      </w:r>
      <w:r w:rsidR="00DF02E1" w:rsidRPr="000B56F5">
        <w:rPr>
          <w:lang w:val="fr-CH"/>
        </w:rPr>
        <w:t>4, approuvées par le</w:t>
      </w:r>
      <w:r w:rsidR="00B1361A" w:rsidRPr="000B56F5">
        <w:rPr>
          <w:lang w:val="fr-CH"/>
        </w:rPr>
        <w:t> TC</w:t>
      </w:r>
      <w:r w:rsidR="00DF02E1" w:rsidRPr="000B56F5">
        <w:rPr>
          <w:lang w:val="fr-CH"/>
        </w:rPr>
        <w:t xml:space="preserve"> à sa cinquante</w:t>
      </w:r>
      <w:r w:rsidR="00B1361A" w:rsidRPr="000B56F5">
        <w:rPr>
          <w:lang w:val="fr-CH"/>
        </w:rPr>
        <w:t>-</w:t>
      </w:r>
      <w:r w:rsidR="00DF02E1" w:rsidRPr="000B56F5">
        <w:rPr>
          <w:lang w:val="fr-CH"/>
        </w:rPr>
        <w:t>six</w:t>
      </w:r>
      <w:r w:rsidR="00B1361A" w:rsidRPr="000B56F5">
        <w:rPr>
          <w:lang w:val="fr-CH"/>
        </w:rPr>
        <w:t>ième session</w:t>
      </w:r>
      <w:r w:rsidR="00DF02E1" w:rsidRPr="000B56F5">
        <w:rPr>
          <w:lang w:val="fr-CH"/>
        </w:rPr>
        <w:t>.</w:t>
      </w:r>
    </w:p>
    <w:p w:rsidR="00EF0D3B" w:rsidRPr="000B56F5" w:rsidRDefault="00EF0D3B" w:rsidP="00112E25">
      <w:pPr>
        <w:rPr>
          <w:lang w:val="fr-CH"/>
        </w:rPr>
      </w:pPr>
    </w:p>
    <w:p w:rsidR="00EF0D3B" w:rsidRPr="000B56F5" w:rsidRDefault="00112E25" w:rsidP="00DF02E1">
      <w:pPr>
        <w:rPr>
          <w:lang w:val="fr-CH"/>
        </w:rPr>
      </w:pPr>
      <w:r w:rsidRPr="000B56F5">
        <w:rPr>
          <w:lang w:val="fr-CH"/>
        </w:rPr>
        <w:fldChar w:fldCharType="begin"/>
      </w:r>
      <w:r w:rsidRPr="000B56F5">
        <w:rPr>
          <w:lang w:val="fr-CH"/>
        </w:rPr>
        <w:instrText xml:space="preserve"> AUTONUM  </w:instrText>
      </w:r>
      <w:r w:rsidRPr="000B56F5">
        <w:rPr>
          <w:lang w:val="fr-CH"/>
        </w:rPr>
        <w:fldChar w:fldCharType="end"/>
      </w:r>
      <w:r w:rsidRPr="000B56F5">
        <w:rPr>
          <w:lang w:val="fr-CH"/>
        </w:rPr>
        <w:tab/>
      </w:r>
      <w:r w:rsidR="00DF02E1" w:rsidRPr="000B56F5">
        <w:rPr>
          <w:lang w:val="fr-CH"/>
        </w:rPr>
        <w:t>Sur la base des conclusions adoptées par le</w:t>
      </w:r>
      <w:r w:rsidR="00B1361A" w:rsidRPr="000B56F5">
        <w:rPr>
          <w:lang w:val="fr-CH"/>
        </w:rPr>
        <w:t> TC</w:t>
      </w:r>
      <w:r w:rsidR="00DF02E1" w:rsidRPr="000B56F5">
        <w:rPr>
          <w:lang w:val="fr-CH"/>
        </w:rPr>
        <w:t xml:space="preserve"> à sa cinquante</w:t>
      </w:r>
      <w:r w:rsidR="00B1361A" w:rsidRPr="000B56F5">
        <w:rPr>
          <w:lang w:val="fr-CH"/>
        </w:rPr>
        <w:t>-</w:t>
      </w:r>
      <w:r w:rsidR="00DF02E1" w:rsidRPr="000B56F5">
        <w:rPr>
          <w:lang w:val="fr-CH"/>
        </w:rPr>
        <w:t>six</w:t>
      </w:r>
      <w:r w:rsidR="00B1361A" w:rsidRPr="000B56F5">
        <w:rPr>
          <w:lang w:val="fr-CH"/>
        </w:rPr>
        <w:t>ième session</w:t>
      </w:r>
      <w:r w:rsidR="00DF02E1" w:rsidRPr="000B56F5">
        <w:rPr>
          <w:lang w:val="fr-CH"/>
        </w:rPr>
        <w:t xml:space="preserve"> et par</w:t>
      </w:r>
      <w:r w:rsidR="00F874D0" w:rsidRPr="000B56F5">
        <w:rPr>
          <w:lang w:val="fr-CH"/>
        </w:rPr>
        <w:t xml:space="preserve"> les TWP</w:t>
      </w:r>
      <w:r w:rsidR="00DF02E1" w:rsidRPr="000B56F5">
        <w:rPr>
          <w:lang w:val="fr-CH"/>
        </w:rPr>
        <w:t xml:space="preserve"> à leurs sessions </w:t>
      </w:r>
      <w:r w:rsidR="00F874D0" w:rsidRPr="000B56F5">
        <w:rPr>
          <w:lang w:val="fr-CH"/>
        </w:rPr>
        <w:t>de 2021</w:t>
      </w:r>
      <w:r w:rsidR="00DF02E1" w:rsidRPr="000B56F5">
        <w:rPr>
          <w:lang w:val="fr-CH"/>
        </w:rPr>
        <w:t>, un projet de révision du document UPOV/INF/17 (UPOV/INF/17/2 Draft 6) serait proposé pour adoption par le Conseil à sa cinquante</w:t>
      </w:r>
      <w:r w:rsidR="00B1361A" w:rsidRPr="000B56F5">
        <w:rPr>
          <w:lang w:val="fr-CH"/>
        </w:rPr>
        <w:t>-</w:t>
      </w:r>
      <w:r w:rsidR="00DF02E1" w:rsidRPr="000B56F5">
        <w:rPr>
          <w:lang w:val="fr-CH"/>
        </w:rPr>
        <w:t>cinqu</w:t>
      </w:r>
      <w:r w:rsidR="00B1361A" w:rsidRPr="000B56F5">
        <w:rPr>
          <w:lang w:val="fr-CH"/>
        </w:rPr>
        <w:t>ième session</w:t>
      </w:r>
      <w:r w:rsidR="00DF02E1" w:rsidRPr="000B56F5">
        <w:rPr>
          <w:lang w:val="fr-CH"/>
        </w:rPr>
        <w:t xml:space="preserve"> prévue le 29 octobre 2021, sous réserve de l</w:t>
      </w:r>
      <w:r w:rsidR="00B1361A" w:rsidRPr="000B56F5">
        <w:rPr>
          <w:lang w:val="fr-CH"/>
        </w:rPr>
        <w:t>’</w:t>
      </w:r>
      <w:r w:rsidR="00DF02E1" w:rsidRPr="000B56F5">
        <w:rPr>
          <w:lang w:val="fr-CH"/>
        </w:rPr>
        <w:t>accord du</w:t>
      </w:r>
      <w:r w:rsidR="00B1361A" w:rsidRPr="000B56F5">
        <w:rPr>
          <w:lang w:val="fr-CH"/>
        </w:rPr>
        <w:t> TC</w:t>
      </w:r>
      <w:r w:rsidR="00DF02E1" w:rsidRPr="000B56F5">
        <w:rPr>
          <w:lang w:val="fr-CH"/>
        </w:rPr>
        <w:t xml:space="preserve"> à sa cinquante</w:t>
      </w:r>
      <w:r w:rsidR="00B1361A" w:rsidRPr="000B56F5">
        <w:rPr>
          <w:lang w:val="fr-CH"/>
        </w:rPr>
        <w:t>-</w:t>
      </w:r>
      <w:r w:rsidR="00DF02E1" w:rsidRPr="000B56F5">
        <w:rPr>
          <w:lang w:val="fr-CH"/>
        </w:rPr>
        <w:t>sept</w:t>
      </w:r>
      <w:r w:rsidR="00B1361A" w:rsidRPr="000B56F5">
        <w:rPr>
          <w:lang w:val="fr-CH"/>
        </w:rPr>
        <w:t>ième session</w:t>
      </w:r>
      <w:r w:rsidR="00DF02E1" w:rsidRPr="000B56F5">
        <w:rPr>
          <w:lang w:val="fr-CH"/>
        </w:rPr>
        <w:t xml:space="preserve"> et</w:t>
      </w:r>
      <w:r w:rsidR="00F874D0" w:rsidRPr="000B56F5">
        <w:rPr>
          <w:lang w:val="fr-CH"/>
        </w:rPr>
        <w:t xml:space="preserve"> du CAJ</w:t>
      </w:r>
      <w:r w:rsidR="00DF02E1" w:rsidRPr="000B56F5">
        <w:rPr>
          <w:lang w:val="fr-CH"/>
        </w:rPr>
        <w:t xml:space="preserve"> à sa soixante</w:t>
      </w:r>
      <w:r w:rsidR="00B1361A" w:rsidRPr="000B56F5">
        <w:rPr>
          <w:lang w:val="fr-CH"/>
        </w:rPr>
        <w:t>-</w:t>
      </w:r>
      <w:r w:rsidR="00DF02E1" w:rsidRPr="000B56F5">
        <w:rPr>
          <w:lang w:val="fr-CH"/>
        </w:rPr>
        <w:t>dix</w:t>
      </w:r>
      <w:r w:rsidR="00B1361A" w:rsidRPr="000B56F5">
        <w:rPr>
          <w:lang w:val="fr-CH"/>
        </w:rPr>
        <w:t>-</w:t>
      </w:r>
      <w:r w:rsidR="00DF02E1" w:rsidRPr="000B56F5">
        <w:rPr>
          <w:lang w:val="fr-CH"/>
        </w:rPr>
        <w:t>huit</w:t>
      </w:r>
      <w:r w:rsidR="00B1361A" w:rsidRPr="000B56F5">
        <w:rPr>
          <w:lang w:val="fr-CH"/>
        </w:rPr>
        <w:t>ième session</w:t>
      </w:r>
      <w:r w:rsidR="00DF02E1" w:rsidRPr="000B56F5">
        <w:rPr>
          <w:lang w:val="fr-CH"/>
        </w:rPr>
        <w:t xml:space="preserve"> prévue </w:t>
      </w:r>
      <w:r w:rsidR="00F874D0" w:rsidRPr="000B56F5">
        <w:rPr>
          <w:lang w:val="fr-CH"/>
        </w:rPr>
        <w:t>en 2021</w:t>
      </w:r>
      <w:r w:rsidR="00DF02E1" w:rsidRPr="000B56F5">
        <w:rPr>
          <w:lang w:val="fr-CH"/>
        </w:rPr>
        <w:t>.</w:t>
      </w:r>
    </w:p>
    <w:p w:rsidR="00956613" w:rsidRDefault="00956613">
      <w:pPr>
        <w:jc w:val="left"/>
        <w:rPr>
          <w:lang w:val="fr-CH"/>
        </w:rPr>
      </w:pPr>
      <w:r>
        <w:rPr>
          <w:lang w:val="fr-CH"/>
        </w:rPr>
        <w:br w:type="page"/>
      </w:r>
    </w:p>
    <w:p w:rsidR="00EF0D3B" w:rsidRPr="000B56F5" w:rsidRDefault="00EF0D3B" w:rsidP="00112E25">
      <w:pPr>
        <w:rPr>
          <w:lang w:val="fr-CH"/>
        </w:rPr>
      </w:pPr>
    </w:p>
    <w:p w:rsidR="00F874D0" w:rsidRPr="000B56F5" w:rsidRDefault="00112E25" w:rsidP="001E77DB">
      <w:pPr>
        <w:tabs>
          <w:tab w:val="left" w:pos="5387"/>
        </w:tabs>
        <w:ind w:left="4820"/>
        <w:rPr>
          <w:i/>
          <w:lang w:val="fr-CH"/>
        </w:rPr>
      </w:pPr>
      <w:r w:rsidRPr="000B56F5">
        <w:rPr>
          <w:i/>
          <w:lang w:val="fr-CH"/>
        </w:rPr>
        <w:fldChar w:fldCharType="begin"/>
      </w:r>
      <w:r w:rsidRPr="000B56F5">
        <w:rPr>
          <w:i/>
          <w:lang w:val="fr-CH"/>
        </w:rPr>
        <w:instrText xml:space="preserve"> AUTONUM  </w:instrText>
      </w:r>
      <w:r w:rsidRPr="000B56F5">
        <w:rPr>
          <w:i/>
          <w:lang w:val="fr-CH"/>
        </w:rPr>
        <w:fldChar w:fldCharType="end"/>
      </w:r>
      <w:r w:rsidRPr="000B56F5">
        <w:rPr>
          <w:i/>
          <w:lang w:val="fr-CH"/>
        </w:rPr>
        <w:tab/>
      </w:r>
      <w:r w:rsidR="001E77DB" w:rsidRPr="000B56F5">
        <w:rPr>
          <w:i/>
          <w:lang w:val="fr-CH"/>
        </w:rPr>
        <w:t>Le</w:t>
      </w:r>
      <w:r w:rsidR="00B1361A" w:rsidRPr="000B56F5">
        <w:rPr>
          <w:i/>
          <w:lang w:val="fr-CH"/>
        </w:rPr>
        <w:t> TC</w:t>
      </w:r>
      <w:r w:rsidR="001E77DB" w:rsidRPr="000B56F5">
        <w:rPr>
          <w:i/>
          <w:lang w:val="fr-CH"/>
        </w:rPr>
        <w:t xml:space="preserve"> est invité</w:t>
      </w:r>
    </w:p>
    <w:p w:rsidR="00EF0D3B" w:rsidRPr="000B56F5" w:rsidRDefault="00EF0D3B" w:rsidP="00112E25">
      <w:pPr>
        <w:tabs>
          <w:tab w:val="left" w:pos="5387"/>
        </w:tabs>
        <w:ind w:left="4820"/>
        <w:rPr>
          <w:i/>
          <w:lang w:val="fr-CH"/>
        </w:rPr>
      </w:pPr>
    </w:p>
    <w:p w:rsidR="00F874D0" w:rsidRPr="000B56F5" w:rsidRDefault="00112E25" w:rsidP="001E77DB">
      <w:pPr>
        <w:tabs>
          <w:tab w:val="left" w:pos="5387"/>
          <w:tab w:val="left" w:pos="5954"/>
        </w:tabs>
        <w:ind w:left="4820"/>
        <w:rPr>
          <w:i/>
          <w:lang w:val="fr-CH"/>
        </w:rPr>
      </w:pPr>
      <w:r w:rsidRPr="000B56F5">
        <w:rPr>
          <w:i/>
          <w:lang w:val="fr-CH"/>
        </w:rPr>
        <w:tab/>
      </w:r>
      <w:r w:rsidR="001E77DB" w:rsidRPr="000B56F5">
        <w:rPr>
          <w:i/>
          <w:lang w:val="fr-CH"/>
        </w:rPr>
        <w:t>a)</w:t>
      </w:r>
      <w:r w:rsidR="001E77DB" w:rsidRPr="000B56F5">
        <w:rPr>
          <w:i/>
          <w:lang w:val="fr-CH"/>
        </w:rPr>
        <w:tab/>
        <w:t xml:space="preserve">à examiner la proposition de révision du </w:t>
      </w:r>
      <w:r w:rsidR="00B1361A" w:rsidRPr="000B56F5">
        <w:rPr>
          <w:i/>
          <w:lang w:val="fr-CH"/>
        </w:rPr>
        <w:t>document UP</w:t>
      </w:r>
      <w:r w:rsidR="001E77DB" w:rsidRPr="000B56F5">
        <w:rPr>
          <w:i/>
          <w:lang w:val="fr-CH"/>
        </w:rPr>
        <w:t xml:space="preserve">OV/INF/17 sur la base du </w:t>
      </w:r>
      <w:r w:rsidR="00B1361A" w:rsidRPr="000B56F5">
        <w:rPr>
          <w:i/>
          <w:lang w:val="fr-CH"/>
        </w:rPr>
        <w:t>document UP</w:t>
      </w:r>
      <w:r w:rsidR="001E77DB" w:rsidRPr="000B56F5">
        <w:rPr>
          <w:i/>
          <w:lang w:val="fr-CH"/>
        </w:rPr>
        <w:t>OV/INF/17/2 Draft</w:t>
      </w:r>
      <w:r w:rsidR="001045F7" w:rsidRPr="000B56F5">
        <w:rPr>
          <w:i/>
          <w:lang w:val="fr-CH"/>
        </w:rPr>
        <w:t> </w:t>
      </w:r>
      <w:r w:rsidR="001E77DB" w:rsidRPr="000B56F5">
        <w:rPr>
          <w:i/>
          <w:lang w:val="fr-CH"/>
        </w:rPr>
        <w:t>4,</w:t>
      </w:r>
    </w:p>
    <w:p w:rsidR="00EF0D3B" w:rsidRPr="000B56F5" w:rsidRDefault="00EF0D3B" w:rsidP="00112E25">
      <w:pPr>
        <w:tabs>
          <w:tab w:val="left" w:pos="5387"/>
          <w:tab w:val="left" w:pos="5954"/>
        </w:tabs>
        <w:ind w:left="4820"/>
        <w:rPr>
          <w:i/>
          <w:lang w:val="fr-CH"/>
        </w:rPr>
      </w:pPr>
    </w:p>
    <w:p w:rsidR="00EF0D3B" w:rsidRPr="000B56F5" w:rsidRDefault="00112E25" w:rsidP="001E77DB">
      <w:pPr>
        <w:tabs>
          <w:tab w:val="left" w:pos="5387"/>
          <w:tab w:val="left" w:pos="5954"/>
        </w:tabs>
        <w:ind w:left="4820"/>
        <w:rPr>
          <w:i/>
          <w:lang w:val="fr-CH"/>
        </w:rPr>
      </w:pPr>
      <w:r w:rsidRPr="000B56F5">
        <w:rPr>
          <w:i/>
          <w:lang w:val="fr-CH"/>
        </w:rPr>
        <w:tab/>
      </w:r>
      <w:r w:rsidR="001E77DB" w:rsidRPr="000B56F5">
        <w:rPr>
          <w:i/>
          <w:lang w:val="fr-CH"/>
        </w:rPr>
        <w:t>b)</w:t>
      </w:r>
      <w:r w:rsidR="001E77DB" w:rsidRPr="000B56F5">
        <w:rPr>
          <w:i/>
          <w:lang w:val="fr-CH"/>
        </w:rPr>
        <w:tab/>
        <w:t>à demander</w:t>
      </w:r>
      <w:r w:rsidR="00F874D0" w:rsidRPr="000B56F5">
        <w:rPr>
          <w:i/>
          <w:lang w:val="fr-CH"/>
        </w:rPr>
        <w:t xml:space="preserve"> aux TWP</w:t>
      </w:r>
      <w:r w:rsidR="001E77DB" w:rsidRPr="000B56F5">
        <w:rPr>
          <w:i/>
          <w:lang w:val="fr-CH"/>
        </w:rPr>
        <w:t xml:space="preserve"> d</w:t>
      </w:r>
      <w:r w:rsidR="00B1361A" w:rsidRPr="000B56F5">
        <w:rPr>
          <w:i/>
          <w:lang w:val="fr-CH"/>
        </w:rPr>
        <w:t>’</w:t>
      </w:r>
      <w:r w:rsidR="001E77DB" w:rsidRPr="000B56F5">
        <w:rPr>
          <w:i/>
          <w:lang w:val="fr-CH"/>
        </w:rPr>
        <w:t xml:space="preserve">examiner un projet de révision du </w:t>
      </w:r>
      <w:r w:rsidR="00B1361A" w:rsidRPr="000B56F5">
        <w:rPr>
          <w:i/>
          <w:lang w:val="fr-CH"/>
        </w:rPr>
        <w:t>document UP</w:t>
      </w:r>
      <w:r w:rsidR="001E77DB" w:rsidRPr="000B56F5">
        <w:rPr>
          <w:i/>
          <w:lang w:val="fr-CH"/>
        </w:rPr>
        <w:t>OV/INF/17/1 (</w:t>
      </w:r>
      <w:r w:rsidR="00B1361A" w:rsidRPr="000B56F5">
        <w:rPr>
          <w:i/>
          <w:lang w:val="fr-CH"/>
        </w:rPr>
        <w:t>document UP</w:t>
      </w:r>
      <w:r w:rsidR="001E77DB" w:rsidRPr="000B56F5">
        <w:rPr>
          <w:i/>
          <w:lang w:val="fr-CH"/>
        </w:rPr>
        <w:t>OV/INF/17/2 Draft</w:t>
      </w:r>
      <w:r w:rsidR="001045F7" w:rsidRPr="000B56F5">
        <w:rPr>
          <w:i/>
          <w:lang w:val="fr-CH"/>
        </w:rPr>
        <w:t> </w:t>
      </w:r>
      <w:r w:rsidR="001E77DB" w:rsidRPr="000B56F5">
        <w:rPr>
          <w:i/>
          <w:lang w:val="fr-CH"/>
        </w:rPr>
        <w:t xml:space="preserve">5) à leurs sessions </w:t>
      </w:r>
      <w:r w:rsidR="00F874D0" w:rsidRPr="000B56F5">
        <w:rPr>
          <w:i/>
          <w:lang w:val="fr-CH"/>
        </w:rPr>
        <w:t>de 2021</w:t>
      </w:r>
      <w:r w:rsidR="001E77DB" w:rsidRPr="000B56F5">
        <w:rPr>
          <w:i/>
          <w:lang w:val="fr-CH"/>
        </w:rPr>
        <w:t xml:space="preserve"> et</w:t>
      </w:r>
    </w:p>
    <w:p w:rsidR="00EF0D3B" w:rsidRPr="000B56F5" w:rsidRDefault="00EF0D3B" w:rsidP="00112E25">
      <w:pPr>
        <w:tabs>
          <w:tab w:val="left" w:pos="5387"/>
          <w:tab w:val="left" w:pos="5954"/>
        </w:tabs>
        <w:ind w:left="4820"/>
        <w:rPr>
          <w:i/>
          <w:lang w:val="fr-CH"/>
        </w:rPr>
      </w:pPr>
    </w:p>
    <w:p w:rsidR="00EF0D3B" w:rsidRPr="000B56F5" w:rsidRDefault="00112E25" w:rsidP="001E77DB">
      <w:pPr>
        <w:tabs>
          <w:tab w:val="left" w:pos="5387"/>
          <w:tab w:val="left" w:pos="5954"/>
        </w:tabs>
        <w:ind w:left="4820"/>
        <w:rPr>
          <w:i/>
          <w:lang w:val="fr-CH"/>
        </w:rPr>
      </w:pPr>
      <w:r w:rsidRPr="000B56F5">
        <w:rPr>
          <w:i/>
          <w:lang w:val="fr-CH"/>
        </w:rPr>
        <w:tab/>
      </w:r>
      <w:r w:rsidR="001E77DB" w:rsidRPr="000B56F5">
        <w:rPr>
          <w:i/>
          <w:lang w:val="fr-CH"/>
        </w:rPr>
        <w:t>c)</w:t>
      </w:r>
      <w:r w:rsidR="001E77DB" w:rsidRPr="000B56F5">
        <w:rPr>
          <w:i/>
          <w:lang w:val="fr-CH"/>
        </w:rPr>
        <w:tab/>
        <w:t>à noter qu</w:t>
      </w:r>
      <w:r w:rsidR="00B1361A" w:rsidRPr="000B56F5">
        <w:rPr>
          <w:i/>
          <w:lang w:val="fr-CH"/>
        </w:rPr>
        <w:t>’</w:t>
      </w:r>
      <w:r w:rsidR="001E77DB" w:rsidRPr="000B56F5">
        <w:rPr>
          <w:i/>
          <w:lang w:val="fr-CH"/>
        </w:rPr>
        <w:t xml:space="preserve">un projet de révision du </w:t>
      </w:r>
      <w:r w:rsidR="00B1361A" w:rsidRPr="000B56F5">
        <w:rPr>
          <w:i/>
          <w:lang w:val="fr-CH"/>
        </w:rPr>
        <w:t>document UP</w:t>
      </w:r>
      <w:r w:rsidR="001E77DB" w:rsidRPr="000B56F5">
        <w:rPr>
          <w:i/>
          <w:lang w:val="fr-CH"/>
        </w:rPr>
        <w:t>OV/INF/17 (UPOV/INF/17/2 Draft</w:t>
      </w:r>
      <w:r w:rsidR="001045F7" w:rsidRPr="000B56F5">
        <w:rPr>
          <w:i/>
          <w:lang w:val="fr-CH"/>
        </w:rPr>
        <w:t> </w:t>
      </w:r>
      <w:r w:rsidR="001E77DB" w:rsidRPr="000B56F5">
        <w:rPr>
          <w:i/>
          <w:lang w:val="fr-CH"/>
        </w:rPr>
        <w:t>6) serait proposé pour adoption par le Conseil à sa cinquante</w:t>
      </w:r>
      <w:r w:rsidR="00B1361A" w:rsidRPr="000B56F5">
        <w:rPr>
          <w:i/>
          <w:lang w:val="fr-CH"/>
        </w:rPr>
        <w:t>-</w:t>
      </w:r>
      <w:r w:rsidR="001E77DB" w:rsidRPr="000B56F5">
        <w:rPr>
          <w:i/>
          <w:lang w:val="fr-CH"/>
        </w:rPr>
        <w:t>cinqu</w:t>
      </w:r>
      <w:r w:rsidR="00B1361A" w:rsidRPr="000B56F5">
        <w:rPr>
          <w:i/>
          <w:lang w:val="fr-CH"/>
        </w:rPr>
        <w:t>ième session</w:t>
      </w:r>
      <w:r w:rsidR="001E77DB" w:rsidRPr="000B56F5">
        <w:rPr>
          <w:i/>
          <w:lang w:val="fr-CH"/>
        </w:rPr>
        <w:t xml:space="preserve"> prévue le 29 octobre 2021, sous réserve de l</w:t>
      </w:r>
      <w:r w:rsidR="00B1361A" w:rsidRPr="000B56F5">
        <w:rPr>
          <w:i/>
          <w:lang w:val="fr-CH"/>
        </w:rPr>
        <w:t>’</w:t>
      </w:r>
      <w:r w:rsidR="001E77DB" w:rsidRPr="000B56F5">
        <w:rPr>
          <w:i/>
          <w:lang w:val="fr-CH"/>
        </w:rPr>
        <w:t>accord du</w:t>
      </w:r>
      <w:r w:rsidR="00B1361A" w:rsidRPr="000B56F5">
        <w:rPr>
          <w:i/>
          <w:lang w:val="fr-CH"/>
        </w:rPr>
        <w:t> TC</w:t>
      </w:r>
      <w:r w:rsidR="001E77DB" w:rsidRPr="000B56F5">
        <w:rPr>
          <w:i/>
          <w:lang w:val="fr-CH"/>
        </w:rPr>
        <w:t xml:space="preserve"> à sa cinquante</w:t>
      </w:r>
      <w:r w:rsidR="00B1361A" w:rsidRPr="000B56F5">
        <w:rPr>
          <w:i/>
          <w:lang w:val="fr-CH"/>
        </w:rPr>
        <w:t>-</w:t>
      </w:r>
      <w:r w:rsidR="001E77DB" w:rsidRPr="000B56F5">
        <w:rPr>
          <w:i/>
          <w:lang w:val="fr-CH"/>
        </w:rPr>
        <w:t>sept</w:t>
      </w:r>
      <w:r w:rsidR="00B1361A" w:rsidRPr="000B56F5">
        <w:rPr>
          <w:i/>
          <w:lang w:val="fr-CH"/>
        </w:rPr>
        <w:t>ième session</w:t>
      </w:r>
      <w:r w:rsidR="001E77DB" w:rsidRPr="000B56F5">
        <w:rPr>
          <w:i/>
          <w:lang w:val="fr-CH"/>
        </w:rPr>
        <w:t xml:space="preserve"> et</w:t>
      </w:r>
      <w:r w:rsidR="00F874D0" w:rsidRPr="000B56F5">
        <w:rPr>
          <w:i/>
          <w:lang w:val="fr-CH"/>
        </w:rPr>
        <w:t xml:space="preserve"> du CAJ</w:t>
      </w:r>
      <w:r w:rsidR="001E77DB" w:rsidRPr="000B56F5">
        <w:rPr>
          <w:i/>
          <w:lang w:val="fr-CH"/>
        </w:rPr>
        <w:t xml:space="preserve"> à sa soixante</w:t>
      </w:r>
      <w:r w:rsidR="00B1361A" w:rsidRPr="000B56F5">
        <w:rPr>
          <w:i/>
          <w:lang w:val="fr-CH"/>
        </w:rPr>
        <w:t>-</w:t>
      </w:r>
      <w:r w:rsidR="001E77DB" w:rsidRPr="000B56F5">
        <w:rPr>
          <w:i/>
          <w:lang w:val="fr-CH"/>
        </w:rPr>
        <w:t>dix</w:t>
      </w:r>
      <w:r w:rsidR="00B1361A" w:rsidRPr="000B56F5">
        <w:rPr>
          <w:i/>
          <w:lang w:val="fr-CH"/>
        </w:rPr>
        <w:t>-</w:t>
      </w:r>
      <w:r w:rsidR="001E77DB" w:rsidRPr="000B56F5">
        <w:rPr>
          <w:i/>
          <w:lang w:val="fr-CH"/>
        </w:rPr>
        <w:t>huit</w:t>
      </w:r>
      <w:r w:rsidR="00B1361A" w:rsidRPr="000B56F5">
        <w:rPr>
          <w:i/>
          <w:lang w:val="fr-CH"/>
        </w:rPr>
        <w:t>ième session</w:t>
      </w:r>
      <w:r w:rsidR="001E77DB" w:rsidRPr="000B56F5">
        <w:rPr>
          <w:i/>
          <w:lang w:val="fr-CH"/>
        </w:rPr>
        <w:t xml:space="preserve"> prévue </w:t>
      </w:r>
      <w:r w:rsidR="00F874D0" w:rsidRPr="000B56F5">
        <w:rPr>
          <w:i/>
          <w:lang w:val="fr-CH"/>
        </w:rPr>
        <w:t>en 2021</w:t>
      </w:r>
      <w:r w:rsidR="001E77DB" w:rsidRPr="000B56F5">
        <w:rPr>
          <w:i/>
          <w:lang w:val="fr-CH"/>
        </w:rPr>
        <w:t>.</w:t>
      </w:r>
    </w:p>
    <w:p w:rsidR="00EF0D3B" w:rsidRPr="000B56F5" w:rsidRDefault="00EF0D3B" w:rsidP="00112E25">
      <w:pPr>
        <w:rPr>
          <w:lang w:val="fr-CH"/>
        </w:rPr>
      </w:pPr>
    </w:p>
    <w:bookmarkEnd w:id="5"/>
    <w:p w:rsidR="00EF0D3B" w:rsidRPr="000B56F5" w:rsidRDefault="00EF0D3B" w:rsidP="00112E25">
      <w:pPr>
        <w:rPr>
          <w:lang w:val="fr-CH"/>
        </w:rPr>
      </w:pPr>
    </w:p>
    <w:p w:rsidR="00F874D0" w:rsidRPr="000B56F5" w:rsidRDefault="00F874D0" w:rsidP="00112E25">
      <w:pPr>
        <w:rPr>
          <w:lang w:val="fr-CH"/>
        </w:rPr>
      </w:pPr>
    </w:p>
    <w:p w:rsidR="00EF0D3B" w:rsidRDefault="001E77DB" w:rsidP="001E77DB">
      <w:pPr>
        <w:jc w:val="right"/>
        <w:rPr>
          <w:lang w:val="fr-CH"/>
        </w:rPr>
      </w:pPr>
      <w:r w:rsidRPr="000B56F5">
        <w:rPr>
          <w:lang w:val="fr-CH"/>
        </w:rPr>
        <w:t>[L</w:t>
      </w:r>
      <w:r w:rsidR="00B1361A" w:rsidRPr="000B56F5">
        <w:rPr>
          <w:lang w:val="fr-CH"/>
        </w:rPr>
        <w:t>’</w:t>
      </w:r>
      <w:r w:rsidRPr="000B56F5">
        <w:rPr>
          <w:lang w:val="fr-CH"/>
        </w:rPr>
        <w:t>annexe suit]</w:t>
      </w:r>
    </w:p>
    <w:p w:rsidR="007750B6" w:rsidRPr="000B56F5" w:rsidRDefault="007750B6" w:rsidP="007750B6">
      <w:pPr>
        <w:jc w:val="center"/>
        <w:rPr>
          <w:lang w:val="fr-CH"/>
        </w:rPr>
      </w:pPr>
    </w:p>
    <w:p w:rsidR="00112E25" w:rsidRPr="000B56F5" w:rsidRDefault="00112E25" w:rsidP="00112E25">
      <w:pPr>
        <w:jc w:val="right"/>
        <w:rPr>
          <w:lang w:val="fr-CH"/>
        </w:rPr>
        <w:sectPr w:rsidR="00112E25" w:rsidRPr="000B56F5" w:rsidSect="00906DDC">
          <w:headerReference w:type="default" r:id="rId8"/>
          <w:pgSz w:w="11907" w:h="16840" w:code="9"/>
          <w:pgMar w:top="510" w:right="1134" w:bottom="1134" w:left="1134" w:header="510" w:footer="680" w:gutter="0"/>
          <w:cols w:space="720"/>
          <w:titlePg/>
        </w:sectPr>
      </w:pPr>
    </w:p>
    <w:p w:rsidR="00EF0D3B" w:rsidRPr="000B56F5" w:rsidRDefault="00EF0D3B" w:rsidP="00112E25">
      <w:pPr>
        <w:jc w:val="right"/>
        <w:rPr>
          <w:lang w:val="fr-CH"/>
        </w:rPr>
      </w:pPr>
    </w:p>
    <w:p w:rsidR="00EF0D3B" w:rsidRPr="000B56F5" w:rsidRDefault="001E77DB" w:rsidP="001E77DB">
      <w:pPr>
        <w:jc w:val="center"/>
        <w:rPr>
          <w:caps/>
          <w:snapToGrid w:val="0"/>
          <w:lang w:val="fr-CH"/>
        </w:rPr>
      </w:pPr>
      <w:r w:rsidRPr="000B56F5">
        <w:rPr>
          <w:caps/>
          <w:snapToGrid w:val="0"/>
          <w:lang w:val="fr-CH"/>
        </w:rPr>
        <w:t>Proposition</w:t>
      </w:r>
      <w:r w:rsidR="00F874D0" w:rsidRPr="000B56F5">
        <w:rPr>
          <w:caps/>
          <w:snapToGrid w:val="0"/>
          <w:lang w:val="fr-CH"/>
        </w:rPr>
        <w:t xml:space="preserve"> du BMT</w:t>
      </w:r>
      <w:r w:rsidRPr="000B56F5">
        <w:rPr>
          <w:caps/>
          <w:snapToGrid w:val="0"/>
          <w:lang w:val="fr-CH"/>
        </w:rPr>
        <w:t xml:space="preserve"> concernant la révision du </w:t>
      </w:r>
      <w:r w:rsidR="00B1361A" w:rsidRPr="000B56F5">
        <w:rPr>
          <w:caps/>
          <w:snapToGrid w:val="0"/>
          <w:lang w:val="fr-CH"/>
        </w:rPr>
        <w:t>document UP</w:t>
      </w:r>
      <w:r w:rsidRPr="000B56F5">
        <w:rPr>
          <w:caps/>
          <w:snapToGrid w:val="0"/>
          <w:lang w:val="fr-CH"/>
        </w:rPr>
        <w:t>OV/INF/17</w:t>
      </w:r>
    </w:p>
    <w:p w:rsidR="00EF0D3B" w:rsidRPr="000B56F5" w:rsidRDefault="00EF0D3B" w:rsidP="00112E25">
      <w:pPr>
        <w:rPr>
          <w:snapToGrid w:val="0"/>
          <w:lang w:val="fr-CH"/>
        </w:rPr>
      </w:pPr>
    </w:p>
    <w:p w:rsidR="00EF0D3B" w:rsidRPr="000B56F5" w:rsidRDefault="001E77DB" w:rsidP="001E77DB">
      <w:pPr>
        <w:rPr>
          <w:lang w:val="fr-CH"/>
        </w:rPr>
      </w:pPr>
      <w:r w:rsidRPr="00956613">
        <w:rPr>
          <w:lang w:val="fr-CH"/>
        </w:rPr>
        <w:t>TABLE DES MATIÈRES</w:t>
      </w:r>
    </w:p>
    <w:p w:rsidR="00EF0D3B" w:rsidRPr="000B56F5" w:rsidRDefault="00EF0D3B" w:rsidP="0038525D">
      <w:pPr>
        <w:jc w:val="left"/>
        <w:rPr>
          <w:lang w:val="fr-CH"/>
        </w:rPr>
      </w:pPr>
    </w:p>
    <w:p w:rsidR="0079324C" w:rsidRPr="0079324C" w:rsidRDefault="007750B6">
      <w:pPr>
        <w:pStyle w:val="TOC1"/>
        <w:tabs>
          <w:tab w:val="left" w:pos="454"/>
        </w:tabs>
        <w:rPr>
          <w:rFonts w:asciiTheme="minorHAnsi" w:eastAsiaTheme="minorEastAsia" w:hAnsiTheme="minorHAnsi" w:cstheme="minorBidi"/>
          <w:caps w:val="0"/>
          <w:snapToGrid/>
          <w:color w:val="auto"/>
          <w:sz w:val="22"/>
          <w:szCs w:val="22"/>
        </w:rPr>
      </w:pPr>
      <w:r w:rsidRPr="002959F9">
        <w:rPr>
          <w:rFonts w:cs="Arial"/>
          <w:bCs/>
          <w:shd w:val="pct15" w:color="auto" w:fill="FFFFFF"/>
        </w:rPr>
        <w:fldChar w:fldCharType="begin"/>
      </w:r>
      <w:r w:rsidRPr="002959F9">
        <w:rPr>
          <w:rFonts w:cs="Arial"/>
          <w:bCs/>
          <w:shd w:val="pct15" w:color="auto" w:fill="FFFFFF"/>
        </w:rPr>
        <w:instrText xml:space="preserve"> TOC \</w:instrText>
      </w:r>
      <w:r w:rsidR="002959F9">
        <w:rPr>
          <w:rFonts w:cs="Arial"/>
          <w:bCs/>
          <w:shd w:val="pct15" w:color="auto" w:fill="FFFFFF"/>
        </w:rPr>
        <w:instrText>b PartTwo\</w:instrText>
      </w:r>
      <w:r w:rsidRPr="002959F9">
        <w:rPr>
          <w:rFonts w:cs="Arial"/>
          <w:bCs/>
          <w:shd w:val="pct15" w:color="auto" w:fill="FFFFFF"/>
        </w:rPr>
        <w:instrText xml:space="preserve">o "1-3" </w:instrText>
      </w:r>
      <w:r w:rsidRPr="002959F9">
        <w:rPr>
          <w:rFonts w:cs="Arial"/>
          <w:bCs/>
          <w:shd w:val="pct15" w:color="auto" w:fill="FFFFFF"/>
        </w:rPr>
        <w:fldChar w:fldCharType="separate"/>
      </w:r>
      <w:r w:rsidR="0079324C">
        <w:t>A.</w:t>
      </w:r>
      <w:r w:rsidR="0079324C" w:rsidRPr="0079324C">
        <w:rPr>
          <w:rFonts w:asciiTheme="minorHAnsi" w:eastAsiaTheme="minorEastAsia" w:hAnsiTheme="minorHAnsi" w:cstheme="minorBidi"/>
          <w:caps w:val="0"/>
          <w:snapToGrid/>
          <w:color w:val="auto"/>
          <w:sz w:val="22"/>
          <w:szCs w:val="22"/>
        </w:rPr>
        <w:tab/>
      </w:r>
      <w:r w:rsidR="0079324C">
        <w:t>INTRODUCTION</w:t>
      </w:r>
      <w:r w:rsidR="0079324C">
        <w:tab/>
      </w:r>
      <w:r w:rsidR="0079324C">
        <w:fldChar w:fldCharType="begin"/>
      </w:r>
      <w:r w:rsidR="0079324C">
        <w:instrText xml:space="preserve"> PAGEREF _Toc54004890 \h </w:instrText>
      </w:r>
      <w:r w:rsidR="0079324C">
        <w:fldChar w:fldCharType="separate"/>
      </w:r>
      <w:r w:rsidR="00956613">
        <w:t>1</w:t>
      </w:r>
      <w:r w:rsidR="0079324C">
        <w:fldChar w:fldCharType="end"/>
      </w:r>
    </w:p>
    <w:p w:rsidR="0079324C" w:rsidRPr="0079324C" w:rsidRDefault="0079324C">
      <w:pPr>
        <w:pStyle w:val="TOC1"/>
        <w:tabs>
          <w:tab w:val="left" w:pos="454"/>
        </w:tabs>
        <w:rPr>
          <w:rFonts w:asciiTheme="minorHAnsi" w:eastAsiaTheme="minorEastAsia" w:hAnsiTheme="minorHAnsi" w:cstheme="minorBidi"/>
          <w:caps w:val="0"/>
          <w:snapToGrid/>
          <w:color w:val="auto"/>
          <w:sz w:val="22"/>
          <w:szCs w:val="22"/>
        </w:rPr>
      </w:pPr>
      <w:r>
        <w:t>B.</w:t>
      </w:r>
      <w:r w:rsidRPr="0079324C">
        <w:rPr>
          <w:rFonts w:asciiTheme="minorHAnsi" w:eastAsiaTheme="minorEastAsia" w:hAnsiTheme="minorHAnsi" w:cstheme="minorBidi"/>
          <w:caps w:val="0"/>
          <w:snapToGrid/>
          <w:color w:val="auto"/>
          <w:sz w:val="22"/>
          <w:szCs w:val="22"/>
        </w:rPr>
        <w:tab/>
      </w:r>
      <w:r>
        <w:t>principes généraux</w:t>
      </w:r>
      <w:r>
        <w:tab/>
      </w:r>
      <w:r>
        <w:fldChar w:fldCharType="begin"/>
      </w:r>
      <w:r>
        <w:instrText xml:space="preserve"> PAGEREF _Toc54004891 \h </w:instrText>
      </w:r>
      <w:r>
        <w:fldChar w:fldCharType="separate"/>
      </w:r>
      <w:r w:rsidR="00956613">
        <w:t>1</w:t>
      </w:r>
      <w:r>
        <w:fldChar w:fldCharType="end"/>
      </w:r>
    </w:p>
    <w:p w:rsidR="0079324C" w:rsidRPr="0079324C" w:rsidRDefault="0079324C">
      <w:pPr>
        <w:pStyle w:val="TOC2"/>
        <w:tabs>
          <w:tab w:val="left" w:pos="568"/>
        </w:tabs>
        <w:rPr>
          <w:rFonts w:asciiTheme="minorHAnsi" w:eastAsiaTheme="minorEastAsia" w:hAnsiTheme="minorHAnsi" w:cstheme="minorBidi"/>
          <w:smallCaps/>
          <w:noProof/>
          <w:sz w:val="22"/>
          <w:szCs w:val="22"/>
          <w:lang w:val="fr-CH"/>
        </w:rPr>
      </w:pPr>
      <w:r w:rsidRPr="0079324C">
        <w:rPr>
          <w:noProof/>
          <w:lang w:val="fr-CH"/>
        </w:rPr>
        <w:t>1.</w:t>
      </w:r>
      <w:r w:rsidRPr="0079324C">
        <w:rPr>
          <w:rFonts w:asciiTheme="minorHAnsi" w:eastAsiaTheme="minorEastAsia" w:hAnsiTheme="minorHAnsi" w:cstheme="minorBidi"/>
          <w:noProof/>
          <w:sz w:val="22"/>
          <w:szCs w:val="22"/>
          <w:lang w:val="fr-CH"/>
        </w:rPr>
        <w:tab/>
      </w:r>
      <w:r w:rsidRPr="0079324C">
        <w:rPr>
          <w:noProof/>
          <w:lang w:val="fr-CH"/>
        </w:rPr>
        <w:t>Sélection des marqueurs moléculaires</w:t>
      </w:r>
      <w:r w:rsidRPr="0079324C">
        <w:rPr>
          <w:noProof/>
          <w:lang w:val="fr-CH"/>
        </w:rPr>
        <w:tab/>
      </w:r>
      <w:r>
        <w:rPr>
          <w:noProof/>
        </w:rPr>
        <w:fldChar w:fldCharType="begin"/>
      </w:r>
      <w:r w:rsidRPr="0079324C">
        <w:rPr>
          <w:noProof/>
          <w:lang w:val="fr-CH"/>
        </w:rPr>
        <w:instrText xml:space="preserve"> PAGEREF _Toc54004892 \h </w:instrText>
      </w:r>
      <w:r>
        <w:rPr>
          <w:noProof/>
        </w:rPr>
      </w:r>
      <w:r>
        <w:rPr>
          <w:noProof/>
        </w:rPr>
        <w:fldChar w:fldCharType="separate"/>
      </w:r>
      <w:r w:rsidR="00956613">
        <w:rPr>
          <w:noProof/>
          <w:lang w:val="fr-CH"/>
        </w:rPr>
        <w:t>2</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1.1</w:t>
      </w:r>
      <w:r w:rsidRPr="0079324C">
        <w:rPr>
          <w:rFonts w:asciiTheme="minorHAnsi" w:eastAsiaTheme="minorEastAsia" w:hAnsiTheme="minorHAnsi" w:cstheme="minorBidi"/>
          <w:noProof/>
          <w:sz w:val="22"/>
          <w:szCs w:val="22"/>
          <w:lang w:val="fr-CH"/>
        </w:rPr>
        <w:tab/>
      </w:r>
      <w:r w:rsidRPr="00E73883">
        <w:rPr>
          <w:noProof/>
          <w:snapToGrid w:val="0"/>
        </w:rPr>
        <w:t>Ensembles de variétés pour le processus de sélection</w:t>
      </w:r>
      <w:r>
        <w:rPr>
          <w:noProof/>
        </w:rPr>
        <w:tab/>
      </w:r>
      <w:r>
        <w:rPr>
          <w:noProof/>
        </w:rPr>
        <w:fldChar w:fldCharType="begin"/>
      </w:r>
      <w:r>
        <w:rPr>
          <w:noProof/>
        </w:rPr>
        <w:instrText xml:space="preserve"> PAGEREF _Toc54004893 \h </w:instrText>
      </w:r>
      <w:r>
        <w:rPr>
          <w:noProof/>
        </w:rPr>
      </w:r>
      <w:r>
        <w:rPr>
          <w:noProof/>
        </w:rPr>
        <w:fldChar w:fldCharType="separate"/>
      </w:r>
      <w:r w:rsidR="00956613">
        <w:rPr>
          <w:noProof/>
        </w:rPr>
        <w:t>2</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1.2</w:t>
      </w:r>
      <w:r w:rsidRPr="0079324C">
        <w:rPr>
          <w:rFonts w:asciiTheme="minorHAnsi" w:eastAsiaTheme="minorEastAsia" w:hAnsiTheme="minorHAnsi" w:cstheme="minorBidi"/>
          <w:noProof/>
          <w:sz w:val="22"/>
          <w:szCs w:val="22"/>
          <w:lang w:val="fr-CH"/>
        </w:rPr>
        <w:tab/>
      </w:r>
      <w:r w:rsidRPr="00E73883">
        <w:rPr>
          <w:noProof/>
          <w:snapToGrid w:val="0"/>
        </w:rPr>
        <w:t>Marqueurs moléculaires – considérations relatives aux performances</w:t>
      </w:r>
      <w:r>
        <w:rPr>
          <w:noProof/>
        </w:rPr>
        <w:tab/>
      </w:r>
      <w:r>
        <w:rPr>
          <w:noProof/>
        </w:rPr>
        <w:fldChar w:fldCharType="begin"/>
      </w:r>
      <w:r>
        <w:rPr>
          <w:noProof/>
        </w:rPr>
        <w:instrText xml:space="preserve"> PAGEREF _Toc54004894 \h </w:instrText>
      </w:r>
      <w:r>
        <w:rPr>
          <w:noProof/>
        </w:rPr>
      </w:r>
      <w:r>
        <w:rPr>
          <w:noProof/>
        </w:rPr>
        <w:fldChar w:fldCharType="separate"/>
      </w:r>
      <w:r w:rsidR="00956613">
        <w:rPr>
          <w:noProof/>
        </w:rPr>
        <w:t>2</w:t>
      </w:r>
      <w:r>
        <w:rPr>
          <w:noProof/>
        </w:rPr>
        <w:fldChar w:fldCharType="end"/>
      </w:r>
    </w:p>
    <w:p w:rsidR="0079324C" w:rsidRPr="0079324C" w:rsidRDefault="0079324C">
      <w:pPr>
        <w:pStyle w:val="TOC2"/>
        <w:tabs>
          <w:tab w:val="left" w:pos="568"/>
        </w:tabs>
        <w:rPr>
          <w:rFonts w:asciiTheme="minorHAnsi" w:eastAsiaTheme="minorEastAsia" w:hAnsiTheme="minorHAnsi" w:cstheme="minorBidi"/>
          <w:smallCaps/>
          <w:noProof/>
          <w:sz w:val="22"/>
          <w:szCs w:val="22"/>
          <w:lang w:val="fr-CH"/>
        </w:rPr>
      </w:pPr>
      <w:r w:rsidRPr="0079324C">
        <w:rPr>
          <w:noProof/>
          <w:lang w:val="fr-CH"/>
        </w:rPr>
        <w:t>2.</w:t>
      </w:r>
      <w:r w:rsidRPr="0079324C">
        <w:rPr>
          <w:rFonts w:asciiTheme="minorHAnsi" w:eastAsiaTheme="minorEastAsia" w:hAnsiTheme="minorHAnsi" w:cstheme="minorBidi"/>
          <w:noProof/>
          <w:sz w:val="22"/>
          <w:szCs w:val="22"/>
          <w:lang w:val="fr-CH"/>
        </w:rPr>
        <w:tab/>
      </w:r>
      <w:r w:rsidRPr="0079324C">
        <w:rPr>
          <w:noProof/>
          <w:lang w:val="fr-CH"/>
        </w:rPr>
        <w:t>Sélection de la méthode de détection</w:t>
      </w:r>
      <w:r w:rsidRPr="0079324C">
        <w:rPr>
          <w:noProof/>
          <w:lang w:val="fr-CH"/>
        </w:rPr>
        <w:tab/>
      </w:r>
      <w:r>
        <w:rPr>
          <w:noProof/>
        </w:rPr>
        <w:fldChar w:fldCharType="begin"/>
      </w:r>
      <w:r w:rsidRPr="0079324C">
        <w:rPr>
          <w:noProof/>
          <w:lang w:val="fr-CH"/>
        </w:rPr>
        <w:instrText xml:space="preserve"> PAGEREF _Toc54004895 \h </w:instrText>
      </w:r>
      <w:r>
        <w:rPr>
          <w:noProof/>
        </w:rPr>
      </w:r>
      <w:r>
        <w:rPr>
          <w:noProof/>
        </w:rPr>
        <w:fldChar w:fldCharType="separate"/>
      </w:r>
      <w:r w:rsidR="00956613">
        <w:rPr>
          <w:noProof/>
          <w:lang w:val="fr-CH"/>
        </w:rPr>
        <w:t>3</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2.1</w:t>
      </w:r>
      <w:r w:rsidRPr="0079324C">
        <w:rPr>
          <w:rFonts w:asciiTheme="minorHAnsi" w:eastAsiaTheme="minorEastAsia" w:hAnsiTheme="minorHAnsi" w:cstheme="minorBidi"/>
          <w:noProof/>
          <w:sz w:val="22"/>
          <w:szCs w:val="22"/>
          <w:lang w:val="fr-CH"/>
        </w:rPr>
        <w:tab/>
      </w:r>
      <w:r w:rsidRPr="00E73883">
        <w:rPr>
          <w:noProof/>
          <w:snapToGrid w:val="0"/>
        </w:rPr>
        <w:t>Méthodes relatives aux profils d’ADN – considérations générales</w:t>
      </w:r>
      <w:r>
        <w:rPr>
          <w:noProof/>
        </w:rPr>
        <w:tab/>
      </w:r>
      <w:r>
        <w:rPr>
          <w:noProof/>
        </w:rPr>
        <w:fldChar w:fldCharType="begin"/>
      </w:r>
      <w:r>
        <w:rPr>
          <w:noProof/>
        </w:rPr>
        <w:instrText xml:space="preserve"> PAGEREF _Toc54004896 \h </w:instrText>
      </w:r>
      <w:r>
        <w:rPr>
          <w:noProof/>
        </w:rPr>
      </w:r>
      <w:r>
        <w:rPr>
          <w:noProof/>
        </w:rPr>
        <w:fldChar w:fldCharType="separate"/>
      </w:r>
      <w:r w:rsidR="00956613">
        <w:rPr>
          <w:noProof/>
        </w:rPr>
        <w:t>3</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2.2.</w:t>
      </w:r>
      <w:r w:rsidRPr="0079324C">
        <w:rPr>
          <w:rFonts w:asciiTheme="minorHAnsi" w:eastAsiaTheme="minorEastAsia" w:hAnsiTheme="minorHAnsi" w:cstheme="minorBidi"/>
          <w:noProof/>
          <w:sz w:val="22"/>
          <w:szCs w:val="22"/>
          <w:lang w:val="fr-CH"/>
        </w:rPr>
        <w:tab/>
      </w:r>
      <w:r w:rsidRPr="00E73883">
        <w:rPr>
          <w:noProof/>
          <w:snapToGrid w:val="0"/>
        </w:rPr>
        <w:t>Accès à la technologie</w:t>
      </w:r>
      <w:r>
        <w:rPr>
          <w:noProof/>
        </w:rPr>
        <w:tab/>
      </w:r>
      <w:r>
        <w:rPr>
          <w:noProof/>
        </w:rPr>
        <w:fldChar w:fldCharType="begin"/>
      </w:r>
      <w:r>
        <w:rPr>
          <w:noProof/>
        </w:rPr>
        <w:instrText xml:space="preserve"> PAGEREF _Toc54004897 \h </w:instrText>
      </w:r>
      <w:r>
        <w:rPr>
          <w:noProof/>
        </w:rPr>
      </w:r>
      <w:r>
        <w:rPr>
          <w:noProof/>
        </w:rPr>
        <w:fldChar w:fldCharType="separate"/>
      </w:r>
      <w:r w:rsidR="00956613">
        <w:rPr>
          <w:noProof/>
        </w:rPr>
        <w:t>3</w:t>
      </w:r>
      <w:r>
        <w:rPr>
          <w:noProof/>
        </w:rPr>
        <w:fldChar w:fldCharType="end"/>
      </w:r>
    </w:p>
    <w:p w:rsidR="0079324C" w:rsidRPr="0079324C" w:rsidRDefault="0079324C">
      <w:pPr>
        <w:pStyle w:val="TOC2"/>
        <w:tabs>
          <w:tab w:val="left" w:pos="568"/>
        </w:tabs>
        <w:rPr>
          <w:rFonts w:asciiTheme="minorHAnsi" w:eastAsiaTheme="minorEastAsia" w:hAnsiTheme="minorHAnsi" w:cstheme="minorBidi"/>
          <w:smallCaps/>
          <w:noProof/>
          <w:sz w:val="22"/>
          <w:szCs w:val="22"/>
          <w:lang w:val="fr-CH"/>
        </w:rPr>
      </w:pPr>
      <w:r w:rsidRPr="0079324C">
        <w:rPr>
          <w:noProof/>
          <w:lang w:val="fr-CH"/>
        </w:rPr>
        <w:t>3.</w:t>
      </w:r>
      <w:r w:rsidRPr="0079324C">
        <w:rPr>
          <w:rFonts w:asciiTheme="minorHAnsi" w:eastAsiaTheme="minorEastAsia" w:hAnsiTheme="minorHAnsi" w:cstheme="minorBidi"/>
          <w:noProof/>
          <w:sz w:val="22"/>
          <w:szCs w:val="22"/>
          <w:lang w:val="fr-CH"/>
        </w:rPr>
        <w:tab/>
      </w:r>
      <w:r w:rsidRPr="0079324C">
        <w:rPr>
          <w:noProof/>
          <w:lang w:val="fr-CH"/>
        </w:rPr>
        <w:t>Validation et harmonisation d’un ensemble de marqueurs et d’une méthode de détection</w:t>
      </w:r>
      <w:r w:rsidRPr="0079324C">
        <w:rPr>
          <w:noProof/>
          <w:lang w:val="fr-CH"/>
        </w:rPr>
        <w:tab/>
      </w:r>
      <w:r>
        <w:rPr>
          <w:noProof/>
        </w:rPr>
        <w:fldChar w:fldCharType="begin"/>
      </w:r>
      <w:r w:rsidRPr="0079324C">
        <w:rPr>
          <w:noProof/>
          <w:lang w:val="fr-CH"/>
        </w:rPr>
        <w:instrText xml:space="preserve"> PAGEREF _Toc54004898 \h </w:instrText>
      </w:r>
      <w:r>
        <w:rPr>
          <w:noProof/>
        </w:rPr>
      </w:r>
      <w:r>
        <w:rPr>
          <w:noProof/>
        </w:rPr>
        <w:fldChar w:fldCharType="separate"/>
      </w:r>
      <w:r w:rsidR="00956613">
        <w:rPr>
          <w:noProof/>
          <w:lang w:val="fr-CH"/>
        </w:rPr>
        <w:t>3</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3.1</w:t>
      </w:r>
      <w:r w:rsidRPr="0079324C">
        <w:rPr>
          <w:rFonts w:asciiTheme="minorHAnsi" w:eastAsiaTheme="minorEastAsia" w:hAnsiTheme="minorHAnsi" w:cstheme="minorBidi"/>
          <w:noProof/>
          <w:sz w:val="22"/>
          <w:szCs w:val="22"/>
          <w:lang w:val="fr-CH"/>
        </w:rPr>
        <w:tab/>
      </w:r>
      <w:r w:rsidRPr="00E73883">
        <w:rPr>
          <w:noProof/>
          <w:snapToGrid w:val="0"/>
        </w:rPr>
        <w:t>Validation et harmonisation – considérations générales</w:t>
      </w:r>
      <w:r>
        <w:rPr>
          <w:noProof/>
        </w:rPr>
        <w:tab/>
      </w:r>
      <w:r>
        <w:rPr>
          <w:noProof/>
        </w:rPr>
        <w:fldChar w:fldCharType="begin"/>
      </w:r>
      <w:r>
        <w:rPr>
          <w:noProof/>
        </w:rPr>
        <w:instrText xml:space="preserve"> PAGEREF _Toc54004899 \h </w:instrText>
      </w:r>
      <w:r>
        <w:rPr>
          <w:noProof/>
        </w:rPr>
      </w:r>
      <w:r>
        <w:rPr>
          <w:noProof/>
        </w:rPr>
        <w:fldChar w:fldCharType="separate"/>
      </w:r>
      <w:r w:rsidR="00956613">
        <w:rPr>
          <w:noProof/>
        </w:rPr>
        <w:t>3</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Pr>
          <w:noProof/>
        </w:rPr>
        <w:t>3.2</w:t>
      </w:r>
      <w:r w:rsidRPr="0079324C">
        <w:rPr>
          <w:rFonts w:asciiTheme="minorHAnsi" w:eastAsiaTheme="minorEastAsia" w:hAnsiTheme="minorHAnsi" w:cstheme="minorBidi"/>
          <w:noProof/>
          <w:sz w:val="22"/>
          <w:szCs w:val="22"/>
          <w:lang w:val="fr-CH"/>
        </w:rPr>
        <w:tab/>
      </w:r>
      <w:r>
        <w:rPr>
          <w:noProof/>
        </w:rPr>
        <w:t>Considérations relatives aux performances – validation des marqueurs et des méthodes</w:t>
      </w:r>
      <w:r>
        <w:rPr>
          <w:noProof/>
        </w:rPr>
        <w:tab/>
      </w:r>
      <w:r>
        <w:rPr>
          <w:noProof/>
        </w:rPr>
        <w:fldChar w:fldCharType="begin"/>
      </w:r>
      <w:r>
        <w:rPr>
          <w:noProof/>
        </w:rPr>
        <w:instrText xml:space="preserve"> PAGEREF _Toc54004900 \h </w:instrText>
      </w:r>
      <w:r>
        <w:rPr>
          <w:noProof/>
        </w:rPr>
      </w:r>
      <w:r>
        <w:rPr>
          <w:noProof/>
        </w:rPr>
        <w:fldChar w:fldCharType="separate"/>
      </w:r>
      <w:r w:rsidR="00956613">
        <w:rPr>
          <w:noProof/>
        </w:rPr>
        <w:t>4</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3.3</w:t>
      </w:r>
      <w:r w:rsidRPr="0079324C">
        <w:rPr>
          <w:rFonts w:asciiTheme="minorHAnsi" w:eastAsiaTheme="minorEastAsia" w:hAnsiTheme="minorHAnsi" w:cstheme="minorBidi"/>
          <w:noProof/>
          <w:sz w:val="22"/>
          <w:szCs w:val="22"/>
          <w:lang w:val="fr-CH"/>
        </w:rPr>
        <w:tab/>
      </w:r>
      <w:r w:rsidRPr="00E73883">
        <w:rPr>
          <w:noProof/>
          <w:snapToGrid w:val="0"/>
        </w:rPr>
        <w:t>Considérations relatives à la cohérence</w:t>
      </w:r>
      <w:r>
        <w:rPr>
          <w:noProof/>
        </w:rPr>
        <w:tab/>
      </w:r>
      <w:r>
        <w:rPr>
          <w:noProof/>
        </w:rPr>
        <w:fldChar w:fldCharType="begin"/>
      </w:r>
      <w:r>
        <w:rPr>
          <w:noProof/>
        </w:rPr>
        <w:instrText xml:space="preserve"> PAGEREF _Toc54004901 \h </w:instrText>
      </w:r>
      <w:r>
        <w:rPr>
          <w:noProof/>
        </w:rPr>
      </w:r>
      <w:r>
        <w:rPr>
          <w:noProof/>
        </w:rPr>
        <w:fldChar w:fldCharType="separate"/>
      </w:r>
      <w:r w:rsidR="00956613">
        <w:rPr>
          <w:noProof/>
        </w:rPr>
        <w:t>4</w:t>
      </w:r>
      <w:r>
        <w:rPr>
          <w:noProof/>
        </w:rPr>
        <w:fldChar w:fldCharType="end"/>
      </w:r>
    </w:p>
    <w:p w:rsidR="0079324C" w:rsidRPr="0079324C" w:rsidRDefault="0079324C">
      <w:pPr>
        <w:pStyle w:val="TOC2"/>
        <w:tabs>
          <w:tab w:val="left" w:pos="568"/>
        </w:tabs>
        <w:rPr>
          <w:rFonts w:asciiTheme="minorHAnsi" w:eastAsiaTheme="minorEastAsia" w:hAnsiTheme="minorHAnsi" w:cstheme="minorBidi"/>
          <w:smallCaps/>
          <w:noProof/>
          <w:sz w:val="22"/>
          <w:szCs w:val="22"/>
          <w:lang w:val="fr-CH"/>
        </w:rPr>
      </w:pPr>
      <w:r w:rsidRPr="0079324C">
        <w:rPr>
          <w:noProof/>
          <w:lang w:val="fr-CH"/>
        </w:rPr>
        <w:t>4.</w:t>
      </w:r>
      <w:r w:rsidRPr="0079324C">
        <w:rPr>
          <w:rFonts w:asciiTheme="minorHAnsi" w:eastAsiaTheme="minorEastAsia" w:hAnsiTheme="minorHAnsi" w:cstheme="minorBidi"/>
          <w:noProof/>
          <w:sz w:val="22"/>
          <w:szCs w:val="22"/>
          <w:lang w:val="fr-CH"/>
        </w:rPr>
        <w:tab/>
      </w:r>
      <w:r w:rsidRPr="0079324C">
        <w:rPr>
          <w:noProof/>
          <w:lang w:val="fr-CH"/>
        </w:rPr>
        <w:t>Construction d’une base de données spécifique à une espèce</w:t>
      </w:r>
      <w:r w:rsidRPr="0079324C">
        <w:rPr>
          <w:noProof/>
          <w:lang w:val="fr-CH"/>
        </w:rPr>
        <w:tab/>
      </w:r>
      <w:r>
        <w:rPr>
          <w:noProof/>
        </w:rPr>
        <w:fldChar w:fldCharType="begin"/>
      </w:r>
      <w:r w:rsidRPr="0079324C">
        <w:rPr>
          <w:noProof/>
          <w:lang w:val="fr-CH"/>
        </w:rPr>
        <w:instrText xml:space="preserve"> PAGEREF _Toc54004902 \h </w:instrText>
      </w:r>
      <w:r>
        <w:rPr>
          <w:noProof/>
        </w:rPr>
      </w:r>
      <w:r>
        <w:rPr>
          <w:noProof/>
        </w:rPr>
        <w:fldChar w:fldCharType="separate"/>
      </w:r>
      <w:r w:rsidR="00956613">
        <w:rPr>
          <w:noProof/>
          <w:lang w:val="fr-CH"/>
        </w:rPr>
        <w:t>4</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Pr>
          <w:noProof/>
        </w:rPr>
        <w:t>4.1</w:t>
      </w:r>
      <w:r w:rsidRPr="0079324C">
        <w:rPr>
          <w:rFonts w:asciiTheme="minorHAnsi" w:eastAsiaTheme="minorEastAsia" w:hAnsiTheme="minorHAnsi" w:cstheme="minorBidi"/>
          <w:noProof/>
          <w:sz w:val="22"/>
          <w:szCs w:val="22"/>
          <w:lang w:val="fr-CH"/>
        </w:rPr>
        <w:tab/>
      </w:r>
      <w:r>
        <w:rPr>
          <w:noProof/>
        </w:rPr>
        <w:t>Recommandations pour la conception d’une base de données</w:t>
      </w:r>
      <w:r>
        <w:rPr>
          <w:noProof/>
        </w:rPr>
        <w:tab/>
      </w:r>
      <w:r>
        <w:rPr>
          <w:noProof/>
        </w:rPr>
        <w:fldChar w:fldCharType="begin"/>
      </w:r>
      <w:r>
        <w:rPr>
          <w:noProof/>
        </w:rPr>
        <w:instrText xml:space="preserve"> PAGEREF _Toc54004903 \h </w:instrText>
      </w:r>
      <w:r>
        <w:rPr>
          <w:noProof/>
        </w:rPr>
      </w:r>
      <w:r>
        <w:rPr>
          <w:noProof/>
        </w:rPr>
        <w:fldChar w:fldCharType="separate"/>
      </w:r>
      <w:r w:rsidR="00956613">
        <w:rPr>
          <w:noProof/>
        </w:rPr>
        <w:t>5</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4.2</w:t>
      </w:r>
      <w:r w:rsidRPr="0079324C">
        <w:rPr>
          <w:rFonts w:asciiTheme="minorHAnsi" w:eastAsiaTheme="minorEastAsia" w:hAnsiTheme="minorHAnsi" w:cstheme="minorBidi"/>
          <w:noProof/>
          <w:sz w:val="22"/>
          <w:szCs w:val="22"/>
          <w:lang w:val="fr-CH"/>
        </w:rPr>
        <w:tab/>
      </w:r>
      <w:r w:rsidRPr="00E73883">
        <w:rPr>
          <w:noProof/>
          <w:snapToGrid w:val="0"/>
        </w:rPr>
        <w:t>Conditions requises pour le matériel végétal</w:t>
      </w:r>
      <w:r>
        <w:rPr>
          <w:noProof/>
        </w:rPr>
        <w:tab/>
      </w:r>
      <w:r>
        <w:rPr>
          <w:noProof/>
        </w:rPr>
        <w:fldChar w:fldCharType="begin"/>
      </w:r>
      <w:r>
        <w:rPr>
          <w:noProof/>
        </w:rPr>
        <w:instrText xml:space="preserve"> PAGEREF _Toc54004904 \h </w:instrText>
      </w:r>
      <w:r>
        <w:rPr>
          <w:noProof/>
        </w:rPr>
      </w:r>
      <w:r>
        <w:rPr>
          <w:noProof/>
        </w:rPr>
        <w:fldChar w:fldCharType="separate"/>
      </w:r>
      <w:r w:rsidR="00956613">
        <w:rPr>
          <w:noProof/>
        </w:rPr>
        <w:t>5</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Pr>
          <w:noProof/>
        </w:rPr>
        <w:t>4.3</w:t>
      </w:r>
      <w:r w:rsidRPr="0079324C">
        <w:rPr>
          <w:rFonts w:asciiTheme="minorHAnsi" w:eastAsiaTheme="minorEastAsia" w:hAnsiTheme="minorHAnsi" w:cstheme="minorBidi"/>
          <w:noProof/>
          <w:sz w:val="22"/>
          <w:szCs w:val="22"/>
          <w:lang w:val="fr-CH"/>
        </w:rPr>
        <w:tab/>
      </w:r>
      <w:r>
        <w:rPr>
          <w:noProof/>
        </w:rPr>
        <w:t>Traitements des données relatives aux séquences</w:t>
      </w:r>
      <w:r>
        <w:rPr>
          <w:noProof/>
        </w:rPr>
        <w:tab/>
      </w:r>
      <w:r>
        <w:rPr>
          <w:noProof/>
        </w:rPr>
        <w:fldChar w:fldCharType="begin"/>
      </w:r>
      <w:r>
        <w:rPr>
          <w:noProof/>
        </w:rPr>
        <w:instrText xml:space="preserve"> PAGEREF _Toc54004905 \h </w:instrText>
      </w:r>
      <w:r>
        <w:rPr>
          <w:noProof/>
        </w:rPr>
      </w:r>
      <w:r>
        <w:rPr>
          <w:noProof/>
        </w:rPr>
        <w:fldChar w:fldCharType="separate"/>
      </w:r>
      <w:r w:rsidR="00956613">
        <w:rPr>
          <w:noProof/>
        </w:rPr>
        <w:t>6</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4.4</w:t>
      </w:r>
      <w:r w:rsidRPr="0079324C">
        <w:rPr>
          <w:rFonts w:asciiTheme="minorHAnsi" w:eastAsiaTheme="minorEastAsia" w:hAnsiTheme="minorHAnsi" w:cstheme="minorBidi"/>
          <w:noProof/>
          <w:sz w:val="22"/>
          <w:szCs w:val="22"/>
          <w:lang w:val="fr-CH"/>
        </w:rPr>
        <w:tab/>
      </w:r>
      <w:r w:rsidRPr="00E73883">
        <w:rPr>
          <w:noProof/>
          <w:snapToGrid w:val="0"/>
        </w:rPr>
        <w:t>Type de base de données</w:t>
      </w:r>
      <w:r>
        <w:rPr>
          <w:noProof/>
        </w:rPr>
        <w:tab/>
      </w:r>
      <w:r>
        <w:rPr>
          <w:noProof/>
        </w:rPr>
        <w:fldChar w:fldCharType="begin"/>
      </w:r>
      <w:r>
        <w:rPr>
          <w:noProof/>
        </w:rPr>
        <w:instrText xml:space="preserve"> PAGEREF _Toc54004906 \h </w:instrText>
      </w:r>
      <w:r>
        <w:rPr>
          <w:noProof/>
        </w:rPr>
      </w:r>
      <w:r>
        <w:rPr>
          <w:noProof/>
        </w:rPr>
        <w:fldChar w:fldCharType="separate"/>
      </w:r>
      <w:r w:rsidR="00956613">
        <w:rPr>
          <w:noProof/>
        </w:rPr>
        <w:t>6</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4.5</w:t>
      </w:r>
      <w:r w:rsidRPr="0079324C">
        <w:rPr>
          <w:rFonts w:asciiTheme="minorHAnsi" w:eastAsiaTheme="minorEastAsia" w:hAnsiTheme="minorHAnsi" w:cstheme="minorBidi"/>
          <w:noProof/>
          <w:sz w:val="22"/>
          <w:szCs w:val="22"/>
          <w:lang w:val="fr-CH"/>
        </w:rPr>
        <w:tab/>
      </w:r>
      <w:r w:rsidRPr="00E73883">
        <w:rPr>
          <w:noProof/>
          <w:snapToGrid w:val="0"/>
        </w:rPr>
        <w:t>Modèle de base de données</w:t>
      </w:r>
      <w:r>
        <w:rPr>
          <w:noProof/>
        </w:rPr>
        <w:tab/>
      </w:r>
      <w:r>
        <w:rPr>
          <w:noProof/>
        </w:rPr>
        <w:fldChar w:fldCharType="begin"/>
      </w:r>
      <w:r>
        <w:rPr>
          <w:noProof/>
        </w:rPr>
        <w:instrText xml:space="preserve"> PAGEREF _Toc54004907 \h </w:instrText>
      </w:r>
      <w:r>
        <w:rPr>
          <w:noProof/>
        </w:rPr>
      </w:r>
      <w:r>
        <w:rPr>
          <w:noProof/>
        </w:rPr>
        <w:fldChar w:fldCharType="separate"/>
      </w:r>
      <w:r w:rsidR="00956613">
        <w:rPr>
          <w:noProof/>
        </w:rPr>
        <w:t>6</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4.6</w:t>
      </w:r>
      <w:r w:rsidRPr="0079324C">
        <w:rPr>
          <w:rFonts w:asciiTheme="minorHAnsi" w:eastAsiaTheme="minorEastAsia" w:hAnsiTheme="minorHAnsi" w:cstheme="minorBidi"/>
          <w:noProof/>
          <w:sz w:val="22"/>
          <w:szCs w:val="22"/>
          <w:lang w:val="fr-CH"/>
        </w:rPr>
        <w:tab/>
      </w:r>
      <w:r w:rsidRPr="00E73883">
        <w:rPr>
          <w:noProof/>
          <w:snapToGrid w:val="0"/>
        </w:rPr>
        <w:t>Dictionnaire de données</w:t>
      </w:r>
      <w:r>
        <w:rPr>
          <w:noProof/>
        </w:rPr>
        <w:tab/>
      </w:r>
      <w:r>
        <w:rPr>
          <w:noProof/>
        </w:rPr>
        <w:fldChar w:fldCharType="begin"/>
      </w:r>
      <w:r>
        <w:rPr>
          <w:noProof/>
        </w:rPr>
        <w:instrText xml:space="preserve"> PAGEREF _Toc54004908 \h </w:instrText>
      </w:r>
      <w:r>
        <w:rPr>
          <w:noProof/>
        </w:rPr>
      </w:r>
      <w:r>
        <w:rPr>
          <w:noProof/>
        </w:rPr>
        <w:fldChar w:fldCharType="separate"/>
      </w:r>
      <w:r w:rsidR="00956613">
        <w:rPr>
          <w:noProof/>
        </w:rPr>
        <w:t>7</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4.7</w:t>
      </w:r>
      <w:r w:rsidRPr="0079324C">
        <w:rPr>
          <w:rFonts w:asciiTheme="minorHAnsi" w:eastAsiaTheme="minorEastAsia" w:hAnsiTheme="minorHAnsi" w:cstheme="minorBidi"/>
          <w:noProof/>
          <w:sz w:val="22"/>
          <w:szCs w:val="22"/>
          <w:lang w:val="fr-CH"/>
        </w:rPr>
        <w:tab/>
      </w:r>
      <w:r w:rsidRPr="00E73883">
        <w:rPr>
          <w:noProof/>
          <w:snapToGrid w:val="0"/>
        </w:rPr>
        <w:t>Accès aux données et propriété des données</w:t>
      </w:r>
      <w:r>
        <w:rPr>
          <w:noProof/>
        </w:rPr>
        <w:tab/>
      </w:r>
      <w:r>
        <w:rPr>
          <w:noProof/>
        </w:rPr>
        <w:fldChar w:fldCharType="begin"/>
      </w:r>
      <w:r>
        <w:rPr>
          <w:noProof/>
        </w:rPr>
        <w:instrText xml:space="preserve"> PAGEREF _Toc54004909 \h </w:instrText>
      </w:r>
      <w:r>
        <w:rPr>
          <w:noProof/>
        </w:rPr>
      </w:r>
      <w:r>
        <w:rPr>
          <w:noProof/>
        </w:rPr>
        <w:fldChar w:fldCharType="separate"/>
      </w:r>
      <w:r w:rsidR="00956613">
        <w:rPr>
          <w:noProof/>
        </w:rPr>
        <w:t>8</w:t>
      </w:r>
      <w:r>
        <w:rPr>
          <w:noProof/>
        </w:rPr>
        <w:fldChar w:fldCharType="end"/>
      </w:r>
    </w:p>
    <w:p w:rsidR="0079324C" w:rsidRPr="0079324C" w:rsidRDefault="0079324C">
      <w:pPr>
        <w:pStyle w:val="TOC2"/>
        <w:tabs>
          <w:tab w:val="left" w:pos="568"/>
        </w:tabs>
        <w:rPr>
          <w:rFonts w:asciiTheme="minorHAnsi" w:eastAsiaTheme="minorEastAsia" w:hAnsiTheme="minorHAnsi" w:cstheme="minorBidi"/>
          <w:smallCaps/>
          <w:noProof/>
          <w:sz w:val="22"/>
          <w:szCs w:val="22"/>
          <w:lang w:val="fr-CH"/>
        </w:rPr>
      </w:pPr>
      <w:r w:rsidRPr="0079324C">
        <w:rPr>
          <w:noProof/>
          <w:lang w:val="fr-CH"/>
        </w:rPr>
        <w:t>5.</w:t>
      </w:r>
      <w:r w:rsidRPr="0079324C">
        <w:rPr>
          <w:rFonts w:asciiTheme="minorHAnsi" w:eastAsiaTheme="minorEastAsia" w:hAnsiTheme="minorHAnsi" w:cstheme="minorBidi"/>
          <w:noProof/>
          <w:sz w:val="22"/>
          <w:szCs w:val="22"/>
          <w:lang w:val="fr-CH"/>
        </w:rPr>
        <w:tab/>
      </w:r>
      <w:r w:rsidRPr="0079324C">
        <w:rPr>
          <w:noProof/>
          <w:lang w:val="fr-CH"/>
        </w:rPr>
        <w:t>Échange des données</w:t>
      </w:r>
      <w:r w:rsidRPr="0079324C">
        <w:rPr>
          <w:noProof/>
          <w:lang w:val="fr-CH"/>
        </w:rPr>
        <w:tab/>
      </w:r>
      <w:r>
        <w:rPr>
          <w:noProof/>
        </w:rPr>
        <w:fldChar w:fldCharType="begin"/>
      </w:r>
      <w:r w:rsidRPr="0079324C">
        <w:rPr>
          <w:noProof/>
          <w:lang w:val="fr-CH"/>
        </w:rPr>
        <w:instrText xml:space="preserve"> PAGEREF _Toc54004910 \h </w:instrText>
      </w:r>
      <w:r>
        <w:rPr>
          <w:noProof/>
        </w:rPr>
      </w:r>
      <w:r>
        <w:rPr>
          <w:noProof/>
        </w:rPr>
        <w:fldChar w:fldCharType="separate"/>
      </w:r>
      <w:r w:rsidR="00956613">
        <w:rPr>
          <w:noProof/>
          <w:lang w:val="fr-CH"/>
        </w:rPr>
        <w:t>8</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noProof/>
          <w:snapToGrid w:val="0"/>
        </w:rPr>
        <w:t>5.1</w:t>
      </w:r>
      <w:r w:rsidRPr="0079324C">
        <w:rPr>
          <w:rFonts w:asciiTheme="minorHAnsi" w:eastAsiaTheme="minorEastAsia" w:hAnsiTheme="minorHAnsi" w:cstheme="minorBidi"/>
          <w:noProof/>
          <w:sz w:val="22"/>
          <w:szCs w:val="22"/>
          <w:lang w:val="fr-CH"/>
        </w:rPr>
        <w:tab/>
      </w:r>
      <w:r w:rsidRPr="00E73883">
        <w:rPr>
          <w:noProof/>
          <w:snapToGrid w:val="0"/>
        </w:rPr>
        <w:t>Scénarios d’échange des données</w:t>
      </w:r>
      <w:r>
        <w:rPr>
          <w:noProof/>
        </w:rPr>
        <w:tab/>
      </w:r>
      <w:r>
        <w:rPr>
          <w:noProof/>
        </w:rPr>
        <w:fldChar w:fldCharType="begin"/>
      </w:r>
      <w:r>
        <w:rPr>
          <w:noProof/>
        </w:rPr>
        <w:instrText xml:space="preserve"> PAGEREF _Toc54004911 \h </w:instrText>
      </w:r>
      <w:r>
        <w:rPr>
          <w:noProof/>
        </w:rPr>
      </w:r>
      <w:r>
        <w:rPr>
          <w:noProof/>
        </w:rPr>
        <w:fldChar w:fldCharType="separate"/>
      </w:r>
      <w:r w:rsidR="00956613">
        <w:rPr>
          <w:noProof/>
        </w:rPr>
        <w:t>8</w:t>
      </w:r>
      <w:r>
        <w:rPr>
          <w:noProof/>
        </w:rPr>
        <w:fldChar w:fldCharType="end"/>
      </w:r>
    </w:p>
    <w:p w:rsidR="0079324C" w:rsidRPr="0079324C" w:rsidRDefault="0079324C" w:rsidP="00370338">
      <w:pPr>
        <w:pStyle w:val="TOC3"/>
        <w:rPr>
          <w:rFonts w:asciiTheme="minorHAnsi" w:eastAsiaTheme="minorEastAsia" w:hAnsiTheme="minorHAnsi" w:cstheme="minorBidi"/>
          <w:noProof/>
          <w:sz w:val="22"/>
          <w:szCs w:val="22"/>
          <w:lang w:val="fr-CH"/>
        </w:rPr>
      </w:pPr>
      <w:r w:rsidRPr="00E73883">
        <w:rPr>
          <w:rFonts w:eastAsia="Calibri"/>
          <w:noProof/>
          <w:snapToGrid w:val="0"/>
        </w:rPr>
        <w:t>5.2</w:t>
      </w:r>
      <w:r w:rsidRPr="0079324C">
        <w:rPr>
          <w:rFonts w:asciiTheme="minorHAnsi" w:eastAsiaTheme="minorEastAsia" w:hAnsiTheme="minorHAnsi" w:cstheme="minorBidi"/>
          <w:noProof/>
          <w:sz w:val="22"/>
          <w:szCs w:val="22"/>
          <w:lang w:val="fr-CH"/>
        </w:rPr>
        <w:tab/>
      </w:r>
      <w:r w:rsidRPr="00E73883">
        <w:rPr>
          <w:rFonts w:eastAsia="Calibri"/>
          <w:noProof/>
          <w:snapToGrid w:val="0"/>
        </w:rPr>
        <w:t>Méthodes d’échange de données</w:t>
      </w:r>
      <w:r>
        <w:rPr>
          <w:noProof/>
        </w:rPr>
        <w:tab/>
      </w:r>
      <w:r>
        <w:rPr>
          <w:noProof/>
        </w:rPr>
        <w:fldChar w:fldCharType="begin"/>
      </w:r>
      <w:r>
        <w:rPr>
          <w:noProof/>
        </w:rPr>
        <w:instrText xml:space="preserve"> PAGEREF _Toc54004912 \h </w:instrText>
      </w:r>
      <w:r>
        <w:rPr>
          <w:noProof/>
        </w:rPr>
      </w:r>
      <w:r>
        <w:rPr>
          <w:noProof/>
        </w:rPr>
        <w:fldChar w:fldCharType="separate"/>
      </w:r>
      <w:r w:rsidR="00956613">
        <w:rPr>
          <w:noProof/>
        </w:rPr>
        <w:t>8</w:t>
      </w:r>
      <w:r>
        <w:rPr>
          <w:noProof/>
        </w:rPr>
        <w:fldChar w:fldCharType="end"/>
      </w:r>
    </w:p>
    <w:p w:rsidR="0079324C" w:rsidRPr="0079324C" w:rsidRDefault="0079324C">
      <w:pPr>
        <w:pStyle w:val="TOC2"/>
        <w:tabs>
          <w:tab w:val="left" w:pos="568"/>
        </w:tabs>
        <w:rPr>
          <w:rFonts w:asciiTheme="minorHAnsi" w:eastAsiaTheme="minorEastAsia" w:hAnsiTheme="minorHAnsi" w:cstheme="minorBidi"/>
          <w:smallCaps/>
          <w:noProof/>
          <w:sz w:val="22"/>
          <w:szCs w:val="22"/>
          <w:lang w:val="fr-CH"/>
        </w:rPr>
      </w:pPr>
      <w:r w:rsidRPr="0079324C">
        <w:rPr>
          <w:noProof/>
          <w:lang w:val="fr-CH"/>
        </w:rPr>
        <w:t>6.</w:t>
      </w:r>
      <w:r w:rsidRPr="0079324C">
        <w:rPr>
          <w:rFonts w:asciiTheme="minorHAnsi" w:eastAsiaTheme="minorEastAsia" w:hAnsiTheme="minorHAnsi" w:cstheme="minorBidi"/>
          <w:noProof/>
          <w:sz w:val="22"/>
          <w:szCs w:val="22"/>
          <w:lang w:val="fr-CH"/>
        </w:rPr>
        <w:tab/>
      </w:r>
      <w:r w:rsidRPr="0079324C">
        <w:rPr>
          <w:noProof/>
          <w:lang w:val="fr-CH"/>
        </w:rPr>
        <w:t>Résumé</w:t>
      </w:r>
      <w:r w:rsidRPr="0079324C">
        <w:rPr>
          <w:noProof/>
          <w:lang w:val="fr-CH"/>
        </w:rPr>
        <w:tab/>
      </w:r>
      <w:r>
        <w:rPr>
          <w:noProof/>
        </w:rPr>
        <w:fldChar w:fldCharType="begin"/>
      </w:r>
      <w:r w:rsidRPr="0079324C">
        <w:rPr>
          <w:noProof/>
          <w:lang w:val="fr-CH"/>
        </w:rPr>
        <w:instrText xml:space="preserve"> PAGEREF _Toc54004913 \h </w:instrText>
      </w:r>
      <w:r>
        <w:rPr>
          <w:noProof/>
        </w:rPr>
      </w:r>
      <w:r>
        <w:rPr>
          <w:noProof/>
        </w:rPr>
        <w:fldChar w:fldCharType="separate"/>
      </w:r>
      <w:r w:rsidR="00956613">
        <w:rPr>
          <w:noProof/>
          <w:lang w:val="fr-CH"/>
        </w:rPr>
        <w:t>8</w:t>
      </w:r>
      <w:r>
        <w:rPr>
          <w:noProof/>
        </w:rPr>
        <w:fldChar w:fldCharType="end"/>
      </w:r>
    </w:p>
    <w:p w:rsidR="0079324C" w:rsidRPr="00406A48" w:rsidRDefault="0079324C">
      <w:pPr>
        <w:pStyle w:val="TOC1"/>
        <w:tabs>
          <w:tab w:val="left" w:pos="454"/>
        </w:tabs>
        <w:rPr>
          <w:rFonts w:asciiTheme="minorHAnsi" w:eastAsiaTheme="minorEastAsia" w:hAnsiTheme="minorHAnsi" w:cstheme="minorBidi"/>
          <w:caps w:val="0"/>
          <w:snapToGrid/>
          <w:color w:val="auto"/>
          <w:sz w:val="22"/>
          <w:szCs w:val="22"/>
        </w:rPr>
      </w:pPr>
      <w:r>
        <w:t>C.</w:t>
      </w:r>
      <w:r w:rsidRPr="00406A48">
        <w:rPr>
          <w:rFonts w:asciiTheme="minorHAnsi" w:eastAsiaTheme="minorEastAsia" w:hAnsiTheme="minorHAnsi" w:cstheme="minorBidi"/>
          <w:caps w:val="0"/>
          <w:snapToGrid/>
          <w:color w:val="auto"/>
          <w:sz w:val="22"/>
          <w:szCs w:val="22"/>
        </w:rPr>
        <w:tab/>
      </w:r>
      <w:r>
        <w:t>Liste des sigles</w:t>
      </w:r>
      <w:r>
        <w:tab/>
      </w:r>
      <w:r>
        <w:fldChar w:fldCharType="begin"/>
      </w:r>
      <w:r>
        <w:instrText xml:space="preserve"> PAGEREF _Toc54004914 \h </w:instrText>
      </w:r>
      <w:r>
        <w:fldChar w:fldCharType="separate"/>
      </w:r>
      <w:r w:rsidR="00956613">
        <w:t>9</w:t>
      </w:r>
      <w:r>
        <w:fldChar w:fldCharType="end"/>
      </w:r>
    </w:p>
    <w:p w:rsidR="00EF0D3B" w:rsidRDefault="007750B6" w:rsidP="00956613">
      <w:pPr>
        <w:rPr>
          <w:shd w:val="pct15" w:color="auto" w:fill="FFFFFF"/>
        </w:rPr>
      </w:pPr>
      <w:r w:rsidRPr="002959F9">
        <w:rPr>
          <w:shd w:val="pct15" w:color="auto" w:fill="FFFFFF"/>
        </w:rPr>
        <w:fldChar w:fldCharType="end"/>
      </w:r>
    </w:p>
    <w:p w:rsidR="00956613" w:rsidRPr="00406A48" w:rsidRDefault="00956613" w:rsidP="00956613">
      <w:pPr>
        <w:rPr>
          <w:shd w:val="pct15" w:color="auto" w:fill="FFFFFF"/>
          <w:lang w:val="fr-CH"/>
        </w:rPr>
      </w:pPr>
    </w:p>
    <w:p w:rsidR="00EF0D3B" w:rsidRPr="000B56F5" w:rsidRDefault="001E77DB" w:rsidP="0038525D">
      <w:pPr>
        <w:pStyle w:val="Heading1"/>
      </w:pPr>
      <w:bookmarkStart w:id="18" w:name="_Toc54004670"/>
      <w:bookmarkStart w:id="19" w:name="_Toc54004890"/>
      <w:bookmarkStart w:id="20" w:name="PartTwo"/>
      <w:r w:rsidRPr="000B56F5">
        <w:t>A.</w:t>
      </w:r>
      <w:r w:rsidRPr="000B56F5">
        <w:tab/>
        <w:t>INTRODUCTION</w:t>
      </w:r>
      <w:bookmarkEnd w:id="18"/>
      <w:bookmarkEnd w:id="19"/>
    </w:p>
    <w:p w:rsidR="00EF0D3B" w:rsidRPr="000B56F5" w:rsidRDefault="00EF0D3B" w:rsidP="00112E25">
      <w:pPr>
        <w:rPr>
          <w:lang w:val="fr-CH"/>
        </w:rPr>
      </w:pPr>
    </w:p>
    <w:p w:rsidR="00EF0D3B" w:rsidRPr="000B56F5" w:rsidRDefault="001E77DB" w:rsidP="001E77DB">
      <w:pPr>
        <w:rPr>
          <w:lang w:val="fr-CH"/>
        </w:rPr>
      </w:pPr>
      <w:r w:rsidRPr="000B56F5">
        <w:rPr>
          <w:lang w:val="fr-CH"/>
        </w:rPr>
        <w:t>Le présent document (Directives BMT) contient des directives sur des principes harmonisés relatifs à l</w:t>
      </w:r>
      <w:r w:rsidR="00B1361A" w:rsidRPr="000B56F5">
        <w:rPr>
          <w:lang w:val="fr-CH"/>
        </w:rPr>
        <w:t>’</w:t>
      </w:r>
      <w:r w:rsidRPr="000B56F5">
        <w:rPr>
          <w:lang w:val="fr-CH"/>
        </w:rPr>
        <w:t>utilisation de marqueurs moléculaires qui serviront à produire des données moléculaires de haute qualité destinées à diverses applicatio</w:t>
      </w:r>
      <w:r w:rsidR="00D47A05" w:rsidRPr="000B56F5">
        <w:rPr>
          <w:lang w:val="fr-CH"/>
        </w:rPr>
        <w:t>ns.  Se</w:t>
      </w:r>
      <w:r w:rsidRPr="000B56F5">
        <w:rPr>
          <w:lang w:val="fr-CH"/>
        </w:rPr>
        <w:t>uls les marqueurs moléculaires d</w:t>
      </w:r>
      <w:r w:rsidR="00B1361A" w:rsidRPr="000B56F5">
        <w:rPr>
          <w:lang w:val="fr-CH"/>
        </w:rPr>
        <w:t>’</w:t>
      </w:r>
      <w:r w:rsidRPr="000B56F5">
        <w:rPr>
          <w:lang w:val="fr-CH"/>
        </w:rPr>
        <w:t>ADN sont examinés dans le présent document.</w:t>
      </w:r>
    </w:p>
    <w:p w:rsidR="00EF0D3B" w:rsidRPr="000B56F5" w:rsidRDefault="00EF0D3B" w:rsidP="00112E25">
      <w:pPr>
        <w:rPr>
          <w:lang w:val="fr-CH"/>
        </w:rPr>
      </w:pPr>
    </w:p>
    <w:p w:rsidR="00EF0D3B" w:rsidRPr="000B56F5" w:rsidRDefault="001E77DB" w:rsidP="001E77DB">
      <w:pPr>
        <w:rPr>
          <w:lang w:val="fr-CH"/>
        </w:rPr>
      </w:pPr>
      <w:r w:rsidRPr="000B56F5">
        <w:rPr>
          <w:lang w:val="fr-CH"/>
        </w:rPr>
        <w:t>Les Directives BMT ont également pour but de permettre l</w:t>
      </w:r>
      <w:r w:rsidR="00B1361A" w:rsidRPr="000B56F5">
        <w:rPr>
          <w:lang w:val="fr-CH"/>
        </w:rPr>
        <w:t>’</w:t>
      </w:r>
      <w:r w:rsidRPr="000B56F5">
        <w:rPr>
          <w:lang w:val="fr-CH"/>
        </w:rPr>
        <w:t>élaboration de bases de données contenant des profils moléculaires de variétés végétales, qui peuvent être produits dans différents laboratoires à l</w:t>
      </w:r>
      <w:r w:rsidR="00B1361A" w:rsidRPr="000B56F5">
        <w:rPr>
          <w:lang w:val="fr-CH"/>
        </w:rPr>
        <w:t>’</w:t>
      </w:r>
      <w:r w:rsidRPr="000B56F5">
        <w:rPr>
          <w:lang w:val="fr-CH"/>
        </w:rPr>
        <w:t>aide de diverses techniqu</w:t>
      </w:r>
      <w:r w:rsidR="00D47A05" w:rsidRPr="000B56F5">
        <w:rPr>
          <w:lang w:val="fr-CH"/>
        </w:rPr>
        <w:t>es.  En</w:t>
      </w:r>
      <w:r w:rsidRPr="000B56F5">
        <w:rPr>
          <w:lang w:val="fr-CH"/>
        </w:rPr>
        <w:t xml:space="preserve"> outre, l</w:t>
      </w:r>
      <w:r w:rsidR="00B1361A" w:rsidRPr="000B56F5">
        <w:rPr>
          <w:lang w:val="fr-CH"/>
        </w:rPr>
        <w:t>’</w:t>
      </w:r>
      <w:r w:rsidRPr="000B56F5">
        <w:rPr>
          <w:lang w:val="fr-CH"/>
        </w:rPr>
        <w:t>objectif est de définir des exigences élevées en ce qui concerne la qualité de marqueurs et l</w:t>
      </w:r>
      <w:r w:rsidR="00B1361A" w:rsidRPr="000B56F5">
        <w:rPr>
          <w:lang w:val="fr-CH"/>
        </w:rPr>
        <w:t>’</w:t>
      </w:r>
      <w:r w:rsidRPr="000B56F5">
        <w:rPr>
          <w:lang w:val="fr-CH"/>
        </w:rPr>
        <w:t>intérêt de générer des données reproductibles à l</w:t>
      </w:r>
      <w:r w:rsidR="00B1361A" w:rsidRPr="000B56F5">
        <w:rPr>
          <w:lang w:val="fr-CH"/>
        </w:rPr>
        <w:t>’</w:t>
      </w:r>
      <w:r w:rsidRPr="000B56F5">
        <w:rPr>
          <w:lang w:val="fr-CH"/>
        </w:rPr>
        <w:t>aide de ces marqueurs dans des situations où le matériel ou les réactifs chimiques peuvent vari</w:t>
      </w:r>
      <w:r w:rsidR="00D47A05" w:rsidRPr="000B56F5">
        <w:rPr>
          <w:lang w:val="fr-CH"/>
        </w:rPr>
        <w:t>er.  De</w:t>
      </w:r>
      <w:r w:rsidRPr="000B56F5">
        <w:rPr>
          <w:lang w:val="fr-CH"/>
        </w:rPr>
        <w:t>s précautions particulières doivent être prises pour assurer la qualité des données saisies dans la base de données.”</w:t>
      </w:r>
    </w:p>
    <w:p w:rsidR="00EF0D3B" w:rsidRPr="000B56F5" w:rsidRDefault="00EF0D3B" w:rsidP="00112E25">
      <w:pPr>
        <w:rPr>
          <w:lang w:val="fr-CH"/>
        </w:rPr>
      </w:pPr>
    </w:p>
    <w:p w:rsidR="00EF0D3B" w:rsidRPr="000B56F5" w:rsidRDefault="00EF0D3B" w:rsidP="00112E25">
      <w:pPr>
        <w:rPr>
          <w:lang w:val="fr-CH"/>
        </w:rPr>
      </w:pPr>
    </w:p>
    <w:p w:rsidR="00EF0D3B" w:rsidRPr="000B56F5" w:rsidRDefault="002959F9" w:rsidP="0038525D">
      <w:pPr>
        <w:pStyle w:val="Heading1"/>
      </w:pPr>
      <w:bookmarkStart w:id="21" w:name="_Toc54004671"/>
      <w:bookmarkStart w:id="22" w:name="_Toc54004891"/>
      <w:r>
        <w:t>B.</w:t>
      </w:r>
      <w:r>
        <w:tab/>
      </w:r>
      <w:r w:rsidR="001E77DB" w:rsidRPr="000B56F5">
        <w:t>principes généraux</w:t>
      </w:r>
      <w:bookmarkEnd w:id="21"/>
      <w:bookmarkEnd w:id="22"/>
    </w:p>
    <w:p w:rsidR="00EF0D3B" w:rsidRPr="000B56F5" w:rsidRDefault="00EF0D3B" w:rsidP="00112E25">
      <w:pPr>
        <w:rPr>
          <w:lang w:val="fr-CH"/>
        </w:rPr>
      </w:pPr>
    </w:p>
    <w:p w:rsidR="00EF0D3B" w:rsidRPr="000B56F5" w:rsidRDefault="001E77DB" w:rsidP="001E77DB">
      <w:pPr>
        <w:rPr>
          <w:lang w:val="fr-CH"/>
        </w:rPr>
      </w:pPr>
      <w:r w:rsidRPr="000B56F5">
        <w:rPr>
          <w:lang w:val="fr-CH"/>
        </w:rPr>
        <w:t>Aux fins de l</w:t>
      </w:r>
      <w:r w:rsidR="00B1361A" w:rsidRPr="000B56F5">
        <w:rPr>
          <w:lang w:val="fr-CH"/>
        </w:rPr>
        <w:t>’</w:t>
      </w:r>
      <w:r w:rsidRPr="000B56F5">
        <w:rPr>
          <w:lang w:val="fr-CH"/>
        </w:rPr>
        <w:t>établissement du profil d</w:t>
      </w:r>
      <w:r w:rsidR="00B1361A" w:rsidRPr="000B56F5">
        <w:rPr>
          <w:lang w:val="fr-CH"/>
        </w:rPr>
        <w:t>’</w:t>
      </w:r>
      <w:r w:rsidRPr="000B56F5">
        <w:rPr>
          <w:lang w:val="fr-CH"/>
        </w:rPr>
        <w:t>ADN d</w:t>
      </w:r>
      <w:r w:rsidR="00B1361A" w:rsidRPr="000B56F5">
        <w:rPr>
          <w:lang w:val="fr-CH"/>
        </w:rPr>
        <w:t>’</w:t>
      </w:r>
      <w:r w:rsidRPr="000B56F5">
        <w:rPr>
          <w:lang w:val="fr-CH"/>
        </w:rPr>
        <w:t>une variété végétale, un ensemble de marqueurs moléculaires et une méthode de détection des marqueurs sont requ</w:t>
      </w:r>
      <w:r w:rsidR="00D47A05" w:rsidRPr="000B56F5">
        <w:rPr>
          <w:lang w:val="fr-CH"/>
        </w:rPr>
        <w:t>is.  De</w:t>
      </w:r>
      <w:r w:rsidRPr="000B56F5">
        <w:rPr>
          <w:lang w:val="fr-CH"/>
        </w:rPr>
        <w:t>ux</w:t>
      </w:r>
      <w:r w:rsidR="00DF1A3F" w:rsidRPr="000B56F5">
        <w:rPr>
          <w:lang w:val="fr-CH"/>
        </w:rPr>
        <w:t> </w:t>
      </w:r>
      <w:r w:rsidRPr="000B56F5">
        <w:rPr>
          <w:lang w:val="fr-CH"/>
        </w:rPr>
        <w:t>ensembles distincts de marqueurs moléculaires détectés au moyen d</w:t>
      </w:r>
      <w:r w:rsidR="00B1361A" w:rsidRPr="000B56F5">
        <w:rPr>
          <w:lang w:val="fr-CH"/>
        </w:rPr>
        <w:t>’</w:t>
      </w:r>
      <w:r w:rsidRPr="000B56F5">
        <w:rPr>
          <w:lang w:val="fr-CH"/>
        </w:rPr>
        <w:t>une même méthode donneront deux</w:t>
      </w:r>
      <w:r w:rsidR="00DF1A3F" w:rsidRPr="000B56F5">
        <w:rPr>
          <w:lang w:val="fr-CH"/>
        </w:rPr>
        <w:t> </w:t>
      </w:r>
      <w:r w:rsidRPr="000B56F5">
        <w:rPr>
          <w:lang w:val="fr-CH"/>
        </w:rPr>
        <w:t>profils d</w:t>
      </w:r>
      <w:r w:rsidR="00B1361A" w:rsidRPr="000B56F5">
        <w:rPr>
          <w:lang w:val="fr-CH"/>
        </w:rPr>
        <w:t>’</w:t>
      </w:r>
      <w:r w:rsidRPr="000B56F5">
        <w:rPr>
          <w:lang w:val="fr-CH"/>
        </w:rPr>
        <w:t>ADN distincts pour une variété donn</w:t>
      </w:r>
      <w:r w:rsidR="00D47A05" w:rsidRPr="000B56F5">
        <w:rPr>
          <w:lang w:val="fr-CH"/>
        </w:rPr>
        <w:t>ée.  En</w:t>
      </w:r>
      <w:r w:rsidRPr="000B56F5">
        <w:rPr>
          <w:lang w:val="fr-CH"/>
        </w:rPr>
        <w:t xml:space="preserve"> revanche, deux</w:t>
      </w:r>
      <w:r w:rsidR="00DF1A3F" w:rsidRPr="000B56F5">
        <w:rPr>
          <w:lang w:val="fr-CH"/>
        </w:rPr>
        <w:t> </w:t>
      </w:r>
      <w:r w:rsidRPr="000B56F5">
        <w:rPr>
          <w:lang w:val="fr-CH"/>
        </w:rPr>
        <w:t>méthodes distinctes pour détecter les allèles spécifiques d</w:t>
      </w:r>
      <w:r w:rsidR="00B1361A" w:rsidRPr="000B56F5">
        <w:rPr>
          <w:lang w:val="fr-CH"/>
        </w:rPr>
        <w:t>’</w:t>
      </w:r>
      <w:r w:rsidRPr="000B56F5">
        <w:rPr>
          <w:lang w:val="fr-CH"/>
        </w:rPr>
        <w:t>un marqueur moléculaire donné sont censées donner des profils d</w:t>
      </w:r>
      <w:r w:rsidR="00B1361A" w:rsidRPr="000B56F5">
        <w:rPr>
          <w:lang w:val="fr-CH"/>
        </w:rPr>
        <w:t>’</w:t>
      </w:r>
      <w:r w:rsidRPr="000B56F5">
        <w:rPr>
          <w:lang w:val="fr-CH"/>
        </w:rPr>
        <w:t>ADN identiqu</w:t>
      </w:r>
      <w:r w:rsidR="00D47A05" w:rsidRPr="000B56F5">
        <w:rPr>
          <w:lang w:val="fr-CH"/>
        </w:rPr>
        <w:t>es.  La</w:t>
      </w:r>
      <w:r w:rsidRPr="000B56F5">
        <w:rPr>
          <w:lang w:val="fr-CH"/>
        </w:rPr>
        <w:t xml:space="preserve"> normalisation de la méthode de détection et de la technologie n</w:t>
      </w:r>
      <w:r w:rsidR="00B1361A" w:rsidRPr="000B56F5">
        <w:rPr>
          <w:lang w:val="fr-CH"/>
        </w:rPr>
        <w:t>’</w:t>
      </w:r>
      <w:r w:rsidRPr="000B56F5">
        <w:rPr>
          <w:lang w:val="fr-CH"/>
        </w:rPr>
        <w:t>est pas requise, dès lors que les résultats remplissent les critères de qualité et que les profils d</w:t>
      </w:r>
      <w:r w:rsidR="00B1361A" w:rsidRPr="000B56F5">
        <w:rPr>
          <w:lang w:val="fr-CH"/>
        </w:rPr>
        <w:t>’</w:t>
      </w:r>
      <w:r w:rsidRPr="000B56F5">
        <w:rPr>
          <w:lang w:val="fr-CH"/>
        </w:rPr>
        <w:t>ADN résultants sont cohéren</w:t>
      </w:r>
      <w:r w:rsidR="00D47A05" w:rsidRPr="000B56F5">
        <w:rPr>
          <w:lang w:val="fr-CH"/>
        </w:rPr>
        <w:t>ts.  Qu</w:t>
      </w:r>
      <w:r w:rsidRPr="000B56F5">
        <w:rPr>
          <w:lang w:val="fr-CH"/>
        </w:rPr>
        <w:t>elle que soit la technologie utilisée pour détecter les ensembles de marqueurs définis, le génotype d</w:t>
      </w:r>
      <w:r w:rsidR="00B1361A" w:rsidRPr="000B56F5">
        <w:rPr>
          <w:lang w:val="fr-CH"/>
        </w:rPr>
        <w:t>’</w:t>
      </w:r>
      <w:r w:rsidRPr="000B56F5">
        <w:rPr>
          <w:lang w:val="fr-CH"/>
        </w:rPr>
        <w:t>une variété particulière ne devrait pas être affecté.</w:t>
      </w:r>
    </w:p>
    <w:p w:rsidR="00EF0D3B" w:rsidRPr="000B56F5" w:rsidRDefault="00EF0D3B" w:rsidP="00112E25">
      <w:pPr>
        <w:rPr>
          <w:lang w:val="fr-CH"/>
        </w:rPr>
      </w:pPr>
    </w:p>
    <w:p w:rsidR="00EF0D3B" w:rsidRPr="000B56F5" w:rsidRDefault="001E77DB" w:rsidP="001E77DB">
      <w:pPr>
        <w:rPr>
          <w:lang w:val="fr-CH"/>
        </w:rPr>
      </w:pPr>
      <w:r w:rsidRPr="000B56F5">
        <w:rPr>
          <w:lang w:val="fr-CH"/>
        </w:rPr>
        <w:t>Les ensembles de marqueurs moléculaires, les méthodes de détection de marqueurs et le processus ultérieur d</w:t>
      </w:r>
      <w:r w:rsidR="00B1361A" w:rsidRPr="000B56F5">
        <w:rPr>
          <w:lang w:val="fr-CH"/>
        </w:rPr>
        <w:t>’</w:t>
      </w:r>
      <w:r w:rsidRPr="000B56F5">
        <w:rPr>
          <w:lang w:val="fr-CH"/>
        </w:rPr>
        <w:t>élaboration de bases de données peuvent être divisés en cinq</w:t>
      </w:r>
      <w:r w:rsidR="00DF1A3F" w:rsidRPr="000B56F5">
        <w:rPr>
          <w:lang w:val="fr-CH"/>
        </w:rPr>
        <w:t> </w:t>
      </w:r>
      <w:r w:rsidRPr="000B56F5">
        <w:rPr>
          <w:lang w:val="fr-CH"/>
        </w:rPr>
        <w:t>phases distinctes</w:t>
      </w:r>
      <w:r w:rsidR="00B1361A" w:rsidRPr="000B56F5">
        <w:rPr>
          <w:lang w:val="fr-CH"/>
        </w:rPr>
        <w:t> :</w:t>
      </w:r>
    </w:p>
    <w:p w:rsidR="00EF0D3B" w:rsidRPr="000B56F5" w:rsidRDefault="00EF0D3B" w:rsidP="00112E25">
      <w:pPr>
        <w:rPr>
          <w:lang w:val="fr-CH"/>
        </w:rPr>
      </w:pPr>
    </w:p>
    <w:p w:rsidR="00EF0D3B" w:rsidRPr="000B56F5" w:rsidRDefault="001E77DB" w:rsidP="007345EE">
      <w:pPr>
        <w:ind w:firstLine="567"/>
        <w:rPr>
          <w:lang w:val="fr-CH"/>
        </w:rPr>
      </w:pPr>
      <w:r w:rsidRPr="000B56F5">
        <w:rPr>
          <w:lang w:val="fr-CH"/>
        </w:rPr>
        <w:t>1.</w:t>
      </w:r>
      <w:r w:rsidRPr="000B56F5">
        <w:rPr>
          <w:lang w:val="fr-CH"/>
        </w:rPr>
        <w:tab/>
        <w:t>Sélection des marqueurs moléculaires</w:t>
      </w:r>
    </w:p>
    <w:p w:rsidR="00EF0D3B" w:rsidRPr="000B56F5" w:rsidRDefault="001E77DB" w:rsidP="007345EE">
      <w:pPr>
        <w:ind w:firstLine="567"/>
        <w:rPr>
          <w:lang w:val="fr-CH"/>
        </w:rPr>
      </w:pPr>
      <w:r w:rsidRPr="000B56F5">
        <w:rPr>
          <w:lang w:val="fr-CH"/>
        </w:rPr>
        <w:t>2.</w:t>
      </w:r>
      <w:r w:rsidRPr="000B56F5">
        <w:rPr>
          <w:lang w:val="fr-CH"/>
        </w:rPr>
        <w:tab/>
        <w:t>Sélection de la méthode de détection</w:t>
      </w:r>
    </w:p>
    <w:p w:rsidR="00EF0D3B" w:rsidRPr="000B56F5" w:rsidRDefault="001E77DB" w:rsidP="007345EE">
      <w:pPr>
        <w:ind w:firstLine="567"/>
        <w:rPr>
          <w:lang w:val="fr-CH"/>
        </w:rPr>
      </w:pPr>
      <w:r w:rsidRPr="000B56F5">
        <w:rPr>
          <w:lang w:val="fr-CH"/>
        </w:rPr>
        <w:t>3.</w:t>
      </w:r>
      <w:r w:rsidRPr="000B56F5">
        <w:rPr>
          <w:lang w:val="fr-CH"/>
        </w:rPr>
        <w:tab/>
        <w:t>Validation et harmonisation de la méthode de détection</w:t>
      </w:r>
    </w:p>
    <w:p w:rsidR="00EF0D3B" w:rsidRPr="000B56F5" w:rsidRDefault="00C752BF" w:rsidP="007345EE">
      <w:pPr>
        <w:ind w:firstLine="567"/>
        <w:rPr>
          <w:lang w:val="fr-CH"/>
        </w:rPr>
      </w:pPr>
      <w:r>
        <w:rPr>
          <w:lang w:val="fr-CH"/>
        </w:rPr>
        <w:t>4.</w:t>
      </w:r>
      <w:r w:rsidR="001E77DB" w:rsidRPr="000B56F5">
        <w:rPr>
          <w:lang w:val="fr-CH"/>
        </w:rPr>
        <w:tab/>
        <w:t>Construction de la base de données</w:t>
      </w:r>
    </w:p>
    <w:p w:rsidR="00EF0D3B" w:rsidRPr="000B56F5" w:rsidRDefault="00C752BF" w:rsidP="007345EE">
      <w:pPr>
        <w:ind w:firstLine="567"/>
        <w:rPr>
          <w:shd w:val="pct15" w:color="auto" w:fill="FFFFFF"/>
          <w:lang w:val="fr-CH"/>
        </w:rPr>
      </w:pPr>
      <w:r>
        <w:rPr>
          <w:lang w:val="fr-CH"/>
        </w:rPr>
        <w:t>5.</w:t>
      </w:r>
      <w:r w:rsidR="001E77DB" w:rsidRPr="000B56F5">
        <w:rPr>
          <w:lang w:val="fr-CH"/>
        </w:rPr>
        <w:tab/>
        <w:t>Échange des données</w:t>
      </w:r>
    </w:p>
    <w:p w:rsidR="00EF0D3B" w:rsidRPr="000B56F5" w:rsidRDefault="00EF0D3B" w:rsidP="00112E25">
      <w:pPr>
        <w:rPr>
          <w:u w:val="single"/>
          <w:shd w:val="pct15" w:color="auto" w:fill="FFFFFF"/>
          <w:lang w:val="fr-CH"/>
        </w:rPr>
      </w:pPr>
    </w:p>
    <w:p w:rsidR="00EF0D3B" w:rsidRPr="000B56F5" w:rsidRDefault="001E77DB" w:rsidP="001E77DB">
      <w:pPr>
        <w:rPr>
          <w:shd w:val="pct15" w:color="auto" w:fill="FFFFFF"/>
          <w:lang w:val="fr-CH"/>
        </w:rPr>
      </w:pPr>
      <w:r w:rsidRPr="000B56F5">
        <w:rPr>
          <w:lang w:val="fr-CH"/>
        </w:rPr>
        <w:t>Le présent document décrit ces différentes phases de façon plus détaill</w:t>
      </w:r>
      <w:r w:rsidR="00D47A05" w:rsidRPr="000B56F5">
        <w:rPr>
          <w:lang w:val="fr-CH"/>
        </w:rPr>
        <w:t>ée.  Il</w:t>
      </w:r>
      <w:r w:rsidRPr="000B56F5">
        <w:rPr>
          <w:lang w:val="fr-CH"/>
        </w:rPr>
        <w:t xml:space="preserve"> est considéré que ces phases sont indépendantes du stade de développement des technologies pour l</w:t>
      </w:r>
      <w:r w:rsidR="00B1361A" w:rsidRPr="000B56F5">
        <w:rPr>
          <w:lang w:val="fr-CH"/>
        </w:rPr>
        <w:t>’</w:t>
      </w:r>
      <w:r w:rsidRPr="000B56F5">
        <w:rPr>
          <w:lang w:val="fr-CH"/>
        </w:rPr>
        <w:t>établissement de descriptions de génotypes et des améliorations futures en matière de séquençage à haut débit.</w:t>
      </w:r>
    </w:p>
    <w:p w:rsidR="00EF0D3B" w:rsidRPr="000B56F5" w:rsidRDefault="00EF0D3B" w:rsidP="00112E25">
      <w:pPr>
        <w:rPr>
          <w:lang w:val="fr-CH"/>
        </w:rPr>
      </w:pPr>
    </w:p>
    <w:p w:rsidR="00EF0D3B" w:rsidRPr="00406A48" w:rsidRDefault="000E6DCA" w:rsidP="0038525D">
      <w:pPr>
        <w:pStyle w:val="Heading2"/>
        <w:rPr>
          <w:lang w:val="fr-CH"/>
        </w:rPr>
      </w:pPr>
      <w:bookmarkStart w:id="23" w:name="_Toc54004672"/>
      <w:bookmarkStart w:id="24" w:name="_Toc54004892"/>
      <w:r w:rsidRPr="00406A48">
        <w:rPr>
          <w:lang w:val="fr-CH"/>
        </w:rPr>
        <w:t>1.</w:t>
      </w:r>
      <w:r w:rsidRPr="00406A48">
        <w:rPr>
          <w:lang w:val="fr-CH"/>
        </w:rPr>
        <w:tab/>
        <w:t>Sélection des marqueurs moléculaires</w:t>
      </w:r>
      <w:bookmarkEnd w:id="23"/>
      <w:bookmarkEnd w:id="24"/>
    </w:p>
    <w:p w:rsidR="00EF0D3B" w:rsidRPr="000B56F5" w:rsidRDefault="00EF0D3B" w:rsidP="00112E25">
      <w:pPr>
        <w:rPr>
          <w:lang w:val="fr-CH"/>
        </w:rPr>
      </w:pPr>
    </w:p>
    <w:p w:rsidR="00EF0D3B" w:rsidRPr="001167F2" w:rsidRDefault="000E6DCA" w:rsidP="009F1754">
      <w:pPr>
        <w:pStyle w:val="Heading3"/>
        <w:rPr>
          <w:snapToGrid w:val="0"/>
          <w:lang w:val="fr-CH"/>
        </w:rPr>
      </w:pPr>
      <w:bookmarkStart w:id="25" w:name="_Toc54004673"/>
      <w:bookmarkStart w:id="26" w:name="_Toc54004893"/>
      <w:r w:rsidRPr="001167F2">
        <w:rPr>
          <w:snapToGrid w:val="0"/>
          <w:lang w:val="fr-CH"/>
        </w:rPr>
        <w:t>1.1</w:t>
      </w:r>
      <w:r w:rsidRPr="001167F2">
        <w:rPr>
          <w:snapToGrid w:val="0"/>
          <w:lang w:val="fr-CH"/>
        </w:rPr>
        <w:tab/>
        <w:t>Ensembles de variétés pour le processus de sélection</w:t>
      </w:r>
      <w:bookmarkEnd w:id="25"/>
      <w:bookmarkEnd w:id="26"/>
    </w:p>
    <w:p w:rsidR="00EF0D3B" w:rsidRPr="000B56F5" w:rsidRDefault="00EF0D3B" w:rsidP="00112E25">
      <w:pPr>
        <w:rPr>
          <w:lang w:val="fr-CH"/>
        </w:rPr>
      </w:pPr>
    </w:p>
    <w:p w:rsidR="00EF0D3B" w:rsidRPr="000B56F5" w:rsidRDefault="000E6DCA" w:rsidP="000E6DCA">
      <w:pPr>
        <w:rPr>
          <w:u w:val="double"/>
          <w:lang w:val="fr-CH"/>
        </w:rPr>
      </w:pPr>
      <w:r w:rsidRPr="000B56F5">
        <w:rPr>
          <w:lang w:val="fr-CH"/>
        </w:rPr>
        <w:t>Pour les profils d</w:t>
      </w:r>
      <w:r w:rsidR="00B1361A" w:rsidRPr="000B56F5">
        <w:rPr>
          <w:lang w:val="fr-CH"/>
        </w:rPr>
        <w:t>’</w:t>
      </w:r>
      <w:r w:rsidRPr="000B56F5">
        <w:rPr>
          <w:lang w:val="fr-CH"/>
        </w:rPr>
        <w:t>ADN des variétés végétales et la construction de bases de données, les marqueurs moléculaires devraient être sélectionnés en fonction de l</w:t>
      </w:r>
      <w:r w:rsidR="00B1361A" w:rsidRPr="000B56F5">
        <w:rPr>
          <w:lang w:val="fr-CH"/>
        </w:rPr>
        <w:t>’</w:t>
      </w:r>
      <w:r w:rsidRPr="000B56F5">
        <w:rPr>
          <w:lang w:val="fr-CH"/>
        </w:rPr>
        <w:t>objectif à atteind</w:t>
      </w:r>
      <w:r w:rsidR="00D47A05" w:rsidRPr="000B56F5">
        <w:rPr>
          <w:lang w:val="fr-CH"/>
        </w:rPr>
        <w:t>re.  Po</w:t>
      </w:r>
      <w:r w:rsidRPr="000B56F5">
        <w:rPr>
          <w:lang w:val="fr-CH"/>
        </w:rPr>
        <w:t>ur débuter le processus de sélection des marqueurs, un nombre approprié de variétés (ensemble de développement) est nécessaire pour refléter au mieux la diversité observée au sein du groupe, de la plante, de l</w:t>
      </w:r>
      <w:r w:rsidR="00B1361A" w:rsidRPr="000B56F5">
        <w:rPr>
          <w:lang w:val="fr-CH"/>
        </w:rPr>
        <w:t>’</w:t>
      </w:r>
      <w:r w:rsidRPr="000B56F5">
        <w:rPr>
          <w:lang w:val="fr-CH"/>
        </w:rPr>
        <w:t>espèce ou du type pour lequel les marqueurs doivent avoir un pouvoir de discriminati</w:t>
      </w:r>
      <w:r w:rsidR="00D47A05" w:rsidRPr="000B56F5">
        <w:rPr>
          <w:lang w:val="fr-CH"/>
        </w:rPr>
        <w:t>on.  Un</w:t>
      </w:r>
      <w:r w:rsidRPr="000B56F5">
        <w:rPr>
          <w:lang w:val="fr-CH"/>
        </w:rPr>
        <w:t>e nouvelle sélection est réalisée à partir des profils de variétés supplémentaires (ensemble de validation) pour mesurer la performance des marqueu</w:t>
      </w:r>
      <w:r w:rsidR="00D47A05" w:rsidRPr="000B56F5">
        <w:rPr>
          <w:lang w:val="fr-CH"/>
        </w:rPr>
        <w:t>rs.  Le</w:t>
      </w:r>
      <w:r w:rsidRPr="000B56F5">
        <w:rPr>
          <w:lang w:val="fr-CH"/>
        </w:rPr>
        <w:t>s critères pour le choix de l</w:t>
      </w:r>
      <w:r w:rsidR="00B1361A" w:rsidRPr="000B56F5">
        <w:rPr>
          <w:lang w:val="fr-CH"/>
        </w:rPr>
        <w:t>’</w:t>
      </w:r>
      <w:r w:rsidRPr="000B56F5">
        <w:rPr>
          <w:lang w:val="fr-CH"/>
        </w:rPr>
        <w:t>ensemble de validation peuvent être</w:t>
      </w:r>
      <w:r w:rsidR="00B1361A" w:rsidRPr="000B56F5">
        <w:rPr>
          <w:lang w:val="fr-CH"/>
        </w:rPr>
        <w:t> :</w:t>
      </w:r>
    </w:p>
    <w:p w:rsidR="00EF0D3B" w:rsidRPr="000B56F5" w:rsidRDefault="00EF0D3B" w:rsidP="00112E25">
      <w:pPr>
        <w:rPr>
          <w:lang w:val="fr-CH"/>
        </w:rPr>
      </w:pPr>
    </w:p>
    <w:p w:rsidR="00F874D0" w:rsidRPr="000B56F5" w:rsidRDefault="000E6DCA" w:rsidP="000E6DCA">
      <w:pPr>
        <w:ind w:left="567"/>
        <w:rPr>
          <w:lang w:val="fr-CH"/>
        </w:rPr>
      </w:pPr>
      <w:r w:rsidRPr="000B56F5">
        <w:rPr>
          <w:lang w:val="fr-CH"/>
        </w:rPr>
        <w:t>a)</w:t>
      </w:r>
      <w:r w:rsidRPr="000B56F5">
        <w:rPr>
          <w:lang w:val="fr-CH"/>
        </w:rPr>
        <w:tab/>
        <w:t>variétés ou lignées génétiquement très proches, NIL, RIL</w:t>
      </w:r>
    </w:p>
    <w:p w:rsidR="00EF0D3B" w:rsidRPr="000B56F5" w:rsidRDefault="000E6DCA" w:rsidP="000E6DCA">
      <w:pPr>
        <w:ind w:left="567"/>
        <w:rPr>
          <w:lang w:val="fr-CH"/>
        </w:rPr>
      </w:pPr>
      <w:r w:rsidRPr="000B56F5">
        <w:rPr>
          <w:lang w:val="fr-CH"/>
        </w:rPr>
        <w:t>b)</w:t>
      </w:r>
      <w:r w:rsidRPr="000B56F5">
        <w:rPr>
          <w:lang w:val="fr-CH"/>
        </w:rPr>
        <w:tab/>
        <w:t>lignées parentales et descendance</w:t>
      </w:r>
    </w:p>
    <w:p w:rsidR="00EF0D3B" w:rsidRPr="000B56F5" w:rsidRDefault="000E6DCA" w:rsidP="000E6DCA">
      <w:pPr>
        <w:ind w:left="567"/>
        <w:rPr>
          <w:lang w:val="fr-CH"/>
        </w:rPr>
      </w:pPr>
      <w:r w:rsidRPr="000B56F5">
        <w:rPr>
          <w:lang w:val="fr-CH"/>
        </w:rPr>
        <w:t>c)</w:t>
      </w:r>
      <w:r w:rsidRPr="000B56F5">
        <w:rPr>
          <w:lang w:val="fr-CH"/>
        </w:rPr>
        <w:tab/>
        <w:t>variétés génétiquement proches mais morphologiquement distinctes (p.</w:t>
      </w:r>
      <w:r w:rsidR="00DF1A3F" w:rsidRPr="000B56F5">
        <w:rPr>
          <w:lang w:val="fr-CH"/>
        </w:rPr>
        <w:t> </w:t>
      </w:r>
      <w:r w:rsidRPr="000B56F5">
        <w:rPr>
          <w:lang w:val="fr-CH"/>
        </w:rPr>
        <w:t>ex.</w:t>
      </w:r>
      <w:r w:rsidR="00DF1A3F" w:rsidRPr="000B56F5">
        <w:rPr>
          <w:lang w:val="fr-CH"/>
        </w:rPr>
        <w:t> </w:t>
      </w:r>
      <w:r w:rsidRPr="000B56F5">
        <w:rPr>
          <w:lang w:val="fr-CH"/>
        </w:rPr>
        <w:t>mutants)</w:t>
      </w:r>
    </w:p>
    <w:p w:rsidR="00EF0D3B" w:rsidRPr="000B56F5" w:rsidRDefault="000E6DCA" w:rsidP="000E6DCA">
      <w:pPr>
        <w:ind w:left="567"/>
        <w:rPr>
          <w:lang w:val="fr-CH"/>
        </w:rPr>
      </w:pPr>
      <w:r w:rsidRPr="000B56F5">
        <w:rPr>
          <w:lang w:val="fr-CH"/>
        </w:rPr>
        <w:t>d)</w:t>
      </w:r>
      <w:r w:rsidRPr="000B56F5">
        <w:rPr>
          <w:lang w:val="fr-CH"/>
        </w:rPr>
        <w:tab/>
        <w:t>certaines variétés morphologiquement proches avec des généalogies différentes</w:t>
      </w:r>
    </w:p>
    <w:p w:rsidR="00EF0D3B" w:rsidRPr="000B56F5" w:rsidRDefault="000E6DCA" w:rsidP="000E6DCA">
      <w:pPr>
        <w:ind w:left="567"/>
        <w:rPr>
          <w:lang w:val="fr-CH"/>
        </w:rPr>
      </w:pPr>
      <w:r w:rsidRPr="000B56F5">
        <w:rPr>
          <w:lang w:val="fr-CH"/>
        </w:rPr>
        <w:t>e)</w:t>
      </w:r>
      <w:r w:rsidRPr="000B56F5">
        <w:rPr>
          <w:lang w:val="fr-CH"/>
        </w:rPr>
        <w:tab/>
        <w:t>différents lots d</w:t>
      </w:r>
      <w:r w:rsidR="00B1361A" w:rsidRPr="000B56F5">
        <w:rPr>
          <w:lang w:val="fr-CH"/>
        </w:rPr>
        <w:t>’</w:t>
      </w:r>
      <w:r w:rsidRPr="000B56F5">
        <w:rPr>
          <w:lang w:val="fr-CH"/>
        </w:rPr>
        <w:t>une même variété</w:t>
      </w:r>
    </w:p>
    <w:p w:rsidR="00EF0D3B" w:rsidRPr="000B56F5" w:rsidRDefault="000E6DCA" w:rsidP="000E6DCA">
      <w:pPr>
        <w:ind w:left="567"/>
        <w:rPr>
          <w:lang w:val="fr-CH"/>
        </w:rPr>
      </w:pPr>
      <w:r w:rsidRPr="000B56F5">
        <w:rPr>
          <w:lang w:val="fr-CH"/>
        </w:rPr>
        <w:t>f)</w:t>
      </w:r>
      <w:r w:rsidRPr="000B56F5">
        <w:rPr>
          <w:lang w:val="fr-CH"/>
        </w:rPr>
        <w:tab/>
        <w:t>différentes origines de la même variété</w:t>
      </w:r>
    </w:p>
    <w:p w:rsidR="00EF0D3B" w:rsidRPr="000B56F5" w:rsidRDefault="00EF0D3B" w:rsidP="00112E25">
      <w:pPr>
        <w:rPr>
          <w:lang w:val="fr-CH"/>
        </w:rPr>
      </w:pPr>
    </w:p>
    <w:p w:rsidR="00EF0D3B" w:rsidRPr="001167F2" w:rsidRDefault="002956F9" w:rsidP="009F1754">
      <w:pPr>
        <w:pStyle w:val="Heading3"/>
        <w:rPr>
          <w:snapToGrid w:val="0"/>
          <w:lang w:val="fr-CH"/>
        </w:rPr>
      </w:pPr>
      <w:bookmarkStart w:id="27" w:name="_Toc54004674"/>
      <w:bookmarkStart w:id="28" w:name="_Toc54004894"/>
      <w:r w:rsidRPr="001167F2">
        <w:rPr>
          <w:snapToGrid w:val="0"/>
          <w:lang w:val="fr-CH"/>
        </w:rPr>
        <w:t>1.2</w:t>
      </w:r>
      <w:r w:rsidRPr="001167F2">
        <w:rPr>
          <w:snapToGrid w:val="0"/>
          <w:lang w:val="fr-CH"/>
        </w:rPr>
        <w:tab/>
        <w:t>Marqueurs moléculaires – considérations relatives aux performances</w:t>
      </w:r>
      <w:bookmarkEnd w:id="27"/>
      <w:bookmarkEnd w:id="28"/>
    </w:p>
    <w:p w:rsidR="00EF0D3B" w:rsidRPr="000B56F5" w:rsidRDefault="00EF0D3B" w:rsidP="00112E25">
      <w:pPr>
        <w:rPr>
          <w:lang w:val="fr-CH"/>
        </w:rPr>
      </w:pPr>
    </w:p>
    <w:p w:rsidR="00F874D0" w:rsidRPr="000B56F5" w:rsidRDefault="002956F9" w:rsidP="002956F9">
      <w:pPr>
        <w:rPr>
          <w:lang w:val="fr-CH"/>
        </w:rPr>
      </w:pPr>
      <w:r w:rsidRPr="000B56F5">
        <w:rPr>
          <w:lang w:val="fr-CH"/>
        </w:rPr>
        <w:t>Les critères généraux suivants utilisés pour sélectionner un marqueur spécifique ou un ensemble de marqueurs s</w:t>
      </w:r>
      <w:r w:rsidR="00B1361A" w:rsidRPr="000B56F5">
        <w:rPr>
          <w:lang w:val="fr-CH"/>
        </w:rPr>
        <w:t>’</w:t>
      </w:r>
      <w:r w:rsidRPr="000B56F5">
        <w:rPr>
          <w:lang w:val="fr-CH"/>
        </w:rPr>
        <w:t>appliquent quelle que soit leur utilisation</w:t>
      </w:r>
      <w:r w:rsidR="00B1361A" w:rsidRPr="000B56F5">
        <w:rPr>
          <w:lang w:val="fr-CH"/>
        </w:rPr>
        <w:t> :</w:t>
      </w:r>
    </w:p>
    <w:p w:rsidR="00EF0D3B" w:rsidRPr="000B56F5" w:rsidRDefault="00EF0D3B" w:rsidP="00112E25">
      <w:pPr>
        <w:rPr>
          <w:lang w:val="fr-CH"/>
        </w:rPr>
      </w:pPr>
    </w:p>
    <w:p w:rsidR="00EF0D3B" w:rsidRPr="000B56F5" w:rsidRDefault="002956F9" w:rsidP="002956F9">
      <w:pPr>
        <w:ind w:firstLine="567"/>
        <w:rPr>
          <w:lang w:val="fr-CH"/>
        </w:rPr>
      </w:pPr>
      <w:r w:rsidRPr="000B56F5">
        <w:rPr>
          <w:lang w:val="fr-CH"/>
        </w:rPr>
        <w:t>a)</w:t>
      </w:r>
      <w:r w:rsidRPr="000B56F5">
        <w:rPr>
          <w:lang w:val="fr-CH"/>
        </w:rPr>
        <w:tab/>
      </w:r>
      <w:r w:rsidR="00F926AC" w:rsidRPr="000B56F5">
        <w:rPr>
          <w:lang w:val="fr-CH"/>
        </w:rPr>
        <w:t xml:space="preserve">la </w:t>
      </w:r>
      <w:r w:rsidRPr="000B56F5">
        <w:rPr>
          <w:lang w:val="fr-CH"/>
        </w:rPr>
        <w:t>répétabilité</w:t>
      </w:r>
      <w:r w:rsidR="004C3413" w:rsidRPr="000B56F5">
        <w:rPr>
          <w:lang w:val="fr-CH"/>
        </w:rPr>
        <w:t>,</w:t>
      </w:r>
      <w:r w:rsidRPr="000B56F5">
        <w:rPr>
          <w:lang w:val="fr-CH"/>
        </w:rPr>
        <w:t xml:space="preserve"> </w:t>
      </w:r>
      <w:r w:rsidR="00F926AC" w:rsidRPr="000B56F5">
        <w:rPr>
          <w:lang w:val="fr-CH"/>
        </w:rPr>
        <w:t xml:space="preserve">la </w:t>
      </w:r>
      <w:r w:rsidR="004C3413" w:rsidRPr="000B56F5">
        <w:rPr>
          <w:lang w:val="fr-CH"/>
        </w:rPr>
        <w:t xml:space="preserve">reproductibilité et </w:t>
      </w:r>
      <w:r w:rsidR="00F926AC" w:rsidRPr="000B56F5">
        <w:rPr>
          <w:lang w:val="fr-CH"/>
        </w:rPr>
        <w:t xml:space="preserve">la </w:t>
      </w:r>
      <w:r w:rsidR="004C3413" w:rsidRPr="000B56F5">
        <w:rPr>
          <w:lang w:val="fr-CH"/>
        </w:rPr>
        <w:t xml:space="preserve">robustesse </w:t>
      </w:r>
      <w:r w:rsidRPr="000B56F5">
        <w:rPr>
          <w:lang w:val="fr-CH"/>
        </w:rPr>
        <w:t>au sein d</w:t>
      </w:r>
      <w:r w:rsidR="00B1361A" w:rsidRPr="000B56F5">
        <w:rPr>
          <w:lang w:val="fr-CH"/>
        </w:rPr>
        <w:t>’</w:t>
      </w:r>
      <w:r w:rsidR="004C3413" w:rsidRPr="000B56F5">
        <w:rPr>
          <w:lang w:val="fr-CH"/>
        </w:rPr>
        <w:t>un laboratoire et</w:t>
      </w:r>
      <w:r w:rsidRPr="000B56F5">
        <w:rPr>
          <w:lang w:val="fr-CH"/>
        </w:rPr>
        <w:t xml:space="preserve"> d</w:t>
      </w:r>
      <w:r w:rsidR="00B1361A" w:rsidRPr="000B56F5">
        <w:rPr>
          <w:lang w:val="fr-CH"/>
        </w:rPr>
        <w:t>’</w:t>
      </w:r>
      <w:r w:rsidRPr="000B56F5">
        <w:rPr>
          <w:lang w:val="fr-CH"/>
        </w:rPr>
        <w:t>un laboratoire à l</w:t>
      </w:r>
      <w:r w:rsidR="00B1361A" w:rsidRPr="000B56F5">
        <w:rPr>
          <w:lang w:val="fr-CH"/>
        </w:rPr>
        <w:t>’</w:t>
      </w:r>
      <w:r w:rsidRPr="000B56F5">
        <w:rPr>
          <w:lang w:val="fr-CH"/>
        </w:rPr>
        <w:t>autre en terme de notation des données;</w:t>
      </w:r>
    </w:p>
    <w:p w:rsidR="00EF0D3B" w:rsidRPr="000B56F5" w:rsidRDefault="00EF0D3B" w:rsidP="00112E25">
      <w:pPr>
        <w:ind w:firstLine="567"/>
        <w:rPr>
          <w:lang w:val="fr-CH"/>
        </w:rPr>
      </w:pPr>
    </w:p>
    <w:p w:rsidR="00EF0D3B" w:rsidRPr="000B56F5" w:rsidRDefault="002956F9" w:rsidP="007345EE">
      <w:pPr>
        <w:ind w:firstLine="567"/>
        <w:rPr>
          <w:lang w:val="fr-CH"/>
        </w:rPr>
      </w:pPr>
      <w:r w:rsidRPr="000B56F5">
        <w:rPr>
          <w:lang w:val="fr-CH"/>
        </w:rPr>
        <w:t>b)</w:t>
      </w:r>
      <w:r w:rsidRPr="000B56F5">
        <w:rPr>
          <w:lang w:val="fr-CH"/>
        </w:rPr>
        <w:tab/>
      </w:r>
      <w:r w:rsidR="00F926AC" w:rsidRPr="000B56F5">
        <w:rPr>
          <w:lang w:val="fr-CH"/>
        </w:rPr>
        <w:t xml:space="preserve">les </w:t>
      </w:r>
      <w:r w:rsidRPr="000B56F5">
        <w:rPr>
          <w:lang w:val="fr-CH"/>
        </w:rPr>
        <w:t>sources possibles de marqueurs moléculaires</w:t>
      </w:r>
    </w:p>
    <w:p w:rsidR="00F874D0" w:rsidRPr="000B56F5" w:rsidRDefault="001045F7" w:rsidP="007345EE">
      <w:pPr>
        <w:ind w:left="1134"/>
        <w:rPr>
          <w:lang w:val="fr-CH"/>
        </w:rPr>
      </w:pPr>
      <w:r w:rsidRPr="000B56F5">
        <w:rPr>
          <w:lang w:val="fr-CH"/>
        </w:rPr>
        <w:t>–</w:t>
      </w:r>
      <w:r w:rsidR="002956F9" w:rsidRPr="000B56F5">
        <w:rPr>
          <w:lang w:val="fr-CH"/>
        </w:rPr>
        <w:tab/>
      </w:r>
      <w:r w:rsidR="004C3413" w:rsidRPr="000B56F5">
        <w:rPr>
          <w:lang w:val="fr-CH"/>
        </w:rPr>
        <w:t>m</w:t>
      </w:r>
      <w:r w:rsidR="002956F9" w:rsidRPr="000B56F5">
        <w:rPr>
          <w:lang w:val="fr-CH"/>
        </w:rPr>
        <w:t>arqueurs moléculaires tirés de ressources publiques</w:t>
      </w:r>
    </w:p>
    <w:p w:rsidR="00F874D0" w:rsidRPr="000B56F5" w:rsidRDefault="001045F7" w:rsidP="007345EE">
      <w:pPr>
        <w:ind w:left="1134"/>
        <w:rPr>
          <w:shd w:val="pct15" w:color="auto" w:fill="FFFFFF"/>
          <w:lang w:val="fr-CH"/>
        </w:rPr>
      </w:pPr>
      <w:r w:rsidRPr="000B56F5">
        <w:rPr>
          <w:lang w:val="fr-CH"/>
        </w:rPr>
        <w:t>–</w:t>
      </w:r>
      <w:r w:rsidR="002956F9" w:rsidRPr="000B56F5">
        <w:rPr>
          <w:lang w:val="fr-CH"/>
        </w:rPr>
        <w:tab/>
      </w:r>
      <w:r w:rsidR="004C3413" w:rsidRPr="000B56F5">
        <w:rPr>
          <w:lang w:val="fr-CH"/>
        </w:rPr>
        <w:t>m</w:t>
      </w:r>
      <w:r w:rsidR="002956F9" w:rsidRPr="000B56F5">
        <w:rPr>
          <w:lang w:val="fr-CH"/>
        </w:rPr>
        <w:t>arqueurs moléculaires tirés de ressources non publiques, présélection et sélection de puces et de matrices spécifiques d</w:t>
      </w:r>
      <w:r w:rsidR="00B1361A" w:rsidRPr="000B56F5">
        <w:rPr>
          <w:lang w:val="fr-CH"/>
        </w:rPr>
        <w:t>’</w:t>
      </w:r>
      <w:r w:rsidR="002956F9" w:rsidRPr="000B56F5">
        <w:rPr>
          <w:lang w:val="fr-CH"/>
        </w:rPr>
        <w:t>une espè</w:t>
      </w:r>
      <w:r w:rsidR="00E22EBF" w:rsidRPr="000B56F5">
        <w:rPr>
          <w:lang w:val="fr-CH"/>
        </w:rPr>
        <w:t>ce disponibles dans le commerce</w:t>
      </w:r>
    </w:p>
    <w:p w:rsidR="00EF0D3B" w:rsidRPr="000B56F5" w:rsidRDefault="001045F7" w:rsidP="007345EE">
      <w:pPr>
        <w:ind w:left="1134"/>
        <w:rPr>
          <w:lang w:val="fr-CH"/>
        </w:rPr>
      </w:pPr>
      <w:r w:rsidRPr="000B56F5">
        <w:rPr>
          <w:lang w:val="fr-CH"/>
        </w:rPr>
        <w:t>–</w:t>
      </w:r>
      <w:r w:rsidR="002956F9" w:rsidRPr="000B56F5">
        <w:rPr>
          <w:lang w:val="fr-CH"/>
        </w:rPr>
        <w:tab/>
      </w:r>
      <w:r w:rsidR="004C3413" w:rsidRPr="000B56F5">
        <w:rPr>
          <w:lang w:val="fr-CH"/>
        </w:rPr>
        <w:t>m</w:t>
      </w:r>
      <w:r w:rsidR="002956F9" w:rsidRPr="000B56F5">
        <w:rPr>
          <w:lang w:val="fr-CH"/>
        </w:rPr>
        <w:t>arqueurs moléculaires sélectionnés à partir de données relatives à la séquence nouvellement générées;</w:t>
      </w:r>
    </w:p>
    <w:p w:rsidR="00EF0D3B" w:rsidRPr="000B56F5" w:rsidRDefault="00EF0D3B" w:rsidP="00112E25">
      <w:pPr>
        <w:ind w:left="1134" w:hanging="567"/>
        <w:rPr>
          <w:lang w:val="fr-CH"/>
        </w:rPr>
      </w:pPr>
    </w:p>
    <w:p w:rsidR="00F874D0" w:rsidRPr="000B56F5" w:rsidRDefault="00FE060B" w:rsidP="00FE060B">
      <w:pPr>
        <w:ind w:firstLine="567"/>
        <w:rPr>
          <w:lang w:val="fr-CH"/>
        </w:rPr>
      </w:pPr>
      <w:r w:rsidRPr="000B56F5">
        <w:rPr>
          <w:lang w:val="fr-CH"/>
        </w:rPr>
        <w:t>c)</w:t>
      </w:r>
      <w:r w:rsidRPr="000B56F5">
        <w:rPr>
          <w:lang w:val="fr-CH"/>
        </w:rPr>
        <w:tab/>
        <w:t>éviter, dans la mesure du possible, des marqueurs avec des allèles “null” (c</w:t>
      </w:r>
      <w:r w:rsidR="00B1361A" w:rsidRPr="000B56F5">
        <w:rPr>
          <w:lang w:val="fr-CH"/>
        </w:rPr>
        <w:t>’</w:t>
      </w:r>
      <w:r w:rsidRPr="000B56F5">
        <w:rPr>
          <w:lang w:val="fr-CH"/>
        </w:rPr>
        <w:t>est</w:t>
      </w:r>
      <w:r w:rsidR="00B1361A" w:rsidRPr="000B56F5">
        <w:rPr>
          <w:lang w:val="fr-CH"/>
        </w:rPr>
        <w:t>-</w:t>
      </w:r>
      <w:r w:rsidRPr="000B56F5">
        <w:rPr>
          <w:lang w:val="fr-CH"/>
        </w:rPr>
        <w:t>à</w:t>
      </w:r>
      <w:r w:rsidR="00B1361A" w:rsidRPr="000B56F5">
        <w:rPr>
          <w:lang w:val="fr-CH"/>
        </w:rPr>
        <w:t>-</w:t>
      </w:r>
      <w:r w:rsidRPr="000B56F5">
        <w:rPr>
          <w:lang w:val="fr-CH"/>
        </w:rPr>
        <w:t>dire des allèles dont l</w:t>
      </w:r>
      <w:r w:rsidR="00B1361A" w:rsidRPr="000B56F5">
        <w:rPr>
          <w:lang w:val="fr-CH"/>
        </w:rPr>
        <w:t>’</w:t>
      </w:r>
      <w:r w:rsidRPr="000B56F5">
        <w:rPr>
          <w:lang w:val="fr-CH"/>
        </w:rPr>
        <w:t>effet se manifeste par une absence de produit PCR au niveau moléculaire), ce qui n</w:t>
      </w:r>
      <w:r w:rsidR="00B1361A" w:rsidRPr="000B56F5">
        <w:rPr>
          <w:lang w:val="fr-CH"/>
        </w:rPr>
        <w:t>’</w:t>
      </w:r>
      <w:r w:rsidRPr="000B56F5">
        <w:rPr>
          <w:lang w:val="fr-CH"/>
        </w:rPr>
        <w:t xml:space="preserve">est </w:t>
      </w:r>
      <w:r w:rsidR="007D3E4E" w:rsidRPr="000B56F5">
        <w:rPr>
          <w:lang w:val="fr-CH"/>
        </w:rPr>
        <w:t xml:space="preserve">à nouveau </w:t>
      </w:r>
      <w:r w:rsidRPr="000B56F5">
        <w:rPr>
          <w:lang w:val="fr-CH"/>
        </w:rPr>
        <w:t>pas indispensable, mais conseillé;</w:t>
      </w:r>
    </w:p>
    <w:p w:rsidR="00EF0D3B" w:rsidRPr="000B56F5" w:rsidRDefault="00EF0D3B" w:rsidP="00112E25">
      <w:pPr>
        <w:ind w:left="1134" w:hanging="567"/>
        <w:rPr>
          <w:shd w:val="pct15" w:color="auto" w:fill="FFFFFF"/>
          <w:lang w:val="fr-CH"/>
        </w:rPr>
      </w:pPr>
    </w:p>
    <w:p w:rsidR="00F874D0" w:rsidRPr="000B56F5" w:rsidRDefault="00FE060B" w:rsidP="00FE060B">
      <w:pPr>
        <w:ind w:firstLine="567"/>
        <w:rPr>
          <w:lang w:val="fr-CH"/>
        </w:rPr>
      </w:pPr>
      <w:r w:rsidRPr="000B56F5">
        <w:rPr>
          <w:lang w:val="fr-CH"/>
        </w:rPr>
        <w:t>d)</w:t>
      </w:r>
      <w:r w:rsidRPr="000B56F5">
        <w:rPr>
          <w:lang w:val="fr-CH"/>
        </w:rPr>
        <w:tab/>
        <w:t>permettre une notation aisée, objective et indiscutable des profils de marqueu</w:t>
      </w:r>
      <w:r w:rsidR="00D47A05" w:rsidRPr="000B56F5">
        <w:rPr>
          <w:lang w:val="fr-CH"/>
        </w:rPr>
        <w:t>rs.  Ce</w:t>
      </w:r>
      <w:r w:rsidRPr="000B56F5">
        <w:rPr>
          <w:lang w:val="fr-CH"/>
        </w:rPr>
        <w:t>s marqueurs performants sont préférables aux profils de marqueurs complexes qui son</w:t>
      </w:r>
      <w:r w:rsidR="003235C8" w:rsidRPr="000B56F5">
        <w:rPr>
          <w:lang w:val="fr-CH"/>
        </w:rPr>
        <w:t>t</w:t>
      </w:r>
      <w:r w:rsidRPr="000B56F5">
        <w:rPr>
          <w:lang w:val="fr-CH"/>
        </w:rPr>
        <w:t xml:space="preserve"> délicats en termes d</w:t>
      </w:r>
      <w:r w:rsidR="00B1361A" w:rsidRPr="000B56F5">
        <w:rPr>
          <w:lang w:val="fr-CH"/>
        </w:rPr>
        <w:t>’</w:t>
      </w:r>
      <w:r w:rsidRPr="000B56F5">
        <w:rPr>
          <w:lang w:val="fr-CH"/>
        </w:rPr>
        <w:t>interprétati</w:t>
      </w:r>
      <w:r w:rsidR="00D47A05" w:rsidRPr="000B56F5">
        <w:rPr>
          <w:lang w:val="fr-CH"/>
        </w:rPr>
        <w:t>on.  De</w:t>
      </w:r>
      <w:r w:rsidRPr="000B56F5">
        <w:rPr>
          <w:lang w:val="fr-CH"/>
        </w:rPr>
        <w:t>s réponses claires et tranchées permettent également de faciliter l</w:t>
      </w:r>
      <w:r w:rsidR="00B1361A" w:rsidRPr="000B56F5">
        <w:rPr>
          <w:lang w:val="fr-CH"/>
        </w:rPr>
        <w:t>’</w:t>
      </w:r>
      <w:r w:rsidRPr="000B56F5">
        <w:rPr>
          <w:lang w:val="fr-CH"/>
        </w:rPr>
        <w:t>harmonisation;</w:t>
      </w:r>
    </w:p>
    <w:p w:rsidR="00EF0D3B" w:rsidRPr="000B56F5" w:rsidRDefault="00EF0D3B" w:rsidP="00112E25">
      <w:pPr>
        <w:ind w:left="1134" w:hanging="567"/>
        <w:rPr>
          <w:u w:val="single"/>
          <w:shd w:val="pct15" w:color="auto" w:fill="FFFFFF"/>
          <w:lang w:val="fr-CH"/>
        </w:rPr>
      </w:pPr>
    </w:p>
    <w:p w:rsidR="00F874D0" w:rsidRPr="000B56F5" w:rsidRDefault="00FE060B" w:rsidP="007345EE">
      <w:pPr>
        <w:ind w:firstLine="567"/>
        <w:rPr>
          <w:lang w:val="fr-CH"/>
        </w:rPr>
      </w:pPr>
      <w:r w:rsidRPr="000B56F5">
        <w:rPr>
          <w:lang w:val="fr-CH"/>
        </w:rPr>
        <w:t>e)</w:t>
      </w:r>
      <w:r w:rsidRPr="000B56F5">
        <w:rPr>
          <w:lang w:val="fr-CH"/>
        </w:rPr>
        <w:tab/>
        <w:t>les marqueurs codominants sont généralement préférables aux marqueurs dominants du fait de leur pouvoir de discrimination plus élevé;</w:t>
      </w:r>
    </w:p>
    <w:p w:rsidR="00EF0D3B" w:rsidRPr="000B56F5" w:rsidRDefault="00EF0D3B" w:rsidP="007345EE">
      <w:pPr>
        <w:ind w:firstLine="567"/>
        <w:rPr>
          <w:lang w:val="fr-CH"/>
        </w:rPr>
      </w:pPr>
    </w:p>
    <w:p w:rsidR="00EF0D3B" w:rsidRPr="000B56F5" w:rsidRDefault="00FE060B" w:rsidP="007345EE">
      <w:pPr>
        <w:ind w:firstLine="567"/>
        <w:rPr>
          <w:lang w:val="fr-CH"/>
        </w:rPr>
      </w:pPr>
      <w:r w:rsidRPr="000B56F5">
        <w:rPr>
          <w:lang w:val="fr-CH"/>
        </w:rPr>
        <w:t>f)</w:t>
      </w:r>
      <w:r w:rsidRPr="000B56F5">
        <w:rPr>
          <w:lang w:val="fr-CH"/>
        </w:rPr>
        <w:tab/>
        <w:t>les marqueurs peuvent être situés dans des régions codantes ou non codantes;  et</w:t>
      </w:r>
    </w:p>
    <w:p w:rsidR="00EF0D3B" w:rsidRPr="000B56F5" w:rsidRDefault="00EF0D3B" w:rsidP="007345EE">
      <w:pPr>
        <w:ind w:firstLine="567"/>
        <w:rPr>
          <w:lang w:val="fr-CH"/>
        </w:rPr>
      </w:pPr>
    </w:p>
    <w:p w:rsidR="00EF0D3B" w:rsidRPr="000B56F5" w:rsidRDefault="00FE060B" w:rsidP="007345EE">
      <w:pPr>
        <w:ind w:firstLine="567"/>
        <w:rPr>
          <w:lang w:val="fr-CH"/>
        </w:rPr>
      </w:pPr>
      <w:r w:rsidRPr="000B56F5">
        <w:rPr>
          <w:lang w:val="fr-CH"/>
        </w:rPr>
        <w:t>g)</w:t>
      </w:r>
      <w:r w:rsidRPr="000B56F5">
        <w:rPr>
          <w:lang w:val="fr-CH"/>
        </w:rPr>
        <w:tab/>
        <w:t>l</w:t>
      </w:r>
      <w:r w:rsidR="00B1361A" w:rsidRPr="000B56F5">
        <w:rPr>
          <w:lang w:val="fr-CH"/>
        </w:rPr>
        <w:t>’</w:t>
      </w:r>
      <w:r w:rsidRPr="000B56F5">
        <w:rPr>
          <w:lang w:val="fr-CH"/>
        </w:rPr>
        <w:t>utilisation de marqueurs moléculaires est spécifique d</w:t>
      </w:r>
      <w:r w:rsidR="00B1361A" w:rsidRPr="000B56F5">
        <w:rPr>
          <w:lang w:val="fr-CH"/>
        </w:rPr>
        <w:t>’</w:t>
      </w:r>
      <w:r w:rsidRPr="000B56F5">
        <w:rPr>
          <w:lang w:val="fr-CH"/>
        </w:rPr>
        <w:t>une espèce et devrait tenir compte des particularités de reproduction ou de multiplication de l</w:t>
      </w:r>
      <w:r w:rsidR="00B1361A" w:rsidRPr="000B56F5">
        <w:rPr>
          <w:lang w:val="fr-CH"/>
        </w:rPr>
        <w:t>’</w:t>
      </w:r>
      <w:r w:rsidRPr="000B56F5">
        <w:rPr>
          <w:lang w:val="fr-CH"/>
        </w:rPr>
        <w:t>espèce.</w:t>
      </w:r>
    </w:p>
    <w:p w:rsidR="00EF0D3B" w:rsidRPr="000B56F5" w:rsidRDefault="00EF0D3B" w:rsidP="00112E25">
      <w:pPr>
        <w:ind w:firstLine="567"/>
        <w:rPr>
          <w:lang w:val="fr-CH"/>
        </w:rPr>
      </w:pPr>
    </w:p>
    <w:p w:rsidR="00EF0D3B" w:rsidRPr="000B56F5" w:rsidRDefault="00FE060B" w:rsidP="00FE060B">
      <w:pPr>
        <w:rPr>
          <w:lang w:val="fr-CH"/>
        </w:rPr>
      </w:pPr>
      <w:r w:rsidRPr="000B56F5">
        <w:rPr>
          <w:lang w:val="fr-CH"/>
        </w:rPr>
        <w:t>Il est reconnu que certaines utilisations particulières peuvent imposer l</w:t>
      </w:r>
      <w:r w:rsidR="00B1361A" w:rsidRPr="000B56F5">
        <w:rPr>
          <w:lang w:val="fr-CH"/>
        </w:rPr>
        <w:t>’</w:t>
      </w:r>
      <w:r w:rsidRPr="000B56F5">
        <w:rPr>
          <w:lang w:val="fr-CH"/>
        </w:rPr>
        <w:t>application de considérations supplémentaires</w:t>
      </w:r>
      <w:r w:rsidR="00F926AC" w:rsidRPr="000B56F5">
        <w:rPr>
          <w:lang w:val="fr-CH"/>
        </w:rPr>
        <w:t>, notamment</w:t>
      </w:r>
      <w:r w:rsidRPr="000B56F5">
        <w:rPr>
          <w:lang w:val="fr-CH"/>
        </w:rPr>
        <w:t xml:space="preserve"> (mais pas uniquement)</w:t>
      </w:r>
      <w:r w:rsidR="00F926AC" w:rsidRPr="000B56F5">
        <w:rPr>
          <w:lang w:val="fr-CH"/>
        </w:rPr>
        <w:t xml:space="preserve"> les suivantes</w:t>
      </w:r>
      <w:r w:rsidR="00B1361A" w:rsidRPr="000B56F5">
        <w:rPr>
          <w:lang w:val="fr-CH"/>
        </w:rPr>
        <w:t> :</w:t>
      </w:r>
    </w:p>
    <w:p w:rsidR="00EF0D3B" w:rsidRPr="000B56F5" w:rsidRDefault="00EF0D3B" w:rsidP="00112E25">
      <w:pPr>
        <w:ind w:firstLine="567"/>
        <w:rPr>
          <w:lang w:val="fr-CH"/>
        </w:rPr>
      </w:pPr>
    </w:p>
    <w:p w:rsidR="00F874D0" w:rsidRPr="000B56F5" w:rsidRDefault="00FE060B" w:rsidP="00FE060B">
      <w:pPr>
        <w:ind w:left="567"/>
        <w:rPr>
          <w:lang w:val="fr-CH"/>
        </w:rPr>
      </w:pPr>
      <w:r w:rsidRPr="000B56F5">
        <w:rPr>
          <w:lang w:val="fr-CH"/>
        </w:rPr>
        <w:t>a)</w:t>
      </w:r>
      <w:r w:rsidRPr="000B56F5">
        <w:rPr>
          <w:lang w:val="fr-CH"/>
        </w:rPr>
        <w:tab/>
        <w:t>le nombre de marqueurs devrait être équilibré par rapport à la précision du génotype requise pour atteindre l</w:t>
      </w:r>
      <w:r w:rsidR="00B1361A" w:rsidRPr="000B56F5">
        <w:rPr>
          <w:lang w:val="fr-CH"/>
        </w:rPr>
        <w:t>’</w:t>
      </w:r>
      <w:r w:rsidRPr="000B56F5">
        <w:rPr>
          <w:lang w:val="fr-CH"/>
        </w:rPr>
        <w:t>object</w:t>
      </w:r>
      <w:r w:rsidR="00D47A05" w:rsidRPr="000B56F5">
        <w:rPr>
          <w:lang w:val="fr-CH"/>
        </w:rPr>
        <w:t>if.  Le</w:t>
      </w:r>
      <w:r w:rsidRPr="000B56F5">
        <w:rPr>
          <w:lang w:val="fr-CH"/>
        </w:rPr>
        <w:t xml:space="preserve"> nombre de marqueurs pour atteindre la résolution ou le pouvoir de discrimination requis dépend du type de marqueur (dominant/codominant; </w:t>
      </w:r>
      <w:r w:rsidR="00DF1A3F" w:rsidRPr="000B56F5">
        <w:rPr>
          <w:lang w:val="fr-CH"/>
        </w:rPr>
        <w:t xml:space="preserve"> </w:t>
      </w:r>
      <w:r w:rsidRPr="000B56F5">
        <w:rPr>
          <w:lang w:val="fr-CH"/>
        </w:rPr>
        <w:t>bi/multiallélique), de l</w:t>
      </w:r>
      <w:r w:rsidR="00B1361A" w:rsidRPr="000B56F5">
        <w:rPr>
          <w:lang w:val="fr-CH"/>
        </w:rPr>
        <w:t>’</w:t>
      </w:r>
      <w:r w:rsidRPr="000B56F5">
        <w:rPr>
          <w:lang w:val="fr-CH"/>
        </w:rPr>
        <w:t>espèce et de la qualité de la performance du marqueur;</w:t>
      </w:r>
    </w:p>
    <w:p w:rsidR="00EF0D3B" w:rsidRPr="000B56F5" w:rsidRDefault="00EF0D3B" w:rsidP="00112E25">
      <w:pPr>
        <w:ind w:left="567"/>
        <w:rPr>
          <w:lang w:val="fr-CH"/>
        </w:rPr>
      </w:pPr>
    </w:p>
    <w:p w:rsidR="00EF0D3B" w:rsidRPr="000B56F5" w:rsidRDefault="00FE060B" w:rsidP="00FE060B">
      <w:pPr>
        <w:ind w:left="567"/>
        <w:rPr>
          <w:lang w:val="fr-CH"/>
        </w:rPr>
      </w:pPr>
      <w:r w:rsidRPr="000B56F5">
        <w:rPr>
          <w:lang w:val="fr-CH"/>
        </w:rPr>
        <w:t>b)</w:t>
      </w:r>
      <w:r w:rsidRPr="000B56F5">
        <w:rPr>
          <w:lang w:val="fr-CH"/>
        </w:rPr>
        <w:tab/>
        <w:t>La couverture du génome et du déséquilibre de liaison devrait refléter les objecti</w:t>
      </w:r>
      <w:r w:rsidR="00D47A05" w:rsidRPr="000B56F5">
        <w:rPr>
          <w:lang w:val="fr-CH"/>
        </w:rPr>
        <w:t>fs.  Co</w:t>
      </w:r>
      <w:r w:rsidRPr="000B56F5">
        <w:rPr>
          <w:lang w:val="fr-CH"/>
        </w:rPr>
        <w:t>nnaître la position physique ou génétique des marque</w:t>
      </w:r>
      <w:r w:rsidR="00F926AC" w:rsidRPr="000B56F5">
        <w:rPr>
          <w:lang w:val="fr-CH"/>
        </w:rPr>
        <w:t>ur</w:t>
      </w:r>
      <w:r w:rsidRPr="000B56F5">
        <w:rPr>
          <w:lang w:val="fr-CH"/>
        </w:rPr>
        <w:t>s sélectionnés sur le génome n</w:t>
      </w:r>
      <w:r w:rsidR="00B1361A" w:rsidRPr="000B56F5">
        <w:rPr>
          <w:lang w:val="fr-CH"/>
        </w:rPr>
        <w:t>’</w:t>
      </w:r>
      <w:r w:rsidRPr="000B56F5">
        <w:rPr>
          <w:lang w:val="fr-CH"/>
        </w:rPr>
        <w:t>est pas indispensable, mais permet un bon choix des marqueurs;</w:t>
      </w:r>
    </w:p>
    <w:p w:rsidR="00EF0D3B" w:rsidRPr="000B56F5" w:rsidRDefault="00EF0D3B" w:rsidP="00112E25">
      <w:pPr>
        <w:ind w:left="567"/>
        <w:rPr>
          <w:lang w:val="fr-CH"/>
        </w:rPr>
      </w:pPr>
    </w:p>
    <w:p w:rsidR="00EF0D3B" w:rsidRPr="00406A48" w:rsidRDefault="00FE060B" w:rsidP="0038525D">
      <w:pPr>
        <w:pStyle w:val="Heading2"/>
        <w:rPr>
          <w:lang w:val="fr-CH"/>
        </w:rPr>
      </w:pPr>
      <w:bookmarkStart w:id="29" w:name="_Toc54004675"/>
      <w:bookmarkStart w:id="30" w:name="_Toc54004895"/>
      <w:r w:rsidRPr="00406A48">
        <w:rPr>
          <w:lang w:val="fr-CH"/>
        </w:rPr>
        <w:t>2.</w:t>
      </w:r>
      <w:r w:rsidRPr="00406A48">
        <w:rPr>
          <w:lang w:val="fr-CH"/>
        </w:rPr>
        <w:tab/>
        <w:t>Sélection de la méthode de détection</w:t>
      </w:r>
      <w:bookmarkEnd w:id="29"/>
      <w:bookmarkEnd w:id="30"/>
    </w:p>
    <w:p w:rsidR="00EF0D3B" w:rsidRPr="000B56F5" w:rsidRDefault="00EF0D3B" w:rsidP="00112E25">
      <w:pPr>
        <w:rPr>
          <w:lang w:val="fr-CH"/>
        </w:rPr>
      </w:pPr>
    </w:p>
    <w:p w:rsidR="00F874D0" w:rsidRPr="001167F2" w:rsidRDefault="00FE060B" w:rsidP="009F1754">
      <w:pPr>
        <w:pStyle w:val="Heading3"/>
        <w:rPr>
          <w:snapToGrid w:val="0"/>
          <w:lang w:val="fr-CH"/>
        </w:rPr>
      </w:pPr>
      <w:bookmarkStart w:id="31" w:name="_Toc54004676"/>
      <w:bookmarkStart w:id="32" w:name="_Toc54004896"/>
      <w:r w:rsidRPr="001167F2">
        <w:rPr>
          <w:snapToGrid w:val="0"/>
          <w:lang w:val="fr-CH"/>
        </w:rPr>
        <w:t>2.1</w:t>
      </w:r>
      <w:r w:rsidRPr="001167F2">
        <w:rPr>
          <w:snapToGrid w:val="0"/>
          <w:lang w:val="fr-CH"/>
        </w:rPr>
        <w:tab/>
        <w:t>Méthodes relatives aux profils d</w:t>
      </w:r>
      <w:r w:rsidR="00B1361A" w:rsidRPr="001167F2">
        <w:rPr>
          <w:snapToGrid w:val="0"/>
          <w:lang w:val="fr-CH"/>
        </w:rPr>
        <w:t>’</w:t>
      </w:r>
      <w:r w:rsidRPr="001167F2">
        <w:rPr>
          <w:snapToGrid w:val="0"/>
          <w:lang w:val="fr-CH"/>
        </w:rPr>
        <w:t>ADN – c</w:t>
      </w:r>
      <w:r w:rsidR="00F926AC" w:rsidRPr="001167F2">
        <w:rPr>
          <w:snapToGrid w:val="0"/>
          <w:lang w:val="fr-CH"/>
        </w:rPr>
        <w:t xml:space="preserve">onsidérations </w:t>
      </w:r>
      <w:r w:rsidRPr="001167F2">
        <w:rPr>
          <w:snapToGrid w:val="0"/>
          <w:lang w:val="fr-CH"/>
        </w:rPr>
        <w:t>généra</w:t>
      </w:r>
      <w:r w:rsidR="00F926AC" w:rsidRPr="001167F2">
        <w:rPr>
          <w:snapToGrid w:val="0"/>
          <w:lang w:val="fr-CH"/>
        </w:rPr>
        <w:t>les</w:t>
      </w:r>
      <w:bookmarkEnd w:id="31"/>
      <w:bookmarkEnd w:id="32"/>
    </w:p>
    <w:p w:rsidR="00EF0D3B" w:rsidRPr="000B56F5" w:rsidRDefault="00EF0D3B" w:rsidP="00112E25">
      <w:pPr>
        <w:rPr>
          <w:lang w:val="fr-CH"/>
        </w:rPr>
      </w:pPr>
    </w:p>
    <w:p w:rsidR="00F874D0" w:rsidRPr="000B56F5" w:rsidRDefault="00FE060B" w:rsidP="00FE060B">
      <w:pPr>
        <w:ind w:firstLine="567"/>
        <w:rPr>
          <w:lang w:val="fr-CH"/>
        </w:rPr>
      </w:pPr>
      <w:r w:rsidRPr="000B56F5">
        <w:rPr>
          <w:lang w:val="fr-CH"/>
        </w:rPr>
        <w:t>2.1.1</w:t>
      </w:r>
      <w:r w:rsidRPr="000B56F5">
        <w:rPr>
          <w:lang w:val="fr-CH"/>
        </w:rPr>
        <w:tab/>
        <w:t>Les critères ci</w:t>
      </w:r>
      <w:r w:rsidR="00B1361A" w:rsidRPr="000B56F5">
        <w:rPr>
          <w:lang w:val="fr-CH"/>
        </w:rPr>
        <w:t>-</w:t>
      </w:r>
      <w:r w:rsidRPr="000B56F5">
        <w:rPr>
          <w:lang w:val="fr-CH"/>
        </w:rPr>
        <w:t>après sont importants dans la sélection des méthodes relatives aux profils d</w:t>
      </w:r>
      <w:r w:rsidR="00B1361A" w:rsidRPr="000B56F5">
        <w:rPr>
          <w:lang w:val="fr-CH"/>
        </w:rPr>
        <w:t>’</w:t>
      </w:r>
      <w:r w:rsidRPr="000B56F5">
        <w:rPr>
          <w:lang w:val="fr-CH"/>
        </w:rPr>
        <w:t>ADN pour générer des données moléculaires de qualité</w:t>
      </w:r>
      <w:r w:rsidR="00B1361A" w:rsidRPr="000B56F5">
        <w:rPr>
          <w:lang w:val="fr-CH"/>
        </w:rPr>
        <w:t> :</w:t>
      </w:r>
    </w:p>
    <w:p w:rsidR="00EF0D3B" w:rsidRPr="000B56F5" w:rsidRDefault="00EF0D3B" w:rsidP="00112E25">
      <w:pPr>
        <w:rPr>
          <w:lang w:val="fr-CH"/>
        </w:rPr>
      </w:pPr>
    </w:p>
    <w:p w:rsidR="00F874D0" w:rsidRPr="000B56F5" w:rsidRDefault="00FE060B" w:rsidP="00FE060B">
      <w:pPr>
        <w:ind w:left="1134" w:hanging="567"/>
        <w:rPr>
          <w:lang w:val="fr-CH"/>
        </w:rPr>
      </w:pPr>
      <w:r w:rsidRPr="000B56F5">
        <w:rPr>
          <w:lang w:val="fr-CH"/>
        </w:rPr>
        <w:t>a)</w:t>
      </w:r>
      <w:r w:rsidRPr="000B56F5">
        <w:rPr>
          <w:lang w:val="fr-CH"/>
        </w:rPr>
        <w:tab/>
        <w:t>reproductibilité de la production de données entre laboratoires et plateformes de détection (différents types de matériel);</w:t>
      </w:r>
    </w:p>
    <w:p w:rsidR="00F874D0" w:rsidRPr="000B56F5" w:rsidRDefault="00FE060B" w:rsidP="00FE060B">
      <w:pPr>
        <w:ind w:left="1134" w:hanging="567"/>
        <w:rPr>
          <w:lang w:val="fr-CH"/>
        </w:rPr>
      </w:pPr>
      <w:r w:rsidRPr="000B56F5">
        <w:rPr>
          <w:lang w:val="fr-CH"/>
        </w:rPr>
        <w:t>b)</w:t>
      </w:r>
      <w:r w:rsidRPr="000B56F5">
        <w:rPr>
          <w:lang w:val="fr-CH"/>
        </w:rPr>
        <w:tab/>
        <w:t>possibilité de répétition dans le temps;</w:t>
      </w:r>
    </w:p>
    <w:p w:rsidR="00F874D0" w:rsidRPr="000B56F5" w:rsidRDefault="00FE060B" w:rsidP="00FE060B">
      <w:pPr>
        <w:ind w:left="1134" w:hanging="567"/>
        <w:rPr>
          <w:lang w:val="fr-CH"/>
        </w:rPr>
      </w:pPr>
      <w:r w:rsidRPr="000B56F5">
        <w:rPr>
          <w:lang w:val="fr-CH"/>
        </w:rPr>
        <w:t>c)</w:t>
      </w:r>
      <w:r w:rsidRPr="000B56F5">
        <w:rPr>
          <w:lang w:val="fr-CH"/>
        </w:rPr>
        <w:tab/>
        <w:t>pouvoir de discrimination;</w:t>
      </w:r>
    </w:p>
    <w:p w:rsidR="00EF0D3B" w:rsidRPr="000B56F5" w:rsidRDefault="00AE12D8" w:rsidP="00AE12D8">
      <w:pPr>
        <w:ind w:left="1134" w:hanging="567"/>
        <w:rPr>
          <w:lang w:val="fr-CH"/>
        </w:rPr>
      </w:pPr>
      <w:r w:rsidRPr="000B56F5">
        <w:rPr>
          <w:lang w:val="fr-CH"/>
        </w:rPr>
        <w:t>d)</w:t>
      </w:r>
      <w:r w:rsidRPr="000B56F5">
        <w:rPr>
          <w:lang w:val="fr-CH"/>
        </w:rPr>
        <w:tab/>
        <w:t>temps et main d</w:t>
      </w:r>
      <w:r w:rsidR="00B1361A" w:rsidRPr="000B56F5">
        <w:rPr>
          <w:lang w:val="fr-CH"/>
        </w:rPr>
        <w:t>’</w:t>
      </w:r>
      <w:r w:rsidRPr="000B56F5">
        <w:rPr>
          <w:lang w:val="fr-CH"/>
        </w:rPr>
        <w:t>œuvre requis;</w:t>
      </w:r>
    </w:p>
    <w:p w:rsidR="00EF0D3B" w:rsidRPr="000B56F5" w:rsidRDefault="00AE12D8" w:rsidP="00AE12D8">
      <w:pPr>
        <w:ind w:left="1134" w:hanging="567"/>
        <w:rPr>
          <w:lang w:val="fr-CH"/>
        </w:rPr>
      </w:pPr>
      <w:r w:rsidRPr="000B56F5">
        <w:rPr>
          <w:lang w:val="fr-CH"/>
        </w:rPr>
        <w:t>e)</w:t>
      </w:r>
      <w:r w:rsidRPr="000B56F5">
        <w:rPr>
          <w:lang w:val="fr-CH"/>
        </w:rPr>
        <w:tab/>
        <w:t>robustesse des performances dans le temps et les conditions (sensibilité aux changements subtils du protocole ou des conditions);</w:t>
      </w:r>
    </w:p>
    <w:p w:rsidR="00EF0D3B" w:rsidRPr="000B56F5" w:rsidRDefault="00AE12D8" w:rsidP="00AE12D8">
      <w:pPr>
        <w:ind w:left="1134" w:hanging="567"/>
        <w:rPr>
          <w:lang w:val="fr-CH"/>
        </w:rPr>
      </w:pPr>
      <w:r w:rsidRPr="000B56F5">
        <w:rPr>
          <w:lang w:val="fr-CH"/>
        </w:rPr>
        <w:t>f)</w:t>
      </w:r>
      <w:r w:rsidRPr="000B56F5">
        <w:rPr>
          <w:lang w:val="fr-CH"/>
        </w:rPr>
        <w:tab/>
        <w:t>flexibilité de la méthode, possibilité de faire varier le nombre d</w:t>
      </w:r>
      <w:r w:rsidR="00B1361A" w:rsidRPr="000B56F5">
        <w:rPr>
          <w:lang w:val="fr-CH"/>
        </w:rPr>
        <w:t>’</w:t>
      </w:r>
      <w:r w:rsidRPr="000B56F5">
        <w:rPr>
          <w:lang w:val="fr-CH"/>
        </w:rPr>
        <w:t>échantillons ou le nombre de marqueurs;</w:t>
      </w:r>
    </w:p>
    <w:p w:rsidR="00EF0D3B" w:rsidRPr="000B56F5" w:rsidRDefault="00AE12D8" w:rsidP="00AE12D8">
      <w:pPr>
        <w:ind w:left="1134" w:hanging="567"/>
        <w:rPr>
          <w:lang w:val="fr-CH"/>
        </w:rPr>
      </w:pPr>
      <w:r w:rsidRPr="000B56F5">
        <w:rPr>
          <w:lang w:val="fr-CH"/>
        </w:rPr>
        <w:t>g)</w:t>
      </w:r>
      <w:r w:rsidRPr="000B56F5">
        <w:rPr>
          <w:lang w:val="fr-CH"/>
        </w:rPr>
        <w:tab/>
        <w:t>l</w:t>
      </w:r>
      <w:r w:rsidR="00B1361A" w:rsidRPr="000B56F5">
        <w:rPr>
          <w:lang w:val="fr-CH"/>
        </w:rPr>
        <w:t>’</w:t>
      </w:r>
      <w:r w:rsidRPr="000B56F5">
        <w:rPr>
          <w:lang w:val="fr-CH"/>
        </w:rPr>
        <w:t>interprétation des données produites est indépendante du matériel;</w:t>
      </w:r>
    </w:p>
    <w:p w:rsidR="00F874D0" w:rsidRPr="000B56F5" w:rsidRDefault="00AE12D8" w:rsidP="00AE12D8">
      <w:pPr>
        <w:ind w:left="1134" w:hanging="567"/>
        <w:rPr>
          <w:lang w:val="fr-CH"/>
        </w:rPr>
      </w:pPr>
      <w:r w:rsidRPr="000B56F5">
        <w:rPr>
          <w:lang w:val="fr-CH"/>
        </w:rPr>
        <w:t>h)</w:t>
      </w:r>
      <w:r w:rsidRPr="000B56F5">
        <w:rPr>
          <w:lang w:val="fr-CH"/>
        </w:rPr>
        <w:tab/>
      </w:r>
      <w:r w:rsidR="000D048A" w:rsidRPr="000B56F5">
        <w:rPr>
          <w:lang w:val="fr-CH"/>
        </w:rPr>
        <w:t>pérennité</w:t>
      </w:r>
      <w:r w:rsidRPr="000B56F5">
        <w:rPr>
          <w:lang w:val="fr-CH"/>
        </w:rPr>
        <w:t xml:space="preserve"> des bases de données;</w:t>
      </w:r>
    </w:p>
    <w:p w:rsidR="00F874D0" w:rsidRPr="000B56F5" w:rsidRDefault="00AE12D8" w:rsidP="00AE12D8">
      <w:pPr>
        <w:ind w:left="1134" w:hanging="567"/>
        <w:rPr>
          <w:lang w:val="fr-CH"/>
        </w:rPr>
      </w:pPr>
      <w:r w:rsidRPr="000B56F5">
        <w:rPr>
          <w:lang w:val="fr-CH"/>
        </w:rPr>
        <w:t>i)</w:t>
      </w:r>
      <w:r w:rsidRPr="000B56F5">
        <w:rPr>
          <w:lang w:val="fr-CH"/>
        </w:rPr>
        <w:tab/>
        <w:t>accessibilité de la méthode;</w:t>
      </w:r>
    </w:p>
    <w:p w:rsidR="00F874D0" w:rsidRPr="000B56F5" w:rsidRDefault="00AE12D8" w:rsidP="00AE12D8">
      <w:pPr>
        <w:ind w:left="1134" w:hanging="567"/>
        <w:rPr>
          <w:lang w:val="fr-CH"/>
        </w:rPr>
      </w:pPr>
      <w:r w:rsidRPr="000B56F5">
        <w:rPr>
          <w:lang w:val="fr-CH"/>
        </w:rPr>
        <w:t>j)</w:t>
      </w:r>
      <w:r w:rsidRPr="000B56F5">
        <w:rPr>
          <w:lang w:val="fr-CH"/>
        </w:rPr>
        <w:tab/>
        <w:t>indépendante d</w:t>
      </w:r>
      <w:r w:rsidR="00B1361A" w:rsidRPr="000B56F5">
        <w:rPr>
          <w:lang w:val="fr-CH"/>
        </w:rPr>
        <w:t>’</w:t>
      </w:r>
      <w:r w:rsidRPr="000B56F5">
        <w:rPr>
          <w:lang w:val="fr-CH"/>
        </w:rPr>
        <w:t>un appareil, d</w:t>
      </w:r>
      <w:r w:rsidR="00B1361A" w:rsidRPr="000B56F5">
        <w:rPr>
          <w:lang w:val="fr-CH"/>
        </w:rPr>
        <w:t>’</w:t>
      </w:r>
      <w:r w:rsidRPr="000B56F5">
        <w:rPr>
          <w:lang w:val="fr-CH"/>
        </w:rPr>
        <w:t>une composition chimique, d</w:t>
      </w:r>
      <w:r w:rsidR="00B1361A" w:rsidRPr="000B56F5">
        <w:rPr>
          <w:lang w:val="fr-CH"/>
        </w:rPr>
        <w:t>’</w:t>
      </w:r>
      <w:r w:rsidRPr="000B56F5">
        <w:rPr>
          <w:lang w:val="fr-CH"/>
        </w:rPr>
        <w:t>un fournisseur, de partenaires ou de produits spécifiques;</w:t>
      </w:r>
    </w:p>
    <w:p w:rsidR="00EF0D3B" w:rsidRPr="000B56F5" w:rsidRDefault="00AE12D8" w:rsidP="00AE12D8">
      <w:pPr>
        <w:ind w:left="1134" w:hanging="567"/>
        <w:rPr>
          <w:lang w:val="fr-CH"/>
        </w:rPr>
      </w:pPr>
      <w:r w:rsidRPr="000B56F5">
        <w:rPr>
          <w:lang w:val="fr-CH"/>
        </w:rPr>
        <w:t>k)</w:t>
      </w:r>
      <w:r w:rsidRPr="000B56F5">
        <w:rPr>
          <w:lang w:val="fr-CH"/>
        </w:rPr>
        <w:tab/>
        <w:t>possibilité d</w:t>
      </w:r>
      <w:r w:rsidR="00B1361A" w:rsidRPr="000B56F5">
        <w:rPr>
          <w:lang w:val="fr-CH"/>
        </w:rPr>
        <w:t>’</w:t>
      </w:r>
      <w:r w:rsidRPr="000B56F5">
        <w:rPr>
          <w:lang w:val="fr-CH"/>
        </w:rPr>
        <w:t>automatisation;</w:t>
      </w:r>
    </w:p>
    <w:p w:rsidR="00F874D0" w:rsidRPr="000B56F5" w:rsidRDefault="00AE12D8" w:rsidP="00AE12D8">
      <w:pPr>
        <w:ind w:left="1134" w:hanging="567"/>
        <w:rPr>
          <w:lang w:val="fr-CH"/>
        </w:rPr>
      </w:pPr>
      <w:r w:rsidRPr="000B56F5">
        <w:rPr>
          <w:lang w:val="fr-CH"/>
        </w:rPr>
        <w:t>l)</w:t>
      </w:r>
      <w:r w:rsidRPr="000B56F5">
        <w:rPr>
          <w:lang w:val="fr-CH"/>
        </w:rPr>
        <w:tab/>
        <w:t>possibilité de multiplexage;  et</w:t>
      </w:r>
    </w:p>
    <w:p w:rsidR="00F874D0" w:rsidRPr="000B56F5" w:rsidRDefault="00AE12D8" w:rsidP="00AE12D8">
      <w:pPr>
        <w:ind w:left="1134" w:hanging="567"/>
        <w:rPr>
          <w:lang w:val="fr-CH"/>
        </w:rPr>
      </w:pPr>
      <w:r w:rsidRPr="000B56F5">
        <w:rPr>
          <w:lang w:val="fr-CH"/>
        </w:rPr>
        <w:t>m)</w:t>
      </w:r>
      <w:r w:rsidRPr="000B56F5">
        <w:rPr>
          <w:lang w:val="fr-CH"/>
        </w:rPr>
        <w:tab/>
        <w:t>rentabilité (équilibre des coûts, du nombre d</w:t>
      </w:r>
      <w:r w:rsidR="00B1361A" w:rsidRPr="000B56F5">
        <w:rPr>
          <w:lang w:val="fr-CH"/>
        </w:rPr>
        <w:t>’</w:t>
      </w:r>
      <w:r w:rsidRPr="000B56F5">
        <w:rPr>
          <w:lang w:val="fr-CH"/>
        </w:rPr>
        <w:t>échantillons et du nombre de marqueurs).</w:t>
      </w:r>
    </w:p>
    <w:p w:rsidR="00EF0D3B" w:rsidRPr="000B56F5" w:rsidRDefault="00EF0D3B" w:rsidP="00112E25">
      <w:pPr>
        <w:rPr>
          <w:lang w:val="fr-CH"/>
        </w:rPr>
      </w:pPr>
    </w:p>
    <w:p w:rsidR="00EF0D3B" w:rsidRPr="001167F2" w:rsidRDefault="00C86B0D" w:rsidP="009F1754">
      <w:pPr>
        <w:pStyle w:val="Heading3"/>
        <w:rPr>
          <w:snapToGrid w:val="0"/>
          <w:lang w:val="fr-CH"/>
        </w:rPr>
      </w:pPr>
      <w:bookmarkStart w:id="33" w:name="_Toc54004677"/>
      <w:bookmarkStart w:id="34" w:name="_Toc54004897"/>
      <w:r w:rsidRPr="001167F2">
        <w:rPr>
          <w:snapToGrid w:val="0"/>
          <w:lang w:val="fr-CH"/>
        </w:rPr>
        <w:t>2.2.</w:t>
      </w:r>
      <w:r w:rsidRPr="001167F2">
        <w:rPr>
          <w:snapToGrid w:val="0"/>
          <w:lang w:val="fr-CH"/>
        </w:rPr>
        <w:tab/>
        <w:t>Accès à la technologie</w:t>
      </w:r>
      <w:bookmarkEnd w:id="33"/>
      <w:bookmarkEnd w:id="34"/>
    </w:p>
    <w:p w:rsidR="00EF0D3B" w:rsidRPr="000B56F5" w:rsidRDefault="00EF0D3B" w:rsidP="00112E25">
      <w:pPr>
        <w:keepNext/>
        <w:keepLines/>
        <w:rPr>
          <w:lang w:val="fr-CH"/>
        </w:rPr>
      </w:pPr>
    </w:p>
    <w:p w:rsidR="00EF0D3B" w:rsidRPr="000B56F5" w:rsidRDefault="00C86B0D" w:rsidP="00C86B0D">
      <w:pPr>
        <w:keepNext/>
        <w:keepLines/>
        <w:rPr>
          <w:lang w:val="fr-CH"/>
        </w:rPr>
      </w:pPr>
      <w:r w:rsidRPr="000B56F5">
        <w:rPr>
          <w:lang w:val="fr-CH"/>
        </w:rPr>
        <w:t>Certains marqueurs et matériel moléculaires sont accessibles au publ</w:t>
      </w:r>
      <w:r w:rsidR="00D47A05" w:rsidRPr="000B56F5">
        <w:rPr>
          <w:lang w:val="fr-CH"/>
        </w:rPr>
        <w:t>ic.  Ce</w:t>
      </w:r>
      <w:r w:rsidRPr="000B56F5">
        <w:rPr>
          <w:lang w:val="fr-CH"/>
        </w:rPr>
        <w:t>la étant, l</w:t>
      </w:r>
      <w:r w:rsidR="00B1361A" w:rsidRPr="000B56F5">
        <w:rPr>
          <w:lang w:val="fr-CH"/>
        </w:rPr>
        <w:t>’</w:t>
      </w:r>
      <w:r w:rsidRPr="000B56F5">
        <w:rPr>
          <w:lang w:val="fr-CH"/>
        </w:rPr>
        <w:t>obtention de marqueurs de grande qualité suppose vraisemblablement un investissement important, de sorte qu</w:t>
      </w:r>
      <w:r w:rsidR="00B1361A" w:rsidRPr="000B56F5">
        <w:rPr>
          <w:lang w:val="fr-CH"/>
        </w:rPr>
        <w:t>’</w:t>
      </w:r>
      <w:r w:rsidRPr="000B56F5">
        <w:rPr>
          <w:lang w:val="fr-CH"/>
        </w:rPr>
        <w:t>il est probable que certains marqueurs et autres méthodes ou matériel soient protégés par des droits de propriété intellectuelle.</w:t>
      </w:r>
      <w:r w:rsidR="00112E25" w:rsidRPr="000B56F5">
        <w:rPr>
          <w:lang w:val="fr-CH"/>
        </w:rPr>
        <w:t xml:space="preserve"> </w:t>
      </w:r>
      <w:r w:rsidR="00DF1A3F" w:rsidRPr="000B56F5">
        <w:rPr>
          <w:lang w:val="fr-CH"/>
        </w:rPr>
        <w:t xml:space="preserve"> </w:t>
      </w:r>
      <w:r w:rsidRPr="000B56F5">
        <w:rPr>
          <w:lang w:val="fr-CH"/>
        </w:rPr>
        <w:t>L</w:t>
      </w:r>
      <w:r w:rsidR="00B1361A" w:rsidRPr="000B56F5">
        <w:rPr>
          <w:lang w:val="fr-CH"/>
        </w:rPr>
        <w:t>’</w:t>
      </w:r>
      <w:r w:rsidRPr="000B56F5">
        <w:rPr>
          <w:lang w:val="fr-CH"/>
        </w:rPr>
        <w:t xml:space="preserve">UPOV a mis au point des </w:t>
      </w:r>
      <w:r w:rsidR="000D048A" w:rsidRPr="000B56F5">
        <w:rPr>
          <w:lang w:val="fr-CH"/>
        </w:rPr>
        <w:t>orientations pour</w:t>
      </w:r>
      <w:r w:rsidRPr="000B56F5">
        <w:rPr>
          <w:lang w:val="fr-CH"/>
        </w:rPr>
        <w:t xml:space="preserve"> l</w:t>
      </w:r>
      <w:r w:rsidR="00B1361A" w:rsidRPr="000B56F5">
        <w:rPr>
          <w:lang w:val="fr-CH"/>
        </w:rPr>
        <w:t>’</w:t>
      </w:r>
      <w:r w:rsidRPr="000B56F5">
        <w:rPr>
          <w:lang w:val="fr-CH"/>
        </w:rPr>
        <w:t>utilisation de produits ou de méthodes qui font l</w:t>
      </w:r>
      <w:r w:rsidR="00B1361A" w:rsidRPr="000B56F5">
        <w:rPr>
          <w:lang w:val="fr-CH"/>
        </w:rPr>
        <w:t>’</w:t>
      </w:r>
      <w:r w:rsidRPr="000B56F5">
        <w:rPr>
          <w:lang w:val="fr-CH"/>
        </w:rPr>
        <w:t>objet de droits de propriété intellectuel</w:t>
      </w:r>
      <w:r w:rsidR="00A3385F" w:rsidRPr="000B56F5">
        <w:rPr>
          <w:lang w:val="fr-CH"/>
        </w:rPr>
        <w:t>le et il convient de les suiv</w:t>
      </w:r>
      <w:r w:rsidR="00D47A05" w:rsidRPr="000B56F5">
        <w:rPr>
          <w:lang w:val="fr-CH"/>
        </w:rPr>
        <w:t>re.  Il</w:t>
      </w:r>
      <w:r w:rsidRPr="000B56F5">
        <w:rPr>
          <w:lang w:val="fr-CH"/>
        </w:rPr>
        <w:t xml:space="preserve"> est recommandé de régler les questions concernant les droits de propriété intellectuelle avant d</w:t>
      </w:r>
      <w:r w:rsidR="00B1361A" w:rsidRPr="000B56F5">
        <w:rPr>
          <w:lang w:val="fr-CH"/>
        </w:rPr>
        <w:t>’</w:t>
      </w:r>
      <w:r w:rsidRPr="000B56F5">
        <w:rPr>
          <w:lang w:val="fr-CH"/>
        </w:rPr>
        <w:t xml:space="preserve">entreprendre </w:t>
      </w:r>
      <w:r w:rsidR="00A5387F" w:rsidRPr="000B56F5">
        <w:rPr>
          <w:lang w:val="fr-CH"/>
        </w:rPr>
        <w:t>des</w:t>
      </w:r>
      <w:r w:rsidRPr="000B56F5">
        <w:rPr>
          <w:lang w:val="fr-CH"/>
        </w:rPr>
        <w:t xml:space="preserve"> travaux</w:t>
      </w:r>
      <w:r w:rsidR="00A5387F" w:rsidRPr="000B56F5">
        <w:rPr>
          <w:lang w:val="fr-CH"/>
        </w:rPr>
        <w:t xml:space="preserve"> d</w:t>
      </w:r>
      <w:r w:rsidR="00B1361A" w:rsidRPr="000B56F5">
        <w:rPr>
          <w:lang w:val="fr-CH"/>
        </w:rPr>
        <w:t>’</w:t>
      </w:r>
      <w:r w:rsidR="00A5387F" w:rsidRPr="000B56F5">
        <w:rPr>
          <w:lang w:val="fr-CH"/>
        </w:rPr>
        <w:t>amélioration</w:t>
      </w:r>
      <w:r w:rsidRPr="000B56F5">
        <w:rPr>
          <w:lang w:val="fr-CH"/>
        </w:rPr>
        <w:t>.</w:t>
      </w:r>
    </w:p>
    <w:p w:rsidR="00EF0D3B" w:rsidRPr="000B56F5" w:rsidRDefault="00EF0D3B" w:rsidP="00112E25">
      <w:pPr>
        <w:keepNext/>
        <w:keepLines/>
        <w:rPr>
          <w:lang w:val="fr-CH"/>
        </w:rPr>
      </w:pPr>
    </w:p>
    <w:p w:rsidR="00EF0D3B" w:rsidRPr="00F80F1B" w:rsidRDefault="00C86B0D" w:rsidP="0038525D">
      <w:pPr>
        <w:pStyle w:val="Heading2"/>
        <w:rPr>
          <w:lang w:val="fr-CH"/>
        </w:rPr>
      </w:pPr>
      <w:bookmarkStart w:id="35" w:name="_Toc54004678"/>
      <w:bookmarkStart w:id="36" w:name="_Toc54004898"/>
      <w:r w:rsidRPr="00F80F1B">
        <w:rPr>
          <w:lang w:val="fr-CH"/>
        </w:rPr>
        <w:t>3.</w:t>
      </w:r>
      <w:r w:rsidRPr="00F80F1B">
        <w:rPr>
          <w:lang w:val="fr-CH"/>
        </w:rPr>
        <w:tab/>
        <w:t>Validation et harmonisation d</w:t>
      </w:r>
      <w:r w:rsidR="00B1361A" w:rsidRPr="00F80F1B">
        <w:rPr>
          <w:lang w:val="fr-CH"/>
        </w:rPr>
        <w:t>’</w:t>
      </w:r>
      <w:r w:rsidRPr="00F80F1B">
        <w:rPr>
          <w:lang w:val="fr-CH"/>
        </w:rPr>
        <w:t>un ensemble de marqueurs et d</w:t>
      </w:r>
      <w:r w:rsidR="00B1361A" w:rsidRPr="00F80F1B">
        <w:rPr>
          <w:lang w:val="fr-CH"/>
        </w:rPr>
        <w:t>’</w:t>
      </w:r>
      <w:r w:rsidRPr="00F80F1B">
        <w:rPr>
          <w:lang w:val="fr-CH"/>
        </w:rPr>
        <w:t>une méthode de détection</w:t>
      </w:r>
      <w:bookmarkEnd w:id="35"/>
      <w:bookmarkEnd w:id="36"/>
    </w:p>
    <w:p w:rsidR="00EF0D3B" w:rsidRPr="000B56F5" w:rsidRDefault="00EF0D3B" w:rsidP="00112E25">
      <w:pPr>
        <w:rPr>
          <w:lang w:val="fr-CH"/>
        </w:rPr>
      </w:pPr>
    </w:p>
    <w:p w:rsidR="00EF0D3B" w:rsidRPr="001167F2" w:rsidRDefault="00C86B0D" w:rsidP="009F1754">
      <w:pPr>
        <w:pStyle w:val="Heading3"/>
        <w:rPr>
          <w:snapToGrid w:val="0"/>
          <w:lang w:val="fr-CH"/>
        </w:rPr>
      </w:pPr>
      <w:bookmarkStart w:id="37" w:name="_Toc54004679"/>
      <w:bookmarkStart w:id="38" w:name="_Toc54004899"/>
      <w:r w:rsidRPr="001167F2">
        <w:rPr>
          <w:snapToGrid w:val="0"/>
          <w:lang w:val="fr-CH"/>
        </w:rPr>
        <w:t>3.1</w:t>
      </w:r>
      <w:r w:rsidRPr="001167F2">
        <w:rPr>
          <w:snapToGrid w:val="0"/>
          <w:lang w:val="fr-CH"/>
        </w:rPr>
        <w:tab/>
        <w:t xml:space="preserve">Validation et harmonisation – </w:t>
      </w:r>
      <w:r w:rsidR="00A5387F" w:rsidRPr="001167F2">
        <w:rPr>
          <w:snapToGrid w:val="0"/>
          <w:lang w:val="fr-CH"/>
        </w:rPr>
        <w:t>considérations</w:t>
      </w:r>
      <w:r w:rsidRPr="001167F2">
        <w:rPr>
          <w:snapToGrid w:val="0"/>
          <w:lang w:val="fr-CH"/>
        </w:rPr>
        <w:t xml:space="preserve"> généra</w:t>
      </w:r>
      <w:r w:rsidR="00A5387F" w:rsidRPr="001167F2">
        <w:rPr>
          <w:snapToGrid w:val="0"/>
          <w:lang w:val="fr-CH"/>
        </w:rPr>
        <w:t>les</w:t>
      </w:r>
      <w:bookmarkEnd w:id="37"/>
      <w:bookmarkEnd w:id="38"/>
    </w:p>
    <w:p w:rsidR="00EF0D3B" w:rsidRPr="000B56F5" w:rsidRDefault="00EF0D3B" w:rsidP="00112E25">
      <w:pPr>
        <w:rPr>
          <w:u w:val="single"/>
          <w:shd w:val="pct15" w:color="auto" w:fill="FFFFFF"/>
          <w:lang w:val="fr-CH"/>
        </w:rPr>
      </w:pPr>
    </w:p>
    <w:p w:rsidR="00EF0D3B" w:rsidRDefault="00C86B0D" w:rsidP="00C86B0D">
      <w:pPr>
        <w:rPr>
          <w:lang w:val="fr-CH"/>
        </w:rPr>
      </w:pPr>
      <w:r w:rsidRPr="000B56F5">
        <w:rPr>
          <w:lang w:val="fr-CH"/>
        </w:rPr>
        <w:t>Les marqueurs moléculaires et les méthodes de détection doivent être robustes et donner lieu à des profils d</w:t>
      </w:r>
      <w:r w:rsidR="00B1361A" w:rsidRPr="000B56F5">
        <w:rPr>
          <w:lang w:val="fr-CH"/>
        </w:rPr>
        <w:t>’</w:t>
      </w:r>
      <w:r w:rsidRPr="000B56F5">
        <w:rPr>
          <w:lang w:val="fr-CH"/>
        </w:rPr>
        <w:t>ADN cohéren</w:t>
      </w:r>
      <w:r w:rsidR="00D47A05" w:rsidRPr="000B56F5">
        <w:rPr>
          <w:lang w:val="fr-CH"/>
        </w:rPr>
        <w:t>ts.  Le</w:t>
      </w:r>
      <w:r w:rsidRPr="000B56F5">
        <w:rPr>
          <w:lang w:val="fr-CH"/>
        </w:rPr>
        <w:t>s performances des marqueurs moléculaires et des méthodes utilisées pour l</w:t>
      </w:r>
      <w:r w:rsidR="00B1361A" w:rsidRPr="000B56F5">
        <w:rPr>
          <w:lang w:val="fr-CH"/>
        </w:rPr>
        <w:t>’</w:t>
      </w:r>
      <w:r w:rsidRPr="000B56F5">
        <w:rPr>
          <w:lang w:val="fr-CH"/>
        </w:rPr>
        <w:t xml:space="preserve">établissement de descriptions de génotypes </w:t>
      </w:r>
      <w:r w:rsidR="00A5387F" w:rsidRPr="000B56F5">
        <w:rPr>
          <w:lang w:val="fr-CH"/>
        </w:rPr>
        <w:t>sont</w:t>
      </w:r>
      <w:r w:rsidRPr="000B56F5">
        <w:rPr>
          <w:lang w:val="fr-CH"/>
        </w:rPr>
        <w:t xml:space="preserve"> évaluée</w:t>
      </w:r>
      <w:r w:rsidR="00A5387F" w:rsidRPr="000B56F5">
        <w:rPr>
          <w:lang w:val="fr-CH"/>
        </w:rPr>
        <w:t>s</w:t>
      </w:r>
      <w:r w:rsidRPr="000B56F5">
        <w:rPr>
          <w:lang w:val="fr-CH"/>
        </w:rPr>
        <w:t xml:space="preserve"> dans un processus de validati</w:t>
      </w:r>
      <w:r w:rsidR="00D47A05" w:rsidRPr="000B56F5">
        <w:rPr>
          <w:lang w:val="fr-CH"/>
        </w:rPr>
        <w:t>on.  Da</w:t>
      </w:r>
      <w:r w:rsidRPr="000B56F5">
        <w:rPr>
          <w:lang w:val="fr-CH"/>
        </w:rPr>
        <w:t>ns le cas de bases de données partagées, la cohérence des profils d</w:t>
      </w:r>
      <w:r w:rsidR="00B1361A" w:rsidRPr="000B56F5">
        <w:rPr>
          <w:lang w:val="fr-CH"/>
        </w:rPr>
        <w:t>’</w:t>
      </w:r>
      <w:r w:rsidRPr="000B56F5">
        <w:rPr>
          <w:lang w:val="fr-CH"/>
        </w:rPr>
        <w:t>ADN dans les différents laboratoires est évaluée dans le processus d</w:t>
      </w:r>
      <w:r w:rsidR="00B1361A" w:rsidRPr="000B56F5">
        <w:rPr>
          <w:lang w:val="fr-CH"/>
        </w:rPr>
        <w:t>’</w:t>
      </w:r>
      <w:r w:rsidRPr="000B56F5">
        <w:rPr>
          <w:lang w:val="fr-CH"/>
        </w:rPr>
        <w:t>harmonisation à l</w:t>
      </w:r>
      <w:r w:rsidR="00B1361A" w:rsidRPr="000B56F5">
        <w:rPr>
          <w:lang w:val="fr-CH"/>
        </w:rPr>
        <w:t>’</w:t>
      </w:r>
      <w:r w:rsidRPr="000B56F5">
        <w:rPr>
          <w:lang w:val="fr-CH"/>
        </w:rPr>
        <w:t>aide de différents matériels et compositions chimiqu</w:t>
      </w:r>
      <w:r w:rsidR="00D47A05" w:rsidRPr="000B56F5">
        <w:rPr>
          <w:lang w:val="fr-CH"/>
        </w:rPr>
        <w:t>es.  L’u</w:t>
      </w:r>
      <w:r w:rsidRPr="000B56F5">
        <w:rPr>
          <w:lang w:val="fr-CH"/>
        </w:rPr>
        <w:t>tilisation de marqueurs et de méthodes validés aboutira à des résultats harmonisés.</w:t>
      </w:r>
    </w:p>
    <w:p w:rsidR="00956613" w:rsidRPr="000B56F5" w:rsidRDefault="00956613" w:rsidP="00C86B0D">
      <w:pPr>
        <w:rPr>
          <w:lang w:val="fr-CH"/>
        </w:rPr>
      </w:pPr>
    </w:p>
    <w:p w:rsidR="00F874D0" w:rsidRPr="00184F69" w:rsidRDefault="00C86B0D" w:rsidP="00184F69">
      <w:pPr>
        <w:pStyle w:val="Heading3"/>
        <w:keepNext/>
        <w:rPr>
          <w:lang w:val="fr-CH"/>
        </w:rPr>
      </w:pPr>
      <w:bookmarkStart w:id="39" w:name="_Toc54004680"/>
      <w:bookmarkStart w:id="40" w:name="_Toc54004900"/>
      <w:r w:rsidRPr="00184F69">
        <w:rPr>
          <w:lang w:val="fr-CH"/>
        </w:rPr>
        <w:t>3.2</w:t>
      </w:r>
      <w:r w:rsidRPr="00184F69">
        <w:rPr>
          <w:lang w:val="fr-CH"/>
        </w:rPr>
        <w:tab/>
        <w:t>Considérations relatives aux performances – validation des marqueurs et des méthodes</w:t>
      </w:r>
      <w:bookmarkEnd w:id="39"/>
      <w:bookmarkEnd w:id="40"/>
    </w:p>
    <w:p w:rsidR="00EF0D3B" w:rsidRPr="000B56F5" w:rsidRDefault="00EF0D3B" w:rsidP="00184F69">
      <w:pPr>
        <w:keepNext/>
        <w:rPr>
          <w:lang w:val="fr-CH"/>
        </w:rPr>
      </w:pPr>
    </w:p>
    <w:p w:rsidR="00EF0D3B" w:rsidRPr="000B56F5" w:rsidRDefault="00C86B0D" w:rsidP="00184F69">
      <w:pPr>
        <w:keepNext/>
        <w:rPr>
          <w:shd w:val="pct15" w:color="auto" w:fill="FFFFFF"/>
          <w:lang w:val="fr-CH"/>
        </w:rPr>
      </w:pPr>
      <w:r w:rsidRPr="000B56F5">
        <w:rPr>
          <w:lang w:val="fr-CH"/>
        </w:rPr>
        <w:t>L</w:t>
      </w:r>
      <w:r w:rsidR="00B1361A" w:rsidRPr="000B56F5">
        <w:rPr>
          <w:lang w:val="fr-CH"/>
        </w:rPr>
        <w:t>’</w:t>
      </w:r>
      <w:r w:rsidRPr="000B56F5">
        <w:rPr>
          <w:lang w:val="fr-CH"/>
        </w:rPr>
        <w:t xml:space="preserve">ensemble de marqueurs sélectionné </w:t>
      </w:r>
      <w:r w:rsidR="00A5387F" w:rsidRPr="000B56F5">
        <w:rPr>
          <w:lang w:val="fr-CH"/>
        </w:rPr>
        <w:t>devrait</w:t>
      </w:r>
      <w:r w:rsidRPr="000B56F5">
        <w:rPr>
          <w:lang w:val="fr-CH"/>
        </w:rPr>
        <w:t xml:space="preserve"> être adapté à son obj</w:t>
      </w:r>
      <w:r w:rsidR="00D47A05" w:rsidRPr="000B56F5">
        <w:rPr>
          <w:lang w:val="fr-CH"/>
        </w:rPr>
        <w:t>et.  Sa</w:t>
      </w:r>
      <w:r w:rsidR="00A3385F" w:rsidRPr="000B56F5">
        <w:rPr>
          <w:lang w:val="fr-CH"/>
        </w:rPr>
        <w:t xml:space="preserve"> précision devrait être mesur</w:t>
      </w:r>
      <w:r w:rsidR="00D47A05" w:rsidRPr="000B56F5">
        <w:rPr>
          <w:lang w:val="fr-CH"/>
        </w:rPr>
        <w:t>ée.  Po</w:t>
      </w:r>
      <w:r w:rsidR="003239D0" w:rsidRPr="000B56F5">
        <w:rPr>
          <w:lang w:val="fr-CH"/>
        </w:rPr>
        <w:t>ur déterminer si une méthode et un ensemble de marqueurs d</w:t>
      </w:r>
      <w:r w:rsidR="00B1361A" w:rsidRPr="000B56F5">
        <w:rPr>
          <w:lang w:val="fr-CH"/>
        </w:rPr>
        <w:t>’</w:t>
      </w:r>
      <w:r w:rsidR="003239D0" w:rsidRPr="000B56F5">
        <w:rPr>
          <w:lang w:val="fr-CH"/>
        </w:rPr>
        <w:t>ADN conviennent, plusieurs éléments doivent être pris en considération</w:t>
      </w:r>
      <w:r w:rsidR="00B1361A" w:rsidRPr="000B56F5">
        <w:rPr>
          <w:lang w:val="fr-CH"/>
        </w:rPr>
        <w:t> :</w:t>
      </w:r>
    </w:p>
    <w:p w:rsidR="00EF0D3B" w:rsidRPr="000B56F5" w:rsidRDefault="00EF0D3B" w:rsidP="00184F69">
      <w:pPr>
        <w:keepNext/>
        <w:rPr>
          <w:u w:val="single"/>
          <w:shd w:val="pct15" w:color="auto" w:fill="FFFFFF"/>
          <w:lang w:val="fr-CH"/>
        </w:rPr>
      </w:pPr>
    </w:p>
    <w:p w:rsidR="00EF0D3B" w:rsidRPr="000B56F5" w:rsidRDefault="003239D0" w:rsidP="00184F69">
      <w:pPr>
        <w:keepNext/>
        <w:ind w:firstLine="567"/>
        <w:rPr>
          <w:lang w:val="fr-CH"/>
        </w:rPr>
      </w:pPr>
      <w:r w:rsidRPr="000B56F5">
        <w:rPr>
          <w:lang w:val="fr-CH"/>
        </w:rPr>
        <w:t>a)</w:t>
      </w:r>
      <w:r w:rsidRPr="000B56F5">
        <w:rPr>
          <w:lang w:val="fr-CH"/>
        </w:rPr>
        <w:tab/>
      </w:r>
      <w:r w:rsidR="00A5387F" w:rsidRPr="000B56F5">
        <w:rPr>
          <w:lang w:val="fr-CH"/>
        </w:rPr>
        <w:t>p</w:t>
      </w:r>
      <w:r w:rsidRPr="000B56F5">
        <w:rPr>
          <w:lang w:val="fr-CH"/>
        </w:rPr>
        <w:t>ouvoir de discrimination/pouvoir informatif;</w:t>
      </w:r>
    </w:p>
    <w:p w:rsidR="00EF0D3B" w:rsidRPr="000B56F5" w:rsidRDefault="00A5387F" w:rsidP="003239D0">
      <w:pPr>
        <w:ind w:firstLine="567"/>
        <w:rPr>
          <w:lang w:val="fr-CH"/>
        </w:rPr>
      </w:pPr>
      <w:r w:rsidRPr="000B56F5">
        <w:rPr>
          <w:lang w:val="fr-CH"/>
        </w:rPr>
        <w:t>b)</w:t>
      </w:r>
      <w:r w:rsidRPr="000B56F5">
        <w:rPr>
          <w:lang w:val="fr-CH"/>
        </w:rPr>
        <w:tab/>
        <w:t>p</w:t>
      </w:r>
      <w:r w:rsidR="003239D0" w:rsidRPr="000B56F5">
        <w:rPr>
          <w:lang w:val="fr-CH"/>
        </w:rPr>
        <w:t>ossibilité de répétition</w:t>
      </w:r>
      <w:r w:rsidR="00B1361A" w:rsidRPr="000B56F5">
        <w:rPr>
          <w:lang w:val="fr-CH"/>
        </w:rPr>
        <w:t> :</w:t>
      </w:r>
      <w:r w:rsidR="003239D0" w:rsidRPr="000B56F5">
        <w:rPr>
          <w:lang w:val="fr-CH"/>
        </w:rPr>
        <w:t xml:space="preserve"> lorsque des résultats d</w:t>
      </w:r>
      <w:r w:rsidR="00B1361A" w:rsidRPr="000B56F5">
        <w:rPr>
          <w:lang w:val="fr-CH"/>
        </w:rPr>
        <w:t>’</w:t>
      </w:r>
      <w:r w:rsidR="003239D0" w:rsidRPr="000B56F5">
        <w:rPr>
          <w:lang w:val="fr-CH"/>
        </w:rPr>
        <w:t>essai identiques sont obtenus avec la même méthode, sur des objets identiques, dans le même laboratoire, par le même opérateur, en utilisant le même équipement dans</w:t>
      </w:r>
      <w:r w:rsidRPr="000B56F5">
        <w:rPr>
          <w:lang w:val="fr-CH"/>
        </w:rPr>
        <w:t xml:space="preserve"> de courts intervalles de temps;</w:t>
      </w:r>
    </w:p>
    <w:p w:rsidR="00EF0D3B" w:rsidRPr="000B56F5" w:rsidRDefault="003239D0" w:rsidP="003239D0">
      <w:pPr>
        <w:ind w:firstLine="567"/>
        <w:rPr>
          <w:lang w:val="fr-CH"/>
        </w:rPr>
      </w:pPr>
      <w:r w:rsidRPr="000B56F5">
        <w:rPr>
          <w:lang w:val="fr-CH"/>
        </w:rPr>
        <w:t>c)</w:t>
      </w:r>
      <w:r w:rsidRPr="000B56F5">
        <w:rPr>
          <w:lang w:val="fr-CH"/>
        </w:rPr>
        <w:tab/>
      </w:r>
      <w:r w:rsidR="00A5387F" w:rsidRPr="000B56F5">
        <w:rPr>
          <w:lang w:val="fr-CH"/>
        </w:rPr>
        <w:t>r</w:t>
      </w:r>
      <w:r w:rsidRPr="000B56F5">
        <w:rPr>
          <w:lang w:val="fr-CH"/>
        </w:rPr>
        <w:t>eproductibilité</w:t>
      </w:r>
      <w:r w:rsidR="00B1361A" w:rsidRPr="000B56F5">
        <w:rPr>
          <w:lang w:val="fr-CH"/>
        </w:rPr>
        <w:t> :</w:t>
      </w:r>
      <w:r w:rsidRPr="000B56F5">
        <w:rPr>
          <w:lang w:val="fr-CH"/>
        </w:rPr>
        <w:t xml:space="preserve"> lorsque les résultats des essais </w:t>
      </w:r>
      <w:r w:rsidR="001167F2">
        <w:rPr>
          <w:lang w:val="fr-CH"/>
        </w:rPr>
        <w:t xml:space="preserve">identiques </w:t>
      </w:r>
      <w:r w:rsidRPr="000B56F5">
        <w:rPr>
          <w:lang w:val="fr-CH"/>
        </w:rPr>
        <w:t>sont obtenus avec la même méthode, sur des objets identiques, dans le même laboratoire ou entre différents laboratoires, avec différents opérateurs, en utili</w:t>
      </w:r>
      <w:r w:rsidR="00A5387F" w:rsidRPr="000B56F5">
        <w:rPr>
          <w:lang w:val="fr-CH"/>
        </w:rPr>
        <w:t>sant des équipements différents;</w:t>
      </w:r>
    </w:p>
    <w:p w:rsidR="00F874D0" w:rsidRPr="000B56F5" w:rsidRDefault="00F871DE" w:rsidP="00F871DE">
      <w:pPr>
        <w:ind w:firstLine="567"/>
        <w:rPr>
          <w:lang w:val="fr-CH"/>
        </w:rPr>
      </w:pPr>
      <w:r w:rsidRPr="000B56F5">
        <w:rPr>
          <w:lang w:val="fr-CH"/>
        </w:rPr>
        <w:t>d)</w:t>
      </w:r>
      <w:r w:rsidRPr="000B56F5">
        <w:rPr>
          <w:lang w:val="fr-CH"/>
        </w:rPr>
        <w:tab/>
      </w:r>
      <w:r w:rsidR="00A5387F" w:rsidRPr="000B56F5">
        <w:rPr>
          <w:lang w:val="fr-CH"/>
        </w:rPr>
        <w:t>r</w:t>
      </w:r>
      <w:r w:rsidRPr="000B56F5">
        <w:rPr>
          <w:lang w:val="fr-CH"/>
        </w:rPr>
        <w:t>obustesse</w:t>
      </w:r>
      <w:r w:rsidR="00B1361A" w:rsidRPr="000B56F5">
        <w:rPr>
          <w:lang w:val="fr-CH"/>
        </w:rPr>
        <w:t> :</w:t>
      </w:r>
      <w:r w:rsidR="008D7D50" w:rsidRPr="000B56F5">
        <w:rPr>
          <w:lang w:val="fr-CH"/>
        </w:rPr>
        <w:t xml:space="preserve"> mesure de s</w:t>
      </w:r>
      <w:r w:rsidRPr="000B56F5">
        <w:rPr>
          <w:lang w:val="fr-CH"/>
        </w:rPr>
        <w:t>a capacité à ne pas être affecté par des écarts faibles mais délibérés par rapport aux conditions expérimentales décrites dans les paramètres de la procédure</w:t>
      </w:r>
      <w:r w:rsidR="008D7D50" w:rsidRPr="000B56F5">
        <w:rPr>
          <w:lang w:val="fr-CH"/>
        </w:rPr>
        <w:t>,</w:t>
      </w:r>
      <w:r w:rsidRPr="000B56F5">
        <w:rPr>
          <w:lang w:val="fr-CH"/>
        </w:rPr>
        <w:t xml:space="preserve"> donne une indication de sa fiabilité en utilisation normale;  et</w:t>
      </w:r>
    </w:p>
    <w:p w:rsidR="00F874D0" w:rsidRPr="000B56F5" w:rsidRDefault="00A5387F" w:rsidP="00F871DE">
      <w:pPr>
        <w:ind w:firstLine="567"/>
        <w:rPr>
          <w:lang w:val="fr-CH"/>
        </w:rPr>
      </w:pPr>
      <w:r w:rsidRPr="000B56F5">
        <w:rPr>
          <w:lang w:val="fr-CH"/>
        </w:rPr>
        <w:t>e)</w:t>
      </w:r>
      <w:r w:rsidRPr="000B56F5">
        <w:rPr>
          <w:lang w:val="fr-CH"/>
        </w:rPr>
        <w:tab/>
        <w:t>t</w:t>
      </w:r>
      <w:r w:rsidR="00F871DE" w:rsidRPr="000B56F5">
        <w:rPr>
          <w:lang w:val="fr-CH"/>
        </w:rPr>
        <w:t>aux d</w:t>
      </w:r>
      <w:r w:rsidR="00B1361A" w:rsidRPr="000B56F5">
        <w:rPr>
          <w:lang w:val="fr-CH"/>
        </w:rPr>
        <w:t>’</w:t>
      </w:r>
      <w:r w:rsidR="00F871DE" w:rsidRPr="000B56F5">
        <w:rPr>
          <w:lang w:val="fr-CH"/>
        </w:rPr>
        <w:t>erreur.</w:t>
      </w:r>
    </w:p>
    <w:p w:rsidR="00EF0D3B" w:rsidRPr="000B56F5" w:rsidRDefault="00EF0D3B" w:rsidP="00112E25">
      <w:pPr>
        <w:jc w:val="left"/>
        <w:rPr>
          <w:lang w:val="fr-CH"/>
        </w:rPr>
      </w:pPr>
    </w:p>
    <w:p w:rsidR="00EF0D3B" w:rsidRPr="000B56F5" w:rsidRDefault="00F871DE" w:rsidP="00F871DE">
      <w:pPr>
        <w:rPr>
          <w:rFonts w:cs="Arial"/>
          <w:lang w:val="fr-CH"/>
        </w:rPr>
      </w:pPr>
      <w:r w:rsidRPr="000B56F5">
        <w:rPr>
          <w:rFonts w:cs="Arial"/>
          <w:lang w:val="fr-CH"/>
        </w:rPr>
        <w:t>Les définitions des caractères relatifs à la performance sont fondé</w:t>
      </w:r>
      <w:r w:rsidR="00A5387F" w:rsidRPr="000B56F5">
        <w:rPr>
          <w:rFonts w:cs="Arial"/>
          <w:lang w:val="fr-CH"/>
        </w:rPr>
        <w:t>e</w:t>
      </w:r>
      <w:r w:rsidRPr="000B56F5">
        <w:rPr>
          <w:rFonts w:cs="Arial"/>
          <w:lang w:val="fr-CH"/>
        </w:rPr>
        <w:t>s sur la norme</w:t>
      </w:r>
      <w:r w:rsidR="00DF1A3F" w:rsidRPr="000B56F5">
        <w:rPr>
          <w:rFonts w:cs="Arial"/>
          <w:lang w:val="fr-CH"/>
        </w:rPr>
        <w:t> </w:t>
      </w:r>
      <w:r w:rsidRPr="000B56F5">
        <w:rPr>
          <w:rFonts w:cs="Arial"/>
          <w:lang w:val="fr-CH"/>
        </w:rPr>
        <w:t>ISO</w:t>
      </w:r>
      <w:r w:rsidR="001045F7" w:rsidRPr="000B56F5">
        <w:rPr>
          <w:rFonts w:cs="Arial"/>
          <w:lang w:val="fr-CH"/>
        </w:rPr>
        <w:t> </w:t>
      </w:r>
      <w:r w:rsidRPr="000B56F5">
        <w:rPr>
          <w:rFonts w:cs="Arial"/>
          <w:lang w:val="fr-CH"/>
        </w:rPr>
        <w:t>16</w:t>
      </w:r>
      <w:r w:rsidR="00DF1A3F" w:rsidRPr="000B56F5">
        <w:rPr>
          <w:rFonts w:cs="Arial"/>
          <w:lang w:val="fr-CH"/>
        </w:rPr>
        <w:t> </w:t>
      </w:r>
      <w:r w:rsidRPr="000B56F5">
        <w:rPr>
          <w:rFonts w:cs="Arial"/>
          <w:lang w:val="fr-CH"/>
        </w:rPr>
        <w:t>577:2016</w:t>
      </w:r>
    </w:p>
    <w:p w:rsidR="00EF0D3B" w:rsidRPr="000B56F5" w:rsidRDefault="00EF0D3B" w:rsidP="00112E25">
      <w:pPr>
        <w:rPr>
          <w:lang w:val="fr-CH"/>
        </w:rPr>
      </w:pPr>
    </w:p>
    <w:p w:rsidR="00EF0D3B" w:rsidRPr="001167F2" w:rsidRDefault="00F871DE" w:rsidP="009F1754">
      <w:pPr>
        <w:pStyle w:val="Heading3"/>
        <w:rPr>
          <w:snapToGrid w:val="0"/>
          <w:lang w:val="fr-CH"/>
        </w:rPr>
      </w:pPr>
      <w:bookmarkStart w:id="41" w:name="_Toc54004681"/>
      <w:bookmarkStart w:id="42" w:name="_Toc54004901"/>
      <w:r w:rsidRPr="001167F2">
        <w:rPr>
          <w:snapToGrid w:val="0"/>
          <w:lang w:val="fr-CH"/>
        </w:rPr>
        <w:t>3.3</w:t>
      </w:r>
      <w:r w:rsidRPr="001167F2">
        <w:rPr>
          <w:snapToGrid w:val="0"/>
          <w:lang w:val="fr-CH"/>
        </w:rPr>
        <w:tab/>
        <w:t>Considérations relatives à la cohérence</w:t>
      </w:r>
      <w:bookmarkEnd w:id="41"/>
      <w:bookmarkEnd w:id="42"/>
    </w:p>
    <w:p w:rsidR="00EF0D3B" w:rsidRPr="000B56F5" w:rsidRDefault="00EF0D3B" w:rsidP="00112E25">
      <w:pPr>
        <w:keepNext/>
        <w:ind w:left="567" w:hanging="567"/>
        <w:outlineLvl w:val="2"/>
        <w:rPr>
          <w:i/>
          <w:snapToGrid w:val="0"/>
          <w:lang w:val="fr-CH"/>
        </w:rPr>
      </w:pPr>
    </w:p>
    <w:p w:rsidR="00F874D0" w:rsidRPr="000B56F5" w:rsidRDefault="00E40B95" w:rsidP="00E40B95">
      <w:pPr>
        <w:rPr>
          <w:snapToGrid w:val="0"/>
          <w:lang w:val="fr-CH"/>
        </w:rPr>
      </w:pPr>
      <w:r w:rsidRPr="000B56F5">
        <w:rPr>
          <w:snapToGrid w:val="0"/>
          <w:lang w:val="fr-CH"/>
        </w:rPr>
        <w:t>Pour obtenir une cohérence des résultats, le processus d</w:t>
      </w:r>
      <w:r w:rsidR="00B1361A" w:rsidRPr="000B56F5">
        <w:rPr>
          <w:snapToGrid w:val="0"/>
          <w:lang w:val="fr-CH"/>
        </w:rPr>
        <w:t>’</w:t>
      </w:r>
      <w:r w:rsidRPr="000B56F5">
        <w:rPr>
          <w:snapToGrid w:val="0"/>
          <w:lang w:val="fr-CH"/>
        </w:rPr>
        <w:t>harmonisation des marqueurs et des méthodes entre les différents laboratoires dans le cas d</w:t>
      </w:r>
      <w:r w:rsidR="00B1361A" w:rsidRPr="000B56F5">
        <w:rPr>
          <w:snapToGrid w:val="0"/>
          <w:lang w:val="fr-CH"/>
        </w:rPr>
        <w:t>’</w:t>
      </w:r>
      <w:r w:rsidRPr="000B56F5">
        <w:rPr>
          <w:snapToGrid w:val="0"/>
          <w:lang w:val="fr-CH"/>
        </w:rPr>
        <w:t>une base de données partagée (test d</w:t>
      </w:r>
      <w:r w:rsidR="00B1361A" w:rsidRPr="000B56F5">
        <w:rPr>
          <w:snapToGrid w:val="0"/>
          <w:lang w:val="fr-CH"/>
        </w:rPr>
        <w:t>’</w:t>
      </w:r>
      <w:r w:rsidRPr="000B56F5">
        <w:rPr>
          <w:snapToGrid w:val="0"/>
          <w:lang w:val="fr-CH"/>
        </w:rPr>
        <w:t>étalonnage) doit inclure ce qui suit</w:t>
      </w:r>
      <w:r w:rsidR="00B1361A" w:rsidRPr="000B56F5">
        <w:rPr>
          <w:snapToGrid w:val="0"/>
          <w:lang w:val="fr-CH"/>
        </w:rPr>
        <w:t> :</w:t>
      </w:r>
    </w:p>
    <w:p w:rsidR="00EF0D3B" w:rsidRPr="000B56F5" w:rsidRDefault="00EF0D3B" w:rsidP="00112E25">
      <w:pPr>
        <w:rPr>
          <w:u w:val="single"/>
          <w:shd w:val="pct15" w:color="auto" w:fill="FFFFFF"/>
          <w:lang w:val="fr-CH"/>
        </w:rPr>
      </w:pPr>
    </w:p>
    <w:p w:rsidR="00F874D0" w:rsidRPr="000B56F5" w:rsidRDefault="00E40B95" w:rsidP="00E40B95">
      <w:pPr>
        <w:ind w:left="1134" w:hanging="567"/>
        <w:rPr>
          <w:lang w:val="fr-CH"/>
        </w:rPr>
      </w:pPr>
      <w:r w:rsidRPr="000B56F5">
        <w:rPr>
          <w:lang w:val="fr-CH"/>
        </w:rPr>
        <w:t>a)</w:t>
      </w:r>
      <w:r w:rsidRPr="000B56F5">
        <w:rPr>
          <w:lang w:val="fr-CH"/>
        </w:rPr>
        <w:tab/>
        <w:t>Utilisation d</w:t>
      </w:r>
      <w:r w:rsidR="00B1361A" w:rsidRPr="000B56F5">
        <w:rPr>
          <w:lang w:val="fr-CH"/>
        </w:rPr>
        <w:t>’</w:t>
      </w:r>
      <w:r w:rsidRPr="000B56F5">
        <w:rPr>
          <w:lang w:val="fr-CH"/>
        </w:rPr>
        <w:t>une collection de variétés définie représentant un large éventail d</w:t>
      </w:r>
      <w:r w:rsidR="00B1361A" w:rsidRPr="000B56F5">
        <w:rPr>
          <w:lang w:val="fr-CH"/>
        </w:rPr>
        <w:t>’</w:t>
      </w:r>
      <w:r w:rsidRPr="000B56F5">
        <w:rPr>
          <w:lang w:val="fr-CH"/>
        </w:rPr>
        <w:t>allèles comme référence dans tous les laboratoires pour vérifier la cohérence entre les laboratoires</w:t>
      </w:r>
    </w:p>
    <w:p w:rsidR="00F874D0" w:rsidRPr="000B56F5" w:rsidRDefault="00F874D0" w:rsidP="00112E25">
      <w:pPr>
        <w:ind w:left="1134" w:hanging="567"/>
        <w:rPr>
          <w:shd w:val="pct15" w:color="auto" w:fill="FFFFFF"/>
          <w:lang w:val="fr-CH"/>
        </w:rPr>
      </w:pPr>
    </w:p>
    <w:p w:rsidR="00F874D0" w:rsidRPr="000B56F5" w:rsidRDefault="00017897" w:rsidP="00E40B95">
      <w:pPr>
        <w:ind w:left="1134" w:hanging="567"/>
        <w:rPr>
          <w:lang w:val="fr-CH"/>
        </w:rPr>
      </w:pPr>
      <w:r w:rsidRPr="000B56F5">
        <w:rPr>
          <w:lang w:val="fr-CH"/>
        </w:rPr>
        <w:t>b)</w:t>
      </w:r>
      <w:r w:rsidRPr="000B56F5">
        <w:rPr>
          <w:lang w:val="fr-CH"/>
        </w:rPr>
        <w:tab/>
        <w:t>Incl</w:t>
      </w:r>
      <w:r w:rsidR="00E40B95" w:rsidRPr="000B56F5">
        <w:rPr>
          <w:lang w:val="fr-CH"/>
        </w:rPr>
        <w:t>usion d</w:t>
      </w:r>
      <w:r w:rsidR="00B1361A" w:rsidRPr="000B56F5">
        <w:rPr>
          <w:lang w:val="fr-CH"/>
        </w:rPr>
        <w:t>’</w:t>
      </w:r>
      <w:r w:rsidR="00E40B95" w:rsidRPr="000B56F5">
        <w:rPr>
          <w:lang w:val="fr-CH"/>
        </w:rPr>
        <w:t>échantillons doubles, sous</w:t>
      </w:r>
      <w:r w:rsidR="00B1361A" w:rsidRPr="000B56F5">
        <w:rPr>
          <w:lang w:val="fr-CH"/>
        </w:rPr>
        <w:t>-</w:t>
      </w:r>
      <w:r w:rsidR="00E40B95" w:rsidRPr="000B56F5">
        <w:rPr>
          <w:lang w:val="fr-CH"/>
        </w:rPr>
        <w:t>échantillons, plantes individuelles d</w:t>
      </w:r>
      <w:r w:rsidR="00B1361A" w:rsidRPr="000B56F5">
        <w:rPr>
          <w:lang w:val="fr-CH"/>
        </w:rPr>
        <w:t>’</w:t>
      </w:r>
      <w:r w:rsidR="00E40B95" w:rsidRPr="000B56F5">
        <w:rPr>
          <w:lang w:val="fr-CH"/>
        </w:rPr>
        <w:t>une variété pour vérifier la cohérence des profils d</w:t>
      </w:r>
      <w:r w:rsidR="00B1361A" w:rsidRPr="000B56F5">
        <w:rPr>
          <w:lang w:val="fr-CH"/>
        </w:rPr>
        <w:t>’</w:t>
      </w:r>
      <w:r w:rsidR="00E40B95" w:rsidRPr="000B56F5">
        <w:rPr>
          <w:lang w:val="fr-CH"/>
        </w:rPr>
        <w:t>ADN et estimer le taux d</w:t>
      </w:r>
      <w:r w:rsidR="00B1361A" w:rsidRPr="000B56F5">
        <w:rPr>
          <w:lang w:val="fr-CH"/>
        </w:rPr>
        <w:t>’</w:t>
      </w:r>
      <w:r w:rsidR="00E40B95" w:rsidRPr="000B56F5">
        <w:rPr>
          <w:lang w:val="fr-CH"/>
        </w:rPr>
        <w:t>erreur entre les laboratoires</w:t>
      </w:r>
    </w:p>
    <w:p w:rsidR="00EF0D3B" w:rsidRPr="000B56F5" w:rsidRDefault="00EF0D3B" w:rsidP="00112E25">
      <w:pPr>
        <w:ind w:left="1134" w:hanging="567"/>
        <w:rPr>
          <w:shd w:val="pct15" w:color="auto" w:fill="FFFFFF"/>
          <w:lang w:val="fr-CH"/>
        </w:rPr>
      </w:pPr>
    </w:p>
    <w:p w:rsidR="00F874D0" w:rsidRPr="000B56F5" w:rsidRDefault="00E40B95" w:rsidP="00E40B95">
      <w:pPr>
        <w:ind w:left="1134" w:hanging="567"/>
        <w:rPr>
          <w:lang w:val="fr-CH"/>
        </w:rPr>
      </w:pPr>
      <w:r w:rsidRPr="000B56F5">
        <w:rPr>
          <w:lang w:val="fr-CH"/>
        </w:rPr>
        <w:t>c)</w:t>
      </w:r>
      <w:r w:rsidRPr="000B56F5">
        <w:rPr>
          <w:lang w:val="fr-CH"/>
        </w:rPr>
        <w:tab/>
        <w:t>Accords sur la notation des données moléculair</w:t>
      </w:r>
      <w:r w:rsidR="00D47A05" w:rsidRPr="000B56F5">
        <w:rPr>
          <w:lang w:val="fr-CH"/>
        </w:rPr>
        <w:t>es.  La</w:t>
      </w:r>
      <w:r w:rsidRPr="000B56F5">
        <w:rPr>
          <w:lang w:val="fr-CH"/>
        </w:rPr>
        <w:t xml:space="preserve"> nécessité de mettre au point un protocole de notation des allèles/bandes entre les laboratoires dépend du type de marqueur utilisé (essentiel pour</w:t>
      </w:r>
      <w:r w:rsidR="00F874D0" w:rsidRPr="000B56F5">
        <w:rPr>
          <w:lang w:val="fr-CH"/>
        </w:rPr>
        <w:t xml:space="preserve"> les SSR</w:t>
      </w:r>
      <w:r w:rsidRPr="000B56F5">
        <w:rPr>
          <w:lang w:val="fr-CH"/>
        </w:rPr>
        <w:t>).</w:t>
      </w:r>
      <w:r w:rsidR="00112E25" w:rsidRPr="000B56F5">
        <w:rPr>
          <w:lang w:val="fr-CH"/>
        </w:rPr>
        <w:t xml:space="preserve">  </w:t>
      </w:r>
      <w:r w:rsidRPr="000B56F5">
        <w:rPr>
          <w:lang w:val="fr-CH"/>
        </w:rPr>
        <w:t>Le protocole pourrait permettre de déterminer comment noter les éléments suivants</w:t>
      </w:r>
      <w:r w:rsidR="00B1361A" w:rsidRPr="000B56F5">
        <w:rPr>
          <w:lang w:val="fr-CH"/>
        </w:rPr>
        <w:t> :</w:t>
      </w:r>
    </w:p>
    <w:p w:rsidR="00EF0D3B" w:rsidRPr="000B56F5" w:rsidRDefault="00EF0D3B" w:rsidP="00112E25">
      <w:pPr>
        <w:ind w:firstLine="567"/>
        <w:rPr>
          <w:u w:val="single"/>
          <w:shd w:val="pct15" w:color="auto" w:fill="FFFFFF"/>
          <w:lang w:val="fr-CH"/>
        </w:rPr>
      </w:pPr>
    </w:p>
    <w:p w:rsidR="00EF0D3B" w:rsidRPr="000B56F5" w:rsidRDefault="00E40B95" w:rsidP="00E40B95">
      <w:pPr>
        <w:ind w:left="1701" w:hanging="567"/>
        <w:rPr>
          <w:lang w:val="fr-CH"/>
        </w:rPr>
      </w:pPr>
      <w:r w:rsidRPr="000B56F5">
        <w:rPr>
          <w:lang w:val="fr-CH"/>
        </w:rPr>
        <w:t>i.</w:t>
      </w:r>
      <w:r w:rsidRPr="000B56F5">
        <w:rPr>
          <w:lang w:val="fr-CH"/>
        </w:rPr>
        <w:tab/>
        <w:t>allèles rares (c</w:t>
      </w:r>
      <w:r w:rsidR="00B1361A" w:rsidRPr="000B56F5">
        <w:rPr>
          <w:lang w:val="fr-CH"/>
        </w:rPr>
        <w:t>’</w:t>
      </w:r>
      <w:r w:rsidRPr="000B56F5">
        <w:rPr>
          <w:lang w:val="fr-CH"/>
        </w:rPr>
        <w:t>est</w:t>
      </w:r>
      <w:r w:rsidR="00B1361A" w:rsidRPr="000B56F5">
        <w:rPr>
          <w:lang w:val="fr-CH"/>
        </w:rPr>
        <w:t>-</w:t>
      </w:r>
      <w:r w:rsidRPr="000B56F5">
        <w:rPr>
          <w:lang w:val="fr-CH"/>
        </w:rPr>
        <w:t>à</w:t>
      </w:r>
      <w:r w:rsidR="00B1361A" w:rsidRPr="000B56F5">
        <w:rPr>
          <w:lang w:val="fr-CH"/>
        </w:rPr>
        <w:t>-</w:t>
      </w:r>
      <w:r w:rsidRPr="000B56F5">
        <w:rPr>
          <w:lang w:val="fr-CH"/>
        </w:rPr>
        <w:t>dire allèles à locus spécifique apparaissant dans une population à une fréquence inférieure à un seuil convenu (habituellement 5 à 10%);</w:t>
      </w:r>
    </w:p>
    <w:p w:rsidR="00EF0D3B" w:rsidRPr="000B56F5" w:rsidRDefault="00EF0D3B" w:rsidP="00112E25">
      <w:pPr>
        <w:ind w:left="1701" w:hanging="567"/>
        <w:rPr>
          <w:lang w:val="fr-CH"/>
        </w:rPr>
      </w:pPr>
    </w:p>
    <w:p w:rsidR="00EF0D3B" w:rsidRPr="000B56F5" w:rsidRDefault="00E40B95" w:rsidP="00E40B95">
      <w:pPr>
        <w:ind w:left="1701" w:hanging="567"/>
        <w:rPr>
          <w:lang w:val="fr-CH"/>
        </w:rPr>
      </w:pPr>
      <w:r w:rsidRPr="000B56F5">
        <w:rPr>
          <w:lang w:val="fr-CH"/>
        </w:rPr>
        <w:t>ii.</w:t>
      </w:r>
      <w:r w:rsidRPr="000B56F5">
        <w:rPr>
          <w:lang w:val="fr-CH"/>
        </w:rPr>
        <w:tab/>
        <w:t>allèles à fréquence nulle (un allèle dont l</w:t>
      </w:r>
      <w:r w:rsidR="00B1361A" w:rsidRPr="000B56F5">
        <w:rPr>
          <w:lang w:val="fr-CH"/>
        </w:rPr>
        <w:t>’</w:t>
      </w:r>
      <w:r w:rsidRPr="000B56F5">
        <w:rPr>
          <w:lang w:val="fr-CH"/>
        </w:rPr>
        <w:t>effet consiste en l</w:t>
      </w:r>
      <w:r w:rsidR="00B1361A" w:rsidRPr="000B56F5">
        <w:rPr>
          <w:lang w:val="fr-CH"/>
        </w:rPr>
        <w:t>’</w:t>
      </w:r>
      <w:r w:rsidRPr="000B56F5">
        <w:rPr>
          <w:lang w:val="fr-CH"/>
        </w:rPr>
        <w:t>absence d</w:t>
      </w:r>
      <w:r w:rsidR="00B1361A" w:rsidRPr="000B56F5">
        <w:rPr>
          <w:lang w:val="fr-CH"/>
        </w:rPr>
        <w:t>’</w:t>
      </w:r>
      <w:r w:rsidRPr="000B56F5">
        <w:rPr>
          <w:lang w:val="fr-CH"/>
        </w:rPr>
        <w:t>un produit PCR à l</w:t>
      </w:r>
      <w:r w:rsidR="00B1361A" w:rsidRPr="000B56F5">
        <w:rPr>
          <w:lang w:val="fr-CH"/>
        </w:rPr>
        <w:t>’</w:t>
      </w:r>
      <w:r w:rsidRPr="000B56F5">
        <w:rPr>
          <w:lang w:val="fr-CH"/>
        </w:rPr>
        <w:t>échelle moléculaire);</w:t>
      </w:r>
    </w:p>
    <w:p w:rsidR="00F874D0" w:rsidRPr="000B56F5" w:rsidRDefault="00F874D0" w:rsidP="00112E25">
      <w:pPr>
        <w:ind w:left="1701" w:hanging="567"/>
        <w:rPr>
          <w:lang w:val="fr-CH"/>
        </w:rPr>
      </w:pPr>
    </w:p>
    <w:p w:rsidR="00F874D0" w:rsidRPr="000B56F5" w:rsidRDefault="00112E25" w:rsidP="00E40B95">
      <w:pPr>
        <w:ind w:left="1701" w:hanging="567"/>
        <w:rPr>
          <w:lang w:val="fr-CH"/>
        </w:rPr>
      </w:pPr>
      <w:r w:rsidRPr="000B56F5">
        <w:rPr>
          <w:lang w:val="fr-CH"/>
        </w:rPr>
        <w:t>iii.</w:t>
      </w:r>
      <w:r w:rsidRPr="000B56F5">
        <w:rPr>
          <w:lang w:val="fr-CH"/>
        </w:rPr>
        <w:tab/>
      </w:r>
      <w:r w:rsidR="00E40B95" w:rsidRPr="000B56F5">
        <w:rPr>
          <w:lang w:val="fr-CH"/>
        </w:rPr>
        <w:t>bandes “faibles” (c</w:t>
      </w:r>
      <w:r w:rsidR="00B1361A" w:rsidRPr="000B56F5">
        <w:rPr>
          <w:lang w:val="fr-CH"/>
        </w:rPr>
        <w:t>’</w:t>
      </w:r>
      <w:r w:rsidR="00E40B95" w:rsidRPr="000B56F5">
        <w:rPr>
          <w:lang w:val="fr-CH"/>
        </w:rPr>
        <w:t>est</w:t>
      </w:r>
      <w:r w:rsidR="00B1361A" w:rsidRPr="000B56F5">
        <w:rPr>
          <w:lang w:val="fr-CH"/>
        </w:rPr>
        <w:t>-</w:t>
      </w:r>
      <w:r w:rsidR="00E40B95" w:rsidRPr="000B56F5">
        <w:rPr>
          <w:lang w:val="fr-CH"/>
        </w:rPr>
        <w:t>à</w:t>
      </w:r>
      <w:r w:rsidR="00B1361A" w:rsidRPr="000B56F5">
        <w:rPr>
          <w:lang w:val="fr-CH"/>
        </w:rPr>
        <w:t>-</w:t>
      </w:r>
      <w:r w:rsidR="00E40B95" w:rsidRPr="000B56F5">
        <w:rPr>
          <w:lang w:val="fr-CH"/>
        </w:rPr>
        <w:t>dire des bandes dont l</w:t>
      </w:r>
      <w:r w:rsidR="00B1361A" w:rsidRPr="000B56F5">
        <w:rPr>
          <w:lang w:val="fr-CH"/>
        </w:rPr>
        <w:t>’</w:t>
      </w:r>
      <w:r w:rsidR="00E40B95" w:rsidRPr="000B56F5">
        <w:rPr>
          <w:lang w:val="fr-CH"/>
        </w:rPr>
        <w:t>intensité est inférieure à un seuil de détection convenu, fixé soit empiriquement, soit automatiquement, et dont la notation peut être remise en question);</w:t>
      </w:r>
    </w:p>
    <w:p w:rsidR="00EF0D3B" w:rsidRPr="000B56F5" w:rsidRDefault="00EF0D3B" w:rsidP="00112E25">
      <w:pPr>
        <w:ind w:left="1701" w:hanging="567"/>
        <w:rPr>
          <w:lang w:val="fr-CH"/>
        </w:rPr>
      </w:pPr>
    </w:p>
    <w:p w:rsidR="00F874D0" w:rsidRPr="000B56F5" w:rsidRDefault="00E40B95" w:rsidP="00E40B95">
      <w:pPr>
        <w:ind w:left="1701" w:hanging="567"/>
        <w:rPr>
          <w:lang w:val="fr-CH"/>
        </w:rPr>
      </w:pPr>
      <w:r w:rsidRPr="000B56F5">
        <w:rPr>
          <w:lang w:val="fr-CH"/>
        </w:rPr>
        <w:t>iv.</w:t>
      </w:r>
      <w:r w:rsidRPr="000B56F5">
        <w:rPr>
          <w:lang w:val="fr-CH"/>
        </w:rPr>
        <w:tab/>
        <w:t>données manquantes (c</w:t>
      </w:r>
      <w:r w:rsidR="00B1361A" w:rsidRPr="000B56F5">
        <w:rPr>
          <w:lang w:val="fr-CH"/>
        </w:rPr>
        <w:t>’</w:t>
      </w:r>
      <w:r w:rsidRPr="000B56F5">
        <w:rPr>
          <w:lang w:val="fr-CH"/>
        </w:rPr>
        <w:t>est</w:t>
      </w:r>
      <w:r w:rsidR="00B1361A" w:rsidRPr="000B56F5">
        <w:rPr>
          <w:lang w:val="fr-CH"/>
        </w:rPr>
        <w:t>-</w:t>
      </w:r>
      <w:r w:rsidRPr="000B56F5">
        <w:rPr>
          <w:lang w:val="fr-CH"/>
        </w:rPr>
        <w:t>à</w:t>
      </w:r>
      <w:r w:rsidR="00B1361A" w:rsidRPr="000B56F5">
        <w:rPr>
          <w:lang w:val="fr-CH"/>
        </w:rPr>
        <w:t>-</w:t>
      </w:r>
      <w:r w:rsidRPr="000B56F5">
        <w:rPr>
          <w:lang w:val="fr-CH"/>
        </w:rPr>
        <w:t>dire tout locus pour lequel aucune donnée n</w:t>
      </w:r>
      <w:r w:rsidR="00B1361A" w:rsidRPr="000B56F5">
        <w:rPr>
          <w:lang w:val="fr-CH"/>
        </w:rPr>
        <w:t>’</w:t>
      </w:r>
      <w:r w:rsidRPr="000B56F5">
        <w:rPr>
          <w:lang w:val="fr-CH"/>
        </w:rPr>
        <w:t>est enregistrée, pour quelque raison que ce soit, dans une ou plusieurs variétés);  et</w:t>
      </w:r>
    </w:p>
    <w:p w:rsidR="00EF0D3B" w:rsidRPr="000B56F5" w:rsidRDefault="00EF0D3B" w:rsidP="00112E25">
      <w:pPr>
        <w:ind w:left="1701" w:hanging="567"/>
        <w:rPr>
          <w:lang w:val="fr-CH"/>
        </w:rPr>
      </w:pPr>
    </w:p>
    <w:p w:rsidR="00EF0D3B" w:rsidRPr="000B56F5" w:rsidRDefault="00E40B95" w:rsidP="007345EE">
      <w:pPr>
        <w:ind w:left="1701" w:hanging="567"/>
        <w:rPr>
          <w:lang w:val="fr-CH"/>
        </w:rPr>
      </w:pPr>
      <w:r w:rsidRPr="000B56F5">
        <w:rPr>
          <w:lang w:val="fr-CH"/>
        </w:rPr>
        <w:t>v.</w:t>
      </w:r>
      <w:r w:rsidRPr="000B56F5">
        <w:rPr>
          <w:lang w:val="fr-CH"/>
        </w:rPr>
        <w:tab/>
        <w:t>bandes monomorphes ou notations d</w:t>
      </w:r>
      <w:r w:rsidR="00B1361A" w:rsidRPr="000B56F5">
        <w:rPr>
          <w:lang w:val="fr-CH"/>
        </w:rPr>
        <w:t>’</w:t>
      </w:r>
      <w:r w:rsidRPr="000B56F5">
        <w:rPr>
          <w:lang w:val="fr-CH"/>
        </w:rPr>
        <w:t>allèles non informatives (allèles/bandes apparaissant dans chaque variété analysée, c</w:t>
      </w:r>
      <w:r w:rsidR="00B1361A" w:rsidRPr="000B56F5">
        <w:rPr>
          <w:lang w:val="fr-CH"/>
        </w:rPr>
        <w:t>’</w:t>
      </w:r>
      <w:r w:rsidRPr="000B56F5">
        <w:rPr>
          <w:lang w:val="fr-CH"/>
        </w:rPr>
        <w:t>est</w:t>
      </w:r>
      <w:r w:rsidR="00B1361A" w:rsidRPr="000B56F5">
        <w:rPr>
          <w:lang w:val="fr-CH"/>
        </w:rPr>
        <w:t>-</w:t>
      </w:r>
      <w:r w:rsidRPr="000B56F5">
        <w:rPr>
          <w:lang w:val="fr-CH"/>
        </w:rPr>
        <w:t>à</w:t>
      </w:r>
      <w:r w:rsidR="00B1361A" w:rsidRPr="000B56F5">
        <w:rPr>
          <w:lang w:val="fr-CH"/>
        </w:rPr>
        <w:t>-</w:t>
      </w:r>
      <w:r w:rsidRPr="000B56F5">
        <w:rPr>
          <w:lang w:val="fr-CH"/>
        </w:rPr>
        <w:t>dire qui ne sont pas monomorphes dans une collection particulière de variétés).</w:t>
      </w:r>
    </w:p>
    <w:p w:rsidR="00EF0D3B" w:rsidRPr="000B56F5" w:rsidRDefault="00EF0D3B" w:rsidP="00112E25">
      <w:pPr>
        <w:ind w:left="567" w:firstLine="567"/>
        <w:rPr>
          <w:lang w:val="fr-CH"/>
        </w:rPr>
      </w:pPr>
    </w:p>
    <w:p w:rsidR="00EF0D3B" w:rsidRPr="00406A48" w:rsidRDefault="00E40B95" w:rsidP="0038525D">
      <w:pPr>
        <w:pStyle w:val="Heading2"/>
        <w:rPr>
          <w:lang w:val="fr-CH"/>
        </w:rPr>
      </w:pPr>
      <w:bookmarkStart w:id="43" w:name="_Toc54004682"/>
      <w:bookmarkStart w:id="44" w:name="_Toc54004902"/>
      <w:r w:rsidRPr="00406A48">
        <w:rPr>
          <w:lang w:val="fr-CH"/>
        </w:rPr>
        <w:t>4.</w:t>
      </w:r>
      <w:r w:rsidRPr="00406A48">
        <w:rPr>
          <w:lang w:val="fr-CH"/>
        </w:rPr>
        <w:tab/>
        <w:t>Construction d</w:t>
      </w:r>
      <w:r w:rsidR="00B1361A" w:rsidRPr="00406A48">
        <w:rPr>
          <w:lang w:val="fr-CH"/>
        </w:rPr>
        <w:t>’</w:t>
      </w:r>
      <w:r w:rsidRPr="00406A48">
        <w:rPr>
          <w:lang w:val="fr-CH"/>
        </w:rPr>
        <w:t>une base de données spécifique à une espèce</w:t>
      </w:r>
      <w:bookmarkEnd w:id="43"/>
      <w:bookmarkEnd w:id="44"/>
    </w:p>
    <w:p w:rsidR="00EF0D3B" w:rsidRPr="000B56F5" w:rsidRDefault="00EF0D3B" w:rsidP="00112E25">
      <w:pPr>
        <w:rPr>
          <w:u w:val="single"/>
          <w:shd w:val="pct15" w:color="auto" w:fill="FFFFFF"/>
          <w:lang w:val="fr-CH"/>
        </w:rPr>
      </w:pPr>
    </w:p>
    <w:p w:rsidR="00F874D0" w:rsidRDefault="00E40B95" w:rsidP="00E40B95">
      <w:pPr>
        <w:rPr>
          <w:bCs/>
          <w:lang w:val="fr-CH"/>
        </w:rPr>
      </w:pPr>
      <w:r w:rsidRPr="000B56F5">
        <w:rPr>
          <w:bCs/>
          <w:lang w:val="fr-CH"/>
        </w:rPr>
        <w:t>Les données qui sont stockées dans une base de données et la façon dont elles sont stockées doivent fournir des indications sur le processus de production des donné</w:t>
      </w:r>
      <w:r w:rsidR="00D47A05" w:rsidRPr="000B56F5">
        <w:rPr>
          <w:bCs/>
          <w:lang w:val="fr-CH"/>
        </w:rPr>
        <w:t>es.  Pa</w:t>
      </w:r>
      <w:r w:rsidRPr="000B56F5">
        <w:rPr>
          <w:bCs/>
          <w:lang w:val="fr-CH"/>
        </w:rPr>
        <w:t>r conséquent, la construction d</w:t>
      </w:r>
      <w:r w:rsidR="00B1361A" w:rsidRPr="000B56F5">
        <w:rPr>
          <w:bCs/>
          <w:lang w:val="fr-CH"/>
        </w:rPr>
        <w:t>’</w:t>
      </w:r>
      <w:r w:rsidRPr="000B56F5">
        <w:rPr>
          <w:bCs/>
          <w:lang w:val="fr-CH"/>
        </w:rPr>
        <w:t>une base de données devrait tenir compte des différents niveaux de traitement des données (c.</w:t>
      </w:r>
      <w:r w:rsidR="00B1361A" w:rsidRPr="000B56F5">
        <w:rPr>
          <w:bCs/>
          <w:lang w:val="fr-CH"/>
        </w:rPr>
        <w:t>-</w:t>
      </w:r>
      <w:r w:rsidRPr="000B56F5">
        <w:rPr>
          <w:bCs/>
          <w:lang w:val="fr-CH"/>
        </w:rPr>
        <w:t>à</w:t>
      </w:r>
      <w:r w:rsidR="00B1361A" w:rsidRPr="000B56F5">
        <w:rPr>
          <w:bCs/>
          <w:lang w:val="fr-CH"/>
        </w:rPr>
        <w:t>-</w:t>
      </w:r>
      <w:r w:rsidRPr="000B56F5">
        <w:rPr>
          <w:bCs/>
          <w:lang w:val="fr-CH"/>
        </w:rPr>
        <w:t>d. données brutes, données séquentielles, etc.).</w:t>
      </w:r>
      <w:r w:rsidR="00112E25" w:rsidRPr="000B56F5">
        <w:rPr>
          <w:lang w:val="fr-CH"/>
        </w:rPr>
        <w:t xml:space="preserve"> </w:t>
      </w:r>
      <w:r w:rsidR="00DF1A3F" w:rsidRPr="000B56F5">
        <w:rPr>
          <w:bCs/>
          <w:lang w:val="fr-CH"/>
        </w:rPr>
        <w:t xml:space="preserve"> </w:t>
      </w:r>
      <w:r w:rsidRPr="000B56F5">
        <w:rPr>
          <w:bCs/>
          <w:lang w:val="fr-CH"/>
        </w:rPr>
        <w:t>La base de données devrait contenir les résultats finaux, p.</w:t>
      </w:r>
      <w:r w:rsidR="00DF1A3F" w:rsidRPr="000B56F5">
        <w:rPr>
          <w:bCs/>
          <w:lang w:val="fr-CH"/>
        </w:rPr>
        <w:t> </w:t>
      </w:r>
      <w:r w:rsidRPr="000B56F5">
        <w:rPr>
          <w:bCs/>
          <w:lang w:val="fr-CH"/>
        </w:rPr>
        <w:t>ex.</w:t>
      </w:r>
      <w:r w:rsidR="00DF1A3F" w:rsidRPr="000B56F5">
        <w:rPr>
          <w:bCs/>
          <w:lang w:val="fr-CH"/>
        </w:rPr>
        <w:t> </w:t>
      </w:r>
      <w:r w:rsidRPr="000B56F5">
        <w:rPr>
          <w:bCs/>
          <w:lang w:val="fr-CH"/>
        </w:rPr>
        <w:t>le profil d</w:t>
      </w:r>
      <w:r w:rsidR="00B1361A" w:rsidRPr="000B56F5">
        <w:rPr>
          <w:bCs/>
          <w:lang w:val="fr-CH"/>
        </w:rPr>
        <w:t>’</w:t>
      </w:r>
      <w:r w:rsidRPr="000B56F5">
        <w:rPr>
          <w:bCs/>
          <w:lang w:val="fr-CH"/>
        </w:rPr>
        <w:t>ADN ainsi que des indications sur la façon dont il a été établi avec une description de la méthode employée par le laboratoire et les étapes de calcul.</w:t>
      </w:r>
    </w:p>
    <w:p w:rsidR="00956613" w:rsidRPr="000B56F5" w:rsidRDefault="00956613" w:rsidP="00E40B95">
      <w:pPr>
        <w:rPr>
          <w:shd w:val="pct15" w:color="auto" w:fill="FFFFFF"/>
          <w:lang w:val="fr-CH"/>
        </w:rPr>
      </w:pPr>
    </w:p>
    <w:p w:rsidR="00EF0D3B" w:rsidRPr="001167F2" w:rsidRDefault="00E40B95" w:rsidP="009F1754">
      <w:pPr>
        <w:pStyle w:val="Heading3"/>
        <w:rPr>
          <w:lang w:val="fr-CH"/>
        </w:rPr>
      </w:pPr>
      <w:bookmarkStart w:id="45" w:name="_Toc54004683"/>
      <w:bookmarkStart w:id="46" w:name="_Toc54004903"/>
      <w:r w:rsidRPr="001167F2">
        <w:rPr>
          <w:lang w:val="fr-CH"/>
        </w:rPr>
        <w:t>4.1</w:t>
      </w:r>
      <w:r w:rsidRPr="001167F2">
        <w:rPr>
          <w:lang w:val="fr-CH"/>
        </w:rPr>
        <w:tab/>
        <w:t>Recommandations pour la conception d</w:t>
      </w:r>
      <w:r w:rsidR="00B1361A" w:rsidRPr="001167F2">
        <w:rPr>
          <w:lang w:val="fr-CH"/>
        </w:rPr>
        <w:t>’</w:t>
      </w:r>
      <w:r w:rsidRPr="001167F2">
        <w:rPr>
          <w:lang w:val="fr-CH"/>
        </w:rPr>
        <w:t>une base de données</w:t>
      </w:r>
      <w:bookmarkEnd w:id="45"/>
      <w:bookmarkEnd w:id="46"/>
    </w:p>
    <w:p w:rsidR="00EF0D3B" w:rsidRPr="000B56F5" w:rsidRDefault="00EF0D3B" w:rsidP="007345EE">
      <w:pPr>
        <w:rPr>
          <w:lang w:val="fr-CH"/>
        </w:rPr>
      </w:pPr>
    </w:p>
    <w:p w:rsidR="00EF0D3B" w:rsidRPr="000B56F5" w:rsidRDefault="00E40B95" w:rsidP="007345EE">
      <w:pPr>
        <w:rPr>
          <w:lang w:val="fr-CH"/>
        </w:rPr>
      </w:pPr>
      <w:r w:rsidRPr="000B56F5">
        <w:rPr>
          <w:lang w:val="fr-CH"/>
        </w:rPr>
        <w:t>Dans la conception de bases de données, il convient de tenir compte des éléments suivants</w:t>
      </w:r>
      <w:r w:rsidR="00B1361A" w:rsidRPr="000B56F5">
        <w:rPr>
          <w:lang w:val="fr-CH"/>
        </w:rPr>
        <w:t> :</w:t>
      </w:r>
    </w:p>
    <w:p w:rsidR="00EF0D3B" w:rsidRPr="000B56F5" w:rsidRDefault="00EF0D3B" w:rsidP="007345EE">
      <w:pPr>
        <w:rPr>
          <w:lang w:val="fr-CH"/>
        </w:rPr>
      </w:pPr>
    </w:p>
    <w:p w:rsidR="00EF0D3B" w:rsidRPr="000B56F5" w:rsidRDefault="00E40B95" w:rsidP="007345EE">
      <w:pPr>
        <w:ind w:firstLine="567"/>
        <w:rPr>
          <w:lang w:val="fr-CH"/>
        </w:rPr>
      </w:pPr>
      <w:r w:rsidRPr="000B56F5">
        <w:rPr>
          <w:lang w:val="fr-CH"/>
        </w:rPr>
        <w:t>a)</w:t>
      </w:r>
      <w:r w:rsidRPr="000B56F5">
        <w:rPr>
          <w:lang w:val="fr-CH"/>
        </w:rPr>
        <w:tab/>
        <w:t>L</w:t>
      </w:r>
      <w:r w:rsidR="00B1361A" w:rsidRPr="000B56F5">
        <w:rPr>
          <w:lang w:val="fr-CH"/>
        </w:rPr>
        <w:t>’</w:t>
      </w:r>
      <w:r w:rsidRPr="000B56F5">
        <w:rPr>
          <w:lang w:val="fr-CH"/>
        </w:rPr>
        <w:t>architecture de la base de données devrait être flexible, par exemple permettre de stocker à la fois des fichiers plats et des fichiers d</w:t>
      </w:r>
      <w:r w:rsidR="00B1361A" w:rsidRPr="000B56F5">
        <w:rPr>
          <w:lang w:val="fr-CH"/>
        </w:rPr>
        <w:t>’</w:t>
      </w:r>
      <w:r w:rsidRPr="000B56F5">
        <w:rPr>
          <w:lang w:val="fr-CH"/>
        </w:rPr>
        <w:t>archives compressés.</w:t>
      </w:r>
    </w:p>
    <w:p w:rsidR="00EF0D3B" w:rsidRPr="000B56F5" w:rsidRDefault="00EF0D3B" w:rsidP="007345EE">
      <w:pPr>
        <w:ind w:firstLine="567"/>
        <w:rPr>
          <w:lang w:val="fr-CH"/>
        </w:rPr>
      </w:pPr>
    </w:p>
    <w:p w:rsidR="00EF0D3B" w:rsidRPr="000B56F5" w:rsidRDefault="00E40B95" w:rsidP="007345EE">
      <w:pPr>
        <w:ind w:firstLine="567"/>
        <w:rPr>
          <w:lang w:val="fr-CH"/>
        </w:rPr>
      </w:pPr>
      <w:r w:rsidRPr="000B56F5">
        <w:rPr>
          <w:lang w:val="fr-CH"/>
        </w:rPr>
        <w:t>b)</w:t>
      </w:r>
      <w:r w:rsidRPr="000B56F5">
        <w:rPr>
          <w:lang w:val="fr-CH"/>
        </w:rPr>
        <w:tab/>
        <w:t>Des tableaux et des entrées distincts sont nécessaires pour le travail expérimental en laboratoire, le traitement des données et la notation des allèles.</w:t>
      </w:r>
    </w:p>
    <w:p w:rsidR="00EF0D3B" w:rsidRPr="000B56F5" w:rsidRDefault="00EF0D3B" w:rsidP="007345EE">
      <w:pPr>
        <w:rPr>
          <w:lang w:val="fr-CH"/>
        </w:rPr>
      </w:pPr>
    </w:p>
    <w:p w:rsidR="00F874D0" w:rsidRPr="000B56F5" w:rsidRDefault="009605BD" w:rsidP="009605BD">
      <w:pPr>
        <w:ind w:firstLine="567"/>
        <w:rPr>
          <w:lang w:val="fr-CH"/>
        </w:rPr>
      </w:pPr>
      <w:r w:rsidRPr="000B56F5">
        <w:rPr>
          <w:lang w:val="fr-CH"/>
        </w:rPr>
        <w:t>c)</w:t>
      </w:r>
      <w:r w:rsidRPr="000B56F5">
        <w:rPr>
          <w:lang w:val="fr-CH"/>
        </w:rPr>
        <w:tab/>
      </w:r>
      <w:r w:rsidR="00A37326" w:rsidRPr="000B56F5">
        <w:rPr>
          <w:lang w:val="fr-CH"/>
        </w:rPr>
        <w:t>Le s</w:t>
      </w:r>
      <w:r w:rsidRPr="000B56F5">
        <w:rPr>
          <w:lang w:val="fr-CH"/>
        </w:rPr>
        <w:t>tockage d</w:t>
      </w:r>
      <w:r w:rsidR="00B1361A" w:rsidRPr="000B56F5">
        <w:rPr>
          <w:lang w:val="fr-CH"/>
        </w:rPr>
        <w:t>’</w:t>
      </w:r>
      <w:r w:rsidRPr="000B56F5">
        <w:rPr>
          <w:lang w:val="fr-CH"/>
        </w:rPr>
        <w:t>informations à différents niveaux, par exemple notations des allèles et toute règle d</w:t>
      </w:r>
      <w:r w:rsidR="00B1361A" w:rsidRPr="000B56F5">
        <w:rPr>
          <w:lang w:val="fr-CH"/>
        </w:rPr>
        <w:t>’</w:t>
      </w:r>
      <w:r w:rsidRPr="000B56F5">
        <w:rPr>
          <w:lang w:val="fr-CH"/>
        </w:rPr>
        <w:t>interprétation ayant présidé à la décision, et les liens vers les données brutes (fichiers tiff, fichiers bam) qui ont été produites.</w:t>
      </w:r>
    </w:p>
    <w:p w:rsidR="00EF0D3B" w:rsidRPr="000B56F5" w:rsidRDefault="00EF0D3B" w:rsidP="00112E25">
      <w:pPr>
        <w:rPr>
          <w:shd w:val="pct15" w:color="auto" w:fill="FFFFFF"/>
          <w:lang w:val="fr-CH"/>
        </w:rPr>
      </w:pPr>
    </w:p>
    <w:p w:rsidR="00EF0D3B" w:rsidRPr="000B56F5" w:rsidRDefault="009605BD" w:rsidP="009605BD">
      <w:pPr>
        <w:ind w:firstLine="567"/>
        <w:rPr>
          <w:shd w:val="pct15" w:color="auto" w:fill="FFFFFF"/>
          <w:lang w:val="fr-CH"/>
        </w:rPr>
      </w:pPr>
      <w:r w:rsidRPr="000B56F5">
        <w:rPr>
          <w:lang w:val="fr-CH"/>
        </w:rPr>
        <w:t>d)</w:t>
      </w:r>
      <w:r w:rsidRPr="000B56F5">
        <w:rPr>
          <w:lang w:val="fr-CH"/>
        </w:rPr>
        <w:tab/>
        <w:t>Pour les données de séquençage, des fichiers de détection des variants au format VCF ou BCF correspondant à la version standard</w:t>
      </w:r>
      <w:r w:rsidR="001045F7" w:rsidRPr="000B56F5">
        <w:rPr>
          <w:lang w:val="fr-CH"/>
        </w:rPr>
        <w:t> </w:t>
      </w:r>
      <w:r w:rsidRPr="000B56F5">
        <w:rPr>
          <w:lang w:val="fr-CH"/>
        </w:rPr>
        <w:t>4.2 ou à une version supérieu</w:t>
      </w:r>
      <w:r w:rsidR="00D47A05" w:rsidRPr="000B56F5">
        <w:rPr>
          <w:lang w:val="fr-CH"/>
        </w:rPr>
        <w:t>re.  Le</w:t>
      </w:r>
      <w:r w:rsidRPr="000B56F5">
        <w:rPr>
          <w:lang w:val="fr-CH"/>
        </w:rPr>
        <w:t>s entrées d</w:t>
      </w:r>
      <w:r w:rsidR="00B1361A" w:rsidRPr="000B56F5">
        <w:rPr>
          <w:lang w:val="fr-CH"/>
        </w:rPr>
        <w:t>’</w:t>
      </w:r>
      <w:r w:rsidRPr="000B56F5">
        <w:rPr>
          <w:lang w:val="fr-CH"/>
        </w:rPr>
        <w:t>en</w:t>
      </w:r>
      <w:r w:rsidR="00B1361A" w:rsidRPr="000B56F5">
        <w:rPr>
          <w:lang w:val="fr-CH"/>
        </w:rPr>
        <w:t>-</w:t>
      </w:r>
      <w:r w:rsidRPr="000B56F5">
        <w:rPr>
          <w:lang w:val="fr-CH"/>
        </w:rPr>
        <w:t>tête doivent contenir le nom et la version des différents scripts utilisés pour la cartographie des lectures, le filtrage des lectures, la détection des variants et le filtrage des variants, de sorte qu</w:t>
      </w:r>
      <w:r w:rsidR="00B1361A" w:rsidRPr="000B56F5">
        <w:rPr>
          <w:lang w:val="fr-CH"/>
        </w:rPr>
        <w:t>’</w:t>
      </w:r>
      <w:r w:rsidRPr="000B56F5">
        <w:rPr>
          <w:lang w:val="fr-CH"/>
        </w:rPr>
        <w:t>un bioinformaticien puisse répéter l</w:t>
      </w:r>
      <w:r w:rsidR="00B1361A" w:rsidRPr="000B56F5">
        <w:rPr>
          <w:lang w:val="fr-CH"/>
        </w:rPr>
        <w:t>’</w:t>
      </w:r>
      <w:r w:rsidRPr="000B56F5">
        <w:rPr>
          <w:lang w:val="fr-CH"/>
        </w:rPr>
        <w:t>analyse.</w:t>
      </w:r>
    </w:p>
    <w:p w:rsidR="00EF0D3B" w:rsidRPr="000B56F5" w:rsidRDefault="00EF0D3B" w:rsidP="00112E25">
      <w:pPr>
        <w:rPr>
          <w:shd w:val="pct15" w:color="auto" w:fill="FFFFFF"/>
          <w:lang w:val="fr-CH"/>
        </w:rPr>
      </w:pPr>
    </w:p>
    <w:p w:rsidR="00EF0D3B" w:rsidRPr="000B56F5" w:rsidRDefault="00972492" w:rsidP="00972492">
      <w:pPr>
        <w:ind w:firstLine="567"/>
        <w:rPr>
          <w:shd w:val="pct15" w:color="auto" w:fill="FFFFFF"/>
          <w:lang w:val="fr-CH"/>
        </w:rPr>
      </w:pPr>
      <w:r w:rsidRPr="000B56F5">
        <w:rPr>
          <w:lang w:val="fr-CH"/>
        </w:rPr>
        <w:t>e)</w:t>
      </w:r>
      <w:r w:rsidRPr="000B56F5">
        <w:rPr>
          <w:lang w:val="fr-CH"/>
        </w:rPr>
        <w:tab/>
        <w:t>Dans le cas d</w:t>
      </w:r>
      <w:r w:rsidR="00B1361A" w:rsidRPr="000B56F5">
        <w:rPr>
          <w:lang w:val="fr-CH"/>
        </w:rPr>
        <w:t>’</w:t>
      </w:r>
      <w:r w:rsidRPr="000B56F5">
        <w:rPr>
          <w:lang w:val="fr-CH"/>
        </w:rPr>
        <w:t>échantillons répétés, lorsque le profil d</w:t>
      </w:r>
      <w:r w:rsidR="00B1361A" w:rsidRPr="000B56F5">
        <w:rPr>
          <w:lang w:val="fr-CH"/>
        </w:rPr>
        <w:t>’</w:t>
      </w:r>
      <w:r w:rsidRPr="000B56F5">
        <w:rPr>
          <w:lang w:val="fr-CH"/>
        </w:rPr>
        <w:t>ADN ne correspond pas, l</w:t>
      </w:r>
      <w:r w:rsidR="00B1361A" w:rsidRPr="000B56F5">
        <w:rPr>
          <w:lang w:val="fr-CH"/>
        </w:rPr>
        <w:t>’</w:t>
      </w:r>
      <w:r w:rsidRPr="000B56F5">
        <w:rPr>
          <w:lang w:val="fr-CH"/>
        </w:rPr>
        <w:t>enregistrement doit être marqué ou filtré, le cas échéa</w:t>
      </w:r>
      <w:r w:rsidR="00D47A05" w:rsidRPr="000B56F5">
        <w:rPr>
          <w:lang w:val="fr-CH"/>
        </w:rPr>
        <w:t>nt.  Le</w:t>
      </w:r>
      <w:r w:rsidRPr="000B56F5">
        <w:rPr>
          <w:lang w:val="fr-CH"/>
        </w:rPr>
        <w:t xml:space="preserve">s règles appliquées dans ces cas doivent être documentées dans un référentiel de codes accessible au public </w:t>
      </w:r>
      <w:r w:rsidR="008D7D50" w:rsidRPr="000B56F5">
        <w:rPr>
          <w:lang w:val="fr-CH"/>
        </w:rPr>
        <w:t>établi</w:t>
      </w:r>
      <w:r w:rsidRPr="000B56F5">
        <w:rPr>
          <w:lang w:val="fr-CH"/>
        </w:rPr>
        <w:t xml:space="preserve"> à partir du fichier de détection des varian</w:t>
      </w:r>
      <w:r w:rsidR="00D47A05" w:rsidRPr="000B56F5">
        <w:rPr>
          <w:lang w:val="fr-CH"/>
        </w:rPr>
        <w:t>ts.  De</w:t>
      </w:r>
      <w:r w:rsidRPr="000B56F5">
        <w:rPr>
          <w:lang w:val="fr-CH"/>
        </w:rPr>
        <w:t>s fréquences pourraient également être utilisées pour des variétés hétérogènes.</w:t>
      </w:r>
    </w:p>
    <w:p w:rsidR="00EF0D3B" w:rsidRPr="000B56F5" w:rsidRDefault="00EF0D3B" w:rsidP="00112E25">
      <w:pPr>
        <w:ind w:firstLine="567"/>
        <w:rPr>
          <w:shd w:val="pct15" w:color="auto" w:fill="FFFFFF"/>
          <w:lang w:val="fr-CH"/>
        </w:rPr>
      </w:pPr>
    </w:p>
    <w:p w:rsidR="00EF0D3B" w:rsidRPr="000B56F5" w:rsidRDefault="00972492" w:rsidP="007345EE">
      <w:pPr>
        <w:ind w:firstLine="567"/>
        <w:rPr>
          <w:lang w:val="fr-CH"/>
        </w:rPr>
      </w:pPr>
      <w:r w:rsidRPr="000B56F5">
        <w:rPr>
          <w:lang w:val="fr-CH"/>
        </w:rPr>
        <w:t>f)</w:t>
      </w:r>
      <w:r w:rsidRPr="000B56F5">
        <w:rPr>
          <w:lang w:val="fr-CH"/>
        </w:rPr>
        <w:tab/>
        <w:t>Validation des données VCF et BCF par rapport aux exigences pertinentes.</w:t>
      </w:r>
    </w:p>
    <w:p w:rsidR="00EF0D3B" w:rsidRPr="000B56F5" w:rsidRDefault="00EF0D3B" w:rsidP="007345EE">
      <w:pPr>
        <w:ind w:firstLine="567"/>
        <w:rPr>
          <w:lang w:val="fr-CH"/>
        </w:rPr>
      </w:pPr>
    </w:p>
    <w:p w:rsidR="00EF0D3B" w:rsidRPr="000B56F5" w:rsidRDefault="00972492" w:rsidP="007345EE">
      <w:pPr>
        <w:ind w:firstLine="567"/>
        <w:rPr>
          <w:lang w:val="fr-CH"/>
        </w:rPr>
      </w:pPr>
      <w:r w:rsidRPr="000B56F5">
        <w:rPr>
          <w:lang w:val="fr-CH"/>
        </w:rPr>
        <w:t>g)</w:t>
      </w:r>
      <w:r w:rsidRPr="000B56F5">
        <w:rPr>
          <w:lang w:val="fr-CH"/>
        </w:rPr>
        <w:tab/>
        <w:t>Données faciles à partager (p. ex.</w:t>
      </w:r>
      <w:r w:rsidR="00DF1A3F" w:rsidRPr="000B56F5">
        <w:rPr>
          <w:lang w:val="fr-CH"/>
        </w:rPr>
        <w:t> </w:t>
      </w:r>
      <w:r w:rsidRPr="000B56F5">
        <w:rPr>
          <w:lang w:val="fr-CH"/>
        </w:rPr>
        <w:t>API).</w:t>
      </w:r>
    </w:p>
    <w:p w:rsidR="00EF0D3B" w:rsidRPr="000B56F5" w:rsidRDefault="00EF0D3B" w:rsidP="00112E25">
      <w:pPr>
        <w:rPr>
          <w:lang w:val="fr-CH"/>
        </w:rPr>
      </w:pPr>
    </w:p>
    <w:p w:rsidR="00EF0D3B" w:rsidRPr="001167F2" w:rsidRDefault="00972492" w:rsidP="009F1754">
      <w:pPr>
        <w:pStyle w:val="Heading3"/>
        <w:rPr>
          <w:snapToGrid w:val="0"/>
          <w:lang w:val="fr-CH"/>
        </w:rPr>
      </w:pPr>
      <w:bookmarkStart w:id="47" w:name="_Toc54004684"/>
      <w:bookmarkStart w:id="48" w:name="_Toc54004904"/>
      <w:r w:rsidRPr="001167F2">
        <w:rPr>
          <w:snapToGrid w:val="0"/>
          <w:lang w:val="fr-CH"/>
        </w:rPr>
        <w:t>4.2</w:t>
      </w:r>
      <w:r w:rsidRPr="001167F2">
        <w:rPr>
          <w:snapToGrid w:val="0"/>
          <w:lang w:val="fr-CH"/>
        </w:rPr>
        <w:tab/>
        <w:t>Conditions requises pour le matériel végétal</w:t>
      </w:r>
      <w:bookmarkEnd w:id="47"/>
      <w:bookmarkEnd w:id="48"/>
    </w:p>
    <w:p w:rsidR="00EF0D3B" w:rsidRPr="000B56F5" w:rsidRDefault="00EF0D3B" w:rsidP="00112E25">
      <w:pPr>
        <w:rPr>
          <w:lang w:val="fr-CH"/>
        </w:rPr>
      </w:pPr>
    </w:p>
    <w:p w:rsidR="00EF0D3B" w:rsidRPr="000B56F5" w:rsidRDefault="00972492" w:rsidP="00972492">
      <w:pPr>
        <w:keepNext/>
        <w:rPr>
          <w:lang w:val="fr-CH"/>
        </w:rPr>
      </w:pPr>
      <w:r w:rsidRPr="000B56F5">
        <w:rPr>
          <w:lang w:val="fr-CH"/>
        </w:rPr>
        <w:t>La source et le type de matériel, ainsi que le nombre d</w:t>
      </w:r>
      <w:r w:rsidR="00B1361A" w:rsidRPr="000B56F5">
        <w:rPr>
          <w:lang w:val="fr-CH"/>
        </w:rPr>
        <w:t>’</w:t>
      </w:r>
      <w:r w:rsidRPr="000B56F5">
        <w:rPr>
          <w:lang w:val="fr-CH"/>
        </w:rPr>
        <w:t>échantillons à stocker et partager dans la base de données, doivent être pris en considération.</w:t>
      </w:r>
    </w:p>
    <w:p w:rsidR="00EF0D3B" w:rsidRPr="000B56F5" w:rsidRDefault="00EF0D3B" w:rsidP="00112E25">
      <w:pPr>
        <w:rPr>
          <w:lang w:val="fr-CH"/>
        </w:rPr>
      </w:pPr>
    </w:p>
    <w:p w:rsidR="00EF0D3B" w:rsidRPr="000B56F5" w:rsidRDefault="00972492" w:rsidP="00972492">
      <w:pPr>
        <w:keepNext/>
        <w:ind w:left="1134" w:hanging="567"/>
        <w:outlineLvl w:val="3"/>
        <w:rPr>
          <w:lang w:val="fr-CH"/>
        </w:rPr>
      </w:pPr>
      <w:r w:rsidRPr="000B56F5">
        <w:rPr>
          <w:lang w:val="fr-CH"/>
        </w:rPr>
        <w:t>4.2.1</w:t>
      </w:r>
      <w:r w:rsidRPr="000B56F5">
        <w:rPr>
          <w:lang w:val="fr-CH"/>
        </w:rPr>
        <w:tab/>
        <w:t>Source du matériel végétal</w:t>
      </w:r>
    </w:p>
    <w:p w:rsidR="00EF0D3B" w:rsidRPr="000B56F5" w:rsidRDefault="00EF0D3B" w:rsidP="00112E25">
      <w:pPr>
        <w:rPr>
          <w:lang w:val="fr-CH"/>
        </w:rPr>
      </w:pPr>
    </w:p>
    <w:p w:rsidR="00EF0D3B" w:rsidRPr="000B56F5" w:rsidRDefault="00972492" w:rsidP="00972492">
      <w:pPr>
        <w:rPr>
          <w:lang w:val="fr-CH"/>
        </w:rPr>
      </w:pPr>
      <w:r w:rsidRPr="000B56F5">
        <w:rPr>
          <w:lang w:val="fr-CH"/>
        </w:rPr>
        <w:t>Le matériel végétal à analyser doit être un échantillon authentique et représentatif de la variété et, lorsque c</w:t>
      </w:r>
      <w:r w:rsidR="00B1361A" w:rsidRPr="000B56F5">
        <w:rPr>
          <w:lang w:val="fr-CH"/>
        </w:rPr>
        <w:t>’</w:t>
      </w:r>
      <w:r w:rsidRPr="000B56F5">
        <w:rPr>
          <w:lang w:val="fr-CH"/>
        </w:rPr>
        <w:t>est possible, être obtenu à partir de l</w:t>
      </w:r>
      <w:r w:rsidR="00B1361A" w:rsidRPr="000B56F5">
        <w:rPr>
          <w:lang w:val="fr-CH"/>
        </w:rPr>
        <w:t>’</w:t>
      </w:r>
      <w:r w:rsidRPr="000B56F5">
        <w:rPr>
          <w:lang w:val="fr-CH"/>
        </w:rPr>
        <w:t>échantillon de la variété utilisé pour l</w:t>
      </w:r>
      <w:r w:rsidR="00B1361A" w:rsidRPr="000B56F5">
        <w:rPr>
          <w:lang w:val="fr-CH"/>
        </w:rPr>
        <w:t>’</w:t>
      </w:r>
      <w:r w:rsidRPr="000B56F5">
        <w:rPr>
          <w:lang w:val="fr-CH"/>
        </w:rPr>
        <w:t>examen aux fins de l</w:t>
      </w:r>
      <w:r w:rsidR="00B1361A" w:rsidRPr="000B56F5">
        <w:rPr>
          <w:lang w:val="fr-CH"/>
        </w:rPr>
        <w:t>’</w:t>
      </w:r>
      <w:r w:rsidRPr="000B56F5">
        <w:rPr>
          <w:lang w:val="fr-CH"/>
        </w:rPr>
        <w:t>octroi des droits d</w:t>
      </w:r>
      <w:r w:rsidR="00B1361A" w:rsidRPr="000B56F5">
        <w:rPr>
          <w:lang w:val="fr-CH"/>
        </w:rPr>
        <w:t>’</w:t>
      </w:r>
      <w:r w:rsidRPr="000B56F5">
        <w:rPr>
          <w:lang w:val="fr-CH"/>
        </w:rPr>
        <w:t>obtenteur et de l</w:t>
      </w:r>
      <w:r w:rsidR="00B1361A" w:rsidRPr="000B56F5">
        <w:rPr>
          <w:lang w:val="fr-CH"/>
        </w:rPr>
        <w:t>’</w:t>
      </w:r>
      <w:r w:rsidRPr="000B56F5">
        <w:rPr>
          <w:lang w:val="fr-CH"/>
        </w:rPr>
        <w:t>enregistrement offici</w:t>
      </w:r>
      <w:r w:rsidR="00D47A05" w:rsidRPr="000B56F5">
        <w:rPr>
          <w:lang w:val="fr-CH"/>
        </w:rPr>
        <w:t>el.  L’u</w:t>
      </w:r>
      <w:r w:rsidRPr="000B56F5">
        <w:rPr>
          <w:lang w:val="fr-CH"/>
        </w:rPr>
        <w:t>tilisation de ces échantillons devra faire l</w:t>
      </w:r>
      <w:r w:rsidR="00B1361A" w:rsidRPr="000B56F5">
        <w:rPr>
          <w:lang w:val="fr-CH"/>
        </w:rPr>
        <w:t>’</w:t>
      </w:r>
      <w:r w:rsidRPr="000B56F5">
        <w:rPr>
          <w:lang w:val="fr-CH"/>
        </w:rPr>
        <w:t>objet, selon le cas, d</w:t>
      </w:r>
      <w:r w:rsidR="00B1361A" w:rsidRPr="000B56F5">
        <w:rPr>
          <w:lang w:val="fr-CH"/>
        </w:rPr>
        <w:t>’</w:t>
      </w:r>
      <w:r w:rsidRPr="000B56F5">
        <w:rPr>
          <w:lang w:val="fr-CH"/>
        </w:rPr>
        <w:t>une autorisation de l</w:t>
      </w:r>
      <w:r w:rsidR="00B1361A" w:rsidRPr="000B56F5">
        <w:rPr>
          <w:lang w:val="fr-CH"/>
        </w:rPr>
        <w:t>’</w:t>
      </w:r>
      <w:r w:rsidRPr="000B56F5">
        <w:rPr>
          <w:lang w:val="fr-CH"/>
        </w:rPr>
        <w:t>autorité compétente, de l</w:t>
      </w:r>
      <w:r w:rsidR="00B1361A" w:rsidRPr="000B56F5">
        <w:rPr>
          <w:lang w:val="fr-CH"/>
        </w:rPr>
        <w:t>’</w:t>
      </w:r>
      <w:r w:rsidRPr="000B56F5">
        <w:rPr>
          <w:lang w:val="fr-CH"/>
        </w:rPr>
        <w:t>obtenteur ou du conservate</w:t>
      </w:r>
      <w:r w:rsidR="00D47A05" w:rsidRPr="000B56F5">
        <w:rPr>
          <w:lang w:val="fr-CH"/>
        </w:rPr>
        <w:t>ur.  Le</w:t>
      </w:r>
      <w:r w:rsidRPr="000B56F5">
        <w:rPr>
          <w:lang w:val="fr-CH"/>
        </w:rPr>
        <w:t>s plantes sur lesquelles les échantillons sont prélevés devraient pouvoir être retrouvées dans le cas où il apparaîtrait par la suite que certaines d</w:t>
      </w:r>
      <w:r w:rsidR="00B1361A" w:rsidRPr="000B56F5">
        <w:rPr>
          <w:lang w:val="fr-CH"/>
        </w:rPr>
        <w:t>’</w:t>
      </w:r>
      <w:r w:rsidRPr="000B56F5">
        <w:rPr>
          <w:lang w:val="fr-CH"/>
        </w:rPr>
        <w:t>entre elles ne sont pas représentatives de la variété.</w:t>
      </w:r>
    </w:p>
    <w:p w:rsidR="00EF0D3B" w:rsidRPr="000B56F5" w:rsidRDefault="00EF0D3B" w:rsidP="00112E25">
      <w:pPr>
        <w:rPr>
          <w:lang w:val="fr-CH"/>
        </w:rPr>
      </w:pPr>
    </w:p>
    <w:p w:rsidR="00EF0D3B" w:rsidRPr="000B56F5" w:rsidRDefault="00801948" w:rsidP="00801948">
      <w:pPr>
        <w:keepNext/>
        <w:keepLines/>
        <w:ind w:left="1134" w:hanging="567"/>
        <w:outlineLvl w:val="3"/>
        <w:rPr>
          <w:lang w:val="fr-CH"/>
        </w:rPr>
      </w:pPr>
      <w:r w:rsidRPr="000B56F5">
        <w:rPr>
          <w:lang w:val="fr-CH"/>
        </w:rPr>
        <w:t>4.2.2</w:t>
      </w:r>
      <w:r w:rsidRPr="000B56F5">
        <w:rPr>
          <w:lang w:val="fr-CH"/>
        </w:rPr>
        <w:tab/>
        <w:t>Type de matériel végétal</w:t>
      </w:r>
    </w:p>
    <w:p w:rsidR="00EF0D3B" w:rsidRPr="000B56F5" w:rsidRDefault="00EF0D3B" w:rsidP="00112E25">
      <w:pPr>
        <w:keepNext/>
        <w:keepLines/>
        <w:rPr>
          <w:lang w:val="fr-CH"/>
        </w:rPr>
      </w:pPr>
    </w:p>
    <w:p w:rsidR="00EF0D3B" w:rsidRPr="000B56F5" w:rsidRDefault="00801948" w:rsidP="00801948">
      <w:pPr>
        <w:keepNext/>
        <w:keepLines/>
        <w:rPr>
          <w:lang w:val="fr-CH"/>
        </w:rPr>
      </w:pPr>
      <w:r w:rsidRPr="000B56F5">
        <w:rPr>
          <w:lang w:val="fr-CH"/>
        </w:rPr>
        <w:t>Le type de matériel végétal à échantillonner et la procédure d</w:t>
      </w:r>
      <w:r w:rsidR="00B1361A" w:rsidRPr="000B56F5">
        <w:rPr>
          <w:lang w:val="fr-CH"/>
        </w:rPr>
        <w:t>’</w:t>
      </w:r>
      <w:r w:rsidRPr="000B56F5">
        <w:rPr>
          <w:lang w:val="fr-CH"/>
        </w:rPr>
        <w:t>échantillonnage à suivre en vue de l</w:t>
      </w:r>
      <w:r w:rsidR="00B1361A" w:rsidRPr="000B56F5">
        <w:rPr>
          <w:lang w:val="fr-CH"/>
        </w:rPr>
        <w:t>’</w:t>
      </w:r>
      <w:r w:rsidRPr="000B56F5">
        <w:rPr>
          <w:lang w:val="fr-CH"/>
        </w:rPr>
        <w:t>extraction d</w:t>
      </w:r>
      <w:r w:rsidR="00B1361A" w:rsidRPr="000B56F5">
        <w:rPr>
          <w:lang w:val="fr-CH"/>
        </w:rPr>
        <w:t>’</w:t>
      </w:r>
      <w:r w:rsidRPr="000B56F5">
        <w:rPr>
          <w:lang w:val="fr-CH"/>
        </w:rPr>
        <w:t>ADN dépendront, dans une large mesure, de l</w:t>
      </w:r>
      <w:r w:rsidR="00B1361A" w:rsidRPr="000B56F5">
        <w:rPr>
          <w:lang w:val="fr-CH"/>
        </w:rPr>
        <w:t>’</w:t>
      </w:r>
      <w:r w:rsidRPr="000B56F5">
        <w:rPr>
          <w:lang w:val="fr-CH"/>
        </w:rPr>
        <w:t>espèce végétale concern</w:t>
      </w:r>
      <w:r w:rsidR="00D47A05" w:rsidRPr="000B56F5">
        <w:rPr>
          <w:lang w:val="fr-CH"/>
        </w:rPr>
        <w:t>ée.  Ai</w:t>
      </w:r>
      <w:r w:rsidRPr="000B56F5">
        <w:rPr>
          <w:lang w:val="fr-CH"/>
        </w:rPr>
        <w:t>nsi, dans le cas des variétés reproduites par voie sexuée, la semence peut servir de source d</w:t>
      </w:r>
      <w:r w:rsidR="00B1361A" w:rsidRPr="000B56F5">
        <w:rPr>
          <w:lang w:val="fr-CH"/>
        </w:rPr>
        <w:t>’</w:t>
      </w:r>
      <w:r w:rsidRPr="000B56F5">
        <w:rPr>
          <w:lang w:val="fr-CH"/>
        </w:rPr>
        <w:t>ADN, alors que, dans le cas des variétés multipliées par voie végétative, l</w:t>
      </w:r>
      <w:r w:rsidR="00B1361A" w:rsidRPr="000B56F5">
        <w:rPr>
          <w:lang w:val="fr-CH"/>
        </w:rPr>
        <w:t>’</w:t>
      </w:r>
      <w:r w:rsidRPr="000B56F5">
        <w:rPr>
          <w:lang w:val="fr-CH"/>
        </w:rPr>
        <w:t>ADN peut être extrait à partir des feuill</w:t>
      </w:r>
      <w:r w:rsidR="00D47A05" w:rsidRPr="000B56F5">
        <w:rPr>
          <w:lang w:val="fr-CH"/>
        </w:rPr>
        <w:t>es.  Qu</w:t>
      </w:r>
      <w:r w:rsidRPr="000B56F5">
        <w:rPr>
          <w:lang w:val="fr-CH"/>
        </w:rPr>
        <w:t>elle que soit la source du matériel végétal, la méthode d</w:t>
      </w:r>
      <w:r w:rsidR="00B1361A" w:rsidRPr="000B56F5">
        <w:rPr>
          <w:lang w:val="fr-CH"/>
        </w:rPr>
        <w:t>’</w:t>
      </w:r>
      <w:r w:rsidRPr="000B56F5">
        <w:rPr>
          <w:lang w:val="fr-CH"/>
        </w:rPr>
        <w:t>échantillonnage et d</w:t>
      </w:r>
      <w:r w:rsidR="00B1361A" w:rsidRPr="000B56F5">
        <w:rPr>
          <w:lang w:val="fr-CH"/>
        </w:rPr>
        <w:t>’</w:t>
      </w:r>
      <w:r w:rsidRPr="000B56F5">
        <w:rPr>
          <w:lang w:val="fr-CH"/>
        </w:rPr>
        <w:t>extraction de l</w:t>
      </w:r>
      <w:r w:rsidR="00B1361A" w:rsidRPr="000B56F5">
        <w:rPr>
          <w:lang w:val="fr-CH"/>
        </w:rPr>
        <w:t>’</w:t>
      </w:r>
      <w:r w:rsidRPr="000B56F5">
        <w:rPr>
          <w:lang w:val="fr-CH"/>
        </w:rPr>
        <w:t>ADN devrait être référenc</w:t>
      </w:r>
      <w:r w:rsidR="00D47A05" w:rsidRPr="000B56F5">
        <w:rPr>
          <w:lang w:val="fr-CH"/>
        </w:rPr>
        <w:t>ée.  En</w:t>
      </w:r>
      <w:r w:rsidRPr="000B56F5">
        <w:rPr>
          <w:lang w:val="fr-CH"/>
        </w:rPr>
        <w:t xml:space="preserve"> outre, il conviendra de vérifier que les méthodes d</w:t>
      </w:r>
      <w:r w:rsidR="00B1361A" w:rsidRPr="000B56F5">
        <w:rPr>
          <w:lang w:val="fr-CH"/>
        </w:rPr>
        <w:t>’</w:t>
      </w:r>
      <w:r w:rsidRPr="000B56F5">
        <w:rPr>
          <w:lang w:val="fr-CH"/>
        </w:rPr>
        <w:t>échantillonnage et d</w:t>
      </w:r>
      <w:r w:rsidR="00B1361A" w:rsidRPr="000B56F5">
        <w:rPr>
          <w:lang w:val="fr-CH"/>
        </w:rPr>
        <w:t>’</w:t>
      </w:r>
      <w:r w:rsidRPr="000B56F5">
        <w:rPr>
          <w:lang w:val="fr-CH"/>
        </w:rPr>
        <w:t>extraction permettent d</w:t>
      </w:r>
      <w:r w:rsidR="00B1361A" w:rsidRPr="000B56F5">
        <w:rPr>
          <w:lang w:val="fr-CH"/>
        </w:rPr>
        <w:t>’</w:t>
      </w:r>
      <w:r w:rsidRPr="000B56F5">
        <w:rPr>
          <w:lang w:val="fr-CH"/>
        </w:rPr>
        <w:t>obtenir des résultats d</w:t>
      </w:r>
      <w:r w:rsidR="00B1361A" w:rsidRPr="000B56F5">
        <w:rPr>
          <w:lang w:val="fr-CH"/>
        </w:rPr>
        <w:t>’</w:t>
      </w:r>
      <w:r w:rsidRPr="000B56F5">
        <w:rPr>
          <w:lang w:val="fr-CH"/>
        </w:rPr>
        <w:t>analyse ADN stables.</w:t>
      </w:r>
    </w:p>
    <w:p w:rsidR="00EF0D3B" w:rsidRPr="000B56F5" w:rsidRDefault="00EF0D3B" w:rsidP="00112E25">
      <w:pPr>
        <w:rPr>
          <w:lang w:val="fr-CH"/>
        </w:rPr>
      </w:pPr>
    </w:p>
    <w:p w:rsidR="00EF0D3B" w:rsidRPr="000B56F5" w:rsidRDefault="00801948" w:rsidP="00801948">
      <w:pPr>
        <w:keepNext/>
        <w:ind w:left="1134" w:hanging="567"/>
        <w:outlineLvl w:val="3"/>
        <w:rPr>
          <w:lang w:val="fr-CH"/>
        </w:rPr>
      </w:pPr>
      <w:r w:rsidRPr="000B56F5">
        <w:rPr>
          <w:lang w:val="fr-CH"/>
        </w:rPr>
        <w:t>4.2.3</w:t>
      </w:r>
      <w:r w:rsidRPr="000B56F5">
        <w:rPr>
          <w:lang w:val="fr-CH"/>
        </w:rPr>
        <w:tab/>
        <w:t>Taille et type de l</w:t>
      </w:r>
      <w:r w:rsidR="00B1361A" w:rsidRPr="000B56F5">
        <w:rPr>
          <w:lang w:val="fr-CH"/>
        </w:rPr>
        <w:t>’</w:t>
      </w:r>
      <w:r w:rsidRPr="000B56F5">
        <w:rPr>
          <w:lang w:val="fr-CH"/>
        </w:rPr>
        <w:t>échantillon (échantillons globaux ou individuels)</w:t>
      </w:r>
    </w:p>
    <w:p w:rsidR="00EF0D3B" w:rsidRPr="000B56F5" w:rsidRDefault="00EF0D3B" w:rsidP="00112E25">
      <w:pPr>
        <w:keepNext/>
        <w:rPr>
          <w:lang w:val="fr-CH"/>
        </w:rPr>
      </w:pPr>
    </w:p>
    <w:p w:rsidR="00B1361A" w:rsidRPr="000B56F5" w:rsidRDefault="00801948" w:rsidP="00801948">
      <w:pPr>
        <w:rPr>
          <w:lang w:val="fr-CH"/>
        </w:rPr>
      </w:pPr>
      <w:r w:rsidRPr="000B56F5">
        <w:rPr>
          <w:lang w:val="fr-CH"/>
        </w:rPr>
        <w:t>Il est essentiel que les échantillons prélevés pour l</w:t>
      </w:r>
      <w:r w:rsidR="00B1361A" w:rsidRPr="000B56F5">
        <w:rPr>
          <w:lang w:val="fr-CH"/>
        </w:rPr>
        <w:t>’</w:t>
      </w:r>
      <w:r w:rsidRPr="000B56F5">
        <w:rPr>
          <w:lang w:val="fr-CH"/>
        </w:rPr>
        <w:t>analyse soient représentatifs de la varié</w:t>
      </w:r>
      <w:r w:rsidR="00D47A05" w:rsidRPr="000B56F5">
        <w:rPr>
          <w:lang w:val="fr-CH"/>
        </w:rPr>
        <w:t>té.  Il</w:t>
      </w:r>
      <w:r w:rsidRPr="000B56F5">
        <w:rPr>
          <w:lang w:val="fr-CH"/>
        </w:rPr>
        <w:t xml:space="preserve"> convient de prendre en considération les particularités de la reproduction ou multiplication de la variété (voir l</w:t>
      </w:r>
      <w:r w:rsidR="00B1361A" w:rsidRPr="000B56F5">
        <w:rPr>
          <w:lang w:val="fr-CH"/>
        </w:rPr>
        <w:t>’</w:t>
      </w:r>
      <w:r w:rsidRPr="000B56F5">
        <w:rPr>
          <w:lang w:val="fr-CH"/>
        </w:rPr>
        <w:t>Introduction générale).</w:t>
      </w:r>
    </w:p>
    <w:p w:rsidR="00EF0D3B" w:rsidRPr="000B56F5" w:rsidRDefault="00EF0D3B" w:rsidP="00112E25">
      <w:pPr>
        <w:rPr>
          <w:lang w:val="fr-CH"/>
        </w:rPr>
      </w:pPr>
    </w:p>
    <w:p w:rsidR="00EF0D3B" w:rsidRPr="000B56F5" w:rsidRDefault="00801948" w:rsidP="00801948">
      <w:pPr>
        <w:keepNext/>
        <w:ind w:left="1134" w:hanging="567"/>
        <w:outlineLvl w:val="3"/>
        <w:rPr>
          <w:lang w:val="fr-CH"/>
        </w:rPr>
      </w:pPr>
      <w:r w:rsidRPr="000B56F5">
        <w:rPr>
          <w:lang w:val="fr-CH"/>
        </w:rPr>
        <w:t>4.2.4</w:t>
      </w:r>
      <w:r w:rsidRPr="000B56F5">
        <w:rPr>
          <w:lang w:val="fr-CH"/>
        </w:rPr>
        <w:tab/>
        <w:t>Échantillon d</w:t>
      </w:r>
      <w:r w:rsidR="00B1361A" w:rsidRPr="000B56F5">
        <w:rPr>
          <w:lang w:val="fr-CH"/>
        </w:rPr>
        <w:t>’</w:t>
      </w:r>
      <w:r w:rsidRPr="000B56F5">
        <w:rPr>
          <w:lang w:val="fr-CH"/>
        </w:rPr>
        <w:t>ADN de référence</w:t>
      </w:r>
    </w:p>
    <w:p w:rsidR="00EF0D3B" w:rsidRPr="000B56F5" w:rsidRDefault="00EF0D3B" w:rsidP="00112E25">
      <w:pPr>
        <w:rPr>
          <w:lang w:val="fr-CH"/>
        </w:rPr>
      </w:pPr>
    </w:p>
    <w:p w:rsidR="00406A48" w:rsidRDefault="00DB221E" w:rsidP="00406A48">
      <w:pPr>
        <w:rPr>
          <w:lang w:val="fr-CH"/>
        </w:rPr>
      </w:pPr>
      <w:r w:rsidRPr="000B56F5">
        <w:rPr>
          <w:spacing w:val="-2"/>
          <w:lang w:val="fr-CH"/>
        </w:rPr>
        <w:t>Une collection d</w:t>
      </w:r>
      <w:r w:rsidR="00B1361A" w:rsidRPr="000B56F5">
        <w:rPr>
          <w:spacing w:val="-2"/>
          <w:lang w:val="fr-CH"/>
        </w:rPr>
        <w:t>’</w:t>
      </w:r>
      <w:r w:rsidRPr="000B56F5">
        <w:rPr>
          <w:spacing w:val="-2"/>
          <w:lang w:val="fr-CH"/>
        </w:rPr>
        <w:t>ADN de référence peut être établie à partir du matériel végétal échantillon</w:t>
      </w:r>
      <w:r w:rsidR="00D47A05" w:rsidRPr="000B56F5">
        <w:rPr>
          <w:spacing w:val="-2"/>
          <w:lang w:val="fr-CH"/>
        </w:rPr>
        <w:t>né.  La</w:t>
      </w:r>
      <w:r w:rsidRPr="000B56F5">
        <w:rPr>
          <w:spacing w:val="-2"/>
          <w:lang w:val="fr-CH"/>
        </w:rPr>
        <w:t xml:space="preserve"> méthode d</w:t>
      </w:r>
      <w:r w:rsidR="00B1361A" w:rsidRPr="000B56F5">
        <w:rPr>
          <w:spacing w:val="-2"/>
          <w:lang w:val="fr-CH"/>
        </w:rPr>
        <w:t>’</w:t>
      </w:r>
      <w:r w:rsidRPr="000B56F5">
        <w:rPr>
          <w:spacing w:val="-2"/>
          <w:lang w:val="fr-CH"/>
        </w:rPr>
        <w:t>échantillonnage devrait suivre les procédures recommandées et les critères de qualité pour l</w:t>
      </w:r>
      <w:r w:rsidR="00B1361A" w:rsidRPr="000B56F5">
        <w:rPr>
          <w:spacing w:val="-2"/>
          <w:lang w:val="fr-CH"/>
        </w:rPr>
        <w:t>’</w:t>
      </w:r>
      <w:r w:rsidRPr="000B56F5">
        <w:rPr>
          <w:spacing w:val="-2"/>
          <w:lang w:val="fr-CH"/>
        </w:rPr>
        <w:t>extraction d</w:t>
      </w:r>
      <w:r w:rsidR="00B1361A" w:rsidRPr="000B56F5">
        <w:rPr>
          <w:spacing w:val="-2"/>
          <w:lang w:val="fr-CH"/>
        </w:rPr>
        <w:t>’</w:t>
      </w:r>
      <w:r w:rsidRPr="000B56F5">
        <w:rPr>
          <w:spacing w:val="-2"/>
          <w:lang w:val="fr-CH"/>
        </w:rPr>
        <w:t>ADN doivent être établ</w:t>
      </w:r>
      <w:r w:rsidR="00D47A05" w:rsidRPr="000B56F5">
        <w:rPr>
          <w:spacing w:val="-2"/>
          <w:lang w:val="fr-CH"/>
        </w:rPr>
        <w:t xml:space="preserve">is.  </w:t>
      </w:r>
      <w:r w:rsidR="00D47A05" w:rsidRPr="000B56F5">
        <w:rPr>
          <w:lang w:val="fr-CH"/>
        </w:rPr>
        <w:t>To</w:t>
      </w:r>
      <w:r w:rsidRPr="000B56F5">
        <w:rPr>
          <w:lang w:val="fr-CH"/>
        </w:rPr>
        <w:t>us deux</w:t>
      </w:r>
      <w:r w:rsidR="00DF1A3F" w:rsidRPr="000B56F5">
        <w:rPr>
          <w:lang w:val="fr-CH"/>
        </w:rPr>
        <w:t> </w:t>
      </w:r>
      <w:r w:rsidRPr="000B56F5">
        <w:rPr>
          <w:lang w:val="fr-CH"/>
        </w:rPr>
        <w:t>doivent être documentés.</w:t>
      </w:r>
    </w:p>
    <w:p w:rsidR="00EF0D3B" w:rsidRPr="000B56F5" w:rsidRDefault="00DB221E" w:rsidP="00DB221E">
      <w:pPr>
        <w:rPr>
          <w:spacing w:val="-2"/>
          <w:lang w:val="fr-CH"/>
        </w:rPr>
      </w:pPr>
      <w:r w:rsidRPr="000B56F5">
        <w:rPr>
          <w:spacing w:val="-2"/>
          <w:lang w:val="fr-CH"/>
        </w:rPr>
        <w:t>Les échantillons d</w:t>
      </w:r>
      <w:r w:rsidR="00B1361A" w:rsidRPr="000B56F5">
        <w:rPr>
          <w:spacing w:val="-2"/>
          <w:lang w:val="fr-CH"/>
        </w:rPr>
        <w:t>’</w:t>
      </w:r>
      <w:r w:rsidRPr="000B56F5">
        <w:rPr>
          <w:spacing w:val="-2"/>
          <w:lang w:val="fr-CH"/>
        </w:rPr>
        <w:t>ADN doivent être conservés dans des conditions empêchant leur dégradation (p.</w:t>
      </w:r>
      <w:r w:rsidR="00DF1A3F" w:rsidRPr="000B56F5">
        <w:rPr>
          <w:spacing w:val="-2"/>
          <w:lang w:val="fr-CH"/>
        </w:rPr>
        <w:t> </w:t>
      </w:r>
      <w:r w:rsidRPr="000B56F5">
        <w:rPr>
          <w:spacing w:val="-2"/>
          <w:lang w:val="fr-CH"/>
        </w:rPr>
        <w:t>ex.</w:t>
      </w:r>
      <w:r w:rsidR="00DF1A3F" w:rsidRPr="000B56F5">
        <w:rPr>
          <w:spacing w:val="-2"/>
          <w:lang w:val="fr-CH"/>
        </w:rPr>
        <w:t> </w:t>
      </w:r>
      <w:r w:rsidRPr="000B56F5">
        <w:rPr>
          <w:spacing w:val="-2"/>
          <w:lang w:val="fr-CH"/>
        </w:rPr>
        <w:t xml:space="preserve">stockage à </w:t>
      </w:r>
      <w:r w:rsidR="00B1361A" w:rsidRPr="000B56F5">
        <w:rPr>
          <w:spacing w:val="-2"/>
          <w:lang w:val="fr-CH"/>
        </w:rPr>
        <w:t>-</w:t>
      </w:r>
      <w:r w:rsidRPr="000B56F5">
        <w:rPr>
          <w:spacing w:val="-2"/>
          <w:lang w:val="fr-CH"/>
        </w:rPr>
        <w:t>80</w:t>
      </w:r>
      <w:r w:rsidR="00987C3E" w:rsidRPr="000B56F5">
        <w:rPr>
          <w:spacing w:val="-2"/>
          <w:lang w:val="fr-CH"/>
        </w:rPr>
        <w:t> °</w:t>
      </w:r>
      <w:r w:rsidRPr="000B56F5">
        <w:rPr>
          <w:spacing w:val="-2"/>
          <w:lang w:val="fr-CH"/>
        </w:rPr>
        <w:t>C).</w:t>
      </w:r>
      <w:r w:rsidR="00DF1A3F" w:rsidRPr="000B56F5">
        <w:rPr>
          <w:spacing w:val="-2"/>
          <w:lang w:val="fr-CH"/>
        </w:rPr>
        <w:t xml:space="preserve"> </w:t>
      </w:r>
      <w:r w:rsidR="00112E25" w:rsidRPr="000B56F5">
        <w:rPr>
          <w:spacing w:val="-2"/>
          <w:lang w:val="fr-CH"/>
        </w:rPr>
        <w:t xml:space="preserve"> </w:t>
      </w:r>
      <w:r w:rsidRPr="000B56F5">
        <w:rPr>
          <w:spacing w:val="-2"/>
          <w:lang w:val="fr-CH"/>
        </w:rPr>
        <w:t>Le transfert d</w:t>
      </w:r>
      <w:r w:rsidR="00B1361A" w:rsidRPr="000B56F5">
        <w:rPr>
          <w:spacing w:val="-2"/>
          <w:lang w:val="fr-CH"/>
        </w:rPr>
        <w:t>’</w:t>
      </w:r>
      <w:r w:rsidRPr="000B56F5">
        <w:rPr>
          <w:spacing w:val="-2"/>
          <w:lang w:val="fr-CH"/>
        </w:rPr>
        <w:t>échantillons d</w:t>
      </w:r>
      <w:r w:rsidR="00B1361A" w:rsidRPr="000B56F5">
        <w:rPr>
          <w:spacing w:val="-2"/>
          <w:lang w:val="fr-CH"/>
        </w:rPr>
        <w:t>’</w:t>
      </w:r>
      <w:r w:rsidRPr="000B56F5">
        <w:rPr>
          <w:spacing w:val="-2"/>
          <w:lang w:val="fr-CH"/>
        </w:rPr>
        <w:t xml:space="preserve">ADN de référence est décrit dans la </w:t>
      </w:r>
      <w:r w:rsidR="00F874D0" w:rsidRPr="000B56F5">
        <w:rPr>
          <w:spacing w:val="-2"/>
          <w:lang w:val="fr-CH"/>
        </w:rPr>
        <w:t>section 1</w:t>
      </w:r>
      <w:r w:rsidRPr="000B56F5">
        <w:rPr>
          <w:spacing w:val="-2"/>
          <w:lang w:val="fr-CH"/>
        </w:rPr>
        <w:t xml:space="preserve"> du </w:t>
      </w:r>
      <w:r w:rsidR="00B1361A" w:rsidRPr="000B56F5">
        <w:rPr>
          <w:spacing w:val="-2"/>
          <w:lang w:val="fr-CH"/>
        </w:rPr>
        <w:t>document TG</w:t>
      </w:r>
      <w:r w:rsidRPr="000B56F5">
        <w:rPr>
          <w:spacing w:val="-2"/>
          <w:lang w:val="fr-CH"/>
        </w:rPr>
        <w:t>P/5.</w:t>
      </w:r>
    </w:p>
    <w:p w:rsidR="00EF0D3B" w:rsidRPr="000B56F5" w:rsidRDefault="00EF0D3B" w:rsidP="00112E25">
      <w:pPr>
        <w:rPr>
          <w:lang w:val="fr-CH"/>
        </w:rPr>
      </w:pPr>
    </w:p>
    <w:p w:rsidR="00EF0D3B" w:rsidRPr="001167F2" w:rsidRDefault="00DB221E" w:rsidP="009F1754">
      <w:pPr>
        <w:pStyle w:val="Heading3"/>
        <w:rPr>
          <w:lang w:val="fr-CH"/>
        </w:rPr>
      </w:pPr>
      <w:bookmarkStart w:id="49" w:name="_Toc54004905"/>
      <w:r w:rsidRPr="001167F2">
        <w:rPr>
          <w:lang w:val="fr-CH"/>
        </w:rPr>
        <w:t>4.3</w:t>
      </w:r>
      <w:r w:rsidRPr="001167F2">
        <w:rPr>
          <w:lang w:val="fr-CH"/>
        </w:rPr>
        <w:tab/>
        <w:t>Traitements des données relatives aux séquences</w:t>
      </w:r>
      <w:bookmarkEnd w:id="49"/>
    </w:p>
    <w:p w:rsidR="00EF0D3B" w:rsidRPr="000B56F5" w:rsidRDefault="00EF0D3B" w:rsidP="00956613">
      <w:pPr>
        <w:keepNext/>
        <w:rPr>
          <w:lang w:val="fr-CH"/>
        </w:rPr>
      </w:pPr>
    </w:p>
    <w:p w:rsidR="00EF0D3B" w:rsidRPr="000B56F5" w:rsidRDefault="00DB221E" w:rsidP="00956613">
      <w:pPr>
        <w:keepNext/>
        <w:rPr>
          <w:lang w:val="fr-CH"/>
        </w:rPr>
      </w:pPr>
      <w:r w:rsidRPr="000B56F5">
        <w:rPr>
          <w:lang w:val="fr-CH"/>
        </w:rPr>
        <w:t>Un journal détaillé du pipeline de traitement de données pourrait indiquer</w:t>
      </w:r>
      <w:r w:rsidR="00B1361A" w:rsidRPr="000B56F5">
        <w:rPr>
          <w:lang w:val="fr-CH"/>
        </w:rPr>
        <w:t> :</w:t>
      </w:r>
    </w:p>
    <w:p w:rsidR="00EF0D3B" w:rsidRPr="000B56F5" w:rsidRDefault="00EF0D3B" w:rsidP="00956613">
      <w:pPr>
        <w:keepNext/>
        <w:rPr>
          <w:lang w:val="fr-CH"/>
        </w:rPr>
      </w:pPr>
    </w:p>
    <w:p w:rsidR="00EF0D3B" w:rsidRPr="000B56F5" w:rsidRDefault="00DB221E" w:rsidP="00956613">
      <w:pPr>
        <w:keepNext/>
        <w:ind w:firstLine="567"/>
        <w:rPr>
          <w:lang w:val="fr-CH"/>
        </w:rPr>
      </w:pPr>
      <w:r w:rsidRPr="000B56F5">
        <w:rPr>
          <w:lang w:val="fr-CH"/>
        </w:rPr>
        <w:t>a)</w:t>
      </w:r>
      <w:r w:rsidRPr="000B56F5">
        <w:rPr>
          <w:lang w:val="fr-CH"/>
        </w:rPr>
        <w:tab/>
        <w:t>le type et les versions des outils;</w:t>
      </w:r>
    </w:p>
    <w:p w:rsidR="00EF0D3B" w:rsidRPr="000B56F5" w:rsidRDefault="00DB221E" w:rsidP="007345EE">
      <w:pPr>
        <w:ind w:firstLine="567"/>
        <w:rPr>
          <w:lang w:val="fr-CH"/>
        </w:rPr>
      </w:pPr>
      <w:r w:rsidRPr="000B56F5">
        <w:rPr>
          <w:lang w:val="fr-CH"/>
        </w:rPr>
        <w:t>b)</w:t>
      </w:r>
      <w:r w:rsidRPr="000B56F5">
        <w:rPr>
          <w:lang w:val="fr-CH"/>
        </w:rPr>
        <w:tab/>
        <w:t>la ligne de commande utilisée pour l</w:t>
      </w:r>
      <w:r w:rsidR="00B1361A" w:rsidRPr="000B56F5">
        <w:rPr>
          <w:lang w:val="fr-CH"/>
        </w:rPr>
        <w:t>’</w:t>
      </w:r>
      <w:r w:rsidRPr="000B56F5">
        <w:rPr>
          <w:lang w:val="fr-CH"/>
        </w:rPr>
        <w:t xml:space="preserve">outil, </w:t>
      </w:r>
      <w:r w:rsidR="00B1361A" w:rsidRPr="000B56F5">
        <w:rPr>
          <w:lang w:val="fr-CH"/>
        </w:rPr>
        <w:t>y compris</w:t>
      </w:r>
      <w:r w:rsidRPr="000B56F5">
        <w:rPr>
          <w:lang w:val="fr-CH"/>
        </w:rPr>
        <w:t xml:space="preserve"> les seuils;</w:t>
      </w:r>
    </w:p>
    <w:p w:rsidR="00EF0D3B" w:rsidRPr="000B56F5" w:rsidRDefault="00DB221E" w:rsidP="007345EE">
      <w:pPr>
        <w:ind w:firstLine="567"/>
        <w:rPr>
          <w:lang w:val="fr-CH"/>
        </w:rPr>
      </w:pPr>
      <w:r w:rsidRPr="000B56F5">
        <w:rPr>
          <w:lang w:val="fr-CH"/>
        </w:rPr>
        <w:t>c)</w:t>
      </w:r>
      <w:r w:rsidRPr="000B56F5">
        <w:rPr>
          <w:lang w:val="fr-CH"/>
        </w:rPr>
        <w:tab/>
        <w:t>la reproductibilité (comptage);</w:t>
      </w:r>
    </w:p>
    <w:p w:rsidR="00EF0D3B" w:rsidRPr="000B56F5" w:rsidRDefault="00DB221E" w:rsidP="007345EE">
      <w:pPr>
        <w:ind w:firstLine="567"/>
        <w:rPr>
          <w:lang w:val="fr-CH"/>
        </w:rPr>
      </w:pPr>
      <w:r w:rsidRPr="000B56F5">
        <w:rPr>
          <w:lang w:val="fr-CH"/>
        </w:rPr>
        <w:t>d)</w:t>
      </w:r>
      <w:r w:rsidRPr="000B56F5">
        <w:rPr>
          <w:lang w:val="fr-CH"/>
        </w:rPr>
        <w:tab/>
        <w:t>les possibilités de partage des données et processus;</w:t>
      </w:r>
    </w:p>
    <w:p w:rsidR="00EF0D3B" w:rsidRPr="000B56F5" w:rsidRDefault="00DB221E" w:rsidP="007345EE">
      <w:pPr>
        <w:ind w:firstLine="567"/>
        <w:rPr>
          <w:lang w:val="fr-CH"/>
        </w:rPr>
      </w:pPr>
      <w:r w:rsidRPr="000B56F5">
        <w:rPr>
          <w:lang w:val="fr-CH"/>
        </w:rPr>
        <w:t>e)</w:t>
      </w:r>
      <w:r w:rsidRPr="000B56F5">
        <w:rPr>
          <w:lang w:val="fr-CH"/>
        </w:rPr>
        <w:tab/>
        <w:t>les données d</w:t>
      </w:r>
      <w:r w:rsidR="00B1361A" w:rsidRPr="000B56F5">
        <w:rPr>
          <w:lang w:val="fr-CH"/>
        </w:rPr>
        <w:t>’</w:t>
      </w:r>
      <w:r w:rsidRPr="000B56F5">
        <w:rPr>
          <w:lang w:val="fr-CH"/>
        </w:rPr>
        <w:t>alignement brutes (fichiers BAM ou CRAM) devraient être stockées si possible;</w:t>
      </w:r>
    </w:p>
    <w:p w:rsidR="00EF0D3B" w:rsidRPr="000B56F5" w:rsidRDefault="00DB221E" w:rsidP="007345EE">
      <w:pPr>
        <w:ind w:firstLine="567"/>
        <w:rPr>
          <w:lang w:val="fr-CH"/>
        </w:rPr>
      </w:pPr>
      <w:r w:rsidRPr="000B56F5">
        <w:rPr>
          <w:lang w:val="fr-CH"/>
        </w:rPr>
        <w:t>f)</w:t>
      </w:r>
      <w:r w:rsidRPr="000B56F5">
        <w:rPr>
          <w:lang w:val="fr-CH"/>
        </w:rPr>
        <w:tab/>
        <w:t>les fichiers VCF multiéchantillons ne conviennent pas, un fichier VCF par variété doit être présent;</w:t>
      </w:r>
    </w:p>
    <w:p w:rsidR="00EF0D3B" w:rsidRPr="000B56F5" w:rsidRDefault="00D068C9" w:rsidP="007345EE">
      <w:pPr>
        <w:ind w:firstLine="567"/>
        <w:rPr>
          <w:lang w:val="fr-CH"/>
        </w:rPr>
      </w:pPr>
      <w:r w:rsidRPr="000B56F5">
        <w:rPr>
          <w:lang w:val="fr-CH"/>
        </w:rPr>
        <w:t>g)</w:t>
      </w:r>
      <w:r w:rsidRPr="000B56F5">
        <w:rPr>
          <w:lang w:val="fr-CH"/>
        </w:rPr>
        <w:tab/>
        <w:t>si des fichiers VCF sont stockés, toutes les positions (variants et non variants) et leur profondeur devraient être stockées;</w:t>
      </w:r>
    </w:p>
    <w:p w:rsidR="00EF0D3B" w:rsidRPr="000B56F5" w:rsidRDefault="00D068C9" w:rsidP="007345EE">
      <w:pPr>
        <w:ind w:firstLine="567"/>
        <w:rPr>
          <w:lang w:val="fr-CH"/>
        </w:rPr>
      </w:pPr>
      <w:r w:rsidRPr="000B56F5">
        <w:rPr>
          <w:lang w:val="fr-CH"/>
        </w:rPr>
        <w:t>h)</w:t>
      </w:r>
      <w:r w:rsidRPr="000B56F5">
        <w:rPr>
          <w:lang w:val="fr-CH"/>
        </w:rPr>
        <w:tab/>
        <w:t>des approches à la foi heuristiques et probabilistes devraient être envisagées et comparées pour les méthodes de détection;</w:t>
      </w:r>
    </w:p>
    <w:p w:rsidR="00EF0D3B" w:rsidRPr="000B56F5" w:rsidRDefault="00D068C9" w:rsidP="007345EE">
      <w:pPr>
        <w:ind w:firstLine="567"/>
        <w:rPr>
          <w:lang w:val="fr-CH"/>
        </w:rPr>
      </w:pPr>
      <w:r w:rsidRPr="000B56F5">
        <w:rPr>
          <w:lang w:val="fr-CH"/>
        </w:rPr>
        <w:t>i)</w:t>
      </w:r>
      <w:r w:rsidRPr="000B56F5">
        <w:rPr>
          <w:lang w:val="fr-CH"/>
        </w:rPr>
        <w:tab/>
        <w:t>les bases de données devraient faciliter l</w:t>
      </w:r>
      <w:r w:rsidR="00B1361A" w:rsidRPr="000B56F5">
        <w:rPr>
          <w:lang w:val="fr-CH"/>
        </w:rPr>
        <w:t>’</w:t>
      </w:r>
      <w:r w:rsidRPr="000B56F5">
        <w:rPr>
          <w:lang w:val="fr-CH"/>
        </w:rPr>
        <w:t>entrée et la sortie de données de détection des variants dans un format normalisé (VCF ou BCF);</w:t>
      </w:r>
    </w:p>
    <w:p w:rsidR="00EF0D3B" w:rsidRPr="000B56F5" w:rsidRDefault="00D068C9" w:rsidP="007345EE">
      <w:pPr>
        <w:ind w:firstLine="567"/>
        <w:rPr>
          <w:lang w:val="fr-CH"/>
        </w:rPr>
      </w:pPr>
      <w:r w:rsidRPr="000B56F5">
        <w:rPr>
          <w:lang w:val="fr-CH"/>
        </w:rPr>
        <w:t>j)</w:t>
      </w:r>
      <w:r w:rsidRPr="000B56F5">
        <w:rPr>
          <w:lang w:val="fr-CH"/>
        </w:rPr>
        <w:tab/>
        <w:t>le pipeline de traitement des données devrait aboutir à un fichier journal détaillé qui devrait être stocké conjointement avec les données de détection des variants;</w:t>
      </w:r>
    </w:p>
    <w:p w:rsidR="00EF0D3B" w:rsidRPr="000B56F5" w:rsidRDefault="00D068C9" w:rsidP="007345EE">
      <w:pPr>
        <w:ind w:firstLine="567"/>
        <w:rPr>
          <w:lang w:val="fr-CH"/>
        </w:rPr>
      </w:pPr>
      <w:r w:rsidRPr="000B56F5">
        <w:rPr>
          <w:lang w:val="fr-CH"/>
        </w:rPr>
        <w:t>k)</w:t>
      </w:r>
      <w:r w:rsidRPr="000B56F5">
        <w:rPr>
          <w:lang w:val="fr-CH"/>
        </w:rPr>
        <w:tab/>
        <w:t xml:space="preserve">si possible, les données brutes devraient être stockées de sorte que le traitement des données puisse être répété avec de nouveaux outils ou avec des outils mis à jour; </w:t>
      </w:r>
      <w:r w:rsidR="00DF1A3F" w:rsidRPr="000B56F5">
        <w:rPr>
          <w:lang w:val="fr-CH"/>
        </w:rPr>
        <w:t xml:space="preserve"> </w:t>
      </w:r>
      <w:r w:rsidRPr="000B56F5">
        <w:rPr>
          <w:lang w:val="fr-CH"/>
        </w:rPr>
        <w:t>et</w:t>
      </w:r>
    </w:p>
    <w:p w:rsidR="00EF0D3B" w:rsidRPr="000B56F5" w:rsidRDefault="00D068C9" w:rsidP="007345EE">
      <w:pPr>
        <w:ind w:firstLine="567"/>
        <w:rPr>
          <w:lang w:val="fr-CH"/>
        </w:rPr>
      </w:pPr>
      <w:r w:rsidRPr="000B56F5">
        <w:rPr>
          <w:lang w:val="fr-CH"/>
        </w:rPr>
        <w:t>l)</w:t>
      </w:r>
      <w:r w:rsidRPr="000B56F5">
        <w:rPr>
          <w:lang w:val="fr-CH"/>
        </w:rPr>
        <w:tab/>
        <w:t>la valeur p ou l</w:t>
      </w:r>
      <w:r w:rsidR="00B1361A" w:rsidRPr="000B56F5">
        <w:rPr>
          <w:lang w:val="fr-CH"/>
        </w:rPr>
        <w:t>’</w:t>
      </w:r>
      <w:r w:rsidRPr="000B56F5">
        <w:rPr>
          <w:lang w:val="fr-CH"/>
        </w:rPr>
        <w:t>incertitude pour un allèle donné devrait être stockée.</w:t>
      </w:r>
    </w:p>
    <w:p w:rsidR="00EF0D3B" w:rsidRPr="000B56F5" w:rsidRDefault="00EF0D3B" w:rsidP="00112E25">
      <w:pPr>
        <w:rPr>
          <w:shd w:val="pct15" w:color="auto" w:fill="FFFFFF"/>
          <w:lang w:val="fr-CH"/>
        </w:rPr>
      </w:pPr>
    </w:p>
    <w:p w:rsidR="00EF0D3B" w:rsidRPr="001167F2" w:rsidRDefault="00D068C9" w:rsidP="009F1754">
      <w:pPr>
        <w:pStyle w:val="Heading3"/>
        <w:rPr>
          <w:snapToGrid w:val="0"/>
          <w:lang w:val="fr-CH"/>
        </w:rPr>
      </w:pPr>
      <w:bookmarkStart w:id="50" w:name="_Toc54004685"/>
      <w:bookmarkStart w:id="51" w:name="_Toc54004906"/>
      <w:r w:rsidRPr="001167F2">
        <w:rPr>
          <w:snapToGrid w:val="0"/>
          <w:lang w:val="fr-CH"/>
        </w:rPr>
        <w:t>4.4</w:t>
      </w:r>
      <w:r w:rsidRPr="001167F2">
        <w:rPr>
          <w:snapToGrid w:val="0"/>
          <w:lang w:val="fr-CH"/>
        </w:rPr>
        <w:tab/>
        <w:t>Type de base de données</w:t>
      </w:r>
      <w:bookmarkEnd w:id="50"/>
      <w:bookmarkEnd w:id="51"/>
    </w:p>
    <w:p w:rsidR="00EF0D3B" w:rsidRPr="000B56F5" w:rsidRDefault="00EF0D3B" w:rsidP="009F1754">
      <w:pPr>
        <w:rPr>
          <w:lang w:val="fr-CH"/>
        </w:rPr>
      </w:pPr>
    </w:p>
    <w:p w:rsidR="00F874D0" w:rsidRPr="009F1754" w:rsidRDefault="00D068C9" w:rsidP="009F1754">
      <w:pPr>
        <w:rPr>
          <w:spacing w:val="-2"/>
          <w:lang w:val="fr-CH"/>
        </w:rPr>
      </w:pPr>
      <w:r w:rsidRPr="009F1754">
        <w:rPr>
          <w:spacing w:val="-2"/>
          <w:lang w:val="fr-CH"/>
        </w:rPr>
        <w:t>Il existe de nombreux moyens de stockage des données moléculair</w:t>
      </w:r>
      <w:r w:rsidR="00D47A05" w:rsidRPr="009F1754">
        <w:rPr>
          <w:spacing w:val="-2"/>
          <w:lang w:val="fr-CH"/>
        </w:rPr>
        <w:t>es.  C’e</w:t>
      </w:r>
      <w:r w:rsidRPr="009F1754">
        <w:rPr>
          <w:spacing w:val="-2"/>
          <w:lang w:val="fr-CH"/>
        </w:rPr>
        <w:t>st pourquoi il importe que la structure de la base de données soit élaborée de façon à s</w:t>
      </w:r>
      <w:r w:rsidR="00B1361A" w:rsidRPr="009F1754">
        <w:rPr>
          <w:spacing w:val="-2"/>
          <w:lang w:val="fr-CH"/>
        </w:rPr>
        <w:t>’</w:t>
      </w:r>
      <w:r w:rsidRPr="009F1754">
        <w:rPr>
          <w:spacing w:val="-2"/>
          <w:lang w:val="fr-CH"/>
        </w:rPr>
        <w:t>appliquer à toutes les utilisations prévues des données.</w:t>
      </w:r>
    </w:p>
    <w:p w:rsidR="00EF0D3B" w:rsidRPr="000B56F5" w:rsidRDefault="00EF0D3B" w:rsidP="00112E25">
      <w:pPr>
        <w:rPr>
          <w:lang w:val="fr-CH"/>
        </w:rPr>
      </w:pPr>
    </w:p>
    <w:p w:rsidR="00EF0D3B" w:rsidRPr="001167F2" w:rsidRDefault="00A51F94" w:rsidP="009F1754">
      <w:pPr>
        <w:pStyle w:val="Heading3"/>
        <w:rPr>
          <w:snapToGrid w:val="0"/>
          <w:lang w:val="fr-CH"/>
        </w:rPr>
      </w:pPr>
      <w:bookmarkStart w:id="52" w:name="_Toc54004686"/>
      <w:bookmarkStart w:id="53" w:name="_Toc54004907"/>
      <w:r w:rsidRPr="001167F2">
        <w:rPr>
          <w:snapToGrid w:val="0"/>
          <w:lang w:val="fr-CH"/>
        </w:rPr>
        <w:t>4.5</w:t>
      </w:r>
      <w:r w:rsidRPr="001167F2">
        <w:rPr>
          <w:snapToGrid w:val="0"/>
          <w:lang w:val="fr-CH"/>
        </w:rPr>
        <w:tab/>
        <w:t>Modèle de base de données</w:t>
      </w:r>
      <w:bookmarkEnd w:id="52"/>
      <w:bookmarkEnd w:id="53"/>
    </w:p>
    <w:p w:rsidR="00EF0D3B" w:rsidRPr="000B56F5" w:rsidRDefault="00EF0D3B" w:rsidP="00112E25">
      <w:pPr>
        <w:rPr>
          <w:i/>
          <w:lang w:val="fr-CH"/>
        </w:rPr>
      </w:pPr>
    </w:p>
    <w:p w:rsidR="00EF0D3B" w:rsidRPr="000B56F5" w:rsidRDefault="00A51F94" w:rsidP="00A51F94">
      <w:pPr>
        <w:rPr>
          <w:lang w:val="fr-CH"/>
        </w:rPr>
      </w:pPr>
      <w:r w:rsidRPr="000B56F5">
        <w:rPr>
          <w:lang w:val="fr-CH"/>
        </w:rPr>
        <w:t>Le modèle de base de données devrait être défini par des experts en bases de données informatiques, en liaison avec les utilisateu</w:t>
      </w:r>
      <w:r w:rsidR="00D47A05" w:rsidRPr="000B56F5">
        <w:rPr>
          <w:lang w:val="fr-CH"/>
        </w:rPr>
        <w:t>rs.  Ch</w:t>
      </w:r>
      <w:r w:rsidRPr="000B56F5">
        <w:rPr>
          <w:lang w:val="fr-CH"/>
        </w:rPr>
        <w:t>aque modèle devrait contenir au minimum six</w:t>
      </w:r>
      <w:r w:rsidR="00DF1A3F" w:rsidRPr="000B56F5">
        <w:rPr>
          <w:lang w:val="fr-CH"/>
        </w:rPr>
        <w:t> </w:t>
      </w:r>
      <w:r w:rsidRPr="000B56F5">
        <w:rPr>
          <w:lang w:val="fr-CH"/>
        </w:rPr>
        <w:t>objets principaux</w:t>
      </w:r>
      <w:r w:rsidR="00B1361A" w:rsidRPr="000B56F5">
        <w:rPr>
          <w:lang w:val="fr-CH"/>
        </w:rPr>
        <w:t> :</w:t>
      </w:r>
      <w:r w:rsidRPr="000B56F5">
        <w:rPr>
          <w:lang w:val="fr-CH"/>
        </w:rPr>
        <w:t xml:space="preserve"> espèce, variété, méthode de détection des marqueurs, marqueur, locus et allè</w:t>
      </w:r>
      <w:r w:rsidR="00D47A05" w:rsidRPr="000B56F5">
        <w:rPr>
          <w:lang w:val="fr-CH"/>
        </w:rPr>
        <w:t>le.  Po</w:t>
      </w:r>
      <w:r w:rsidRPr="000B56F5">
        <w:rPr>
          <w:lang w:val="fr-CH"/>
        </w:rPr>
        <w:t>ur les variants obtenus à partir de données de séquençage, les fichiers VCF peuvent être stockés dans une base de données relationnelle ou non</w:t>
      </w:r>
      <w:r w:rsidR="00B1361A" w:rsidRPr="000B56F5">
        <w:rPr>
          <w:lang w:val="fr-CH"/>
        </w:rPr>
        <w:t>-</w:t>
      </w:r>
      <w:r w:rsidR="00D47A05" w:rsidRPr="000B56F5">
        <w:rPr>
          <w:lang w:val="fr-CH"/>
        </w:rPr>
        <w:t>SQL.  Da</w:t>
      </w:r>
      <w:r w:rsidRPr="000B56F5">
        <w:rPr>
          <w:lang w:val="fr-CH"/>
        </w:rPr>
        <w:t>ns ce cas, chaque enregistrement de la base de données correspondant à une variante présente une version génomique, un chromosome, une position et un allèle de référence définis.</w:t>
      </w:r>
    </w:p>
    <w:p w:rsidR="00112E25" w:rsidRPr="009F1754" w:rsidRDefault="00112E25" w:rsidP="00112E25">
      <w:pPr>
        <w:rPr>
          <w:sz w:val="16"/>
          <w:lang w:val="fr-CH"/>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2482B" w:rsidRPr="000B56F5" w:rsidTr="00AE29F9">
        <w:tc>
          <w:tcPr>
            <w:tcW w:w="9639" w:type="dxa"/>
          </w:tcPr>
          <w:p w:rsidR="00112E25" w:rsidRPr="000B56F5" w:rsidRDefault="00112E25" w:rsidP="00AE29F9">
            <w:pPr>
              <w:rPr>
                <w:lang w:val="fr-CH"/>
              </w:rPr>
            </w:pPr>
            <w:r w:rsidRPr="000B56F5">
              <w:rPr>
                <w:noProof/>
                <w:lang w:val="en-US"/>
              </w:rPr>
              <w:drawing>
                <wp:inline distT="0" distB="0" distL="0" distR="0" wp14:anchorId="46C6704D" wp14:editId="45CF1DC7">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32482B" w:rsidRPr="000B56F5" w:rsidTr="00AE29F9">
        <w:tc>
          <w:tcPr>
            <w:tcW w:w="9639" w:type="dxa"/>
          </w:tcPr>
          <w:p w:rsidR="00112E25" w:rsidRPr="000B56F5" w:rsidRDefault="00112E25" w:rsidP="00AE29F9">
            <w:pPr>
              <w:rPr>
                <w:noProof/>
                <w:lang w:val="fr-CH" w:eastAsia="es-ES_tradnl"/>
              </w:rPr>
            </w:pPr>
          </w:p>
        </w:tc>
      </w:tr>
    </w:tbl>
    <w:p w:rsidR="009F1754" w:rsidRDefault="009F1754" w:rsidP="009F1754">
      <w:pPr>
        <w:pStyle w:val="Heading3"/>
        <w:rPr>
          <w:snapToGrid w:val="0"/>
        </w:rPr>
      </w:pPr>
      <w:bookmarkStart w:id="54" w:name="_Toc54004687"/>
      <w:bookmarkStart w:id="55" w:name="_Toc54004908"/>
    </w:p>
    <w:p w:rsidR="00EF0D3B" w:rsidRPr="001167F2" w:rsidRDefault="00A51F94" w:rsidP="0006260D">
      <w:pPr>
        <w:pStyle w:val="Heading3"/>
        <w:keepNext/>
        <w:rPr>
          <w:snapToGrid w:val="0"/>
          <w:lang w:val="fr-CH"/>
        </w:rPr>
      </w:pPr>
      <w:bookmarkStart w:id="56" w:name="_GoBack"/>
      <w:r w:rsidRPr="001167F2">
        <w:rPr>
          <w:snapToGrid w:val="0"/>
          <w:lang w:val="fr-CH"/>
        </w:rPr>
        <w:t>4.6</w:t>
      </w:r>
      <w:r w:rsidRPr="001167F2">
        <w:rPr>
          <w:snapToGrid w:val="0"/>
          <w:lang w:val="fr-CH"/>
        </w:rPr>
        <w:tab/>
        <w:t>Dictionnaire de données</w:t>
      </w:r>
      <w:bookmarkEnd w:id="54"/>
      <w:bookmarkEnd w:id="55"/>
    </w:p>
    <w:p w:rsidR="00EF0D3B" w:rsidRPr="000B56F5" w:rsidRDefault="00EF0D3B" w:rsidP="0006260D">
      <w:pPr>
        <w:keepNext/>
        <w:rPr>
          <w:lang w:val="fr-CH"/>
        </w:rPr>
      </w:pPr>
    </w:p>
    <w:p w:rsidR="00EF0D3B" w:rsidRPr="000B56F5" w:rsidRDefault="00A51F94" w:rsidP="0006260D">
      <w:pPr>
        <w:keepNext/>
        <w:rPr>
          <w:lang w:val="fr-CH"/>
        </w:rPr>
      </w:pPr>
      <w:r w:rsidRPr="000B56F5">
        <w:rPr>
          <w:lang w:val="fr-CH"/>
        </w:rPr>
        <w:t>4.6.1</w:t>
      </w:r>
      <w:r w:rsidRPr="000B56F5">
        <w:rPr>
          <w:lang w:val="fr-CH"/>
        </w:rPr>
        <w:tab/>
        <w:t>Dans une base de données, chacun des objets devient un tableau à l</w:t>
      </w:r>
      <w:r w:rsidR="00B1361A" w:rsidRPr="000B56F5">
        <w:rPr>
          <w:lang w:val="fr-CH"/>
        </w:rPr>
        <w:t>’</w:t>
      </w:r>
      <w:r w:rsidRPr="000B56F5">
        <w:rPr>
          <w:lang w:val="fr-CH"/>
        </w:rPr>
        <w:t>intérieur duquel des champs sont défin</w:t>
      </w:r>
      <w:r w:rsidR="00D47A05" w:rsidRPr="000B56F5">
        <w:rPr>
          <w:lang w:val="fr-CH"/>
        </w:rPr>
        <w:t>is.  Pa</w:t>
      </w:r>
      <w:r w:rsidRPr="000B56F5">
        <w:rPr>
          <w:lang w:val="fr-CH"/>
        </w:rPr>
        <w:t>r exemple</w:t>
      </w:r>
      <w:r w:rsidR="00B1361A" w:rsidRPr="000B56F5">
        <w:rPr>
          <w:lang w:val="fr-CH"/>
        </w:rPr>
        <w:t> :</w:t>
      </w:r>
    </w:p>
    <w:p w:rsidR="00EF0D3B" w:rsidRPr="000B56F5" w:rsidRDefault="00EF0D3B" w:rsidP="0006260D">
      <w:pPr>
        <w:keepNext/>
        <w:rPr>
          <w:lang w:val="fr-CH"/>
        </w:rPr>
      </w:pPr>
    </w:p>
    <w:p w:rsidR="00EF0D3B" w:rsidRPr="000B56F5" w:rsidRDefault="00A51F94" w:rsidP="0006260D">
      <w:pPr>
        <w:keepNext/>
        <w:ind w:firstLine="567"/>
        <w:rPr>
          <w:lang w:val="fr-CH"/>
        </w:rPr>
      </w:pPr>
      <w:r w:rsidRPr="000B56F5">
        <w:rPr>
          <w:lang w:val="fr-CH"/>
        </w:rPr>
        <w:t>a)</w:t>
      </w:r>
      <w:r w:rsidRPr="000B56F5">
        <w:rPr>
          <w:lang w:val="fr-CH"/>
        </w:rPr>
        <w:tab/>
        <w:t>Type de marqueur</w:t>
      </w:r>
      <w:r w:rsidR="00B1361A" w:rsidRPr="000B56F5">
        <w:rPr>
          <w:lang w:val="fr-CH"/>
        </w:rPr>
        <w:t> :</w:t>
      </w:r>
      <w:r w:rsidRPr="000B56F5">
        <w:rPr>
          <w:lang w:val="fr-CH"/>
        </w:rPr>
        <w:t xml:space="preserve"> indique le code ou le nom de la technique ou le type de marqueur utilisé, </w:t>
      </w:r>
      <w:bookmarkEnd w:id="56"/>
      <w:r w:rsidRPr="000B56F5">
        <w:rPr>
          <w:lang w:val="fr-CH"/>
        </w:rPr>
        <w:t>p.</w:t>
      </w:r>
      <w:r w:rsidR="00DF1A3F" w:rsidRPr="000B56F5">
        <w:rPr>
          <w:lang w:val="fr-CH"/>
        </w:rPr>
        <w:t> </w:t>
      </w:r>
      <w:r w:rsidRPr="000B56F5">
        <w:rPr>
          <w:lang w:val="fr-CH"/>
        </w:rPr>
        <w:t>ex.</w:t>
      </w:r>
      <w:r w:rsidR="00DF1A3F" w:rsidRPr="000B56F5">
        <w:rPr>
          <w:lang w:val="fr-CH"/>
        </w:rPr>
        <w:t> </w:t>
      </w:r>
      <w:r w:rsidRPr="000B56F5">
        <w:rPr>
          <w:lang w:val="fr-CH"/>
        </w:rPr>
        <w:t>SSR, SNP, etc.</w:t>
      </w:r>
    </w:p>
    <w:p w:rsidR="00EF0D3B" w:rsidRPr="000B56F5" w:rsidRDefault="00EF0D3B" w:rsidP="00112E25">
      <w:pPr>
        <w:rPr>
          <w:lang w:val="fr-CH"/>
        </w:rPr>
      </w:pPr>
    </w:p>
    <w:p w:rsidR="00EF0D3B" w:rsidRPr="000B56F5" w:rsidRDefault="00A51F94" w:rsidP="00A51F94">
      <w:pPr>
        <w:ind w:firstLine="567"/>
        <w:rPr>
          <w:lang w:val="fr-CH"/>
        </w:rPr>
      </w:pPr>
      <w:r w:rsidRPr="000B56F5">
        <w:rPr>
          <w:lang w:val="fr-CH"/>
        </w:rPr>
        <w:t>b)</w:t>
      </w:r>
      <w:r w:rsidRPr="000B56F5">
        <w:rPr>
          <w:lang w:val="fr-CH"/>
        </w:rPr>
        <w:tab/>
        <w:t>Position de génome de référence ou code locus</w:t>
      </w:r>
      <w:r w:rsidR="00B1361A" w:rsidRPr="000B56F5">
        <w:rPr>
          <w:lang w:val="fr-CH"/>
        </w:rPr>
        <w:t> :</w:t>
      </w:r>
      <w:r w:rsidRPr="000B56F5">
        <w:rPr>
          <w:lang w:val="fr-CH"/>
        </w:rPr>
        <w:t xml:space="preserve"> de préférence, une version d</w:t>
      </w:r>
      <w:r w:rsidR="00B1361A" w:rsidRPr="000B56F5">
        <w:rPr>
          <w:lang w:val="fr-CH"/>
        </w:rPr>
        <w:t>’</w:t>
      </w:r>
      <w:r w:rsidRPr="000B56F5">
        <w:rPr>
          <w:lang w:val="fr-CH"/>
        </w:rPr>
        <w:t>assemblage de génome, un chromosome et une position devraient être fournis si un génome de référence est disponible pour l</w:t>
      </w:r>
      <w:r w:rsidR="00B1361A" w:rsidRPr="000B56F5">
        <w:rPr>
          <w:lang w:val="fr-CH"/>
        </w:rPr>
        <w:t>’</w:t>
      </w:r>
      <w:r w:rsidRPr="000B56F5">
        <w:rPr>
          <w:lang w:val="fr-CH"/>
        </w:rPr>
        <w:t>espèce concernée, p.</w:t>
      </w:r>
      <w:r w:rsidR="00DF1A3F" w:rsidRPr="000B56F5">
        <w:rPr>
          <w:lang w:val="fr-CH"/>
        </w:rPr>
        <w:t> </w:t>
      </w:r>
      <w:r w:rsidRPr="000B56F5">
        <w:rPr>
          <w:lang w:val="fr-CH"/>
        </w:rPr>
        <w:t>ex.</w:t>
      </w:r>
      <w:r w:rsidR="00DF1A3F" w:rsidRPr="000B56F5">
        <w:rPr>
          <w:lang w:val="fr-CH"/>
        </w:rPr>
        <w:t> </w:t>
      </w:r>
      <w:r w:rsidRPr="000B56F5">
        <w:rPr>
          <w:lang w:val="fr-CH"/>
        </w:rPr>
        <w:t xml:space="preserve">SL2.50ch05:63309763 pour la tomate </w:t>
      </w:r>
      <w:r w:rsidRPr="000B56F5">
        <w:rPr>
          <w:i/>
          <w:lang w:val="fr-CH"/>
        </w:rPr>
        <w:t>Solanum lycopersicum</w:t>
      </w:r>
      <w:r w:rsidRPr="000B56F5">
        <w:rPr>
          <w:lang w:val="fr-CH"/>
        </w:rPr>
        <w:t>, version d</w:t>
      </w:r>
      <w:r w:rsidR="00B1361A" w:rsidRPr="000B56F5">
        <w:rPr>
          <w:lang w:val="fr-CH"/>
        </w:rPr>
        <w:t>’</w:t>
      </w:r>
      <w:r w:rsidRPr="000B56F5">
        <w:rPr>
          <w:lang w:val="fr-CH"/>
        </w:rPr>
        <w:t>assemblage</w:t>
      </w:r>
      <w:r w:rsidR="001045F7" w:rsidRPr="000B56F5">
        <w:rPr>
          <w:lang w:val="fr-CH"/>
        </w:rPr>
        <w:t> </w:t>
      </w:r>
      <w:r w:rsidRPr="000B56F5">
        <w:rPr>
          <w:lang w:val="fr-CH"/>
        </w:rPr>
        <w:t>2.50, en position</w:t>
      </w:r>
      <w:r w:rsidR="001045F7" w:rsidRPr="000B56F5">
        <w:rPr>
          <w:lang w:val="fr-CH"/>
        </w:rPr>
        <w:t> </w:t>
      </w:r>
      <w:r w:rsidRPr="000B56F5">
        <w:rPr>
          <w:lang w:val="fr-CH"/>
        </w:rPr>
        <w:t>63309763 sur le chromosome</w:t>
      </w:r>
      <w:r w:rsidR="001045F7" w:rsidRPr="000B56F5">
        <w:rPr>
          <w:lang w:val="fr-CH"/>
        </w:rPr>
        <w:t> </w:t>
      </w:r>
      <w:r w:rsidRPr="000B56F5">
        <w:rPr>
          <w:lang w:val="fr-CH"/>
        </w:rPr>
        <w:t xml:space="preserve">5. </w:t>
      </w:r>
      <w:r w:rsidR="00DF1A3F" w:rsidRPr="000B56F5">
        <w:rPr>
          <w:lang w:val="fr-CH"/>
        </w:rPr>
        <w:t xml:space="preserve"> </w:t>
      </w:r>
      <w:r w:rsidRPr="000B56F5">
        <w:rPr>
          <w:lang w:val="fr-CH"/>
        </w:rPr>
        <w:t>Si aucun génome de référence n</w:t>
      </w:r>
      <w:r w:rsidR="00B1361A" w:rsidRPr="000B56F5">
        <w:rPr>
          <w:lang w:val="fr-CH"/>
        </w:rPr>
        <w:t>’</w:t>
      </w:r>
      <w:r w:rsidRPr="000B56F5">
        <w:rPr>
          <w:lang w:val="fr-CH"/>
        </w:rPr>
        <w:t>est disponible ou que l</w:t>
      </w:r>
      <w:r w:rsidR="00B1361A" w:rsidRPr="000B56F5">
        <w:rPr>
          <w:lang w:val="fr-CH"/>
        </w:rPr>
        <w:t>’</w:t>
      </w:r>
      <w:r w:rsidRPr="000B56F5">
        <w:rPr>
          <w:lang w:val="fr-CH"/>
        </w:rPr>
        <w:t>emplacement est inconnu, le nom ou le code du locus pour les espèces concernées peut être utilisé, p.</w:t>
      </w:r>
      <w:r w:rsidR="00DF1A3F" w:rsidRPr="000B56F5">
        <w:rPr>
          <w:lang w:val="fr-CH"/>
        </w:rPr>
        <w:t> </w:t>
      </w:r>
      <w:r w:rsidRPr="000B56F5">
        <w:rPr>
          <w:lang w:val="fr-CH"/>
        </w:rPr>
        <w:t>ex.</w:t>
      </w:r>
      <w:r w:rsidR="00DF1A3F" w:rsidRPr="000B56F5">
        <w:rPr>
          <w:lang w:val="fr-CH"/>
        </w:rPr>
        <w:t> </w:t>
      </w:r>
      <w:r w:rsidRPr="000B56F5">
        <w:rPr>
          <w:lang w:val="fr-CH"/>
        </w:rPr>
        <w:t>gwm</w:t>
      </w:r>
      <w:r w:rsidR="001045F7" w:rsidRPr="000B56F5">
        <w:rPr>
          <w:lang w:val="fr-CH"/>
        </w:rPr>
        <w:t> </w:t>
      </w:r>
      <w:r w:rsidRPr="000B56F5">
        <w:rPr>
          <w:lang w:val="fr-CH"/>
        </w:rPr>
        <w:t>149, A2, etc.</w:t>
      </w:r>
    </w:p>
    <w:p w:rsidR="00EF0D3B" w:rsidRPr="000B56F5" w:rsidRDefault="00EF0D3B" w:rsidP="00112E25">
      <w:pPr>
        <w:rPr>
          <w:lang w:val="fr-CH"/>
        </w:rPr>
      </w:pPr>
    </w:p>
    <w:p w:rsidR="00EF0D3B" w:rsidRPr="000B56F5" w:rsidRDefault="00A51F94" w:rsidP="00A51F94">
      <w:pPr>
        <w:ind w:firstLine="567"/>
        <w:rPr>
          <w:lang w:val="fr-CH"/>
        </w:rPr>
      </w:pPr>
      <w:r w:rsidRPr="000B56F5">
        <w:rPr>
          <w:lang w:val="fr-CH"/>
        </w:rPr>
        <w:t>c)</w:t>
      </w:r>
      <w:r w:rsidRPr="000B56F5">
        <w:rPr>
          <w:lang w:val="fr-CH"/>
        </w:rPr>
        <w:tab/>
        <w:t>Génotype</w:t>
      </w:r>
      <w:r w:rsidR="00B1361A" w:rsidRPr="000B56F5">
        <w:rPr>
          <w:lang w:val="fr-CH"/>
        </w:rPr>
        <w:t> :</w:t>
      </w:r>
      <w:r w:rsidRPr="000B56F5">
        <w:rPr>
          <w:lang w:val="fr-CH"/>
        </w:rPr>
        <w:t xml:space="preserve"> pour les profils SNP, la composition allélique</w:t>
      </w:r>
      <w:r w:rsidR="00F874D0" w:rsidRPr="000B56F5">
        <w:rPr>
          <w:lang w:val="fr-CH"/>
        </w:rPr>
        <w:t xml:space="preserve"> du SNP</w:t>
      </w:r>
      <w:r w:rsidRPr="000B56F5">
        <w:rPr>
          <w:lang w:val="fr-CH"/>
        </w:rPr>
        <w:t xml:space="preserve"> ou</w:t>
      </w:r>
      <w:r w:rsidR="00F874D0" w:rsidRPr="000B56F5">
        <w:rPr>
          <w:lang w:val="fr-CH"/>
        </w:rPr>
        <w:t xml:space="preserve"> du MNP</w:t>
      </w:r>
      <w:r w:rsidRPr="000B56F5">
        <w:rPr>
          <w:lang w:val="fr-CH"/>
        </w:rPr>
        <w:t xml:space="preserve"> devrait être donnée, p.</w:t>
      </w:r>
      <w:r w:rsidR="00DF1A3F" w:rsidRPr="000B56F5">
        <w:rPr>
          <w:lang w:val="fr-CH"/>
        </w:rPr>
        <w:t> </w:t>
      </w:r>
      <w:r w:rsidRPr="000B56F5">
        <w:rPr>
          <w:lang w:val="fr-CH"/>
        </w:rPr>
        <w:t>ex.</w:t>
      </w:r>
      <w:r w:rsidR="00DF1A3F" w:rsidRPr="000B56F5">
        <w:rPr>
          <w:lang w:val="fr-CH"/>
        </w:rPr>
        <w:t> </w:t>
      </w:r>
      <w:r w:rsidRPr="000B56F5">
        <w:rPr>
          <w:lang w:val="fr-CH"/>
        </w:rPr>
        <w:t>A/T ou A/A.</w:t>
      </w:r>
      <w:r w:rsidR="00DF1A3F" w:rsidRPr="000B56F5">
        <w:rPr>
          <w:lang w:val="fr-CH"/>
        </w:rPr>
        <w:t xml:space="preserve"> </w:t>
      </w:r>
      <w:r w:rsidRPr="000B56F5">
        <w:rPr>
          <w:lang w:val="fr-CH"/>
        </w:rPr>
        <w:t xml:space="preserve"> Pour d</w:t>
      </w:r>
      <w:r w:rsidR="00B1361A" w:rsidRPr="000B56F5">
        <w:rPr>
          <w:lang w:val="fr-CH"/>
        </w:rPr>
        <w:t>’</w:t>
      </w:r>
      <w:r w:rsidRPr="000B56F5">
        <w:rPr>
          <w:lang w:val="fr-CH"/>
        </w:rPr>
        <w:t>autres techniques, le génotype indique le nom ou le code de l</w:t>
      </w:r>
      <w:r w:rsidR="00B1361A" w:rsidRPr="000B56F5">
        <w:rPr>
          <w:lang w:val="fr-CH"/>
        </w:rPr>
        <w:t>’</w:t>
      </w:r>
      <w:r w:rsidRPr="000B56F5">
        <w:rPr>
          <w:lang w:val="fr-CH"/>
        </w:rPr>
        <w:t>allèle d</w:t>
      </w:r>
      <w:r w:rsidR="00B1361A" w:rsidRPr="000B56F5">
        <w:rPr>
          <w:lang w:val="fr-CH"/>
        </w:rPr>
        <w:t>’</w:t>
      </w:r>
      <w:r w:rsidRPr="000B56F5">
        <w:rPr>
          <w:lang w:val="fr-CH"/>
        </w:rPr>
        <w:t>un locus donné pour les espèces concernées, p.</w:t>
      </w:r>
      <w:r w:rsidR="00DF1A3F" w:rsidRPr="000B56F5">
        <w:rPr>
          <w:lang w:val="fr-CH"/>
        </w:rPr>
        <w:t> </w:t>
      </w:r>
      <w:r w:rsidRPr="000B56F5">
        <w:rPr>
          <w:lang w:val="fr-CH"/>
        </w:rPr>
        <w:t>ex.</w:t>
      </w:r>
      <w:r w:rsidR="00DF1A3F" w:rsidRPr="000B56F5">
        <w:rPr>
          <w:lang w:val="fr-CH"/>
        </w:rPr>
        <w:t> </w:t>
      </w:r>
      <w:r w:rsidRPr="000B56F5">
        <w:rPr>
          <w:lang w:val="fr-CH"/>
        </w:rPr>
        <w:t>1, 123, etc.</w:t>
      </w:r>
    </w:p>
    <w:p w:rsidR="00EF0D3B" w:rsidRPr="000B56F5" w:rsidRDefault="00EF0D3B" w:rsidP="00112E25">
      <w:pPr>
        <w:rPr>
          <w:lang w:val="fr-CH"/>
        </w:rPr>
      </w:pPr>
    </w:p>
    <w:p w:rsidR="00EF0D3B" w:rsidRPr="000B56F5" w:rsidRDefault="000964AE" w:rsidP="000964AE">
      <w:pPr>
        <w:ind w:firstLine="567"/>
        <w:rPr>
          <w:lang w:val="fr-CH"/>
        </w:rPr>
      </w:pPr>
      <w:r w:rsidRPr="000B56F5">
        <w:rPr>
          <w:lang w:val="fr-CH"/>
        </w:rPr>
        <w:t>d)</w:t>
      </w:r>
      <w:r w:rsidRPr="000B56F5">
        <w:rPr>
          <w:lang w:val="fr-CH"/>
        </w:rPr>
        <w:tab/>
        <w:t>Profondeurs de l</w:t>
      </w:r>
      <w:r w:rsidR="00B1361A" w:rsidRPr="000B56F5">
        <w:rPr>
          <w:lang w:val="fr-CH"/>
        </w:rPr>
        <w:t>’</w:t>
      </w:r>
      <w:r w:rsidR="00E64CCF" w:rsidRPr="000B56F5">
        <w:rPr>
          <w:lang w:val="fr-CH"/>
        </w:rPr>
        <w:t>allèle ou v</w:t>
      </w:r>
      <w:r w:rsidRPr="000B56F5">
        <w:rPr>
          <w:lang w:val="fr-CH"/>
        </w:rPr>
        <w:t>aleur des données</w:t>
      </w:r>
      <w:r w:rsidR="00B1361A" w:rsidRPr="000B56F5">
        <w:rPr>
          <w:lang w:val="fr-CH"/>
        </w:rPr>
        <w:t> :</w:t>
      </w:r>
      <w:r w:rsidRPr="000B56F5">
        <w:rPr>
          <w:lang w:val="fr-CH"/>
        </w:rPr>
        <w:t xml:space="preserve"> </w:t>
      </w:r>
      <w:r w:rsidR="00E64CCF" w:rsidRPr="000B56F5">
        <w:rPr>
          <w:lang w:val="fr-CH"/>
        </w:rPr>
        <w:t>p</w:t>
      </w:r>
      <w:r w:rsidRPr="000B56F5">
        <w:rPr>
          <w:lang w:val="fr-CH"/>
        </w:rPr>
        <w:t>our</w:t>
      </w:r>
      <w:r w:rsidR="00F874D0" w:rsidRPr="000B56F5">
        <w:rPr>
          <w:lang w:val="fr-CH"/>
        </w:rPr>
        <w:t xml:space="preserve"> les SNP</w:t>
      </w:r>
      <w:r w:rsidRPr="000B56F5">
        <w:rPr>
          <w:lang w:val="fr-CH"/>
        </w:rPr>
        <w:t xml:space="preserve"> obtenus à partir de données de séquençage de nouvelle génération, cela devrait indiquer la profondeur de la couverture des allèles, p.</w:t>
      </w:r>
      <w:r w:rsidR="00DF1A3F" w:rsidRPr="000B56F5">
        <w:rPr>
          <w:lang w:val="fr-CH"/>
        </w:rPr>
        <w:t> </w:t>
      </w:r>
      <w:r w:rsidRPr="000B56F5">
        <w:rPr>
          <w:lang w:val="fr-CH"/>
        </w:rPr>
        <w:t>ex.</w:t>
      </w:r>
      <w:r w:rsidR="00DF1A3F" w:rsidRPr="000B56F5">
        <w:rPr>
          <w:lang w:val="fr-CH"/>
        </w:rPr>
        <w:t> </w:t>
      </w:r>
      <w:r w:rsidRPr="000B56F5">
        <w:rPr>
          <w:lang w:val="fr-CH"/>
        </w:rPr>
        <w:t>10/20 pour un allèle A/T, A étant couvert par 10</w:t>
      </w:r>
      <w:r w:rsidR="001045F7" w:rsidRPr="000B56F5">
        <w:rPr>
          <w:lang w:val="fr-CH"/>
        </w:rPr>
        <w:t> </w:t>
      </w:r>
      <w:r w:rsidRPr="000B56F5">
        <w:rPr>
          <w:lang w:val="fr-CH"/>
        </w:rPr>
        <w:t xml:space="preserve">lectures et T par 20. </w:t>
      </w:r>
      <w:r w:rsidR="00DF1A3F" w:rsidRPr="000B56F5">
        <w:rPr>
          <w:lang w:val="fr-CH"/>
        </w:rPr>
        <w:t xml:space="preserve"> </w:t>
      </w:r>
      <w:r w:rsidRPr="000B56F5">
        <w:rPr>
          <w:lang w:val="fr-CH"/>
        </w:rPr>
        <w:t>Autrement,</w:t>
      </w:r>
      <w:r w:rsidR="006738AD" w:rsidRPr="000B56F5">
        <w:rPr>
          <w:lang w:val="fr-CH"/>
        </w:rPr>
        <w:t xml:space="preserve"> cela</w:t>
      </w:r>
      <w:r w:rsidRPr="000B56F5">
        <w:rPr>
          <w:lang w:val="fr-CH"/>
        </w:rPr>
        <w:t xml:space="preserve"> indique une valeur de données pour l</w:t>
      </w:r>
      <w:r w:rsidR="00B1361A" w:rsidRPr="000B56F5">
        <w:rPr>
          <w:lang w:val="fr-CH"/>
        </w:rPr>
        <w:t>’</w:t>
      </w:r>
      <w:r w:rsidRPr="000B56F5">
        <w:rPr>
          <w:lang w:val="fr-CH"/>
        </w:rPr>
        <w:t>échantillon sur un locus</w:t>
      </w:r>
      <w:r w:rsidR="00B1361A" w:rsidRPr="000B56F5">
        <w:rPr>
          <w:lang w:val="fr-CH"/>
        </w:rPr>
        <w:t>-</w:t>
      </w:r>
      <w:r w:rsidRPr="000B56F5">
        <w:rPr>
          <w:lang w:val="fr-CH"/>
        </w:rPr>
        <w:t>allèle déterminé, p.</w:t>
      </w:r>
      <w:r w:rsidR="00DF1A3F" w:rsidRPr="000B56F5">
        <w:rPr>
          <w:lang w:val="fr-CH"/>
        </w:rPr>
        <w:t> </w:t>
      </w:r>
      <w:r w:rsidRPr="000B56F5">
        <w:rPr>
          <w:lang w:val="fr-CH"/>
        </w:rPr>
        <w:t>ex.</w:t>
      </w:r>
      <w:r w:rsidR="00DF1A3F" w:rsidRPr="000B56F5">
        <w:rPr>
          <w:lang w:val="fr-CH"/>
        </w:rPr>
        <w:t> </w:t>
      </w:r>
      <w:r w:rsidRPr="000B56F5">
        <w:rPr>
          <w:lang w:val="fr-CH"/>
        </w:rPr>
        <w:t>0 (absence), 1 (présence), 0,25 (fréquence), etc.</w:t>
      </w:r>
    </w:p>
    <w:p w:rsidR="00EF0D3B" w:rsidRPr="000B56F5" w:rsidRDefault="00EF0D3B" w:rsidP="00112E25">
      <w:pPr>
        <w:rPr>
          <w:lang w:val="fr-CH"/>
        </w:rPr>
      </w:pPr>
    </w:p>
    <w:p w:rsidR="00EF0D3B" w:rsidRPr="000B56F5" w:rsidRDefault="000964AE" w:rsidP="000964AE">
      <w:pPr>
        <w:ind w:firstLine="567"/>
        <w:rPr>
          <w:lang w:val="fr-CH"/>
        </w:rPr>
      </w:pPr>
      <w:r w:rsidRPr="000B56F5">
        <w:rPr>
          <w:lang w:val="fr-CH"/>
        </w:rPr>
        <w:t>e)</w:t>
      </w:r>
      <w:r w:rsidRPr="000B56F5">
        <w:rPr>
          <w:lang w:val="fr-CH"/>
        </w:rPr>
        <w:tab/>
        <w:t>Variété</w:t>
      </w:r>
      <w:r w:rsidR="00B1361A" w:rsidRPr="000B56F5">
        <w:rPr>
          <w:lang w:val="fr-CH"/>
        </w:rPr>
        <w:t> :</w:t>
      </w:r>
      <w:r w:rsidRPr="000B56F5">
        <w:rPr>
          <w:lang w:val="fr-CH"/>
        </w:rPr>
        <w:t xml:space="preserve"> dénomination de la variété ou référence de l</w:t>
      </w:r>
      <w:r w:rsidR="00B1361A" w:rsidRPr="000B56F5">
        <w:rPr>
          <w:lang w:val="fr-CH"/>
        </w:rPr>
        <w:t>’</w:t>
      </w:r>
      <w:r w:rsidRPr="000B56F5">
        <w:rPr>
          <w:lang w:val="fr-CH"/>
        </w:rPr>
        <w:t>obtenteur</w:t>
      </w:r>
      <w:r w:rsidR="00B1361A" w:rsidRPr="000B56F5">
        <w:rPr>
          <w:lang w:val="fr-CH"/>
        </w:rPr>
        <w:t> :</w:t>
      </w:r>
      <w:r w:rsidRPr="000B56F5">
        <w:rPr>
          <w:lang w:val="fr-CH"/>
        </w:rPr>
        <w:t xml:space="preserve"> la variété est l</w:t>
      </w:r>
      <w:r w:rsidR="00B1361A" w:rsidRPr="000B56F5">
        <w:rPr>
          <w:lang w:val="fr-CH"/>
        </w:rPr>
        <w:t>’</w:t>
      </w:r>
      <w:r w:rsidRPr="000B56F5">
        <w:rPr>
          <w:lang w:val="fr-CH"/>
        </w:rPr>
        <w:t>objet pour lequel les données sont obtenues.</w:t>
      </w:r>
    </w:p>
    <w:p w:rsidR="00EF0D3B" w:rsidRPr="000B56F5" w:rsidRDefault="00EF0D3B" w:rsidP="00112E25">
      <w:pPr>
        <w:ind w:firstLine="567"/>
        <w:rPr>
          <w:strike/>
          <w:lang w:val="fr-CH"/>
        </w:rPr>
      </w:pPr>
    </w:p>
    <w:p w:rsidR="00EF0D3B" w:rsidRPr="000B56F5" w:rsidRDefault="000964AE" w:rsidP="000964AE">
      <w:pPr>
        <w:ind w:firstLine="567"/>
        <w:rPr>
          <w:lang w:val="fr-CH"/>
        </w:rPr>
      </w:pPr>
      <w:r w:rsidRPr="000B56F5">
        <w:rPr>
          <w:lang w:val="fr-CH"/>
        </w:rPr>
        <w:t>f)</w:t>
      </w:r>
      <w:r w:rsidRPr="000B56F5">
        <w:rPr>
          <w:lang w:val="fr-CH"/>
        </w:rPr>
        <w:tab/>
        <w:t>Type de variété</w:t>
      </w:r>
      <w:r w:rsidR="00B1361A" w:rsidRPr="000B56F5">
        <w:rPr>
          <w:lang w:val="fr-CH"/>
        </w:rPr>
        <w:t> :</w:t>
      </w:r>
      <w:r w:rsidRPr="000B56F5">
        <w:rPr>
          <w:lang w:val="fr-CH"/>
        </w:rPr>
        <w:t xml:space="preserve"> p.</w:t>
      </w:r>
      <w:r w:rsidR="00DF1A3F" w:rsidRPr="000B56F5">
        <w:rPr>
          <w:lang w:val="fr-CH"/>
        </w:rPr>
        <w:t> </w:t>
      </w:r>
      <w:r w:rsidRPr="000B56F5">
        <w:rPr>
          <w:lang w:val="fr-CH"/>
        </w:rPr>
        <w:t>ex.</w:t>
      </w:r>
      <w:r w:rsidR="00DF1A3F" w:rsidRPr="000B56F5">
        <w:rPr>
          <w:lang w:val="fr-CH"/>
        </w:rPr>
        <w:t> </w:t>
      </w:r>
      <w:r w:rsidRPr="000B56F5">
        <w:rPr>
          <w:lang w:val="fr-CH"/>
        </w:rPr>
        <w:t>lignée endogame ou hybride</w:t>
      </w:r>
      <w:r w:rsidR="00E64CCF" w:rsidRPr="000B56F5">
        <w:rPr>
          <w:lang w:val="fr-CH"/>
        </w:rPr>
        <w:t>.</w:t>
      </w:r>
    </w:p>
    <w:p w:rsidR="00EF0D3B" w:rsidRPr="000B56F5" w:rsidRDefault="00EF0D3B" w:rsidP="00112E25">
      <w:pPr>
        <w:rPr>
          <w:lang w:val="fr-CH"/>
        </w:rPr>
      </w:pPr>
    </w:p>
    <w:p w:rsidR="00EF0D3B" w:rsidRPr="000B56F5" w:rsidRDefault="000964AE" w:rsidP="000964AE">
      <w:pPr>
        <w:ind w:firstLine="567"/>
        <w:rPr>
          <w:lang w:val="fr-CH"/>
        </w:rPr>
      </w:pPr>
      <w:r w:rsidRPr="000B56F5">
        <w:rPr>
          <w:lang w:val="fr-CH"/>
        </w:rPr>
        <w:t>g)</w:t>
      </w:r>
      <w:r w:rsidRPr="000B56F5">
        <w:rPr>
          <w:lang w:val="fr-CH"/>
        </w:rPr>
        <w:tab/>
        <w:t>Espèce</w:t>
      </w:r>
      <w:r w:rsidR="00B1361A" w:rsidRPr="000B56F5">
        <w:rPr>
          <w:lang w:val="fr-CH"/>
        </w:rPr>
        <w:t> :</w:t>
      </w:r>
      <w:r w:rsidRPr="000B56F5">
        <w:rPr>
          <w:lang w:val="fr-CH"/>
        </w:rPr>
        <w:t xml:space="preserve"> l</w:t>
      </w:r>
      <w:r w:rsidR="00B1361A" w:rsidRPr="000B56F5">
        <w:rPr>
          <w:lang w:val="fr-CH"/>
        </w:rPr>
        <w:t>’</w:t>
      </w:r>
      <w:r w:rsidRPr="000B56F5">
        <w:rPr>
          <w:lang w:val="fr-CH"/>
        </w:rPr>
        <w:t>espèce est indiquée par le nom botanique ou le nom commun national, qui peut également renvoyer au type de variété (p.</w:t>
      </w:r>
      <w:r w:rsidR="00DF1A3F" w:rsidRPr="000B56F5">
        <w:rPr>
          <w:lang w:val="fr-CH"/>
        </w:rPr>
        <w:t> </w:t>
      </w:r>
      <w:r w:rsidRPr="000B56F5">
        <w:rPr>
          <w:lang w:val="fr-CH"/>
        </w:rPr>
        <w:t>ex.</w:t>
      </w:r>
      <w:r w:rsidR="00DF1A3F" w:rsidRPr="000B56F5">
        <w:rPr>
          <w:lang w:val="fr-CH"/>
        </w:rPr>
        <w:t> </w:t>
      </w:r>
      <w:r w:rsidRPr="000B56F5">
        <w:rPr>
          <w:lang w:val="fr-CH"/>
        </w:rPr>
        <w:t>utilisation, type hivernal/printanier, etc.).</w:t>
      </w:r>
      <w:r w:rsidR="00112E25" w:rsidRPr="000B56F5">
        <w:rPr>
          <w:lang w:val="fr-CH"/>
        </w:rPr>
        <w:t xml:space="preserve">  </w:t>
      </w:r>
      <w:r w:rsidRPr="000B56F5">
        <w:rPr>
          <w:lang w:val="fr-CH"/>
        </w:rPr>
        <w:t>L</w:t>
      </w:r>
      <w:r w:rsidR="00B1361A" w:rsidRPr="000B56F5">
        <w:rPr>
          <w:lang w:val="fr-CH"/>
        </w:rPr>
        <w:t>’</w:t>
      </w:r>
      <w:r w:rsidRPr="000B56F5">
        <w:rPr>
          <w:lang w:val="fr-CH"/>
        </w:rPr>
        <w:t>utilisation du code UPOV est recommandée pour éviter les problèmes liés aux synonymes.</w:t>
      </w:r>
    </w:p>
    <w:p w:rsidR="00EF0D3B" w:rsidRPr="000B56F5" w:rsidRDefault="00EF0D3B" w:rsidP="00112E25">
      <w:pPr>
        <w:rPr>
          <w:lang w:val="fr-CH"/>
        </w:rPr>
      </w:pPr>
    </w:p>
    <w:p w:rsidR="00EF0D3B" w:rsidRPr="000B56F5" w:rsidRDefault="000964AE" w:rsidP="000964AE">
      <w:pPr>
        <w:rPr>
          <w:lang w:val="fr-CH"/>
        </w:rPr>
      </w:pPr>
      <w:r w:rsidRPr="000B56F5">
        <w:rPr>
          <w:lang w:val="fr-CH"/>
        </w:rPr>
        <w:t>4.6.2</w:t>
      </w:r>
      <w:r w:rsidRPr="000B56F5">
        <w:rPr>
          <w:lang w:val="fr-CH"/>
        </w:rPr>
        <w:tab/>
        <w:t>Dans chaque tableau, le nombre de champs, leur nom et leur définition, les valeurs possibles et les règles à suivre doivent être définis dans le “dictionnaire de données”.</w:t>
      </w:r>
    </w:p>
    <w:p w:rsidR="00EF0D3B" w:rsidRPr="000B56F5" w:rsidRDefault="00EF0D3B" w:rsidP="00112E25">
      <w:pPr>
        <w:rPr>
          <w:lang w:val="fr-CH"/>
        </w:rPr>
      </w:pPr>
    </w:p>
    <w:p w:rsidR="00EF0D3B" w:rsidRPr="001167F2" w:rsidRDefault="000964AE" w:rsidP="009F1754">
      <w:pPr>
        <w:pStyle w:val="Heading3"/>
        <w:rPr>
          <w:snapToGrid w:val="0"/>
          <w:lang w:val="fr-CH"/>
        </w:rPr>
      </w:pPr>
      <w:bookmarkStart w:id="57" w:name="_Toc54004688"/>
      <w:bookmarkStart w:id="58" w:name="_Toc54004909"/>
      <w:r w:rsidRPr="001167F2">
        <w:rPr>
          <w:snapToGrid w:val="0"/>
          <w:lang w:val="fr-CH"/>
        </w:rPr>
        <w:t>4.7</w:t>
      </w:r>
      <w:r w:rsidRPr="001167F2">
        <w:rPr>
          <w:snapToGrid w:val="0"/>
          <w:lang w:val="fr-CH"/>
        </w:rPr>
        <w:tab/>
        <w:t>Accès aux données et propriété des données</w:t>
      </w:r>
      <w:bookmarkEnd w:id="57"/>
      <w:bookmarkEnd w:id="58"/>
    </w:p>
    <w:p w:rsidR="00EF0D3B" w:rsidRPr="000B56F5" w:rsidRDefault="00EF0D3B" w:rsidP="00112E25">
      <w:pPr>
        <w:keepNext/>
        <w:rPr>
          <w:lang w:val="fr-CH"/>
        </w:rPr>
      </w:pPr>
    </w:p>
    <w:p w:rsidR="00EF0D3B" w:rsidRPr="000B56F5" w:rsidRDefault="000964AE" w:rsidP="000964AE">
      <w:pPr>
        <w:rPr>
          <w:lang w:val="fr-CH"/>
        </w:rPr>
      </w:pPr>
      <w:r w:rsidRPr="000B56F5">
        <w:rPr>
          <w:lang w:val="fr-CH"/>
        </w:rPr>
        <w:t>Avant toute chose, il est recommandé de régler les questions concernant la propriété des données et l</w:t>
      </w:r>
      <w:r w:rsidR="00B1361A" w:rsidRPr="000B56F5">
        <w:rPr>
          <w:lang w:val="fr-CH"/>
        </w:rPr>
        <w:t>’</w:t>
      </w:r>
      <w:r w:rsidRPr="000B56F5">
        <w:rPr>
          <w:lang w:val="fr-CH"/>
        </w:rPr>
        <w:t>accès à la base de données.</w:t>
      </w:r>
    </w:p>
    <w:p w:rsidR="00EF0D3B" w:rsidRPr="000B56F5" w:rsidRDefault="00EF0D3B" w:rsidP="00112E25">
      <w:pPr>
        <w:rPr>
          <w:lang w:val="fr-CH"/>
        </w:rPr>
      </w:pPr>
    </w:p>
    <w:p w:rsidR="00EF0D3B" w:rsidRPr="00406A48" w:rsidRDefault="0079324C" w:rsidP="0038525D">
      <w:pPr>
        <w:pStyle w:val="Heading2"/>
        <w:rPr>
          <w:lang w:val="fr-CH"/>
        </w:rPr>
      </w:pPr>
      <w:bookmarkStart w:id="59" w:name="_Toc54004689"/>
      <w:bookmarkStart w:id="60" w:name="_Toc54004910"/>
      <w:r w:rsidRPr="00406A48">
        <w:rPr>
          <w:lang w:val="fr-CH"/>
        </w:rPr>
        <w:t>5.</w:t>
      </w:r>
      <w:r w:rsidR="000964AE" w:rsidRPr="00406A48">
        <w:rPr>
          <w:lang w:val="fr-CH"/>
        </w:rPr>
        <w:tab/>
        <w:t>Échange des données</w:t>
      </w:r>
      <w:bookmarkEnd w:id="59"/>
      <w:bookmarkEnd w:id="60"/>
    </w:p>
    <w:p w:rsidR="00EF0D3B" w:rsidRPr="000B56F5" w:rsidRDefault="00EF0D3B" w:rsidP="00112E25">
      <w:pPr>
        <w:rPr>
          <w:u w:val="single"/>
          <w:lang w:val="fr-CH"/>
        </w:rPr>
      </w:pPr>
    </w:p>
    <w:p w:rsidR="00EF0D3B" w:rsidRPr="001167F2" w:rsidRDefault="00B601A0" w:rsidP="009F1754">
      <w:pPr>
        <w:pStyle w:val="Heading3"/>
        <w:rPr>
          <w:snapToGrid w:val="0"/>
          <w:lang w:val="fr-CH"/>
        </w:rPr>
      </w:pPr>
      <w:bookmarkStart w:id="61" w:name="_Toc54004690"/>
      <w:bookmarkStart w:id="62" w:name="_Toc54004911"/>
      <w:r w:rsidRPr="001167F2">
        <w:rPr>
          <w:snapToGrid w:val="0"/>
          <w:lang w:val="fr-CH"/>
        </w:rPr>
        <w:t>5.1</w:t>
      </w:r>
      <w:r w:rsidRPr="001167F2">
        <w:rPr>
          <w:snapToGrid w:val="0"/>
          <w:lang w:val="fr-CH"/>
        </w:rPr>
        <w:tab/>
        <w:t>Scénarios d</w:t>
      </w:r>
      <w:r w:rsidR="00B1361A" w:rsidRPr="001167F2">
        <w:rPr>
          <w:snapToGrid w:val="0"/>
          <w:lang w:val="fr-CH"/>
        </w:rPr>
        <w:t>’</w:t>
      </w:r>
      <w:r w:rsidRPr="001167F2">
        <w:rPr>
          <w:snapToGrid w:val="0"/>
          <w:lang w:val="fr-CH"/>
        </w:rPr>
        <w:t>échange des données</w:t>
      </w:r>
      <w:bookmarkEnd w:id="61"/>
      <w:bookmarkEnd w:id="62"/>
    </w:p>
    <w:p w:rsidR="00EF0D3B" w:rsidRPr="000B56F5" w:rsidRDefault="00EF0D3B" w:rsidP="00112E25">
      <w:pPr>
        <w:rPr>
          <w:u w:val="single"/>
          <w:lang w:val="fr-CH"/>
        </w:rPr>
      </w:pPr>
    </w:p>
    <w:p w:rsidR="00EF0D3B" w:rsidRPr="000B56F5" w:rsidRDefault="0074675B" w:rsidP="0074675B">
      <w:pPr>
        <w:rPr>
          <w:u w:val="double"/>
          <w:lang w:val="fr-CH"/>
        </w:rPr>
      </w:pPr>
      <w:r w:rsidRPr="000B56F5">
        <w:rPr>
          <w:lang w:val="fr-CH"/>
        </w:rPr>
        <w:t>À des fins de coopération, le modèle de données devrait permettre différents types de scénarios, notamment l</w:t>
      </w:r>
      <w:r w:rsidR="00B1361A" w:rsidRPr="000B56F5">
        <w:rPr>
          <w:lang w:val="fr-CH"/>
        </w:rPr>
        <w:t>’</w:t>
      </w:r>
      <w:r w:rsidRPr="000B56F5">
        <w:rPr>
          <w:lang w:val="fr-CH"/>
        </w:rPr>
        <w:t>échange de données produites à partir d</w:t>
      </w:r>
      <w:r w:rsidR="00B1361A" w:rsidRPr="000B56F5">
        <w:rPr>
          <w:lang w:val="fr-CH"/>
        </w:rPr>
        <w:t>’</w:t>
      </w:r>
      <w:r w:rsidRPr="000B56F5">
        <w:rPr>
          <w:lang w:val="fr-CH"/>
        </w:rPr>
        <w:t>un ensemble normalisé de marqueurs pour une plante spécifique (scénario</w:t>
      </w:r>
      <w:r w:rsidR="001045F7" w:rsidRPr="000B56F5">
        <w:rPr>
          <w:lang w:val="fr-CH"/>
        </w:rPr>
        <w:t> </w:t>
      </w:r>
      <w:r w:rsidRPr="000B56F5">
        <w:rPr>
          <w:lang w:val="fr-CH"/>
        </w:rPr>
        <w:t>1), et la recherche et la consultation de données relatives à des variétés sélectionnées, générées à partir du même ensemble normalisé de marqueurs (scénario</w:t>
      </w:r>
      <w:r w:rsidR="001045F7" w:rsidRPr="000B56F5">
        <w:rPr>
          <w:lang w:val="fr-CH"/>
        </w:rPr>
        <w:t> </w:t>
      </w:r>
      <w:r w:rsidRPr="000B56F5">
        <w:rPr>
          <w:lang w:val="fr-CH"/>
        </w:rPr>
        <w:t xml:space="preserve">2). </w:t>
      </w:r>
      <w:r w:rsidR="00112E25" w:rsidRPr="000B56F5">
        <w:rPr>
          <w:lang w:val="fr-CH"/>
        </w:rPr>
        <w:t xml:space="preserve"> </w:t>
      </w:r>
      <w:r w:rsidRPr="000B56F5">
        <w:rPr>
          <w:lang w:val="fr-CH"/>
        </w:rPr>
        <w:t>Les détails techniques des deux</w:t>
      </w:r>
      <w:r w:rsidR="00DF1A3F" w:rsidRPr="000B56F5">
        <w:rPr>
          <w:lang w:val="fr-CH"/>
        </w:rPr>
        <w:t> </w:t>
      </w:r>
      <w:r w:rsidRPr="000B56F5">
        <w:rPr>
          <w:lang w:val="fr-CH"/>
        </w:rPr>
        <w:t>scénarios sont décrits dans l</w:t>
      </w:r>
      <w:r w:rsidR="00B1361A" w:rsidRPr="000B56F5">
        <w:rPr>
          <w:lang w:val="fr-CH"/>
        </w:rPr>
        <w:t>’</w:t>
      </w:r>
      <w:r w:rsidRPr="000B56F5">
        <w:rPr>
          <w:lang w:val="fr-CH"/>
        </w:rPr>
        <w:t xml:space="preserve">annexe </w:t>
      </w:r>
      <w:r w:rsidR="000B56F5" w:rsidRPr="000B56F5">
        <w:rPr>
          <w:lang w:val="fr-CH"/>
        </w:rPr>
        <w:t>“</w:t>
      </w:r>
      <w:r w:rsidRPr="000B56F5">
        <w:rPr>
          <w:lang w:val="fr-CH"/>
        </w:rPr>
        <w:t>Scénarios d</w:t>
      </w:r>
      <w:r w:rsidR="00B1361A" w:rsidRPr="000B56F5">
        <w:rPr>
          <w:lang w:val="fr-CH"/>
        </w:rPr>
        <w:t>’</w:t>
      </w:r>
      <w:r w:rsidRPr="000B56F5">
        <w:rPr>
          <w:lang w:val="fr-CH"/>
        </w:rPr>
        <w:t>échange de données et méthodes de transfert de données</w:t>
      </w:r>
      <w:r w:rsidR="000B56F5" w:rsidRPr="000B56F5">
        <w:rPr>
          <w:lang w:val="fr-CH"/>
        </w:rPr>
        <w:t>”</w:t>
      </w:r>
      <w:r w:rsidRPr="000B56F5">
        <w:rPr>
          <w:lang w:val="fr-CH"/>
        </w:rPr>
        <w:t>.</w:t>
      </w:r>
    </w:p>
    <w:p w:rsidR="00EF0D3B" w:rsidRPr="000B56F5" w:rsidRDefault="00EF0D3B" w:rsidP="00112E25">
      <w:pPr>
        <w:rPr>
          <w:lang w:val="fr-CH"/>
        </w:rPr>
      </w:pPr>
    </w:p>
    <w:p w:rsidR="00EF0D3B" w:rsidRPr="001167F2" w:rsidRDefault="0074675B" w:rsidP="009F1754">
      <w:pPr>
        <w:pStyle w:val="Heading3"/>
        <w:rPr>
          <w:rFonts w:eastAsia="Calibri"/>
          <w:snapToGrid w:val="0"/>
          <w:lang w:val="fr-CH"/>
        </w:rPr>
      </w:pPr>
      <w:bookmarkStart w:id="63" w:name="_Toc54004691"/>
      <w:bookmarkStart w:id="64" w:name="_Toc54004912"/>
      <w:r w:rsidRPr="001167F2">
        <w:rPr>
          <w:rFonts w:eastAsia="Calibri"/>
          <w:snapToGrid w:val="0"/>
          <w:lang w:val="fr-CH"/>
        </w:rPr>
        <w:t>5.2</w:t>
      </w:r>
      <w:r w:rsidRPr="001167F2">
        <w:rPr>
          <w:rFonts w:eastAsia="Calibri"/>
          <w:snapToGrid w:val="0"/>
          <w:lang w:val="fr-CH"/>
        </w:rPr>
        <w:tab/>
        <w:t>Méthodes d</w:t>
      </w:r>
      <w:r w:rsidR="00B1361A" w:rsidRPr="001167F2">
        <w:rPr>
          <w:rFonts w:eastAsia="Calibri"/>
          <w:snapToGrid w:val="0"/>
          <w:lang w:val="fr-CH"/>
        </w:rPr>
        <w:t>’</w:t>
      </w:r>
      <w:r w:rsidRPr="001167F2">
        <w:rPr>
          <w:rFonts w:eastAsia="Calibri"/>
          <w:snapToGrid w:val="0"/>
          <w:lang w:val="fr-CH"/>
        </w:rPr>
        <w:t>échange de données</w:t>
      </w:r>
      <w:bookmarkEnd w:id="63"/>
      <w:bookmarkEnd w:id="64"/>
    </w:p>
    <w:p w:rsidR="00EF0D3B" w:rsidRPr="000B56F5" w:rsidRDefault="00EF0D3B" w:rsidP="00112E25">
      <w:pPr>
        <w:rPr>
          <w:u w:val="double"/>
          <w:lang w:val="fr-CH"/>
        </w:rPr>
      </w:pPr>
    </w:p>
    <w:p w:rsidR="00EF0D3B" w:rsidRPr="000B56F5" w:rsidRDefault="0074675B" w:rsidP="009111C7">
      <w:pPr>
        <w:rPr>
          <w:rFonts w:eastAsia="Calibri" w:cs="Arial"/>
          <w:lang w:val="fr-CH"/>
        </w:rPr>
      </w:pPr>
      <w:r w:rsidRPr="000B56F5">
        <w:rPr>
          <w:rFonts w:eastAsia="Calibri" w:cs="Arial"/>
          <w:lang w:val="fr-CH"/>
        </w:rPr>
        <w:t>5.2.1 La transmission de données relatives à l</w:t>
      </w:r>
      <w:r w:rsidR="00B1361A" w:rsidRPr="000B56F5">
        <w:rPr>
          <w:rFonts w:eastAsia="Calibri" w:cs="Arial"/>
          <w:lang w:val="fr-CH"/>
        </w:rPr>
        <w:t>’</w:t>
      </w:r>
      <w:r w:rsidRPr="000B56F5">
        <w:rPr>
          <w:rFonts w:eastAsia="Calibri" w:cs="Arial"/>
          <w:lang w:val="fr-CH"/>
        </w:rPr>
        <w:t>empreinte génétique peut inclure toute une série d</w:t>
      </w:r>
      <w:r w:rsidR="00B1361A" w:rsidRPr="000B56F5">
        <w:rPr>
          <w:rFonts w:eastAsia="Calibri" w:cs="Arial"/>
          <w:lang w:val="fr-CH"/>
        </w:rPr>
        <w:t>’</w:t>
      </w:r>
      <w:r w:rsidRPr="000B56F5">
        <w:rPr>
          <w:rFonts w:eastAsia="Calibri" w:cs="Arial"/>
          <w:lang w:val="fr-CH"/>
        </w:rPr>
        <w:t xml:space="preserve">informations, comme des locus, des échantillons, </w:t>
      </w:r>
      <w:r w:rsidR="00BA6945" w:rsidRPr="000B56F5">
        <w:rPr>
          <w:rFonts w:eastAsia="Calibri" w:cs="Arial"/>
          <w:lang w:val="fr-CH"/>
        </w:rPr>
        <w:t>l</w:t>
      </w:r>
      <w:r w:rsidR="00B1361A" w:rsidRPr="000B56F5">
        <w:rPr>
          <w:rFonts w:eastAsia="Calibri" w:cs="Arial"/>
          <w:lang w:val="fr-CH"/>
        </w:rPr>
        <w:t>’</w:t>
      </w:r>
      <w:r w:rsidR="00BA6945" w:rsidRPr="000B56F5">
        <w:rPr>
          <w:rFonts w:eastAsia="Calibri" w:cs="Arial"/>
          <w:lang w:val="fr-CH"/>
        </w:rPr>
        <w:t xml:space="preserve">ADN, </w:t>
      </w:r>
      <w:r w:rsidRPr="000B56F5">
        <w:rPr>
          <w:rFonts w:eastAsia="Calibri" w:cs="Arial"/>
          <w:lang w:val="fr-CH"/>
        </w:rPr>
        <w:t>des données relatives à l</w:t>
      </w:r>
      <w:r w:rsidR="00B1361A" w:rsidRPr="000B56F5">
        <w:rPr>
          <w:rFonts w:eastAsia="Calibri" w:cs="Arial"/>
          <w:lang w:val="fr-CH"/>
        </w:rPr>
        <w:t>’</w:t>
      </w:r>
      <w:r w:rsidRPr="000B56F5">
        <w:rPr>
          <w:rFonts w:eastAsia="Calibri" w:cs="Arial"/>
          <w:lang w:val="fr-CH"/>
        </w:rPr>
        <w:t>empreinte et des profils d</w:t>
      </w:r>
      <w:r w:rsidR="00B1361A" w:rsidRPr="000B56F5">
        <w:rPr>
          <w:rFonts w:eastAsia="Calibri" w:cs="Arial"/>
          <w:lang w:val="fr-CH"/>
        </w:rPr>
        <w:t>’</w:t>
      </w:r>
      <w:r w:rsidR="00BA6945" w:rsidRPr="000B56F5">
        <w:rPr>
          <w:rFonts w:eastAsia="Calibri" w:cs="Arial"/>
          <w:lang w:val="fr-CH"/>
        </w:rPr>
        <w:t>empreinte</w:t>
      </w:r>
      <w:r w:rsidRPr="000B56F5">
        <w:rPr>
          <w:rFonts w:eastAsia="Calibri" w:cs="Arial"/>
          <w:lang w:val="fr-CH"/>
        </w:rPr>
        <w:t xml:space="preserve"> génétiq</w:t>
      </w:r>
      <w:r w:rsidR="00D47A05" w:rsidRPr="000B56F5">
        <w:rPr>
          <w:rFonts w:eastAsia="Calibri" w:cs="Arial"/>
          <w:lang w:val="fr-CH"/>
        </w:rPr>
        <w:t>ue.  La</w:t>
      </w:r>
      <w:r w:rsidR="009111C7" w:rsidRPr="000B56F5">
        <w:rPr>
          <w:rFonts w:eastAsia="Calibri" w:cs="Arial"/>
          <w:lang w:val="fr-CH"/>
        </w:rPr>
        <w:t xml:space="preserve"> méthode de transmission des données doit être déterminée par le contenu à transférer et doit tenir compte des éléments suivants</w:t>
      </w:r>
      <w:r w:rsidR="00B1361A" w:rsidRPr="000B56F5">
        <w:rPr>
          <w:rFonts w:eastAsia="Calibri" w:cs="Arial"/>
          <w:lang w:val="fr-CH"/>
        </w:rPr>
        <w:t> :</w:t>
      </w:r>
    </w:p>
    <w:p w:rsidR="00EF0D3B" w:rsidRPr="000B56F5" w:rsidRDefault="009111C7" w:rsidP="009111C7">
      <w:pPr>
        <w:ind w:firstLine="567"/>
        <w:rPr>
          <w:rFonts w:eastAsia="Calibri" w:cs="Arial"/>
          <w:lang w:val="fr-CH"/>
        </w:rPr>
      </w:pPr>
      <w:r w:rsidRPr="000B56F5">
        <w:rPr>
          <w:rFonts w:eastAsia="Calibri" w:cs="Arial"/>
          <w:lang w:val="fr-CH"/>
        </w:rPr>
        <w:t xml:space="preserve">a) </w:t>
      </w:r>
      <w:r w:rsidR="00BA6945" w:rsidRPr="000B56F5">
        <w:rPr>
          <w:rFonts w:eastAsia="Calibri" w:cs="Arial"/>
          <w:lang w:val="fr-CH"/>
        </w:rPr>
        <w:t xml:space="preserve">le </w:t>
      </w:r>
      <w:r w:rsidRPr="000B56F5">
        <w:rPr>
          <w:rFonts w:eastAsia="Calibri" w:cs="Arial"/>
          <w:lang w:val="fr-CH"/>
        </w:rPr>
        <w:t>volume de données</w:t>
      </w:r>
      <w:r w:rsidR="006738AD" w:rsidRPr="000B56F5">
        <w:rPr>
          <w:rFonts w:eastAsia="Calibri" w:cs="Arial"/>
          <w:lang w:val="fr-CH"/>
        </w:rPr>
        <w:t>,</w:t>
      </w:r>
    </w:p>
    <w:p w:rsidR="00F874D0" w:rsidRPr="000B56F5" w:rsidRDefault="009111C7" w:rsidP="009111C7">
      <w:pPr>
        <w:ind w:firstLine="567"/>
        <w:rPr>
          <w:rFonts w:eastAsia="Calibri" w:cs="Arial"/>
          <w:lang w:val="fr-CH"/>
        </w:rPr>
      </w:pPr>
      <w:r w:rsidRPr="000B56F5">
        <w:rPr>
          <w:rFonts w:eastAsia="Calibri" w:cs="Arial"/>
          <w:lang w:val="fr-CH"/>
        </w:rPr>
        <w:t xml:space="preserve">b) </w:t>
      </w:r>
      <w:r w:rsidR="00BA6945" w:rsidRPr="000B56F5">
        <w:rPr>
          <w:rFonts w:eastAsia="Calibri" w:cs="Arial"/>
          <w:lang w:val="fr-CH"/>
        </w:rPr>
        <w:t xml:space="preserve">la </w:t>
      </w:r>
      <w:r w:rsidRPr="000B56F5">
        <w:rPr>
          <w:rFonts w:eastAsia="Calibri" w:cs="Arial"/>
          <w:lang w:val="fr-CH"/>
        </w:rPr>
        <w:t>complexité des données</w:t>
      </w:r>
      <w:r w:rsidR="006738AD" w:rsidRPr="000B56F5">
        <w:rPr>
          <w:rFonts w:eastAsia="Calibri" w:cs="Arial"/>
          <w:lang w:val="fr-CH"/>
        </w:rPr>
        <w:t>,</w:t>
      </w:r>
    </w:p>
    <w:p w:rsidR="00EF0D3B" w:rsidRPr="000B56F5" w:rsidRDefault="009111C7" w:rsidP="009111C7">
      <w:pPr>
        <w:ind w:firstLine="567"/>
        <w:rPr>
          <w:rFonts w:eastAsia="Calibri" w:cs="Arial"/>
          <w:lang w:val="fr-CH"/>
        </w:rPr>
      </w:pPr>
      <w:r w:rsidRPr="000B56F5">
        <w:rPr>
          <w:rFonts w:eastAsia="Calibri" w:cs="Arial"/>
          <w:lang w:val="fr-CH"/>
        </w:rPr>
        <w:t xml:space="preserve">c) </w:t>
      </w:r>
      <w:r w:rsidR="00BA6945" w:rsidRPr="000B56F5">
        <w:rPr>
          <w:rFonts w:eastAsia="Calibri" w:cs="Arial"/>
          <w:lang w:val="fr-CH"/>
        </w:rPr>
        <w:t xml:space="preserve">les </w:t>
      </w:r>
      <w:r w:rsidRPr="000B56F5">
        <w:rPr>
          <w:rFonts w:eastAsia="Calibri" w:cs="Arial"/>
          <w:lang w:val="fr-CH"/>
        </w:rPr>
        <w:t>conditions relatives aux fonctions de requête ou de recherche</w:t>
      </w:r>
      <w:r w:rsidR="006738AD" w:rsidRPr="000B56F5">
        <w:rPr>
          <w:rFonts w:eastAsia="Calibri" w:cs="Arial"/>
          <w:lang w:val="fr-CH"/>
        </w:rPr>
        <w:t>.</w:t>
      </w:r>
    </w:p>
    <w:p w:rsidR="00EF0D3B" w:rsidRPr="000B56F5" w:rsidRDefault="00EF0D3B" w:rsidP="00112E25">
      <w:pPr>
        <w:ind w:firstLine="567"/>
        <w:rPr>
          <w:rFonts w:eastAsia="Calibri" w:cs="Arial"/>
          <w:lang w:val="fr-CH"/>
        </w:rPr>
      </w:pPr>
    </w:p>
    <w:p w:rsidR="00EF0D3B" w:rsidRPr="000B56F5" w:rsidRDefault="009111C7" w:rsidP="009111C7">
      <w:pPr>
        <w:rPr>
          <w:rFonts w:eastAsia="Calibri" w:cs="Arial"/>
          <w:lang w:val="fr-CH"/>
        </w:rPr>
      </w:pPr>
      <w:r w:rsidRPr="000B56F5">
        <w:rPr>
          <w:rFonts w:eastAsia="Calibri" w:cs="Arial"/>
          <w:lang w:val="fr-CH"/>
        </w:rPr>
        <w:t>Les détails techniques des méthodes de transfert des données sont décrits dans l</w:t>
      </w:r>
      <w:r w:rsidR="00B1361A" w:rsidRPr="000B56F5">
        <w:rPr>
          <w:rFonts w:eastAsia="Calibri" w:cs="Arial"/>
          <w:lang w:val="fr-CH"/>
        </w:rPr>
        <w:t>’</w:t>
      </w:r>
      <w:r w:rsidRPr="000B56F5">
        <w:rPr>
          <w:rFonts w:eastAsia="Calibri" w:cs="Arial"/>
          <w:lang w:val="fr-CH"/>
        </w:rPr>
        <w:t>annexe</w:t>
      </w:r>
      <w:r w:rsidR="00B1361A" w:rsidRPr="000B56F5">
        <w:rPr>
          <w:rFonts w:eastAsia="Calibri" w:cs="Arial"/>
          <w:lang w:val="fr-CH"/>
        </w:rPr>
        <w:t> </w:t>
      </w:r>
      <w:r w:rsidR="000B56F5" w:rsidRPr="000B56F5">
        <w:rPr>
          <w:lang w:val="fr-CH"/>
        </w:rPr>
        <w:t>“</w:t>
      </w:r>
      <w:r w:rsidRPr="000B56F5">
        <w:rPr>
          <w:rFonts w:eastAsia="Calibri" w:cs="Arial"/>
          <w:lang w:val="fr-CH"/>
        </w:rPr>
        <w:t>Scénarios d</w:t>
      </w:r>
      <w:r w:rsidR="00B1361A" w:rsidRPr="000B56F5">
        <w:rPr>
          <w:rFonts w:eastAsia="Calibri" w:cs="Arial"/>
          <w:lang w:val="fr-CH"/>
        </w:rPr>
        <w:t>’</w:t>
      </w:r>
      <w:r w:rsidRPr="000B56F5">
        <w:rPr>
          <w:rFonts w:eastAsia="Calibri" w:cs="Arial"/>
          <w:lang w:val="fr-CH"/>
        </w:rPr>
        <w:t>échange de données et méthodes de transfert de données</w:t>
      </w:r>
      <w:r w:rsidR="000B56F5" w:rsidRPr="000B56F5">
        <w:rPr>
          <w:lang w:val="fr-CH"/>
        </w:rPr>
        <w:t>”</w:t>
      </w:r>
      <w:r w:rsidRPr="000B56F5">
        <w:rPr>
          <w:rFonts w:eastAsia="Calibri" w:cs="Arial"/>
          <w:lang w:val="fr-CH"/>
        </w:rPr>
        <w:t>.</w:t>
      </w:r>
    </w:p>
    <w:p w:rsidR="00EF0D3B" w:rsidRPr="000B56F5" w:rsidRDefault="00EF0D3B" w:rsidP="00112E25">
      <w:pPr>
        <w:rPr>
          <w:rFonts w:eastAsia="Calibri" w:cs="Arial"/>
          <w:lang w:val="fr-CH"/>
        </w:rPr>
      </w:pPr>
    </w:p>
    <w:p w:rsidR="00EF0D3B" w:rsidRPr="000B56F5" w:rsidRDefault="009111C7" w:rsidP="009111C7">
      <w:pPr>
        <w:rPr>
          <w:rFonts w:eastAsia="Calibri" w:cs="Arial"/>
          <w:lang w:val="fr-CH"/>
        </w:rPr>
      </w:pPr>
      <w:r w:rsidRPr="000B56F5">
        <w:rPr>
          <w:rFonts w:eastAsia="Calibri" w:cs="Arial"/>
          <w:lang w:val="fr-CH"/>
        </w:rPr>
        <w:t>5.2.2</w:t>
      </w:r>
      <w:r w:rsidRPr="000B56F5">
        <w:rPr>
          <w:rFonts w:eastAsia="Calibri" w:cs="Arial"/>
          <w:lang w:val="fr-CH"/>
        </w:rPr>
        <w:tab/>
        <w:t>Les formats de données les plus utilisés sont les suivants zip, csv, json et x</w:t>
      </w:r>
      <w:r w:rsidR="00D47A05" w:rsidRPr="000B56F5">
        <w:rPr>
          <w:rFonts w:eastAsia="Calibri" w:cs="Arial"/>
          <w:lang w:val="fr-CH"/>
        </w:rPr>
        <w:t>ml.  Le</w:t>
      </w:r>
      <w:r w:rsidRPr="000B56F5">
        <w:rPr>
          <w:rFonts w:eastAsia="Calibri" w:cs="Arial"/>
          <w:lang w:val="fr-CH"/>
        </w:rPr>
        <w:t>urs caractéristiques respectives sont les suivantes</w:t>
      </w:r>
      <w:r w:rsidR="00B1361A" w:rsidRPr="000B56F5">
        <w:rPr>
          <w:rFonts w:eastAsia="Calibri" w:cs="Arial"/>
          <w:lang w:val="fr-CH"/>
        </w:rPr>
        <w:t> :</w:t>
      </w:r>
    </w:p>
    <w:p w:rsidR="00EF0D3B" w:rsidRPr="000B56F5" w:rsidRDefault="00EF0D3B" w:rsidP="00112E25">
      <w:pPr>
        <w:rPr>
          <w:rFonts w:eastAsia="Calibri" w:cs="Arial"/>
          <w:lang w:val="fr-CH"/>
        </w:rPr>
      </w:pPr>
    </w:p>
    <w:p w:rsidR="00EF0D3B" w:rsidRPr="000B56F5" w:rsidRDefault="008D7554" w:rsidP="008D7554">
      <w:pPr>
        <w:ind w:firstLine="420"/>
        <w:rPr>
          <w:rFonts w:eastAsia="Calibri" w:cs="Arial"/>
          <w:lang w:val="fr-CH"/>
        </w:rPr>
      </w:pPr>
      <w:r w:rsidRPr="000B56F5">
        <w:rPr>
          <w:rFonts w:eastAsia="Calibri" w:cs="Arial"/>
          <w:lang w:val="fr-CH"/>
        </w:rPr>
        <w:t>1) Le format zip permet d</w:t>
      </w:r>
      <w:r w:rsidR="00B1361A" w:rsidRPr="000B56F5">
        <w:rPr>
          <w:rFonts w:eastAsia="Calibri" w:cs="Arial"/>
          <w:lang w:val="fr-CH"/>
        </w:rPr>
        <w:t>’</w:t>
      </w:r>
      <w:r w:rsidRPr="000B56F5">
        <w:rPr>
          <w:rFonts w:eastAsia="Calibri" w:cs="Arial"/>
          <w:lang w:val="fr-CH"/>
        </w:rPr>
        <w:t>obtenir divers fichiers d</w:t>
      </w:r>
      <w:r w:rsidR="00B1361A" w:rsidRPr="000B56F5">
        <w:rPr>
          <w:rFonts w:eastAsia="Calibri" w:cs="Arial"/>
          <w:lang w:val="fr-CH"/>
        </w:rPr>
        <w:t>’</w:t>
      </w:r>
      <w:r w:rsidRPr="000B56F5">
        <w:rPr>
          <w:rFonts w:eastAsia="Calibri" w:cs="Arial"/>
          <w:lang w:val="fr-CH"/>
        </w:rPr>
        <w:t>information dans le format d</w:t>
      </w:r>
      <w:r w:rsidR="00B1361A" w:rsidRPr="000B56F5">
        <w:rPr>
          <w:rFonts w:eastAsia="Calibri" w:cs="Arial"/>
          <w:lang w:val="fr-CH"/>
        </w:rPr>
        <w:t>’</w:t>
      </w:r>
      <w:r w:rsidRPr="000B56F5">
        <w:rPr>
          <w:rFonts w:eastAsia="Calibri" w:cs="Arial"/>
          <w:lang w:val="fr-CH"/>
        </w:rPr>
        <w:t>origine et, grâce à son taux de compression élevé et à sa facilité de transmission, il convient aux données volumineuses et complexes.</w:t>
      </w:r>
    </w:p>
    <w:p w:rsidR="00EF0D3B" w:rsidRPr="000B56F5" w:rsidRDefault="00EF0D3B" w:rsidP="00112E25">
      <w:pPr>
        <w:ind w:firstLine="420"/>
        <w:rPr>
          <w:rFonts w:eastAsia="Calibri" w:cs="Arial"/>
          <w:lang w:val="fr-CH"/>
        </w:rPr>
      </w:pPr>
    </w:p>
    <w:p w:rsidR="00EF0D3B" w:rsidRPr="000B56F5" w:rsidRDefault="008D7554" w:rsidP="008D7554">
      <w:pPr>
        <w:ind w:firstLine="420"/>
        <w:rPr>
          <w:rFonts w:eastAsia="Calibri" w:cs="Arial"/>
          <w:lang w:val="fr-CH"/>
        </w:rPr>
      </w:pPr>
      <w:r w:rsidRPr="000B56F5">
        <w:rPr>
          <w:rFonts w:eastAsia="Calibri" w:cs="Arial"/>
          <w:lang w:val="fr-CH"/>
        </w:rPr>
        <w:t>2) Le format csv est plus adapté pour les informations en format de données simple, qui a l</w:t>
      </w:r>
      <w:r w:rsidR="00B1361A" w:rsidRPr="000B56F5">
        <w:rPr>
          <w:rFonts w:eastAsia="Calibri" w:cs="Arial"/>
          <w:lang w:val="fr-CH"/>
        </w:rPr>
        <w:t>’</w:t>
      </w:r>
      <w:r w:rsidRPr="000B56F5">
        <w:rPr>
          <w:rFonts w:eastAsia="Calibri" w:cs="Arial"/>
          <w:lang w:val="fr-CH"/>
        </w:rPr>
        <w:t>avantage de réduire le nombre de données non valides et d</w:t>
      </w:r>
      <w:r w:rsidR="00B1361A" w:rsidRPr="000B56F5">
        <w:rPr>
          <w:rFonts w:eastAsia="Calibri" w:cs="Arial"/>
          <w:lang w:val="fr-CH"/>
        </w:rPr>
        <w:t>’</w:t>
      </w:r>
      <w:r w:rsidRPr="000B56F5">
        <w:rPr>
          <w:rFonts w:eastAsia="Calibri" w:cs="Arial"/>
          <w:lang w:val="fr-CH"/>
        </w:rPr>
        <w:t>accélérer la vitesse de traitement.</w:t>
      </w:r>
    </w:p>
    <w:p w:rsidR="00EF0D3B" w:rsidRPr="000B56F5" w:rsidRDefault="00EF0D3B" w:rsidP="00112E25">
      <w:pPr>
        <w:ind w:firstLine="420"/>
        <w:rPr>
          <w:rFonts w:eastAsia="Calibri" w:cs="Arial"/>
          <w:lang w:val="fr-CH"/>
        </w:rPr>
      </w:pPr>
    </w:p>
    <w:p w:rsidR="00EF0D3B" w:rsidRPr="000B56F5" w:rsidRDefault="008D7554" w:rsidP="008D7554">
      <w:pPr>
        <w:ind w:firstLine="420"/>
        <w:rPr>
          <w:rFonts w:eastAsia="Calibri" w:cs="Arial"/>
          <w:lang w:val="fr-CH"/>
        </w:rPr>
      </w:pPr>
      <w:r w:rsidRPr="000B56F5">
        <w:rPr>
          <w:rFonts w:eastAsia="Calibri" w:cs="Arial"/>
          <w:lang w:val="fr-CH"/>
        </w:rPr>
        <w:t xml:space="preserve">3) Les formats json et xml peuvent contenir des informations </w:t>
      </w:r>
      <w:r w:rsidR="00BA6945" w:rsidRPr="000B56F5">
        <w:rPr>
          <w:rFonts w:eastAsia="Calibri" w:cs="Arial"/>
          <w:lang w:val="fr-CH"/>
        </w:rPr>
        <w:t>relatives aux</w:t>
      </w:r>
      <w:r w:rsidRPr="000B56F5">
        <w:rPr>
          <w:rFonts w:eastAsia="Calibri" w:cs="Arial"/>
          <w:lang w:val="fr-CH"/>
        </w:rPr>
        <w:t xml:space="preserve"> données de caractères plus complexes et des informations plus redondantes, mais tous deux</w:t>
      </w:r>
      <w:r w:rsidR="00DF1A3F" w:rsidRPr="000B56F5">
        <w:rPr>
          <w:rFonts w:eastAsia="Calibri" w:cs="Arial"/>
          <w:lang w:val="fr-CH"/>
        </w:rPr>
        <w:t> </w:t>
      </w:r>
      <w:r w:rsidRPr="000B56F5">
        <w:rPr>
          <w:rFonts w:eastAsia="Calibri" w:cs="Arial"/>
          <w:lang w:val="fr-CH"/>
        </w:rPr>
        <w:t>offrent une bonne lisibilité.</w:t>
      </w:r>
    </w:p>
    <w:p w:rsidR="00EF0D3B" w:rsidRPr="000B56F5" w:rsidRDefault="00EF0D3B" w:rsidP="00112E25">
      <w:pPr>
        <w:rPr>
          <w:lang w:val="fr-CH"/>
        </w:rPr>
      </w:pPr>
    </w:p>
    <w:p w:rsidR="00F874D0" w:rsidRPr="00406A48" w:rsidRDefault="008D7554" w:rsidP="0038525D">
      <w:pPr>
        <w:pStyle w:val="Heading2"/>
        <w:rPr>
          <w:lang w:val="fr-CH"/>
        </w:rPr>
      </w:pPr>
      <w:bookmarkStart w:id="65" w:name="_Toc54004692"/>
      <w:bookmarkStart w:id="66" w:name="_Toc54004913"/>
      <w:r w:rsidRPr="00406A48">
        <w:rPr>
          <w:lang w:val="fr-CH"/>
        </w:rPr>
        <w:t>6.</w:t>
      </w:r>
      <w:r w:rsidRPr="00406A48">
        <w:rPr>
          <w:lang w:val="fr-CH"/>
        </w:rPr>
        <w:tab/>
        <w:t>Résumé</w:t>
      </w:r>
      <w:bookmarkEnd w:id="65"/>
      <w:bookmarkEnd w:id="66"/>
    </w:p>
    <w:p w:rsidR="00EF0D3B" w:rsidRPr="000B56F5" w:rsidRDefault="00EF0D3B" w:rsidP="00112E25">
      <w:pPr>
        <w:rPr>
          <w:lang w:val="fr-CH"/>
        </w:rPr>
      </w:pPr>
    </w:p>
    <w:p w:rsidR="00F874D0" w:rsidRPr="000B56F5" w:rsidRDefault="008D7554" w:rsidP="008D7554">
      <w:pPr>
        <w:rPr>
          <w:lang w:val="fr-CH"/>
        </w:rPr>
      </w:pPr>
      <w:r w:rsidRPr="000B56F5">
        <w:rPr>
          <w:lang w:val="fr-CH"/>
        </w:rPr>
        <w:t>On trouvera ci</w:t>
      </w:r>
      <w:r w:rsidR="00B1361A" w:rsidRPr="000B56F5">
        <w:rPr>
          <w:lang w:val="fr-CH"/>
        </w:rPr>
        <w:t>-</w:t>
      </w:r>
      <w:r w:rsidRPr="000B56F5">
        <w:rPr>
          <w:lang w:val="fr-CH"/>
        </w:rPr>
        <w:t>après un résumé de la méthode qu</w:t>
      </w:r>
      <w:r w:rsidR="00B1361A" w:rsidRPr="000B56F5">
        <w:rPr>
          <w:lang w:val="fr-CH"/>
        </w:rPr>
        <w:t>’</w:t>
      </w:r>
      <w:r w:rsidRPr="000B56F5">
        <w:rPr>
          <w:lang w:val="fr-CH"/>
        </w:rPr>
        <w:t>il est recommandé de suivre en vue de l</w:t>
      </w:r>
      <w:r w:rsidR="00B1361A" w:rsidRPr="000B56F5">
        <w:rPr>
          <w:lang w:val="fr-CH"/>
        </w:rPr>
        <w:t>’</w:t>
      </w:r>
      <w:r w:rsidRPr="000B56F5">
        <w:rPr>
          <w:lang w:val="fr-CH"/>
        </w:rPr>
        <w:t>obtention de profils d</w:t>
      </w:r>
      <w:r w:rsidR="00B1361A" w:rsidRPr="000B56F5">
        <w:rPr>
          <w:lang w:val="fr-CH"/>
        </w:rPr>
        <w:t>’</w:t>
      </w:r>
      <w:r w:rsidRPr="000B56F5">
        <w:rPr>
          <w:lang w:val="fr-CH"/>
        </w:rPr>
        <w:t xml:space="preserve">ADN de qualité des variétés, </w:t>
      </w:r>
      <w:r w:rsidR="00B1361A" w:rsidRPr="000B56F5">
        <w:rPr>
          <w:lang w:val="fr-CH"/>
        </w:rPr>
        <w:t>y compris</w:t>
      </w:r>
      <w:r w:rsidRPr="000B56F5">
        <w:rPr>
          <w:lang w:val="fr-CH"/>
        </w:rPr>
        <w:t xml:space="preserve"> du choix et de l</w:t>
      </w:r>
      <w:r w:rsidR="00B1361A" w:rsidRPr="000B56F5">
        <w:rPr>
          <w:lang w:val="fr-CH"/>
        </w:rPr>
        <w:t>’</w:t>
      </w:r>
      <w:r w:rsidRPr="000B56F5">
        <w:rPr>
          <w:lang w:val="fr-CH"/>
        </w:rPr>
        <w:t>utilisation des marqueurs moléculaires et de la construction de bases de données moléculaires partagées et durables (c</w:t>
      </w:r>
      <w:r w:rsidR="00B1361A" w:rsidRPr="000B56F5">
        <w:rPr>
          <w:lang w:val="fr-CH"/>
        </w:rPr>
        <w:t>’</w:t>
      </w:r>
      <w:r w:rsidRPr="000B56F5">
        <w:rPr>
          <w:lang w:val="fr-CH"/>
        </w:rPr>
        <w:t>est</w:t>
      </w:r>
      <w:r w:rsidR="00B1361A" w:rsidRPr="000B56F5">
        <w:rPr>
          <w:lang w:val="fr-CH"/>
        </w:rPr>
        <w:t>-</w:t>
      </w:r>
      <w:r w:rsidRPr="000B56F5">
        <w:rPr>
          <w:lang w:val="fr-CH"/>
        </w:rPr>
        <w:t>à</w:t>
      </w:r>
      <w:r w:rsidR="00B1361A" w:rsidRPr="000B56F5">
        <w:rPr>
          <w:lang w:val="fr-CH"/>
        </w:rPr>
        <w:t>-</w:t>
      </w:r>
      <w:r w:rsidRPr="000B56F5">
        <w:rPr>
          <w:lang w:val="fr-CH"/>
        </w:rPr>
        <w:t>dire de bases de données pouvant être alimentées à l</w:t>
      </w:r>
      <w:r w:rsidR="00B1361A" w:rsidRPr="000B56F5">
        <w:rPr>
          <w:lang w:val="fr-CH"/>
        </w:rPr>
        <w:t>’</w:t>
      </w:r>
      <w:r w:rsidRPr="000B56F5">
        <w:rPr>
          <w:lang w:val="fr-CH"/>
        </w:rPr>
        <w:t>avenir par des données provenant de plusieurs sources, indépendamment de la technique utilisée).</w:t>
      </w:r>
    </w:p>
    <w:p w:rsidR="00EF0D3B" w:rsidRPr="000B56F5" w:rsidRDefault="00EF0D3B" w:rsidP="00112E25">
      <w:pPr>
        <w:rPr>
          <w:lang w:val="fr-CH"/>
        </w:rPr>
      </w:pPr>
    </w:p>
    <w:p w:rsidR="00EF0D3B" w:rsidRPr="000B56F5" w:rsidRDefault="0079324C" w:rsidP="00581ED7">
      <w:pPr>
        <w:ind w:firstLine="567"/>
        <w:rPr>
          <w:lang w:val="fr-CH"/>
        </w:rPr>
      </w:pPr>
      <w:r>
        <w:rPr>
          <w:lang w:val="fr-CH"/>
        </w:rPr>
        <w:t>a)</w:t>
      </w:r>
      <w:r w:rsidR="00581ED7" w:rsidRPr="000B56F5">
        <w:rPr>
          <w:lang w:val="fr-CH"/>
        </w:rPr>
        <w:tab/>
        <w:t>envisager une méthode plante par plante;</w:t>
      </w:r>
    </w:p>
    <w:p w:rsidR="00EF0D3B" w:rsidRPr="000B56F5" w:rsidRDefault="0079324C" w:rsidP="00581ED7">
      <w:pPr>
        <w:ind w:firstLine="567"/>
        <w:rPr>
          <w:lang w:val="fr-CH"/>
        </w:rPr>
      </w:pPr>
      <w:r>
        <w:rPr>
          <w:lang w:val="fr-CH"/>
        </w:rPr>
        <w:t>b)</w:t>
      </w:r>
      <w:r w:rsidR="00581ED7" w:rsidRPr="000B56F5">
        <w:rPr>
          <w:lang w:val="fr-CH"/>
        </w:rPr>
        <w:tab/>
        <w:t>déterminer les types et les sources de marqueurs acceptables;</w:t>
      </w:r>
    </w:p>
    <w:p w:rsidR="00EF0D3B" w:rsidRPr="000B56F5" w:rsidRDefault="0079324C" w:rsidP="00581ED7">
      <w:pPr>
        <w:ind w:firstLine="567"/>
        <w:rPr>
          <w:lang w:val="fr-CH"/>
        </w:rPr>
      </w:pPr>
      <w:r>
        <w:rPr>
          <w:lang w:val="fr-CH"/>
        </w:rPr>
        <w:t>c)</w:t>
      </w:r>
      <w:r w:rsidR="00581ED7" w:rsidRPr="000B56F5">
        <w:rPr>
          <w:lang w:val="fr-CH"/>
        </w:rPr>
        <w:tab/>
        <w:t xml:space="preserve">déterminer les </w:t>
      </w:r>
      <w:r w:rsidR="00DF1A3F" w:rsidRPr="000B56F5">
        <w:rPr>
          <w:lang w:val="fr-CH"/>
        </w:rPr>
        <w:t>plateformes</w:t>
      </w:r>
      <w:r w:rsidR="00581ED7" w:rsidRPr="000B56F5">
        <w:rPr>
          <w:lang w:val="fr-CH"/>
        </w:rPr>
        <w:t xml:space="preserve"> et l</w:t>
      </w:r>
      <w:r w:rsidR="00B1361A" w:rsidRPr="000B56F5">
        <w:rPr>
          <w:lang w:val="fr-CH"/>
        </w:rPr>
        <w:t>’</w:t>
      </w:r>
      <w:r w:rsidR="00581ED7" w:rsidRPr="000B56F5">
        <w:rPr>
          <w:lang w:val="fr-CH"/>
        </w:rPr>
        <w:t>équipement de détection acceptables;</w:t>
      </w:r>
    </w:p>
    <w:p w:rsidR="00EF0D3B" w:rsidRPr="000B56F5" w:rsidRDefault="0079324C" w:rsidP="00581ED7">
      <w:pPr>
        <w:ind w:firstLine="567"/>
        <w:rPr>
          <w:lang w:val="fr-CH"/>
        </w:rPr>
      </w:pPr>
      <w:r>
        <w:rPr>
          <w:lang w:val="fr-CH"/>
        </w:rPr>
        <w:t>d)</w:t>
      </w:r>
      <w:r w:rsidR="00581ED7" w:rsidRPr="000B56F5">
        <w:rPr>
          <w:lang w:val="fr-CH"/>
        </w:rPr>
        <w:tab/>
        <w:t>convenir des laboratoires qui participeront à l</w:t>
      </w:r>
      <w:r w:rsidR="00B1361A" w:rsidRPr="000B56F5">
        <w:rPr>
          <w:lang w:val="fr-CH"/>
        </w:rPr>
        <w:t>’</w:t>
      </w:r>
      <w:r w:rsidR="00581ED7" w:rsidRPr="000B56F5">
        <w:rPr>
          <w:lang w:val="fr-CH"/>
        </w:rPr>
        <w:t>essai;</w:t>
      </w:r>
    </w:p>
    <w:p w:rsidR="00EF0D3B" w:rsidRPr="000B56F5" w:rsidRDefault="00581ED7" w:rsidP="00581ED7">
      <w:pPr>
        <w:ind w:firstLine="567"/>
        <w:rPr>
          <w:lang w:val="fr-CH"/>
        </w:rPr>
      </w:pPr>
      <w:r w:rsidRPr="000B56F5">
        <w:rPr>
          <w:lang w:val="fr-CH"/>
        </w:rPr>
        <w:t>e)</w:t>
      </w:r>
      <w:r w:rsidRPr="000B56F5">
        <w:rPr>
          <w:lang w:val="fr-CH"/>
        </w:rPr>
        <w:tab/>
        <w:t>se mettre d</w:t>
      </w:r>
      <w:r w:rsidR="00B1361A" w:rsidRPr="000B56F5">
        <w:rPr>
          <w:lang w:val="fr-CH"/>
        </w:rPr>
        <w:t>’</w:t>
      </w:r>
      <w:r w:rsidRPr="000B56F5">
        <w:rPr>
          <w:lang w:val="fr-CH"/>
        </w:rPr>
        <w:t>accord sur les questions de qualité;</w:t>
      </w:r>
    </w:p>
    <w:p w:rsidR="00EF0D3B" w:rsidRPr="000B56F5" w:rsidRDefault="00581ED7" w:rsidP="00581ED7">
      <w:pPr>
        <w:ind w:firstLine="567"/>
        <w:rPr>
          <w:lang w:val="fr-CH"/>
        </w:rPr>
      </w:pPr>
      <w:r w:rsidRPr="000B56F5">
        <w:rPr>
          <w:lang w:val="fr-CH"/>
        </w:rPr>
        <w:t>f)</w:t>
      </w:r>
      <w:r w:rsidRPr="000B56F5">
        <w:rPr>
          <w:lang w:val="fr-CH"/>
        </w:rPr>
        <w:tab/>
        <w:t>vérifier la source du matériel végétal utilisé;</w:t>
      </w:r>
    </w:p>
    <w:p w:rsidR="00EF0D3B" w:rsidRPr="000B56F5" w:rsidRDefault="00581ED7" w:rsidP="00581ED7">
      <w:pPr>
        <w:ind w:left="1134" w:hanging="567"/>
        <w:rPr>
          <w:lang w:val="fr-CH"/>
        </w:rPr>
      </w:pPr>
      <w:r w:rsidRPr="000B56F5">
        <w:rPr>
          <w:lang w:val="fr-CH"/>
        </w:rPr>
        <w:t>g)</w:t>
      </w:r>
      <w:r w:rsidRPr="000B56F5">
        <w:rPr>
          <w:lang w:val="fr-CH"/>
        </w:rPr>
        <w:tab/>
        <w:t>déterminer les marqueurs à utiliser lors de la phase préliminaire d</w:t>
      </w:r>
      <w:r w:rsidR="00B1361A" w:rsidRPr="000B56F5">
        <w:rPr>
          <w:lang w:val="fr-CH"/>
        </w:rPr>
        <w:t>’</w:t>
      </w:r>
      <w:r w:rsidRPr="000B56F5">
        <w:rPr>
          <w:lang w:val="fr-CH"/>
        </w:rPr>
        <w:t>évaluation en commun, qui doit impliquer plusieurs laboratoires et des équipements de détection différents;</w:t>
      </w:r>
    </w:p>
    <w:p w:rsidR="00EF0D3B" w:rsidRPr="000B56F5" w:rsidRDefault="00581ED7" w:rsidP="00581ED7">
      <w:pPr>
        <w:ind w:firstLine="567"/>
        <w:rPr>
          <w:lang w:val="fr-CH"/>
        </w:rPr>
      </w:pPr>
      <w:r w:rsidRPr="000B56F5">
        <w:rPr>
          <w:lang w:val="fr-CH"/>
        </w:rPr>
        <w:t>h)</w:t>
      </w:r>
      <w:r w:rsidRPr="000B56F5">
        <w:rPr>
          <w:lang w:val="fr-CH"/>
        </w:rPr>
        <w:tab/>
        <w:t>réaliser une évaluation;</w:t>
      </w:r>
    </w:p>
    <w:p w:rsidR="00EF0D3B" w:rsidRPr="000B56F5" w:rsidRDefault="00581ED7" w:rsidP="00581ED7">
      <w:pPr>
        <w:ind w:firstLine="567"/>
        <w:rPr>
          <w:lang w:val="fr-CH"/>
        </w:rPr>
      </w:pPr>
      <w:r w:rsidRPr="000B56F5">
        <w:rPr>
          <w:lang w:val="fr-CH"/>
        </w:rPr>
        <w:t>i)</w:t>
      </w:r>
      <w:r w:rsidRPr="000B56F5">
        <w:rPr>
          <w:lang w:val="fr-CH"/>
        </w:rPr>
        <w:tab/>
        <w:t>mettre au point et approuver un protocole de notation des données moléculaires;</w:t>
      </w:r>
    </w:p>
    <w:p w:rsidR="00EF0D3B" w:rsidRPr="000B56F5" w:rsidRDefault="00581ED7" w:rsidP="00581ED7">
      <w:pPr>
        <w:ind w:firstLine="567"/>
        <w:rPr>
          <w:lang w:val="fr-CH"/>
        </w:rPr>
      </w:pPr>
      <w:r w:rsidRPr="000B56F5">
        <w:rPr>
          <w:lang w:val="fr-CH"/>
        </w:rPr>
        <w:t>j)</w:t>
      </w:r>
      <w:r w:rsidRPr="000B56F5">
        <w:rPr>
          <w:lang w:val="fr-CH"/>
        </w:rPr>
        <w:tab/>
        <w:t>convenir de l</w:t>
      </w:r>
      <w:r w:rsidR="00B1361A" w:rsidRPr="000B56F5">
        <w:rPr>
          <w:lang w:val="fr-CH"/>
        </w:rPr>
        <w:t>’</w:t>
      </w:r>
      <w:r w:rsidRPr="000B56F5">
        <w:rPr>
          <w:lang w:val="fr-CH"/>
        </w:rPr>
        <w:t>ensemble matériel/référence végétal(e) à analyser;  et de la (des) source(s);</w:t>
      </w:r>
    </w:p>
    <w:p w:rsidR="00EF0D3B" w:rsidRPr="000B56F5" w:rsidRDefault="00581ED7" w:rsidP="00581ED7">
      <w:pPr>
        <w:ind w:left="1134" w:hanging="567"/>
        <w:rPr>
          <w:lang w:val="fr-CH"/>
        </w:rPr>
      </w:pPr>
      <w:r w:rsidRPr="000B56F5">
        <w:rPr>
          <w:lang w:val="fr-CH"/>
        </w:rPr>
        <w:t>k)</w:t>
      </w:r>
      <w:r w:rsidRPr="000B56F5">
        <w:rPr>
          <w:lang w:val="fr-CH"/>
        </w:rPr>
        <w:tab/>
        <w:t>analyser la collection de variétés retenue, dans différents laboratoires et au moyen d</w:t>
      </w:r>
      <w:r w:rsidR="00B1361A" w:rsidRPr="000B56F5">
        <w:rPr>
          <w:lang w:val="fr-CH"/>
        </w:rPr>
        <w:t>’</w:t>
      </w:r>
      <w:r w:rsidRPr="000B56F5">
        <w:rPr>
          <w:lang w:val="fr-CH"/>
        </w:rPr>
        <w:t xml:space="preserve">équipements de détection différents, en utilisant des échantillons doubles et </w:t>
      </w:r>
      <w:r w:rsidR="00BA6945" w:rsidRPr="000B56F5">
        <w:rPr>
          <w:lang w:val="fr-CH"/>
        </w:rPr>
        <w:t xml:space="preserve">en </w:t>
      </w:r>
      <w:r w:rsidRPr="000B56F5">
        <w:rPr>
          <w:lang w:val="fr-CH"/>
        </w:rPr>
        <w:t>échangeant les échantillons/extraits d</w:t>
      </w:r>
      <w:r w:rsidR="00B1361A" w:rsidRPr="000B56F5">
        <w:rPr>
          <w:lang w:val="fr-CH"/>
        </w:rPr>
        <w:t>’</w:t>
      </w:r>
      <w:r w:rsidRPr="000B56F5">
        <w:rPr>
          <w:lang w:val="fr-CH"/>
        </w:rPr>
        <w:t>ADN en cas de problème;</w:t>
      </w:r>
    </w:p>
    <w:p w:rsidR="00EF0D3B" w:rsidRPr="000B56F5" w:rsidRDefault="00581ED7" w:rsidP="00BA6945">
      <w:pPr>
        <w:ind w:left="1134" w:hanging="567"/>
        <w:rPr>
          <w:lang w:val="fr-CH"/>
        </w:rPr>
      </w:pPr>
      <w:r w:rsidRPr="000B56F5">
        <w:rPr>
          <w:lang w:val="fr-CH"/>
        </w:rPr>
        <w:t>l)</w:t>
      </w:r>
      <w:r w:rsidRPr="000B56F5">
        <w:rPr>
          <w:lang w:val="fr-CH"/>
        </w:rPr>
        <w:tab/>
        <w:t>utiliser dans toutes les analyses des éléments de référence (variétés, échantillons d</w:t>
      </w:r>
      <w:r w:rsidR="00B1361A" w:rsidRPr="000B56F5">
        <w:rPr>
          <w:lang w:val="fr-CH"/>
        </w:rPr>
        <w:t>’</w:t>
      </w:r>
      <w:r w:rsidRPr="000B56F5">
        <w:rPr>
          <w:lang w:val="fr-CH"/>
        </w:rPr>
        <w:t>ADN et allèles, le cas échéant);</w:t>
      </w:r>
    </w:p>
    <w:p w:rsidR="00EF0D3B" w:rsidRPr="000B56F5" w:rsidRDefault="0079324C" w:rsidP="00BA6945">
      <w:pPr>
        <w:ind w:left="1134" w:hanging="567"/>
        <w:rPr>
          <w:lang w:val="fr-CH"/>
        </w:rPr>
      </w:pPr>
      <w:r>
        <w:rPr>
          <w:lang w:val="fr-CH"/>
        </w:rPr>
        <w:t>m)</w:t>
      </w:r>
      <w:r w:rsidR="00581ED7" w:rsidRPr="000B56F5">
        <w:rPr>
          <w:lang w:val="fr-CH"/>
        </w:rPr>
        <w:tab/>
        <w:t>vérifier toutes les étapes (</w:t>
      </w:r>
      <w:r w:rsidR="00B1361A" w:rsidRPr="000B56F5">
        <w:rPr>
          <w:lang w:val="fr-CH"/>
        </w:rPr>
        <w:t>y compris</w:t>
      </w:r>
      <w:r w:rsidR="00581ED7" w:rsidRPr="000B56F5">
        <w:rPr>
          <w:lang w:val="fr-CH"/>
        </w:rPr>
        <w:t xml:space="preserve"> la saisie des données) – automatiser les opérations au maximum;</w:t>
      </w:r>
    </w:p>
    <w:p w:rsidR="00EF0D3B" w:rsidRPr="000B56F5" w:rsidRDefault="0079324C" w:rsidP="00581ED7">
      <w:pPr>
        <w:ind w:firstLine="567"/>
        <w:rPr>
          <w:lang w:val="fr-CH"/>
        </w:rPr>
      </w:pPr>
      <w:r>
        <w:rPr>
          <w:lang w:val="fr-CH"/>
        </w:rPr>
        <w:t>n)</w:t>
      </w:r>
      <w:r w:rsidR="00581ED7" w:rsidRPr="000B56F5">
        <w:rPr>
          <w:lang w:val="fr-CH"/>
        </w:rPr>
        <w:tab/>
        <w:t>mener un essai “en aveugle” dans différents laboratoires à l</w:t>
      </w:r>
      <w:r w:rsidR="00B1361A" w:rsidRPr="000B56F5">
        <w:rPr>
          <w:lang w:val="fr-CH"/>
        </w:rPr>
        <w:t>’</w:t>
      </w:r>
      <w:r w:rsidR="00581ED7" w:rsidRPr="000B56F5">
        <w:rPr>
          <w:lang w:val="fr-CH"/>
        </w:rPr>
        <w:t>aide de la base de données;</w:t>
      </w:r>
    </w:p>
    <w:p w:rsidR="00EF0D3B" w:rsidRPr="000B56F5" w:rsidRDefault="00581ED7" w:rsidP="00581ED7">
      <w:pPr>
        <w:ind w:firstLine="567"/>
        <w:rPr>
          <w:lang w:val="fr-CH"/>
        </w:rPr>
      </w:pPr>
      <w:r w:rsidRPr="000B56F5">
        <w:rPr>
          <w:lang w:val="fr-CH"/>
        </w:rPr>
        <w:t>o)</w:t>
      </w:r>
      <w:r w:rsidRPr="000B56F5">
        <w:rPr>
          <w:lang w:val="fr-CH"/>
        </w:rPr>
        <w:tab/>
        <w:t>adopter les procédures relatives à l</w:t>
      </w:r>
      <w:r w:rsidR="00B1361A" w:rsidRPr="000B56F5">
        <w:rPr>
          <w:lang w:val="fr-CH"/>
        </w:rPr>
        <w:t>’</w:t>
      </w:r>
      <w:r w:rsidRPr="000B56F5">
        <w:rPr>
          <w:lang w:val="fr-CH"/>
        </w:rPr>
        <w:t>adjonction de nouvelles données.</w:t>
      </w:r>
    </w:p>
    <w:p w:rsidR="00EF0D3B" w:rsidRPr="000B56F5" w:rsidRDefault="00EF0D3B" w:rsidP="00112E25">
      <w:pPr>
        <w:rPr>
          <w:lang w:val="fr-CH"/>
        </w:rPr>
      </w:pPr>
    </w:p>
    <w:p w:rsidR="00F874D0" w:rsidRPr="000B56F5" w:rsidRDefault="00581ED7" w:rsidP="0038525D">
      <w:pPr>
        <w:pStyle w:val="Heading1"/>
      </w:pPr>
      <w:bookmarkStart w:id="67" w:name="_Toc54004693"/>
      <w:bookmarkStart w:id="68" w:name="_Toc54004914"/>
      <w:r w:rsidRPr="000B56F5">
        <w:t>C.</w:t>
      </w:r>
      <w:r w:rsidRPr="000B56F5">
        <w:tab/>
        <w:t>Liste des sigles</w:t>
      </w:r>
      <w:bookmarkEnd w:id="67"/>
      <w:bookmarkEnd w:id="68"/>
    </w:p>
    <w:p w:rsidR="00EF0D3B" w:rsidRPr="000B56F5" w:rsidRDefault="00EF0D3B" w:rsidP="00112E25">
      <w:pPr>
        <w:rPr>
          <w:lang w:val="fr-CH"/>
        </w:rPr>
      </w:pPr>
    </w:p>
    <w:p w:rsidR="00EF0D3B" w:rsidRPr="000B56F5" w:rsidRDefault="00581ED7" w:rsidP="00581ED7">
      <w:pPr>
        <w:rPr>
          <w:lang w:val="fr-CH"/>
        </w:rPr>
      </w:pPr>
      <w:r w:rsidRPr="000B56F5">
        <w:rPr>
          <w:lang w:val="fr-CH"/>
        </w:rPr>
        <w:t>API</w:t>
      </w:r>
      <w:r w:rsidRPr="000B56F5">
        <w:rPr>
          <w:lang w:val="fr-CH"/>
        </w:rPr>
        <w:tab/>
      </w:r>
      <w:r w:rsidRPr="000B56F5">
        <w:rPr>
          <w:lang w:val="fr-CH"/>
        </w:rPr>
        <w:tab/>
      </w:r>
      <w:r w:rsidR="00BA6945" w:rsidRPr="000B56F5">
        <w:rPr>
          <w:lang w:val="fr-CH"/>
        </w:rPr>
        <w:t>Application Programming Interface (</w:t>
      </w:r>
      <w:r w:rsidRPr="000B56F5">
        <w:rPr>
          <w:lang w:val="fr-CH"/>
        </w:rPr>
        <w:t>interface de programmation</w:t>
      </w:r>
      <w:r w:rsidR="00BA6945" w:rsidRPr="000B56F5">
        <w:rPr>
          <w:lang w:val="fr-CH"/>
        </w:rPr>
        <w:t>)</w:t>
      </w:r>
    </w:p>
    <w:p w:rsidR="00EF0D3B" w:rsidRPr="007750B6" w:rsidRDefault="00581ED7" w:rsidP="00BA6945">
      <w:pPr>
        <w:rPr>
          <w:lang w:val="en-US"/>
        </w:rPr>
      </w:pPr>
      <w:r w:rsidRPr="007750B6">
        <w:rPr>
          <w:lang w:val="en-US"/>
        </w:rPr>
        <w:t xml:space="preserve">BAM </w:t>
      </w:r>
      <w:r w:rsidRPr="007750B6">
        <w:rPr>
          <w:lang w:val="en-US"/>
        </w:rPr>
        <w:tab/>
      </w:r>
      <w:r w:rsidRPr="007750B6">
        <w:rPr>
          <w:lang w:val="en-US"/>
        </w:rPr>
        <w:tab/>
        <w:t>Binary Alignment Map</w:t>
      </w:r>
    </w:p>
    <w:p w:rsidR="00EF0D3B" w:rsidRPr="007750B6" w:rsidRDefault="00581ED7" w:rsidP="00BA6945">
      <w:pPr>
        <w:rPr>
          <w:lang w:val="en-US"/>
        </w:rPr>
      </w:pPr>
      <w:r w:rsidRPr="007750B6">
        <w:rPr>
          <w:lang w:val="en-US"/>
        </w:rPr>
        <w:t xml:space="preserve">BCF </w:t>
      </w:r>
      <w:r w:rsidRPr="007750B6">
        <w:rPr>
          <w:lang w:val="en-US"/>
        </w:rPr>
        <w:tab/>
      </w:r>
      <w:r w:rsidRPr="007750B6">
        <w:rPr>
          <w:lang w:val="en-US"/>
        </w:rPr>
        <w:tab/>
        <w:t>Binary Call Format</w:t>
      </w:r>
    </w:p>
    <w:p w:rsidR="00EF0D3B" w:rsidRPr="007750B6" w:rsidRDefault="00581ED7" w:rsidP="00BA6945">
      <w:pPr>
        <w:rPr>
          <w:lang w:val="en-US"/>
        </w:rPr>
      </w:pPr>
      <w:r w:rsidRPr="007750B6">
        <w:rPr>
          <w:lang w:val="en-US"/>
        </w:rPr>
        <w:t xml:space="preserve">CRAM </w:t>
      </w:r>
      <w:r w:rsidRPr="007750B6">
        <w:rPr>
          <w:lang w:val="en-US"/>
        </w:rPr>
        <w:tab/>
        <w:t>Compressed Reference</w:t>
      </w:r>
      <w:r w:rsidR="00B1361A" w:rsidRPr="007750B6">
        <w:rPr>
          <w:lang w:val="en-US"/>
        </w:rPr>
        <w:t>-</w:t>
      </w:r>
      <w:r w:rsidRPr="007750B6">
        <w:rPr>
          <w:lang w:val="en-US"/>
        </w:rPr>
        <w:t>oriented Alignment Map</w:t>
      </w:r>
    </w:p>
    <w:p w:rsidR="00EF0D3B" w:rsidRPr="007750B6" w:rsidRDefault="00581ED7" w:rsidP="00581ED7">
      <w:pPr>
        <w:rPr>
          <w:lang w:val="en-US"/>
        </w:rPr>
      </w:pPr>
      <w:r w:rsidRPr="007750B6">
        <w:rPr>
          <w:lang w:val="en-US"/>
        </w:rPr>
        <w:t xml:space="preserve">MNP </w:t>
      </w:r>
      <w:r w:rsidRPr="007750B6">
        <w:rPr>
          <w:lang w:val="en-US"/>
        </w:rPr>
        <w:tab/>
      </w:r>
      <w:r w:rsidRPr="007750B6">
        <w:rPr>
          <w:lang w:val="en-US"/>
        </w:rPr>
        <w:tab/>
        <w:t>Multiple Nucleotide Polymorphism</w:t>
      </w:r>
    </w:p>
    <w:p w:rsidR="00EF0D3B" w:rsidRPr="007750B6" w:rsidRDefault="00112E25" w:rsidP="00112E25">
      <w:pPr>
        <w:rPr>
          <w:shd w:val="pct15" w:color="auto" w:fill="FFFFFF"/>
          <w:lang w:val="en-US"/>
        </w:rPr>
      </w:pPr>
      <w:r w:rsidRPr="007750B6">
        <w:rPr>
          <w:lang w:val="en-US"/>
        </w:rPr>
        <w:t>NGS</w:t>
      </w:r>
      <w:r w:rsidRPr="007750B6">
        <w:rPr>
          <w:lang w:val="en-US"/>
        </w:rPr>
        <w:tab/>
      </w:r>
      <w:r w:rsidRPr="007750B6">
        <w:rPr>
          <w:lang w:val="en-US"/>
        </w:rPr>
        <w:tab/>
        <w:t>Next Generation Sequencing</w:t>
      </w:r>
    </w:p>
    <w:p w:rsidR="00EF0D3B" w:rsidRPr="007750B6" w:rsidRDefault="00112E25" w:rsidP="00112E25">
      <w:pPr>
        <w:rPr>
          <w:shd w:val="pct15" w:color="auto" w:fill="FFFFFF"/>
          <w:lang w:val="en-US"/>
        </w:rPr>
      </w:pPr>
      <w:r w:rsidRPr="007750B6">
        <w:rPr>
          <w:lang w:val="en-US"/>
        </w:rPr>
        <w:t>NIL</w:t>
      </w:r>
      <w:r w:rsidRPr="007750B6">
        <w:rPr>
          <w:lang w:val="en-US"/>
        </w:rPr>
        <w:tab/>
      </w:r>
      <w:r w:rsidRPr="007750B6">
        <w:rPr>
          <w:lang w:val="en-US"/>
        </w:rPr>
        <w:tab/>
        <w:t>Near Isogenic Line</w:t>
      </w:r>
    </w:p>
    <w:p w:rsidR="00EF0D3B" w:rsidRPr="007750B6" w:rsidRDefault="00112E25" w:rsidP="00112E25">
      <w:pPr>
        <w:rPr>
          <w:shd w:val="pct15" w:color="auto" w:fill="FFFFFF"/>
          <w:lang w:val="en-US"/>
        </w:rPr>
      </w:pPr>
      <w:r w:rsidRPr="007750B6">
        <w:rPr>
          <w:lang w:val="en-US"/>
        </w:rPr>
        <w:t>RIL</w:t>
      </w:r>
      <w:r w:rsidRPr="007750B6">
        <w:rPr>
          <w:lang w:val="en-US"/>
        </w:rPr>
        <w:tab/>
      </w:r>
      <w:r w:rsidRPr="007750B6">
        <w:rPr>
          <w:lang w:val="en-US"/>
        </w:rPr>
        <w:tab/>
        <w:t>Recombinant Inbred Line</w:t>
      </w:r>
    </w:p>
    <w:p w:rsidR="00EF0D3B" w:rsidRPr="007750B6" w:rsidRDefault="00112E25" w:rsidP="00112E25">
      <w:pPr>
        <w:rPr>
          <w:shd w:val="pct15" w:color="auto" w:fill="FFFFFF"/>
          <w:lang w:val="en-US"/>
        </w:rPr>
      </w:pPr>
      <w:r w:rsidRPr="007750B6">
        <w:rPr>
          <w:lang w:val="en-US"/>
        </w:rPr>
        <w:t>SAM</w:t>
      </w:r>
      <w:r w:rsidRPr="007750B6">
        <w:rPr>
          <w:lang w:val="en-US"/>
        </w:rPr>
        <w:tab/>
      </w:r>
      <w:r w:rsidRPr="007750B6">
        <w:rPr>
          <w:lang w:val="en-US"/>
        </w:rPr>
        <w:tab/>
        <w:t>Sequence Alignment Map</w:t>
      </w:r>
    </w:p>
    <w:p w:rsidR="00EF0D3B" w:rsidRPr="007750B6" w:rsidRDefault="00112E25" w:rsidP="00112E25">
      <w:pPr>
        <w:rPr>
          <w:shd w:val="pct15" w:color="auto" w:fill="FFFFFF"/>
          <w:lang w:val="en-US"/>
        </w:rPr>
      </w:pPr>
      <w:r w:rsidRPr="007750B6">
        <w:rPr>
          <w:lang w:val="en-US"/>
        </w:rPr>
        <w:t>SNP</w:t>
      </w:r>
      <w:r w:rsidRPr="007750B6">
        <w:rPr>
          <w:lang w:val="en-US"/>
        </w:rPr>
        <w:tab/>
      </w:r>
      <w:r w:rsidRPr="007750B6">
        <w:rPr>
          <w:lang w:val="en-US"/>
        </w:rPr>
        <w:tab/>
        <w:t>Single Nucleotide Polymorphism</w:t>
      </w:r>
    </w:p>
    <w:p w:rsidR="00EF0D3B" w:rsidRPr="007750B6" w:rsidRDefault="00112E25" w:rsidP="00112E25">
      <w:pPr>
        <w:rPr>
          <w:shd w:val="pct15" w:color="auto" w:fill="FFFFFF"/>
          <w:lang w:val="en-US"/>
        </w:rPr>
      </w:pPr>
      <w:r w:rsidRPr="007750B6">
        <w:rPr>
          <w:lang w:val="en-US"/>
        </w:rPr>
        <w:t>SQL</w:t>
      </w:r>
      <w:r w:rsidRPr="007750B6">
        <w:rPr>
          <w:lang w:val="en-US"/>
        </w:rPr>
        <w:tab/>
      </w:r>
      <w:r w:rsidRPr="007750B6">
        <w:rPr>
          <w:lang w:val="en-US"/>
        </w:rPr>
        <w:tab/>
        <w:t>Structured Query Language</w:t>
      </w:r>
    </w:p>
    <w:p w:rsidR="00EF0D3B" w:rsidRPr="007750B6" w:rsidRDefault="00112E25" w:rsidP="00112E25">
      <w:pPr>
        <w:rPr>
          <w:shd w:val="pct15" w:color="auto" w:fill="FFFFFF"/>
          <w:lang w:val="en-US"/>
        </w:rPr>
      </w:pPr>
      <w:r w:rsidRPr="007750B6">
        <w:rPr>
          <w:lang w:val="en-US"/>
        </w:rPr>
        <w:t>SSR</w:t>
      </w:r>
      <w:r w:rsidRPr="007750B6">
        <w:rPr>
          <w:lang w:val="en-US"/>
        </w:rPr>
        <w:tab/>
      </w:r>
      <w:r w:rsidRPr="007750B6">
        <w:rPr>
          <w:lang w:val="en-US"/>
        </w:rPr>
        <w:tab/>
        <w:t>Simple Sequence Repeats</w:t>
      </w:r>
    </w:p>
    <w:p w:rsidR="00EF0D3B" w:rsidRPr="007750B6" w:rsidRDefault="00112E25" w:rsidP="00112E25">
      <w:pPr>
        <w:rPr>
          <w:shd w:val="pct15" w:color="auto" w:fill="FFFFFF"/>
          <w:lang w:val="en-US"/>
        </w:rPr>
      </w:pPr>
      <w:r w:rsidRPr="007750B6">
        <w:rPr>
          <w:lang w:val="en-US"/>
        </w:rPr>
        <w:t>TIFF</w:t>
      </w:r>
      <w:r w:rsidRPr="007750B6">
        <w:rPr>
          <w:lang w:val="en-US"/>
        </w:rPr>
        <w:tab/>
      </w:r>
      <w:r w:rsidRPr="007750B6">
        <w:rPr>
          <w:lang w:val="en-US"/>
        </w:rPr>
        <w:tab/>
        <w:t>Tagged Image File Format</w:t>
      </w:r>
    </w:p>
    <w:p w:rsidR="00EF0D3B" w:rsidRPr="007750B6" w:rsidRDefault="00112E25" w:rsidP="00112E25">
      <w:pPr>
        <w:rPr>
          <w:shd w:val="pct15" w:color="auto" w:fill="FFFFFF"/>
          <w:lang w:val="en-US"/>
        </w:rPr>
      </w:pPr>
      <w:r w:rsidRPr="007750B6">
        <w:rPr>
          <w:lang w:val="en-US"/>
        </w:rPr>
        <w:t>VCF</w:t>
      </w:r>
      <w:r w:rsidRPr="007750B6">
        <w:rPr>
          <w:lang w:val="en-US"/>
        </w:rPr>
        <w:tab/>
      </w:r>
      <w:r w:rsidRPr="007750B6">
        <w:rPr>
          <w:lang w:val="en-US"/>
        </w:rPr>
        <w:tab/>
        <w:t>Variant Call Format</w:t>
      </w:r>
    </w:p>
    <w:p w:rsidR="00EF0D3B" w:rsidRPr="007750B6" w:rsidRDefault="00EF0D3B" w:rsidP="00112E25">
      <w:pPr>
        <w:jc w:val="left"/>
        <w:rPr>
          <w:lang w:val="en-US"/>
        </w:rPr>
      </w:pPr>
    </w:p>
    <w:p w:rsidR="00EF0D3B" w:rsidRPr="007750B6" w:rsidRDefault="00EF0D3B" w:rsidP="00112E25">
      <w:pPr>
        <w:jc w:val="left"/>
        <w:rPr>
          <w:lang w:val="en-US"/>
        </w:rPr>
      </w:pPr>
    </w:p>
    <w:p w:rsidR="00EF0D3B" w:rsidRPr="000B56F5" w:rsidRDefault="007750B6" w:rsidP="00226F0F">
      <w:pPr>
        <w:jc w:val="right"/>
        <w:rPr>
          <w:lang w:val="fr-CH"/>
        </w:rPr>
      </w:pPr>
      <w:r w:rsidRPr="00406A48">
        <w:rPr>
          <w:lang w:val="en-US"/>
        </w:rPr>
        <w:t xml:space="preserve"> </w:t>
      </w:r>
      <w:r w:rsidR="00581ED7" w:rsidRPr="000B56F5">
        <w:rPr>
          <w:lang w:val="fr-CH"/>
        </w:rPr>
        <w:t>[L</w:t>
      </w:r>
      <w:r w:rsidR="00B1361A" w:rsidRPr="000B56F5">
        <w:rPr>
          <w:lang w:val="fr-CH"/>
        </w:rPr>
        <w:t>’</w:t>
      </w:r>
      <w:r w:rsidR="00581ED7" w:rsidRPr="000B56F5">
        <w:rPr>
          <w:lang w:val="fr-CH"/>
        </w:rPr>
        <w:t>appendice de l</w:t>
      </w:r>
      <w:r w:rsidR="00B1361A" w:rsidRPr="000B56F5">
        <w:rPr>
          <w:lang w:val="fr-CH"/>
        </w:rPr>
        <w:t>’</w:t>
      </w:r>
      <w:r w:rsidR="00581ED7" w:rsidRPr="000B56F5">
        <w:rPr>
          <w:lang w:val="fr-CH"/>
        </w:rPr>
        <w:t>annexe suit]</w:t>
      </w:r>
      <w:bookmarkEnd w:id="20"/>
    </w:p>
    <w:p w:rsidR="00112E25" w:rsidRPr="000B56F5" w:rsidRDefault="00112E25" w:rsidP="00112E25">
      <w:pPr>
        <w:jc w:val="center"/>
        <w:rPr>
          <w:rFonts w:cs="Maiandra GD"/>
          <w:lang w:val="fr-CH" w:eastAsia="nl-NL"/>
        </w:rPr>
        <w:sectPr w:rsidR="00112E25" w:rsidRPr="000B56F5" w:rsidSect="00AE29F9">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992" w:left="1134" w:header="510" w:footer="680" w:gutter="0"/>
          <w:pgNumType w:start="1"/>
          <w:cols w:space="720"/>
          <w:titlePg/>
        </w:sectPr>
      </w:pPr>
    </w:p>
    <w:p w:rsidR="00EF0D3B" w:rsidRPr="000B56F5" w:rsidRDefault="00EF0D3B" w:rsidP="00112E25">
      <w:pPr>
        <w:jc w:val="center"/>
        <w:rPr>
          <w:rFonts w:cs="Maiandra GD"/>
          <w:lang w:val="fr-CH" w:eastAsia="nl-NL"/>
        </w:rPr>
      </w:pPr>
    </w:p>
    <w:p w:rsidR="00EF0D3B" w:rsidRPr="000B56F5" w:rsidRDefault="0028342B" w:rsidP="00581ED7">
      <w:pPr>
        <w:jc w:val="center"/>
        <w:rPr>
          <w:rFonts w:eastAsia="Calibri"/>
          <w:lang w:val="fr-CH"/>
        </w:rPr>
      </w:pPr>
      <w:r w:rsidRPr="000B56F5">
        <w:rPr>
          <w:rFonts w:eastAsia="Calibri"/>
          <w:lang w:val="fr-CH"/>
        </w:rPr>
        <w:t>SCÉNARIOS D</w:t>
      </w:r>
      <w:r w:rsidR="00B1361A" w:rsidRPr="000B56F5">
        <w:rPr>
          <w:rFonts w:eastAsia="Calibri"/>
          <w:lang w:val="fr-CH"/>
        </w:rPr>
        <w:t>’</w:t>
      </w:r>
      <w:r w:rsidRPr="000B56F5">
        <w:rPr>
          <w:rFonts w:eastAsia="Calibri"/>
          <w:lang w:val="fr-CH"/>
        </w:rPr>
        <w:t>ÉCHANGE DES DONNÉES ET MÉTHODES DE TRANSFERT</w:t>
      </w:r>
      <w:r w:rsidR="006738AD" w:rsidRPr="000B56F5">
        <w:rPr>
          <w:rFonts w:eastAsia="Calibri"/>
          <w:lang w:val="fr-CH"/>
        </w:rPr>
        <w:t xml:space="preserve"> DE DONNÉES</w:t>
      </w:r>
    </w:p>
    <w:p w:rsidR="00EF0D3B" w:rsidRPr="000B56F5" w:rsidRDefault="00EF0D3B" w:rsidP="00112E25">
      <w:pPr>
        <w:rPr>
          <w:rFonts w:cs="Maiandra GD"/>
          <w:szCs w:val="18"/>
          <w:lang w:val="fr-CH" w:eastAsia="nl-NL"/>
        </w:rPr>
      </w:pPr>
    </w:p>
    <w:p w:rsidR="00EF0D3B" w:rsidRPr="000B56F5" w:rsidRDefault="00211FF5" w:rsidP="00211FF5">
      <w:pPr>
        <w:rPr>
          <w:rFonts w:eastAsia="Calibri"/>
          <w:b/>
          <w:lang w:val="fr-CH"/>
        </w:rPr>
      </w:pPr>
      <w:r w:rsidRPr="000B56F5">
        <w:rPr>
          <w:rFonts w:eastAsia="Calibri"/>
          <w:b/>
          <w:lang w:val="fr-CH"/>
        </w:rPr>
        <w:t>A</w:t>
      </w:r>
      <w:r w:rsidR="00B1361A" w:rsidRPr="000B56F5">
        <w:rPr>
          <w:rFonts w:eastAsia="Calibri"/>
          <w:b/>
          <w:lang w:val="fr-CH"/>
        </w:rPr>
        <w:t> :</w:t>
      </w:r>
      <w:r w:rsidRPr="000B56F5">
        <w:rPr>
          <w:rFonts w:eastAsia="Calibri"/>
          <w:b/>
          <w:lang w:val="fr-CH"/>
        </w:rPr>
        <w:t xml:space="preserve"> Scénarios d</w:t>
      </w:r>
      <w:r w:rsidR="00B1361A" w:rsidRPr="000B56F5">
        <w:rPr>
          <w:rFonts w:eastAsia="Calibri"/>
          <w:b/>
          <w:lang w:val="fr-CH"/>
        </w:rPr>
        <w:t>’</w:t>
      </w:r>
      <w:r w:rsidRPr="000B56F5">
        <w:rPr>
          <w:rFonts w:eastAsia="Calibri"/>
          <w:b/>
          <w:lang w:val="fr-CH"/>
        </w:rPr>
        <w:t>échange des données</w:t>
      </w:r>
    </w:p>
    <w:p w:rsidR="00EF0D3B" w:rsidRPr="000B56F5" w:rsidRDefault="00EF0D3B" w:rsidP="00112E25">
      <w:pPr>
        <w:rPr>
          <w:lang w:val="fr-CH" w:eastAsia="nl-NL"/>
        </w:rPr>
      </w:pPr>
    </w:p>
    <w:p w:rsidR="00EF0D3B" w:rsidRPr="000B56F5" w:rsidRDefault="00211FF5" w:rsidP="00211FF5">
      <w:pPr>
        <w:rPr>
          <w:rFonts w:eastAsia="Calibri"/>
          <w:i/>
          <w:lang w:val="fr-CH"/>
        </w:rPr>
      </w:pPr>
      <w:r w:rsidRPr="000B56F5">
        <w:rPr>
          <w:rFonts w:eastAsia="Calibri"/>
          <w:i/>
          <w:lang w:val="fr-CH"/>
        </w:rPr>
        <w:t>Scénario</w:t>
      </w:r>
      <w:r w:rsidR="001045F7" w:rsidRPr="000B56F5">
        <w:rPr>
          <w:rFonts w:eastAsia="Calibri"/>
          <w:i/>
          <w:lang w:val="fr-CH"/>
        </w:rPr>
        <w:t> </w:t>
      </w:r>
      <w:r w:rsidRPr="000B56F5">
        <w:rPr>
          <w:rFonts w:eastAsia="Calibri"/>
          <w:i/>
          <w:lang w:val="fr-CH"/>
        </w:rPr>
        <w:t>1</w:t>
      </w:r>
      <w:r w:rsidR="00B1361A" w:rsidRPr="000B56F5">
        <w:rPr>
          <w:rFonts w:eastAsia="Calibri"/>
          <w:i/>
          <w:lang w:val="fr-CH"/>
        </w:rPr>
        <w:t> :</w:t>
      </w:r>
      <w:r w:rsidRPr="000B56F5">
        <w:rPr>
          <w:rFonts w:eastAsia="Calibri"/>
          <w:i/>
          <w:lang w:val="fr-CH"/>
        </w:rPr>
        <w:t xml:space="preserve"> échange de données produites à partir d</w:t>
      </w:r>
      <w:r w:rsidR="00B1361A" w:rsidRPr="000B56F5">
        <w:rPr>
          <w:rFonts w:eastAsia="Calibri"/>
          <w:i/>
          <w:lang w:val="fr-CH"/>
        </w:rPr>
        <w:t>’</w:t>
      </w:r>
      <w:r w:rsidRPr="000B56F5">
        <w:rPr>
          <w:rFonts w:eastAsia="Calibri"/>
          <w:i/>
          <w:lang w:val="fr-CH"/>
        </w:rPr>
        <w:t>un ensemble normalisé de marqueurs pour une plante spécifique</w:t>
      </w:r>
    </w:p>
    <w:p w:rsidR="00EF0D3B" w:rsidRPr="000B56F5" w:rsidRDefault="00EF0D3B" w:rsidP="00112E25">
      <w:pPr>
        <w:rPr>
          <w:rFonts w:eastAsia="Calibri"/>
          <w:lang w:val="fr-CH"/>
        </w:rPr>
      </w:pPr>
    </w:p>
    <w:p w:rsidR="00F874D0" w:rsidRPr="000B56F5" w:rsidRDefault="00211FF5" w:rsidP="00211FF5">
      <w:pPr>
        <w:rPr>
          <w:rFonts w:eastAsia="Calibri"/>
          <w:lang w:val="fr-CH"/>
        </w:rPr>
      </w:pPr>
      <w:r w:rsidRPr="000B56F5">
        <w:rPr>
          <w:rFonts w:eastAsia="Calibri"/>
          <w:lang w:val="fr-CH"/>
        </w:rPr>
        <w:t>Afin d</w:t>
      </w:r>
      <w:r w:rsidR="00B1361A" w:rsidRPr="000B56F5">
        <w:rPr>
          <w:rFonts w:eastAsia="Calibri"/>
          <w:lang w:val="fr-CH"/>
        </w:rPr>
        <w:t>’</w:t>
      </w:r>
      <w:r w:rsidRPr="000B56F5">
        <w:rPr>
          <w:rFonts w:eastAsia="Calibri"/>
          <w:lang w:val="fr-CH"/>
        </w:rPr>
        <w:t>échanger des données sur l</w:t>
      </w:r>
      <w:r w:rsidR="00B1361A" w:rsidRPr="000B56F5">
        <w:rPr>
          <w:rFonts w:eastAsia="Calibri"/>
          <w:lang w:val="fr-CH"/>
        </w:rPr>
        <w:t>’</w:t>
      </w:r>
      <w:r w:rsidRPr="000B56F5">
        <w:rPr>
          <w:rFonts w:eastAsia="Calibri"/>
          <w:lang w:val="fr-CH"/>
        </w:rPr>
        <w:t>ensemble de marqueurs utilisés pour une plante spécifique, le service Web suivant peut être utilisé</w:t>
      </w:r>
      <w:r w:rsidR="00B1361A" w:rsidRPr="000B56F5">
        <w:rPr>
          <w:rFonts w:eastAsia="Calibri"/>
          <w:lang w:val="fr-CH"/>
        </w:rPr>
        <w:t> :</w:t>
      </w:r>
    </w:p>
    <w:p w:rsidR="00F874D0" w:rsidRPr="007750B6" w:rsidRDefault="00112E25" w:rsidP="00112E25">
      <w:pPr>
        <w:rPr>
          <w:rFonts w:eastAsia="Calibri"/>
          <w:lang w:val="en-US"/>
        </w:rPr>
      </w:pPr>
      <w:r w:rsidRPr="007750B6">
        <w:rPr>
          <w:rFonts w:eastAsia="Calibri"/>
          <w:lang w:val="en-US"/>
        </w:rPr>
        <w:t>https://office.org/locus?upov_code={upovcode}&amp;type={marker type}&amp;method={observation method}</w:t>
      </w:r>
    </w:p>
    <w:p w:rsidR="00EF0D3B" w:rsidRPr="007750B6" w:rsidRDefault="00EF0D3B" w:rsidP="00112E25">
      <w:pPr>
        <w:rPr>
          <w:rFonts w:eastAsia="Calibri"/>
          <w:lang w:val="en-US"/>
        </w:rPr>
      </w:pPr>
    </w:p>
    <w:p w:rsidR="00F874D0" w:rsidRPr="000B56F5" w:rsidRDefault="006A616B" w:rsidP="006A616B">
      <w:pPr>
        <w:rPr>
          <w:rFonts w:eastAsia="Calibri"/>
          <w:lang w:val="fr-CH"/>
        </w:rPr>
      </w:pPr>
      <w:r w:rsidRPr="000B56F5">
        <w:rPr>
          <w:rFonts w:eastAsia="Calibri"/>
          <w:lang w:val="fr-CH"/>
        </w:rPr>
        <w:t>Par exemple, pour obtenir des informations sur l</w:t>
      </w:r>
      <w:r w:rsidR="00B1361A" w:rsidRPr="000B56F5">
        <w:rPr>
          <w:rFonts w:eastAsia="Calibri"/>
          <w:lang w:val="fr-CH"/>
        </w:rPr>
        <w:t>’</w:t>
      </w:r>
      <w:r w:rsidRPr="000B56F5">
        <w:rPr>
          <w:rFonts w:eastAsia="Calibri"/>
          <w:lang w:val="fr-CH"/>
        </w:rPr>
        <w:t>ensemble de marqueurs pour le maïs en utilisant la méthode SSR et CE, il faut accéder à l</w:t>
      </w:r>
      <w:r w:rsidR="00B1361A" w:rsidRPr="000B56F5">
        <w:rPr>
          <w:rFonts w:eastAsia="Calibri"/>
          <w:lang w:val="fr-CH"/>
        </w:rPr>
        <w:t>’</w:t>
      </w:r>
      <w:r w:rsidRPr="000B56F5">
        <w:rPr>
          <w:rFonts w:eastAsia="Calibri"/>
          <w:lang w:val="fr-CH"/>
        </w:rPr>
        <w:t>URL suivante</w:t>
      </w:r>
      <w:r w:rsidR="00B1361A" w:rsidRPr="000B56F5">
        <w:rPr>
          <w:rFonts w:eastAsia="Calibri"/>
          <w:lang w:val="fr-CH"/>
        </w:rPr>
        <w:t> :</w:t>
      </w:r>
    </w:p>
    <w:p w:rsidR="00F874D0" w:rsidRPr="000B56F5" w:rsidRDefault="00112E25" w:rsidP="00112E25">
      <w:pPr>
        <w:rPr>
          <w:rFonts w:eastAsia="Calibri"/>
          <w:lang w:val="fr-CH"/>
        </w:rPr>
      </w:pPr>
      <w:r w:rsidRPr="000B56F5">
        <w:rPr>
          <w:rFonts w:eastAsia="Calibri"/>
          <w:lang w:val="fr-CH"/>
        </w:rPr>
        <w:t>https://office.org/locus?upov_code=ZEAAA_MAY&amp;type=SSR&amp;method=CE</w:t>
      </w:r>
    </w:p>
    <w:p w:rsidR="00EF0D3B" w:rsidRPr="000B56F5" w:rsidRDefault="00EF0D3B" w:rsidP="00112E25">
      <w:pPr>
        <w:spacing w:line="240" w:lineRule="atLeast"/>
        <w:jc w:val="left"/>
        <w:rPr>
          <w:rFonts w:ascii="Calibri" w:eastAsia="Calibri" w:hAnsi="Calibri"/>
          <w:sz w:val="23"/>
          <w:szCs w:val="23"/>
          <w:lang w:val="fr-CH"/>
        </w:rPr>
      </w:pPr>
    </w:p>
    <w:p w:rsidR="00F874D0" w:rsidRPr="000B56F5" w:rsidRDefault="006A616B" w:rsidP="006A616B">
      <w:pPr>
        <w:rPr>
          <w:rFonts w:eastAsia="Calibri"/>
          <w:lang w:val="fr-CH"/>
        </w:rPr>
      </w:pPr>
      <w:r w:rsidRPr="000B56F5">
        <w:rPr>
          <w:rFonts w:eastAsia="Calibri"/>
          <w:lang w:val="fr-CH"/>
        </w:rPr>
        <w:t>Le résultat serait</w:t>
      </w:r>
      <w:r w:rsidR="00B1361A" w:rsidRPr="000B56F5">
        <w:rPr>
          <w:rFonts w:eastAsia="Calibri"/>
          <w:lang w:val="fr-CH"/>
        </w:rPr>
        <w:t> :</w:t>
      </w:r>
    </w:p>
    <w:p w:rsidR="00EF0D3B" w:rsidRPr="000B56F5" w:rsidRDefault="00EF0D3B" w:rsidP="00112E25">
      <w:pPr>
        <w:spacing w:line="240" w:lineRule="atLeast"/>
        <w:jc w:val="left"/>
        <w:rPr>
          <w:rFonts w:eastAsia="Calibri" w:cs="Arial"/>
          <w:lang w:val="fr-CH"/>
        </w:rPr>
      </w:pPr>
    </w:p>
    <w:p w:rsidR="00112E25" w:rsidRPr="000B56F5" w:rsidRDefault="00112E25" w:rsidP="00112E25">
      <w:pPr>
        <w:rPr>
          <w:rFonts w:eastAsia="Calibri" w:cs="Arial"/>
          <w:lang w:val="fr-CH"/>
        </w:rPr>
        <w:sectPr w:rsidR="00112E25" w:rsidRPr="000B56F5" w:rsidSect="00AE29F9">
          <w:headerReference w:type="first" r:id="rId16"/>
          <w:pgSz w:w="11907" w:h="16840" w:code="9"/>
          <w:pgMar w:top="510" w:right="1134" w:bottom="992" w:left="1134" w:header="510" w:footer="680" w:gutter="0"/>
          <w:pgNumType w:start="1"/>
          <w:cols w:space="720"/>
          <w:titlePg/>
        </w:sectPr>
      </w:pPr>
    </w:p>
    <w:p w:rsidR="000B56F5" w:rsidRPr="003265BF" w:rsidRDefault="000B56F5" w:rsidP="000B56F5">
      <w:pPr>
        <w:rPr>
          <w:rFonts w:eastAsia="Calibri" w:cs="Arial"/>
          <w:color w:val="000000"/>
        </w:rPr>
      </w:pPr>
      <w:r w:rsidRPr="003265BF">
        <w:rPr>
          <w:rFonts w:eastAsia="Calibri" w:cs="Arial"/>
          <w:color w:val="000000"/>
        </w:rPr>
        <w:t>{"techniqueid": "CN_SSR_ZEAA_MAY_CE_V_1",</w:t>
      </w:r>
    </w:p>
    <w:p w:rsidR="000B56F5" w:rsidRPr="000B56F5" w:rsidRDefault="000B56F5" w:rsidP="000B56F5">
      <w:pPr>
        <w:rPr>
          <w:rFonts w:eastAsia="Calibri" w:cs="Arial"/>
          <w:color w:val="000000"/>
          <w:lang w:val="en-US"/>
        </w:rPr>
      </w:pPr>
      <w:r w:rsidRPr="000B56F5">
        <w:rPr>
          <w:rFonts w:eastAsia="Calibri" w:cs="Arial"/>
          <w:color w:val="000000"/>
          <w:lang w:val="en-US"/>
        </w:rPr>
        <w:t>"description": "Laboratory method description"</w:t>
      </w:r>
    </w:p>
    <w:p w:rsidR="000B56F5" w:rsidRPr="000B56F5" w:rsidRDefault="000B56F5" w:rsidP="000B56F5">
      <w:pPr>
        <w:rPr>
          <w:rFonts w:eastAsia="Calibri" w:cs="Arial"/>
          <w:color w:val="000000"/>
          <w:lang w:val="en-US"/>
        </w:rPr>
      </w:pPr>
      <w:r w:rsidRPr="000B56F5">
        <w:rPr>
          <w:rFonts w:eastAsia="Calibri" w:cs="Arial"/>
          <w:color w:val="000000"/>
          <w:lang w:val="en-US"/>
        </w:rPr>
        <w:t>["locusid": "M01",</w:t>
      </w:r>
    </w:p>
    <w:p w:rsidR="000B56F5" w:rsidRPr="000B56F5" w:rsidRDefault="000B56F5" w:rsidP="000B56F5">
      <w:pPr>
        <w:rPr>
          <w:rFonts w:eastAsia="Calibri" w:cs="Arial"/>
          <w:color w:val="000000"/>
          <w:lang w:val="en-US"/>
        </w:rPr>
      </w:pPr>
      <w:r w:rsidRPr="000B56F5">
        <w:rPr>
          <w:rFonts w:eastAsia="Calibri" w:cs="Arial"/>
          <w:color w:val="000000"/>
          <w:lang w:val="en-US"/>
        </w:rPr>
        <w:t>"alleles":</w:t>
      </w:r>
    </w:p>
    <w:p w:rsidR="000B56F5" w:rsidRPr="000B56F5" w:rsidRDefault="000B56F5" w:rsidP="000B56F5">
      <w:pPr>
        <w:rPr>
          <w:rFonts w:eastAsia="Calibri" w:cs="Arial"/>
          <w:color w:val="000000"/>
          <w:lang w:val="en-US"/>
        </w:rPr>
      </w:pPr>
      <w:r w:rsidRPr="000B56F5">
        <w:rPr>
          <w:rFonts w:eastAsia="Calibri" w:cs="Arial"/>
          <w:color w:val="000000"/>
          <w:lang w:val="en-US"/>
        </w:rPr>
        <w:t>["alleleid": "238/256",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"238/271",</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"246/246",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"246/248",</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"246/250",</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"246/254",</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"246/256",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"246/260",</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"246/277",</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"246/284",</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"246/288",</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"248/250",</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"248/256",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"248/271",</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"248/290",</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"250/250",</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"250/252",</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"250/256",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"250/275",</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"252/256",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"252/260",</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"252/271",</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"252/273",</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"252/282",</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"254/254",</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"254/271",</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"254/284",</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"254/286",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"256/256",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"256/264",</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"256/266",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"256/271",</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"256/284",</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"256/286",</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"258/258",</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"264/284",</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0B56F5" w:rsidRDefault="000B56F5" w:rsidP="000B56F5">
      <w:pPr>
        <w:rPr>
          <w:rFonts w:eastAsia="Calibri" w:cs="Arial"/>
          <w:color w:val="000000"/>
          <w:lang w:val="en-US"/>
        </w:rPr>
      </w:pPr>
      <w:r w:rsidRPr="000B56F5">
        <w:rPr>
          <w:rFonts w:eastAsia="Calibri" w:cs="Arial"/>
          <w:color w:val="000000"/>
          <w:lang w:val="en-US"/>
        </w:rPr>
        <w:t>],</w:t>
      </w:r>
    </w:p>
    <w:p w:rsidR="000B56F5" w:rsidRPr="000B56F5" w:rsidRDefault="000B56F5" w:rsidP="000B56F5">
      <w:pPr>
        <w:rPr>
          <w:rFonts w:eastAsia="Calibri" w:cs="Arial"/>
          <w:color w:val="000000"/>
          <w:lang w:val="en-US"/>
        </w:rPr>
      </w:pPr>
      <w:r w:rsidRPr="000B56F5">
        <w:rPr>
          <w:rFonts w:eastAsia="Calibri" w:cs="Arial"/>
          <w:color w:val="000000"/>
          <w:lang w:val="en-US"/>
        </w:rPr>
        <w:t>["alleleid": "271/292",</w:t>
      </w:r>
    </w:p>
    <w:p w:rsidR="000B56F5" w:rsidRPr="000B56F5" w:rsidRDefault="000B56F5" w:rsidP="000B56F5">
      <w:pPr>
        <w:rPr>
          <w:rFonts w:eastAsia="Calibri" w:cs="Arial"/>
          <w:color w:val="000000"/>
          <w:lang w:val="en-US"/>
        </w:rPr>
      </w:pPr>
      <w:r w:rsidRPr="000B56F5">
        <w:rPr>
          <w:rFonts w:eastAsia="Calibri" w:cs="Arial"/>
          <w:color w:val="000000"/>
          <w:lang w:val="en-US"/>
        </w:rPr>
        <w:t>"examplevariety":</w:t>
      </w:r>
    </w:p>
    <w:p w:rsidR="000B56F5" w:rsidRPr="00832052" w:rsidRDefault="000B56F5" w:rsidP="000B56F5">
      <w:pPr>
        <w:rPr>
          <w:rFonts w:eastAsia="Calibri" w:cs="Arial"/>
          <w:color w:val="000000"/>
        </w:rPr>
      </w:pPr>
      <w:r w:rsidRPr="00832052">
        <w:rPr>
          <w:rFonts w:eastAsia="Calibri" w:cs="Arial"/>
          <w:color w:val="000000"/>
        </w:rPr>
        <w:t>]</w:t>
      </w:r>
    </w:p>
    <w:p w:rsidR="000B56F5" w:rsidRPr="00832052" w:rsidRDefault="000B56F5" w:rsidP="000B56F5">
      <w:pPr>
        <w:rPr>
          <w:rFonts w:eastAsia="Calibri" w:cs="Arial"/>
          <w:color w:val="000000"/>
        </w:rPr>
      </w:pPr>
      <w:r w:rsidRPr="00832052">
        <w:rPr>
          <w:rFonts w:eastAsia="Calibri" w:cs="Arial"/>
          <w:color w:val="000000"/>
        </w:rPr>
        <w:t>],</w:t>
      </w:r>
    </w:p>
    <w:p w:rsidR="000B56F5" w:rsidRPr="00832052" w:rsidRDefault="000B56F5" w:rsidP="000B56F5">
      <w:pPr>
        <w:rPr>
          <w:rFonts w:eastAsia="Calibri" w:cs="Arial"/>
          <w:color w:val="000000"/>
        </w:rPr>
      </w:pPr>
    </w:p>
    <w:p w:rsidR="000B56F5" w:rsidRPr="00832052" w:rsidRDefault="000B56F5" w:rsidP="000B56F5">
      <w:pPr>
        <w:rPr>
          <w:rFonts w:eastAsia="Calibri" w:cs="Arial"/>
          <w:color w:val="000000"/>
        </w:rPr>
      </w:pPr>
      <w:r w:rsidRPr="00832052">
        <w:rPr>
          <w:rFonts w:eastAsia="Calibri" w:cs="Arial"/>
          <w:color w:val="000000"/>
        </w:rPr>
        <w:t>["locusid"="M02”.</w:t>
      </w:r>
    </w:p>
    <w:p w:rsidR="000B56F5" w:rsidRPr="00832052" w:rsidRDefault="000B56F5" w:rsidP="000B56F5">
      <w:pPr>
        <w:rPr>
          <w:rFonts w:eastAsia="Calibri" w:cs="Arial"/>
          <w:color w:val="000000"/>
        </w:rPr>
      </w:pPr>
      <w:r w:rsidRPr="00832052">
        <w:rPr>
          <w:rFonts w:eastAsia="Calibri" w:cs="Arial"/>
          <w:color w:val="000000"/>
        </w:rPr>
        <w:t>"alleles": […]</w:t>
      </w:r>
    </w:p>
    <w:p w:rsidR="00112E25" w:rsidRPr="000B56F5" w:rsidRDefault="000B56F5" w:rsidP="000B56F5">
      <w:pPr>
        <w:spacing w:line="240" w:lineRule="atLeast"/>
        <w:jc w:val="left"/>
        <w:rPr>
          <w:rFonts w:ascii="Calibri" w:eastAsia="Calibri" w:hAnsi="Calibri"/>
          <w:szCs w:val="23"/>
          <w:lang w:val="fr-CH"/>
        </w:rPr>
        <w:sectPr w:rsidR="00112E25" w:rsidRPr="000B56F5" w:rsidSect="00AE29F9">
          <w:headerReference w:type="default" r:id="rId17"/>
          <w:type w:val="continuous"/>
          <w:pgSz w:w="11907" w:h="16840" w:code="9"/>
          <w:pgMar w:top="510" w:right="1134" w:bottom="992" w:left="1134" w:header="510" w:footer="680" w:gutter="0"/>
          <w:pgNumType w:start="1"/>
          <w:cols w:num="3" w:space="720"/>
          <w:titlePg/>
        </w:sectPr>
      </w:pPr>
      <w:r w:rsidRPr="00832052">
        <w:rPr>
          <w:rFonts w:eastAsia="Calibri" w:cs="Arial"/>
          <w:color w:val="000000"/>
        </w:rPr>
        <w:t>]} vi</w:t>
      </w:r>
    </w:p>
    <w:p w:rsidR="00F874D0" w:rsidRPr="000B56F5" w:rsidRDefault="00C148DD" w:rsidP="00C148DD">
      <w:pPr>
        <w:keepNext/>
        <w:rPr>
          <w:rFonts w:eastAsia="Calibri"/>
          <w:i/>
          <w:lang w:val="fr-CH"/>
        </w:rPr>
      </w:pPr>
      <w:r w:rsidRPr="000B56F5">
        <w:rPr>
          <w:rFonts w:eastAsia="Calibri"/>
          <w:i/>
          <w:lang w:val="fr-CH"/>
        </w:rPr>
        <w:t>Scénario</w:t>
      </w:r>
      <w:r w:rsidR="001045F7" w:rsidRPr="000B56F5">
        <w:rPr>
          <w:rFonts w:eastAsia="Calibri"/>
          <w:i/>
          <w:lang w:val="fr-CH"/>
        </w:rPr>
        <w:t> </w:t>
      </w:r>
      <w:r w:rsidRPr="000B56F5">
        <w:rPr>
          <w:rFonts w:eastAsia="Calibri"/>
          <w:i/>
          <w:lang w:val="fr-CH"/>
        </w:rPr>
        <w:t>2</w:t>
      </w:r>
      <w:r w:rsidR="00B1361A" w:rsidRPr="000B56F5">
        <w:rPr>
          <w:rFonts w:eastAsia="Calibri"/>
          <w:i/>
          <w:lang w:val="fr-CH"/>
        </w:rPr>
        <w:t> :</w:t>
      </w:r>
      <w:r w:rsidRPr="000B56F5">
        <w:rPr>
          <w:rFonts w:eastAsia="Calibri"/>
          <w:i/>
          <w:lang w:val="fr-CH"/>
        </w:rPr>
        <w:t xml:space="preserve"> recherche et consultation de données relatives à des variétés sélectionnées, générées à partir du même ensemble normalisé de marqueurs</w:t>
      </w:r>
    </w:p>
    <w:p w:rsidR="00EF0D3B" w:rsidRPr="000B56F5" w:rsidRDefault="00EF0D3B" w:rsidP="00112E25">
      <w:pPr>
        <w:keepNext/>
        <w:rPr>
          <w:rFonts w:eastAsia="Calibri"/>
          <w:lang w:val="fr-CH"/>
        </w:rPr>
      </w:pPr>
    </w:p>
    <w:p w:rsidR="00EF0D3B" w:rsidRPr="000B56F5" w:rsidRDefault="00C148DD" w:rsidP="00C148DD">
      <w:pPr>
        <w:rPr>
          <w:rFonts w:eastAsia="Calibri"/>
          <w:lang w:val="fr-CH"/>
        </w:rPr>
      </w:pPr>
      <w:r w:rsidRPr="000B56F5">
        <w:rPr>
          <w:rFonts w:eastAsia="Calibri"/>
          <w:lang w:val="fr-CH"/>
        </w:rPr>
        <w:t>Afin de rechercher et de consulter les données moléculaires d</w:t>
      </w:r>
      <w:r w:rsidR="00B1361A" w:rsidRPr="000B56F5">
        <w:rPr>
          <w:rFonts w:eastAsia="Calibri"/>
          <w:lang w:val="fr-CH"/>
        </w:rPr>
        <w:t>’</w:t>
      </w:r>
      <w:r w:rsidRPr="000B56F5">
        <w:rPr>
          <w:rFonts w:eastAsia="Calibri"/>
          <w:lang w:val="fr-CH"/>
        </w:rPr>
        <w:t>une variété, le service Web suivant peut être utilisé</w:t>
      </w:r>
      <w:r w:rsidR="00B1361A" w:rsidRPr="000B56F5">
        <w:rPr>
          <w:rFonts w:eastAsia="Calibri"/>
          <w:lang w:val="fr-CH"/>
        </w:rPr>
        <w:t> :</w:t>
      </w:r>
    </w:p>
    <w:p w:rsidR="00EF0D3B" w:rsidRPr="000B56F5" w:rsidRDefault="00112E25" w:rsidP="00112E25">
      <w:pPr>
        <w:rPr>
          <w:rFonts w:eastAsia="Calibri"/>
          <w:lang w:val="fr-CH"/>
        </w:rPr>
      </w:pPr>
      <w:r w:rsidRPr="000B56F5">
        <w:rPr>
          <w:rFonts w:eastAsia="Calibri"/>
          <w:lang w:val="fr-CH"/>
        </w:rPr>
        <w:t>https://office.org/variety?id={irn}&amp;techniqueid={technique_code} vi</w:t>
      </w:r>
    </w:p>
    <w:p w:rsidR="00EF0D3B" w:rsidRPr="000B56F5" w:rsidRDefault="00EF0D3B" w:rsidP="00112E25">
      <w:pPr>
        <w:rPr>
          <w:rFonts w:eastAsia="Calibri"/>
          <w:lang w:val="fr-CH"/>
        </w:rPr>
      </w:pPr>
    </w:p>
    <w:p w:rsidR="00F874D0" w:rsidRPr="000B56F5" w:rsidRDefault="00C148DD" w:rsidP="00C148DD">
      <w:pPr>
        <w:rPr>
          <w:rFonts w:eastAsia="Calibri"/>
          <w:lang w:val="fr-CH"/>
        </w:rPr>
      </w:pPr>
      <w:r w:rsidRPr="000B56F5">
        <w:rPr>
          <w:rFonts w:eastAsia="Calibri"/>
          <w:lang w:val="fr-CH"/>
        </w:rPr>
        <w:t>Par exemple,</w:t>
      </w:r>
    </w:p>
    <w:p w:rsidR="00EF0D3B" w:rsidRPr="000B56F5" w:rsidRDefault="00112E25" w:rsidP="00112E25">
      <w:pPr>
        <w:rPr>
          <w:rFonts w:eastAsia="Calibri"/>
          <w:lang w:val="fr-CH"/>
        </w:rPr>
      </w:pPr>
      <w:r w:rsidRPr="000B56F5">
        <w:rPr>
          <w:rFonts w:eastAsia="Calibri"/>
          <w:lang w:val="fr-CH"/>
        </w:rPr>
        <w:t>https://office.org/variety?id=XU_30201800000140 &amp;techniqueid= CN_SSR_ZEAA_MAY_CE_V_1 vi</w:t>
      </w:r>
    </w:p>
    <w:p w:rsidR="00EF0D3B" w:rsidRPr="000B56F5" w:rsidRDefault="00EF0D3B" w:rsidP="00112E25">
      <w:pPr>
        <w:rPr>
          <w:rFonts w:eastAsia="Calibri"/>
          <w:lang w:val="fr-CH"/>
        </w:rPr>
      </w:pPr>
    </w:p>
    <w:p w:rsidR="00EF0D3B" w:rsidRPr="000B56F5" w:rsidRDefault="00C148DD" w:rsidP="00C148DD">
      <w:pPr>
        <w:rPr>
          <w:rFonts w:eastAsia="Calibri"/>
          <w:lang w:val="fr-CH"/>
        </w:rPr>
      </w:pPr>
      <w:r w:rsidRPr="000B56F5">
        <w:rPr>
          <w:rFonts w:eastAsia="Calibri"/>
          <w:lang w:val="fr-CH"/>
        </w:rPr>
        <w:t>Le résultat serait</w:t>
      </w:r>
      <w:r w:rsidR="00B1361A" w:rsidRPr="000B56F5">
        <w:rPr>
          <w:rFonts w:eastAsia="Calibri"/>
          <w:lang w:val="fr-CH"/>
        </w:rPr>
        <w:t> :</w:t>
      </w:r>
    </w:p>
    <w:p w:rsidR="00EF0D3B" w:rsidRPr="000B56F5" w:rsidRDefault="00EF0D3B" w:rsidP="00112E25">
      <w:pPr>
        <w:rPr>
          <w:rFonts w:eastAsia="Calibri" w:cs="Arial"/>
          <w:lang w:val="fr-CH"/>
        </w:rPr>
      </w:pPr>
    </w:p>
    <w:p w:rsidR="000B56F5" w:rsidRPr="007750B6" w:rsidRDefault="000B56F5" w:rsidP="000B56F5">
      <w:pPr>
        <w:spacing w:line="240" w:lineRule="atLeast"/>
        <w:ind w:left="567"/>
        <w:jc w:val="left"/>
        <w:rPr>
          <w:rFonts w:eastAsia="Calibri" w:cs="Arial"/>
          <w:color w:val="000000"/>
          <w:lang w:val="fr-CH"/>
        </w:rPr>
      </w:pPr>
      <w:r w:rsidRPr="007750B6">
        <w:rPr>
          <w:rFonts w:eastAsia="Calibri" w:cs="Arial"/>
          <w:color w:val="000000"/>
          <w:lang w:val="fr-CH"/>
        </w:rPr>
        <w:t>{"techniqueid": "CN_SSR_ZEAA_MAY_PAGE ",</w:t>
      </w:r>
    </w:p>
    <w:p w:rsidR="000B56F5" w:rsidRPr="00F80F1B" w:rsidRDefault="000B56F5" w:rsidP="000B56F5">
      <w:pPr>
        <w:spacing w:line="240" w:lineRule="atLeast"/>
        <w:ind w:left="567"/>
        <w:jc w:val="left"/>
        <w:rPr>
          <w:rFonts w:eastAsia="Calibri" w:cs="Arial"/>
          <w:color w:val="000000"/>
          <w:lang w:val="fr-CH"/>
        </w:rPr>
      </w:pPr>
      <w:r w:rsidRPr="00F80F1B">
        <w:rPr>
          <w:rFonts w:eastAsia="Calibri" w:cs="Arial"/>
          <w:color w:val="000000"/>
          <w:lang w:val="fr-CH"/>
        </w:rPr>
        <w:t>"varietyid": " XU_30201800000140 ",</w:t>
      </w:r>
    </w:p>
    <w:p w:rsidR="000B56F5" w:rsidRPr="00F80F1B" w:rsidRDefault="000B56F5" w:rsidP="000B56F5">
      <w:pPr>
        <w:spacing w:line="240" w:lineRule="atLeast"/>
        <w:ind w:left="567"/>
        <w:jc w:val="left"/>
        <w:rPr>
          <w:rFonts w:eastAsia="Calibri" w:cs="Arial"/>
          <w:color w:val="000000"/>
          <w:lang w:val="fr-CH"/>
        </w:rPr>
      </w:pPr>
      <w:r w:rsidRPr="00F80F1B">
        <w:rPr>
          <w:rFonts w:eastAsia="Calibri" w:cs="Arial"/>
          <w:color w:val="000000"/>
          <w:lang w:val="fr-CH"/>
        </w:rPr>
        <w:t>"computationalsteps": "xxxxxxxxxxxx"</w:t>
      </w:r>
    </w:p>
    <w:p w:rsidR="000B56F5" w:rsidRPr="00F80F1B" w:rsidRDefault="000B56F5" w:rsidP="000B56F5">
      <w:pPr>
        <w:spacing w:line="240" w:lineRule="atLeast"/>
        <w:ind w:left="567"/>
        <w:jc w:val="left"/>
        <w:rPr>
          <w:rFonts w:eastAsia="Calibri" w:cs="Arial"/>
          <w:color w:val="000000"/>
          <w:lang w:val="fr-CH"/>
        </w:rPr>
      </w:pPr>
      <w:r w:rsidRPr="00F80F1B">
        <w:rPr>
          <w:rFonts w:eastAsia="Calibri" w:cs="Arial"/>
          <w:color w:val="000000"/>
          <w:lang w:val="fr-CH"/>
        </w:rPr>
        <w:t>"data":</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"id": "M01",</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"value" : "254/254"</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"id": "M02",</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"value" : "347/347"</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w:t>
      </w:r>
    </w:p>
    <w:p w:rsidR="000B56F5" w:rsidRPr="000B56F5" w:rsidRDefault="000B56F5" w:rsidP="000B56F5">
      <w:pPr>
        <w:spacing w:line="240" w:lineRule="atLeast"/>
        <w:ind w:left="567"/>
        <w:jc w:val="left"/>
        <w:rPr>
          <w:rFonts w:eastAsia="Calibri" w:cs="Arial"/>
          <w:color w:val="000000"/>
          <w:lang w:val="en-US"/>
        </w:rPr>
      </w:pPr>
      <w:r w:rsidRPr="000B56F5">
        <w:rPr>
          <w:rFonts w:eastAsia="Calibri" w:cs="Arial"/>
          <w:color w:val="000000"/>
          <w:lang w:val="en-US"/>
        </w:rPr>
        <w:t>"id": "M03",</w:t>
      </w:r>
    </w:p>
    <w:p w:rsidR="000B56F5" w:rsidRPr="007750B6" w:rsidRDefault="000B56F5" w:rsidP="000B56F5">
      <w:pPr>
        <w:spacing w:line="240" w:lineRule="atLeast"/>
        <w:ind w:left="567"/>
        <w:jc w:val="left"/>
        <w:rPr>
          <w:rFonts w:eastAsia="Calibri" w:cs="Arial"/>
          <w:color w:val="000000"/>
          <w:lang w:val="en-US"/>
        </w:rPr>
      </w:pPr>
      <w:r w:rsidRPr="007750B6">
        <w:rPr>
          <w:rFonts w:eastAsia="Calibri" w:cs="Arial"/>
          <w:color w:val="000000"/>
          <w:lang w:val="en-US"/>
        </w:rPr>
        <w:t>"value" : "292/292"</w:t>
      </w:r>
    </w:p>
    <w:p w:rsidR="000B56F5" w:rsidRPr="007750B6" w:rsidRDefault="000B56F5" w:rsidP="000B56F5">
      <w:pPr>
        <w:spacing w:line="240" w:lineRule="atLeast"/>
        <w:ind w:left="567"/>
        <w:jc w:val="left"/>
        <w:rPr>
          <w:rFonts w:eastAsia="Calibri" w:cs="Arial"/>
          <w:color w:val="000000"/>
          <w:lang w:val="en-US"/>
        </w:rPr>
      </w:pPr>
      <w:r w:rsidRPr="007750B6">
        <w:rPr>
          <w:rFonts w:eastAsia="Calibri" w:cs="Arial"/>
          <w:color w:val="000000"/>
          <w:lang w:val="en-US"/>
        </w:rPr>
        <w:t>],</w:t>
      </w:r>
    </w:p>
    <w:p w:rsidR="000B56F5" w:rsidRPr="007750B6" w:rsidRDefault="000B56F5" w:rsidP="000B56F5">
      <w:pPr>
        <w:spacing w:line="240" w:lineRule="atLeast"/>
        <w:ind w:left="567"/>
        <w:jc w:val="left"/>
        <w:rPr>
          <w:rFonts w:eastAsia="Calibri" w:cs="Arial"/>
          <w:color w:val="000000"/>
          <w:lang w:val="en-US"/>
        </w:rPr>
      </w:pPr>
      <w:r w:rsidRPr="007750B6">
        <w:rPr>
          <w:rFonts w:eastAsia="Calibri" w:cs="Arial"/>
          <w:color w:val="000000"/>
          <w:lang w:val="en-US"/>
        </w:rPr>
        <w:t>[</w:t>
      </w:r>
    </w:p>
    <w:p w:rsidR="000B56F5" w:rsidRPr="007750B6" w:rsidRDefault="000B56F5" w:rsidP="000B56F5">
      <w:pPr>
        <w:spacing w:line="240" w:lineRule="atLeast"/>
        <w:ind w:left="567"/>
        <w:jc w:val="left"/>
        <w:rPr>
          <w:rFonts w:eastAsia="Calibri" w:cs="Arial"/>
          <w:color w:val="000000"/>
          <w:lang w:val="en-US"/>
        </w:rPr>
      </w:pPr>
      <w:r w:rsidRPr="007750B6">
        <w:rPr>
          <w:rFonts w:eastAsia="Calibri" w:cs="Arial"/>
          <w:color w:val="000000"/>
          <w:lang w:val="en-US"/>
        </w:rPr>
        <w:t>"id": "M04",</w:t>
      </w:r>
    </w:p>
    <w:p w:rsidR="000B56F5" w:rsidRPr="00406A48" w:rsidRDefault="000B56F5" w:rsidP="000B56F5">
      <w:pPr>
        <w:spacing w:line="240" w:lineRule="atLeast"/>
        <w:ind w:left="567"/>
        <w:jc w:val="left"/>
        <w:rPr>
          <w:rFonts w:eastAsia="Calibri" w:cs="Arial"/>
          <w:color w:val="000000"/>
          <w:lang w:val="en-US"/>
        </w:rPr>
      </w:pPr>
      <w:r w:rsidRPr="00406A48">
        <w:rPr>
          <w:rFonts w:eastAsia="Calibri" w:cs="Arial"/>
          <w:color w:val="000000"/>
          <w:lang w:val="en-US"/>
        </w:rPr>
        <w:t>"value" : "361/361"</w:t>
      </w:r>
    </w:p>
    <w:p w:rsidR="000B56F5" w:rsidRPr="00AB5F0F" w:rsidRDefault="000B56F5" w:rsidP="000B56F5">
      <w:pPr>
        <w:spacing w:line="240" w:lineRule="atLeast"/>
        <w:ind w:left="567"/>
        <w:jc w:val="left"/>
        <w:rPr>
          <w:rFonts w:eastAsia="Calibri" w:cs="Arial"/>
          <w:color w:val="000000"/>
          <w:lang w:val="en-US"/>
        </w:rPr>
      </w:pPr>
      <w:r w:rsidRPr="00AB5F0F">
        <w:rPr>
          <w:rFonts w:eastAsia="Calibri" w:cs="Arial"/>
          <w:color w:val="000000"/>
          <w:lang w:val="en-US"/>
        </w:rPr>
        <w:t>],</w:t>
      </w:r>
    </w:p>
    <w:p w:rsidR="000B56F5" w:rsidRPr="00832052" w:rsidRDefault="000B56F5" w:rsidP="000B56F5">
      <w:pPr>
        <w:spacing w:line="240" w:lineRule="atLeast"/>
        <w:ind w:left="567"/>
        <w:jc w:val="left"/>
        <w:rPr>
          <w:rFonts w:eastAsia="Calibri" w:cs="Arial"/>
          <w:color w:val="000000"/>
        </w:rPr>
      </w:pPr>
      <w:r w:rsidRPr="00832052">
        <w:rPr>
          <w:rFonts w:eastAsia="Calibri" w:cs="Arial"/>
          <w:color w:val="000000"/>
        </w:rPr>
        <w:t>…</w:t>
      </w:r>
    </w:p>
    <w:p w:rsidR="000B56F5" w:rsidRPr="00832052" w:rsidRDefault="000B56F5" w:rsidP="000B56F5">
      <w:pPr>
        <w:spacing w:line="240" w:lineRule="atLeast"/>
        <w:ind w:left="567"/>
        <w:jc w:val="left"/>
        <w:rPr>
          <w:rFonts w:eastAsia="Calibri" w:cs="Arial"/>
          <w:color w:val="000000"/>
        </w:rPr>
      </w:pPr>
      <w:r w:rsidRPr="00832052">
        <w:rPr>
          <w:rFonts w:eastAsia="Calibri" w:cs="Arial"/>
          <w:color w:val="000000"/>
        </w:rPr>
        <w:t>} vi</w:t>
      </w:r>
    </w:p>
    <w:p w:rsidR="00EF0D3B" w:rsidRPr="000B56F5" w:rsidRDefault="00EF0D3B" w:rsidP="00112E25">
      <w:pPr>
        <w:rPr>
          <w:lang w:val="fr-CH" w:eastAsia="nl-NL"/>
        </w:rPr>
      </w:pPr>
    </w:p>
    <w:p w:rsidR="00F874D0" w:rsidRPr="000B56F5" w:rsidRDefault="00EF0D3B" w:rsidP="00EF0D3B">
      <w:pPr>
        <w:rPr>
          <w:rFonts w:eastAsia="Calibri"/>
          <w:b/>
          <w:lang w:val="fr-CH"/>
        </w:rPr>
      </w:pPr>
      <w:r w:rsidRPr="000B56F5">
        <w:rPr>
          <w:rFonts w:eastAsia="Calibri"/>
          <w:b/>
          <w:lang w:val="fr-CH"/>
        </w:rPr>
        <w:t>B</w:t>
      </w:r>
      <w:r w:rsidR="00B1361A" w:rsidRPr="000B56F5">
        <w:rPr>
          <w:rFonts w:eastAsia="Calibri"/>
          <w:b/>
          <w:lang w:val="fr-CH"/>
        </w:rPr>
        <w:t> :</w:t>
      </w:r>
      <w:r w:rsidRPr="000B56F5">
        <w:rPr>
          <w:rFonts w:eastAsia="Calibri"/>
          <w:b/>
          <w:lang w:val="fr-CH"/>
        </w:rPr>
        <w:t xml:space="preserve"> Méthodes de transfert de données</w:t>
      </w:r>
    </w:p>
    <w:p w:rsidR="00EF0D3B" w:rsidRPr="000B56F5" w:rsidRDefault="00EF0D3B" w:rsidP="00112E25">
      <w:pPr>
        <w:rPr>
          <w:rFonts w:eastAsia="Calibri"/>
          <w:lang w:val="fr-CH"/>
        </w:rPr>
      </w:pPr>
    </w:p>
    <w:p w:rsidR="00EF0D3B" w:rsidRPr="000B56F5" w:rsidRDefault="000D245E" w:rsidP="000D245E">
      <w:pPr>
        <w:rPr>
          <w:lang w:val="fr-CH"/>
        </w:rPr>
      </w:pPr>
      <w:r w:rsidRPr="000B56F5">
        <w:rPr>
          <w:lang w:val="fr-CH"/>
        </w:rPr>
        <w:t>Voici un exemple de création d</w:t>
      </w:r>
      <w:r w:rsidR="00B1361A" w:rsidRPr="000B56F5">
        <w:rPr>
          <w:lang w:val="fr-CH"/>
        </w:rPr>
        <w:t>’</w:t>
      </w:r>
      <w:r w:rsidRPr="000B56F5">
        <w:rPr>
          <w:lang w:val="fr-CH"/>
        </w:rPr>
        <w:t>un paquet d</w:t>
      </w:r>
      <w:r w:rsidR="00B1361A" w:rsidRPr="000B56F5">
        <w:rPr>
          <w:lang w:val="fr-CH"/>
        </w:rPr>
        <w:t>’</w:t>
      </w:r>
      <w:r w:rsidRPr="000B56F5">
        <w:rPr>
          <w:lang w:val="fr-CH"/>
        </w:rPr>
        <w:t>empreintes génétiques au format zip pour la transmission de donné</w:t>
      </w:r>
      <w:r w:rsidR="00D47A05" w:rsidRPr="000B56F5">
        <w:rPr>
          <w:lang w:val="fr-CH"/>
        </w:rPr>
        <w:t>es.  Ce</w:t>
      </w:r>
      <w:r w:rsidRPr="000B56F5">
        <w:rPr>
          <w:lang w:val="fr-CH"/>
        </w:rPr>
        <w:t>tte méthode doit d</w:t>
      </w:r>
      <w:r w:rsidR="00B1361A" w:rsidRPr="000B56F5">
        <w:rPr>
          <w:lang w:val="fr-CH"/>
        </w:rPr>
        <w:t>’</w:t>
      </w:r>
      <w:r w:rsidRPr="000B56F5">
        <w:rPr>
          <w:lang w:val="fr-CH"/>
        </w:rPr>
        <w:t>abord utiliser des identifiants indépendants pour identifier les échantillons, l</w:t>
      </w:r>
      <w:r w:rsidR="00B1361A" w:rsidRPr="000B56F5">
        <w:rPr>
          <w:lang w:val="fr-CH"/>
        </w:rPr>
        <w:t>’</w:t>
      </w:r>
      <w:r w:rsidRPr="000B56F5">
        <w:rPr>
          <w:lang w:val="fr-CH"/>
        </w:rPr>
        <w:t>ADN, les données d</w:t>
      </w:r>
      <w:r w:rsidR="00B1361A" w:rsidRPr="000B56F5">
        <w:rPr>
          <w:lang w:val="fr-CH"/>
        </w:rPr>
        <w:t>’</w:t>
      </w:r>
      <w:r w:rsidRPr="000B56F5">
        <w:rPr>
          <w:lang w:val="fr-CH"/>
        </w:rPr>
        <w:t>empreinte génétique et le registre des empreintes génétiqu</w:t>
      </w:r>
      <w:r w:rsidR="00D47A05" w:rsidRPr="000B56F5">
        <w:rPr>
          <w:lang w:val="fr-CH"/>
        </w:rPr>
        <w:t>es.  En</w:t>
      </w:r>
      <w:r w:rsidRPr="000B56F5">
        <w:rPr>
          <w:lang w:val="fr-CH"/>
        </w:rPr>
        <w:t>suite, le fichier de données au format json contient tous les locus, tous les échantillons et toutes les informations relatives à l</w:t>
      </w:r>
      <w:r w:rsidR="00B1361A" w:rsidRPr="000B56F5">
        <w:rPr>
          <w:lang w:val="fr-CH"/>
        </w:rPr>
        <w:t>’</w:t>
      </w:r>
      <w:r w:rsidR="00D47A05" w:rsidRPr="000B56F5">
        <w:rPr>
          <w:lang w:val="fr-CH"/>
        </w:rPr>
        <w:t>ADN.  Ch</w:t>
      </w:r>
      <w:r w:rsidRPr="000B56F5">
        <w:rPr>
          <w:lang w:val="fr-CH"/>
        </w:rPr>
        <w:t>aque donnée d</w:t>
      </w:r>
      <w:r w:rsidR="00B1361A" w:rsidRPr="000B56F5">
        <w:rPr>
          <w:lang w:val="fr-CH"/>
        </w:rPr>
        <w:t>’</w:t>
      </w:r>
      <w:r w:rsidRPr="000B56F5">
        <w:rPr>
          <w:lang w:val="fr-CH"/>
        </w:rPr>
        <w:t>empreinte génétique est stockée séparément dans son propre fichier au format js</w:t>
      </w:r>
      <w:r w:rsidR="00D47A05" w:rsidRPr="000B56F5">
        <w:rPr>
          <w:lang w:val="fr-CH"/>
        </w:rPr>
        <w:t>on.  L’i</w:t>
      </w:r>
      <w:r w:rsidRPr="000B56F5">
        <w:rPr>
          <w:lang w:val="fr-CH"/>
        </w:rPr>
        <w:t>dentifiant de l</w:t>
      </w:r>
      <w:r w:rsidR="00B1361A" w:rsidRPr="000B56F5">
        <w:rPr>
          <w:lang w:val="fr-CH"/>
        </w:rPr>
        <w:t>’</w:t>
      </w:r>
      <w:r w:rsidRPr="000B56F5">
        <w:rPr>
          <w:lang w:val="fr-CH"/>
        </w:rPr>
        <w:t xml:space="preserve">empreinte génétique sera lié au locus correspondant des données </w:t>
      </w:r>
      <w:r w:rsidR="00F93AD9" w:rsidRPr="000B56F5">
        <w:rPr>
          <w:lang w:val="fr-CH"/>
        </w:rPr>
        <w:t>d</w:t>
      </w:r>
      <w:r w:rsidR="00B1361A" w:rsidRPr="000B56F5">
        <w:rPr>
          <w:lang w:val="fr-CH"/>
        </w:rPr>
        <w:t>’</w:t>
      </w:r>
      <w:r w:rsidR="00F93AD9" w:rsidRPr="000B56F5">
        <w:rPr>
          <w:lang w:val="fr-CH"/>
        </w:rPr>
        <w:t>empreinte génétique</w:t>
      </w:r>
      <w:r w:rsidRPr="000B56F5">
        <w:rPr>
          <w:lang w:val="fr-CH"/>
        </w:rPr>
        <w:t xml:space="preserve">, et tous les fichiers de données </w:t>
      </w:r>
      <w:r w:rsidR="00F93AD9" w:rsidRPr="000B56F5">
        <w:rPr>
          <w:lang w:val="fr-CH"/>
        </w:rPr>
        <w:t>d</w:t>
      </w:r>
      <w:r w:rsidR="00B1361A" w:rsidRPr="000B56F5">
        <w:rPr>
          <w:lang w:val="fr-CH"/>
        </w:rPr>
        <w:t>’</w:t>
      </w:r>
      <w:r w:rsidR="00F93AD9" w:rsidRPr="000B56F5">
        <w:rPr>
          <w:lang w:val="fr-CH"/>
        </w:rPr>
        <w:t>empreinte génétique</w:t>
      </w:r>
      <w:r w:rsidRPr="000B56F5">
        <w:rPr>
          <w:lang w:val="fr-CH"/>
        </w:rPr>
        <w:t xml:space="preserve"> et les fichiers de spectre d</w:t>
      </w:r>
      <w:r w:rsidR="00B1361A" w:rsidRPr="000B56F5">
        <w:rPr>
          <w:lang w:val="fr-CH"/>
        </w:rPr>
        <w:t>’</w:t>
      </w:r>
      <w:r w:rsidRPr="000B56F5">
        <w:rPr>
          <w:lang w:val="fr-CH"/>
        </w:rPr>
        <w:t>empreinte génétique seront stockés séparément dans le répertoire corresponda</w:t>
      </w:r>
      <w:r w:rsidR="00D47A05" w:rsidRPr="000B56F5">
        <w:rPr>
          <w:lang w:val="fr-CH"/>
        </w:rPr>
        <w:t>nt.  La</w:t>
      </w:r>
      <w:r w:rsidRPr="000B56F5">
        <w:rPr>
          <w:lang w:val="fr-CH"/>
        </w:rPr>
        <w:t xml:space="preserve"> structure du paquet de données d</w:t>
      </w:r>
      <w:r w:rsidR="00B1361A" w:rsidRPr="000B56F5">
        <w:rPr>
          <w:lang w:val="fr-CH"/>
        </w:rPr>
        <w:t>’</w:t>
      </w:r>
      <w:r w:rsidRPr="000B56F5">
        <w:rPr>
          <w:lang w:val="fr-CH"/>
        </w:rPr>
        <w:t>empreinte génétique est donc la suivante</w:t>
      </w:r>
      <w:r w:rsidR="00B1361A" w:rsidRPr="000B56F5">
        <w:rPr>
          <w:lang w:val="fr-CH"/>
        </w:rPr>
        <w:t> :</w:t>
      </w:r>
    </w:p>
    <w:p w:rsidR="00EF0D3B" w:rsidRPr="000B56F5" w:rsidRDefault="00EF0D3B" w:rsidP="00112E25">
      <w:pPr>
        <w:rPr>
          <w:lang w:val="fr-CH"/>
        </w:rPr>
      </w:pPr>
    </w:p>
    <w:p w:rsidR="00EF0D3B" w:rsidRPr="007750B6" w:rsidRDefault="00112E25" w:rsidP="00112E25">
      <w:pPr>
        <w:ind w:firstLine="420"/>
        <w:rPr>
          <w:lang w:val="en-US"/>
        </w:rPr>
      </w:pPr>
      <w:r w:rsidRPr="007750B6">
        <w:rPr>
          <w:lang w:val="en-US"/>
        </w:rPr>
        <w:t>zip/markers.json</w:t>
      </w:r>
    </w:p>
    <w:p w:rsidR="00EF0D3B" w:rsidRPr="007750B6" w:rsidRDefault="00112E25" w:rsidP="00112E25">
      <w:pPr>
        <w:ind w:firstLine="420"/>
        <w:rPr>
          <w:lang w:val="en-US"/>
        </w:rPr>
      </w:pPr>
      <w:r w:rsidRPr="007750B6">
        <w:rPr>
          <w:lang w:val="en-US"/>
        </w:rPr>
        <w:t>zip/samples.json</w:t>
      </w:r>
    </w:p>
    <w:p w:rsidR="00EF0D3B" w:rsidRPr="00406A48" w:rsidRDefault="00112E25" w:rsidP="00112E25">
      <w:pPr>
        <w:ind w:firstLine="420"/>
        <w:rPr>
          <w:lang w:val="de-CH"/>
        </w:rPr>
      </w:pPr>
      <w:r w:rsidRPr="00406A48">
        <w:rPr>
          <w:lang w:val="de-CH"/>
        </w:rPr>
        <w:t>zip/dnas.json</w:t>
      </w:r>
    </w:p>
    <w:p w:rsidR="00EF0D3B" w:rsidRPr="00406A48" w:rsidRDefault="00112E25" w:rsidP="00112E25">
      <w:pPr>
        <w:ind w:firstLine="420"/>
        <w:rPr>
          <w:lang w:val="de-CH"/>
        </w:rPr>
      </w:pPr>
      <w:r w:rsidRPr="00406A48">
        <w:rPr>
          <w:lang w:val="de-CH"/>
        </w:rPr>
        <w:t>zip/genes/gene_id_1.json</w:t>
      </w:r>
    </w:p>
    <w:p w:rsidR="00EF0D3B" w:rsidRPr="00406A48" w:rsidRDefault="00112E25" w:rsidP="00112E25">
      <w:pPr>
        <w:ind w:firstLine="420"/>
        <w:rPr>
          <w:lang w:val="de-CH"/>
        </w:rPr>
      </w:pPr>
      <w:r w:rsidRPr="00406A48">
        <w:rPr>
          <w:lang w:val="de-CH"/>
        </w:rPr>
        <w:t>zip/genes/gene_id_2.json</w:t>
      </w:r>
    </w:p>
    <w:p w:rsidR="00EF0D3B" w:rsidRPr="00406A48" w:rsidRDefault="00112E25" w:rsidP="00112E25">
      <w:pPr>
        <w:ind w:firstLine="420"/>
        <w:rPr>
          <w:lang w:val="de-CH"/>
        </w:rPr>
      </w:pPr>
      <w:r w:rsidRPr="00406A48">
        <w:rPr>
          <w:lang w:val="de-CH"/>
        </w:rPr>
        <w:t>......</w:t>
      </w:r>
    </w:p>
    <w:p w:rsidR="00EF0D3B" w:rsidRPr="00406A48" w:rsidRDefault="00112E25" w:rsidP="00112E25">
      <w:pPr>
        <w:ind w:firstLine="420"/>
        <w:rPr>
          <w:lang w:val="de-CH"/>
        </w:rPr>
      </w:pPr>
      <w:r w:rsidRPr="00406A48">
        <w:rPr>
          <w:lang w:val="de-CH"/>
        </w:rPr>
        <w:t>zip/genes/gene_id_n.json</w:t>
      </w:r>
    </w:p>
    <w:p w:rsidR="00EF0D3B" w:rsidRPr="00406A48" w:rsidRDefault="00112E25" w:rsidP="00112E25">
      <w:pPr>
        <w:ind w:firstLine="420"/>
        <w:rPr>
          <w:lang w:val="de-CH"/>
        </w:rPr>
      </w:pPr>
      <w:r w:rsidRPr="00406A48">
        <w:rPr>
          <w:lang w:val="de-CH"/>
        </w:rPr>
        <w:t>zip/maps/map_id_1.png</w:t>
      </w:r>
    </w:p>
    <w:p w:rsidR="00EF0D3B" w:rsidRPr="00406A48" w:rsidRDefault="00112E25" w:rsidP="00112E25">
      <w:pPr>
        <w:ind w:firstLine="420"/>
        <w:rPr>
          <w:lang w:val="de-CH"/>
        </w:rPr>
      </w:pPr>
      <w:r w:rsidRPr="00406A48">
        <w:rPr>
          <w:lang w:val="de-CH"/>
        </w:rPr>
        <w:t>zip/maps/map_id_2.png</w:t>
      </w:r>
    </w:p>
    <w:p w:rsidR="00EF0D3B" w:rsidRPr="007750B6" w:rsidRDefault="00112E25" w:rsidP="00112E25">
      <w:pPr>
        <w:ind w:firstLine="420"/>
        <w:rPr>
          <w:lang w:val="en-US"/>
        </w:rPr>
      </w:pPr>
      <w:r w:rsidRPr="007750B6">
        <w:rPr>
          <w:lang w:val="en-US"/>
        </w:rPr>
        <w:t>......</w:t>
      </w:r>
    </w:p>
    <w:p w:rsidR="00EF0D3B" w:rsidRPr="007750B6" w:rsidRDefault="00112E25" w:rsidP="00112E25">
      <w:pPr>
        <w:ind w:firstLine="420"/>
        <w:rPr>
          <w:lang w:val="en-US"/>
        </w:rPr>
      </w:pPr>
      <w:r w:rsidRPr="007750B6">
        <w:rPr>
          <w:lang w:val="en-US"/>
        </w:rPr>
        <w:t>zip/maps/map_id_m.png</w:t>
      </w:r>
    </w:p>
    <w:p w:rsidR="00EF0D3B" w:rsidRPr="007750B6" w:rsidRDefault="00EF0D3B" w:rsidP="00112E25">
      <w:pPr>
        <w:ind w:firstLine="420"/>
        <w:rPr>
          <w:lang w:val="en-US"/>
        </w:rPr>
      </w:pPr>
    </w:p>
    <w:p w:rsidR="00EF0D3B" w:rsidRPr="000B56F5" w:rsidRDefault="000D245E" w:rsidP="00184F69">
      <w:pPr>
        <w:keepNext/>
        <w:keepLines/>
        <w:rPr>
          <w:lang w:val="fr-CH"/>
        </w:rPr>
      </w:pPr>
      <w:r w:rsidRPr="000B56F5">
        <w:rPr>
          <w:lang w:val="fr-CH"/>
        </w:rPr>
        <w:t>Le paquet d</w:t>
      </w:r>
      <w:r w:rsidR="00B1361A" w:rsidRPr="000B56F5">
        <w:rPr>
          <w:lang w:val="fr-CH"/>
        </w:rPr>
        <w:t>’</w:t>
      </w:r>
      <w:r w:rsidRPr="000B56F5">
        <w:rPr>
          <w:lang w:val="fr-CH"/>
        </w:rPr>
        <w:t>empreintes génétiques en format zip peut être étendu pour inclure plus d</w:t>
      </w:r>
      <w:r w:rsidR="00B1361A" w:rsidRPr="000B56F5">
        <w:rPr>
          <w:lang w:val="fr-CH"/>
        </w:rPr>
        <w:t>’</w:t>
      </w:r>
      <w:r w:rsidRPr="000B56F5">
        <w:rPr>
          <w:lang w:val="fr-CH"/>
        </w:rPr>
        <w:t>informatio</w:t>
      </w:r>
      <w:r w:rsidR="00D47A05" w:rsidRPr="000B56F5">
        <w:rPr>
          <w:lang w:val="fr-CH"/>
        </w:rPr>
        <w:t>ns.  Le</w:t>
      </w:r>
      <w:r w:rsidRPr="000B56F5">
        <w:rPr>
          <w:lang w:val="fr-CH"/>
        </w:rPr>
        <w:t xml:space="preserve"> cœur du paquet est le fichier de données d</w:t>
      </w:r>
      <w:r w:rsidR="00B1361A" w:rsidRPr="000B56F5">
        <w:rPr>
          <w:lang w:val="fr-CH"/>
        </w:rPr>
        <w:t>’</w:t>
      </w:r>
      <w:r w:rsidRPr="000B56F5">
        <w:rPr>
          <w:lang w:val="fr-CH"/>
        </w:rPr>
        <w:t>empreinte génétique, qui constitue le cœur de la corrélation, de sorte que la corrélation entre les parties peut être correctement analysée, ce qui permet la transmission des données entre des systèmes différents.</w:t>
      </w:r>
    </w:p>
    <w:p w:rsidR="00EF0D3B" w:rsidRPr="000B56F5" w:rsidRDefault="00EF0D3B" w:rsidP="00184F69">
      <w:pPr>
        <w:keepNext/>
        <w:keepLines/>
        <w:rPr>
          <w:lang w:val="fr-CH"/>
        </w:rPr>
      </w:pPr>
    </w:p>
    <w:p w:rsidR="00EF0D3B" w:rsidRPr="000B56F5" w:rsidRDefault="00EF0D3B" w:rsidP="00112E25">
      <w:pPr>
        <w:rPr>
          <w:lang w:val="fr-CH"/>
        </w:rPr>
      </w:pPr>
    </w:p>
    <w:p w:rsidR="00EF0D3B" w:rsidRPr="000B56F5" w:rsidRDefault="00EF0D3B" w:rsidP="00112E25">
      <w:pPr>
        <w:jc w:val="right"/>
        <w:rPr>
          <w:lang w:val="fr-CH"/>
        </w:rPr>
      </w:pPr>
    </w:p>
    <w:p w:rsidR="00EF0D3B" w:rsidRPr="000B56F5" w:rsidRDefault="000D245E" w:rsidP="000D245E">
      <w:pPr>
        <w:jc w:val="right"/>
        <w:rPr>
          <w:lang w:val="fr-CH"/>
        </w:rPr>
      </w:pPr>
      <w:r w:rsidRPr="000B56F5">
        <w:rPr>
          <w:lang w:val="fr-CH"/>
        </w:rPr>
        <w:t>[Fin de l</w:t>
      </w:r>
      <w:r w:rsidR="00B1361A" w:rsidRPr="000B56F5">
        <w:rPr>
          <w:lang w:val="fr-CH"/>
        </w:rPr>
        <w:t>’</w:t>
      </w:r>
      <w:r w:rsidRPr="000B56F5">
        <w:rPr>
          <w:lang w:val="fr-CH"/>
        </w:rPr>
        <w:t>appendice de l</w:t>
      </w:r>
      <w:r w:rsidR="00B1361A" w:rsidRPr="000B56F5">
        <w:rPr>
          <w:lang w:val="fr-CH"/>
        </w:rPr>
        <w:t>’</w:t>
      </w:r>
      <w:r w:rsidRPr="000B56F5">
        <w:rPr>
          <w:lang w:val="fr-CH"/>
        </w:rPr>
        <w:t>annexe et du document]</w:t>
      </w:r>
    </w:p>
    <w:p w:rsidR="00EF0D3B" w:rsidRPr="000B56F5" w:rsidRDefault="00EF0D3B">
      <w:pPr>
        <w:jc w:val="left"/>
        <w:rPr>
          <w:lang w:val="fr-CH"/>
        </w:rPr>
      </w:pPr>
    </w:p>
    <w:p w:rsidR="00EF0D3B" w:rsidRPr="000B56F5" w:rsidRDefault="00EF0D3B" w:rsidP="009B440E">
      <w:pPr>
        <w:jc w:val="left"/>
        <w:rPr>
          <w:lang w:val="fr-CH"/>
        </w:rPr>
      </w:pPr>
    </w:p>
    <w:sectPr w:rsidR="00EF0D3B" w:rsidRPr="000B56F5" w:rsidSect="00906DDC">
      <w:headerReference w:type="default" r:id="rId18"/>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54" w:rsidRDefault="009F1754" w:rsidP="006655D3">
      <w:r>
        <w:separator/>
      </w:r>
    </w:p>
    <w:p w:rsidR="009F1754" w:rsidRDefault="009F1754" w:rsidP="006655D3"/>
    <w:p w:rsidR="009F1754" w:rsidRDefault="009F1754" w:rsidP="006655D3"/>
  </w:endnote>
  <w:endnote w:type="continuationSeparator" w:id="0">
    <w:p w:rsidR="009F1754" w:rsidRDefault="009F1754" w:rsidP="006655D3">
      <w:r>
        <w:separator/>
      </w:r>
    </w:p>
    <w:p w:rsidR="009F1754" w:rsidRPr="00294751" w:rsidRDefault="009F1754">
      <w:pPr>
        <w:pStyle w:val="Footer"/>
        <w:spacing w:after="60"/>
        <w:rPr>
          <w:sz w:val="18"/>
          <w:lang w:val="fr-FR"/>
        </w:rPr>
      </w:pPr>
      <w:r w:rsidRPr="00294751">
        <w:rPr>
          <w:sz w:val="18"/>
          <w:lang w:val="fr-FR"/>
        </w:rPr>
        <w:t>[Suite de la note de la page précédente]</w:t>
      </w:r>
    </w:p>
    <w:p w:rsidR="009F1754" w:rsidRPr="00294751" w:rsidRDefault="009F1754" w:rsidP="006655D3"/>
    <w:p w:rsidR="009F1754" w:rsidRPr="00294751" w:rsidRDefault="009F1754" w:rsidP="006655D3"/>
  </w:endnote>
  <w:endnote w:type="continuationNotice" w:id="1">
    <w:p w:rsidR="009F1754" w:rsidRPr="00294751" w:rsidRDefault="009F1754" w:rsidP="006655D3">
      <w:r w:rsidRPr="00294751">
        <w:t>[Suite de la note page suivante]</w:t>
      </w:r>
    </w:p>
    <w:p w:rsidR="009F1754" w:rsidRPr="00294751" w:rsidRDefault="009F1754" w:rsidP="006655D3"/>
    <w:p w:rsidR="009F1754" w:rsidRPr="00294751" w:rsidRDefault="009F175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Default="009F1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Default="009F1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Default="009F1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54" w:rsidRDefault="009F1754" w:rsidP="006655D3">
      <w:r>
        <w:separator/>
      </w:r>
    </w:p>
  </w:footnote>
  <w:footnote w:type="continuationSeparator" w:id="0">
    <w:p w:rsidR="009F1754" w:rsidRDefault="009F1754" w:rsidP="006655D3">
      <w:r>
        <w:separator/>
      </w:r>
    </w:p>
  </w:footnote>
  <w:footnote w:type="continuationNotice" w:id="1">
    <w:p w:rsidR="009F1754" w:rsidRPr="00AB530F" w:rsidRDefault="009F1754" w:rsidP="00AB530F">
      <w:pPr>
        <w:pStyle w:val="Footer"/>
      </w:pPr>
    </w:p>
  </w:footnote>
  <w:footnote w:id="2">
    <w:p w:rsidR="009F1754" w:rsidRPr="00F56BEA" w:rsidRDefault="009F1754" w:rsidP="00F56BEA">
      <w:pPr>
        <w:pStyle w:val="FootnoteText"/>
        <w:rPr>
          <w:lang w:val="fr-CH"/>
        </w:rPr>
      </w:pPr>
      <w:r>
        <w:rPr>
          <w:rStyle w:val="FootnoteReference"/>
        </w:rPr>
        <w:footnoteRef/>
      </w:r>
      <w:r w:rsidRPr="00F56BEA">
        <w:rPr>
          <w:lang w:val="fr-CH"/>
        </w:rPr>
        <w:t xml:space="preserve"> </w:t>
      </w:r>
      <w:r>
        <w:rPr>
          <w:lang w:val="fr-CH"/>
        </w:rPr>
        <w:tab/>
      </w:r>
      <w:r w:rsidRPr="00F56BEA">
        <w:rPr>
          <w:lang w:val="fr-CH"/>
        </w:rPr>
        <w:t>Tenue à Genève les 28 et 29 octobre 2019</w:t>
      </w:r>
      <w:r>
        <w:rPr>
          <w:lang w:val="fr-CH"/>
        </w:rPr>
        <w:t>.</w:t>
      </w:r>
    </w:p>
  </w:footnote>
  <w:footnote w:id="3">
    <w:p w:rsidR="009F1754" w:rsidRPr="006C1F7B" w:rsidRDefault="009F1754" w:rsidP="006C1F7B">
      <w:pPr>
        <w:pStyle w:val="FootnoteText"/>
        <w:rPr>
          <w:lang w:val="fr-CH"/>
        </w:rPr>
      </w:pPr>
      <w:r>
        <w:rPr>
          <w:rStyle w:val="FootnoteReference"/>
        </w:rPr>
        <w:footnoteRef/>
      </w:r>
      <w:r w:rsidRPr="006C1F7B">
        <w:rPr>
          <w:lang w:val="fr-CH"/>
        </w:rPr>
        <w:t xml:space="preserve"> </w:t>
      </w:r>
      <w:r>
        <w:rPr>
          <w:lang w:val="fr-CH"/>
        </w:rPr>
        <w:tab/>
      </w:r>
      <w:r w:rsidRPr="006C1F7B">
        <w:rPr>
          <w:color w:val="000000"/>
          <w:lang w:val="fr-CH"/>
        </w:rPr>
        <w:t>Tenue à Hangzhou (Chine) du 16 au 18</w:t>
      </w:r>
      <w:r>
        <w:rPr>
          <w:color w:val="000000"/>
          <w:lang w:val="fr-CH"/>
        </w:rPr>
        <w:t> </w:t>
      </w:r>
      <w:r w:rsidRPr="006C1F7B">
        <w:rPr>
          <w:color w:val="000000"/>
          <w:lang w:val="fr-CH"/>
        </w:rPr>
        <w:t>octobre</w:t>
      </w:r>
      <w:r>
        <w:rPr>
          <w:color w:val="000000"/>
          <w:lang w:val="fr-CH"/>
        </w:rPr>
        <w:t> 2019</w:t>
      </w:r>
      <w:r w:rsidRPr="006C1F7B">
        <w:rPr>
          <w:color w:val="000000"/>
          <w:lang w:val="fr-CH"/>
        </w:rPr>
        <w:t>.</w:t>
      </w:r>
    </w:p>
  </w:footnote>
  <w:footnote w:id="4">
    <w:p w:rsidR="009F1754" w:rsidRPr="00AD39BD" w:rsidRDefault="009F1754" w:rsidP="00AD39BD">
      <w:pPr>
        <w:pStyle w:val="FootnoteText"/>
        <w:rPr>
          <w:lang w:val="fr-CH"/>
        </w:rPr>
      </w:pPr>
      <w:r>
        <w:rPr>
          <w:rStyle w:val="FootnoteReference"/>
        </w:rPr>
        <w:footnoteRef/>
      </w:r>
      <w:r w:rsidRPr="00AD39BD">
        <w:rPr>
          <w:lang w:val="fr-CH"/>
        </w:rPr>
        <w:t xml:space="preserve"> </w:t>
      </w:r>
      <w:r>
        <w:rPr>
          <w:lang w:val="fr-CH"/>
        </w:rPr>
        <w:tab/>
      </w:r>
      <w:r w:rsidRPr="00E974C8">
        <w:rPr>
          <w:lang w:val="fr-CH"/>
        </w:rPr>
        <w:t>Accueillie par les États</w:t>
      </w:r>
      <w:r>
        <w:rPr>
          <w:lang w:val="fr-CH"/>
        </w:rPr>
        <w:t>-</w:t>
      </w:r>
      <w:r w:rsidRPr="00E974C8">
        <w:rPr>
          <w:lang w:val="fr-CH"/>
        </w:rPr>
        <w:t>Unis d</w:t>
      </w:r>
      <w:r>
        <w:rPr>
          <w:lang w:val="fr-CH"/>
        </w:rPr>
        <w:t>’</w:t>
      </w:r>
      <w:r w:rsidRPr="00E974C8">
        <w:rPr>
          <w:lang w:val="fr-CH"/>
        </w:rPr>
        <w:t>Amérique et tenue par des moyens électroniques du 23 au 25 septembre 2020</w:t>
      </w:r>
      <w:r w:rsidRPr="00AD39BD">
        <w:rPr>
          <w:color w:val="00000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Pr="00C5280D" w:rsidRDefault="009F1754" w:rsidP="00AE29F9">
    <w:pPr>
      <w:pStyle w:val="Header"/>
      <w:rPr>
        <w:rStyle w:val="PageNumber"/>
        <w:lang w:val="en-US"/>
      </w:rPr>
    </w:pPr>
    <w:r>
      <w:rPr>
        <w:rStyle w:val="PageNumber"/>
        <w:lang w:val="en-US"/>
      </w:rPr>
      <w:t>TC/56/13</w:t>
    </w:r>
  </w:p>
  <w:p w:rsidR="009F1754" w:rsidRPr="00C5280D" w:rsidRDefault="009F1754" w:rsidP="00AE29F9">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260D">
      <w:rPr>
        <w:rStyle w:val="PageNumber"/>
        <w:noProof/>
        <w:lang w:val="en-US"/>
      </w:rPr>
      <w:t>3</w:t>
    </w:r>
    <w:r w:rsidRPr="00C5280D">
      <w:rPr>
        <w:rStyle w:val="PageNumber"/>
        <w:lang w:val="en-US"/>
      </w:rPr>
      <w:fldChar w:fldCharType="end"/>
    </w:r>
  </w:p>
  <w:p w:rsidR="009F1754" w:rsidRDefault="009F1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Default="009F1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Pr="00C5280D" w:rsidRDefault="009F1754" w:rsidP="00AE29F9">
    <w:pPr>
      <w:pStyle w:val="Header"/>
      <w:rPr>
        <w:rStyle w:val="PageNumber"/>
        <w:lang w:val="en-US"/>
      </w:rPr>
    </w:pPr>
    <w:r>
      <w:rPr>
        <w:rStyle w:val="PageNumber"/>
        <w:lang w:val="en-US"/>
      </w:rPr>
      <w:t>TC/56/13</w:t>
    </w:r>
  </w:p>
  <w:p w:rsidR="009F1754" w:rsidRPr="00C5280D" w:rsidRDefault="009F1754" w:rsidP="00AE29F9">
    <w:pPr>
      <w:pStyle w:val="Header"/>
      <w:rPr>
        <w:lang w:val="en-US"/>
      </w:rPr>
    </w:pPr>
    <w:r w:rsidRPr="00956613">
      <w:t>Annexe</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260D">
      <w:rPr>
        <w:rStyle w:val="PageNumber"/>
        <w:noProof/>
        <w:lang w:val="en-US"/>
      </w:rPr>
      <w:t>8</w:t>
    </w:r>
    <w:r w:rsidRPr="00C5280D">
      <w:rPr>
        <w:rStyle w:val="PageNumber"/>
        <w:lang w:val="en-US"/>
      </w:rPr>
      <w:fldChar w:fldCharType="end"/>
    </w:r>
  </w:p>
  <w:p w:rsidR="009F1754" w:rsidRPr="00837733" w:rsidRDefault="009F1754" w:rsidP="00AE29F9">
    <w:pPr>
      <w:jc w:val="cent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Pr="00C5280D" w:rsidRDefault="009F1754" w:rsidP="00AE29F9">
    <w:pPr>
      <w:pStyle w:val="Header"/>
      <w:rPr>
        <w:rStyle w:val="PageNumber"/>
        <w:lang w:val="en-US"/>
      </w:rPr>
    </w:pPr>
    <w:r>
      <w:rPr>
        <w:rStyle w:val="PageNumber"/>
        <w:lang w:val="en-US"/>
      </w:rPr>
      <w:t>TC/56/13</w:t>
    </w:r>
  </w:p>
  <w:p w:rsidR="009F1754" w:rsidRDefault="009F1754" w:rsidP="00AE29F9">
    <w:pPr>
      <w:pStyle w:val="Header"/>
      <w:rPr>
        <w:lang w:val="en-US"/>
      </w:rPr>
    </w:pPr>
  </w:p>
  <w:p w:rsidR="009F1754" w:rsidRPr="00801DE9" w:rsidRDefault="009F1754" w:rsidP="00AE29F9">
    <w:pPr>
      <w:pStyle w:val="Header"/>
    </w:pPr>
    <w:r>
      <w:rPr>
        <w:lang w:val="en-US"/>
      </w:rPr>
      <w:t>ANNEXE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Pr="00C5280D" w:rsidRDefault="009F1754" w:rsidP="00AE29F9">
    <w:pPr>
      <w:pStyle w:val="Header"/>
      <w:rPr>
        <w:rStyle w:val="PageNumber"/>
        <w:lang w:val="en-US"/>
      </w:rPr>
    </w:pPr>
    <w:r>
      <w:rPr>
        <w:rStyle w:val="PageNumber"/>
        <w:lang w:val="en-US"/>
      </w:rPr>
      <w:t>TC/56/13</w:t>
    </w:r>
  </w:p>
  <w:p w:rsidR="009F1754" w:rsidRDefault="009F1754">
    <w:pPr>
      <w:pStyle w:val="Header"/>
      <w:rPr>
        <w:lang w:val="en-US"/>
      </w:rPr>
    </w:pPr>
  </w:p>
  <w:p w:rsidR="009F1754" w:rsidRPr="00C20A57" w:rsidRDefault="009F1754">
    <w:pPr>
      <w:pStyle w:val="Header"/>
      <w:rPr>
        <w:lang w:val="en-US"/>
      </w:rPr>
    </w:pPr>
    <w:r>
      <w:rPr>
        <w:lang w:val="en-US"/>
      </w:rPr>
      <w:t>APPENDICE DE L’ANNEXE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Pr="00801DE9" w:rsidRDefault="009F1754" w:rsidP="00AE29F9">
    <w:pPr>
      <w:pStyle w:val="Header"/>
    </w:pPr>
  </w:p>
  <w:p w:rsidR="009F1754" w:rsidRDefault="009F1754"/>
  <w:p w:rsidR="009F1754" w:rsidRDefault="009F175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D9" w:rsidRPr="0028342B" w:rsidRDefault="00D151D9" w:rsidP="00D151D9">
    <w:pPr>
      <w:pStyle w:val="Header"/>
      <w:rPr>
        <w:rStyle w:val="PageNumber"/>
        <w:lang w:val="fr-CH"/>
      </w:rPr>
    </w:pPr>
    <w:r w:rsidRPr="0028342B">
      <w:rPr>
        <w:rStyle w:val="PageNumber"/>
        <w:lang w:val="fr-CH"/>
      </w:rPr>
      <w:t>TC/56/13</w:t>
    </w:r>
  </w:p>
  <w:p w:rsidR="00D151D9" w:rsidRDefault="00D151D9" w:rsidP="00D151D9">
    <w:pPr>
      <w:pStyle w:val="Header"/>
      <w:rPr>
        <w:lang w:val="fr-CH"/>
      </w:rPr>
    </w:pPr>
    <w:r w:rsidRPr="0028342B">
      <w:rPr>
        <w:lang w:val="fr-CH"/>
      </w:rPr>
      <w:t xml:space="preserve">Appendice de l’annexe, page </w:t>
    </w:r>
    <w:r>
      <w:rPr>
        <w:lang w:val="fr-CH"/>
      </w:rPr>
      <w:t>3</w:t>
    </w:r>
  </w:p>
  <w:p w:rsidR="009F1754" w:rsidRPr="00D151D9" w:rsidRDefault="009F1754"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54" w:rsidRPr="0028342B" w:rsidRDefault="009F1754" w:rsidP="00AE29F9">
    <w:pPr>
      <w:pStyle w:val="Header"/>
      <w:rPr>
        <w:rStyle w:val="PageNumber"/>
        <w:lang w:val="fr-CH"/>
      </w:rPr>
    </w:pPr>
    <w:r w:rsidRPr="0028342B">
      <w:rPr>
        <w:rStyle w:val="PageNumber"/>
        <w:lang w:val="fr-CH"/>
      </w:rPr>
      <w:t>TC/56/13</w:t>
    </w:r>
  </w:p>
  <w:p w:rsidR="009F1754" w:rsidRDefault="009F1754">
    <w:pPr>
      <w:pStyle w:val="Header"/>
      <w:rPr>
        <w:lang w:val="fr-CH"/>
      </w:rPr>
    </w:pPr>
    <w:r w:rsidRPr="0028342B">
      <w:rPr>
        <w:lang w:val="fr-CH"/>
      </w:rPr>
      <w:t>Appendice de l’annexe, page 2</w:t>
    </w:r>
  </w:p>
  <w:p w:rsidR="009F1754" w:rsidRPr="0028342B" w:rsidRDefault="009F1754">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12E25"/>
    <w:rsid w:val="00010CF3"/>
    <w:rsid w:val="00011E27"/>
    <w:rsid w:val="000148BC"/>
    <w:rsid w:val="00017897"/>
    <w:rsid w:val="00024AB8"/>
    <w:rsid w:val="00027994"/>
    <w:rsid w:val="00030854"/>
    <w:rsid w:val="00036028"/>
    <w:rsid w:val="00044642"/>
    <w:rsid w:val="000446B9"/>
    <w:rsid w:val="00047E21"/>
    <w:rsid w:val="00050E16"/>
    <w:rsid w:val="0006260D"/>
    <w:rsid w:val="00085505"/>
    <w:rsid w:val="000964AE"/>
    <w:rsid w:val="000B56F5"/>
    <w:rsid w:val="000C4E25"/>
    <w:rsid w:val="000C7021"/>
    <w:rsid w:val="000D048A"/>
    <w:rsid w:val="000D245E"/>
    <w:rsid w:val="000D6BBC"/>
    <w:rsid w:val="000D7780"/>
    <w:rsid w:val="000E636A"/>
    <w:rsid w:val="000E6DCA"/>
    <w:rsid w:val="000F2F11"/>
    <w:rsid w:val="001045F7"/>
    <w:rsid w:val="00105929"/>
    <w:rsid w:val="00110C36"/>
    <w:rsid w:val="00112E25"/>
    <w:rsid w:val="001131D5"/>
    <w:rsid w:val="001167F2"/>
    <w:rsid w:val="00141DB8"/>
    <w:rsid w:val="00172084"/>
    <w:rsid w:val="0017307C"/>
    <w:rsid w:val="0017474A"/>
    <w:rsid w:val="001758C6"/>
    <w:rsid w:val="00182B99"/>
    <w:rsid w:val="00184F69"/>
    <w:rsid w:val="001B5E8F"/>
    <w:rsid w:val="001C1F2F"/>
    <w:rsid w:val="001E77DB"/>
    <w:rsid w:val="001F3D68"/>
    <w:rsid w:val="00211FF5"/>
    <w:rsid w:val="0021332C"/>
    <w:rsid w:val="00213982"/>
    <w:rsid w:val="00226F0F"/>
    <w:rsid w:val="0024416D"/>
    <w:rsid w:val="00271911"/>
    <w:rsid w:val="002800A0"/>
    <w:rsid w:val="002801B3"/>
    <w:rsid w:val="00281060"/>
    <w:rsid w:val="0028342B"/>
    <w:rsid w:val="00290631"/>
    <w:rsid w:val="002940E8"/>
    <w:rsid w:val="00294751"/>
    <w:rsid w:val="002956F9"/>
    <w:rsid w:val="002959F9"/>
    <w:rsid w:val="002A6E50"/>
    <w:rsid w:val="002B4298"/>
    <w:rsid w:val="002C256A"/>
    <w:rsid w:val="00305A7F"/>
    <w:rsid w:val="003152FE"/>
    <w:rsid w:val="003235C8"/>
    <w:rsid w:val="003239D0"/>
    <w:rsid w:val="00324646"/>
    <w:rsid w:val="0032482B"/>
    <w:rsid w:val="00327436"/>
    <w:rsid w:val="00337C0A"/>
    <w:rsid w:val="00344BD6"/>
    <w:rsid w:val="0035084F"/>
    <w:rsid w:val="0035528D"/>
    <w:rsid w:val="00361821"/>
    <w:rsid w:val="00361E9E"/>
    <w:rsid w:val="00370338"/>
    <w:rsid w:val="00374ABC"/>
    <w:rsid w:val="0038525D"/>
    <w:rsid w:val="003A52F4"/>
    <w:rsid w:val="003C7FBE"/>
    <w:rsid w:val="003D227C"/>
    <w:rsid w:val="003D2B4D"/>
    <w:rsid w:val="0040557F"/>
    <w:rsid w:val="00406A48"/>
    <w:rsid w:val="00444A88"/>
    <w:rsid w:val="00474DA4"/>
    <w:rsid w:val="00476B4D"/>
    <w:rsid w:val="004805FA"/>
    <w:rsid w:val="004935D2"/>
    <w:rsid w:val="004B1215"/>
    <w:rsid w:val="004C3413"/>
    <w:rsid w:val="004D047D"/>
    <w:rsid w:val="004F1E9E"/>
    <w:rsid w:val="004F305A"/>
    <w:rsid w:val="00512164"/>
    <w:rsid w:val="00520297"/>
    <w:rsid w:val="005338F9"/>
    <w:rsid w:val="00541D4A"/>
    <w:rsid w:val="0054281C"/>
    <w:rsid w:val="00544581"/>
    <w:rsid w:val="00545E42"/>
    <w:rsid w:val="0055268D"/>
    <w:rsid w:val="00576BE4"/>
    <w:rsid w:val="00581ED7"/>
    <w:rsid w:val="005A400A"/>
    <w:rsid w:val="005B22BF"/>
    <w:rsid w:val="005F7B92"/>
    <w:rsid w:val="00605F40"/>
    <w:rsid w:val="00612379"/>
    <w:rsid w:val="006153B6"/>
    <w:rsid w:val="0061555F"/>
    <w:rsid w:val="00636CA6"/>
    <w:rsid w:val="00641200"/>
    <w:rsid w:val="00645CA8"/>
    <w:rsid w:val="006655D3"/>
    <w:rsid w:val="00667404"/>
    <w:rsid w:val="006738AD"/>
    <w:rsid w:val="0068314E"/>
    <w:rsid w:val="00687EB4"/>
    <w:rsid w:val="00695C56"/>
    <w:rsid w:val="006A5CDE"/>
    <w:rsid w:val="006A616B"/>
    <w:rsid w:val="006A644A"/>
    <w:rsid w:val="006B17D2"/>
    <w:rsid w:val="006B5204"/>
    <w:rsid w:val="006C1F7B"/>
    <w:rsid w:val="006C224E"/>
    <w:rsid w:val="006D780A"/>
    <w:rsid w:val="00712576"/>
    <w:rsid w:val="0071271E"/>
    <w:rsid w:val="00732DEC"/>
    <w:rsid w:val="007345EE"/>
    <w:rsid w:val="00735BD5"/>
    <w:rsid w:val="0074675B"/>
    <w:rsid w:val="00751613"/>
    <w:rsid w:val="007556F6"/>
    <w:rsid w:val="00760EEF"/>
    <w:rsid w:val="007750B6"/>
    <w:rsid w:val="00777EE5"/>
    <w:rsid w:val="00784836"/>
    <w:rsid w:val="0079023E"/>
    <w:rsid w:val="0079324C"/>
    <w:rsid w:val="007A1E6D"/>
    <w:rsid w:val="007A2854"/>
    <w:rsid w:val="007C1D92"/>
    <w:rsid w:val="007C4CB9"/>
    <w:rsid w:val="007D0B9D"/>
    <w:rsid w:val="007D19B0"/>
    <w:rsid w:val="007D3E4E"/>
    <w:rsid w:val="007F498F"/>
    <w:rsid w:val="00801948"/>
    <w:rsid w:val="0080679D"/>
    <w:rsid w:val="008108B0"/>
    <w:rsid w:val="008115D4"/>
    <w:rsid w:val="00811B20"/>
    <w:rsid w:val="008211B5"/>
    <w:rsid w:val="0082296E"/>
    <w:rsid w:val="00824099"/>
    <w:rsid w:val="00846D7C"/>
    <w:rsid w:val="00864C55"/>
    <w:rsid w:val="00867AC1"/>
    <w:rsid w:val="00890DF8"/>
    <w:rsid w:val="00892780"/>
    <w:rsid w:val="00897A4D"/>
    <w:rsid w:val="008A0FCA"/>
    <w:rsid w:val="008A4463"/>
    <w:rsid w:val="008A743F"/>
    <w:rsid w:val="008C0970"/>
    <w:rsid w:val="008D0BC5"/>
    <w:rsid w:val="008D151A"/>
    <w:rsid w:val="008D2CF7"/>
    <w:rsid w:val="008D7554"/>
    <w:rsid w:val="008D7D50"/>
    <w:rsid w:val="00900C26"/>
    <w:rsid w:val="0090197F"/>
    <w:rsid w:val="00904A2E"/>
    <w:rsid w:val="00906DDC"/>
    <w:rsid w:val="009111C7"/>
    <w:rsid w:val="00934E09"/>
    <w:rsid w:val="00936253"/>
    <w:rsid w:val="00940D46"/>
    <w:rsid w:val="00952DD4"/>
    <w:rsid w:val="00956613"/>
    <w:rsid w:val="009605BD"/>
    <w:rsid w:val="00965AE7"/>
    <w:rsid w:val="00970FED"/>
    <w:rsid w:val="00972492"/>
    <w:rsid w:val="00987C3E"/>
    <w:rsid w:val="00992D82"/>
    <w:rsid w:val="00997029"/>
    <w:rsid w:val="009A7339"/>
    <w:rsid w:val="009B440E"/>
    <w:rsid w:val="009D690D"/>
    <w:rsid w:val="009E65B6"/>
    <w:rsid w:val="009F1754"/>
    <w:rsid w:val="00A24C10"/>
    <w:rsid w:val="00A3385F"/>
    <w:rsid w:val="00A37326"/>
    <w:rsid w:val="00A42AC3"/>
    <w:rsid w:val="00A430CF"/>
    <w:rsid w:val="00A51F94"/>
    <w:rsid w:val="00A5387F"/>
    <w:rsid w:val="00A54309"/>
    <w:rsid w:val="00A706D3"/>
    <w:rsid w:val="00AB2B93"/>
    <w:rsid w:val="00AB530F"/>
    <w:rsid w:val="00AB5F0F"/>
    <w:rsid w:val="00AB7E5B"/>
    <w:rsid w:val="00AC2883"/>
    <w:rsid w:val="00AD39BD"/>
    <w:rsid w:val="00AE0EF1"/>
    <w:rsid w:val="00AE12D8"/>
    <w:rsid w:val="00AE2937"/>
    <w:rsid w:val="00AE29F9"/>
    <w:rsid w:val="00B03809"/>
    <w:rsid w:val="00B07301"/>
    <w:rsid w:val="00B11F3E"/>
    <w:rsid w:val="00B1361A"/>
    <w:rsid w:val="00B224DE"/>
    <w:rsid w:val="00B324D4"/>
    <w:rsid w:val="00B46575"/>
    <w:rsid w:val="00B601A0"/>
    <w:rsid w:val="00B61777"/>
    <w:rsid w:val="00B821E8"/>
    <w:rsid w:val="00B84BBD"/>
    <w:rsid w:val="00B87B60"/>
    <w:rsid w:val="00BA3FEA"/>
    <w:rsid w:val="00BA43FB"/>
    <w:rsid w:val="00BA6945"/>
    <w:rsid w:val="00BC127D"/>
    <w:rsid w:val="00BC1FE6"/>
    <w:rsid w:val="00BE4436"/>
    <w:rsid w:val="00C061B6"/>
    <w:rsid w:val="00C148DD"/>
    <w:rsid w:val="00C2446C"/>
    <w:rsid w:val="00C36AE5"/>
    <w:rsid w:val="00C41F17"/>
    <w:rsid w:val="00C527FA"/>
    <w:rsid w:val="00C5280D"/>
    <w:rsid w:val="00C53EB3"/>
    <w:rsid w:val="00C5791C"/>
    <w:rsid w:val="00C66290"/>
    <w:rsid w:val="00C72B7A"/>
    <w:rsid w:val="00C752BF"/>
    <w:rsid w:val="00C86B0D"/>
    <w:rsid w:val="00C973F2"/>
    <w:rsid w:val="00CA304C"/>
    <w:rsid w:val="00CA774A"/>
    <w:rsid w:val="00CC11B0"/>
    <w:rsid w:val="00CC2841"/>
    <w:rsid w:val="00CC40C2"/>
    <w:rsid w:val="00CE2A17"/>
    <w:rsid w:val="00CF1330"/>
    <w:rsid w:val="00CF7E36"/>
    <w:rsid w:val="00D068C9"/>
    <w:rsid w:val="00D151D9"/>
    <w:rsid w:val="00D3708D"/>
    <w:rsid w:val="00D40426"/>
    <w:rsid w:val="00D47A05"/>
    <w:rsid w:val="00D528CF"/>
    <w:rsid w:val="00D57C96"/>
    <w:rsid w:val="00D57D18"/>
    <w:rsid w:val="00D91203"/>
    <w:rsid w:val="00D95174"/>
    <w:rsid w:val="00DA4973"/>
    <w:rsid w:val="00DA6F36"/>
    <w:rsid w:val="00DB221E"/>
    <w:rsid w:val="00DB596E"/>
    <w:rsid w:val="00DB7773"/>
    <w:rsid w:val="00DC00EA"/>
    <w:rsid w:val="00DC3802"/>
    <w:rsid w:val="00DF02E1"/>
    <w:rsid w:val="00DF1A3F"/>
    <w:rsid w:val="00E07D87"/>
    <w:rsid w:val="00E22EBF"/>
    <w:rsid w:val="00E32F7E"/>
    <w:rsid w:val="00E40B95"/>
    <w:rsid w:val="00E5267B"/>
    <w:rsid w:val="00E63C0E"/>
    <w:rsid w:val="00E64CCF"/>
    <w:rsid w:val="00E665F9"/>
    <w:rsid w:val="00E72D49"/>
    <w:rsid w:val="00E7593C"/>
    <w:rsid w:val="00E75A12"/>
    <w:rsid w:val="00E7678A"/>
    <w:rsid w:val="00E935F1"/>
    <w:rsid w:val="00E94A81"/>
    <w:rsid w:val="00E974C8"/>
    <w:rsid w:val="00EA1FFB"/>
    <w:rsid w:val="00EB048E"/>
    <w:rsid w:val="00EB4E9C"/>
    <w:rsid w:val="00EE34DF"/>
    <w:rsid w:val="00EF0D3B"/>
    <w:rsid w:val="00EF2F89"/>
    <w:rsid w:val="00F03E98"/>
    <w:rsid w:val="00F1237A"/>
    <w:rsid w:val="00F2126C"/>
    <w:rsid w:val="00F22CBD"/>
    <w:rsid w:val="00F272F1"/>
    <w:rsid w:val="00F45372"/>
    <w:rsid w:val="00F560F7"/>
    <w:rsid w:val="00F56BEA"/>
    <w:rsid w:val="00F6334D"/>
    <w:rsid w:val="00F80F1B"/>
    <w:rsid w:val="00F871DE"/>
    <w:rsid w:val="00F874D0"/>
    <w:rsid w:val="00F926AC"/>
    <w:rsid w:val="00F93AD9"/>
    <w:rsid w:val="00FA49AB"/>
    <w:rsid w:val="00FE06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AB45594"/>
  <w15:docId w15:val="{6643D3A6-9A06-4666-98D3-C43BBE61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F56BEA"/>
    <w:pPr>
      <w:keepNext/>
      <w:jc w:val="both"/>
      <w:outlineLvl w:val="0"/>
    </w:pPr>
    <w:rPr>
      <w:rFonts w:ascii="Arial" w:hAnsi="Arial"/>
      <w:caps/>
      <w:lang w:val="fr-CH"/>
    </w:rPr>
  </w:style>
  <w:style w:type="paragraph" w:styleId="Heading2">
    <w:name w:val="heading 2"/>
    <w:next w:val="Normal"/>
    <w:autoRedefine/>
    <w:qFormat/>
    <w:rsid w:val="0038525D"/>
    <w:pPr>
      <w:keepNext/>
      <w:jc w:val="both"/>
      <w:outlineLvl w:val="1"/>
    </w:pPr>
    <w:rPr>
      <w:rFonts w:ascii="Arial" w:hAnsi="Arial"/>
    </w:rPr>
  </w:style>
  <w:style w:type="paragraph" w:styleId="Heading3">
    <w:name w:val="heading 3"/>
    <w:next w:val="Normal"/>
    <w:autoRedefine/>
    <w:qFormat/>
    <w:rsid w:val="009F1754"/>
    <w:pPr>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70338"/>
    <w:pPr>
      <w:tabs>
        <w:tab w:val="right" w:leader="dot" w:pos="9639"/>
      </w:tabs>
      <w:ind w:left="568" w:right="851" w:hanging="284"/>
      <w:contextualSpacing/>
    </w:pPr>
    <w:rPr>
      <w:rFonts w:ascii="Arial" w:hAnsi="Arial"/>
      <w:sz w:val="18"/>
    </w:rPr>
  </w:style>
  <w:style w:type="paragraph" w:styleId="TOC3">
    <w:name w:val="toc 3"/>
    <w:next w:val="Normal"/>
    <w:autoRedefine/>
    <w:uiPriority w:val="39"/>
    <w:rsid w:val="00370338"/>
    <w:pPr>
      <w:tabs>
        <w:tab w:val="left" w:pos="1100"/>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226F0F"/>
    <w:pPr>
      <w:tabs>
        <w:tab w:val="right" w:leader="dot" w:pos="9639"/>
      </w:tabs>
      <w:contextualSpacing/>
    </w:pPr>
    <w:rPr>
      <w:rFonts w:ascii="Arial" w:hAnsi="Arial"/>
      <w:caps/>
      <w:noProof/>
      <w:snapToGrid w:val="0"/>
      <w:color w:val="000000"/>
      <w:sz w:val="18"/>
      <w:szCs w:val="18"/>
      <w:lang w:val="fr-CH"/>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112E25"/>
    <w:rPr>
      <w:rFonts w:ascii="Arial" w:hAnsi="Arial"/>
      <w:sz w:val="16"/>
      <w:lang w:val="fr-FR"/>
    </w:rPr>
  </w:style>
  <w:style w:type="character" w:customStyle="1" w:styleId="Heading1Char">
    <w:name w:val="Heading 1 Char"/>
    <w:basedOn w:val="DefaultParagraphFont"/>
    <w:link w:val="Heading1"/>
    <w:rsid w:val="00F56BEA"/>
    <w:rPr>
      <w:rFonts w:ascii="Arial" w:hAnsi="Arial"/>
      <w:caps/>
      <w:lang w:val="fr-CH"/>
    </w:rPr>
  </w:style>
  <w:style w:type="table" w:customStyle="1" w:styleId="TableGrid1">
    <w:name w:val="Table Grid1"/>
    <w:basedOn w:val="TableNormal"/>
    <w:next w:val="TableGrid"/>
    <w:rsid w:val="00112E2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1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24646"/>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3699-94F1-4C7A-83EE-F3595CF9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5454</Words>
  <Characters>33300</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BAILLY Delphine</dc:creator>
  <cp:lastModifiedBy>MAY Jessica</cp:lastModifiedBy>
  <cp:revision>9</cp:revision>
  <cp:lastPrinted>2016-11-22T15:41:00Z</cp:lastPrinted>
  <dcterms:created xsi:type="dcterms:W3CDTF">2020-10-20T14:30:00Z</dcterms:created>
  <dcterms:modified xsi:type="dcterms:W3CDTF">2020-10-21T10:04:00Z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acb0e19e-515c-4dd8-abfb-365a787c8b82</vt:lpwstr>
  </property>
</Properties>
</file>