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F2E96" w:rsidRPr="00773091" w:rsidTr="00EF2E96">
        <w:tc>
          <w:tcPr>
            <w:tcW w:w="6522" w:type="dxa"/>
          </w:tcPr>
          <w:p w:rsidR="00EF2E96" w:rsidRPr="00773091" w:rsidRDefault="00EF2E96" w:rsidP="00EF2E96">
            <w:pPr>
              <w:rPr>
                <w:lang w:val="fr-FR"/>
              </w:rPr>
            </w:pPr>
            <w:bookmarkStart w:id="0" w:name="_Toc481744310"/>
            <w:bookmarkStart w:id="1" w:name="_Toc504565379"/>
            <w:r w:rsidRPr="00773091">
              <w:rPr>
                <w:noProof/>
              </w:rPr>
              <w:drawing>
                <wp:inline distT="0" distB="0" distL="0" distR="0" wp14:anchorId="4330F6AB" wp14:editId="4873C71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F2E96" w:rsidRPr="00773091" w:rsidRDefault="00EF2E96" w:rsidP="00EF2E96">
            <w:pPr>
              <w:pStyle w:val="Lettrine"/>
              <w:rPr>
                <w:lang w:val="fr-FR"/>
              </w:rPr>
            </w:pPr>
            <w:r w:rsidRPr="00773091">
              <w:rPr>
                <w:lang w:val="fr-FR"/>
              </w:rPr>
              <w:t>F</w:t>
            </w:r>
          </w:p>
        </w:tc>
      </w:tr>
      <w:tr w:rsidR="00EF2E96" w:rsidRPr="00A22F10" w:rsidTr="00EF2E96">
        <w:trPr>
          <w:trHeight w:val="219"/>
        </w:trPr>
        <w:tc>
          <w:tcPr>
            <w:tcW w:w="6522" w:type="dxa"/>
          </w:tcPr>
          <w:p w:rsidR="00EF2E96" w:rsidRPr="00773091" w:rsidRDefault="00EF2E96" w:rsidP="00EF2E96">
            <w:pPr>
              <w:pStyle w:val="upove"/>
              <w:rPr>
                <w:lang w:val="fr-FR"/>
              </w:rPr>
            </w:pPr>
            <w:r w:rsidRPr="0077309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F2E96" w:rsidRPr="00773091" w:rsidRDefault="00EF2E96" w:rsidP="00EF2E96">
            <w:pPr>
              <w:rPr>
                <w:lang w:val="fr-FR"/>
              </w:rPr>
            </w:pPr>
          </w:p>
        </w:tc>
      </w:tr>
    </w:tbl>
    <w:p w:rsidR="005F1D8B" w:rsidRPr="00773091" w:rsidRDefault="005F1D8B" w:rsidP="00EF2E96">
      <w:pPr>
        <w:rPr>
          <w:lang w:val="fr-FR"/>
        </w:rPr>
      </w:pPr>
    </w:p>
    <w:p w:rsidR="00EF2E96" w:rsidRPr="00773091" w:rsidRDefault="00EF2E96" w:rsidP="00EF2E9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F2E96" w:rsidRPr="00A22F10" w:rsidTr="00EF2E96">
        <w:tc>
          <w:tcPr>
            <w:tcW w:w="6512" w:type="dxa"/>
          </w:tcPr>
          <w:p w:rsidR="005F1D8B" w:rsidRPr="00773091" w:rsidRDefault="00EF2E96" w:rsidP="00EF2E96">
            <w:pPr>
              <w:pStyle w:val="Sessiontc"/>
              <w:spacing w:line="240" w:lineRule="auto"/>
              <w:rPr>
                <w:lang w:val="fr-FR"/>
              </w:rPr>
            </w:pPr>
            <w:r w:rsidRPr="00773091">
              <w:rPr>
                <w:lang w:val="fr-FR"/>
              </w:rPr>
              <w:t>Comité technique</w:t>
            </w:r>
          </w:p>
          <w:p w:rsidR="00EF2E96" w:rsidRPr="00773091" w:rsidRDefault="00EF2E96" w:rsidP="00EF2E96">
            <w:pPr>
              <w:pStyle w:val="Sessiontcplacedate"/>
              <w:rPr>
                <w:sz w:val="22"/>
                <w:lang w:val="fr-FR"/>
              </w:rPr>
            </w:pPr>
            <w:r w:rsidRPr="00773091">
              <w:rPr>
                <w:lang w:val="fr-FR"/>
              </w:rPr>
              <w:t>Cinquante</w:t>
            </w:r>
            <w:r w:rsidR="00773091">
              <w:rPr>
                <w:lang w:val="fr-FR"/>
              </w:rPr>
              <w:t>-</w:t>
            </w:r>
            <w:r w:rsidRPr="00773091">
              <w:rPr>
                <w:lang w:val="fr-FR"/>
              </w:rPr>
              <w:t>cinqu</w:t>
            </w:r>
            <w:r w:rsidR="00773091">
              <w:rPr>
                <w:lang w:val="fr-FR"/>
              </w:rPr>
              <w:t>ième session</w:t>
            </w:r>
            <w:r w:rsidRPr="00773091">
              <w:rPr>
                <w:lang w:val="fr-FR"/>
              </w:rPr>
              <w:br/>
              <w:t>Genève, 28 et 2</w:t>
            </w:r>
            <w:r w:rsidR="00773091" w:rsidRPr="00773091">
              <w:rPr>
                <w:lang w:val="fr-FR"/>
              </w:rPr>
              <w:t>9</w:t>
            </w:r>
            <w:r w:rsidR="00773091">
              <w:rPr>
                <w:lang w:val="fr-FR"/>
              </w:rPr>
              <w:t> </w:t>
            </w:r>
            <w:r w:rsidR="00773091" w:rsidRPr="00773091">
              <w:rPr>
                <w:lang w:val="fr-FR"/>
              </w:rPr>
              <w:t>octobre</w:t>
            </w:r>
            <w:r w:rsidR="00773091">
              <w:rPr>
                <w:lang w:val="fr-FR"/>
              </w:rPr>
              <w:t> </w:t>
            </w:r>
            <w:r w:rsidR="00773091" w:rsidRPr="00773091">
              <w:rPr>
                <w:lang w:val="fr-FR"/>
              </w:rPr>
              <w:t>20</w:t>
            </w:r>
            <w:r w:rsidRPr="00773091">
              <w:rPr>
                <w:lang w:val="fr-FR"/>
              </w:rPr>
              <w:t>19</w:t>
            </w:r>
          </w:p>
        </w:tc>
        <w:tc>
          <w:tcPr>
            <w:tcW w:w="3127" w:type="dxa"/>
          </w:tcPr>
          <w:p w:rsidR="005F1D8B" w:rsidRPr="00773091" w:rsidRDefault="00EF2E96" w:rsidP="00EF2E96">
            <w:pPr>
              <w:pStyle w:val="Doccode"/>
              <w:rPr>
                <w:lang w:val="fr-FR"/>
              </w:rPr>
            </w:pPr>
            <w:r w:rsidRPr="00773091">
              <w:rPr>
                <w:lang w:val="fr-FR"/>
              </w:rPr>
              <w:t>TC/55/INF/9</w:t>
            </w:r>
          </w:p>
          <w:p w:rsidR="005F1D8B" w:rsidRPr="00773091" w:rsidRDefault="00EF2E96" w:rsidP="00EF2E96">
            <w:pPr>
              <w:pStyle w:val="Docoriginal"/>
              <w:rPr>
                <w:lang w:val="fr-FR"/>
              </w:rPr>
            </w:pPr>
            <w:r w:rsidRPr="00773091">
              <w:rPr>
                <w:lang w:val="fr-FR"/>
              </w:rPr>
              <w:t>Original</w:t>
            </w:r>
            <w:r w:rsidR="00041911">
              <w:rPr>
                <w:lang w:val="fr-FR"/>
              </w:rPr>
              <w:t> </w:t>
            </w:r>
            <w:r w:rsidRPr="00773091">
              <w:rPr>
                <w:lang w:val="fr-FR"/>
              </w:rPr>
              <w:t>:</w:t>
            </w:r>
            <w:r w:rsidRPr="00773091">
              <w:rPr>
                <w:b w:val="0"/>
                <w:spacing w:val="0"/>
                <w:lang w:val="fr-FR"/>
              </w:rPr>
              <w:t xml:space="preserve"> anglais</w:t>
            </w:r>
          </w:p>
          <w:p w:rsidR="00EF2E96" w:rsidRPr="00773091" w:rsidRDefault="00EF2E96" w:rsidP="00EF2E96">
            <w:pPr>
              <w:pStyle w:val="Docoriginal"/>
              <w:rPr>
                <w:lang w:val="fr-FR"/>
              </w:rPr>
            </w:pPr>
            <w:r w:rsidRPr="00773091">
              <w:rPr>
                <w:lang w:val="fr-FR"/>
              </w:rPr>
              <w:t>Date</w:t>
            </w:r>
            <w:r w:rsidR="00041911">
              <w:rPr>
                <w:lang w:val="fr-FR"/>
              </w:rPr>
              <w:t> </w:t>
            </w:r>
            <w:r w:rsidRPr="00773091">
              <w:rPr>
                <w:lang w:val="fr-FR"/>
              </w:rPr>
              <w:t>:</w:t>
            </w:r>
            <w:r w:rsidRPr="00773091">
              <w:rPr>
                <w:b w:val="0"/>
                <w:spacing w:val="0"/>
                <w:lang w:val="fr-FR"/>
              </w:rPr>
              <w:t xml:space="preserve"> 1</w:t>
            </w:r>
            <w:r w:rsidR="00773091" w:rsidRPr="00773091">
              <w:rPr>
                <w:b w:val="0"/>
                <w:spacing w:val="0"/>
                <w:lang w:val="fr-FR"/>
              </w:rPr>
              <w:t>1</w:t>
            </w:r>
            <w:r w:rsidR="00773091">
              <w:rPr>
                <w:b w:val="0"/>
                <w:spacing w:val="0"/>
                <w:lang w:val="fr-FR"/>
              </w:rPr>
              <w:t> </w:t>
            </w:r>
            <w:r w:rsidR="00773091" w:rsidRPr="00773091">
              <w:rPr>
                <w:b w:val="0"/>
                <w:spacing w:val="0"/>
                <w:lang w:val="fr-FR"/>
              </w:rPr>
              <w:t>octobre</w:t>
            </w:r>
            <w:r w:rsidR="00773091">
              <w:rPr>
                <w:b w:val="0"/>
                <w:spacing w:val="0"/>
                <w:lang w:val="fr-FR"/>
              </w:rPr>
              <w:t> </w:t>
            </w:r>
            <w:r w:rsidR="00773091" w:rsidRPr="00773091">
              <w:rPr>
                <w:b w:val="0"/>
                <w:spacing w:val="0"/>
                <w:lang w:val="fr-FR"/>
              </w:rPr>
              <w:t>20</w:t>
            </w:r>
            <w:r w:rsidRPr="00773091">
              <w:rPr>
                <w:b w:val="0"/>
                <w:spacing w:val="0"/>
                <w:lang w:val="fr-FR"/>
              </w:rPr>
              <w:t>19</w:t>
            </w:r>
          </w:p>
        </w:tc>
      </w:tr>
    </w:tbl>
    <w:p w:rsidR="005F1D8B" w:rsidRPr="00773091" w:rsidRDefault="00EF2E96" w:rsidP="00EF2E96">
      <w:pPr>
        <w:pStyle w:val="Titleofdoc0"/>
        <w:rPr>
          <w:lang w:val="fr-FR"/>
        </w:rPr>
      </w:pPr>
      <w:bookmarkStart w:id="2" w:name="TitleOfDoc"/>
      <w:bookmarkEnd w:id="2"/>
      <w:r w:rsidRPr="00773091">
        <w:rPr>
          <w:lang w:val="fr-FR"/>
        </w:rPr>
        <w:t>DIFF</w:t>
      </w:r>
      <w:r w:rsidR="00A22F10">
        <w:rPr>
          <w:rFonts w:cs="Arial"/>
          <w:lang w:val="fr-FR"/>
        </w:rPr>
        <w:t>É</w:t>
      </w:r>
      <w:r w:rsidRPr="00773091">
        <w:rPr>
          <w:lang w:val="fr-FR"/>
        </w:rPr>
        <w:t xml:space="preserve">RENCES ENTRE LES NOTES POUR </w:t>
      </w:r>
      <w:r w:rsidR="00FC58CE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A22F10">
        <w:rPr>
          <w:rFonts w:cs="Arial"/>
          <w:lang w:val="fr-FR"/>
        </w:rPr>
        <w:t>É</w:t>
      </w:r>
      <w:r w:rsidR="008224BA" w:rsidRPr="00773091">
        <w:rPr>
          <w:lang w:val="fr-FR"/>
        </w:rPr>
        <w:t>valuation d</w:t>
      </w:r>
      <w:r w:rsidRPr="00773091">
        <w:rPr>
          <w:lang w:val="fr-FR"/>
        </w:rPr>
        <w:t>E LA DISTINCTION</w:t>
      </w:r>
    </w:p>
    <w:p w:rsidR="005F1D8B" w:rsidRPr="00773091" w:rsidRDefault="00EF2E96" w:rsidP="00EF2E96">
      <w:pPr>
        <w:pStyle w:val="preparedby1"/>
        <w:jc w:val="left"/>
        <w:rPr>
          <w:lang w:val="fr-FR"/>
        </w:rPr>
      </w:pPr>
      <w:bookmarkStart w:id="3" w:name="Prepared"/>
      <w:bookmarkEnd w:id="3"/>
      <w:r w:rsidRPr="00773091">
        <w:rPr>
          <w:lang w:val="fr-FR"/>
        </w:rPr>
        <w:t>Document établi par le Bureau de l</w:t>
      </w:r>
      <w:r w:rsidR="00773091">
        <w:rPr>
          <w:lang w:val="fr-FR"/>
        </w:rPr>
        <w:t>’</w:t>
      </w:r>
      <w:r w:rsidRPr="00773091">
        <w:rPr>
          <w:lang w:val="fr-FR"/>
        </w:rPr>
        <w:t>Union</w:t>
      </w:r>
    </w:p>
    <w:p w:rsidR="005F1D8B" w:rsidRPr="00773091" w:rsidRDefault="00EF2E96" w:rsidP="00EF2E96">
      <w:pPr>
        <w:pStyle w:val="Disclaimer"/>
        <w:rPr>
          <w:lang w:val="fr-FR"/>
        </w:rPr>
      </w:pPr>
      <w:r w:rsidRPr="00773091">
        <w:rPr>
          <w:lang w:val="fr-FR"/>
        </w:rPr>
        <w:t>Avertissement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le présent document ne représente pas les principes ou les orientations de l</w:t>
      </w:r>
      <w:r w:rsidR="00773091">
        <w:rPr>
          <w:lang w:val="fr-FR"/>
        </w:rPr>
        <w:t>’</w:t>
      </w:r>
      <w:r w:rsidRPr="00773091">
        <w:rPr>
          <w:lang w:val="fr-FR"/>
        </w:rPr>
        <w:t>UPOV</w:t>
      </w:r>
    </w:p>
    <w:p w:rsidR="005F1D8B" w:rsidRPr="00773091" w:rsidRDefault="00EF2E96" w:rsidP="00757845">
      <w:pPr>
        <w:keepNext/>
        <w:outlineLvl w:val="0"/>
        <w:rPr>
          <w:caps/>
          <w:snapToGrid w:val="0"/>
          <w:lang w:val="fr-FR"/>
        </w:rPr>
      </w:pPr>
      <w:bookmarkStart w:id="4" w:name="_Toc22819750"/>
      <w:bookmarkEnd w:id="0"/>
      <w:bookmarkEnd w:id="1"/>
      <w:r w:rsidRPr="00773091">
        <w:rPr>
          <w:caps/>
          <w:snapToGrid w:val="0"/>
          <w:lang w:val="fr-FR"/>
        </w:rPr>
        <w:t>R</w:t>
      </w:r>
      <w:r w:rsidR="00A22F10">
        <w:rPr>
          <w:rFonts w:cs="Arial"/>
          <w:caps/>
          <w:snapToGrid w:val="0"/>
          <w:lang w:val="fr-FR"/>
        </w:rPr>
        <w:t>É</w:t>
      </w:r>
      <w:r w:rsidRPr="00773091">
        <w:rPr>
          <w:caps/>
          <w:snapToGrid w:val="0"/>
          <w:lang w:val="fr-FR"/>
        </w:rPr>
        <w:t>SUM</w:t>
      </w:r>
      <w:r w:rsidR="00A22F10">
        <w:rPr>
          <w:rFonts w:cs="Arial"/>
          <w:caps/>
          <w:snapToGrid w:val="0"/>
          <w:lang w:val="fr-FR"/>
        </w:rPr>
        <w:t>É</w:t>
      </w:r>
      <w:bookmarkEnd w:id="4"/>
    </w:p>
    <w:p w:rsidR="005F1D8B" w:rsidRPr="00773091" w:rsidRDefault="005F1D8B" w:rsidP="00757845">
      <w:pPr>
        <w:rPr>
          <w:snapToGrid w:val="0"/>
          <w:lang w:val="fr-FR"/>
        </w:rPr>
      </w:pPr>
    </w:p>
    <w:p w:rsidR="005F1D8B" w:rsidRPr="00773091" w:rsidRDefault="00757845" w:rsidP="002E2086">
      <w:pPr>
        <w:rPr>
          <w:lang w:val="fr-FR"/>
        </w:rPr>
      </w:pPr>
      <w:r w:rsidRPr="00773091">
        <w:rPr>
          <w:snapToGrid w:val="0"/>
          <w:lang w:val="fr-FR"/>
        </w:rPr>
        <w:fldChar w:fldCharType="begin"/>
      </w:r>
      <w:r w:rsidRPr="00773091">
        <w:rPr>
          <w:snapToGrid w:val="0"/>
          <w:lang w:val="fr-FR"/>
        </w:rPr>
        <w:instrText xml:space="preserve"> AUTONUM  </w:instrText>
      </w:r>
      <w:r w:rsidRPr="00773091">
        <w:rPr>
          <w:snapToGrid w:val="0"/>
          <w:lang w:val="fr-FR"/>
        </w:rPr>
        <w:fldChar w:fldCharType="end"/>
      </w:r>
      <w:r w:rsidRPr="00773091">
        <w:rPr>
          <w:snapToGrid w:val="0"/>
          <w:lang w:val="fr-FR"/>
        </w:rPr>
        <w:tab/>
      </w:r>
      <w:r w:rsidR="002E2086" w:rsidRPr="00773091">
        <w:rPr>
          <w:snapToGrid w:val="0"/>
          <w:lang w:val="fr-FR"/>
        </w:rPr>
        <w:t>L</w:t>
      </w:r>
      <w:r w:rsidR="00773091">
        <w:rPr>
          <w:snapToGrid w:val="0"/>
          <w:lang w:val="fr-FR"/>
        </w:rPr>
        <w:t>’</w:t>
      </w:r>
      <w:r w:rsidR="002E2086" w:rsidRPr="00773091">
        <w:rPr>
          <w:snapToGrid w:val="0"/>
          <w:lang w:val="fr-FR"/>
        </w:rPr>
        <w:t xml:space="preserve">objet du présent document est de présenter des orientations </w:t>
      </w:r>
      <w:r w:rsidR="00E640C6">
        <w:rPr>
          <w:snapToGrid w:val="0"/>
          <w:lang w:val="fr-FR"/>
        </w:rPr>
        <w:t>tirées</w:t>
      </w:r>
      <w:r w:rsidR="002E2086" w:rsidRPr="00773091">
        <w:rPr>
          <w:snapToGrid w:val="0"/>
          <w:lang w:val="fr-FR"/>
        </w:rPr>
        <w:t xml:space="preserve"> des documents TGP sur la manière dont les différences entre les notes peuvent être utilisées pour </w:t>
      </w:r>
      <w:r w:rsidR="008224BA" w:rsidRPr="00773091">
        <w:rPr>
          <w:snapToGrid w:val="0"/>
          <w:lang w:val="fr-FR"/>
        </w:rPr>
        <w:t>l</w:t>
      </w:r>
      <w:r w:rsidR="00773091">
        <w:rPr>
          <w:snapToGrid w:val="0"/>
          <w:lang w:val="fr-FR"/>
        </w:rPr>
        <w:t>’</w:t>
      </w:r>
      <w:r w:rsidR="008224BA" w:rsidRPr="00773091">
        <w:rPr>
          <w:snapToGrid w:val="0"/>
          <w:lang w:val="fr-FR"/>
        </w:rPr>
        <w:t xml:space="preserve">évaluation </w:t>
      </w:r>
      <w:r w:rsidR="002E2086" w:rsidRPr="00773091">
        <w:rPr>
          <w:snapToGrid w:val="0"/>
          <w:lang w:val="fr-FR"/>
        </w:rPr>
        <w:t>de la distinction pour les caractères PQ et QN.</w:t>
      </w:r>
    </w:p>
    <w:p w:rsidR="005F1D8B" w:rsidRPr="00773091" w:rsidRDefault="005F1D8B" w:rsidP="00757845">
      <w:pPr>
        <w:rPr>
          <w:lang w:val="fr-FR"/>
        </w:rPr>
      </w:pPr>
    </w:p>
    <w:bookmarkStart w:id="5" w:name="_Toc386185971"/>
    <w:bookmarkStart w:id="6" w:name="_Toc419124859"/>
    <w:p w:rsidR="005F1D8B" w:rsidRPr="00773091" w:rsidRDefault="00757845" w:rsidP="002E2086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2E2086" w:rsidRPr="00773091">
        <w:rPr>
          <w:lang w:val="fr-FR"/>
        </w:rPr>
        <w:t>Les abréviations suivantes sont utilisées dans le présent document</w:t>
      </w:r>
      <w:r w:rsidR="00773091">
        <w:rPr>
          <w:lang w:val="fr-FR"/>
        </w:rPr>
        <w:t> :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2E2086" w:rsidP="002E2086">
      <w:pPr>
        <w:tabs>
          <w:tab w:val="left" w:pos="1134"/>
        </w:tabs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TC</w:t>
      </w:r>
      <w:r w:rsidR="00773091">
        <w:rPr>
          <w:rFonts w:cs="Arial"/>
          <w:lang w:val="fr-FR"/>
        </w:rPr>
        <w:t> :</w:t>
      </w:r>
      <w:r w:rsidR="00041911">
        <w:rPr>
          <w:rFonts w:cs="Arial"/>
          <w:lang w:val="fr-FR"/>
        </w:rPr>
        <w:t xml:space="preserve"> </w:t>
      </w:r>
      <w:r w:rsidR="00041911">
        <w:rPr>
          <w:rFonts w:cs="Arial"/>
          <w:lang w:val="fr-FR"/>
        </w:rPr>
        <w:tab/>
      </w:r>
      <w:r w:rsidRPr="00773091">
        <w:rPr>
          <w:rFonts w:cs="Arial"/>
          <w:lang w:val="fr-FR"/>
        </w:rPr>
        <w:t>Comité technique</w:t>
      </w:r>
    </w:p>
    <w:p w:rsidR="005F1D8B" w:rsidRPr="00773091" w:rsidRDefault="002E2086" w:rsidP="002E2086">
      <w:pPr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TC</w:t>
      </w:r>
      <w:r w:rsidR="00773091">
        <w:rPr>
          <w:rFonts w:cs="Arial"/>
          <w:lang w:val="fr-FR"/>
        </w:rPr>
        <w:t>-</w:t>
      </w:r>
      <w:r w:rsidRPr="00773091">
        <w:rPr>
          <w:rFonts w:cs="Arial"/>
          <w:lang w:val="fr-FR"/>
        </w:rPr>
        <w:t>EDC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ab/>
        <w:t>Comité de rédaction élargi</w:t>
      </w:r>
    </w:p>
    <w:p w:rsidR="005F1D8B" w:rsidRPr="00773091" w:rsidRDefault="002E2086" w:rsidP="002E2086">
      <w:pPr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TWA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ab/>
        <w:t>Groupe de travail technique sur les plantes agricoles</w:t>
      </w:r>
    </w:p>
    <w:p w:rsidR="005F1D8B" w:rsidRPr="00773091" w:rsidRDefault="002E2086" w:rsidP="002E2086">
      <w:pPr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TWC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ab/>
        <w:t>Groupe de travail technique sur les systèmes d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automatisation et les programmes d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ordinateur</w:t>
      </w:r>
    </w:p>
    <w:p w:rsidR="005F1D8B" w:rsidRPr="00773091" w:rsidRDefault="002E2086" w:rsidP="002E2086">
      <w:pPr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TWF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ab/>
        <w:t>Groupe de travail technique sur les plantes fruitières</w:t>
      </w:r>
    </w:p>
    <w:p w:rsidR="00773091" w:rsidRDefault="002E2086" w:rsidP="002E2086">
      <w:pPr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TWO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ab/>
        <w:t>Groupe de travail technique sur les plantes ornementales et les arbres forestiers</w:t>
      </w:r>
    </w:p>
    <w:p w:rsidR="005F1D8B" w:rsidRPr="00773091" w:rsidRDefault="002E2086" w:rsidP="002E2086">
      <w:pPr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TWV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ab/>
        <w:t>Groupe de travail technique sur les plantes potagères</w:t>
      </w:r>
    </w:p>
    <w:p w:rsidR="005F1D8B" w:rsidRPr="00773091" w:rsidRDefault="002E2086" w:rsidP="002E2086">
      <w:pPr>
        <w:jc w:val="left"/>
        <w:rPr>
          <w:rFonts w:cs="Arial"/>
          <w:lang w:val="fr-FR"/>
        </w:rPr>
      </w:pPr>
      <w:r w:rsidRPr="00773091">
        <w:rPr>
          <w:rFonts w:cs="Arial"/>
          <w:lang w:val="fr-FR"/>
        </w:rPr>
        <w:t>TWP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ab/>
        <w:t>Groupe(s) de travail technique(s)</w:t>
      </w:r>
    </w:p>
    <w:p w:rsidR="005F1D8B" w:rsidRPr="00773091" w:rsidRDefault="005F1D8B" w:rsidP="00757845">
      <w:pPr>
        <w:rPr>
          <w:lang w:val="fr-FR"/>
        </w:rPr>
      </w:pPr>
    </w:p>
    <w:bookmarkStart w:id="7" w:name="_Toc352678045"/>
    <w:bookmarkStart w:id="8" w:name="_Toc353797725"/>
    <w:bookmarkStart w:id="9" w:name="_Toc386185970"/>
    <w:bookmarkStart w:id="10" w:name="_Toc419124858"/>
    <w:bookmarkStart w:id="11" w:name="_Toc504565380"/>
    <w:p w:rsidR="005F1D8B" w:rsidRPr="00773091" w:rsidRDefault="00757845" w:rsidP="002E2086">
      <w:pPr>
        <w:rPr>
          <w:rFonts w:cs="Arial"/>
          <w:lang w:val="fr-FR"/>
        </w:rPr>
      </w:pPr>
      <w:r w:rsidRPr="00773091">
        <w:rPr>
          <w:rFonts w:cs="Arial"/>
          <w:lang w:val="fr-FR"/>
        </w:rPr>
        <w:fldChar w:fldCharType="begin"/>
      </w:r>
      <w:r w:rsidRPr="00773091">
        <w:rPr>
          <w:rFonts w:cs="Arial"/>
          <w:lang w:val="fr-FR"/>
        </w:rPr>
        <w:instrText xml:space="preserve"> AUTONUM  </w:instrText>
      </w:r>
      <w:r w:rsidRPr="00773091">
        <w:rPr>
          <w:rFonts w:cs="Arial"/>
          <w:lang w:val="fr-FR"/>
        </w:rPr>
        <w:fldChar w:fldCharType="end"/>
      </w:r>
      <w:r w:rsidRPr="00773091">
        <w:rPr>
          <w:rFonts w:cs="Arial"/>
          <w:lang w:val="fr-FR"/>
        </w:rPr>
        <w:tab/>
      </w:r>
      <w:r w:rsidR="002E2086" w:rsidRPr="00773091">
        <w:rPr>
          <w:rFonts w:cs="Arial"/>
          <w:lang w:val="fr-FR"/>
        </w:rPr>
        <w:t>Le présent document est structuré comme suit</w:t>
      </w:r>
      <w:r w:rsidR="00773091">
        <w:rPr>
          <w:rFonts w:cs="Arial"/>
          <w:lang w:val="fr-FR"/>
        </w:rPr>
        <w:t> :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E7F9B" w:rsidRDefault="007578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773091">
        <w:rPr>
          <w:rFonts w:cs="Arial"/>
          <w:bCs/>
          <w:highlight w:val="yellow"/>
          <w:lang w:val="fr-FR"/>
        </w:rPr>
        <w:fldChar w:fldCharType="begin"/>
      </w:r>
      <w:r w:rsidRPr="00773091">
        <w:rPr>
          <w:rFonts w:cs="Arial"/>
          <w:bCs/>
          <w:highlight w:val="yellow"/>
          <w:lang w:val="fr-FR"/>
        </w:rPr>
        <w:instrText xml:space="preserve"> TOC \o "1-3" \h \z \u </w:instrText>
      </w:r>
      <w:r w:rsidRPr="00773091">
        <w:rPr>
          <w:rFonts w:cs="Arial"/>
          <w:bCs/>
          <w:highlight w:val="yellow"/>
          <w:lang w:val="fr-FR"/>
        </w:rPr>
        <w:fldChar w:fldCharType="separate"/>
      </w:r>
      <w:hyperlink w:anchor="_Toc22819750" w:history="1">
        <w:r w:rsidR="005E7F9B" w:rsidRPr="008933FF">
          <w:rPr>
            <w:rStyle w:val="Hyperlink"/>
            <w:noProof/>
            <w:snapToGrid w:val="0"/>
            <w:lang w:val="fr-FR"/>
          </w:rPr>
          <w:t>R</w:t>
        </w:r>
        <w:r w:rsidR="005E7F9B" w:rsidRPr="008933FF">
          <w:rPr>
            <w:rStyle w:val="Hyperlink"/>
            <w:rFonts w:cs="Arial"/>
            <w:noProof/>
            <w:snapToGrid w:val="0"/>
            <w:lang w:val="fr-FR"/>
          </w:rPr>
          <w:t>É</w:t>
        </w:r>
        <w:r w:rsidR="005E7F9B" w:rsidRPr="008933FF">
          <w:rPr>
            <w:rStyle w:val="Hyperlink"/>
            <w:noProof/>
            <w:snapToGrid w:val="0"/>
            <w:lang w:val="fr-FR"/>
          </w:rPr>
          <w:t>SUM</w:t>
        </w:r>
        <w:r w:rsidR="005E7F9B" w:rsidRPr="008933FF">
          <w:rPr>
            <w:rStyle w:val="Hyperlink"/>
            <w:rFonts w:cs="Arial"/>
            <w:noProof/>
            <w:snapToGrid w:val="0"/>
            <w:lang w:val="fr-FR"/>
          </w:rPr>
          <w:t>É</w:t>
        </w:r>
        <w:r w:rsidR="005E7F9B">
          <w:rPr>
            <w:noProof/>
            <w:webHidden/>
          </w:rPr>
          <w:tab/>
        </w:r>
        <w:r w:rsidR="005E7F9B">
          <w:rPr>
            <w:noProof/>
            <w:webHidden/>
          </w:rPr>
          <w:fldChar w:fldCharType="begin"/>
        </w:r>
        <w:r w:rsidR="005E7F9B">
          <w:rPr>
            <w:noProof/>
            <w:webHidden/>
          </w:rPr>
          <w:instrText xml:space="preserve"> PAGEREF _Toc22819750 \h </w:instrText>
        </w:r>
        <w:r w:rsidR="005E7F9B">
          <w:rPr>
            <w:noProof/>
            <w:webHidden/>
          </w:rPr>
        </w:r>
        <w:r w:rsidR="005E7F9B">
          <w:rPr>
            <w:noProof/>
            <w:webHidden/>
          </w:rPr>
          <w:fldChar w:fldCharType="separate"/>
        </w:r>
        <w:r w:rsidR="005E7F9B">
          <w:rPr>
            <w:noProof/>
            <w:webHidden/>
          </w:rPr>
          <w:t>1</w:t>
        </w:r>
        <w:r w:rsidR="005E7F9B">
          <w:rPr>
            <w:noProof/>
            <w:webHidden/>
          </w:rPr>
          <w:fldChar w:fldCharType="end"/>
        </w:r>
      </w:hyperlink>
    </w:p>
    <w:p w:rsidR="005E7F9B" w:rsidRDefault="005E7F9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22819751" w:history="1">
        <w:r w:rsidRPr="008933FF">
          <w:rPr>
            <w:rStyle w:val="Hyperlink"/>
            <w:noProof/>
            <w:lang w:val="fr-FR"/>
          </w:rPr>
          <w:t>INFORMATIONS GÉNÉRALES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E7F9B" w:rsidRDefault="005E7F9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22819752" w:history="1">
        <w:r w:rsidRPr="008933FF">
          <w:rPr>
            <w:rStyle w:val="Hyperlink"/>
            <w:noProof/>
            <w:lang w:val="fr-FR"/>
          </w:rPr>
          <w:t>ORIENTATIONS EXISTANTES CONCERNANT LES DIFFÉRENCES DANS LES NOTES POUR L’ÉVALUATION DE LA DISTINCTION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5E7F9B" w:rsidRDefault="005E7F9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22819753" w:history="1">
        <w:r w:rsidRPr="008933FF">
          <w:rPr>
            <w:rStyle w:val="Hyperlink"/>
            <w:noProof/>
            <w:lang w:val="fr-FR"/>
          </w:rPr>
          <w:t>EXAMEN PAR LES GROUPES DE TRAVAIL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_Toc22819753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F1D8B" w:rsidRPr="00773091" w:rsidRDefault="00757845" w:rsidP="00757845">
      <w:pPr>
        <w:ind w:left="1134" w:hanging="1134"/>
        <w:rPr>
          <w:sz w:val="18"/>
          <w:lang w:val="fr-FR"/>
        </w:rPr>
      </w:pPr>
      <w:r w:rsidRPr="00773091">
        <w:rPr>
          <w:rFonts w:cs="Arial"/>
          <w:highlight w:val="yellow"/>
          <w:lang w:val="fr-FR"/>
        </w:rPr>
        <w:fldChar w:fldCharType="end"/>
      </w:r>
      <w:r w:rsidR="002E2086" w:rsidRPr="00BF473A">
        <w:rPr>
          <w:rFonts w:cs="Arial"/>
          <w:sz w:val="18"/>
          <w:lang w:val="fr-FR"/>
        </w:rPr>
        <w:t>ANNEXE I</w:t>
      </w:r>
      <w:r w:rsidR="002E2086" w:rsidRPr="00BF473A">
        <w:rPr>
          <w:rFonts w:cs="Arial"/>
          <w:sz w:val="18"/>
          <w:lang w:val="fr-FR"/>
        </w:rPr>
        <w:tab/>
        <w:t>Extraits du document</w:t>
      </w:r>
      <w:r w:rsidR="0044586D" w:rsidRPr="00BF473A">
        <w:rPr>
          <w:rFonts w:cs="Arial"/>
          <w:sz w:val="18"/>
          <w:lang w:val="fr-FR"/>
        </w:rPr>
        <w:t> </w:t>
      </w:r>
      <w:r w:rsidR="002E2086" w:rsidRPr="00BF473A">
        <w:rPr>
          <w:rFonts w:cs="Arial"/>
          <w:sz w:val="18"/>
          <w:lang w:val="fr-FR"/>
        </w:rPr>
        <w:t>TG/1 “Introduction générale à l</w:t>
      </w:r>
      <w:r w:rsidR="00773091" w:rsidRPr="00BF473A">
        <w:rPr>
          <w:rFonts w:cs="Arial"/>
          <w:sz w:val="18"/>
          <w:lang w:val="fr-FR"/>
        </w:rPr>
        <w:t>’</w:t>
      </w:r>
      <w:r w:rsidR="002E2086" w:rsidRPr="00BF473A">
        <w:rPr>
          <w:rFonts w:cs="Arial"/>
          <w:sz w:val="18"/>
          <w:lang w:val="fr-FR"/>
        </w:rPr>
        <w:t>examen de la distinction, de l</w:t>
      </w:r>
      <w:r w:rsidR="00773091" w:rsidRPr="00BF473A">
        <w:rPr>
          <w:rFonts w:cs="Arial"/>
          <w:sz w:val="18"/>
          <w:lang w:val="fr-FR"/>
        </w:rPr>
        <w:t>’</w:t>
      </w:r>
      <w:r w:rsidR="002E2086" w:rsidRPr="00BF473A">
        <w:rPr>
          <w:rFonts w:cs="Arial"/>
          <w:sz w:val="18"/>
          <w:lang w:val="fr-FR"/>
        </w:rPr>
        <w:t>homogénéité et de la stabilité et à l</w:t>
      </w:r>
      <w:r w:rsidR="00773091" w:rsidRPr="00BF473A">
        <w:rPr>
          <w:rFonts w:cs="Arial"/>
          <w:sz w:val="18"/>
          <w:lang w:val="fr-FR"/>
        </w:rPr>
        <w:t>’</w:t>
      </w:r>
      <w:r w:rsidR="002E2086" w:rsidRPr="00BF473A">
        <w:rPr>
          <w:rFonts w:cs="Arial"/>
          <w:sz w:val="18"/>
          <w:lang w:val="fr-FR"/>
        </w:rPr>
        <w:t>harmonisation des descriptions des obtentions végétales”</w:t>
      </w:r>
    </w:p>
    <w:p w:rsidR="005F1D8B" w:rsidRPr="00773091" w:rsidRDefault="002E2086" w:rsidP="002E2086">
      <w:pPr>
        <w:ind w:left="1134" w:hanging="1134"/>
        <w:rPr>
          <w:sz w:val="18"/>
          <w:lang w:val="fr-FR"/>
        </w:rPr>
      </w:pPr>
      <w:r w:rsidRPr="00773091">
        <w:rPr>
          <w:sz w:val="18"/>
          <w:lang w:val="fr-FR"/>
        </w:rPr>
        <w:t>ANNEXE</w:t>
      </w:r>
      <w:r w:rsidR="0044586D">
        <w:rPr>
          <w:sz w:val="18"/>
          <w:lang w:val="fr-FR"/>
        </w:rPr>
        <w:t> </w:t>
      </w:r>
      <w:r w:rsidRPr="00773091">
        <w:rPr>
          <w:sz w:val="18"/>
          <w:lang w:val="fr-FR"/>
        </w:rPr>
        <w:t>II</w:t>
      </w:r>
      <w:r w:rsidRPr="00773091">
        <w:rPr>
          <w:sz w:val="18"/>
          <w:lang w:val="fr-FR"/>
        </w:rPr>
        <w:tab/>
        <w:t>Extraits du document</w:t>
      </w:r>
      <w:r w:rsidR="0044586D">
        <w:rPr>
          <w:sz w:val="18"/>
          <w:lang w:val="fr-FR"/>
        </w:rPr>
        <w:t> </w:t>
      </w:r>
      <w:r w:rsidRPr="00773091">
        <w:rPr>
          <w:sz w:val="18"/>
          <w:lang w:val="fr-FR"/>
        </w:rPr>
        <w:t>TGP/8 “Protocole d</w:t>
      </w:r>
      <w:r w:rsidR="00773091">
        <w:rPr>
          <w:sz w:val="18"/>
          <w:lang w:val="fr-FR"/>
        </w:rPr>
        <w:t>’</w:t>
      </w:r>
      <w:r w:rsidRPr="00773091">
        <w:rPr>
          <w:sz w:val="18"/>
          <w:lang w:val="fr-FR"/>
        </w:rPr>
        <w:t>essai et techniques utilisés dans l</w:t>
      </w:r>
      <w:r w:rsidR="00773091">
        <w:rPr>
          <w:sz w:val="18"/>
          <w:lang w:val="fr-FR"/>
        </w:rPr>
        <w:t>’</w:t>
      </w:r>
      <w:r w:rsidRPr="00773091">
        <w:rPr>
          <w:sz w:val="18"/>
          <w:lang w:val="fr-FR"/>
        </w:rPr>
        <w:t>examen de la distinction, de l</w:t>
      </w:r>
      <w:r w:rsidR="00773091">
        <w:rPr>
          <w:sz w:val="18"/>
          <w:lang w:val="fr-FR"/>
        </w:rPr>
        <w:t>’</w:t>
      </w:r>
      <w:r w:rsidRPr="00773091">
        <w:rPr>
          <w:sz w:val="18"/>
          <w:lang w:val="fr-FR"/>
        </w:rPr>
        <w:t>homogénéité et de la stabilité”</w:t>
      </w:r>
    </w:p>
    <w:p w:rsidR="00773091" w:rsidRDefault="002E2086" w:rsidP="002E2086">
      <w:pPr>
        <w:ind w:left="1134" w:hanging="1134"/>
        <w:rPr>
          <w:sz w:val="18"/>
          <w:lang w:val="fr-FR"/>
        </w:rPr>
      </w:pPr>
      <w:r w:rsidRPr="00773091">
        <w:rPr>
          <w:sz w:val="18"/>
          <w:lang w:val="fr-FR"/>
        </w:rPr>
        <w:t>ANNEXE</w:t>
      </w:r>
      <w:r w:rsidR="0044586D">
        <w:rPr>
          <w:sz w:val="18"/>
          <w:lang w:val="fr-FR"/>
        </w:rPr>
        <w:t> </w:t>
      </w:r>
      <w:r w:rsidRPr="00773091">
        <w:rPr>
          <w:sz w:val="18"/>
          <w:lang w:val="fr-FR"/>
        </w:rPr>
        <w:t>III</w:t>
      </w:r>
      <w:r w:rsidRPr="00773091">
        <w:rPr>
          <w:sz w:val="18"/>
          <w:lang w:val="fr-FR"/>
        </w:rPr>
        <w:tab/>
        <w:t>Extraits du document</w:t>
      </w:r>
      <w:r w:rsidR="0044586D">
        <w:rPr>
          <w:sz w:val="18"/>
          <w:lang w:val="fr-FR"/>
        </w:rPr>
        <w:t> </w:t>
      </w:r>
      <w:r w:rsidRPr="00773091">
        <w:rPr>
          <w:sz w:val="18"/>
          <w:lang w:val="fr-FR"/>
        </w:rPr>
        <w:t>TGP/9 “Examen de la distinction”</w:t>
      </w:r>
    </w:p>
    <w:p w:rsidR="005F1D8B" w:rsidRPr="00773091" w:rsidRDefault="002E2086" w:rsidP="002E2086">
      <w:pPr>
        <w:ind w:left="1134" w:hanging="1134"/>
        <w:rPr>
          <w:sz w:val="18"/>
          <w:lang w:val="fr-FR"/>
        </w:rPr>
      </w:pPr>
      <w:r w:rsidRPr="00773091">
        <w:rPr>
          <w:sz w:val="18"/>
          <w:lang w:val="fr-FR"/>
        </w:rPr>
        <w:t>ANNEXE</w:t>
      </w:r>
      <w:r w:rsidR="0044586D">
        <w:rPr>
          <w:sz w:val="18"/>
          <w:lang w:val="fr-FR"/>
        </w:rPr>
        <w:t> </w:t>
      </w:r>
      <w:r w:rsidRPr="00773091">
        <w:rPr>
          <w:sz w:val="18"/>
          <w:lang w:val="fr-FR"/>
        </w:rPr>
        <w:t>IV</w:t>
      </w:r>
      <w:r w:rsidRPr="00773091">
        <w:rPr>
          <w:sz w:val="18"/>
          <w:lang w:val="fr-FR"/>
        </w:rPr>
        <w:tab/>
        <w:t>Extraits du document</w:t>
      </w:r>
      <w:r w:rsidR="0044586D">
        <w:rPr>
          <w:sz w:val="18"/>
          <w:lang w:val="fr-FR"/>
        </w:rPr>
        <w:t> </w:t>
      </w:r>
      <w:r w:rsidRPr="00773091">
        <w:rPr>
          <w:sz w:val="18"/>
          <w:lang w:val="fr-FR"/>
        </w:rPr>
        <w:t>TGP/14 “Glossaire des termes utilisés dans les documents de l</w:t>
      </w:r>
      <w:r w:rsidR="00773091">
        <w:rPr>
          <w:sz w:val="18"/>
          <w:lang w:val="fr-FR"/>
        </w:rPr>
        <w:t>’</w:t>
      </w:r>
      <w:r w:rsidRPr="00773091">
        <w:rPr>
          <w:sz w:val="18"/>
          <w:lang w:val="fr-FR"/>
        </w:rPr>
        <w:t>UPOV”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2E2086" w:rsidP="002E2086">
      <w:pPr>
        <w:keepNext/>
        <w:outlineLvl w:val="0"/>
        <w:rPr>
          <w:caps/>
          <w:lang w:val="fr-FR"/>
        </w:rPr>
      </w:pPr>
      <w:bookmarkStart w:id="12" w:name="_Toc22819751"/>
      <w:bookmarkEnd w:id="7"/>
      <w:bookmarkEnd w:id="8"/>
      <w:bookmarkEnd w:id="9"/>
      <w:bookmarkEnd w:id="10"/>
      <w:bookmarkEnd w:id="11"/>
      <w:r w:rsidRPr="00773091">
        <w:rPr>
          <w:caps/>
          <w:lang w:val="fr-FR"/>
        </w:rPr>
        <w:t>INFORMATIONS GÉNÉRALES</w:t>
      </w:r>
      <w:bookmarkEnd w:id="12"/>
    </w:p>
    <w:bookmarkEnd w:id="5"/>
    <w:bookmarkEnd w:id="6"/>
    <w:p w:rsidR="005F1D8B" w:rsidRPr="00773091" w:rsidRDefault="005F1D8B" w:rsidP="00757845">
      <w:pPr>
        <w:rPr>
          <w:lang w:val="fr-FR"/>
        </w:rPr>
      </w:pPr>
    </w:p>
    <w:p w:rsidR="00773091" w:rsidRDefault="00757845" w:rsidP="002E2086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2E2086" w:rsidRPr="00773091">
        <w:rPr>
          <w:lang w:val="fr-FR"/>
        </w:rPr>
        <w:t>À sa cinquante</w:t>
      </w:r>
      <w:r w:rsidR="00773091">
        <w:rPr>
          <w:lang w:val="fr-FR"/>
        </w:rPr>
        <w:t>-</w:t>
      </w:r>
      <w:r w:rsidR="002E2086" w:rsidRPr="00773091">
        <w:rPr>
          <w:lang w:val="fr-FR"/>
        </w:rPr>
        <w:t>quatr</w:t>
      </w:r>
      <w:r w:rsidR="00773091">
        <w:rPr>
          <w:lang w:val="fr-FR"/>
        </w:rPr>
        <w:t>ième session</w:t>
      </w:r>
      <w:r w:rsidR="002E2086" w:rsidRPr="00773091">
        <w:rPr>
          <w:lang w:val="fr-FR"/>
        </w:rPr>
        <w:t xml:space="preserve"> tenue à Genève les 29 et 3</w:t>
      </w:r>
      <w:r w:rsidR="00773091" w:rsidRPr="00773091">
        <w:rPr>
          <w:lang w:val="fr-FR"/>
        </w:rPr>
        <w:t>0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octobre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20</w:t>
      </w:r>
      <w:r w:rsidR="002E2086" w:rsidRPr="00773091">
        <w:rPr>
          <w:lang w:val="fr-FR"/>
        </w:rPr>
        <w:t>18, le</w:t>
      </w:r>
      <w:r w:rsidR="00773091">
        <w:rPr>
          <w:lang w:val="fr-FR"/>
        </w:rPr>
        <w:t> TC</w:t>
      </w:r>
      <w:r w:rsidR="002E2086" w:rsidRPr="00773091">
        <w:rPr>
          <w:lang w:val="fr-FR"/>
        </w:rPr>
        <w:t xml:space="preserve"> a examiné le </w:t>
      </w:r>
      <w:r w:rsidR="00773091" w:rsidRPr="00773091">
        <w:rPr>
          <w:lang w:val="fr-FR"/>
        </w:rPr>
        <w:t>document</w:t>
      </w:r>
      <w:r w:rsidR="0044586D">
        <w:rPr>
          <w:lang w:val="fr-FR"/>
        </w:rPr>
        <w:t> </w:t>
      </w:r>
      <w:r w:rsidR="00773091">
        <w:rPr>
          <w:lang w:val="fr-FR"/>
        </w:rPr>
        <w:t>TC</w:t>
      </w:r>
      <w:r w:rsidR="002E2086" w:rsidRPr="00773091">
        <w:rPr>
          <w:lang w:val="fr-FR"/>
        </w:rPr>
        <w:t xml:space="preserve">/54/21 “Illustrations des caractères liés à la forme et au ratio” (voir les </w:t>
      </w:r>
      <w:r w:rsidR="00773091" w:rsidRPr="00773091">
        <w:rPr>
          <w:lang w:val="fr-FR"/>
        </w:rPr>
        <w:t>paragraphes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2</w:t>
      </w:r>
      <w:r w:rsidR="002E2086" w:rsidRPr="00773091">
        <w:rPr>
          <w:lang w:val="fr-FR"/>
        </w:rPr>
        <w:t xml:space="preserve">35 à 239 du </w:t>
      </w:r>
      <w:r w:rsidR="00773091" w:rsidRPr="00773091">
        <w:rPr>
          <w:lang w:val="fr-FR"/>
        </w:rPr>
        <w:t>document</w:t>
      </w:r>
      <w:r w:rsidR="0044586D">
        <w:rPr>
          <w:lang w:val="fr-FR"/>
        </w:rPr>
        <w:t> </w:t>
      </w:r>
      <w:r w:rsidR="00773091">
        <w:rPr>
          <w:lang w:val="fr-FR"/>
        </w:rPr>
        <w:t>TC</w:t>
      </w:r>
      <w:r w:rsidR="002E2086" w:rsidRPr="00773091">
        <w:rPr>
          <w:lang w:val="fr-FR"/>
        </w:rPr>
        <w:t>/54/31 “Compte rendu”).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FC58CE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FC58CE" w:rsidRPr="00773091">
        <w:rPr>
          <w:lang w:val="fr-FR"/>
        </w:rPr>
        <w:t>Le</w:t>
      </w:r>
      <w:r w:rsidR="00773091">
        <w:rPr>
          <w:lang w:val="fr-FR"/>
        </w:rPr>
        <w:t> TC</w:t>
      </w:r>
      <w:r w:rsidR="00FC58CE" w:rsidRPr="00773091">
        <w:rPr>
          <w:lang w:val="fr-FR"/>
        </w:rPr>
        <w:t xml:space="preserve"> a noté que des tableaux pouvaient être utilisés pour mieux définir les niveaux d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expression et les différences entre eux et pour décrire la gamme d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expression des caractères liés à la forme.</w:t>
      </w:r>
    </w:p>
    <w:p w:rsidR="005F1D8B" w:rsidRPr="00773091" w:rsidRDefault="005F1D8B" w:rsidP="00757845">
      <w:pPr>
        <w:rPr>
          <w:lang w:val="fr-FR"/>
        </w:rPr>
      </w:pPr>
    </w:p>
    <w:p w:rsidR="00773091" w:rsidRDefault="00757845" w:rsidP="00FC58CE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FC58CE" w:rsidRPr="00773091">
        <w:rPr>
          <w:lang w:val="fr-FR"/>
        </w:rPr>
        <w:t>Le</w:t>
      </w:r>
      <w:r w:rsidR="00773091">
        <w:rPr>
          <w:lang w:val="fr-FR"/>
        </w:rPr>
        <w:t> TC</w:t>
      </w:r>
      <w:r w:rsidR="00FC58CE" w:rsidRPr="00773091">
        <w:rPr>
          <w:lang w:val="fr-FR"/>
        </w:rPr>
        <w:t xml:space="preserve"> a pris note des débats visant à déterminer s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il convenait de définir les situations dans lesquelles des tableaux devaient ou non être utilisés pour expliquer les niveaux d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expression des caractères liés à la forme et est convenu que</w:t>
      </w:r>
      <w:r w:rsidR="00773091" w:rsidRPr="00773091">
        <w:rPr>
          <w:lang w:val="fr-FR"/>
        </w:rPr>
        <w:t xml:space="preserve"> le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TWP</w:t>
      </w:r>
      <w:r w:rsidR="00FC58CE" w:rsidRPr="00773091">
        <w:rPr>
          <w:lang w:val="fr-FR"/>
        </w:rPr>
        <w:t xml:space="preserve"> devrait se prononcer au cas par cas pour chaque principe directeur d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examen, conformément aux orientations figurant dans le document</w:t>
      </w:r>
      <w:r w:rsidR="0044586D">
        <w:rPr>
          <w:lang w:val="fr-FR"/>
        </w:rPr>
        <w:t> </w:t>
      </w:r>
      <w:r w:rsidR="00FC58CE" w:rsidRPr="00773091">
        <w:rPr>
          <w:lang w:val="fr-FR"/>
        </w:rPr>
        <w:t>TGP/14 “Glossaire de termes utilisés dans les documents de l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UPOV”.</w:t>
      </w:r>
      <w:r w:rsidRPr="00773091">
        <w:rPr>
          <w:lang w:val="fr-FR"/>
        </w:rPr>
        <w:t xml:space="preserve">  </w:t>
      </w:r>
      <w:r w:rsidR="00FC58CE" w:rsidRPr="00773091">
        <w:rPr>
          <w:lang w:val="fr-FR"/>
        </w:rPr>
        <w:t>Le</w:t>
      </w:r>
      <w:r w:rsidR="00773091">
        <w:rPr>
          <w:lang w:val="fr-FR"/>
        </w:rPr>
        <w:t> TC</w:t>
      </w:r>
      <w:r w:rsidR="00FC58CE" w:rsidRPr="00773091">
        <w:rPr>
          <w:lang w:val="fr-FR"/>
        </w:rPr>
        <w:t xml:space="preserve"> a rappelé que, si les tableaux n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 xml:space="preserve">étaient pas utilisés, il était nécessaire </w:t>
      </w:r>
      <w:r w:rsidR="00FC58CE" w:rsidRPr="00773091">
        <w:rPr>
          <w:lang w:val="fr-FR"/>
        </w:rPr>
        <w:lastRenderedPageBreak/>
        <w:t>que les principes directeurs d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examen expliquent les différences entre les formes par une autre méthode claire et objective.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FC58CE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FC58CE" w:rsidRPr="00773091">
        <w:rPr>
          <w:lang w:val="fr-FR"/>
        </w:rPr>
        <w:t>Le</w:t>
      </w:r>
      <w:r w:rsidR="00773091">
        <w:rPr>
          <w:lang w:val="fr-FR"/>
        </w:rPr>
        <w:t> TC</w:t>
      </w:r>
      <w:r w:rsidR="00FC58CE" w:rsidRPr="00773091">
        <w:rPr>
          <w:lang w:val="fr-FR"/>
        </w:rPr>
        <w:t xml:space="preserve"> a pris note des débats visant à déterminer s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il convenait de fournir des orientations sur la manière dont les tableaux pouvaient préciser comment les différences entre les notes pouvaient être utilisées pour l</w:t>
      </w:r>
      <w:r w:rsidR="00773091">
        <w:rPr>
          <w:lang w:val="fr-FR"/>
        </w:rPr>
        <w:t>’</w:t>
      </w:r>
      <w:r w:rsidR="00FC58CE" w:rsidRPr="00773091">
        <w:rPr>
          <w:lang w:val="fr-FR"/>
        </w:rPr>
        <w:t>évaluation de la distinction, conformém</w:t>
      </w:r>
      <w:r w:rsidR="00B00E41" w:rsidRPr="00773091">
        <w:rPr>
          <w:lang w:val="fr-FR"/>
        </w:rPr>
        <w:t>ent aux conseils donnés dans l</w:t>
      </w:r>
      <w:r w:rsidR="00773091">
        <w:rPr>
          <w:lang w:val="fr-FR"/>
        </w:rPr>
        <w:t>’</w:t>
      </w:r>
      <w:r w:rsidR="00B00E41" w:rsidRPr="00773091">
        <w:rPr>
          <w:lang w:val="fr-FR"/>
        </w:rPr>
        <w:t>I</w:t>
      </w:r>
      <w:r w:rsidR="00FC58CE" w:rsidRPr="00773091">
        <w:rPr>
          <w:lang w:val="fr-FR"/>
        </w:rPr>
        <w:t>ntroduction générale et le document</w:t>
      </w:r>
      <w:r w:rsidR="0044586D">
        <w:rPr>
          <w:lang w:val="fr-FR"/>
        </w:rPr>
        <w:t> </w:t>
      </w:r>
      <w:r w:rsidR="00FC58CE" w:rsidRPr="00773091">
        <w:rPr>
          <w:lang w:val="fr-FR"/>
        </w:rPr>
        <w:t>TGP/9.</w:t>
      </w:r>
    </w:p>
    <w:p w:rsidR="005F1D8B" w:rsidRPr="00773091" w:rsidRDefault="005F1D8B" w:rsidP="00757845">
      <w:pPr>
        <w:rPr>
          <w:lang w:val="fr-FR"/>
        </w:rPr>
      </w:pPr>
    </w:p>
    <w:p w:rsidR="00773091" w:rsidRDefault="00757845" w:rsidP="008224BA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8224BA" w:rsidRPr="00773091">
        <w:rPr>
          <w:lang w:val="fr-FR"/>
        </w:rPr>
        <w:t>Le</w:t>
      </w:r>
      <w:r w:rsidR="00773091">
        <w:rPr>
          <w:lang w:val="fr-FR"/>
        </w:rPr>
        <w:t> TC</w:t>
      </w:r>
      <w:r w:rsidR="008224BA" w:rsidRPr="00773091">
        <w:rPr>
          <w:lang w:val="fr-FR"/>
        </w:rPr>
        <w:t xml:space="preserve"> a noté que le logiciel GAIA était un exemple de l</w:t>
      </w:r>
      <w:r w:rsidR="00773091">
        <w:rPr>
          <w:lang w:val="fr-FR"/>
        </w:rPr>
        <w:t>’</w:t>
      </w:r>
      <w:r w:rsidR="008224BA" w:rsidRPr="00773091">
        <w:rPr>
          <w:lang w:val="fr-FR"/>
        </w:rPr>
        <w:t>utilisation qui pouvait être faite des différences entre les notes pour la détermination de la distinction.</w:t>
      </w:r>
      <w:r w:rsidRPr="00773091">
        <w:rPr>
          <w:lang w:val="fr-FR"/>
        </w:rPr>
        <w:t xml:space="preserve">  </w:t>
      </w:r>
      <w:r w:rsidR="008224BA" w:rsidRPr="00773091">
        <w:rPr>
          <w:lang w:val="fr-FR"/>
        </w:rPr>
        <w:t>Le</w:t>
      </w:r>
      <w:r w:rsidR="00773091">
        <w:rPr>
          <w:lang w:val="fr-FR"/>
        </w:rPr>
        <w:t> TC</w:t>
      </w:r>
      <w:r w:rsidR="008224BA" w:rsidRPr="00773091">
        <w:rPr>
          <w:lang w:val="fr-FR"/>
        </w:rPr>
        <w:t xml:space="preserve"> est convenu de demander au Bureau de l</w:t>
      </w:r>
      <w:r w:rsidR="00773091">
        <w:rPr>
          <w:lang w:val="fr-FR"/>
        </w:rPr>
        <w:t>’</w:t>
      </w:r>
      <w:r w:rsidR="008224BA" w:rsidRPr="00773091">
        <w:rPr>
          <w:lang w:val="fr-FR"/>
        </w:rPr>
        <w:t>UPOV d</w:t>
      </w:r>
      <w:r w:rsidR="00773091">
        <w:rPr>
          <w:lang w:val="fr-FR"/>
        </w:rPr>
        <w:t>’</w:t>
      </w:r>
      <w:r w:rsidR="008224BA" w:rsidRPr="00773091">
        <w:rPr>
          <w:lang w:val="fr-FR"/>
        </w:rPr>
        <w:t xml:space="preserve">élaborer un document pour examen </w:t>
      </w:r>
      <w:r w:rsidR="00EC1556">
        <w:rPr>
          <w:lang w:val="fr-FR"/>
        </w:rPr>
        <w:t>par</w:t>
      </w:r>
      <w:r w:rsidR="00773091" w:rsidRPr="00773091">
        <w:rPr>
          <w:lang w:val="fr-FR"/>
        </w:rPr>
        <w:t xml:space="preserve"> les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TWP</w:t>
      </w:r>
      <w:r w:rsidR="008224BA" w:rsidRPr="00773091">
        <w:rPr>
          <w:lang w:val="fr-FR"/>
        </w:rPr>
        <w:t xml:space="preserve"> fournissant des renseignements sur les caractères QN et PQ mentionnés dans le document</w:t>
      </w:r>
      <w:r w:rsidR="0044586D">
        <w:rPr>
          <w:lang w:val="fr-FR"/>
        </w:rPr>
        <w:t> </w:t>
      </w:r>
      <w:r w:rsidR="008224BA" w:rsidRPr="00773091">
        <w:rPr>
          <w:lang w:val="fr-FR"/>
        </w:rPr>
        <w:t>TG/1/3 “Introduction générale à l</w:t>
      </w:r>
      <w:r w:rsidR="00773091">
        <w:rPr>
          <w:lang w:val="fr-FR"/>
        </w:rPr>
        <w:t>’</w:t>
      </w:r>
      <w:r w:rsidR="008224BA" w:rsidRPr="00773091">
        <w:rPr>
          <w:lang w:val="fr-FR"/>
        </w:rPr>
        <w:t>examen de la distinction, de l</w:t>
      </w:r>
      <w:r w:rsidR="00773091">
        <w:rPr>
          <w:lang w:val="fr-FR"/>
        </w:rPr>
        <w:t>’</w:t>
      </w:r>
      <w:r w:rsidR="008224BA" w:rsidRPr="00773091">
        <w:rPr>
          <w:lang w:val="fr-FR"/>
        </w:rPr>
        <w:t>homogénéité et de la stabilité et de l</w:t>
      </w:r>
      <w:r w:rsidR="00773091">
        <w:rPr>
          <w:lang w:val="fr-FR"/>
        </w:rPr>
        <w:t>’</w:t>
      </w:r>
      <w:r w:rsidR="008224BA" w:rsidRPr="00773091">
        <w:rPr>
          <w:lang w:val="fr-FR"/>
        </w:rPr>
        <w:t>harmonisation des descriptions des obtentions végétales”.</w:t>
      </w:r>
      <w:r w:rsidRPr="00773091">
        <w:rPr>
          <w:lang w:val="fr-FR"/>
        </w:rPr>
        <w:t xml:space="preserve">  </w:t>
      </w:r>
      <w:r w:rsidR="008224BA" w:rsidRPr="00773091">
        <w:rPr>
          <w:lang w:val="fr-FR"/>
        </w:rPr>
        <w:t>Le</w:t>
      </w:r>
      <w:r w:rsidR="00773091">
        <w:rPr>
          <w:lang w:val="fr-FR"/>
        </w:rPr>
        <w:t> TC</w:t>
      </w:r>
      <w:r w:rsidR="008224BA" w:rsidRPr="00773091">
        <w:rPr>
          <w:lang w:val="fr-FR"/>
        </w:rPr>
        <w:t xml:space="preserve"> est convenu que ces discussions devraient être dissociées des discussions sur l</w:t>
      </w:r>
      <w:r w:rsidR="00773091">
        <w:rPr>
          <w:lang w:val="fr-FR"/>
        </w:rPr>
        <w:t>’</w:t>
      </w:r>
      <w:r w:rsidR="008224BA" w:rsidRPr="00773091">
        <w:rPr>
          <w:lang w:val="fr-FR"/>
        </w:rPr>
        <w:t xml:space="preserve">utilisation des tableaux pour illustrer les caractères liés à la forme et au </w:t>
      </w:r>
      <w:r w:rsidR="00D66298">
        <w:rPr>
          <w:lang w:val="fr-FR"/>
        </w:rPr>
        <w:t>ratio</w:t>
      </w:r>
      <w:r w:rsidR="008224BA" w:rsidRPr="00773091">
        <w:rPr>
          <w:lang w:val="fr-FR"/>
        </w:rPr>
        <w:t>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8224BA" w:rsidP="008224BA">
      <w:pPr>
        <w:keepNext/>
        <w:outlineLvl w:val="0"/>
        <w:rPr>
          <w:caps/>
          <w:lang w:val="fr-FR"/>
        </w:rPr>
      </w:pPr>
      <w:bookmarkStart w:id="13" w:name="_Toc22819752"/>
      <w:r w:rsidRPr="00773091">
        <w:rPr>
          <w:caps/>
          <w:lang w:val="fr-FR"/>
        </w:rPr>
        <w:t>ORIENTATIONS EXISTANTES CONCERNANT LES DIFFÉRENCES DANS LES NOTES POUR L</w:t>
      </w:r>
      <w:r w:rsidR="00773091">
        <w:rPr>
          <w:caps/>
          <w:lang w:val="fr-FR"/>
        </w:rPr>
        <w:t>’</w:t>
      </w:r>
      <w:r w:rsidRPr="00773091">
        <w:rPr>
          <w:caps/>
          <w:lang w:val="fr-FR"/>
        </w:rPr>
        <w:t>ÉVALUATION DE LA DISTINCTION</w:t>
      </w:r>
      <w:bookmarkEnd w:id="13"/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57104A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57104A" w:rsidRPr="00773091">
        <w:rPr>
          <w:lang w:val="fr-FR"/>
        </w:rPr>
        <w:t>Le document</w:t>
      </w:r>
      <w:r w:rsidR="0044586D">
        <w:rPr>
          <w:lang w:val="fr-FR"/>
        </w:rPr>
        <w:t> </w:t>
      </w:r>
      <w:r w:rsidR="0057104A" w:rsidRPr="00773091">
        <w:rPr>
          <w:lang w:val="fr-FR"/>
        </w:rPr>
        <w:t>TGP/8 “Protocole d</w:t>
      </w:r>
      <w:r w:rsidR="00773091">
        <w:rPr>
          <w:lang w:val="fr-FR"/>
        </w:rPr>
        <w:t>’</w:t>
      </w:r>
      <w:r w:rsidR="0057104A" w:rsidRPr="00773091">
        <w:rPr>
          <w:lang w:val="fr-FR"/>
        </w:rPr>
        <w:t>essai et techniques utilisés dans l</w:t>
      </w:r>
      <w:r w:rsidR="00773091">
        <w:rPr>
          <w:lang w:val="fr-FR"/>
        </w:rPr>
        <w:t>’</w:t>
      </w:r>
      <w:r w:rsidR="0057104A" w:rsidRPr="00773091">
        <w:rPr>
          <w:lang w:val="fr-FR"/>
        </w:rPr>
        <w:t>examen de la distinction, de l</w:t>
      </w:r>
      <w:r w:rsidR="00773091">
        <w:rPr>
          <w:lang w:val="fr-FR"/>
        </w:rPr>
        <w:t>’</w:t>
      </w:r>
      <w:r w:rsidR="0057104A" w:rsidRPr="00773091">
        <w:rPr>
          <w:lang w:val="fr-FR"/>
        </w:rPr>
        <w:t>homogénéité et de la stabilité” décrit la méthodologie GAIA.</w:t>
      </w:r>
      <w:r w:rsidRPr="00773091">
        <w:rPr>
          <w:lang w:val="fr-FR"/>
        </w:rPr>
        <w:t xml:space="preserve">  </w:t>
      </w:r>
      <w:r w:rsidR="0057104A" w:rsidRPr="00773091">
        <w:rPr>
          <w:lang w:val="fr-FR"/>
        </w:rPr>
        <w:t>Le principe consiste à calculer l</w:t>
      </w:r>
      <w:r w:rsidR="00773091">
        <w:rPr>
          <w:lang w:val="fr-FR"/>
        </w:rPr>
        <w:t>’</w:t>
      </w:r>
      <w:r w:rsidR="0057104A" w:rsidRPr="00773091">
        <w:rPr>
          <w:lang w:val="fr-FR"/>
        </w:rPr>
        <w:t>écart phénotypique entre chaque paire de variétés, cet écart étant la somme des écarts de chacun des caractères observés séparément.</w:t>
      </w:r>
      <w:r w:rsidRPr="00773091">
        <w:rPr>
          <w:lang w:val="fr-FR"/>
        </w:rPr>
        <w:t xml:space="preserve">  </w:t>
      </w:r>
      <w:r w:rsidR="0057104A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57104A" w:rsidRPr="00773091">
        <w:rPr>
          <w:lang w:val="fr-FR"/>
        </w:rPr>
        <w:t>exemple ci</w:t>
      </w:r>
      <w:r w:rsidR="00773091">
        <w:rPr>
          <w:lang w:val="fr-FR"/>
        </w:rPr>
        <w:t>-</w:t>
      </w:r>
      <w:r w:rsidR="0057104A" w:rsidRPr="00773091">
        <w:rPr>
          <w:lang w:val="fr-FR"/>
        </w:rPr>
        <w:t xml:space="preserve">après est fourni à la </w:t>
      </w:r>
      <w:r w:rsidR="00773091" w:rsidRPr="00773091">
        <w:rPr>
          <w:lang w:val="fr-FR"/>
        </w:rPr>
        <w:t>section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1</w:t>
      </w:r>
      <w:r w:rsidR="0057104A" w:rsidRPr="00773091">
        <w:rPr>
          <w:lang w:val="fr-FR"/>
        </w:rPr>
        <w:t>.3.5.2.5</w:t>
      </w:r>
      <w:r w:rsidR="00773091">
        <w:rPr>
          <w:lang w:val="fr-FR"/>
        </w:rPr>
        <w:t> :</w:t>
      </w:r>
    </w:p>
    <w:p w:rsidR="005F1D8B" w:rsidRPr="00773091" w:rsidRDefault="005F1D8B" w:rsidP="00757845">
      <w:pPr>
        <w:rPr>
          <w:rFonts w:cs="Arial"/>
          <w:sz w:val="18"/>
          <w:szCs w:val="18"/>
          <w:lang w:val="fr-FR"/>
        </w:rPr>
      </w:pPr>
    </w:p>
    <w:p w:rsidR="00757845" w:rsidRPr="00773091" w:rsidRDefault="00757845" w:rsidP="00757845">
      <w:pPr>
        <w:keepNext/>
        <w:keepLines/>
        <w:tabs>
          <w:tab w:val="left" w:pos="1134"/>
        </w:tabs>
        <w:ind w:left="567" w:right="567"/>
        <w:rPr>
          <w:rFonts w:cs="Arial"/>
          <w:sz w:val="18"/>
          <w:szCs w:val="18"/>
          <w:lang w:val="fr-FR"/>
        </w:rPr>
      </w:pPr>
      <w:r w:rsidRPr="00773091">
        <w:rPr>
          <w:rFonts w:cs="Arial"/>
          <w:snapToGrid w:val="0"/>
          <w:sz w:val="18"/>
          <w:szCs w:val="18"/>
          <w:lang w:val="fr-FR"/>
        </w:rPr>
        <w:t>“1</w:t>
      </w:r>
      <w:r w:rsidRPr="00773091">
        <w:rPr>
          <w:rFonts w:cs="Arial"/>
          <w:sz w:val="18"/>
          <w:szCs w:val="18"/>
          <w:lang w:val="fr-FR"/>
        </w:rPr>
        <w:t>.3.5.2.5</w:t>
      </w:r>
      <w:r w:rsidRPr="00773091">
        <w:rPr>
          <w:rFonts w:cs="Arial"/>
          <w:sz w:val="18"/>
          <w:szCs w:val="18"/>
          <w:lang w:val="fr-FR"/>
        </w:rPr>
        <w:tab/>
      </w:r>
      <w:r w:rsidR="0057104A" w:rsidRPr="00773091">
        <w:rPr>
          <w:rFonts w:cs="Arial"/>
          <w:sz w:val="18"/>
          <w:szCs w:val="18"/>
          <w:lang w:val="fr-FR"/>
        </w:rPr>
        <w:t xml:space="preserve">Sur la base de la </w:t>
      </w:r>
      <w:r w:rsidR="00773091">
        <w:rPr>
          <w:rFonts w:cs="Arial"/>
          <w:sz w:val="18"/>
          <w:szCs w:val="18"/>
          <w:lang w:val="fr-FR"/>
        </w:rPr>
        <w:t>‘</w:t>
      </w:r>
      <w:r w:rsidR="0057104A" w:rsidRPr="00773091">
        <w:rPr>
          <w:rFonts w:cs="Arial"/>
          <w:sz w:val="18"/>
          <w:szCs w:val="18"/>
          <w:lang w:val="fr-FR"/>
        </w:rPr>
        <w:t>longueur des spathes</w:t>
      </w:r>
      <w:r w:rsidR="00773091">
        <w:rPr>
          <w:rFonts w:cs="Arial"/>
          <w:sz w:val="18"/>
          <w:szCs w:val="18"/>
          <w:lang w:val="fr-FR"/>
        </w:rPr>
        <w:t>’</w:t>
      </w:r>
      <w:r w:rsidR="0057104A" w:rsidRPr="00773091">
        <w:rPr>
          <w:rFonts w:cs="Arial"/>
          <w:sz w:val="18"/>
          <w:szCs w:val="18"/>
          <w:lang w:val="fr-FR"/>
        </w:rPr>
        <w:t xml:space="preserve">, observée sur une échelle de 1 à 9, le </w:t>
      </w:r>
      <w:proofErr w:type="spellStart"/>
      <w:r w:rsidR="0057104A" w:rsidRPr="00773091">
        <w:rPr>
          <w:rFonts w:cs="Arial"/>
          <w:sz w:val="18"/>
          <w:szCs w:val="18"/>
          <w:lang w:val="fr-FR"/>
        </w:rPr>
        <w:t>phytotechnicien</w:t>
      </w:r>
      <w:proofErr w:type="spellEnd"/>
      <w:r w:rsidR="0057104A" w:rsidRPr="00773091">
        <w:rPr>
          <w:rFonts w:cs="Arial"/>
          <w:sz w:val="18"/>
          <w:szCs w:val="18"/>
          <w:lang w:val="fr-FR"/>
        </w:rPr>
        <w:t xml:space="preserve"> a établi le tableau des pondérations suivant</w:t>
      </w:r>
      <w:r w:rsidR="00773091">
        <w:rPr>
          <w:rFonts w:cs="Arial"/>
          <w:sz w:val="18"/>
          <w:szCs w:val="18"/>
          <w:lang w:val="fr-FR"/>
        </w:rPr>
        <w:t> 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73091" w:rsidRPr="00773091" w:rsidTr="00757845">
        <w:trPr>
          <w:trHeight w:val="261"/>
        </w:trPr>
        <w:tc>
          <w:tcPr>
            <w:tcW w:w="420" w:type="dxa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57104A">
            <w:pPr>
              <w:framePr w:hSpace="141" w:wrap="auto" w:vAnchor="text" w:hAnchor="page" w:x="4974" w:y="82"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Vari</w:t>
            </w:r>
            <w:r w:rsidR="0057104A" w:rsidRPr="00773091">
              <w:rPr>
                <w:rFonts w:cs="Arial"/>
                <w:sz w:val="18"/>
                <w:szCs w:val="18"/>
                <w:lang w:val="fr-FR"/>
              </w:rPr>
              <w:t>été</w:t>
            </w:r>
            <w:r w:rsidRPr="00773091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773091">
              <w:rPr>
                <w:rFonts w:cs="Arial"/>
                <w:sz w:val="18"/>
                <w:szCs w:val="18"/>
                <w:lang w:val="fr-FR"/>
              </w:rPr>
              <w:t>‘</w:t>
            </w:r>
            <w:r w:rsidRPr="00773091">
              <w:rPr>
                <w:rFonts w:cs="Arial"/>
                <w:sz w:val="18"/>
                <w:szCs w:val="18"/>
                <w:lang w:val="fr-FR"/>
              </w:rPr>
              <w:t>i</w:t>
            </w:r>
            <w:r w:rsidR="00773091">
              <w:rPr>
                <w:rFonts w:cs="Arial"/>
                <w:sz w:val="18"/>
                <w:szCs w:val="18"/>
                <w:lang w:val="fr-FR"/>
              </w:rPr>
              <w:t>’</w:t>
            </w:r>
          </w:p>
        </w:tc>
      </w:tr>
      <w:tr w:rsidR="00757845" w:rsidRPr="00773091" w:rsidTr="00757845">
        <w:trPr>
          <w:trHeight w:val="261"/>
        </w:trPr>
        <w:tc>
          <w:tcPr>
            <w:tcW w:w="420" w:type="dxa"/>
            <w:tcBorders>
              <w:bottom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9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7845" w:rsidRPr="00773091" w:rsidRDefault="00757845" w:rsidP="0057104A">
            <w:pPr>
              <w:framePr w:hSpace="141" w:wrap="auto" w:vAnchor="text" w:hAnchor="page" w:x="4974" w:y="82"/>
              <w:ind w:left="113" w:right="113"/>
              <w:jc w:val="center"/>
              <w:rPr>
                <w:rFonts w:cs="Arial"/>
                <w:sz w:val="18"/>
                <w:szCs w:val="18"/>
                <w:lang w:val="fr-FR"/>
              </w:rPr>
            </w:pPr>
            <w:proofErr w:type="spellStart"/>
            <w:r w:rsidRPr="00773091">
              <w:rPr>
                <w:rFonts w:cs="Arial"/>
                <w:sz w:val="18"/>
                <w:szCs w:val="18"/>
                <w:lang w:val="fr-FR"/>
              </w:rPr>
              <w:t>Vari</w:t>
            </w:r>
            <w:r w:rsidR="0057104A" w:rsidRPr="00773091">
              <w:rPr>
                <w:rFonts w:cs="Arial"/>
                <w:sz w:val="18"/>
                <w:szCs w:val="18"/>
                <w:lang w:val="fr-FR"/>
              </w:rPr>
              <w:t>été</w:t>
            </w:r>
            <w:r w:rsidR="00773091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73091">
              <w:rPr>
                <w:rFonts w:cs="Arial"/>
                <w:sz w:val="18"/>
                <w:szCs w:val="18"/>
                <w:lang w:val="fr-FR"/>
              </w:rPr>
              <w:t>j</w:t>
            </w:r>
            <w:proofErr w:type="spellEnd"/>
            <w:r w:rsidR="00773091">
              <w:rPr>
                <w:rFonts w:cs="Arial"/>
                <w:sz w:val="18"/>
                <w:szCs w:val="18"/>
                <w:lang w:val="fr-FR"/>
              </w:rPr>
              <w:t>’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rFonts w:cs="Arial"/>
                <w:sz w:val="18"/>
                <w:szCs w:val="18"/>
                <w:lang w:val="fr-FR"/>
              </w:rPr>
            </w:pPr>
            <w:r w:rsidRPr="0077309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</w:tr>
    </w:tbl>
    <w:p w:rsidR="005F1D8B" w:rsidRPr="00773091" w:rsidRDefault="005F1D8B" w:rsidP="00757845">
      <w:pPr>
        <w:rPr>
          <w:rFonts w:cs="Arial"/>
          <w:sz w:val="18"/>
          <w:szCs w:val="18"/>
          <w:lang w:val="fr-FR"/>
        </w:rPr>
      </w:pP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1 = </w:t>
      </w:r>
      <w:r w:rsidR="0057104A" w:rsidRPr="00773091">
        <w:rPr>
          <w:rFonts w:cs="Arial"/>
          <w:sz w:val="18"/>
          <w:szCs w:val="18"/>
          <w:lang w:val="fr-FR"/>
        </w:rPr>
        <w:t>très courte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2 = </w:t>
      </w:r>
      <w:r w:rsidR="0057104A" w:rsidRPr="00773091">
        <w:rPr>
          <w:rFonts w:cs="Arial"/>
          <w:sz w:val="18"/>
          <w:szCs w:val="18"/>
          <w:lang w:val="fr-FR"/>
        </w:rPr>
        <w:t>très courte à courte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3 = </w:t>
      </w:r>
      <w:r w:rsidR="0057104A" w:rsidRPr="00773091">
        <w:rPr>
          <w:rFonts w:cs="Arial"/>
          <w:sz w:val="18"/>
          <w:szCs w:val="18"/>
          <w:lang w:val="fr-FR"/>
        </w:rPr>
        <w:t>courte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4 = </w:t>
      </w:r>
      <w:r w:rsidR="0057104A" w:rsidRPr="00773091">
        <w:rPr>
          <w:rFonts w:cs="Arial"/>
          <w:sz w:val="18"/>
          <w:szCs w:val="18"/>
          <w:lang w:val="fr-FR"/>
        </w:rPr>
        <w:t>courte à moyenne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5 = </w:t>
      </w:r>
      <w:r w:rsidR="0057104A" w:rsidRPr="00773091">
        <w:rPr>
          <w:rFonts w:cs="Arial"/>
          <w:sz w:val="18"/>
          <w:szCs w:val="18"/>
          <w:lang w:val="fr-FR"/>
        </w:rPr>
        <w:t>moyenne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6 = </w:t>
      </w:r>
      <w:r w:rsidR="0057104A" w:rsidRPr="00773091">
        <w:rPr>
          <w:rFonts w:cs="Arial"/>
          <w:sz w:val="18"/>
          <w:szCs w:val="18"/>
          <w:lang w:val="fr-FR"/>
        </w:rPr>
        <w:t>moyenne à longue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7 = </w:t>
      </w:r>
      <w:r w:rsidR="0057104A" w:rsidRPr="00773091">
        <w:rPr>
          <w:rFonts w:cs="Arial"/>
          <w:sz w:val="18"/>
          <w:szCs w:val="18"/>
          <w:lang w:val="fr-FR"/>
        </w:rPr>
        <w:t>longue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8 = </w:t>
      </w:r>
      <w:r w:rsidR="0057104A" w:rsidRPr="00773091">
        <w:rPr>
          <w:rFonts w:cs="Arial"/>
          <w:sz w:val="18"/>
          <w:szCs w:val="18"/>
          <w:lang w:val="fr-FR"/>
        </w:rPr>
        <w:t>longue à très longue</w:t>
      </w:r>
    </w:p>
    <w:p w:rsidR="005F1D8B" w:rsidRPr="00773091" w:rsidRDefault="00757845" w:rsidP="00757845">
      <w:pPr>
        <w:ind w:left="1134"/>
        <w:rPr>
          <w:rFonts w:cs="Arial"/>
          <w:sz w:val="18"/>
          <w:szCs w:val="18"/>
          <w:lang w:val="fr-FR"/>
        </w:rPr>
      </w:pPr>
      <w:r w:rsidRPr="00773091">
        <w:rPr>
          <w:rFonts w:cs="Arial"/>
          <w:sz w:val="18"/>
          <w:szCs w:val="18"/>
          <w:lang w:val="fr-FR"/>
        </w:rPr>
        <w:t xml:space="preserve">9 = </w:t>
      </w:r>
      <w:r w:rsidR="0057104A" w:rsidRPr="00773091">
        <w:rPr>
          <w:rFonts w:cs="Arial"/>
          <w:sz w:val="18"/>
          <w:szCs w:val="18"/>
          <w:lang w:val="fr-FR"/>
        </w:rPr>
        <w:t>très longue</w:t>
      </w:r>
    </w:p>
    <w:p w:rsidR="005F1D8B" w:rsidRPr="00773091" w:rsidRDefault="005F1D8B" w:rsidP="00757845">
      <w:pPr>
        <w:rPr>
          <w:rFonts w:cs="Arial"/>
          <w:sz w:val="18"/>
          <w:szCs w:val="18"/>
          <w:lang w:val="fr-FR"/>
        </w:rPr>
      </w:pPr>
    </w:p>
    <w:p w:rsidR="005F1D8B" w:rsidRPr="00773091" w:rsidRDefault="005F1D8B" w:rsidP="00757845">
      <w:pPr>
        <w:rPr>
          <w:rFonts w:cs="Arial"/>
          <w:sz w:val="18"/>
          <w:szCs w:val="18"/>
          <w:lang w:val="fr-FR"/>
        </w:rPr>
      </w:pPr>
    </w:p>
    <w:p w:rsidR="005F1D8B" w:rsidRPr="00773091" w:rsidRDefault="005F1D8B" w:rsidP="00757845">
      <w:pPr>
        <w:rPr>
          <w:rFonts w:cs="Arial"/>
          <w:sz w:val="18"/>
          <w:szCs w:val="18"/>
          <w:lang w:val="fr-FR"/>
        </w:rPr>
      </w:pPr>
    </w:p>
    <w:p w:rsidR="005F1D8B" w:rsidRPr="00773091" w:rsidRDefault="005F1D8B" w:rsidP="00757845">
      <w:pPr>
        <w:rPr>
          <w:rFonts w:cs="Arial"/>
          <w:snapToGrid w:val="0"/>
          <w:sz w:val="18"/>
          <w:szCs w:val="18"/>
          <w:lang w:val="fr-FR"/>
        </w:rPr>
      </w:pPr>
    </w:p>
    <w:p w:rsidR="005F1D8B" w:rsidRPr="00773091" w:rsidRDefault="005F1D8B" w:rsidP="00757845">
      <w:pPr>
        <w:rPr>
          <w:rFonts w:cs="Arial"/>
          <w:snapToGrid w:val="0"/>
          <w:sz w:val="18"/>
          <w:szCs w:val="18"/>
          <w:lang w:val="fr-FR"/>
        </w:rPr>
      </w:pPr>
    </w:p>
    <w:p w:rsidR="005F1D8B" w:rsidRPr="00773091" w:rsidRDefault="005F1D8B" w:rsidP="00757845">
      <w:pPr>
        <w:tabs>
          <w:tab w:val="left" w:pos="1134"/>
        </w:tabs>
        <w:rPr>
          <w:rFonts w:cs="Arial"/>
          <w:snapToGrid w:val="0"/>
          <w:sz w:val="18"/>
          <w:szCs w:val="18"/>
          <w:lang w:val="fr-FR"/>
        </w:rPr>
      </w:pPr>
    </w:p>
    <w:p w:rsidR="005F1D8B" w:rsidRPr="00773091" w:rsidRDefault="00757845" w:rsidP="00757845">
      <w:pPr>
        <w:tabs>
          <w:tab w:val="left" w:pos="1134"/>
        </w:tabs>
        <w:ind w:left="567" w:right="567"/>
        <w:rPr>
          <w:rFonts w:cs="Arial"/>
          <w:sz w:val="18"/>
          <w:szCs w:val="18"/>
          <w:lang w:val="fr-FR"/>
        </w:rPr>
      </w:pPr>
      <w:r w:rsidRPr="00773091">
        <w:rPr>
          <w:rFonts w:cs="Arial"/>
          <w:snapToGrid w:val="0"/>
          <w:sz w:val="18"/>
          <w:szCs w:val="18"/>
          <w:lang w:val="fr-FR"/>
        </w:rPr>
        <w:t>“1</w:t>
      </w:r>
      <w:r w:rsidRPr="00773091">
        <w:rPr>
          <w:rFonts w:cs="Arial"/>
          <w:sz w:val="18"/>
          <w:szCs w:val="18"/>
          <w:lang w:val="fr-FR"/>
        </w:rPr>
        <w:t>.3.5.2.6</w:t>
      </w:r>
      <w:r w:rsidRPr="00773091">
        <w:rPr>
          <w:rFonts w:cs="Arial"/>
          <w:sz w:val="18"/>
          <w:szCs w:val="18"/>
          <w:lang w:val="fr-FR"/>
        </w:rPr>
        <w:tab/>
      </w:r>
      <w:r w:rsidR="0057104A" w:rsidRPr="00773091">
        <w:rPr>
          <w:rFonts w:cs="Arial"/>
          <w:sz w:val="18"/>
          <w:szCs w:val="18"/>
          <w:lang w:val="fr-FR"/>
        </w:rPr>
        <w:t xml:space="preserve">La pondération entre une variété </w:t>
      </w:r>
      <w:r w:rsidR="00773091">
        <w:rPr>
          <w:rFonts w:cs="Arial"/>
          <w:sz w:val="18"/>
          <w:szCs w:val="18"/>
          <w:lang w:val="fr-FR"/>
        </w:rPr>
        <w:t>‘</w:t>
      </w:r>
      <w:r w:rsidR="0057104A" w:rsidRPr="00773091">
        <w:rPr>
          <w:rFonts w:cs="Arial"/>
          <w:sz w:val="18"/>
          <w:szCs w:val="18"/>
          <w:lang w:val="fr-FR"/>
        </w:rPr>
        <w:t>I</w:t>
      </w:r>
      <w:r w:rsidR="00773091">
        <w:rPr>
          <w:rFonts w:cs="Arial"/>
          <w:sz w:val="18"/>
          <w:szCs w:val="18"/>
          <w:lang w:val="fr-FR"/>
        </w:rPr>
        <w:t>’</w:t>
      </w:r>
      <w:r w:rsidR="0057104A" w:rsidRPr="00773091">
        <w:rPr>
          <w:rFonts w:cs="Arial"/>
          <w:sz w:val="18"/>
          <w:szCs w:val="18"/>
          <w:lang w:val="fr-FR"/>
        </w:rPr>
        <w:t xml:space="preserve"> avec des spathes très courtes (note</w:t>
      </w:r>
      <w:r w:rsidR="0044586D">
        <w:rPr>
          <w:rFonts w:cs="Arial"/>
          <w:sz w:val="18"/>
          <w:szCs w:val="18"/>
          <w:lang w:val="fr-FR"/>
        </w:rPr>
        <w:t> </w:t>
      </w:r>
      <w:r w:rsidR="0057104A" w:rsidRPr="00773091">
        <w:rPr>
          <w:rFonts w:cs="Arial"/>
          <w:sz w:val="18"/>
          <w:szCs w:val="18"/>
          <w:lang w:val="fr-FR"/>
        </w:rPr>
        <w:t xml:space="preserve">1) et une variété </w:t>
      </w:r>
      <w:r w:rsidR="00773091">
        <w:rPr>
          <w:rFonts w:cs="Arial"/>
          <w:sz w:val="18"/>
          <w:szCs w:val="18"/>
          <w:lang w:val="fr-FR"/>
        </w:rPr>
        <w:t>‘</w:t>
      </w:r>
      <w:proofErr w:type="gramStart"/>
      <w:r w:rsidR="0057104A" w:rsidRPr="00773091">
        <w:rPr>
          <w:rFonts w:cs="Arial"/>
          <w:sz w:val="18"/>
          <w:szCs w:val="18"/>
          <w:lang w:val="fr-FR"/>
        </w:rPr>
        <w:t>j</w:t>
      </w:r>
      <w:r w:rsidR="00773091">
        <w:rPr>
          <w:rFonts w:cs="Arial"/>
          <w:sz w:val="18"/>
          <w:szCs w:val="18"/>
          <w:lang w:val="fr-FR"/>
        </w:rPr>
        <w:t>’</w:t>
      </w:r>
      <w:r w:rsidR="0057104A" w:rsidRPr="00773091">
        <w:rPr>
          <w:rFonts w:cs="Arial"/>
          <w:sz w:val="18"/>
          <w:szCs w:val="18"/>
          <w:lang w:val="fr-FR"/>
        </w:rPr>
        <w:t xml:space="preserve"> avec</w:t>
      </w:r>
      <w:proofErr w:type="gramEnd"/>
      <w:r w:rsidR="0057104A" w:rsidRPr="00773091">
        <w:rPr>
          <w:rFonts w:cs="Arial"/>
          <w:sz w:val="18"/>
          <w:szCs w:val="18"/>
          <w:lang w:val="fr-FR"/>
        </w:rPr>
        <w:t xml:space="preserve"> des spathes courtes (note</w:t>
      </w:r>
      <w:r w:rsidR="0044586D">
        <w:rPr>
          <w:rFonts w:cs="Arial"/>
          <w:sz w:val="18"/>
          <w:szCs w:val="18"/>
          <w:lang w:val="fr-FR"/>
        </w:rPr>
        <w:t> </w:t>
      </w:r>
      <w:r w:rsidR="0057104A" w:rsidRPr="00773091">
        <w:rPr>
          <w:rFonts w:cs="Arial"/>
          <w:sz w:val="18"/>
          <w:szCs w:val="18"/>
          <w:lang w:val="fr-FR"/>
        </w:rPr>
        <w:t xml:space="preserve">3) est 0.  Le </w:t>
      </w:r>
      <w:proofErr w:type="spellStart"/>
      <w:r w:rsidR="0057104A" w:rsidRPr="00773091">
        <w:rPr>
          <w:rFonts w:cs="Arial"/>
          <w:sz w:val="18"/>
          <w:szCs w:val="18"/>
          <w:lang w:val="fr-FR"/>
        </w:rPr>
        <w:t>phytotechnicien</w:t>
      </w:r>
      <w:proofErr w:type="spellEnd"/>
      <w:r w:rsidR="0057104A" w:rsidRPr="00773091">
        <w:rPr>
          <w:rFonts w:cs="Arial"/>
          <w:sz w:val="18"/>
          <w:szCs w:val="18"/>
          <w:lang w:val="fr-FR"/>
        </w:rPr>
        <w:t xml:space="preserve"> est d</w:t>
      </w:r>
      <w:r w:rsidR="00773091">
        <w:rPr>
          <w:rFonts w:cs="Arial"/>
          <w:sz w:val="18"/>
          <w:szCs w:val="18"/>
          <w:lang w:val="fr-FR"/>
        </w:rPr>
        <w:t>’</w:t>
      </w:r>
      <w:r w:rsidR="0057104A" w:rsidRPr="00773091">
        <w:rPr>
          <w:rFonts w:cs="Arial"/>
          <w:sz w:val="18"/>
          <w:szCs w:val="18"/>
          <w:lang w:val="fr-FR"/>
        </w:rPr>
        <w:t>avis qu</w:t>
      </w:r>
      <w:r w:rsidR="00773091">
        <w:rPr>
          <w:rFonts w:cs="Arial"/>
          <w:sz w:val="18"/>
          <w:szCs w:val="18"/>
          <w:lang w:val="fr-FR"/>
        </w:rPr>
        <w:t>’</w:t>
      </w:r>
      <w:r w:rsidR="0057104A" w:rsidRPr="00773091">
        <w:rPr>
          <w:rFonts w:cs="Arial"/>
          <w:sz w:val="18"/>
          <w:szCs w:val="18"/>
          <w:lang w:val="fr-FR"/>
        </w:rPr>
        <w:t>une différence de 3</w:t>
      </w:r>
      <w:r w:rsidR="0044586D">
        <w:rPr>
          <w:rFonts w:cs="Arial"/>
          <w:sz w:val="18"/>
          <w:szCs w:val="18"/>
          <w:lang w:val="fr-FR"/>
        </w:rPr>
        <w:t> </w:t>
      </w:r>
      <w:r w:rsidR="0057104A" w:rsidRPr="00773091">
        <w:rPr>
          <w:rFonts w:cs="Arial"/>
          <w:sz w:val="18"/>
          <w:szCs w:val="18"/>
          <w:lang w:val="fr-FR"/>
        </w:rPr>
        <w:t>notes est la différence minimum pour reconnaître un écart non</w:t>
      </w:r>
      <w:r w:rsidR="00773091">
        <w:rPr>
          <w:rFonts w:cs="Arial"/>
          <w:sz w:val="18"/>
          <w:szCs w:val="18"/>
          <w:lang w:val="fr-FR"/>
        </w:rPr>
        <w:t>-</w:t>
      </w:r>
      <w:r w:rsidR="0057104A" w:rsidRPr="00773091">
        <w:rPr>
          <w:rFonts w:cs="Arial"/>
          <w:sz w:val="18"/>
          <w:szCs w:val="18"/>
          <w:lang w:val="fr-FR"/>
        </w:rPr>
        <w:t>zéro entre deux</w:t>
      </w:r>
      <w:r w:rsidR="00041911">
        <w:rPr>
          <w:rFonts w:cs="Arial"/>
          <w:sz w:val="18"/>
          <w:szCs w:val="18"/>
          <w:lang w:val="fr-FR"/>
        </w:rPr>
        <w:t> </w:t>
      </w:r>
      <w:r w:rsidR="0057104A" w:rsidRPr="00773091">
        <w:rPr>
          <w:rFonts w:cs="Arial"/>
          <w:sz w:val="18"/>
          <w:szCs w:val="18"/>
          <w:lang w:val="fr-FR"/>
        </w:rPr>
        <w:t>variétés.  Même si la différence des notes est supérieure à 3, il maintient la pondération de l</w:t>
      </w:r>
      <w:r w:rsidR="00773091">
        <w:rPr>
          <w:rFonts w:cs="Arial"/>
          <w:sz w:val="18"/>
          <w:szCs w:val="18"/>
          <w:lang w:val="fr-FR"/>
        </w:rPr>
        <w:t>’</w:t>
      </w:r>
      <w:r w:rsidR="0057104A" w:rsidRPr="00773091">
        <w:rPr>
          <w:rFonts w:cs="Arial"/>
          <w:sz w:val="18"/>
          <w:szCs w:val="18"/>
          <w:lang w:val="fr-FR"/>
        </w:rPr>
        <w:t>écart à 2 tandis que, dans les caractères très fiables, une différence de 1 reçoit une pondération de 6.</w:t>
      </w:r>
      <w:r w:rsidRPr="00773091">
        <w:rPr>
          <w:rFonts w:cs="Arial"/>
          <w:sz w:val="18"/>
          <w:szCs w:val="18"/>
          <w:lang w:val="fr-FR"/>
        </w:rPr>
        <w:t>”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E17391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E17391" w:rsidRPr="00773091">
        <w:rPr>
          <w:lang w:val="fr-FR"/>
        </w:rPr>
        <w:t>Le document</w:t>
      </w:r>
      <w:r w:rsidR="0044586D">
        <w:rPr>
          <w:lang w:val="fr-FR"/>
        </w:rPr>
        <w:t> </w:t>
      </w:r>
      <w:r w:rsidR="00E17391" w:rsidRPr="00773091">
        <w:rPr>
          <w:lang w:val="fr-FR"/>
        </w:rPr>
        <w:t>TG/1/3 “Introduction générale à l</w:t>
      </w:r>
      <w:r w:rsidR="00773091">
        <w:rPr>
          <w:lang w:val="fr-FR"/>
        </w:rPr>
        <w:t>’</w:t>
      </w:r>
      <w:r w:rsidR="00E17391" w:rsidRPr="00773091">
        <w:rPr>
          <w:lang w:val="fr-FR"/>
        </w:rPr>
        <w:t>examen de la distinction, de l</w:t>
      </w:r>
      <w:r w:rsidR="00773091">
        <w:rPr>
          <w:lang w:val="fr-FR"/>
        </w:rPr>
        <w:t>’</w:t>
      </w:r>
      <w:r w:rsidR="00E17391" w:rsidRPr="00773091">
        <w:rPr>
          <w:lang w:val="fr-FR"/>
        </w:rPr>
        <w:t>homogénéité et de la stabilité et à l</w:t>
      </w:r>
      <w:r w:rsidR="00773091">
        <w:rPr>
          <w:lang w:val="fr-FR"/>
        </w:rPr>
        <w:t>’</w:t>
      </w:r>
      <w:r w:rsidR="00E17391" w:rsidRPr="00773091">
        <w:rPr>
          <w:lang w:val="fr-FR"/>
        </w:rPr>
        <w:t>harmonisation des descriptions des obtentions végétales” fournit l</w:t>
      </w:r>
      <w:r w:rsidR="00773091">
        <w:rPr>
          <w:lang w:val="fr-FR"/>
        </w:rPr>
        <w:t>’</w:t>
      </w:r>
      <w:r w:rsidR="00E17391" w:rsidRPr="00773091">
        <w:rPr>
          <w:lang w:val="fr-FR"/>
        </w:rPr>
        <w:t xml:space="preserve">explication suivante concernant la </w:t>
      </w:r>
      <w:r w:rsidR="004F1BF3">
        <w:rPr>
          <w:lang w:val="fr-FR"/>
        </w:rPr>
        <w:t>méthode</w:t>
      </w:r>
      <w:r w:rsidR="00E17391" w:rsidRPr="00773091">
        <w:rPr>
          <w:lang w:val="fr-FR"/>
        </w:rPr>
        <w:t xml:space="preserve"> générale pour l</w:t>
      </w:r>
      <w:r w:rsidR="00773091">
        <w:rPr>
          <w:lang w:val="fr-FR"/>
        </w:rPr>
        <w:t>’</w:t>
      </w:r>
      <w:r w:rsidR="00E17391" w:rsidRPr="00773091">
        <w:rPr>
          <w:lang w:val="fr-FR"/>
        </w:rPr>
        <w:t>évaluation de la distinction pour les caractères quantitatifs</w:t>
      </w:r>
      <w:r w:rsidR="00773091">
        <w:rPr>
          <w:lang w:val="fr-FR"/>
        </w:rPr>
        <w:t> :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ind w:left="567" w:right="567"/>
        <w:rPr>
          <w:sz w:val="18"/>
          <w:lang w:val="fr-FR"/>
        </w:rPr>
      </w:pPr>
      <w:r w:rsidRPr="00773091">
        <w:rPr>
          <w:sz w:val="18"/>
          <w:lang w:val="fr-FR"/>
        </w:rPr>
        <w:t>“5.4.3</w:t>
      </w:r>
      <w:r w:rsidRPr="00773091">
        <w:rPr>
          <w:sz w:val="18"/>
          <w:lang w:val="fr-FR"/>
        </w:rPr>
        <w:tab/>
      </w:r>
      <w:r w:rsidRPr="00773091">
        <w:rPr>
          <w:sz w:val="18"/>
          <w:lang w:val="fr-FR"/>
        </w:rPr>
        <w:tab/>
      </w:r>
      <w:r w:rsidR="00E17391" w:rsidRPr="00773091">
        <w:rPr>
          <w:sz w:val="18"/>
          <w:lang w:val="fr-FR"/>
        </w:rPr>
        <w:t>Pour les caractères quantitatifs, une différence de deux</w:t>
      </w:r>
      <w:r w:rsidR="00041911">
        <w:rPr>
          <w:sz w:val="18"/>
          <w:lang w:val="fr-FR"/>
        </w:rPr>
        <w:t> </w:t>
      </w:r>
      <w:r w:rsidR="00E17391" w:rsidRPr="00773091">
        <w:rPr>
          <w:sz w:val="18"/>
          <w:lang w:val="fr-FR"/>
        </w:rPr>
        <w:t>notes représente souvent une différence nette mais n</w:t>
      </w:r>
      <w:r w:rsidR="00773091">
        <w:rPr>
          <w:sz w:val="18"/>
          <w:lang w:val="fr-FR"/>
        </w:rPr>
        <w:t>’</w:t>
      </w:r>
      <w:r w:rsidR="00E17391" w:rsidRPr="00773091">
        <w:rPr>
          <w:sz w:val="18"/>
          <w:lang w:val="fr-FR"/>
        </w:rPr>
        <w:t>est cependant pas un critère absolu d</w:t>
      </w:r>
      <w:r w:rsidR="00773091">
        <w:rPr>
          <w:sz w:val="18"/>
          <w:lang w:val="fr-FR"/>
        </w:rPr>
        <w:t>’</w:t>
      </w:r>
      <w:r w:rsidR="00E17391" w:rsidRPr="00773091">
        <w:rPr>
          <w:sz w:val="18"/>
          <w:lang w:val="fr-FR"/>
        </w:rPr>
        <w:t>évaluation de la distinction.  En fonction de facteurs tels que le lieu d</w:t>
      </w:r>
      <w:r w:rsidR="00773091">
        <w:rPr>
          <w:sz w:val="18"/>
          <w:lang w:val="fr-FR"/>
        </w:rPr>
        <w:t>’</w:t>
      </w:r>
      <w:r w:rsidR="00E17391" w:rsidRPr="00773091">
        <w:rPr>
          <w:sz w:val="18"/>
          <w:lang w:val="fr-FR"/>
        </w:rPr>
        <w:t>examen, l</w:t>
      </w:r>
      <w:r w:rsidR="00773091">
        <w:rPr>
          <w:sz w:val="18"/>
          <w:lang w:val="fr-FR"/>
        </w:rPr>
        <w:t>’</w:t>
      </w:r>
      <w:r w:rsidR="00E17391" w:rsidRPr="00773091">
        <w:rPr>
          <w:sz w:val="18"/>
          <w:lang w:val="fr-FR"/>
        </w:rPr>
        <w:t>année, la variation du milieu ou la gamme d</w:t>
      </w:r>
      <w:r w:rsidR="00773091">
        <w:rPr>
          <w:sz w:val="18"/>
          <w:lang w:val="fr-FR"/>
        </w:rPr>
        <w:t>’</w:t>
      </w:r>
      <w:r w:rsidR="00E17391" w:rsidRPr="00773091">
        <w:rPr>
          <w:sz w:val="18"/>
          <w:lang w:val="fr-FR"/>
        </w:rPr>
        <w:t>expressions dans la collection de variétés, une différence nette peut représenter plus ou moins de deux</w:t>
      </w:r>
      <w:r w:rsidR="00041911">
        <w:rPr>
          <w:sz w:val="18"/>
          <w:lang w:val="fr-FR"/>
        </w:rPr>
        <w:t> </w:t>
      </w:r>
      <w:r w:rsidR="00E17391" w:rsidRPr="00773091">
        <w:rPr>
          <w:sz w:val="18"/>
          <w:lang w:val="fr-FR"/>
        </w:rPr>
        <w:t>notes.</w:t>
      </w:r>
      <w:r w:rsidR="00041911">
        <w:rPr>
          <w:sz w:val="18"/>
          <w:lang w:val="fr-FR"/>
        </w:rPr>
        <w:t xml:space="preserve"> </w:t>
      </w:r>
      <w:r w:rsidR="00E17391" w:rsidRPr="00773091">
        <w:rPr>
          <w:sz w:val="18"/>
          <w:lang w:val="fr-FR"/>
        </w:rPr>
        <w:t xml:space="preserve"> Des indications sont fournies dans le document</w:t>
      </w:r>
      <w:r w:rsidR="0044586D">
        <w:rPr>
          <w:sz w:val="18"/>
          <w:lang w:val="fr-FR"/>
        </w:rPr>
        <w:t> </w:t>
      </w:r>
      <w:r w:rsidR="00E17391" w:rsidRPr="00773091">
        <w:rPr>
          <w:sz w:val="18"/>
          <w:lang w:val="fr-FR"/>
        </w:rPr>
        <w:t xml:space="preserve">TGP/9 </w:t>
      </w:r>
      <w:r w:rsidR="00773091">
        <w:rPr>
          <w:sz w:val="18"/>
          <w:lang w:val="fr-FR"/>
        </w:rPr>
        <w:t>‘</w:t>
      </w:r>
      <w:r w:rsidR="00E17391" w:rsidRPr="00773091">
        <w:rPr>
          <w:sz w:val="18"/>
          <w:lang w:val="fr-FR"/>
        </w:rPr>
        <w:t>Examen de la distinction</w:t>
      </w:r>
      <w:r w:rsidR="00773091">
        <w:rPr>
          <w:sz w:val="18"/>
          <w:lang w:val="fr-FR"/>
        </w:rPr>
        <w:t>’</w:t>
      </w:r>
      <w:r w:rsidR="00E17391" w:rsidRPr="00773091">
        <w:rPr>
          <w:sz w:val="18"/>
          <w:lang w:val="fr-FR"/>
        </w:rPr>
        <w:t>.</w:t>
      </w:r>
      <w:r w:rsidRPr="00773091">
        <w:rPr>
          <w:sz w:val="18"/>
          <w:lang w:val="fr-FR"/>
        </w:rPr>
        <w:t>”</w:t>
      </w:r>
    </w:p>
    <w:p w:rsidR="005F1D8B" w:rsidRPr="00773091" w:rsidRDefault="005F1D8B" w:rsidP="00757845">
      <w:pPr>
        <w:ind w:left="567" w:right="567"/>
        <w:rPr>
          <w:sz w:val="18"/>
          <w:lang w:val="fr-FR"/>
        </w:rPr>
      </w:pPr>
    </w:p>
    <w:p w:rsidR="005F1D8B" w:rsidRPr="00773091" w:rsidRDefault="00757845" w:rsidP="001041CE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6E216D" w:rsidRPr="00773091">
        <w:rPr>
          <w:lang w:val="fr-FR"/>
        </w:rPr>
        <w:t>Les exemples ci</w:t>
      </w:r>
      <w:r w:rsidR="00773091">
        <w:rPr>
          <w:lang w:val="fr-FR"/>
        </w:rPr>
        <w:t>-</w:t>
      </w:r>
      <w:r w:rsidR="006E216D" w:rsidRPr="00773091">
        <w:rPr>
          <w:lang w:val="fr-FR"/>
        </w:rPr>
        <w:t>après tirés du document</w:t>
      </w:r>
      <w:r w:rsidR="0044586D">
        <w:rPr>
          <w:lang w:val="fr-FR"/>
        </w:rPr>
        <w:t> </w:t>
      </w:r>
      <w:r w:rsidR="006E216D" w:rsidRPr="00773091">
        <w:rPr>
          <w:lang w:val="fr-FR"/>
        </w:rPr>
        <w:t>TGP/14 “Glossaire des termes utilisés dans les documents de l</w:t>
      </w:r>
      <w:r w:rsidR="00773091">
        <w:rPr>
          <w:lang w:val="fr-FR"/>
        </w:rPr>
        <w:t>’</w:t>
      </w:r>
      <w:r w:rsidR="006E216D" w:rsidRPr="00773091">
        <w:rPr>
          <w:lang w:val="fr-FR"/>
        </w:rPr>
        <w:t xml:space="preserve">UPOV” sont utilisés pour illustrer comment la </w:t>
      </w:r>
      <w:r w:rsidR="007F25AB">
        <w:rPr>
          <w:lang w:val="fr-FR"/>
        </w:rPr>
        <w:t>méthode</w:t>
      </w:r>
      <w:r w:rsidR="006E216D" w:rsidRPr="00773091">
        <w:rPr>
          <w:lang w:val="fr-FR"/>
        </w:rPr>
        <w:t xml:space="preserve"> pour les caractères QN s</w:t>
      </w:r>
      <w:r w:rsidR="00773091">
        <w:rPr>
          <w:lang w:val="fr-FR"/>
        </w:rPr>
        <w:t>’</w:t>
      </w:r>
      <w:r w:rsidR="006E216D" w:rsidRPr="00773091">
        <w:rPr>
          <w:lang w:val="fr-FR"/>
        </w:rPr>
        <w:t>applique ou non aux caractères PQ</w:t>
      </w:r>
      <w:r w:rsidR="00773091">
        <w:rPr>
          <w:lang w:val="fr-FR"/>
        </w:rPr>
        <w:t> :</w:t>
      </w:r>
      <w:r w:rsidR="00E540C6" w:rsidRPr="00773091">
        <w:rPr>
          <w:lang w:val="fr-FR"/>
        </w:rPr>
        <w:br w:type="page"/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lastRenderedPageBreak/>
        <w:t>Ex</w:t>
      </w:r>
      <w:r w:rsidR="006E216D" w:rsidRPr="00773091">
        <w:rPr>
          <w:lang w:val="fr-FR"/>
        </w:rPr>
        <w:t>e</w:t>
      </w:r>
      <w:r w:rsidRPr="00773091">
        <w:rPr>
          <w:lang w:val="fr-FR"/>
        </w:rPr>
        <w:t>mple</w:t>
      </w:r>
      <w:r w:rsidR="0044586D">
        <w:rPr>
          <w:lang w:val="fr-FR"/>
        </w:rPr>
        <w:t> </w:t>
      </w:r>
      <w:r w:rsidRPr="00773091">
        <w:rPr>
          <w:lang w:val="fr-FR"/>
        </w:rPr>
        <w:t>1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</w:t>
      </w:r>
      <w:r w:rsidR="006E216D" w:rsidRPr="00773091">
        <w:rPr>
          <w:lang w:val="fr-FR"/>
        </w:rPr>
        <w:t>Les règles pour les caractères QN s</w:t>
      </w:r>
      <w:r w:rsidR="00773091">
        <w:rPr>
          <w:lang w:val="fr-FR"/>
        </w:rPr>
        <w:t>’</w:t>
      </w:r>
      <w:r w:rsidR="006E216D" w:rsidRPr="00773091">
        <w:rPr>
          <w:lang w:val="fr-FR"/>
        </w:rPr>
        <w:t>appliquent aux formes affichées suivant les flèches en pointillés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062B90" w:rsidP="00757845">
      <w:pPr>
        <w:ind w:left="1843"/>
        <w:jc w:val="left"/>
        <w:rPr>
          <w:i/>
          <w:lang w:val="fr-FR"/>
        </w:rPr>
      </w:pPr>
      <w:r>
        <w:rPr>
          <w:i/>
          <w:noProof/>
        </w:rPr>
        <w:drawing>
          <wp:inline distT="0" distB="0" distL="0" distR="0">
            <wp:extent cx="4483735" cy="552640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735" cy="55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8B" w:rsidRPr="00773091" w:rsidRDefault="005F1D8B" w:rsidP="00757845">
      <w:pPr>
        <w:ind w:left="1985"/>
        <w:jc w:val="left"/>
        <w:rPr>
          <w:i/>
          <w:lang w:val="fr-FR"/>
        </w:rPr>
      </w:pPr>
    </w:p>
    <w:p w:rsidR="005F1D8B" w:rsidRPr="00773091" w:rsidRDefault="00757845" w:rsidP="00B30070">
      <w:pPr>
        <w:keepNext/>
        <w:ind w:left="1134" w:hanging="1134"/>
        <w:rPr>
          <w:lang w:val="fr-FR"/>
        </w:rPr>
      </w:pPr>
      <w:r w:rsidRPr="00773091">
        <w:rPr>
          <w:lang w:val="fr-FR"/>
        </w:rPr>
        <w:lastRenderedPageBreak/>
        <w:t>Ex</w:t>
      </w:r>
      <w:r w:rsidR="006E216D" w:rsidRPr="00773091">
        <w:rPr>
          <w:lang w:val="fr-FR"/>
        </w:rPr>
        <w:t>e</w:t>
      </w:r>
      <w:r w:rsidRPr="00773091">
        <w:rPr>
          <w:lang w:val="fr-FR"/>
        </w:rPr>
        <w:t>mple</w:t>
      </w:r>
      <w:r w:rsidR="0044586D">
        <w:rPr>
          <w:lang w:val="fr-FR"/>
        </w:rPr>
        <w:t> </w:t>
      </w:r>
      <w:r w:rsidRPr="00773091">
        <w:rPr>
          <w:lang w:val="fr-FR"/>
        </w:rPr>
        <w:t>2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</w:t>
      </w:r>
      <w:r w:rsidR="006E216D" w:rsidRPr="00773091">
        <w:rPr>
          <w:lang w:val="fr-FR"/>
        </w:rPr>
        <w:t>Les règles pour les caractères QN s</w:t>
      </w:r>
      <w:r w:rsidR="00773091">
        <w:rPr>
          <w:lang w:val="fr-FR"/>
        </w:rPr>
        <w:t>’</w:t>
      </w:r>
      <w:r w:rsidR="006E216D" w:rsidRPr="00773091">
        <w:rPr>
          <w:lang w:val="fr-FR"/>
        </w:rPr>
        <w:t>appliquent aux formes affichées suivant les flèches en pointillés</w:t>
      </w:r>
    </w:p>
    <w:p w:rsidR="005F1D8B" w:rsidRPr="00773091" w:rsidRDefault="00B30070" w:rsidP="00757845">
      <w:pPr>
        <w:ind w:left="2268"/>
        <w:rPr>
          <w:lang w:val="fr-FR"/>
        </w:rPr>
      </w:pPr>
      <w:r>
        <w:rPr>
          <w:noProof/>
        </w:rPr>
        <w:drawing>
          <wp:inline distT="0" distB="0" distL="0" distR="0">
            <wp:extent cx="3745865" cy="3858260"/>
            <wp:effectExtent l="0" t="0" r="6985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385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8B" w:rsidRPr="00773091" w:rsidRDefault="006E216D" w:rsidP="00B30070">
      <w:pPr>
        <w:keepNext/>
        <w:keepLines/>
        <w:ind w:left="1134" w:hanging="1134"/>
        <w:rPr>
          <w:lang w:val="fr-FR"/>
        </w:rPr>
      </w:pPr>
      <w:r w:rsidRPr="00773091">
        <w:rPr>
          <w:lang w:val="fr-FR"/>
        </w:rPr>
        <w:lastRenderedPageBreak/>
        <w:t>Exe</w:t>
      </w:r>
      <w:r w:rsidR="00757845" w:rsidRPr="00773091">
        <w:rPr>
          <w:lang w:val="fr-FR"/>
        </w:rPr>
        <w:t>mple</w:t>
      </w:r>
      <w:r w:rsidR="0044586D">
        <w:rPr>
          <w:lang w:val="fr-FR"/>
        </w:rPr>
        <w:t> </w:t>
      </w:r>
      <w:r w:rsidR="00757845" w:rsidRPr="00773091">
        <w:rPr>
          <w:lang w:val="fr-FR"/>
        </w:rPr>
        <w:t>3</w:t>
      </w:r>
      <w:r w:rsidR="00773091">
        <w:rPr>
          <w:lang w:val="fr-FR"/>
        </w:rPr>
        <w:t> :</w:t>
      </w:r>
      <w:r w:rsidR="00757845" w:rsidRPr="00773091">
        <w:rPr>
          <w:lang w:val="fr-FR"/>
        </w:rPr>
        <w:t xml:space="preserve"> </w:t>
      </w:r>
      <w:r w:rsidRPr="00773091">
        <w:rPr>
          <w:lang w:val="fr-FR"/>
        </w:rPr>
        <w:t>Les règles pour les caractères QN s</w:t>
      </w:r>
      <w:r w:rsidR="00773091">
        <w:rPr>
          <w:lang w:val="fr-FR"/>
        </w:rPr>
        <w:t>’</w:t>
      </w:r>
      <w:r w:rsidRPr="00773091">
        <w:rPr>
          <w:lang w:val="fr-FR"/>
        </w:rPr>
        <w:t xml:space="preserve">appliquent aux formes affichées suivant les flèches en pointillés et </w:t>
      </w:r>
      <w:r w:rsidRPr="00773091">
        <w:rPr>
          <w:u w:val="single"/>
          <w:lang w:val="fr-FR"/>
        </w:rPr>
        <w:t>ne s</w:t>
      </w:r>
      <w:r w:rsidR="00773091">
        <w:rPr>
          <w:u w:val="single"/>
          <w:lang w:val="fr-FR"/>
        </w:rPr>
        <w:t>’</w:t>
      </w:r>
      <w:r w:rsidRPr="00773091">
        <w:rPr>
          <w:u w:val="single"/>
          <w:lang w:val="fr-FR"/>
        </w:rPr>
        <w:t>appliquent pas</w:t>
      </w:r>
      <w:r w:rsidRPr="00773091">
        <w:rPr>
          <w:lang w:val="fr-FR"/>
        </w:rPr>
        <w:t xml:space="preserve"> aux form</w:t>
      </w:r>
      <w:r w:rsidR="00B00E41" w:rsidRPr="00773091">
        <w:rPr>
          <w:lang w:val="fr-FR"/>
        </w:rPr>
        <w:t>e</w:t>
      </w:r>
      <w:r w:rsidRPr="00773091">
        <w:rPr>
          <w:lang w:val="fr-FR"/>
        </w:rPr>
        <w:t xml:space="preserve">s </w:t>
      </w:r>
      <w:r w:rsidR="00B00E41" w:rsidRPr="00773091">
        <w:rPr>
          <w:lang w:val="fr-FR"/>
        </w:rPr>
        <w:t>suiv</w:t>
      </w:r>
      <w:r w:rsidRPr="00773091">
        <w:rPr>
          <w:lang w:val="fr-FR"/>
        </w:rPr>
        <w:t>ant la ligne continue</w:t>
      </w:r>
    </w:p>
    <w:p w:rsidR="005F1D8B" w:rsidRPr="00773091" w:rsidRDefault="005F1D8B" w:rsidP="00B30070">
      <w:pPr>
        <w:keepNext/>
        <w:keepLines/>
        <w:ind w:left="1134" w:hanging="1134"/>
        <w:rPr>
          <w:lang w:val="fr-FR"/>
        </w:rPr>
      </w:pPr>
    </w:p>
    <w:p w:rsidR="005F1D8B" w:rsidRPr="00773091" w:rsidRDefault="00B30070" w:rsidP="00985A7A">
      <w:pPr>
        <w:jc w:val="center"/>
        <w:rPr>
          <w:lang w:val="fr-FR"/>
        </w:rPr>
      </w:pPr>
      <w:r>
        <w:rPr>
          <w:noProof/>
        </w:rPr>
        <w:drawing>
          <wp:inline distT="0" distB="0" distL="0" distR="0">
            <wp:extent cx="5286313" cy="4862946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812" cy="486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CF41A9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CF41A9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annexe du présent document contient des extraits pertinents des documents</w:t>
      </w:r>
      <w:r w:rsidR="0044586D">
        <w:rPr>
          <w:lang w:val="fr-FR"/>
        </w:rPr>
        <w:t> </w:t>
      </w:r>
      <w:r w:rsidR="00CF41A9" w:rsidRPr="00773091">
        <w:rPr>
          <w:lang w:val="fr-FR"/>
        </w:rPr>
        <w:t>TG/1/3 “Introduction générale à 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examen de la distinction, de 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homogénéité et de la stabilité et à 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harmonisation des descriptions des obtentions végétales”, TGP/9 “Examen de la distinction” et TGP/8 “Protocole d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essai et techniques utilisés dans 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examen de la distinction, de 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homogénéité et de la stabilité.”</w:t>
      </w:r>
    </w:p>
    <w:p w:rsidR="005F1D8B" w:rsidRDefault="005F1D8B" w:rsidP="00757845">
      <w:pPr>
        <w:rPr>
          <w:lang w:val="fr-FR"/>
        </w:rPr>
      </w:pPr>
    </w:p>
    <w:p w:rsidR="005E7F9B" w:rsidRPr="00773091" w:rsidRDefault="005E7F9B" w:rsidP="00757845">
      <w:pPr>
        <w:rPr>
          <w:lang w:val="fr-FR"/>
        </w:rPr>
      </w:pPr>
    </w:p>
    <w:p w:rsidR="005F1D8B" w:rsidRPr="00773091" w:rsidRDefault="00CF41A9" w:rsidP="00CF41A9">
      <w:pPr>
        <w:pStyle w:val="Heading1"/>
        <w:rPr>
          <w:lang w:val="fr-FR"/>
        </w:rPr>
      </w:pPr>
      <w:bookmarkStart w:id="14" w:name="_Toc22819753"/>
      <w:r w:rsidRPr="00773091">
        <w:rPr>
          <w:lang w:val="fr-FR"/>
        </w:rPr>
        <w:t>EXAMEN PAR LES GROUPES DE TRAVAIL TECHNIQUES</w:t>
      </w:r>
      <w:bookmarkEnd w:id="14"/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CF41A9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CF41A9" w:rsidRPr="00773091">
        <w:rPr>
          <w:lang w:val="fr-FR"/>
        </w:rPr>
        <w:t xml:space="preserve">À leurs sessions </w:t>
      </w:r>
      <w:r w:rsidR="00773091" w:rsidRPr="00773091">
        <w:rPr>
          <w:lang w:val="fr-FR"/>
        </w:rPr>
        <w:t>de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2019</w:t>
      </w:r>
      <w:r w:rsidR="00CF41A9" w:rsidRPr="00773091">
        <w:rPr>
          <w:lang w:val="fr-FR"/>
        </w:rPr>
        <w:t>,</w:t>
      </w:r>
      <w:r w:rsidR="00773091" w:rsidRPr="00773091">
        <w:rPr>
          <w:lang w:val="fr-FR"/>
        </w:rPr>
        <w:t xml:space="preserve"> le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TWO</w:t>
      </w:r>
      <w:r w:rsidR="00CF41A9" w:rsidRPr="00773091">
        <w:rPr>
          <w:lang w:val="fr-FR"/>
        </w:rPr>
        <w:t>,</w:t>
      </w:r>
      <w:r w:rsidR="00773091" w:rsidRPr="00773091">
        <w:rPr>
          <w:lang w:val="fr-FR"/>
        </w:rPr>
        <w:t xml:space="preserve"> le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TWV</w:t>
      </w:r>
      <w:r w:rsidR="00CF41A9" w:rsidRPr="00773091">
        <w:rPr>
          <w:lang w:val="fr-FR"/>
        </w:rPr>
        <w:t>,</w:t>
      </w:r>
      <w:r w:rsidR="00773091" w:rsidRPr="00773091">
        <w:rPr>
          <w:lang w:val="fr-FR"/>
        </w:rPr>
        <w:t xml:space="preserve"> le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TWF</w:t>
      </w:r>
      <w:r w:rsidR="00CF41A9" w:rsidRPr="00773091">
        <w:rPr>
          <w:lang w:val="fr-FR"/>
        </w:rPr>
        <w:t xml:space="preserve"> et</w:t>
      </w:r>
      <w:r w:rsidR="00773091" w:rsidRPr="00773091">
        <w:rPr>
          <w:lang w:val="fr-FR"/>
        </w:rPr>
        <w:t xml:space="preserve"> le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TWA</w:t>
      </w:r>
      <w:r w:rsidR="00CF41A9" w:rsidRPr="00773091">
        <w:rPr>
          <w:lang w:val="fr-FR"/>
        </w:rPr>
        <w:t xml:space="preserve"> ont examiné le document</w:t>
      </w:r>
      <w:r w:rsidR="0044586D">
        <w:rPr>
          <w:lang w:val="fr-FR"/>
        </w:rPr>
        <w:t> </w:t>
      </w:r>
      <w:r w:rsidR="00CF41A9" w:rsidRPr="00773091">
        <w:rPr>
          <w:lang w:val="fr-FR"/>
        </w:rPr>
        <w:t>TWP/3/13 “</w:t>
      </w:r>
      <w:proofErr w:type="spellStart"/>
      <w:r w:rsidR="00CF41A9" w:rsidRPr="00773091">
        <w:rPr>
          <w:lang w:val="fr-FR"/>
        </w:rPr>
        <w:t>Differences</w:t>
      </w:r>
      <w:proofErr w:type="spellEnd"/>
      <w:r w:rsidR="00CF41A9" w:rsidRPr="00773091">
        <w:rPr>
          <w:lang w:val="fr-FR"/>
        </w:rPr>
        <w:t xml:space="preserve"> in notes for the </w:t>
      </w:r>
      <w:proofErr w:type="spellStart"/>
      <w:r w:rsidR="00CF41A9" w:rsidRPr="00773091">
        <w:rPr>
          <w:lang w:val="fr-FR"/>
        </w:rPr>
        <w:t>assessment</w:t>
      </w:r>
      <w:proofErr w:type="spellEnd"/>
      <w:r w:rsidR="00CF41A9" w:rsidRPr="00773091">
        <w:rPr>
          <w:lang w:val="fr-FR"/>
        </w:rPr>
        <w:t xml:space="preserve"> of </w:t>
      </w:r>
      <w:proofErr w:type="spellStart"/>
      <w:r w:rsidR="00CF41A9" w:rsidRPr="00773091">
        <w:rPr>
          <w:lang w:val="fr-FR"/>
        </w:rPr>
        <w:t>distinctness</w:t>
      </w:r>
      <w:proofErr w:type="spellEnd"/>
      <w:r w:rsidR="00CF41A9" w:rsidRPr="00773091">
        <w:rPr>
          <w:lang w:val="fr-FR"/>
        </w:rPr>
        <w:t xml:space="preserve">” (voir les </w:t>
      </w:r>
      <w:r w:rsidR="00773091" w:rsidRPr="00773091">
        <w:rPr>
          <w:lang w:val="fr-FR"/>
        </w:rPr>
        <w:t>paragraphes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8</w:t>
      </w:r>
      <w:r w:rsidR="00CF41A9" w:rsidRPr="00773091">
        <w:rPr>
          <w:lang w:val="fr-FR"/>
        </w:rPr>
        <w:t>0 à 82 du document</w:t>
      </w:r>
      <w:r w:rsidR="0044586D">
        <w:rPr>
          <w:lang w:val="fr-FR"/>
        </w:rPr>
        <w:t> </w:t>
      </w:r>
      <w:r w:rsidR="00CF41A9" w:rsidRPr="00773091">
        <w:rPr>
          <w:lang w:val="fr-FR"/>
        </w:rPr>
        <w:t xml:space="preserve">TWO/51/12 </w:t>
      </w:r>
      <w:r w:rsidR="00CF41A9" w:rsidRPr="005E7F9B">
        <w:rPr>
          <w:i/>
          <w:lang w:val="fr-FR"/>
        </w:rPr>
        <w:t>“Report”</w:t>
      </w:r>
      <w:r w:rsidR="00CF41A9" w:rsidRPr="00773091">
        <w:rPr>
          <w:lang w:val="fr-FR"/>
        </w:rPr>
        <w:t xml:space="preserve">, les </w:t>
      </w:r>
      <w:r w:rsidR="00773091" w:rsidRPr="00773091">
        <w:rPr>
          <w:lang w:val="fr-FR"/>
        </w:rPr>
        <w:t>paragraphes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1</w:t>
      </w:r>
      <w:r w:rsidR="00CF41A9" w:rsidRPr="00773091">
        <w:rPr>
          <w:lang w:val="fr-FR"/>
        </w:rPr>
        <w:t>27 à 129 du document</w:t>
      </w:r>
      <w:r w:rsidR="0044586D">
        <w:rPr>
          <w:lang w:val="fr-FR"/>
        </w:rPr>
        <w:t> </w:t>
      </w:r>
      <w:r w:rsidR="00CF41A9" w:rsidRPr="00773091">
        <w:rPr>
          <w:lang w:val="fr-FR"/>
        </w:rPr>
        <w:t xml:space="preserve">TWF/50/13 </w:t>
      </w:r>
      <w:r w:rsidR="00CF41A9" w:rsidRPr="005E7F9B">
        <w:rPr>
          <w:i/>
          <w:lang w:val="fr-FR"/>
        </w:rPr>
        <w:t>“Report”</w:t>
      </w:r>
      <w:r w:rsidR="00CF41A9" w:rsidRPr="00773091">
        <w:rPr>
          <w:lang w:val="fr-FR"/>
        </w:rPr>
        <w:t xml:space="preserve">, les </w:t>
      </w:r>
      <w:r w:rsidR="00773091" w:rsidRPr="00773091">
        <w:rPr>
          <w:lang w:val="fr-FR"/>
        </w:rPr>
        <w:t>paragraphes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7</w:t>
      </w:r>
      <w:r w:rsidR="00CF41A9" w:rsidRPr="00773091">
        <w:rPr>
          <w:lang w:val="fr-FR"/>
        </w:rPr>
        <w:t>9 à 82 du document</w:t>
      </w:r>
      <w:r w:rsidR="0044586D">
        <w:rPr>
          <w:lang w:val="fr-FR"/>
        </w:rPr>
        <w:t> </w:t>
      </w:r>
      <w:r w:rsidR="00CF41A9" w:rsidRPr="00773091">
        <w:rPr>
          <w:lang w:val="fr-FR"/>
        </w:rPr>
        <w:t xml:space="preserve">TWV/53/14 </w:t>
      </w:r>
      <w:r w:rsidR="00CF41A9" w:rsidRPr="005E7F9B">
        <w:rPr>
          <w:i/>
          <w:lang w:val="fr-FR"/>
        </w:rPr>
        <w:t>“Report”</w:t>
      </w:r>
      <w:r w:rsidR="00CF41A9" w:rsidRPr="00773091">
        <w:rPr>
          <w:lang w:val="fr-FR"/>
        </w:rPr>
        <w:t xml:space="preserve"> et les </w:t>
      </w:r>
      <w:r w:rsidR="00773091" w:rsidRPr="00773091">
        <w:rPr>
          <w:lang w:val="fr-FR"/>
        </w:rPr>
        <w:t>paragraphes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8</w:t>
      </w:r>
      <w:r w:rsidR="00CF41A9" w:rsidRPr="00773091">
        <w:rPr>
          <w:lang w:val="fr-FR"/>
        </w:rPr>
        <w:t>3 à 86 du document</w:t>
      </w:r>
      <w:r w:rsidR="0044586D">
        <w:rPr>
          <w:lang w:val="fr-FR"/>
        </w:rPr>
        <w:t> </w:t>
      </w:r>
      <w:r w:rsidR="00CF41A9" w:rsidRPr="00773091">
        <w:rPr>
          <w:lang w:val="fr-FR"/>
        </w:rPr>
        <w:t xml:space="preserve">TWA/48/9 </w:t>
      </w:r>
      <w:r w:rsidR="00CF41A9" w:rsidRPr="005E7F9B">
        <w:rPr>
          <w:i/>
          <w:lang w:val="fr-FR"/>
        </w:rPr>
        <w:t>“Report”</w:t>
      </w:r>
      <w:r w:rsidR="00CF41A9" w:rsidRPr="00773091">
        <w:rPr>
          <w:lang w:val="fr-FR"/>
        </w:rPr>
        <w:t>).</w:t>
      </w:r>
    </w:p>
    <w:p w:rsidR="005F1D8B" w:rsidRPr="00773091" w:rsidRDefault="005F1D8B" w:rsidP="00757845">
      <w:pPr>
        <w:rPr>
          <w:lang w:val="fr-FR"/>
        </w:rPr>
      </w:pPr>
    </w:p>
    <w:p w:rsidR="00773091" w:rsidRDefault="00EB3B57" w:rsidP="00CF41A9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CF41A9" w:rsidRPr="00773091">
        <w:rPr>
          <w:lang w:val="fr-FR"/>
        </w:rPr>
        <w:t>Les groupes de travail techniques ont pris note des orientations existantes figurant dans 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Introduction générale et dans les documents</w:t>
      </w:r>
      <w:r w:rsidR="0044586D">
        <w:rPr>
          <w:lang w:val="fr-FR"/>
        </w:rPr>
        <w:t> </w:t>
      </w:r>
      <w:r w:rsidR="00CF41A9" w:rsidRPr="00773091">
        <w:rPr>
          <w:lang w:val="fr-FR"/>
        </w:rPr>
        <w:t>TGP/8, TGP/9 et TGP/14 concernant les différences dans les notes pour l</w:t>
      </w:r>
      <w:r w:rsidR="00773091">
        <w:rPr>
          <w:lang w:val="fr-FR"/>
        </w:rPr>
        <w:t>’</w:t>
      </w:r>
      <w:r w:rsidR="00CF41A9" w:rsidRPr="00773091">
        <w:rPr>
          <w:lang w:val="fr-FR"/>
        </w:rPr>
        <w:t>évaluation de la distinction.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EB3B57" w:rsidP="00B00E41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B00E41" w:rsidRPr="00773091">
        <w:rPr>
          <w:lang w:val="fr-FR"/>
        </w:rPr>
        <w:t>Le TWO et</w:t>
      </w:r>
      <w:r w:rsidR="00773091" w:rsidRPr="00773091">
        <w:rPr>
          <w:lang w:val="fr-FR"/>
        </w:rPr>
        <w:t xml:space="preserve"> le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TWV</w:t>
      </w:r>
      <w:r w:rsidR="00B00E41" w:rsidRPr="00773091">
        <w:rPr>
          <w:lang w:val="fr-FR"/>
        </w:rPr>
        <w:t xml:space="preserve"> ont pris note des précisions apportées par le document</w:t>
      </w:r>
      <w:r w:rsidR="0044586D">
        <w:rPr>
          <w:lang w:val="fr-FR"/>
        </w:rPr>
        <w:t> </w:t>
      </w:r>
      <w:r w:rsidR="00B00E41" w:rsidRPr="00773091">
        <w:rPr>
          <w:lang w:val="fr-FR"/>
        </w:rPr>
        <w:t xml:space="preserve">TWP/3/13 sur la manière dont la </w:t>
      </w:r>
      <w:r w:rsidR="007F25AB">
        <w:rPr>
          <w:lang w:val="fr-FR"/>
        </w:rPr>
        <w:t>méthode</w:t>
      </w:r>
      <w:r w:rsidR="00B00E41" w:rsidRPr="00773091">
        <w:rPr>
          <w:lang w:val="fr-FR"/>
        </w:rPr>
        <w:t xml:space="preserve"> pour les caractères QN pouvait s</w:t>
      </w:r>
      <w:r w:rsidR="00773091">
        <w:rPr>
          <w:lang w:val="fr-FR"/>
        </w:rPr>
        <w:t>’</w:t>
      </w:r>
      <w:r w:rsidR="00B00E41" w:rsidRPr="00773091">
        <w:rPr>
          <w:lang w:val="fr-FR"/>
        </w:rPr>
        <w:t>appliquer à certains niveaux d</w:t>
      </w:r>
      <w:r w:rsidR="00773091">
        <w:rPr>
          <w:lang w:val="fr-FR"/>
        </w:rPr>
        <w:t>’</w:t>
      </w:r>
      <w:r w:rsidR="00B00E41" w:rsidRPr="00773091">
        <w:rPr>
          <w:lang w:val="fr-FR"/>
        </w:rPr>
        <w:t>expression pour certains caractères PQ.</w:t>
      </w:r>
    </w:p>
    <w:p w:rsidR="005F1D8B" w:rsidRPr="00773091" w:rsidRDefault="005F1D8B" w:rsidP="00757845">
      <w:pPr>
        <w:rPr>
          <w:lang w:val="fr-FR"/>
        </w:rPr>
      </w:pPr>
    </w:p>
    <w:p w:rsidR="00773091" w:rsidRDefault="00EB3B57" w:rsidP="00B00E41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B00E41" w:rsidRPr="00773091">
        <w:rPr>
          <w:lang w:val="fr-FR"/>
        </w:rPr>
        <w:t xml:space="preserve">Le TWF a approuvé les précisions apportées aux </w:t>
      </w:r>
      <w:r w:rsidR="00773091" w:rsidRPr="00773091">
        <w:rPr>
          <w:lang w:val="fr-FR"/>
        </w:rPr>
        <w:t>paragraphes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1</w:t>
      </w:r>
      <w:r w:rsidR="00B00E41" w:rsidRPr="00773091">
        <w:rPr>
          <w:lang w:val="fr-FR"/>
        </w:rPr>
        <w:t>0 à 13 du document</w:t>
      </w:r>
      <w:r w:rsidR="0044586D">
        <w:rPr>
          <w:lang w:val="fr-FR"/>
        </w:rPr>
        <w:t> </w:t>
      </w:r>
      <w:r w:rsidR="00B00E41" w:rsidRPr="00773091">
        <w:rPr>
          <w:lang w:val="fr-FR"/>
        </w:rPr>
        <w:t xml:space="preserve">TWP/3/13, reproduites aux </w:t>
      </w:r>
      <w:r w:rsidR="00773091" w:rsidRPr="00773091">
        <w:rPr>
          <w:lang w:val="fr-FR"/>
        </w:rPr>
        <w:t>paragraphes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9</w:t>
      </w:r>
      <w:r w:rsidR="00B00E41" w:rsidRPr="00773091">
        <w:rPr>
          <w:lang w:val="fr-FR"/>
        </w:rPr>
        <w:t xml:space="preserve"> à 12 du présent document.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EB3B57" w:rsidP="00B00E41">
      <w:pPr>
        <w:rPr>
          <w:lang w:val="fr-FR"/>
        </w:rPr>
      </w:pPr>
      <w:r w:rsidRPr="00773091">
        <w:rPr>
          <w:lang w:val="fr-FR"/>
        </w:rPr>
        <w:fldChar w:fldCharType="begin"/>
      </w:r>
      <w:r w:rsidRPr="00773091">
        <w:rPr>
          <w:lang w:val="fr-FR"/>
        </w:rPr>
        <w:instrText xml:space="preserve"> AUTONUM  </w:instrText>
      </w:r>
      <w:r w:rsidRPr="00773091">
        <w:rPr>
          <w:lang w:val="fr-FR"/>
        </w:rPr>
        <w:fldChar w:fldCharType="end"/>
      </w:r>
      <w:r w:rsidRPr="00773091">
        <w:rPr>
          <w:lang w:val="fr-FR"/>
        </w:rPr>
        <w:tab/>
      </w:r>
      <w:r w:rsidR="00B00E41" w:rsidRPr="00773091">
        <w:rPr>
          <w:lang w:val="fr-FR"/>
        </w:rPr>
        <w:t xml:space="preserve">Le TWA a noté que la méthode GAIA offrait </w:t>
      </w:r>
      <w:r w:rsidR="00024E25">
        <w:rPr>
          <w:lang w:val="fr-FR"/>
        </w:rPr>
        <w:t>une solution</w:t>
      </w:r>
      <w:r w:rsidR="00B00E41" w:rsidRPr="00773091">
        <w:rPr>
          <w:lang w:val="fr-FR"/>
        </w:rPr>
        <w:t xml:space="preserve"> de présélection et qu</w:t>
      </w:r>
      <w:r w:rsidR="00773091">
        <w:rPr>
          <w:lang w:val="fr-FR"/>
        </w:rPr>
        <w:t>’</w:t>
      </w:r>
      <w:r w:rsidR="00B00E41" w:rsidRPr="00773091">
        <w:rPr>
          <w:lang w:val="fr-FR"/>
        </w:rPr>
        <w:t>elle n</w:t>
      </w:r>
      <w:r w:rsidR="00773091">
        <w:rPr>
          <w:lang w:val="fr-FR"/>
        </w:rPr>
        <w:t>’</w:t>
      </w:r>
      <w:r w:rsidR="00B00E41" w:rsidRPr="00773091">
        <w:rPr>
          <w:lang w:val="fr-FR"/>
        </w:rPr>
        <w:t>était pas utilisée pour comparer des données dans l</w:t>
      </w:r>
      <w:r w:rsidR="00773091">
        <w:rPr>
          <w:lang w:val="fr-FR"/>
        </w:rPr>
        <w:t>’</w:t>
      </w:r>
      <w:r w:rsidR="00B00E41" w:rsidRPr="00773091">
        <w:rPr>
          <w:lang w:val="fr-FR"/>
        </w:rPr>
        <w:t>essai en culture et est convenu que les explications relatives à certains caractères liés à la forme et à la couleur pouvaient être fournies sous forme de tableau indiquant quels niveaux d</w:t>
      </w:r>
      <w:r w:rsidR="00773091">
        <w:rPr>
          <w:lang w:val="fr-FR"/>
        </w:rPr>
        <w:t>’</w:t>
      </w:r>
      <w:r w:rsidR="00B00E41" w:rsidRPr="00773091">
        <w:rPr>
          <w:lang w:val="fr-FR"/>
        </w:rPr>
        <w:t>expression pouvaient être considérés comme étant distincts les uns des autres.</w:t>
      </w:r>
    </w:p>
    <w:p w:rsidR="005F1D8B" w:rsidRPr="00773091" w:rsidRDefault="005F1D8B" w:rsidP="00757845">
      <w:pPr>
        <w:jc w:val="right"/>
        <w:rPr>
          <w:lang w:val="fr-FR"/>
        </w:rPr>
      </w:pPr>
    </w:p>
    <w:p w:rsidR="00773091" w:rsidRDefault="00B00E41" w:rsidP="00B00E41">
      <w:pPr>
        <w:pStyle w:val="endofdoc"/>
        <w:rPr>
          <w:lang w:val="fr-FR"/>
        </w:rPr>
      </w:pPr>
      <w:r w:rsidRPr="00773091">
        <w:rPr>
          <w:lang w:val="fr-FR"/>
        </w:rPr>
        <w:t>[Les annexes suivent]</w:t>
      </w:r>
    </w:p>
    <w:p w:rsidR="00757845" w:rsidRPr="00773091" w:rsidRDefault="00757845" w:rsidP="00757845">
      <w:pPr>
        <w:jc w:val="left"/>
        <w:rPr>
          <w:lang w:val="fr-FR"/>
        </w:rPr>
        <w:sectPr w:rsidR="00757845" w:rsidRPr="00773091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F1D8B" w:rsidRPr="00773091" w:rsidRDefault="00757845" w:rsidP="00757845">
      <w:pPr>
        <w:jc w:val="center"/>
        <w:rPr>
          <w:lang w:val="fr-FR"/>
        </w:rPr>
      </w:pPr>
      <w:r w:rsidRPr="00773091">
        <w:rPr>
          <w:lang w:val="fr-FR"/>
        </w:rPr>
        <w:lastRenderedPageBreak/>
        <w:t>EXTRA</w:t>
      </w:r>
      <w:r w:rsidR="00DB0A13" w:rsidRPr="00773091">
        <w:rPr>
          <w:lang w:val="fr-FR"/>
        </w:rPr>
        <w:t>IT DU</w:t>
      </w:r>
      <w:r w:rsidRPr="00773091">
        <w:rPr>
          <w:lang w:val="fr-FR"/>
        </w:rPr>
        <w:t xml:space="preserve"> DOCUMENT</w:t>
      </w:r>
      <w:r w:rsidR="0044586D">
        <w:rPr>
          <w:lang w:val="fr-FR"/>
        </w:rPr>
        <w:t> </w:t>
      </w:r>
      <w:r w:rsidRPr="00773091">
        <w:rPr>
          <w:lang w:val="fr-FR"/>
        </w:rPr>
        <w:t>TG/1/3 “</w:t>
      </w:r>
      <w:r w:rsidR="00DB0A13" w:rsidRPr="00773091">
        <w:rPr>
          <w:lang w:val="fr-FR"/>
        </w:rPr>
        <w:t>INTRODUCTION GÉNÉRALE À L</w:t>
      </w:r>
      <w:r w:rsidR="00773091">
        <w:rPr>
          <w:lang w:val="fr-FR"/>
        </w:rPr>
        <w:t>’</w:t>
      </w:r>
      <w:r w:rsidR="00DB0A13" w:rsidRPr="00773091">
        <w:rPr>
          <w:lang w:val="fr-FR"/>
        </w:rPr>
        <w:t>EXAMEN DE LA DISTINCTION, DE L</w:t>
      </w:r>
      <w:r w:rsidR="00773091">
        <w:rPr>
          <w:lang w:val="fr-FR"/>
        </w:rPr>
        <w:t>’</w:t>
      </w:r>
      <w:r w:rsidR="00DB0A13" w:rsidRPr="00773091">
        <w:rPr>
          <w:lang w:val="fr-FR"/>
        </w:rPr>
        <w:t>HOMOGÉNÉITÉ ET DE LA STABILITÉ ET À L</w:t>
      </w:r>
      <w:r w:rsidR="00773091">
        <w:rPr>
          <w:lang w:val="fr-FR"/>
        </w:rPr>
        <w:t>’</w:t>
      </w:r>
      <w:r w:rsidR="00DB0A13" w:rsidRPr="00773091">
        <w:rPr>
          <w:lang w:val="fr-FR"/>
        </w:rPr>
        <w:t>HARMONISATION DES DESCRIPTIONS DES OBTENTIONS VÉGÉTALES</w:t>
      </w:r>
      <w:r w:rsidRPr="00773091">
        <w:rPr>
          <w:lang w:val="fr-FR"/>
        </w:rPr>
        <w:t>”</w:t>
      </w:r>
    </w:p>
    <w:p w:rsidR="005F1D8B" w:rsidRPr="00773091" w:rsidRDefault="005F1D8B" w:rsidP="00757845">
      <w:pPr>
        <w:jc w:val="left"/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15" w:name="_Toc498319766"/>
      <w:bookmarkStart w:id="16" w:name="_Toc498511316"/>
      <w:bookmarkStart w:id="17" w:name="_Toc7923349"/>
      <w:bookmarkStart w:id="18" w:name="_Toc7923353"/>
      <w:r w:rsidRPr="00773091">
        <w:rPr>
          <w:lang w:val="fr-FR"/>
        </w:rPr>
        <w:t>CHAP</w:t>
      </w:r>
      <w:r w:rsidR="00DB0A13" w:rsidRPr="00773091">
        <w:rPr>
          <w:lang w:val="fr-FR"/>
        </w:rPr>
        <w:t>ITRE</w:t>
      </w:r>
      <w:r w:rsidR="0044586D">
        <w:rPr>
          <w:lang w:val="fr-FR"/>
        </w:rPr>
        <w:t> </w:t>
      </w:r>
      <w:r w:rsidRPr="00773091">
        <w:rPr>
          <w:lang w:val="fr-FR"/>
        </w:rPr>
        <w:t xml:space="preserve">4 – </w:t>
      </w:r>
      <w:r w:rsidR="00DB0A13" w:rsidRPr="00773091">
        <w:rPr>
          <w:lang w:val="fr-FR"/>
        </w:rPr>
        <w:t>CARACTÈRES UTILISÉS POUR L</w:t>
      </w:r>
      <w:r w:rsidR="00773091">
        <w:rPr>
          <w:lang w:val="fr-FR"/>
        </w:rPr>
        <w:t>’</w:t>
      </w:r>
      <w:r w:rsidR="00DB0A13" w:rsidRPr="00773091">
        <w:rPr>
          <w:lang w:val="fr-FR"/>
        </w:rPr>
        <w:t>EXAMEN DHS</w:t>
      </w:r>
      <w:bookmarkEnd w:id="15"/>
      <w:bookmarkEnd w:id="16"/>
      <w:bookmarkEnd w:id="17"/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5F1D8B">
      <w:pPr>
        <w:rPr>
          <w:lang w:val="fr-FR"/>
        </w:rPr>
      </w:pPr>
      <w:r w:rsidRPr="00773091">
        <w:rPr>
          <w:lang w:val="fr-FR"/>
        </w:rPr>
        <w:t>4.4</w:t>
      </w:r>
      <w:r w:rsidRPr="00773091">
        <w:rPr>
          <w:lang w:val="fr-FR"/>
        </w:rPr>
        <w:tab/>
      </w:r>
      <w:bookmarkEnd w:id="18"/>
      <w:r w:rsidR="005F1D8B" w:rsidRPr="00773091">
        <w:rPr>
          <w:lang w:val="fr-FR"/>
        </w:rPr>
        <w:t>Types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des caractères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19" w:name="_Toc498319770"/>
      <w:bookmarkStart w:id="20" w:name="_Toc7923354"/>
      <w:r w:rsidRPr="00773091">
        <w:rPr>
          <w:lang w:val="fr-FR"/>
        </w:rPr>
        <w:t>4.4.1</w:t>
      </w:r>
      <w:r w:rsidRPr="00773091">
        <w:rPr>
          <w:lang w:val="fr-FR"/>
        </w:rPr>
        <w:tab/>
      </w:r>
      <w:bookmarkEnd w:id="19"/>
      <w:bookmarkEnd w:id="20"/>
      <w:r w:rsidR="005F1D8B" w:rsidRPr="00773091">
        <w:rPr>
          <w:lang w:val="fr-FR"/>
        </w:rPr>
        <w:t>Caractères qualitatifs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ab/>
      </w:r>
      <w:r w:rsidR="005F1D8B" w:rsidRPr="00773091">
        <w:rPr>
          <w:lang w:val="fr-FR"/>
        </w:rPr>
        <w:t>Les “caractères qualitatifs” sont ceux dont les niveaux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sont discontinus (par exemple, sexe de la plante</w:t>
      </w:r>
      <w:r w:rsidR="00773091">
        <w:rPr>
          <w:lang w:val="fr-FR"/>
        </w:rPr>
        <w:t> :</w:t>
      </w:r>
      <w:r w:rsidR="005F1D8B" w:rsidRPr="00773091">
        <w:rPr>
          <w:lang w:val="fr-FR"/>
        </w:rPr>
        <w:t xml:space="preserve"> dioïque femelle (1), dioïque mâle (2), monoïque unisexuée (3), monoïque hermaphrodite (4)).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Ces niveaux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sont explicites et suffisamment significatifs en soi.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 Tous les niveaux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sont nécessaires pour décrire le caractère dans toute sa diversité et chaque forme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expression peut être décrite par un seul niveau.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ordre des niveaux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est sans importance.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 Normalement, ces caractères ne sont pas influencés par le milieu.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21" w:name="_Toc498319771"/>
      <w:bookmarkStart w:id="22" w:name="_Toc7923355"/>
      <w:r w:rsidRPr="00773091">
        <w:rPr>
          <w:lang w:val="fr-FR"/>
        </w:rPr>
        <w:t>4.4.2</w:t>
      </w:r>
      <w:r w:rsidRPr="00773091">
        <w:rPr>
          <w:lang w:val="fr-FR"/>
        </w:rPr>
        <w:tab/>
      </w:r>
      <w:bookmarkEnd w:id="21"/>
      <w:bookmarkEnd w:id="22"/>
      <w:r w:rsidR="005F1D8B" w:rsidRPr="00773091">
        <w:rPr>
          <w:lang w:val="fr-FR"/>
        </w:rPr>
        <w:t>Caractères quantitatifs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ab/>
      </w:r>
      <w:r w:rsidR="005F1D8B" w:rsidRPr="00773091">
        <w:rPr>
          <w:lang w:val="fr-FR"/>
        </w:rPr>
        <w:t>Les “caractères quantitatifs” sont ceux dont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couvre toute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amplitude de la variation,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une extrémité à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autre.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peut être notée sur une échelle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une dimension linéaire, continue ou discrète.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 La gamme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est divisée en un certain nombre de niveaux aux fins de la description (par exemple longueur de la tige</w:t>
      </w:r>
      <w:r w:rsidR="00773091">
        <w:rPr>
          <w:lang w:val="fr-FR"/>
        </w:rPr>
        <w:t> :</w:t>
      </w:r>
      <w:r w:rsidR="005F1D8B" w:rsidRPr="00773091">
        <w:rPr>
          <w:lang w:val="fr-FR"/>
        </w:rPr>
        <w:t xml:space="preserve"> très courte (1), courte (3), moyenne (5), longue (7), très longue (9)).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Cette division est opérée de telle sorte que, dans la mesure du possible, les niveaux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soient également répartis le long de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échelle.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Les principes directeurs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examen ne précisent pas la différence requise pour établir la distinction.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Les niveaux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doivent toutefois être significatifs pour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examen</w:t>
      </w:r>
      <w:r w:rsidR="00041911">
        <w:rPr>
          <w:lang w:val="fr-FR"/>
        </w:rPr>
        <w:t> </w:t>
      </w:r>
      <w:r w:rsidR="005F1D8B" w:rsidRPr="00773091">
        <w:rPr>
          <w:lang w:val="fr-FR"/>
        </w:rPr>
        <w:t>DHS.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23" w:name="_Toc498319772"/>
      <w:bookmarkStart w:id="24" w:name="_Toc7923356"/>
      <w:r w:rsidRPr="00773091">
        <w:rPr>
          <w:lang w:val="fr-FR"/>
        </w:rPr>
        <w:t>4.4.3</w:t>
      </w:r>
      <w:r w:rsidRPr="00773091">
        <w:rPr>
          <w:lang w:val="fr-FR"/>
        </w:rPr>
        <w:tab/>
      </w:r>
      <w:bookmarkEnd w:id="23"/>
      <w:bookmarkEnd w:id="24"/>
      <w:r w:rsidR="005F1D8B" w:rsidRPr="00773091">
        <w:rPr>
          <w:lang w:val="fr-FR"/>
        </w:rPr>
        <w:t>Caractères pseudo</w:t>
      </w:r>
      <w:r w:rsidR="00773091">
        <w:rPr>
          <w:lang w:val="fr-FR"/>
        </w:rPr>
        <w:t>-</w:t>
      </w:r>
      <w:r w:rsidR="005F1D8B" w:rsidRPr="00773091">
        <w:rPr>
          <w:lang w:val="fr-FR"/>
        </w:rPr>
        <w:t>qualitatifs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ab/>
      </w:r>
      <w:r w:rsidR="005F1D8B" w:rsidRPr="00773091">
        <w:rPr>
          <w:lang w:val="fr-FR"/>
        </w:rPr>
        <w:t>Les “caractères pseudo</w:t>
      </w:r>
      <w:r w:rsidR="00773091">
        <w:rPr>
          <w:lang w:val="fr-FR"/>
        </w:rPr>
        <w:t>-</w:t>
      </w:r>
      <w:r w:rsidR="005F1D8B" w:rsidRPr="00773091">
        <w:rPr>
          <w:lang w:val="fr-FR"/>
        </w:rPr>
        <w:t>qualitatifs” sont des caractères dont la gamme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est au moins en partie continue, mais est pluridimensionnelle (par exemple, la forme</w:t>
      </w:r>
      <w:r w:rsidR="00773091">
        <w:rPr>
          <w:lang w:val="fr-FR"/>
        </w:rPr>
        <w:t> :</w:t>
      </w:r>
      <w:r w:rsidR="005F1D8B" w:rsidRPr="00773091">
        <w:rPr>
          <w:lang w:val="fr-FR"/>
        </w:rPr>
        <w:t xml:space="preserve"> ovale (1), elliptique (2), circulaire (3), </w:t>
      </w:r>
      <w:proofErr w:type="spellStart"/>
      <w:r w:rsidR="005F1D8B" w:rsidRPr="00773091">
        <w:rPr>
          <w:lang w:val="fr-FR"/>
        </w:rPr>
        <w:t>obovale</w:t>
      </w:r>
      <w:proofErr w:type="spellEnd"/>
      <w:r w:rsidR="005F1D8B" w:rsidRPr="00773091">
        <w:rPr>
          <w:lang w:val="fr-FR"/>
        </w:rPr>
        <w:t xml:space="preserve"> (4)), et ne peut être correctement décrite en définissant simplement les deux</w:t>
      </w:r>
      <w:r w:rsidR="00041911">
        <w:rPr>
          <w:lang w:val="fr-FR"/>
        </w:rPr>
        <w:t> </w:t>
      </w:r>
      <w:r w:rsidR="005F1D8B" w:rsidRPr="00773091">
        <w:rPr>
          <w:lang w:val="fr-FR"/>
        </w:rPr>
        <w:t>extrêmes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une gamme linéaire.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 De même que dans le cas des caractères qualitatifs (discontinus) –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où le terme “pseudo</w:t>
      </w:r>
      <w:r w:rsidR="00773091">
        <w:rPr>
          <w:lang w:val="fr-FR"/>
        </w:rPr>
        <w:t>-</w:t>
      </w:r>
      <w:r w:rsidR="005F1D8B" w:rsidRPr="00773091">
        <w:rPr>
          <w:lang w:val="fr-FR"/>
        </w:rPr>
        <w:t>qualitatifs” – chaque niveau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doit être identifié pour décrire correctement le caractère dans toute sa diversité.</w:t>
      </w:r>
    </w:p>
    <w:p w:rsidR="005F1D8B" w:rsidRPr="00773091" w:rsidRDefault="005F1D8B" w:rsidP="00757845">
      <w:pPr>
        <w:jc w:val="left"/>
        <w:rPr>
          <w:rFonts w:cs="Arial"/>
          <w:lang w:val="fr-FR"/>
        </w:rPr>
      </w:pPr>
    </w:p>
    <w:p w:rsidR="005F1D8B" w:rsidRPr="00773091" w:rsidRDefault="005F1D8B" w:rsidP="00757845">
      <w:pPr>
        <w:rPr>
          <w:rFonts w:cs="Arial"/>
          <w:lang w:val="fr-FR"/>
        </w:rPr>
      </w:pPr>
      <w:r w:rsidRPr="00773091">
        <w:rPr>
          <w:lang w:val="fr-FR"/>
        </w:rPr>
        <w:t>CHAPITRE</w:t>
      </w:r>
      <w:r w:rsidR="0044586D">
        <w:rPr>
          <w:lang w:val="fr-FR"/>
        </w:rPr>
        <w:t> </w:t>
      </w:r>
      <w:r w:rsidRPr="00773091">
        <w:rPr>
          <w:lang w:val="fr-FR"/>
        </w:rPr>
        <w:t>5 – EXAMEN DE LA DISTINCTION</w:t>
      </w:r>
    </w:p>
    <w:p w:rsidR="005F1D8B" w:rsidRPr="00773091" w:rsidRDefault="005F1D8B" w:rsidP="00757845">
      <w:pPr>
        <w:jc w:val="left"/>
        <w:rPr>
          <w:rFonts w:cs="Arial"/>
          <w:lang w:val="fr-FR"/>
        </w:rPr>
      </w:pPr>
    </w:p>
    <w:p w:rsidR="005F1D8B" w:rsidRPr="00773091" w:rsidRDefault="00757845" w:rsidP="00757845">
      <w:pPr>
        <w:rPr>
          <w:rFonts w:cs="Arial"/>
          <w:lang w:val="fr-FR"/>
        </w:rPr>
      </w:pPr>
      <w:bookmarkStart w:id="25" w:name="_Toc498511337"/>
      <w:bookmarkStart w:id="26" w:name="_Toc7923371"/>
      <w:r w:rsidRPr="00773091">
        <w:rPr>
          <w:rFonts w:cs="Arial"/>
          <w:lang w:val="fr-FR"/>
        </w:rPr>
        <w:t>5.3</w:t>
      </w:r>
      <w:r w:rsidRPr="00773091">
        <w:rPr>
          <w:rFonts w:cs="Arial"/>
          <w:lang w:val="fr-FR"/>
        </w:rPr>
        <w:tab/>
      </w:r>
      <w:bookmarkEnd w:id="25"/>
      <w:bookmarkEnd w:id="26"/>
      <w:r w:rsidR="005F1D8B" w:rsidRPr="00773091">
        <w:rPr>
          <w:lang w:val="fr-FR"/>
        </w:rPr>
        <w:t>Nette distinction de la nouvelle variété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757845" w:rsidP="00757845">
      <w:pPr>
        <w:rPr>
          <w:rFonts w:cs="Arial"/>
          <w:lang w:val="fr-FR"/>
        </w:rPr>
      </w:pPr>
      <w:bookmarkStart w:id="27" w:name="_Toc498319788"/>
      <w:bookmarkStart w:id="28" w:name="_Toc498511340"/>
      <w:bookmarkStart w:id="29" w:name="_Toc7923374"/>
      <w:r w:rsidRPr="00773091">
        <w:rPr>
          <w:rFonts w:cs="Arial"/>
          <w:lang w:val="fr-FR"/>
        </w:rPr>
        <w:t>5.3.3</w:t>
      </w:r>
      <w:r w:rsidRPr="00773091">
        <w:rPr>
          <w:rFonts w:cs="Arial"/>
          <w:lang w:val="fr-FR"/>
        </w:rPr>
        <w:tab/>
      </w:r>
      <w:bookmarkEnd w:id="27"/>
      <w:bookmarkEnd w:id="28"/>
      <w:bookmarkEnd w:id="29"/>
      <w:r w:rsidR="005F1D8B" w:rsidRPr="00773091">
        <w:rPr>
          <w:lang w:val="fr-FR"/>
        </w:rPr>
        <w:t>Les critères de distinction fondés sur les caractères</w:t>
      </w:r>
    </w:p>
    <w:p w:rsidR="005F1D8B" w:rsidRPr="00773091" w:rsidRDefault="005F1D8B" w:rsidP="00757845">
      <w:pPr>
        <w:rPr>
          <w:rFonts w:cs="Arial"/>
          <w:lang w:val="fr-FR"/>
        </w:rPr>
      </w:pPr>
      <w:bookmarkStart w:id="30" w:name="_Toc7923376"/>
    </w:p>
    <w:p w:rsidR="005F1D8B" w:rsidRPr="00773091" w:rsidRDefault="00757845" w:rsidP="00757845">
      <w:pPr>
        <w:rPr>
          <w:rFonts w:cs="Arial"/>
          <w:lang w:val="fr-FR"/>
        </w:rPr>
      </w:pPr>
      <w:r w:rsidRPr="00773091">
        <w:rPr>
          <w:rFonts w:cs="Arial"/>
          <w:lang w:val="fr-FR"/>
        </w:rPr>
        <w:t>5.3.3.2</w:t>
      </w:r>
      <w:r w:rsidRPr="00773091">
        <w:rPr>
          <w:rFonts w:cs="Arial"/>
          <w:lang w:val="fr-FR"/>
        </w:rPr>
        <w:tab/>
      </w:r>
      <w:bookmarkEnd w:id="30"/>
      <w:r w:rsidR="005F1D8B" w:rsidRPr="00773091">
        <w:rPr>
          <w:lang w:val="fr-FR"/>
        </w:rPr>
        <w:t>Différences nettes</w:t>
      </w:r>
    </w:p>
    <w:p w:rsidR="005F1D8B" w:rsidRPr="00773091" w:rsidRDefault="00757845" w:rsidP="00757845">
      <w:pPr>
        <w:rPr>
          <w:rFonts w:cs="Arial"/>
          <w:lang w:val="fr-FR"/>
        </w:rPr>
      </w:pPr>
      <w:r w:rsidRPr="00773091">
        <w:rPr>
          <w:rFonts w:cs="Arial"/>
          <w:lang w:val="fr-FR"/>
        </w:rPr>
        <w:t>[…]</w:t>
      </w:r>
    </w:p>
    <w:p w:rsidR="005F1D8B" w:rsidRPr="00773091" w:rsidRDefault="00757845" w:rsidP="00757845">
      <w:pPr>
        <w:rPr>
          <w:rFonts w:cs="Arial"/>
          <w:lang w:val="fr-FR"/>
        </w:rPr>
      </w:pPr>
      <w:bookmarkStart w:id="31" w:name="_Toc498319790"/>
      <w:bookmarkStart w:id="32" w:name="_Toc7923378"/>
      <w:r w:rsidRPr="00773091">
        <w:rPr>
          <w:rFonts w:cs="Arial"/>
          <w:lang w:val="fr-FR"/>
        </w:rPr>
        <w:t>5.3.3.2.2</w:t>
      </w:r>
      <w:r w:rsidRPr="00773091">
        <w:rPr>
          <w:rFonts w:cs="Arial"/>
          <w:lang w:val="fr-FR"/>
        </w:rPr>
        <w:tab/>
      </w:r>
      <w:bookmarkEnd w:id="31"/>
      <w:bookmarkEnd w:id="32"/>
      <w:r w:rsidR="005F1D8B" w:rsidRPr="00773091">
        <w:rPr>
          <w:lang w:val="fr-FR"/>
        </w:rPr>
        <w:t>Caractères quantitatifs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757845" w:rsidP="00757845">
      <w:pPr>
        <w:tabs>
          <w:tab w:val="left" w:pos="567"/>
          <w:tab w:val="left" w:pos="1843"/>
        </w:tabs>
        <w:rPr>
          <w:rFonts w:cs="Arial"/>
          <w:lang w:val="fr-FR"/>
        </w:rPr>
      </w:pPr>
      <w:r w:rsidRPr="00773091">
        <w:rPr>
          <w:rFonts w:cs="Arial"/>
          <w:lang w:val="fr-FR"/>
        </w:rPr>
        <w:tab/>
      </w:r>
      <w:r w:rsidR="005F1D8B" w:rsidRPr="00773091">
        <w:rPr>
          <w:lang w:val="fr-FR"/>
        </w:rPr>
        <w:t>Les caractères quantitatifs sont pris en considération aux fins de la distinction en fonction de la méthode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observation et des particularités de la reproduction ou de la multiplication de la variété considérée.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Les différentes solutions envisageables sont examinées plus loin dans le présent chapitre.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757845" w:rsidP="00757845">
      <w:pPr>
        <w:rPr>
          <w:rFonts w:cs="Arial"/>
          <w:lang w:val="fr-FR"/>
        </w:rPr>
      </w:pPr>
      <w:bookmarkStart w:id="33" w:name="_Toc498319791"/>
      <w:bookmarkStart w:id="34" w:name="_Toc7923379"/>
      <w:r w:rsidRPr="00773091">
        <w:rPr>
          <w:rFonts w:cs="Arial"/>
          <w:lang w:val="fr-FR"/>
        </w:rPr>
        <w:t>5.3.3.2.3</w:t>
      </w:r>
      <w:r w:rsidRPr="00773091">
        <w:rPr>
          <w:rFonts w:cs="Arial"/>
          <w:lang w:val="fr-FR"/>
        </w:rPr>
        <w:tab/>
      </w:r>
      <w:bookmarkEnd w:id="33"/>
      <w:bookmarkEnd w:id="34"/>
      <w:r w:rsidR="005F1D8B" w:rsidRPr="00773091">
        <w:rPr>
          <w:lang w:val="fr-FR"/>
        </w:rPr>
        <w:t>Caractères pseudo</w:t>
      </w:r>
      <w:r w:rsidR="00773091">
        <w:rPr>
          <w:lang w:val="fr-FR"/>
        </w:rPr>
        <w:t>-</w:t>
      </w:r>
      <w:r w:rsidR="005F1D8B" w:rsidRPr="00773091">
        <w:rPr>
          <w:lang w:val="fr-FR"/>
        </w:rPr>
        <w:t>qualitatifs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757845" w:rsidP="00757845">
      <w:pPr>
        <w:tabs>
          <w:tab w:val="left" w:pos="567"/>
          <w:tab w:val="left" w:pos="1843"/>
        </w:tabs>
        <w:rPr>
          <w:rFonts w:cs="Arial"/>
          <w:lang w:val="fr-FR"/>
        </w:rPr>
      </w:pPr>
      <w:r w:rsidRPr="00773091">
        <w:rPr>
          <w:rFonts w:cs="Arial"/>
          <w:lang w:val="fr-FR"/>
        </w:rPr>
        <w:tab/>
      </w:r>
      <w:r w:rsidR="005F1D8B" w:rsidRPr="00773091">
        <w:rPr>
          <w:lang w:val="fr-FR"/>
        </w:rPr>
        <w:t>Il est possible qu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un niveau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différent dans les principes directeurs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examen ne soit pas </w:t>
      </w:r>
      <w:proofErr w:type="gramStart"/>
      <w:r w:rsidR="005F1D8B" w:rsidRPr="00773091">
        <w:rPr>
          <w:lang w:val="fr-FR"/>
        </w:rPr>
        <w:t>suffisant</w:t>
      </w:r>
      <w:proofErr w:type="gramEnd"/>
      <w:r w:rsidR="005F1D8B" w:rsidRPr="00773091">
        <w:rPr>
          <w:lang w:val="fr-FR"/>
        </w:rPr>
        <w:t xml:space="preserve"> pour établir la distinction (voir aussi la </w:t>
      </w:r>
      <w:r w:rsidR="00773091" w:rsidRPr="00773091">
        <w:rPr>
          <w:lang w:val="fr-FR"/>
        </w:rPr>
        <w:t>section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5</w:t>
      </w:r>
      <w:r w:rsidR="005F1D8B" w:rsidRPr="00773091">
        <w:rPr>
          <w:lang w:val="fr-FR"/>
        </w:rPr>
        <w:t xml:space="preserve">.5.2.3).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Toutefois, dans certaines circonstances, des variétés décrites par le même niveau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 peuvent nettement se distinguer.</w:t>
      </w:r>
    </w:p>
    <w:p w:rsidR="005F1D8B" w:rsidRPr="00773091" w:rsidRDefault="00757845" w:rsidP="00757845">
      <w:pPr>
        <w:tabs>
          <w:tab w:val="left" w:pos="993"/>
          <w:tab w:val="left" w:pos="1843"/>
        </w:tabs>
        <w:rPr>
          <w:rFonts w:cs="Arial"/>
          <w:lang w:val="fr-FR"/>
        </w:rPr>
      </w:pPr>
      <w:r w:rsidRPr="00773091">
        <w:rPr>
          <w:rFonts w:cs="Arial"/>
          <w:lang w:val="fr-FR"/>
        </w:rPr>
        <w:t>[…]</w:t>
      </w:r>
    </w:p>
    <w:p w:rsidR="005F1D8B" w:rsidRPr="00773091" w:rsidRDefault="00757845" w:rsidP="00757845">
      <w:pPr>
        <w:rPr>
          <w:lang w:val="fr-FR"/>
        </w:rPr>
      </w:pPr>
      <w:bookmarkStart w:id="35" w:name="_Toc498319793"/>
      <w:bookmarkStart w:id="36" w:name="_Toc498511341"/>
      <w:bookmarkStart w:id="37" w:name="_Toc7923382"/>
      <w:r w:rsidRPr="00773091">
        <w:rPr>
          <w:lang w:val="fr-FR"/>
        </w:rPr>
        <w:t>5.4</w:t>
      </w:r>
      <w:r w:rsidRPr="00773091">
        <w:rPr>
          <w:lang w:val="fr-FR"/>
        </w:rPr>
        <w:tab/>
      </w:r>
      <w:bookmarkEnd w:id="35"/>
      <w:bookmarkEnd w:id="36"/>
      <w:bookmarkEnd w:id="37"/>
      <w:r w:rsidR="005F1D8B" w:rsidRPr="00773091">
        <w:rPr>
          <w:lang w:val="fr-FR"/>
        </w:rPr>
        <w:t>Interprétation des observations en vue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évaluer la distinction sans appliquer de méthodes statistiques</w:t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5F1D8B">
      <w:pPr>
        <w:jc w:val="left"/>
        <w:rPr>
          <w:lang w:val="fr-FR"/>
        </w:rPr>
      </w:pPr>
      <w:r w:rsidRPr="00773091">
        <w:rPr>
          <w:lang w:val="fr-FR"/>
        </w:rPr>
        <w:br w:type="page"/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lastRenderedPageBreak/>
        <w:t>5.4.3</w:t>
      </w:r>
      <w:r w:rsidRPr="00773091">
        <w:rPr>
          <w:lang w:val="fr-FR"/>
        </w:rPr>
        <w:tab/>
      </w:r>
      <w:r w:rsidR="005F1D8B" w:rsidRPr="00773091">
        <w:rPr>
          <w:lang w:val="fr-FR"/>
        </w:rPr>
        <w:t>Pour les caractères quantitatifs, une différence de deux</w:t>
      </w:r>
      <w:r w:rsidR="00041911">
        <w:rPr>
          <w:lang w:val="fr-FR"/>
        </w:rPr>
        <w:t> </w:t>
      </w:r>
      <w:r w:rsidR="005F1D8B" w:rsidRPr="00773091">
        <w:rPr>
          <w:lang w:val="fr-FR"/>
        </w:rPr>
        <w:t>notes représente souvent une différence nette mais n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est cependant pas un critère absolu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évaluation de la distinction.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En fonction de facteurs tels que le lieu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examen,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année, la variation du milieu ou la gamme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expressions dans la collection de variétés, une différence nette peut représenter plus ou moins de deux</w:t>
      </w:r>
      <w:r w:rsidR="00041911">
        <w:rPr>
          <w:lang w:val="fr-FR"/>
        </w:rPr>
        <w:t> </w:t>
      </w:r>
      <w:r w:rsidR="005F1D8B" w:rsidRPr="00773091">
        <w:rPr>
          <w:lang w:val="fr-FR"/>
        </w:rPr>
        <w:t>notes.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 Des indications sont fournies dans le document</w:t>
      </w:r>
      <w:r w:rsidR="0044586D">
        <w:rPr>
          <w:lang w:val="fr-FR"/>
        </w:rPr>
        <w:t> </w:t>
      </w:r>
      <w:r w:rsidR="005F1D8B" w:rsidRPr="00773091">
        <w:rPr>
          <w:lang w:val="fr-FR"/>
        </w:rPr>
        <w:t>TGP/9 “Examen de la distinction”.</w:t>
      </w:r>
    </w:p>
    <w:p w:rsidR="005F1D8B" w:rsidRPr="00773091" w:rsidRDefault="005F1D8B" w:rsidP="00757845">
      <w:pPr>
        <w:rPr>
          <w:lang w:val="fr-FR"/>
        </w:rPr>
      </w:pPr>
    </w:p>
    <w:p w:rsidR="00757845" w:rsidRPr="00773091" w:rsidRDefault="00757845" w:rsidP="005F1D8B">
      <w:pPr>
        <w:pStyle w:val="endofdoc"/>
        <w:rPr>
          <w:lang w:val="fr-FR"/>
        </w:rPr>
        <w:sectPr w:rsidR="00757845" w:rsidRPr="00773091" w:rsidSect="00757845">
          <w:headerReference w:type="default" r:id="rId12"/>
          <w:headerReference w:type="first" r:id="rId1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773091">
        <w:rPr>
          <w:lang w:val="fr-FR"/>
        </w:rPr>
        <w:t>[</w:t>
      </w:r>
      <w:r w:rsidR="005F1D8B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773091" w:rsidRPr="00773091">
        <w:rPr>
          <w:lang w:val="fr-FR"/>
        </w:rPr>
        <w:t>annexe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I</w:t>
      </w:r>
      <w:r w:rsidR="005F1D8B" w:rsidRPr="00773091">
        <w:rPr>
          <w:lang w:val="fr-FR"/>
        </w:rPr>
        <w:t>I suit</w:t>
      </w:r>
      <w:r w:rsidRPr="00773091">
        <w:rPr>
          <w:lang w:val="fr-FR"/>
        </w:rPr>
        <w:t>]</w:t>
      </w:r>
    </w:p>
    <w:p w:rsidR="005F1D8B" w:rsidRPr="00773091" w:rsidRDefault="00757845" w:rsidP="00757845">
      <w:pPr>
        <w:jc w:val="center"/>
        <w:rPr>
          <w:rFonts w:cs="Arial"/>
          <w:lang w:val="fr-FR"/>
        </w:rPr>
      </w:pPr>
      <w:r w:rsidRPr="00773091">
        <w:rPr>
          <w:rFonts w:cs="Arial"/>
          <w:lang w:val="fr-FR"/>
        </w:rPr>
        <w:lastRenderedPageBreak/>
        <w:t>EXTRA</w:t>
      </w:r>
      <w:r w:rsidR="005F1D8B" w:rsidRPr="00773091">
        <w:rPr>
          <w:rFonts w:cs="Arial"/>
          <w:lang w:val="fr-FR"/>
        </w:rPr>
        <w:t>I</w:t>
      </w:r>
      <w:r w:rsidRPr="00773091">
        <w:rPr>
          <w:rFonts w:cs="Arial"/>
          <w:lang w:val="fr-FR"/>
        </w:rPr>
        <w:t xml:space="preserve">T </w:t>
      </w:r>
      <w:r w:rsidR="005F1D8B" w:rsidRPr="00773091">
        <w:rPr>
          <w:rFonts w:cs="Arial"/>
          <w:lang w:val="fr-FR"/>
        </w:rPr>
        <w:t>DU</w:t>
      </w:r>
      <w:r w:rsidRPr="00773091">
        <w:rPr>
          <w:rFonts w:cs="Arial"/>
          <w:lang w:val="fr-FR"/>
        </w:rPr>
        <w:t xml:space="preserve"> DOCUMENT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TGP/8/3 “</w:t>
      </w:r>
      <w:r w:rsidR="005F1D8B" w:rsidRPr="00773091">
        <w:rPr>
          <w:lang w:val="fr-FR"/>
        </w:rPr>
        <w:t>PROTOCOLE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ESSAI ET TECHNIQUES UTILISÉS DANS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EXAMEN DE LA DISTINCTION, DE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HOMOGÉNÉITÉ ET DE LA STABILITÉ</w:t>
      </w:r>
      <w:r w:rsidRPr="00773091">
        <w:rPr>
          <w:rFonts w:cs="Arial"/>
          <w:lang w:val="fr-FR"/>
        </w:rPr>
        <w:t>”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5F1D8B" w:rsidP="00757845">
      <w:pPr>
        <w:rPr>
          <w:caps/>
          <w:lang w:val="fr-FR"/>
        </w:rPr>
      </w:pPr>
      <w:bookmarkStart w:id="38" w:name="_Toc129786405"/>
      <w:bookmarkStart w:id="39" w:name="_Toc154368894"/>
      <w:bookmarkStart w:id="40" w:name="_Toc219640759"/>
      <w:r w:rsidRPr="00773091">
        <w:rPr>
          <w:lang w:val="fr-FR"/>
        </w:rPr>
        <w:t>DEUXIÈME PARTIE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QUELQUES TECHNIQUES UTILISÉES DANS L</w:t>
      </w:r>
      <w:r w:rsidR="00773091">
        <w:rPr>
          <w:lang w:val="fr-FR"/>
        </w:rPr>
        <w:t>’</w:t>
      </w:r>
      <w:r w:rsidRPr="00773091">
        <w:rPr>
          <w:lang w:val="fr-FR"/>
        </w:rPr>
        <w:t>EXAMEN DHS</w:t>
      </w:r>
    </w:p>
    <w:p w:rsidR="005F1D8B" w:rsidRPr="00773091" w:rsidRDefault="005F1D8B" w:rsidP="00757845">
      <w:pPr>
        <w:rPr>
          <w:caps/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41" w:name="_Toc463359562"/>
      <w:r w:rsidRPr="00773091">
        <w:rPr>
          <w:lang w:val="fr-FR"/>
        </w:rPr>
        <w:t>1.</w:t>
      </w:r>
      <w:r w:rsidRPr="00773091">
        <w:rPr>
          <w:lang w:val="fr-FR"/>
        </w:rPr>
        <w:tab/>
      </w:r>
      <w:bookmarkEnd w:id="38"/>
      <w:bookmarkEnd w:id="39"/>
      <w:bookmarkEnd w:id="40"/>
      <w:bookmarkEnd w:id="41"/>
      <w:r w:rsidR="005F1D8B" w:rsidRPr="00773091">
        <w:rPr>
          <w:lang w:val="fr-FR"/>
        </w:rPr>
        <w:t>LA MÉTHODOLOGIE GAIA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snapToGrid w:val="0"/>
          <w:lang w:val="fr-FR"/>
        </w:rPr>
      </w:pPr>
      <w:r w:rsidRPr="00773091">
        <w:rPr>
          <w:lang w:val="fr-FR"/>
        </w:rPr>
        <w:t>La méthode GAIA a été mise au point pour optimiser les essais en évitant de cultiver certaines des variétés de la collection.  Le principe consiste à calculer l</w:t>
      </w:r>
      <w:r w:rsidR="00773091">
        <w:rPr>
          <w:lang w:val="fr-FR"/>
        </w:rPr>
        <w:t>’</w:t>
      </w:r>
      <w:r w:rsidRPr="00773091">
        <w:rPr>
          <w:lang w:val="fr-FR"/>
        </w:rPr>
        <w:t>écart phénotypique entre chaque paire de variétés, cet écart étant la somme des écarts de chacun des caractères observés séparément.  L</w:t>
      </w:r>
      <w:r w:rsidR="00773091">
        <w:rPr>
          <w:lang w:val="fr-FR"/>
        </w:rPr>
        <w:t>’</w:t>
      </w:r>
      <w:r w:rsidRPr="00773091">
        <w:rPr>
          <w:lang w:val="fr-FR"/>
        </w:rPr>
        <w:t xml:space="preserve">origine de la méthode repose sur la possibilité qui est donnée au </w:t>
      </w:r>
      <w:proofErr w:type="spellStart"/>
      <w:r w:rsidRPr="00773091">
        <w:rPr>
          <w:lang w:val="fr-FR"/>
        </w:rPr>
        <w:t>phytotechnicien</w:t>
      </w:r>
      <w:proofErr w:type="spellEnd"/>
      <w:r w:rsidRPr="00773091">
        <w:rPr>
          <w:lang w:val="fr-FR"/>
        </w:rPr>
        <w:t xml:space="preserve"> d</w:t>
      </w:r>
      <w:r w:rsidR="00773091">
        <w:rPr>
          <w:lang w:val="fr-FR"/>
        </w:rPr>
        <w:t>’</w:t>
      </w:r>
      <w:r w:rsidRPr="00773091">
        <w:rPr>
          <w:lang w:val="fr-FR"/>
        </w:rPr>
        <w:t>exprimer sa confiance pour les différences observées en attribuant des pondérations à la différence pour chaque caractère observé.</w:t>
      </w:r>
    </w:p>
    <w:p w:rsidR="005F1D8B" w:rsidRPr="00773091" w:rsidRDefault="00757845" w:rsidP="00757845">
      <w:pPr>
        <w:rPr>
          <w:snapToGrid w:val="0"/>
          <w:lang w:val="fr-FR"/>
        </w:rPr>
      </w:pPr>
      <w:r w:rsidRPr="00773091">
        <w:rPr>
          <w:snapToGrid w:val="0"/>
          <w:lang w:val="fr-FR"/>
        </w:rPr>
        <w:t>[…]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42" w:name="_Toc154368897"/>
      <w:bookmarkStart w:id="43" w:name="_Toc219640762"/>
      <w:bookmarkStart w:id="44" w:name="_Toc463359565"/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</w:t>
      </w:r>
      <w:r w:rsidRPr="00773091">
        <w:rPr>
          <w:lang w:val="fr-FR"/>
        </w:rPr>
        <w:tab/>
      </w:r>
      <w:bookmarkEnd w:id="42"/>
      <w:bookmarkEnd w:id="43"/>
      <w:bookmarkEnd w:id="44"/>
      <w:r w:rsidR="005F1D8B" w:rsidRPr="00773091">
        <w:rPr>
          <w:lang w:val="fr-FR"/>
        </w:rPr>
        <w:t>Information détaillée sur la méthode GAIA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45" w:name="_Toc154368898"/>
      <w:bookmarkStart w:id="46" w:name="_Toc219640763"/>
      <w:bookmarkStart w:id="47" w:name="_Toc463359566"/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.3.1</w:t>
      </w:r>
      <w:r w:rsidRPr="00773091">
        <w:rPr>
          <w:lang w:val="fr-FR"/>
        </w:rPr>
        <w:tab/>
      </w:r>
      <w:bookmarkEnd w:id="45"/>
      <w:bookmarkEnd w:id="46"/>
      <w:bookmarkEnd w:id="47"/>
      <w:r w:rsidR="005F1D8B" w:rsidRPr="00773091">
        <w:rPr>
          <w:lang w:val="fr-FR"/>
        </w:rPr>
        <w:t>Pondérer les caractères</w:t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757845" w:rsidP="00757845">
      <w:pPr>
        <w:rPr>
          <w:lang w:val="fr-FR"/>
        </w:rPr>
      </w:pPr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.3.1.2</w:t>
      </w:r>
      <w:r w:rsidRPr="00773091">
        <w:rPr>
          <w:lang w:val="fr-FR"/>
        </w:rPr>
        <w:tab/>
      </w:r>
      <w:r w:rsidR="005F1D8B" w:rsidRPr="00773091">
        <w:rPr>
          <w:lang w:val="fr-FR"/>
        </w:rPr>
        <w:t>La pondération est définie comme étant la contribution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un caractère donné à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écart total entre une paire de variétés.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Pour chaque espèce, ce système doit être calibré pour déterminer la pondération à donner à chaque différence et évaluer la fiabilité de chaque caractère dans des conditions données et pour la variabilité génétique concernée.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C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est pour cette raison que le </w:t>
      </w:r>
      <w:proofErr w:type="spellStart"/>
      <w:r w:rsidR="005F1D8B" w:rsidRPr="00773091">
        <w:rPr>
          <w:lang w:val="fr-FR"/>
        </w:rPr>
        <w:t>phytotechnicien</w:t>
      </w:r>
      <w:proofErr w:type="spellEnd"/>
      <w:r w:rsidR="005F1D8B" w:rsidRPr="00773091">
        <w:rPr>
          <w:lang w:val="fr-FR"/>
        </w:rPr>
        <w:t xml:space="preserve"> joue ici un rôle essentiel.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i/>
          <w:u w:val="single"/>
          <w:lang w:val="fr-FR"/>
        </w:rPr>
      </w:pPr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.3.1.3</w:t>
      </w:r>
      <w:r w:rsidRPr="00773091">
        <w:rPr>
          <w:lang w:val="fr-FR"/>
        </w:rPr>
        <w:tab/>
      </w:r>
      <w:r w:rsidR="005F1D8B" w:rsidRPr="00773091">
        <w:rPr>
          <w:lang w:val="fr-FR"/>
        </w:rPr>
        <w:t>La pondération dépend de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ampleur de la différence ainsi que du caractère isolé.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Les pondérations sont définies par le </w:t>
      </w:r>
      <w:proofErr w:type="spellStart"/>
      <w:r w:rsidR="005F1D8B" w:rsidRPr="00773091">
        <w:rPr>
          <w:lang w:val="fr-FR"/>
        </w:rPr>
        <w:t>phytotechnicien</w:t>
      </w:r>
      <w:proofErr w:type="spellEnd"/>
      <w:r w:rsidR="005F1D8B" w:rsidRPr="00773091">
        <w:rPr>
          <w:lang w:val="fr-FR"/>
        </w:rPr>
        <w:t xml:space="preserve"> sur la base de ses compétences concernant la plante et sur celle de la procédure d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apprentissage “essayer et vérifier” (voir le diagramme</w:t>
      </w:r>
      <w:r w:rsidR="0044586D">
        <w:rPr>
          <w:lang w:val="fr-FR"/>
        </w:rPr>
        <w:t> </w:t>
      </w:r>
      <w:r w:rsidR="005F1D8B" w:rsidRPr="00773091">
        <w:rPr>
          <w:lang w:val="fr-FR"/>
        </w:rPr>
        <w:t xml:space="preserve">3 à la fin de cette annexe).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 xml:space="preserve">Le </w:t>
      </w:r>
      <w:proofErr w:type="spellStart"/>
      <w:r w:rsidR="005F1D8B" w:rsidRPr="00773091">
        <w:rPr>
          <w:lang w:val="fr-FR"/>
        </w:rPr>
        <w:t>phytotechnicien</w:t>
      </w:r>
      <w:proofErr w:type="spellEnd"/>
      <w:r w:rsidR="005F1D8B" w:rsidRPr="00773091">
        <w:rPr>
          <w:lang w:val="fr-FR"/>
        </w:rPr>
        <w:t xml:space="preserve"> peut attribuer zéro à de petites différences, raison pour laquelle, même si deux</w:t>
      </w:r>
      <w:r w:rsidR="00041911">
        <w:rPr>
          <w:lang w:val="fr-FR"/>
        </w:rPr>
        <w:t> </w:t>
      </w:r>
      <w:r w:rsidR="005F1D8B" w:rsidRPr="00773091">
        <w:rPr>
          <w:lang w:val="fr-FR"/>
        </w:rPr>
        <w:t>variétés ont des valeurs observées différentes pour de nombreux caractères, l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 xml:space="preserve">écart global peut être zéro. </w:t>
      </w:r>
      <w:r w:rsidR="00041911">
        <w:rPr>
          <w:lang w:val="fr-FR"/>
        </w:rPr>
        <w:t xml:space="preserve"> </w:t>
      </w:r>
      <w:r w:rsidR="005F1D8B" w:rsidRPr="00773091">
        <w:rPr>
          <w:lang w:val="fr-FR"/>
        </w:rPr>
        <w:t>Pour une différence donnée, la même pondération est attribuée à n</w:t>
      </w:r>
      <w:r w:rsidR="00773091">
        <w:rPr>
          <w:lang w:val="fr-FR"/>
        </w:rPr>
        <w:t>’</w:t>
      </w:r>
      <w:r w:rsidR="005F1D8B" w:rsidRPr="00773091">
        <w:rPr>
          <w:lang w:val="fr-FR"/>
        </w:rPr>
        <w:t>importe quelle paire de variétés pour un caractère donné.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keepNext/>
        <w:rPr>
          <w:lang w:val="fr-FR"/>
        </w:rPr>
      </w:pPr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.3.1.4</w:t>
      </w:r>
      <w:r w:rsidRPr="00773091">
        <w:rPr>
          <w:lang w:val="fr-FR"/>
        </w:rPr>
        <w:tab/>
      </w:r>
      <w:r w:rsidR="003E115C" w:rsidRPr="00773091">
        <w:rPr>
          <w:lang w:val="fr-FR"/>
        </w:rPr>
        <w:t xml:space="preserve">La pondération devrait être simple et cohérente. </w:t>
      </w:r>
      <w:r w:rsidR="00041911">
        <w:rPr>
          <w:lang w:val="fr-FR"/>
        </w:rPr>
        <w:t xml:space="preserve"> </w:t>
      </w:r>
      <w:r w:rsidR="003E115C" w:rsidRPr="00773091">
        <w:rPr>
          <w:lang w:val="fr-FR"/>
        </w:rPr>
        <w:t>C</w:t>
      </w:r>
      <w:r w:rsidR="00773091">
        <w:rPr>
          <w:lang w:val="fr-FR"/>
        </w:rPr>
        <w:t>’</w:t>
      </w:r>
      <w:r w:rsidR="003E115C" w:rsidRPr="00773091">
        <w:rPr>
          <w:lang w:val="fr-FR"/>
        </w:rPr>
        <w:t xml:space="preserve">est ainsi par exemple que le </w:t>
      </w:r>
      <w:proofErr w:type="spellStart"/>
      <w:r w:rsidR="003E115C" w:rsidRPr="00773091">
        <w:rPr>
          <w:lang w:val="fr-FR"/>
        </w:rPr>
        <w:t>phytotechnicien</w:t>
      </w:r>
      <w:proofErr w:type="spellEnd"/>
      <w:r w:rsidR="003E115C" w:rsidRPr="00773091">
        <w:rPr>
          <w:lang w:val="fr-FR"/>
        </w:rPr>
        <w:t xml:space="preserve"> peut fonder les pondérations d</w:t>
      </w:r>
      <w:r w:rsidR="00773091">
        <w:rPr>
          <w:lang w:val="fr-FR"/>
        </w:rPr>
        <w:t>’</w:t>
      </w:r>
      <w:r w:rsidR="003E115C" w:rsidRPr="00773091">
        <w:rPr>
          <w:lang w:val="fr-FR"/>
        </w:rPr>
        <w:t>un caractère uniquement avec des valeurs à nombre entier, c</w:t>
      </w:r>
      <w:r w:rsidR="00773091">
        <w:rPr>
          <w:lang w:val="fr-FR"/>
        </w:rPr>
        <w:t>’</w:t>
      </w:r>
      <w:r w:rsidR="003E115C" w:rsidRPr="00773091">
        <w:rPr>
          <w:lang w:val="fr-FR"/>
        </w:rPr>
        <w:t>est</w:t>
      </w:r>
      <w:r w:rsidR="00773091">
        <w:rPr>
          <w:lang w:val="fr-FR"/>
        </w:rPr>
        <w:t>-</w:t>
      </w:r>
      <w:r w:rsidR="003E115C" w:rsidRPr="00773091">
        <w:rPr>
          <w:lang w:val="fr-FR"/>
        </w:rPr>
        <w:t>à</w:t>
      </w:r>
      <w:r w:rsidR="00773091">
        <w:rPr>
          <w:lang w:val="fr-FR"/>
        </w:rPr>
        <w:t>-</w:t>
      </w:r>
      <w:r w:rsidR="003E115C" w:rsidRPr="00773091">
        <w:rPr>
          <w:lang w:val="fr-FR"/>
        </w:rPr>
        <w:t>dire 0, 1, 2, 3 (ou plus).</w:t>
      </w:r>
    </w:p>
    <w:p w:rsidR="005F1D8B" w:rsidRPr="00773091" w:rsidRDefault="005F1D8B" w:rsidP="00757845">
      <w:pPr>
        <w:keepNext/>
        <w:rPr>
          <w:lang w:val="fr-FR"/>
        </w:rPr>
      </w:pPr>
    </w:p>
    <w:p w:rsidR="005F1D8B" w:rsidRPr="00773091" w:rsidRDefault="003E115C" w:rsidP="00757845">
      <w:pPr>
        <w:keepNext/>
        <w:rPr>
          <w:lang w:val="fr-FR"/>
        </w:rPr>
      </w:pPr>
      <w:r w:rsidRPr="00773091">
        <w:rPr>
          <w:lang w:val="fr-FR"/>
        </w:rPr>
        <w:t>Dans ce cas</w:t>
      </w:r>
      <w:r w:rsidR="00773091">
        <w:rPr>
          <w:lang w:val="fr-FR"/>
        </w:rPr>
        <w:t>-</w:t>
      </w:r>
      <w:r w:rsidRPr="00773091">
        <w:rPr>
          <w:lang w:val="fr-FR"/>
        </w:rPr>
        <w:t>là,</w:t>
      </w:r>
    </w:p>
    <w:p w:rsidR="005F1D8B" w:rsidRPr="00773091" w:rsidRDefault="005F1D8B" w:rsidP="00757845">
      <w:pPr>
        <w:keepNext/>
        <w:rPr>
          <w:lang w:val="fr-FR"/>
        </w:rPr>
      </w:pPr>
    </w:p>
    <w:p w:rsidR="005F1D8B" w:rsidRPr="00773091" w:rsidRDefault="00773091" w:rsidP="003E115C">
      <w:pPr>
        <w:keepNext/>
        <w:ind w:left="567" w:hanging="567"/>
        <w:rPr>
          <w:lang w:val="fr-FR"/>
        </w:rPr>
      </w:pPr>
      <w:r>
        <w:rPr>
          <w:lang w:val="fr-FR"/>
        </w:rPr>
        <w:t>-</w:t>
      </w:r>
      <w:r w:rsidR="003E115C" w:rsidRPr="00773091">
        <w:rPr>
          <w:lang w:val="fr-FR"/>
        </w:rPr>
        <w:tab/>
        <w:t>une pondération</w:t>
      </w:r>
      <w:r w:rsidR="0044586D">
        <w:rPr>
          <w:lang w:val="fr-FR"/>
        </w:rPr>
        <w:t> </w:t>
      </w:r>
      <w:r w:rsidR="003E115C" w:rsidRPr="00773091">
        <w:rPr>
          <w:lang w:val="fr-FR"/>
        </w:rPr>
        <w:t>0 est donné</w:t>
      </w:r>
      <w:r w:rsidR="0044586D">
        <w:rPr>
          <w:lang w:val="fr-FR"/>
        </w:rPr>
        <w:t xml:space="preserve">e </w:t>
      </w:r>
      <w:r w:rsidR="003E115C" w:rsidRPr="00773091">
        <w:rPr>
          <w:lang w:val="fr-FR"/>
        </w:rPr>
        <w:t xml:space="preserve">aux différences observées qui, pour ce caractère, sont considérées par le </w:t>
      </w:r>
      <w:proofErr w:type="spellStart"/>
      <w:r w:rsidR="003E115C" w:rsidRPr="00773091">
        <w:rPr>
          <w:lang w:val="fr-FR"/>
        </w:rPr>
        <w:t>phytotechnicien</w:t>
      </w:r>
      <w:proofErr w:type="spellEnd"/>
      <w:r w:rsidR="003E115C" w:rsidRPr="00773091">
        <w:rPr>
          <w:lang w:val="fr-FR"/>
        </w:rPr>
        <w:t xml:space="preserve"> comme étant peut</w:t>
      </w:r>
      <w:r>
        <w:rPr>
          <w:lang w:val="fr-FR"/>
        </w:rPr>
        <w:t>-</w:t>
      </w:r>
      <w:r w:rsidR="003E115C" w:rsidRPr="00773091">
        <w:rPr>
          <w:lang w:val="fr-FR"/>
        </w:rPr>
        <w:t>être causées par les effets sur l</w:t>
      </w:r>
      <w:r>
        <w:rPr>
          <w:lang w:val="fr-FR"/>
        </w:rPr>
        <w:t>’</w:t>
      </w:r>
      <w:r w:rsidR="003E115C" w:rsidRPr="00773091">
        <w:rPr>
          <w:lang w:val="fr-FR"/>
        </w:rPr>
        <w:t>environnement ou le manque de précision en mesure;</w:t>
      </w:r>
    </w:p>
    <w:p w:rsidR="003E115C" w:rsidRPr="00773091" w:rsidRDefault="003E115C" w:rsidP="003E115C">
      <w:pPr>
        <w:keepNext/>
        <w:ind w:left="567" w:hanging="567"/>
        <w:rPr>
          <w:lang w:val="fr-FR"/>
        </w:rPr>
      </w:pPr>
    </w:p>
    <w:p w:rsidR="005F1D8B" w:rsidRPr="00773091" w:rsidRDefault="00773091" w:rsidP="003E115C">
      <w:pPr>
        <w:keepNext/>
        <w:rPr>
          <w:lang w:val="fr-FR"/>
        </w:rPr>
      </w:pPr>
      <w:r>
        <w:rPr>
          <w:lang w:val="fr-FR"/>
        </w:rPr>
        <w:t>-</w:t>
      </w:r>
      <w:r w:rsidR="003E115C" w:rsidRPr="00773091">
        <w:rPr>
          <w:lang w:val="fr-FR"/>
        </w:rPr>
        <w:tab/>
        <w:t>une pondération de 1 est la pondération minimale qui peut contribuer en tant qu</w:t>
      </w:r>
      <w:r>
        <w:rPr>
          <w:lang w:val="fr-FR"/>
        </w:rPr>
        <w:t>’</w:t>
      </w:r>
      <w:r w:rsidR="003E115C" w:rsidRPr="00773091">
        <w:rPr>
          <w:lang w:val="fr-FR"/>
        </w:rPr>
        <w:t>écart non</w:t>
      </w:r>
      <w:r>
        <w:rPr>
          <w:lang w:val="fr-FR"/>
        </w:rPr>
        <w:t>-</w:t>
      </w:r>
      <w:r w:rsidR="003E115C" w:rsidRPr="00773091">
        <w:rPr>
          <w:lang w:val="fr-FR"/>
        </w:rPr>
        <w:t>zéro;</w:t>
      </w:r>
    </w:p>
    <w:p w:rsidR="003E115C" w:rsidRPr="00773091" w:rsidRDefault="003E115C" w:rsidP="003E115C">
      <w:pPr>
        <w:keepNext/>
        <w:rPr>
          <w:lang w:val="fr-FR"/>
        </w:rPr>
      </w:pPr>
    </w:p>
    <w:p w:rsidR="005F1D8B" w:rsidRPr="00773091" w:rsidRDefault="00773091" w:rsidP="003E115C">
      <w:pPr>
        <w:keepNext/>
        <w:ind w:left="567" w:hanging="567"/>
        <w:rPr>
          <w:lang w:val="fr-FR"/>
        </w:rPr>
      </w:pPr>
      <w:r>
        <w:rPr>
          <w:lang w:val="fr-FR"/>
        </w:rPr>
        <w:t>-</w:t>
      </w:r>
      <w:r w:rsidR="003E115C" w:rsidRPr="00773091">
        <w:rPr>
          <w:lang w:val="fr-FR"/>
        </w:rPr>
        <w:tab/>
        <w:t>une pondération</w:t>
      </w:r>
      <w:r w:rsidR="0044586D">
        <w:rPr>
          <w:lang w:val="fr-FR"/>
        </w:rPr>
        <w:t> </w:t>
      </w:r>
      <w:r w:rsidR="003E115C" w:rsidRPr="00773091">
        <w:rPr>
          <w:lang w:val="fr-FR"/>
        </w:rPr>
        <w:t>3 est considérée comme trois</w:t>
      </w:r>
      <w:r w:rsidR="00041911">
        <w:rPr>
          <w:lang w:val="fr-FR"/>
        </w:rPr>
        <w:t> </w:t>
      </w:r>
      <w:r w:rsidR="003E115C" w:rsidRPr="00773091">
        <w:rPr>
          <w:lang w:val="fr-FR"/>
        </w:rPr>
        <w:t>fois plus élevée en matière de confiance ou d</w:t>
      </w:r>
      <w:r>
        <w:rPr>
          <w:lang w:val="fr-FR"/>
        </w:rPr>
        <w:t>’</w:t>
      </w:r>
      <w:r w:rsidR="003E115C" w:rsidRPr="00773091">
        <w:rPr>
          <w:lang w:val="fr-FR"/>
        </w:rPr>
        <w:t>écart qu</w:t>
      </w:r>
      <w:r>
        <w:rPr>
          <w:lang w:val="fr-FR"/>
        </w:rPr>
        <w:t>’</w:t>
      </w:r>
      <w:r w:rsidR="003E115C" w:rsidRPr="00773091">
        <w:rPr>
          <w:lang w:val="fr-FR"/>
        </w:rPr>
        <w:t>une pondération</w:t>
      </w:r>
      <w:r w:rsidR="0044586D">
        <w:rPr>
          <w:lang w:val="fr-FR"/>
        </w:rPr>
        <w:t> </w:t>
      </w:r>
      <w:r w:rsidR="003E115C" w:rsidRPr="00773091">
        <w:rPr>
          <w:lang w:val="fr-FR"/>
        </w:rPr>
        <w:t>1.</w:t>
      </w:r>
    </w:p>
    <w:p w:rsidR="005F1D8B" w:rsidRPr="00773091" w:rsidRDefault="005F1D8B" w:rsidP="00757845">
      <w:pPr>
        <w:keepNext/>
        <w:rPr>
          <w:lang w:val="fr-FR"/>
        </w:rPr>
      </w:pPr>
    </w:p>
    <w:p w:rsidR="005F1D8B" w:rsidRPr="00773091" w:rsidRDefault="00757845" w:rsidP="00757845">
      <w:pPr>
        <w:keepNext/>
        <w:rPr>
          <w:lang w:val="fr-FR"/>
        </w:rPr>
      </w:pPr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.3.1.5</w:t>
      </w:r>
      <w:r w:rsidRPr="00773091">
        <w:rPr>
          <w:lang w:val="fr-FR"/>
        </w:rPr>
        <w:tab/>
      </w:r>
      <w:r w:rsidR="003E115C" w:rsidRPr="00773091">
        <w:rPr>
          <w:lang w:val="fr-FR"/>
        </w:rPr>
        <w:t>Le seuil de distinction plus sera défini comme une valeur pour laquelle la somme des différences avec une pondération non</w:t>
      </w:r>
      <w:r w:rsidR="00773091">
        <w:rPr>
          <w:lang w:val="fr-FR"/>
        </w:rPr>
        <w:t>-</w:t>
      </w:r>
      <w:r w:rsidR="003E115C" w:rsidRPr="00773091">
        <w:rPr>
          <w:lang w:val="fr-FR"/>
        </w:rPr>
        <w:t>zéro est suffisamment grande que pour garantir une distinction fiable manifeste.</w:t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757845" w:rsidP="00757845">
      <w:pPr>
        <w:keepNext/>
        <w:rPr>
          <w:lang w:val="fr-FR"/>
        </w:rPr>
      </w:pPr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.3.1.7</w:t>
      </w:r>
      <w:r w:rsidRPr="00773091">
        <w:rPr>
          <w:lang w:val="fr-FR"/>
        </w:rPr>
        <w:tab/>
      </w:r>
      <w:r w:rsidR="003E115C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3E115C" w:rsidRPr="00773091">
        <w:rPr>
          <w:lang w:val="fr-FR"/>
        </w:rPr>
        <w:t>exemple simple ci</w:t>
      </w:r>
      <w:r w:rsidR="00773091">
        <w:rPr>
          <w:lang w:val="fr-FR"/>
        </w:rPr>
        <w:t>-</w:t>
      </w:r>
      <w:r w:rsidR="003E115C" w:rsidRPr="00773091">
        <w:rPr>
          <w:lang w:val="fr-FR"/>
        </w:rPr>
        <w:t xml:space="preserve">après sur </w:t>
      </w:r>
      <w:proofErr w:type="spellStart"/>
      <w:r w:rsidR="003E115C" w:rsidRPr="00773091">
        <w:rPr>
          <w:i/>
          <w:lang w:val="fr-FR"/>
        </w:rPr>
        <w:t>Zea</w:t>
      </w:r>
      <w:proofErr w:type="spellEnd"/>
      <w:r w:rsidR="0044586D">
        <w:rPr>
          <w:i/>
          <w:lang w:val="fr-FR"/>
        </w:rPr>
        <w:t> </w:t>
      </w:r>
      <w:proofErr w:type="spellStart"/>
      <w:r w:rsidR="003E115C" w:rsidRPr="00773091">
        <w:rPr>
          <w:i/>
          <w:lang w:val="fr-FR"/>
        </w:rPr>
        <w:t>mays</w:t>
      </w:r>
      <w:proofErr w:type="spellEnd"/>
      <w:r w:rsidR="003E115C" w:rsidRPr="00773091">
        <w:rPr>
          <w:lang w:val="fr-FR"/>
        </w:rPr>
        <w:t xml:space="preserve"> montre le calcul de l</w:t>
      </w:r>
      <w:r w:rsidR="00773091">
        <w:rPr>
          <w:lang w:val="fr-FR"/>
        </w:rPr>
        <w:t>’</w:t>
      </w:r>
      <w:r w:rsidR="003E115C" w:rsidRPr="00773091">
        <w:rPr>
          <w:lang w:val="fr-FR"/>
        </w:rPr>
        <w:t>écart entre deux</w:t>
      </w:r>
      <w:r w:rsidR="00041911">
        <w:rPr>
          <w:lang w:val="fr-FR"/>
        </w:rPr>
        <w:t> </w:t>
      </w:r>
      <w:r w:rsidR="003E115C" w:rsidRPr="00773091">
        <w:rPr>
          <w:lang w:val="fr-FR"/>
        </w:rPr>
        <w:t>variétés</w:t>
      </w:r>
      <w:r w:rsidR="00773091">
        <w:rPr>
          <w:lang w:val="fr-FR"/>
        </w:rPr>
        <w:t> :</w:t>
      </w:r>
    </w:p>
    <w:p w:rsidR="005F1D8B" w:rsidRPr="00773091" w:rsidRDefault="005F1D8B" w:rsidP="00757845">
      <w:pPr>
        <w:keepNext/>
        <w:rPr>
          <w:lang w:val="fr-FR"/>
        </w:rPr>
      </w:pPr>
    </w:p>
    <w:p w:rsidR="005F1D8B" w:rsidRPr="00773091" w:rsidRDefault="003E115C" w:rsidP="00757845">
      <w:pPr>
        <w:ind w:left="567"/>
        <w:rPr>
          <w:lang w:val="fr-FR"/>
        </w:rPr>
      </w:pPr>
      <w:r w:rsidRPr="00773091">
        <w:rPr>
          <w:u w:val="single"/>
          <w:lang w:val="fr-FR"/>
        </w:rPr>
        <w:t>Exemple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prenant le caractère “Tableau des pondérations – Forme de l</w:t>
      </w:r>
      <w:r w:rsidR="00773091">
        <w:rPr>
          <w:lang w:val="fr-FR"/>
        </w:rPr>
        <w:t>’</w:t>
      </w:r>
      <w:r w:rsidRPr="00773091">
        <w:rPr>
          <w:lang w:val="fr-FR"/>
        </w:rPr>
        <w:t xml:space="preserve">épi”, observé sur une échelle de 1 à 3, le </w:t>
      </w:r>
      <w:proofErr w:type="spellStart"/>
      <w:r w:rsidRPr="00773091">
        <w:rPr>
          <w:lang w:val="fr-FR"/>
        </w:rPr>
        <w:t>phytotechnicien</w:t>
      </w:r>
      <w:proofErr w:type="spellEnd"/>
      <w:r w:rsidRPr="00773091">
        <w:rPr>
          <w:lang w:val="fr-FR"/>
        </w:rPr>
        <w:t xml:space="preserve"> a attribué une pondération aux différences qu</w:t>
      </w:r>
      <w:r w:rsidR="00773091">
        <w:rPr>
          <w:lang w:val="fr-FR"/>
        </w:rPr>
        <w:t>’</w:t>
      </w:r>
      <w:r w:rsidRPr="00773091">
        <w:rPr>
          <w:lang w:val="fr-FR"/>
        </w:rPr>
        <w:t>il juge significatives</w:t>
      </w:r>
      <w:r w:rsidR="00773091">
        <w:rPr>
          <w:lang w:val="fr-FR"/>
        </w:rPr>
        <w:t> :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3E115C" w:rsidP="00757845">
      <w:pPr>
        <w:ind w:left="567"/>
        <w:rPr>
          <w:lang w:val="fr-FR"/>
        </w:rPr>
      </w:pPr>
      <w:r w:rsidRPr="00773091">
        <w:rPr>
          <w:lang w:val="fr-FR"/>
        </w:rPr>
        <w:t>Forme de l</w:t>
      </w:r>
      <w:r w:rsidR="00773091">
        <w:rPr>
          <w:lang w:val="fr-FR"/>
        </w:rPr>
        <w:t>’</w:t>
      </w:r>
      <w:r w:rsidRPr="00773091">
        <w:rPr>
          <w:lang w:val="fr-FR"/>
        </w:rPr>
        <w:t>épi</w:t>
      </w:r>
      <w:r w:rsidR="00773091">
        <w:rPr>
          <w:lang w:val="fr-FR"/>
        </w:rPr>
        <w:t> :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1 = </w:t>
      </w:r>
      <w:r w:rsidR="003E115C" w:rsidRPr="00773091">
        <w:rPr>
          <w:lang w:val="fr-FR"/>
        </w:rPr>
        <w:t>conique</w:t>
      </w:r>
    </w:p>
    <w:p w:rsidR="005F1D8B" w:rsidRPr="00773091" w:rsidRDefault="003E115C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2 = </w:t>
      </w:r>
      <w:proofErr w:type="spellStart"/>
      <w:r w:rsidRPr="00773091">
        <w:rPr>
          <w:lang w:val="fr-FR"/>
        </w:rPr>
        <w:t>cylindroconique</w:t>
      </w:r>
      <w:proofErr w:type="spellEnd"/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>3 = cylindri</w:t>
      </w:r>
      <w:r w:rsidR="003E115C" w:rsidRPr="00773091">
        <w:rPr>
          <w:lang w:val="fr-FR"/>
        </w:rPr>
        <w:t>que</w:t>
      </w:r>
    </w:p>
    <w:p w:rsidR="005F1D8B" w:rsidRPr="00773091" w:rsidRDefault="005F1D8B" w:rsidP="00757845">
      <w:pPr>
        <w:rPr>
          <w:lang w:val="fr-FR"/>
        </w:rPr>
      </w:pPr>
    </w:p>
    <w:p w:rsidR="00757845" w:rsidRPr="00773091" w:rsidRDefault="00757845" w:rsidP="00757845">
      <w:pPr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1134"/>
        <w:gridCol w:w="1412"/>
      </w:tblGrid>
      <w:tr w:rsidR="00773091" w:rsidRPr="00A22F10" w:rsidTr="003E115C">
        <w:trPr>
          <w:cantSplit/>
          <w:trHeight w:val="500"/>
          <w:jc w:val="center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3E115C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lastRenderedPageBreak/>
              <w:t>Comparaison entre la différence dans les notes et la pondération</w:t>
            </w:r>
          </w:p>
        </w:tc>
      </w:tr>
      <w:tr w:rsidR="00773091" w:rsidRPr="00773091" w:rsidTr="003E115C">
        <w:trPr>
          <w:cantSplit/>
          <w:jc w:val="center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keepNext/>
              <w:ind w:left="-108"/>
              <w:rPr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3E115C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N</w:t>
            </w:r>
            <w:r w:rsidR="00757845" w:rsidRPr="00773091">
              <w:rPr>
                <w:lang w:val="fr-FR"/>
              </w:rPr>
              <w:t>otes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3E115C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Pondération</w:t>
            </w:r>
          </w:p>
        </w:tc>
      </w:tr>
      <w:tr w:rsidR="00773091" w:rsidRPr="00773091" w:rsidTr="003E115C">
        <w:trPr>
          <w:cantSplit/>
          <w:trHeight w:val="39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ind w:left="-108"/>
              <w:rPr>
                <w:lang w:val="fr-FR"/>
              </w:rPr>
            </w:pPr>
            <w:r w:rsidRPr="00773091">
              <w:rPr>
                <w:lang w:val="fr-FR"/>
              </w:rPr>
              <w:t xml:space="preserve"> </w:t>
            </w:r>
            <w:r w:rsidR="003E115C" w:rsidRPr="00773091">
              <w:rPr>
                <w:lang w:val="fr-FR"/>
              </w:rPr>
              <w:t>conique (1) ou conique (1)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</w:tr>
      <w:tr w:rsidR="00773091" w:rsidRPr="00773091" w:rsidTr="003E115C">
        <w:trPr>
          <w:cantSplit/>
          <w:trHeight w:val="39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ind w:left="-108"/>
              <w:rPr>
                <w:lang w:val="fr-FR"/>
              </w:rPr>
            </w:pPr>
            <w:r w:rsidRPr="00773091">
              <w:rPr>
                <w:lang w:val="fr-FR"/>
              </w:rPr>
              <w:t xml:space="preserve"> </w:t>
            </w:r>
            <w:r w:rsidR="003E115C" w:rsidRPr="00773091">
              <w:rPr>
                <w:lang w:val="fr-FR"/>
              </w:rPr>
              <w:t xml:space="preserve">conique (1) ou </w:t>
            </w:r>
            <w:proofErr w:type="spellStart"/>
            <w:r w:rsidR="003E115C" w:rsidRPr="00773091">
              <w:rPr>
                <w:lang w:val="fr-FR"/>
              </w:rPr>
              <w:t>cylindroconique</w:t>
            </w:r>
            <w:proofErr w:type="spellEnd"/>
            <w:r w:rsidR="003E115C" w:rsidRPr="00773091">
              <w:rPr>
                <w:lang w:val="fr-FR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73091" w:rsidRPr="00773091" w:rsidTr="003E115C">
        <w:trPr>
          <w:cantSplit/>
          <w:trHeight w:val="39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ind w:left="-108"/>
              <w:rPr>
                <w:lang w:val="fr-FR"/>
              </w:rPr>
            </w:pPr>
            <w:r w:rsidRPr="00773091">
              <w:rPr>
                <w:lang w:val="fr-FR"/>
              </w:rPr>
              <w:t xml:space="preserve"> </w:t>
            </w:r>
            <w:r w:rsidR="003E115C" w:rsidRPr="00773091">
              <w:rPr>
                <w:lang w:val="fr-FR"/>
              </w:rPr>
              <w:t>conique (1) ou cylindrique (3)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6</w:t>
            </w:r>
          </w:p>
        </w:tc>
      </w:tr>
      <w:tr w:rsidR="00773091" w:rsidRPr="00773091" w:rsidTr="003E115C">
        <w:trPr>
          <w:cantSplit/>
          <w:trHeight w:val="39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ind w:left="-108"/>
              <w:rPr>
                <w:lang w:val="fr-FR"/>
              </w:rPr>
            </w:pPr>
            <w:r w:rsidRPr="00773091">
              <w:rPr>
                <w:lang w:val="fr-FR"/>
              </w:rPr>
              <w:t xml:space="preserve"> </w:t>
            </w:r>
            <w:proofErr w:type="spellStart"/>
            <w:r w:rsidR="003E115C" w:rsidRPr="00773091">
              <w:rPr>
                <w:lang w:val="fr-FR"/>
              </w:rPr>
              <w:t>cylindroconique</w:t>
            </w:r>
            <w:proofErr w:type="spellEnd"/>
            <w:r w:rsidR="003E115C" w:rsidRPr="00773091">
              <w:rPr>
                <w:lang w:val="fr-FR"/>
              </w:rPr>
              <w:t xml:space="preserve"> (2) ou </w:t>
            </w:r>
            <w:proofErr w:type="spellStart"/>
            <w:r w:rsidR="003E115C" w:rsidRPr="00773091">
              <w:rPr>
                <w:lang w:val="fr-FR"/>
              </w:rPr>
              <w:t>cylindroconique</w:t>
            </w:r>
            <w:proofErr w:type="spellEnd"/>
            <w:r w:rsidR="003E115C" w:rsidRPr="00773091">
              <w:rPr>
                <w:lang w:val="fr-FR"/>
              </w:rPr>
              <w:t xml:space="preserve"> (2)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</w:tr>
      <w:tr w:rsidR="00773091" w:rsidRPr="00773091" w:rsidTr="003E115C">
        <w:trPr>
          <w:cantSplit/>
          <w:trHeight w:val="394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ind w:left="-108"/>
              <w:rPr>
                <w:lang w:val="fr-FR"/>
              </w:rPr>
            </w:pPr>
            <w:r w:rsidRPr="00773091">
              <w:rPr>
                <w:lang w:val="fr-FR"/>
              </w:rPr>
              <w:t xml:space="preserve"> </w:t>
            </w:r>
            <w:proofErr w:type="spellStart"/>
            <w:r w:rsidR="003E115C" w:rsidRPr="00773091">
              <w:rPr>
                <w:lang w:val="fr-FR"/>
              </w:rPr>
              <w:t>cylindroconique</w:t>
            </w:r>
            <w:proofErr w:type="spellEnd"/>
            <w:r w:rsidR="003E115C" w:rsidRPr="00773091">
              <w:rPr>
                <w:lang w:val="fr-FR"/>
              </w:rPr>
              <w:t xml:space="preserve"> (2) ou cylindrique (3)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73091" w:rsidRPr="00773091" w:rsidTr="003E115C">
        <w:trPr>
          <w:cantSplit/>
          <w:trHeight w:val="395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ind w:left="-108"/>
              <w:rPr>
                <w:lang w:val="fr-FR"/>
              </w:rPr>
            </w:pPr>
            <w:r w:rsidRPr="00773091">
              <w:rPr>
                <w:lang w:val="fr-FR"/>
              </w:rPr>
              <w:t xml:space="preserve"> </w:t>
            </w:r>
            <w:r w:rsidR="003E115C" w:rsidRPr="00773091">
              <w:rPr>
                <w:lang w:val="fr-FR"/>
              </w:rPr>
              <w:t>cylindrique (3) ou cylindrique (3)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</w:tr>
    </w:tbl>
    <w:p w:rsidR="005F1D8B" w:rsidRPr="00773091" w:rsidRDefault="005F1D8B" w:rsidP="00757845">
      <w:pPr>
        <w:ind w:left="567"/>
        <w:rPr>
          <w:lang w:val="fr-FR"/>
        </w:rPr>
      </w:pPr>
    </w:p>
    <w:p w:rsidR="005F1D8B" w:rsidRPr="00773091" w:rsidRDefault="005F1D8B" w:rsidP="00757845">
      <w:pPr>
        <w:ind w:left="567"/>
        <w:rPr>
          <w:lang w:val="fr-FR"/>
        </w:rPr>
      </w:pPr>
    </w:p>
    <w:p w:rsidR="005F1D8B" w:rsidRPr="00773091" w:rsidRDefault="003E115C" w:rsidP="00757845">
      <w:pPr>
        <w:ind w:left="567"/>
        <w:rPr>
          <w:lang w:val="fr-FR"/>
        </w:rPr>
      </w:pPr>
      <w:r w:rsidRPr="00773091">
        <w:rPr>
          <w:lang w:val="fr-FR"/>
        </w:rPr>
        <w:t xml:space="preserve">Lorsque le </w:t>
      </w:r>
      <w:proofErr w:type="spellStart"/>
      <w:r w:rsidRPr="00773091">
        <w:rPr>
          <w:lang w:val="fr-FR"/>
        </w:rPr>
        <w:t>phytotechnicien</w:t>
      </w:r>
      <w:proofErr w:type="spellEnd"/>
      <w:r w:rsidRPr="00773091">
        <w:rPr>
          <w:lang w:val="fr-FR"/>
        </w:rPr>
        <w:t xml:space="preserve"> compare une variété “i” avec un épi conique (note</w:t>
      </w:r>
      <w:r w:rsidR="0044586D">
        <w:rPr>
          <w:lang w:val="fr-FR"/>
        </w:rPr>
        <w:t> </w:t>
      </w:r>
      <w:r w:rsidRPr="00773091">
        <w:rPr>
          <w:lang w:val="fr-FR"/>
        </w:rPr>
        <w:t>1) à une variété “j” avec un épi cylindrique (note</w:t>
      </w:r>
      <w:r w:rsidR="0044586D">
        <w:rPr>
          <w:lang w:val="fr-FR"/>
        </w:rPr>
        <w:t> </w:t>
      </w:r>
      <w:r w:rsidRPr="00773091">
        <w:rPr>
          <w:lang w:val="fr-FR"/>
        </w:rPr>
        <w:t xml:space="preserve">3), il attribue une pondération de 6, etc. </w:t>
      </w:r>
      <w:r w:rsidR="00041911">
        <w:rPr>
          <w:lang w:val="fr-FR"/>
        </w:rPr>
        <w:t xml:space="preserve"> </w:t>
      </w:r>
      <w:r w:rsidRPr="00773091">
        <w:rPr>
          <w:lang w:val="fr-FR"/>
        </w:rPr>
        <w:t>Les pondérations sont résumées sous la forme d</w:t>
      </w:r>
      <w:r w:rsidR="00773091">
        <w:rPr>
          <w:lang w:val="fr-FR"/>
        </w:rPr>
        <w:t>’</w:t>
      </w:r>
      <w:r w:rsidRPr="00773091">
        <w:rPr>
          <w:lang w:val="fr-FR"/>
        </w:rPr>
        <w:t>un tableau de pondérations</w:t>
      </w:r>
      <w:r w:rsidR="00773091">
        <w:rPr>
          <w:lang w:val="fr-FR"/>
        </w:rPr>
        <w:t> :</w:t>
      </w:r>
    </w:p>
    <w:p w:rsidR="00757845" w:rsidRPr="00773091" w:rsidRDefault="00757845" w:rsidP="00757845">
      <w:pPr>
        <w:rPr>
          <w:lang w:val="fr-FR"/>
        </w:rPr>
      </w:pPr>
    </w:p>
    <w:tbl>
      <w:tblPr>
        <w:tblW w:w="0" w:type="auto"/>
        <w:tblInd w:w="3227" w:type="dxa"/>
        <w:tblLayout w:type="fixed"/>
        <w:tblLook w:val="0000" w:firstRow="0" w:lastRow="0" w:firstColumn="0" w:lastColumn="0" w:noHBand="0" w:noVBand="0"/>
      </w:tblPr>
      <w:tblGrid>
        <w:gridCol w:w="992"/>
        <w:gridCol w:w="426"/>
        <w:gridCol w:w="425"/>
        <w:gridCol w:w="425"/>
        <w:gridCol w:w="426"/>
      </w:tblGrid>
      <w:tr w:rsidR="00757845" w:rsidRPr="00773091" w:rsidTr="00757845">
        <w:trPr>
          <w:cantSplit/>
          <w:trHeight w:val="500"/>
        </w:trPr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3E115C" w:rsidP="00757845">
            <w:pPr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Tableau des pondérations</w:t>
            </w:r>
            <w:r w:rsidR="00757845" w:rsidRPr="00773091">
              <w:rPr>
                <w:lang w:val="fr-FR"/>
              </w:rPr>
              <w:br/>
            </w:r>
            <w:r w:rsidR="00773091">
              <w:rPr>
                <w:u w:val="single"/>
                <w:lang w:val="fr-FR"/>
              </w:rPr>
              <w:t>‘</w:t>
            </w:r>
            <w:r w:rsidR="00757845" w:rsidRPr="00773091">
              <w:rPr>
                <w:u w:val="single"/>
                <w:lang w:val="fr-FR"/>
              </w:rPr>
              <w:t>i</w:t>
            </w:r>
            <w:r w:rsidR="00773091">
              <w:rPr>
                <w:u w:val="single"/>
                <w:lang w:val="fr-FR"/>
              </w:rPr>
              <w:t>’</w:t>
            </w:r>
          </w:p>
        </w:tc>
      </w:tr>
      <w:tr w:rsidR="00757845" w:rsidRPr="00773091" w:rsidTr="00757845">
        <w:trPr>
          <w:cantSplit/>
        </w:trPr>
        <w:tc>
          <w:tcPr>
            <w:tcW w:w="992" w:type="dxa"/>
            <w:tcBorders>
              <w:left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</w:tr>
      <w:tr w:rsidR="00757845" w:rsidRPr="00773091" w:rsidTr="00757845">
        <w:trPr>
          <w:cantSplit/>
          <w:trHeight w:val="394"/>
        </w:trPr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3E115C">
            <w:pPr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Vari</w:t>
            </w:r>
            <w:r w:rsidR="003E115C" w:rsidRPr="00773091">
              <w:rPr>
                <w:lang w:val="fr-FR"/>
              </w:rPr>
              <w:t>été</w:t>
            </w:r>
            <w:r w:rsidRPr="00773091">
              <w:rPr>
                <w:lang w:val="fr-FR"/>
              </w:rPr>
              <w:t xml:space="preserve"> </w:t>
            </w:r>
            <w:r w:rsidR="00773091">
              <w:rPr>
                <w:u w:val="single"/>
                <w:lang w:val="fr-FR"/>
              </w:rPr>
              <w:t>‘</w:t>
            </w:r>
            <w:r w:rsidRPr="00773091">
              <w:rPr>
                <w:u w:val="single"/>
                <w:lang w:val="fr-FR"/>
              </w:rPr>
              <w:t>i</w:t>
            </w:r>
            <w:r w:rsidR="00773091">
              <w:rPr>
                <w:u w:val="single"/>
                <w:lang w:val="fr-FR"/>
              </w:rPr>
              <w:t>’</w:t>
            </w:r>
          </w:p>
        </w:tc>
      </w:tr>
      <w:tr w:rsidR="00757845" w:rsidRPr="00773091" w:rsidTr="00757845">
        <w:trPr>
          <w:cantSplit/>
          <w:trHeight w:val="39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757845" w:rsidRPr="00773091" w:rsidRDefault="00757845" w:rsidP="003E115C">
            <w:pPr>
              <w:ind w:left="113" w:right="113"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Vari</w:t>
            </w:r>
            <w:r w:rsidR="003E115C" w:rsidRPr="00773091">
              <w:rPr>
                <w:lang w:val="fr-FR"/>
              </w:rPr>
              <w:t>été</w:t>
            </w:r>
            <w:r w:rsidRPr="00773091">
              <w:rPr>
                <w:lang w:val="fr-FR"/>
              </w:rPr>
              <w:t xml:space="preserve"> </w:t>
            </w:r>
            <w:r w:rsidR="00773091">
              <w:rPr>
                <w:lang w:val="fr-FR"/>
              </w:rPr>
              <w:t>‘</w:t>
            </w:r>
            <w:r w:rsidRPr="00773091">
              <w:rPr>
                <w:lang w:val="fr-FR"/>
              </w:rPr>
              <w:t>j</w:t>
            </w:r>
            <w:r w:rsidR="00773091">
              <w:rPr>
                <w:lang w:val="fr-FR"/>
              </w:rPr>
              <w:t>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  <w:lang w:val="fr-FR"/>
              </w:rPr>
            </w:pPr>
            <w:r w:rsidRPr="00773091">
              <w:rPr>
                <w:b/>
                <w:lang w:val="fr-F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  <w:lang w:val="fr-FR"/>
              </w:rPr>
            </w:pPr>
            <w:r w:rsidRPr="00773091">
              <w:rPr>
                <w:b/>
                <w:lang w:val="fr-F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lang w:val="fr-FR"/>
              </w:rPr>
            </w:pPr>
            <w:r w:rsidRPr="00773091">
              <w:rPr>
                <w:b/>
                <w:lang w:val="fr-FR"/>
              </w:rPr>
              <w:t>3</w:t>
            </w:r>
          </w:p>
        </w:tc>
      </w:tr>
      <w:tr w:rsidR="00757845" w:rsidRPr="00773091" w:rsidTr="00757845">
        <w:trPr>
          <w:cantSplit/>
          <w:trHeight w:val="395"/>
        </w:trPr>
        <w:tc>
          <w:tcPr>
            <w:tcW w:w="992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757845" w:rsidRPr="00773091" w:rsidRDefault="00757845" w:rsidP="00757845">
            <w:pPr>
              <w:ind w:left="113" w:right="113"/>
              <w:rPr>
                <w:sz w:val="22"/>
                <w:lang w:val="fr-FR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  <w:lang w:val="fr-FR"/>
              </w:rPr>
            </w:pPr>
            <w:r w:rsidRPr="00773091">
              <w:rPr>
                <w:b/>
                <w:lang w:val="fr-FR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6</w:t>
            </w:r>
          </w:p>
        </w:tc>
      </w:tr>
      <w:tr w:rsidR="00757845" w:rsidRPr="00773091" w:rsidTr="00757845">
        <w:trPr>
          <w:cantSplit/>
          <w:trHeight w:val="394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  <w:lang w:val="fr-FR"/>
              </w:rPr>
            </w:pPr>
            <w:r w:rsidRPr="00773091">
              <w:rPr>
                <w:b/>
                <w:lang w:val="fr-F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394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7845" w:rsidRPr="00773091" w:rsidRDefault="00757845" w:rsidP="00757845">
            <w:pPr>
              <w:rPr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b/>
                <w:sz w:val="22"/>
                <w:lang w:val="fr-FR"/>
              </w:rPr>
            </w:pPr>
            <w:r w:rsidRPr="00773091">
              <w:rPr>
                <w:b/>
                <w:lang w:val="fr-F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sz w:val="22"/>
                <w:lang w:val="fr-F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keepNext/>
              <w:keepLines/>
              <w:framePr w:hSpace="141" w:wrap="auto" w:vAnchor="text" w:hAnchor="page" w:x="5264" w:y="317"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</w:tr>
    </w:tbl>
    <w:p w:rsidR="005F1D8B" w:rsidRPr="00773091" w:rsidRDefault="005F1D8B" w:rsidP="00757845">
      <w:pPr>
        <w:ind w:left="567"/>
        <w:rPr>
          <w:lang w:val="fr-FR"/>
        </w:rPr>
      </w:pPr>
    </w:p>
    <w:p w:rsidR="005F1D8B" w:rsidRPr="00773091" w:rsidRDefault="00783094" w:rsidP="00757845">
      <w:pPr>
        <w:ind w:left="567"/>
        <w:rPr>
          <w:lang w:val="fr-FR"/>
        </w:rPr>
      </w:pPr>
      <w:r w:rsidRPr="00773091">
        <w:rPr>
          <w:lang w:val="fr-FR"/>
        </w:rPr>
        <w:t xml:space="preserve">Lorsque le </w:t>
      </w:r>
      <w:proofErr w:type="spellStart"/>
      <w:r w:rsidRPr="00773091">
        <w:rPr>
          <w:lang w:val="fr-FR"/>
        </w:rPr>
        <w:t>phytotechnicien</w:t>
      </w:r>
      <w:proofErr w:type="spellEnd"/>
      <w:r w:rsidRPr="00773091">
        <w:rPr>
          <w:lang w:val="fr-FR"/>
        </w:rPr>
        <w:t xml:space="preserve"> compare une variété “i” avec un épi conique (note</w:t>
      </w:r>
      <w:r w:rsidR="0044586D">
        <w:rPr>
          <w:lang w:val="fr-FR"/>
        </w:rPr>
        <w:t> </w:t>
      </w:r>
      <w:r w:rsidRPr="00773091">
        <w:rPr>
          <w:lang w:val="fr-FR"/>
        </w:rPr>
        <w:t>1) à une variété “j” avec un épi cylindrique (note</w:t>
      </w:r>
      <w:r w:rsidR="0044586D">
        <w:rPr>
          <w:lang w:val="fr-FR"/>
        </w:rPr>
        <w:t> </w:t>
      </w:r>
      <w:r w:rsidRPr="00773091">
        <w:rPr>
          <w:lang w:val="fr-FR"/>
        </w:rPr>
        <w:t>3), il attribue une pondération de 6.</w:t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757845" w:rsidP="00757845">
      <w:pPr>
        <w:keepNext/>
        <w:keepLines/>
        <w:tabs>
          <w:tab w:val="left" w:pos="1134"/>
        </w:tabs>
        <w:rPr>
          <w:lang w:val="fr-FR"/>
        </w:rPr>
      </w:pPr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.3.5.2.5</w:t>
      </w:r>
      <w:r w:rsidRPr="00773091">
        <w:rPr>
          <w:lang w:val="fr-FR"/>
        </w:rPr>
        <w:tab/>
      </w:r>
      <w:r w:rsidR="00783094" w:rsidRPr="00773091">
        <w:rPr>
          <w:lang w:val="fr-FR"/>
        </w:rPr>
        <w:t xml:space="preserve">Sur la base de la “longueur des spathes”, observée sur une échelle de 1 à 9, le </w:t>
      </w:r>
      <w:proofErr w:type="spellStart"/>
      <w:r w:rsidR="00783094" w:rsidRPr="00773091">
        <w:rPr>
          <w:lang w:val="fr-FR"/>
        </w:rPr>
        <w:t>phytotechnicien</w:t>
      </w:r>
      <w:proofErr w:type="spellEnd"/>
      <w:r w:rsidR="00783094" w:rsidRPr="00773091">
        <w:rPr>
          <w:lang w:val="fr-FR"/>
        </w:rPr>
        <w:t xml:space="preserve"> a établi le tableau des pondérations suivant</w:t>
      </w:r>
      <w:r w:rsidR="00773091">
        <w:rPr>
          <w:lang w:val="fr-FR"/>
        </w:rPr>
        <w:t> :</w:t>
      </w:r>
    </w:p>
    <w:p w:rsidR="00757845" w:rsidRPr="00773091" w:rsidRDefault="00757845" w:rsidP="00757845">
      <w:pPr>
        <w:keepNext/>
        <w:keepLines/>
        <w:rPr>
          <w:lang w:val="fr-F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773091" w:rsidRPr="00773091" w:rsidTr="00757845">
        <w:trPr>
          <w:trHeight w:val="261"/>
        </w:trPr>
        <w:tc>
          <w:tcPr>
            <w:tcW w:w="420" w:type="dxa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2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83094">
            <w:pPr>
              <w:framePr w:hSpace="141" w:wrap="auto" w:vAnchor="text" w:hAnchor="page" w:x="4974" w:y="82"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Vari</w:t>
            </w:r>
            <w:r w:rsidR="00783094" w:rsidRPr="00773091">
              <w:rPr>
                <w:lang w:val="fr-FR"/>
              </w:rPr>
              <w:t>été</w:t>
            </w:r>
            <w:r w:rsidRPr="00773091">
              <w:rPr>
                <w:lang w:val="fr-FR"/>
              </w:rPr>
              <w:t xml:space="preserve"> </w:t>
            </w:r>
            <w:r w:rsidR="00773091">
              <w:rPr>
                <w:sz w:val="18"/>
                <w:lang w:val="fr-FR"/>
              </w:rPr>
              <w:t>‘</w:t>
            </w:r>
            <w:r w:rsidRPr="00773091">
              <w:rPr>
                <w:sz w:val="18"/>
                <w:lang w:val="fr-FR"/>
              </w:rPr>
              <w:t>i</w:t>
            </w:r>
            <w:r w:rsidR="00773091">
              <w:rPr>
                <w:sz w:val="18"/>
                <w:lang w:val="fr-FR"/>
              </w:rPr>
              <w:t>’</w:t>
            </w:r>
          </w:p>
        </w:tc>
      </w:tr>
      <w:tr w:rsidR="00757845" w:rsidRPr="00773091" w:rsidTr="00757845">
        <w:trPr>
          <w:trHeight w:val="261"/>
        </w:trPr>
        <w:tc>
          <w:tcPr>
            <w:tcW w:w="420" w:type="dxa"/>
            <w:tcBorders>
              <w:bottom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9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7845" w:rsidRPr="00773091" w:rsidRDefault="00757845" w:rsidP="00783094">
            <w:pPr>
              <w:framePr w:hSpace="141" w:wrap="auto" w:vAnchor="text" w:hAnchor="page" w:x="4974" w:y="82"/>
              <w:ind w:left="113" w:right="113"/>
              <w:jc w:val="center"/>
              <w:rPr>
                <w:lang w:val="fr-FR"/>
              </w:rPr>
            </w:pPr>
            <w:r w:rsidRPr="00773091">
              <w:rPr>
                <w:lang w:val="fr-FR"/>
              </w:rPr>
              <w:t>Vari</w:t>
            </w:r>
            <w:r w:rsidR="00783094" w:rsidRPr="00773091">
              <w:rPr>
                <w:lang w:val="fr-FR"/>
              </w:rPr>
              <w:t>été</w:t>
            </w:r>
            <w:r w:rsidRPr="00773091">
              <w:rPr>
                <w:lang w:val="fr-FR"/>
              </w:rPr>
              <w:t xml:space="preserve"> </w:t>
            </w:r>
            <w:r w:rsidR="00773091">
              <w:rPr>
                <w:lang w:val="fr-FR"/>
              </w:rPr>
              <w:t>‘</w:t>
            </w:r>
            <w:r w:rsidRPr="00773091">
              <w:rPr>
                <w:lang w:val="fr-FR"/>
              </w:rPr>
              <w:t>j</w:t>
            </w:r>
            <w:r w:rsidR="00773091">
              <w:rPr>
                <w:lang w:val="fr-FR"/>
              </w:rPr>
              <w:t>’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2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</w:tr>
      <w:tr w:rsidR="00757845" w:rsidRPr="00773091" w:rsidTr="00757845">
        <w:trPr>
          <w:cantSplit/>
          <w:trHeight w:val="261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45" w:rsidRPr="00773091" w:rsidRDefault="00757845" w:rsidP="00757845">
            <w:pPr>
              <w:framePr w:hSpace="141" w:wrap="auto" w:vAnchor="text" w:hAnchor="page" w:x="4974" w:y="82"/>
              <w:rPr>
                <w:lang w:val="fr-FR"/>
              </w:rPr>
            </w:pPr>
            <w:r w:rsidRPr="00773091">
              <w:rPr>
                <w:lang w:val="fr-FR"/>
              </w:rPr>
              <w:t>0</w:t>
            </w:r>
          </w:p>
        </w:tc>
      </w:tr>
    </w:tbl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1 = </w:t>
      </w:r>
      <w:r w:rsidR="00783094" w:rsidRPr="00773091">
        <w:rPr>
          <w:lang w:val="fr-FR"/>
        </w:rPr>
        <w:t>très courte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2 = </w:t>
      </w:r>
      <w:r w:rsidR="00783094" w:rsidRPr="00773091">
        <w:rPr>
          <w:lang w:val="fr-FR"/>
        </w:rPr>
        <w:t>très courte à courte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3 = </w:t>
      </w:r>
      <w:r w:rsidR="00783094" w:rsidRPr="00773091">
        <w:rPr>
          <w:lang w:val="fr-FR"/>
        </w:rPr>
        <w:t>courte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4 = </w:t>
      </w:r>
      <w:r w:rsidR="00783094" w:rsidRPr="00773091">
        <w:rPr>
          <w:lang w:val="fr-FR"/>
        </w:rPr>
        <w:t>courte à moyenne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5 = </w:t>
      </w:r>
      <w:r w:rsidR="00783094" w:rsidRPr="00773091">
        <w:rPr>
          <w:lang w:val="fr-FR"/>
        </w:rPr>
        <w:t>moyenne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>6 = m</w:t>
      </w:r>
      <w:r w:rsidR="00783094" w:rsidRPr="00773091">
        <w:rPr>
          <w:lang w:val="fr-FR"/>
        </w:rPr>
        <w:t>oyenne à longue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>7 = long</w:t>
      </w:r>
      <w:r w:rsidR="00783094" w:rsidRPr="00773091">
        <w:rPr>
          <w:lang w:val="fr-FR"/>
        </w:rPr>
        <w:t>ue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>8 = long</w:t>
      </w:r>
      <w:r w:rsidR="00783094" w:rsidRPr="00773091">
        <w:rPr>
          <w:lang w:val="fr-FR"/>
        </w:rPr>
        <w:t>ue à très longue</w:t>
      </w:r>
    </w:p>
    <w:p w:rsidR="005F1D8B" w:rsidRPr="00773091" w:rsidRDefault="00757845" w:rsidP="00757845">
      <w:pPr>
        <w:ind w:left="1134"/>
        <w:rPr>
          <w:lang w:val="fr-FR"/>
        </w:rPr>
      </w:pPr>
      <w:r w:rsidRPr="00773091">
        <w:rPr>
          <w:lang w:val="fr-FR"/>
        </w:rPr>
        <w:t xml:space="preserve">9 = </w:t>
      </w:r>
      <w:r w:rsidR="00783094" w:rsidRPr="00773091">
        <w:rPr>
          <w:lang w:val="fr-FR"/>
        </w:rPr>
        <w:t xml:space="preserve">très </w:t>
      </w:r>
      <w:r w:rsidRPr="00773091">
        <w:rPr>
          <w:lang w:val="fr-FR"/>
        </w:rPr>
        <w:t>long</w:t>
      </w:r>
      <w:r w:rsidR="00783094" w:rsidRPr="00773091">
        <w:rPr>
          <w:lang w:val="fr-FR"/>
        </w:rPr>
        <w:t>ue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snapToGrid w:val="0"/>
          <w:lang w:val="fr-FR"/>
        </w:rPr>
      </w:pPr>
    </w:p>
    <w:p w:rsidR="005F1D8B" w:rsidRPr="00773091" w:rsidRDefault="005F1D8B" w:rsidP="00757845">
      <w:pPr>
        <w:rPr>
          <w:snapToGrid w:val="0"/>
          <w:lang w:val="fr-FR"/>
        </w:rPr>
      </w:pPr>
    </w:p>
    <w:p w:rsidR="005F1D8B" w:rsidRPr="00773091" w:rsidRDefault="00757845" w:rsidP="00757845">
      <w:pPr>
        <w:tabs>
          <w:tab w:val="left" w:pos="1134"/>
        </w:tabs>
        <w:rPr>
          <w:lang w:val="fr-FR"/>
        </w:rPr>
      </w:pPr>
      <w:r w:rsidRPr="00773091">
        <w:rPr>
          <w:snapToGrid w:val="0"/>
          <w:lang w:val="fr-FR"/>
        </w:rPr>
        <w:t>1</w:t>
      </w:r>
      <w:r w:rsidRPr="00773091">
        <w:rPr>
          <w:lang w:val="fr-FR"/>
        </w:rPr>
        <w:t>.3.5.2.6</w:t>
      </w:r>
      <w:r w:rsidRPr="00773091">
        <w:rPr>
          <w:lang w:val="fr-FR"/>
        </w:rPr>
        <w:tab/>
      </w:r>
      <w:r w:rsidR="00783094" w:rsidRPr="00773091">
        <w:rPr>
          <w:lang w:val="fr-FR"/>
        </w:rPr>
        <w:t>La pondération entre une variété “i” avec des spathes très courtes (note</w:t>
      </w:r>
      <w:r w:rsidR="0044586D">
        <w:rPr>
          <w:lang w:val="fr-FR"/>
        </w:rPr>
        <w:t> </w:t>
      </w:r>
      <w:r w:rsidR="00783094" w:rsidRPr="00773091">
        <w:rPr>
          <w:lang w:val="fr-FR"/>
        </w:rPr>
        <w:t>1) et une variété “j” avec des spathes courtes (note</w:t>
      </w:r>
      <w:r w:rsidR="0044586D">
        <w:rPr>
          <w:lang w:val="fr-FR"/>
        </w:rPr>
        <w:t> </w:t>
      </w:r>
      <w:r w:rsidR="00783094" w:rsidRPr="00773091">
        <w:rPr>
          <w:lang w:val="fr-FR"/>
        </w:rPr>
        <w:t xml:space="preserve">3) est 0. </w:t>
      </w:r>
      <w:r w:rsidR="00041911">
        <w:rPr>
          <w:lang w:val="fr-FR"/>
        </w:rPr>
        <w:t xml:space="preserve"> </w:t>
      </w:r>
      <w:r w:rsidR="00783094" w:rsidRPr="00773091">
        <w:rPr>
          <w:lang w:val="fr-FR"/>
        </w:rPr>
        <w:t xml:space="preserve">Le </w:t>
      </w:r>
      <w:proofErr w:type="spellStart"/>
      <w:r w:rsidR="00783094" w:rsidRPr="00773091">
        <w:rPr>
          <w:lang w:val="fr-FR"/>
        </w:rPr>
        <w:t>phytotechnicien</w:t>
      </w:r>
      <w:proofErr w:type="spellEnd"/>
      <w:r w:rsidR="00783094" w:rsidRPr="00773091">
        <w:rPr>
          <w:lang w:val="fr-FR"/>
        </w:rPr>
        <w:t xml:space="preserve"> est d</w:t>
      </w:r>
      <w:r w:rsidR="00773091">
        <w:rPr>
          <w:lang w:val="fr-FR"/>
        </w:rPr>
        <w:t>’</w:t>
      </w:r>
      <w:r w:rsidR="00783094" w:rsidRPr="00773091">
        <w:rPr>
          <w:lang w:val="fr-FR"/>
        </w:rPr>
        <w:t>avis qu</w:t>
      </w:r>
      <w:r w:rsidR="00773091">
        <w:rPr>
          <w:lang w:val="fr-FR"/>
        </w:rPr>
        <w:t>’</w:t>
      </w:r>
      <w:r w:rsidR="00783094" w:rsidRPr="00773091">
        <w:rPr>
          <w:lang w:val="fr-FR"/>
        </w:rPr>
        <w:t>une différence de 3</w:t>
      </w:r>
      <w:r w:rsidR="0044586D">
        <w:rPr>
          <w:lang w:val="fr-FR"/>
        </w:rPr>
        <w:t> </w:t>
      </w:r>
      <w:r w:rsidR="00783094" w:rsidRPr="00773091">
        <w:rPr>
          <w:lang w:val="fr-FR"/>
        </w:rPr>
        <w:t>notes est la différence minimum pour reconnaître un écart non</w:t>
      </w:r>
      <w:r w:rsidR="00773091">
        <w:rPr>
          <w:lang w:val="fr-FR"/>
        </w:rPr>
        <w:t>-</w:t>
      </w:r>
      <w:r w:rsidR="00783094" w:rsidRPr="00773091">
        <w:rPr>
          <w:lang w:val="fr-FR"/>
        </w:rPr>
        <w:t>zéro entre deux</w:t>
      </w:r>
      <w:r w:rsidR="00041911">
        <w:rPr>
          <w:lang w:val="fr-FR"/>
        </w:rPr>
        <w:t> </w:t>
      </w:r>
      <w:r w:rsidR="00783094" w:rsidRPr="00773091">
        <w:rPr>
          <w:lang w:val="fr-FR"/>
        </w:rPr>
        <w:t>variétés.</w:t>
      </w:r>
      <w:r w:rsidR="00041911">
        <w:rPr>
          <w:lang w:val="fr-FR"/>
        </w:rPr>
        <w:t xml:space="preserve"> </w:t>
      </w:r>
      <w:r w:rsidR="00783094" w:rsidRPr="00773091">
        <w:rPr>
          <w:lang w:val="fr-FR"/>
        </w:rPr>
        <w:t xml:space="preserve"> Même si la différence des notes est supérieure à 3, il maintient la pondération de l</w:t>
      </w:r>
      <w:r w:rsidR="00773091">
        <w:rPr>
          <w:lang w:val="fr-FR"/>
        </w:rPr>
        <w:t>’</w:t>
      </w:r>
      <w:r w:rsidR="00783094" w:rsidRPr="00773091">
        <w:rPr>
          <w:lang w:val="fr-FR"/>
        </w:rPr>
        <w:t>écart à 2 tandis que, dans les caractères très fiables, une différence de 1 reçoit une pondération de 6.</w:t>
      </w:r>
    </w:p>
    <w:p w:rsidR="005F1D8B" w:rsidRPr="00773091" w:rsidRDefault="00757845" w:rsidP="00783094">
      <w:pPr>
        <w:pStyle w:val="endofdoc"/>
        <w:rPr>
          <w:lang w:val="fr-FR"/>
        </w:rPr>
      </w:pPr>
      <w:bookmarkStart w:id="48" w:name="_GoBack"/>
      <w:bookmarkEnd w:id="48"/>
      <w:r w:rsidRPr="00773091">
        <w:rPr>
          <w:lang w:val="fr-FR"/>
        </w:rPr>
        <w:t>[</w:t>
      </w:r>
      <w:r w:rsidR="00783094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773091" w:rsidRPr="00773091">
        <w:rPr>
          <w:lang w:val="fr-FR"/>
        </w:rPr>
        <w:t>annexe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I</w:t>
      </w:r>
      <w:r w:rsidR="00783094" w:rsidRPr="00773091">
        <w:rPr>
          <w:lang w:val="fr-FR"/>
        </w:rPr>
        <w:t>II suit</w:t>
      </w:r>
      <w:r w:rsidRPr="00773091">
        <w:rPr>
          <w:lang w:val="fr-FR"/>
        </w:rPr>
        <w:t>]</w:t>
      </w:r>
    </w:p>
    <w:p w:rsidR="00757845" w:rsidRPr="00773091" w:rsidRDefault="00757845" w:rsidP="00757845">
      <w:pPr>
        <w:rPr>
          <w:rFonts w:cs="Arial"/>
          <w:lang w:val="fr-FR"/>
        </w:rPr>
        <w:sectPr w:rsidR="00757845" w:rsidRPr="00773091" w:rsidSect="00757845">
          <w:headerReference w:type="default" r:id="rId14"/>
          <w:headerReference w:type="first" r:id="rId1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F1D8B" w:rsidRPr="00773091" w:rsidRDefault="005F1D8B" w:rsidP="00757845">
      <w:pPr>
        <w:jc w:val="center"/>
        <w:rPr>
          <w:rFonts w:cs="Arial"/>
          <w:lang w:val="fr-FR"/>
        </w:rPr>
      </w:pPr>
    </w:p>
    <w:p w:rsidR="005F1D8B" w:rsidRPr="00773091" w:rsidRDefault="00757845" w:rsidP="00757845">
      <w:pPr>
        <w:jc w:val="center"/>
        <w:rPr>
          <w:rFonts w:cs="Arial"/>
          <w:lang w:val="fr-FR"/>
        </w:rPr>
      </w:pPr>
      <w:r w:rsidRPr="00773091">
        <w:rPr>
          <w:rFonts w:cs="Arial"/>
          <w:lang w:val="fr-FR"/>
        </w:rPr>
        <w:t>EXTRA</w:t>
      </w:r>
      <w:r w:rsidR="00783094" w:rsidRPr="00773091">
        <w:rPr>
          <w:rFonts w:cs="Arial"/>
          <w:lang w:val="fr-FR"/>
        </w:rPr>
        <w:t xml:space="preserve">IT DU </w:t>
      </w:r>
      <w:r w:rsidRPr="00773091">
        <w:rPr>
          <w:rFonts w:cs="Arial"/>
          <w:lang w:val="fr-FR"/>
        </w:rPr>
        <w:t>DOCUMENT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TGP/9/2 “EXAM</w:t>
      </w:r>
      <w:r w:rsidR="00783094" w:rsidRPr="00773091">
        <w:rPr>
          <w:rFonts w:cs="Arial"/>
          <w:lang w:val="fr-FR"/>
        </w:rPr>
        <w:t>EN DE LA DISTINCTION</w:t>
      </w:r>
      <w:r w:rsidRPr="00773091">
        <w:rPr>
          <w:rFonts w:cs="Arial"/>
          <w:lang w:val="fr-FR"/>
        </w:rPr>
        <w:t>”</w:t>
      </w:r>
    </w:p>
    <w:p w:rsidR="005F1D8B" w:rsidRPr="00773091" w:rsidRDefault="005F1D8B" w:rsidP="00757845">
      <w:pPr>
        <w:ind w:left="567" w:hanging="567"/>
        <w:rPr>
          <w:lang w:val="fr-FR"/>
        </w:rPr>
      </w:pPr>
    </w:p>
    <w:p w:rsidR="00773091" w:rsidRDefault="002827A3" w:rsidP="00757845">
      <w:pPr>
        <w:rPr>
          <w:lang w:val="fr-FR"/>
        </w:rPr>
      </w:pPr>
      <w:r w:rsidRPr="00773091">
        <w:rPr>
          <w:lang w:val="fr-FR"/>
        </w:rPr>
        <w:t>SECTION</w:t>
      </w:r>
      <w:r w:rsidR="0044586D">
        <w:rPr>
          <w:lang w:val="fr-FR"/>
        </w:rPr>
        <w:t> </w:t>
      </w:r>
      <w:r w:rsidRPr="00773091">
        <w:rPr>
          <w:lang w:val="fr-FR"/>
        </w:rPr>
        <w:t>5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ÉVALUATION DE LA DISTINCTION SUR LA BASE DE L</w:t>
      </w:r>
      <w:r w:rsidR="00773091">
        <w:rPr>
          <w:lang w:val="fr-FR"/>
        </w:rPr>
        <w:t>’</w:t>
      </w:r>
      <w:r w:rsidRPr="00773091">
        <w:rPr>
          <w:lang w:val="fr-FR"/>
        </w:rPr>
        <w:t>ESSAI EN CULTURE</w:t>
      </w:r>
    </w:p>
    <w:p w:rsidR="005F1D8B" w:rsidRPr="00773091" w:rsidRDefault="005F1D8B" w:rsidP="00757845">
      <w:pPr>
        <w:tabs>
          <w:tab w:val="left" w:pos="993"/>
          <w:tab w:val="left" w:pos="1843"/>
        </w:tabs>
        <w:rPr>
          <w:rFonts w:cs="Arial"/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49" w:name="_Toc156741071"/>
      <w:bookmarkStart w:id="50" w:name="_Toc434828683"/>
      <w:r w:rsidRPr="00773091">
        <w:rPr>
          <w:caps/>
          <w:lang w:val="fr-FR"/>
        </w:rPr>
        <w:t>5.2</w:t>
      </w:r>
      <w:r w:rsidRPr="00773091">
        <w:rPr>
          <w:caps/>
          <w:lang w:val="fr-FR"/>
        </w:rPr>
        <w:tab/>
      </w:r>
      <w:bookmarkEnd w:id="49"/>
      <w:bookmarkEnd w:id="50"/>
      <w:r w:rsidR="002827A3" w:rsidRPr="00773091">
        <w:rPr>
          <w:lang w:val="fr-FR"/>
        </w:rPr>
        <w:t>Méthodes d</w:t>
      </w:r>
      <w:r w:rsidR="00773091">
        <w:rPr>
          <w:lang w:val="fr-FR"/>
        </w:rPr>
        <w:t>’</w:t>
      </w:r>
      <w:r w:rsidR="002827A3" w:rsidRPr="00773091">
        <w:rPr>
          <w:lang w:val="fr-FR"/>
        </w:rPr>
        <w:t>évaluation de la distinction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51" w:name="_Toc156741077"/>
      <w:bookmarkStart w:id="52" w:name="_Toc434828689"/>
      <w:r w:rsidRPr="00773091">
        <w:rPr>
          <w:lang w:val="fr-FR"/>
        </w:rPr>
        <w:t>5.2.3</w:t>
      </w:r>
      <w:r w:rsidRPr="00773091">
        <w:rPr>
          <w:lang w:val="fr-FR"/>
        </w:rPr>
        <w:tab/>
      </w:r>
      <w:bookmarkEnd w:id="51"/>
      <w:bookmarkEnd w:id="52"/>
      <w:r w:rsidR="00915621" w:rsidRPr="00773091">
        <w:rPr>
          <w:lang w:val="fr-FR"/>
        </w:rPr>
        <w:t>Évaluation au moyen de notes/notations globales pour la variété (ci</w:t>
      </w:r>
      <w:r w:rsidR="00773091">
        <w:rPr>
          <w:lang w:val="fr-FR"/>
        </w:rPr>
        <w:t>-</w:t>
      </w:r>
      <w:r w:rsidR="00915621" w:rsidRPr="00773091">
        <w:rPr>
          <w:lang w:val="fr-FR"/>
        </w:rPr>
        <w:t>après dénommées “notes”)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757845" w:rsidP="00757845">
      <w:pPr>
        <w:rPr>
          <w:lang w:val="fr-FR"/>
        </w:rPr>
      </w:pPr>
      <w:bookmarkStart w:id="53" w:name="_Toc156741079"/>
      <w:bookmarkStart w:id="54" w:name="_Toc434828691"/>
      <w:r w:rsidRPr="00773091">
        <w:rPr>
          <w:lang w:val="fr-FR"/>
        </w:rPr>
        <w:t>5.2.3.2</w:t>
      </w:r>
      <w:r w:rsidRPr="00773091">
        <w:rPr>
          <w:lang w:val="fr-FR"/>
        </w:rPr>
        <w:tab/>
      </w:r>
      <w:bookmarkEnd w:id="53"/>
      <w:bookmarkEnd w:id="54"/>
      <w:r w:rsidR="00915621" w:rsidRPr="00773091">
        <w:rPr>
          <w:lang w:val="fr-FR"/>
        </w:rPr>
        <w:t>Évaluation au moyen de notes</w:t>
      </w:r>
    </w:p>
    <w:p w:rsidR="005F1D8B" w:rsidRPr="00773091" w:rsidRDefault="00757845" w:rsidP="00757845">
      <w:pPr>
        <w:rPr>
          <w:rFonts w:cs="Arial"/>
          <w:lang w:val="fr-FR"/>
        </w:rPr>
      </w:pPr>
      <w:r w:rsidRPr="00773091">
        <w:rPr>
          <w:rFonts w:cs="Arial"/>
          <w:lang w:val="fr-FR"/>
        </w:rPr>
        <w:t>[…]</w:t>
      </w:r>
    </w:p>
    <w:p w:rsidR="005F1D8B" w:rsidRPr="00773091" w:rsidRDefault="00757845" w:rsidP="00757845">
      <w:pPr>
        <w:rPr>
          <w:lang w:val="fr-FR"/>
        </w:rPr>
      </w:pPr>
      <w:bookmarkStart w:id="55" w:name="_Toc434828693"/>
      <w:r w:rsidRPr="00773091">
        <w:rPr>
          <w:lang w:val="fr-FR"/>
        </w:rPr>
        <w:t>5.2.3.2.2</w:t>
      </w:r>
      <w:r w:rsidRPr="00773091">
        <w:rPr>
          <w:lang w:val="fr-FR"/>
        </w:rPr>
        <w:tab/>
      </w:r>
      <w:bookmarkEnd w:id="55"/>
      <w:r w:rsidR="00915621" w:rsidRPr="00773091">
        <w:rPr>
          <w:lang w:val="fr-FR"/>
        </w:rPr>
        <w:t>Caractères pseudo</w:t>
      </w:r>
      <w:r w:rsidR="00773091">
        <w:rPr>
          <w:lang w:val="fr-FR"/>
        </w:rPr>
        <w:t>-</w:t>
      </w:r>
      <w:r w:rsidR="00915621" w:rsidRPr="00773091">
        <w:rPr>
          <w:lang w:val="fr-FR"/>
        </w:rPr>
        <w:t>qualitatifs (PQ)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tabs>
          <w:tab w:val="left" w:pos="1134"/>
        </w:tabs>
        <w:rPr>
          <w:rFonts w:cs="Arial"/>
          <w:lang w:val="fr-FR"/>
        </w:rPr>
      </w:pPr>
      <w:r w:rsidRPr="00773091">
        <w:rPr>
          <w:rFonts w:cs="Arial"/>
          <w:lang w:val="fr-FR"/>
        </w:rPr>
        <w:t>5.2.3.2.2.1</w:t>
      </w:r>
      <w:r w:rsidRPr="00773091">
        <w:rPr>
          <w:rFonts w:cs="Arial"/>
          <w:lang w:val="fr-FR"/>
        </w:rPr>
        <w:tab/>
      </w:r>
      <w:r w:rsidR="00915621" w:rsidRPr="00773091">
        <w:rPr>
          <w:rFonts w:cs="Arial"/>
          <w:lang w:val="fr-FR"/>
        </w:rPr>
        <w:t>La différence de notes pouvant établir la distinction d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un caractère pseudo</w:t>
      </w:r>
      <w:r w:rsidR="00773091">
        <w:rPr>
          <w:rFonts w:cs="Arial"/>
          <w:lang w:val="fr-FR"/>
        </w:rPr>
        <w:t>-</w:t>
      </w:r>
      <w:r w:rsidR="00915621" w:rsidRPr="00773091">
        <w:rPr>
          <w:rFonts w:cs="Arial"/>
          <w:lang w:val="fr-FR"/>
        </w:rPr>
        <w:t>qualitatif est influencée par des facteurs tels que le site, l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année et la variation du milieu dans le cadre de l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 xml:space="preserve">essai. </w:t>
      </w:r>
      <w:r w:rsidR="00041911">
        <w:rPr>
          <w:rFonts w:cs="Arial"/>
          <w:lang w:val="fr-FR"/>
        </w:rPr>
        <w:t xml:space="preserve"> </w:t>
      </w:r>
      <w:r w:rsidR="00915621" w:rsidRPr="00773091">
        <w:rPr>
          <w:rFonts w:cs="Arial"/>
          <w:lang w:val="fr-FR"/>
        </w:rPr>
        <w:t>De même, tout comme avec les caractères quantitatifs, l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 xml:space="preserve">éventail de gammes (nombre de notes) varie. </w:t>
      </w:r>
      <w:r w:rsidR="00041911">
        <w:rPr>
          <w:rFonts w:cs="Arial"/>
          <w:lang w:val="fr-FR"/>
        </w:rPr>
        <w:t xml:space="preserve"> </w:t>
      </w:r>
      <w:r w:rsidR="00915621" w:rsidRPr="00773091">
        <w:rPr>
          <w:rFonts w:cs="Arial"/>
          <w:lang w:val="fr-FR"/>
        </w:rPr>
        <w:t>Toutefois, en ce qui concerne les caractères pseudo</w:t>
      </w:r>
      <w:r w:rsidR="00773091">
        <w:rPr>
          <w:rFonts w:cs="Arial"/>
          <w:lang w:val="fr-FR"/>
        </w:rPr>
        <w:t>-</w:t>
      </w:r>
      <w:r w:rsidR="00915621" w:rsidRPr="00773091">
        <w:rPr>
          <w:rFonts w:cs="Arial"/>
          <w:lang w:val="fr-FR"/>
        </w:rPr>
        <w:t>qualitatifs, il convient de tenir compte du facteur supplémentaire important selon lequel, si une partie de la gamme d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expression est continue, la répartition le long de l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échelle n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est pas régulière et la gamme est pluridimensionnelle (par exemple, la forme</w:t>
      </w:r>
      <w:r w:rsidR="00773091">
        <w:rPr>
          <w:rFonts w:cs="Arial"/>
          <w:lang w:val="fr-FR"/>
        </w:rPr>
        <w:t> :</w:t>
      </w:r>
      <w:r w:rsidR="00915621" w:rsidRPr="00773091">
        <w:rPr>
          <w:rFonts w:cs="Arial"/>
          <w:lang w:val="fr-FR"/>
        </w:rPr>
        <w:t xml:space="preserve"> ovale (1), elliptique (2), circulaire (3), </w:t>
      </w:r>
      <w:proofErr w:type="spellStart"/>
      <w:r w:rsidR="00915621" w:rsidRPr="00773091">
        <w:rPr>
          <w:rFonts w:cs="Arial"/>
          <w:lang w:val="fr-FR"/>
        </w:rPr>
        <w:t>obovale</w:t>
      </w:r>
      <w:proofErr w:type="spellEnd"/>
      <w:r w:rsidR="00915621" w:rsidRPr="00773091">
        <w:rPr>
          <w:rFonts w:cs="Arial"/>
          <w:lang w:val="fr-FR"/>
        </w:rPr>
        <w:t xml:space="preserve"> (4)</w:t>
      </w:r>
      <w:r w:rsidR="00041911">
        <w:rPr>
          <w:rFonts w:cs="Arial"/>
          <w:lang w:val="fr-FR"/>
        </w:rPr>
        <w:t> :</w:t>
      </w:r>
      <w:r w:rsidR="00915621" w:rsidRPr="00773091">
        <w:rPr>
          <w:rFonts w:cs="Arial"/>
          <w:lang w:val="fr-FR"/>
        </w:rPr>
        <w:t xml:space="preserve"> il y a variation dans le rapport longueur/largeur et dans la localisation de l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extrême).</w:t>
      </w:r>
      <w:r w:rsidR="00041911">
        <w:rPr>
          <w:rFonts w:cs="Arial"/>
          <w:lang w:val="fr-FR"/>
        </w:rPr>
        <w:t xml:space="preserve"> </w:t>
      </w:r>
      <w:r w:rsidR="00915621" w:rsidRPr="00773091">
        <w:rPr>
          <w:rFonts w:cs="Arial"/>
          <w:lang w:val="fr-FR"/>
        </w:rPr>
        <w:t xml:space="preserve"> Cela signifie qu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il est difficile de définir une règle générale sur la différence de notes en vue d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établir la distinction pour un caractère.</w:t>
      </w:r>
    </w:p>
    <w:p w:rsidR="005F1D8B" w:rsidRPr="00773091" w:rsidRDefault="00757845" w:rsidP="00757845">
      <w:pPr>
        <w:tabs>
          <w:tab w:val="left" w:pos="1134"/>
        </w:tabs>
        <w:rPr>
          <w:rFonts w:cs="Arial"/>
          <w:lang w:val="fr-FR"/>
        </w:rPr>
      </w:pPr>
      <w:r w:rsidRPr="00773091">
        <w:rPr>
          <w:rFonts w:cs="Arial"/>
          <w:lang w:val="fr-FR"/>
        </w:rPr>
        <w:t>[…]</w:t>
      </w:r>
    </w:p>
    <w:p w:rsidR="005F1D8B" w:rsidRPr="00773091" w:rsidRDefault="00757845" w:rsidP="00757845">
      <w:pPr>
        <w:tabs>
          <w:tab w:val="left" w:pos="1134"/>
        </w:tabs>
        <w:rPr>
          <w:rFonts w:cs="Arial"/>
          <w:lang w:val="fr-FR"/>
        </w:rPr>
      </w:pPr>
      <w:r w:rsidRPr="00773091">
        <w:rPr>
          <w:rFonts w:cs="Arial"/>
          <w:lang w:val="fr-FR"/>
        </w:rPr>
        <w:t>5.2.3.2.2.3</w:t>
      </w:r>
      <w:r w:rsidRPr="00773091">
        <w:rPr>
          <w:rFonts w:cs="Arial"/>
          <w:lang w:val="fr-FR"/>
        </w:rPr>
        <w:tab/>
      </w:r>
      <w:r w:rsidR="00915621" w:rsidRPr="00773091">
        <w:rPr>
          <w:rFonts w:cs="Arial"/>
          <w:lang w:val="fr-FR"/>
        </w:rPr>
        <w:t>Les exemples suivants montrent pourquoi la détermination de l</w:t>
      </w:r>
      <w:r w:rsidR="00773091">
        <w:rPr>
          <w:rFonts w:cs="Arial"/>
          <w:lang w:val="fr-FR"/>
        </w:rPr>
        <w:t>’</w:t>
      </w:r>
      <w:r w:rsidR="00915621" w:rsidRPr="00773091">
        <w:rPr>
          <w:rFonts w:cs="Arial"/>
          <w:lang w:val="fr-FR"/>
        </w:rPr>
        <w:t>écart des notes requis pour établir la distinction entre les variétés nécessite une attention particulière</w:t>
      </w:r>
      <w:r w:rsidR="00773091">
        <w:rPr>
          <w:rFonts w:cs="Arial"/>
          <w:lang w:val="fr-FR"/>
        </w:rPr>
        <w:t> :</w:t>
      </w:r>
    </w:p>
    <w:p w:rsidR="005F1D8B" w:rsidRPr="00773091" w:rsidRDefault="005F1D8B" w:rsidP="00757845">
      <w:pPr>
        <w:rPr>
          <w:rFonts w:cs="Arial"/>
          <w:lang w:val="fr-FR"/>
        </w:rPr>
      </w:pPr>
    </w:p>
    <w:p w:rsidR="00773091" w:rsidRDefault="00915621" w:rsidP="00757845">
      <w:pPr>
        <w:keepNext/>
        <w:ind w:left="851"/>
        <w:rPr>
          <w:rFonts w:cs="Arial"/>
          <w:i/>
          <w:lang w:val="fr-FR"/>
        </w:rPr>
      </w:pPr>
      <w:r w:rsidRPr="00773091">
        <w:rPr>
          <w:rFonts w:cs="Arial"/>
          <w:i/>
          <w:lang w:val="fr-FR"/>
        </w:rPr>
        <w:t>Exemple n°</w:t>
      </w:r>
      <w:r w:rsidR="00041911">
        <w:rPr>
          <w:rFonts w:cs="Arial"/>
          <w:i/>
          <w:lang w:val="fr-FR"/>
        </w:rPr>
        <w:t> </w:t>
      </w:r>
      <w:r w:rsidRPr="00773091">
        <w:rPr>
          <w:rFonts w:cs="Arial"/>
          <w:i/>
          <w:lang w:val="fr-FR"/>
        </w:rPr>
        <w:t>1</w:t>
      </w:r>
      <w:r w:rsidR="00773091">
        <w:rPr>
          <w:rFonts w:cs="Arial"/>
          <w:i/>
          <w:lang w:val="fr-FR"/>
        </w:rPr>
        <w:t> :</w:t>
      </w:r>
    </w:p>
    <w:p w:rsidR="005F1D8B" w:rsidRPr="00773091" w:rsidRDefault="005F1D8B" w:rsidP="00757845">
      <w:pPr>
        <w:keepNext/>
        <w:ind w:left="851"/>
        <w:rPr>
          <w:rFonts w:cs="Arial"/>
          <w:lang w:val="fr-FR"/>
        </w:rPr>
      </w:pPr>
    </w:p>
    <w:p w:rsidR="005F1D8B" w:rsidRPr="00773091" w:rsidRDefault="00915621" w:rsidP="00757845">
      <w:pPr>
        <w:ind w:left="851"/>
        <w:rPr>
          <w:rFonts w:cs="Arial"/>
          <w:lang w:val="fr-FR"/>
        </w:rPr>
      </w:pPr>
      <w:r w:rsidRPr="00773091">
        <w:rPr>
          <w:rFonts w:cs="Arial"/>
          <w:lang w:val="fr-FR"/>
        </w:rPr>
        <w:t>Type de marbrures</w:t>
      </w:r>
      <w:r w:rsidR="00773091">
        <w:rPr>
          <w:rFonts w:cs="Arial"/>
          <w:lang w:val="fr-FR"/>
        </w:rPr>
        <w:t> :</w:t>
      </w:r>
      <w:r w:rsidRPr="00773091">
        <w:rPr>
          <w:rFonts w:cs="Arial"/>
          <w:lang w:val="fr-FR"/>
        </w:rPr>
        <w:t xml:space="preserve"> diffuses seulement (note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1</w:t>
      </w:r>
      <w:proofErr w:type="gramStart"/>
      <w:r w:rsidRPr="00773091">
        <w:rPr>
          <w:rFonts w:cs="Arial"/>
          <w:lang w:val="fr-FR"/>
        </w:rPr>
        <w:t xml:space="preserve">); </w:t>
      </w:r>
      <w:r w:rsidR="0004191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>diffuses</w:t>
      </w:r>
      <w:proofErr w:type="gramEnd"/>
      <w:r w:rsidRPr="00773091">
        <w:rPr>
          <w:rFonts w:cs="Arial"/>
          <w:lang w:val="fr-FR"/>
        </w:rPr>
        <w:t xml:space="preserve"> et en taches (2); </w:t>
      </w:r>
      <w:r w:rsidR="0004191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 xml:space="preserve">diffuses, en taches et en bandes linéaires (3); </w:t>
      </w:r>
      <w:r w:rsidR="0004191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>diffuses et en bandes linéaires (4).</w:t>
      </w:r>
    </w:p>
    <w:p w:rsidR="005F1D8B" w:rsidRPr="00773091" w:rsidRDefault="005F1D8B" w:rsidP="00757845">
      <w:pPr>
        <w:ind w:left="851"/>
        <w:rPr>
          <w:rFonts w:cs="Arial"/>
          <w:lang w:val="fr-FR"/>
        </w:rPr>
      </w:pPr>
    </w:p>
    <w:p w:rsidR="005F1D8B" w:rsidRPr="00773091" w:rsidRDefault="00915621" w:rsidP="00757845">
      <w:pPr>
        <w:keepNext/>
        <w:ind w:left="851"/>
        <w:rPr>
          <w:rFonts w:cs="Arial"/>
          <w:i/>
          <w:lang w:val="fr-FR"/>
        </w:rPr>
      </w:pPr>
      <w:r w:rsidRPr="00773091">
        <w:rPr>
          <w:rFonts w:cs="Arial"/>
          <w:i/>
          <w:lang w:val="fr-FR"/>
        </w:rPr>
        <w:t>Exemple n°</w:t>
      </w:r>
      <w:r w:rsidR="00041911">
        <w:rPr>
          <w:rFonts w:cs="Arial"/>
          <w:i/>
          <w:lang w:val="fr-FR"/>
        </w:rPr>
        <w:t> </w:t>
      </w:r>
      <w:r w:rsidRPr="00773091">
        <w:rPr>
          <w:rFonts w:cs="Arial"/>
          <w:i/>
          <w:lang w:val="fr-FR"/>
        </w:rPr>
        <w:t>2</w:t>
      </w:r>
      <w:r w:rsidR="00773091">
        <w:rPr>
          <w:rFonts w:cs="Arial"/>
          <w:i/>
          <w:lang w:val="fr-FR"/>
        </w:rPr>
        <w:t> :</w:t>
      </w:r>
    </w:p>
    <w:p w:rsidR="005F1D8B" w:rsidRPr="00773091" w:rsidRDefault="005F1D8B" w:rsidP="00757845">
      <w:pPr>
        <w:keepNext/>
        <w:ind w:left="851"/>
        <w:rPr>
          <w:rFonts w:cs="Arial"/>
          <w:i/>
          <w:lang w:val="fr-FR"/>
        </w:rPr>
      </w:pPr>
    </w:p>
    <w:p w:rsidR="005F1D8B" w:rsidRPr="00773091" w:rsidRDefault="00915621" w:rsidP="00757845">
      <w:pPr>
        <w:ind w:left="851"/>
        <w:rPr>
          <w:lang w:val="fr-FR"/>
        </w:rPr>
      </w:pPr>
      <w:r w:rsidRPr="00773091">
        <w:rPr>
          <w:lang w:val="fr-FR"/>
        </w:rPr>
        <w:t>Forme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elliptique large (note</w:t>
      </w:r>
      <w:r w:rsidR="0044586D">
        <w:rPr>
          <w:lang w:val="fr-FR"/>
        </w:rPr>
        <w:t> </w:t>
      </w:r>
      <w:r w:rsidRPr="00773091">
        <w:rPr>
          <w:lang w:val="fr-FR"/>
        </w:rPr>
        <w:t>1), elliptique moyenne (2), elliptique étroite (3), ovale (4)</w:t>
      </w:r>
    </w:p>
    <w:p w:rsidR="005F1D8B" w:rsidRPr="00773091" w:rsidRDefault="005F1D8B" w:rsidP="00757845">
      <w:pPr>
        <w:ind w:left="851"/>
        <w:rPr>
          <w:rFonts w:cs="Arial"/>
          <w:lang w:val="fr-FR"/>
        </w:rPr>
      </w:pPr>
    </w:p>
    <w:p w:rsidR="005F1D8B" w:rsidRPr="00773091" w:rsidRDefault="00915621" w:rsidP="00757845">
      <w:pPr>
        <w:keepNext/>
        <w:ind w:left="851"/>
        <w:rPr>
          <w:rFonts w:cs="Arial"/>
          <w:i/>
          <w:lang w:val="fr-FR"/>
        </w:rPr>
      </w:pPr>
      <w:r w:rsidRPr="00773091">
        <w:rPr>
          <w:rFonts w:cs="Arial"/>
          <w:i/>
          <w:lang w:val="fr-FR"/>
        </w:rPr>
        <w:t>Exemple n°</w:t>
      </w:r>
      <w:r w:rsidR="00041911">
        <w:rPr>
          <w:rFonts w:cs="Arial"/>
          <w:i/>
          <w:lang w:val="fr-FR"/>
        </w:rPr>
        <w:t> </w:t>
      </w:r>
      <w:r w:rsidRPr="00773091">
        <w:rPr>
          <w:rFonts w:cs="Arial"/>
          <w:i/>
          <w:lang w:val="fr-FR"/>
        </w:rPr>
        <w:t>3</w:t>
      </w:r>
      <w:r w:rsidR="00773091">
        <w:rPr>
          <w:rFonts w:cs="Arial"/>
          <w:i/>
          <w:lang w:val="fr-FR"/>
        </w:rPr>
        <w:t> :</w:t>
      </w:r>
    </w:p>
    <w:p w:rsidR="005F1D8B" w:rsidRPr="00773091" w:rsidRDefault="005F1D8B" w:rsidP="00757845">
      <w:pPr>
        <w:keepNext/>
        <w:ind w:left="851"/>
        <w:rPr>
          <w:rFonts w:cs="Arial"/>
          <w:lang w:val="fr-FR"/>
        </w:rPr>
      </w:pPr>
    </w:p>
    <w:p w:rsidR="005F1D8B" w:rsidRPr="00773091" w:rsidRDefault="00915621" w:rsidP="00757845">
      <w:pPr>
        <w:ind w:left="851"/>
        <w:rPr>
          <w:lang w:val="fr-FR"/>
        </w:rPr>
      </w:pPr>
      <w:r w:rsidRPr="00773091">
        <w:rPr>
          <w:lang w:val="fr-FR"/>
        </w:rPr>
        <w:t>Couleur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vert (note</w:t>
      </w:r>
      <w:r w:rsidR="0044586D">
        <w:rPr>
          <w:lang w:val="fr-FR"/>
        </w:rPr>
        <w:t> </w:t>
      </w:r>
      <w:r w:rsidRPr="00773091">
        <w:rPr>
          <w:lang w:val="fr-FR"/>
        </w:rPr>
        <w:t>1), vert</w:t>
      </w:r>
      <w:r w:rsidR="00773091">
        <w:rPr>
          <w:lang w:val="fr-FR"/>
        </w:rPr>
        <w:t>-</w:t>
      </w:r>
      <w:r w:rsidRPr="00773091">
        <w:rPr>
          <w:lang w:val="fr-FR"/>
        </w:rPr>
        <w:t>jaune (2), jaune</w:t>
      </w:r>
      <w:r w:rsidR="00773091">
        <w:rPr>
          <w:lang w:val="fr-FR"/>
        </w:rPr>
        <w:t>-</w:t>
      </w:r>
      <w:r w:rsidRPr="00773091">
        <w:rPr>
          <w:lang w:val="fr-FR"/>
        </w:rPr>
        <w:t>vert (3), jaune (4), orange (5), rouge (6)</w:t>
      </w:r>
    </w:p>
    <w:p w:rsidR="005F1D8B" w:rsidRPr="00773091" w:rsidRDefault="005F1D8B" w:rsidP="00757845">
      <w:pPr>
        <w:ind w:left="851"/>
        <w:rPr>
          <w:rFonts w:cs="Arial"/>
          <w:lang w:val="fr-FR"/>
        </w:rPr>
      </w:pPr>
    </w:p>
    <w:p w:rsidR="005F1D8B" w:rsidRPr="00773091" w:rsidRDefault="00915621" w:rsidP="00757845">
      <w:pPr>
        <w:rPr>
          <w:rFonts w:cs="Arial"/>
          <w:lang w:val="fr-FR"/>
        </w:rPr>
      </w:pPr>
      <w:r w:rsidRPr="00773091">
        <w:rPr>
          <w:rFonts w:cs="Arial"/>
          <w:lang w:val="fr-FR"/>
        </w:rPr>
        <w:t>En ce qui concerne les exemples nos 1 et 2, il n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 xml:space="preserve">est pas judicieux de dire que la “différence” </w:t>
      </w:r>
      <w:proofErr w:type="spellStart"/>
      <w:r w:rsidRPr="00773091">
        <w:rPr>
          <w:rFonts w:cs="Arial"/>
          <w:lang w:val="fr-FR"/>
        </w:rPr>
        <w:t>intervariétale</w:t>
      </w:r>
      <w:proofErr w:type="spellEnd"/>
      <w:r w:rsidRPr="00773091">
        <w:rPr>
          <w:rFonts w:cs="Arial"/>
          <w:lang w:val="fr-FR"/>
        </w:rPr>
        <w:t xml:space="preserve"> pour les notes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 xml:space="preserve">1 et 2 est inférieure à la différence </w:t>
      </w:r>
      <w:proofErr w:type="spellStart"/>
      <w:r w:rsidRPr="00773091">
        <w:rPr>
          <w:rFonts w:cs="Arial"/>
          <w:lang w:val="fr-FR"/>
        </w:rPr>
        <w:t>intervariétale</w:t>
      </w:r>
      <w:proofErr w:type="spellEnd"/>
      <w:r w:rsidRPr="00773091">
        <w:rPr>
          <w:rFonts w:cs="Arial"/>
          <w:lang w:val="fr-FR"/>
        </w:rPr>
        <w:t xml:space="preserve"> pour les notes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1 et 4, même si leur “différence” correspond à une et trois</w:t>
      </w:r>
      <w:r w:rsidR="00041911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notes, respectivement.</w:t>
      </w:r>
      <w:r w:rsidR="00041911">
        <w:rPr>
          <w:rFonts w:cs="Arial"/>
          <w:lang w:val="fr-FR"/>
        </w:rPr>
        <w:t xml:space="preserve"> </w:t>
      </w:r>
      <w:r w:rsidRPr="00773091">
        <w:rPr>
          <w:rFonts w:cs="Arial"/>
          <w:lang w:val="fr-FR"/>
        </w:rPr>
        <w:t xml:space="preserve"> Dans certains cas, la différence entre la note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2 et la note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3 peut être supérieure à la différence entre la note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1 et la note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4.  Toutefois, l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exemple n°</w:t>
      </w:r>
      <w:r w:rsidR="00041911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3 montre que, pour certaines parties de la gamme d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expression des caractères pseudo</w:t>
      </w:r>
      <w:r w:rsidR="00773091">
        <w:rPr>
          <w:rFonts w:cs="Arial"/>
          <w:lang w:val="fr-FR"/>
        </w:rPr>
        <w:t>-</w:t>
      </w:r>
      <w:r w:rsidRPr="00773091">
        <w:rPr>
          <w:rFonts w:cs="Arial"/>
          <w:lang w:val="fr-FR"/>
        </w:rPr>
        <w:t>qualitatifs, il est possible d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opter pour une méthode analogue à celle qui est utilisée pour les caractères quantitatifs, c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est</w:t>
      </w:r>
      <w:r w:rsidR="00773091">
        <w:rPr>
          <w:rFonts w:cs="Arial"/>
          <w:lang w:val="fr-FR"/>
        </w:rPr>
        <w:t>-</w:t>
      </w:r>
      <w:r w:rsidRPr="00773091">
        <w:rPr>
          <w:rFonts w:cs="Arial"/>
          <w:lang w:val="fr-FR"/>
        </w:rPr>
        <w:t>à</w:t>
      </w:r>
      <w:r w:rsidR="00773091">
        <w:rPr>
          <w:rFonts w:cs="Arial"/>
          <w:lang w:val="fr-FR"/>
        </w:rPr>
        <w:t>-</w:t>
      </w:r>
      <w:r w:rsidRPr="00773091">
        <w:rPr>
          <w:rFonts w:cs="Arial"/>
          <w:lang w:val="fr-FR"/>
        </w:rPr>
        <w:t>dire pour les variétés avec les niveaux d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expression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2 et 3 (différence d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une note) qui présentent une différence inférieure aux variétés avec les niveaux d</w:t>
      </w:r>
      <w:r w:rsidR="00773091">
        <w:rPr>
          <w:rFonts w:cs="Arial"/>
          <w:lang w:val="fr-FR"/>
        </w:rPr>
        <w:t>’</w:t>
      </w:r>
      <w:r w:rsidRPr="00773091">
        <w:rPr>
          <w:rFonts w:cs="Arial"/>
          <w:lang w:val="fr-FR"/>
        </w:rPr>
        <w:t>expression</w:t>
      </w:r>
      <w:r w:rsidR="0044586D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1 et 4 (différence de trois</w:t>
      </w:r>
      <w:r w:rsidR="00041911">
        <w:rPr>
          <w:rFonts w:cs="Arial"/>
          <w:lang w:val="fr-FR"/>
        </w:rPr>
        <w:t> </w:t>
      </w:r>
      <w:r w:rsidRPr="00773091">
        <w:rPr>
          <w:rFonts w:cs="Arial"/>
          <w:lang w:val="fr-FR"/>
        </w:rPr>
        <w:t>notes).</w:t>
      </w:r>
    </w:p>
    <w:p w:rsidR="005F1D8B" w:rsidRPr="00773091" w:rsidRDefault="005F1D8B" w:rsidP="00757845">
      <w:pPr>
        <w:jc w:val="center"/>
        <w:rPr>
          <w:rFonts w:cs="Arial"/>
          <w:lang w:val="fr-FR"/>
        </w:rPr>
      </w:pPr>
    </w:p>
    <w:p w:rsidR="005F1D8B" w:rsidRPr="00773091" w:rsidRDefault="005F1D8B" w:rsidP="00757845">
      <w:pPr>
        <w:rPr>
          <w:rFonts w:cs="Arial"/>
          <w:lang w:val="fr-FR"/>
        </w:rPr>
      </w:pPr>
    </w:p>
    <w:p w:rsidR="005F1D8B" w:rsidRPr="00773091" w:rsidRDefault="005F1D8B" w:rsidP="00757845">
      <w:pPr>
        <w:rPr>
          <w:rFonts w:cs="Arial"/>
          <w:lang w:val="fr-FR"/>
        </w:rPr>
      </w:pPr>
    </w:p>
    <w:p w:rsidR="00757845" w:rsidRPr="00773091" w:rsidRDefault="00757845" w:rsidP="00BD2F6C">
      <w:pPr>
        <w:pStyle w:val="endofdoc"/>
        <w:rPr>
          <w:lang w:val="fr-FR"/>
        </w:rPr>
        <w:sectPr w:rsidR="00757845" w:rsidRPr="00773091" w:rsidSect="00757845">
          <w:head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773091">
        <w:rPr>
          <w:lang w:val="fr-FR"/>
        </w:rPr>
        <w:t>[</w:t>
      </w:r>
      <w:r w:rsidR="00BD2F6C" w:rsidRPr="00773091">
        <w:rPr>
          <w:lang w:val="fr-FR"/>
        </w:rPr>
        <w:t>L</w:t>
      </w:r>
      <w:r w:rsidR="00773091">
        <w:rPr>
          <w:lang w:val="fr-FR"/>
        </w:rPr>
        <w:t>’</w:t>
      </w:r>
      <w:r w:rsidR="00773091" w:rsidRPr="00773091">
        <w:rPr>
          <w:lang w:val="fr-FR"/>
        </w:rPr>
        <w:t>annexe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I</w:t>
      </w:r>
      <w:r w:rsidRPr="00773091">
        <w:rPr>
          <w:lang w:val="fr-FR"/>
        </w:rPr>
        <w:t xml:space="preserve">V </w:t>
      </w:r>
      <w:r w:rsidR="00BD2F6C" w:rsidRPr="00773091">
        <w:rPr>
          <w:lang w:val="fr-FR"/>
        </w:rPr>
        <w:t>suit</w:t>
      </w:r>
      <w:r w:rsidRPr="00773091">
        <w:rPr>
          <w:lang w:val="fr-FR"/>
        </w:rPr>
        <w:t>]</w:t>
      </w:r>
    </w:p>
    <w:p w:rsidR="005F1D8B" w:rsidRPr="00773091" w:rsidRDefault="00BD2F6C" w:rsidP="00757845">
      <w:pPr>
        <w:jc w:val="center"/>
        <w:rPr>
          <w:lang w:val="fr-FR"/>
        </w:rPr>
      </w:pPr>
      <w:r w:rsidRPr="00773091">
        <w:rPr>
          <w:lang w:val="fr-FR"/>
        </w:rPr>
        <w:lastRenderedPageBreak/>
        <w:t>EXTRAI</w:t>
      </w:r>
      <w:r w:rsidR="00757845" w:rsidRPr="00773091">
        <w:rPr>
          <w:lang w:val="fr-FR"/>
        </w:rPr>
        <w:t xml:space="preserve">T </w:t>
      </w:r>
      <w:r w:rsidRPr="00773091">
        <w:rPr>
          <w:lang w:val="fr-FR"/>
        </w:rPr>
        <w:t>DU</w:t>
      </w:r>
      <w:r w:rsidR="00757845" w:rsidRPr="00773091">
        <w:rPr>
          <w:lang w:val="fr-FR"/>
        </w:rPr>
        <w:t xml:space="preserve"> DOCUMENT</w:t>
      </w:r>
      <w:r w:rsidR="0044586D">
        <w:rPr>
          <w:lang w:val="fr-FR"/>
        </w:rPr>
        <w:t> </w:t>
      </w:r>
      <w:r w:rsidR="00757845" w:rsidRPr="00773091">
        <w:rPr>
          <w:lang w:val="fr-FR"/>
        </w:rPr>
        <w:t>TGP/14 “</w:t>
      </w:r>
      <w:r w:rsidRPr="00773091">
        <w:rPr>
          <w:lang w:val="fr-FR"/>
        </w:rPr>
        <w:t>GLOSSAIRE DE TERMES UTILISÉS DANS LES DOCUMENTS DE L</w:t>
      </w:r>
      <w:r w:rsidR="00773091">
        <w:rPr>
          <w:lang w:val="fr-FR"/>
        </w:rPr>
        <w:t>’</w:t>
      </w:r>
      <w:r w:rsidRPr="00773091">
        <w:rPr>
          <w:lang w:val="fr-FR"/>
        </w:rPr>
        <w:t>UPOV</w:t>
      </w:r>
      <w:r w:rsidR="00757845" w:rsidRPr="00773091">
        <w:rPr>
          <w:lang w:val="fr-FR"/>
        </w:rPr>
        <w:t>”</w:t>
      </w:r>
    </w:p>
    <w:p w:rsidR="005F1D8B" w:rsidRPr="00773091" w:rsidRDefault="005F1D8B" w:rsidP="00757845">
      <w:pPr>
        <w:jc w:val="center"/>
        <w:rPr>
          <w:lang w:val="fr-FR"/>
        </w:rPr>
      </w:pPr>
    </w:p>
    <w:p w:rsidR="005F1D8B" w:rsidRPr="00773091" w:rsidRDefault="00BD2F6C" w:rsidP="00757845">
      <w:pPr>
        <w:rPr>
          <w:caps/>
          <w:lang w:val="fr-FR"/>
        </w:rPr>
      </w:pPr>
      <w:r w:rsidRPr="00773091">
        <w:rPr>
          <w:caps/>
          <w:lang w:val="fr-FR"/>
        </w:rPr>
        <w:t>SOUS</w:t>
      </w:r>
      <w:r w:rsidR="00773091">
        <w:rPr>
          <w:caps/>
          <w:lang w:val="fr-FR"/>
        </w:rPr>
        <w:t>-</w:t>
      </w:r>
      <w:r w:rsidRPr="00773091">
        <w:rPr>
          <w:caps/>
          <w:lang w:val="fr-FR"/>
        </w:rPr>
        <w:t>SECTION</w:t>
      </w:r>
      <w:r w:rsidR="0044586D">
        <w:rPr>
          <w:caps/>
          <w:lang w:val="fr-FR"/>
        </w:rPr>
        <w:t> </w:t>
      </w:r>
      <w:r w:rsidRPr="00773091">
        <w:rPr>
          <w:caps/>
          <w:lang w:val="fr-FR"/>
        </w:rPr>
        <w:t xml:space="preserve">2. </w:t>
      </w:r>
      <w:r w:rsidR="00041911">
        <w:rPr>
          <w:caps/>
          <w:lang w:val="fr-FR"/>
        </w:rPr>
        <w:t xml:space="preserve"> </w:t>
      </w:r>
      <w:r w:rsidRPr="00773091">
        <w:rPr>
          <w:caps/>
          <w:lang w:val="fr-FR"/>
        </w:rPr>
        <w:t>FORMES ET STRUCTURES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BD2F6C" w:rsidP="00757845">
      <w:pPr>
        <w:numPr>
          <w:ilvl w:val="0"/>
          <w:numId w:val="1"/>
        </w:numPr>
        <w:ind w:left="567" w:hanging="567"/>
        <w:contextualSpacing/>
        <w:rPr>
          <w:u w:val="single"/>
          <w:lang w:val="fr-FR"/>
        </w:rPr>
      </w:pPr>
      <w:r w:rsidRPr="00773091">
        <w:rPr>
          <w:u w:val="single"/>
          <w:lang w:val="fr-FR"/>
        </w:rPr>
        <w:t>FORME</w:t>
      </w:r>
    </w:p>
    <w:p w:rsidR="005F1D8B" w:rsidRPr="00773091" w:rsidRDefault="00757845" w:rsidP="00757845">
      <w:pPr>
        <w:rPr>
          <w:u w:val="single"/>
          <w:lang w:val="fr-FR"/>
        </w:rPr>
      </w:pPr>
      <w:r w:rsidRPr="00773091">
        <w:rPr>
          <w:u w:val="single"/>
          <w:lang w:val="fr-FR"/>
        </w:rPr>
        <w:t>[…]</w:t>
      </w:r>
    </w:p>
    <w:p w:rsidR="005F1D8B" w:rsidRPr="00773091" w:rsidRDefault="00757845" w:rsidP="00757845">
      <w:pPr>
        <w:rPr>
          <w:i/>
          <w:lang w:val="fr-FR"/>
        </w:rPr>
      </w:pPr>
      <w:r w:rsidRPr="00773091">
        <w:rPr>
          <w:i/>
          <w:lang w:val="fr-FR"/>
        </w:rPr>
        <w:t>2.</w:t>
      </w:r>
      <w:r w:rsidRPr="00773091">
        <w:rPr>
          <w:i/>
          <w:lang w:val="fr-FR"/>
        </w:rPr>
        <w:tab/>
      </w:r>
      <w:r w:rsidR="00BD2F6C" w:rsidRPr="00773091">
        <w:rPr>
          <w:i/>
          <w:lang w:val="fr-FR"/>
        </w:rPr>
        <w:t>Élaboration des caractères liés à la forme</w:t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757845" w:rsidP="00757845">
      <w:pPr>
        <w:ind w:left="567"/>
        <w:rPr>
          <w:u w:val="single"/>
          <w:lang w:val="fr-FR"/>
        </w:rPr>
      </w:pPr>
      <w:r w:rsidRPr="00773091">
        <w:rPr>
          <w:u w:val="single"/>
          <w:lang w:val="fr-FR"/>
        </w:rPr>
        <w:t>2.2</w:t>
      </w:r>
      <w:r w:rsidRPr="00773091">
        <w:rPr>
          <w:u w:val="single"/>
          <w:lang w:val="fr-FR"/>
        </w:rPr>
        <w:tab/>
      </w:r>
      <w:r w:rsidR="00BD2F6C" w:rsidRPr="00773091">
        <w:rPr>
          <w:u w:val="single"/>
          <w:lang w:val="fr-FR"/>
        </w:rPr>
        <w:t>Caractères liés à la forme entièrement plane</w:t>
      </w:r>
    </w:p>
    <w:p w:rsidR="005F1D8B" w:rsidRPr="00773091" w:rsidRDefault="00757845" w:rsidP="00757845">
      <w:pPr>
        <w:ind w:left="567"/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5F1D8B" w:rsidP="00757845">
      <w:pPr>
        <w:ind w:left="567"/>
        <w:rPr>
          <w:lang w:val="fr-FR"/>
        </w:rPr>
      </w:pPr>
    </w:p>
    <w:p w:rsidR="005F1D8B" w:rsidRPr="00773091" w:rsidRDefault="00757845" w:rsidP="00757845">
      <w:pPr>
        <w:rPr>
          <w:i/>
          <w:lang w:val="fr-FR"/>
        </w:rPr>
      </w:pPr>
      <w:r w:rsidRPr="00773091">
        <w:rPr>
          <w:i/>
          <w:lang w:val="fr-FR"/>
        </w:rPr>
        <w:t>Ex</w:t>
      </w:r>
      <w:r w:rsidR="00BD2F6C" w:rsidRPr="00773091">
        <w:rPr>
          <w:i/>
          <w:lang w:val="fr-FR"/>
        </w:rPr>
        <w:t>e</w:t>
      </w:r>
      <w:r w:rsidRPr="00773091">
        <w:rPr>
          <w:i/>
          <w:lang w:val="fr-FR"/>
        </w:rPr>
        <w:t>mple</w:t>
      </w:r>
      <w:r w:rsidR="0044586D">
        <w:rPr>
          <w:i/>
          <w:lang w:val="fr-FR"/>
        </w:rPr>
        <w:t> </w:t>
      </w:r>
      <w:r w:rsidRPr="00773091">
        <w:rPr>
          <w:i/>
          <w:lang w:val="fr-FR"/>
        </w:rPr>
        <w:t>1</w:t>
      </w:r>
      <w:r w:rsidR="00773091">
        <w:rPr>
          <w:i/>
          <w:lang w:val="fr-FR"/>
        </w:rPr>
        <w:t> :</w:t>
      </w:r>
      <w:r w:rsidRPr="00773091">
        <w:rPr>
          <w:i/>
          <w:lang w:val="fr-FR"/>
        </w:rPr>
        <w:t xml:space="preserve"> </w:t>
      </w:r>
      <w:r w:rsidR="00BD2F6C" w:rsidRPr="00773091">
        <w:rPr>
          <w:i/>
          <w:lang w:val="fr-FR"/>
        </w:rPr>
        <w:t xml:space="preserve">variation dans le rapport longueur/largeur </w:t>
      </w:r>
      <w:r w:rsidR="007B3C6C" w:rsidRPr="00773091">
        <w:rPr>
          <w:i/>
          <w:lang w:val="fr-FR"/>
        </w:rPr>
        <w:t>seulement</w:t>
      </w:r>
      <w:r w:rsidRPr="00773091">
        <w:rPr>
          <w:i/>
          <w:lang w:val="fr-FR"/>
        </w:rPr>
        <w:t>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BD2F6C" w:rsidP="00757845">
      <w:pPr>
        <w:shd w:val="clear" w:color="auto" w:fill="FFFFFF"/>
        <w:ind w:left="360"/>
        <w:rPr>
          <w:lang w:val="fr-FR"/>
        </w:rPr>
      </w:pPr>
      <w:r w:rsidRPr="00773091">
        <w:rPr>
          <w:lang w:val="fr-FR"/>
        </w:rPr>
        <w:t>Variante</w:t>
      </w:r>
      <w:r w:rsidR="0044586D">
        <w:rPr>
          <w:lang w:val="fr-FR"/>
        </w:rPr>
        <w:t> </w:t>
      </w:r>
      <w:r w:rsidRPr="00773091">
        <w:rPr>
          <w:lang w:val="fr-FR"/>
        </w:rPr>
        <w:t>1</w:t>
      </w:r>
    </w:p>
    <w:p w:rsidR="005F1D8B" w:rsidRPr="00773091" w:rsidRDefault="00BD2F6C" w:rsidP="00757845">
      <w:pPr>
        <w:shd w:val="clear" w:color="auto" w:fill="FFFFFF"/>
        <w:ind w:left="567"/>
        <w:rPr>
          <w:rFonts w:cs="Angsana New"/>
          <w:szCs w:val="24"/>
          <w:lang w:val="fr-FR" w:bidi="th-TH"/>
        </w:rPr>
      </w:pPr>
      <w:r w:rsidRPr="00773091">
        <w:rPr>
          <w:rFonts w:cs="Angsana New"/>
          <w:szCs w:val="24"/>
          <w:lang w:val="fr-FR" w:bidi="th-TH"/>
        </w:rPr>
        <w:t>Plante [partie]</w:t>
      </w:r>
      <w:r w:rsidR="00773091">
        <w:rPr>
          <w:rFonts w:cs="Angsana New"/>
          <w:szCs w:val="24"/>
          <w:lang w:val="fr-FR" w:bidi="th-TH"/>
        </w:rPr>
        <w:t> :</w:t>
      </w:r>
      <w:r w:rsidRPr="00773091">
        <w:rPr>
          <w:rFonts w:cs="Angsana New"/>
          <w:szCs w:val="24"/>
          <w:lang w:val="fr-FR" w:bidi="th-TH"/>
        </w:rPr>
        <w:t xml:space="preserve"> rapport longueur/largeur (bas </w:t>
      </w:r>
      <w:proofErr w:type="gramStart"/>
      <w:r w:rsidRPr="00773091">
        <w:rPr>
          <w:rFonts w:cs="Angsana New"/>
          <w:szCs w:val="24"/>
          <w:lang w:val="fr-FR" w:bidi="th-TH"/>
        </w:rPr>
        <w:t>à</w:t>
      </w:r>
      <w:proofErr w:type="gramEnd"/>
      <w:r w:rsidRPr="00773091">
        <w:rPr>
          <w:rFonts w:cs="Angsana New"/>
          <w:szCs w:val="24"/>
          <w:lang w:val="fr-FR" w:bidi="th-TH"/>
        </w:rPr>
        <w:t xml:space="preserve"> </w:t>
      </w:r>
      <w:proofErr w:type="spellStart"/>
      <w:r w:rsidRPr="00773091">
        <w:rPr>
          <w:rFonts w:cs="Angsana New"/>
          <w:szCs w:val="24"/>
          <w:lang w:val="fr-FR" w:bidi="th-TH"/>
        </w:rPr>
        <w:t>élevé</w:t>
      </w:r>
      <w:proofErr w:type="spellEnd"/>
      <w:r w:rsidRPr="00773091">
        <w:rPr>
          <w:rFonts w:cs="Angsana New"/>
          <w:szCs w:val="24"/>
          <w:lang w:val="fr-FR" w:bidi="th-TH"/>
        </w:rPr>
        <w:t>) (QN)</w:t>
      </w:r>
    </w:p>
    <w:p w:rsidR="005F1D8B" w:rsidRPr="00773091" w:rsidRDefault="005F1D8B" w:rsidP="00757845">
      <w:pPr>
        <w:shd w:val="clear" w:color="auto" w:fill="FFFFFF"/>
        <w:ind w:left="360"/>
        <w:rPr>
          <w:rFonts w:cs="Angsana New"/>
          <w:szCs w:val="24"/>
          <w:lang w:val="fr-FR" w:bidi="th-TH"/>
        </w:rPr>
      </w:pPr>
    </w:p>
    <w:p w:rsidR="005F1D8B" w:rsidRPr="00773091" w:rsidRDefault="00BD2F6C" w:rsidP="00757845">
      <w:pPr>
        <w:shd w:val="clear" w:color="auto" w:fill="FFFFFF"/>
        <w:ind w:left="360"/>
        <w:rPr>
          <w:lang w:val="fr-FR"/>
        </w:rPr>
      </w:pPr>
      <w:r w:rsidRPr="00773091">
        <w:rPr>
          <w:lang w:val="fr-FR"/>
        </w:rPr>
        <w:t>Variante</w:t>
      </w:r>
      <w:r w:rsidR="0044586D">
        <w:rPr>
          <w:lang w:val="fr-FR"/>
        </w:rPr>
        <w:t> </w:t>
      </w:r>
      <w:r w:rsidRPr="00773091">
        <w:rPr>
          <w:lang w:val="fr-FR"/>
        </w:rPr>
        <w:t>2</w:t>
      </w:r>
    </w:p>
    <w:p w:rsidR="005F1D8B" w:rsidRPr="00773091" w:rsidRDefault="00BD2F6C" w:rsidP="00757845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  <w:r w:rsidRPr="00773091">
        <w:rPr>
          <w:rFonts w:cs="Angsana New"/>
          <w:szCs w:val="24"/>
          <w:lang w:val="fr-FR" w:bidi="th-TH"/>
        </w:rPr>
        <w:t>Plante [partie]</w:t>
      </w:r>
      <w:r w:rsidR="00773091">
        <w:rPr>
          <w:rFonts w:cs="Angsana New"/>
          <w:szCs w:val="24"/>
          <w:lang w:val="fr-FR" w:bidi="th-TH"/>
        </w:rPr>
        <w:t> :</w:t>
      </w:r>
      <w:r w:rsidRPr="00773091">
        <w:rPr>
          <w:rFonts w:cs="Angsana New"/>
          <w:szCs w:val="24"/>
          <w:lang w:val="fr-FR" w:bidi="th-TH"/>
        </w:rPr>
        <w:t xml:space="preserve"> forme (</w:t>
      </w:r>
      <w:proofErr w:type="spellStart"/>
      <w:r w:rsidRPr="00773091">
        <w:rPr>
          <w:rFonts w:cs="Angsana New"/>
          <w:szCs w:val="24"/>
          <w:lang w:val="fr-FR" w:bidi="th-TH"/>
        </w:rPr>
        <w:t>obovale</w:t>
      </w:r>
      <w:proofErr w:type="spellEnd"/>
      <w:r w:rsidRPr="00773091">
        <w:rPr>
          <w:rFonts w:cs="Angsana New"/>
          <w:szCs w:val="24"/>
          <w:lang w:val="fr-FR" w:bidi="th-TH"/>
        </w:rPr>
        <w:t xml:space="preserve"> large (1</w:t>
      </w:r>
      <w:proofErr w:type="gramStart"/>
      <w:r w:rsidRPr="00773091">
        <w:rPr>
          <w:rFonts w:cs="Angsana New"/>
          <w:szCs w:val="24"/>
          <w:lang w:val="fr-FR" w:bidi="th-TH"/>
        </w:rPr>
        <w:t xml:space="preserve">); </w:t>
      </w:r>
      <w:r w:rsidR="00041911">
        <w:rPr>
          <w:rFonts w:cs="Angsana New"/>
          <w:szCs w:val="24"/>
          <w:lang w:val="fr-FR" w:bidi="th-TH"/>
        </w:rPr>
        <w:t xml:space="preserve"> </w:t>
      </w:r>
      <w:r w:rsidRPr="00773091">
        <w:rPr>
          <w:rFonts w:cs="Angsana New"/>
          <w:szCs w:val="24"/>
          <w:lang w:val="fr-FR" w:bidi="th-TH"/>
        </w:rPr>
        <w:t>demi</w:t>
      </w:r>
      <w:proofErr w:type="gramEnd"/>
      <w:r w:rsidR="00773091">
        <w:rPr>
          <w:rFonts w:cs="Angsana New"/>
          <w:szCs w:val="24"/>
          <w:lang w:val="fr-FR" w:bidi="th-TH"/>
        </w:rPr>
        <w:t>-</w:t>
      </w:r>
      <w:proofErr w:type="spellStart"/>
      <w:r w:rsidRPr="00773091">
        <w:rPr>
          <w:rFonts w:cs="Angsana New"/>
          <w:szCs w:val="24"/>
          <w:lang w:val="fr-FR" w:bidi="th-TH"/>
        </w:rPr>
        <w:t>obovale</w:t>
      </w:r>
      <w:proofErr w:type="spellEnd"/>
      <w:r w:rsidRPr="00773091">
        <w:rPr>
          <w:rFonts w:cs="Angsana New"/>
          <w:szCs w:val="24"/>
          <w:lang w:val="fr-FR" w:bidi="th-TH"/>
        </w:rPr>
        <w:t xml:space="preserve"> (2);</w:t>
      </w:r>
      <w:r w:rsidR="00041911">
        <w:rPr>
          <w:rFonts w:cs="Angsana New"/>
          <w:szCs w:val="24"/>
          <w:lang w:val="fr-FR" w:bidi="th-TH"/>
        </w:rPr>
        <w:t xml:space="preserve"> </w:t>
      </w:r>
      <w:r w:rsidRPr="00773091">
        <w:rPr>
          <w:rFonts w:cs="Angsana New"/>
          <w:szCs w:val="24"/>
          <w:lang w:val="fr-FR" w:bidi="th-TH"/>
        </w:rPr>
        <w:t xml:space="preserve"> </w:t>
      </w:r>
      <w:proofErr w:type="spellStart"/>
      <w:r w:rsidRPr="00773091">
        <w:rPr>
          <w:rFonts w:cs="Angsana New"/>
          <w:szCs w:val="24"/>
          <w:lang w:val="fr-FR" w:bidi="th-TH"/>
        </w:rPr>
        <w:t>obovale</w:t>
      </w:r>
      <w:proofErr w:type="spellEnd"/>
      <w:r w:rsidRPr="00773091">
        <w:rPr>
          <w:rFonts w:cs="Angsana New"/>
          <w:szCs w:val="24"/>
          <w:lang w:val="fr-FR" w:bidi="th-TH"/>
        </w:rPr>
        <w:t xml:space="preserve"> étroite (3)) (QN)</w:t>
      </w:r>
    </w:p>
    <w:p w:rsidR="005F1D8B" w:rsidRPr="00773091" w:rsidRDefault="005F1D8B" w:rsidP="00757845">
      <w:pPr>
        <w:shd w:val="clear" w:color="auto" w:fill="FFFFFF"/>
        <w:ind w:left="562"/>
        <w:rPr>
          <w:rFonts w:cs="Angsana New"/>
          <w:i/>
          <w:szCs w:val="24"/>
          <w:lang w:val="fr-FR" w:bidi="th-TH"/>
        </w:rPr>
      </w:pPr>
    </w:p>
    <w:p w:rsidR="005F1D8B" w:rsidRPr="00773091" w:rsidRDefault="00BD2F6C" w:rsidP="00757845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  <w:proofErr w:type="gramStart"/>
      <w:r w:rsidRPr="00773091">
        <w:rPr>
          <w:rFonts w:cs="Angsana New"/>
          <w:szCs w:val="24"/>
          <w:lang w:val="fr-FR" w:bidi="th-TH"/>
        </w:rPr>
        <w:t>avec</w:t>
      </w:r>
      <w:proofErr w:type="gramEnd"/>
      <w:r w:rsidRPr="00773091">
        <w:rPr>
          <w:rFonts w:cs="Angsana New"/>
          <w:szCs w:val="24"/>
          <w:lang w:val="fr-FR" w:bidi="th-TH"/>
        </w:rPr>
        <w:t xml:space="preserve"> l</w:t>
      </w:r>
      <w:r w:rsidR="00773091">
        <w:rPr>
          <w:rFonts w:cs="Angsana New"/>
          <w:szCs w:val="24"/>
          <w:lang w:val="fr-FR" w:bidi="th-TH"/>
        </w:rPr>
        <w:t>’</w:t>
      </w:r>
      <w:r w:rsidRPr="00773091">
        <w:rPr>
          <w:rFonts w:cs="Angsana New"/>
          <w:szCs w:val="24"/>
          <w:lang w:val="fr-FR" w:bidi="th-TH"/>
        </w:rPr>
        <w:t>illustration suivante</w:t>
      </w:r>
      <w:r w:rsidR="00773091">
        <w:rPr>
          <w:rFonts w:cs="Angsana New"/>
          <w:szCs w:val="24"/>
          <w:lang w:val="fr-FR" w:bidi="th-TH"/>
        </w:rPr>
        <w:t> :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310BAD" w:rsidP="00757845">
      <w:pPr>
        <w:jc w:val="center"/>
        <w:rPr>
          <w:lang w:val="fr-FR"/>
        </w:rPr>
      </w:pPr>
      <w:r w:rsidRPr="00773091">
        <w:rPr>
          <w:noProof/>
        </w:rPr>
        <w:drawing>
          <wp:inline distT="0" distB="0" distL="0" distR="0" wp14:anchorId="6D7785C4" wp14:editId="000F6ABA">
            <wp:extent cx="4640713" cy="1307623"/>
            <wp:effectExtent l="0" t="0" r="762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78741" cy="1318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5F1D8B" w:rsidP="00757845">
      <w:pPr>
        <w:rPr>
          <w:lang w:val="fr-FR"/>
        </w:rPr>
      </w:pPr>
    </w:p>
    <w:p w:rsidR="00773091" w:rsidRDefault="00757845" w:rsidP="00757845">
      <w:pPr>
        <w:rPr>
          <w:i/>
          <w:lang w:val="fr-FR"/>
        </w:rPr>
      </w:pPr>
      <w:r w:rsidRPr="00773091">
        <w:rPr>
          <w:i/>
          <w:lang w:val="fr-FR"/>
        </w:rPr>
        <w:t>Ex</w:t>
      </w:r>
      <w:r w:rsidR="007B3C6C" w:rsidRPr="00773091">
        <w:rPr>
          <w:i/>
          <w:lang w:val="fr-FR"/>
        </w:rPr>
        <w:t>e</w:t>
      </w:r>
      <w:r w:rsidRPr="00773091">
        <w:rPr>
          <w:i/>
          <w:lang w:val="fr-FR"/>
        </w:rPr>
        <w:t>mple</w:t>
      </w:r>
      <w:r w:rsidR="0044586D">
        <w:rPr>
          <w:i/>
          <w:lang w:val="fr-FR"/>
        </w:rPr>
        <w:t> </w:t>
      </w:r>
      <w:r w:rsidRPr="00773091">
        <w:rPr>
          <w:i/>
          <w:lang w:val="fr-FR"/>
        </w:rPr>
        <w:t>2</w:t>
      </w:r>
      <w:r w:rsidR="00773091">
        <w:rPr>
          <w:i/>
          <w:lang w:val="fr-FR"/>
        </w:rPr>
        <w:t> :</w:t>
      </w:r>
      <w:r w:rsidR="007B3C6C" w:rsidRPr="00773091">
        <w:rPr>
          <w:i/>
          <w:lang w:val="fr-FR"/>
        </w:rPr>
        <w:t xml:space="preserve"> variation dans la position de la partie la plus large seulement</w:t>
      </w:r>
      <w:r w:rsidRPr="00773091">
        <w:rPr>
          <w:i/>
          <w:lang w:val="fr-FR"/>
        </w:rPr>
        <w:t>.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B3C6C" w:rsidP="00757845">
      <w:pPr>
        <w:ind w:left="360"/>
        <w:rPr>
          <w:lang w:val="fr-FR"/>
        </w:rPr>
      </w:pPr>
      <w:r w:rsidRPr="00773091">
        <w:rPr>
          <w:lang w:val="fr-FR"/>
        </w:rPr>
        <w:t>Variante</w:t>
      </w:r>
      <w:r w:rsidR="0044586D">
        <w:rPr>
          <w:lang w:val="fr-FR"/>
        </w:rPr>
        <w:t> </w:t>
      </w:r>
      <w:r w:rsidRPr="00773091">
        <w:rPr>
          <w:lang w:val="fr-FR"/>
        </w:rPr>
        <w:t>1</w:t>
      </w:r>
    </w:p>
    <w:p w:rsidR="005F1D8B" w:rsidRPr="00773091" w:rsidRDefault="007B3C6C" w:rsidP="00757845">
      <w:pPr>
        <w:ind w:left="567"/>
        <w:rPr>
          <w:rFonts w:cs="Angsana New"/>
          <w:szCs w:val="24"/>
          <w:lang w:val="fr-FR" w:bidi="th-TH"/>
        </w:rPr>
      </w:pPr>
      <w:r w:rsidRPr="00773091">
        <w:rPr>
          <w:lang w:val="fr-FR"/>
        </w:rPr>
        <w:t>Plante [partie]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position de la partie la plus large (vers la base à vers l</w:t>
      </w:r>
      <w:r w:rsidR="00773091">
        <w:rPr>
          <w:lang w:val="fr-FR"/>
        </w:rPr>
        <w:t>’</w:t>
      </w:r>
      <w:r w:rsidRPr="00773091">
        <w:rPr>
          <w:lang w:val="fr-FR"/>
        </w:rPr>
        <w:t>apex) (QN)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7B3C6C" w:rsidP="00757845">
      <w:pPr>
        <w:shd w:val="clear" w:color="auto" w:fill="FFFFFF"/>
        <w:ind w:left="360"/>
        <w:rPr>
          <w:lang w:val="fr-FR"/>
        </w:rPr>
      </w:pPr>
      <w:r w:rsidRPr="00773091">
        <w:rPr>
          <w:lang w:val="fr-FR"/>
        </w:rPr>
        <w:t>Variante</w:t>
      </w:r>
      <w:r w:rsidR="0044586D">
        <w:rPr>
          <w:lang w:val="fr-FR"/>
        </w:rPr>
        <w:t> </w:t>
      </w:r>
      <w:r w:rsidRPr="00773091">
        <w:rPr>
          <w:lang w:val="fr-FR"/>
        </w:rPr>
        <w:t>2</w:t>
      </w:r>
    </w:p>
    <w:p w:rsidR="005F1D8B" w:rsidRPr="00773091" w:rsidRDefault="007B3C6C" w:rsidP="00757845">
      <w:pPr>
        <w:shd w:val="clear" w:color="auto" w:fill="FFFFFF"/>
        <w:ind w:left="567"/>
        <w:rPr>
          <w:rFonts w:cs="Angsana New"/>
          <w:szCs w:val="24"/>
          <w:lang w:val="fr-FR" w:bidi="th-TH"/>
        </w:rPr>
      </w:pPr>
      <w:r w:rsidRPr="00773091">
        <w:rPr>
          <w:lang w:val="fr-FR"/>
        </w:rPr>
        <w:t>Plante [partie]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forme (ovale (1</w:t>
      </w:r>
      <w:proofErr w:type="gramStart"/>
      <w:r w:rsidRPr="00773091">
        <w:rPr>
          <w:lang w:val="fr-FR"/>
        </w:rPr>
        <w:t xml:space="preserve">); </w:t>
      </w:r>
      <w:r w:rsidR="00041911">
        <w:rPr>
          <w:lang w:val="fr-FR"/>
        </w:rPr>
        <w:t xml:space="preserve"> </w:t>
      </w:r>
      <w:r w:rsidRPr="00773091">
        <w:rPr>
          <w:lang w:val="fr-FR"/>
        </w:rPr>
        <w:t>elliptique</w:t>
      </w:r>
      <w:proofErr w:type="gramEnd"/>
      <w:r w:rsidRPr="00773091">
        <w:rPr>
          <w:lang w:val="fr-FR"/>
        </w:rPr>
        <w:t xml:space="preserve"> (2);</w:t>
      </w:r>
      <w:r w:rsidR="00041911">
        <w:rPr>
          <w:lang w:val="fr-FR"/>
        </w:rPr>
        <w:t xml:space="preserve"> </w:t>
      </w:r>
      <w:r w:rsidRPr="00773091">
        <w:rPr>
          <w:lang w:val="fr-FR"/>
        </w:rPr>
        <w:t xml:space="preserve"> </w:t>
      </w:r>
      <w:proofErr w:type="spellStart"/>
      <w:r w:rsidRPr="00773091">
        <w:rPr>
          <w:lang w:val="fr-FR"/>
        </w:rPr>
        <w:t>obovale</w:t>
      </w:r>
      <w:proofErr w:type="spellEnd"/>
      <w:r w:rsidRPr="00773091">
        <w:rPr>
          <w:lang w:val="fr-FR"/>
        </w:rPr>
        <w:t xml:space="preserve"> (3)) (QN)</w:t>
      </w:r>
    </w:p>
    <w:p w:rsidR="005F1D8B" w:rsidRPr="00773091" w:rsidRDefault="005F1D8B" w:rsidP="00757845">
      <w:pPr>
        <w:shd w:val="clear" w:color="auto" w:fill="FFFFFF"/>
        <w:ind w:left="567"/>
        <w:rPr>
          <w:rFonts w:cs="Angsana New"/>
          <w:szCs w:val="24"/>
          <w:lang w:val="fr-FR" w:bidi="th-TH"/>
        </w:rPr>
      </w:pPr>
    </w:p>
    <w:p w:rsidR="005F1D8B" w:rsidRPr="00773091" w:rsidRDefault="007B3C6C" w:rsidP="00757845">
      <w:pPr>
        <w:shd w:val="clear" w:color="auto" w:fill="FFFFFF"/>
        <w:ind w:left="562"/>
        <w:rPr>
          <w:lang w:val="fr-FR"/>
        </w:rPr>
      </w:pPr>
      <w:proofErr w:type="gramStart"/>
      <w:r w:rsidRPr="00773091">
        <w:rPr>
          <w:lang w:val="fr-FR"/>
        </w:rPr>
        <w:t>avec</w:t>
      </w:r>
      <w:proofErr w:type="gramEnd"/>
      <w:r w:rsidRPr="00773091">
        <w:rPr>
          <w:lang w:val="fr-FR"/>
        </w:rPr>
        <w:t xml:space="preserve"> l</w:t>
      </w:r>
      <w:r w:rsidR="00773091">
        <w:rPr>
          <w:lang w:val="fr-FR"/>
        </w:rPr>
        <w:t>’</w:t>
      </w:r>
      <w:r w:rsidRPr="00773091">
        <w:rPr>
          <w:lang w:val="fr-FR"/>
        </w:rPr>
        <w:t>illustration suivante</w:t>
      </w:r>
      <w:r w:rsidR="00773091">
        <w:rPr>
          <w:lang w:val="fr-FR"/>
        </w:rPr>
        <w:t> :</w:t>
      </w:r>
    </w:p>
    <w:p w:rsidR="007B3C6C" w:rsidRPr="00773091" w:rsidRDefault="007B3C6C" w:rsidP="00757845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</w:p>
    <w:p w:rsidR="005F1D8B" w:rsidRPr="00773091" w:rsidRDefault="007B3C6C" w:rsidP="00757845">
      <w:pPr>
        <w:jc w:val="center"/>
        <w:rPr>
          <w:lang w:val="fr-FR"/>
        </w:rPr>
      </w:pPr>
      <w:r w:rsidRPr="00773091">
        <w:rPr>
          <w:noProof/>
        </w:rPr>
        <w:drawing>
          <wp:inline distT="0" distB="0" distL="0" distR="0" wp14:anchorId="456E5F41" wp14:editId="20C6E590">
            <wp:extent cx="3343157" cy="1139357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43157" cy="1139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8B" w:rsidRPr="00773091" w:rsidRDefault="00757845" w:rsidP="00757845">
      <w:pPr>
        <w:rPr>
          <w:lang w:val="fr-FR"/>
        </w:rPr>
      </w:pPr>
      <w:r w:rsidRPr="00773091">
        <w:rPr>
          <w:lang w:val="fr-FR"/>
        </w:rPr>
        <w:t>[…]</w:t>
      </w:r>
    </w:p>
    <w:p w:rsidR="005F1D8B" w:rsidRPr="00773091" w:rsidRDefault="005F1D8B" w:rsidP="00757845">
      <w:pPr>
        <w:rPr>
          <w:i/>
          <w:lang w:val="fr-FR"/>
        </w:rPr>
      </w:pPr>
    </w:p>
    <w:p w:rsidR="00773091" w:rsidRDefault="00757845" w:rsidP="00757845">
      <w:pPr>
        <w:rPr>
          <w:i/>
          <w:lang w:val="fr-FR"/>
        </w:rPr>
      </w:pPr>
      <w:r w:rsidRPr="00773091">
        <w:rPr>
          <w:i/>
          <w:lang w:val="fr-FR"/>
        </w:rPr>
        <w:t>Ex</w:t>
      </w:r>
      <w:r w:rsidR="007B3C6C" w:rsidRPr="00773091">
        <w:rPr>
          <w:i/>
          <w:lang w:val="fr-FR"/>
        </w:rPr>
        <w:t>e</w:t>
      </w:r>
      <w:r w:rsidRPr="00773091">
        <w:rPr>
          <w:i/>
          <w:lang w:val="fr-FR"/>
        </w:rPr>
        <w:t>mple</w:t>
      </w:r>
      <w:r w:rsidR="0044586D">
        <w:rPr>
          <w:i/>
          <w:lang w:val="fr-FR"/>
        </w:rPr>
        <w:t> </w:t>
      </w:r>
      <w:r w:rsidRPr="00773091">
        <w:rPr>
          <w:i/>
          <w:lang w:val="fr-FR"/>
        </w:rPr>
        <w:t>3</w:t>
      </w:r>
      <w:r w:rsidR="00773091">
        <w:rPr>
          <w:i/>
          <w:lang w:val="fr-FR"/>
        </w:rPr>
        <w:t> :</w:t>
      </w:r>
      <w:r w:rsidRPr="00773091">
        <w:rPr>
          <w:i/>
          <w:lang w:val="fr-FR"/>
        </w:rPr>
        <w:t xml:space="preserve"> variation </w:t>
      </w:r>
      <w:r w:rsidR="007B3C6C" w:rsidRPr="00773091">
        <w:rPr>
          <w:i/>
          <w:lang w:val="fr-FR"/>
        </w:rPr>
        <w:t>dans le rapport longueur/largeur, la forme de la base et le sch</w:t>
      </w:r>
      <w:r w:rsidR="0044586D">
        <w:rPr>
          <w:i/>
          <w:lang w:val="fr-FR"/>
        </w:rPr>
        <w:t>é</w:t>
      </w:r>
      <w:r w:rsidR="007B3C6C" w:rsidRPr="00773091">
        <w:rPr>
          <w:i/>
          <w:lang w:val="fr-FR"/>
        </w:rPr>
        <w:t>ma latéral</w:t>
      </w:r>
    </w:p>
    <w:p w:rsidR="005F1D8B" w:rsidRPr="00773091" w:rsidRDefault="005F1D8B" w:rsidP="00757845">
      <w:pPr>
        <w:ind w:left="992"/>
        <w:rPr>
          <w:lang w:val="fr-FR"/>
        </w:rPr>
      </w:pPr>
    </w:p>
    <w:p w:rsidR="005F1D8B" w:rsidRPr="00773091" w:rsidRDefault="007B3C6C" w:rsidP="00757845">
      <w:pPr>
        <w:ind w:left="360"/>
        <w:rPr>
          <w:lang w:val="fr-FR"/>
        </w:rPr>
      </w:pPr>
      <w:r w:rsidRPr="00773091">
        <w:rPr>
          <w:lang w:val="fr-FR"/>
        </w:rPr>
        <w:t>Variante</w:t>
      </w:r>
      <w:r w:rsidR="0044586D">
        <w:rPr>
          <w:lang w:val="fr-FR"/>
        </w:rPr>
        <w:t> </w:t>
      </w:r>
      <w:r w:rsidRPr="00773091">
        <w:rPr>
          <w:lang w:val="fr-FR"/>
        </w:rPr>
        <w:t>1</w:t>
      </w:r>
    </w:p>
    <w:p w:rsidR="005F1D8B" w:rsidRPr="00773091" w:rsidRDefault="007B3C6C" w:rsidP="00757845">
      <w:pPr>
        <w:ind w:left="567"/>
        <w:rPr>
          <w:rFonts w:cs="Angsana New"/>
          <w:szCs w:val="24"/>
          <w:lang w:val="fr-FR" w:bidi="th-TH"/>
        </w:rPr>
      </w:pPr>
      <w:r w:rsidRPr="00773091">
        <w:rPr>
          <w:lang w:val="fr-FR"/>
        </w:rPr>
        <w:t>Plante [partie]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rapport longueur/largeur (bas </w:t>
      </w:r>
      <w:proofErr w:type="gramStart"/>
      <w:r w:rsidRPr="00773091">
        <w:rPr>
          <w:lang w:val="fr-FR"/>
        </w:rPr>
        <w:t>à</w:t>
      </w:r>
      <w:proofErr w:type="gramEnd"/>
      <w:r w:rsidRPr="00773091">
        <w:rPr>
          <w:lang w:val="fr-FR"/>
        </w:rPr>
        <w:t xml:space="preserve"> </w:t>
      </w:r>
      <w:proofErr w:type="spellStart"/>
      <w:r w:rsidRPr="00773091">
        <w:rPr>
          <w:lang w:val="fr-FR"/>
        </w:rPr>
        <w:t>élevé</w:t>
      </w:r>
      <w:proofErr w:type="spellEnd"/>
      <w:r w:rsidRPr="00773091">
        <w:rPr>
          <w:lang w:val="fr-FR"/>
        </w:rPr>
        <w:t>) (QN)</w:t>
      </w:r>
    </w:p>
    <w:p w:rsidR="005F1D8B" w:rsidRPr="00773091" w:rsidRDefault="007B3C6C" w:rsidP="00757845">
      <w:pPr>
        <w:ind w:left="567"/>
        <w:rPr>
          <w:rFonts w:cs="Angsana New"/>
          <w:szCs w:val="24"/>
          <w:lang w:val="fr-FR" w:bidi="th-TH"/>
        </w:rPr>
      </w:pPr>
      <w:r w:rsidRPr="00773091">
        <w:rPr>
          <w:lang w:val="fr-FR"/>
        </w:rPr>
        <w:t>Plante [partie]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forme de la base (aiguë, obtuse, arrondie) (PQ)</w:t>
      </w:r>
    </w:p>
    <w:p w:rsidR="005F1D8B" w:rsidRPr="00773091" w:rsidRDefault="007B3C6C" w:rsidP="00757845">
      <w:pPr>
        <w:ind w:left="567"/>
        <w:rPr>
          <w:rFonts w:cs="Angsana New"/>
          <w:szCs w:val="24"/>
          <w:lang w:val="fr-FR" w:bidi="th-TH"/>
        </w:rPr>
      </w:pPr>
      <w:r w:rsidRPr="00773091">
        <w:rPr>
          <w:lang w:val="fr-FR"/>
        </w:rPr>
        <w:t>Plante [partie]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schéma latéral (nettement arrondie à nettement triangulaire) (QN)</w:t>
      </w:r>
    </w:p>
    <w:p w:rsidR="005F1D8B" w:rsidRPr="00773091" w:rsidRDefault="005F1D8B" w:rsidP="00757845">
      <w:pPr>
        <w:ind w:left="360"/>
        <w:rPr>
          <w:lang w:val="fr-FR"/>
        </w:rPr>
      </w:pPr>
    </w:p>
    <w:p w:rsidR="005F1D8B" w:rsidRPr="00773091" w:rsidRDefault="005F1D8B" w:rsidP="00757845">
      <w:pPr>
        <w:ind w:left="360"/>
        <w:rPr>
          <w:lang w:val="fr-FR"/>
        </w:rPr>
      </w:pPr>
    </w:p>
    <w:p w:rsidR="005F1D8B" w:rsidRPr="00773091" w:rsidRDefault="007B3C6C" w:rsidP="00757845">
      <w:pPr>
        <w:shd w:val="clear" w:color="auto" w:fill="FFFFFF"/>
        <w:ind w:left="360"/>
        <w:rPr>
          <w:lang w:val="fr-FR"/>
        </w:rPr>
      </w:pPr>
      <w:r w:rsidRPr="00773091">
        <w:rPr>
          <w:lang w:val="fr-FR"/>
        </w:rPr>
        <w:t>Variante</w:t>
      </w:r>
      <w:r w:rsidR="0044586D">
        <w:rPr>
          <w:lang w:val="fr-FR"/>
        </w:rPr>
        <w:t> </w:t>
      </w:r>
      <w:r w:rsidRPr="00773091">
        <w:rPr>
          <w:lang w:val="fr-FR"/>
        </w:rPr>
        <w:t>2</w:t>
      </w:r>
    </w:p>
    <w:p w:rsidR="005F1D8B" w:rsidRPr="00773091" w:rsidRDefault="007B3C6C" w:rsidP="00757845">
      <w:pPr>
        <w:ind w:left="1701" w:hanging="1134"/>
        <w:jc w:val="left"/>
        <w:rPr>
          <w:lang w:val="fr-FR"/>
        </w:rPr>
      </w:pPr>
      <w:r w:rsidRPr="00773091">
        <w:rPr>
          <w:lang w:val="fr-FR"/>
        </w:rPr>
        <w:t>Plante [partie]</w:t>
      </w:r>
      <w:r w:rsidR="00773091">
        <w:rPr>
          <w:lang w:val="fr-FR"/>
        </w:rPr>
        <w:t> :</w:t>
      </w:r>
      <w:r w:rsidRPr="00773091">
        <w:rPr>
          <w:lang w:val="fr-FR"/>
        </w:rPr>
        <w:t xml:space="preserve"> forme (ovale large (1</w:t>
      </w:r>
      <w:proofErr w:type="gramStart"/>
      <w:r w:rsidRPr="00773091">
        <w:rPr>
          <w:lang w:val="fr-FR"/>
        </w:rPr>
        <w:t xml:space="preserve">); </w:t>
      </w:r>
      <w:r w:rsidR="00041911">
        <w:rPr>
          <w:lang w:val="fr-FR"/>
        </w:rPr>
        <w:t xml:space="preserve"> </w:t>
      </w:r>
      <w:r w:rsidRPr="00773091">
        <w:rPr>
          <w:lang w:val="fr-FR"/>
        </w:rPr>
        <w:t>ovale</w:t>
      </w:r>
      <w:proofErr w:type="gramEnd"/>
      <w:r w:rsidRPr="00773091">
        <w:rPr>
          <w:lang w:val="fr-FR"/>
        </w:rPr>
        <w:t xml:space="preserve"> moyenne (2); </w:t>
      </w:r>
      <w:r w:rsidR="00041911">
        <w:rPr>
          <w:lang w:val="fr-FR"/>
        </w:rPr>
        <w:t xml:space="preserve"> </w:t>
      </w:r>
      <w:r w:rsidRPr="00773091">
        <w:rPr>
          <w:lang w:val="fr-FR"/>
        </w:rPr>
        <w:t>demi</w:t>
      </w:r>
      <w:r w:rsidR="00773091">
        <w:rPr>
          <w:lang w:val="fr-FR"/>
        </w:rPr>
        <w:t>-</w:t>
      </w:r>
      <w:proofErr w:type="spellStart"/>
      <w:r w:rsidRPr="00773091">
        <w:rPr>
          <w:lang w:val="fr-FR"/>
        </w:rPr>
        <w:t>trullée</w:t>
      </w:r>
      <w:proofErr w:type="spellEnd"/>
      <w:r w:rsidRPr="00773091">
        <w:rPr>
          <w:lang w:val="fr-FR"/>
        </w:rPr>
        <w:t xml:space="preserve"> (3); </w:t>
      </w:r>
      <w:r w:rsidR="00041911">
        <w:rPr>
          <w:lang w:val="fr-FR"/>
        </w:rPr>
        <w:t xml:space="preserve"> </w:t>
      </w:r>
      <w:proofErr w:type="spellStart"/>
      <w:r w:rsidRPr="00773091">
        <w:rPr>
          <w:lang w:val="fr-FR"/>
        </w:rPr>
        <w:t>oval</w:t>
      </w:r>
      <w:proofErr w:type="spellEnd"/>
      <w:r w:rsidRPr="00773091">
        <w:rPr>
          <w:lang w:val="fr-FR"/>
        </w:rPr>
        <w:t xml:space="preserve"> étroite (4);</w:t>
      </w:r>
      <w:r w:rsidR="00041911">
        <w:rPr>
          <w:lang w:val="fr-FR"/>
        </w:rPr>
        <w:t xml:space="preserve"> </w:t>
      </w:r>
      <w:r w:rsidRPr="00773091">
        <w:rPr>
          <w:lang w:val="fr-FR"/>
        </w:rPr>
        <w:t xml:space="preserve"> </w:t>
      </w:r>
      <w:proofErr w:type="spellStart"/>
      <w:r w:rsidRPr="00773091">
        <w:rPr>
          <w:lang w:val="fr-FR"/>
        </w:rPr>
        <w:t>trullée</w:t>
      </w:r>
      <w:proofErr w:type="spellEnd"/>
      <w:r w:rsidRPr="00773091">
        <w:rPr>
          <w:lang w:val="fr-FR"/>
        </w:rPr>
        <w:t xml:space="preserve"> étroite (5)) (PQ)</w:t>
      </w:r>
    </w:p>
    <w:p w:rsidR="005F1D8B" w:rsidRPr="00773091" w:rsidRDefault="005F1D8B" w:rsidP="00757845">
      <w:pPr>
        <w:shd w:val="clear" w:color="auto" w:fill="FFFFFF"/>
        <w:ind w:left="360"/>
        <w:rPr>
          <w:lang w:val="fr-FR"/>
        </w:rPr>
      </w:pPr>
    </w:p>
    <w:p w:rsidR="005F1D8B" w:rsidRPr="00773091" w:rsidRDefault="007B3C6C" w:rsidP="00757845">
      <w:pPr>
        <w:shd w:val="clear" w:color="auto" w:fill="FFFFFF"/>
        <w:ind w:left="562"/>
        <w:rPr>
          <w:lang w:val="fr-FR"/>
        </w:rPr>
      </w:pPr>
      <w:proofErr w:type="gramStart"/>
      <w:r w:rsidRPr="00773091">
        <w:rPr>
          <w:lang w:val="fr-FR"/>
        </w:rPr>
        <w:t>avec</w:t>
      </w:r>
      <w:proofErr w:type="gramEnd"/>
      <w:r w:rsidRPr="00773091">
        <w:rPr>
          <w:lang w:val="fr-FR"/>
        </w:rPr>
        <w:t xml:space="preserve"> l</w:t>
      </w:r>
      <w:r w:rsidR="00773091">
        <w:rPr>
          <w:lang w:val="fr-FR"/>
        </w:rPr>
        <w:t>’</w:t>
      </w:r>
      <w:r w:rsidRPr="00773091">
        <w:rPr>
          <w:lang w:val="fr-FR"/>
        </w:rPr>
        <w:t>illustration suivante</w:t>
      </w:r>
      <w:r w:rsidR="00773091">
        <w:rPr>
          <w:lang w:val="fr-FR"/>
        </w:rPr>
        <w:t> :</w:t>
      </w:r>
    </w:p>
    <w:p w:rsidR="00281102" w:rsidRPr="00773091" w:rsidRDefault="00281102" w:rsidP="00757845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</w:p>
    <w:p w:rsidR="005F1D8B" w:rsidRPr="00773091" w:rsidRDefault="00281102" w:rsidP="00757845">
      <w:pPr>
        <w:jc w:val="center"/>
        <w:rPr>
          <w:i/>
          <w:lang w:val="fr-FR"/>
        </w:rPr>
      </w:pPr>
      <w:r w:rsidRPr="00773091">
        <w:rPr>
          <w:noProof/>
        </w:rPr>
        <w:drawing>
          <wp:inline distT="0" distB="0" distL="0" distR="0" wp14:anchorId="31705265" wp14:editId="75412B97">
            <wp:extent cx="3801848" cy="2363780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24190" cy="23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D8B" w:rsidRPr="00773091" w:rsidRDefault="005F1D8B" w:rsidP="00757845">
      <w:pPr>
        <w:rPr>
          <w:i/>
          <w:lang w:val="fr-FR"/>
        </w:rPr>
      </w:pPr>
    </w:p>
    <w:p w:rsidR="005F1D8B" w:rsidRPr="00773091" w:rsidRDefault="005F1D8B" w:rsidP="00757845">
      <w:pPr>
        <w:jc w:val="right"/>
        <w:rPr>
          <w:lang w:val="fr-FR"/>
        </w:rPr>
      </w:pPr>
    </w:p>
    <w:p w:rsidR="005F1D8B" w:rsidRPr="00773091" w:rsidRDefault="005F1D8B" w:rsidP="00757845">
      <w:pPr>
        <w:jc w:val="right"/>
        <w:rPr>
          <w:lang w:val="fr-FR"/>
        </w:rPr>
      </w:pPr>
    </w:p>
    <w:p w:rsidR="005F1D8B" w:rsidRPr="00773091" w:rsidRDefault="005F1D8B" w:rsidP="00757845">
      <w:pPr>
        <w:jc w:val="right"/>
        <w:rPr>
          <w:lang w:val="fr-FR"/>
        </w:rPr>
      </w:pPr>
    </w:p>
    <w:p w:rsidR="005F1D8B" w:rsidRPr="00773091" w:rsidRDefault="00757845" w:rsidP="00281102">
      <w:pPr>
        <w:pStyle w:val="endofdoc"/>
        <w:rPr>
          <w:lang w:val="fr-FR"/>
        </w:rPr>
      </w:pPr>
      <w:r w:rsidRPr="00773091">
        <w:rPr>
          <w:lang w:val="fr-FR"/>
        </w:rPr>
        <w:t>[</w:t>
      </w:r>
      <w:r w:rsidR="00281102" w:rsidRPr="00773091">
        <w:rPr>
          <w:lang w:val="fr-FR"/>
        </w:rPr>
        <w:t>Fin de l</w:t>
      </w:r>
      <w:r w:rsidR="00773091">
        <w:rPr>
          <w:lang w:val="fr-FR"/>
        </w:rPr>
        <w:t>’</w:t>
      </w:r>
      <w:r w:rsidR="00773091" w:rsidRPr="00773091">
        <w:rPr>
          <w:lang w:val="fr-FR"/>
        </w:rPr>
        <w:t>annexe</w:t>
      </w:r>
      <w:r w:rsidR="00773091">
        <w:rPr>
          <w:lang w:val="fr-FR"/>
        </w:rPr>
        <w:t> </w:t>
      </w:r>
      <w:r w:rsidR="00773091" w:rsidRPr="00773091">
        <w:rPr>
          <w:lang w:val="fr-FR"/>
        </w:rPr>
        <w:t>I</w:t>
      </w:r>
      <w:r w:rsidR="00281102" w:rsidRPr="00773091">
        <w:rPr>
          <w:lang w:val="fr-FR"/>
        </w:rPr>
        <w:t>V et du document</w:t>
      </w:r>
      <w:r w:rsidRPr="00773091">
        <w:rPr>
          <w:lang w:val="fr-FR"/>
        </w:rPr>
        <w:t>]</w:t>
      </w: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5F1D8B" w:rsidRPr="00773091" w:rsidRDefault="005F1D8B" w:rsidP="00757845">
      <w:pPr>
        <w:rPr>
          <w:lang w:val="fr-FR"/>
        </w:rPr>
      </w:pPr>
    </w:p>
    <w:p w:rsidR="00050E16" w:rsidRPr="00773091" w:rsidRDefault="00050E16" w:rsidP="00757845">
      <w:pPr>
        <w:rPr>
          <w:lang w:val="fr-FR"/>
        </w:rPr>
      </w:pPr>
    </w:p>
    <w:sectPr w:rsidR="00050E16" w:rsidRPr="00773091" w:rsidSect="00906DDC">
      <w:headerReference w:type="default" r:id="rId20"/>
      <w:headerReference w:type="first" r:id="rId2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90" w:rsidRDefault="00062B90" w:rsidP="006655D3">
      <w:r>
        <w:separator/>
      </w:r>
    </w:p>
    <w:p w:rsidR="00062B90" w:rsidRDefault="00062B90" w:rsidP="006655D3"/>
    <w:p w:rsidR="00062B90" w:rsidRDefault="00062B90" w:rsidP="006655D3"/>
  </w:endnote>
  <w:endnote w:type="continuationSeparator" w:id="0">
    <w:p w:rsidR="00062B90" w:rsidRDefault="00062B90" w:rsidP="006655D3">
      <w:r>
        <w:separator/>
      </w:r>
    </w:p>
    <w:p w:rsidR="00062B90" w:rsidRPr="00294751" w:rsidRDefault="00062B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62B90" w:rsidRPr="00294751" w:rsidRDefault="00062B90" w:rsidP="006655D3">
      <w:pPr>
        <w:rPr>
          <w:lang w:val="fr-FR"/>
        </w:rPr>
      </w:pPr>
    </w:p>
    <w:p w:rsidR="00062B90" w:rsidRPr="00294751" w:rsidRDefault="00062B90" w:rsidP="006655D3">
      <w:pPr>
        <w:rPr>
          <w:lang w:val="fr-FR"/>
        </w:rPr>
      </w:pPr>
    </w:p>
  </w:endnote>
  <w:endnote w:type="continuationNotice" w:id="1">
    <w:p w:rsidR="00062B90" w:rsidRPr="00294751" w:rsidRDefault="00062B9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62B90" w:rsidRPr="00294751" w:rsidRDefault="00062B90" w:rsidP="006655D3">
      <w:pPr>
        <w:rPr>
          <w:lang w:val="fr-FR"/>
        </w:rPr>
      </w:pPr>
    </w:p>
    <w:p w:rsidR="00062B90" w:rsidRPr="00294751" w:rsidRDefault="00062B9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90" w:rsidRDefault="00062B90" w:rsidP="006655D3">
      <w:r>
        <w:separator/>
      </w:r>
    </w:p>
  </w:footnote>
  <w:footnote w:type="continuationSeparator" w:id="0">
    <w:p w:rsidR="00062B90" w:rsidRDefault="00062B90" w:rsidP="006655D3">
      <w:r>
        <w:separator/>
      </w:r>
    </w:p>
  </w:footnote>
  <w:footnote w:type="continuationNotice" w:id="1">
    <w:p w:rsidR="00062B90" w:rsidRPr="00AB530F" w:rsidRDefault="00062B9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Pr="00C5280D" w:rsidRDefault="00062B90" w:rsidP="00EB048E">
    <w:pPr>
      <w:pStyle w:val="Header"/>
      <w:rPr>
        <w:rStyle w:val="PageNumber"/>
        <w:lang w:val="en-US"/>
      </w:rPr>
    </w:pPr>
    <w:r>
      <w:t>TC/55/INF/9</w:t>
    </w:r>
  </w:p>
  <w:p w:rsidR="00062B90" w:rsidRPr="00C5280D" w:rsidRDefault="00062B9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4D64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062B90" w:rsidRDefault="00062B90" w:rsidP="006655D3"/>
  <w:p w:rsidR="00062B90" w:rsidRPr="00C5280D" w:rsidRDefault="00062B90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Pr="00C5280D" w:rsidRDefault="001B4D6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</w:t>
    </w:r>
    <w:r w:rsidR="00062B90">
      <w:rPr>
        <w:rStyle w:val="PageNumber"/>
        <w:lang w:val="en-US"/>
      </w:rPr>
      <w:t>/</w:t>
    </w:r>
    <w:r>
      <w:rPr>
        <w:rStyle w:val="PageNumber"/>
        <w:lang w:val="en-US"/>
      </w:rPr>
      <w:t>55</w:t>
    </w:r>
    <w:r w:rsidR="00062B90">
      <w:rPr>
        <w:rStyle w:val="PageNumber"/>
        <w:lang w:val="en-US"/>
      </w:rPr>
      <w:t>/</w:t>
    </w:r>
    <w:r>
      <w:rPr>
        <w:rStyle w:val="PageNumber"/>
        <w:lang w:val="en-US"/>
      </w:rPr>
      <w:t>INF/9</w:t>
    </w:r>
  </w:p>
  <w:p w:rsidR="00062B90" w:rsidRPr="00C5280D" w:rsidRDefault="00062B90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4D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62B90" w:rsidRPr="00C5280D" w:rsidRDefault="00062B90" w:rsidP="006655D3"/>
  <w:p w:rsidR="00062B90" w:rsidRDefault="00062B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Pr="00C5280D" w:rsidRDefault="00062B90" w:rsidP="00757845">
    <w:pPr>
      <w:pStyle w:val="Header"/>
      <w:rPr>
        <w:rStyle w:val="PageNumber"/>
        <w:lang w:val="en-US"/>
      </w:rPr>
    </w:pPr>
    <w:r>
      <w:t>TC/55/INF/9</w:t>
    </w:r>
  </w:p>
  <w:p w:rsidR="00062B90" w:rsidRDefault="00062B90" w:rsidP="00757845">
    <w:pPr>
      <w:pStyle w:val="Header"/>
      <w:rPr>
        <w:lang w:val="en-US"/>
      </w:rPr>
    </w:pPr>
  </w:p>
  <w:p w:rsidR="00062B90" w:rsidRPr="00C5280D" w:rsidRDefault="00062B90" w:rsidP="00757845">
    <w:pPr>
      <w:pStyle w:val="Header"/>
      <w:rPr>
        <w:lang w:val="en-US"/>
      </w:rPr>
    </w:pPr>
    <w:r>
      <w:rPr>
        <w:lang w:val="en-US"/>
      </w:rPr>
      <w:t>ANNEXE I</w:t>
    </w:r>
  </w:p>
  <w:p w:rsidR="00062B90" w:rsidRDefault="00062B90">
    <w:pPr>
      <w:pStyle w:val="Header"/>
    </w:pPr>
  </w:p>
  <w:p w:rsidR="00062B90" w:rsidRDefault="00062B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Pr="0080437E" w:rsidRDefault="00062B90" w:rsidP="00EB048E">
    <w:pPr>
      <w:pStyle w:val="Header"/>
      <w:rPr>
        <w:rStyle w:val="PageNumber"/>
        <w:lang w:val="fr-CH"/>
      </w:rPr>
    </w:pPr>
    <w:r>
      <w:t>TC/55/INF/9</w:t>
    </w:r>
  </w:p>
  <w:p w:rsidR="00062B90" w:rsidRPr="0080437E" w:rsidRDefault="00062B90" w:rsidP="00EB048E">
    <w:pPr>
      <w:pStyle w:val="Header"/>
      <w:rPr>
        <w:lang w:val="fr-CH"/>
      </w:rPr>
    </w:pPr>
    <w:r w:rsidRPr="0080437E">
      <w:rPr>
        <w:lang w:val="fr-CH"/>
      </w:rPr>
      <w:t>Annex</w:t>
    </w:r>
    <w:r>
      <w:rPr>
        <w:lang w:val="fr-CH"/>
      </w:rPr>
      <w:t>e</w:t>
    </w:r>
    <w:r w:rsidRPr="0080437E">
      <w:rPr>
        <w:lang w:val="fr-CH"/>
      </w:rPr>
      <w:t xml:space="preserve"> II, page </w:t>
    </w:r>
    <w:r w:rsidRPr="00C5280D">
      <w:rPr>
        <w:rStyle w:val="PageNumber"/>
        <w:lang w:val="en-US"/>
      </w:rPr>
      <w:fldChar w:fldCharType="begin"/>
    </w:r>
    <w:r w:rsidRPr="0080437E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4D64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062B90" w:rsidRDefault="00062B90">
    <w:pPr>
      <w:rPr>
        <w:lang w:val="fr-CH"/>
      </w:rPr>
    </w:pPr>
  </w:p>
  <w:p w:rsidR="00062B90" w:rsidRPr="0080437E" w:rsidRDefault="00062B90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Pr="00C5280D" w:rsidRDefault="00062B90" w:rsidP="00757845">
    <w:pPr>
      <w:pStyle w:val="Header"/>
      <w:rPr>
        <w:rStyle w:val="PageNumber"/>
        <w:lang w:val="en-US"/>
      </w:rPr>
    </w:pPr>
    <w:r>
      <w:t>TC/55/INF/9</w:t>
    </w:r>
  </w:p>
  <w:p w:rsidR="00062B90" w:rsidRDefault="00062B90" w:rsidP="00757845">
    <w:pPr>
      <w:pStyle w:val="Header"/>
      <w:rPr>
        <w:lang w:val="en-US"/>
      </w:rPr>
    </w:pPr>
  </w:p>
  <w:p w:rsidR="00062B90" w:rsidRPr="00C5280D" w:rsidRDefault="00062B90" w:rsidP="00757845">
    <w:pPr>
      <w:pStyle w:val="Header"/>
      <w:rPr>
        <w:lang w:val="en-US"/>
      </w:rPr>
    </w:pPr>
    <w:r>
      <w:rPr>
        <w:lang w:val="en-US"/>
      </w:rPr>
      <w:t>ANNEXE II</w:t>
    </w:r>
  </w:p>
  <w:p w:rsidR="00062B90" w:rsidRDefault="00062B90">
    <w:pPr>
      <w:pStyle w:val="Header"/>
    </w:pPr>
  </w:p>
  <w:p w:rsidR="00062B90" w:rsidRDefault="00062B9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Default="00062B90" w:rsidP="00757845">
    <w:pPr>
      <w:pStyle w:val="Header"/>
    </w:pPr>
    <w:r>
      <w:t>TC/55/INF/9</w:t>
    </w:r>
  </w:p>
  <w:p w:rsidR="00062B90" w:rsidRDefault="00062B90" w:rsidP="00757845">
    <w:pPr>
      <w:pStyle w:val="Header"/>
      <w:rPr>
        <w:lang w:val="en-US"/>
      </w:rPr>
    </w:pPr>
  </w:p>
  <w:p w:rsidR="00062B90" w:rsidRPr="00C5280D" w:rsidRDefault="00062B90" w:rsidP="00757845">
    <w:pPr>
      <w:pStyle w:val="Header"/>
      <w:rPr>
        <w:lang w:val="en-US"/>
      </w:rPr>
    </w:pPr>
    <w:r>
      <w:rPr>
        <w:lang w:val="en-US"/>
      </w:rPr>
      <w:t>ANNEXE III</w:t>
    </w:r>
  </w:p>
  <w:p w:rsidR="00062B90" w:rsidRDefault="00062B9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Pr="00253418" w:rsidRDefault="00062B90" w:rsidP="00EB048E">
    <w:pPr>
      <w:pStyle w:val="Header"/>
      <w:rPr>
        <w:rStyle w:val="PageNumber"/>
        <w:lang w:val="fr-CH"/>
      </w:rPr>
    </w:pPr>
    <w:r w:rsidRPr="00253418">
      <w:rPr>
        <w:rStyle w:val="PageNumber"/>
        <w:lang w:val="fr-CH"/>
      </w:rPr>
      <w:t>TC/55/INF/9</w:t>
    </w:r>
  </w:p>
  <w:p w:rsidR="00062B90" w:rsidRPr="00253418" w:rsidRDefault="00062B90" w:rsidP="00EB048E">
    <w:pPr>
      <w:pStyle w:val="Header"/>
      <w:rPr>
        <w:lang w:val="fr-CH"/>
      </w:rPr>
    </w:pPr>
    <w:r w:rsidRPr="00253418">
      <w:rPr>
        <w:lang w:val="fr-CH"/>
      </w:rPr>
      <w:t>Annex</w:t>
    </w:r>
    <w:r>
      <w:rPr>
        <w:lang w:val="fr-CH"/>
      </w:rPr>
      <w:t>e</w:t>
    </w:r>
    <w:r w:rsidRPr="00253418">
      <w:rPr>
        <w:lang w:val="fr-CH"/>
      </w:rPr>
      <w:t xml:space="preserve"> IV, page </w:t>
    </w:r>
    <w:r w:rsidRPr="00C5280D">
      <w:rPr>
        <w:rStyle w:val="PageNumber"/>
        <w:lang w:val="en-US"/>
      </w:rPr>
      <w:fldChar w:fldCharType="begin"/>
    </w:r>
    <w:r w:rsidRPr="00253418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4D64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:rsidR="00062B90" w:rsidRPr="00253418" w:rsidRDefault="00062B90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B90" w:rsidRDefault="00062B90" w:rsidP="00757845">
    <w:pPr>
      <w:pStyle w:val="Header"/>
    </w:pPr>
    <w:r>
      <w:t>TC/55/INF/9</w:t>
    </w:r>
  </w:p>
  <w:p w:rsidR="00062B90" w:rsidRDefault="00062B90" w:rsidP="00757845">
    <w:pPr>
      <w:pStyle w:val="Header"/>
      <w:rPr>
        <w:lang w:val="en-US"/>
      </w:rPr>
    </w:pPr>
  </w:p>
  <w:p w:rsidR="00062B90" w:rsidRPr="00C5280D" w:rsidRDefault="00062B90" w:rsidP="00757845">
    <w:pPr>
      <w:pStyle w:val="Header"/>
      <w:rPr>
        <w:lang w:val="en-US"/>
      </w:rPr>
    </w:pPr>
    <w:r>
      <w:rPr>
        <w:lang w:val="en-US"/>
      </w:rPr>
      <w:t>ANNEXE IV</w:t>
    </w:r>
  </w:p>
  <w:p w:rsidR="00062B90" w:rsidRDefault="00062B90">
    <w:pPr>
      <w:pStyle w:val="Header"/>
    </w:pPr>
  </w:p>
  <w:p w:rsidR="00062B90" w:rsidRDefault="00062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793F"/>
    <w:multiLevelType w:val="hybridMultilevel"/>
    <w:tmpl w:val="CB4A5EEE"/>
    <w:lvl w:ilvl="0" w:tplc="4CC44B22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6B875AE7"/>
    <w:multiLevelType w:val="hybridMultilevel"/>
    <w:tmpl w:val="3894D25C"/>
    <w:lvl w:ilvl="0" w:tplc="86FCE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A04A26"/>
    <w:rsid w:val="00010CF3"/>
    <w:rsid w:val="00011E27"/>
    <w:rsid w:val="000148BC"/>
    <w:rsid w:val="00024AB8"/>
    <w:rsid w:val="00024E25"/>
    <w:rsid w:val="00030854"/>
    <w:rsid w:val="00036028"/>
    <w:rsid w:val="00041911"/>
    <w:rsid w:val="00044642"/>
    <w:rsid w:val="000446B9"/>
    <w:rsid w:val="00047E21"/>
    <w:rsid w:val="00050E16"/>
    <w:rsid w:val="00062B90"/>
    <w:rsid w:val="00085172"/>
    <w:rsid w:val="00085505"/>
    <w:rsid w:val="000C4E25"/>
    <w:rsid w:val="000C7021"/>
    <w:rsid w:val="000D6BBC"/>
    <w:rsid w:val="000D7780"/>
    <w:rsid w:val="000E636A"/>
    <w:rsid w:val="000F2F11"/>
    <w:rsid w:val="001041CE"/>
    <w:rsid w:val="00105929"/>
    <w:rsid w:val="00110C36"/>
    <w:rsid w:val="001131D5"/>
    <w:rsid w:val="00115FB4"/>
    <w:rsid w:val="001161C3"/>
    <w:rsid w:val="00141DB8"/>
    <w:rsid w:val="00146872"/>
    <w:rsid w:val="001548C8"/>
    <w:rsid w:val="00172084"/>
    <w:rsid w:val="0017474A"/>
    <w:rsid w:val="001758C6"/>
    <w:rsid w:val="00182B99"/>
    <w:rsid w:val="00183D24"/>
    <w:rsid w:val="001A473A"/>
    <w:rsid w:val="001B4D64"/>
    <w:rsid w:val="001C0E01"/>
    <w:rsid w:val="001D36AC"/>
    <w:rsid w:val="0021332C"/>
    <w:rsid w:val="00213982"/>
    <w:rsid w:val="0024416D"/>
    <w:rsid w:val="00253418"/>
    <w:rsid w:val="00271911"/>
    <w:rsid w:val="00271BE8"/>
    <w:rsid w:val="002800A0"/>
    <w:rsid w:val="002801B3"/>
    <w:rsid w:val="00281060"/>
    <w:rsid w:val="00281102"/>
    <w:rsid w:val="002827A3"/>
    <w:rsid w:val="00290E78"/>
    <w:rsid w:val="002940E8"/>
    <w:rsid w:val="00294751"/>
    <w:rsid w:val="002A6E50"/>
    <w:rsid w:val="002B4298"/>
    <w:rsid w:val="002C256A"/>
    <w:rsid w:val="002E2086"/>
    <w:rsid w:val="00304827"/>
    <w:rsid w:val="00305A7F"/>
    <w:rsid w:val="00310BAD"/>
    <w:rsid w:val="003152FE"/>
    <w:rsid w:val="00321EDE"/>
    <w:rsid w:val="00327436"/>
    <w:rsid w:val="003418E6"/>
    <w:rsid w:val="00344BD6"/>
    <w:rsid w:val="00352B9A"/>
    <w:rsid w:val="0035528D"/>
    <w:rsid w:val="00361821"/>
    <w:rsid w:val="00361E9E"/>
    <w:rsid w:val="00382007"/>
    <w:rsid w:val="003C7FBE"/>
    <w:rsid w:val="003D227C"/>
    <w:rsid w:val="003D2B4D"/>
    <w:rsid w:val="003D41CD"/>
    <w:rsid w:val="003E115C"/>
    <w:rsid w:val="003E146C"/>
    <w:rsid w:val="003E646B"/>
    <w:rsid w:val="00444A88"/>
    <w:rsid w:val="0044586D"/>
    <w:rsid w:val="00454A4B"/>
    <w:rsid w:val="00474DA4"/>
    <w:rsid w:val="00476B4D"/>
    <w:rsid w:val="004805FA"/>
    <w:rsid w:val="004900A0"/>
    <w:rsid w:val="00493405"/>
    <w:rsid w:val="004935D2"/>
    <w:rsid w:val="004A1F9E"/>
    <w:rsid w:val="004A6CF8"/>
    <w:rsid w:val="004B1215"/>
    <w:rsid w:val="004D047D"/>
    <w:rsid w:val="004F1BF3"/>
    <w:rsid w:val="004F1E9E"/>
    <w:rsid w:val="004F305A"/>
    <w:rsid w:val="00512164"/>
    <w:rsid w:val="00520297"/>
    <w:rsid w:val="005338F9"/>
    <w:rsid w:val="00536FFD"/>
    <w:rsid w:val="0054281C"/>
    <w:rsid w:val="00544581"/>
    <w:rsid w:val="0055268D"/>
    <w:rsid w:val="0056782B"/>
    <w:rsid w:val="0057104A"/>
    <w:rsid w:val="00576BE4"/>
    <w:rsid w:val="005A400A"/>
    <w:rsid w:val="005B46E9"/>
    <w:rsid w:val="005D30B3"/>
    <w:rsid w:val="005E0E99"/>
    <w:rsid w:val="005E7F9B"/>
    <w:rsid w:val="005F1D8B"/>
    <w:rsid w:val="005F7B92"/>
    <w:rsid w:val="00612379"/>
    <w:rsid w:val="006153B6"/>
    <w:rsid w:val="0061555F"/>
    <w:rsid w:val="00636CA6"/>
    <w:rsid w:val="00641200"/>
    <w:rsid w:val="00645CA8"/>
    <w:rsid w:val="0066053E"/>
    <w:rsid w:val="006655D3"/>
    <w:rsid w:val="00667404"/>
    <w:rsid w:val="00687EB4"/>
    <w:rsid w:val="00695C56"/>
    <w:rsid w:val="006A57EE"/>
    <w:rsid w:val="006A5CDE"/>
    <w:rsid w:val="006A644A"/>
    <w:rsid w:val="006B17D2"/>
    <w:rsid w:val="006C224E"/>
    <w:rsid w:val="006D7435"/>
    <w:rsid w:val="006D780A"/>
    <w:rsid w:val="006E216D"/>
    <w:rsid w:val="0071271E"/>
    <w:rsid w:val="00732DEC"/>
    <w:rsid w:val="00735BD5"/>
    <w:rsid w:val="00751613"/>
    <w:rsid w:val="007556F6"/>
    <w:rsid w:val="00757845"/>
    <w:rsid w:val="00760EEF"/>
    <w:rsid w:val="00773091"/>
    <w:rsid w:val="00777EE5"/>
    <w:rsid w:val="00783094"/>
    <w:rsid w:val="00784836"/>
    <w:rsid w:val="0079023E"/>
    <w:rsid w:val="007A2854"/>
    <w:rsid w:val="007B3C6C"/>
    <w:rsid w:val="007C1D92"/>
    <w:rsid w:val="007C4CB9"/>
    <w:rsid w:val="007C72C5"/>
    <w:rsid w:val="007D0B9D"/>
    <w:rsid w:val="007D19B0"/>
    <w:rsid w:val="007F161F"/>
    <w:rsid w:val="007F25AB"/>
    <w:rsid w:val="007F498F"/>
    <w:rsid w:val="0080437E"/>
    <w:rsid w:val="0080679D"/>
    <w:rsid w:val="008108B0"/>
    <w:rsid w:val="00811B20"/>
    <w:rsid w:val="008211B5"/>
    <w:rsid w:val="008224BA"/>
    <w:rsid w:val="0082296E"/>
    <w:rsid w:val="00824099"/>
    <w:rsid w:val="00846D7C"/>
    <w:rsid w:val="00867AC1"/>
    <w:rsid w:val="00890DF8"/>
    <w:rsid w:val="008A31C9"/>
    <w:rsid w:val="008A743F"/>
    <w:rsid w:val="008B6E60"/>
    <w:rsid w:val="008C0970"/>
    <w:rsid w:val="008D0BC5"/>
    <w:rsid w:val="008D2CF7"/>
    <w:rsid w:val="008D7E86"/>
    <w:rsid w:val="00900C26"/>
    <w:rsid w:val="00900C6F"/>
    <w:rsid w:val="0090197F"/>
    <w:rsid w:val="00906DDC"/>
    <w:rsid w:val="00915621"/>
    <w:rsid w:val="009168B0"/>
    <w:rsid w:val="00934E09"/>
    <w:rsid w:val="00936253"/>
    <w:rsid w:val="00940D46"/>
    <w:rsid w:val="00944FCB"/>
    <w:rsid w:val="00952DD4"/>
    <w:rsid w:val="00965AE7"/>
    <w:rsid w:val="00970FED"/>
    <w:rsid w:val="00983ED6"/>
    <w:rsid w:val="00985A7A"/>
    <w:rsid w:val="00992D82"/>
    <w:rsid w:val="00997029"/>
    <w:rsid w:val="009A7339"/>
    <w:rsid w:val="009B440E"/>
    <w:rsid w:val="009D083B"/>
    <w:rsid w:val="009D690D"/>
    <w:rsid w:val="009E2BF5"/>
    <w:rsid w:val="009E65B6"/>
    <w:rsid w:val="00A0132D"/>
    <w:rsid w:val="00A03148"/>
    <w:rsid w:val="00A04A26"/>
    <w:rsid w:val="00A1711B"/>
    <w:rsid w:val="00A22F10"/>
    <w:rsid w:val="00A24C10"/>
    <w:rsid w:val="00A37C2B"/>
    <w:rsid w:val="00A42AC3"/>
    <w:rsid w:val="00A430CF"/>
    <w:rsid w:val="00A54309"/>
    <w:rsid w:val="00A82C03"/>
    <w:rsid w:val="00AA31FB"/>
    <w:rsid w:val="00AB2B93"/>
    <w:rsid w:val="00AB530F"/>
    <w:rsid w:val="00AB7E5B"/>
    <w:rsid w:val="00AC2491"/>
    <w:rsid w:val="00AC2883"/>
    <w:rsid w:val="00AC6B05"/>
    <w:rsid w:val="00AE0EF1"/>
    <w:rsid w:val="00AE2937"/>
    <w:rsid w:val="00B00E41"/>
    <w:rsid w:val="00B07301"/>
    <w:rsid w:val="00B105E1"/>
    <w:rsid w:val="00B11F3E"/>
    <w:rsid w:val="00B224DE"/>
    <w:rsid w:val="00B30070"/>
    <w:rsid w:val="00B324D4"/>
    <w:rsid w:val="00B46575"/>
    <w:rsid w:val="00B61777"/>
    <w:rsid w:val="00B65691"/>
    <w:rsid w:val="00B74056"/>
    <w:rsid w:val="00B82D5A"/>
    <w:rsid w:val="00B84BBD"/>
    <w:rsid w:val="00B91C9D"/>
    <w:rsid w:val="00BA43FB"/>
    <w:rsid w:val="00BC127D"/>
    <w:rsid w:val="00BC1FE6"/>
    <w:rsid w:val="00BD2F6C"/>
    <w:rsid w:val="00BF11ED"/>
    <w:rsid w:val="00BF1521"/>
    <w:rsid w:val="00BF473A"/>
    <w:rsid w:val="00C061B6"/>
    <w:rsid w:val="00C20D2C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2674"/>
    <w:rsid w:val="00CF1330"/>
    <w:rsid w:val="00CF41A9"/>
    <w:rsid w:val="00CF7E36"/>
    <w:rsid w:val="00D326F9"/>
    <w:rsid w:val="00D3708D"/>
    <w:rsid w:val="00D40426"/>
    <w:rsid w:val="00D57C96"/>
    <w:rsid w:val="00D57D18"/>
    <w:rsid w:val="00D63C53"/>
    <w:rsid w:val="00D66298"/>
    <w:rsid w:val="00D91203"/>
    <w:rsid w:val="00D95174"/>
    <w:rsid w:val="00DA4973"/>
    <w:rsid w:val="00DA6F36"/>
    <w:rsid w:val="00DB0A13"/>
    <w:rsid w:val="00DB596E"/>
    <w:rsid w:val="00DB7773"/>
    <w:rsid w:val="00DC00EA"/>
    <w:rsid w:val="00DC3802"/>
    <w:rsid w:val="00DE333E"/>
    <w:rsid w:val="00DF67C6"/>
    <w:rsid w:val="00E07D87"/>
    <w:rsid w:val="00E17391"/>
    <w:rsid w:val="00E2109F"/>
    <w:rsid w:val="00E32F7E"/>
    <w:rsid w:val="00E5267B"/>
    <w:rsid w:val="00E540C6"/>
    <w:rsid w:val="00E63C0E"/>
    <w:rsid w:val="00E640C6"/>
    <w:rsid w:val="00E72D49"/>
    <w:rsid w:val="00E7593C"/>
    <w:rsid w:val="00E7678A"/>
    <w:rsid w:val="00E935F1"/>
    <w:rsid w:val="00E94A81"/>
    <w:rsid w:val="00EA1FFB"/>
    <w:rsid w:val="00EB048E"/>
    <w:rsid w:val="00EB3B57"/>
    <w:rsid w:val="00EB4E9C"/>
    <w:rsid w:val="00EB6F06"/>
    <w:rsid w:val="00EC1556"/>
    <w:rsid w:val="00EE34DF"/>
    <w:rsid w:val="00EF2E96"/>
    <w:rsid w:val="00EF2F89"/>
    <w:rsid w:val="00F03E98"/>
    <w:rsid w:val="00F05CC9"/>
    <w:rsid w:val="00F1237A"/>
    <w:rsid w:val="00F22CBD"/>
    <w:rsid w:val="00F272F1"/>
    <w:rsid w:val="00F45372"/>
    <w:rsid w:val="00F524E3"/>
    <w:rsid w:val="00F560F7"/>
    <w:rsid w:val="00F6334D"/>
    <w:rsid w:val="00FA49AB"/>
    <w:rsid w:val="00FB2223"/>
    <w:rsid w:val="00FB6BDA"/>
    <w:rsid w:val="00FC58CE"/>
    <w:rsid w:val="00FE39C7"/>
    <w:rsid w:val="00FE730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D3F176C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540C6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link w:val="Header"/>
    <w:locked/>
    <w:rsid w:val="00757845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3442</Words>
  <Characters>18854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TC/55/INF/9</vt:lpstr>
      <vt:lpstr>TC/55/INF/9</vt:lpstr>
    </vt:vector>
  </TitlesOfParts>
  <Company>UPOV</Company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TC/55/INF/9</dc:title>
  <dc:creator>SANCHEZ VIZCAINO GOMEZ Rosa Maria</dc:creator>
  <cp:lastModifiedBy>MAY Jessica</cp:lastModifiedBy>
  <cp:revision>7</cp:revision>
  <cp:lastPrinted>2019-10-22T13:01:00Z</cp:lastPrinted>
  <dcterms:created xsi:type="dcterms:W3CDTF">2019-10-24T12:25:00Z</dcterms:created>
  <dcterms:modified xsi:type="dcterms:W3CDTF">2019-10-24T12:35:00Z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c840a02e-9384-460f-af5e-9549da4813a3</vt:lpwstr>
  </property>
</Properties>
</file>