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20D36" w:rsidRPr="006667E1" w:rsidTr="00C17B29">
        <w:tc>
          <w:tcPr>
            <w:tcW w:w="6522" w:type="dxa"/>
          </w:tcPr>
          <w:p w:rsidR="00D20D36" w:rsidRPr="006667E1" w:rsidRDefault="00D20D36" w:rsidP="00C17B29">
            <w:pPr>
              <w:rPr>
                <w:lang w:val="fr-CH"/>
              </w:rPr>
            </w:pPr>
            <w:bookmarkStart w:id="0" w:name="_Toc481744310"/>
            <w:r w:rsidRPr="006667E1">
              <w:rPr>
                <w:noProof/>
              </w:rPr>
              <w:drawing>
                <wp:inline distT="0" distB="0" distL="0" distR="0" wp14:anchorId="0E7AA920" wp14:editId="12B6E12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20D36" w:rsidRPr="006667E1" w:rsidRDefault="00D20D36" w:rsidP="00C17B29">
            <w:pPr>
              <w:pStyle w:val="Lettrine"/>
              <w:rPr>
                <w:lang w:val="fr-CH"/>
              </w:rPr>
            </w:pPr>
            <w:r w:rsidRPr="006667E1">
              <w:rPr>
                <w:lang w:val="fr-CH"/>
              </w:rPr>
              <w:t>F</w:t>
            </w:r>
          </w:p>
        </w:tc>
      </w:tr>
      <w:tr w:rsidR="00D20D36" w:rsidRPr="004A2B7B" w:rsidTr="00C17B29">
        <w:trPr>
          <w:trHeight w:val="219"/>
        </w:trPr>
        <w:tc>
          <w:tcPr>
            <w:tcW w:w="6522" w:type="dxa"/>
          </w:tcPr>
          <w:p w:rsidR="00D20D36" w:rsidRPr="006667E1" w:rsidRDefault="00D20D36" w:rsidP="00C17B29">
            <w:pPr>
              <w:pStyle w:val="upove"/>
              <w:rPr>
                <w:lang w:val="fr-CH"/>
              </w:rPr>
            </w:pPr>
            <w:r w:rsidRPr="006667E1">
              <w:rPr>
                <w:lang w:val="fr-CH"/>
              </w:rPr>
              <w:t>Union internationale pour la protection des obtentions végétales</w:t>
            </w:r>
          </w:p>
        </w:tc>
        <w:tc>
          <w:tcPr>
            <w:tcW w:w="3117" w:type="dxa"/>
          </w:tcPr>
          <w:p w:rsidR="00D20D36" w:rsidRPr="006667E1" w:rsidRDefault="00D20D36" w:rsidP="00C17B29">
            <w:pPr>
              <w:rPr>
                <w:lang w:val="fr-CH"/>
              </w:rPr>
            </w:pPr>
          </w:p>
        </w:tc>
      </w:tr>
    </w:tbl>
    <w:p w:rsidR="00D75FE9" w:rsidRPr="006667E1" w:rsidRDefault="00D75FE9" w:rsidP="00D20D36">
      <w:pPr>
        <w:rPr>
          <w:lang w:val="fr-CH"/>
        </w:rPr>
      </w:pPr>
    </w:p>
    <w:p w:rsidR="00D20D36" w:rsidRPr="006667E1" w:rsidRDefault="00D20D36" w:rsidP="00D20D36">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20D36" w:rsidRPr="004A2B7B" w:rsidTr="00C17B29">
        <w:tc>
          <w:tcPr>
            <w:tcW w:w="6512" w:type="dxa"/>
          </w:tcPr>
          <w:p w:rsidR="00D75FE9" w:rsidRPr="006667E1" w:rsidRDefault="00D20D36" w:rsidP="00C17B29">
            <w:pPr>
              <w:pStyle w:val="Sessiontc"/>
              <w:spacing w:line="240" w:lineRule="auto"/>
              <w:rPr>
                <w:lang w:val="fr-CH"/>
              </w:rPr>
            </w:pPr>
            <w:r w:rsidRPr="006667E1">
              <w:rPr>
                <w:lang w:val="fr-CH"/>
              </w:rPr>
              <w:t>Comité technique</w:t>
            </w:r>
          </w:p>
          <w:p w:rsidR="00D20D36" w:rsidRPr="006667E1" w:rsidRDefault="00D20D36" w:rsidP="00C17B29">
            <w:pPr>
              <w:pStyle w:val="Sessiontcplacedate"/>
              <w:rPr>
                <w:sz w:val="22"/>
                <w:lang w:val="fr-CH"/>
              </w:rPr>
            </w:pPr>
            <w:r w:rsidRPr="006667E1">
              <w:rPr>
                <w:lang w:val="fr-CH"/>
              </w:rPr>
              <w:t>Cinquante</w:t>
            </w:r>
            <w:r w:rsidR="00E454D1">
              <w:rPr>
                <w:lang w:val="fr-CH"/>
              </w:rPr>
              <w:t>-</w:t>
            </w:r>
            <w:r w:rsidRPr="006667E1">
              <w:rPr>
                <w:lang w:val="fr-CH"/>
              </w:rPr>
              <w:t>cinqu</w:t>
            </w:r>
            <w:r w:rsidR="00E454D1">
              <w:rPr>
                <w:lang w:val="fr-CH"/>
              </w:rPr>
              <w:t>ième session</w:t>
            </w:r>
            <w:r w:rsidRPr="006667E1">
              <w:rPr>
                <w:lang w:val="fr-CH"/>
              </w:rPr>
              <w:br/>
              <w:t>Genève, 28 et 29</w:t>
            </w:r>
            <w:r w:rsidR="00BD7DF2">
              <w:rPr>
                <w:lang w:val="fr-CH"/>
              </w:rPr>
              <w:t> </w:t>
            </w:r>
            <w:r w:rsidR="002F2D47" w:rsidRPr="006667E1">
              <w:rPr>
                <w:lang w:val="fr-CH"/>
              </w:rPr>
              <w:t>octobre</w:t>
            </w:r>
            <w:r w:rsidR="002F2D47">
              <w:rPr>
                <w:lang w:val="fr-CH"/>
              </w:rPr>
              <w:t> </w:t>
            </w:r>
            <w:r w:rsidR="002F2D47" w:rsidRPr="006667E1">
              <w:rPr>
                <w:lang w:val="fr-CH"/>
              </w:rPr>
              <w:t>20</w:t>
            </w:r>
            <w:r w:rsidRPr="006667E1">
              <w:rPr>
                <w:lang w:val="fr-CH"/>
              </w:rPr>
              <w:t>19</w:t>
            </w:r>
          </w:p>
        </w:tc>
        <w:tc>
          <w:tcPr>
            <w:tcW w:w="3127" w:type="dxa"/>
          </w:tcPr>
          <w:p w:rsidR="00D75FE9" w:rsidRPr="006667E1" w:rsidRDefault="00D20D36" w:rsidP="00C17B29">
            <w:pPr>
              <w:pStyle w:val="Doccode"/>
              <w:rPr>
                <w:lang w:val="fr-CH"/>
              </w:rPr>
            </w:pPr>
            <w:r w:rsidRPr="006667E1">
              <w:rPr>
                <w:lang w:val="fr-CH"/>
              </w:rPr>
              <w:t>TC/55/4</w:t>
            </w:r>
          </w:p>
          <w:p w:rsidR="00D75FE9" w:rsidRPr="006667E1" w:rsidRDefault="00D20D36" w:rsidP="00C17B29">
            <w:pPr>
              <w:pStyle w:val="Docoriginal"/>
              <w:rPr>
                <w:lang w:val="fr-CH"/>
              </w:rPr>
            </w:pPr>
            <w:r w:rsidRPr="006667E1">
              <w:rPr>
                <w:lang w:val="fr-CH"/>
              </w:rPr>
              <w:t>Original</w:t>
            </w:r>
            <w:r w:rsidR="00E454D1">
              <w:rPr>
                <w:lang w:val="fr-CH"/>
              </w:rPr>
              <w:t> :</w:t>
            </w:r>
            <w:r w:rsidRPr="006667E1">
              <w:rPr>
                <w:b w:val="0"/>
                <w:spacing w:val="0"/>
                <w:lang w:val="fr-CH"/>
              </w:rPr>
              <w:t xml:space="preserve"> anglais</w:t>
            </w:r>
          </w:p>
          <w:p w:rsidR="00D20D36" w:rsidRPr="006667E1" w:rsidRDefault="00D20D36" w:rsidP="00C17B29">
            <w:pPr>
              <w:pStyle w:val="Docoriginal"/>
              <w:rPr>
                <w:lang w:val="fr-CH"/>
              </w:rPr>
            </w:pPr>
            <w:r w:rsidRPr="006667E1">
              <w:rPr>
                <w:lang w:val="fr-CH"/>
              </w:rPr>
              <w:t>Date</w:t>
            </w:r>
            <w:r w:rsidR="00E454D1">
              <w:rPr>
                <w:lang w:val="fr-CH"/>
              </w:rPr>
              <w:t> :</w:t>
            </w:r>
            <w:r w:rsidRPr="006667E1">
              <w:rPr>
                <w:b w:val="0"/>
                <w:spacing w:val="0"/>
                <w:lang w:val="fr-CH"/>
              </w:rPr>
              <w:t xml:space="preserve"> </w:t>
            </w:r>
            <w:r w:rsidR="00AE777D" w:rsidRPr="00AE777D">
              <w:rPr>
                <w:b w:val="0"/>
                <w:spacing w:val="0"/>
                <w:lang w:val="fr-CH"/>
              </w:rPr>
              <w:t>10</w:t>
            </w:r>
            <w:r w:rsidRPr="00AE777D">
              <w:rPr>
                <w:b w:val="0"/>
                <w:spacing w:val="0"/>
                <w:lang w:val="fr-CH"/>
              </w:rPr>
              <w:t> octobre 2019</w:t>
            </w:r>
          </w:p>
        </w:tc>
      </w:tr>
    </w:tbl>
    <w:p w:rsidR="00D75FE9" w:rsidRPr="006667E1" w:rsidRDefault="00D20D36" w:rsidP="00D20D36">
      <w:pPr>
        <w:pStyle w:val="Titleofdoc0"/>
        <w:rPr>
          <w:lang w:val="fr-CH"/>
        </w:rPr>
      </w:pPr>
      <w:bookmarkStart w:id="1" w:name="TitleOfDoc"/>
      <w:bookmarkEnd w:id="1"/>
      <w:r w:rsidRPr="006667E1">
        <w:rPr>
          <w:lang w:val="fr-CH"/>
        </w:rPr>
        <w:t>Documents TGP</w:t>
      </w:r>
    </w:p>
    <w:p w:rsidR="00D75FE9" w:rsidRPr="006667E1" w:rsidRDefault="00D20D36" w:rsidP="00D20D36">
      <w:pPr>
        <w:pStyle w:val="preparedby1"/>
        <w:jc w:val="left"/>
        <w:rPr>
          <w:lang w:val="fr-CH"/>
        </w:rPr>
      </w:pPr>
      <w:bookmarkStart w:id="2" w:name="Prepared"/>
      <w:bookmarkEnd w:id="2"/>
      <w:r w:rsidRPr="006667E1">
        <w:rPr>
          <w:lang w:val="fr-CH"/>
        </w:rPr>
        <w:t>Document établi par le Bureau de l</w:t>
      </w:r>
      <w:r w:rsidR="00E454D1">
        <w:rPr>
          <w:lang w:val="fr-CH"/>
        </w:rPr>
        <w:t>’</w:t>
      </w:r>
      <w:r w:rsidRPr="006667E1">
        <w:rPr>
          <w:lang w:val="fr-CH"/>
        </w:rPr>
        <w:t>Union</w:t>
      </w:r>
    </w:p>
    <w:p w:rsidR="00D75FE9" w:rsidRPr="006667E1" w:rsidRDefault="00D20D36" w:rsidP="00D20D36">
      <w:pPr>
        <w:pStyle w:val="Disclaimer"/>
        <w:rPr>
          <w:lang w:val="fr-CH"/>
        </w:rPr>
      </w:pPr>
      <w:r w:rsidRPr="006667E1">
        <w:rPr>
          <w:lang w:val="fr-CH"/>
        </w:rPr>
        <w:t>Avertissement</w:t>
      </w:r>
      <w:r w:rsidR="00E454D1">
        <w:rPr>
          <w:lang w:val="fr-CH"/>
        </w:rPr>
        <w:t> :</w:t>
      </w:r>
      <w:r w:rsidRPr="006667E1">
        <w:rPr>
          <w:lang w:val="fr-CH"/>
        </w:rPr>
        <w:t xml:space="preserve"> le présent document ne représente pas les principes ou les orientations de l</w:t>
      </w:r>
      <w:r w:rsidR="00E454D1">
        <w:rPr>
          <w:lang w:val="fr-CH"/>
        </w:rPr>
        <w:t>’</w:t>
      </w:r>
      <w:r w:rsidRPr="006667E1">
        <w:rPr>
          <w:lang w:val="fr-CH"/>
        </w:rPr>
        <w:t>UPOV</w:t>
      </w:r>
    </w:p>
    <w:p w:rsidR="00D75FE9" w:rsidRPr="00E454D1" w:rsidRDefault="00C17B29" w:rsidP="00C17B29">
      <w:pPr>
        <w:keepNext/>
        <w:outlineLvl w:val="0"/>
        <w:rPr>
          <w:caps/>
          <w:snapToGrid w:val="0"/>
          <w:lang w:val="fr-CH"/>
        </w:rPr>
      </w:pPr>
      <w:bookmarkStart w:id="3" w:name="_Toc22035905"/>
      <w:bookmarkEnd w:id="0"/>
      <w:r w:rsidRPr="00E454D1">
        <w:rPr>
          <w:caps/>
          <w:snapToGrid w:val="0"/>
          <w:lang w:val="fr-CH"/>
        </w:rPr>
        <w:t>Résumé</w:t>
      </w:r>
      <w:bookmarkEnd w:id="3"/>
    </w:p>
    <w:p w:rsidR="00D75FE9" w:rsidRPr="00E454D1" w:rsidRDefault="00D75FE9" w:rsidP="009956BC">
      <w:pPr>
        <w:rPr>
          <w:snapToGrid w:val="0"/>
          <w:lang w:val="fr-CH"/>
        </w:rPr>
      </w:pPr>
    </w:p>
    <w:p w:rsidR="002F2D47" w:rsidRPr="00E454D1" w:rsidRDefault="009956BC" w:rsidP="00C17B29">
      <w:pPr>
        <w:rPr>
          <w:rFonts w:cs="Arial"/>
          <w:lang w:val="fr-CH"/>
        </w:rPr>
      </w:pPr>
      <w:r w:rsidRPr="00E454D1">
        <w:rPr>
          <w:snapToGrid w:val="0"/>
          <w:lang w:val="fr-CH"/>
        </w:rPr>
        <w:fldChar w:fldCharType="begin"/>
      </w:r>
      <w:r w:rsidRPr="00E454D1">
        <w:rPr>
          <w:snapToGrid w:val="0"/>
          <w:lang w:val="fr-CH"/>
        </w:rPr>
        <w:instrText xml:space="preserve"> AUTONUM  </w:instrText>
      </w:r>
      <w:r w:rsidRPr="00E454D1">
        <w:rPr>
          <w:snapToGrid w:val="0"/>
          <w:lang w:val="fr-CH"/>
        </w:rPr>
        <w:fldChar w:fldCharType="end"/>
      </w:r>
      <w:r w:rsidRPr="00E454D1">
        <w:rPr>
          <w:snapToGrid w:val="0"/>
          <w:lang w:val="fr-CH"/>
        </w:rPr>
        <w:tab/>
      </w:r>
      <w:r w:rsidR="00C17B29" w:rsidRPr="00E454D1">
        <w:rPr>
          <w:snapToGrid w:val="0"/>
          <w:lang w:val="fr-CH"/>
        </w:rPr>
        <w:t>Le présent document vise à donner un aperçu général des révisions des documents TGP.</w:t>
      </w:r>
    </w:p>
    <w:p w:rsidR="00D75FE9" w:rsidRPr="00E454D1" w:rsidRDefault="00D75FE9" w:rsidP="009956BC">
      <w:pPr>
        <w:tabs>
          <w:tab w:val="left" w:pos="567"/>
          <w:tab w:val="left" w:pos="1134"/>
          <w:tab w:val="left" w:pos="5387"/>
        </w:tabs>
        <w:rPr>
          <w:highlight w:val="yellow"/>
          <w:lang w:val="fr-CH"/>
        </w:rPr>
      </w:pPr>
    </w:p>
    <w:p w:rsidR="00D75FE9" w:rsidRPr="00E454D1" w:rsidRDefault="00C17B29" w:rsidP="00C17B29">
      <w:pPr>
        <w:tabs>
          <w:tab w:val="left" w:pos="567"/>
          <w:tab w:val="left" w:pos="1134"/>
          <w:tab w:val="left" w:pos="5387"/>
        </w:tabs>
        <w:rPr>
          <w:u w:val="single"/>
          <w:lang w:val="fr-CH"/>
        </w:rPr>
      </w:pPr>
      <w:r w:rsidRPr="00E454D1">
        <w:rPr>
          <w:u w:val="single"/>
          <w:lang w:val="fr-CH"/>
        </w:rPr>
        <w:t xml:space="preserve">Questions pour adoption par le Conseil </w:t>
      </w:r>
      <w:r w:rsidR="002F2D47" w:rsidRPr="00E454D1">
        <w:rPr>
          <w:u w:val="single"/>
          <w:lang w:val="fr-CH"/>
        </w:rPr>
        <w:t>en 2019</w:t>
      </w:r>
    </w:p>
    <w:p w:rsidR="00D75FE9" w:rsidRPr="00E454D1" w:rsidRDefault="00D75FE9" w:rsidP="009956BC">
      <w:pPr>
        <w:tabs>
          <w:tab w:val="left" w:pos="567"/>
          <w:tab w:val="left" w:pos="1134"/>
          <w:tab w:val="left" w:pos="5387"/>
        </w:tabs>
        <w:rPr>
          <w:lang w:val="fr-CH"/>
        </w:rPr>
      </w:pPr>
    </w:p>
    <w:p w:rsidR="00D75FE9" w:rsidRPr="00E454D1" w:rsidRDefault="009956BC" w:rsidP="00C17B29">
      <w:pPr>
        <w:tabs>
          <w:tab w:val="left" w:pos="567"/>
          <w:tab w:val="left" w:pos="1134"/>
          <w:tab w:val="left" w:pos="5387"/>
        </w:tab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C17B29" w:rsidRPr="00E454D1">
        <w:rPr>
          <w:lang w:val="fr-CH"/>
        </w:rPr>
        <w:t>Le</w:t>
      </w:r>
      <w:r w:rsidR="00E454D1">
        <w:rPr>
          <w:lang w:val="fr-CH"/>
        </w:rPr>
        <w:t> TC</w:t>
      </w:r>
      <w:r w:rsidR="00C17B29" w:rsidRPr="00E454D1">
        <w:rPr>
          <w:lang w:val="fr-CH"/>
        </w:rPr>
        <w:t xml:space="preserve"> est invité</w:t>
      </w:r>
      <w:r w:rsidR="00AE777D">
        <w:rPr>
          <w:lang w:val="fr-CH"/>
        </w:rPr>
        <w:t xml:space="preserve"> à :</w:t>
      </w:r>
    </w:p>
    <w:p w:rsidR="00D75FE9" w:rsidRPr="00E454D1" w:rsidRDefault="00D75FE9" w:rsidP="00020BA0">
      <w:pPr>
        <w:rPr>
          <w:lang w:val="fr-CH"/>
        </w:rPr>
      </w:pPr>
    </w:p>
    <w:p w:rsidR="00D75FE9" w:rsidRPr="00E454D1" w:rsidRDefault="00C17B29" w:rsidP="00C17B29">
      <w:pPr>
        <w:tabs>
          <w:tab w:val="left" w:pos="1134"/>
        </w:tabs>
        <w:ind w:firstLine="567"/>
        <w:rPr>
          <w:lang w:val="fr-CH"/>
        </w:rPr>
      </w:pPr>
      <w:r w:rsidRPr="00E454D1">
        <w:rPr>
          <w:lang w:val="fr-CH"/>
        </w:rPr>
        <w:t>a)</w:t>
      </w:r>
      <w:r w:rsidRPr="00E454D1">
        <w:rPr>
          <w:lang w:val="fr-CH"/>
        </w:rPr>
        <w:tab/>
        <w:t>examiner la version révisée du document TGP/7 “Élaboration des principes directeurs d</w:t>
      </w:r>
      <w:r w:rsidR="00E454D1">
        <w:rPr>
          <w:lang w:val="fr-CH"/>
        </w:rPr>
        <w:t>’</w:t>
      </w:r>
      <w:r w:rsidRPr="00E454D1">
        <w:rPr>
          <w:lang w:val="fr-CH"/>
        </w:rPr>
        <w:t xml:space="preserve">examen” (document TGP/7/7), sur la base du document TGP/7/7 </w:t>
      </w:r>
      <w:proofErr w:type="spellStart"/>
      <w:r w:rsidRPr="00E454D1">
        <w:rPr>
          <w:lang w:val="fr-CH"/>
        </w:rPr>
        <w:t>Draft</w:t>
      </w:r>
      <w:proofErr w:type="spellEnd"/>
      <w:r w:rsidRPr="00E454D1">
        <w:rPr>
          <w:lang w:val="fr-CH"/>
        </w:rPr>
        <w:t xml:space="preserve"> 1,</w:t>
      </w:r>
    </w:p>
    <w:p w:rsidR="00D75FE9" w:rsidRPr="00E454D1" w:rsidRDefault="00D75FE9" w:rsidP="00020BA0">
      <w:pPr>
        <w:tabs>
          <w:tab w:val="left" w:pos="1134"/>
        </w:tabs>
        <w:ind w:firstLine="567"/>
        <w:rPr>
          <w:lang w:val="fr-CH"/>
        </w:rPr>
      </w:pPr>
    </w:p>
    <w:p w:rsidR="00D75FE9" w:rsidRPr="00E454D1" w:rsidRDefault="00C17B29" w:rsidP="00C17B29">
      <w:pPr>
        <w:tabs>
          <w:tab w:val="left" w:pos="1134"/>
        </w:tabs>
        <w:ind w:firstLine="567"/>
        <w:rPr>
          <w:lang w:val="fr-CH"/>
        </w:rPr>
      </w:pPr>
      <w:r w:rsidRPr="00E454D1">
        <w:rPr>
          <w:lang w:val="fr-CH"/>
        </w:rPr>
        <w:t>b)</w:t>
      </w:r>
      <w:r w:rsidRPr="00E454D1">
        <w:rPr>
          <w:lang w:val="fr-CH"/>
        </w:rPr>
        <w:tab/>
        <w:t>examiner la version révisée du document TGP/8 “Protocole d</w:t>
      </w:r>
      <w:r w:rsidR="00E454D1">
        <w:rPr>
          <w:lang w:val="fr-CH"/>
        </w:rPr>
        <w:t>’</w:t>
      </w:r>
      <w:r w:rsidRPr="00E454D1">
        <w:rPr>
          <w:lang w:val="fr-CH"/>
        </w:rPr>
        <w:t>essai et techniques utilisés dans l</w:t>
      </w:r>
      <w:r w:rsidR="00E454D1">
        <w:rPr>
          <w:lang w:val="fr-CH"/>
        </w:rPr>
        <w:t>’</w:t>
      </w:r>
      <w:r w:rsidRPr="00E454D1">
        <w:rPr>
          <w:lang w:val="fr-CH"/>
        </w:rPr>
        <w:t>examen de la distinction, de l</w:t>
      </w:r>
      <w:r w:rsidR="00E454D1">
        <w:rPr>
          <w:lang w:val="fr-CH"/>
        </w:rPr>
        <w:t>’</w:t>
      </w:r>
      <w:r w:rsidRPr="00E454D1">
        <w:rPr>
          <w:lang w:val="fr-CH"/>
        </w:rPr>
        <w:t xml:space="preserve">homogénéité et de la stabilité” (document TGP/8/3), sur la base du document TGP/8/4 </w:t>
      </w:r>
      <w:proofErr w:type="spellStart"/>
      <w:r w:rsidRPr="00E454D1">
        <w:rPr>
          <w:lang w:val="fr-CH"/>
        </w:rPr>
        <w:t>Draft</w:t>
      </w:r>
      <w:proofErr w:type="spellEnd"/>
      <w:r w:rsidRPr="00E454D1">
        <w:rPr>
          <w:lang w:val="fr-CH"/>
        </w:rPr>
        <w:t xml:space="preserve"> 1,</w:t>
      </w:r>
    </w:p>
    <w:p w:rsidR="00D75FE9" w:rsidRPr="00E454D1" w:rsidRDefault="00D75FE9" w:rsidP="00020BA0">
      <w:pPr>
        <w:tabs>
          <w:tab w:val="left" w:pos="1134"/>
        </w:tabs>
        <w:ind w:firstLine="567"/>
        <w:rPr>
          <w:lang w:val="fr-CH"/>
        </w:rPr>
      </w:pPr>
    </w:p>
    <w:p w:rsidR="00D75FE9" w:rsidRPr="00E454D1" w:rsidRDefault="00C17B29" w:rsidP="00C17B29">
      <w:pPr>
        <w:tabs>
          <w:tab w:val="left" w:pos="1134"/>
        </w:tabs>
        <w:ind w:firstLine="567"/>
        <w:rPr>
          <w:lang w:val="fr-CH"/>
        </w:rPr>
      </w:pPr>
      <w:r w:rsidRPr="00E454D1">
        <w:rPr>
          <w:lang w:val="fr-CH"/>
        </w:rPr>
        <w:t>c)</w:t>
      </w:r>
      <w:r w:rsidRPr="00E454D1">
        <w:rPr>
          <w:lang w:val="fr-CH"/>
        </w:rPr>
        <w:tab/>
        <w:t>examiner la version révisée du document TGP/10 “Examen de l</w:t>
      </w:r>
      <w:r w:rsidR="00E454D1">
        <w:rPr>
          <w:lang w:val="fr-CH"/>
        </w:rPr>
        <w:t>’</w:t>
      </w:r>
      <w:r w:rsidRPr="00E454D1">
        <w:rPr>
          <w:lang w:val="fr-CH"/>
        </w:rPr>
        <w:t xml:space="preserve">homogénéité” (document TGP/10/1), sur la base du document TGP/10/2 </w:t>
      </w:r>
      <w:proofErr w:type="spellStart"/>
      <w:r w:rsidRPr="00E454D1">
        <w:rPr>
          <w:lang w:val="fr-CH"/>
        </w:rPr>
        <w:t>Draft</w:t>
      </w:r>
      <w:proofErr w:type="spellEnd"/>
      <w:r w:rsidRPr="00E454D1">
        <w:rPr>
          <w:lang w:val="fr-CH"/>
        </w:rPr>
        <w:t xml:space="preserve"> 1,</w:t>
      </w:r>
    </w:p>
    <w:p w:rsidR="00D75FE9" w:rsidRPr="00E454D1" w:rsidRDefault="00D75FE9" w:rsidP="00020BA0">
      <w:pPr>
        <w:tabs>
          <w:tab w:val="left" w:pos="1134"/>
        </w:tabs>
        <w:ind w:firstLine="567"/>
        <w:rPr>
          <w:lang w:val="fr-CH"/>
        </w:rPr>
      </w:pPr>
    </w:p>
    <w:p w:rsidR="00D75FE9" w:rsidRPr="00E454D1" w:rsidRDefault="00C17B29" w:rsidP="00C17B29">
      <w:pPr>
        <w:tabs>
          <w:tab w:val="left" w:pos="1134"/>
        </w:tabs>
        <w:ind w:firstLine="567"/>
        <w:rPr>
          <w:lang w:val="fr-CH"/>
        </w:rPr>
      </w:pPr>
      <w:r w:rsidRPr="00E454D1">
        <w:rPr>
          <w:lang w:val="fr-CH"/>
        </w:rPr>
        <w:t>d)</w:t>
      </w:r>
      <w:r w:rsidRPr="00E454D1">
        <w:rPr>
          <w:lang w:val="fr-CH"/>
        </w:rPr>
        <w:tab/>
        <w:t>examiner la version révisée du document TGP/14 “Glossaire de termes utilisés dans les documents de l</w:t>
      </w:r>
      <w:r w:rsidR="00E454D1">
        <w:rPr>
          <w:lang w:val="fr-CH"/>
        </w:rPr>
        <w:t>’</w:t>
      </w:r>
      <w:r w:rsidRPr="00E454D1">
        <w:rPr>
          <w:lang w:val="fr-CH"/>
        </w:rPr>
        <w:t>UPOV” (</w:t>
      </w:r>
      <w:r w:rsidR="002F2D47" w:rsidRPr="00E454D1">
        <w:rPr>
          <w:lang w:val="fr-CH"/>
        </w:rPr>
        <w:t>document TG</w:t>
      </w:r>
      <w:r w:rsidRPr="00E454D1">
        <w:rPr>
          <w:lang w:val="fr-CH"/>
        </w:rPr>
        <w:t xml:space="preserve">P/14/3), sur la base du </w:t>
      </w:r>
      <w:r w:rsidR="002F2D47" w:rsidRPr="00E454D1">
        <w:rPr>
          <w:lang w:val="fr-CH"/>
        </w:rPr>
        <w:t>document TG</w:t>
      </w:r>
      <w:r w:rsidRPr="00E454D1">
        <w:rPr>
          <w:lang w:val="fr-CH"/>
        </w:rPr>
        <w:t xml:space="preserve">P/14/4 </w:t>
      </w:r>
      <w:proofErr w:type="spellStart"/>
      <w:r w:rsidRPr="00E454D1">
        <w:rPr>
          <w:lang w:val="fr-CH"/>
        </w:rPr>
        <w:t>Draft</w:t>
      </w:r>
      <w:proofErr w:type="spellEnd"/>
      <w:r w:rsidRPr="00E454D1">
        <w:rPr>
          <w:lang w:val="fr-CH"/>
        </w:rPr>
        <w:t> 1,</w:t>
      </w:r>
    </w:p>
    <w:p w:rsidR="00D75FE9" w:rsidRPr="00E454D1" w:rsidRDefault="00D75FE9" w:rsidP="00020BA0">
      <w:pPr>
        <w:tabs>
          <w:tab w:val="left" w:pos="1134"/>
        </w:tabs>
        <w:ind w:firstLine="567"/>
        <w:rPr>
          <w:lang w:val="fr-CH"/>
        </w:rPr>
      </w:pPr>
    </w:p>
    <w:p w:rsidR="00D75FE9" w:rsidRPr="00E454D1" w:rsidRDefault="00C17B29" w:rsidP="00C17B29">
      <w:pPr>
        <w:tabs>
          <w:tab w:val="left" w:pos="1134"/>
        </w:tabs>
        <w:ind w:firstLine="567"/>
        <w:rPr>
          <w:lang w:val="fr-CH"/>
        </w:rPr>
      </w:pPr>
      <w:r w:rsidRPr="00E454D1">
        <w:rPr>
          <w:lang w:val="fr-CH"/>
        </w:rPr>
        <w:t>e)</w:t>
      </w:r>
      <w:r w:rsidRPr="00E454D1">
        <w:rPr>
          <w:lang w:val="fr-CH"/>
        </w:rPr>
        <w:tab/>
        <w:t>examiner la version révisée du document TGP/15 “Conseils en ce qui concerne l</w:t>
      </w:r>
      <w:r w:rsidR="00E454D1">
        <w:rPr>
          <w:lang w:val="fr-CH"/>
        </w:rPr>
        <w:t>’</w:t>
      </w:r>
      <w:r w:rsidRPr="00E454D1">
        <w:rPr>
          <w:lang w:val="fr-CH"/>
        </w:rPr>
        <w:t>utilisation des marqueurs biochimiques et moléculaires dans l</w:t>
      </w:r>
      <w:r w:rsidR="00E454D1">
        <w:rPr>
          <w:lang w:val="fr-CH"/>
        </w:rPr>
        <w:t>’</w:t>
      </w:r>
      <w:r w:rsidRPr="00E454D1">
        <w:rPr>
          <w:lang w:val="fr-CH"/>
        </w:rPr>
        <w:t>examen de la distinction, de l</w:t>
      </w:r>
      <w:r w:rsidR="00E454D1">
        <w:rPr>
          <w:lang w:val="fr-CH"/>
        </w:rPr>
        <w:t>’</w:t>
      </w:r>
      <w:r w:rsidRPr="00E454D1">
        <w:rPr>
          <w:lang w:val="fr-CH"/>
        </w:rPr>
        <w:t xml:space="preserve">homogénéité et de la stabilité (DHS)” (document TGP/15/1), sur la base du document TGP/15/2 </w:t>
      </w:r>
      <w:proofErr w:type="spellStart"/>
      <w:r w:rsidRPr="00E454D1">
        <w:rPr>
          <w:lang w:val="fr-CH"/>
        </w:rPr>
        <w:t>Draft</w:t>
      </w:r>
      <w:proofErr w:type="spellEnd"/>
      <w:r w:rsidRPr="00E454D1">
        <w:rPr>
          <w:lang w:val="fr-CH"/>
        </w:rPr>
        <w:t xml:space="preserve"> 2, et</w:t>
      </w:r>
    </w:p>
    <w:p w:rsidR="00D75FE9" w:rsidRPr="00E454D1" w:rsidRDefault="00D75FE9" w:rsidP="00020BA0">
      <w:pPr>
        <w:tabs>
          <w:tab w:val="left" w:pos="1134"/>
        </w:tabs>
        <w:ind w:firstLine="567"/>
        <w:rPr>
          <w:lang w:val="fr-CH"/>
        </w:rPr>
      </w:pPr>
    </w:p>
    <w:p w:rsidR="00D75FE9" w:rsidRPr="00E454D1" w:rsidRDefault="00C17B29" w:rsidP="00C17B29">
      <w:pPr>
        <w:tabs>
          <w:tab w:val="left" w:pos="1134"/>
        </w:tabs>
        <w:ind w:firstLine="567"/>
        <w:rPr>
          <w:rFonts w:cs="Arial"/>
          <w:lang w:val="fr-CH"/>
        </w:rPr>
      </w:pPr>
      <w:r w:rsidRPr="00E454D1">
        <w:rPr>
          <w:rFonts w:cs="Arial"/>
          <w:lang w:val="fr-CH"/>
        </w:rPr>
        <w:t>f)</w:t>
      </w:r>
      <w:r w:rsidRPr="00E454D1">
        <w:rPr>
          <w:rFonts w:cs="Arial"/>
          <w:lang w:val="fr-CH"/>
        </w:rPr>
        <w:tab/>
        <w:t>noter que, parallèlement à l</w:t>
      </w:r>
      <w:r w:rsidR="00E454D1">
        <w:rPr>
          <w:rFonts w:cs="Arial"/>
          <w:lang w:val="fr-CH"/>
        </w:rPr>
        <w:t>’</w:t>
      </w:r>
      <w:r w:rsidRPr="00E454D1">
        <w:rPr>
          <w:rFonts w:cs="Arial"/>
          <w:lang w:val="fr-CH"/>
        </w:rPr>
        <w:t>adoption des documents TGP révisés, le Conseil sera invité, à sa cinquante</w:t>
      </w:r>
      <w:r w:rsidR="00E454D1">
        <w:rPr>
          <w:rFonts w:cs="Arial"/>
          <w:lang w:val="fr-CH"/>
        </w:rPr>
        <w:t>-</w:t>
      </w:r>
      <w:r w:rsidRPr="00E454D1">
        <w:rPr>
          <w:rFonts w:cs="Arial"/>
          <w:lang w:val="fr-CH"/>
        </w:rPr>
        <w:t>trois</w:t>
      </w:r>
      <w:r w:rsidR="00E454D1">
        <w:rPr>
          <w:rFonts w:cs="Arial"/>
          <w:lang w:val="fr-CH"/>
        </w:rPr>
        <w:t>ième session</w:t>
      </w:r>
      <w:r w:rsidRPr="00E454D1">
        <w:rPr>
          <w:rFonts w:cs="Arial"/>
          <w:lang w:val="fr-CH"/>
        </w:rPr>
        <w:t xml:space="preserve"> ordinaire, à adopter une version révisée du </w:t>
      </w:r>
      <w:r w:rsidR="002F2D47" w:rsidRPr="00E454D1">
        <w:rPr>
          <w:rFonts w:cs="Arial"/>
          <w:lang w:val="fr-CH"/>
        </w:rPr>
        <w:t>document TG</w:t>
      </w:r>
      <w:r w:rsidRPr="00E454D1">
        <w:rPr>
          <w:rFonts w:cs="Arial"/>
          <w:lang w:val="fr-CH"/>
        </w:rPr>
        <w:t>P/0 “Liste des documents TGP et date de la version la plus récente de ces documents” (</w:t>
      </w:r>
      <w:r w:rsidR="002F2D47" w:rsidRPr="00E454D1">
        <w:rPr>
          <w:rFonts w:cs="Arial"/>
          <w:lang w:val="fr-CH"/>
        </w:rPr>
        <w:t>document TG</w:t>
      </w:r>
      <w:r w:rsidRPr="00E454D1">
        <w:rPr>
          <w:rFonts w:cs="Arial"/>
          <w:lang w:val="fr-CH"/>
        </w:rPr>
        <w:t xml:space="preserve">P/0/10), sur la base du </w:t>
      </w:r>
      <w:r w:rsidR="002F2D47" w:rsidRPr="00E454D1">
        <w:rPr>
          <w:rFonts w:cs="Arial"/>
          <w:lang w:val="fr-CH"/>
        </w:rPr>
        <w:t>document TG</w:t>
      </w:r>
      <w:r w:rsidRPr="00E454D1">
        <w:rPr>
          <w:rFonts w:cs="Arial"/>
          <w:lang w:val="fr-CH"/>
        </w:rPr>
        <w:t xml:space="preserve">P/0/11 </w:t>
      </w:r>
      <w:proofErr w:type="spellStart"/>
      <w:r w:rsidRPr="00E454D1">
        <w:rPr>
          <w:rFonts w:cs="Arial"/>
          <w:lang w:val="fr-CH"/>
        </w:rPr>
        <w:t>Draft</w:t>
      </w:r>
      <w:proofErr w:type="spellEnd"/>
      <w:r w:rsidR="00FE5010" w:rsidRPr="00E454D1">
        <w:rPr>
          <w:rFonts w:cs="Arial"/>
          <w:lang w:val="fr-CH"/>
        </w:rPr>
        <w:t> </w:t>
      </w:r>
      <w:r w:rsidRPr="00E454D1">
        <w:rPr>
          <w:rFonts w:cs="Arial"/>
          <w:lang w:val="fr-CH"/>
        </w:rPr>
        <w:t>1.</w:t>
      </w:r>
    </w:p>
    <w:p w:rsidR="00D75FE9" w:rsidRPr="00E454D1" w:rsidRDefault="00D75FE9" w:rsidP="009956BC">
      <w:pPr>
        <w:tabs>
          <w:tab w:val="left" w:pos="1134"/>
          <w:tab w:val="left" w:pos="5387"/>
          <w:tab w:val="left" w:pos="5954"/>
        </w:tabs>
        <w:ind w:left="570"/>
        <w:contextualSpacing/>
        <w:rPr>
          <w:lang w:val="fr-CH"/>
        </w:rPr>
      </w:pPr>
    </w:p>
    <w:p w:rsidR="00D75FE9" w:rsidRPr="00E454D1" w:rsidRDefault="00C17B29" w:rsidP="00C17B29">
      <w:pPr>
        <w:tabs>
          <w:tab w:val="left" w:pos="1134"/>
          <w:tab w:val="left" w:pos="5387"/>
          <w:tab w:val="left" w:pos="5954"/>
        </w:tabs>
        <w:contextualSpacing/>
        <w:rPr>
          <w:u w:val="single"/>
          <w:lang w:val="fr-CH"/>
        </w:rPr>
      </w:pPr>
      <w:r w:rsidRPr="00E454D1">
        <w:rPr>
          <w:u w:val="single"/>
          <w:lang w:val="fr-CH"/>
        </w:rPr>
        <w:t>Éventuelles futures révisions des documents TGP</w:t>
      </w:r>
    </w:p>
    <w:p w:rsidR="00D75FE9" w:rsidRPr="00E454D1" w:rsidRDefault="00D75FE9" w:rsidP="009956BC">
      <w:pPr>
        <w:tabs>
          <w:tab w:val="left" w:pos="1134"/>
          <w:tab w:val="left" w:pos="5387"/>
          <w:tab w:val="left" w:pos="5954"/>
        </w:tabs>
        <w:ind w:left="570"/>
        <w:contextualSpacing/>
        <w:rPr>
          <w:lang w:val="fr-CH"/>
        </w:rPr>
      </w:pPr>
    </w:p>
    <w:p w:rsidR="002F2D47" w:rsidRPr="00E454D1" w:rsidRDefault="009956BC" w:rsidP="00C17B29">
      <w:pPr>
        <w:tabs>
          <w:tab w:val="left" w:pos="567"/>
          <w:tab w:val="left" w:pos="1134"/>
          <w:tab w:val="left" w:pos="5387"/>
        </w:tab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C17B29" w:rsidRPr="00E454D1">
        <w:rPr>
          <w:lang w:val="fr-CH"/>
        </w:rPr>
        <w:t>Le</w:t>
      </w:r>
      <w:r w:rsidR="00E454D1">
        <w:rPr>
          <w:lang w:val="fr-CH"/>
        </w:rPr>
        <w:t> TC</w:t>
      </w:r>
      <w:r w:rsidR="00C17B29" w:rsidRPr="00E454D1">
        <w:rPr>
          <w:lang w:val="fr-CH"/>
        </w:rPr>
        <w:t xml:space="preserve"> est invité</w:t>
      </w:r>
      <w:r w:rsidR="00E14B8C">
        <w:rPr>
          <w:lang w:val="fr-CH"/>
        </w:rPr>
        <w:t xml:space="preserve"> à :</w:t>
      </w:r>
    </w:p>
    <w:p w:rsidR="00D75FE9" w:rsidRPr="00E454D1" w:rsidRDefault="00D75FE9" w:rsidP="009956BC">
      <w:pPr>
        <w:tabs>
          <w:tab w:val="left" w:pos="1134"/>
          <w:tab w:val="left" w:pos="5387"/>
          <w:tab w:val="left" w:pos="5954"/>
        </w:tabs>
        <w:ind w:left="570"/>
        <w:contextualSpacing/>
        <w:rPr>
          <w:lang w:val="fr-CH"/>
        </w:rPr>
      </w:pPr>
    </w:p>
    <w:p w:rsidR="002F2D47" w:rsidRPr="00E454D1" w:rsidRDefault="0074544B" w:rsidP="00C17B29">
      <w:pPr>
        <w:tabs>
          <w:tab w:val="left" w:pos="567"/>
          <w:tab w:val="left" w:pos="1134"/>
          <w:tab w:val="left" w:pos="5387"/>
          <w:tab w:val="left" w:pos="5954"/>
        </w:tabs>
        <w:contextualSpacing/>
        <w:rPr>
          <w:lang w:val="fr-CH"/>
        </w:rPr>
      </w:pPr>
      <w:r w:rsidRPr="00E454D1">
        <w:rPr>
          <w:lang w:val="fr-CH"/>
        </w:rPr>
        <w:tab/>
      </w:r>
      <w:r w:rsidR="00C17B29" w:rsidRPr="00E454D1">
        <w:rPr>
          <w:lang w:val="fr-CH"/>
        </w:rPr>
        <w:t>g)</w:t>
      </w:r>
      <w:r w:rsidR="00C17B29" w:rsidRPr="00E454D1">
        <w:rPr>
          <w:lang w:val="fr-CH"/>
        </w:rPr>
        <w:tab/>
        <w:t xml:space="preserve">prendre note des questions concernant une éventuelle future révision des </w:t>
      </w:r>
      <w:r w:rsidR="002F2D47" w:rsidRPr="00E454D1">
        <w:rPr>
          <w:lang w:val="fr-CH"/>
        </w:rPr>
        <w:t>documents TG</w:t>
      </w:r>
      <w:r w:rsidR="00C17B29" w:rsidRPr="00E454D1">
        <w:rPr>
          <w:lang w:val="fr-CH"/>
        </w:rPr>
        <w:t>P/7, TGP/8, TGP/14 et TGP/15 qui seront examinées dans des documents distincts,</w:t>
      </w:r>
    </w:p>
    <w:p w:rsidR="00D75FE9" w:rsidRPr="00E454D1" w:rsidRDefault="00D75FE9" w:rsidP="009956BC">
      <w:pPr>
        <w:tabs>
          <w:tab w:val="left" w:pos="567"/>
          <w:tab w:val="left" w:pos="1134"/>
          <w:tab w:val="left" w:pos="5387"/>
          <w:tab w:val="left" w:pos="5954"/>
        </w:tabs>
        <w:ind w:firstLine="567"/>
        <w:rPr>
          <w:lang w:val="fr-CH"/>
        </w:rPr>
      </w:pPr>
    </w:p>
    <w:p w:rsidR="00D75FE9" w:rsidRPr="00E454D1" w:rsidRDefault="0074544B" w:rsidP="00C17B29">
      <w:pPr>
        <w:tabs>
          <w:tab w:val="left" w:pos="567"/>
          <w:tab w:val="left" w:pos="1134"/>
          <w:tab w:val="left" w:pos="5387"/>
          <w:tab w:val="left" w:pos="5954"/>
        </w:tabs>
        <w:contextualSpacing/>
        <w:rPr>
          <w:lang w:val="fr-CH"/>
        </w:rPr>
      </w:pPr>
      <w:r w:rsidRPr="00E454D1">
        <w:rPr>
          <w:lang w:val="fr-CH"/>
        </w:rPr>
        <w:tab/>
      </w:r>
      <w:r w:rsidR="00C17B29" w:rsidRPr="00E454D1">
        <w:rPr>
          <w:lang w:val="fr-CH"/>
        </w:rPr>
        <w:t>h)</w:t>
      </w:r>
      <w:r w:rsidR="00C17B29" w:rsidRPr="00E454D1">
        <w:rPr>
          <w:lang w:val="fr-CH"/>
        </w:rPr>
        <w:tab/>
        <w:t>noter que le Royaume</w:t>
      </w:r>
      <w:r w:rsidR="00E454D1">
        <w:rPr>
          <w:lang w:val="fr-CH"/>
        </w:rPr>
        <w:t>-</w:t>
      </w:r>
      <w:r w:rsidR="00C17B29" w:rsidRPr="00E454D1">
        <w:rPr>
          <w:lang w:val="fr-CH"/>
        </w:rPr>
        <w:t>Uni a invité les experts intéressés à se mettre en rapport pour tester le nouveau logiciel incorporant la méthode améliorée de calcul de</w:t>
      </w:r>
      <w:r w:rsidR="002F2D47" w:rsidRPr="00E454D1">
        <w:rPr>
          <w:lang w:val="fr-CH"/>
        </w:rPr>
        <w:t xml:space="preserve"> la COY</w:t>
      </w:r>
      <w:r w:rsidR="00C17B29" w:rsidRPr="00E454D1">
        <w:rPr>
          <w:lang w:val="fr-CH"/>
        </w:rPr>
        <w:t>U,</w:t>
      </w:r>
    </w:p>
    <w:p w:rsidR="00D75FE9" w:rsidRPr="00E454D1" w:rsidRDefault="00D75FE9" w:rsidP="009956BC">
      <w:pPr>
        <w:tabs>
          <w:tab w:val="left" w:pos="567"/>
          <w:tab w:val="left" w:pos="1134"/>
          <w:tab w:val="left" w:pos="5387"/>
          <w:tab w:val="left" w:pos="5954"/>
        </w:tabs>
        <w:ind w:firstLine="567"/>
        <w:contextualSpacing/>
        <w:rPr>
          <w:lang w:val="fr-CH"/>
        </w:rPr>
      </w:pPr>
    </w:p>
    <w:p w:rsidR="00D75FE9" w:rsidRPr="00E454D1" w:rsidRDefault="0074544B" w:rsidP="00C17B29">
      <w:pPr>
        <w:tabs>
          <w:tab w:val="left" w:pos="567"/>
          <w:tab w:val="left" w:pos="1134"/>
          <w:tab w:val="left" w:pos="5387"/>
          <w:tab w:val="left" w:pos="5954"/>
        </w:tabs>
        <w:contextualSpacing/>
        <w:rPr>
          <w:lang w:val="fr-CH"/>
        </w:rPr>
      </w:pPr>
      <w:r w:rsidRPr="00E454D1">
        <w:rPr>
          <w:lang w:val="fr-CH"/>
        </w:rPr>
        <w:tab/>
      </w:r>
      <w:r w:rsidR="00C17B29" w:rsidRPr="00E454D1">
        <w:rPr>
          <w:lang w:val="fr-CH"/>
        </w:rPr>
        <w:t>i)</w:t>
      </w:r>
      <w:r w:rsidR="00C17B29" w:rsidRPr="00E454D1">
        <w:rPr>
          <w:lang w:val="fr-CH"/>
        </w:rPr>
        <w:tab/>
        <w:t>noter que</w:t>
      </w:r>
      <w:r w:rsidR="002F2D47" w:rsidRPr="00E454D1">
        <w:rPr>
          <w:lang w:val="fr-CH"/>
        </w:rPr>
        <w:t xml:space="preserve"> le TWC</w:t>
      </w:r>
      <w:r w:rsidR="00C17B29" w:rsidRPr="00E454D1">
        <w:rPr>
          <w:lang w:val="fr-CH"/>
        </w:rPr>
        <w:t>, à sa trente</w:t>
      </w:r>
      <w:r w:rsidR="00E454D1">
        <w:rPr>
          <w:lang w:val="fr-CH"/>
        </w:rPr>
        <w:t>-</w:t>
      </w:r>
      <w:r w:rsidR="00C17B29" w:rsidRPr="00E454D1">
        <w:rPr>
          <w:lang w:val="fr-CH"/>
        </w:rPr>
        <w:t>sept</w:t>
      </w:r>
      <w:r w:rsidR="00E454D1">
        <w:rPr>
          <w:lang w:val="fr-CH"/>
        </w:rPr>
        <w:t>ième session</w:t>
      </w:r>
      <w:r w:rsidR="00C17B29" w:rsidRPr="00E454D1">
        <w:rPr>
          <w:lang w:val="fr-CH"/>
        </w:rPr>
        <w:t xml:space="preserve">, examinera un projet de section visant à remplacer le texte du </w:t>
      </w:r>
      <w:r w:rsidR="002F2D47" w:rsidRPr="00E454D1">
        <w:rPr>
          <w:lang w:val="fr-CH"/>
        </w:rPr>
        <w:t>document TG</w:t>
      </w:r>
      <w:r w:rsidR="00C17B29" w:rsidRPr="00E454D1">
        <w:rPr>
          <w:lang w:val="fr-CH"/>
        </w:rPr>
        <w:t>P/8 concernant la méthode d</w:t>
      </w:r>
      <w:r w:rsidR="00E454D1">
        <w:rPr>
          <w:lang w:val="fr-CH"/>
        </w:rPr>
        <w:t>’</w:t>
      </w:r>
      <w:r w:rsidR="00C17B29" w:rsidRPr="00E454D1">
        <w:rPr>
          <w:lang w:val="fr-CH"/>
        </w:rPr>
        <w:t>analyse COYU et qu</w:t>
      </w:r>
      <w:r w:rsidR="00E454D1">
        <w:rPr>
          <w:lang w:val="fr-CH"/>
        </w:rPr>
        <w:t>’</w:t>
      </w:r>
      <w:r w:rsidR="00C17B29" w:rsidRPr="00E454D1">
        <w:rPr>
          <w:lang w:val="fr-CH"/>
        </w:rPr>
        <w:t>il sera rendu compte des faits nouveaux relatifs à cette question dans un additif au présent document.</w:t>
      </w:r>
    </w:p>
    <w:p w:rsidR="00D75FE9" w:rsidRPr="00E454D1" w:rsidRDefault="00D75FE9" w:rsidP="009956BC">
      <w:pPr>
        <w:tabs>
          <w:tab w:val="left" w:pos="1134"/>
          <w:tab w:val="left" w:pos="5387"/>
          <w:tab w:val="left" w:pos="5954"/>
        </w:tabs>
        <w:ind w:left="570"/>
        <w:contextualSpacing/>
        <w:rPr>
          <w:lang w:val="fr-CH"/>
        </w:rPr>
      </w:pPr>
    </w:p>
    <w:p w:rsidR="00D75FE9" w:rsidRPr="00E454D1" w:rsidRDefault="00C17B29" w:rsidP="00C17B29">
      <w:pPr>
        <w:keepNext/>
        <w:tabs>
          <w:tab w:val="left" w:pos="1134"/>
          <w:tab w:val="left" w:pos="5387"/>
          <w:tab w:val="left" w:pos="5954"/>
        </w:tabs>
        <w:contextualSpacing/>
        <w:rPr>
          <w:u w:val="single"/>
          <w:lang w:val="fr-CH"/>
        </w:rPr>
      </w:pPr>
      <w:r w:rsidRPr="00E454D1">
        <w:rPr>
          <w:u w:val="single"/>
          <w:lang w:val="fr-CH"/>
        </w:rPr>
        <w:lastRenderedPageBreak/>
        <w:t>Nouvelles propositions de révision des documents TGP</w:t>
      </w:r>
    </w:p>
    <w:p w:rsidR="00D75FE9" w:rsidRPr="00E454D1" w:rsidRDefault="00D75FE9" w:rsidP="009956BC">
      <w:pPr>
        <w:keepNext/>
        <w:tabs>
          <w:tab w:val="left" w:pos="1134"/>
          <w:tab w:val="left" w:pos="5387"/>
          <w:tab w:val="left" w:pos="5954"/>
        </w:tabs>
        <w:ind w:left="570"/>
        <w:contextualSpacing/>
        <w:rPr>
          <w:lang w:val="fr-CH"/>
        </w:rPr>
      </w:pPr>
    </w:p>
    <w:p w:rsidR="00D75FE9" w:rsidRPr="00E454D1" w:rsidRDefault="009956BC" w:rsidP="00C17B29">
      <w:pPr>
        <w:keepNext/>
        <w:tabs>
          <w:tab w:val="left" w:pos="567"/>
          <w:tab w:val="left" w:pos="1134"/>
          <w:tab w:val="left" w:pos="5387"/>
        </w:tab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C17B29" w:rsidRPr="00E454D1">
        <w:rPr>
          <w:lang w:val="fr-CH"/>
        </w:rPr>
        <w:t>Le</w:t>
      </w:r>
      <w:r w:rsidR="00E454D1">
        <w:rPr>
          <w:lang w:val="fr-CH"/>
        </w:rPr>
        <w:t> TC</w:t>
      </w:r>
      <w:r w:rsidR="00C17B29" w:rsidRPr="00E454D1">
        <w:rPr>
          <w:lang w:val="fr-CH"/>
        </w:rPr>
        <w:t xml:space="preserve"> est invité</w:t>
      </w:r>
      <w:r w:rsidR="00E14B8C">
        <w:rPr>
          <w:lang w:val="fr-CH"/>
        </w:rPr>
        <w:t xml:space="preserve"> à :</w:t>
      </w:r>
    </w:p>
    <w:p w:rsidR="00D75FE9" w:rsidRPr="00E454D1" w:rsidRDefault="00D75FE9" w:rsidP="0074544B">
      <w:pPr>
        <w:rPr>
          <w:snapToGrid w:val="0"/>
          <w:lang w:val="fr-CH"/>
        </w:rPr>
      </w:pPr>
    </w:p>
    <w:p w:rsidR="00D75FE9" w:rsidRPr="00E454D1" w:rsidRDefault="0074544B" w:rsidP="003D4709">
      <w:pPr>
        <w:rPr>
          <w:lang w:val="fr-CH"/>
        </w:rPr>
      </w:pPr>
      <w:r w:rsidRPr="00E454D1">
        <w:rPr>
          <w:snapToGrid w:val="0"/>
          <w:lang w:val="fr-CH"/>
        </w:rPr>
        <w:tab/>
      </w:r>
      <w:r w:rsidR="003D4709" w:rsidRPr="00E454D1">
        <w:rPr>
          <w:snapToGrid w:val="0"/>
          <w:lang w:val="fr-CH"/>
        </w:rPr>
        <w:t>j)</w:t>
      </w:r>
      <w:r w:rsidR="003D4709" w:rsidRPr="00E454D1">
        <w:rPr>
          <w:snapToGrid w:val="0"/>
          <w:lang w:val="fr-CH"/>
        </w:rPr>
        <w:tab/>
        <w:t>examiner les propositions</w:t>
      </w:r>
      <w:r w:rsidR="002F2D47" w:rsidRPr="00E454D1">
        <w:rPr>
          <w:snapToGrid w:val="0"/>
          <w:lang w:val="fr-CH"/>
        </w:rPr>
        <w:t xml:space="preserve"> du TWF</w:t>
      </w:r>
      <w:r w:rsidR="003D4709" w:rsidRPr="00E454D1">
        <w:rPr>
          <w:snapToGrid w:val="0"/>
          <w:lang w:val="fr-CH"/>
        </w:rPr>
        <w:t xml:space="preserve"> sur les circonstances dans l</w:t>
      </w:r>
      <w:r w:rsidR="00645E4E" w:rsidRPr="00E454D1">
        <w:rPr>
          <w:snapToGrid w:val="0"/>
          <w:lang w:val="fr-CH"/>
        </w:rPr>
        <w:t>esquelles des modifications pourr</w:t>
      </w:r>
      <w:r w:rsidR="003D4709" w:rsidRPr="00E454D1">
        <w:rPr>
          <w:snapToGrid w:val="0"/>
          <w:lang w:val="fr-CH"/>
        </w:rPr>
        <w:t>aient ou non être apportées aux principes directeurs d</w:t>
      </w:r>
      <w:r w:rsidR="00E454D1">
        <w:rPr>
          <w:snapToGrid w:val="0"/>
          <w:lang w:val="fr-CH"/>
        </w:rPr>
        <w:t>’</w:t>
      </w:r>
      <w:r w:rsidR="003D4709" w:rsidRPr="00E454D1">
        <w:rPr>
          <w:snapToGrid w:val="0"/>
          <w:lang w:val="fr-CH"/>
        </w:rPr>
        <w:t>examen de l</w:t>
      </w:r>
      <w:r w:rsidR="00E454D1">
        <w:rPr>
          <w:snapToGrid w:val="0"/>
          <w:lang w:val="fr-CH"/>
        </w:rPr>
        <w:t>’</w:t>
      </w:r>
      <w:r w:rsidR="003D4709" w:rsidRPr="00E454D1">
        <w:rPr>
          <w:snapToGrid w:val="0"/>
          <w:lang w:val="fr-CH"/>
        </w:rPr>
        <w:t>UPOV à bref délai,</w:t>
      </w:r>
    </w:p>
    <w:p w:rsidR="00D75FE9" w:rsidRPr="00E454D1" w:rsidRDefault="00D75FE9" w:rsidP="0074544B">
      <w:pPr>
        <w:rPr>
          <w:lang w:val="fr-CH"/>
        </w:rPr>
      </w:pPr>
    </w:p>
    <w:p w:rsidR="00D75FE9" w:rsidRPr="00E454D1" w:rsidRDefault="003D4709" w:rsidP="003D4709">
      <w:pPr>
        <w:ind w:firstLine="567"/>
        <w:rPr>
          <w:lang w:val="fr-CH"/>
        </w:rPr>
      </w:pPr>
      <w:r w:rsidRPr="00E454D1">
        <w:rPr>
          <w:lang w:val="fr-CH"/>
        </w:rPr>
        <w:t>k)</w:t>
      </w:r>
      <w:r w:rsidRPr="00E454D1">
        <w:rPr>
          <w:lang w:val="fr-CH"/>
        </w:rPr>
        <w:tab/>
        <w:t>déterminer s</w:t>
      </w:r>
      <w:r w:rsidR="00E454D1">
        <w:rPr>
          <w:lang w:val="fr-CH"/>
        </w:rPr>
        <w:t>’</w:t>
      </w:r>
      <w:r w:rsidRPr="00E454D1">
        <w:rPr>
          <w:lang w:val="fr-CH"/>
        </w:rPr>
        <w:t>il convient de revoir la procédure de révision partielle des principes directeurs d</w:t>
      </w:r>
      <w:r w:rsidR="00E454D1">
        <w:rPr>
          <w:lang w:val="fr-CH"/>
        </w:rPr>
        <w:t>’</w:t>
      </w:r>
      <w:r w:rsidRPr="00E454D1">
        <w:rPr>
          <w:lang w:val="fr-CH"/>
        </w:rPr>
        <w:t>examen sur la base de la proposition</w:t>
      </w:r>
      <w:r w:rsidR="002F2D47" w:rsidRPr="00E454D1">
        <w:rPr>
          <w:lang w:val="fr-CH"/>
        </w:rPr>
        <w:t xml:space="preserve"> du TWF</w:t>
      </w:r>
      <w:r w:rsidRPr="00E454D1">
        <w:rPr>
          <w:lang w:val="fr-CH"/>
        </w:rPr>
        <w:t xml:space="preserve">, comme indiqué </w:t>
      </w:r>
      <w:r w:rsidRPr="009C7B43">
        <w:rPr>
          <w:lang w:val="fr-CH"/>
        </w:rPr>
        <w:t>aux paragraphes</w:t>
      </w:r>
      <w:r w:rsidR="00FE5010" w:rsidRPr="009C7B43">
        <w:rPr>
          <w:lang w:val="fr-CH"/>
        </w:rPr>
        <w:t> </w:t>
      </w:r>
      <w:r w:rsidRPr="009C7B43">
        <w:rPr>
          <w:lang w:val="fr-CH"/>
        </w:rPr>
        <w:t>45 à 47,</w:t>
      </w:r>
    </w:p>
    <w:p w:rsidR="00D75FE9" w:rsidRPr="00E454D1" w:rsidRDefault="00D75FE9" w:rsidP="009956BC">
      <w:pPr>
        <w:keepNext/>
        <w:tabs>
          <w:tab w:val="left" w:pos="1134"/>
          <w:tab w:val="left" w:pos="5387"/>
          <w:tab w:val="left" w:pos="5954"/>
        </w:tabs>
        <w:ind w:left="570"/>
        <w:contextualSpacing/>
        <w:rPr>
          <w:lang w:val="fr-CH"/>
        </w:rPr>
      </w:pPr>
    </w:p>
    <w:p w:rsidR="00D75FE9" w:rsidRPr="00E454D1" w:rsidRDefault="0074544B" w:rsidP="003D4709">
      <w:pPr>
        <w:tabs>
          <w:tab w:val="left" w:pos="567"/>
          <w:tab w:val="left" w:pos="1134"/>
          <w:tab w:val="left" w:pos="5387"/>
          <w:tab w:val="left" w:pos="5954"/>
        </w:tabs>
        <w:rPr>
          <w:lang w:val="fr-CH"/>
        </w:rPr>
      </w:pPr>
      <w:r w:rsidRPr="00E454D1">
        <w:rPr>
          <w:lang w:val="fr-CH"/>
        </w:rPr>
        <w:tab/>
      </w:r>
      <w:r w:rsidR="003D4709" w:rsidRPr="00E454D1">
        <w:rPr>
          <w:lang w:val="fr-CH"/>
        </w:rPr>
        <w:t>l)</w:t>
      </w:r>
      <w:r w:rsidR="003D4709" w:rsidRPr="00E454D1">
        <w:rPr>
          <w:lang w:val="fr-CH"/>
        </w:rPr>
        <w:tab/>
        <w:t xml:space="preserve">examiner la proposition de révision du </w:t>
      </w:r>
      <w:r w:rsidR="002F2D47" w:rsidRPr="00E454D1">
        <w:rPr>
          <w:lang w:val="fr-CH"/>
        </w:rPr>
        <w:t>document TG</w:t>
      </w:r>
      <w:r w:rsidR="003D4709" w:rsidRPr="00E454D1">
        <w:rPr>
          <w:lang w:val="fr-CH"/>
        </w:rPr>
        <w:t xml:space="preserve">P/7 </w:t>
      </w:r>
      <w:r w:rsidR="00003A6E" w:rsidRPr="00E454D1">
        <w:rPr>
          <w:lang w:val="fr-CH"/>
        </w:rPr>
        <w:t>relative à la présentation de</w:t>
      </w:r>
      <w:r w:rsidR="003D4709" w:rsidRPr="00E454D1">
        <w:rPr>
          <w:lang w:val="fr-CH"/>
        </w:rPr>
        <w:t xml:space="preserve"> tous les niveaux d</w:t>
      </w:r>
      <w:r w:rsidR="00E454D1">
        <w:rPr>
          <w:lang w:val="fr-CH"/>
        </w:rPr>
        <w:t>’</w:t>
      </w:r>
      <w:r w:rsidR="003D4709" w:rsidRPr="00E454D1">
        <w:rPr>
          <w:lang w:val="fr-CH"/>
        </w:rPr>
        <w:t>expression concernant des caractères quantitatifs dans les principes directeurs d</w:t>
      </w:r>
      <w:r w:rsidR="00E454D1">
        <w:rPr>
          <w:lang w:val="fr-CH"/>
        </w:rPr>
        <w:t>’</w:t>
      </w:r>
      <w:r w:rsidR="003D4709" w:rsidRPr="00E454D1">
        <w:rPr>
          <w:lang w:val="fr-CH"/>
        </w:rPr>
        <w:t>examen, compte tenu des observations formulées par</w:t>
      </w:r>
      <w:r w:rsidR="002F2D47" w:rsidRPr="00E454D1">
        <w:rPr>
          <w:lang w:val="fr-CH"/>
        </w:rPr>
        <w:t xml:space="preserve"> les TWP</w:t>
      </w:r>
      <w:r w:rsidR="003D4709" w:rsidRPr="00E454D1">
        <w:rPr>
          <w:lang w:val="fr-CH"/>
        </w:rPr>
        <w:t xml:space="preserve"> à leurs sessions </w:t>
      </w:r>
      <w:r w:rsidR="002F2D47" w:rsidRPr="00E454D1">
        <w:rPr>
          <w:lang w:val="fr-CH"/>
        </w:rPr>
        <w:t>de 2019</w:t>
      </w:r>
      <w:r w:rsidR="003D4709" w:rsidRPr="00E454D1">
        <w:rPr>
          <w:lang w:val="fr-CH"/>
        </w:rPr>
        <w:t xml:space="preserve">, comme indiqué </w:t>
      </w:r>
      <w:r w:rsidR="003D4709" w:rsidRPr="009C7B43">
        <w:rPr>
          <w:lang w:val="fr-CH"/>
        </w:rPr>
        <w:t>aux paragraphes</w:t>
      </w:r>
      <w:r w:rsidR="00FE5010" w:rsidRPr="009C7B43">
        <w:rPr>
          <w:lang w:val="fr-CH"/>
        </w:rPr>
        <w:t> </w:t>
      </w:r>
      <w:r w:rsidR="003D4709" w:rsidRPr="009C7B43">
        <w:rPr>
          <w:lang w:val="fr-CH"/>
        </w:rPr>
        <w:t>53 à 60, et</w:t>
      </w:r>
    </w:p>
    <w:p w:rsidR="00D75FE9" w:rsidRPr="00E454D1" w:rsidRDefault="00D75FE9" w:rsidP="009956BC">
      <w:pPr>
        <w:tabs>
          <w:tab w:val="left" w:pos="567"/>
          <w:tab w:val="left" w:pos="1134"/>
          <w:tab w:val="left" w:pos="5387"/>
          <w:tab w:val="left" w:pos="5954"/>
        </w:tabs>
        <w:rPr>
          <w:lang w:val="fr-CH"/>
        </w:rPr>
      </w:pPr>
    </w:p>
    <w:p w:rsidR="00D75FE9" w:rsidRPr="00E454D1" w:rsidRDefault="0035588A" w:rsidP="003D4709">
      <w:pPr>
        <w:tabs>
          <w:tab w:val="left" w:pos="567"/>
          <w:tab w:val="left" w:pos="1134"/>
          <w:tab w:val="left" w:pos="5387"/>
          <w:tab w:val="left" w:pos="5954"/>
        </w:tabs>
        <w:rPr>
          <w:lang w:val="fr-CH"/>
        </w:rPr>
      </w:pPr>
      <w:r w:rsidRPr="00E454D1">
        <w:rPr>
          <w:rFonts w:cs="Arial"/>
          <w:bCs/>
          <w:snapToGrid w:val="0"/>
          <w:lang w:val="fr-CH"/>
        </w:rPr>
        <w:tab/>
      </w:r>
      <w:r w:rsidR="003D4709" w:rsidRPr="00E454D1">
        <w:rPr>
          <w:rFonts w:cs="Arial"/>
          <w:bCs/>
          <w:snapToGrid w:val="0"/>
          <w:lang w:val="fr-CH"/>
        </w:rPr>
        <w:t>m)</w:t>
      </w:r>
      <w:r w:rsidR="003D4709" w:rsidRPr="00E454D1">
        <w:rPr>
          <w:rFonts w:cs="Arial"/>
          <w:bCs/>
          <w:snapToGrid w:val="0"/>
          <w:lang w:val="fr-CH"/>
        </w:rPr>
        <w:tab/>
        <w:t>noter que</w:t>
      </w:r>
      <w:r w:rsidR="002F2D47" w:rsidRPr="00E454D1">
        <w:rPr>
          <w:rFonts w:cs="Arial"/>
          <w:bCs/>
          <w:snapToGrid w:val="0"/>
          <w:lang w:val="fr-CH"/>
        </w:rPr>
        <w:t xml:space="preserve"> le TWV</w:t>
      </w:r>
      <w:r w:rsidR="003D4709" w:rsidRPr="00E454D1">
        <w:rPr>
          <w:rFonts w:cs="Arial"/>
          <w:bCs/>
          <w:snapToGrid w:val="0"/>
          <w:lang w:val="fr-CH"/>
        </w:rPr>
        <w:t xml:space="preserve"> est convenu que les orientations figurant dans les documents UPOV concernant l</w:t>
      </w:r>
      <w:r w:rsidR="00E454D1">
        <w:rPr>
          <w:rFonts w:cs="Arial"/>
          <w:bCs/>
          <w:snapToGrid w:val="0"/>
          <w:lang w:val="fr-CH"/>
        </w:rPr>
        <w:t>’</w:t>
      </w:r>
      <w:r w:rsidR="003D4709" w:rsidRPr="00E454D1">
        <w:rPr>
          <w:rFonts w:cs="Arial"/>
          <w:bCs/>
          <w:snapToGrid w:val="0"/>
          <w:lang w:val="fr-CH"/>
        </w:rPr>
        <w:t>utilisation des caractères de résistance aux maladies dans les principes directeurs d</w:t>
      </w:r>
      <w:r w:rsidR="00E454D1">
        <w:rPr>
          <w:rFonts w:cs="Arial"/>
          <w:bCs/>
          <w:snapToGrid w:val="0"/>
          <w:lang w:val="fr-CH"/>
        </w:rPr>
        <w:t>’</w:t>
      </w:r>
      <w:r w:rsidR="003D4709" w:rsidRPr="00E454D1">
        <w:rPr>
          <w:rFonts w:cs="Arial"/>
          <w:bCs/>
          <w:snapToGrid w:val="0"/>
          <w:lang w:val="fr-CH"/>
        </w:rPr>
        <w:t>examen et dans l</w:t>
      </w:r>
      <w:r w:rsidR="00E454D1">
        <w:rPr>
          <w:rFonts w:cs="Arial"/>
          <w:bCs/>
          <w:snapToGrid w:val="0"/>
          <w:lang w:val="fr-CH"/>
        </w:rPr>
        <w:t>’</w:t>
      </w:r>
      <w:r w:rsidR="003D4709" w:rsidRPr="00E454D1">
        <w:rPr>
          <w:rFonts w:cs="Arial"/>
          <w:bCs/>
          <w:snapToGrid w:val="0"/>
          <w:lang w:val="fr-CH"/>
        </w:rPr>
        <w:t>examen</w:t>
      </w:r>
      <w:r w:rsidR="00124C91" w:rsidRPr="00E454D1">
        <w:rPr>
          <w:rFonts w:cs="Arial"/>
          <w:bCs/>
          <w:snapToGrid w:val="0"/>
          <w:lang w:val="fr-CH"/>
        </w:rPr>
        <w:t> </w:t>
      </w:r>
      <w:r w:rsidR="003D4709" w:rsidRPr="00E454D1">
        <w:rPr>
          <w:rFonts w:cs="Arial"/>
          <w:bCs/>
          <w:snapToGrid w:val="0"/>
          <w:lang w:val="fr-CH"/>
        </w:rPr>
        <w:t xml:space="preserve">DHS étaient claires et suffisantes pour le moment, comme indiqué </w:t>
      </w:r>
      <w:r w:rsidR="003D4709" w:rsidRPr="009C7B43">
        <w:rPr>
          <w:rFonts w:cs="Arial"/>
          <w:bCs/>
          <w:snapToGrid w:val="0"/>
          <w:lang w:val="fr-CH"/>
        </w:rPr>
        <w:t>au paragraphe 65.</w:t>
      </w:r>
    </w:p>
    <w:p w:rsidR="00D75FE9" w:rsidRPr="00E454D1" w:rsidRDefault="00D75FE9" w:rsidP="009956BC">
      <w:pPr>
        <w:tabs>
          <w:tab w:val="left" w:pos="567"/>
          <w:tab w:val="left" w:pos="1134"/>
          <w:tab w:val="left" w:pos="5387"/>
          <w:tab w:val="left" w:pos="5954"/>
        </w:tabs>
        <w:rPr>
          <w:lang w:val="fr-CH"/>
        </w:rPr>
      </w:pPr>
    </w:p>
    <w:p w:rsidR="00D75FE9" w:rsidRPr="00E454D1" w:rsidRDefault="003D4709" w:rsidP="003D4709">
      <w:pPr>
        <w:tabs>
          <w:tab w:val="left" w:pos="567"/>
          <w:tab w:val="left" w:pos="1134"/>
          <w:tab w:val="left" w:pos="5387"/>
          <w:tab w:val="left" w:pos="5954"/>
        </w:tabs>
        <w:rPr>
          <w:u w:val="single"/>
          <w:lang w:val="fr-CH"/>
        </w:rPr>
      </w:pPr>
      <w:r w:rsidRPr="00E454D1">
        <w:rPr>
          <w:u w:val="single"/>
          <w:lang w:val="fr-CH"/>
        </w:rPr>
        <w:t>Programme d</w:t>
      </w:r>
      <w:r w:rsidR="00E454D1">
        <w:rPr>
          <w:u w:val="single"/>
          <w:lang w:val="fr-CH"/>
        </w:rPr>
        <w:t>’</w:t>
      </w:r>
      <w:r w:rsidRPr="00E454D1">
        <w:rPr>
          <w:u w:val="single"/>
          <w:lang w:val="fr-CH"/>
        </w:rPr>
        <w:t>élaboration des documents TGP</w:t>
      </w:r>
    </w:p>
    <w:p w:rsidR="00D75FE9" w:rsidRPr="00E454D1" w:rsidRDefault="00D75FE9" w:rsidP="009956BC">
      <w:pPr>
        <w:tabs>
          <w:tab w:val="left" w:pos="567"/>
          <w:tab w:val="left" w:pos="1134"/>
          <w:tab w:val="left" w:pos="5387"/>
          <w:tab w:val="left" w:pos="5954"/>
        </w:tabs>
        <w:rPr>
          <w:lang w:val="fr-CH"/>
        </w:rPr>
      </w:pPr>
    </w:p>
    <w:p w:rsidR="00D75FE9" w:rsidRPr="00E454D1" w:rsidRDefault="009956BC" w:rsidP="002F27A3">
      <w:pPr>
        <w:tabs>
          <w:tab w:val="left" w:pos="567"/>
          <w:tab w:val="left" w:pos="1134"/>
          <w:tab w:val="left" w:pos="5387"/>
        </w:tab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2F27A3" w:rsidRPr="00E454D1">
        <w:rPr>
          <w:lang w:val="fr-CH"/>
        </w:rPr>
        <w:t>Le</w:t>
      </w:r>
      <w:r w:rsidR="00E454D1">
        <w:rPr>
          <w:lang w:val="fr-CH"/>
        </w:rPr>
        <w:t> TC</w:t>
      </w:r>
      <w:r w:rsidR="002F27A3" w:rsidRPr="00E454D1">
        <w:rPr>
          <w:lang w:val="fr-CH"/>
        </w:rPr>
        <w:t xml:space="preserve"> est invité à examiner</w:t>
      </w:r>
    </w:p>
    <w:p w:rsidR="00D75FE9" w:rsidRPr="00E454D1" w:rsidRDefault="00D75FE9" w:rsidP="00E8341C">
      <w:pPr>
        <w:tabs>
          <w:tab w:val="left" w:pos="567"/>
          <w:tab w:val="left" w:pos="1134"/>
          <w:tab w:val="left" w:pos="5387"/>
        </w:tabs>
        <w:rPr>
          <w:lang w:val="fr-CH"/>
        </w:rPr>
      </w:pPr>
    </w:p>
    <w:p w:rsidR="00D75FE9" w:rsidRPr="00E454D1" w:rsidRDefault="00E8341C" w:rsidP="002F27A3">
      <w:pPr>
        <w:tabs>
          <w:tab w:val="left" w:pos="567"/>
          <w:tab w:val="left" w:pos="1134"/>
          <w:tab w:val="left" w:pos="5387"/>
          <w:tab w:val="left" w:pos="5954"/>
        </w:tabs>
        <w:rPr>
          <w:lang w:val="fr-CH"/>
        </w:rPr>
      </w:pPr>
      <w:r w:rsidRPr="00E454D1">
        <w:rPr>
          <w:lang w:val="fr-CH"/>
        </w:rPr>
        <w:tab/>
      </w:r>
      <w:r w:rsidR="002F27A3" w:rsidRPr="00E454D1">
        <w:rPr>
          <w:lang w:val="fr-CH"/>
        </w:rPr>
        <w:t>o)</w:t>
      </w:r>
      <w:r w:rsidR="002F27A3" w:rsidRPr="00E454D1">
        <w:rPr>
          <w:lang w:val="fr-CH"/>
        </w:rPr>
        <w:tab/>
        <w:t>le programme d</w:t>
      </w:r>
      <w:r w:rsidR="00E454D1">
        <w:rPr>
          <w:lang w:val="fr-CH"/>
        </w:rPr>
        <w:t>’</w:t>
      </w:r>
      <w:r w:rsidR="002F27A3" w:rsidRPr="00E454D1">
        <w:rPr>
          <w:lang w:val="fr-CH"/>
        </w:rPr>
        <w:t xml:space="preserve">élaboration des documents TGP, qui figure </w:t>
      </w:r>
      <w:r w:rsidR="002F27A3" w:rsidRPr="00935260">
        <w:rPr>
          <w:lang w:val="fr-CH"/>
        </w:rPr>
        <w:t>à l</w:t>
      </w:r>
      <w:r w:rsidR="00E454D1" w:rsidRPr="00935260">
        <w:rPr>
          <w:lang w:val="fr-CH"/>
        </w:rPr>
        <w:t>’</w:t>
      </w:r>
      <w:r w:rsidR="002F27A3" w:rsidRPr="00935260">
        <w:rPr>
          <w:lang w:val="fr-CH"/>
        </w:rPr>
        <w:t>annexe</w:t>
      </w:r>
      <w:r w:rsidR="00FE5010" w:rsidRPr="00935260">
        <w:rPr>
          <w:lang w:val="fr-CH"/>
        </w:rPr>
        <w:t> </w:t>
      </w:r>
      <w:r w:rsidR="002F27A3" w:rsidRPr="00935260">
        <w:rPr>
          <w:lang w:val="fr-CH"/>
        </w:rPr>
        <w:t>VI</w:t>
      </w:r>
      <w:r w:rsidR="002F27A3" w:rsidRPr="00E454D1">
        <w:rPr>
          <w:lang w:val="fr-CH"/>
        </w:rPr>
        <w:t xml:space="preserve"> du présent document, et</w:t>
      </w:r>
    </w:p>
    <w:p w:rsidR="00D75FE9" w:rsidRPr="00E454D1" w:rsidRDefault="00D75FE9" w:rsidP="00E8341C">
      <w:pPr>
        <w:tabs>
          <w:tab w:val="left" w:pos="567"/>
          <w:tab w:val="left" w:pos="1134"/>
          <w:tab w:val="left" w:pos="5387"/>
          <w:tab w:val="left" w:pos="5954"/>
        </w:tabs>
        <w:rPr>
          <w:lang w:val="fr-CH"/>
        </w:rPr>
      </w:pPr>
    </w:p>
    <w:p w:rsidR="00D75FE9" w:rsidRPr="00E454D1" w:rsidRDefault="00E8341C" w:rsidP="002F27A3">
      <w:pPr>
        <w:tabs>
          <w:tab w:val="left" w:pos="567"/>
          <w:tab w:val="left" w:pos="1134"/>
          <w:tab w:val="left" w:pos="5387"/>
        </w:tabs>
        <w:rPr>
          <w:lang w:val="fr-CH"/>
        </w:rPr>
      </w:pPr>
      <w:r w:rsidRPr="00E454D1">
        <w:rPr>
          <w:lang w:val="fr-CH"/>
        </w:rPr>
        <w:tab/>
      </w:r>
      <w:r w:rsidR="002F27A3" w:rsidRPr="00E454D1">
        <w:rPr>
          <w:lang w:val="fr-CH"/>
        </w:rPr>
        <w:t>p)</w:t>
      </w:r>
      <w:r w:rsidR="002F27A3" w:rsidRPr="00E454D1">
        <w:rPr>
          <w:lang w:val="fr-CH"/>
        </w:rPr>
        <w:tab/>
        <w:t>la proposition d</w:t>
      </w:r>
      <w:r w:rsidR="00E454D1">
        <w:rPr>
          <w:lang w:val="fr-CH"/>
        </w:rPr>
        <w:t>’</w:t>
      </w:r>
      <w:r w:rsidR="002F27A3" w:rsidRPr="00E454D1">
        <w:rPr>
          <w:lang w:val="fr-CH"/>
        </w:rPr>
        <w:t>extension de la portée du présent document à l</w:t>
      </w:r>
      <w:r w:rsidR="00E454D1">
        <w:rPr>
          <w:lang w:val="fr-CH"/>
        </w:rPr>
        <w:t>’</w:t>
      </w:r>
      <w:r w:rsidR="002F27A3" w:rsidRPr="00E454D1">
        <w:rPr>
          <w:lang w:val="fr-CH"/>
        </w:rPr>
        <w:t>ensemble des documents d</w:t>
      </w:r>
      <w:r w:rsidR="00E454D1">
        <w:rPr>
          <w:lang w:val="fr-CH"/>
        </w:rPr>
        <w:t>’</w:t>
      </w:r>
      <w:r w:rsidR="002F27A3" w:rsidRPr="00E454D1">
        <w:rPr>
          <w:lang w:val="fr-CH"/>
        </w:rPr>
        <w:t>information, pour les futures sessions du Comité technique.</w:t>
      </w:r>
    </w:p>
    <w:p w:rsidR="00D75FE9" w:rsidRPr="00E454D1" w:rsidRDefault="00D75FE9" w:rsidP="009956BC">
      <w:pPr>
        <w:rPr>
          <w:rFonts w:cs="Arial"/>
          <w:lang w:val="fr-CH"/>
        </w:rPr>
      </w:pPr>
    </w:p>
    <w:p w:rsidR="00D75FE9" w:rsidRPr="00E454D1" w:rsidRDefault="00D75FE9" w:rsidP="009956BC">
      <w:pPr>
        <w:rPr>
          <w:rFonts w:cs="Arial"/>
          <w:lang w:val="fr-CH"/>
        </w:rPr>
      </w:pPr>
    </w:p>
    <w:p w:rsidR="00D75FE9" w:rsidRPr="00E454D1" w:rsidRDefault="009956BC" w:rsidP="002F27A3">
      <w:pPr>
        <w:rPr>
          <w:rFonts w:cs="Arial"/>
          <w:lang w:val="fr-CH"/>
        </w:rPr>
      </w:pPr>
      <w:r w:rsidRPr="00E454D1">
        <w:rPr>
          <w:rFonts w:cs="Arial"/>
          <w:lang w:val="fr-CH"/>
        </w:rPr>
        <w:fldChar w:fldCharType="begin"/>
      </w:r>
      <w:r w:rsidRPr="00E454D1">
        <w:rPr>
          <w:rFonts w:cs="Arial"/>
          <w:lang w:val="fr-CH"/>
        </w:rPr>
        <w:instrText xml:space="preserve"> AUTONUM  </w:instrText>
      </w:r>
      <w:r w:rsidRPr="00E454D1">
        <w:rPr>
          <w:rFonts w:cs="Arial"/>
          <w:lang w:val="fr-CH"/>
        </w:rPr>
        <w:fldChar w:fldCharType="end"/>
      </w:r>
      <w:r w:rsidRPr="00E454D1">
        <w:rPr>
          <w:rFonts w:cs="Arial"/>
          <w:lang w:val="fr-CH"/>
        </w:rPr>
        <w:tab/>
      </w:r>
      <w:r w:rsidR="002F27A3" w:rsidRPr="00E454D1">
        <w:rPr>
          <w:rFonts w:cs="Arial"/>
          <w:lang w:val="fr-CH"/>
        </w:rPr>
        <w:t>Le présent document est structuré comme suit</w:t>
      </w:r>
      <w:r w:rsidR="00E454D1">
        <w:rPr>
          <w:rFonts w:cs="Arial"/>
          <w:lang w:val="fr-CH"/>
        </w:rPr>
        <w:t> :</w:t>
      </w:r>
    </w:p>
    <w:p w:rsidR="00D75FE9" w:rsidRPr="00E454D1" w:rsidRDefault="00D75FE9" w:rsidP="009956BC">
      <w:pPr>
        <w:rPr>
          <w:rFonts w:cs="Arial"/>
          <w:lang w:val="fr-CH"/>
        </w:rPr>
      </w:pPr>
    </w:p>
    <w:p w:rsidR="006667E1" w:rsidRPr="00E454D1" w:rsidRDefault="009956BC">
      <w:pPr>
        <w:pStyle w:val="TOC1"/>
        <w:rPr>
          <w:rFonts w:asciiTheme="minorHAnsi" w:eastAsiaTheme="minorEastAsia" w:hAnsiTheme="minorHAnsi" w:cstheme="minorBidi"/>
          <w:caps w:val="0"/>
          <w:noProof/>
          <w:sz w:val="22"/>
          <w:szCs w:val="22"/>
          <w:lang w:val="fr-CH"/>
        </w:rPr>
      </w:pPr>
      <w:r w:rsidRPr="00E454D1">
        <w:rPr>
          <w:rFonts w:cs="Arial"/>
          <w:bCs/>
          <w:noProof/>
          <w:snapToGrid w:val="0"/>
          <w:highlight w:val="cyan"/>
          <w:lang w:val="fr-CH"/>
        </w:rPr>
        <w:fldChar w:fldCharType="begin"/>
      </w:r>
      <w:r w:rsidRPr="00E454D1">
        <w:rPr>
          <w:rFonts w:cs="Arial"/>
          <w:bCs/>
          <w:noProof/>
          <w:snapToGrid w:val="0"/>
          <w:highlight w:val="cyan"/>
          <w:lang w:val="fr-CH"/>
        </w:rPr>
        <w:instrText xml:space="preserve"> TOC \o "1-4" \h \z \u </w:instrText>
      </w:r>
      <w:r w:rsidRPr="00E454D1">
        <w:rPr>
          <w:rFonts w:cs="Arial"/>
          <w:bCs/>
          <w:noProof/>
          <w:snapToGrid w:val="0"/>
          <w:highlight w:val="cyan"/>
          <w:lang w:val="fr-CH"/>
        </w:rPr>
        <w:fldChar w:fldCharType="separate"/>
      </w:r>
      <w:hyperlink w:anchor="_Toc22035905" w:history="1">
        <w:r w:rsidR="006667E1" w:rsidRPr="00E454D1">
          <w:rPr>
            <w:rStyle w:val="Hyperlink"/>
            <w:noProof/>
            <w:snapToGrid w:val="0"/>
            <w:color w:val="auto"/>
            <w:lang w:val="fr-CH"/>
          </w:rPr>
          <w:t>Résumé</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_Toc22035905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1</w:t>
        </w:r>
        <w:r w:rsidR="006667E1" w:rsidRPr="00E454D1">
          <w:rPr>
            <w:noProof/>
            <w:webHidden/>
            <w:lang w:val="fr-CH"/>
          </w:rPr>
          <w:fldChar w:fldCharType="end"/>
        </w:r>
      </w:hyperlink>
    </w:p>
    <w:p w:rsidR="006667E1" w:rsidRPr="00E454D1" w:rsidRDefault="00E03680">
      <w:pPr>
        <w:pStyle w:val="TOC1"/>
        <w:rPr>
          <w:rFonts w:asciiTheme="minorHAnsi" w:eastAsiaTheme="minorEastAsia" w:hAnsiTheme="minorHAnsi" w:cstheme="minorBidi"/>
          <w:caps w:val="0"/>
          <w:noProof/>
          <w:sz w:val="22"/>
          <w:szCs w:val="22"/>
          <w:lang w:val="fr-CH"/>
        </w:rPr>
      </w:pPr>
      <w:hyperlink w:anchor="_Toc22035906" w:history="1">
        <w:r w:rsidR="006667E1" w:rsidRPr="00E454D1">
          <w:rPr>
            <w:rStyle w:val="Hyperlink"/>
            <w:noProof/>
            <w:color w:val="auto"/>
            <w:lang w:val="fr-CH"/>
          </w:rPr>
          <w:t>Rappel</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_Toc22035906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3</w:t>
        </w:r>
        <w:r w:rsidR="006667E1" w:rsidRPr="00E454D1">
          <w:rPr>
            <w:noProof/>
            <w:webHidden/>
            <w:lang w:val="fr-CH"/>
          </w:rPr>
          <w:fldChar w:fldCharType="end"/>
        </w:r>
      </w:hyperlink>
    </w:p>
    <w:p w:rsidR="006667E1" w:rsidRPr="00E454D1" w:rsidRDefault="00E03680">
      <w:pPr>
        <w:pStyle w:val="TOC1"/>
        <w:rPr>
          <w:rFonts w:asciiTheme="minorHAnsi" w:eastAsiaTheme="minorEastAsia" w:hAnsiTheme="minorHAnsi" w:cstheme="minorBidi"/>
          <w:caps w:val="0"/>
          <w:noProof/>
          <w:sz w:val="22"/>
          <w:szCs w:val="22"/>
          <w:lang w:val="fr-CH"/>
        </w:rPr>
      </w:pPr>
      <w:hyperlink w:anchor="_Toc22035907" w:history="1">
        <w:r w:rsidR="006667E1" w:rsidRPr="00E454D1">
          <w:rPr>
            <w:rStyle w:val="Hyperlink"/>
            <w:noProof/>
            <w:color w:val="auto"/>
            <w:lang w:val="fr-CH"/>
          </w:rPr>
          <w:t xml:space="preserve">Questions pour adoption par le Conseil </w:t>
        </w:r>
        <w:r w:rsidR="002F2D47" w:rsidRPr="00E454D1">
          <w:rPr>
            <w:rStyle w:val="Hyperlink"/>
            <w:noProof/>
            <w:color w:val="auto"/>
            <w:lang w:val="fr-CH"/>
          </w:rPr>
          <w:t>en 2019</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_Toc22035907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3</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08" w:history="1">
        <w:r w:rsidR="006667E1" w:rsidRPr="00E454D1">
          <w:rPr>
            <w:rStyle w:val="Hyperlink"/>
            <w:noProof/>
            <w:color w:val="auto"/>
            <w:lang w:val="fr-CH"/>
          </w:rPr>
          <w:t>Document TGP/7</w:t>
        </w:r>
        <w:r w:rsidR="00C77A34">
          <w:rPr>
            <w:rStyle w:val="Hyperlink"/>
            <w:noProof/>
            <w:color w:val="auto"/>
            <w:lang w:val="fr-CH"/>
          </w:rPr>
          <w:t>:</w:t>
        </w:r>
        <w:r w:rsidR="006667E1" w:rsidRPr="00E454D1">
          <w:rPr>
            <w:rStyle w:val="Hyperlink"/>
            <w:noProof/>
            <w:color w:val="auto"/>
            <w:lang w:val="fr-CH"/>
          </w:rPr>
          <w:t xml:space="preserve"> Élaboration des principes directeurs d</w:t>
        </w:r>
        <w:r w:rsidR="00E454D1">
          <w:rPr>
            <w:rStyle w:val="Hyperlink"/>
            <w:noProof/>
            <w:color w:val="auto"/>
            <w:lang w:val="fr-CH"/>
          </w:rPr>
          <w:t>’</w:t>
        </w:r>
        <w:r w:rsidR="006667E1" w:rsidRPr="00E454D1">
          <w:rPr>
            <w:rStyle w:val="Hyperlink"/>
            <w:noProof/>
            <w:color w:val="auto"/>
            <w:lang w:val="fr-CH"/>
          </w:rPr>
          <w:t>examen (révision) (document TGP/7/7 Draft 1)</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_Toc22035908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3</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09" w:history="1">
        <w:r w:rsidR="006667E1" w:rsidRPr="00E454D1">
          <w:rPr>
            <w:rStyle w:val="Hyperlink"/>
            <w:noProof/>
            <w:color w:val="auto"/>
            <w:lang w:val="fr-CH"/>
          </w:rPr>
          <w:t>Document TGP/8</w:t>
        </w:r>
        <w:r w:rsidR="00C77A34">
          <w:rPr>
            <w:rStyle w:val="Hyperlink"/>
            <w:noProof/>
            <w:color w:val="auto"/>
            <w:lang w:val="fr-CH"/>
          </w:rPr>
          <w:t>:</w:t>
        </w:r>
        <w:r w:rsidR="006667E1" w:rsidRPr="00E454D1">
          <w:rPr>
            <w:rStyle w:val="Hyperlink"/>
            <w:noProof/>
            <w:color w:val="auto"/>
            <w:lang w:val="fr-CH"/>
          </w:rPr>
          <w:t xml:space="preserve"> Protocole d</w:t>
        </w:r>
        <w:r w:rsidR="00E454D1">
          <w:rPr>
            <w:rStyle w:val="Hyperlink"/>
            <w:noProof/>
            <w:color w:val="auto"/>
            <w:lang w:val="fr-CH"/>
          </w:rPr>
          <w:t>’</w:t>
        </w:r>
        <w:r w:rsidR="006667E1" w:rsidRPr="00E454D1">
          <w:rPr>
            <w:rStyle w:val="Hyperlink"/>
            <w:noProof/>
            <w:color w:val="auto"/>
            <w:lang w:val="fr-CH"/>
          </w:rPr>
          <w:t>essai et techniques utilisés dans l</w:t>
        </w:r>
        <w:r w:rsidR="00E454D1">
          <w:rPr>
            <w:rStyle w:val="Hyperlink"/>
            <w:noProof/>
            <w:color w:val="auto"/>
            <w:lang w:val="fr-CH"/>
          </w:rPr>
          <w:t>’</w:t>
        </w:r>
        <w:r w:rsidR="006667E1" w:rsidRPr="00E454D1">
          <w:rPr>
            <w:rStyle w:val="Hyperlink"/>
            <w:noProof/>
            <w:color w:val="auto"/>
            <w:lang w:val="fr-CH"/>
          </w:rPr>
          <w:t>examen de la distinction, de l</w:t>
        </w:r>
        <w:r w:rsidR="00E454D1">
          <w:rPr>
            <w:rStyle w:val="Hyperlink"/>
            <w:noProof/>
            <w:color w:val="auto"/>
            <w:lang w:val="fr-CH"/>
          </w:rPr>
          <w:t>’</w:t>
        </w:r>
        <w:r w:rsidR="006667E1" w:rsidRPr="00E454D1">
          <w:rPr>
            <w:rStyle w:val="Hyperlink"/>
            <w:noProof/>
            <w:color w:val="auto"/>
            <w:lang w:val="fr-CH"/>
          </w:rPr>
          <w:t>homogénéité et de la stabilité (révision) (document TGP/8/4 Draft 1)</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_Toc22035909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4</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10" w:history="1">
        <w:r w:rsidR="006667E1" w:rsidRPr="00E454D1">
          <w:rPr>
            <w:rStyle w:val="Hyperlink"/>
            <w:noProof/>
            <w:color w:val="auto"/>
            <w:lang w:val="fr-CH"/>
          </w:rPr>
          <w:t>Document TGP/10</w:t>
        </w:r>
        <w:r w:rsidR="00C77A34">
          <w:rPr>
            <w:rStyle w:val="Hyperlink"/>
            <w:noProof/>
            <w:color w:val="auto"/>
            <w:lang w:val="fr-CH"/>
          </w:rPr>
          <w:t>:</w:t>
        </w:r>
        <w:r w:rsidR="006667E1" w:rsidRPr="00E454D1">
          <w:rPr>
            <w:rStyle w:val="Hyperlink"/>
            <w:noProof/>
            <w:color w:val="auto"/>
            <w:lang w:val="fr-CH"/>
          </w:rPr>
          <w:t xml:space="preserve"> Examen de l</w:t>
        </w:r>
        <w:r w:rsidR="00E454D1">
          <w:rPr>
            <w:rStyle w:val="Hyperlink"/>
            <w:noProof/>
            <w:color w:val="auto"/>
            <w:lang w:val="fr-CH"/>
          </w:rPr>
          <w:t>’</w:t>
        </w:r>
        <w:r w:rsidR="006667E1" w:rsidRPr="00E454D1">
          <w:rPr>
            <w:rStyle w:val="Hyperlink"/>
            <w:noProof/>
            <w:color w:val="auto"/>
            <w:lang w:val="fr-CH"/>
          </w:rPr>
          <w:t>homogénéité (révision) (document TGP/10/2 Draft 1)</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_Toc22035910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4</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11" w:history="1">
        <w:r w:rsidR="006667E1" w:rsidRPr="00935260">
          <w:rPr>
            <w:rStyle w:val="Hyperlink"/>
            <w:noProof/>
            <w:color w:val="auto"/>
            <w:spacing w:val="-4"/>
            <w:lang w:val="fr-CH"/>
          </w:rPr>
          <w:t>Document TGP/14</w:t>
        </w:r>
        <w:r w:rsidR="00C77A34" w:rsidRPr="00935260">
          <w:rPr>
            <w:rStyle w:val="Hyperlink"/>
            <w:noProof/>
            <w:color w:val="auto"/>
            <w:spacing w:val="-4"/>
            <w:lang w:val="fr-CH"/>
          </w:rPr>
          <w:t>:</w:t>
        </w:r>
        <w:r w:rsidR="006667E1" w:rsidRPr="00935260">
          <w:rPr>
            <w:rStyle w:val="Hyperlink"/>
            <w:noProof/>
            <w:color w:val="auto"/>
            <w:spacing w:val="-4"/>
            <w:lang w:val="fr-CH"/>
          </w:rPr>
          <w:t xml:space="preserve"> Glossaire de termes utilisés dans les documents de l</w:t>
        </w:r>
        <w:r w:rsidR="00E454D1" w:rsidRPr="00935260">
          <w:rPr>
            <w:rStyle w:val="Hyperlink"/>
            <w:noProof/>
            <w:color w:val="auto"/>
            <w:spacing w:val="-4"/>
            <w:lang w:val="fr-CH"/>
          </w:rPr>
          <w:t>’</w:t>
        </w:r>
        <w:r w:rsidR="006667E1" w:rsidRPr="00935260">
          <w:rPr>
            <w:rStyle w:val="Hyperlink"/>
            <w:noProof/>
            <w:color w:val="auto"/>
            <w:spacing w:val="-4"/>
            <w:lang w:val="fr-CH"/>
          </w:rPr>
          <w:t>UPOV (document TGP/14/4 Draft 1)</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_Toc22035911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5</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12" w:history="1">
        <w:r w:rsidR="006667E1" w:rsidRPr="00E454D1">
          <w:rPr>
            <w:rStyle w:val="Hyperlink"/>
            <w:noProof/>
            <w:color w:val="auto"/>
            <w:lang w:val="fr-CH"/>
          </w:rPr>
          <w:t>Document TGP/15</w:t>
        </w:r>
        <w:r w:rsidR="00C77A34">
          <w:rPr>
            <w:rStyle w:val="Hyperlink"/>
            <w:noProof/>
            <w:color w:val="auto"/>
            <w:lang w:val="fr-CH"/>
          </w:rPr>
          <w:t>:</w:t>
        </w:r>
        <w:r w:rsidR="006667E1" w:rsidRPr="00E454D1">
          <w:rPr>
            <w:rStyle w:val="Hyperlink"/>
            <w:noProof/>
            <w:color w:val="auto"/>
            <w:lang w:val="fr-CH"/>
          </w:rPr>
          <w:t xml:space="preserve"> Conseils en ce qui concerne l</w:t>
        </w:r>
        <w:r w:rsidR="00E454D1">
          <w:rPr>
            <w:rStyle w:val="Hyperlink"/>
            <w:noProof/>
            <w:color w:val="auto"/>
            <w:lang w:val="fr-CH"/>
          </w:rPr>
          <w:t>’</w:t>
        </w:r>
        <w:r w:rsidR="006667E1" w:rsidRPr="00E454D1">
          <w:rPr>
            <w:rStyle w:val="Hyperlink"/>
            <w:noProof/>
            <w:color w:val="auto"/>
            <w:lang w:val="fr-CH"/>
          </w:rPr>
          <w:t>utilisation des marqueurs biochimiques et moléculaires dans l</w:t>
        </w:r>
        <w:r w:rsidR="00E454D1">
          <w:rPr>
            <w:rStyle w:val="Hyperlink"/>
            <w:noProof/>
            <w:color w:val="auto"/>
            <w:lang w:val="fr-CH"/>
          </w:rPr>
          <w:t>’</w:t>
        </w:r>
        <w:r w:rsidR="006667E1" w:rsidRPr="00E454D1">
          <w:rPr>
            <w:rStyle w:val="Hyperlink"/>
            <w:noProof/>
            <w:color w:val="auto"/>
            <w:lang w:val="fr-CH"/>
          </w:rPr>
          <w:t>examen de la distinction, de l</w:t>
        </w:r>
        <w:r w:rsidR="00E454D1">
          <w:rPr>
            <w:rStyle w:val="Hyperlink"/>
            <w:noProof/>
            <w:color w:val="auto"/>
            <w:lang w:val="fr-CH"/>
          </w:rPr>
          <w:t>’</w:t>
        </w:r>
        <w:r w:rsidR="006667E1" w:rsidRPr="00E454D1">
          <w:rPr>
            <w:rStyle w:val="Hyperlink"/>
            <w:noProof/>
            <w:color w:val="auto"/>
            <w:lang w:val="fr-CH"/>
          </w:rPr>
          <w:t>homogénéité et de la stabilité (DHS) (révision) (document TGP/15/2 Draft 2)</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_Toc22035912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5</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13" w:history="1">
        <w:r w:rsidR="006667E1" w:rsidRPr="00E454D1">
          <w:rPr>
            <w:rStyle w:val="Hyperlink"/>
            <w:noProof/>
            <w:snapToGrid w:val="0"/>
            <w:color w:val="auto"/>
            <w:lang w:val="fr-CH"/>
          </w:rPr>
          <w:t>Document TGP/0</w:t>
        </w:r>
        <w:r w:rsidR="00C77A34">
          <w:rPr>
            <w:rStyle w:val="Hyperlink"/>
            <w:noProof/>
            <w:snapToGrid w:val="0"/>
            <w:color w:val="auto"/>
            <w:lang w:val="fr-CH"/>
          </w:rPr>
          <w:t>:</w:t>
        </w:r>
        <w:r w:rsidR="006667E1" w:rsidRPr="00E454D1">
          <w:rPr>
            <w:rStyle w:val="Hyperlink"/>
            <w:noProof/>
            <w:snapToGrid w:val="0"/>
            <w:color w:val="auto"/>
            <w:lang w:val="fr-CH"/>
          </w:rPr>
          <w:t xml:space="preserve"> Liste des documents TGP et date de la version la plus récente de ces documents (révision) (document TGP/0/11 Draft 1)</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_Toc22035913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6</w:t>
        </w:r>
        <w:r w:rsidR="006667E1" w:rsidRPr="00E454D1">
          <w:rPr>
            <w:noProof/>
            <w:webHidden/>
            <w:lang w:val="fr-CH"/>
          </w:rPr>
          <w:fldChar w:fldCharType="end"/>
        </w:r>
      </w:hyperlink>
    </w:p>
    <w:p w:rsidR="006667E1" w:rsidRPr="00E454D1" w:rsidRDefault="00E03680">
      <w:pPr>
        <w:pStyle w:val="TOC1"/>
        <w:rPr>
          <w:rFonts w:asciiTheme="minorHAnsi" w:eastAsiaTheme="minorEastAsia" w:hAnsiTheme="minorHAnsi" w:cstheme="minorBidi"/>
          <w:caps w:val="0"/>
          <w:noProof/>
          <w:sz w:val="22"/>
          <w:szCs w:val="22"/>
          <w:lang w:val="fr-CH"/>
        </w:rPr>
      </w:pPr>
      <w:hyperlink w:anchor="_Toc22035914" w:history="1">
        <w:r w:rsidR="006667E1" w:rsidRPr="00E454D1">
          <w:rPr>
            <w:rStyle w:val="Hyperlink"/>
            <w:noProof/>
            <w:color w:val="auto"/>
            <w:lang w:val="fr-CH"/>
          </w:rPr>
          <w:t>Éventuelles futures révisions des documents TGP</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_Toc22035914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6</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15" w:history="1">
        <w:r w:rsidR="006667E1" w:rsidRPr="00E454D1">
          <w:rPr>
            <w:rStyle w:val="Hyperlink"/>
            <w:noProof/>
            <w:color w:val="auto"/>
            <w:lang w:val="fr-CH"/>
          </w:rPr>
          <w:t>Questions devant être examinées par le Comité technique</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_Toc22035915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6</w:t>
        </w:r>
        <w:r w:rsidR="006667E1" w:rsidRPr="00E454D1">
          <w:rPr>
            <w:noProof/>
            <w:webHidden/>
            <w:lang w:val="fr-CH"/>
          </w:rPr>
          <w:fldChar w:fldCharType="end"/>
        </w:r>
      </w:hyperlink>
    </w:p>
    <w:p w:rsidR="006667E1" w:rsidRPr="00E454D1" w:rsidRDefault="00E03680">
      <w:pPr>
        <w:pStyle w:val="TOC3"/>
        <w:rPr>
          <w:rFonts w:asciiTheme="minorHAnsi" w:eastAsiaTheme="minorEastAsia" w:hAnsiTheme="minorHAnsi" w:cstheme="minorBidi"/>
          <w:i w:val="0"/>
          <w:noProof/>
          <w:sz w:val="22"/>
          <w:szCs w:val="22"/>
          <w:lang w:val="fr-CH"/>
        </w:rPr>
      </w:pPr>
      <w:hyperlink w:anchor="_Toc22035916" w:history="1">
        <w:r w:rsidR="006667E1" w:rsidRPr="00E454D1">
          <w:rPr>
            <w:rStyle w:val="Hyperlink"/>
            <w:noProof/>
            <w:color w:val="auto"/>
            <w:lang w:val="fr-CH"/>
          </w:rPr>
          <w:t>TGP/7</w:t>
        </w:r>
        <w:r w:rsidR="00C77A34">
          <w:rPr>
            <w:rStyle w:val="Hyperlink"/>
            <w:noProof/>
            <w:color w:val="auto"/>
            <w:lang w:val="fr-CH"/>
          </w:rPr>
          <w:t>:</w:t>
        </w:r>
        <w:r w:rsidR="006667E1" w:rsidRPr="00E454D1">
          <w:rPr>
            <w:rStyle w:val="Hyperlink"/>
            <w:noProof/>
            <w:color w:val="auto"/>
            <w:lang w:val="fr-CH"/>
          </w:rPr>
          <w:t xml:space="preserve"> Élaboration des principes directeurs d</w:t>
        </w:r>
        <w:r w:rsidR="00E454D1">
          <w:rPr>
            <w:rStyle w:val="Hyperlink"/>
            <w:noProof/>
            <w:color w:val="auto"/>
            <w:lang w:val="fr-CH"/>
          </w:rPr>
          <w:t>’</w:t>
        </w:r>
        <w:r w:rsidR="006667E1" w:rsidRPr="00E454D1">
          <w:rPr>
            <w:rStyle w:val="Hyperlink"/>
            <w:noProof/>
            <w:color w:val="auto"/>
            <w:lang w:val="fr-CH"/>
          </w:rPr>
          <w:t>examen</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_Toc22035916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6</w:t>
        </w:r>
        <w:r w:rsidR="006667E1" w:rsidRPr="00E454D1">
          <w:rPr>
            <w:noProof/>
            <w:webHidden/>
            <w:lang w:val="fr-CH"/>
          </w:rPr>
          <w:fldChar w:fldCharType="end"/>
        </w:r>
      </w:hyperlink>
    </w:p>
    <w:p w:rsidR="006667E1" w:rsidRPr="00E454D1" w:rsidRDefault="00E03680">
      <w:pPr>
        <w:pStyle w:val="TOC4"/>
        <w:rPr>
          <w:rFonts w:asciiTheme="minorHAnsi" w:eastAsiaTheme="minorEastAsia" w:hAnsiTheme="minorHAnsi" w:cstheme="minorBidi"/>
          <w:i w:val="0"/>
          <w:noProof/>
          <w:sz w:val="22"/>
          <w:szCs w:val="22"/>
          <w:lang w:val="fr-CH"/>
        </w:rPr>
      </w:pPr>
      <w:hyperlink w:anchor="_Toc22035917" w:history="1">
        <w:r w:rsidR="006667E1" w:rsidRPr="00E454D1">
          <w:rPr>
            <w:rStyle w:val="Hyperlink"/>
            <w:rFonts w:eastAsia="MS Mincho"/>
            <w:noProof/>
            <w:color w:val="auto"/>
            <w:lang w:val="fr-CH"/>
          </w:rPr>
          <w:t>Caractères applicables à certaines variétés seulement</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_Toc22035917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6</w:t>
        </w:r>
        <w:r w:rsidR="006667E1" w:rsidRPr="00E454D1">
          <w:rPr>
            <w:noProof/>
            <w:webHidden/>
            <w:lang w:val="fr-CH"/>
          </w:rPr>
          <w:fldChar w:fldCharType="end"/>
        </w:r>
      </w:hyperlink>
    </w:p>
    <w:p w:rsidR="006667E1" w:rsidRPr="00E454D1" w:rsidRDefault="00E03680">
      <w:pPr>
        <w:pStyle w:val="TOC3"/>
        <w:rPr>
          <w:rFonts w:asciiTheme="minorHAnsi" w:eastAsiaTheme="minorEastAsia" w:hAnsiTheme="minorHAnsi" w:cstheme="minorBidi"/>
          <w:i w:val="0"/>
          <w:noProof/>
          <w:sz w:val="22"/>
          <w:szCs w:val="22"/>
          <w:lang w:val="fr-CH"/>
        </w:rPr>
      </w:pPr>
      <w:hyperlink w:anchor="_Toc22035918" w:history="1">
        <w:r w:rsidR="006667E1" w:rsidRPr="00E454D1">
          <w:rPr>
            <w:rStyle w:val="Hyperlink"/>
            <w:noProof/>
            <w:color w:val="auto"/>
            <w:lang w:val="fr-CH"/>
          </w:rPr>
          <w:t>TGP/8</w:t>
        </w:r>
        <w:r w:rsidR="00C77A34">
          <w:rPr>
            <w:rStyle w:val="Hyperlink"/>
            <w:noProof/>
            <w:color w:val="auto"/>
            <w:lang w:val="fr-CH"/>
          </w:rPr>
          <w:t>:</w:t>
        </w:r>
        <w:r w:rsidR="006667E1" w:rsidRPr="00E454D1">
          <w:rPr>
            <w:rStyle w:val="Hyperlink"/>
            <w:noProof/>
            <w:color w:val="auto"/>
            <w:lang w:val="fr-CH"/>
          </w:rPr>
          <w:t xml:space="preserve"> Protocole d</w:t>
        </w:r>
        <w:r w:rsidR="00E454D1">
          <w:rPr>
            <w:rStyle w:val="Hyperlink"/>
            <w:noProof/>
            <w:color w:val="auto"/>
            <w:lang w:val="fr-CH"/>
          </w:rPr>
          <w:t>’</w:t>
        </w:r>
        <w:r w:rsidR="006667E1" w:rsidRPr="00E454D1">
          <w:rPr>
            <w:rStyle w:val="Hyperlink"/>
            <w:noProof/>
            <w:color w:val="auto"/>
            <w:lang w:val="fr-CH"/>
          </w:rPr>
          <w:t>essai et techniques utilisés dans l</w:t>
        </w:r>
        <w:r w:rsidR="00E454D1">
          <w:rPr>
            <w:rStyle w:val="Hyperlink"/>
            <w:noProof/>
            <w:color w:val="auto"/>
            <w:lang w:val="fr-CH"/>
          </w:rPr>
          <w:t>’</w:t>
        </w:r>
        <w:r w:rsidR="006667E1" w:rsidRPr="00E454D1">
          <w:rPr>
            <w:rStyle w:val="Hyperlink"/>
            <w:noProof/>
            <w:color w:val="auto"/>
            <w:lang w:val="fr-CH"/>
          </w:rPr>
          <w:t>examen de la distinction, de l</w:t>
        </w:r>
        <w:r w:rsidR="00E454D1">
          <w:rPr>
            <w:rStyle w:val="Hyperlink"/>
            <w:noProof/>
            <w:color w:val="auto"/>
            <w:lang w:val="fr-CH"/>
          </w:rPr>
          <w:t>’</w:t>
        </w:r>
        <w:r w:rsidR="006667E1" w:rsidRPr="00E454D1">
          <w:rPr>
            <w:rStyle w:val="Hyperlink"/>
            <w:noProof/>
            <w:color w:val="auto"/>
            <w:lang w:val="fr-CH"/>
          </w:rPr>
          <w:t>homogénéité et de la stabilité</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_Toc22035918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6</w:t>
        </w:r>
        <w:r w:rsidR="006667E1" w:rsidRPr="00E454D1">
          <w:rPr>
            <w:noProof/>
            <w:webHidden/>
            <w:lang w:val="fr-CH"/>
          </w:rPr>
          <w:fldChar w:fldCharType="end"/>
        </w:r>
      </w:hyperlink>
    </w:p>
    <w:p w:rsidR="006667E1" w:rsidRPr="00E454D1" w:rsidRDefault="00E03680">
      <w:pPr>
        <w:pStyle w:val="TOC4"/>
        <w:rPr>
          <w:rFonts w:asciiTheme="minorHAnsi" w:eastAsiaTheme="minorEastAsia" w:hAnsiTheme="minorHAnsi" w:cstheme="minorBidi"/>
          <w:i w:val="0"/>
          <w:noProof/>
          <w:sz w:val="22"/>
          <w:szCs w:val="22"/>
          <w:lang w:val="fr-CH"/>
        </w:rPr>
      </w:pPr>
      <w:hyperlink w:anchor="_Toc22035919" w:history="1">
        <w:r w:rsidR="006667E1" w:rsidRPr="00E454D1">
          <w:rPr>
            <w:rStyle w:val="Hyperlink"/>
            <w:rFonts w:eastAsia="MS Mincho"/>
            <w:noProof/>
            <w:color w:val="auto"/>
            <w:lang w:val="fr-CH"/>
          </w:rPr>
          <w:t>Analyse globale de l</w:t>
        </w:r>
        <w:r w:rsidR="00E454D1">
          <w:rPr>
            <w:rStyle w:val="Hyperlink"/>
            <w:rFonts w:eastAsia="MS Mincho"/>
            <w:noProof/>
            <w:color w:val="auto"/>
            <w:lang w:val="fr-CH"/>
          </w:rPr>
          <w:t>’</w:t>
        </w:r>
        <w:r w:rsidR="006667E1" w:rsidRPr="00E454D1">
          <w:rPr>
            <w:rStyle w:val="Hyperlink"/>
            <w:rFonts w:eastAsia="MS Mincho"/>
            <w:noProof/>
            <w:color w:val="auto"/>
            <w:lang w:val="fr-CH"/>
          </w:rPr>
          <w:t>homogénéité sur plusieurs années (COYU)</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_Toc22035919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7</w:t>
        </w:r>
        <w:r w:rsidR="006667E1" w:rsidRPr="00E454D1">
          <w:rPr>
            <w:noProof/>
            <w:webHidden/>
            <w:lang w:val="fr-CH"/>
          </w:rPr>
          <w:fldChar w:fldCharType="end"/>
        </w:r>
      </w:hyperlink>
    </w:p>
    <w:p w:rsidR="006667E1" w:rsidRPr="00E454D1" w:rsidRDefault="00E03680">
      <w:pPr>
        <w:pStyle w:val="TOC4"/>
        <w:rPr>
          <w:rFonts w:asciiTheme="minorHAnsi" w:eastAsiaTheme="minorEastAsia" w:hAnsiTheme="minorHAnsi" w:cstheme="minorBidi"/>
          <w:i w:val="0"/>
          <w:noProof/>
          <w:sz w:val="22"/>
          <w:szCs w:val="22"/>
          <w:lang w:val="fr-CH"/>
        </w:rPr>
      </w:pPr>
      <w:hyperlink w:anchor="_Toc22035920" w:history="1">
        <w:r w:rsidR="006667E1" w:rsidRPr="00E454D1">
          <w:rPr>
            <w:rStyle w:val="Hyperlink"/>
            <w:rFonts w:eastAsia="MS Mincho"/>
            <w:noProof/>
            <w:color w:val="auto"/>
            <w:lang w:val="fr-CH"/>
          </w:rPr>
          <w:t>Traitement des données aux fins de l</w:t>
        </w:r>
        <w:r w:rsidR="00E454D1">
          <w:rPr>
            <w:rStyle w:val="Hyperlink"/>
            <w:rFonts w:eastAsia="MS Mincho"/>
            <w:noProof/>
            <w:color w:val="auto"/>
            <w:lang w:val="fr-CH"/>
          </w:rPr>
          <w:t>’</w:t>
        </w:r>
        <w:r w:rsidR="006667E1" w:rsidRPr="00E454D1">
          <w:rPr>
            <w:rStyle w:val="Hyperlink"/>
            <w:rFonts w:eastAsia="MS Mincho"/>
            <w:noProof/>
            <w:color w:val="auto"/>
            <w:lang w:val="fr-CH"/>
          </w:rPr>
          <w:t>évaluation de la distinction et de l</w:t>
        </w:r>
        <w:r w:rsidR="00E454D1">
          <w:rPr>
            <w:rStyle w:val="Hyperlink"/>
            <w:rFonts w:eastAsia="MS Mincho"/>
            <w:noProof/>
            <w:color w:val="auto"/>
            <w:lang w:val="fr-CH"/>
          </w:rPr>
          <w:t>’</w:t>
        </w:r>
        <w:r w:rsidR="006667E1" w:rsidRPr="00E454D1">
          <w:rPr>
            <w:rStyle w:val="Hyperlink"/>
            <w:rFonts w:eastAsia="MS Mincho"/>
            <w:noProof/>
            <w:color w:val="auto"/>
            <w:lang w:val="fr-CH"/>
          </w:rPr>
          <w:t>élaboration de descriptions variétales</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_Toc22035920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7</w:t>
        </w:r>
        <w:r w:rsidR="006667E1" w:rsidRPr="00E454D1">
          <w:rPr>
            <w:noProof/>
            <w:webHidden/>
            <w:lang w:val="fr-CH"/>
          </w:rPr>
          <w:fldChar w:fldCharType="end"/>
        </w:r>
      </w:hyperlink>
    </w:p>
    <w:p w:rsidR="006667E1" w:rsidRPr="00E454D1" w:rsidRDefault="00E03680">
      <w:pPr>
        <w:pStyle w:val="TOC3"/>
        <w:rPr>
          <w:rFonts w:asciiTheme="minorHAnsi" w:eastAsiaTheme="minorEastAsia" w:hAnsiTheme="minorHAnsi" w:cstheme="minorBidi"/>
          <w:i w:val="0"/>
          <w:noProof/>
          <w:sz w:val="22"/>
          <w:szCs w:val="22"/>
          <w:lang w:val="fr-CH"/>
        </w:rPr>
      </w:pPr>
      <w:hyperlink w:anchor="_Toc22035921" w:history="1">
        <w:r w:rsidR="006667E1" w:rsidRPr="00E454D1">
          <w:rPr>
            <w:rStyle w:val="Hyperlink"/>
            <w:noProof/>
            <w:color w:val="auto"/>
            <w:lang w:val="fr-CH"/>
          </w:rPr>
          <w:t>TGP/14</w:t>
        </w:r>
        <w:r w:rsidR="00C77A34">
          <w:rPr>
            <w:rStyle w:val="Hyperlink"/>
            <w:noProof/>
            <w:color w:val="auto"/>
            <w:lang w:val="fr-CH"/>
          </w:rPr>
          <w:t>:</w:t>
        </w:r>
        <w:r w:rsidR="006667E1" w:rsidRPr="00E454D1">
          <w:rPr>
            <w:rStyle w:val="Hyperlink"/>
            <w:noProof/>
            <w:color w:val="auto"/>
            <w:lang w:val="fr-CH"/>
          </w:rPr>
          <w:t xml:space="preserve"> Glossaire des termes utilisés dans les documents de l</w:t>
        </w:r>
        <w:r w:rsidR="00E454D1">
          <w:rPr>
            <w:rStyle w:val="Hyperlink"/>
            <w:noProof/>
            <w:color w:val="auto"/>
            <w:lang w:val="fr-CH"/>
          </w:rPr>
          <w:t>’</w:t>
        </w:r>
        <w:r w:rsidR="006667E1" w:rsidRPr="00E454D1">
          <w:rPr>
            <w:rStyle w:val="Hyperlink"/>
            <w:noProof/>
            <w:color w:val="auto"/>
            <w:lang w:val="fr-CH"/>
          </w:rPr>
          <w:t>UPOV</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_Toc22035921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7</w:t>
        </w:r>
        <w:r w:rsidR="006667E1" w:rsidRPr="00E454D1">
          <w:rPr>
            <w:noProof/>
            <w:webHidden/>
            <w:lang w:val="fr-CH"/>
          </w:rPr>
          <w:fldChar w:fldCharType="end"/>
        </w:r>
      </w:hyperlink>
    </w:p>
    <w:p w:rsidR="006667E1" w:rsidRPr="00E454D1" w:rsidRDefault="00E03680">
      <w:pPr>
        <w:pStyle w:val="TOC4"/>
        <w:rPr>
          <w:rFonts w:asciiTheme="minorHAnsi" w:eastAsiaTheme="minorEastAsia" w:hAnsiTheme="minorHAnsi" w:cstheme="minorBidi"/>
          <w:i w:val="0"/>
          <w:noProof/>
          <w:sz w:val="22"/>
          <w:szCs w:val="22"/>
          <w:lang w:val="fr-CH"/>
        </w:rPr>
      </w:pPr>
      <w:hyperlink w:anchor="_Toc22035922" w:history="1">
        <w:r w:rsidR="006667E1" w:rsidRPr="00E454D1">
          <w:rPr>
            <w:rStyle w:val="Hyperlink"/>
            <w:rFonts w:eastAsia="MS Mincho"/>
            <w:noProof/>
            <w:color w:val="auto"/>
            <w:lang w:val="fr-CH"/>
          </w:rPr>
          <w:t>Noms de couleur aux fins du Code RHS des couleurs</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_Toc22035922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7</w:t>
        </w:r>
        <w:r w:rsidR="006667E1" w:rsidRPr="00E454D1">
          <w:rPr>
            <w:noProof/>
            <w:webHidden/>
            <w:lang w:val="fr-CH"/>
          </w:rPr>
          <w:fldChar w:fldCharType="end"/>
        </w:r>
      </w:hyperlink>
    </w:p>
    <w:p w:rsidR="006667E1" w:rsidRPr="00E454D1" w:rsidRDefault="00E03680">
      <w:pPr>
        <w:pStyle w:val="TOC3"/>
        <w:rPr>
          <w:rFonts w:asciiTheme="minorHAnsi" w:eastAsiaTheme="minorEastAsia" w:hAnsiTheme="minorHAnsi" w:cstheme="minorBidi"/>
          <w:i w:val="0"/>
          <w:noProof/>
          <w:sz w:val="22"/>
          <w:szCs w:val="22"/>
          <w:lang w:val="fr-CH"/>
        </w:rPr>
      </w:pPr>
      <w:hyperlink w:anchor="_Toc22035923" w:history="1">
        <w:r w:rsidR="006667E1" w:rsidRPr="00E454D1">
          <w:rPr>
            <w:rStyle w:val="Hyperlink"/>
            <w:noProof/>
            <w:color w:val="auto"/>
            <w:lang w:val="fr-CH"/>
          </w:rPr>
          <w:t>TGP/15</w:t>
        </w:r>
        <w:r w:rsidR="00C77A34">
          <w:rPr>
            <w:rStyle w:val="Hyperlink"/>
            <w:noProof/>
            <w:color w:val="auto"/>
            <w:lang w:val="fr-CH"/>
          </w:rPr>
          <w:t>:</w:t>
        </w:r>
        <w:r w:rsidR="006667E1" w:rsidRPr="00E454D1">
          <w:rPr>
            <w:rStyle w:val="Hyperlink"/>
            <w:noProof/>
            <w:color w:val="auto"/>
            <w:lang w:val="fr-CH"/>
          </w:rPr>
          <w:t xml:space="preserve"> Conseils en ce qui concerne l</w:t>
        </w:r>
        <w:r w:rsidR="00E454D1">
          <w:rPr>
            <w:rStyle w:val="Hyperlink"/>
            <w:noProof/>
            <w:color w:val="auto"/>
            <w:lang w:val="fr-CH"/>
          </w:rPr>
          <w:t>’</w:t>
        </w:r>
        <w:r w:rsidR="006667E1" w:rsidRPr="00E454D1">
          <w:rPr>
            <w:rStyle w:val="Hyperlink"/>
            <w:noProof/>
            <w:color w:val="auto"/>
            <w:lang w:val="fr-CH"/>
          </w:rPr>
          <w:t>utilisation des marqueurs biochimiques et moléculaires dans l</w:t>
        </w:r>
        <w:r w:rsidR="00E454D1">
          <w:rPr>
            <w:rStyle w:val="Hyperlink"/>
            <w:noProof/>
            <w:color w:val="auto"/>
            <w:lang w:val="fr-CH"/>
          </w:rPr>
          <w:t>’</w:t>
        </w:r>
        <w:r w:rsidR="006667E1" w:rsidRPr="00E454D1">
          <w:rPr>
            <w:rStyle w:val="Hyperlink"/>
            <w:noProof/>
            <w:color w:val="auto"/>
            <w:lang w:val="fr-CH"/>
          </w:rPr>
          <w:t>examen de la distinction, de l</w:t>
        </w:r>
        <w:r w:rsidR="00E454D1">
          <w:rPr>
            <w:rStyle w:val="Hyperlink"/>
            <w:noProof/>
            <w:color w:val="auto"/>
            <w:lang w:val="fr-CH"/>
          </w:rPr>
          <w:t>’</w:t>
        </w:r>
        <w:r w:rsidR="006667E1" w:rsidRPr="00E454D1">
          <w:rPr>
            <w:rStyle w:val="Hyperlink"/>
            <w:noProof/>
            <w:color w:val="auto"/>
            <w:lang w:val="fr-CH"/>
          </w:rPr>
          <w:t>homogénéité et de la stabilité (DHS)</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_Toc22035923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7</w:t>
        </w:r>
        <w:r w:rsidR="006667E1" w:rsidRPr="00E454D1">
          <w:rPr>
            <w:noProof/>
            <w:webHidden/>
            <w:lang w:val="fr-CH"/>
          </w:rPr>
          <w:fldChar w:fldCharType="end"/>
        </w:r>
      </w:hyperlink>
    </w:p>
    <w:p w:rsidR="006667E1" w:rsidRPr="00E454D1" w:rsidRDefault="00E03680">
      <w:pPr>
        <w:pStyle w:val="TOC4"/>
        <w:rPr>
          <w:rFonts w:asciiTheme="minorHAnsi" w:eastAsiaTheme="minorEastAsia" w:hAnsiTheme="minorHAnsi" w:cstheme="minorBidi"/>
          <w:i w:val="0"/>
          <w:noProof/>
          <w:sz w:val="22"/>
          <w:szCs w:val="22"/>
          <w:lang w:val="fr-CH"/>
        </w:rPr>
      </w:pPr>
      <w:hyperlink w:anchor="_Toc22035924" w:history="1">
        <w:r w:rsidR="006667E1" w:rsidRPr="00E454D1">
          <w:rPr>
            <w:rStyle w:val="Hyperlink"/>
            <w:rFonts w:eastAsia="MS Mincho"/>
            <w:noProof/>
            <w:color w:val="auto"/>
            <w:lang w:val="fr-CH"/>
          </w:rPr>
          <w:t>Nouvel exemple</w:t>
        </w:r>
        <w:r w:rsidR="00C77A34">
          <w:rPr>
            <w:rStyle w:val="Hyperlink"/>
            <w:rFonts w:eastAsia="MS Mincho"/>
            <w:noProof/>
            <w:color w:val="auto"/>
            <w:lang w:val="fr-CH"/>
          </w:rPr>
          <w:t>:</w:t>
        </w:r>
        <w:r w:rsidR="006667E1" w:rsidRPr="00E454D1">
          <w:rPr>
            <w:rStyle w:val="Hyperlink"/>
            <w:rFonts w:eastAsia="MS Mincho"/>
            <w:noProof/>
            <w:color w:val="auto"/>
            <w:lang w:val="fr-CH"/>
          </w:rPr>
          <w:t xml:space="preserve"> marqueur propre aux caractères contenant des informations incomplètes sur le niveau d</w:t>
        </w:r>
        <w:r w:rsidR="00E454D1">
          <w:rPr>
            <w:rStyle w:val="Hyperlink"/>
            <w:rFonts w:eastAsia="MS Mincho"/>
            <w:noProof/>
            <w:color w:val="auto"/>
            <w:lang w:val="fr-CH"/>
          </w:rPr>
          <w:t>’</w:t>
        </w:r>
        <w:r w:rsidR="006667E1" w:rsidRPr="00E454D1">
          <w:rPr>
            <w:rStyle w:val="Hyperlink"/>
            <w:rFonts w:eastAsia="MS Mincho"/>
            <w:noProof/>
            <w:color w:val="auto"/>
            <w:lang w:val="fr-CH"/>
          </w:rPr>
          <w:t>expression</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_Toc22035924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7</w:t>
        </w:r>
        <w:r w:rsidR="006667E1" w:rsidRPr="00E454D1">
          <w:rPr>
            <w:noProof/>
            <w:webHidden/>
            <w:lang w:val="fr-CH"/>
          </w:rPr>
          <w:fldChar w:fldCharType="end"/>
        </w:r>
      </w:hyperlink>
    </w:p>
    <w:p w:rsidR="006667E1" w:rsidRPr="00E454D1" w:rsidRDefault="00E03680">
      <w:pPr>
        <w:pStyle w:val="TOC1"/>
        <w:rPr>
          <w:rFonts w:asciiTheme="minorHAnsi" w:eastAsiaTheme="minorEastAsia" w:hAnsiTheme="minorHAnsi" w:cstheme="minorBidi"/>
          <w:caps w:val="0"/>
          <w:noProof/>
          <w:sz w:val="22"/>
          <w:szCs w:val="22"/>
          <w:lang w:val="fr-CH"/>
        </w:rPr>
      </w:pPr>
      <w:hyperlink w:anchor="_Toc22035925" w:history="1">
        <w:r w:rsidR="006667E1" w:rsidRPr="00E454D1">
          <w:rPr>
            <w:rStyle w:val="Hyperlink"/>
            <w:noProof/>
            <w:color w:val="auto"/>
            <w:lang w:val="fr-CH"/>
          </w:rPr>
          <w:t>Nouvelles propositions de révision des documents TGP</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_Toc22035925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7</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26" w:history="1">
        <w:r w:rsidR="006667E1" w:rsidRPr="00E454D1">
          <w:rPr>
            <w:rStyle w:val="Hyperlink"/>
            <w:noProof/>
            <w:color w:val="auto"/>
            <w:lang w:val="fr-CH"/>
          </w:rPr>
          <w:t>TGP/7</w:t>
        </w:r>
        <w:r w:rsidR="00C77A34">
          <w:rPr>
            <w:rStyle w:val="Hyperlink"/>
            <w:noProof/>
            <w:color w:val="auto"/>
            <w:lang w:val="fr-CH"/>
          </w:rPr>
          <w:t>:</w:t>
        </w:r>
        <w:r w:rsidR="006667E1" w:rsidRPr="00E454D1">
          <w:rPr>
            <w:rStyle w:val="Hyperlink"/>
            <w:noProof/>
            <w:color w:val="auto"/>
            <w:lang w:val="fr-CH"/>
          </w:rPr>
          <w:t xml:space="preserve"> Élaboration des principes directeurs d</w:t>
        </w:r>
        <w:r w:rsidR="00E454D1">
          <w:rPr>
            <w:rStyle w:val="Hyperlink"/>
            <w:noProof/>
            <w:color w:val="auto"/>
            <w:lang w:val="fr-CH"/>
          </w:rPr>
          <w:t>’</w:t>
        </w:r>
        <w:r w:rsidR="006667E1" w:rsidRPr="00E454D1">
          <w:rPr>
            <w:rStyle w:val="Hyperlink"/>
            <w:noProof/>
            <w:color w:val="auto"/>
            <w:lang w:val="fr-CH"/>
          </w:rPr>
          <w:t>examen</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_Toc22035926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8</w:t>
        </w:r>
        <w:r w:rsidR="006667E1" w:rsidRPr="00E454D1">
          <w:rPr>
            <w:noProof/>
            <w:webHidden/>
            <w:lang w:val="fr-CH"/>
          </w:rPr>
          <w:fldChar w:fldCharType="end"/>
        </w:r>
      </w:hyperlink>
    </w:p>
    <w:p w:rsidR="006667E1" w:rsidRPr="00E454D1" w:rsidRDefault="00E03680">
      <w:pPr>
        <w:pStyle w:val="TOC3"/>
        <w:rPr>
          <w:rFonts w:asciiTheme="minorHAnsi" w:eastAsiaTheme="minorEastAsia" w:hAnsiTheme="minorHAnsi" w:cstheme="minorBidi"/>
          <w:i w:val="0"/>
          <w:noProof/>
          <w:sz w:val="22"/>
          <w:szCs w:val="22"/>
          <w:lang w:val="fr-CH"/>
        </w:rPr>
      </w:pPr>
      <w:hyperlink w:anchor="_Toc22035927" w:history="1">
        <w:r w:rsidR="006667E1" w:rsidRPr="00E454D1">
          <w:rPr>
            <w:rStyle w:val="Hyperlink"/>
            <w:rFonts w:eastAsia="MS Mincho"/>
            <w:noProof/>
            <w:color w:val="auto"/>
            <w:lang w:val="fr-CH"/>
          </w:rPr>
          <w:t>Procédure de révision partielle des principes directeurs d</w:t>
        </w:r>
        <w:r w:rsidR="00E454D1">
          <w:rPr>
            <w:rStyle w:val="Hyperlink"/>
            <w:rFonts w:eastAsia="MS Mincho"/>
            <w:noProof/>
            <w:color w:val="auto"/>
            <w:lang w:val="fr-CH"/>
          </w:rPr>
          <w:t>’</w:t>
        </w:r>
        <w:r w:rsidR="006667E1" w:rsidRPr="00E454D1">
          <w:rPr>
            <w:rStyle w:val="Hyperlink"/>
            <w:rFonts w:eastAsia="MS Mincho"/>
            <w:noProof/>
            <w:color w:val="auto"/>
            <w:lang w:val="fr-CH"/>
          </w:rPr>
          <w:t>examen de l</w:t>
        </w:r>
        <w:r w:rsidR="00E454D1">
          <w:rPr>
            <w:rStyle w:val="Hyperlink"/>
            <w:rFonts w:eastAsia="MS Mincho"/>
            <w:noProof/>
            <w:color w:val="auto"/>
            <w:lang w:val="fr-CH"/>
          </w:rPr>
          <w:t>’</w:t>
        </w:r>
        <w:r w:rsidR="006667E1" w:rsidRPr="00E454D1">
          <w:rPr>
            <w:rStyle w:val="Hyperlink"/>
            <w:rFonts w:eastAsia="MS Mincho"/>
            <w:noProof/>
            <w:color w:val="auto"/>
            <w:lang w:val="fr-CH"/>
          </w:rPr>
          <w:t>UPOV</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_Toc22035927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8</w:t>
        </w:r>
        <w:r w:rsidR="006667E1" w:rsidRPr="00E454D1">
          <w:rPr>
            <w:noProof/>
            <w:webHidden/>
            <w:lang w:val="fr-CH"/>
          </w:rPr>
          <w:fldChar w:fldCharType="end"/>
        </w:r>
      </w:hyperlink>
    </w:p>
    <w:p w:rsidR="006667E1" w:rsidRPr="00E454D1" w:rsidRDefault="00E03680">
      <w:pPr>
        <w:pStyle w:val="TOC4"/>
        <w:rPr>
          <w:rFonts w:asciiTheme="minorHAnsi" w:eastAsiaTheme="minorEastAsia" w:hAnsiTheme="minorHAnsi" w:cstheme="minorBidi"/>
          <w:i w:val="0"/>
          <w:noProof/>
          <w:sz w:val="22"/>
          <w:szCs w:val="22"/>
          <w:lang w:val="fr-CH"/>
        </w:rPr>
      </w:pPr>
      <w:hyperlink w:anchor="_Toc22035928" w:history="1">
        <w:r w:rsidR="006667E1" w:rsidRPr="00E454D1">
          <w:rPr>
            <w:rStyle w:val="Hyperlink"/>
            <w:noProof/>
            <w:color w:val="auto"/>
            <w:lang w:val="fr-CH"/>
          </w:rPr>
          <w:t>Observations formulées par le Groupe de travail technique sur les plantes fruitières</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_Toc22035928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8</w:t>
        </w:r>
        <w:r w:rsidR="006667E1" w:rsidRPr="00E454D1">
          <w:rPr>
            <w:noProof/>
            <w:webHidden/>
            <w:lang w:val="fr-CH"/>
          </w:rPr>
          <w:fldChar w:fldCharType="end"/>
        </w:r>
      </w:hyperlink>
    </w:p>
    <w:p w:rsidR="006667E1" w:rsidRPr="00E454D1" w:rsidRDefault="00E03680">
      <w:pPr>
        <w:pStyle w:val="TOC3"/>
        <w:rPr>
          <w:rFonts w:asciiTheme="minorHAnsi" w:eastAsiaTheme="minorEastAsia" w:hAnsiTheme="minorHAnsi" w:cstheme="minorBidi"/>
          <w:i w:val="0"/>
          <w:noProof/>
          <w:sz w:val="22"/>
          <w:szCs w:val="22"/>
          <w:lang w:val="fr-CH"/>
        </w:rPr>
      </w:pPr>
      <w:hyperlink w:anchor="_Toc22035929" w:history="1">
        <w:r w:rsidR="006667E1" w:rsidRPr="00E454D1">
          <w:rPr>
            <w:rStyle w:val="Hyperlink"/>
            <w:rFonts w:eastAsia="MS Mincho"/>
            <w:noProof/>
            <w:color w:val="auto"/>
            <w:lang w:val="fr-CH"/>
          </w:rPr>
          <w:t>Présentation de l</w:t>
        </w:r>
        <w:r w:rsidR="00E454D1">
          <w:rPr>
            <w:rStyle w:val="Hyperlink"/>
            <w:rFonts w:eastAsia="MS Mincho"/>
            <w:noProof/>
            <w:color w:val="auto"/>
            <w:lang w:val="fr-CH"/>
          </w:rPr>
          <w:t>’</w:t>
        </w:r>
        <w:r w:rsidR="006667E1" w:rsidRPr="00E454D1">
          <w:rPr>
            <w:rStyle w:val="Hyperlink"/>
            <w:rFonts w:eastAsia="MS Mincho"/>
            <w:noProof/>
            <w:color w:val="auto"/>
            <w:lang w:val="fr-CH"/>
          </w:rPr>
          <w:t>échelle complète des notes pour les caractères quantitatifs dans les principes directeurs d</w:t>
        </w:r>
        <w:r w:rsidR="00E454D1">
          <w:rPr>
            <w:rStyle w:val="Hyperlink"/>
            <w:rFonts w:eastAsia="MS Mincho"/>
            <w:noProof/>
            <w:color w:val="auto"/>
            <w:lang w:val="fr-CH"/>
          </w:rPr>
          <w:t>’</w:t>
        </w:r>
        <w:r w:rsidR="006667E1" w:rsidRPr="00E454D1">
          <w:rPr>
            <w:rStyle w:val="Hyperlink"/>
            <w:rFonts w:eastAsia="MS Mincho"/>
            <w:noProof/>
            <w:color w:val="auto"/>
            <w:lang w:val="fr-CH"/>
          </w:rPr>
          <w:t>examen</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_Toc22035929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9</w:t>
        </w:r>
        <w:r w:rsidR="006667E1" w:rsidRPr="00E454D1">
          <w:rPr>
            <w:noProof/>
            <w:webHidden/>
            <w:lang w:val="fr-CH"/>
          </w:rPr>
          <w:fldChar w:fldCharType="end"/>
        </w:r>
      </w:hyperlink>
    </w:p>
    <w:p w:rsidR="006667E1" w:rsidRPr="00E454D1" w:rsidRDefault="00E03680">
      <w:pPr>
        <w:pStyle w:val="TOC4"/>
        <w:rPr>
          <w:rFonts w:asciiTheme="minorHAnsi" w:eastAsiaTheme="minorEastAsia" w:hAnsiTheme="minorHAnsi" w:cstheme="minorBidi"/>
          <w:i w:val="0"/>
          <w:noProof/>
          <w:sz w:val="22"/>
          <w:szCs w:val="22"/>
          <w:lang w:val="fr-CH"/>
        </w:rPr>
      </w:pPr>
      <w:hyperlink w:anchor="_Toc22035930" w:history="1">
        <w:r w:rsidR="006667E1" w:rsidRPr="00E454D1">
          <w:rPr>
            <w:rStyle w:val="Hyperlink"/>
            <w:rFonts w:eastAsia="Arial"/>
            <w:noProof/>
            <w:color w:val="auto"/>
            <w:lang w:val="fr-CH"/>
          </w:rPr>
          <w:t>Observations formulées par</w:t>
        </w:r>
        <w:r w:rsidR="002F2D47" w:rsidRPr="00E454D1">
          <w:rPr>
            <w:rStyle w:val="Hyperlink"/>
            <w:rFonts w:eastAsia="Arial"/>
            <w:noProof/>
            <w:color w:val="auto"/>
            <w:lang w:val="fr-CH"/>
          </w:rPr>
          <w:t xml:space="preserve"> les TWP</w:t>
        </w:r>
        <w:r w:rsidR="006667E1" w:rsidRPr="00E454D1">
          <w:rPr>
            <w:rStyle w:val="Hyperlink"/>
            <w:rFonts w:eastAsia="Arial"/>
            <w:noProof/>
            <w:color w:val="auto"/>
            <w:lang w:val="fr-CH"/>
          </w:rPr>
          <w:t xml:space="preserve"> à leurs sessions </w:t>
        </w:r>
        <w:r w:rsidR="002F2D47" w:rsidRPr="00E454D1">
          <w:rPr>
            <w:rStyle w:val="Hyperlink"/>
            <w:rFonts w:eastAsia="Arial"/>
            <w:noProof/>
            <w:color w:val="auto"/>
            <w:lang w:val="fr-CH"/>
          </w:rPr>
          <w:t>de 2019</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_Toc22035930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9</w:t>
        </w:r>
        <w:r w:rsidR="006667E1" w:rsidRPr="00E454D1">
          <w:rPr>
            <w:noProof/>
            <w:webHidden/>
            <w:lang w:val="fr-CH"/>
          </w:rPr>
          <w:fldChar w:fldCharType="end"/>
        </w:r>
      </w:hyperlink>
    </w:p>
    <w:p w:rsidR="006667E1" w:rsidRPr="00E454D1" w:rsidRDefault="00E03680">
      <w:pPr>
        <w:pStyle w:val="TOC2"/>
        <w:rPr>
          <w:rFonts w:asciiTheme="minorHAnsi" w:eastAsiaTheme="minorEastAsia" w:hAnsiTheme="minorHAnsi" w:cstheme="minorBidi"/>
          <w:noProof/>
          <w:sz w:val="22"/>
          <w:szCs w:val="22"/>
          <w:lang w:val="fr-CH"/>
        </w:rPr>
      </w:pPr>
      <w:hyperlink w:anchor="_Toc22035931" w:history="1">
        <w:r w:rsidR="006667E1" w:rsidRPr="00E454D1">
          <w:rPr>
            <w:rStyle w:val="Hyperlink"/>
            <w:noProof/>
            <w:snapToGrid w:val="0"/>
            <w:color w:val="auto"/>
            <w:lang w:val="fr-CH"/>
          </w:rPr>
          <w:t>TGP/12</w:t>
        </w:r>
        <w:r w:rsidR="00C77A34">
          <w:rPr>
            <w:rStyle w:val="Hyperlink"/>
            <w:noProof/>
            <w:snapToGrid w:val="0"/>
            <w:color w:val="auto"/>
            <w:lang w:val="fr-CH"/>
          </w:rPr>
          <w:t>:</w:t>
        </w:r>
        <w:r w:rsidR="006667E1" w:rsidRPr="00E454D1">
          <w:rPr>
            <w:rStyle w:val="Hyperlink"/>
            <w:noProof/>
            <w:snapToGrid w:val="0"/>
            <w:color w:val="auto"/>
            <w:lang w:val="fr-CH"/>
          </w:rPr>
          <w:t xml:space="preserve"> Conseils en ce qui concerne certains caractères physiologiques</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_Toc22035931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10</w:t>
        </w:r>
        <w:r w:rsidR="006667E1" w:rsidRPr="00E454D1">
          <w:rPr>
            <w:noProof/>
            <w:webHidden/>
            <w:lang w:val="fr-CH"/>
          </w:rPr>
          <w:fldChar w:fldCharType="end"/>
        </w:r>
      </w:hyperlink>
    </w:p>
    <w:p w:rsidR="006667E1" w:rsidRPr="00E454D1" w:rsidRDefault="00E03680">
      <w:pPr>
        <w:pStyle w:val="TOC3"/>
        <w:rPr>
          <w:rFonts w:asciiTheme="minorHAnsi" w:eastAsiaTheme="minorEastAsia" w:hAnsiTheme="minorHAnsi" w:cstheme="minorBidi"/>
          <w:i w:val="0"/>
          <w:noProof/>
          <w:sz w:val="22"/>
          <w:szCs w:val="22"/>
          <w:lang w:val="fr-CH"/>
        </w:rPr>
      </w:pPr>
      <w:hyperlink w:anchor="_Toc22035932" w:history="1">
        <w:r w:rsidR="006667E1" w:rsidRPr="00E454D1">
          <w:rPr>
            <w:rStyle w:val="Hyperlink"/>
            <w:rFonts w:eastAsia="MS Mincho"/>
            <w:noProof/>
            <w:color w:val="auto"/>
            <w:lang w:val="fr-CH"/>
          </w:rPr>
          <w:t>Explications sur les caractères de résistance aux maladies</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_Toc22035932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10</w:t>
        </w:r>
        <w:r w:rsidR="006667E1" w:rsidRPr="00E454D1">
          <w:rPr>
            <w:noProof/>
            <w:webHidden/>
            <w:lang w:val="fr-CH"/>
          </w:rPr>
          <w:fldChar w:fldCharType="end"/>
        </w:r>
      </w:hyperlink>
    </w:p>
    <w:p w:rsidR="006667E1" w:rsidRPr="00E454D1" w:rsidRDefault="00E03680">
      <w:pPr>
        <w:pStyle w:val="TOC4"/>
        <w:rPr>
          <w:rFonts w:asciiTheme="minorHAnsi" w:eastAsiaTheme="minorEastAsia" w:hAnsiTheme="minorHAnsi" w:cstheme="minorBidi"/>
          <w:i w:val="0"/>
          <w:noProof/>
          <w:sz w:val="22"/>
          <w:szCs w:val="22"/>
          <w:lang w:val="fr-CH"/>
        </w:rPr>
      </w:pPr>
      <w:hyperlink w:anchor="_Toc22035933" w:history="1">
        <w:r w:rsidR="006667E1" w:rsidRPr="00E454D1">
          <w:rPr>
            <w:rStyle w:val="Hyperlink"/>
            <w:noProof/>
            <w:color w:val="auto"/>
            <w:lang w:val="fr-CH"/>
          </w:rPr>
          <w:t>Examen par le groupe de travail technique sur les plantes potagères</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_Toc22035933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10</w:t>
        </w:r>
        <w:r w:rsidR="006667E1" w:rsidRPr="00E454D1">
          <w:rPr>
            <w:noProof/>
            <w:webHidden/>
            <w:lang w:val="fr-CH"/>
          </w:rPr>
          <w:fldChar w:fldCharType="end"/>
        </w:r>
      </w:hyperlink>
    </w:p>
    <w:p w:rsidR="006667E1" w:rsidRPr="00E454D1" w:rsidRDefault="00E03680">
      <w:pPr>
        <w:pStyle w:val="TOC1"/>
        <w:rPr>
          <w:rFonts w:asciiTheme="minorHAnsi" w:eastAsiaTheme="minorEastAsia" w:hAnsiTheme="minorHAnsi" w:cstheme="minorBidi"/>
          <w:caps w:val="0"/>
          <w:noProof/>
          <w:sz w:val="22"/>
          <w:szCs w:val="22"/>
          <w:lang w:val="fr-CH"/>
        </w:rPr>
      </w:pPr>
      <w:hyperlink w:anchor="_Toc22035934" w:history="1">
        <w:r w:rsidR="006667E1" w:rsidRPr="00E454D1">
          <w:rPr>
            <w:rStyle w:val="Hyperlink"/>
            <w:noProof/>
            <w:color w:val="auto"/>
            <w:lang w:val="fr-CH"/>
          </w:rPr>
          <w:t>Programme d</w:t>
        </w:r>
        <w:r w:rsidR="00E454D1">
          <w:rPr>
            <w:rStyle w:val="Hyperlink"/>
            <w:noProof/>
            <w:color w:val="auto"/>
            <w:lang w:val="fr-CH"/>
          </w:rPr>
          <w:t>’</w:t>
        </w:r>
        <w:r w:rsidR="006667E1" w:rsidRPr="00E454D1">
          <w:rPr>
            <w:rStyle w:val="Hyperlink"/>
            <w:noProof/>
            <w:color w:val="auto"/>
            <w:lang w:val="fr-CH"/>
          </w:rPr>
          <w:t>élaboration des documents TGP</w:t>
        </w:r>
        <w:r w:rsidR="006667E1" w:rsidRPr="00E454D1">
          <w:rPr>
            <w:noProof/>
            <w:webHidden/>
            <w:lang w:val="fr-CH"/>
          </w:rPr>
          <w:tab/>
        </w:r>
        <w:r w:rsidR="006667E1" w:rsidRPr="00E454D1">
          <w:rPr>
            <w:noProof/>
            <w:webHidden/>
            <w:lang w:val="fr-CH"/>
          </w:rPr>
          <w:fldChar w:fldCharType="begin"/>
        </w:r>
        <w:r w:rsidR="006667E1" w:rsidRPr="00E454D1">
          <w:rPr>
            <w:noProof/>
            <w:webHidden/>
            <w:lang w:val="fr-CH"/>
          </w:rPr>
          <w:instrText xml:space="preserve"> PAGEREF _Toc22035934 \h </w:instrText>
        </w:r>
        <w:r w:rsidR="006667E1" w:rsidRPr="00E454D1">
          <w:rPr>
            <w:noProof/>
            <w:webHidden/>
            <w:lang w:val="fr-CH"/>
          </w:rPr>
        </w:r>
        <w:r w:rsidR="006667E1" w:rsidRPr="00E454D1">
          <w:rPr>
            <w:noProof/>
            <w:webHidden/>
            <w:lang w:val="fr-CH"/>
          </w:rPr>
          <w:fldChar w:fldCharType="separate"/>
        </w:r>
        <w:r w:rsidR="006667E1" w:rsidRPr="00E454D1">
          <w:rPr>
            <w:noProof/>
            <w:webHidden/>
            <w:lang w:val="fr-CH"/>
          </w:rPr>
          <w:t>11</w:t>
        </w:r>
        <w:r w:rsidR="006667E1" w:rsidRPr="00E454D1">
          <w:rPr>
            <w:noProof/>
            <w:webHidden/>
            <w:lang w:val="fr-CH"/>
          </w:rPr>
          <w:fldChar w:fldCharType="end"/>
        </w:r>
      </w:hyperlink>
    </w:p>
    <w:p w:rsidR="00D75FE9" w:rsidRPr="00E454D1" w:rsidRDefault="009956BC" w:rsidP="009956BC">
      <w:pPr>
        <w:rPr>
          <w:noProof/>
          <w:snapToGrid w:val="0"/>
          <w:lang w:val="fr-CH"/>
        </w:rPr>
      </w:pPr>
      <w:r w:rsidRPr="00E454D1">
        <w:rPr>
          <w:noProof/>
          <w:snapToGrid w:val="0"/>
          <w:highlight w:val="cyan"/>
          <w:lang w:val="fr-CH"/>
        </w:rPr>
        <w:fldChar w:fldCharType="end"/>
      </w:r>
    </w:p>
    <w:p w:rsidR="002F2D47" w:rsidRPr="00E454D1" w:rsidRDefault="002F27A3" w:rsidP="002F27A3">
      <w:pPr>
        <w:rPr>
          <w:sz w:val="18"/>
          <w:lang w:val="fr-CH"/>
        </w:rPr>
      </w:pPr>
      <w:r w:rsidRPr="00E454D1">
        <w:rPr>
          <w:sz w:val="18"/>
          <w:lang w:val="fr-CH"/>
        </w:rPr>
        <w:t>ANNEXE I</w:t>
      </w:r>
      <w:r w:rsidR="00E454D1">
        <w:rPr>
          <w:sz w:val="18"/>
          <w:lang w:val="fr-CH"/>
        </w:rPr>
        <w:t> :</w:t>
      </w:r>
      <w:r w:rsidR="00124C91" w:rsidRPr="00E454D1">
        <w:rPr>
          <w:sz w:val="18"/>
          <w:lang w:val="fr-CH"/>
        </w:rPr>
        <w:t xml:space="preserve"> </w:t>
      </w:r>
      <w:r w:rsidRPr="00E454D1">
        <w:rPr>
          <w:sz w:val="18"/>
          <w:lang w:val="fr-CH"/>
        </w:rPr>
        <w:tab/>
        <w:t xml:space="preserve">Questions pour adoption par le Conseil </w:t>
      </w:r>
      <w:r w:rsidR="002F2D47" w:rsidRPr="00E454D1">
        <w:rPr>
          <w:sz w:val="18"/>
          <w:lang w:val="fr-CH"/>
        </w:rPr>
        <w:t>en 2019</w:t>
      </w:r>
      <w:r w:rsidR="00E454D1">
        <w:rPr>
          <w:sz w:val="18"/>
          <w:lang w:val="fr-CH"/>
        </w:rPr>
        <w:t> :</w:t>
      </w:r>
      <w:r w:rsidRPr="00E454D1">
        <w:rPr>
          <w:sz w:val="18"/>
          <w:lang w:val="fr-CH"/>
        </w:rPr>
        <w:t xml:space="preserve"> Révisions du </w:t>
      </w:r>
      <w:r w:rsidR="002F2D47" w:rsidRPr="00E454D1">
        <w:rPr>
          <w:sz w:val="18"/>
          <w:lang w:val="fr-CH"/>
        </w:rPr>
        <w:t>document TG</w:t>
      </w:r>
      <w:r w:rsidRPr="00E454D1">
        <w:rPr>
          <w:sz w:val="18"/>
          <w:lang w:val="fr-CH"/>
        </w:rPr>
        <w:t>P/7</w:t>
      </w:r>
    </w:p>
    <w:p w:rsidR="00D75FE9" w:rsidRPr="00E454D1" w:rsidRDefault="002F27A3" w:rsidP="002F27A3">
      <w:pPr>
        <w:rPr>
          <w:sz w:val="18"/>
          <w:lang w:val="fr-CH"/>
        </w:rPr>
      </w:pPr>
      <w:r w:rsidRPr="00E454D1">
        <w:rPr>
          <w:sz w:val="18"/>
          <w:lang w:val="fr-CH"/>
        </w:rPr>
        <w:t>ANNEXE II</w:t>
      </w:r>
      <w:r w:rsidR="00E454D1">
        <w:rPr>
          <w:sz w:val="18"/>
          <w:lang w:val="fr-CH"/>
        </w:rPr>
        <w:t> :</w:t>
      </w:r>
      <w:r w:rsidR="00124C91" w:rsidRPr="00E454D1">
        <w:rPr>
          <w:sz w:val="18"/>
          <w:lang w:val="fr-CH"/>
        </w:rPr>
        <w:t xml:space="preserve"> </w:t>
      </w:r>
      <w:r w:rsidRPr="00E454D1">
        <w:rPr>
          <w:sz w:val="18"/>
          <w:lang w:val="fr-CH"/>
        </w:rPr>
        <w:tab/>
        <w:t xml:space="preserve">Questions pour adoption par le Conseil </w:t>
      </w:r>
      <w:r w:rsidR="002F2D47" w:rsidRPr="00E454D1">
        <w:rPr>
          <w:sz w:val="18"/>
          <w:lang w:val="fr-CH"/>
        </w:rPr>
        <w:t>en 2019</w:t>
      </w:r>
      <w:r w:rsidR="00E454D1">
        <w:rPr>
          <w:sz w:val="18"/>
          <w:lang w:val="fr-CH"/>
        </w:rPr>
        <w:t> :</w:t>
      </w:r>
      <w:r w:rsidRPr="00E454D1">
        <w:rPr>
          <w:sz w:val="18"/>
          <w:lang w:val="fr-CH"/>
        </w:rPr>
        <w:t xml:space="preserve"> Nouvelle section à ajouter au </w:t>
      </w:r>
      <w:r w:rsidR="002F2D47" w:rsidRPr="00E454D1">
        <w:rPr>
          <w:sz w:val="18"/>
          <w:lang w:val="fr-CH"/>
        </w:rPr>
        <w:t>document TG</w:t>
      </w:r>
      <w:r w:rsidRPr="00E454D1">
        <w:rPr>
          <w:sz w:val="18"/>
          <w:lang w:val="fr-CH"/>
        </w:rPr>
        <w:t>P/8</w:t>
      </w:r>
    </w:p>
    <w:p w:rsidR="00D75FE9" w:rsidRPr="00E454D1" w:rsidRDefault="002F27A3" w:rsidP="002F27A3">
      <w:pPr>
        <w:rPr>
          <w:sz w:val="18"/>
          <w:lang w:val="fr-CH"/>
        </w:rPr>
      </w:pPr>
      <w:bookmarkStart w:id="4" w:name="_Toc386185971"/>
      <w:bookmarkStart w:id="5" w:name="_Toc419124859"/>
      <w:r w:rsidRPr="00E454D1">
        <w:rPr>
          <w:sz w:val="18"/>
          <w:lang w:val="fr-CH"/>
        </w:rPr>
        <w:t>ANNEXE III</w:t>
      </w:r>
      <w:r w:rsidR="00E454D1">
        <w:rPr>
          <w:sz w:val="18"/>
          <w:lang w:val="fr-CH"/>
        </w:rPr>
        <w:t> :</w:t>
      </w:r>
      <w:r w:rsidR="00124C91" w:rsidRPr="00E454D1">
        <w:rPr>
          <w:sz w:val="18"/>
          <w:lang w:val="fr-CH"/>
        </w:rPr>
        <w:t xml:space="preserve"> </w:t>
      </w:r>
      <w:r w:rsidRPr="00E454D1">
        <w:rPr>
          <w:sz w:val="18"/>
          <w:lang w:val="fr-CH"/>
        </w:rPr>
        <w:tab/>
        <w:t xml:space="preserve">Questions pour adoption par le Conseil </w:t>
      </w:r>
      <w:r w:rsidR="002F2D47" w:rsidRPr="00E454D1">
        <w:rPr>
          <w:sz w:val="18"/>
          <w:lang w:val="fr-CH"/>
        </w:rPr>
        <w:t>en 2019</w:t>
      </w:r>
      <w:r w:rsidR="00E454D1">
        <w:rPr>
          <w:sz w:val="18"/>
          <w:lang w:val="fr-CH"/>
        </w:rPr>
        <w:t> :</w:t>
      </w:r>
      <w:r w:rsidRPr="00E454D1">
        <w:rPr>
          <w:sz w:val="18"/>
          <w:lang w:val="fr-CH"/>
        </w:rPr>
        <w:t xml:space="preserve"> Nouvelle</w:t>
      </w:r>
      <w:r w:rsidR="00645E4E" w:rsidRPr="00E454D1">
        <w:rPr>
          <w:sz w:val="18"/>
          <w:lang w:val="fr-CH"/>
        </w:rPr>
        <w:t>s</w:t>
      </w:r>
      <w:r w:rsidRPr="00E454D1">
        <w:rPr>
          <w:sz w:val="18"/>
          <w:lang w:val="fr-CH"/>
        </w:rPr>
        <w:t xml:space="preserve"> section</w:t>
      </w:r>
      <w:r w:rsidR="00645E4E" w:rsidRPr="00E454D1">
        <w:rPr>
          <w:sz w:val="18"/>
          <w:lang w:val="fr-CH"/>
        </w:rPr>
        <w:t>s</w:t>
      </w:r>
      <w:r w:rsidRPr="00E454D1">
        <w:rPr>
          <w:sz w:val="18"/>
          <w:lang w:val="fr-CH"/>
        </w:rPr>
        <w:t xml:space="preserve"> à ajouter au </w:t>
      </w:r>
      <w:r w:rsidR="002F2D47" w:rsidRPr="00E454D1">
        <w:rPr>
          <w:sz w:val="18"/>
          <w:lang w:val="fr-CH"/>
        </w:rPr>
        <w:t>document TG</w:t>
      </w:r>
      <w:r w:rsidRPr="00E454D1">
        <w:rPr>
          <w:sz w:val="18"/>
          <w:lang w:val="fr-CH"/>
        </w:rPr>
        <w:t>P/10</w:t>
      </w:r>
    </w:p>
    <w:p w:rsidR="00D75FE9" w:rsidRPr="00E454D1" w:rsidRDefault="002F27A3" w:rsidP="002F27A3">
      <w:pPr>
        <w:ind w:left="1134" w:hanging="1134"/>
        <w:rPr>
          <w:sz w:val="18"/>
          <w:lang w:val="fr-CH"/>
        </w:rPr>
      </w:pPr>
      <w:r w:rsidRPr="00E454D1">
        <w:rPr>
          <w:sz w:val="18"/>
          <w:lang w:val="fr-CH"/>
        </w:rPr>
        <w:t>ANNEXE IV</w:t>
      </w:r>
      <w:r w:rsidR="00E454D1">
        <w:rPr>
          <w:sz w:val="18"/>
          <w:lang w:val="fr-CH"/>
        </w:rPr>
        <w:t> :</w:t>
      </w:r>
      <w:r w:rsidR="00124C91" w:rsidRPr="00E454D1">
        <w:rPr>
          <w:sz w:val="18"/>
          <w:lang w:val="fr-CH"/>
        </w:rPr>
        <w:t xml:space="preserve"> </w:t>
      </w:r>
      <w:r w:rsidRPr="00E454D1">
        <w:rPr>
          <w:sz w:val="18"/>
          <w:lang w:val="fr-CH"/>
        </w:rPr>
        <w:tab/>
        <w:t xml:space="preserve">Questions pour adoption par le Conseil </w:t>
      </w:r>
      <w:r w:rsidR="002F2D47" w:rsidRPr="00E454D1">
        <w:rPr>
          <w:sz w:val="18"/>
          <w:lang w:val="fr-CH"/>
        </w:rPr>
        <w:t>en 2019</w:t>
      </w:r>
      <w:r w:rsidR="00E454D1">
        <w:rPr>
          <w:sz w:val="18"/>
          <w:lang w:val="fr-CH"/>
        </w:rPr>
        <w:t> :</w:t>
      </w:r>
      <w:r w:rsidRPr="00E454D1">
        <w:rPr>
          <w:sz w:val="18"/>
          <w:lang w:val="fr-CH"/>
        </w:rPr>
        <w:t xml:space="preserve"> Révisions du </w:t>
      </w:r>
      <w:r w:rsidR="002F2D47" w:rsidRPr="00E454D1">
        <w:rPr>
          <w:sz w:val="18"/>
          <w:lang w:val="fr-CH"/>
        </w:rPr>
        <w:t>document TG</w:t>
      </w:r>
      <w:r w:rsidRPr="00E454D1">
        <w:rPr>
          <w:sz w:val="18"/>
          <w:lang w:val="fr-CH"/>
        </w:rPr>
        <w:t>P/14</w:t>
      </w:r>
    </w:p>
    <w:p w:rsidR="00D75FE9" w:rsidRPr="00E454D1" w:rsidRDefault="002F27A3" w:rsidP="002F27A3">
      <w:pPr>
        <w:ind w:left="1134" w:hanging="1134"/>
        <w:rPr>
          <w:sz w:val="18"/>
          <w:lang w:val="fr-CH"/>
        </w:rPr>
      </w:pPr>
      <w:r w:rsidRPr="00E454D1">
        <w:rPr>
          <w:sz w:val="18"/>
          <w:lang w:val="fr-CH"/>
        </w:rPr>
        <w:t>ANNEXE V</w:t>
      </w:r>
      <w:r w:rsidR="00E454D1">
        <w:rPr>
          <w:sz w:val="18"/>
          <w:lang w:val="fr-CH"/>
        </w:rPr>
        <w:t> :</w:t>
      </w:r>
      <w:r w:rsidR="00124C91" w:rsidRPr="00E454D1">
        <w:rPr>
          <w:sz w:val="18"/>
          <w:lang w:val="fr-CH"/>
        </w:rPr>
        <w:t xml:space="preserve"> </w:t>
      </w:r>
      <w:r w:rsidRPr="00E454D1">
        <w:rPr>
          <w:sz w:val="18"/>
          <w:lang w:val="fr-CH"/>
        </w:rPr>
        <w:tab/>
        <w:t xml:space="preserve">Questions pour adoption par le Conseil </w:t>
      </w:r>
      <w:r w:rsidR="002F2D47" w:rsidRPr="00E454D1">
        <w:rPr>
          <w:sz w:val="18"/>
          <w:lang w:val="fr-CH"/>
        </w:rPr>
        <w:t>en 2019</w:t>
      </w:r>
      <w:r w:rsidR="00E454D1">
        <w:rPr>
          <w:sz w:val="18"/>
          <w:lang w:val="fr-CH"/>
        </w:rPr>
        <w:t> :</w:t>
      </w:r>
      <w:r w:rsidRPr="00E454D1">
        <w:rPr>
          <w:sz w:val="18"/>
          <w:lang w:val="fr-CH"/>
        </w:rPr>
        <w:t xml:space="preserve"> Nouveau modèle à ajouter au </w:t>
      </w:r>
      <w:r w:rsidR="002F2D47" w:rsidRPr="00E454D1">
        <w:rPr>
          <w:sz w:val="18"/>
          <w:lang w:val="fr-CH"/>
        </w:rPr>
        <w:t>document TG</w:t>
      </w:r>
      <w:r w:rsidRPr="00E454D1">
        <w:rPr>
          <w:sz w:val="18"/>
          <w:lang w:val="fr-CH"/>
        </w:rPr>
        <w:t>P/15</w:t>
      </w:r>
    </w:p>
    <w:p w:rsidR="002F2D47" w:rsidRPr="00E454D1" w:rsidRDefault="002F27A3" w:rsidP="002F27A3">
      <w:pPr>
        <w:ind w:left="1134" w:hanging="1134"/>
        <w:rPr>
          <w:sz w:val="18"/>
          <w:lang w:val="fr-CH"/>
        </w:rPr>
      </w:pPr>
      <w:r w:rsidRPr="00E454D1">
        <w:rPr>
          <w:sz w:val="18"/>
          <w:lang w:val="fr-CH"/>
        </w:rPr>
        <w:t>ANNEXE </w:t>
      </w:r>
      <w:r w:rsidR="006667E1" w:rsidRPr="00E454D1">
        <w:rPr>
          <w:sz w:val="18"/>
          <w:lang w:val="fr-CH"/>
        </w:rPr>
        <w:t>VI</w:t>
      </w:r>
      <w:r w:rsidR="00E454D1">
        <w:rPr>
          <w:sz w:val="18"/>
          <w:lang w:val="fr-CH"/>
        </w:rPr>
        <w:t> :</w:t>
      </w:r>
      <w:r w:rsidR="00124C91" w:rsidRPr="00E454D1">
        <w:rPr>
          <w:sz w:val="18"/>
          <w:lang w:val="fr-CH"/>
        </w:rPr>
        <w:t xml:space="preserve"> </w:t>
      </w:r>
      <w:r w:rsidR="006667E1" w:rsidRPr="00E454D1">
        <w:rPr>
          <w:sz w:val="18"/>
          <w:lang w:val="fr-CH"/>
        </w:rPr>
        <w:tab/>
      </w:r>
      <w:r w:rsidRPr="00E454D1">
        <w:rPr>
          <w:sz w:val="18"/>
          <w:lang w:val="fr-CH"/>
        </w:rPr>
        <w:t>Programme d</w:t>
      </w:r>
      <w:r w:rsidR="00E454D1">
        <w:rPr>
          <w:sz w:val="18"/>
          <w:lang w:val="fr-CH"/>
        </w:rPr>
        <w:t>’</w:t>
      </w:r>
      <w:r w:rsidRPr="00E454D1">
        <w:rPr>
          <w:sz w:val="18"/>
          <w:lang w:val="fr-CH"/>
        </w:rPr>
        <w:t>élaboration des documents TGP</w:t>
      </w:r>
    </w:p>
    <w:p w:rsidR="00D75FE9" w:rsidRPr="00E454D1" w:rsidRDefault="00D75FE9" w:rsidP="009956BC">
      <w:pPr>
        <w:ind w:left="1134" w:hanging="1134"/>
        <w:rPr>
          <w:sz w:val="18"/>
          <w:lang w:val="fr-CH"/>
        </w:rPr>
      </w:pPr>
    </w:p>
    <w:p w:rsidR="00D75FE9" w:rsidRPr="00E454D1" w:rsidRDefault="009956BC" w:rsidP="00930086">
      <w:pPr>
        <w:rPr>
          <w:rFonts w:cs="Arial"/>
          <w:lang w:val="fr-CH"/>
        </w:rPr>
      </w:pPr>
      <w:r w:rsidRPr="00E454D1">
        <w:rPr>
          <w:rFonts w:cs="Arial"/>
          <w:lang w:val="fr-CH"/>
        </w:rPr>
        <w:fldChar w:fldCharType="begin"/>
      </w:r>
      <w:r w:rsidRPr="00E454D1">
        <w:rPr>
          <w:rFonts w:cs="Arial"/>
          <w:lang w:val="fr-CH"/>
        </w:rPr>
        <w:instrText xml:space="preserve"> AUTONUM  </w:instrText>
      </w:r>
      <w:r w:rsidRPr="00E454D1">
        <w:rPr>
          <w:rFonts w:cs="Arial"/>
          <w:lang w:val="fr-CH"/>
        </w:rPr>
        <w:fldChar w:fldCharType="end"/>
      </w:r>
      <w:r w:rsidRPr="00E454D1">
        <w:rPr>
          <w:rFonts w:cs="Arial"/>
          <w:lang w:val="fr-CH"/>
        </w:rPr>
        <w:tab/>
      </w:r>
      <w:r w:rsidR="00930086" w:rsidRPr="00E454D1">
        <w:rPr>
          <w:rFonts w:cs="Arial"/>
          <w:lang w:val="fr-CH"/>
        </w:rPr>
        <w:t>Les abréviations suivantes sont utilisées dans le présent document</w:t>
      </w:r>
      <w:r w:rsidR="00E454D1">
        <w:rPr>
          <w:rFonts w:cs="Arial"/>
          <w:lang w:val="fr-CH"/>
        </w:rPr>
        <w:t> :</w:t>
      </w:r>
    </w:p>
    <w:p w:rsidR="00D75FE9" w:rsidRPr="00E454D1" w:rsidRDefault="00D75FE9" w:rsidP="009956BC">
      <w:pPr>
        <w:ind w:left="1701" w:hanging="1134"/>
        <w:rPr>
          <w:rFonts w:cs="Arial"/>
          <w:lang w:val="fr-CH"/>
        </w:rPr>
      </w:pPr>
    </w:p>
    <w:p w:rsidR="00D75FE9" w:rsidRPr="00E454D1" w:rsidRDefault="00930086" w:rsidP="00930086">
      <w:pPr>
        <w:ind w:left="1701" w:hanging="1134"/>
        <w:rPr>
          <w:rFonts w:cs="Arial"/>
          <w:lang w:val="fr-CH"/>
        </w:rPr>
      </w:pPr>
      <w:r w:rsidRPr="00E454D1">
        <w:rPr>
          <w:rFonts w:cs="Arial"/>
          <w:lang w:val="fr-CH"/>
        </w:rPr>
        <w:t>BMT</w:t>
      </w:r>
      <w:r w:rsidR="00E454D1">
        <w:rPr>
          <w:rFonts w:cs="Arial"/>
          <w:lang w:val="fr-CH"/>
        </w:rPr>
        <w:t> :</w:t>
      </w:r>
      <w:r w:rsidRPr="00E454D1">
        <w:rPr>
          <w:rFonts w:cs="Arial"/>
          <w:lang w:val="fr-CH"/>
        </w:rPr>
        <w:t xml:space="preserve"> </w:t>
      </w:r>
      <w:r w:rsidRPr="00E454D1">
        <w:rPr>
          <w:rFonts w:cs="Arial"/>
          <w:lang w:val="fr-CH"/>
        </w:rPr>
        <w:tab/>
        <w:t>Groupe de travail sur les techniques biochimiques et moléculaires, notamment les profils d</w:t>
      </w:r>
      <w:r w:rsidR="00E454D1">
        <w:rPr>
          <w:rFonts w:cs="Arial"/>
          <w:lang w:val="fr-CH"/>
        </w:rPr>
        <w:t>’</w:t>
      </w:r>
      <w:r w:rsidRPr="00E454D1">
        <w:rPr>
          <w:rFonts w:cs="Arial"/>
          <w:lang w:val="fr-CH"/>
        </w:rPr>
        <w:t>ADN</w:t>
      </w:r>
    </w:p>
    <w:p w:rsidR="00D75FE9" w:rsidRPr="00E454D1" w:rsidRDefault="00930086" w:rsidP="00930086">
      <w:pPr>
        <w:ind w:left="1701" w:hanging="1134"/>
        <w:rPr>
          <w:rFonts w:cs="Arial"/>
          <w:lang w:val="fr-CH"/>
        </w:rPr>
      </w:pPr>
      <w:r w:rsidRPr="00E454D1">
        <w:rPr>
          <w:rFonts w:cs="Arial"/>
          <w:lang w:val="fr-CH"/>
        </w:rPr>
        <w:t>TC</w:t>
      </w:r>
      <w:r w:rsidR="00E454D1">
        <w:rPr>
          <w:rFonts w:cs="Arial"/>
          <w:lang w:val="fr-CH"/>
        </w:rPr>
        <w:t> :</w:t>
      </w:r>
      <w:r w:rsidR="00124C91" w:rsidRPr="00E454D1">
        <w:rPr>
          <w:rFonts w:cs="Arial"/>
          <w:lang w:val="fr-CH"/>
        </w:rPr>
        <w:t xml:space="preserve"> </w:t>
      </w:r>
      <w:r w:rsidRPr="00E454D1">
        <w:rPr>
          <w:rFonts w:cs="Arial"/>
          <w:lang w:val="fr-CH"/>
        </w:rPr>
        <w:tab/>
        <w:t>Comité technique</w:t>
      </w:r>
    </w:p>
    <w:p w:rsidR="00D75FE9" w:rsidRPr="00E454D1" w:rsidRDefault="00930086" w:rsidP="00930086">
      <w:pPr>
        <w:ind w:left="1701" w:hanging="1134"/>
        <w:rPr>
          <w:rFonts w:cs="Arial"/>
          <w:lang w:val="fr-CH"/>
        </w:rPr>
      </w:pPr>
      <w:r w:rsidRPr="00E454D1">
        <w:rPr>
          <w:rFonts w:cs="Arial"/>
          <w:lang w:val="fr-CH"/>
        </w:rPr>
        <w:t>TC</w:t>
      </w:r>
      <w:r w:rsidR="00E454D1">
        <w:rPr>
          <w:rFonts w:cs="Arial"/>
          <w:lang w:val="fr-CH"/>
        </w:rPr>
        <w:t>-</w:t>
      </w:r>
      <w:r w:rsidRPr="00E454D1">
        <w:rPr>
          <w:rFonts w:cs="Arial"/>
          <w:lang w:val="fr-CH"/>
        </w:rPr>
        <w:t>EDC</w:t>
      </w:r>
      <w:r w:rsidR="00E454D1">
        <w:rPr>
          <w:rFonts w:cs="Arial"/>
          <w:lang w:val="fr-CH"/>
        </w:rPr>
        <w:t> :</w:t>
      </w:r>
      <w:r w:rsidR="00124C91" w:rsidRPr="00E454D1">
        <w:rPr>
          <w:rFonts w:cs="Arial"/>
          <w:lang w:val="fr-CH"/>
        </w:rPr>
        <w:t xml:space="preserve"> </w:t>
      </w:r>
      <w:r w:rsidRPr="00E454D1">
        <w:rPr>
          <w:rFonts w:cs="Arial"/>
          <w:lang w:val="fr-CH"/>
        </w:rPr>
        <w:tab/>
        <w:t>Comité de rédaction élargi</w:t>
      </w:r>
    </w:p>
    <w:p w:rsidR="00D75FE9" w:rsidRPr="00E454D1" w:rsidRDefault="00930086" w:rsidP="00930086">
      <w:pPr>
        <w:ind w:left="1701" w:hanging="1134"/>
        <w:rPr>
          <w:rFonts w:cs="Arial"/>
          <w:lang w:val="fr-CH"/>
        </w:rPr>
      </w:pPr>
      <w:r w:rsidRPr="00E454D1">
        <w:rPr>
          <w:rFonts w:cs="Arial"/>
          <w:lang w:val="fr-CH"/>
        </w:rPr>
        <w:t>TWA</w:t>
      </w:r>
      <w:r w:rsidR="00E454D1">
        <w:rPr>
          <w:rFonts w:cs="Arial"/>
          <w:lang w:val="fr-CH"/>
        </w:rPr>
        <w:t> :</w:t>
      </w:r>
      <w:r w:rsidRPr="00E454D1">
        <w:rPr>
          <w:rFonts w:cs="Arial"/>
          <w:lang w:val="fr-CH"/>
        </w:rPr>
        <w:t xml:space="preserve"> </w:t>
      </w:r>
      <w:r w:rsidRPr="00E454D1">
        <w:rPr>
          <w:rFonts w:cs="Arial"/>
          <w:lang w:val="fr-CH"/>
        </w:rPr>
        <w:tab/>
        <w:t>Groupe de travail technique sur les plantes agricoles</w:t>
      </w:r>
    </w:p>
    <w:p w:rsidR="00D75FE9" w:rsidRPr="00E454D1" w:rsidRDefault="00930086" w:rsidP="00930086">
      <w:pPr>
        <w:ind w:left="1701" w:hanging="1134"/>
        <w:rPr>
          <w:rFonts w:cs="Arial"/>
          <w:lang w:val="fr-CH"/>
        </w:rPr>
      </w:pPr>
      <w:r w:rsidRPr="00E454D1">
        <w:rPr>
          <w:rFonts w:cs="Arial"/>
          <w:lang w:val="fr-CH"/>
        </w:rPr>
        <w:t>TWC</w:t>
      </w:r>
      <w:r w:rsidR="00E454D1">
        <w:rPr>
          <w:rFonts w:cs="Arial"/>
          <w:lang w:val="fr-CH"/>
        </w:rPr>
        <w:t> :</w:t>
      </w:r>
      <w:r w:rsidRPr="00E454D1">
        <w:rPr>
          <w:rFonts w:cs="Arial"/>
          <w:lang w:val="fr-CH"/>
        </w:rPr>
        <w:t xml:space="preserve"> </w:t>
      </w:r>
      <w:r w:rsidRPr="00E454D1">
        <w:rPr>
          <w:rFonts w:cs="Arial"/>
          <w:lang w:val="fr-CH"/>
        </w:rPr>
        <w:tab/>
        <w:t>Groupe de travail technique sur les systèmes d</w:t>
      </w:r>
      <w:r w:rsidR="00E454D1">
        <w:rPr>
          <w:rFonts w:cs="Arial"/>
          <w:lang w:val="fr-CH"/>
        </w:rPr>
        <w:t>’</w:t>
      </w:r>
      <w:r w:rsidRPr="00E454D1">
        <w:rPr>
          <w:rFonts w:cs="Arial"/>
          <w:lang w:val="fr-CH"/>
        </w:rPr>
        <w:t>automatisation et les programmes d</w:t>
      </w:r>
      <w:r w:rsidR="00E454D1">
        <w:rPr>
          <w:rFonts w:cs="Arial"/>
          <w:lang w:val="fr-CH"/>
        </w:rPr>
        <w:t>’</w:t>
      </w:r>
      <w:r w:rsidRPr="00E454D1">
        <w:rPr>
          <w:rFonts w:cs="Arial"/>
          <w:lang w:val="fr-CH"/>
        </w:rPr>
        <w:t>ordinateur</w:t>
      </w:r>
    </w:p>
    <w:p w:rsidR="002F2D47" w:rsidRPr="00E454D1" w:rsidRDefault="00930086" w:rsidP="00930086">
      <w:pPr>
        <w:ind w:left="1701" w:hanging="1134"/>
        <w:rPr>
          <w:rFonts w:cs="Arial"/>
          <w:lang w:val="fr-CH"/>
        </w:rPr>
      </w:pPr>
      <w:r w:rsidRPr="00E454D1">
        <w:rPr>
          <w:rFonts w:cs="Arial"/>
          <w:lang w:val="fr-CH"/>
        </w:rPr>
        <w:t>TWF</w:t>
      </w:r>
      <w:r w:rsidR="00E454D1">
        <w:rPr>
          <w:rFonts w:cs="Arial"/>
          <w:lang w:val="fr-CH"/>
        </w:rPr>
        <w:t> :</w:t>
      </w:r>
      <w:r w:rsidRPr="00E454D1">
        <w:rPr>
          <w:rFonts w:cs="Arial"/>
          <w:lang w:val="fr-CH"/>
        </w:rPr>
        <w:t xml:space="preserve"> </w:t>
      </w:r>
      <w:r w:rsidRPr="00E454D1">
        <w:rPr>
          <w:rFonts w:cs="Arial"/>
          <w:lang w:val="fr-CH"/>
        </w:rPr>
        <w:tab/>
        <w:t>Groupe de travail technique sur les plantes fruitières</w:t>
      </w:r>
    </w:p>
    <w:p w:rsidR="002F2D47" w:rsidRPr="00E454D1" w:rsidRDefault="00930086" w:rsidP="00930086">
      <w:pPr>
        <w:ind w:left="1701" w:hanging="1134"/>
        <w:rPr>
          <w:rFonts w:cs="Arial"/>
          <w:lang w:val="fr-CH"/>
        </w:rPr>
      </w:pPr>
      <w:r w:rsidRPr="00E454D1">
        <w:rPr>
          <w:rFonts w:cs="Arial"/>
          <w:lang w:val="fr-CH"/>
        </w:rPr>
        <w:t>TWO</w:t>
      </w:r>
      <w:r w:rsidR="00E454D1">
        <w:rPr>
          <w:rFonts w:cs="Arial"/>
          <w:lang w:val="fr-CH"/>
        </w:rPr>
        <w:t> :</w:t>
      </w:r>
      <w:r w:rsidRPr="00E454D1">
        <w:rPr>
          <w:rFonts w:cs="Arial"/>
          <w:lang w:val="fr-CH"/>
        </w:rPr>
        <w:t xml:space="preserve"> </w:t>
      </w:r>
      <w:r w:rsidRPr="00E454D1">
        <w:rPr>
          <w:rFonts w:cs="Arial"/>
          <w:lang w:val="fr-CH"/>
        </w:rPr>
        <w:tab/>
        <w:t>Groupe de travail technique sur les plantes ornementales et les arbres forestiers</w:t>
      </w:r>
    </w:p>
    <w:p w:rsidR="00D75FE9" w:rsidRPr="00E454D1" w:rsidRDefault="00930086" w:rsidP="00930086">
      <w:pPr>
        <w:ind w:left="1701" w:hanging="1134"/>
        <w:rPr>
          <w:rFonts w:cs="Arial"/>
          <w:lang w:val="fr-CH"/>
        </w:rPr>
      </w:pPr>
      <w:r w:rsidRPr="00E454D1">
        <w:rPr>
          <w:rFonts w:cs="Arial"/>
          <w:lang w:val="fr-CH"/>
        </w:rPr>
        <w:t>TWV</w:t>
      </w:r>
      <w:r w:rsidR="00E454D1">
        <w:rPr>
          <w:rFonts w:cs="Arial"/>
          <w:lang w:val="fr-CH"/>
        </w:rPr>
        <w:t> :</w:t>
      </w:r>
      <w:r w:rsidRPr="00E454D1">
        <w:rPr>
          <w:rFonts w:cs="Arial"/>
          <w:lang w:val="fr-CH"/>
        </w:rPr>
        <w:t xml:space="preserve"> </w:t>
      </w:r>
      <w:r w:rsidRPr="00E454D1">
        <w:rPr>
          <w:rFonts w:cs="Arial"/>
          <w:lang w:val="fr-CH"/>
        </w:rPr>
        <w:tab/>
        <w:t>Groupe de travail technique sur les plantes potagères</w:t>
      </w:r>
    </w:p>
    <w:p w:rsidR="002F2D47" w:rsidRPr="00E454D1" w:rsidRDefault="00930086" w:rsidP="00930086">
      <w:pPr>
        <w:ind w:left="1701" w:hanging="1134"/>
        <w:rPr>
          <w:rFonts w:cs="Arial"/>
          <w:lang w:val="fr-CH"/>
        </w:rPr>
      </w:pPr>
      <w:r w:rsidRPr="00E454D1">
        <w:rPr>
          <w:rFonts w:cs="Arial"/>
          <w:lang w:val="fr-CH"/>
        </w:rPr>
        <w:t>TWP</w:t>
      </w:r>
      <w:r w:rsidR="00E454D1">
        <w:rPr>
          <w:rFonts w:cs="Arial"/>
          <w:lang w:val="fr-CH"/>
        </w:rPr>
        <w:t> :</w:t>
      </w:r>
      <w:r w:rsidRPr="00E454D1">
        <w:rPr>
          <w:rFonts w:cs="Arial"/>
          <w:lang w:val="fr-CH"/>
        </w:rPr>
        <w:t xml:space="preserve"> </w:t>
      </w:r>
      <w:r w:rsidRPr="00E454D1">
        <w:rPr>
          <w:rFonts w:cs="Arial"/>
          <w:lang w:val="fr-CH"/>
        </w:rPr>
        <w:tab/>
        <w:t>Groupe(s) de travail technique(s)</w:t>
      </w:r>
    </w:p>
    <w:p w:rsidR="00D75FE9" w:rsidRPr="00E454D1" w:rsidRDefault="00D75FE9" w:rsidP="009956BC">
      <w:pPr>
        <w:keepNext/>
        <w:keepLines/>
        <w:outlineLvl w:val="0"/>
        <w:rPr>
          <w:caps/>
          <w:lang w:val="fr-CH"/>
        </w:rPr>
      </w:pPr>
      <w:bookmarkStart w:id="6" w:name="_Toc352678045"/>
      <w:bookmarkStart w:id="7" w:name="_Toc353797725"/>
      <w:bookmarkStart w:id="8" w:name="_Toc386185970"/>
      <w:bookmarkStart w:id="9" w:name="_Toc419124858"/>
    </w:p>
    <w:p w:rsidR="00D75FE9" w:rsidRPr="00E454D1" w:rsidRDefault="00D75FE9" w:rsidP="009956BC">
      <w:pPr>
        <w:keepNext/>
        <w:keepLines/>
        <w:outlineLvl w:val="0"/>
        <w:rPr>
          <w:caps/>
          <w:lang w:val="fr-CH"/>
        </w:rPr>
      </w:pPr>
    </w:p>
    <w:p w:rsidR="00D75FE9" w:rsidRPr="00E454D1" w:rsidRDefault="00930086" w:rsidP="00930086">
      <w:pPr>
        <w:keepNext/>
        <w:keepLines/>
        <w:outlineLvl w:val="0"/>
        <w:rPr>
          <w:caps/>
          <w:lang w:val="fr-CH"/>
        </w:rPr>
      </w:pPr>
      <w:bookmarkStart w:id="10" w:name="_Toc22035906"/>
      <w:bookmarkEnd w:id="6"/>
      <w:bookmarkEnd w:id="7"/>
      <w:bookmarkEnd w:id="8"/>
      <w:bookmarkEnd w:id="9"/>
      <w:r w:rsidRPr="00E454D1">
        <w:rPr>
          <w:caps/>
          <w:lang w:val="fr-CH"/>
        </w:rPr>
        <w:t>Rappel</w:t>
      </w:r>
      <w:bookmarkEnd w:id="10"/>
    </w:p>
    <w:p w:rsidR="00D75FE9" w:rsidRPr="00E454D1" w:rsidRDefault="00D75FE9" w:rsidP="009956BC">
      <w:pPr>
        <w:keepNext/>
        <w:keepLines/>
        <w:rPr>
          <w:rFonts w:cs="Arial"/>
          <w:lang w:val="fr-CH"/>
        </w:rPr>
      </w:pPr>
    </w:p>
    <w:p w:rsidR="00D75FE9" w:rsidRPr="00E454D1" w:rsidRDefault="009956BC" w:rsidP="00642259">
      <w:pPr>
        <w:keepNext/>
        <w:keepLines/>
        <w:rPr>
          <w:rFonts w:cs="Arial"/>
          <w:lang w:val="fr-CH"/>
        </w:rPr>
      </w:pPr>
      <w:r w:rsidRPr="00E454D1">
        <w:rPr>
          <w:rFonts w:cs="Arial"/>
          <w:lang w:val="fr-CH"/>
        </w:rPr>
        <w:fldChar w:fldCharType="begin"/>
      </w:r>
      <w:r w:rsidRPr="00E454D1">
        <w:rPr>
          <w:rFonts w:cs="Arial"/>
          <w:lang w:val="fr-CH"/>
        </w:rPr>
        <w:instrText xml:space="preserve"> AUTONUM  </w:instrText>
      </w:r>
      <w:r w:rsidRPr="00E454D1">
        <w:rPr>
          <w:rFonts w:cs="Arial"/>
          <w:lang w:val="fr-CH"/>
        </w:rPr>
        <w:fldChar w:fldCharType="end"/>
      </w:r>
      <w:r w:rsidRPr="00E454D1">
        <w:rPr>
          <w:rFonts w:cs="Arial"/>
          <w:lang w:val="fr-CH"/>
        </w:rPr>
        <w:tab/>
      </w:r>
      <w:r w:rsidR="00642259" w:rsidRPr="00E454D1">
        <w:rPr>
          <w:rFonts w:cs="Arial"/>
          <w:lang w:val="fr-CH"/>
        </w:rPr>
        <w:t>Le</w:t>
      </w:r>
      <w:r w:rsidR="00E454D1">
        <w:rPr>
          <w:rFonts w:cs="Arial"/>
          <w:lang w:val="fr-CH"/>
        </w:rPr>
        <w:t> TC</w:t>
      </w:r>
      <w:r w:rsidR="00642259" w:rsidRPr="00E454D1">
        <w:rPr>
          <w:rFonts w:cs="Arial"/>
          <w:lang w:val="fr-CH"/>
        </w:rPr>
        <w:t>, à sa cinquante</w:t>
      </w:r>
      <w:r w:rsidR="00E454D1">
        <w:rPr>
          <w:rFonts w:cs="Arial"/>
          <w:lang w:val="fr-CH"/>
        </w:rPr>
        <w:t>-</w:t>
      </w:r>
      <w:r w:rsidR="00642259" w:rsidRPr="00E454D1">
        <w:rPr>
          <w:rFonts w:cs="Arial"/>
          <w:lang w:val="fr-CH"/>
        </w:rPr>
        <w:t>quatr</w:t>
      </w:r>
      <w:r w:rsidR="00E454D1">
        <w:rPr>
          <w:rFonts w:cs="Arial"/>
          <w:lang w:val="fr-CH"/>
        </w:rPr>
        <w:t>ième session</w:t>
      </w:r>
      <w:r w:rsidR="00642259" w:rsidRPr="00E454D1">
        <w:rPr>
          <w:rFonts w:cs="Arial"/>
          <w:lang w:val="fr-CH"/>
        </w:rPr>
        <w:t xml:space="preserve"> tenue à Genève les 29 et 30</w:t>
      </w:r>
      <w:r w:rsidR="00090D74" w:rsidRPr="00E454D1">
        <w:rPr>
          <w:rFonts w:cs="Arial"/>
          <w:lang w:val="fr-CH"/>
        </w:rPr>
        <w:t> </w:t>
      </w:r>
      <w:r w:rsidR="00642259" w:rsidRPr="00E454D1">
        <w:rPr>
          <w:rFonts w:cs="Arial"/>
          <w:lang w:val="fr-CH"/>
        </w:rPr>
        <w:t>octobre</w:t>
      </w:r>
      <w:r w:rsidR="00090D74" w:rsidRPr="00E454D1">
        <w:rPr>
          <w:rFonts w:cs="Arial"/>
          <w:lang w:val="fr-CH"/>
        </w:rPr>
        <w:t> </w:t>
      </w:r>
      <w:r w:rsidR="00642259" w:rsidRPr="00E454D1">
        <w:rPr>
          <w:rFonts w:cs="Arial"/>
          <w:lang w:val="fr-CH"/>
        </w:rPr>
        <w:t>2018, et</w:t>
      </w:r>
      <w:r w:rsidR="002F2D47" w:rsidRPr="00E454D1">
        <w:rPr>
          <w:rFonts w:cs="Arial"/>
          <w:lang w:val="fr-CH"/>
        </w:rPr>
        <w:t xml:space="preserve"> le CAJ</w:t>
      </w:r>
      <w:r w:rsidR="00642259" w:rsidRPr="00E454D1">
        <w:rPr>
          <w:rFonts w:cs="Arial"/>
          <w:lang w:val="fr-CH"/>
        </w:rPr>
        <w:t>, à sa soixante</w:t>
      </w:r>
      <w:r w:rsidR="00E454D1">
        <w:rPr>
          <w:rFonts w:cs="Arial"/>
          <w:lang w:val="fr-CH"/>
        </w:rPr>
        <w:t>-</w:t>
      </w:r>
      <w:r w:rsidR="00642259" w:rsidRPr="00E454D1">
        <w:rPr>
          <w:rFonts w:cs="Arial"/>
          <w:lang w:val="fr-CH"/>
        </w:rPr>
        <w:t>quinz</w:t>
      </w:r>
      <w:r w:rsidR="00E454D1">
        <w:rPr>
          <w:rFonts w:cs="Arial"/>
          <w:lang w:val="fr-CH"/>
        </w:rPr>
        <w:t>ième session</w:t>
      </w:r>
      <w:r w:rsidR="00642259" w:rsidRPr="00E454D1">
        <w:rPr>
          <w:rFonts w:cs="Arial"/>
          <w:lang w:val="fr-CH"/>
        </w:rPr>
        <w:t xml:space="preserve"> tenue à Genève le 31</w:t>
      </w:r>
      <w:r w:rsidR="00090D74" w:rsidRPr="00E454D1">
        <w:rPr>
          <w:rFonts w:cs="Arial"/>
          <w:lang w:val="fr-CH"/>
        </w:rPr>
        <w:t> </w:t>
      </w:r>
      <w:r w:rsidR="00642259" w:rsidRPr="00E454D1">
        <w:rPr>
          <w:rFonts w:cs="Arial"/>
          <w:lang w:val="fr-CH"/>
        </w:rPr>
        <w:t>octobre</w:t>
      </w:r>
      <w:r w:rsidR="00090D74" w:rsidRPr="00E454D1">
        <w:rPr>
          <w:rFonts w:cs="Arial"/>
          <w:lang w:val="fr-CH"/>
        </w:rPr>
        <w:t> </w:t>
      </w:r>
      <w:r w:rsidR="00642259" w:rsidRPr="00E454D1">
        <w:rPr>
          <w:rFonts w:cs="Arial"/>
          <w:lang w:val="fr-CH"/>
        </w:rPr>
        <w:t>2018, ont approuvé le programme d</w:t>
      </w:r>
      <w:r w:rsidR="00E454D1">
        <w:rPr>
          <w:rFonts w:cs="Arial"/>
          <w:lang w:val="fr-CH"/>
        </w:rPr>
        <w:t>’</w:t>
      </w:r>
      <w:r w:rsidR="00642259" w:rsidRPr="00E454D1">
        <w:rPr>
          <w:rFonts w:cs="Arial"/>
          <w:lang w:val="fr-CH"/>
        </w:rPr>
        <w:t>élaboration des documents TGP, tel qu</w:t>
      </w:r>
      <w:r w:rsidR="00E454D1">
        <w:rPr>
          <w:rFonts w:cs="Arial"/>
          <w:lang w:val="fr-CH"/>
        </w:rPr>
        <w:t>’</w:t>
      </w:r>
      <w:r w:rsidR="00642259" w:rsidRPr="00E454D1">
        <w:rPr>
          <w:rFonts w:cs="Arial"/>
          <w:lang w:val="fr-CH"/>
        </w:rPr>
        <w:t xml:space="preserve">il figure dans les annexes respectives des </w:t>
      </w:r>
      <w:r w:rsidR="00E454D1" w:rsidRPr="00E454D1">
        <w:rPr>
          <w:rFonts w:cs="Arial"/>
          <w:lang w:val="fr-CH"/>
        </w:rPr>
        <w:t>documents</w:t>
      </w:r>
      <w:r w:rsidR="00E454D1">
        <w:rPr>
          <w:rFonts w:cs="Arial"/>
          <w:lang w:val="fr-CH"/>
        </w:rPr>
        <w:t xml:space="preserve"> TC</w:t>
      </w:r>
      <w:r w:rsidR="00642259" w:rsidRPr="00E454D1">
        <w:rPr>
          <w:rFonts w:cs="Arial"/>
          <w:lang w:val="fr-CH"/>
        </w:rPr>
        <w:t>/54/5</w:t>
      </w:r>
      <w:r w:rsidR="00124C91" w:rsidRPr="00E454D1">
        <w:rPr>
          <w:rFonts w:cs="Arial"/>
          <w:lang w:val="fr-CH"/>
        </w:rPr>
        <w:t> </w:t>
      </w:r>
      <w:proofErr w:type="spellStart"/>
      <w:r w:rsidR="00642259" w:rsidRPr="00E454D1">
        <w:rPr>
          <w:rFonts w:cs="Arial"/>
          <w:lang w:val="fr-CH"/>
        </w:rPr>
        <w:t>Rev</w:t>
      </w:r>
      <w:proofErr w:type="spellEnd"/>
      <w:r w:rsidR="00642259" w:rsidRPr="00E454D1">
        <w:rPr>
          <w:rFonts w:cs="Arial"/>
          <w:lang w:val="fr-CH"/>
        </w:rPr>
        <w:t xml:space="preserve">. </w:t>
      </w:r>
      <w:proofErr w:type="gramStart"/>
      <w:r w:rsidR="00642259" w:rsidRPr="00E454D1">
        <w:rPr>
          <w:rFonts w:cs="Arial"/>
          <w:lang w:val="fr-CH"/>
        </w:rPr>
        <w:t>et</w:t>
      </w:r>
      <w:proofErr w:type="gramEnd"/>
      <w:r w:rsidR="00642259" w:rsidRPr="00E454D1">
        <w:rPr>
          <w:rFonts w:cs="Arial"/>
          <w:lang w:val="fr-CH"/>
        </w:rPr>
        <w:t xml:space="preserve"> CAJ/75/13, sous réserve des conclusions adoptées à leurs sessions (voir le paragraphe</w:t>
      </w:r>
      <w:r w:rsidR="00FE5010" w:rsidRPr="00E454D1">
        <w:rPr>
          <w:rFonts w:cs="Arial"/>
          <w:lang w:val="fr-CH"/>
        </w:rPr>
        <w:t> </w:t>
      </w:r>
      <w:r w:rsidR="00642259" w:rsidRPr="00E454D1">
        <w:rPr>
          <w:rFonts w:cs="Arial"/>
          <w:lang w:val="fr-CH"/>
        </w:rPr>
        <w:t xml:space="preserve">251 du </w:t>
      </w:r>
      <w:r w:rsidR="00E454D1" w:rsidRPr="00E454D1">
        <w:rPr>
          <w:rFonts w:cs="Arial"/>
          <w:lang w:val="fr-CH"/>
        </w:rPr>
        <w:t>document</w:t>
      </w:r>
      <w:r w:rsidR="00E454D1">
        <w:rPr>
          <w:rFonts w:cs="Arial"/>
          <w:lang w:val="fr-CH"/>
        </w:rPr>
        <w:t xml:space="preserve"> TC</w:t>
      </w:r>
      <w:r w:rsidR="00C76573" w:rsidRPr="00E454D1">
        <w:rPr>
          <w:rFonts w:cs="Arial"/>
          <w:lang w:val="fr-CH"/>
        </w:rPr>
        <w:t xml:space="preserve">/54/31 Corr. </w:t>
      </w:r>
      <w:r w:rsidR="00642259" w:rsidRPr="00E454D1">
        <w:rPr>
          <w:rFonts w:cs="Arial"/>
          <w:lang w:val="fr-CH"/>
        </w:rPr>
        <w:t>“Compte rendu” et le paragraphe</w:t>
      </w:r>
      <w:r w:rsidR="00FE5010" w:rsidRPr="00E454D1">
        <w:rPr>
          <w:rFonts w:cs="Arial"/>
          <w:lang w:val="fr-CH"/>
        </w:rPr>
        <w:t> </w:t>
      </w:r>
      <w:r w:rsidR="00642259" w:rsidRPr="00E454D1">
        <w:rPr>
          <w:rFonts w:cs="Arial"/>
          <w:lang w:val="fr-CH"/>
        </w:rPr>
        <w:t>13 du document CAJ/75/14 “Compte rendu”).</w:t>
      </w:r>
    </w:p>
    <w:p w:rsidR="00D75FE9" w:rsidRPr="00E454D1" w:rsidRDefault="00D75FE9" w:rsidP="009956BC">
      <w:pPr>
        <w:keepNext/>
        <w:rPr>
          <w:rFonts w:cs="Arial"/>
          <w:lang w:val="fr-CH"/>
        </w:rPr>
      </w:pPr>
    </w:p>
    <w:p w:rsidR="00D75FE9" w:rsidRPr="00B27FFA" w:rsidRDefault="009956BC" w:rsidP="00642259">
      <w:pPr>
        <w:rPr>
          <w:rFonts w:cs="Arial"/>
          <w:u w:val="single"/>
          <w:lang w:val="fr-CH"/>
        </w:rPr>
      </w:pPr>
      <w:r w:rsidRPr="00E454D1">
        <w:rPr>
          <w:rFonts w:cs="Arial"/>
          <w:lang w:val="fr-CH"/>
        </w:rPr>
        <w:fldChar w:fldCharType="begin"/>
      </w:r>
      <w:r w:rsidRPr="00E454D1">
        <w:rPr>
          <w:rFonts w:cs="Arial"/>
          <w:lang w:val="fr-CH"/>
        </w:rPr>
        <w:instrText xml:space="preserve"> AUTONUM  </w:instrText>
      </w:r>
      <w:r w:rsidRPr="00E454D1">
        <w:rPr>
          <w:rFonts w:cs="Arial"/>
          <w:lang w:val="fr-CH"/>
        </w:rPr>
        <w:fldChar w:fldCharType="end"/>
      </w:r>
      <w:r w:rsidRPr="00E454D1">
        <w:rPr>
          <w:rFonts w:cs="Arial"/>
          <w:lang w:val="fr-CH"/>
        </w:rPr>
        <w:tab/>
      </w:r>
      <w:r w:rsidR="00642259" w:rsidRPr="00E454D1">
        <w:rPr>
          <w:rFonts w:cs="Arial"/>
          <w:lang w:val="fr-CH"/>
        </w:rPr>
        <w:t>Les documents TGP approuvés sont publiés sur le site</w:t>
      </w:r>
      <w:r w:rsidR="00124C91" w:rsidRPr="00E454D1">
        <w:rPr>
          <w:rFonts w:cs="Arial"/>
          <w:lang w:val="fr-CH"/>
        </w:rPr>
        <w:t> </w:t>
      </w:r>
      <w:r w:rsidR="00642259" w:rsidRPr="00E454D1">
        <w:rPr>
          <w:rFonts w:cs="Arial"/>
          <w:lang w:val="fr-CH"/>
        </w:rPr>
        <w:t>Web de l</w:t>
      </w:r>
      <w:r w:rsidR="00E454D1">
        <w:rPr>
          <w:rFonts w:cs="Arial"/>
          <w:lang w:val="fr-CH"/>
        </w:rPr>
        <w:t>’</w:t>
      </w:r>
      <w:r w:rsidR="00642259" w:rsidRPr="00E454D1">
        <w:rPr>
          <w:rFonts w:cs="Arial"/>
          <w:lang w:val="fr-CH"/>
        </w:rPr>
        <w:t>UPOV à l</w:t>
      </w:r>
      <w:r w:rsidR="00E454D1">
        <w:rPr>
          <w:rFonts w:cs="Arial"/>
          <w:lang w:val="fr-CH"/>
        </w:rPr>
        <w:t>’</w:t>
      </w:r>
      <w:r w:rsidR="00642259" w:rsidRPr="00E454D1">
        <w:rPr>
          <w:rFonts w:cs="Arial"/>
          <w:lang w:val="fr-CH"/>
        </w:rPr>
        <w:t xml:space="preserve">adresse </w:t>
      </w:r>
      <w:hyperlink r:id="rId8" w:history="1">
        <w:r w:rsidR="00642259" w:rsidRPr="00B27FFA">
          <w:rPr>
            <w:color w:val="0000FF"/>
            <w:u w:val="single"/>
          </w:rPr>
          <w:t>http://www.upov.int/upov_collection/fr/</w:t>
        </w:r>
      </w:hyperlink>
      <w:r w:rsidR="00642259" w:rsidRPr="00B27FFA">
        <w:rPr>
          <w:rFonts w:cs="Arial"/>
          <w:color w:val="0000FF"/>
          <w:u w:val="single"/>
        </w:rPr>
        <w:t>.</w:t>
      </w:r>
    </w:p>
    <w:p w:rsidR="00D75FE9" w:rsidRPr="00E454D1" w:rsidRDefault="00D75FE9" w:rsidP="009956BC">
      <w:pPr>
        <w:rPr>
          <w:lang w:val="fr-CH"/>
        </w:rPr>
      </w:pPr>
      <w:bookmarkStart w:id="11" w:name="_Toc386185983"/>
      <w:bookmarkStart w:id="12" w:name="_Toc419124871"/>
      <w:bookmarkStart w:id="13" w:name="_Toc378251517"/>
      <w:bookmarkStart w:id="14" w:name="_Toc381279978"/>
      <w:bookmarkEnd w:id="4"/>
      <w:bookmarkEnd w:id="5"/>
    </w:p>
    <w:p w:rsidR="00D75FE9" w:rsidRPr="00E454D1" w:rsidRDefault="00D75FE9" w:rsidP="009956BC">
      <w:pPr>
        <w:rPr>
          <w:lang w:val="fr-CH"/>
        </w:rPr>
      </w:pPr>
    </w:p>
    <w:p w:rsidR="00D75FE9" w:rsidRPr="00E454D1" w:rsidRDefault="00642259" w:rsidP="00642259">
      <w:pPr>
        <w:keepNext/>
        <w:outlineLvl w:val="0"/>
        <w:rPr>
          <w:caps/>
          <w:lang w:val="fr-CH"/>
        </w:rPr>
      </w:pPr>
      <w:bookmarkStart w:id="15" w:name="_Toc22035907"/>
      <w:r w:rsidRPr="00E454D1">
        <w:rPr>
          <w:caps/>
          <w:lang w:val="fr-CH"/>
        </w:rPr>
        <w:t xml:space="preserve">Questions pour adoption par le Conseil </w:t>
      </w:r>
      <w:r w:rsidR="002F2D47" w:rsidRPr="00E454D1">
        <w:rPr>
          <w:caps/>
          <w:lang w:val="fr-CH"/>
        </w:rPr>
        <w:t>en </w:t>
      </w:r>
      <w:bookmarkEnd w:id="15"/>
      <w:r w:rsidR="002F2D47" w:rsidRPr="00E454D1">
        <w:rPr>
          <w:caps/>
          <w:lang w:val="fr-CH"/>
        </w:rPr>
        <w:t>2019</w:t>
      </w:r>
    </w:p>
    <w:p w:rsidR="00D75FE9" w:rsidRPr="00E454D1" w:rsidRDefault="00D75FE9" w:rsidP="009956BC">
      <w:pPr>
        <w:rPr>
          <w:highlight w:val="yellow"/>
          <w:lang w:val="fr-CH"/>
        </w:rPr>
      </w:pPr>
    </w:p>
    <w:p w:rsidR="00D75FE9" w:rsidRPr="00E454D1" w:rsidRDefault="009956BC" w:rsidP="00642259">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642259" w:rsidRPr="00E454D1">
        <w:rPr>
          <w:lang w:val="fr-CH"/>
        </w:rPr>
        <w:t>Les révisions ci</w:t>
      </w:r>
      <w:r w:rsidR="00E454D1">
        <w:rPr>
          <w:lang w:val="fr-CH"/>
        </w:rPr>
        <w:t>-</w:t>
      </w:r>
      <w:r w:rsidR="00642259" w:rsidRPr="00E454D1">
        <w:rPr>
          <w:lang w:val="fr-CH"/>
        </w:rPr>
        <w:t>après des documents TGP ont été approuvées par le</w:t>
      </w:r>
      <w:r w:rsidR="00E454D1">
        <w:rPr>
          <w:lang w:val="fr-CH"/>
        </w:rPr>
        <w:t> TC</w:t>
      </w:r>
      <w:r w:rsidR="00642259" w:rsidRPr="00E454D1">
        <w:rPr>
          <w:lang w:val="fr-CH"/>
        </w:rPr>
        <w:t xml:space="preserve"> et seront proposées pour adoption par le Conseil à sa cinquante</w:t>
      </w:r>
      <w:r w:rsidR="00E454D1">
        <w:rPr>
          <w:lang w:val="fr-CH"/>
        </w:rPr>
        <w:t>-</w:t>
      </w:r>
      <w:r w:rsidR="00642259" w:rsidRPr="00E454D1">
        <w:rPr>
          <w:lang w:val="fr-CH"/>
        </w:rPr>
        <w:t>trois</w:t>
      </w:r>
      <w:r w:rsidR="00E454D1">
        <w:rPr>
          <w:lang w:val="fr-CH"/>
        </w:rPr>
        <w:t>ième session</w:t>
      </w:r>
      <w:r w:rsidR="00642259" w:rsidRPr="00E454D1">
        <w:rPr>
          <w:lang w:val="fr-CH"/>
        </w:rPr>
        <w:t xml:space="preserve"> ordinaire prévue à Genève le</w:t>
      </w:r>
      <w:r w:rsidR="00E454D1">
        <w:rPr>
          <w:lang w:val="fr-CH"/>
        </w:rPr>
        <w:t xml:space="preserve"> 1</w:t>
      </w:r>
      <w:r w:rsidR="00E454D1" w:rsidRPr="00E454D1">
        <w:rPr>
          <w:vertAlign w:val="superscript"/>
          <w:lang w:val="fr-CH"/>
        </w:rPr>
        <w:t>er</w:t>
      </w:r>
      <w:r w:rsidR="00E454D1">
        <w:rPr>
          <w:lang w:val="fr-CH"/>
        </w:rPr>
        <w:t> </w:t>
      </w:r>
      <w:r w:rsidR="00642259" w:rsidRPr="00E454D1">
        <w:rPr>
          <w:lang w:val="fr-CH"/>
        </w:rPr>
        <w:t>novembre</w:t>
      </w:r>
      <w:r w:rsidR="00090D74" w:rsidRPr="00E454D1">
        <w:rPr>
          <w:lang w:val="fr-CH"/>
        </w:rPr>
        <w:t> </w:t>
      </w:r>
      <w:r w:rsidR="00642259" w:rsidRPr="00E454D1">
        <w:rPr>
          <w:lang w:val="fr-CH"/>
        </w:rPr>
        <w:t>2019, sous réserve de l</w:t>
      </w:r>
      <w:r w:rsidR="00E454D1">
        <w:rPr>
          <w:lang w:val="fr-CH"/>
        </w:rPr>
        <w:t>’</w:t>
      </w:r>
      <w:r w:rsidR="00642259" w:rsidRPr="00E454D1">
        <w:rPr>
          <w:lang w:val="fr-CH"/>
        </w:rPr>
        <w:t>approbation</w:t>
      </w:r>
      <w:r w:rsidR="002F2D47" w:rsidRPr="00E454D1">
        <w:rPr>
          <w:lang w:val="fr-CH"/>
        </w:rPr>
        <w:t xml:space="preserve"> du CAJ</w:t>
      </w:r>
      <w:r w:rsidR="00642259" w:rsidRPr="00E454D1">
        <w:rPr>
          <w:lang w:val="fr-CH"/>
        </w:rPr>
        <w:t xml:space="preserve"> à sa soixante</w:t>
      </w:r>
      <w:r w:rsidR="00E454D1">
        <w:rPr>
          <w:lang w:val="fr-CH"/>
        </w:rPr>
        <w:t>-</w:t>
      </w:r>
      <w:r w:rsidR="00642259" w:rsidRPr="00E454D1">
        <w:rPr>
          <w:lang w:val="fr-CH"/>
        </w:rPr>
        <w:t>seiz</w:t>
      </w:r>
      <w:r w:rsidR="00E454D1">
        <w:rPr>
          <w:lang w:val="fr-CH"/>
        </w:rPr>
        <w:t>ième session</w:t>
      </w:r>
      <w:r w:rsidR="00642259" w:rsidRPr="00E454D1">
        <w:rPr>
          <w:lang w:val="fr-CH"/>
        </w:rPr>
        <w:t xml:space="preserve"> prévue à Genève le 30 octobre 2019</w:t>
      </w:r>
      <w:r w:rsidR="00E454D1">
        <w:rPr>
          <w:lang w:val="fr-CH"/>
        </w:rPr>
        <w:t> :</w:t>
      </w:r>
    </w:p>
    <w:p w:rsidR="00D75FE9" w:rsidRPr="00E454D1" w:rsidRDefault="00D75FE9" w:rsidP="0044336B">
      <w:pPr>
        <w:keepNext/>
        <w:rPr>
          <w:lang w:val="fr-CH"/>
        </w:rPr>
      </w:pPr>
    </w:p>
    <w:p w:rsidR="00D75FE9" w:rsidRPr="00E454D1" w:rsidRDefault="00642259" w:rsidP="00642259">
      <w:pPr>
        <w:keepNext/>
        <w:outlineLvl w:val="1"/>
        <w:rPr>
          <w:u w:val="single"/>
          <w:lang w:val="fr-CH"/>
        </w:rPr>
      </w:pPr>
      <w:bookmarkStart w:id="16" w:name="_Toc22035908"/>
      <w:r w:rsidRPr="00E454D1">
        <w:rPr>
          <w:u w:val="single"/>
          <w:lang w:val="fr-CH"/>
        </w:rPr>
        <w:t>Document TGP/7</w:t>
      </w:r>
      <w:r w:rsidR="00E454D1">
        <w:rPr>
          <w:u w:val="single"/>
          <w:lang w:val="fr-CH"/>
        </w:rPr>
        <w:t> :</w:t>
      </w:r>
      <w:r w:rsidRPr="00E454D1">
        <w:rPr>
          <w:u w:val="single"/>
          <w:lang w:val="fr-CH"/>
        </w:rPr>
        <w:t xml:space="preserve"> Élaboration des principes directeurs d</w:t>
      </w:r>
      <w:r w:rsidR="00E454D1">
        <w:rPr>
          <w:u w:val="single"/>
          <w:lang w:val="fr-CH"/>
        </w:rPr>
        <w:t>’</w:t>
      </w:r>
      <w:r w:rsidRPr="00E454D1">
        <w:rPr>
          <w:u w:val="single"/>
          <w:lang w:val="fr-CH"/>
        </w:rPr>
        <w:t>examen (révision) (</w:t>
      </w:r>
      <w:r w:rsidR="002F2D47" w:rsidRPr="00E454D1">
        <w:rPr>
          <w:u w:val="single"/>
          <w:lang w:val="fr-CH"/>
        </w:rPr>
        <w:t>document TG</w:t>
      </w:r>
      <w:r w:rsidRPr="00E454D1">
        <w:rPr>
          <w:u w:val="single"/>
          <w:lang w:val="fr-CH"/>
        </w:rPr>
        <w:t xml:space="preserve">P/7/7 </w:t>
      </w:r>
      <w:proofErr w:type="spellStart"/>
      <w:r w:rsidRPr="00E454D1">
        <w:rPr>
          <w:u w:val="single"/>
          <w:lang w:val="fr-CH"/>
        </w:rPr>
        <w:t>Draft</w:t>
      </w:r>
      <w:proofErr w:type="spellEnd"/>
      <w:r w:rsidR="00FE5010" w:rsidRPr="00E454D1">
        <w:rPr>
          <w:u w:val="single"/>
          <w:lang w:val="fr-CH"/>
        </w:rPr>
        <w:t> </w:t>
      </w:r>
      <w:r w:rsidRPr="00E454D1">
        <w:rPr>
          <w:u w:val="single"/>
          <w:lang w:val="fr-CH"/>
        </w:rPr>
        <w:t>1)</w:t>
      </w:r>
      <w:bookmarkEnd w:id="16"/>
    </w:p>
    <w:p w:rsidR="00D75FE9" w:rsidRPr="00E454D1" w:rsidRDefault="00D75FE9" w:rsidP="0044336B">
      <w:pPr>
        <w:keepNext/>
        <w:rPr>
          <w:highlight w:val="yellow"/>
          <w:lang w:val="fr-CH"/>
        </w:rPr>
      </w:pPr>
    </w:p>
    <w:p w:rsidR="00D75FE9" w:rsidRPr="00E454D1" w:rsidRDefault="0044336B" w:rsidP="00642259">
      <w:pPr>
        <w:keepNext/>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642259" w:rsidRPr="00E454D1">
        <w:rPr>
          <w:lang w:val="fr-CH"/>
        </w:rPr>
        <w:t>À sa cinquante</w:t>
      </w:r>
      <w:r w:rsidR="00E454D1">
        <w:rPr>
          <w:lang w:val="fr-CH"/>
        </w:rPr>
        <w:t>-</w:t>
      </w:r>
      <w:r w:rsidR="00642259" w:rsidRPr="00E454D1">
        <w:rPr>
          <w:lang w:val="fr-CH"/>
        </w:rPr>
        <w:t>quatr</w:t>
      </w:r>
      <w:r w:rsidR="00E454D1">
        <w:rPr>
          <w:lang w:val="fr-CH"/>
        </w:rPr>
        <w:t>ième session</w:t>
      </w:r>
      <w:r w:rsidR="00642259" w:rsidRPr="00E454D1">
        <w:rPr>
          <w:lang w:val="fr-CH"/>
        </w:rPr>
        <w:t>, le</w:t>
      </w:r>
      <w:r w:rsidR="00E454D1">
        <w:rPr>
          <w:lang w:val="fr-CH"/>
        </w:rPr>
        <w:t> TC</w:t>
      </w:r>
      <w:r w:rsidR="00642259" w:rsidRPr="00E454D1">
        <w:rPr>
          <w:lang w:val="fr-CH"/>
        </w:rPr>
        <w:t xml:space="preserve"> a approuvé les propositions d</w:t>
      </w:r>
      <w:r w:rsidR="00E454D1">
        <w:rPr>
          <w:lang w:val="fr-CH"/>
        </w:rPr>
        <w:t>’</w:t>
      </w:r>
      <w:r w:rsidR="00642259" w:rsidRPr="00E454D1">
        <w:rPr>
          <w:lang w:val="fr-CH"/>
        </w:rPr>
        <w:t>orientations concernant la “Durée des examens DHS” et la “Procédure applicable à l</w:t>
      </w:r>
      <w:r w:rsidR="00E454D1">
        <w:rPr>
          <w:lang w:val="fr-CH"/>
        </w:rPr>
        <w:t>’</w:t>
      </w:r>
      <w:r w:rsidR="00642259" w:rsidRPr="00E454D1">
        <w:rPr>
          <w:lang w:val="fr-CH"/>
        </w:rPr>
        <w:t>adoption des principes directeurs d</w:t>
      </w:r>
      <w:r w:rsidR="00E454D1">
        <w:rPr>
          <w:lang w:val="fr-CH"/>
        </w:rPr>
        <w:t>’</w:t>
      </w:r>
      <w:r w:rsidR="00642259" w:rsidRPr="00E454D1">
        <w:rPr>
          <w:lang w:val="fr-CH"/>
        </w:rPr>
        <w:t>examen”, en vue de leur inclusion dans une version révisée du document TGP/7 “Élaboration des principes directeurs d</w:t>
      </w:r>
      <w:r w:rsidR="00E454D1">
        <w:rPr>
          <w:lang w:val="fr-CH"/>
        </w:rPr>
        <w:t>’</w:t>
      </w:r>
      <w:r w:rsidR="00642259" w:rsidRPr="00E454D1">
        <w:rPr>
          <w:lang w:val="fr-CH"/>
        </w:rPr>
        <w:t>examen” (voir les paragraphes</w:t>
      </w:r>
      <w:r w:rsidR="00FE5010" w:rsidRPr="00E454D1">
        <w:rPr>
          <w:lang w:val="fr-CH"/>
        </w:rPr>
        <w:t> </w:t>
      </w:r>
      <w:r w:rsidR="00642259" w:rsidRPr="00E454D1">
        <w:rPr>
          <w:lang w:val="fr-CH"/>
        </w:rPr>
        <w:t xml:space="preserve">210 à 212 et 217 à 220 du </w:t>
      </w:r>
      <w:r w:rsidR="00E454D1" w:rsidRPr="00E454D1">
        <w:rPr>
          <w:lang w:val="fr-CH"/>
        </w:rPr>
        <w:t>document</w:t>
      </w:r>
      <w:r w:rsidR="00E454D1">
        <w:rPr>
          <w:lang w:val="fr-CH"/>
        </w:rPr>
        <w:t xml:space="preserve"> TC</w:t>
      </w:r>
      <w:r w:rsidR="00642259" w:rsidRPr="00E454D1">
        <w:rPr>
          <w:lang w:val="fr-CH"/>
        </w:rPr>
        <w:t>/54/31</w:t>
      </w:r>
      <w:r w:rsidR="00124C91" w:rsidRPr="00E454D1">
        <w:rPr>
          <w:lang w:val="fr-CH"/>
        </w:rPr>
        <w:t> </w:t>
      </w:r>
      <w:r w:rsidR="00642259" w:rsidRPr="00E454D1">
        <w:rPr>
          <w:lang w:val="fr-CH"/>
        </w:rPr>
        <w:t>Corr. “Compte rendu”).</w:t>
      </w:r>
    </w:p>
    <w:p w:rsidR="00D75FE9" w:rsidRPr="00E454D1" w:rsidRDefault="00D75FE9" w:rsidP="0044336B">
      <w:pPr>
        <w:rPr>
          <w:lang w:val="fr-CH"/>
        </w:rPr>
      </w:pPr>
    </w:p>
    <w:p w:rsidR="00D75FE9" w:rsidRPr="00E454D1" w:rsidRDefault="0044336B" w:rsidP="00642259">
      <w:pPr>
        <w:rPr>
          <w:spacing w:val="-2"/>
          <w:lang w:val="fr-CH"/>
        </w:rPr>
      </w:pPr>
      <w:r w:rsidRPr="00E454D1">
        <w:rPr>
          <w:spacing w:val="-2"/>
          <w:lang w:val="fr-CH"/>
        </w:rPr>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642259" w:rsidRPr="00E454D1">
        <w:rPr>
          <w:spacing w:val="-2"/>
          <w:lang w:val="fr-CH"/>
        </w:rPr>
        <w:t>Sur la base de ce qui précède, le</w:t>
      </w:r>
      <w:r w:rsidR="00E454D1">
        <w:rPr>
          <w:spacing w:val="-2"/>
          <w:lang w:val="fr-CH"/>
        </w:rPr>
        <w:t> TC</w:t>
      </w:r>
      <w:r w:rsidR="00642259" w:rsidRPr="00E454D1">
        <w:rPr>
          <w:spacing w:val="-2"/>
          <w:lang w:val="fr-CH"/>
        </w:rPr>
        <w:t xml:space="preserve"> est convenu qu</w:t>
      </w:r>
      <w:r w:rsidR="00E454D1">
        <w:rPr>
          <w:spacing w:val="-2"/>
          <w:lang w:val="fr-CH"/>
        </w:rPr>
        <w:t>’</w:t>
      </w:r>
      <w:r w:rsidR="00642259" w:rsidRPr="00E454D1">
        <w:rPr>
          <w:spacing w:val="-2"/>
          <w:lang w:val="fr-CH"/>
        </w:rPr>
        <w:t xml:space="preserve">une version révisée du </w:t>
      </w:r>
      <w:r w:rsidR="002F2D47" w:rsidRPr="00E454D1">
        <w:rPr>
          <w:spacing w:val="-2"/>
          <w:lang w:val="fr-CH"/>
        </w:rPr>
        <w:t>document TG</w:t>
      </w:r>
      <w:r w:rsidR="00642259" w:rsidRPr="00E454D1">
        <w:rPr>
          <w:spacing w:val="-2"/>
          <w:lang w:val="fr-CH"/>
        </w:rPr>
        <w:t>P/7/6 (</w:t>
      </w:r>
      <w:r w:rsidR="002F2D47" w:rsidRPr="00E454D1">
        <w:rPr>
          <w:spacing w:val="-2"/>
          <w:lang w:val="fr-CH"/>
        </w:rPr>
        <w:t>document TG</w:t>
      </w:r>
      <w:r w:rsidR="00642259" w:rsidRPr="00E454D1">
        <w:rPr>
          <w:spacing w:val="-2"/>
          <w:lang w:val="fr-CH"/>
        </w:rPr>
        <w:t xml:space="preserve">P/7/7 </w:t>
      </w:r>
      <w:proofErr w:type="spellStart"/>
      <w:r w:rsidR="00642259" w:rsidRPr="00E454D1">
        <w:rPr>
          <w:spacing w:val="-2"/>
          <w:lang w:val="fr-CH"/>
        </w:rPr>
        <w:t>Draft</w:t>
      </w:r>
      <w:proofErr w:type="spellEnd"/>
      <w:r w:rsidR="00FE5010" w:rsidRPr="00E454D1">
        <w:rPr>
          <w:spacing w:val="-2"/>
          <w:lang w:val="fr-CH"/>
        </w:rPr>
        <w:t> </w:t>
      </w:r>
      <w:r w:rsidR="00642259" w:rsidRPr="00E454D1">
        <w:rPr>
          <w:spacing w:val="-2"/>
          <w:lang w:val="fr-CH"/>
        </w:rPr>
        <w:t>1) devait être soumise au Conseil pour adoption à sa cinquante</w:t>
      </w:r>
      <w:r w:rsidR="00E454D1">
        <w:rPr>
          <w:spacing w:val="-2"/>
          <w:lang w:val="fr-CH"/>
        </w:rPr>
        <w:t>-</w:t>
      </w:r>
      <w:r w:rsidR="00642259" w:rsidRPr="00E454D1">
        <w:rPr>
          <w:spacing w:val="-2"/>
          <w:lang w:val="fr-CH"/>
        </w:rPr>
        <w:t>trois</w:t>
      </w:r>
      <w:r w:rsidR="00E454D1">
        <w:rPr>
          <w:spacing w:val="-2"/>
          <w:lang w:val="fr-CH"/>
        </w:rPr>
        <w:t>ième session</w:t>
      </w:r>
      <w:r w:rsidR="00642259" w:rsidRPr="00E454D1">
        <w:rPr>
          <w:spacing w:val="-2"/>
          <w:lang w:val="fr-CH"/>
        </w:rPr>
        <w:t xml:space="preserve"> ordinaire, sous réserve de l</w:t>
      </w:r>
      <w:r w:rsidR="00E454D1">
        <w:rPr>
          <w:spacing w:val="-2"/>
          <w:lang w:val="fr-CH"/>
        </w:rPr>
        <w:t>’</w:t>
      </w:r>
      <w:r w:rsidR="00642259" w:rsidRPr="00E454D1">
        <w:rPr>
          <w:spacing w:val="-2"/>
          <w:lang w:val="fr-CH"/>
        </w:rPr>
        <w:t>approbation</w:t>
      </w:r>
      <w:r w:rsidR="002F2D47" w:rsidRPr="00E454D1">
        <w:rPr>
          <w:spacing w:val="-2"/>
          <w:lang w:val="fr-CH"/>
        </w:rPr>
        <w:t xml:space="preserve"> du CAJ</w:t>
      </w:r>
      <w:r w:rsidR="00642259" w:rsidRPr="00E454D1">
        <w:rPr>
          <w:spacing w:val="-2"/>
          <w:lang w:val="fr-CH"/>
        </w:rPr>
        <w:t xml:space="preserve"> à sa soixante</w:t>
      </w:r>
      <w:r w:rsidR="00E454D1">
        <w:rPr>
          <w:spacing w:val="-2"/>
          <w:lang w:val="fr-CH"/>
        </w:rPr>
        <w:t>-</w:t>
      </w:r>
      <w:r w:rsidR="00642259" w:rsidRPr="00E454D1">
        <w:rPr>
          <w:spacing w:val="-2"/>
          <w:lang w:val="fr-CH"/>
        </w:rPr>
        <w:t>seiz</w:t>
      </w:r>
      <w:r w:rsidR="00E454D1">
        <w:rPr>
          <w:spacing w:val="-2"/>
          <w:lang w:val="fr-CH"/>
        </w:rPr>
        <w:t>ième session</w:t>
      </w:r>
      <w:r w:rsidR="00642259" w:rsidRPr="00E454D1">
        <w:rPr>
          <w:spacing w:val="-2"/>
          <w:lang w:val="fr-CH"/>
        </w:rPr>
        <w:t>.</w:t>
      </w:r>
    </w:p>
    <w:p w:rsidR="00D75FE9" w:rsidRPr="00E454D1" w:rsidRDefault="00D75FE9" w:rsidP="0044336B">
      <w:pPr>
        <w:rPr>
          <w:spacing w:val="-2"/>
          <w:lang w:val="fr-CH"/>
        </w:rPr>
      </w:pPr>
    </w:p>
    <w:p w:rsidR="00D75FE9" w:rsidRPr="00E454D1" w:rsidRDefault="0044336B" w:rsidP="00642259">
      <w:pPr>
        <w:rPr>
          <w:bCs/>
          <w:snapToGrid w:val="0"/>
          <w:szCs w:val="24"/>
          <w:lang w:val="fr-CH"/>
        </w:rPr>
      </w:pPr>
      <w:r w:rsidRPr="00E454D1">
        <w:rPr>
          <w:spacing w:val="-2"/>
          <w:lang w:val="fr-CH"/>
        </w:rPr>
        <w:lastRenderedPageBreak/>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642259" w:rsidRPr="00E454D1">
        <w:rPr>
          <w:spacing w:val="-2"/>
          <w:lang w:val="fr-CH"/>
        </w:rPr>
        <w:t xml:space="preserve">Les traductions en français, allemand et espagnol du texte anglais original ont été examinées par les membres concernés du Comité de rédaction avant la présentation du projet de </w:t>
      </w:r>
      <w:r w:rsidR="002F2D47" w:rsidRPr="00E454D1">
        <w:rPr>
          <w:spacing w:val="-2"/>
          <w:lang w:val="fr-CH"/>
        </w:rPr>
        <w:t>document TG</w:t>
      </w:r>
      <w:r w:rsidR="00642259" w:rsidRPr="00E454D1">
        <w:rPr>
          <w:spacing w:val="-2"/>
          <w:lang w:val="fr-CH"/>
        </w:rPr>
        <w:t>P/7/7 au Conse</w:t>
      </w:r>
      <w:r w:rsidR="00C77A34" w:rsidRPr="00E454D1">
        <w:rPr>
          <w:spacing w:val="-2"/>
          <w:lang w:val="fr-CH"/>
        </w:rPr>
        <w:t>il</w:t>
      </w:r>
      <w:r w:rsidR="00C77A34">
        <w:rPr>
          <w:spacing w:val="-2"/>
          <w:lang w:val="fr-CH"/>
        </w:rPr>
        <w:t xml:space="preserve">.  </w:t>
      </w:r>
      <w:r w:rsidR="00C77A34" w:rsidRPr="00E454D1">
        <w:rPr>
          <w:spacing w:val="-2"/>
          <w:lang w:val="fr-CH"/>
        </w:rPr>
        <w:t>Le</w:t>
      </w:r>
      <w:r w:rsidR="00642259" w:rsidRPr="00E454D1">
        <w:rPr>
          <w:spacing w:val="-2"/>
          <w:lang w:val="fr-CH"/>
        </w:rPr>
        <w:t xml:space="preserve"> </w:t>
      </w:r>
      <w:r w:rsidR="002F2D47" w:rsidRPr="00E454D1">
        <w:rPr>
          <w:spacing w:val="-2"/>
          <w:lang w:val="fr-CH"/>
        </w:rPr>
        <w:t>document TG</w:t>
      </w:r>
      <w:r w:rsidR="00642259" w:rsidRPr="00E454D1">
        <w:rPr>
          <w:spacing w:val="-2"/>
          <w:lang w:val="fr-CH"/>
        </w:rPr>
        <w:t xml:space="preserve">P/7/7 </w:t>
      </w:r>
      <w:proofErr w:type="spellStart"/>
      <w:r w:rsidR="00642259" w:rsidRPr="00E454D1">
        <w:rPr>
          <w:spacing w:val="-2"/>
          <w:lang w:val="fr-CH"/>
        </w:rPr>
        <w:t>Draft</w:t>
      </w:r>
      <w:proofErr w:type="spellEnd"/>
      <w:r w:rsidR="00FE5010" w:rsidRPr="00E454D1">
        <w:rPr>
          <w:spacing w:val="-2"/>
          <w:lang w:val="fr-CH"/>
        </w:rPr>
        <w:t> </w:t>
      </w:r>
      <w:r w:rsidR="00642259" w:rsidRPr="00E454D1">
        <w:rPr>
          <w:spacing w:val="-2"/>
          <w:lang w:val="fr-CH"/>
        </w:rPr>
        <w:t>1 contient les modifications approuvées par le</w:t>
      </w:r>
      <w:r w:rsidR="00E454D1">
        <w:rPr>
          <w:spacing w:val="-2"/>
          <w:lang w:val="fr-CH"/>
        </w:rPr>
        <w:t> TC</w:t>
      </w:r>
      <w:r w:rsidR="00642259" w:rsidRPr="00E454D1">
        <w:rPr>
          <w:spacing w:val="-2"/>
          <w:lang w:val="fr-CH"/>
        </w:rPr>
        <w:t xml:space="preserve"> figurant à l</w:t>
      </w:r>
      <w:r w:rsidR="00E454D1">
        <w:rPr>
          <w:spacing w:val="-2"/>
          <w:lang w:val="fr-CH"/>
        </w:rPr>
        <w:t>’</w:t>
      </w:r>
      <w:r w:rsidR="002F2D47" w:rsidRPr="00E454D1">
        <w:rPr>
          <w:spacing w:val="-2"/>
          <w:lang w:val="fr-CH"/>
        </w:rPr>
        <w:t>annexe I</w:t>
      </w:r>
      <w:r w:rsidR="00642259" w:rsidRPr="00E454D1">
        <w:rPr>
          <w:spacing w:val="-2"/>
          <w:lang w:val="fr-CH"/>
        </w:rPr>
        <w:t xml:space="preserve"> du présent document (avec changements apparents), ainsi que les modifications d</w:t>
      </w:r>
      <w:r w:rsidR="00E454D1">
        <w:rPr>
          <w:spacing w:val="-2"/>
          <w:lang w:val="fr-CH"/>
        </w:rPr>
        <w:t>’</w:t>
      </w:r>
      <w:r w:rsidR="00642259" w:rsidRPr="00E454D1">
        <w:rPr>
          <w:spacing w:val="-2"/>
          <w:lang w:val="fr-CH"/>
        </w:rPr>
        <w:t>ordre linguistique apportées par les membres concernés du Comité de rédaction.</w:t>
      </w:r>
    </w:p>
    <w:p w:rsidR="00D75FE9" w:rsidRPr="00E454D1" w:rsidRDefault="00D75FE9" w:rsidP="0044336B">
      <w:pPr>
        <w:rPr>
          <w:lang w:val="fr-CH"/>
        </w:rPr>
      </w:pPr>
    </w:p>
    <w:p w:rsidR="00D75FE9" w:rsidRPr="00E454D1" w:rsidRDefault="0044336B" w:rsidP="00642259">
      <w:pPr>
        <w:pStyle w:val="DecisionParagraph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642259" w:rsidRPr="00E454D1">
        <w:rPr>
          <w:lang w:val="fr-CH"/>
        </w:rPr>
        <w:t>Le</w:t>
      </w:r>
      <w:r w:rsidR="00E454D1">
        <w:rPr>
          <w:lang w:val="fr-CH"/>
        </w:rPr>
        <w:t> TC</w:t>
      </w:r>
      <w:r w:rsidR="00642259" w:rsidRPr="00E454D1">
        <w:rPr>
          <w:lang w:val="fr-CH"/>
        </w:rPr>
        <w:t xml:space="preserve"> est</w:t>
      </w:r>
      <w:r w:rsidR="003B6691" w:rsidRPr="00E454D1">
        <w:rPr>
          <w:lang w:val="fr-CH"/>
        </w:rPr>
        <w:t xml:space="preserve"> </w:t>
      </w:r>
      <w:r w:rsidR="00642259" w:rsidRPr="00E454D1">
        <w:rPr>
          <w:lang w:val="fr-CH"/>
        </w:rPr>
        <w:t>invité à prendre note de la version révisée du document TGP/7 “Élaboration des principes directeurs d</w:t>
      </w:r>
      <w:r w:rsidR="00E454D1">
        <w:rPr>
          <w:lang w:val="fr-CH"/>
        </w:rPr>
        <w:t>’</w:t>
      </w:r>
      <w:r w:rsidR="00642259" w:rsidRPr="00E454D1">
        <w:rPr>
          <w:lang w:val="fr-CH"/>
        </w:rPr>
        <w:t>examen” (document TGP/7/7), qui sera soumise au Conseil pour adoption à sa cinquante</w:t>
      </w:r>
      <w:r w:rsidR="00E454D1">
        <w:rPr>
          <w:lang w:val="fr-CH"/>
        </w:rPr>
        <w:t>-</w:t>
      </w:r>
      <w:r w:rsidR="00642259" w:rsidRPr="00E454D1">
        <w:rPr>
          <w:lang w:val="fr-CH"/>
        </w:rPr>
        <w:t>trois</w:t>
      </w:r>
      <w:r w:rsidR="00E454D1">
        <w:rPr>
          <w:lang w:val="fr-CH"/>
        </w:rPr>
        <w:t>ième session</w:t>
      </w:r>
      <w:r w:rsidR="00642259" w:rsidRPr="00E454D1">
        <w:rPr>
          <w:lang w:val="fr-CH"/>
        </w:rPr>
        <w:t xml:space="preserve"> ordinaire, sous réserve de l</w:t>
      </w:r>
      <w:r w:rsidR="00E454D1">
        <w:rPr>
          <w:lang w:val="fr-CH"/>
        </w:rPr>
        <w:t>’</w:t>
      </w:r>
      <w:r w:rsidR="00642259" w:rsidRPr="00E454D1">
        <w:rPr>
          <w:lang w:val="fr-CH"/>
        </w:rPr>
        <w:t>approbation</w:t>
      </w:r>
      <w:r w:rsidR="002F2D47" w:rsidRPr="00E454D1">
        <w:rPr>
          <w:lang w:val="fr-CH"/>
        </w:rPr>
        <w:t xml:space="preserve"> du CAJ</w:t>
      </w:r>
      <w:r w:rsidR="00642259" w:rsidRPr="00E454D1">
        <w:rPr>
          <w:lang w:val="fr-CH"/>
        </w:rPr>
        <w:t xml:space="preserve"> à sa soixante</w:t>
      </w:r>
      <w:r w:rsidR="00E454D1">
        <w:rPr>
          <w:lang w:val="fr-CH"/>
        </w:rPr>
        <w:t>-</w:t>
      </w:r>
      <w:r w:rsidR="00642259" w:rsidRPr="00E454D1">
        <w:rPr>
          <w:lang w:val="fr-CH"/>
        </w:rPr>
        <w:t>seiz</w:t>
      </w:r>
      <w:r w:rsidR="00E454D1">
        <w:rPr>
          <w:lang w:val="fr-CH"/>
        </w:rPr>
        <w:t>ième session</w:t>
      </w:r>
      <w:r w:rsidR="00642259" w:rsidRPr="00E454D1">
        <w:rPr>
          <w:lang w:val="fr-CH"/>
        </w:rPr>
        <w:t xml:space="preserve">, sur la base du </w:t>
      </w:r>
      <w:r w:rsidR="002F2D47" w:rsidRPr="00E454D1">
        <w:rPr>
          <w:lang w:val="fr-CH"/>
        </w:rPr>
        <w:t>document TG</w:t>
      </w:r>
      <w:r w:rsidR="00642259" w:rsidRPr="00E454D1">
        <w:rPr>
          <w:lang w:val="fr-CH"/>
        </w:rPr>
        <w:t xml:space="preserve">P/7/7 </w:t>
      </w:r>
      <w:proofErr w:type="spellStart"/>
      <w:r w:rsidR="00642259" w:rsidRPr="00E454D1">
        <w:rPr>
          <w:lang w:val="fr-CH"/>
        </w:rPr>
        <w:t>Draft</w:t>
      </w:r>
      <w:proofErr w:type="spellEnd"/>
      <w:r w:rsidR="00642259" w:rsidRPr="00E454D1">
        <w:rPr>
          <w:lang w:val="fr-CH"/>
        </w:rPr>
        <w:t> 1.</w:t>
      </w:r>
    </w:p>
    <w:p w:rsidR="00D75FE9" w:rsidRPr="00E454D1" w:rsidRDefault="00D75FE9" w:rsidP="0044336B">
      <w:pPr>
        <w:rPr>
          <w:rFonts w:eastAsia="MS Mincho"/>
          <w:lang w:val="fr-CH"/>
        </w:rPr>
      </w:pPr>
    </w:p>
    <w:p w:rsidR="00D75FE9" w:rsidRPr="00E454D1" w:rsidRDefault="00642259" w:rsidP="00642259">
      <w:pPr>
        <w:pStyle w:val="Heading2"/>
        <w:rPr>
          <w:lang w:val="fr-CH"/>
        </w:rPr>
      </w:pPr>
      <w:bookmarkStart w:id="17" w:name="_Toc22035909"/>
      <w:r w:rsidRPr="00E454D1">
        <w:rPr>
          <w:lang w:val="fr-CH"/>
        </w:rPr>
        <w:t>Document</w:t>
      </w:r>
      <w:r w:rsidR="00FE5010" w:rsidRPr="00E454D1">
        <w:rPr>
          <w:lang w:val="fr-CH"/>
        </w:rPr>
        <w:t> </w:t>
      </w:r>
      <w:r w:rsidRPr="00E454D1">
        <w:rPr>
          <w:lang w:val="fr-CH"/>
        </w:rPr>
        <w:t>TGP/8</w:t>
      </w:r>
      <w:r w:rsidR="00E454D1">
        <w:rPr>
          <w:lang w:val="fr-CH"/>
        </w:rPr>
        <w:t> :</w:t>
      </w:r>
      <w:r w:rsidRPr="00E454D1">
        <w:rPr>
          <w:lang w:val="fr-CH"/>
        </w:rPr>
        <w:t xml:space="preserve"> Protocole d</w:t>
      </w:r>
      <w:r w:rsidR="00E454D1">
        <w:rPr>
          <w:lang w:val="fr-CH"/>
        </w:rPr>
        <w:t>’</w:t>
      </w:r>
      <w:r w:rsidRPr="00E454D1">
        <w:rPr>
          <w:lang w:val="fr-CH"/>
        </w:rPr>
        <w:t>essai et techniques utilisés dans l</w:t>
      </w:r>
      <w:r w:rsidR="00E454D1">
        <w:rPr>
          <w:lang w:val="fr-CH"/>
        </w:rPr>
        <w:t>’</w:t>
      </w:r>
      <w:r w:rsidRPr="00E454D1">
        <w:rPr>
          <w:lang w:val="fr-CH"/>
        </w:rPr>
        <w:t>examen de la distinction, de l</w:t>
      </w:r>
      <w:r w:rsidR="00E454D1">
        <w:rPr>
          <w:lang w:val="fr-CH"/>
        </w:rPr>
        <w:t>’</w:t>
      </w:r>
      <w:r w:rsidRPr="00E454D1">
        <w:rPr>
          <w:lang w:val="fr-CH"/>
        </w:rPr>
        <w:t>homogénéité et de la stabilité (révision) (</w:t>
      </w:r>
      <w:r w:rsidR="002F2D47" w:rsidRPr="00E454D1">
        <w:rPr>
          <w:lang w:val="fr-CH"/>
        </w:rPr>
        <w:t>document TG</w:t>
      </w:r>
      <w:r w:rsidRPr="00E454D1">
        <w:rPr>
          <w:lang w:val="fr-CH"/>
        </w:rPr>
        <w:t xml:space="preserve">P/8/4 </w:t>
      </w:r>
      <w:proofErr w:type="spellStart"/>
      <w:r w:rsidRPr="00E454D1">
        <w:rPr>
          <w:lang w:val="fr-CH"/>
        </w:rPr>
        <w:t>Draft</w:t>
      </w:r>
      <w:proofErr w:type="spellEnd"/>
      <w:r w:rsidR="00FE5010" w:rsidRPr="00E454D1">
        <w:rPr>
          <w:lang w:val="fr-CH"/>
        </w:rPr>
        <w:t> </w:t>
      </w:r>
      <w:r w:rsidRPr="00E454D1">
        <w:rPr>
          <w:lang w:val="fr-CH"/>
        </w:rPr>
        <w:t>1)</w:t>
      </w:r>
      <w:bookmarkEnd w:id="17"/>
    </w:p>
    <w:p w:rsidR="00D75FE9" w:rsidRPr="00E454D1" w:rsidRDefault="00D75FE9" w:rsidP="00524DB4">
      <w:pPr>
        <w:keepNext/>
        <w:rPr>
          <w:lang w:val="fr-CH"/>
        </w:rPr>
      </w:pPr>
    </w:p>
    <w:p w:rsidR="002F2D47" w:rsidRPr="00E454D1" w:rsidRDefault="0044336B" w:rsidP="006E2A19">
      <w:pPr>
        <w:keepNext/>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6E2A19" w:rsidRPr="00E454D1">
        <w:rPr>
          <w:lang w:val="fr-CH"/>
        </w:rPr>
        <w:t>À sa cinquante</w:t>
      </w:r>
      <w:r w:rsidR="00E454D1">
        <w:rPr>
          <w:lang w:val="fr-CH"/>
        </w:rPr>
        <w:t>-</w:t>
      </w:r>
      <w:r w:rsidR="006E2A19" w:rsidRPr="00E454D1">
        <w:rPr>
          <w:lang w:val="fr-CH"/>
        </w:rPr>
        <w:t>trois</w:t>
      </w:r>
      <w:r w:rsidR="00E454D1">
        <w:rPr>
          <w:lang w:val="fr-CH"/>
        </w:rPr>
        <w:t>ième session</w:t>
      </w:r>
      <w:r w:rsidR="006E2A19" w:rsidRPr="00E454D1">
        <w:rPr>
          <w:lang w:val="fr-CH"/>
        </w:rPr>
        <w:t xml:space="preserve"> tenue à Genève du 3 au 5 avril 2017, le</w:t>
      </w:r>
      <w:r w:rsidR="00E454D1">
        <w:rPr>
          <w:lang w:val="fr-CH"/>
        </w:rPr>
        <w:t> TC</w:t>
      </w:r>
      <w:r w:rsidR="006E2A19" w:rsidRPr="00E454D1">
        <w:rPr>
          <w:lang w:val="fr-CH"/>
        </w:rPr>
        <w:t xml:space="preserve"> a approuvé la proposition d</w:t>
      </w:r>
      <w:r w:rsidR="00E454D1">
        <w:rPr>
          <w:lang w:val="fr-CH"/>
        </w:rPr>
        <w:t>’</w:t>
      </w:r>
      <w:r w:rsidR="006E2A19" w:rsidRPr="00E454D1">
        <w:rPr>
          <w:lang w:val="fr-CH"/>
        </w:rPr>
        <w:t>orientations sur l</w:t>
      </w:r>
      <w:r w:rsidR="00E454D1">
        <w:rPr>
          <w:lang w:val="fr-CH"/>
        </w:rPr>
        <w:t>’</w:t>
      </w:r>
      <w:r w:rsidR="006E2A19" w:rsidRPr="00E454D1">
        <w:rPr>
          <w:lang w:val="fr-CH"/>
        </w:rPr>
        <w:t>“Examen des caractères DHS sur la base d</w:t>
      </w:r>
      <w:r w:rsidR="00E454D1">
        <w:rPr>
          <w:lang w:val="fr-CH"/>
        </w:rPr>
        <w:t>’</w:t>
      </w:r>
      <w:r w:rsidR="006E2A19" w:rsidRPr="00E454D1">
        <w:rPr>
          <w:lang w:val="fr-CH"/>
        </w:rPr>
        <w:t>échantillons globaux” en vue de leur inclusion dans une version révisée du document TGP/8 “Protocole d</w:t>
      </w:r>
      <w:r w:rsidR="00E454D1">
        <w:rPr>
          <w:lang w:val="fr-CH"/>
        </w:rPr>
        <w:t>’</w:t>
      </w:r>
      <w:r w:rsidR="006E2A19" w:rsidRPr="00E454D1">
        <w:rPr>
          <w:lang w:val="fr-CH"/>
        </w:rPr>
        <w:t>essai et techniques utilisés dans l</w:t>
      </w:r>
      <w:r w:rsidR="00E454D1">
        <w:rPr>
          <w:lang w:val="fr-CH"/>
        </w:rPr>
        <w:t>’</w:t>
      </w:r>
      <w:r w:rsidR="006E2A19" w:rsidRPr="00E454D1">
        <w:rPr>
          <w:lang w:val="fr-CH"/>
        </w:rPr>
        <w:t>examen de la distinction, de l</w:t>
      </w:r>
      <w:r w:rsidR="00E454D1">
        <w:rPr>
          <w:lang w:val="fr-CH"/>
        </w:rPr>
        <w:t>’</w:t>
      </w:r>
      <w:r w:rsidR="006E2A19" w:rsidRPr="00E454D1">
        <w:rPr>
          <w:lang w:val="fr-CH"/>
        </w:rPr>
        <w:t>homogénéité et de la stabilité” (voir les paragraphes</w:t>
      </w:r>
      <w:r w:rsidR="00FE5010" w:rsidRPr="00E454D1">
        <w:rPr>
          <w:lang w:val="fr-CH"/>
        </w:rPr>
        <w:t> </w:t>
      </w:r>
      <w:r w:rsidR="006E2A19" w:rsidRPr="00E454D1">
        <w:rPr>
          <w:lang w:val="fr-CH"/>
        </w:rPr>
        <w:t xml:space="preserve">113 à 116 du </w:t>
      </w:r>
      <w:r w:rsidR="00E454D1" w:rsidRPr="00E454D1">
        <w:rPr>
          <w:lang w:val="fr-CH"/>
        </w:rPr>
        <w:t>document</w:t>
      </w:r>
      <w:r w:rsidR="00E454D1">
        <w:rPr>
          <w:lang w:val="fr-CH"/>
        </w:rPr>
        <w:t xml:space="preserve"> TC</w:t>
      </w:r>
      <w:r w:rsidR="003B3732">
        <w:rPr>
          <w:lang w:val="fr-CH"/>
        </w:rPr>
        <w:t>/53/31 “Compte </w:t>
      </w:r>
      <w:r w:rsidR="006E2A19" w:rsidRPr="00E454D1">
        <w:rPr>
          <w:lang w:val="fr-CH"/>
        </w:rPr>
        <w:t>rendu”).</w:t>
      </w:r>
    </w:p>
    <w:p w:rsidR="00D75FE9" w:rsidRPr="00E454D1" w:rsidRDefault="00D75FE9" w:rsidP="0044336B">
      <w:pPr>
        <w:rPr>
          <w:lang w:val="fr-CH"/>
        </w:rPr>
      </w:pPr>
    </w:p>
    <w:p w:rsidR="00D75FE9" w:rsidRPr="00E454D1" w:rsidRDefault="0044336B" w:rsidP="0044336B">
      <w:pPr>
        <w:rPr>
          <w:spacing w:val="-2"/>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6E2A19" w:rsidRPr="00E454D1">
        <w:rPr>
          <w:lang w:val="fr-CH"/>
        </w:rPr>
        <w:t>À sa cinquante</w:t>
      </w:r>
      <w:r w:rsidR="00E454D1">
        <w:rPr>
          <w:lang w:val="fr-CH"/>
        </w:rPr>
        <w:t>-</w:t>
      </w:r>
      <w:r w:rsidR="006E2A19" w:rsidRPr="00E454D1">
        <w:rPr>
          <w:lang w:val="fr-CH"/>
        </w:rPr>
        <w:t>quatr</w:t>
      </w:r>
      <w:r w:rsidR="00E454D1">
        <w:rPr>
          <w:lang w:val="fr-CH"/>
        </w:rPr>
        <w:t>ième session</w:t>
      </w:r>
      <w:r w:rsidR="006E2A19" w:rsidRPr="00E454D1">
        <w:rPr>
          <w:lang w:val="fr-CH"/>
        </w:rPr>
        <w:t>, le</w:t>
      </w:r>
      <w:r w:rsidR="00E454D1">
        <w:rPr>
          <w:lang w:val="fr-CH"/>
        </w:rPr>
        <w:t> TC</w:t>
      </w:r>
      <w:r w:rsidR="006E2A19" w:rsidRPr="00E454D1">
        <w:rPr>
          <w:lang w:val="fr-CH"/>
        </w:rPr>
        <w:t xml:space="preserve"> est convenu de remplacer les orientations figurant dans le document TGP/8/2, deuxième partie, </w:t>
      </w:r>
      <w:r w:rsidR="002F2D47" w:rsidRPr="00E454D1">
        <w:rPr>
          <w:lang w:val="fr-CH"/>
        </w:rPr>
        <w:t>section 8</w:t>
      </w:r>
      <w:r w:rsidR="006E2A19" w:rsidRPr="00E454D1">
        <w:rPr>
          <w:lang w:val="fr-CH"/>
        </w:rPr>
        <w:t>, sous</w:t>
      </w:r>
      <w:r w:rsidR="00E454D1">
        <w:rPr>
          <w:lang w:val="fr-CH"/>
        </w:rPr>
        <w:t>-</w:t>
      </w:r>
      <w:r w:rsidR="002F2D47" w:rsidRPr="00E454D1">
        <w:rPr>
          <w:lang w:val="fr-CH"/>
        </w:rPr>
        <w:t>section 8</w:t>
      </w:r>
      <w:r w:rsidR="006E2A19" w:rsidRPr="00E454D1">
        <w:rPr>
          <w:lang w:val="fr-CH"/>
        </w:rPr>
        <w:t>.1.7, par un renvoi aux nouvelles orientations sur l</w:t>
      </w:r>
      <w:r w:rsidR="00E454D1">
        <w:rPr>
          <w:lang w:val="fr-CH"/>
        </w:rPr>
        <w:t>’</w:t>
      </w:r>
      <w:r w:rsidR="006E2A19" w:rsidRPr="00E454D1">
        <w:rPr>
          <w:lang w:val="fr-CH"/>
        </w:rPr>
        <w:t>“Évaluation de l</w:t>
      </w:r>
      <w:r w:rsidR="00E454D1">
        <w:rPr>
          <w:lang w:val="fr-CH"/>
        </w:rPr>
        <w:t>’</w:t>
      </w:r>
      <w:r w:rsidR="006E2A19" w:rsidRPr="00E454D1">
        <w:rPr>
          <w:lang w:val="fr-CH"/>
        </w:rPr>
        <w:t>homogénéité d</w:t>
      </w:r>
      <w:r w:rsidR="00E454D1">
        <w:rPr>
          <w:lang w:val="fr-CH"/>
        </w:rPr>
        <w:t>’</w:t>
      </w:r>
      <w:r w:rsidR="006E2A19" w:rsidRPr="00E454D1">
        <w:rPr>
          <w:lang w:val="fr-CH"/>
        </w:rPr>
        <w:t>après les plantes hors</w:t>
      </w:r>
      <w:r w:rsidR="00E454D1">
        <w:rPr>
          <w:lang w:val="fr-CH"/>
        </w:rPr>
        <w:t>-</w:t>
      </w:r>
      <w:r w:rsidR="006E2A19" w:rsidRPr="00E454D1">
        <w:rPr>
          <w:lang w:val="fr-CH"/>
        </w:rPr>
        <w:t>type sur la base de plusieurs cycles de végétation ou sur la base de sous</w:t>
      </w:r>
      <w:r w:rsidR="00E454D1">
        <w:rPr>
          <w:lang w:val="fr-CH"/>
        </w:rPr>
        <w:t>-</w:t>
      </w:r>
      <w:r w:rsidR="006E2A19" w:rsidRPr="00E454D1">
        <w:rPr>
          <w:lang w:val="fr-CH"/>
        </w:rPr>
        <w:t>échantillons” en vue de leur inclusion dans le document TGP/10 “Examen de l</w:t>
      </w:r>
      <w:r w:rsidR="00E454D1">
        <w:rPr>
          <w:lang w:val="fr-CH"/>
        </w:rPr>
        <w:t>’</w:t>
      </w:r>
      <w:r w:rsidR="006E2A19" w:rsidRPr="00E454D1">
        <w:rPr>
          <w:lang w:val="fr-CH"/>
        </w:rPr>
        <w:t>homogénéité”</w:t>
      </w:r>
      <w:r w:rsidR="00A16A1D" w:rsidRPr="00E454D1">
        <w:rPr>
          <w:lang w:val="fr-CH"/>
        </w:rPr>
        <w:t xml:space="preserve"> (</w:t>
      </w:r>
      <w:r w:rsidR="006E2A19" w:rsidRPr="00E454D1">
        <w:rPr>
          <w:lang w:val="fr-CH"/>
        </w:rPr>
        <w:t>voir les paragraphes</w:t>
      </w:r>
      <w:r w:rsidR="00FE5010" w:rsidRPr="00E454D1">
        <w:rPr>
          <w:lang w:val="fr-CH"/>
        </w:rPr>
        <w:t> </w:t>
      </w:r>
      <w:r w:rsidR="006E2A19" w:rsidRPr="00E454D1">
        <w:rPr>
          <w:lang w:val="fr-CH"/>
        </w:rPr>
        <w:t>231 et 232 du document</w:t>
      </w:r>
      <w:r w:rsidR="00FE5010" w:rsidRPr="00E454D1">
        <w:rPr>
          <w:lang w:val="fr-CH"/>
        </w:rPr>
        <w:t> </w:t>
      </w:r>
      <w:hyperlink r:id="rId9" w:history="1">
        <w:r w:rsidR="006E2A19" w:rsidRPr="00D542BB">
          <w:rPr>
            <w:rStyle w:val="Hyperlink"/>
          </w:rPr>
          <w:t>TC/54/31</w:t>
        </w:r>
        <w:r w:rsidR="00A16A1D" w:rsidRPr="00D542BB">
          <w:rPr>
            <w:rStyle w:val="Hyperlink"/>
          </w:rPr>
          <w:t> </w:t>
        </w:r>
        <w:r w:rsidR="006E2A19" w:rsidRPr="00D542BB">
          <w:rPr>
            <w:rStyle w:val="Hyperlink"/>
          </w:rPr>
          <w:t>Corr.</w:t>
        </w:r>
      </w:hyperlink>
      <w:r w:rsidR="006E2A19" w:rsidRPr="00E454D1">
        <w:rPr>
          <w:lang w:val="fr-CH"/>
        </w:rPr>
        <w:t xml:space="preserve"> “Compte rendu”).</w:t>
      </w:r>
    </w:p>
    <w:p w:rsidR="00D75FE9" w:rsidRPr="00E454D1" w:rsidRDefault="00D75FE9" w:rsidP="0044336B">
      <w:pPr>
        <w:rPr>
          <w:spacing w:val="-2"/>
          <w:lang w:val="fr-CH"/>
        </w:rPr>
      </w:pPr>
    </w:p>
    <w:p w:rsidR="00D75FE9" w:rsidRPr="00E454D1" w:rsidRDefault="0044336B" w:rsidP="003B6691">
      <w:pPr>
        <w:rPr>
          <w:spacing w:val="-2"/>
          <w:lang w:val="fr-CH"/>
        </w:rPr>
      </w:pPr>
      <w:r w:rsidRPr="00E454D1">
        <w:rPr>
          <w:spacing w:val="-2"/>
          <w:lang w:val="fr-CH"/>
        </w:rPr>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3B6691" w:rsidRPr="00E454D1">
        <w:rPr>
          <w:spacing w:val="-2"/>
          <w:lang w:val="fr-CH"/>
        </w:rPr>
        <w:t>Sur la base de ce qui précède, le</w:t>
      </w:r>
      <w:r w:rsidR="00E454D1">
        <w:rPr>
          <w:spacing w:val="-2"/>
          <w:lang w:val="fr-CH"/>
        </w:rPr>
        <w:t> TC</w:t>
      </w:r>
      <w:r w:rsidR="003B6691" w:rsidRPr="00E454D1">
        <w:rPr>
          <w:spacing w:val="-2"/>
          <w:lang w:val="fr-CH"/>
        </w:rPr>
        <w:t xml:space="preserve"> est convenu qu</w:t>
      </w:r>
      <w:r w:rsidR="00E454D1">
        <w:rPr>
          <w:spacing w:val="-2"/>
          <w:lang w:val="fr-CH"/>
        </w:rPr>
        <w:t>’</w:t>
      </w:r>
      <w:r w:rsidR="003B6691" w:rsidRPr="00E454D1">
        <w:rPr>
          <w:spacing w:val="-2"/>
          <w:lang w:val="fr-CH"/>
        </w:rPr>
        <w:t xml:space="preserve">une version révisée du </w:t>
      </w:r>
      <w:r w:rsidR="002F2D47" w:rsidRPr="00E454D1">
        <w:rPr>
          <w:spacing w:val="-2"/>
          <w:lang w:val="fr-CH"/>
        </w:rPr>
        <w:t>document TG</w:t>
      </w:r>
      <w:r w:rsidR="003B6691" w:rsidRPr="00E454D1">
        <w:rPr>
          <w:spacing w:val="-2"/>
          <w:lang w:val="fr-CH"/>
        </w:rPr>
        <w:t>P/8/3 (</w:t>
      </w:r>
      <w:r w:rsidR="002F2D47" w:rsidRPr="00E454D1">
        <w:rPr>
          <w:spacing w:val="-2"/>
          <w:lang w:val="fr-CH"/>
        </w:rPr>
        <w:t>document TG</w:t>
      </w:r>
      <w:r w:rsidR="003B6691" w:rsidRPr="00E454D1">
        <w:rPr>
          <w:spacing w:val="-2"/>
          <w:lang w:val="fr-CH"/>
        </w:rPr>
        <w:t xml:space="preserve">P/8/4 </w:t>
      </w:r>
      <w:proofErr w:type="spellStart"/>
      <w:r w:rsidR="003B6691" w:rsidRPr="00E454D1">
        <w:rPr>
          <w:spacing w:val="-2"/>
          <w:lang w:val="fr-CH"/>
        </w:rPr>
        <w:t>Draft</w:t>
      </w:r>
      <w:proofErr w:type="spellEnd"/>
      <w:r w:rsidR="00FE5010" w:rsidRPr="00E454D1">
        <w:rPr>
          <w:spacing w:val="-2"/>
          <w:lang w:val="fr-CH"/>
        </w:rPr>
        <w:t> </w:t>
      </w:r>
      <w:r w:rsidR="003B6691" w:rsidRPr="00E454D1">
        <w:rPr>
          <w:spacing w:val="-2"/>
          <w:lang w:val="fr-CH"/>
        </w:rPr>
        <w:t>1) devait être soumise au Conseil pour adoption à sa cinquante</w:t>
      </w:r>
      <w:r w:rsidR="00E454D1">
        <w:rPr>
          <w:spacing w:val="-2"/>
          <w:lang w:val="fr-CH"/>
        </w:rPr>
        <w:t>-</w:t>
      </w:r>
      <w:r w:rsidR="003B6691" w:rsidRPr="00E454D1">
        <w:rPr>
          <w:spacing w:val="-2"/>
          <w:lang w:val="fr-CH"/>
        </w:rPr>
        <w:t>trois</w:t>
      </w:r>
      <w:r w:rsidR="00E454D1">
        <w:rPr>
          <w:spacing w:val="-2"/>
          <w:lang w:val="fr-CH"/>
        </w:rPr>
        <w:t>ième session</w:t>
      </w:r>
      <w:r w:rsidR="003B6691" w:rsidRPr="00E454D1">
        <w:rPr>
          <w:spacing w:val="-2"/>
          <w:lang w:val="fr-CH"/>
        </w:rPr>
        <w:t xml:space="preserve"> ordinaire, sous réserve de l</w:t>
      </w:r>
      <w:r w:rsidR="00E454D1">
        <w:rPr>
          <w:spacing w:val="-2"/>
          <w:lang w:val="fr-CH"/>
        </w:rPr>
        <w:t>’</w:t>
      </w:r>
      <w:r w:rsidR="003B6691" w:rsidRPr="00E454D1">
        <w:rPr>
          <w:spacing w:val="-2"/>
          <w:lang w:val="fr-CH"/>
        </w:rPr>
        <w:t>approbation</w:t>
      </w:r>
      <w:r w:rsidR="002F2D47" w:rsidRPr="00E454D1">
        <w:rPr>
          <w:spacing w:val="-2"/>
          <w:lang w:val="fr-CH"/>
        </w:rPr>
        <w:t xml:space="preserve"> du CAJ</w:t>
      </w:r>
      <w:r w:rsidR="003B6691" w:rsidRPr="00E454D1">
        <w:rPr>
          <w:spacing w:val="-2"/>
          <w:lang w:val="fr-CH"/>
        </w:rPr>
        <w:t xml:space="preserve"> à sa soixante</w:t>
      </w:r>
      <w:r w:rsidR="00E454D1">
        <w:rPr>
          <w:spacing w:val="-2"/>
          <w:lang w:val="fr-CH"/>
        </w:rPr>
        <w:t>-</w:t>
      </w:r>
      <w:r w:rsidR="003B6691" w:rsidRPr="00E454D1">
        <w:rPr>
          <w:spacing w:val="-2"/>
          <w:lang w:val="fr-CH"/>
        </w:rPr>
        <w:t>seiz</w:t>
      </w:r>
      <w:r w:rsidR="00E454D1">
        <w:rPr>
          <w:spacing w:val="-2"/>
          <w:lang w:val="fr-CH"/>
        </w:rPr>
        <w:t>ième session</w:t>
      </w:r>
      <w:r w:rsidR="003B6691" w:rsidRPr="00E454D1">
        <w:rPr>
          <w:spacing w:val="-2"/>
          <w:lang w:val="fr-CH"/>
        </w:rPr>
        <w:t>.</w:t>
      </w:r>
    </w:p>
    <w:p w:rsidR="00D75FE9" w:rsidRPr="00E454D1" w:rsidRDefault="00D75FE9" w:rsidP="006E2A19">
      <w:pPr>
        <w:rPr>
          <w:spacing w:val="-2"/>
          <w:lang w:val="fr-CH"/>
        </w:rPr>
      </w:pPr>
    </w:p>
    <w:p w:rsidR="00D75FE9" w:rsidRPr="00E454D1" w:rsidRDefault="00A16A1D" w:rsidP="006E2A19">
      <w:pPr>
        <w:rPr>
          <w:bCs/>
          <w:snapToGrid w:val="0"/>
          <w:szCs w:val="24"/>
          <w:lang w:val="fr-CH"/>
        </w:rPr>
      </w:pPr>
      <w:r w:rsidRPr="00E454D1">
        <w:rPr>
          <w:spacing w:val="-2"/>
          <w:lang w:val="fr-CH"/>
        </w:rPr>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6E2A19" w:rsidRPr="00E454D1">
        <w:rPr>
          <w:spacing w:val="-2"/>
          <w:lang w:val="fr-CH"/>
        </w:rPr>
        <w:t xml:space="preserve">Les traductions en français, allemand et espagnol du texte anglais original ont été examinées par les membres concernés du Comité de rédaction avant la présentation du projet de </w:t>
      </w:r>
      <w:r w:rsidR="002F2D47" w:rsidRPr="00E454D1">
        <w:rPr>
          <w:spacing w:val="-2"/>
          <w:lang w:val="fr-CH"/>
        </w:rPr>
        <w:t>document TG</w:t>
      </w:r>
      <w:r w:rsidR="006E2A19" w:rsidRPr="00E454D1">
        <w:rPr>
          <w:spacing w:val="-2"/>
          <w:lang w:val="fr-CH"/>
        </w:rPr>
        <w:t>P/8/4 au Conse</w:t>
      </w:r>
      <w:r w:rsidR="00C77A34" w:rsidRPr="00E454D1">
        <w:rPr>
          <w:spacing w:val="-2"/>
          <w:lang w:val="fr-CH"/>
        </w:rPr>
        <w:t>il</w:t>
      </w:r>
      <w:r w:rsidR="00C77A34">
        <w:rPr>
          <w:spacing w:val="-2"/>
          <w:lang w:val="fr-CH"/>
        </w:rPr>
        <w:t xml:space="preserve">.  </w:t>
      </w:r>
      <w:r w:rsidR="00C77A34" w:rsidRPr="00E454D1">
        <w:rPr>
          <w:spacing w:val="-2"/>
          <w:lang w:val="fr-CH"/>
        </w:rPr>
        <w:t>Le</w:t>
      </w:r>
      <w:r w:rsidR="006E2A19" w:rsidRPr="00E454D1">
        <w:rPr>
          <w:spacing w:val="-2"/>
          <w:lang w:val="fr-CH"/>
        </w:rPr>
        <w:t xml:space="preserve"> </w:t>
      </w:r>
      <w:r w:rsidR="002F2D47" w:rsidRPr="00E454D1">
        <w:rPr>
          <w:spacing w:val="-2"/>
          <w:lang w:val="fr-CH"/>
        </w:rPr>
        <w:t>document TG</w:t>
      </w:r>
      <w:r w:rsidR="006E2A19" w:rsidRPr="00E454D1">
        <w:rPr>
          <w:spacing w:val="-2"/>
          <w:lang w:val="fr-CH"/>
        </w:rPr>
        <w:t xml:space="preserve">P/8/4 </w:t>
      </w:r>
      <w:proofErr w:type="spellStart"/>
      <w:r w:rsidR="006E2A19" w:rsidRPr="00E454D1">
        <w:rPr>
          <w:spacing w:val="-2"/>
          <w:lang w:val="fr-CH"/>
        </w:rPr>
        <w:t>Draft</w:t>
      </w:r>
      <w:proofErr w:type="spellEnd"/>
      <w:r w:rsidR="00FE5010" w:rsidRPr="00E454D1">
        <w:rPr>
          <w:spacing w:val="-2"/>
          <w:lang w:val="fr-CH"/>
        </w:rPr>
        <w:t> </w:t>
      </w:r>
      <w:r w:rsidR="006E2A19" w:rsidRPr="00E454D1">
        <w:rPr>
          <w:spacing w:val="-2"/>
          <w:lang w:val="fr-CH"/>
        </w:rPr>
        <w:t>1 contient les modifications approuvées par le</w:t>
      </w:r>
      <w:r w:rsidR="00E454D1">
        <w:rPr>
          <w:spacing w:val="-2"/>
          <w:lang w:val="fr-CH"/>
        </w:rPr>
        <w:t> TC</w:t>
      </w:r>
      <w:r w:rsidR="006E2A19" w:rsidRPr="00E454D1">
        <w:rPr>
          <w:spacing w:val="-2"/>
          <w:lang w:val="fr-CH"/>
        </w:rPr>
        <w:t xml:space="preserve"> figurant à l</w:t>
      </w:r>
      <w:r w:rsidR="00E454D1">
        <w:rPr>
          <w:spacing w:val="-2"/>
          <w:lang w:val="fr-CH"/>
        </w:rPr>
        <w:t>’</w:t>
      </w:r>
      <w:r w:rsidR="006E2A19" w:rsidRPr="00E454D1">
        <w:rPr>
          <w:spacing w:val="-2"/>
          <w:lang w:val="fr-CH"/>
        </w:rPr>
        <w:t>annexe</w:t>
      </w:r>
      <w:r w:rsidR="00FE5010" w:rsidRPr="00E454D1">
        <w:rPr>
          <w:spacing w:val="-2"/>
          <w:lang w:val="fr-CH"/>
        </w:rPr>
        <w:t> </w:t>
      </w:r>
      <w:r w:rsidR="006E2A19" w:rsidRPr="00E454D1">
        <w:rPr>
          <w:spacing w:val="-2"/>
          <w:lang w:val="fr-CH"/>
        </w:rPr>
        <w:t>II du présent document (avec changements apparents), ainsi que les modifications d</w:t>
      </w:r>
      <w:r w:rsidR="00E454D1">
        <w:rPr>
          <w:spacing w:val="-2"/>
          <w:lang w:val="fr-CH"/>
        </w:rPr>
        <w:t>’</w:t>
      </w:r>
      <w:r w:rsidR="006E2A19" w:rsidRPr="00E454D1">
        <w:rPr>
          <w:spacing w:val="-2"/>
          <w:lang w:val="fr-CH"/>
        </w:rPr>
        <w:t>ordre linguistique apportées par les membres concernés du Comité de rédaction.</w:t>
      </w:r>
    </w:p>
    <w:p w:rsidR="00D75FE9" w:rsidRPr="00E454D1" w:rsidRDefault="00D75FE9" w:rsidP="0044336B">
      <w:pPr>
        <w:rPr>
          <w:bCs/>
          <w:snapToGrid w:val="0"/>
          <w:szCs w:val="24"/>
          <w:lang w:val="fr-CH"/>
        </w:rPr>
      </w:pPr>
    </w:p>
    <w:p w:rsidR="002F2D47" w:rsidRPr="00E454D1" w:rsidRDefault="0044336B" w:rsidP="00A16A1D">
      <w:pPr>
        <w:pStyle w:val="DecisionParagraph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A16A1D" w:rsidRPr="00E454D1">
        <w:rPr>
          <w:lang w:val="fr-CH"/>
        </w:rPr>
        <w:t>Le</w:t>
      </w:r>
      <w:r w:rsidR="00E454D1">
        <w:rPr>
          <w:lang w:val="fr-CH"/>
        </w:rPr>
        <w:t> TC</w:t>
      </w:r>
      <w:r w:rsidR="00A16A1D" w:rsidRPr="00E454D1">
        <w:rPr>
          <w:lang w:val="fr-CH"/>
        </w:rPr>
        <w:t xml:space="preserve"> est invité à prendre note de la version révisée du document TGP/8 “Protocole d</w:t>
      </w:r>
      <w:r w:rsidR="00E454D1">
        <w:rPr>
          <w:lang w:val="fr-CH"/>
        </w:rPr>
        <w:t>’</w:t>
      </w:r>
      <w:r w:rsidR="00A16A1D" w:rsidRPr="00E454D1">
        <w:rPr>
          <w:lang w:val="fr-CH"/>
        </w:rPr>
        <w:t>essai et techniques utilisés dans l</w:t>
      </w:r>
      <w:r w:rsidR="00E454D1">
        <w:rPr>
          <w:lang w:val="fr-CH"/>
        </w:rPr>
        <w:t>’</w:t>
      </w:r>
      <w:r w:rsidR="00A16A1D" w:rsidRPr="00E454D1">
        <w:rPr>
          <w:lang w:val="fr-CH"/>
        </w:rPr>
        <w:t>examen de la distinction, de l</w:t>
      </w:r>
      <w:r w:rsidR="00E454D1">
        <w:rPr>
          <w:lang w:val="fr-CH"/>
        </w:rPr>
        <w:t>’</w:t>
      </w:r>
      <w:r w:rsidR="00A16A1D" w:rsidRPr="00E454D1">
        <w:rPr>
          <w:lang w:val="fr-CH"/>
        </w:rPr>
        <w:t>homogénéité et de la stabilité” (document TGP/8/3), qui sera soumise au Conseil pour adoption à sa cinquante</w:t>
      </w:r>
      <w:r w:rsidR="00E454D1">
        <w:rPr>
          <w:lang w:val="fr-CH"/>
        </w:rPr>
        <w:t>-</w:t>
      </w:r>
      <w:r w:rsidR="00A16A1D" w:rsidRPr="00E454D1">
        <w:rPr>
          <w:lang w:val="fr-CH"/>
        </w:rPr>
        <w:t>trois</w:t>
      </w:r>
      <w:r w:rsidR="00E454D1">
        <w:rPr>
          <w:lang w:val="fr-CH"/>
        </w:rPr>
        <w:t>ième session</w:t>
      </w:r>
      <w:r w:rsidR="00A16A1D" w:rsidRPr="00E454D1">
        <w:rPr>
          <w:lang w:val="fr-CH"/>
        </w:rPr>
        <w:t xml:space="preserve"> ordinaire, sous réserve de l</w:t>
      </w:r>
      <w:r w:rsidR="00E454D1">
        <w:rPr>
          <w:lang w:val="fr-CH"/>
        </w:rPr>
        <w:t>’</w:t>
      </w:r>
      <w:r w:rsidR="00A16A1D" w:rsidRPr="00E454D1">
        <w:rPr>
          <w:lang w:val="fr-CH"/>
        </w:rPr>
        <w:t>approbation</w:t>
      </w:r>
      <w:r w:rsidR="002F2D47" w:rsidRPr="00E454D1">
        <w:rPr>
          <w:lang w:val="fr-CH"/>
        </w:rPr>
        <w:t xml:space="preserve"> du CAJ</w:t>
      </w:r>
      <w:r w:rsidR="00A16A1D" w:rsidRPr="00E454D1">
        <w:rPr>
          <w:lang w:val="fr-CH"/>
        </w:rPr>
        <w:t xml:space="preserve"> à sa soixante</w:t>
      </w:r>
      <w:r w:rsidR="00E454D1">
        <w:rPr>
          <w:lang w:val="fr-CH"/>
        </w:rPr>
        <w:t>-</w:t>
      </w:r>
      <w:r w:rsidR="00A16A1D" w:rsidRPr="00E454D1">
        <w:rPr>
          <w:lang w:val="fr-CH"/>
        </w:rPr>
        <w:t>seiz</w:t>
      </w:r>
      <w:r w:rsidR="00E454D1">
        <w:rPr>
          <w:lang w:val="fr-CH"/>
        </w:rPr>
        <w:t>ième session</w:t>
      </w:r>
      <w:r w:rsidR="00A16A1D" w:rsidRPr="00E454D1">
        <w:rPr>
          <w:lang w:val="fr-CH"/>
        </w:rPr>
        <w:t xml:space="preserve">, sur la base du </w:t>
      </w:r>
      <w:r w:rsidR="002F2D47" w:rsidRPr="00E454D1">
        <w:rPr>
          <w:lang w:val="fr-CH"/>
        </w:rPr>
        <w:t>document TG</w:t>
      </w:r>
      <w:r w:rsidR="00A16A1D" w:rsidRPr="00E454D1">
        <w:rPr>
          <w:lang w:val="fr-CH"/>
        </w:rPr>
        <w:t xml:space="preserve">P/8/4 </w:t>
      </w:r>
      <w:proofErr w:type="spellStart"/>
      <w:r w:rsidR="00A16A1D" w:rsidRPr="00E454D1">
        <w:rPr>
          <w:lang w:val="fr-CH"/>
        </w:rPr>
        <w:t>Draft</w:t>
      </w:r>
      <w:proofErr w:type="spellEnd"/>
      <w:r w:rsidR="00A16A1D" w:rsidRPr="00E454D1">
        <w:rPr>
          <w:lang w:val="fr-CH"/>
        </w:rPr>
        <w:t xml:space="preserve"> 1.</w:t>
      </w:r>
    </w:p>
    <w:p w:rsidR="00D75FE9" w:rsidRPr="00E454D1" w:rsidRDefault="00D75FE9" w:rsidP="0044336B">
      <w:pPr>
        <w:pStyle w:val="DecisionParagraphs"/>
        <w:rPr>
          <w:lang w:val="fr-CH"/>
        </w:rPr>
      </w:pPr>
    </w:p>
    <w:p w:rsidR="00D75FE9" w:rsidRPr="00E454D1" w:rsidRDefault="006E2A19" w:rsidP="006E2A19">
      <w:pPr>
        <w:pStyle w:val="Heading2"/>
        <w:rPr>
          <w:lang w:val="fr-CH"/>
        </w:rPr>
      </w:pPr>
      <w:bookmarkStart w:id="18" w:name="_Toc22035910"/>
      <w:r w:rsidRPr="00E454D1">
        <w:rPr>
          <w:lang w:val="fr-CH"/>
        </w:rPr>
        <w:t>Document</w:t>
      </w:r>
      <w:r w:rsidR="00FE5010" w:rsidRPr="00E454D1">
        <w:rPr>
          <w:lang w:val="fr-CH"/>
        </w:rPr>
        <w:t> </w:t>
      </w:r>
      <w:r w:rsidRPr="00E454D1">
        <w:rPr>
          <w:lang w:val="fr-CH"/>
        </w:rPr>
        <w:t>TGP/10</w:t>
      </w:r>
      <w:r w:rsidR="00E454D1">
        <w:rPr>
          <w:lang w:val="fr-CH"/>
        </w:rPr>
        <w:t> :</w:t>
      </w:r>
      <w:r w:rsidRPr="00E454D1">
        <w:rPr>
          <w:lang w:val="fr-CH"/>
        </w:rPr>
        <w:t xml:space="preserve"> Examen de l</w:t>
      </w:r>
      <w:r w:rsidR="00E454D1">
        <w:rPr>
          <w:lang w:val="fr-CH"/>
        </w:rPr>
        <w:t>’</w:t>
      </w:r>
      <w:r w:rsidRPr="00E454D1">
        <w:rPr>
          <w:lang w:val="fr-CH"/>
        </w:rPr>
        <w:t>homogénéité (révision) (</w:t>
      </w:r>
      <w:r w:rsidR="002F2D47" w:rsidRPr="00E454D1">
        <w:rPr>
          <w:lang w:val="fr-CH"/>
        </w:rPr>
        <w:t>document TG</w:t>
      </w:r>
      <w:r w:rsidRPr="00E454D1">
        <w:rPr>
          <w:lang w:val="fr-CH"/>
        </w:rPr>
        <w:t xml:space="preserve">P/10/2 </w:t>
      </w:r>
      <w:proofErr w:type="spellStart"/>
      <w:r w:rsidRPr="00E454D1">
        <w:rPr>
          <w:lang w:val="fr-CH"/>
        </w:rPr>
        <w:t>Draft</w:t>
      </w:r>
      <w:proofErr w:type="spellEnd"/>
      <w:r w:rsidR="00FE5010" w:rsidRPr="00E454D1">
        <w:rPr>
          <w:lang w:val="fr-CH"/>
        </w:rPr>
        <w:t> </w:t>
      </w:r>
      <w:r w:rsidRPr="00E454D1">
        <w:rPr>
          <w:lang w:val="fr-CH"/>
        </w:rPr>
        <w:t>1)</w:t>
      </w:r>
      <w:bookmarkEnd w:id="18"/>
    </w:p>
    <w:p w:rsidR="00D75FE9" w:rsidRPr="00E454D1" w:rsidRDefault="00D75FE9" w:rsidP="0044336B">
      <w:pPr>
        <w:keepNext/>
        <w:rPr>
          <w:rFonts w:eastAsia="MS Mincho"/>
          <w:i/>
          <w:lang w:val="fr-CH"/>
        </w:rPr>
      </w:pPr>
    </w:p>
    <w:p w:rsidR="002F2D47" w:rsidRPr="00E454D1" w:rsidRDefault="0044336B" w:rsidP="003B6691">
      <w:pPr>
        <w:keepNext/>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3B6691" w:rsidRPr="00E454D1">
        <w:rPr>
          <w:lang w:val="fr-CH"/>
        </w:rPr>
        <w:t>À sa cinquante</w:t>
      </w:r>
      <w:r w:rsidR="00E454D1">
        <w:rPr>
          <w:lang w:val="fr-CH"/>
        </w:rPr>
        <w:t>-</w:t>
      </w:r>
      <w:r w:rsidR="003B6691" w:rsidRPr="00E454D1">
        <w:rPr>
          <w:lang w:val="fr-CH"/>
        </w:rPr>
        <w:t>quatr</w:t>
      </w:r>
      <w:r w:rsidR="00E454D1">
        <w:rPr>
          <w:lang w:val="fr-CH"/>
        </w:rPr>
        <w:t>ième session</w:t>
      </w:r>
      <w:r w:rsidR="003B6691" w:rsidRPr="00E454D1">
        <w:rPr>
          <w:lang w:val="fr-CH"/>
        </w:rPr>
        <w:t>, le</w:t>
      </w:r>
      <w:r w:rsidR="00E454D1">
        <w:rPr>
          <w:lang w:val="fr-CH"/>
        </w:rPr>
        <w:t> TC</w:t>
      </w:r>
      <w:r w:rsidR="003B6691" w:rsidRPr="00E454D1">
        <w:rPr>
          <w:lang w:val="fr-CH"/>
        </w:rPr>
        <w:t xml:space="preserve"> est convenu que le projet d</w:t>
      </w:r>
      <w:r w:rsidR="00E454D1">
        <w:rPr>
          <w:lang w:val="fr-CH"/>
        </w:rPr>
        <w:t>’</w:t>
      </w:r>
      <w:r w:rsidR="003B6691" w:rsidRPr="00E454D1">
        <w:rPr>
          <w:lang w:val="fr-CH"/>
        </w:rPr>
        <w:t>orientations sur l</w:t>
      </w:r>
      <w:r w:rsidR="00E454D1">
        <w:rPr>
          <w:lang w:val="fr-CH"/>
        </w:rPr>
        <w:t>’</w:t>
      </w:r>
      <w:r w:rsidR="003B6691" w:rsidRPr="00E454D1">
        <w:rPr>
          <w:lang w:val="fr-CH"/>
        </w:rPr>
        <w:t>“Évaluation de l</w:t>
      </w:r>
      <w:r w:rsidR="00E454D1">
        <w:rPr>
          <w:lang w:val="fr-CH"/>
        </w:rPr>
        <w:t>’</w:t>
      </w:r>
      <w:r w:rsidR="003B6691" w:rsidRPr="00E454D1">
        <w:rPr>
          <w:lang w:val="fr-CH"/>
        </w:rPr>
        <w:t>homogénéité d</w:t>
      </w:r>
      <w:r w:rsidR="00E454D1">
        <w:rPr>
          <w:lang w:val="fr-CH"/>
        </w:rPr>
        <w:t>’</w:t>
      </w:r>
      <w:r w:rsidR="003B6691" w:rsidRPr="00E454D1">
        <w:rPr>
          <w:lang w:val="fr-CH"/>
        </w:rPr>
        <w:t>après les plantes hors</w:t>
      </w:r>
      <w:r w:rsidR="00E454D1">
        <w:rPr>
          <w:lang w:val="fr-CH"/>
        </w:rPr>
        <w:t>-</w:t>
      </w:r>
      <w:r w:rsidR="003B6691" w:rsidRPr="00E454D1">
        <w:rPr>
          <w:lang w:val="fr-CH"/>
        </w:rPr>
        <w:t>type sur la base de plusieurs cycles de végétation ou sur la base de sous</w:t>
      </w:r>
      <w:r w:rsidR="00E454D1">
        <w:rPr>
          <w:lang w:val="fr-CH"/>
        </w:rPr>
        <w:t>-</w:t>
      </w:r>
      <w:r w:rsidR="003B6691" w:rsidRPr="00E454D1">
        <w:rPr>
          <w:lang w:val="fr-CH"/>
        </w:rPr>
        <w:t>échantillons” devait être soumis au Conseil pour adoption en vue de son inclusion dans une future version révisée du document TGP/10 “Examen de l</w:t>
      </w:r>
      <w:r w:rsidR="00E454D1">
        <w:rPr>
          <w:lang w:val="fr-CH"/>
        </w:rPr>
        <w:t>’</w:t>
      </w:r>
      <w:r w:rsidR="003B6691" w:rsidRPr="00E454D1">
        <w:rPr>
          <w:lang w:val="fr-CH"/>
        </w:rPr>
        <w:t>homogénéité” (voir les paragraphes</w:t>
      </w:r>
      <w:r w:rsidR="00FE5010" w:rsidRPr="00E454D1">
        <w:rPr>
          <w:lang w:val="fr-CH"/>
        </w:rPr>
        <w:t> </w:t>
      </w:r>
      <w:r w:rsidR="003B6691" w:rsidRPr="00E454D1">
        <w:rPr>
          <w:lang w:val="fr-CH"/>
        </w:rPr>
        <w:t>233 et 234 du document</w:t>
      </w:r>
      <w:r w:rsidR="00FE5010" w:rsidRPr="00E454D1">
        <w:rPr>
          <w:lang w:val="fr-CH"/>
        </w:rPr>
        <w:t> </w:t>
      </w:r>
      <w:hyperlink r:id="rId10" w:history="1">
        <w:r w:rsidR="003B6691" w:rsidRPr="00D542BB">
          <w:rPr>
            <w:rStyle w:val="Hyperlink"/>
          </w:rPr>
          <w:t>TC/54/31</w:t>
        </w:r>
        <w:r w:rsidR="00124C91" w:rsidRPr="00D542BB">
          <w:rPr>
            <w:rStyle w:val="Hyperlink"/>
          </w:rPr>
          <w:t> </w:t>
        </w:r>
        <w:r w:rsidR="003B6691" w:rsidRPr="00D542BB">
          <w:rPr>
            <w:rStyle w:val="Hyperlink"/>
          </w:rPr>
          <w:t>Corr.</w:t>
        </w:r>
      </w:hyperlink>
      <w:r w:rsidR="003B6691" w:rsidRPr="00E454D1">
        <w:rPr>
          <w:lang w:val="fr-CH"/>
        </w:rPr>
        <w:t xml:space="preserve"> “Compte rendu”).</w:t>
      </w:r>
    </w:p>
    <w:p w:rsidR="00D75FE9" w:rsidRPr="00E454D1" w:rsidRDefault="00D75FE9" w:rsidP="0044336B">
      <w:pPr>
        <w:rPr>
          <w:lang w:val="fr-CH"/>
        </w:rPr>
      </w:pPr>
    </w:p>
    <w:p w:rsidR="00D75FE9" w:rsidRPr="00E454D1" w:rsidRDefault="0044336B" w:rsidP="003B6691">
      <w:pPr>
        <w:rPr>
          <w:bCs/>
          <w:snapToGrid w:val="0"/>
          <w:szCs w:val="24"/>
          <w:lang w:val="fr-CH"/>
        </w:rPr>
      </w:pPr>
      <w:r w:rsidRPr="00E454D1">
        <w:rPr>
          <w:spacing w:val="-2"/>
          <w:lang w:val="fr-CH"/>
        </w:rPr>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3B6691" w:rsidRPr="00E454D1">
        <w:rPr>
          <w:spacing w:val="-2"/>
          <w:lang w:val="fr-CH"/>
        </w:rPr>
        <w:t xml:space="preserve">Les traductions en français, allemand et espagnol du texte anglais original ont été examinées par les membres concernés du Comité de rédaction avant la présentation du projet de </w:t>
      </w:r>
      <w:r w:rsidR="002F2D47" w:rsidRPr="00E454D1">
        <w:rPr>
          <w:spacing w:val="-2"/>
          <w:lang w:val="fr-CH"/>
        </w:rPr>
        <w:t>document TG</w:t>
      </w:r>
      <w:r w:rsidR="003B6691" w:rsidRPr="00E454D1">
        <w:rPr>
          <w:spacing w:val="-2"/>
          <w:lang w:val="fr-CH"/>
        </w:rPr>
        <w:t>P/10/2 au Conse</w:t>
      </w:r>
      <w:r w:rsidR="00C77A34" w:rsidRPr="00E454D1">
        <w:rPr>
          <w:spacing w:val="-2"/>
          <w:lang w:val="fr-CH"/>
        </w:rPr>
        <w:t>il</w:t>
      </w:r>
      <w:r w:rsidR="00C77A34">
        <w:rPr>
          <w:spacing w:val="-2"/>
          <w:lang w:val="fr-CH"/>
        </w:rPr>
        <w:t xml:space="preserve">.  </w:t>
      </w:r>
      <w:r w:rsidR="00C77A34" w:rsidRPr="00E454D1">
        <w:rPr>
          <w:spacing w:val="-2"/>
          <w:lang w:val="fr-CH"/>
        </w:rPr>
        <w:t>Le</w:t>
      </w:r>
      <w:r w:rsidR="003B6691" w:rsidRPr="00E454D1">
        <w:rPr>
          <w:spacing w:val="-2"/>
          <w:lang w:val="fr-CH"/>
        </w:rPr>
        <w:t xml:space="preserve"> </w:t>
      </w:r>
      <w:r w:rsidR="002F2D47" w:rsidRPr="00E454D1">
        <w:rPr>
          <w:spacing w:val="-2"/>
          <w:lang w:val="fr-CH"/>
        </w:rPr>
        <w:t>document TG</w:t>
      </w:r>
      <w:r w:rsidR="003B6691" w:rsidRPr="00E454D1">
        <w:rPr>
          <w:spacing w:val="-2"/>
          <w:lang w:val="fr-CH"/>
        </w:rPr>
        <w:t xml:space="preserve">P/10/2 </w:t>
      </w:r>
      <w:proofErr w:type="spellStart"/>
      <w:r w:rsidR="003B6691" w:rsidRPr="00E454D1">
        <w:rPr>
          <w:spacing w:val="-2"/>
          <w:lang w:val="fr-CH"/>
        </w:rPr>
        <w:t>Draft</w:t>
      </w:r>
      <w:proofErr w:type="spellEnd"/>
      <w:r w:rsidR="00FE5010" w:rsidRPr="00E454D1">
        <w:rPr>
          <w:spacing w:val="-2"/>
          <w:lang w:val="fr-CH"/>
        </w:rPr>
        <w:t> </w:t>
      </w:r>
      <w:r w:rsidR="003B6691" w:rsidRPr="00E454D1">
        <w:rPr>
          <w:spacing w:val="-2"/>
          <w:lang w:val="fr-CH"/>
        </w:rPr>
        <w:t>1 contient les modifications approuvées par le</w:t>
      </w:r>
      <w:r w:rsidR="00E454D1">
        <w:rPr>
          <w:spacing w:val="-2"/>
          <w:lang w:val="fr-CH"/>
        </w:rPr>
        <w:t> TC</w:t>
      </w:r>
      <w:r w:rsidR="003B6691" w:rsidRPr="00E454D1">
        <w:rPr>
          <w:spacing w:val="-2"/>
          <w:lang w:val="fr-CH"/>
        </w:rPr>
        <w:t xml:space="preserve"> figurant </w:t>
      </w:r>
      <w:r w:rsidR="003B6691" w:rsidRPr="00D542BB">
        <w:rPr>
          <w:spacing w:val="-2"/>
          <w:lang w:val="fr-CH"/>
        </w:rPr>
        <w:t>à l</w:t>
      </w:r>
      <w:r w:rsidR="00E454D1" w:rsidRPr="00D542BB">
        <w:rPr>
          <w:spacing w:val="-2"/>
          <w:lang w:val="fr-CH"/>
        </w:rPr>
        <w:t>’</w:t>
      </w:r>
      <w:r w:rsidR="003B6691" w:rsidRPr="00D542BB">
        <w:rPr>
          <w:spacing w:val="-2"/>
          <w:lang w:val="fr-CH"/>
        </w:rPr>
        <w:t>annexe</w:t>
      </w:r>
      <w:r w:rsidR="00FE5010" w:rsidRPr="00D542BB">
        <w:rPr>
          <w:spacing w:val="-2"/>
          <w:lang w:val="fr-CH"/>
        </w:rPr>
        <w:t> </w:t>
      </w:r>
      <w:r w:rsidR="003B6691" w:rsidRPr="00D542BB">
        <w:rPr>
          <w:spacing w:val="-2"/>
          <w:lang w:val="fr-CH"/>
        </w:rPr>
        <w:t>III du présent</w:t>
      </w:r>
      <w:r w:rsidR="003B6691" w:rsidRPr="00E454D1">
        <w:rPr>
          <w:spacing w:val="-2"/>
          <w:lang w:val="fr-CH"/>
        </w:rPr>
        <w:t xml:space="preserve"> document, ainsi que les modifications d</w:t>
      </w:r>
      <w:r w:rsidR="00E454D1">
        <w:rPr>
          <w:spacing w:val="-2"/>
          <w:lang w:val="fr-CH"/>
        </w:rPr>
        <w:t>’</w:t>
      </w:r>
      <w:r w:rsidR="003B6691" w:rsidRPr="00E454D1">
        <w:rPr>
          <w:spacing w:val="-2"/>
          <w:lang w:val="fr-CH"/>
        </w:rPr>
        <w:t>ordre linguistique apportées par les membres concernés du Comité de rédaction.</w:t>
      </w:r>
    </w:p>
    <w:p w:rsidR="00D75FE9" w:rsidRPr="00E454D1" w:rsidRDefault="00D75FE9" w:rsidP="0044336B">
      <w:pPr>
        <w:rPr>
          <w:bCs/>
          <w:snapToGrid w:val="0"/>
          <w:szCs w:val="24"/>
          <w:lang w:val="fr-CH"/>
        </w:rPr>
      </w:pPr>
    </w:p>
    <w:p w:rsidR="002F2D47" w:rsidRPr="00E454D1" w:rsidRDefault="0044336B" w:rsidP="00BA7564">
      <w:pPr>
        <w:pStyle w:val="DecisionParagraphs"/>
        <w:rPr>
          <w:lang w:val="fr-CH"/>
        </w:rPr>
      </w:pPr>
      <w:r w:rsidRPr="00E454D1">
        <w:rPr>
          <w:lang w:val="fr-CH"/>
        </w:rPr>
        <w:lastRenderedPageBreak/>
        <w:fldChar w:fldCharType="begin"/>
      </w:r>
      <w:r w:rsidRPr="00E454D1">
        <w:rPr>
          <w:lang w:val="fr-CH"/>
        </w:rPr>
        <w:instrText xml:space="preserve"> AUTONUM  </w:instrText>
      </w:r>
      <w:r w:rsidRPr="00E454D1">
        <w:rPr>
          <w:lang w:val="fr-CH"/>
        </w:rPr>
        <w:fldChar w:fldCharType="end"/>
      </w:r>
      <w:r w:rsidRPr="00E454D1">
        <w:rPr>
          <w:lang w:val="fr-CH"/>
        </w:rPr>
        <w:tab/>
      </w:r>
      <w:r w:rsidR="00BA7564" w:rsidRPr="00E454D1">
        <w:rPr>
          <w:lang w:val="fr-CH"/>
        </w:rPr>
        <w:t>Le</w:t>
      </w:r>
      <w:r w:rsidR="00E454D1">
        <w:rPr>
          <w:lang w:val="fr-CH"/>
        </w:rPr>
        <w:t> TC</w:t>
      </w:r>
      <w:r w:rsidR="00BA7564" w:rsidRPr="00E454D1">
        <w:rPr>
          <w:lang w:val="fr-CH"/>
        </w:rPr>
        <w:t xml:space="preserve"> est invité à prendre note de la version révisée du document TGP/10 “Examen de l</w:t>
      </w:r>
      <w:r w:rsidR="00E454D1">
        <w:rPr>
          <w:lang w:val="fr-CH"/>
        </w:rPr>
        <w:t>’</w:t>
      </w:r>
      <w:r w:rsidR="00BA7564" w:rsidRPr="00E454D1">
        <w:rPr>
          <w:lang w:val="fr-CH"/>
        </w:rPr>
        <w:t>homogénéité” (document TGP/10/1), qui sera soumise au Conseil pour adoption à sa cinquante</w:t>
      </w:r>
      <w:r w:rsidR="00E454D1">
        <w:rPr>
          <w:lang w:val="fr-CH"/>
        </w:rPr>
        <w:t>-</w:t>
      </w:r>
      <w:r w:rsidR="00BA7564" w:rsidRPr="00E454D1">
        <w:rPr>
          <w:lang w:val="fr-CH"/>
        </w:rPr>
        <w:t>trois</w:t>
      </w:r>
      <w:r w:rsidR="00E454D1">
        <w:rPr>
          <w:lang w:val="fr-CH"/>
        </w:rPr>
        <w:t>ième session</w:t>
      </w:r>
      <w:r w:rsidR="00BA7564" w:rsidRPr="00E454D1">
        <w:rPr>
          <w:lang w:val="fr-CH"/>
        </w:rPr>
        <w:t xml:space="preserve"> ordinaire, sous réserve de l</w:t>
      </w:r>
      <w:r w:rsidR="00E454D1">
        <w:rPr>
          <w:lang w:val="fr-CH"/>
        </w:rPr>
        <w:t>’</w:t>
      </w:r>
      <w:r w:rsidR="00BA7564" w:rsidRPr="00E454D1">
        <w:rPr>
          <w:lang w:val="fr-CH"/>
        </w:rPr>
        <w:t>approbation</w:t>
      </w:r>
      <w:r w:rsidR="002F2D47" w:rsidRPr="00E454D1">
        <w:rPr>
          <w:lang w:val="fr-CH"/>
        </w:rPr>
        <w:t xml:space="preserve"> du CAJ</w:t>
      </w:r>
      <w:r w:rsidR="00BA7564" w:rsidRPr="00E454D1">
        <w:rPr>
          <w:lang w:val="fr-CH"/>
        </w:rPr>
        <w:t xml:space="preserve"> à sa soixante</w:t>
      </w:r>
      <w:r w:rsidR="00E454D1">
        <w:rPr>
          <w:lang w:val="fr-CH"/>
        </w:rPr>
        <w:t>-</w:t>
      </w:r>
      <w:r w:rsidR="00BA7564" w:rsidRPr="00E454D1">
        <w:rPr>
          <w:lang w:val="fr-CH"/>
        </w:rPr>
        <w:t>seiz</w:t>
      </w:r>
      <w:r w:rsidR="00E454D1">
        <w:rPr>
          <w:lang w:val="fr-CH"/>
        </w:rPr>
        <w:t>ième session</w:t>
      </w:r>
      <w:r w:rsidR="00BA7564" w:rsidRPr="00E454D1">
        <w:rPr>
          <w:lang w:val="fr-CH"/>
        </w:rPr>
        <w:t xml:space="preserve">, sur la base du </w:t>
      </w:r>
      <w:r w:rsidR="002F2D47" w:rsidRPr="00E454D1">
        <w:rPr>
          <w:lang w:val="fr-CH"/>
        </w:rPr>
        <w:t>document TG</w:t>
      </w:r>
      <w:r w:rsidR="00BA7564" w:rsidRPr="00E454D1">
        <w:rPr>
          <w:lang w:val="fr-CH"/>
        </w:rPr>
        <w:t xml:space="preserve">P/10/2 </w:t>
      </w:r>
      <w:proofErr w:type="spellStart"/>
      <w:r w:rsidR="00BA7564" w:rsidRPr="00E454D1">
        <w:rPr>
          <w:lang w:val="fr-CH"/>
        </w:rPr>
        <w:t>Draft</w:t>
      </w:r>
      <w:proofErr w:type="spellEnd"/>
      <w:r w:rsidR="00BA7564" w:rsidRPr="00E454D1">
        <w:rPr>
          <w:lang w:val="fr-CH"/>
        </w:rPr>
        <w:t> 1.</w:t>
      </w:r>
    </w:p>
    <w:p w:rsidR="00D75FE9" w:rsidRPr="00E454D1" w:rsidRDefault="00D75FE9" w:rsidP="0044336B">
      <w:pPr>
        <w:rPr>
          <w:lang w:val="fr-CH"/>
        </w:rPr>
      </w:pPr>
    </w:p>
    <w:p w:rsidR="00D75FE9" w:rsidRPr="00E454D1" w:rsidRDefault="00D75FE9" w:rsidP="0044336B">
      <w:pPr>
        <w:rPr>
          <w:lang w:val="fr-CH"/>
        </w:rPr>
      </w:pPr>
    </w:p>
    <w:p w:rsidR="00D75FE9" w:rsidRPr="00E454D1" w:rsidRDefault="00167198" w:rsidP="00167198">
      <w:pPr>
        <w:keepNext/>
        <w:outlineLvl w:val="1"/>
        <w:rPr>
          <w:u w:val="single"/>
          <w:lang w:val="fr-CH"/>
        </w:rPr>
      </w:pPr>
      <w:bookmarkStart w:id="19" w:name="_Toc22035911"/>
      <w:r w:rsidRPr="00E454D1">
        <w:rPr>
          <w:u w:val="single"/>
          <w:lang w:val="fr-CH"/>
        </w:rPr>
        <w:t>Document TGP/14</w:t>
      </w:r>
      <w:r w:rsidR="00E454D1">
        <w:rPr>
          <w:u w:val="single"/>
          <w:lang w:val="fr-CH"/>
        </w:rPr>
        <w:t> :</w:t>
      </w:r>
      <w:r w:rsidRPr="00E454D1">
        <w:rPr>
          <w:u w:val="single"/>
          <w:lang w:val="fr-CH"/>
        </w:rPr>
        <w:t xml:space="preserve"> Glossaire de termes utilisés dans les documents de l</w:t>
      </w:r>
      <w:r w:rsidR="00E454D1">
        <w:rPr>
          <w:u w:val="single"/>
          <w:lang w:val="fr-CH"/>
        </w:rPr>
        <w:t>’</w:t>
      </w:r>
      <w:r w:rsidRPr="00E454D1">
        <w:rPr>
          <w:u w:val="single"/>
          <w:lang w:val="fr-CH"/>
        </w:rPr>
        <w:t>UPOV (</w:t>
      </w:r>
      <w:r w:rsidR="002F2D47" w:rsidRPr="00E454D1">
        <w:rPr>
          <w:u w:val="single"/>
          <w:lang w:val="fr-CH"/>
        </w:rPr>
        <w:t>document TG</w:t>
      </w:r>
      <w:r w:rsidRPr="00E454D1">
        <w:rPr>
          <w:u w:val="single"/>
          <w:lang w:val="fr-CH"/>
        </w:rPr>
        <w:t xml:space="preserve">P/14/4 </w:t>
      </w:r>
      <w:proofErr w:type="spellStart"/>
      <w:r w:rsidRPr="00E454D1">
        <w:rPr>
          <w:u w:val="single"/>
          <w:lang w:val="fr-CH"/>
        </w:rPr>
        <w:t>Draft</w:t>
      </w:r>
      <w:proofErr w:type="spellEnd"/>
      <w:r w:rsidR="00FE5010" w:rsidRPr="00E454D1">
        <w:rPr>
          <w:u w:val="single"/>
          <w:lang w:val="fr-CH"/>
        </w:rPr>
        <w:t> </w:t>
      </w:r>
      <w:r w:rsidRPr="00E454D1">
        <w:rPr>
          <w:u w:val="single"/>
          <w:lang w:val="fr-CH"/>
        </w:rPr>
        <w:t>1)</w:t>
      </w:r>
      <w:bookmarkEnd w:id="19"/>
    </w:p>
    <w:p w:rsidR="00D75FE9" w:rsidRPr="00E454D1" w:rsidRDefault="00D75FE9" w:rsidP="0044336B">
      <w:pPr>
        <w:rPr>
          <w:i/>
          <w:lang w:val="fr-CH"/>
        </w:rPr>
      </w:pPr>
    </w:p>
    <w:p w:rsidR="00D75FE9" w:rsidRPr="00E454D1" w:rsidRDefault="0044336B" w:rsidP="00167198">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167198" w:rsidRPr="00E454D1">
        <w:rPr>
          <w:lang w:val="fr-CH"/>
        </w:rPr>
        <w:t>À sa cinquante</w:t>
      </w:r>
      <w:r w:rsidR="00E454D1">
        <w:rPr>
          <w:lang w:val="fr-CH"/>
        </w:rPr>
        <w:t>-</w:t>
      </w:r>
      <w:r w:rsidR="00167198" w:rsidRPr="00E454D1">
        <w:rPr>
          <w:lang w:val="fr-CH"/>
        </w:rPr>
        <w:t>trois</w:t>
      </w:r>
      <w:r w:rsidR="00E454D1">
        <w:rPr>
          <w:lang w:val="fr-CH"/>
        </w:rPr>
        <w:t>ième session</w:t>
      </w:r>
      <w:r w:rsidR="00167198" w:rsidRPr="00E454D1">
        <w:rPr>
          <w:lang w:val="fr-CH"/>
        </w:rPr>
        <w:t>, le</w:t>
      </w:r>
      <w:r w:rsidR="00E454D1">
        <w:rPr>
          <w:lang w:val="fr-CH"/>
        </w:rPr>
        <w:t> TC</w:t>
      </w:r>
      <w:r w:rsidR="00167198" w:rsidRPr="00E454D1">
        <w:rPr>
          <w:lang w:val="fr-CH"/>
        </w:rPr>
        <w:t xml:space="preserve"> est convenu de réviser le document TGP/14</w:t>
      </w:r>
      <w:r w:rsidR="00E454D1">
        <w:rPr>
          <w:lang w:val="fr-CH"/>
        </w:rPr>
        <w:t> :</w:t>
      </w:r>
      <w:r w:rsidR="00167198" w:rsidRPr="00E454D1">
        <w:rPr>
          <w:lang w:val="fr-CH"/>
        </w:rPr>
        <w:t xml:space="preserve"> section</w:t>
      </w:r>
      <w:r w:rsidR="00FE5010" w:rsidRPr="00E454D1">
        <w:rPr>
          <w:lang w:val="fr-CH"/>
        </w:rPr>
        <w:t> </w:t>
      </w:r>
      <w:r w:rsidR="00167198" w:rsidRPr="00E454D1">
        <w:rPr>
          <w:lang w:val="fr-CH"/>
        </w:rPr>
        <w:t>2</w:t>
      </w:r>
      <w:r w:rsidR="00E454D1">
        <w:rPr>
          <w:lang w:val="fr-CH"/>
        </w:rPr>
        <w:t> :</w:t>
      </w:r>
      <w:r w:rsidR="00167198" w:rsidRPr="00E454D1">
        <w:rPr>
          <w:lang w:val="fr-CH"/>
        </w:rPr>
        <w:t xml:space="preserve"> sous</w:t>
      </w:r>
      <w:r w:rsidR="00E454D1">
        <w:rPr>
          <w:lang w:val="fr-CH"/>
        </w:rPr>
        <w:t>-</w:t>
      </w:r>
      <w:r w:rsidR="00167198" w:rsidRPr="00E454D1">
        <w:rPr>
          <w:lang w:val="fr-CH"/>
        </w:rPr>
        <w:t>section</w:t>
      </w:r>
      <w:r w:rsidR="00FE5010" w:rsidRPr="00E454D1">
        <w:rPr>
          <w:lang w:val="fr-CH"/>
        </w:rPr>
        <w:t> </w:t>
      </w:r>
      <w:r w:rsidR="00167198" w:rsidRPr="00E454D1">
        <w:rPr>
          <w:lang w:val="fr-CH"/>
        </w:rPr>
        <w:t>2</w:t>
      </w:r>
      <w:r w:rsidR="00E454D1">
        <w:rPr>
          <w:lang w:val="fr-CH"/>
        </w:rPr>
        <w:t> :</w:t>
      </w:r>
      <w:r w:rsidR="00167198" w:rsidRPr="00E454D1">
        <w:rPr>
          <w:lang w:val="fr-CH"/>
        </w:rPr>
        <w:t xml:space="preserve"> “Formes et structures” pour modifier le tableau figurant dans la variante</w:t>
      </w:r>
      <w:r w:rsidR="00FE5010" w:rsidRPr="00E454D1">
        <w:rPr>
          <w:lang w:val="fr-CH"/>
        </w:rPr>
        <w:t> </w:t>
      </w:r>
      <w:r w:rsidR="00167198" w:rsidRPr="00E454D1">
        <w:rPr>
          <w:lang w:val="fr-CH"/>
        </w:rPr>
        <w:t>2 de l</w:t>
      </w:r>
      <w:r w:rsidR="00E454D1">
        <w:rPr>
          <w:lang w:val="fr-CH"/>
        </w:rPr>
        <w:t>’</w:t>
      </w:r>
      <w:r w:rsidR="00167198" w:rsidRPr="00E454D1">
        <w:rPr>
          <w:lang w:val="fr-CH"/>
        </w:rPr>
        <w:t>exemple</w:t>
      </w:r>
      <w:r w:rsidR="00FE5010" w:rsidRPr="00E454D1">
        <w:rPr>
          <w:lang w:val="fr-CH"/>
        </w:rPr>
        <w:t> </w:t>
      </w:r>
      <w:r w:rsidR="00167198" w:rsidRPr="00E454D1">
        <w:rPr>
          <w:lang w:val="fr-CH"/>
        </w:rPr>
        <w:t xml:space="preserve">5, comme indiqué à </w:t>
      </w:r>
      <w:r w:rsidR="00167198" w:rsidRPr="00E454D1">
        <w:rPr>
          <w:highlight w:val="cyan"/>
          <w:lang w:val="fr-CH"/>
        </w:rPr>
        <w:t>l</w:t>
      </w:r>
      <w:r w:rsidR="00E454D1">
        <w:rPr>
          <w:highlight w:val="cyan"/>
          <w:lang w:val="fr-CH"/>
        </w:rPr>
        <w:t>’</w:t>
      </w:r>
      <w:r w:rsidR="00167198" w:rsidRPr="00E454D1">
        <w:rPr>
          <w:highlight w:val="cyan"/>
          <w:lang w:val="fr-CH"/>
        </w:rPr>
        <w:t>annexe</w:t>
      </w:r>
      <w:r w:rsidR="00FE5010" w:rsidRPr="00E454D1">
        <w:rPr>
          <w:highlight w:val="cyan"/>
          <w:lang w:val="fr-CH"/>
        </w:rPr>
        <w:t> </w:t>
      </w:r>
      <w:r w:rsidR="00167198" w:rsidRPr="00E454D1">
        <w:rPr>
          <w:highlight w:val="cyan"/>
          <w:lang w:val="fr-CH"/>
        </w:rPr>
        <w:t>IV</w:t>
      </w:r>
      <w:r w:rsidR="00167198" w:rsidRPr="00E454D1">
        <w:rPr>
          <w:lang w:val="fr-CH"/>
        </w:rPr>
        <w:t xml:space="preserve"> du présent document (voir le paragraphe</w:t>
      </w:r>
      <w:r w:rsidR="00FE5010" w:rsidRPr="00E454D1">
        <w:rPr>
          <w:lang w:val="fr-CH"/>
        </w:rPr>
        <w:t> </w:t>
      </w:r>
      <w:r w:rsidR="00167198" w:rsidRPr="00E454D1">
        <w:rPr>
          <w:lang w:val="fr-CH"/>
        </w:rPr>
        <w:t xml:space="preserve">141 du </w:t>
      </w:r>
      <w:r w:rsidR="00E454D1" w:rsidRPr="00E454D1">
        <w:rPr>
          <w:lang w:val="fr-CH"/>
        </w:rPr>
        <w:t>document</w:t>
      </w:r>
      <w:r w:rsidR="00E454D1">
        <w:rPr>
          <w:lang w:val="fr-CH"/>
        </w:rPr>
        <w:t xml:space="preserve"> TC</w:t>
      </w:r>
      <w:r w:rsidR="00167198" w:rsidRPr="00E454D1">
        <w:rPr>
          <w:lang w:val="fr-CH"/>
        </w:rPr>
        <w:t>/53/31 “Compte rendu”).</w:t>
      </w:r>
    </w:p>
    <w:p w:rsidR="00D75FE9" w:rsidRPr="00E454D1" w:rsidRDefault="00D75FE9" w:rsidP="0044336B">
      <w:pPr>
        <w:keepNext/>
        <w:outlineLvl w:val="2"/>
        <w:rPr>
          <w:rFonts w:eastAsia="MS Mincho"/>
          <w:i/>
          <w:lang w:val="fr-CH"/>
        </w:rPr>
      </w:pPr>
    </w:p>
    <w:p w:rsidR="002F2D47" w:rsidRPr="00E454D1" w:rsidRDefault="0044336B" w:rsidP="00167198">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167198" w:rsidRPr="00E454D1">
        <w:rPr>
          <w:lang w:val="fr-CH"/>
        </w:rPr>
        <w:t>À sa cinquante</w:t>
      </w:r>
      <w:r w:rsidR="00E454D1">
        <w:rPr>
          <w:lang w:val="fr-CH"/>
        </w:rPr>
        <w:t>-</w:t>
      </w:r>
      <w:r w:rsidR="00167198" w:rsidRPr="00E454D1">
        <w:rPr>
          <w:lang w:val="fr-CH"/>
        </w:rPr>
        <w:t>quatr</w:t>
      </w:r>
      <w:r w:rsidR="00E454D1">
        <w:rPr>
          <w:lang w:val="fr-CH"/>
        </w:rPr>
        <w:t>ième session</w:t>
      </w:r>
      <w:r w:rsidR="00167198" w:rsidRPr="00E454D1">
        <w:rPr>
          <w:lang w:val="fr-CH"/>
        </w:rPr>
        <w:t>, le</w:t>
      </w:r>
      <w:r w:rsidR="00E454D1">
        <w:rPr>
          <w:lang w:val="fr-CH"/>
        </w:rPr>
        <w:t> TC</w:t>
      </w:r>
      <w:r w:rsidR="00167198" w:rsidRPr="00E454D1">
        <w:rPr>
          <w:lang w:val="fr-CH"/>
        </w:rPr>
        <w:t xml:space="preserve"> a approuvé les propositions de révision du document TGP/14 “Glossaire de termes utilisés dans les documents de l</w:t>
      </w:r>
      <w:r w:rsidR="00E454D1">
        <w:rPr>
          <w:lang w:val="fr-CH"/>
        </w:rPr>
        <w:t>’</w:t>
      </w:r>
      <w:r w:rsidR="00167198" w:rsidRPr="00E454D1">
        <w:rPr>
          <w:lang w:val="fr-CH"/>
        </w:rPr>
        <w:t xml:space="preserve">UPOV” </w:t>
      </w:r>
      <w:r w:rsidR="00645E4E" w:rsidRPr="00E454D1">
        <w:rPr>
          <w:lang w:val="fr-CH"/>
        </w:rPr>
        <w:t>afin d</w:t>
      </w:r>
      <w:r w:rsidR="00E454D1">
        <w:rPr>
          <w:lang w:val="fr-CH"/>
        </w:rPr>
        <w:t>’</w:t>
      </w:r>
      <w:r w:rsidR="00167198" w:rsidRPr="00E454D1">
        <w:rPr>
          <w:lang w:val="fr-CH"/>
        </w:rPr>
        <w:t>inclure des orientations sur les facteurs à prendre en considération pour la création de groupes de couleurs aux fins du regroupement des variétés et de l</w:t>
      </w:r>
      <w:r w:rsidR="00E454D1">
        <w:rPr>
          <w:lang w:val="fr-CH"/>
        </w:rPr>
        <w:t>’</w:t>
      </w:r>
      <w:r w:rsidR="00167198" w:rsidRPr="00E454D1">
        <w:rPr>
          <w:lang w:val="fr-CH"/>
        </w:rPr>
        <w:t>organisation des essais en culture (voir le paragraphe</w:t>
      </w:r>
      <w:r w:rsidR="00FE5010" w:rsidRPr="00E454D1">
        <w:rPr>
          <w:lang w:val="fr-CH"/>
        </w:rPr>
        <w:t> </w:t>
      </w:r>
      <w:r w:rsidR="00167198" w:rsidRPr="00E454D1">
        <w:rPr>
          <w:lang w:val="fr-CH"/>
        </w:rPr>
        <w:t>244 du document</w:t>
      </w:r>
      <w:r w:rsidR="00FE5010" w:rsidRPr="00E454D1">
        <w:rPr>
          <w:lang w:val="fr-CH"/>
        </w:rPr>
        <w:t> </w:t>
      </w:r>
      <w:r w:rsidR="00167198" w:rsidRPr="00D542BB">
        <w:rPr>
          <w:rFonts w:cs="Arial"/>
          <w:lang w:val="fr-CH"/>
        </w:rPr>
        <w:t>TC/54/31</w:t>
      </w:r>
      <w:r w:rsidR="00124C91" w:rsidRPr="00D542BB">
        <w:rPr>
          <w:rFonts w:cs="Arial"/>
          <w:lang w:val="fr-CH"/>
        </w:rPr>
        <w:t> </w:t>
      </w:r>
      <w:r w:rsidR="00167198" w:rsidRPr="00D542BB">
        <w:rPr>
          <w:rFonts w:cs="Arial"/>
          <w:lang w:val="fr-CH"/>
        </w:rPr>
        <w:t>Corr.</w:t>
      </w:r>
      <w:r w:rsidR="00167198" w:rsidRPr="00E454D1">
        <w:rPr>
          <w:lang w:val="fr-CH"/>
        </w:rPr>
        <w:t xml:space="preserve"> “Compte rendu”).</w:t>
      </w:r>
    </w:p>
    <w:p w:rsidR="00D75FE9" w:rsidRPr="00E454D1" w:rsidRDefault="00D75FE9" w:rsidP="0044336B">
      <w:pPr>
        <w:rPr>
          <w:lang w:val="fr-CH"/>
        </w:rPr>
      </w:pPr>
    </w:p>
    <w:p w:rsidR="002F2D47" w:rsidRPr="00E454D1" w:rsidRDefault="0044336B" w:rsidP="00167198">
      <w:pPr>
        <w:rPr>
          <w:spacing w:val="-2"/>
          <w:lang w:val="fr-CH"/>
        </w:rPr>
      </w:pPr>
      <w:r w:rsidRPr="00E454D1">
        <w:rPr>
          <w:spacing w:val="-2"/>
          <w:lang w:val="fr-CH"/>
        </w:rPr>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167198" w:rsidRPr="00E454D1">
        <w:rPr>
          <w:spacing w:val="-2"/>
          <w:lang w:val="fr-CH"/>
        </w:rPr>
        <w:t>Sur la base de ce qui précède, le</w:t>
      </w:r>
      <w:r w:rsidR="00E454D1">
        <w:rPr>
          <w:spacing w:val="-2"/>
          <w:lang w:val="fr-CH"/>
        </w:rPr>
        <w:t> TC</w:t>
      </w:r>
      <w:r w:rsidR="00167198" w:rsidRPr="00E454D1">
        <w:rPr>
          <w:spacing w:val="-2"/>
          <w:lang w:val="fr-CH"/>
        </w:rPr>
        <w:t xml:space="preserve"> est convenu qu</w:t>
      </w:r>
      <w:r w:rsidR="00E454D1">
        <w:rPr>
          <w:spacing w:val="-2"/>
          <w:lang w:val="fr-CH"/>
        </w:rPr>
        <w:t>’</w:t>
      </w:r>
      <w:r w:rsidR="00167198" w:rsidRPr="00E454D1">
        <w:rPr>
          <w:spacing w:val="-2"/>
          <w:lang w:val="fr-CH"/>
        </w:rPr>
        <w:t xml:space="preserve">une version révisée du </w:t>
      </w:r>
      <w:r w:rsidR="002F2D47" w:rsidRPr="00E454D1">
        <w:rPr>
          <w:spacing w:val="-2"/>
          <w:lang w:val="fr-CH"/>
        </w:rPr>
        <w:t>document TG</w:t>
      </w:r>
      <w:r w:rsidR="00167198" w:rsidRPr="00E454D1">
        <w:rPr>
          <w:spacing w:val="-2"/>
          <w:lang w:val="fr-CH"/>
        </w:rPr>
        <w:t>P/14/3 (</w:t>
      </w:r>
      <w:r w:rsidR="002F2D47" w:rsidRPr="00E454D1">
        <w:rPr>
          <w:spacing w:val="-2"/>
          <w:lang w:val="fr-CH"/>
        </w:rPr>
        <w:t>document TG</w:t>
      </w:r>
      <w:r w:rsidR="00167198" w:rsidRPr="00E454D1">
        <w:rPr>
          <w:spacing w:val="-2"/>
          <w:lang w:val="fr-CH"/>
        </w:rPr>
        <w:t xml:space="preserve">P/14/4 </w:t>
      </w:r>
      <w:proofErr w:type="spellStart"/>
      <w:r w:rsidR="00167198" w:rsidRPr="00E454D1">
        <w:rPr>
          <w:spacing w:val="-2"/>
          <w:lang w:val="fr-CH"/>
        </w:rPr>
        <w:t>Draft</w:t>
      </w:r>
      <w:proofErr w:type="spellEnd"/>
      <w:r w:rsidR="00FE5010" w:rsidRPr="00E454D1">
        <w:rPr>
          <w:spacing w:val="-2"/>
          <w:lang w:val="fr-CH"/>
        </w:rPr>
        <w:t> </w:t>
      </w:r>
      <w:r w:rsidR="00167198" w:rsidRPr="00E454D1">
        <w:rPr>
          <w:spacing w:val="-2"/>
          <w:lang w:val="fr-CH"/>
        </w:rPr>
        <w:t>1) devait être soumise au Conseil pour adoption à sa cinquante</w:t>
      </w:r>
      <w:r w:rsidR="00E454D1">
        <w:rPr>
          <w:spacing w:val="-2"/>
          <w:lang w:val="fr-CH"/>
        </w:rPr>
        <w:t>-</w:t>
      </w:r>
      <w:r w:rsidR="00167198" w:rsidRPr="00E454D1">
        <w:rPr>
          <w:spacing w:val="-2"/>
          <w:lang w:val="fr-CH"/>
        </w:rPr>
        <w:t>trois</w:t>
      </w:r>
      <w:r w:rsidR="00E454D1">
        <w:rPr>
          <w:spacing w:val="-2"/>
          <w:lang w:val="fr-CH"/>
        </w:rPr>
        <w:t>ième session</w:t>
      </w:r>
      <w:r w:rsidR="00167198" w:rsidRPr="00E454D1">
        <w:rPr>
          <w:spacing w:val="-2"/>
          <w:lang w:val="fr-CH"/>
        </w:rPr>
        <w:t xml:space="preserve"> ordinaire, sous réserve de l</w:t>
      </w:r>
      <w:r w:rsidR="00E454D1">
        <w:rPr>
          <w:spacing w:val="-2"/>
          <w:lang w:val="fr-CH"/>
        </w:rPr>
        <w:t>’</w:t>
      </w:r>
      <w:r w:rsidR="00167198" w:rsidRPr="00E454D1">
        <w:rPr>
          <w:spacing w:val="-2"/>
          <w:lang w:val="fr-CH"/>
        </w:rPr>
        <w:t>approbation</w:t>
      </w:r>
      <w:r w:rsidR="002F2D47" w:rsidRPr="00E454D1">
        <w:rPr>
          <w:spacing w:val="-2"/>
          <w:lang w:val="fr-CH"/>
        </w:rPr>
        <w:t xml:space="preserve"> du CAJ</w:t>
      </w:r>
      <w:r w:rsidR="00167198" w:rsidRPr="00E454D1">
        <w:rPr>
          <w:spacing w:val="-2"/>
          <w:lang w:val="fr-CH"/>
        </w:rPr>
        <w:t xml:space="preserve"> à sa soixante</w:t>
      </w:r>
      <w:r w:rsidR="00E454D1">
        <w:rPr>
          <w:spacing w:val="-2"/>
          <w:lang w:val="fr-CH"/>
        </w:rPr>
        <w:t>-</w:t>
      </w:r>
      <w:r w:rsidR="00167198" w:rsidRPr="00E454D1">
        <w:rPr>
          <w:spacing w:val="-2"/>
          <w:lang w:val="fr-CH"/>
        </w:rPr>
        <w:t>seiz</w:t>
      </w:r>
      <w:r w:rsidR="00E454D1">
        <w:rPr>
          <w:spacing w:val="-2"/>
          <w:lang w:val="fr-CH"/>
        </w:rPr>
        <w:t>ième session</w:t>
      </w:r>
      <w:r w:rsidR="00167198" w:rsidRPr="00E454D1">
        <w:rPr>
          <w:spacing w:val="-2"/>
          <w:lang w:val="fr-CH"/>
        </w:rPr>
        <w:t>.</w:t>
      </w:r>
    </w:p>
    <w:p w:rsidR="00D75FE9" w:rsidRPr="00E454D1" w:rsidRDefault="00D75FE9" w:rsidP="0044336B">
      <w:pPr>
        <w:rPr>
          <w:spacing w:val="-2"/>
          <w:lang w:val="fr-CH"/>
        </w:rPr>
      </w:pPr>
    </w:p>
    <w:p w:rsidR="00D75FE9" w:rsidRPr="00E454D1" w:rsidRDefault="0044336B" w:rsidP="00167198">
      <w:pPr>
        <w:rPr>
          <w:bCs/>
          <w:snapToGrid w:val="0"/>
          <w:szCs w:val="24"/>
          <w:lang w:val="fr-CH"/>
        </w:rPr>
      </w:pPr>
      <w:r w:rsidRPr="00E454D1">
        <w:rPr>
          <w:spacing w:val="-2"/>
          <w:lang w:val="fr-CH"/>
        </w:rPr>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167198" w:rsidRPr="00E454D1">
        <w:rPr>
          <w:spacing w:val="-2"/>
          <w:lang w:val="fr-CH"/>
        </w:rPr>
        <w:t xml:space="preserve">Les traductions en français, allemand et espagnol du texte anglais original ont été examinées par les membres concernés du Comité de rédaction avant la présentation du projet de </w:t>
      </w:r>
      <w:r w:rsidR="002F2D47" w:rsidRPr="00E454D1">
        <w:rPr>
          <w:spacing w:val="-2"/>
          <w:lang w:val="fr-CH"/>
        </w:rPr>
        <w:t>document TG</w:t>
      </w:r>
      <w:r w:rsidR="00167198" w:rsidRPr="00E454D1">
        <w:rPr>
          <w:spacing w:val="-2"/>
          <w:lang w:val="fr-CH"/>
        </w:rPr>
        <w:t>P/14/4 au Conse</w:t>
      </w:r>
      <w:r w:rsidR="00C77A34" w:rsidRPr="00E454D1">
        <w:rPr>
          <w:spacing w:val="-2"/>
          <w:lang w:val="fr-CH"/>
        </w:rPr>
        <w:t>il</w:t>
      </w:r>
      <w:r w:rsidR="00C77A34">
        <w:rPr>
          <w:spacing w:val="-2"/>
          <w:lang w:val="fr-CH"/>
        </w:rPr>
        <w:t xml:space="preserve">.  </w:t>
      </w:r>
      <w:r w:rsidR="00C77A34" w:rsidRPr="00E454D1">
        <w:rPr>
          <w:spacing w:val="-2"/>
          <w:lang w:val="fr-CH"/>
        </w:rPr>
        <w:t>Le</w:t>
      </w:r>
      <w:r w:rsidR="00167198" w:rsidRPr="00E454D1">
        <w:rPr>
          <w:spacing w:val="-2"/>
          <w:lang w:val="fr-CH"/>
        </w:rPr>
        <w:t xml:space="preserve"> </w:t>
      </w:r>
      <w:r w:rsidR="002F2D47" w:rsidRPr="00E454D1">
        <w:rPr>
          <w:spacing w:val="-2"/>
          <w:lang w:val="fr-CH"/>
        </w:rPr>
        <w:t>document TG</w:t>
      </w:r>
      <w:r w:rsidR="00167198" w:rsidRPr="00E454D1">
        <w:rPr>
          <w:spacing w:val="-2"/>
          <w:lang w:val="fr-CH"/>
        </w:rPr>
        <w:t xml:space="preserve">P/14/4 </w:t>
      </w:r>
      <w:proofErr w:type="spellStart"/>
      <w:r w:rsidR="00167198" w:rsidRPr="00E454D1">
        <w:rPr>
          <w:spacing w:val="-2"/>
          <w:lang w:val="fr-CH"/>
        </w:rPr>
        <w:t>Draft</w:t>
      </w:r>
      <w:proofErr w:type="spellEnd"/>
      <w:r w:rsidR="00FE5010" w:rsidRPr="00E454D1">
        <w:rPr>
          <w:spacing w:val="-2"/>
          <w:lang w:val="fr-CH"/>
        </w:rPr>
        <w:t> </w:t>
      </w:r>
      <w:r w:rsidR="00167198" w:rsidRPr="00E454D1">
        <w:rPr>
          <w:spacing w:val="-2"/>
          <w:lang w:val="fr-CH"/>
        </w:rPr>
        <w:t>1 contient les modifications approuvées par le</w:t>
      </w:r>
      <w:r w:rsidR="00E454D1">
        <w:rPr>
          <w:spacing w:val="-2"/>
          <w:lang w:val="fr-CH"/>
        </w:rPr>
        <w:t> TC</w:t>
      </w:r>
      <w:r w:rsidR="00167198" w:rsidRPr="00E454D1">
        <w:rPr>
          <w:spacing w:val="-2"/>
          <w:lang w:val="fr-CH"/>
        </w:rPr>
        <w:t xml:space="preserve"> figurant </w:t>
      </w:r>
      <w:r w:rsidR="00167198" w:rsidRPr="00D542BB">
        <w:rPr>
          <w:spacing w:val="-2"/>
          <w:lang w:val="fr-CH"/>
        </w:rPr>
        <w:t>à l</w:t>
      </w:r>
      <w:r w:rsidR="00E454D1" w:rsidRPr="00D542BB">
        <w:rPr>
          <w:spacing w:val="-2"/>
          <w:lang w:val="fr-CH"/>
        </w:rPr>
        <w:t>’</w:t>
      </w:r>
      <w:r w:rsidR="00167198" w:rsidRPr="00D542BB">
        <w:rPr>
          <w:spacing w:val="-2"/>
          <w:lang w:val="fr-CH"/>
        </w:rPr>
        <w:t>annexe</w:t>
      </w:r>
      <w:r w:rsidR="00FE5010" w:rsidRPr="00D542BB">
        <w:rPr>
          <w:spacing w:val="-2"/>
          <w:lang w:val="fr-CH"/>
        </w:rPr>
        <w:t> </w:t>
      </w:r>
      <w:r w:rsidR="00167198" w:rsidRPr="00D542BB">
        <w:rPr>
          <w:spacing w:val="-2"/>
          <w:lang w:val="fr-CH"/>
        </w:rPr>
        <w:t>IV du présent</w:t>
      </w:r>
      <w:r w:rsidR="00167198" w:rsidRPr="00E454D1">
        <w:rPr>
          <w:spacing w:val="-2"/>
          <w:lang w:val="fr-CH"/>
        </w:rPr>
        <w:t xml:space="preserve"> document, ainsi que les modifications d</w:t>
      </w:r>
      <w:r w:rsidR="00E454D1">
        <w:rPr>
          <w:spacing w:val="-2"/>
          <w:lang w:val="fr-CH"/>
        </w:rPr>
        <w:t>’</w:t>
      </w:r>
      <w:r w:rsidR="00167198" w:rsidRPr="00E454D1">
        <w:rPr>
          <w:spacing w:val="-2"/>
          <w:lang w:val="fr-CH"/>
        </w:rPr>
        <w:t>ordre linguistique apportées par les membres concernés du Comité de rédaction.</w:t>
      </w:r>
    </w:p>
    <w:p w:rsidR="00D75FE9" w:rsidRPr="00E454D1" w:rsidRDefault="00D75FE9" w:rsidP="0044336B">
      <w:pPr>
        <w:rPr>
          <w:lang w:val="fr-CH"/>
        </w:rPr>
      </w:pPr>
    </w:p>
    <w:p w:rsidR="00D75FE9" w:rsidRPr="00E454D1" w:rsidRDefault="0044336B" w:rsidP="00167198">
      <w:pPr>
        <w:pStyle w:val="DecisionParagraphs"/>
        <w:keepLine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167198" w:rsidRPr="00E454D1">
        <w:rPr>
          <w:lang w:val="fr-CH"/>
        </w:rPr>
        <w:t>Le</w:t>
      </w:r>
      <w:r w:rsidR="00E454D1">
        <w:rPr>
          <w:lang w:val="fr-CH"/>
        </w:rPr>
        <w:t> TC</w:t>
      </w:r>
      <w:r w:rsidR="00167198" w:rsidRPr="00E454D1">
        <w:rPr>
          <w:lang w:val="fr-CH"/>
        </w:rPr>
        <w:t xml:space="preserve"> est invité à prendre note de la version révisée du document TGP/14 “Glossaire de termes utilisés dans les documents de l</w:t>
      </w:r>
      <w:r w:rsidR="00E454D1">
        <w:rPr>
          <w:lang w:val="fr-CH"/>
        </w:rPr>
        <w:t>’</w:t>
      </w:r>
      <w:r w:rsidR="00167198" w:rsidRPr="00E454D1">
        <w:rPr>
          <w:lang w:val="fr-CH"/>
        </w:rPr>
        <w:t>UPOV” (document TGP/14/3), qui sera soumise au Conseil pour adoption à sa cinquante</w:t>
      </w:r>
      <w:r w:rsidR="00E454D1">
        <w:rPr>
          <w:lang w:val="fr-CH"/>
        </w:rPr>
        <w:t>-</w:t>
      </w:r>
      <w:r w:rsidR="00167198" w:rsidRPr="00E454D1">
        <w:rPr>
          <w:lang w:val="fr-CH"/>
        </w:rPr>
        <w:t>trois</w:t>
      </w:r>
      <w:r w:rsidR="00E454D1">
        <w:rPr>
          <w:lang w:val="fr-CH"/>
        </w:rPr>
        <w:t>ième session</w:t>
      </w:r>
      <w:r w:rsidR="00167198" w:rsidRPr="00E454D1">
        <w:rPr>
          <w:lang w:val="fr-CH"/>
        </w:rPr>
        <w:t xml:space="preserve"> ordinaire, sous réserve de l</w:t>
      </w:r>
      <w:r w:rsidR="00E454D1">
        <w:rPr>
          <w:lang w:val="fr-CH"/>
        </w:rPr>
        <w:t>’</w:t>
      </w:r>
      <w:r w:rsidR="00167198" w:rsidRPr="00E454D1">
        <w:rPr>
          <w:lang w:val="fr-CH"/>
        </w:rPr>
        <w:t>approbation</w:t>
      </w:r>
      <w:r w:rsidR="002F2D47" w:rsidRPr="00E454D1">
        <w:rPr>
          <w:lang w:val="fr-CH"/>
        </w:rPr>
        <w:t xml:space="preserve"> du CAJ</w:t>
      </w:r>
      <w:r w:rsidR="00167198" w:rsidRPr="00E454D1">
        <w:rPr>
          <w:lang w:val="fr-CH"/>
        </w:rPr>
        <w:t xml:space="preserve"> à sa soixante</w:t>
      </w:r>
      <w:r w:rsidR="00E454D1">
        <w:rPr>
          <w:lang w:val="fr-CH"/>
        </w:rPr>
        <w:t>-</w:t>
      </w:r>
      <w:r w:rsidR="00167198" w:rsidRPr="00E454D1">
        <w:rPr>
          <w:lang w:val="fr-CH"/>
        </w:rPr>
        <w:t>seiz</w:t>
      </w:r>
      <w:r w:rsidR="00E454D1">
        <w:rPr>
          <w:lang w:val="fr-CH"/>
        </w:rPr>
        <w:t>ième session</w:t>
      </w:r>
      <w:r w:rsidR="00167198" w:rsidRPr="00E454D1">
        <w:rPr>
          <w:lang w:val="fr-CH"/>
        </w:rPr>
        <w:t xml:space="preserve">, sur la base du </w:t>
      </w:r>
      <w:r w:rsidR="002F2D47" w:rsidRPr="00E454D1">
        <w:rPr>
          <w:lang w:val="fr-CH"/>
        </w:rPr>
        <w:t>document TG</w:t>
      </w:r>
      <w:r w:rsidR="00167198" w:rsidRPr="00E454D1">
        <w:rPr>
          <w:lang w:val="fr-CH"/>
        </w:rPr>
        <w:t xml:space="preserve">P/14/4 </w:t>
      </w:r>
      <w:proofErr w:type="spellStart"/>
      <w:r w:rsidR="00167198" w:rsidRPr="00E454D1">
        <w:rPr>
          <w:lang w:val="fr-CH"/>
        </w:rPr>
        <w:t>Draft</w:t>
      </w:r>
      <w:proofErr w:type="spellEnd"/>
      <w:r w:rsidR="00167198" w:rsidRPr="00E454D1">
        <w:rPr>
          <w:lang w:val="fr-CH"/>
        </w:rPr>
        <w:t> 1.</w:t>
      </w:r>
    </w:p>
    <w:p w:rsidR="00D75FE9" w:rsidRPr="00E454D1" w:rsidRDefault="00D75FE9" w:rsidP="0044336B">
      <w:pPr>
        <w:rPr>
          <w:lang w:val="fr-CH"/>
        </w:rPr>
      </w:pPr>
    </w:p>
    <w:p w:rsidR="00D75FE9" w:rsidRPr="00E454D1" w:rsidRDefault="00D75FE9" w:rsidP="0044336B">
      <w:pPr>
        <w:rPr>
          <w:lang w:val="fr-CH"/>
        </w:rPr>
      </w:pPr>
    </w:p>
    <w:p w:rsidR="002F2D47" w:rsidRPr="00E454D1" w:rsidRDefault="007E785D" w:rsidP="007E785D">
      <w:pPr>
        <w:pStyle w:val="Heading2"/>
        <w:rPr>
          <w:lang w:val="fr-CH"/>
        </w:rPr>
      </w:pPr>
      <w:bookmarkStart w:id="20" w:name="_Toc22035912"/>
      <w:r w:rsidRPr="00E454D1">
        <w:rPr>
          <w:lang w:val="fr-CH"/>
        </w:rPr>
        <w:t>Document</w:t>
      </w:r>
      <w:r w:rsidR="00FE5010" w:rsidRPr="00E454D1">
        <w:rPr>
          <w:lang w:val="fr-CH"/>
        </w:rPr>
        <w:t> </w:t>
      </w:r>
      <w:r w:rsidRPr="00E454D1">
        <w:rPr>
          <w:lang w:val="fr-CH"/>
        </w:rPr>
        <w:t>TGP/15</w:t>
      </w:r>
      <w:r w:rsidR="00E454D1">
        <w:rPr>
          <w:lang w:val="fr-CH"/>
        </w:rPr>
        <w:t> :</w:t>
      </w:r>
      <w:r w:rsidRPr="00E454D1">
        <w:rPr>
          <w:lang w:val="fr-CH"/>
        </w:rPr>
        <w:t xml:space="preserve"> Conseils en ce qui concerne l</w:t>
      </w:r>
      <w:r w:rsidR="00E454D1">
        <w:rPr>
          <w:lang w:val="fr-CH"/>
        </w:rPr>
        <w:t>’</w:t>
      </w:r>
      <w:r w:rsidRPr="00E454D1">
        <w:rPr>
          <w:lang w:val="fr-CH"/>
        </w:rPr>
        <w:t>utilisation des marqueurs biochimiques et moléculaires dans l</w:t>
      </w:r>
      <w:r w:rsidR="00E454D1">
        <w:rPr>
          <w:lang w:val="fr-CH"/>
        </w:rPr>
        <w:t>’</w:t>
      </w:r>
      <w:r w:rsidRPr="00E454D1">
        <w:rPr>
          <w:lang w:val="fr-CH"/>
        </w:rPr>
        <w:t>examen de la distinction, de l</w:t>
      </w:r>
      <w:r w:rsidR="00E454D1">
        <w:rPr>
          <w:lang w:val="fr-CH"/>
        </w:rPr>
        <w:t>’</w:t>
      </w:r>
      <w:r w:rsidRPr="00E454D1">
        <w:rPr>
          <w:lang w:val="fr-CH"/>
        </w:rPr>
        <w:t>homogénéité et de la stabilité (DHS) (révision) (</w:t>
      </w:r>
      <w:r w:rsidR="002F2D47" w:rsidRPr="00E454D1">
        <w:rPr>
          <w:lang w:val="fr-CH"/>
        </w:rPr>
        <w:t>document TG</w:t>
      </w:r>
      <w:r w:rsidRPr="00E454D1">
        <w:rPr>
          <w:lang w:val="fr-CH"/>
        </w:rPr>
        <w:t xml:space="preserve">P/15/2 </w:t>
      </w:r>
      <w:proofErr w:type="spellStart"/>
      <w:r w:rsidRPr="00E454D1">
        <w:rPr>
          <w:lang w:val="fr-CH"/>
        </w:rPr>
        <w:t>Draft</w:t>
      </w:r>
      <w:proofErr w:type="spellEnd"/>
      <w:r w:rsidR="00FE5010" w:rsidRPr="00E454D1">
        <w:rPr>
          <w:lang w:val="fr-CH"/>
        </w:rPr>
        <w:t> </w:t>
      </w:r>
      <w:r w:rsidRPr="00E454D1">
        <w:rPr>
          <w:lang w:val="fr-CH"/>
        </w:rPr>
        <w:t>2)</w:t>
      </w:r>
      <w:bookmarkEnd w:id="20"/>
    </w:p>
    <w:p w:rsidR="00D75FE9" w:rsidRPr="00E454D1" w:rsidRDefault="00D75FE9" w:rsidP="0044336B">
      <w:pPr>
        <w:ind w:left="567" w:hanging="567"/>
        <w:rPr>
          <w:rFonts w:cs="Arial"/>
          <w:lang w:val="fr-CH"/>
        </w:rPr>
      </w:pPr>
    </w:p>
    <w:p w:rsidR="00D75FE9" w:rsidRPr="00E454D1" w:rsidRDefault="0044336B" w:rsidP="007E785D">
      <w:pPr>
        <w:rPr>
          <w:lang w:val="fr-CH"/>
        </w:rPr>
      </w:pPr>
      <w:r w:rsidRPr="00E454D1">
        <w:rPr>
          <w:rFonts w:cs="Arial"/>
          <w:lang w:val="fr-CH"/>
        </w:rPr>
        <w:fldChar w:fldCharType="begin"/>
      </w:r>
      <w:r w:rsidRPr="00E454D1">
        <w:rPr>
          <w:rFonts w:cs="Arial"/>
          <w:lang w:val="fr-CH"/>
        </w:rPr>
        <w:instrText xml:space="preserve"> AUTONUM  </w:instrText>
      </w:r>
      <w:r w:rsidRPr="00E454D1">
        <w:rPr>
          <w:rFonts w:cs="Arial"/>
          <w:lang w:val="fr-CH"/>
        </w:rPr>
        <w:fldChar w:fldCharType="end"/>
      </w:r>
      <w:r w:rsidRPr="00E454D1">
        <w:rPr>
          <w:rFonts w:cs="Arial"/>
          <w:lang w:val="fr-CH"/>
        </w:rPr>
        <w:tab/>
      </w:r>
      <w:r w:rsidR="007E785D" w:rsidRPr="00E454D1">
        <w:rPr>
          <w:rFonts w:cs="Arial"/>
          <w:lang w:val="fr-CH"/>
        </w:rPr>
        <w:t>À sa cinquante</w:t>
      </w:r>
      <w:r w:rsidR="00E454D1">
        <w:rPr>
          <w:rFonts w:cs="Arial"/>
          <w:lang w:val="fr-CH"/>
        </w:rPr>
        <w:t>-</w:t>
      </w:r>
      <w:r w:rsidR="007E785D" w:rsidRPr="00E454D1">
        <w:rPr>
          <w:rFonts w:cs="Arial"/>
          <w:lang w:val="fr-CH"/>
        </w:rPr>
        <w:t>quatr</w:t>
      </w:r>
      <w:r w:rsidR="00E454D1">
        <w:rPr>
          <w:rFonts w:cs="Arial"/>
          <w:lang w:val="fr-CH"/>
        </w:rPr>
        <w:t>ième session</w:t>
      </w:r>
      <w:r w:rsidR="007E785D" w:rsidRPr="00E454D1">
        <w:rPr>
          <w:rFonts w:cs="Arial"/>
          <w:lang w:val="fr-CH"/>
        </w:rPr>
        <w:t>, le</w:t>
      </w:r>
      <w:r w:rsidR="00E454D1">
        <w:rPr>
          <w:rFonts w:cs="Arial"/>
          <w:lang w:val="fr-CH"/>
        </w:rPr>
        <w:t> TC</w:t>
      </w:r>
      <w:r w:rsidR="007E785D" w:rsidRPr="00E454D1">
        <w:rPr>
          <w:rFonts w:cs="Arial"/>
          <w:lang w:val="fr-CH"/>
        </w:rPr>
        <w:t xml:space="preserve"> est convenu d</w:t>
      </w:r>
      <w:r w:rsidR="00E454D1">
        <w:rPr>
          <w:rFonts w:cs="Arial"/>
          <w:lang w:val="fr-CH"/>
        </w:rPr>
        <w:t>’</w:t>
      </w:r>
      <w:r w:rsidR="007E785D" w:rsidRPr="00E454D1">
        <w:rPr>
          <w:rFonts w:cs="Arial"/>
          <w:lang w:val="fr-CH"/>
        </w:rPr>
        <w:t>insérer le texte ci</w:t>
      </w:r>
      <w:r w:rsidR="00E454D1">
        <w:rPr>
          <w:rFonts w:cs="Arial"/>
          <w:lang w:val="fr-CH"/>
        </w:rPr>
        <w:t>-</w:t>
      </w:r>
      <w:r w:rsidR="007E785D" w:rsidRPr="00E454D1">
        <w:rPr>
          <w:rFonts w:cs="Arial"/>
          <w:lang w:val="fr-CH"/>
        </w:rPr>
        <w:t>après tiré du document UPOV/INF/18/1 “Utilisation possible des marqueurs moléculaires dans l</w:t>
      </w:r>
      <w:r w:rsidR="00E454D1">
        <w:rPr>
          <w:rFonts w:cs="Arial"/>
          <w:lang w:val="fr-CH"/>
        </w:rPr>
        <w:t>’</w:t>
      </w:r>
      <w:r w:rsidR="007E785D" w:rsidRPr="00E454D1">
        <w:rPr>
          <w:rFonts w:cs="Arial"/>
          <w:lang w:val="fr-CH"/>
        </w:rPr>
        <w:t>examen de la distinction, de l</w:t>
      </w:r>
      <w:r w:rsidR="00E454D1">
        <w:rPr>
          <w:rFonts w:cs="Arial"/>
          <w:lang w:val="fr-CH"/>
        </w:rPr>
        <w:t>’</w:t>
      </w:r>
      <w:r w:rsidR="007E785D" w:rsidRPr="00E454D1">
        <w:rPr>
          <w:rFonts w:cs="Arial"/>
          <w:lang w:val="fr-CH"/>
        </w:rPr>
        <w:t>homogénéité et de la stabilité (DHS)” dans le document TGP/15 “Conseils en ce qui concerne l</w:t>
      </w:r>
      <w:r w:rsidR="00E454D1">
        <w:rPr>
          <w:rFonts w:cs="Arial"/>
          <w:lang w:val="fr-CH"/>
        </w:rPr>
        <w:t>’</w:t>
      </w:r>
      <w:r w:rsidR="007E785D" w:rsidRPr="00E454D1">
        <w:rPr>
          <w:rFonts w:cs="Arial"/>
          <w:lang w:val="fr-CH"/>
        </w:rPr>
        <w:t>utilisation des marqueurs biochimiques et moléculaires dans l</w:t>
      </w:r>
      <w:r w:rsidR="00E454D1">
        <w:rPr>
          <w:rFonts w:cs="Arial"/>
          <w:lang w:val="fr-CH"/>
        </w:rPr>
        <w:t>’</w:t>
      </w:r>
      <w:r w:rsidR="007E785D" w:rsidRPr="00E454D1">
        <w:rPr>
          <w:rFonts w:cs="Arial"/>
          <w:lang w:val="fr-CH"/>
        </w:rPr>
        <w:t>examen de la distinction, de l</w:t>
      </w:r>
      <w:r w:rsidR="00E454D1">
        <w:rPr>
          <w:rFonts w:cs="Arial"/>
          <w:lang w:val="fr-CH"/>
        </w:rPr>
        <w:t>’</w:t>
      </w:r>
      <w:r w:rsidR="007E785D" w:rsidRPr="00E454D1">
        <w:rPr>
          <w:rFonts w:cs="Arial"/>
          <w:lang w:val="fr-CH"/>
        </w:rPr>
        <w:t>homogénéité et de la stabilité (DHS)” afin de préciser qu</w:t>
      </w:r>
      <w:r w:rsidR="00E454D1">
        <w:rPr>
          <w:rFonts w:cs="Arial"/>
          <w:lang w:val="fr-CH"/>
        </w:rPr>
        <w:t>’</w:t>
      </w:r>
      <w:r w:rsidR="007E785D" w:rsidRPr="00E454D1">
        <w:rPr>
          <w:rFonts w:cs="Arial"/>
          <w:lang w:val="fr-CH"/>
        </w:rPr>
        <w:t>il incombe à l</w:t>
      </w:r>
      <w:r w:rsidR="00E454D1">
        <w:rPr>
          <w:rFonts w:cs="Arial"/>
          <w:lang w:val="fr-CH"/>
        </w:rPr>
        <w:t>’</w:t>
      </w:r>
      <w:r w:rsidR="007E785D" w:rsidRPr="00E454D1">
        <w:rPr>
          <w:rFonts w:cs="Arial"/>
          <w:lang w:val="fr-CH"/>
        </w:rPr>
        <w:t>administration de se prononcer sur la fiabilité du lien entre le gène et l</w:t>
      </w:r>
      <w:r w:rsidR="00E454D1">
        <w:rPr>
          <w:rFonts w:cs="Arial"/>
          <w:lang w:val="fr-CH"/>
        </w:rPr>
        <w:t>’</w:t>
      </w:r>
      <w:r w:rsidR="007E785D" w:rsidRPr="00E454D1">
        <w:rPr>
          <w:rFonts w:cs="Arial"/>
          <w:lang w:val="fr-CH"/>
        </w:rPr>
        <w:t xml:space="preserve">expression du caractère </w:t>
      </w:r>
      <w:r w:rsidR="00645E4E" w:rsidRPr="00E454D1">
        <w:rPr>
          <w:rFonts w:cs="Arial"/>
          <w:lang w:val="fr-CH"/>
        </w:rPr>
        <w:t>(</w:t>
      </w:r>
      <w:r w:rsidR="007E785D" w:rsidRPr="00E454D1">
        <w:rPr>
          <w:rFonts w:cs="Arial"/>
          <w:lang w:val="fr-CH"/>
        </w:rPr>
        <w:t>voir les paragraphes</w:t>
      </w:r>
      <w:r w:rsidR="00FE5010" w:rsidRPr="00E454D1">
        <w:rPr>
          <w:rFonts w:cs="Arial"/>
          <w:lang w:val="fr-CH"/>
        </w:rPr>
        <w:t> </w:t>
      </w:r>
      <w:r w:rsidR="007E785D" w:rsidRPr="00E454D1">
        <w:rPr>
          <w:rFonts w:cs="Arial"/>
          <w:lang w:val="fr-CH"/>
        </w:rPr>
        <w:t>272 et 273 du document</w:t>
      </w:r>
      <w:r w:rsidR="00FE5010" w:rsidRPr="00E454D1">
        <w:rPr>
          <w:rFonts w:cs="Arial"/>
          <w:lang w:val="fr-CH"/>
        </w:rPr>
        <w:t> </w:t>
      </w:r>
      <w:r w:rsidR="00661BFC" w:rsidRPr="00580FFF">
        <w:rPr>
          <w:rFonts w:cs="Arial"/>
          <w:lang w:val="fr-CH"/>
        </w:rPr>
        <w:t>TC/54/31</w:t>
      </w:r>
      <w:r w:rsidR="00124C91" w:rsidRPr="00580FFF">
        <w:rPr>
          <w:rFonts w:cs="Arial"/>
          <w:lang w:val="fr-CH"/>
        </w:rPr>
        <w:t> </w:t>
      </w:r>
      <w:r w:rsidR="00661BFC" w:rsidRPr="00580FFF">
        <w:rPr>
          <w:rFonts w:cs="Arial"/>
          <w:lang w:val="fr-CH"/>
        </w:rPr>
        <w:t>Corr.</w:t>
      </w:r>
      <w:r w:rsidR="00661BFC" w:rsidRPr="00E454D1">
        <w:rPr>
          <w:lang w:val="fr-CH"/>
        </w:rPr>
        <w:t xml:space="preserve"> </w:t>
      </w:r>
      <w:r w:rsidR="007E785D" w:rsidRPr="00E454D1">
        <w:rPr>
          <w:rFonts w:cs="Arial"/>
          <w:lang w:val="fr-CH"/>
        </w:rPr>
        <w:t>“Compte rendu”)</w:t>
      </w:r>
      <w:r w:rsidR="00E454D1">
        <w:rPr>
          <w:rFonts w:cs="Arial"/>
          <w:lang w:val="fr-CH"/>
        </w:rPr>
        <w:t> :</w:t>
      </w:r>
    </w:p>
    <w:p w:rsidR="00D75FE9" w:rsidRPr="00E454D1" w:rsidRDefault="00D75FE9" w:rsidP="0044336B">
      <w:pPr>
        <w:rPr>
          <w:rFonts w:cs="Arial"/>
          <w:lang w:val="fr-CH"/>
        </w:rPr>
      </w:pPr>
    </w:p>
    <w:p w:rsidR="002F2D47" w:rsidRPr="00E454D1" w:rsidRDefault="007E785D" w:rsidP="007E785D">
      <w:pPr>
        <w:autoSpaceDE w:val="0"/>
        <w:autoSpaceDN w:val="0"/>
        <w:adjustRightInd w:val="0"/>
        <w:ind w:left="567" w:right="567"/>
        <w:rPr>
          <w:sz w:val="18"/>
          <w:lang w:val="fr-CH" w:eastAsia="ja-JP"/>
        </w:rPr>
      </w:pPr>
      <w:r w:rsidRPr="00E454D1">
        <w:rPr>
          <w:sz w:val="18"/>
          <w:lang w:val="fr-CH" w:eastAsia="ja-JP"/>
        </w:rPr>
        <w:t>“3.1.4 Aux fins de l</w:t>
      </w:r>
      <w:r w:rsidR="00E454D1">
        <w:rPr>
          <w:sz w:val="18"/>
          <w:lang w:val="fr-CH" w:eastAsia="ja-JP"/>
        </w:rPr>
        <w:t>’</w:t>
      </w:r>
      <w:r w:rsidRPr="00E454D1">
        <w:rPr>
          <w:sz w:val="18"/>
          <w:lang w:val="fr-CH" w:eastAsia="ja-JP"/>
        </w:rPr>
        <w:t>examen du modèle et de l</w:t>
      </w:r>
      <w:r w:rsidR="00E454D1">
        <w:rPr>
          <w:sz w:val="18"/>
          <w:lang w:val="fr-CH" w:eastAsia="ja-JP"/>
        </w:rPr>
        <w:t>’</w:t>
      </w:r>
      <w:r w:rsidRPr="00E454D1">
        <w:rPr>
          <w:sz w:val="18"/>
          <w:lang w:val="fr-CH" w:eastAsia="ja-JP"/>
        </w:rPr>
        <w:t>exemple, tels que figurant dans l</w:t>
      </w:r>
      <w:r w:rsidR="00E454D1">
        <w:rPr>
          <w:sz w:val="18"/>
          <w:lang w:val="fr-CH" w:eastAsia="ja-JP"/>
        </w:rPr>
        <w:t>’</w:t>
      </w:r>
      <w:r w:rsidRPr="00E454D1">
        <w:rPr>
          <w:sz w:val="18"/>
          <w:lang w:val="fr-CH" w:eastAsia="ja-JP"/>
        </w:rPr>
        <w:t>annexe</w:t>
      </w:r>
      <w:r w:rsidR="00FE5010" w:rsidRPr="00E454D1">
        <w:rPr>
          <w:sz w:val="18"/>
          <w:lang w:val="fr-CH" w:eastAsia="ja-JP"/>
        </w:rPr>
        <w:t> </w:t>
      </w:r>
      <w:r w:rsidRPr="00E454D1">
        <w:rPr>
          <w:sz w:val="18"/>
          <w:lang w:val="fr-CH" w:eastAsia="ja-JP"/>
        </w:rPr>
        <w:t>1 du présent document, le</w:t>
      </w:r>
      <w:r w:rsidR="00E454D1">
        <w:rPr>
          <w:sz w:val="18"/>
          <w:lang w:val="fr-CH" w:eastAsia="ja-JP"/>
        </w:rPr>
        <w:t> TC</w:t>
      </w:r>
      <w:r w:rsidRPr="00E454D1">
        <w:rPr>
          <w:sz w:val="18"/>
          <w:lang w:val="fr-CH" w:eastAsia="ja-JP"/>
        </w:rPr>
        <w:t xml:space="preserve"> a souligné l</w:t>
      </w:r>
      <w:r w:rsidR="00E454D1">
        <w:rPr>
          <w:sz w:val="18"/>
          <w:lang w:val="fr-CH" w:eastAsia="ja-JP"/>
        </w:rPr>
        <w:t>’</w:t>
      </w:r>
      <w:r w:rsidRPr="00E454D1">
        <w:rPr>
          <w:sz w:val="18"/>
          <w:lang w:val="fr-CH" w:eastAsia="ja-JP"/>
        </w:rPr>
        <w:t>importance du respect des hypothès</w:t>
      </w:r>
      <w:r w:rsidR="00C77A34" w:rsidRPr="00E454D1">
        <w:rPr>
          <w:sz w:val="18"/>
          <w:lang w:val="fr-CH" w:eastAsia="ja-JP"/>
        </w:rPr>
        <w:t>es</w:t>
      </w:r>
      <w:r w:rsidR="00C77A34">
        <w:rPr>
          <w:sz w:val="18"/>
          <w:lang w:val="fr-CH" w:eastAsia="ja-JP"/>
        </w:rPr>
        <w:t xml:space="preserve">.  </w:t>
      </w:r>
      <w:r w:rsidR="00C77A34" w:rsidRPr="00E454D1">
        <w:rPr>
          <w:sz w:val="18"/>
          <w:lang w:val="fr-CH" w:eastAsia="ja-JP"/>
        </w:rPr>
        <w:t xml:space="preserve">À </w:t>
      </w:r>
      <w:r w:rsidRPr="00E454D1">
        <w:rPr>
          <w:sz w:val="18"/>
          <w:lang w:val="fr-CH" w:eastAsia="ja-JP"/>
        </w:rPr>
        <w:t>cet égard, il a expliqué qu</w:t>
      </w:r>
      <w:r w:rsidR="00E454D1">
        <w:rPr>
          <w:sz w:val="18"/>
          <w:lang w:val="fr-CH" w:eastAsia="ja-JP"/>
        </w:rPr>
        <w:t>’</w:t>
      </w:r>
      <w:r w:rsidRPr="00E454D1">
        <w:rPr>
          <w:sz w:val="18"/>
          <w:lang w:val="fr-CH" w:eastAsia="ja-JP"/>
        </w:rPr>
        <w:t>il s</w:t>
      </w:r>
      <w:r w:rsidR="00E454D1">
        <w:rPr>
          <w:sz w:val="18"/>
          <w:lang w:val="fr-CH" w:eastAsia="ja-JP"/>
        </w:rPr>
        <w:t>’</w:t>
      </w:r>
      <w:r w:rsidRPr="00E454D1">
        <w:rPr>
          <w:sz w:val="18"/>
          <w:lang w:val="fr-CH" w:eastAsia="ja-JP"/>
        </w:rPr>
        <w:t>agissait d</w:t>
      </w:r>
      <w:r w:rsidR="00E454D1">
        <w:rPr>
          <w:sz w:val="18"/>
          <w:lang w:val="fr-CH" w:eastAsia="ja-JP"/>
        </w:rPr>
        <w:t>’</w:t>
      </w:r>
      <w:r w:rsidRPr="00E454D1">
        <w:rPr>
          <w:sz w:val="18"/>
          <w:lang w:val="fr-CH" w:eastAsia="ja-JP"/>
        </w:rPr>
        <w:t>une question que l</w:t>
      </w:r>
      <w:r w:rsidR="00E454D1">
        <w:rPr>
          <w:sz w:val="18"/>
          <w:lang w:val="fr-CH" w:eastAsia="ja-JP"/>
        </w:rPr>
        <w:t>’</w:t>
      </w:r>
      <w:r w:rsidRPr="00E454D1">
        <w:rPr>
          <w:sz w:val="18"/>
          <w:lang w:val="fr-CH" w:eastAsia="ja-JP"/>
        </w:rPr>
        <w:t>administration compétente devait examiner pour vérifier qu</w:t>
      </w:r>
      <w:r w:rsidR="00E454D1">
        <w:rPr>
          <w:sz w:val="18"/>
          <w:lang w:val="fr-CH" w:eastAsia="ja-JP"/>
        </w:rPr>
        <w:t>’</w:t>
      </w:r>
      <w:r w:rsidRPr="00E454D1">
        <w:rPr>
          <w:sz w:val="18"/>
          <w:lang w:val="fr-CH" w:eastAsia="ja-JP"/>
        </w:rPr>
        <w:t>il était satisfait aux hypothèses (voir le paragraphe</w:t>
      </w:r>
      <w:r w:rsidR="00FE5010" w:rsidRPr="00E454D1">
        <w:rPr>
          <w:sz w:val="18"/>
          <w:lang w:val="fr-CH" w:eastAsia="ja-JP"/>
        </w:rPr>
        <w:t> </w:t>
      </w:r>
      <w:r w:rsidRPr="00E454D1">
        <w:rPr>
          <w:sz w:val="18"/>
          <w:lang w:val="fr-CH" w:eastAsia="ja-JP"/>
        </w:rPr>
        <w:t xml:space="preserve">152 du </w:t>
      </w:r>
      <w:r w:rsidR="00E454D1" w:rsidRPr="00E454D1">
        <w:rPr>
          <w:sz w:val="18"/>
          <w:lang w:val="fr-CH" w:eastAsia="ja-JP"/>
        </w:rPr>
        <w:t>document</w:t>
      </w:r>
      <w:r w:rsidR="00E454D1">
        <w:rPr>
          <w:sz w:val="18"/>
          <w:lang w:val="fr-CH" w:eastAsia="ja-JP"/>
        </w:rPr>
        <w:t xml:space="preserve"> TC</w:t>
      </w:r>
      <w:r w:rsidRPr="00E454D1">
        <w:rPr>
          <w:sz w:val="18"/>
          <w:lang w:val="fr-CH" w:eastAsia="ja-JP"/>
        </w:rPr>
        <w:t>/45/16 “Compte rendu”).”</w:t>
      </w:r>
    </w:p>
    <w:p w:rsidR="00D75FE9" w:rsidRPr="00E454D1" w:rsidRDefault="00D75FE9" w:rsidP="0044336B">
      <w:pPr>
        <w:pStyle w:val="EndnoteText"/>
        <w:rPr>
          <w:lang w:val="fr-CH"/>
        </w:rPr>
      </w:pPr>
    </w:p>
    <w:p w:rsidR="00D75FE9" w:rsidRPr="00E454D1" w:rsidRDefault="0044336B" w:rsidP="007E785D">
      <w:pPr>
        <w:rPr>
          <w:lang w:val="fr-CH"/>
        </w:rPr>
      </w:pPr>
      <w:r w:rsidRPr="00E454D1">
        <w:rPr>
          <w:rFonts w:cs="Arial"/>
          <w:lang w:val="fr-CH"/>
        </w:rPr>
        <w:fldChar w:fldCharType="begin"/>
      </w:r>
      <w:r w:rsidRPr="00E454D1">
        <w:rPr>
          <w:rFonts w:cs="Arial"/>
          <w:lang w:val="fr-CH"/>
        </w:rPr>
        <w:instrText xml:space="preserve"> AUTONUM  </w:instrText>
      </w:r>
      <w:r w:rsidRPr="00E454D1">
        <w:rPr>
          <w:rFonts w:cs="Arial"/>
          <w:lang w:val="fr-CH"/>
        </w:rPr>
        <w:fldChar w:fldCharType="end"/>
      </w:r>
      <w:r w:rsidRPr="00E454D1">
        <w:rPr>
          <w:rFonts w:cs="Arial"/>
          <w:lang w:val="fr-CH"/>
        </w:rPr>
        <w:tab/>
      </w:r>
      <w:r w:rsidR="007E785D" w:rsidRPr="00E454D1">
        <w:rPr>
          <w:rFonts w:cs="Arial"/>
          <w:lang w:val="fr-CH"/>
        </w:rPr>
        <w:t>À sa cinquante</w:t>
      </w:r>
      <w:r w:rsidR="00E454D1">
        <w:rPr>
          <w:rFonts w:cs="Arial"/>
          <w:lang w:val="fr-CH"/>
        </w:rPr>
        <w:t>-</w:t>
      </w:r>
      <w:r w:rsidR="007E785D" w:rsidRPr="00E454D1">
        <w:rPr>
          <w:rFonts w:cs="Arial"/>
          <w:lang w:val="fr-CH"/>
        </w:rPr>
        <w:t>quatr</w:t>
      </w:r>
      <w:r w:rsidR="00E454D1">
        <w:rPr>
          <w:rFonts w:cs="Arial"/>
          <w:lang w:val="fr-CH"/>
        </w:rPr>
        <w:t>ième session</w:t>
      </w:r>
      <w:r w:rsidR="007E785D" w:rsidRPr="00E454D1">
        <w:rPr>
          <w:rFonts w:cs="Arial"/>
          <w:lang w:val="fr-CH"/>
        </w:rPr>
        <w:t>, le</w:t>
      </w:r>
      <w:r w:rsidR="00E454D1">
        <w:rPr>
          <w:rFonts w:cs="Arial"/>
          <w:lang w:val="fr-CH"/>
        </w:rPr>
        <w:t> TC</w:t>
      </w:r>
      <w:r w:rsidR="007E785D" w:rsidRPr="00E454D1">
        <w:rPr>
          <w:rFonts w:cs="Arial"/>
          <w:lang w:val="fr-CH"/>
        </w:rPr>
        <w:t xml:space="preserve"> a examiné la proposition</w:t>
      </w:r>
      <w:r w:rsidR="002F2D47" w:rsidRPr="00E454D1">
        <w:rPr>
          <w:rFonts w:cs="Arial"/>
          <w:lang w:val="fr-CH"/>
        </w:rPr>
        <w:t xml:space="preserve"> du BMT</w:t>
      </w:r>
      <w:r w:rsidR="007E785D" w:rsidRPr="00E454D1">
        <w:rPr>
          <w:rFonts w:cs="Arial"/>
          <w:lang w:val="fr-CH"/>
        </w:rPr>
        <w:t xml:space="preserve"> et il est convenu de faire figurer dans le </w:t>
      </w:r>
      <w:r w:rsidR="002F2D47" w:rsidRPr="00E454D1">
        <w:rPr>
          <w:rFonts w:cs="Arial"/>
          <w:lang w:val="fr-CH"/>
        </w:rPr>
        <w:t>document TG</w:t>
      </w:r>
      <w:r w:rsidR="007E785D" w:rsidRPr="00E454D1">
        <w:rPr>
          <w:rFonts w:cs="Arial"/>
          <w:lang w:val="fr-CH"/>
        </w:rPr>
        <w:t>P/15 une explication selon laquelle il appartiendrait aux groupes de travail techniques concernés et au</w:t>
      </w:r>
      <w:r w:rsidR="00E454D1">
        <w:rPr>
          <w:rFonts w:cs="Arial"/>
          <w:lang w:val="fr-CH"/>
        </w:rPr>
        <w:t> TC</w:t>
      </w:r>
      <w:r w:rsidR="007E785D" w:rsidRPr="00E454D1">
        <w:rPr>
          <w:rFonts w:cs="Arial"/>
          <w:lang w:val="fr-CH"/>
        </w:rPr>
        <w:t xml:space="preserve"> de déterminer s</w:t>
      </w:r>
      <w:r w:rsidR="00E454D1">
        <w:rPr>
          <w:rFonts w:cs="Arial"/>
          <w:lang w:val="fr-CH"/>
        </w:rPr>
        <w:t>’</w:t>
      </w:r>
      <w:r w:rsidR="007E785D" w:rsidRPr="00E454D1">
        <w:rPr>
          <w:rFonts w:cs="Arial"/>
          <w:lang w:val="fr-CH"/>
        </w:rPr>
        <w:t>il était répondu à l</w:t>
      </w:r>
      <w:r w:rsidR="00E454D1">
        <w:rPr>
          <w:rFonts w:cs="Arial"/>
          <w:lang w:val="fr-CH"/>
        </w:rPr>
        <w:t>’</w:t>
      </w:r>
      <w:r w:rsidR="007E785D" w:rsidRPr="00E454D1">
        <w:rPr>
          <w:rFonts w:cs="Arial"/>
          <w:lang w:val="fr-CH"/>
        </w:rPr>
        <w:t>exigence de fiabilité du lien entre le gène et l</w:t>
      </w:r>
      <w:r w:rsidR="00E454D1">
        <w:rPr>
          <w:rFonts w:cs="Arial"/>
          <w:lang w:val="fr-CH"/>
        </w:rPr>
        <w:t>’</w:t>
      </w:r>
      <w:r w:rsidR="007E785D" w:rsidRPr="00E454D1">
        <w:rPr>
          <w:rFonts w:cs="Arial"/>
          <w:lang w:val="fr-CH"/>
        </w:rPr>
        <w:t>expression du caractère afin d</w:t>
      </w:r>
      <w:r w:rsidR="00E454D1">
        <w:rPr>
          <w:rFonts w:cs="Arial"/>
          <w:lang w:val="fr-CH"/>
        </w:rPr>
        <w:t>’</w:t>
      </w:r>
      <w:r w:rsidR="007E785D" w:rsidRPr="00E454D1">
        <w:rPr>
          <w:rFonts w:cs="Arial"/>
          <w:lang w:val="fr-CH"/>
        </w:rPr>
        <w:t>incorporer une méthode dans les principes directeurs d</w:t>
      </w:r>
      <w:r w:rsidR="00E454D1">
        <w:rPr>
          <w:rFonts w:cs="Arial"/>
          <w:lang w:val="fr-CH"/>
        </w:rPr>
        <w:t>’</w:t>
      </w:r>
      <w:r w:rsidR="007E785D" w:rsidRPr="00E454D1">
        <w:rPr>
          <w:rFonts w:cs="Arial"/>
          <w:lang w:val="fr-CH"/>
        </w:rPr>
        <w:t>examen.</w:t>
      </w:r>
    </w:p>
    <w:p w:rsidR="00D75FE9" w:rsidRPr="00E454D1" w:rsidRDefault="00D75FE9" w:rsidP="0044336B">
      <w:pPr>
        <w:rPr>
          <w:lang w:val="fr-CH"/>
        </w:rPr>
      </w:pPr>
    </w:p>
    <w:p w:rsidR="00D75FE9" w:rsidRPr="00E454D1" w:rsidRDefault="0044336B" w:rsidP="00661BFC">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661BFC" w:rsidRPr="00E454D1">
        <w:rPr>
          <w:lang w:val="fr-CH"/>
        </w:rPr>
        <w:t>À sa cinquante</w:t>
      </w:r>
      <w:r w:rsidR="00E454D1">
        <w:rPr>
          <w:lang w:val="fr-CH"/>
        </w:rPr>
        <w:t>-</w:t>
      </w:r>
      <w:r w:rsidR="00661BFC" w:rsidRPr="00E454D1">
        <w:rPr>
          <w:lang w:val="fr-CH"/>
        </w:rPr>
        <w:t>quatr</w:t>
      </w:r>
      <w:r w:rsidR="00E454D1">
        <w:rPr>
          <w:lang w:val="fr-CH"/>
        </w:rPr>
        <w:t>ième session</w:t>
      </w:r>
      <w:r w:rsidR="00661BFC" w:rsidRPr="00E454D1">
        <w:rPr>
          <w:lang w:val="fr-CH"/>
        </w:rPr>
        <w:t>, le</w:t>
      </w:r>
      <w:r w:rsidR="00E454D1">
        <w:rPr>
          <w:lang w:val="fr-CH"/>
        </w:rPr>
        <w:t> TC</w:t>
      </w:r>
      <w:r w:rsidR="00661BFC" w:rsidRPr="00E454D1">
        <w:rPr>
          <w:lang w:val="fr-CH"/>
        </w:rPr>
        <w:t xml:space="preserve"> est également convenu de l</w:t>
      </w:r>
      <w:r w:rsidR="00E454D1">
        <w:rPr>
          <w:lang w:val="fr-CH"/>
        </w:rPr>
        <w:t>’</w:t>
      </w:r>
      <w:r w:rsidR="00661BFC" w:rsidRPr="00E454D1">
        <w:rPr>
          <w:lang w:val="fr-CH"/>
        </w:rPr>
        <w:t>inclusion d</w:t>
      </w:r>
      <w:r w:rsidR="00E454D1">
        <w:rPr>
          <w:lang w:val="fr-CH"/>
        </w:rPr>
        <w:t>’</w:t>
      </w:r>
      <w:r w:rsidR="00661BFC" w:rsidRPr="00E454D1">
        <w:rPr>
          <w:lang w:val="fr-CH"/>
        </w:rPr>
        <w:t>un nouveau modèle “Sélection génétique de variétés voisines pour le premier cycle de végétation</w:t>
      </w:r>
      <w:r w:rsidR="002F2D47" w:rsidRPr="00E454D1">
        <w:rPr>
          <w:lang w:val="fr-CH"/>
        </w:rPr>
        <w:t xml:space="preserve"> – </w:t>
      </w:r>
      <w:r w:rsidR="00661BFC" w:rsidRPr="00E454D1">
        <w:rPr>
          <w:lang w:val="fr-CH"/>
        </w:rPr>
        <w:t>exemple</w:t>
      </w:r>
      <w:r w:rsidR="00E454D1">
        <w:rPr>
          <w:lang w:val="fr-CH"/>
        </w:rPr>
        <w:t> :</w:t>
      </w:r>
      <w:r w:rsidR="00661BFC" w:rsidRPr="00E454D1">
        <w:rPr>
          <w:lang w:val="fr-CH"/>
        </w:rPr>
        <w:t xml:space="preserve"> haricot vert” dans le </w:t>
      </w:r>
      <w:r w:rsidR="00661BFC" w:rsidRPr="00E454D1">
        <w:rPr>
          <w:lang w:val="fr-CH"/>
        </w:rPr>
        <w:lastRenderedPageBreak/>
        <w:t>document TGP/15 pour l</w:t>
      </w:r>
      <w:r w:rsidR="00E454D1">
        <w:rPr>
          <w:lang w:val="fr-CH"/>
        </w:rPr>
        <w:t>’</w:t>
      </w:r>
      <w:r w:rsidR="00661BFC" w:rsidRPr="00E454D1">
        <w:rPr>
          <w:lang w:val="fr-CH"/>
        </w:rPr>
        <w:t>utilisation des marqueurs biochimiques et moléculaires dans l</w:t>
      </w:r>
      <w:r w:rsidR="00E454D1">
        <w:rPr>
          <w:lang w:val="fr-CH"/>
        </w:rPr>
        <w:t>’</w:t>
      </w:r>
      <w:r w:rsidR="00661BFC" w:rsidRPr="00E454D1">
        <w:rPr>
          <w:lang w:val="fr-CH"/>
        </w:rPr>
        <w:t>examen de la distinction, de l</w:t>
      </w:r>
      <w:r w:rsidR="00E454D1">
        <w:rPr>
          <w:lang w:val="fr-CH"/>
        </w:rPr>
        <w:t>’</w:t>
      </w:r>
      <w:r w:rsidR="00661BFC" w:rsidRPr="00E454D1">
        <w:rPr>
          <w:lang w:val="fr-CH"/>
        </w:rPr>
        <w:t xml:space="preserve">homogénéité et de la stabilité (DHS), sur la base du document TGP/15/2 </w:t>
      </w:r>
      <w:proofErr w:type="spellStart"/>
      <w:r w:rsidR="00661BFC" w:rsidRPr="00E454D1">
        <w:rPr>
          <w:lang w:val="fr-CH"/>
        </w:rPr>
        <w:t>Draft</w:t>
      </w:r>
      <w:proofErr w:type="spellEnd"/>
      <w:r w:rsidR="00661BFC" w:rsidRPr="00E454D1">
        <w:rPr>
          <w:lang w:val="fr-CH"/>
        </w:rPr>
        <w:t xml:space="preserve"> 1</w:t>
      </w:r>
      <w:r w:rsidR="00FE5010" w:rsidRPr="00E454D1">
        <w:rPr>
          <w:lang w:val="fr-CH"/>
        </w:rPr>
        <w:t> </w:t>
      </w:r>
      <w:r w:rsidR="00661BFC" w:rsidRPr="00E454D1">
        <w:rPr>
          <w:lang w:val="fr-CH"/>
        </w:rPr>
        <w:t>révisé par le</w:t>
      </w:r>
      <w:r w:rsidR="00E454D1">
        <w:rPr>
          <w:lang w:val="fr-CH"/>
        </w:rPr>
        <w:t> TC-EDC</w:t>
      </w:r>
      <w:r w:rsidR="00661BFC" w:rsidRPr="00E454D1">
        <w:rPr>
          <w:lang w:val="fr-CH"/>
        </w:rPr>
        <w:t>, comme indiqué à l</w:t>
      </w:r>
      <w:r w:rsidR="00E454D1">
        <w:rPr>
          <w:lang w:val="fr-CH"/>
        </w:rPr>
        <w:t>’</w:t>
      </w:r>
      <w:r w:rsidR="00661BFC" w:rsidRPr="00E454D1">
        <w:rPr>
          <w:lang w:val="fr-CH"/>
        </w:rPr>
        <w:t>annexe</w:t>
      </w:r>
      <w:r w:rsidR="00FE5010" w:rsidRPr="00E454D1">
        <w:rPr>
          <w:lang w:val="fr-CH"/>
        </w:rPr>
        <w:t> </w:t>
      </w:r>
      <w:r w:rsidR="00661BFC" w:rsidRPr="00E454D1">
        <w:rPr>
          <w:lang w:val="fr-CH"/>
        </w:rPr>
        <w:t xml:space="preserve">III du </w:t>
      </w:r>
      <w:r w:rsidR="00E454D1" w:rsidRPr="00E454D1">
        <w:rPr>
          <w:lang w:val="fr-CH"/>
        </w:rPr>
        <w:t>document</w:t>
      </w:r>
      <w:r w:rsidR="00E454D1">
        <w:rPr>
          <w:lang w:val="fr-CH"/>
        </w:rPr>
        <w:t xml:space="preserve"> TC</w:t>
      </w:r>
      <w:r w:rsidR="00661BFC" w:rsidRPr="00E454D1">
        <w:rPr>
          <w:lang w:val="fr-CH"/>
        </w:rPr>
        <w:t>/54/31</w:t>
      </w:r>
      <w:r w:rsidR="00124C91" w:rsidRPr="00E454D1">
        <w:rPr>
          <w:lang w:val="fr-CH"/>
        </w:rPr>
        <w:t> </w:t>
      </w:r>
      <w:r w:rsidR="00661BFC" w:rsidRPr="00E454D1">
        <w:rPr>
          <w:lang w:val="fr-CH"/>
        </w:rPr>
        <w:t>Corr. “Compte rendu” (voir les paragraphes</w:t>
      </w:r>
      <w:r w:rsidR="00FE5010" w:rsidRPr="00E454D1">
        <w:rPr>
          <w:lang w:val="fr-CH"/>
        </w:rPr>
        <w:t> </w:t>
      </w:r>
      <w:r w:rsidR="00661BFC" w:rsidRPr="00E454D1">
        <w:rPr>
          <w:lang w:val="fr-CH"/>
        </w:rPr>
        <w:t>290 et 291 du</w:t>
      </w:r>
      <w:r w:rsidR="00E454D1">
        <w:rPr>
          <w:lang w:val="fr-CH"/>
        </w:rPr>
        <w:t> TC</w:t>
      </w:r>
      <w:r w:rsidR="00661BFC" w:rsidRPr="00E454D1">
        <w:rPr>
          <w:rFonts w:cs="Arial"/>
          <w:lang w:val="fr-CH"/>
        </w:rPr>
        <w:t>/54/31</w:t>
      </w:r>
      <w:r w:rsidR="00124C91" w:rsidRPr="00E454D1">
        <w:rPr>
          <w:rFonts w:cs="Arial"/>
          <w:lang w:val="fr-CH"/>
        </w:rPr>
        <w:t> </w:t>
      </w:r>
      <w:r w:rsidR="00661BFC" w:rsidRPr="00E454D1">
        <w:rPr>
          <w:rFonts w:cs="Arial"/>
          <w:lang w:val="fr-CH"/>
        </w:rPr>
        <w:t>Corr.</w:t>
      </w:r>
      <w:r w:rsidR="00661BFC" w:rsidRPr="00E454D1">
        <w:rPr>
          <w:lang w:val="fr-CH"/>
        </w:rPr>
        <w:t xml:space="preserve"> “Compte rendu”).</w:t>
      </w:r>
    </w:p>
    <w:p w:rsidR="00D75FE9" w:rsidRPr="00E454D1" w:rsidRDefault="00D75FE9" w:rsidP="0044336B">
      <w:pPr>
        <w:rPr>
          <w:lang w:val="fr-CH"/>
        </w:rPr>
      </w:pPr>
    </w:p>
    <w:p w:rsidR="00D75FE9" w:rsidRPr="00E454D1" w:rsidRDefault="0044336B" w:rsidP="00650E61">
      <w:pPr>
        <w:rPr>
          <w:spacing w:val="-2"/>
          <w:lang w:val="fr-CH"/>
        </w:rPr>
      </w:pPr>
      <w:r w:rsidRPr="00E454D1">
        <w:rPr>
          <w:spacing w:val="-2"/>
          <w:lang w:val="fr-CH"/>
        </w:rPr>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650E61" w:rsidRPr="00E454D1">
        <w:rPr>
          <w:spacing w:val="-2"/>
          <w:lang w:val="fr-CH"/>
        </w:rPr>
        <w:t>Sur la base de ce qui précède, le</w:t>
      </w:r>
      <w:r w:rsidR="00E454D1">
        <w:rPr>
          <w:spacing w:val="-2"/>
          <w:lang w:val="fr-CH"/>
        </w:rPr>
        <w:t> TC</w:t>
      </w:r>
      <w:r w:rsidR="00650E61" w:rsidRPr="00E454D1">
        <w:rPr>
          <w:spacing w:val="-2"/>
          <w:lang w:val="fr-CH"/>
        </w:rPr>
        <w:t xml:space="preserve"> est convenu qu</w:t>
      </w:r>
      <w:r w:rsidR="00E454D1">
        <w:rPr>
          <w:spacing w:val="-2"/>
          <w:lang w:val="fr-CH"/>
        </w:rPr>
        <w:t>’</w:t>
      </w:r>
      <w:r w:rsidR="00650E61" w:rsidRPr="00E454D1">
        <w:rPr>
          <w:spacing w:val="-2"/>
          <w:lang w:val="fr-CH"/>
        </w:rPr>
        <w:t xml:space="preserve">une version révisée du </w:t>
      </w:r>
      <w:r w:rsidR="002F2D47" w:rsidRPr="00E454D1">
        <w:rPr>
          <w:spacing w:val="-2"/>
          <w:lang w:val="fr-CH"/>
        </w:rPr>
        <w:t>document TG</w:t>
      </w:r>
      <w:r w:rsidR="00650E61" w:rsidRPr="00E454D1">
        <w:rPr>
          <w:spacing w:val="-2"/>
          <w:lang w:val="fr-CH"/>
        </w:rPr>
        <w:t>P/15/1 (</w:t>
      </w:r>
      <w:r w:rsidR="002F2D47" w:rsidRPr="00E454D1">
        <w:rPr>
          <w:spacing w:val="-2"/>
          <w:lang w:val="fr-CH"/>
        </w:rPr>
        <w:t>document TG</w:t>
      </w:r>
      <w:r w:rsidR="00650E61" w:rsidRPr="00E454D1">
        <w:rPr>
          <w:spacing w:val="-2"/>
          <w:lang w:val="fr-CH"/>
        </w:rPr>
        <w:t xml:space="preserve">P/15/2 </w:t>
      </w:r>
      <w:proofErr w:type="spellStart"/>
      <w:r w:rsidR="00650E61" w:rsidRPr="00E454D1">
        <w:rPr>
          <w:spacing w:val="-2"/>
          <w:lang w:val="fr-CH"/>
        </w:rPr>
        <w:t>Draft</w:t>
      </w:r>
      <w:proofErr w:type="spellEnd"/>
      <w:r w:rsidR="00FE5010" w:rsidRPr="00E454D1">
        <w:rPr>
          <w:spacing w:val="-2"/>
          <w:lang w:val="fr-CH"/>
        </w:rPr>
        <w:t> </w:t>
      </w:r>
      <w:r w:rsidR="00650E61" w:rsidRPr="00E454D1">
        <w:rPr>
          <w:spacing w:val="-2"/>
          <w:lang w:val="fr-CH"/>
        </w:rPr>
        <w:t>2) devait être soumise au Conseil pour adoption à sa cinquante</w:t>
      </w:r>
      <w:r w:rsidR="00E454D1">
        <w:rPr>
          <w:spacing w:val="-2"/>
          <w:lang w:val="fr-CH"/>
        </w:rPr>
        <w:t>-</w:t>
      </w:r>
      <w:r w:rsidR="00650E61" w:rsidRPr="00E454D1">
        <w:rPr>
          <w:spacing w:val="-2"/>
          <w:lang w:val="fr-CH"/>
        </w:rPr>
        <w:t>trois</w:t>
      </w:r>
      <w:r w:rsidR="00E454D1">
        <w:rPr>
          <w:spacing w:val="-2"/>
          <w:lang w:val="fr-CH"/>
        </w:rPr>
        <w:t>ième session</w:t>
      </w:r>
      <w:r w:rsidR="00650E61" w:rsidRPr="00E454D1">
        <w:rPr>
          <w:spacing w:val="-2"/>
          <w:lang w:val="fr-CH"/>
        </w:rPr>
        <w:t xml:space="preserve"> ordinaire, sous réserve de l</w:t>
      </w:r>
      <w:r w:rsidR="00E454D1">
        <w:rPr>
          <w:spacing w:val="-2"/>
          <w:lang w:val="fr-CH"/>
        </w:rPr>
        <w:t>’</w:t>
      </w:r>
      <w:r w:rsidR="00650E61" w:rsidRPr="00E454D1">
        <w:rPr>
          <w:spacing w:val="-2"/>
          <w:lang w:val="fr-CH"/>
        </w:rPr>
        <w:t>approbation</w:t>
      </w:r>
      <w:r w:rsidR="002F2D47" w:rsidRPr="00E454D1">
        <w:rPr>
          <w:spacing w:val="-2"/>
          <w:lang w:val="fr-CH"/>
        </w:rPr>
        <w:t xml:space="preserve"> du CAJ</w:t>
      </w:r>
      <w:r w:rsidR="00650E61" w:rsidRPr="00E454D1">
        <w:rPr>
          <w:spacing w:val="-2"/>
          <w:lang w:val="fr-CH"/>
        </w:rPr>
        <w:t xml:space="preserve"> à sa soixante</w:t>
      </w:r>
      <w:r w:rsidR="00E454D1">
        <w:rPr>
          <w:spacing w:val="-2"/>
          <w:lang w:val="fr-CH"/>
        </w:rPr>
        <w:t>-</w:t>
      </w:r>
      <w:r w:rsidR="00650E61" w:rsidRPr="00E454D1">
        <w:rPr>
          <w:spacing w:val="-2"/>
          <w:lang w:val="fr-CH"/>
        </w:rPr>
        <w:t>seiz</w:t>
      </w:r>
      <w:r w:rsidR="00E454D1">
        <w:rPr>
          <w:spacing w:val="-2"/>
          <w:lang w:val="fr-CH"/>
        </w:rPr>
        <w:t>ième session</w:t>
      </w:r>
      <w:r w:rsidR="00650E61" w:rsidRPr="00E454D1">
        <w:rPr>
          <w:spacing w:val="-2"/>
          <w:lang w:val="fr-CH"/>
        </w:rPr>
        <w:t>.</w:t>
      </w:r>
    </w:p>
    <w:p w:rsidR="00D75FE9" w:rsidRPr="00E454D1" w:rsidRDefault="00D75FE9" w:rsidP="0044336B">
      <w:pPr>
        <w:rPr>
          <w:spacing w:val="-2"/>
          <w:lang w:val="fr-CH"/>
        </w:rPr>
      </w:pPr>
    </w:p>
    <w:p w:rsidR="00D75FE9" w:rsidRPr="00E454D1" w:rsidRDefault="0044336B" w:rsidP="00650E61">
      <w:pPr>
        <w:rPr>
          <w:bCs/>
          <w:snapToGrid w:val="0"/>
          <w:szCs w:val="24"/>
          <w:lang w:val="fr-CH"/>
        </w:rPr>
      </w:pPr>
      <w:r w:rsidRPr="00E454D1">
        <w:rPr>
          <w:spacing w:val="-2"/>
          <w:lang w:val="fr-CH"/>
        </w:rPr>
        <w:fldChar w:fldCharType="begin"/>
      </w:r>
      <w:r w:rsidRPr="00E454D1">
        <w:rPr>
          <w:spacing w:val="-2"/>
          <w:lang w:val="fr-CH"/>
        </w:rPr>
        <w:instrText xml:space="preserve"> AUTONUM  </w:instrText>
      </w:r>
      <w:r w:rsidRPr="00E454D1">
        <w:rPr>
          <w:spacing w:val="-2"/>
          <w:lang w:val="fr-CH"/>
        </w:rPr>
        <w:fldChar w:fldCharType="end"/>
      </w:r>
      <w:r w:rsidRPr="00E454D1">
        <w:rPr>
          <w:spacing w:val="-2"/>
          <w:lang w:val="fr-CH"/>
        </w:rPr>
        <w:tab/>
      </w:r>
      <w:r w:rsidR="00650E61" w:rsidRPr="00E454D1">
        <w:rPr>
          <w:spacing w:val="-2"/>
          <w:lang w:val="fr-CH"/>
        </w:rPr>
        <w:t xml:space="preserve">Les traductions en français, allemand et espagnol du texte anglais original ont été examinées par les membres concernés du Comité de rédaction avant la présentation du projet de </w:t>
      </w:r>
      <w:r w:rsidR="002F2D47" w:rsidRPr="00E454D1">
        <w:rPr>
          <w:spacing w:val="-2"/>
          <w:lang w:val="fr-CH"/>
        </w:rPr>
        <w:t>document TG</w:t>
      </w:r>
      <w:r w:rsidR="00650E61" w:rsidRPr="00E454D1">
        <w:rPr>
          <w:spacing w:val="-2"/>
          <w:lang w:val="fr-CH"/>
        </w:rPr>
        <w:t>P/15/2 au Conse</w:t>
      </w:r>
      <w:r w:rsidR="00C77A34" w:rsidRPr="00E454D1">
        <w:rPr>
          <w:spacing w:val="-2"/>
          <w:lang w:val="fr-CH"/>
        </w:rPr>
        <w:t>il</w:t>
      </w:r>
      <w:r w:rsidR="00C77A34">
        <w:rPr>
          <w:spacing w:val="-2"/>
          <w:lang w:val="fr-CH"/>
        </w:rPr>
        <w:t xml:space="preserve">.  </w:t>
      </w:r>
      <w:r w:rsidR="00C77A34" w:rsidRPr="00E454D1">
        <w:rPr>
          <w:spacing w:val="-2"/>
          <w:lang w:val="fr-CH"/>
        </w:rPr>
        <w:t>Le</w:t>
      </w:r>
      <w:r w:rsidR="00650E61" w:rsidRPr="00E454D1">
        <w:rPr>
          <w:spacing w:val="-2"/>
          <w:lang w:val="fr-CH"/>
        </w:rPr>
        <w:t xml:space="preserve"> </w:t>
      </w:r>
      <w:r w:rsidR="002F2D47" w:rsidRPr="00E454D1">
        <w:rPr>
          <w:spacing w:val="-2"/>
          <w:lang w:val="fr-CH"/>
        </w:rPr>
        <w:t>document TG</w:t>
      </w:r>
      <w:r w:rsidR="00650E61" w:rsidRPr="00E454D1">
        <w:rPr>
          <w:spacing w:val="-2"/>
          <w:lang w:val="fr-CH"/>
        </w:rPr>
        <w:t xml:space="preserve">P/15/2 </w:t>
      </w:r>
      <w:proofErr w:type="spellStart"/>
      <w:r w:rsidR="00650E61" w:rsidRPr="00E454D1">
        <w:rPr>
          <w:spacing w:val="-2"/>
          <w:lang w:val="fr-CH"/>
        </w:rPr>
        <w:t>Draft</w:t>
      </w:r>
      <w:proofErr w:type="spellEnd"/>
      <w:r w:rsidR="00FE5010" w:rsidRPr="00E454D1">
        <w:rPr>
          <w:spacing w:val="-2"/>
          <w:lang w:val="fr-CH"/>
        </w:rPr>
        <w:t> </w:t>
      </w:r>
      <w:r w:rsidR="00650E61" w:rsidRPr="00E454D1">
        <w:rPr>
          <w:spacing w:val="-2"/>
          <w:lang w:val="fr-CH"/>
        </w:rPr>
        <w:t>2 contient les modifications approuvées par le</w:t>
      </w:r>
      <w:r w:rsidR="00E454D1">
        <w:rPr>
          <w:spacing w:val="-2"/>
          <w:lang w:val="fr-CH"/>
        </w:rPr>
        <w:t> TC</w:t>
      </w:r>
      <w:r w:rsidR="00650E61" w:rsidRPr="00E454D1">
        <w:rPr>
          <w:spacing w:val="-2"/>
          <w:lang w:val="fr-CH"/>
        </w:rPr>
        <w:t xml:space="preserve"> figurant à l</w:t>
      </w:r>
      <w:r w:rsidR="00E454D1">
        <w:rPr>
          <w:spacing w:val="-2"/>
          <w:lang w:val="fr-CH"/>
        </w:rPr>
        <w:t>’</w:t>
      </w:r>
      <w:r w:rsidR="002F2D47" w:rsidRPr="00E454D1">
        <w:rPr>
          <w:spacing w:val="-2"/>
          <w:lang w:val="fr-CH"/>
        </w:rPr>
        <w:t>annexe V</w:t>
      </w:r>
      <w:r w:rsidR="00650E61" w:rsidRPr="00E454D1">
        <w:rPr>
          <w:spacing w:val="-2"/>
          <w:lang w:val="fr-CH"/>
        </w:rPr>
        <w:t xml:space="preserve"> du présent document, ainsi que les modifications d</w:t>
      </w:r>
      <w:r w:rsidR="00E454D1">
        <w:rPr>
          <w:spacing w:val="-2"/>
          <w:lang w:val="fr-CH"/>
        </w:rPr>
        <w:t>’</w:t>
      </w:r>
      <w:r w:rsidR="00650E61" w:rsidRPr="00E454D1">
        <w:rPr>
          <w:spacing w:val="-2"/>
          <w:lang w:val="fr-CH"/>
        </w:rPr>
        <w:t>ordre linguistique apportées par les membres concernés du Comité de rédaction.</w:t>
      </w:r>
    </w:p>
    <w:p w:rsidR="00D75FE9" w:rsidRPr="00E454D1" w:rsidRDefault="00D75FE9" w:rsidP="0044336B">
      <w:pPr>
        <w:rPr>
          <w:lang w:val="fr-CH"/>
        </w:rPr>
      </w:pPr>
    </w:p>
    <w:p w:rsidR="002F2D47" w:rsidRPr="00E454D1" w:rsidRDefault="0044336B" w:rsidP="004061B9">
      <w:pPr>
        <w:pStyle w:val="DecisionParagraphs"/>
        <w:keepNext/>
        <w:keepLine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4061B9" w:rsidRPr="00E454D1">
        <w:rPr>
          <w:lang w:val="fr-CH"/>
        </w:rPr>
        <w:t>Le</w:t>
      </w:r>
      <w:r w:rsidR="00E454D1">
        <w:rPr>
          <w:lang w:val="fr-CH"/>
        </w:rPr>
        <w:t> TC</w:t>
      </w:r>
      <w:r w:rsidR="004061B9" w:rsidRPr="00E454D1">
        <w:rPr>
          <w:lang w:val="fr-CH"/>
        </w:rPr>
        <w:t xml:space="preserve"> est invité à prendre note de la version révisée du document TGP/15 “Conseils en ce qui concerne l</w:t>
      </w:r>
      <w:r w:rsidR="00E454D1">
        <w:rPr>
          <w:lang w:val="fr-CH"/>
        </w:rPr>
        <w:t>’</w:t>
      </w:r>
      <w:r w:rsidR="004061B9" w:rsidRPr="00E454D1">
        <w:rPr>
          <w:lang w:val="fr-CH"/>
        </w:rPr>
        <w:t>utilisation des marqueurs biochimiques et moléculaires dans l</w:t>
      </w:r>
      <w:r w:rsidR="00E454D1">
        <w:rPr>
          <w:lang w:val="fr-CH"/>
        </w:rPr>
        <w:t>’</w:t>
      </w:r>
      <w:r w:rsidR="004061B9" w:rsidRPr="00E454D1">
        <w:rPr>
          <w:lang w:val="fr-CH"/>
        </w:rPr>
        <w:t>examen de la distinction, de l</w:t>
      </w:r>
      <w:r w:rsidR="00E454D1">
        <w:rPr>
          <w:lang w:val="fr-CH"/>
        </w:rPr>
        <w:t>’</w:t>
      </w:r>
      <w:r w:rsidR="004061B9" w:rsidRPr="00E454D1">
        <w:rPr>
          <w:lang w:val="fr-CH"/>
        </w:rPr>
        <w:t>homogénéité et de la stabilité (DHS)” (</w:t>
      </w:r>
      <w:r w:rsidR="002F2D47" w:rsidRPr="00E454D1">
        <w:rPr>
          <w:lang w:val="fr-CH"/>
        </w:rPr>
        <w:t>document TG</w:t>
      </w:r>
      <w:r w:rsidR="004061B9" w:rsidRPr="00E454D1">
        <w:rPr>
          <w:lang w:val="fr-CH"/>
        </w:rPr>
        <w:t>P/15/1), qui sera soumise au Conseil pour adoption à sa cinquante</w:t>
      </w:r>
      <w:r w:rsidR="00E454D1">
        <w:rPr>
          <w:lang w:val="fr-CH"/>
        </w:rPr>
        <w:t>-</w:t>
      </w:r>
      <w:r w:rsidR="004061B9" w:rsidRPr="00E454D1">
        <w:rPr>
          <w:lang w:val="fr-CH"/>
        </w:rPr>
        <w:t>trois</w:t>
      </w:r>
      <w:r w:rsidR="00E454D1">
        <w:rPr>
          <w:lang w:val="fr-CH"/>
        </w:rPr>
        <w:t>ième session</w:t>
      </w:r>
      <w:r w:rsidR="004061B9" w:rsidRPr="00E454D1">
        <w:rPr>
          <w:lang w:val="fr-CH"/>
        </w:rPr>
        <w:t xml:space="preserve"> ordinaire, sous réserve de l</w:t>
      </w:r>
      <w:r w:rsidR="00E454D1">
        <w:rPr>
          <w:lang w:val="fr-CH"/>
        </w:rPr>
        <w:t>’</w:t>
      </w:r>
      <w:r w:rsidR="004061B9" w:rsidRPr="00E454D1">
        <w:rPr>
          <w:lang w:val="fr-CH"/>
        </w:rPr>
        <w:t>approbation</w:t>
      </w:r>
      <w:r w:rsidR="002F2D47" w:rsidRPr="00E454D1">
        <w:rPr>
          <w:lang w:val="fr-CH"/>
        </w:rPr>
        <w:t xml:space="preserve"> du CAJ</w:t>
      </w:r>
      <w:r w:rsidR="004061B9" w:rsidRPr="00E454D1">
        <w:rPr>
          <w:lang w:val="fr-CH"/>
        </w:rPr>
        <w:t xml:space="preserve"> à sa soixante</w:t>
      </w:r>
      <w:r w:rsidR="00E454D1">
        <w:rPr>
          <w:lang w:val="fr-CH"/>
        </w:rPr>
        <w:t>-</w:t>
      </w:r>
      <w:r w:rsidR="004061B9" w:rsidRPr="00E454D1">
        <w:rPr>
          <w:lang w:val="fr-CH"/>
        </w:rPr>
        <w:t>seiz</w:t>
      </w:r>
      <w:r w:rsidR="00E454D1">
        <w:rPr>
          <w:lang w:val="fr-CH"/>
        </w:rPr>
        <w:t>ième session</w:t>
      </w:r>
      <w:r w:rsidR="004061B9" w:rsidRPr="00E454D1">
        <w:rPr>
          <w:lang w:val="fr-CH"/>
        </w:rPr>
        <w:t xml:space="preserve">, sur la base du </w:t>
      </w:r>
      <w:r w:rsidR="002F2D47" w:rsidRPr="00E454D1">
        <w:rPr>
          <w:lang w:val="fr-CH"/>
        </w:rPr>
        <w:t>document TG</w:t>
      </w:r>
      <w:r w:rsidR="004061B9" w:rsidRPr="00E454D1">
        <w:rPr>
          <w:lang w:val="fr-CH"/>
        </w:rPr>
        <w:t xml:space="preserve">P/15/2 </w:t>
      </w:r>
      <w:proofErr w:type="spellStart"/>
      <w:r w:rsidR="004061B9" w:rsidRPr="00E454D1">
        <w:rPr>
          <w:lang w:val="fr-CH"/>
        </w:rPr>
        <w:t>Draft</w:t>
      </w:r>
      <w:proofErr w:type="spellEnd"/>
      <w:r w:rsidR="004061B9" w:rsidRPr="00E454D1">
        <w:rPr>
          <w:lang w:val="fr-CH"/>
        </w:rPr>
        <w:t> 2.</w:t>
      </w:r>
    </w:p>
    <w:p w:rsidR="00D75FE9" w:rsidRPr="00E454D1" w:rsidRDefault="00D75FE9" w:rsidP="0044336B">
      <w:pPr>
        <w:tabs>
          <w:tab w:val="left" w:pos="5387"/>
        </w:tabs>
        <w:rPr>
          <w:lang w:val="fr-CH"/>
        </w:rPr>
      </w:pPr>
    </w:p>
    <w:p w:rsidR="00D75FE9" w:rsidRPr="00E454D1" w:rsidRDefault="00D75FE9" w:rsidP="0044336B">
      <w:pPr>
        <w:tabs>
          <w:tab w:val="left" w:pos="5387"/>
        </w:tabs>
        <w:rPr>
          <w:lang w:val="fr-CH"/>
        </w:rPr>
      </w:pPr>
    </w:p>
    <w:p w:rsidR="002F2D47" w:rsidRPr="00E454D1" w:rsidRDefault="004061B9" w:rsidP="004061B9">
      <w:pPr>
        <w:pStyle w:val="Heading2"/>
        <w:rPr>
          <w:snapToGrid w:val="0"/>
          <w:lang w:val="fr-CH"/>
        </w:rPr>
      </w:pPr>
      <w:bookmarkStart w:id="21" w:name="_Toc22035913"/>
      <w:r w:rsidRPr="00E454D1">
        <w:rPr>
          <w:snapToGrid w:val="0"/>
          <w:lang w:val="fr-CH"/>
        </w:rPr>
        <w:t>Document</w:t>
      </w:r>
      <w:r w:rsidR="00FE5010" w:rsidRPr="00E454D1">
        <w:rPr>
          <w:snapToGrid w:val="0"/>
          <w:lang w:val="fr-CH"/>
        </w:rPr>
        <w:t> </w:t>
      </w:r>
      <w:r w:rsidRPr="00E454D1">
        <w:rPr>
          <w:snapToGrid w:val="0"/>
          <w:lang w:val="fr-CH"/>
        </w:rPr>
        <w:t>TGP/0</w:t>
      </w:r>
      <w:r w:rsidR="00E454D1">
        <w:rPr>
          <w:snapToGrid w:val="0"/>
          <w:lang w:val="fr-CH"/>
        </w:rPr>
        <w:t> :</w:t>
      </w:r>
      <w:r w:rsidRPr="00E454D1">
        <w:rPr>
          <w:snapToGrid w:val="0"/>
          <w:lang w:val="fr-CH"/>
        </w:rPr>
        <w:t xml:space="preserve"> Liste des documents TGP et date de la version la plus récente de ces documents (révision) (</w:t>
      </w:r>
      <w:r w:rsidR="002F2D47" w:rsidRPr="00E454D1">
        <w:rPr>
          <w:snapToGrid w:val="0"/>
          <w:lang w:val="fr-CH"/>
        </w:rPr>
        <w:t>document TG</w:t>
      </w:r>
      <w:r w:rsidRPr="00E454D1">
        <w:rPr>
          <w:snapToGrid w:val="0"/>
          <w:lang w:val="fr-CH"/>
        </w:rPr>
        <w:t xml:space="preserve">P/0/11 </w:t>
      </w:r>
      <w:proofErr w:type="spellStart"/>
      <w:r w:rsidRPr="00E454D1">
        <w:rPr>
          <w:snapToGrid w:val="0"/>
          <w:lang w:val="fr-CH"/>
        </w:rPr>
        <w:t>Draft</w:t>
      </w:r>
      <w:proofErr w:type="spellEnd"/>
      <w:r w:rsidR="00FE5010" w:rsidRPr="00E454D1">
        <w:rPr>
          <w:snapToGrid w:val="0"/>
          <w:lang w:val="fr-CH"/>
        </w:rPr>
        <w:t> </w:t>
      </w:r>
      <w:r w:rsidRPr="00E454D1">
        <w:rPr>
          <w:snapToGrid w:val="0"/>
          <w:lang w:val="fr-CH"/>
        </w:rPr>
        <w:t>1)</w:t>
      </w:r>
      <w:bookmarkEnd w:id="21"/>
    </w:p>
    <w:p w:rsidR="00D75FE9" w:rsidRPr="00E454D1" w:rsidRDefault="00D75FE9" w:rsidP="0044336B">
      <w:pPr>
        <w:keepNext/>
        <w:rPr>
          <w:lang w:val="fr-CH"/>
        </w:rPr>
      </w:pPr>
    </w:p>
    <w:p w:rsidR="00D75FE9" w:rsidRPr="00E454D1" w:rsidRDefault="0044336B" w:rsidP="004061B9">
      <w:pPr>
        <w:keepNext/>
        <w:rPr>
          <w:rFonts w:cs="Arial"/>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4061B9" w:rsidRPr="00E454D1">
        <w:rPr>
          <w:lang w:val="fr-CH"/>
        </w:rPr>
        <w:t>Le</w:t>
      </w:r>
      <w:r w:rsidR="00E454D1">
        <w:rPr>
          <w:lang w:val="fr-CH"/>
        </w:rPr>
        <w:t> TC</w:t>
      </w:r>
      <w:r w:rsidR="004061B9" w:rsidRPr="00E454D1">
        <w:rPr>
          <w:lang w:val="fr-CH"/>
        </w:rPr>
        <w:t xml:space="preserve"> est invité à noter que, parallèlement à l</w:t>
      </w:r>
      <w:r w:rsidR="00E454D1">
        <w:rPr>
          <w:lang w:val="fr-CH"/>
        </w:rPr>
        <w:t>’</w:t>
      </w:r>
      <w:r w:rsidR="004061B9" w:rsidRPr="00E454D1">
        <w:rPr>
          <w:lang w:val="fr-CH"/>
        </w:rPr>
        <w:t>adoption des documents TGP révisés, le Conseil sera invité, à sa cinquante</w:t>
      </w:r>
      <w:r w:rsidR="00E454D1">
        <w:rPr>
          <w:lang w:val="fr-CH"/>
        </w:rPr>
        <w:t>-</w:t>
      </w:r>
      <w:r w:rsidR="004061B9" w:rsidRPr="00E454D1">
        <w:rPr>
          <w:lang w:val="fr-CH"/>
        </w:rPr>
        <w:t>trois</w:t>
      </w:r>
      <w:r w:rsidR="00E454D1">
        <w:rPr>
          <w:lang w:val="fr-CH"/>
        </w:rPr>
        <w:t>ième session</w:t>
      </w:r>
      <w:r w:rsidR="004061B9" w:rsidRPr="00E454D1">
        <w:rPr>
          <w:lang w:val="fr-CH"/>
        </w:rPr>
        <w:t xml:space="preserve"> ordinaire, à adopter une version révisée du document TGP/0 “Liste des documents TGP et date de la version la plus récente de ces documents” (document TGP/0/10), sur la base du document TGP/0/11 </w:t>
      </w:r>
      <w:proofErr w:type="spellStart"/>
      <w:r w:rsidR="004061B9" w:rsidRPr="00E454D1">
        <w:rPr>
          <w:lang w:val="fr-CH"/>
        </w:rPr>
        <w:t>Draft</w:t>
      </w:r>
      <w:proofErr w:type="spellEnd"/>
      <w:r w:rsidR="004061B9" w:rsidRPr="00E454D1">
        <w:rPr>
          <w:lang w:val="fr-CH"/>
        </w:rPr>
        <w:t xml:space="preserve"> 1.</w:t>
      </w:r>
    </w:p>
    <w:p w:rsidR="00D75FE9" w:rsidRPr="00E454D1" w:rsidRDefault="00D75FE9" w:rsidP="0044336B">
      <w:pPr>
        <w:rPr>
          <w:lang w:val="fr-CH"/>
        </w:rPr>
      </w:pPr>
    </w:p>
    <w:p w:rsidR="002F2D47" w:rsidRPr="00E454D1" w:rsidRDefault="0044336B" w:rsidP="004061B9">
      <w:pPr>
        <w:tabs>
          <w:tab w:val="left" w:pos="5387"/>
          <w:tab w:val="left" w:pos="5954"/>
        </w:tabs>
        <w:ind w:left="4820"/>
        <w:rPr>
          <w:lang w:val="fr-CH"/>
        </w:rPr>
      </w:pPr>
      <w:r w:rsidRPr="00E454D1">
        <w:rPr>
          <w:i/>
          <w:lang w:val="fr-CH"/>
        </w:rPr>
        <w:fldChar w:fldCharType="begin"/>
      </w:r>
      <w:r w:rsidRPr="00E454D1">
        <w:rPr>
          <w:i/>
          <w:lang w:val="fr-CH"/>
        </w:rPr>
        <w:instrText xml:space="preserve"> AUTONUM  </w:instrText>
      </w:r>
      <w:r w:rsidRPr="00E454D1">
        <w:rPr>
          <w:i/>
          <w:lang w:val="fr-CH"/>
        </w:rPr>
        <w:fldChar w:fldCharType="end"/>
      </w:r>
      <w:r w:rsidRPr="00E454D1">
        <w:rPr>
          <w:i/>
          <w:lang w:val="fr-CH"/>
        </w:rPr>
        <w:tab/>
      </w:r>
      <w:r w:rsidR="004061B9" w:rsidRPr="00E454D1">
        <w:rPr>
          <w:i/>
          <w:lang w:val="fr-CH"/>
        </w:rPr>
        <w:t>Le</w:t>
      </w:r>
      <w:r w:rsidR="00E454D1">
        <w:rPr>
          <w:i/>
          <w:lang w:val="fr-CH"/>
        </w:rPr>
        <w:t> TC</w:t>
      </w:r>
      <w:r w:rsidR="004061B9" w:rsidRPr="00E454D1">
        <w:rPr>
          <w:i/>
          <w:lang w:val="fr-CH"/>
        </w:rPr>
        <w:t xml:space="preserve"> est invité à noter que, parallèlement à l</w:t>
      </w:r>
      <w:r w:rsidR="00E454D1">
        <w:rPr>
          <w:i/>
          <w:lang w:val="fr-CH"/>
        </w:rPr>
        <w:t>’</w:t>
      </w:r>
      <w:r w:rsidR="004061B9" w:rsidRPr="00E454D1">
        <w:rPr>
          <w:i/>
          <w:lang w:val="fr-CH"/>
        </w:rPr>
        <w:t>adoption des documents TGP révisés, le Conseil sera invité, à sa cinquante</w:t>
      </w:r>
      <w:r w:rsidR="00E454D1">
        <w:rPr>
          <w:i/>
          <w:lang w:val="fr-CH"/>
        </w:rPr>
        <w:t>-</w:t>
      </w:r>
      <w:r w:rsidR="004061B9" w:rsidRPr="00E454D1">
        <w:rPr>
          <w:i/>
          <w:lang w:val="fr-CH"/>
        </w:rPr>
        <w:t>trois</w:t>
      </w:r>
      <w:r w:rsidR="00E454D1">
        <w:rPr>
          <w:i/>
          <w:lang w:val="fr-CH"/>
        </w:rPr>
        <w:t>ième session</w:t>
      </w:r>
      <w:r w:rsidR="004061B9" w:rsidRPr="00E454D1">
        <w:rPr>
          <w:i/>
          <w:lang w:val="fr-CH"/>
        </w:rPr>
        <w:t xml:space="preserve"> ordinaire, à adopter une version révisée du document TGP/0 “Liste des documents TGP et date de la version la plus récente de ces documents” (document TGP/0/10), sur la base du document TGP/0/11 </w:t>
      </w:r>
      <w:proofErr w:type="spellStart"/>
      <w:r w:rsidR="004061B9" w:rsidRPr="00E454D1">
        <w:rPr>
          <w:i/>
          <w:lang w:val="fr-CH"/>
        </w:rPr>
        <w:t>Draft</w:t>
      </w:r>
      <w:proofErr w:type="spellEnd"/>
      <w:r w:rsidR="004061B9" w:rsidRPr="00E454D1">
        <w:rPr>
          <w:i/>
          <w:lang w:val="fr-CH"/>
        </w:rPr>
        <w:t xml:space="preserve"> 1.</w:t>
      </w:r>
    </w:p>
    <w:p w:rsidR="00D75FE9" w:rsidRPr="00E454D1" w:rsidRDefault="00D75FE9" w:rsidP="009956BC">
      <w:pPr>
        <w:rPr>
          <w:lang w:val="fr-CH"/>
        </w:rPr>
      </w:pPr>
    </w:p>
    <w:p w:rsidR="00D75FE9" w:rsidRPr="00E454D1" w:rsidRDefault="00D75FE9" w:rsidP="009956BC">
      <w:pPr>
        <w:rPr>
          <w:lang w:val="fr-CH"/>
        </w:rPr>
      </w:pPr>
    </w:p>
    <w:p w:rsidR="00D75FE9" w:rsidRPr="00E454D1" w:rsidRDefault="004061B9" w:rsidP="004061B9">
      <w:pPr>
        <w:keepNext/>
        <w:outlineLvl w:val="0"/>
        <w:rPr>
          <w:caps/>
          <w:lang w:val="fr-CH"/>
        </w:rPr>
      </w:pPr>
      <w:bookmarkStart w:id="22" w:name="_Toc22035914"/>
      <w:r w:rsidRPr="00E454D1">
        <w:rPr>
          <w:caps/>
          <w:lang w:val="fr-CH"/>
        </w:rPr>
        <w:t>Éventuelles futures révisions des documents TGP</w:t>
      </w:r>
      <w:bookmarkEnd w:id="22"/>
    </w:p>
    <w:p w:rsidR="00D75FE9" w:rsidRPr="00E454D1" w:rsidRDefault="00D75FE9" w:rsidP="009956BC">
      <w:pPr>
        <w:rPr>
          <w:lang w:val="fr-CH"/>
        </w:rPr>
      </w:pPr>
    </w:p>
    <w:p w:rsidR="00D75FE9" w:rsidRPr="00E454D1" w:rsidRDefault="004061B9" w:rsidP="004061B9">
      <w:pPr>
        <w:pStyle w:val="Heading2"/>
        <w:rPr>
          <w:lang w:val="fr-CH"/>
        </w:rPr>
      </w:pPr>
      <w:bookmarkStart w:id="23" w:name="_Toc22035915"/>
      <w:r w:rsidRPr="00E454D1">
        <w:rPr>
          <w:lang w:val="fr-CH"/>
        </w:rPr>
        <w:t>Questions devant être examinées par le Comité technique</w:t>
      </w:r>
      <w:bookmarkEnd w:id="23"/>
    </w:p>
    <w:p w:rsidR="00D75FE9" w:rsidRPr="00E454D1" w:rsidRDefault="00D75FE9" w:rsidP="009956BC">
      <w:pPr>
        <w:rPr>
          <w:lang w:val="fr-CH"/>
        </w:rPr>
      </w:pPr>
    </w:p>
    <w:p w:rsidR="00D75FE9" w:rsidRPr="00E454D1" w:rsidRDefault="004061B9" w:rsidP="004061B9">
      <w:pPr>
        <w:pStyle w:val="Heading3"/>
        <w:rPr>
          <w:lang w:val="fr-CH"/>
        </w:rPr>
      </w:pPr>
      <w:bookmarkStart w:id="24" w:name="_Toc22035916"/>
      <w:r w:rsidRPr="00E454D1">
        <w:rPr>
          <w:lang w:val="fr-CH"/>
        </w:rPr>
        <w:t>TGP/7</w:t>
      </w:r>
      <w:r w:rsidR="00E454D1">
        <w:rPr>
          <w:lang w:val="fr-CH"/>
        </w:rPr>
        <w:t> :</w:t>
      </w:r>
      <w:r w:rsidRPr="00E454D1">
        <w:rPr>
          <w:lang w:val="fr-CH"/>
        </w:rPr>
        <w:t xml:space="preserve"> Élaboration des principes directeurs d</w:t>
      </w:r>
      <w:r w:rsidR="00E454D1">
        <w:rPr>
          <w:lang w:val="fr-CH"/>
        </w:rPr>
        <w:t>’</w:t>
      </w:r>
      <w:r w:rsidRPr="00E454D1">
        <w:rPr>
          <w:lang w:val="fr-CH"/>
        </w:rPr>
        <w:t>examen</w:t>
      </w:r>
      <w:bookmarkEnd w:id="24"/>
    </w:p>
    <w:p w:rsidR="00D75FE9" w:rsidRPr="00E454D1" w:rsidRDefault="00D75FE9" w:rsidP="009956BC">
      <w:pPr>
        <w:keepNext/>
        <w:keepLines/>
        <w:rPr>
          <w:lang w:val="fr-CH"/>
        </w:rPr>
      </w:pPr>
    </w:p>
    <w:p w:rsidR="00D75FE9" w:rsidRPr="00E454D1" w:rsidRDefault="004061B9" w:rsidP="00C076EA">
      <w:pPr>
        <w:pStyle w:val="Heading4"/>
        <w:rPr>
          <w:rFonts w:eastAsia="MS Mincho"/>
        </w:rPr>
      </w:pPr>
      <w:bookmarkStart w:id="25" w:name="_Toc22035917"/>
      <w:r w:rsidRPr="00E454D1">
        <w:rPr>
          <w:rFonts w:eastAsia="MS Mincho"/>
        </w:rPr>
        <w:t>Caractères applicables à certaines variétés seulement</w:t>
      </w:r>
      <w:bookmarkEnd w:id="25"/>
    </w:p>
    <w:p w:rsidR="00D75FE9" w:rsidRPr="00E454D1" w:rsidRDefault="004061B9" w:rsidP="004061B9">
      <w:pPr>
        <w:keepNext/>
        <w:keepLines/>
        <w:ind w:left="1134" w:firstLine="567"/>
        <w:rPr>
          <w:lang w:val="fr-CH"/>
        </w:rPr>
      </w:pPr>
      <w:r w:rsidRPr="00E454D1">
        <w:rPr>
          <w:lang w:val="fr-CH"/>
        </w:rPr>
        <w:t xml:space="preserve">Voir le </w:t>
      </w:r>
      <w:r w:rsidR="00E454D1" w:rsidRPr="00E454D1">
        <w:rPr>
          <w:lang w:val="fr-CH"/>
        </w:rPr>
        <w:t>document</w:t>
      </w:r>
      <w:r w:rsidR="00E454D1">
        <w:rPr>
          <w:lang w:val="fr-CH"/>
        </w:rPr>
        <w:t xml:space="preserve"> TC</w:t>
      </w:r>
      <w:r w:rsidRPr="00E454D1">
        <w:rPr>
          <w:lang w:val="fr-CH"/>
        </w:rPr>
        <w:t>/55/12</w:t>
      </w:r>
    </w:p>
    <w:p w:rsidR="00D75FE9" w:rsidRPr="00E454D1" w:rsidRDefault="00D75FE9" w:rsidP="009956BC">
      <w:pPr>
        <w:keepNext/>
        <w:keepLines/>
        <w:ind w:left="1134"/>
        <w:rPr>
          <w:lang w:val="fr-CH"/>
        </w:rPr>
      </w:pPr>
    </w:p>
    <w:p w:rsidR="00D75FE9" w:rsidRPr="00E454D1" w:rsidRDefault="004061B9" w:rsidP="004061B9">
      <w:pPr>
        <w:pStyle w:val="Heading3"/>
        <w:rPr>
          <w:lang w:val="fr-CH"/>
        </w:rPr>
      </w:pPr>
      <w:bookmarkStart w:id="26" w:name="_Toc22035918"/>
      <w:r w:rsidRPr="00E454D1">
        <w:rPr>
          <w:lang w:val="fr-CH"/>
        </w:rPr>
        <w:t>TGP/8</w:t>
      </w:r>
      <w:r w:rsidR="00E454D1">
        <w:rPr>
          <w:lang w:val="fr-CH"/>
        </w:rPr>
        <w:t> :</w:t>
      </w:r>
      <w:r w:rsidRPr="00E454D1">
        <w:rPr>
          <w:lang w:val="fr-CH"/>
        </w:rPr>
        <w:t xml:space="preserve"> Protocole d</w:t>
      </w:r>
      <w:r w:rsidR="00E454D1">
        <w:rPr>
          <w:lang w:val="fr-CH"/>
        </w:rPr>
        <w:t>’</w:t>
      </w:r>
      <w:r w:rsidRPr="00E454D1">
        <w:rPr>
          <w:lang w:val="fr-CH"/>
        </w:rPr>
        <w:t>essai et techniques utilisés dans l</w:t>
      </w:r>
      <w:r w:rsidR="00E454D1">
        <w:rPr>
          <w:lang w:val="fr-CH"/>
        </w:rPr>
        <w:t>’</w:t>
      </w:r>
      <w:r w:rsidRPr="00E454D1">
        <w:rPr>
          <w:lang w:val="fr-CH"/>
        </w:rPr>
        <w:t>examen de la distinction, de l</w:t>
      </w:r>
      <w:r w:rsidR="00E454D1">
        <w:rPr>
          <w:lang w:val="fr-CH"/>
        </w:rPr>
        <w:t>’</w:t>
      </w:r>
      <w:r w:rsidRPr="00E454D1">
        <w:rPr>
          <w:lang w:val="fr-CH"/>
        </w:rPr>
        <w:t>homogénéité et de la stabilité</w:t>
      </w:r>
      <w:bookmarkEnd w:id="26"/>
    </w:p>
    <w:p w:rsidR="00D75FE9" w:rsidRPr="00E454D1" w:rsidRDefault="00D75FE9" w:rsidP="009956BC">
      <w:pPr>
        <w:rPr>
          <w:lang w:val="fr-CH"/>
        </w:rPr>
      </w:pPr>
    </w:p>
    <w:p w:rsidR="00D75FE9" w:rsidRPr="00E454D1" w:rsidRDefault="004061B9" w:rsidP="00C076EA">
      <w:pPr>
        <w:pStyle w:val="Heading4"/>
        <w:rPr>
          <w:rFonts w:eastAsia="MS Mincho"/>
        </w:rPr>
      </w:pPr>
      <w:bookmarkStart w:id="27" w:name="_Toc22035919"/>
      <w:r w:rsidRPr="00E454D1">
        <w:rPr>
          <w:rFonts w:eastAsia="MS Mincho"/>
        </w:rPr>
        <w:t>Analyse globale de l</w:t>
      </w:r>
      <w:r w:rsidR="00E454D1">
        <w:rPr>
          <w:rFonts w:eastAsia="MS Mincho"/>
        </w:rPr>
        <w:t>’</w:t>
      </w:r>
      <w:r w:rsidRPr="00E454D1">
        <w:rPr>
          <w:rFonts w:eastAsia="MS Mincho"/>
        </w:rPr>
        <w:t>homogénéité sur plusieurs années (COYU)</w:t>
      </w:r>
      <w:bookmarkEnd w:id="27"/>
    </w:p>
    <w:p w:rsidR="00D75FE9" w:rsidRPr="00E454D1" w:rsidRDefault="00D75FE9" w:rsidP="009956BC">
      <w:pPr>
        <w:keepNext/>
        <w:rPr>
          <w:lang w:val="fr-CH"/>
        </w:rPr>
      </w:pPr>
    </w:p>
    <w:p w:rsidR="00D75FE9" w:rsidRPr="00E454D1" w:rsidRDefault="009956BC" w:rsidP="00DE2CF8">
      <w:pPr>
        <w:keepNext/>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DE2CF8" w:rsidRPr="00E454D1">
        <w:rPr>
          <w:lang w:val="fr-CH"/>
        </w:rPr>
        <w:t>À sa cinquante</w:t>
      </w:r>
      <w:r w:rsidR="00E454D1">
        <w:rPr>
          <w:lang w:val="fr-CH"/>
        </w:rPr>
        <w:t>-</w:t>
      </w:r>
      <w:r w:rsidR="00DE2CF8" w:rsidRPr="00E454D1">
        <w:rPr>
          <w:lang w:val="fr-CH"/>
        </w:rPr>
        <w:t>quatr</w:t>
      </w:r>
      <w:r w:rsidR="00E454D1">
        <w:rPr>
          <w:lang w:val="fr-CH"/>
        </w:rPr>
        <w:t>ième session</w:t>
      </w:r>
      <w:r w:rsidR="00DE2CF8" w:rsidRPr="00E454D1">
        <w:rPr>
          <w:lang w:val="fr-CH"/>
        </w:rPr>
        <w:t>, le</w:t>
      </w:r>
      <w:r w:rsidR="00E454D1">
        <w:rPr>
          <w:lang w:val="fr-CH"/>
        </w:rPr>
        <w:t> TC</w:t>
      </w:r>
      <w:r w:rsidR="00DE2CF8" w:rsidRPr="00E454D1">
        <w:rPr>
          <w:lang w:val="fr-CH"/>
        </w:rPr>
        <w:t xml:space="preserve"> a examiné le </w:t>
      </w:r>
      <w:r w:rsidR="00E454D1" w:rsidRPr="00E454D1">
        <w:rPr>
          <w:lang w:val="fr-CH"/>
        </w:rPr>
        <w:t>document</w:t>
      </w:r>
      <w:r w:rsidR="00E454D1">
        <w:rPr>
          <w:lang w:val="fr-CH"/>
        </w:rPr>
        <w:t xml:space="preserve"> TC</w:t>
      </w:r>
      <w:r w:rsidR="00DE2CF8" w:rsidRPr="00E454D1">
        <w:rPr>
          <w:lang w:val="fr-CH"/>
        </w:rPr>
        <w:t>/54/17 “Analyse globale de l</w:t>
      </w:r>
      <w:r w:rsidR="00E454D1">
        <w:rPr>
          <w:lang w:val="fr-CH"/>
        </w:rPr>
        <w:t>’</w:t>
      </w:r>
      <w:r w:rsidR="00DE2CF8" w:rsidRPr="00E454D1">
        <w:rPr>
          <w:lang w:val="fr-CH"/>
        </w:rPr>
        <w:t>homogénéité sur plusieurs années (méthode d</w:t>
      </w:r>
      <w:r w:rsidR="00E454D1">
        <w:rPr>
          <w:lang w:val="fr-CH"/>
        </w:rPr>
        <w:t>’</w:t>
      </w:r>
      <w:r w:rsidR="00DE2CF8" w:rsidRPr="00E454D1">
        <w:rPr>
          <w:lang w:val="fr-CH"/>
        </w:rPr>
        <w:t>analyse COYU)” (voir les paragraphes</w:t>
      </w:r>
      <w:r w:rsidR="00FE5010" w:rsidRPr="00E454D1">
        <w:rPr>
          <w:lang w:val="fr-CH"/>
        </w:rPr>
        <w:t> </w:t>
      </w:r>
      <w:r w:rsidR="00DE2CF8" w:rsidRPr="00E454D1">
        <w:rPr>
          <w:lang w:val="fr-CH"/>
        </w:rPr>
        <w:t xml:space="preserve">221 à 224 du </w:t>
      </w:r>
      <w:r w:rsidR="00E454D1" w:rsidRPr="00E454D1">
        <w:rPr>
          <w:lang w:val="fr-CH"/>
        </w:rPr>
        <w:t>document</w:t>
      </w:r>
      <w:r w:rsidR="00E454D1">
        <w:rPr>
          <w:lang w:val="fr-CH"/>
        </w:rPr>
        <w:t xml:space="preserve"> TC</w:t>
      </w:r>
      <w:r w:rsidR="00DE2CF8" w:rsidRPr="00E454D1">
        <w:rPr>
          <w:lang w:val="fr-CH"/>
        </w:rPr>
        <w:t>/54/31</w:t>
      </w:r>
      <w:r w:rsidR="00C76573" w:rsidRPr="00E454D1">
        <w:rPr>
          <w:lang w:val="fr-CH"/>
        </w:rPr>
        <w:t xml:space="preserve"> Corr. </w:t>
      </w:r>
      <w:r w:rsidR="00DE2CF8" w:rsidRPr="00E454D1">
        <w:rPr>
          <w:lang w:val="fr-CH"/>
        </w:rPr>
        <w:t>“Compte rendu”).</w:t>
      </w:r>
    </w:p>
    <w:p w:rsidR="00D75FE9" w:rsidRPr="00E454D1" w:rsidRDefault="00D75FE9" w:rsidP="009956BC">
      <w:pPr>
        <w:rPr>
          <w:lang w:val="fr-CH"/>
        </w:rPr>
      </w:pPr>
    </w:p>
    <w:p w:rsidR="002F2D47" w:rsidRPr="00E454D1" w:rsidRDefault="009956BC" w:rsidP="00DE2CF8">
      <w:pPr>
        <w:rPr>
          <w:bCs/>
          <w:lang w:val="fr-CH"/>
        </w:rPr>
      </w:pPr>
      <w:r w:rsidRPr="00E454D1">
        <w:rPr>
          <w:lang w:val="fr-CH"/>
        </w:rPr>
        <w:lastRenderedPageBreak/>
        <w:fldChar w:fldCharType="begin"/>
      </w:r>
      <w:r w:rsidRPr="00E454D1">
        <w:rPr>
          <w:lang w:val="fr-CH"/>
        </w:rPr>
        <w:instrText xml:space="preserve"> AUTONUM  </w:instrText>
      </w:r>
      <w:r w:rsidRPr="00E454D1">
        <w:rPr>
          <w:lang w:val="fr-CH"/>
        </w:rPr>
        <w:fldChar w:fldCharType="end"/>
      </w:r>
      <w:r w:rsidRPr="00E454D1">
        <w:rPr>
          <w:lang w:val="fr-CH"/>
        </w:rPr>
        <w:tab/>
      </w:r>
      <w:r w:rsidR="00DE2CF8" w:rsidRPr="00E454D1">
        <w:rPr>
          <w:lang w:val="fr-CH"/>
        </w:rPr>
        <w:t>Le</w:t>
      </w:r>
      <w:r w:rsidR="00E454D1">
        <w:rPr>
          <w:lang w:val="fr-CH"/>
        </w:rPr>
        <w:t> TC</w:t>
      </w:r>
      <w:r w:rsidR="00DE2CF8" w:rsidRPr="00E454D1">
        <w:rPr>
          <w:lang w:val="fr-CH"/>
        </w:rPr>
        <w:t xml:space="preserve"> a noté que la mise au point statistique de la nouvelle méthode de calcul de</w:t>
      </w:r>
      <w:r w:rsidR="002F2D47" w:rsidRPr="00E454D1">
        <w:rPr>
          <w:lang w:val="fr-CH"/>
        </w:rPr>
        <w:t xml:space="preserve"> la COY</w:t>
      </w:r>
      <w:r w:rsidR="00DE2CF8" w:rsidRPr="00E454D1">
        <w:rPr>
          <w:lang w:val="fr-CH"/>
        </w:rPr>
        <w:t xml:space="preserve">U avait été menée à bien, </w:t>
      </w:r>
      <w:r w:rsidR="00E454D1">
        <w:rPr>
          <w:lang w:val="fr-CH"/>
        </w:rPr>
        <w:t>y compris</w:t>
      </w:r>
      <w:r w:rsidR="00DE2CF8" w:rsidRPr="00E454D1">
        <w:rPr>
          <w:lang w:val="fr-CH"/>
        </w:rPr>
        <w:t xml:space="preserve"> l</w:t>
      </w:r>
      <w:r w:rsidR="00E454D1">
        <w:rPr>
          <w:lang w:val="fr-CH"/>
        </w:rPr>
        <w:t>’</w:t>
      </w:r>
      <w:r w:rsidR="00DE2CF8" w:rsidRPr="00E454D1">
        <w:rPr>
          <w:lang w:val="fr-CH"/>
        </w:rPr>
        <w:t>établissement des niveaux de probabilité requis pour se rapprocher le plus des décisions prises au moyen de la méthode actuelle de calcul de</w:t>
      </w:r>
      <w:r w:rsidR="002F2D47" w:rsidRPr="00E454D1">
        <w:rPr>
          <w:lang w:val="fr-CH"/>
        </w:rPr>
        <w:t xml:space="preserve"> la COY</w:t>
      </w:r>
      <w:r w:rsidR="00DE2CF8" w:rsidRPr="00E454D1">
        <w:rPr>
          <w:lang w:val="fr-CH"/>
        </w:rPr>
        <w:t>U.</w:t>
      </w:r>
    </w:p>
    <w:p w:rsidR="00D75FE9" w:rsidRPr="00E454D1" w:rsidRDefault="00D75FE9" w:rsidP="009956BC">
      <w:pPr>
        <w:rPr>
          <w:lang w:val="fr-CH"/>
        </w:rPr>
      </w:pPr>
    </w:p>
    <w:p w:rsidR="00D75FE9" w:rsidRPr="00E454D1" w:rsidRDefault="009956BC" w:rsidP="00DE2CF8">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DE2CF8" w:rsidRPr="00E454D1">
        <w:rPr>
          <w:lang w:val="fr-CH"/>
        </w:rPr>
        <w:t>Le</w:t>
      </w:r>
      <w:r w:rsidR="00E454D1">
        <w:rPr>
          <w:lang w:val="fr-CH"/>
        </w:rPr>
        <w:t> TC</w:t>
      </w:r>
      <w:r w:rsidR="00DE2CF8" w:rsidRPr="00E454D1">
        <w:rPr>
          <w:lang w:val="fr-CH"/>
        </w:rPr>
        <w:t xml:space="preserve"> a noté que le Royaume</w:t>
      </w:r>
      <w:r w:rsidR="00E454D1">
        <w:rPr>
          <w:lang w:val="fr-CH"/>
        </w:rPr>
        <w:t>-</w:t>
      </w:r>
      <w:r w:rsidR="00DE2CF8" w:rsidRPr="00E454D1">
        <w:rPr>
          <w:lang w:val="fr-CH"/>
        </w:rPr>
        <w:t>Uni avait invité les experts intéressés à se mettre en rapport pour tester le nouveau logiciel incorporant la méthode améliorée de calcul de</w:t>
      </w:r>
      <w:r w:rsidR="002F2D47" w:rsidRPr="00E454D1">
        <w:rPr>
          <w:lang w:val="fr-CH"/>
        </w:rPr>
        <w:t xml:space="preserve"> la COY</w:t>
      </w:r>
      <w:r w:rsidR="00DE2CF8" w:rsidRPr="00E454D1">
        <w:rPr>
          <w:lang w:val="fr-CH"/>
        </w:rPr>
        <w:t>U.</w:t>
      </w:r>
    </w:p>
    <w:p w:rsidR="00D75FE9" w:rsidRPr="00E454D1" w:rsidRDefault="00D75FE9" w:rsidP="009956BC">
      <w:pPr>
        <w:rPr>
          <w:lang w:val="fr-CH"/>
        </w:rPr>
      </w:pPr>
    </w:p>
    <w:p w:rsidR="00D75FE9" w:rsidRPr="00E454D1" w:rsidRDefault="009956BC" w:rsidP="00DE2CF8">
      <w:pPr>
        <w:rPr>
          <w:iCs/>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DE2CF8" w:rsidRPr="00E454D1">
        <w:rPr>
          <w:lang w:val="fr-CH"/>
        </w:rPr>
        <w:t>Le</w:t>
      </w:r>
      <w:r w:rsidR="00E454D1">
        <w:rPr>
          <w:lang w:val="fr-CH"/>
        </w:rPr>
        <w:t> TC</w:t>
      </w:r>
      <w:r w:rsidR="00DE2CF8" w:rsidRPr="00E454D1">
        <w:rPr>
          <w:lang w:val="fr-CH"/>
        </w:rPr>
        <w:t xml:space="preserve"> a noté que</w:t>
      </w:r>
      <w:r w:rsidR="002F2D47" w:rsidRPr="00E454D1">
        <w:rPr>
          <w:lang w:val="fr-CH"/>
        </w:rPr>
        <w:t xml:space="preserve"> le TWC</w:t>
      </w:r>
      <w:r w:rsidR="00DE2CF8" w:rsidRPr="00E454D1">
        <w:rPr>
          <w:lang w:val="fr-CH"/>
        </w:rPr>
        <w:t xml:space="preserve"> avait invité l</w:t>
      </w:r>
      <w:r w:rsidR="00E454D1">
        <w:rPr>
          <w:lang w:val="fr-CH"/>
        </w:rPr>
        <w:t>’</w:t>
      </w:r>
      <w:r w:rsidR="00DE2CF8" w:rsidRPr="00E454D1">
        <w:rPr>
          <w:lang w:val="fr-CH"/>
        </w:rPr>
        <w:t>expert du Royaume</w:t>
      </w:r>
      <w:r w:rsidR="00E454D1">
        <w:rPr>
          <w:lang w:val="fr-CH"/>
        </w:rPr>
        <w:t>-</w:t>
      </w:r>
      <w:r w:rsidR="00DE2CF8" w:rsidRPr="00E454D1">
        <w:rPr>
          <w:lang w:val="fr-CH"/>
        </w:rPr>
        <w:t xml:space="preserve">Uni à élaborer une section visant à remplacer le texte du </w:t>
      </w:r>
      <w:r w:rsidR="002F2D47" w:rsidRPr="00E454D1">
        <w:rPr>
          <w:lang w:val="fr-CH"/>
        </w:rPr>
        <w:t>document TG</w:t>
      </w:r>
      <w:r w:rsidR="00DE2CF8" w:rsidRPr="00E454D1">
        <w:rPr>
          <w:lang w:val="fr-CH"/>
        </w:rPr>
        <w:t>P/8 concernant la méthode d</w:t>
      </w:r>
      <w:r w:rsidR="00E454D1">
        <w:rPr>
          <w:lang w:val="fr-CH"/>
        </w:rPr>
        <w:t>’</w:t>
      </w:r>
      <w:r w:rsidR="00DE2CF8" w:rsidRPr="00E454D1">
        <w:rPr>
          <w:lang w:val="fr-CH"/>
        </w:rPr>
        <w:t>analyse COYU.</w:t>
      </w:r>
    </w:p>
    <w:p w:rsidR="00D75FE9" w:rsidRPr="00E454D1" w:rsidRDefault="00D75FE9" w:rsidP="009956BC">
      <w:pPr>
        <w:rPr>
          <w:iCs/>
          <w:lang w:val="fr-CH"/>
        </w:rPr>
      </w:pPr>
    </w:p>
    <w:p w:rsidR="00D75FE9" w:rsidRPr="00E454D1" w:rsidRDefault="00B725AE" w:rsidP="00DE2CF8">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DE2CF8" w:rsidRPr="00E454D1">
        <w:rPr>
          <w:lang w:val="fr-CH"/>
        </w:rPr>
        <w:t>À sa trente</w:t>
      </w:r>
      <w:r w:rsidR="00E454D1">
        <w:rPr>
          <w:lang w:val="fr-CH"/>
        </w:rPr>
        <w:t>-</w:t>
      </w:r>
      <w:r w:rsidR="00DE2CF8" w:rsidRPr="00E454D1">
        <w:rPr>
          <w:lang w:val="fr-CH"/>
        </w:rPr>
        <w:t>sept</w:t>
      </w:r>
      <w:r w:rsidR="00E454D1">
        <w:rPr>
          <w:lang w:val="fr-CH"/>
        </w:rPr>
        <w:t>ième session</w:t>
      </w:r>
      <w:r w:rsidR="00DE2CF8" w:rsidRPr="00E454D1">
        <w:rPr>
          <w:lang w:val="fr-CH"/>
        </w:rPr>
        <w:t xml:space="preserve"> </w:t>
      </w:r>
      <w:r w:rsidR="00645E4E" w:rsidRPr="00E454D1">
        <w:rPr>
          <w:lang w:val="fr-CH"/>
        </w:rPr>
        <w:t>prévue</w:t>
      </w:r>
      <w:r w:rsidR="00DE2CF8" w:rsidRPr="00E454D1">
        <w:rPr>
          <w:lang w:val="fr-CH"/>
        </w:rPr>
        <w:t xml:space="preserve"> à Hangzhou (Chine) du 14 au 16</w:t>
      </w:r>
      <w:r w:rsidR="00090D74" w:rsidRPr="00E454D1">
        <w:rPr>
          <w:lang w:val="fr-CH"/>
        </w:rPr>
        <w:t> </w:t>
      </w:r>
      <w:r w:rsidR="00DE2CF8" w:rsidRPr="00E454D1">
        <w:rPr>
          <w:lang w:val="fr-CH"/>
        </w:rPr>
        <w:t>octobre</w:t>
      </w:r>
      <w:r w:rsidR="00090D74" w:rsidRPr="00E454D1">
        <w:rPr>
          <w:lang w:val="fr-CH"/>
        </w:rPr>
        <w:t> </w:t>
      </w:r>
      <w:r w:rsidR="00DE2CF8" w:rsidRPr="00E454D1">
        <w:rPr>
          <w:lang w:val="fr-CH"/>
        </w:rPr>
        <w:t>2019,</w:t>
      </w:r>
      <w:r w:rsidR="002F2D47" w:rsidRPr="00E454D1">
        <w:rPr>
          <w:lang w:val="fr-CH"/>
        </w:rPr>
        <w:t xml:space="preserve"> le TWC</w:t>
      </w:r>
      <w:r w:rsidR="00DE2CF8" w:rsidRPr="00E454D1">
        <w:rPr>
          <w:lang w:val="fr-CH"/>
        </w:rPr>
        <w:t xml:space="preserve"> examinera un projet de section visant à remplacer le texte du </w:t>
      </w:r>
      <w:r w:rsidR="002F2D47" w:rsidRPr="00E454D1">
        <w:rPr>
          <w:lang w:val="fr-CH"/>
        </w:rPr>
        <w:t>document TG</w:t>
      </w:r>
      <w:r w:rsidR="00DE2CF8" w:rsidRPr="00E454D1">
        <w:rPr>
          <w:lang w:val="fr-CH"/>
        </w:rPr>
        <w:t>P/8 concernant la méthode d</w:t>
      </w:r>
      <w:r w:rsidR="00E454D1">
        <w:rPr>
          <w:lang w:val="fr-CH"/>
        </w:rPr>
        <w:t>’</w:t>
      </w:r>
      <w:r w:rsidR="00DE2CF8" w:rsidRPr="00E454D1">
        <w:rPr>
          <w:lang w:val="fr-CH"/>
        </w:rPr>
        <w:t>analyse COYU, sur la base d</w:t>
      </w:r>
      <w:r w:rsidR="00E454D1">
        <w:rPr>
          <w:lang w:val="fr-CH"/>
        </w:rPr>
        <w:t>’</w:t>
      </w:r>
      <w:r w:rsidR="00DE2CF8" w:rsidRPr="00E454D1">
        <w:rPr>
          <w:lang w:val="fr-CH"/>
        </w:rPr>
        <w:t>un document établi par un expert du Royaume</w:t>
      </w:r>
      <w:r w:rsidR="00E454D1">
        <w:rPr>
          <w:lang w:val="fr-CH"/>
        </w:rPr>
        <w:t>-</w:t>
      </w:r>
      <w:r w:rsidR="00DE2CF8" w:rsidRPr="00E454D1">
        <w:rPr>
          <w:lang w:val="fr-CH"/>
        </w:rPr>
        <w:t>U</w:t>
      </w:r>
      <w:r w:rsidR="00C77A34" w:rsidRPr="00E454D1">
        <w:rPr>
          <w:lang w:val="fr-CH"/>
        </w:rPr>
        <w:t>ni</w:t>
      </w:r>
      <w:r w:rsidR="00C77A34">
        <w:rPr>
          <w:lang w:val="fr-CH"/>
        </w:rPr>
        <w:t xml:space="preserve">.  </w:t>
      </w:r>
      <w:r w:rsidR="00C77A34" w:rsidRPr="00E454D1">
        <w:rPr>
          <w:iCs/>
          <w:lang w:val="fr-CH"/>
        </w:rPr>
        <w:t>Il</w:t>
      </w:r>
      <w:r w:rsidR="00DE2CF8" w:rsidRPr="00E454D1">
        <w:rPr>
          <w:iCs/>
          <w:lang w:val="fr-CH"/>
        </w:rPr>
        <w:t xml:space="preserve"> sera rendu compte des faits nouveaux </w:t>
      </w:r>
      <w:r w:rsidR="00645E4E" w:rsidRPr="00E454D1">
        <w:rPr>
          <w:iCs/>
          <w:lang w:val="fr-CH"/>
        </w:rPr>
        <w:t>relatifs à</w:t>
      </w:r>
      <w:r w:rsidR="00DE2CF8" w:rsidRPr="00E454D1">
        <w:rPr>
          <w:iCs/>
          <w:lang w:val="fr-CH"/>
        </w:rPr>
        <w:t xml:space="preserve"> </w:t>
      </w:r>
      <w:proofErr w:type="gramStart"/>
      <w:r w:rsidR="00DE2CF8" w:rsidRPr="00E454D1">
        <w:rPr>
          <w:iCs/>
          <w:lang w:val="fr-CH"/>
        </w:rPr>
        <w:t>cette question survenus</w:t>
      </w:r>
      <w:proofErr w:type="gramEnd"/>
      <w:r w:rsidR="00DE2CF8" w:rsidRPr="00E454D1">
        <w:rPr>
          <w:iCs/>
          <w:lang w:val="fr-CH"/>
        </w:rPr>
        <w:t xml:space="preserve"> à la trente</w:t>
      </w:r>
      <w:r w:rsidR="00E454D1">
        <w:rPr>
          <w:iCs/>
          <w:lang w:val="fr-CH"/>
        </w:rPr>
        <w:t>-</w:t>
      </w:r>
      <w:r w:rsidR="00DE2CF8" w:rsidRPr="00E454D1">
        <w:rPr>
          <w:iCs/>
          <w:lang w:val="fr-CH"/>
        </w:rPr>
        <w:t>sept</w:t>
      </w:r>
      <w:r w:rsidR="00E454D1">
        <w:rPr>
          <w:iCs/>
          <w:lang w:val="fr-CH"/>
        </w:rPr>
        <w:t>ième session</w:t>
      </w:r>
      <w:r w:rsidR="002F2D47" w:rsidRPr="00E454D1">
        <w:rPr>
          <w:iCs/>
          <w:lang w:val="fr-CH"/>
        </w:rPr>
        <w:t xml:space="preserve"> du TWC</w:t>
      </w:r>
      <w:r w:rsidR="00DE2CF8" w:rsidRPr="00E454D1">
        <w:rPr>
          <w:iCs/>
          <w:lang w:val="fr-CH"/>
        </w:rPr>
        <w:t xml:space="preserve"> dans un additif au présent document.</w:t>
      </w:r>
    </w:p>
    <w:p w:rsidR="00D75FE9" w:rsidRPr="00E454D1" w:rsidRDefault="00D75FE9" w:rsidP="009956BC">
      <w:pPr>
        <w:ind w:left="567"/>
        <w:rPr>
          <w:lang w:val="fr-CH"/>
        </w:rPr>
      </w:pPr>
    </w:p>
    <w:p w:rsidR="00D75FE9" w:rsidRPr="00E454D1" w:rsidRDefault="00DE2CF8" w:rsidP="00C076EA">
      <w:pPr>
        <w:pStyle w:val="Heading4"/>
        <w:rPr>
          <w:rFonts w:eastAsia="MS Mincho"/>
        </w:rPr>
      </w:pPr>
      <w:bookmarkStart w:id="28" w:name="_Toc22035920"/>
      <w:r w:rsidRPr="00E454D1">
        <w:rPr>
          <w:rFonts w:eastAsia="MS Mincho"/>
        </w:rPr>
        <w:t>Traitement des données aux fins de l</w:t>
      </w:r>
      <w:r w:rsidR="00E454D1">
        <w:rPr>
          <w:rFonts w:eastAsia="MS Mincho"/>
        </w:rPr>
        <w:t>’</w:t>
      </w:r>
      <w:r w:rsidRPr="00E454D1">
        <w:rPr>
          <w:rFonts w:eastAsia="MS Mincho"/>
        </w:rPr>
        <w:t>évaluation de la distinction et de l</w:t>
      </w:r>
      <w:r w:rsidR="00E454D1">
        <w:rPr>
          <w:rFonts w:eastAsia="MS Mincho"/>
        </w:rPr>
        <w:t>’</w:t>
      </w:r>
      <w:r w:rsidRPr="00E454D1">
        <w:rPr>
          <w:rFonts w:eastAsia="MS Mincho"/>
        </w:rPr>
        <w:t>élaboration de descriptions variétales</w:t>
      </w:r>
      <w:bookmarkEnd w:id="28"/>
    </w:p>
    <w:p w:rsidR="00D75FE9" w:rsidRPr="00E454D1" w:rsidRDefault="00DE2CF8" w:rsidP="00DE2CF8">
      <w:pPr>
        <w:keepNext/>
        <w:keepLines/>
        <w:ind w:left="1134" w:firstLine="567"/>
        <w:rPr>
          <w:lang w:val="fr-CH"/>
        </w:rPr>
      </w:pPr>
      <w:r w:rsidRPr="00E454D1">
        <w:rPr>
          <w:lang w:val="fr-CH"/>
        </w:rPr>
        <w:t xml:space="preserve">Voir le </w:t>
      </w:r>
      <w:r w:rsidR="00E454D1" w:rsidRPr="00E454D1">
        <w:rPr>
          <w:lang w:val="fr-CH"/>
        </w:rPr>
        <w:t>document</w:t>
      </w:r>
      <w:r w:rsidR="00E454D1">
        <w:rPr>
          <w:lang w:val="fr-CH"/>
        </w:rPr>
        <w:t xml:space="preserve"> TC</w:t>
      </w:r>
      <w:r w:rsidRPr="00E454D1">
        <w:rPr>
          <w:lang w:val="fr-CH"/>
        </w:rPr>
        <w:t>/55/13</w:t>
      </w:r>
    </w:p>
    <w:p w:rsidR="00D75FE9" w:rsidRPr="00E454D1" w:rsidRDefault="00D75FE9" w:rsidP="009956BC">
      <w:pPr>
        <w:rPr>
          <w:lang w:val="fr-CH"/>
        </w:rPr>
      </w:pPr>
    </w:p>
    <w:p w:rsidR="00D75FE9" w:rsidRPr="00E454D1" w:rsidRDefault="00D75FE9" w:rsidP="009956BC">
      <w:pPr>
        <w:rPr>
          <w:lang w:val="fr-CH"/>
        </w:rPr>
      </w:pPr>
    </w:p>
    <w:p w:rsidR="00D75FE9" w:rsidRPr="00E454D1" w:rsidRDefault="00D75FE9" w:rsidP="009956BC">
      <w:pPr>
        <w:rPr>
          <w:lang w:val="fr-CH"/>
        </w:rPr>
      </w:pPr>
    </w:p>
    <w:p w:rsidR="00D75FE9" w:rsidRPr="00E454D1" w:rsidRDefault="00D75FE9" w:rsidP="009956BC">
      <w:pPr>
        <w:rPr>
          <w:lang w:val="fr-CH"/>
        </w:rPr>
      </w:pPr>
    </w:p>
    <w:p w:rsidR="00D75FE9" w:rsidRPr="00E454D1" w:rsidRDefault="00DE2CF8" w:rsidP="00DE2CF8">
      <w:pPr>
        <w:pStyle w:val="Heading3"/>
        <w:rPr>
          <w:lang w:val="fr-CH"/>
        </w:rPr>
      </w:pPr>
      <w:bookmarkStart w:id="29" w:name="_Toc22035921"/>
      <w:r w:rsidRPr="00E454D1">
        <w:rPr>
          <w:lang w:val="fr-CH"/>
        </w:rPr>
        <w:t>TGP/14</w:t>
      </w:r>
      <w:r w:rsidR="00E454D1">
        <w:rPr>
          <w:lang w:val="fr-CH"/>
        </w:rPr>
        <w:t> :</w:t>
      </w:r>
      <w:r w:rsidRPr="00E454D1">
        <w:rPr>
          <w:lang w:val="fr-CH"/>
        </w:rPr>
        <w:t xml:space="preserve"> Glossaire des termes utilisés dans les documents de l</w:t>
      </w:r>
      <w:r w:rsidR="00E454D1">
        <w:rPr>
          <w:lang w:val="fr-CH"/>
        </w:rPr>
        <w:t>’</w:t>
      </w:r>
      <w:r w:rsidRPr="00E454D1">
        <w:rPr>
          <w:lang w:val="fr-CH"/>
        </w:rPr>
        <w:t>UPOV</w:t>
      </w:r>
      <w:bookmarkEnd w:id="29"/>
    </w:p>
    <w:p w:rsidR="00D75FE9" w:rsidRPr="00E454D1" w:rsidRDefault="00D75FE9" w:rsidP="009956BC">
      <w:pPr>
        <w:rPr>
          <w:lang w:val="fr-CH"/>
        </w:rPr>
      </w:pPr>
    </w:p>
    <w:p w:rsidR="00D75FE9" w:rsidRPr="00E454D1" w:rsidRDefault="00DE2CF8" w:rsidP="00C076EA">
      <w:pPr>
        <w:pStyle w:val="Heading4"/>
        <w:rPr>
          <w:rFonts w:eastAsia="MS Mincho"/>
        </w:rPr>
      </w:pPr>
      <w:bookmarkStart w:id="30" w:name="_Toc22035922"/>
      <w:r w:rsidRPr="00E454D1">
        <w:rPr>
          <w:rFonts w:eastAsia="MS Mincho"/>
        </w:rPr>
        <w:t>Noms de couleur aux fins du Code RHS des couleurs</w:t>
      </w:r>
      <w:bookmarkEnd w:id="30"/>
    </w:p>
    <w:p w:rsidR="00D75FE9" w:rsidRPr="00E454D1" w:rsidRDefault="00DE2CF8" w:rsidP="00DE2CF8">
      <w:pPr>
        <w:keepNext/>
        <w:keepLines/>
        <w:ind w:left="1134" w:firstLine="567"/>
        <w:rPr>
          <w:lang w:val="fr-CH"/>
        </w:rPr>
      </w:pPr>
      <w:r w:rsidRPr="00E454D1">
        <w:rPr>
          <w:lang w:val="fr-CH"/>
        </w:rPr>
        <w:t xml:space="preserve">Voir le </w:t>
      </w:r>
      <w:r w:rsidR="00E454D1" w:rsidRPr="00E454D1">
        <w:rPr>
          <w:lang w:val="fr-CH"/>
        </w:rPr>
        <w:t>document</w:t>
      </w:r>
      <w:r w:rsidR="00E454D1">
        <w:rPr>
          <w:lang w:val="fr-CH"/>
        </w:rPr>
        <w:t xml:space="preserve"> TC</w:t>
      </w:r>
      <w:r w:rsidRPr="00E454D1">
        <w:rPr>
          <w:lang w:val="fr-CH"/>
        </w:rPr>
        <w:t>/55/14</w:t>
      </w:r>
    </w:p>
    <w:p w:rsidR="00D75FE9" w:rsidRPr="00E454D1" w:rsidRDefault="00D75FE9" w:rsidP="009956BC">
      <w:pPr>
        <w:tabs>
          <w:tab w:val="left" w:pos="5387"/>
        </w:tabs>
        <w:rPr>
          <w:lang w:val="fr-CH"/>
        </w:rPr>
      </w:pPr>
    </w:p>
    <w:p w:rsidR="002F2D47" w:rsidRPr="00E454D1" w:rsidRDefault="00DE2CF8" w:rsidP="00DE2CF8">
      <w:pPr>
        <w:pStyle w:val="Heading3"/>
        <w:rPr>
          <w:lang w:val="fr-CH"/>
        </w:rPr>
      </w:pPr>
      <w:bookmarkStart w:id="31" w:name="_Toc22035923"/>
      <w:r w:rsidRPr="00E454D1">
        <w:rPr>
          <w:lang w:val="fr-CH"/>
        </w:rPr>
        <w:t>TGP/15</w:t>
      </w:r>
      <w:r w:rsidR="00E454D1">
        <w:rPr>
          <w:lang w:val="fr-CH"/>
        </w:rPr>
        <w:t> :</w:t>
      </w:r>
      <w:r w:rsidRPr="00E454D1">
        <w:rPr>
          <w:lang w:val="fr-CH"/>
        </w:rPr>
        <w:t xml:space="preserve"> Conseils en ce qui concerne l</w:t>
      </w:r>
      <w:r w:rsidR="00E454D1">
        <w:rPr>
          <w:lang w:val="fr-CH"/>
        </w:rPr>
        <w:t>’</w:t>
      </w:r>
      <w:r w:rsidRPr="00E454D1">
        <w:rPr>
          <w:lang w:val="fr-CH"/>
        </w:rPr>
        <w:t>utilisation des marqueurs biochimiques et moléculaires dans l</w:t>
      </w:r>
      <w:r w:rsidR="00E454D1">
        <w:rPr>
          <w:lang w:val="fr-CH"/>
        </w:rPr>
        <w:t>’</w:t>
      </w:r>
      <w:r w:rsidRPr="00E454D1">
        <w:rPr>
          <w:lang w:val="fr-CH"/>
        </w:rPr>
        <w:t>examen de la distinction, de l</w:t>
      </w:r>
      <w:r w:rsidR="00E454D1">
        <w:rPr>
          <w:lang w:val="fr-CH"/>
        </w:rPr>
        <w:t>’</w:t>
      </w:r>
      <w:r w:rsidRPr="00E454D1">
        <w:rPr>
          <w:lang w:val="fr-CH"/>
        </w:rPr>
        <w:t>homogénéité et de la stabilité (DHS)</w:t>
      </w:r>
      <w:bookmarkEnd w:id="31"/>
    </w:p>
    <w:p w:rsidR="00D75FE9" w:rsidRPr="00E454D1" w:rsidRDefault="00D75FE9" w:rsidP="009956BC">
      <w:pPr>
        <w:rPr>
          <w:lang w:val="fr-CH"/>
        </w:rPr>
      </w:pPr>
    </w:p>
    <w:p w:rsidR="002F2D47" w:rsidRPr="00E454D1" w:rsidRDefault="00DE2CF8" w:rsidP="00C076EA">
      <w:pPr>
        <w:pStyle w:val="Heading4"/>
        <w:rPr>
          <w:rFonts w:eastAsia="MS Mincho"/>
        </w:rPr>
      </w:pPr>
      <w:bookmarkStart w:id="32" w:name="_Toc22035924"/>
      <w:r w:rsidRPr="00E454D1">
        <w:rPr>
          <w:rFonts w:eastAsia="MS Mincho"/>
        </w:rPr>
        <w:t>Nouvel exemple</w:t>
      </w:r>
      <w:r w:rsidR="00E454D1">
        <w:rPr>
          <w:rFonts w:eastAsia="MS Mincho"/>
        </w:rPr>
        <w:t> :</w:t>
      </w:r>
      <w:r w:rsidRPr="00E454D1">
        <w:rPr>
          <w:rFonts w:eastAsia="MS Mincho"/>
        </w:rPr>
        <w:t xml:space="preserve"> marqueur propre aux caractères contenant des informations incomplètes sur le niveau d</w:t>
      </w:r>
      <w:r w:rsidR="00E454D1">
        <w:rPr>
          <w:rFonts w:eastAsia="MS Mincho"/>
        </w:rPr>
        <w:t>’</w:t>
      </w:r>
      <w:r w:rsidRPr="00E454D1">
        <w:rPr>
          <w:rFonts w:eastAsia="MS Mincho"/>
        </w:rPr>
        <w:t>expression</w:t>
      </w:r>
      <w:bookmarkEnd w:id="32"/>
    </w:p>
    <w:p w:rsidR="00D75FE9" w:rsidRPr="00E454D1" w:rsidRDefault="00DE2CF8" w:rsidP="00DE2CF8">
      <w:pPr>
        <w:keepNext/>
        <w:keepLines/>
        <w:ind w:left="1134" w:firstLine="567"/>
        <w:rPr>
          <w:lang w:val="fr-CH"/>
        </w:rPr>
      </w:pPr>
      <w:r w:rsidRPr="00E454D1">
        <w:rPr>
          <w:lang w:val="fr-CH"/>
        </w:rPr>
        <w:t xml:space="preserve">Voir le </w:t>
      </w:r>
      <w:r w:rsidR="00E454D1" w:rsidRPr="00E454D1">
        <w:rPr>
          <w:lang w:val="fr-CH"/>
        </w:rPr>
        <w:t>document</w:t>
      </w:r>
      <w:r w:rsidR="00E454D1">
        <w:rPr>
          <w:lang w:val="fr-CH"/>
        </w:rPr>
        <w:t xml:space="preserve"> TC</w:t>
      </w:r>
      <w:r w:rsidRPr="00E454D1">
        <w:rPr>
          <w:lang w:val="fr-CH"/>
        </w:rPr>
        <w:t>/55/15</w:t>
      </w:r>
    </w:p>
    <w:p w:rsidR="00D75FE9" w:rsidRPr="00E454D1" w:rsidRDefault="00D75FE9" w:rsidP="009956BC">
      <w:pPr>
        <w:tabs>
          <w:tab w:val="left" w:pos="5387"/>
        </w:tabs>
        <w:rPr>
          <w:highlight w:val="yellow"/>
          <w:lang w:val="fr-CH"/>
        </w:rPr>
      </w:pPr>
    </w:p>
    <w:p w:rsidR="00D75FE9" w:rsidRPr="00E454D1" w:rsidRDefault="009956BC" w:rsidP="00DE2CF8">
      <w:pPr>
        <w:tabs>
          <w:tab w:val="left" w:pos="5387"/>
          <w:tab w:val="left" w:pos="5954"/>
        </w:tabs>
        <w:ind w:left="4820"/>
        <w:rPr>
          <w:i/>
          <w:lang w:val="fr-CH"/>
        </w:rPr>
      </w:pPr>
      <w:r w:rsidRPr="00E454D1">
        <w:rPr>
          <w:i/>
          <w:lang w:val="fr-CH"/>
        </w:rPr>
        <w:fldChar w:fldCharType="begin"/>
      </w:r>
      <w:r w:rsidRPr="00E454D1">
        <w:rPr>
          <w:i/>
          <w:lang w:val="fr-CH"/>
        </w:rPr>
        <w:instrText xml:space="preserve"> AUTONUM  </w:instrText>
      </w:r>
      <w:r w:rsidRPr="00E454D1">
        <w:rPr>
          <w:i/>
          <w:lang w:val="fr-CH"/>
        </w:rPr>
        <w:fldChar w:fldCharType="end"/>
      </w:r>
      <w:r w:rsidRPr="00E454D1">
        <w:rPr>
          <w:i/>
          <w:lang w:val="fr-CH"/>
        </w:rPr>
        <w:tab/>
      </w:r>
      <w:r w:rsidR="00DE2CF8" w:rsidRPr="00E454D1">
        <w:rPr>
          <w:i/>
          <w:lang w:val="fr-CH"/>
        </w:rPr>
        <w:t>Le</w:t>
      </w:r>
      <w:r w:rsidR="00E454D1">
        <w:rPr>
          <w:i/>
          <w:lang w:val="fr-CH"/>
        </w:rPr>
        <w:t> TC</w:t>
      </w:r>
      <w:r w:rsidR="00DE2CF8" w:rsidRPr="00E454D1">
        <w:rPr>
          <w:i/>
          <w:lang w:val="fr-CH"/>
        </w:rPr>
        <w:t xml:space="preserve"> est invité</w:t>
      </w:r>
      <w:r w:rsidR="00A021BA">
        <w:rPr>
          <w:i/>
          <w:lang w:val="fr-CH"/>
        </w:rPr>
        <w:t xml:space="preserve"> à :</w:t>
      </w:r>
    </w:p>
    <w:p w:rsidR="00D75FE9" w:rsidRPr="00E454D1" w:rsidRDefault="00D75FE9" w:rsidP="009956BC">
      <w:pPr>
        <w:tabs>
          <w:tab w:val="left" w:pos="5387"/>
          <w:tab w:val="left" w:pos="5954"/>
        </w:tabs>
        <w:ind w:left="4820"/>
        <w:rPr>
          <w:i/>
          <w:lang w:val="fr-CH"/>
        </w:rPr>
      </w:pPr>
    </w:p>
    <w:p w:rsidR="00D75FE9" w:rsidRPr="00E454D1" w:rsidRDefault="00DE2CF8" w:rsidP="00DE2CF8">
      <w:pPr>
        <w:numPr>
          <w:ilvl w:val="0"/>
          <w:numId w:val="11"/>
        </w:numPr>
        <w:tabs>
          <w:tab w:val="left" w:pos="5387"/>
          <w:tab w:val="left" w:pos="5954"/>
        </w:tabs>
        <w:ind w:left="4820" w:firstLine="567"/>
        <w:contextualSpacing/>
        <w:rPr>
          <w:i/>
          <w:lang w:val="fr-CH"/>
        </w:rPr>
      </w:pPr>
      <w:proofErr w:type="gramStart"/>
      <w:r w:rsidRPr="00E454D1">
        <w:rPr>
          <w:i/>
          <w:lang w:val="fr-CH"/>
        </w:rPr>
        <w:t>prendre</w:t>
      </w:r>
      <w:proofErr w:type="gramEnd"/>
      <w:r w:rsidRPr="00E454D1">
        <w:rPr>
          <w:i/>
          <w:lang w:val="fr-CH"/>
        </w:rPr>
        <w:t xml:space="preserve"> note des questions concernant une éventuelle future révision des </w:t>
      </w:r>
      <w:r w:rsidR="002F2D47" w:rsidRPr="00E454D1">
        <w:rPr>
          <w:i/>
          <w:lang w:val="fr-CH"/>
        </w:rPr>
        <w:t>documents TG</w:t>
      </w:r>
      <w:r w:rsidRPr="00E454D1">
        <w:rPr>
          <w:i/>
          <w:lang w:val="fr-CH"/>
        </w:rPr>
        <w:t>P/7, TGP/8, TGP/14 et TGP/15 qui seront examinées dans des documents distincts,</w:t>
      </w:r>
    </w:p>
    <w:p w:rsidR="00D75FE9" w:rsidRPr="00E454D1" w:rsidRDefault="00D75FE9" w:rsidP="009956BC">
      <w:pPr>
        <w:tabs>
          <w:tab w:val="left" w:pos="5387"/>
          <w:tab w:val="left" w:pos="5954"/>
        </w:tabs>
        <w:ind w:left="4820" w:firstLine="570"/>
        <w:rPr>
          <w:i/>
          <w:lang w:val="fr-CH"/>
        </w:rPr>
      </w:pPr>
    </w:p>
    <w:p w:rsidR="00D75FE9" w:rsidRPr="00E454D1" w:rsidRDefault="00357B39" w:rsidP="00357B39">
      <w:pPr>
        <w:tabs>
          <w:tab w:val="left" w:pos="5387"/>
          <w:tab w:val="left" w:pos="5954"/>
        </w:tabs>
        <w:ind w:left="4820" w:firstLine="570"/>
        <w:rPr>
          <w:i/>
          <w:lang w:val="fr-CH"/>
        </w:rPr>
      </w:pPr>
      <w:r w:rsidRPr="00E454D1">
        <w:rPr>
          <w:i/>
          <w:lang w:val="fr-CH"/>
        </w:rPr>
        <w:t>b)</w:t>
      </w:r>
      <w:r w:rsidRPr="00E454D1">
        <w:rPr>
          <w:i/>
          <w:lang w:val="fr-CH"/>
        </w:rPr>
        <w:tab/>
        <w:t>noter que le Royaume</w:t>
      </w:r>
      <w:r w:rsidR="00E454D1">
        <w:rPr>
          <w:i/>
          <w:lang w:val="fr-CH"/>
        </w:rPr>
        <w:t>-</w:t>
      </w:r>
      <w:r w:rsidRPr="00E454D1">
        <w:rPr>
          <w:i/>
          <w:lang w:val="fr-CH"/>
        </w:rPr>
        <w:t>Uni a invité les experts intéressés à se mettre en rapport pour tester le nouveau logiciel incorporant la méthode améliorée de calcul de</w:t>
      </w:r>
      <w:r w:rsidR="002F2D47" w:rsidRPr="00E454D1">
        <w:rPr>
          <w:i/>
          <w:lang w:val="fr-CH"/>
        </w:rPr>
        <w:t xml:space="preserve"> la COY</w:t>
      </w:r>
      <w:r w:rsidRPr="00E454D1">
        <w:rPr>
          <w:i/>
          <w:lang w:val="fr-CH"/>
        </w:rPr>
        <w:t>U et</w:t>
      </w:r>
    </w:p>
    <w:p w:rsidR="00D75FE9" w:rsidRPr="00E454D1" w:rsidRDefault="00D75FE9" w:rsidP="009956BC">
      <w:pPr>
        <w:tabs>
          <w:tab w:val="left" w:pos="5387"/>
          <w:tab w:val="left" w:pos="5954"/>
        </w:tabs>
        <w:ind w:left="4820" w:firstLine="570"/>
        <w:rPr>
          <w:i/>
          <w:lang w:val="fr-CH"/>
        </w:rPr>
      </w:pPr>
    </w:p>
    <w:p w:rsidR="00D75FE9" w:rsidRPr="00E454D1" w:rsidRDefault="00357B39" w:rsidP="00357B39">
      <w:pPr>
        <w:tabs>
          <w:tab w:val="left" w:pos="5387"/>
          <w:tab w:val="left" w:pos="5954"/>
        </w:tabs>
        <w:ind w:left="4820" w:firstLine="570"/>
        <w:rPr>
          <w:i/>
          <w:lang w:val="fr-CH"/>
        </w:rPr>
      </w:pPr>
      <w:r w:rsidRPr="00E454D1">
        <w:rPr>
          <w:i/>
          <w:lang w:val="fr-CH"/>
        </w:rPr>
        <w:t>c)</w:t>
      </w:r>
      <w:r w:rsidRPr="00E454D1">
        <w:rPr>
          <w:i/>
          <w:lang w:val="fr-CH"/>
        </w:rPr>
        <w:tab/>
        <w:t>noter que</w:t>
      </w:r>
      <w:r w:rsidR="002F2D47" w:rsidRPr="00E454D1">
        <w:rPr>
          <w:i/>
          <w:lang w:val="fr-CH"/>
        </w:rPr>
        <w:t xml:space="preserve"> le TWC</w:t>
      </w:r>
      <w:r w:rsidRPr="00E454D1">
        <w:rPr>
          <w:i/>
          <w:lang w:val="fr-CH"/>
        </w:rPr>
        <w:t>, à sa trente</w:t>
      </w:r>
      <w:r w:rsidR="00580FFF">
        <w:rPr>
          <w:i/>
          <w:lang w:val="fr-CH"/>
        </w:rPr>
        <w:noBreakHyphen/>
      </w:r>
      <w:r w:rsidRPr="00E454D1">
        <w:rPr>
          <w:i/>
          <w:lang w:val="fr-CH"/>
        </w:rPr>
        <w:t>sept</w:t>
      </w:r>
      <w:r w:rsidR="00E454D1">
        <w:rPr>
          <w:i/>
          <w:lang w:val="fr-CH"/>
        </w:rPr>
        <w:t>ième session</w:t>
      </w:r>
      <w:r w:rsidRPr="00E454D1">
        <w:rPr>
          <w:i/>
          <w:lang w:val="fr-CH"/>
        </w:rPr>
        <w:t xml:space="preserve">, examinera un projet de section visant à remplacer le texte du </w:t>
      </w:r>
      <w:r w:rsidR="002F2D47" w:rsidRPr="00E454D1">
        <w:rPr>
          <w:i/>
          <w:lang w:val="fr-CH"/>
        </w:rPr>
        <w:t>document TG</w:t>
      </w:r>
      <w:r w:rsidRPr="00E454D1">
        <w:rPr>
          <w:i/>
          <w:lang w:val="fr-CH"/>
        </w:rPr>
        <w:t>P/8 concernant la méthode d</w:t>
      </w:r>
      <w:r w:rsidR="00E454D1">
        <w:rPr>
          <w:i/>
          <w:lang w:val="fr-CH"/>
        </w:rPr>
        <w:t>’</w:t>
      </w:r>
      <w:r w:rsidRPr="00E454D1">
        <w:rPr>
          <w:i/>
          <w:lang w:val="fr-CH"/>
        </w:rPr>
        <w:t>analyse COYU et qu</w:t>
      </w:r>
      <w:r w:rsidR="00E454D1">
        <w:rPr>
          <w:i/>
          <w:lang w:val="fr-CH"/>
        </w:rPr>
        <w:t>’</w:t>
      </w:r>
      <w:r w:rsidRPr="00E454D1">
        <w:rPr>
          <w:i/>
          <w:lang w:val="fr-CH"/>
        </w:rPr>
        <w:t>il sera rendu compte des faits nouveaux relatifs à cette question dans un additif au présent document.</w:t>
      </w:r>
    </w:p>
    <w:p w:rsidR="00D75FE9" w:rsidRPr="00E454D1" w:rsidRDefault="00D75FE9" w:rsidP="009956BC">
      <w:pPr>
        <w:rPr>
          <w:lang w:val="fr-CH"/>
        </w:rPr>
      </w:pPr>
    </w:p>
    <w:p w:rsidR="00D75FE9" w:rsidRPr="00E454D1" w:rsidRDefault="00D75FE9" w:rsidP="009956BC">
      <w:pPr>
        <w:rPr>
          <w:lang w:val="fr-CH"/>
        </w:rPr>
      </w:pPr>
    </w:p>
    <w:p w:rsidR="00D75FE9" w:rsidRPr="00E454D1" w:rsidRDefault="00357B39" w:rsidP="00357B39">
      <w:pPr>
        <w:keepNext/>
        <w:outlineLvl w:val="0"/>
        <w:rPr>
          <w:caps/>
          <w:lang w:val="fr-CH"/>
        </w:rPr>
      </w:pPr>
      <w:bookmarkStart w:id="33" w:name="_Toc22035925"/>
      <w:r w:rsidRPr="00E454D1">
        <w:rPr>
          <w:caps/>
          <w:lang w:val="fr-CH"/>
        </w:rPr>
        <w:t>Nouvelles propositions de révision des documents TGP</w:t>
      </w:r>
      <w:bookmarkEnd w:id="33"/>
    </w:p>
    <w:p w:rsidR="00D75FE9" w:rsidRPr="00E454D1" w:rsidRDefault="00D75FE9" w:rsidP="009956BC">
      <w:pPr>
        <w:rPr>
          <w:lang w:val="fr-CH"/>
        </w:rPr>
      </w:pPr>
    </w:p>
    <w:p w:rsidR="00D75FE9" w:rsidRPr="00E454D1" w:rsidRDefault="00357B39" w:rsidP="00357B39">
      <w:pPr>
        <w:keepNext/>
        <w:outlineLvl w:val="1"/>
        <w:rPr>
          <w:u w:val="single"/>
          <w:lang w:val="fr-CH"/>
        </w:rPr>
      </w:pPr>
      <w:bookmarkStart w:id="34" w:name="_Toc22035926"/>
      <w:r w:rsidRPr="00E454D1">
        <w:rPr>
          <w:u w:val="single"/>
          <w:lang w:val="fr-CH"/>
        </w:rPr>
        <w:t>TGP/7</w:t>
      </w:r>
      <w:r w:rsidR="00E454D1">
        <w:rPr>
          <w:u w:val="single"/>
          <w:lang w:val="fr-CH"/>
        </w:rPr>
        <w:t> :</w:t>
      </w:r>
      <w:r w:rsidRPr="00E454D1">
        <w:rPr>
          <w:u w:val="single"/>
          <w:lang w:val="fr-CH"/>
        </w:rPr>
        <w:t xml:space="preserve"> Élaboration des principes directeurs d</w:t>
      </w:r>
      <w:r w:rsidR="00E454D1">
        <w:rPr>
          <w:u w:val="single"/>
          <w:lang w:val="fr-CH"/>
        </w:rPr>
        <w:t>’</w:t>
      </w:r>
      <w:r w:rsidRPr="00E454D1">
        <w:rPr>
          <w:u w:val="single"/>
          <w:lang w:val="fr-CH"/>
        </w:rPr>
        <w:t>examen</w:t>
      </w:r>
      <w:bookmarkEnd w:id="34"/>
    </w:p>
    <w:p w:rsidR="00D75FE9" w:rsidRPr="00E454D1" w:rsidRDefault="00D75FE9" w:rsidP="009956BC">
      <w:pPr>
        <w:rPr>
          <w:lang w:val="fr-CH"/>
        </w:rPr>
      </w:pPr>
      <w:bookmarkStart w:id="35" w:name="_Toc352678076"/>
      <w:bookmarkStart w:id="36" w:name="_Toc353797757"/>
      <w:bookmarkStart w:id="37" w:name="_Toc386185988"/>
      <w:bookmarkStart w:id="38" w:name="_Toc419124879"/>
      <w:bookmarkEnd w:id="11"/>
      <w:bookmarkEnd w:id="12"/>
      <w:bookmarkEnd w:id="13"/>
      <w:bookmarkEnd w:id="14"/>
    </w:p>
    <w:p w:rsidR="00D75FE9" w:rsidRPr="00E454D1" w:rsidRDefault="00357B39" w:rsidP="00357B39">
      <w:pPr>
        <w:pStyle w:val="Heading3"/>
        <w:rPr>
          <w:rFonts w:eastAsia="MS Mincho"/>
          <w:lang w:val="fr-CH"/>
        </w:rPr>
      </w:pPr>
      <w:bookmarkStart w:id="39" w:name="_Toc22035927"/>
      <w:r w:rsidRPr="00E454D1">
        <w:rPr>
          <w:rFonts w:eastAsia="MS Mincho"/>
          <w:lang w:val="fr-CH"/>
        </w:rPr>
        <w:t>Procédure de révision partielle des principes directeurs d</w:t>
      </w:r>
      <w:r w:rsidR="00E454D1">
        <w:rPr>
          <w:rFonts w:eastAsia="MS Mincho"/>
          <w:lang w:val="fr-CH"/>
        </w:rPr>
        <w:t>’</w:t>
      </w:r>
      <w:r w:rsidRPr="00E454D1">
        <w:rPr>
          <w:rFonts w:eastAsia="MS Mincho"/>
          <w:lang w:val="fr-CH"/>
        </w:rPr>
        <w:t>examen de l</w:t>
      </w:r>
      <w:r w:rsidR="00E454D1">
        <w:rPr>
          <w:rFonts w:eastAsia="MS Mincho"/>
          <w:lang w:val="fr-CH"/>
        </w:rPr>
        <w:t>’</w:t>
      </w:r>
      <w:r w:rsidRPr="00E454D1">
        <w:rPr>
          <w:rFonts w:eastAsia="MS Mincho"/>
          <w:lang w:val="fr-CH"/>
        </w:rPr>
        <w:t>UPOV</w:t>
      </w:r>
      <w:bookmarkEnd w:id="39"/>
    </w:p>
    <w:p w:rsidR="00D75FE9" w:rsidRPr="00E454D1" w:rsidRDefault="00D75FE9" w:rsidP="009956BC">
      <w:pPr>
        <w:rPr>
          <w:lang w:val="fr-CH"/>
        </w:rPr>
      </w:pPr>
    </w:p>
    <w:p w:rsidR="00D75FE9" w:rsidRPr="00E454D1" w:rsidRDefault="009956BC" w:rsidP="00357B39">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357B39" w:rsidRPr="00E454D1">
        <w:rPr>
          <w:lang w:val="fr-CH"/>
        </w:rPr>
        <w:t>À sa cinquante</w:t>
      </w:r>
      <w:r w:rsidR="00E454D1">
        <w:rPr>
          <w:lang w:val="fr-CH"/>
        </w:rPr>
        <w:t>-</w:t>
      </w:r>
      <w:r w:rsidR="00357B39" w:rsidRPr="00E454D1">
        <w:rPr>
          <w:lang w:val="fr-CH"/>
        </w:rPr>
        <w:t>quatr</w:t>
      </w:r>
      <w:r w:rsidR="00E454D1">
        <w:rPr>
          <w:lang w:val="fr-CH"/>
        </w:rPr>
        <w:t>ième session</w:t>
      </w:r>
      <w:r w:rsidR="00357B39" w:rsidRPr="00E454D1">
        <w:rPr>
          <w:lang w:val="fr-CH"/>
        </w:rPr>
        <w:t>, le</w:t>
      </w:r>
      <w:r w:rsidR="00E454D1">
        <w:rPr>
          <w:lang w:val="fr-CH"/>
        </w:rPr>
        <w:t> TC</w:t>
      </w:r>
      <w:r w:rsidR="00357B39" w:rsidRPr="00E454D1">
        <w:rPr>
          <w:lang w:val="fr-CH"/>
        </w:rPr>
        <w:t xml:space="preserve"> a examiné s</w:t>
      </w:r>
      <w:r w:rsidR="00E454D1">
        <w:rPr>
          <w:lang w:val="fr-CH"/>
        </w:rPr>
        <w:t>’</w:t>
      </w:r>
      <w:r w:rsidR="00357B39" w:rsidRPr="00E454D1">
        <w:rPr>
          <w:lang w:val="fr-CH"/>
        </w:rPr>
        <w:t>il y avait lieu de réviser la procédure de révision partielle des principes directeurs d</w:t>
      </w:r>
      <w:r w:rsidR="00E454D1">
        <w:rPr>
          <w:lang w:val="fr-CH"/>
        </w:rPr>
        <w:t>’</w:t>
      </w:r>
      <w:r w:rsidR="00357B39" w:rsidRPr="00E454D1">
        <w:rPr>
          <w:lang w:val="fr-CH"/>
        </w:rPr>
        <w:t>examen, sur la base de la proposition ci</w:t>
      </w:r>
      <w:r w:rsidR="00E454D1">
        <w:rPr>
          <w:lang w:val="fr-CH"/>
        </w:rPr>
        <w:t>-</w:t>
      </w:r>
      <w:r w:rsidR="00357B39" w:rsidRPr="00E454D1">
        <w:rPr>
          <w:lang w:val="fr-CH"/>
        </w:rPr>
        <w:t>après</w:t>
      </w:r>
      <w:r w:rsidR="002F2D47" w:rsidRPr="00E454D1">
        <w:rPr>
          <w:lang w:val="fr-CH"/>
        </w:rPr>
        <w:t xml:space="preserve"> du TWF</w:t>
      </w:r>
      <w:r w:rsidR="00357B39" w:rsidRPr="00E454D1">
        <w:rPr>
          <w:lang w:val="fr-CH"/>
        </w:rPr>
        <w:t xml:space="preserve">, exposée au </w:t>
      </w:r>
      <w:r w:rsidR="00357B39" w:rsidRPr="00E454D1">
        <w:rPr>
          <w:lang w:val="fr-CH"/>
        </w:rPr>
        <w:lastRenderedPageBreak/>
        <w:t>paragraphe</w:t>
      </w:r>
      <w:r w:rsidR="00FE5010" w:rsidRPr="00E454D1">
        <w:rPr>
          <w:lang w:val="fr-CH"/>
        </w:rPr>
        <w:t> </w:t>
      </w:r>
      <w:r w:rsidR="00357B39" w:rsidRPr="00E454D1">
        <w:rPr>
          <w:lang w:val="fr-CH"/>
        </w:rPr>
        <w:t xml:space="preserve">24 du </w:t>
      </w:r>
      <w:r w:rsidR="00E454D1" w:rsidRPr="00E454D1">
        <w:rPr>
          <w:lang w:val="fr-CH"/>
        </w:rPr>
        <w:t>document</w:t>
      </w:r>
      <w:r w:rsidR="00E454D1">
        <w:rPr>
          <w:lang w:val="fr-CH"/>
        </w:rPr>
        <w:t xml:space="preserve"> TC</w:t>
      </w:r>
      <w:r w:rsidR="00357B39" w:rsidRPr="00E454D1">
        <w:rPr>
          <w:lang w:val="fr-CH"/>
        </w:rPr>
        <w:t>/54/3 (voir les paragraphes</w:t>
      </w:r>
      <w:r w:rsidR="00FE5010" w:rsidRPr="00E454D1">
        <w:rPr>
          <w:lang w:val="fr-CH"/>
        </w:rPr>
        <w:t> </w:t>
      </w:r>
      <w:r w:rsidR="00357B39" w:rsidRPr="00E454D1">
        <w:rPr>
          <w:lang w:val="fr-CH"/>
        </w:rPr>
        <w:t xml:space="preserve">221 à 224 du </w:t>
      </w:r>
      <w:r w:rsidR="00E454D1" w:rsidRPr="00E454D1">
        <w:rPr>
          <w:lang w:val="fr-CH"/>
        </w:rPr>
        <w:t>document</w:t>
      </w:r>
      <w:r w:rsidR="00E454D1">
        <w:rPr>
          <w:lang w:val="fr-CH"/>
        </w:rPr>
        <w:t xml:space="preserve"> TC</w:t>
      </w:r>
      <w:r w:rsidR="00357B39" w:rsidRPr="00E454D1">
        <w:rPr>
          <w:lang w:val="fr-CH"/>
        </w:rPr>
        <w:t>/54/31</w:t>
      </w:r>
      <w:r w:rsidR="00124C91" w:rsidRPr="00E454D1">
        <w:rPr>
          <w:lang w:val="fr-CH"/>
        </w:rPr>
        <w:t> </w:t>
      </w:r>
      <w:r w:rsidR="00C76573" w:rsidRPr="00E454D1">
        <w:rPr>
          <w:lang w:val="fr-CH"/>
        </w:rPr>
        <w:t xml:space="preserve">Corr. </w:t>
      </w:r>
      <w:r w:rsidR="00357B39" w:rsidRPr="00E454D1">
        <w:rPr>
          <w:lang w:val="fr-CH"/>
        </w:rPr>
        <w:t>“Compte rendu”)</w:t>
      </w:r>
      <w:r w:rsidR="00E454D1">
        <w:rPr>
          <w:lang w:val="fr-CH"/>
        </w:rPr>
        <w:t> :</w:t>
      </w:r>
    </w:p>
    <w:p w:rsidR="00D75FE9" w:rsidRPr="00E454D1" w:rsidRDefault="00D75FE9" w:rsidP="009956BC">
      <w:pPr>
        <w:rPr>
          <w:lang w:val="fr-CH"/>
        </w:rPr>
      </w:pPr>
    </w:p>
    <w:p w:rsidR="00D75FE9" w:rsidRPr="00E454D1" w:rsidRDefault="00357B39" w:rsidP="00357B39">
      <w:pPr>
        <w:numPr>
          <w:ilvl w:val="0"/>
          <w:numId w:val="1"/>
        </w:numPr>
        <w:ind w:left="1134" w:right="567" w:hanging="567"/>
        <w:contextualSpacing/>
        <w:rPr>
          <w:sz w:val="18"/>
          <w:lang w:val="fr-CH"/>
        </w:rPr>
      </w:pPr>
      <w:proofErr w:type="gramStart"/>
      <w:r w:rsidRPr="00E454D1">
        <w:rPr>
          <w:sz w:val="18"/>
          <w:lang w:val="fr-CH"/>
        </w:rPr>
        <w:t>accepter</w:t>
      </w:r>
      <w:proofErr w:type="gramEnd"/>
      <w:r w:rsidRPr="00E454D1">
        <w:rPr>
          <w:sz w:val="18"/>
          <w:lang w:val="fr-CH"/>
        </w:rPr>
        <w:t xml:space="preserve"> toute nouvelle proposition de révision partielle des principes directeurs d</w:t>
      </w:r>
      <w:r w:rsidR="00E454D1">
        <w:rPr>
          <w:sz w:val="18"/>
          <w:lang w:val="fr-CH"/>
        </w:rPr>
        <w:t>’</w:t>
      </w:r>
      <w:r w:rsidRPr="00E454D1">
        <w:rPr>
          <w:sz w:val="18"/>
          <w:lang w:val="fr-CH"/>
        </w:rPr>
        <w:t>examen par correspondance dans le courant de l</w:t>
      </w:r>
      <w:r w:rsidR="00E454D1">
        <w:rPr>
          <w:sz w:val="18"/>
          <w:lang w:val="fr-CH"/>
        </w:rPr>
        <w:t>’</w:t>
      </w:r>
      <w:r w:rsidRPr="00E454D1">
        <w:rPr>
          <w:sz w:val="18"/>
          <w:lang w:val="fr-CH"/>
        </w:rPr>
        <w:t>année entre deux</w:t>
      </w:r>
      <w:r w:rsidR="00124C91" w:rsidRPr="00E454D1">
        <w:rPr>
          <w:sz w:val="18"/>
          <w:lang w:val="fr-CH"/>
        </w:rPr>
        <w:t> </w:t>
      </w:r>
      <w:r w:rsidRPr="00E454D1">
        <w:rPr>
          <w:sz w:val="18"/>
          <w:lang w:val="fr-CH"/>
        </w:rPr>
        <w:t>sessions des groupes de travail techniques, dans un délai de deux</w:t>
      </w:r>
      <w:r w:rsidR="00124C91" w:rsidRPr="00E454D1">
        <w:rPr>
          <w:sz w:val="18"/>
          <w:lang w:val="fr-CH"/>
        </w:rPr>
        <w:t> </w:t>
      </w:r>
      <w:r w:rsidRPr="00E454D1">
        <w:rPr>
          <w:sz w:val="18"/>
          <w:lang w:val="fr-CH"/>
        </w:rPr>
        <w:t>mois avant la session, afin d</w:t>
      </w:r>
      <w:r w:rsidR="00E454D1">
        <w:rPr>
          <w:sz w:val="18"/>
          <w:lang w:val="fr-CH"/>
        </w:rPr>
        <w:t>’</w:t>
      </w:r>
      <w:r w:rsidRPr="00E454D1">
        <w:rPr>
          <w:sz w:val="18"/>
          <w:lang w:val="fr-CH"/>
        </w:rPr>
        <w:t>établir le document et de le distribuer aux experts;</w:t>
      </w:r>
    </w:p>
    <w:p w:rsidR="00D75FE9" w:rsidRPr="00E454D1" w:rsidRDefault="00357B39" w:rsidP="00357B39">
      <w:pPr>
        <w:numPr>
          <w:ilvl w:val="0"/>
          <w:numId w:val="1"/>
        </w:numPr>
        <w:ind w:left="1134" w:right="567" w:hanging="567"/>
        <w:contextualSpacing/>
        <w:rPr>
          <w:sz w:val="18"/>
          <w:lang w:val="fr-CH"/>
        </w:rPr>
      </w:pPr>
      <w:proofErr w:type="gramStart"/>
      <w:r w:rsidRPr="00E454D1">
        <w:rPr>
          <w:sz w:val="18"/>
          <w:lang w:val="fr-CH"/>
        </w:rPr>
        <w:t>approuver</w:t>
      </w:r>
      <w:proofErr w:type="gramEnd"/>
      <w:r w:rsidRPr="00E454D1">
        <w:rPr>
          <w:sz w:val="18"/>
          <w:lang w:val="fr-CH"/>
        </w:rPr>
        <w:t xml:space="preserve"> toute révision partielle des principes directeurs d</w:t>
      </w:r>
      <w:r w:rsidR="00E454D1">
        <w:rPr>
          <w:sz w:val="18"/>
          <w:lang w:val="fr-CH"/>
        </w:rPr>
        <w:t>’</w:t>
      </w:r>
      <w:r w:rsidRPr="00E454D1">
        <w:rPr>
          <w:sz w:val="18"/>
          <w:lang w:val="fr-CH"/>
        </w:rPr>
        <w:t>examen par correspondance, en accordant un délai de quatre</w:t>
      </w:r>
      <w:r w:rsidR="00124C91" w:rsidRPr="00E454D1">
        <w:rPr>
          <w:sz w:val="18"/>
          <w:lang w:val="fr-CH"/>
        </w:rPr>
        <w:t> </w:t>
      </w:r>
      <w:r w:rsidRPr="00E454D1">
        <w:rPr>
          <w:sz w:val="18"/>
          <w:lang w:val="fr-CH"/>
        </w:rPr>
        <w:t>semaines pour toute objection;</w:t>
      </w:r>
    </w:p>
    <w:p w:rsidR="00D75FE9" w:rsidRPr="00E454D1" w:rsidRDefault="00357B39" w:rsidP="00357B39">
      <w:pPr>
        <w:numPr>
          <w:ilvl w:val="0"/>
          <w:numId w:val="1"/>
        </w:numPr>
        <w:ind w:left="1134" w:right="567" w:hanging="567"/>
        <w:contextualSpacing/>
        <w:rPr>
          <w:sz w:val="18"/>
          <w:lang w:val="fr-CH"/>
        </w:rPr>
      </w:pPr>
      <w:proofErr w:type="gramStart"/>
      <w:r w:rsidRPr="00E454D1">
        <w:rPr>
          <w:sz w:val="18"/>
          <w:lang w:val="fr-CH"/>
        </w:rPr>
        <w:t>étant</w:t>
      </w:r>
      <w:proofErr w:type="gramEnd"/>
      <w:r w:rsidRPr="00E454D1">
        <w:rPr>
          <w:sz w:val="18"/>
          <w:lang w:val="fr-CH"/>
        </w:rPr>
        <w:t xml:space="preserve"> donné que la liste des experts intéressés n</w:t>
      </w:r>
      <w:r w:rsidR="00E454D1">
        <w:rPr>
          <w:sz w:val="18"/>
          <w:lang w:val="fr-CH"/>
        </w:rPr>
        <w:t>’</w:t>
      </w:r>
      <w:r w:rsidRPr="00E454D1">
        <w:rPr>
          <w:sz w:val="18"/>
          <w:lang w:val="fr-CH"/>
        </w:rPr>
        <w:t>aura pas été établie lors de l</w:t>
      </w:r>
      <w:r w:rsidR="00E454D1">
        <w:rPr>
          <w:sz w:val="18"/>
          <w:lang w:val="fr-CH"/>
        </w:rPr>
        <w:t>’</w:t>
      </w:r>
      <w:r w:rsidRPr="00E454D1">
        <w:rPr>
          <w:sz w:val="18"/>
          <w:lang w:val="fr-CH"/>
        </w:rPr>
        <w:t>adoption du compte rendu au titre du point intitulé “Propositions de révision partielle des principes directeurs d</w:t>
      </w:r>
      <w:r w:rsidR="00E454D1">
        <w:rPr>
          <w:sz w:val="18"/>
          <w:lang w:val="fr-CH"/>
        </w:rPr>
        <w:t>’</w:t>
      </w:r>
      <w:r w:rsidRPr="00E454D1">
        <w:rPr>
          <w:sz w:val="18"/>
          <w:lang w:val="fr-CH"/>
        </w:rPr>
        <w:t>examen”, il est proposé d</w:t>
      </w:r>
      <w:r w:rsidR="00E454D1">
        <w:rPr>
          <w:sz w:val="18"/>
          <w:lang w:val="fr-CH"/>
        </w:rPr>
        <w:t>’</w:t>
      </w:r>
      <w:r w:rsidRPr="00E454D1">
        <w:rPr>
          <w:sz w:val="18"/>
          <w:lang w:val="fr-CH"/>
        </w:rPr>
        <w:t>envoyer le document pour observations à tous les experts des groupes de travail techniques concernés;</w:t>
      </w:r>
    </w:p>
    <w:p w:rsidR="00D75FE9" w:rsidRPr="00E454D1" w:rsidRDefault="00357B39" w:rsidP="00357B39">
      <w:pPr>
        <w:numPr>
          <w:ilvl w:val="0"/>
          <w:numId w:val="1"/>
        </w:numPr>
        <w:ind w:left="1134" w:right="567" w:hanging="567"/>
        <w:contextualSpacing/>
        <w:rPr>
          <w:sz w:val="18"/>
          <w:lang w:val="fr-CH"/>
        </w:rPr>
      </w:pPr>
      <w:proofErr w:type="gramStart"/>
      <w:r w:rsidRPr="00E454D1">
        <w:rPr>
          <w:sz w:val="18"/>
          <w:lang w:val="fr-CH"/>
        </w:rPr>
        <w:t>limiter</w:t>
      </w:r>
      <w:proofErr w:type="gramEnd"/>
      <w:r w:rsidRPr="00E454D1">
        <w:rPr>
          <w:sz w:val="18"/>
          <w:lang w:val="fr-CH"/>
        </w:rPr>
        <w:t xml:space="preserve"> cette règle aux seules révisions partielles.</w:t>
      </w:r>
    </w:p>
    <w:p w:rsidR="00D75FE9" w:rsidRPr="00E454D1" w:rsidRDefault="00D75FE9" w:rsidP="009956BC">
      <w:pPr>
        <w:rPr>
          <w:lang w:val="fr-CH"/>
        </w:rPr>
      </w:pPr>
    </w:p>
    <w:p w:rsidR="002F2D47" w:rsidRPr="00E454D1" w:rsidRDefault="009956BC" w:rsidP="00357B39">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357B39" w:rsidRPr="00E454D1">
        <w:rPr>
          <w:lang w:val="fr-CH"/>
        </w:rPr>
        <w:t>Le</w:t>
      </w:r>
      <w:r w:rsidR="00E454D1">
        <w:rPr>
          <w:lang w:val="fr-CH"/>
        </w:rPr>
        <w:t> TC</w:t>
      </w:r>
      <w:r w:rsidR="00357B39" w:rsidRPr="00E454D1">
        <w:rPr>
          <w:lang w:val="fr-CH"/>
        </w:rPr>
        <w:t xml:space="preserve"> a rappelé qu</w:t>
      </w:r>
      <w:r w:rsidR="00E454D1">
        <w:rPr>
          <w:lang w:val="fr-CH"/>
        </w:rPr>
        <w:t>’</w:t>
      </w:r>
      <w:r w:rsidR="00357B39" w:rsidRPr="00E454D1">
        <w:rPr>
          <w:lang w:val="fr-CH"/>
        </w:rPr>
        <w:t>une proposition similaire avait été examinée à sa précédente session et que les membres de l</w:t>
      </w:r>
      <w:r w:rsidR="00E454D1">
        <w:rPr>
          <w:lang w:val="fr-CH"/>
        </w:rPr>
        <w:t>’</w:t>
      </w:r>
      <w:r w:rsidR="00357B39" w:rsidRPr="00E454D1">
        <w:rPr>
          <w:lang w:val="fr-CH"/>
        </w:rPr>
        <w:t>UPOV pouvaient modifier leurs propres principes directeurs d</w:t>
      </w:r>
      <w:r w:rsidR="00E454D1">
        <w:rPr>
          <w:lang w:val="fr-CH"/>
        </w:rPr>
        <w:t>’</w:t>
      </w:r>
      <w:r w:rsidR="00357B39" w:rsidRPr="00E454D1">
        <w:rPr>
          <w:lang w:val="fr-CH"/>
        </w:rPr>
        <w:t>examen avant que des modifications ne soient apportées aux principes directeurs d</w:t>
      </w:r>
      <w:r w:rsidR="00E454D1">
        <w:rPr>
          <w:lang w:val="fr-CH"/>
        </w:rPr>
        <w:t>’</w:t>
      </w:r>
      <w:r w:rsidR="00357B39" w:rsidRPr="00E454D1">
        <w:rPr>
          <w:lang w:val="fr-CH"/>
        </w:rPr>
        <w:t>examen de l</w:t>
      </w:r>
      <w:r w:rsidR="00E454D1">
        <w:rPr>
          <w:lang w:val="fr-CH"/>
        </w:rPr>
        <w:t>’</w:t>
      </w:r>
      <w:r w:rsidR="00357B39" w:rsidRPr="00E454D1">
        <w:rPr>
          <w:lang w:val="fr-CH"/>
        </w:rPr>
        <w:t>UPOV.</w:t>
      </w:r>
    </w:p>
    <w:p w:rsidR="00D75FE9" w:rsidRPr="00E454D1" w:rsidRDefault="00D75FE9" w:rsidP="009956BC">
      <w:pPr>
        <w:rPr>
          <w:lang w:val="fr-CH"/>
        </w:rPr>
      </w:pPr>
    </w:p>
    <w:p w:rsidR="002F2D47" w:rsidRPr="00E454D1" w:rsidRDefault="009956BC" w:rsidP="00357B39">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357B39" w:rsidRPr="00E454D1">
        <w:rPr>
          <w:lang w:val="fr-CH"/>
        </w:rPr>
        <w:t>Le</w:t>
      </w:r>
      <w:r w:rsidR="00E454D1">
        <w:rPr>
          <w:lang w:val="fr-CH"/>
        </w:rPr>
        <w:t> TC</w:t>
      </w:r>
      <w:r w:rsidR="00357B39" w:rsidRPr="00E454D1">
        <w:rPr>
          <w:lang w:val="fr-CH"/>
        </w:rPr>
        <w:t xml:space="preserve"> est convenu de demander</w:t>
      </w:r>
      <w:r w:rsidR="002F2D47" w:rsidRPr="00E454D1">
        <w:rPr>
          <w:lang w:val="fr-CH"/>
        </w:rPr>
        <w:t xml:space="preserve"> au TWF</w:t>
      </w:r>
      <w:r w:rsidR="00357B39" w:rsidRPr="00E454D1">
        <w:rPr>
          <w:lang w:val="fr-CH"/>
        </w:rPr>
        <w:t xml:space="preserve"> de clarifier les circonstances dans lesquelles des modifications devaient être apportées aux principes directeurs d</w:t>
      </w:r>
      <w:r w:rsidR="00E454D1">
        <w:rPr>
          <w:lang w:val="fr-CH"/>
        </w:rPr>
        <w:t>’</w:t>
      </w:r>
      <w:r w:rsidR="00357B39" w:rsidRPr="00E454D1">
        <w:rPr>
          <w:lang w:val="fr-CH"/>
        </w:rPr>
        <w:t>examen de l</w:t>
      </w:r>
      <w:r w:rsidR="00E454D1">
        <w:rPr>
          <w:lang w:val="fr-CH"/>
        </w:rPr>
        <w:t>’</w:t>
      </w:r>
      <w:r w:rsidR="00357B39" w:rsidRPr="00E454D1">
        <w:rPr>
          <w:lang w:val="fr-CH"/>
        </w:rPr>
        <w:t>UPOV à bref dél</w:t>
      </w:r>
      <w:r w:rsidR="00C77A34" w:rsidRPr="00E454D1">
        <w:rPr>
          <w:lang w:val="fr-CH"/>
        </w:rPr>
        <w:t>ai</w:t>
      </w:r>
      <w:r w:rsidR="00C77A34">
        <w:rPr>
          <w:lang w:val="fr-CH"/>
        </w:rPr>
        <w:t xml:space="preserve">.  </w:t>
      </w:r>
      <w:r w:rsidR="00C77A34" w:rsidRPr="00E454D1">
        <w:rPr>
          <w:lang w:val="fr-CH"/>
        </w:rPr>
        <w:t>En</w:t>
      </w:r>
      <w:r w:rsidR="00357B39" w:rsidRPr="00E454D1">
        <w:rPr>
          <w:lang w:val="fr-CH"/>
        </w:rPr>
        <w:t xml:space="preserve"> particulier, il est convenu de demander des précisions sur la nature des changements qui devaient être couverts par la procédure proposée et que lui soient fournis des exemples spécifiques.</w:t>
      </w:r>
    </w:p>
    <w:p w:rsidR="00D75FE9" w:rsidRPr="00E454D1" w:rsidRDefault="00D75FE9" w:rsidP="009956BC">
      <w:pPr>
        <w:rPr>
          <w:lang w:val="fr-CH"/>
        </w:rPr>
      </w:pPr>
    </w:p>
    <w:p w:rsidR="002F2D47" w:rsidRPr="00E454D1" w:rsidRDefault="009956BC" w:rsidP="00357B39">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357B39" w:rsidRPr="00E454D1">
        <w:rPr>
          <w:lang w:val="fr-CH"/>
        </w:rPr>
        <w:t>Le</w:t>
      </w:r>
      <w:r w:rsidR="00E454D1">
        <w:rPr>
          <w:lang w:val="fr-CH"/>
        </w:rPr>
        <w:t> TC</w:t>
      </w:r>
      <w:r w:rsidR="00357B39" w:rsidRPr="00E454D1">
        <w:rPr>
          <w:lang w:val="fr-CH"/>
        </w:rPr>
        <w:t xml:space="preserve"> est convenu que, si une procédure accélérée devait être acceptée, les propositions de révision partielle des principes directeurs d</w:t>
      </w:r>
      <w:r w:rsidR="00E454D1">
        <w:rPr>
          <w:lang w:val="fr-CH"/>
        </w:rPr>
        <w:t>’</w:t>
      </w:r>
      <w:r w:rsidR="00357B39" w:rsidRPr="00E454D1">
        <w:rPr>
          <w:lang w:val="fr-CH"/>
        </w:rPr>
        <w:t>examen devraient être publiées au moins deux</w:t>
      </w:r>
      <w:r w:rsidR="00124C91" w:rsidRPr="00E454D1">
        <w:rPr>
          <w:lang w:val="fr-CH"/>
        </w:rPr>
        <w:t> </w:t>
      </w:r>
      <w:r w:rsidR="00357B39" w:rsidRPr="00E454D1">
        <w:rPr>
          <w:lang w:val="fr-CH"/>
        </w:rPr>
        <w:t>mois avant la session afin de laisser aux membres suffisamment de temps pour les examiner.</w:t>
      </w:r>
    </w:p>
    <w:p w:rsidR="00D75FE9" w:rsidRPr="00E454D1" w:rsidRDefault="00D75FE9" w:rsidP="009956BC">
      <w:pPr>
        <w:rPr>
          <w:rFonts w:cs="Arial"/>
          <w:bCs/>
          <w:i/>
          <w:snapToGrid w:val="0"/>
          <w:lang w:val="fr-CH"/>
        </w:rPr>
      </w:pPr>
    </w:p>
    <w:p w:rsidR="00D75FE9" w:rsidRPr="00E454D1" w:rsidRDefault="00D75FE9" w:rsidP="009956BC">
      <w:pPr>
        <w:rPr>
          <w:rFonts w:cs="Arial"/>
          <w:bCs/>
          <w:i/>
          <w:snapToGrid w:val="0"/>
          <w:lang w:val="fr-CH"/>
        </w:rPr>
      </w:pPr>
    </w:p>
    <w:p w:rsidR="00D75FE9" w:rsidRPr="00E454D1" w:rsidRDefault="00357B39" w:rsidP="00C076EA">
      <w:pPr>
        <w:pStyle w:val="Heading4"/>
      </w:pPr>
      <w:bookmarkStart w:id="40" w:name="_Toc22035928"/>
      <w:r w:rsidRPr="00E454D1">
        <w:t>Observations formulées par le Groupe de travail technique sur les plantes fruitières</w:t>
      </w:r>
      <w:bookmarkEnd w:id="40"/>
    </w:p>
    <w:p w:rsidR="00D75FE9" w:rsidRPr="00E454D1" w:rsidRDefault="00D75FE9" w:rsidP="00E84B03">
      <w:pPr>
        <w:rPr>
          <w:lang w:val="fr-CH"/>
        </w:rPr>
      </w:pPr>
    </w:p>
    <w:p w:rsidR="00D75FE9" w:rsidRPr="00E454D1" w:rsidRDefault="00E84B03" w:rsidP="00D5547C">
      <w:pPr>
        <w:keepNext/>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D5547C" w:rsidRPr="00E454D1">
        <w:rPr>
          <w:lang w:val="fr-CH"/>
        </w:rPr>
        <w:t>À sa cinquante</w:t>
      </w:r>
      <w:r w:rsidR="00E454D1">
        <w:rPr>
          <w:lang w:val="fr-CH"/>
        </w:rPr>
        <w:t> et unième session</w:t>
      </w:r>
      <w:r w:rsidR="00D5547C" w:rsidRPr="00E454D1">
        <w:rPr>
          <w:lang w:val="fr-CH"/>
        </w:rPr>
        <w:t xml:space="preserve"> tenue à Budapest (Hongrie) du 24 au 28</w:t>
      </w:r>
      <w:r w:rsidR="00090D74" w:rsidRPr="00E454D1">
        <w:rPr>
          <w:lang w:val="fr-CH"/>
        </w:rPr>
        <w:t> </w:t>
      </w:r>
      <w:r w:rsidR="00D5547C" w:rsidRPr="00E454D1">
        <w:rPr>
          <w:lang w:val="fr-CH"/>
        </w:rPr>
        <w:t>juin</w:t>
      </w:r>
      <w:r w:rsidR="00090D74" w:rsidRPr="00E454D1">
        <w:rPr>
          <w:lang w:val="fr-CH"/>
        </w:rPr>
        <w:t> </w:t>
      </w:r>
      <w:r w:rsidR="00D5547C" w:rsidRPr="00E454D1">
        <w:rPr>
          <w:lang w:val="fr-CH"/>
        </w:rPr>
        <w:t>2019,</w:t>
      </w:r>
      <w:r w:rsidR="002F2D47" w:rsidRPr="00E454D1">
        <w:rPr>
          <w:lang w:val="fr-CH"/>
        </w:rPr>
        <w:t xml:space="preserve"> le TWF</w:t>
      </w:r>
      <w:r w:rsidR="00D5547C" w:rsidRPr="00E454D1">
        <w:rPr>
          <w:lang w:val="fr-CH"/>
        </w:rPr>
        <w:t xml:space="preserve"> s</w:t>
      </w:r>
      <w:r w:rsidR="00E454D1">
        <w:rPr>
          <w:lang w:val="fr-CH"/>
        </w:rPr>
        <w:t>’</w:t>
      </w:r>
      <w:r w:rsidR="00D5547C" w:rsidRPr="00E454D1">
        <w:rPr>
          <w:lang w:val="fr-CH"/>
        </w:rPr>
        <w:t>est félicité de la possibilité de revoir la procédure de révision partielle des principes directeurs d</w:t>
      </w:r>
      <w:r w:rsidR="00E454D1">
        <w:rPr>
          <w:lang w:val="fr-CH"/>
        </w:rPr>
        <w:t>’</w:t>
      </w:r>
      <w:r w:rsidR="00D5547C" w:rsidRPr="00E454D1">
        <w:rPr>
          <w:lang w:val="fr-CH"/>
        </w:rPr>
        <w:t>examen, permettant aux experts de faire de nouvelles propositions au cours de l</w:t>
      </w:r>
      <w:r w:rsidR="00E454D1">
        <w:rPr>
          <w:lang w:val="fr-CH"/>
        </w:rPr>
        <w:t>’</w:t>
      </w:r>
      <w:r w:rsidR="00D5547C" w:rsidRPr="00E454D1">
        <w:rPr>
          <w:lang w:val="fr-CH"/>
        </w:rPr>
        <w:t>année et encourageant l</w:t>
      </w:r>
      <w:r w:rsidR="00E454D1">
        <w:rPr>
          <w:lang w:val="fr-CH"/>
        </w:rPr>
        <w:t>’</w:t>
      </w:r>
      <w:r w:rsidR="00D5547C" w:rsidRPr="00E454D1">
        <w:rPr>
          <w:lang w:val="fr-CH"/>
        </w:rPr>
        <w:t>harmonisation internationale de la pratique en vigueur en matière d</w:t>
      </w:r>
      <w:r w:rsidR="00E454D1">
        <w:rPr>
          <w:lang w:val="fr-CH"/>
        </w:rPr>
        <w:t>’</w:t>
      </w:r>
      <w:r w:rsidR="00D5547C" w:rsidRPr="00E454D1">
        <w:rPr>
          <w:lang w:val="fr-CH"/>
        </w:rPr>
        <w:t>examen</w:t>
      </w:r>
      <w:r w:rsidR="00124C91" w:rsidRPr="00E454D1">
        <w:rPr>
          <w:lang w:val="fr-CH"/>
        </w:rPr>
        <w:t> </w:t>
      </w:r>
      <w:r w:rsidR="00C77A34" w:rsidRPr="00E454D1">
        <w:rPr>
          <w:lang w:val="fr-CH"/>
        </w:rPr>
        <w:t>DHS</w:t>
      </w:r>
      <w:r w:rsidR="00C77A34">
        <w:rPr>
          <w:lang w:val="fr-CH"/>
        </w:rPr>
        <w:t xml:space="preserve">.  </w:t>
      </w:r>
      <w:r w:rsidR="00C77A34" w:rsidRPr="00E454D1">
        <w:rPr>
          <w:lang w:val="fr-CH"/>
        </w:rPr>
        <w:t>Co</w:t>
      </w:r>
      <w:r w:rsidR="00D5547C" w:rsidRPr="00E454D1">
        <w:rPr>
          <w:lang w:val="fr-CH"/>
        </w:rPr>
        <w:t>mme demandé par le</w:t>
      </w:r>
      <w:r w:rsidR="00E454D1">
        <w:rPr>
          <w:lang w:val="fr-CH"/>
        </w:rPr>
        <w:t> TC</w:t>
      </w:r>
      <w:r w:rsidR="00D5547C" w:rsidRPr="00E454D1">
        <w:rPr>
          <w:lang w:val="fr-CH"/>
        </w:rPr>
        <w:t>,</w:t>
      </w:r>
      <w:r w:rsidR="002F2D47" w:rsidRPr="00E454D1">
        <w:rPr>
          <w:lang w:val="fr-CH"/>
        </w:rPr>
        <w:t xml:space="preserve"> le TWF</w:t>
      </w:r>
      <w:r w:rsidR="00D5547C" w:rsidRPr="00E454D1">
        <w:rPr>
          <w:lang w:val="fr-CH"/>
        </w:rPr>
        <w:t xml:space="preserve"> est convenu que la procédure accélérée devait s</w:t>
      </w:r>
      <w:r w:rsidR="00E454D1">
        <w:rPr>
          <w:lang w:val="fr-CH"/>
        </w:rPr>
        <w:t>’</w:t>
      </w:r>
      <w:r w:rsidR="00D5547C" w:rsidRPr="00E454D1">
        <w:rPr>
          <w:lang w:val="fr-CH"/>
        </w:rPr>
        <w:t>appliquer (voir les paragraphes</w:t>
      </w:r>
      <w:r w:rsidR="00FE5010" w:rsidRPr="00E454D1">
        <w:rPr>
          <w:lang w:val="fr-CH"/>
        </w:rPr>
        <w:t> </w:t>
      </w:r>
      <w:r w:rsidR="00D5547C" w:rsidRPr="00E454D1">
        <w:rPr>
          <w:lang w:val="fr-CH"/>
        </w:rPr>
        <w:t>30 à 33 du document TWF/50/13 “Report”)</w:t>
      </w:r>
      <w:r w:rsidR="00E454D1">
        <w:rPr>
          <w:lang w:val="fr-CH"/>
        </w:rPr>
        <w:t> :</w:t>
      </w:r>
    </w:p>
    <w:p w:rsidR="00D75FE9" w:rsidRPr="00E454D1" w:rsidRDefault="00D75FE9" w:rsidP="00E84B03">
      <w:pPr>
        <w:keepNext/>
        <w:rPr>
          <w:lang w:val="fr-CH"/>
        </w:rPr>
      </w:pPr>
    </w:p>
    <w:p w:rsidR="00D75FE9" w:rsidRPr="00E454D1" w:rsidRDefault="00D5547C" w:rsidP="00D5547C">
      <w:pPr>
        <w:pStyle w:val="ListParagraph"/>
        <w:keepNext/>
        <w:numPr>
          <w:ilvl w:val="0"/>
          <w:numId w:val="16"/>
        </w:numPr>
        <w:rPr>
          <w:lang w:val="fr-CH"/>
        </w:rPr>
      </w:pPr>
      <w:proofErr w:type="gramStart"/>
      <w:r w:rsidRPr="00E454D1">
        <w:rPr>
          <w:lang w:val="fr-CH"/>
        </w:rPr>
        <w:t>aux</w:t>
      </w:r>
      <w:proofErr w:type="gramEnd"/>
      <w:r w:rsidRPr="00E454D1">
        <w:rPr>
          <w:lang w:val="fr-CH"/>
        </w:rPr>
        <w:t xml:space="preserve"> propositions de suppression d</w:t>
      </w:r>
      <w:r w:rsidR="00E454D1">
        <w:rPr>
          <w:lang w:val="fr-CH"/>
        </w:rPr>
        <w:t>’</w:t>
      </w:r>
      <w:r w:rsidRPr="00E454D1">
        <w:rPr>
          <w:lang w:val="fr-CH"/>
        </w:rPr>
        <w:t>un caractère</w:t>
      </w:r>
    </w:p>
    <w:p w:rsidR="00D75FE9" w:rsidRPr="00E454D1" w:rsidRDefault="00D5547C" w:rsidP="00D5547C">
      <w:pPr>
        <w:pStyle w:val="ListParagraph"/>
        <w:keepNext/>
        <w:numPr>
          <w:ilvl w:val="0"/>
          <w:numId w:val="16"/>
        </w:numPr>
        <w:rPr>
          <w:lang w:val="fr-CH"/>
        </w:rPr>
      </w:pPr>
      <w:proofErr w:type="gramStart"/>
      <w:r w:rsidRPr="00E454D1">
        <w:rPr>
          <w:lang w:val="fr-CH"/>
        </w:rPr>
        <w:t>aux</w:t>
      </w:r>
      <w:proofErr w:type="gramEnd"/>
      <w:r w:rsidRPr="00E454D1">
        <w:rPr>
          <w:lang w:val="fr-CH"/>
        </w:rPr>
        <w:t xml:space="preserve"> propositions d</w:t>
      </w:r>
      <w:r w:rsidR="00E454D1">
        <w:rPr>
          <w:lang w:val="fr-CH"/>
        </w:rPr>
        <w:t>’</w:t>
      </w:r>
      <w:r w:rsidRPr="00E454D1">
        <w:rPr>
          <w:lang w:val="fr-CH"/>
        </w:rPr>
        <w:t>ajout d</w:t>
      </w:r>
      <w:r w:rsidR="00E454D1">
        <w:rPr>
          <w:lang w:val="fr-CH"/>
        </w:rPr>
        <w:t>’</w:t>
      </w:r>
      <w:r w:rsidRPr="00E454D1">
        <w:rPr>
          <w:lang w:val="fr-CH"/>
        </w:rPr>
        <w:t>un nouveau niveau d</w:t>
      </w:r>
      <w:r w:rsidR="00E454D1">
        <w:rPr>
          <w:lang w:val="fr-CH"/>
        </w:rPr>
        <w:t>’</w:t>
      </w:r>
      <w:r w:rsidRPr="00E454D1">
        <w:rPr>
          <w:lang w:val="fr-CH"/>
        </w:rPr>
        <w:t>expression ou d</w:t>
      </w:r>
      <w:r w:rsidR="00E454D1">
        <w:rPr>
          <w:lang w:val="fr-CH"/>
        </w:rPr>
        <w:t>’</w:t>
      </w:r>
      <w:r w:rsidRPr="00E454D1">
        <w:rPr>
          <w:lang w:val="fr-CH"/>
        </w:rPr>
        <w:t>une nouvelle illustration</w:t>
      </w:r>
    </w:p>
    <w:p w:rsidR="00D75FE9" w:rsidRPr="00E454D1" w:rsidRDefault="00D5547C" w:rsidP="00D5547C">
      <w:pPr>
        <w:pStyle w:val="ListParagraph"/>
        <w:keepNext/>
        <w:numPr>
          <w:ilvl w:val="0"/>
          <w:numId w:val="16"/>
        </w:numPr>
        <w:rPr>
          <w:lang w:val="fr-CH"/>
        </w:rPr>
      </w:pPr>
      <w:proofErr w:type="gramStart"/>
      <w:r w:rsidRPr="00E454D1">
        <w:rPr>
          <w:lang w:val="fr-CH"/>
        </w:rPr>
        <w:t>aux</w:t>
      </w:r>
      <w:proofErr w:type="gramEnd"/>
      <w:r w:rsidRPr="00E454D1">
        <w:rPr>
          <w:lang w:val="fr-CH"/>
        </w:rPr>
        <w:t xml:space="preserve"> propositions d</w:t>
      </w:r>
      <w:r w:rsidR="00E454D1">
        <w:rPr>
          <w:lang w:val="fr-CH"/>
        </w:rPr>
        <w:t>’</w:t>
      </w:r>
      <w:r w:rsidRPr="00E454D1">
        <w:rPr>
          <w:lang w:val="fr-CH"/>
        </w:rPr>
        <w:t>ajout de nouveaux exemples</w:t>
      </w:r>
    </w:p>
    <w:p w:rsidR="00D75FE9" w:rsidRPr="00E454D1" w:rsidRDefault="00D75FE9" w:rsidP="00E84B03">
      <w:pPr>
        <w:keepNext/>
        <w:rPr>
          <w:lang w:val="fr-CH"/>
        </w:rPr>
      </w:pPr>
    </w:p>
    <w:p w:rsidR="00D75FE9" w:rsidRPr="00E454D1" w:rsidRDefault="00E84B03" w:rsidP="00A32CCB">
      <w:pPr>
        <w:keepNext/>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A32CCB" w:rsidRPr="00E454D1">
        <w:rPr>
          <w:lang w:val="fr-CH"/>
        </w:rPr>
        <w:t>Le TWF est convenu que la procédure accélérée ne devait pas s</w:t>
      </w:r>
      <w:r w:rsidR="00E454D1">
        <w:rPr>
          <w:lang w:val="fr-CH"/>
        </w:rPr>
        <w:t>’</w:t>
      </w:r>
      <w:r w:rsidR="00A32CCB" w:rsidRPr="00E454D1">
        <w:rPr>
          <w:lang w:val="fr-CH"/>
        </w:rPr>
        <w:t>appliquer</w:t>
      </w:r>
      <w:r w:rsidR="00E454D1">
        <w:rPr>
          <w:lang w:val="fr-CH"/>
        </w:rPr>
        <w:t> :</w:t>
      </w:r>
    </w:p>
    <w:p w:rsidR="00D75FE9" w:rsidRPr="00E454D1" w:rsidRDefault="00D75FE9" w:rsidP="00E84B03">
      <w:pPr>
        <w:keepNext/>
        <w:rPr>
          <w:lang w:val="fr-CH"/>
        </w:rPr>
      </w:pPr>
    </w:p>
    <w:p w:rsidR="002F2D47" w:rsidRPr="00E454D1" w:rsidRDefault="00A32CCB" w:rsidP="00A32CCB">
      <w:pPr>
        <w:pStyle w:val="ListParagraph"/>
        <w:keepNext/>
        <w:numPr>
          <w:ilvl w:val="0"/>
          <w:numId w:val="17"/>
        </w:numPr>
        <w:rPr>
          <w:lang w:val="fr-CH"/>
        </w:rPr>
      </w:pPr>
      <w:proofErr w:type="gramStart"/>
      <w:r w:rsidRPr="00E454D1">
        <w:rPr>
          <w:lang w:val="fr-CH"/>
        </w:rPr>
        <w:t>aux</w:t>
      </w:r>
      <w:proofErr w:type="gramEnd"/>
      <w:r w:rsidRPr="00E454D1">
        <w:rPr>
          <w:lang w:val="fr-CH"/>
        </w:rPr>
        <w:t xml:space="preserve"> propositions de groupement des caractères</w:t>
      </w:r>
    </w:p>
    <w:p w:rsidR="00D75FE9" w:rsidRPr="00E454D1" w:rsidRDefault="00A32CCB" w:rsidP="00A32CCB">
      <w:pPr>
        <w:pStyle w:val="ListParagraph"/>
        <w:keepNext/>
        <w:numPr>
          <w:ilvl w:val="0"/>
          <w:numId w:val="17"/>
        </w:numPr>
        <w:rPr>
          <w:lang w:val="fr-CH"/>
        </w:rPr>
      </w:pPr>
      <w:proofErr w:type="gramStart"/>
      <w:r w:rsidRPr="00E454D1">
        <w:rPr>
          <w:lang w:val="fr-CH"/>
        </w:rPr>
        <w:t>aux</w:t>
      </w:r>
      <w:proofErr w:type="gramEnd"/>
      <w:r w:rsidRPr="00E454D1">
        <w:rPr>
          <w:lang w:val="fr-CH"/>
        </w:rPr>
        <w:t xml:space="preserve"> propositions d</w:t>
      </w:r>
      <w:r w:rsidR="00E454D1">
        <w:rPr>
          <w:lang w:val="fr-CH"/>
        </w:rPr>
        <w:t>’</w:t>
      </w:r>
      <w:r w:rsidRPr="00E454D1">
        <w:rPr>
          <w:lang w:val="fr-CH"/>
        </w:rPr>
        <w:t>ajout de nouveaux caractères</w:t>
      </w:r>
    </w:p>
    <w:p w:rsidR="00D75FE9" w:rsidRPr="00E454D1" w:rsidRDefault="00D75FE9" w:rsidP="00E84B03">
      <w:pPr>
        <w:keepNext/>
        <w:rPr>
          <w:lang w:val="fr-CH"/>
        </w:rPr>
      </w:pPr>
    </w:p>
    <w:p w:rsidR="00D75FE9" w:rsidRPr="00E454D1" w:rsidRDefault="00E84B03" w:rsidP="00A32CCB">
      <w:pPr>
        <w:keepNext/>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A32CCB" w:rsidRPr="00E454D1">
        <w:rPr>
          <w:lang w:val="fr-CH"/>
        </w:rPr>
        <w:t>Le TWF est convenu que la procédure accélérée pour les révisions partielles de principes directeurs d</w:t>
      </w:r>
      <w:r w:rsidR="00E454D1">
        <w:rPr>
          <w:lang w:val="fr-CH"/>
        </w:rPr>
        <w:t>’</w:t>
      </w:r>
      <w:r w:rsidR="00A32CCB" w:rsidRPr="00E454D1">
        <w:rPr>
          <w:lang w:val="fr-CH"/>
        </w:rPr>
        <w:t>examen devait respecter le délai convenu pour l</w:t>
      </w:r>
      <w:r w:rsidR="00E454D1">
        <w:rPr>
          <w:lang w:val="fr-CH"/>
        </w:rPr>
        <w:t>’</w:t>
      </w:r>
      <w:r w:rsidR="00A32CCB" w:rsidRPr="00E454D1">
        <w:rPr>
          <w:lang w:val="fr-CH"/>
        </w:rPr>
        <w:t>établissement et la diffusion des documents avant la session afin de laisser aux membres suffisamment de temps pour les examin</w:t>
      </w:r>
      <w:r w:rsidR="00C77A34" w:rsidRPr="00E454D1">
        <w:rPr>
          <w:lang w:val="fr-CH"/>
        </w:rPr>
        <w:t>er</w:t>
      </w:r>
      <w:r w:rsidR="00C77A34">
        <w:rPr>
          <w:lang w:val="fr-CH"/>
        </w:rPr>
        <w:t xml:space="preserve">.  </w:t>
      </w:r>
      <w:r w:rsidR="00C77A34" w:rsidRPr="00E454D1">
        <w:rPr>
          <w:lang w:val="fr-CH"/>
        </w:rPr>
        <w:t>Il</w:t>
      </w:r>
      <w:r w:rsidR="00A32CCB" w:rsidRPr="00E454D1">
        <w:rPr>
          <w:lang w:val="fr-CH"/>
        </w:rPr>
        <w:t xml:space="preserve"> a ensuite souligné l</w:t>
      </w:r>
      <w:r w:rsidR="00E454D1">
        <w:rPr>
          <w:lang w:val="fr-CH"/>
        </w:rPr>
        <w:t>’</w:t>
      </w:r>
      <w:r w:rsidR="00A32CCB" w:rsidRPr="00E454D1">
        <w:rPr>
          <w:lang w:val="fr-CH"/>
        </w:rPr>
        <w:t>importance pour tous les experts</w:t>
      </w:r>
      <w:r w:rsidR="002F2D47" w:rsidRPr="00E454D1">
        <w:rPr>
          <w:lang w:val="fr-CH"/>
        </w:rPr>
        <w:t xml:space="preserve"> des TWP</w:t>
      </w:r>
      <w:r w:rsidR="00A32CCB" w:rsidRPr="00E454D1">
        <w:rPr>
          <w:lang w:val="fr-CH"/>
        </w:rPr>
        <w:t xml:space="preserve"> concernés d</w:t>
      </w:r>
      <w:r w:rsidR="00E454D1">
        <w:rPr>
          <w:lang w:val="fr-CH"/>
        </w:rPr>
        <w:t>’</w:t>
      </w:r>
      <w:r w:rsidR="00A32CCB" w:rsidRPr="00E454D1">
        <w:rPr>
          <w:lang w:val="fr-CH"/>
        </w:rPr>
        <w:t>être invités à formuler des observations sur toute proposition de nouvelle révision partielle de principes directeurs d</w:t>
      </w:r>
      <w:r w:rsidR="00E454D1">
        <w:rPr>
          <w:lang w:val="fr-CH"/>
        </w:rPr>
        <w:t>’</w:t>
      </w:r>
      <w:r w:rsidR="00A32CCB" w:rsidRPr="00E454D1">
        <w:rPr>
          <w:lang w:val="fr-CH"/>
        </w:rPr>
        <w:t>examen durant la session à venir et a proposé à cet égard d</w:t>
      </w:r>
      <w:r w:rsidR="00E454D1">
        <w:rPr>
          <w:lang w:val="fr-CH"/>
        </w:rPr>
        <w:t>’</w:t>
      </w:r>
      <w:r w:rsidR="00A32CCB" w:rsidRPr="00E454D1">
        <w:rPr>
          <w:lang w:val="fr-CH"/>
        </w:rPr>
        <w:t>inclure tous les participants de la session précédente</w:t>
      </w:r>
      <w:r w:rsidR="002F2D47" w:rsidRPr="00E454D1">
        <w:rPr>
          <w:lang w:val="fr-CH"/>
        </w:rPr>
        <w:t xml:space="preserve"> des TWP</w:t>
      </w:r>
      <w:r w:rsidR="00A32CCB" w:rsidRPr="00E454D1">
        <w:rPr>
          <w:lang w:val="fr-CH"/>
        </w:rPr>
        <w:t xml:space="preserve"> dans la communication.</w:t>
      </w:r>
    </w:p>
    <w:p w:rsidR="00D75FE9" w:rsidRPr="00E454D1" w:rsidRDefault="00D75FE9" w:rsidP="009956BC">
      <w:pPr>
        <w:rPr>
          <w:rFonts w:cs="Arial"/>
          <w:bCs/>
          <w:i/>
          <w:snapToGrid w:val="0"/>
          <w:lang w:val="fr-CH"/>
        </w:rPr>
      </w:pPr>
    </w:p>
    <w:p w:rsidR="002F2D47" w:rsidRPr="00E454D1" w:rsidRDefault="009956BC" w:rsidP="00A32CCB">
      <w:pPr>
        <w:tabs>
          <w:tab w:val="left" w:pos="5387"/>
          <w:tab w:val="left" w:pos="5954"/>
        </w:tabs>
        <w:ind w:left="4820"/>
        <w:rPr>
          <w:rFonts w:cs="Arial"/>
          <w:bCs/>
          <w:i/>
          <w:snapToGrid w:val="0"/>
          <w:lang w:val="fr-CH"/>
        </w:rPr>
      </w:pPr>
      <w:r w:rsidRPr="00E454D1">
        <w:rPr>
          <w:rFonts w:cs="Arial"/>
          <w:bCs/>
          <w:i/>
          <w:snapToGrid w:val="0"/>
          <w:lang w:val="fr-CH"/>
        </w:rPr>
        <w:fldChar w:fldCharType="begin"/>
      </w:r>
      <w:r w:rsidRPr="00E454D1">
        <w:rPr>
          <w:rFonts w:cs="Arial"/>
          <w:bCs/>
          <w:i/>
          <w:snapToGrid w:val="0"/>
          <w:lang w:val="fr-CH"/>
        </w:rPr>
        <w:instrText xml:space="preserve"> AUTONUM  </w:instrText>
      </w:r>
      <w:r w:rsidRPr="00E454D1">
        <w:rPr>
          <w:rFonts w:cs="Arial"/>
          <w:bCs/>
          <w:i/>
          <w:snapToGrid w:val="0"/>
          <w:lang w:val="fr-CH"/>
        </w:rPr>
        <w:fldChar w:fldCharType="end"/>
      </w:r>
      <w:r w:rsidRPr="00E454D1">
        <w:rPr>
          <w:rFonts w:cs="Arial"/>
          <w:bCs/>
          <w:i/>
          <w:snapToGrid w:val="0"/>
          <w:lang w:val="fr-CH"/>
        </w:rPr>
        <w:tab/>
      </w:r>
      <w:r w:rsidR="00A32CCB" w:rsidRPr="00E454D1">
        <w:rPr>
          <w:rFonts w:cs="Arial"/>
          <w:bCs/>
          <w:i/>
          <w:snapToGrid w:val="0"/>
          <w:lang w:val="fr-CH"/>
        </w:rPr>
        <w:t>Le</w:t>
      </w:r>
      <w:r w:rsidR="00E454D1">
        <w:rPr>
          <w:rFonts w:cs="Arial"/>
          <w:bCs/>
          <w:i/>
          <w:snapToGrid w:val="0"/>
          <w:lang w:val="fr-CH"/>
        </w:rPr>
        <w:t> TC</w:t>
      </w:r>
      <w:r w:rsidR="00A32CCB" w:rsidRPr="00E454D1">
        <w:rPr>
          <w:rFonts w:cs="Arial"/>
          <w:bCs/>
          <w:i/>
          <w:snapToGrid w:val="0"/>
          <w:lang w:val="fr-CH"/>
        </w:rPr>
        <w:t xml:space="preserve"> est invité</w:t>
      </w:r>
      <w:r w:rsidR="00A021BA">
        <w:rPr>
          <w:rFonts w:cs="Arial"/>
          <w:bCs/>
          <w:i/>
          <w:snapToGrid w:val="0"/>
          <w:lang w:val="fr-CH"/>
        </w:rPr>
        <w:t xml:space="preserve"> à :</w:t>
      </w:r>
    </w:p>
    <w:p w:rsidR="00D75FE9" w:rsidRPr="00E454D1" w:rsidRDefault="00D75FE9" w:rsidP="009956BC">
      <w:pPr>
        <w:keepNext/>
        <w:tabs>
          <w:tab w:val="left" w:pos="5387"/>
          <w:tab w:val="left" w:pos="5954"/>
        </w:tabs>
        <w:ind w:left="4820"/>
        <w:rPr>
          <w:rFonts w:cs="Arial"/>
          <w:bCs/>
          <w:i/>
          <w:snapToGrid w:val="0"/>
          <w:lang w:val="fr-CH"/>
        </w:rPr>
      </w:pPr>
    </w:p>
    <w:p w:rsidR="00D75FE9" w:rsidRPr="00E454D1" w:rsidRDefault="009956BC" w:rsidP="00A32CCB">
      <w:pPr>
        <w:keepNext/>
        <w:tabs>
          <w:tab w:val="left" w:pos="5387"/>
          <w:tab w:val="left" w:pos="5954"/>
        </w:tabs>
        <w:ind w:left="4820"/>
        <w:rPr>
          <w:i/>
          <w:lang w:val="fr-CH"/>
        </w:rPr>
      </w:pPr>
      <w:r w:rsidRPr="00E454D1">
        <w:rPr>
          <w:rFonts w:cs="Arial"/>
          <w:bCs/>
          <w:i/>
          <w:snapToGrid w:val="0"/>
          <w:lang w:val="fr-CH"/>
        </w:rPr>
        <w:tab/>
      </w:r>
      <w:r w:rsidR="00A32CCB" w:rsidRPr="00E454D1">
        <w:rPr>
          <w:rFonts w:cs="Arial"/>
          <w:bCs/>
          <w:i/>
          <w:snapToGrid w:val="0"/>
          <w:lang w:val="fr-CH"/>
        </w:rPr>
        <w:t>a)</w:t>
      </w:r>
      <w:r w:rsidR="00A32CCB" w:rsidRPr="00E454D1">
        <w:rPr>
          <w:rFonts w:cs="Arial"/>
          <w:bCs/>
          <w:i/>
          <w:snapToGrid w:val="0"/>
          <w:lang w:val="fr-CH"/>
        </w:rPr>
        <w:tab/>
        <w:t>examiner les propositions</w:t>
      </w:r>
      <w:r w:rsidR="002F2D47" w:rsidRPr="00E454D1">
        <w:rPr>
          <w:rFonts w:cs="Arial"/>
          <w:bCs/>
          <w:i/>
          <w:snapToGrid w:val="0"/>
          <w:lang w:val="fr-CH"/>
        </w:rPr>
        <w:t xml:space="preserve"> du TWF</w:t>
      </w:r>
      <w:r w:rsidR="00A32CCB" w:rsidRPr="00E454D1">
        <w:rPr>
          <w:rFonts w:cs="Arial"/>
          <w:bCs/>
          <w:i/>
          <w:snapToGrid w:val="0"/>
          <w:lang w:val="fr-CH"/>
        </w:rPr>
        <w:t xml:space="preserve"> sur les circonstances dans l</w:t>
      </w:r>
      <w:r w:rsidR="00645E4E" w:rsidRPr="00E454D1">
        <w:rPr>
          <w:rFonts w:cs="Arial"/>
          <w:bCs/>
          <w:i/>
          <w:snapToGrid w:val="0"/>
          <w:lang w:val="fr-CH"/>
        </w:rPr>
        <w:t>esquelles des modifications pourr</w:t>
      </w:r>
      <w:r w:rsidR="00A32CCB" w:rsidRPr="00E454D1">
        <w:rPr>
          <w:rFonts w:cs="Arial"/>
          <w:bCs/>
          <w:i/>
          <w:snapToGrid w:val="0"/>
          <w:lang w:val="fr-CH"/>
        </w:rPr>
        <w:t xml:space="preserve">aient ou non être apportées aux principes </w:t>
      </w:r>
      <w:proofErr w:type="gramStart"/>
      <w:r w:rsidR="00A32CCB" w:rsidRPr="00E454D1">
        <w:rPr>
          <w:rFonts w:cs="Arial"/>
          <w:bCs/>
          <w:i/>
          <w:snapToGrid w:val="0"/>
          <w:lang w:val="fr-CH"/>
        </w:rPr>
        <w:t>directeurs</w:t>
      </w:r>
      <w:proofErr w:type="gramEnd"/>
      <w:r w:rsidR="00A32CCB" w:rsidRPr="00E454D1">
        <w:rPr>
          <w:rFonts w:cs="Arial"/>
          <w:bCs/>
          <w:i/>
          <w:snapToGrid w:val="0"/>
          <w:lang w:val="fr-CH"/>
        </w:rPr>
        <w:t xml:space="preserve"> d</w:t>
      </w:r>
      <w:r w:rsidR="00E454D1">
        <w:rPr>
          <w:rFonts w:cs="Arial"/>
          <w:bCs/>
          <w:i/>
          <w:snapToGrid w:val="0"/>
          <w:lang w:val="fr-CH"/>
        </w:rPr>
        <w:t>’</w:t>
      </w:r>
      <w:r w:rsidR="00A32CCB" w:rsidRPr="00E454D1">
        <w:rPr>
          <w:rFonts w:cs="Arial"/>
          <w:bCs/>
          <w:i/>
          <w:snapToGrid w:val="0"/>
          <w:lang w:val="fr-CH"/>
        </w:rPr>
        <w:t>examen de l</w:t>
      </w:r>
      <w:r w:rsidR="00E454D1">
        <w:rPr>
          <w:rFonts w:cs="Arial"/>
          <w:bCs/>
          <w:i/>
          <w:snapToGrid w:val="0"/>
          <w:lang w:val="fr-CH"/>
        </w:rPr>
        <w:t>’</w:t>
      </w:r>
      <w:r w:rsidR="00A32CCB" w:rsidRPr="00E454D1">
        <w:rPr>
          <w:rFonts w:cs="Arial"/>
          <w:bCs/>
          <w:i/>
          <w:snapToGrid w:val="0"/>
          <w:lang w:val="fr-CH"/>
        </w:rPr>
        <w:t>UPOV à bref délai et</w:t>
      </w:r>
    </w:p>
    <w:p w:rsidR="00D75FE9" w:rsidRPr="00E454D1" w:rsidRDefault="00D75FE9" w:rsidP="009956BC">
      <w:pPr>
        <w:tabs>
          <w:tab w:val="left" w:pos="5387"/>
          <w:tab w:val="left" w:pos="5954"/>
        </w:tabs>
        <w:ind w:left="4820"/>
        <w:rPr>
          <w:i/>
          <w:lang w:val="fr-CH"/>
        </w:rPr>
      </w:pPr>
    </w:p>
    <w:p w:rsidR="00D75FE9" w:rsidRPr="000B0444" w:rsidRDefault="00A32CCB" w:rsidP="004E75AF">
      <w:pPr>
        <w:keepLines/>
        <w:numPr>
          <w:ilvl w:val="0"/>
          <w:numId w:val="11"/>
        </w:numPr>
        <w:tabs>
          <w:tab w:val="left" w:pos="5387"/>
          <w:tab w:val="left" w:pos="5954"/>
        </w:tabs>
        <w:ind w:left="4820" w:firstLine="570"/>
        <w:contextualSpacing/>
        <w:rPr>
          <w:rFonts w:cs="Arial"/>
          <w:bCs/>
          <w:i/>
          <w:snapToGrid w:val="0"/>
          <w:lang w:val="fr-CH"/>
        </w:rPr>
      </w:pPr>
      <w:proofErr w:type="gramStart"/>
      <w:r w:rsidRPr="00E454D1">
        <w:rPr>
          <w:rFonts w:cs="Arial"/>
          <w:bCs/>
          <w:i/>
          <w:snapToGrid w:val="0"/>
          <w:lang w:val="fr-CH"/>
        </w:rPr>
        <w:lastRenderedPageBreak/>
        <w:t>déterminer</w:t>
      </w:r>
      <w:proofErr w:type="gramEnd"/>
      <w:r w:rsidRPr="00E454D1">
        <w:rPr>
          <w:rFonts w:cs="Arial"/>
          <w:bCs/>
          <w:i/>
          <w:snapToGrid w:val="0"/>
          <w:lang w:val="fr-CH"/>
        </w:rPr>
        <w:t xml:space="preserve"> s</w:t>
      </w:r>
      <w:r w:rsidR="00E454D1">
        <w:rPr>
          <w:rFonts w:cs="Arial"/>
          <w:bCs/>
          <w:i/>
          <w:snapToGrid w:val="0"/>
          <w:lang w:val="fr-CH"/>
        </w:rPr>
        <w:t>’</w:t>
      </w:r>
      <w:r w:rsidRPr="00E454D1">
        <w:rPr>
          <w:rFonts w:cs="Arial"/>
          <w:bCs/>
          <w:i/>
          <w:snapToGrid w:val="0"/>
          <w:lang w:val="fr-CH"/>
        </w:rPr>
        <w:t>il convient de revoir la procédure de révision partielle des principes directeurs d</w:t>
      </w:r>
      <w:r w:rsidR="00E454D1">
        <w:rPr>
          <w:rFonts w:cs="Arial"/>
          <w:bCs/>
          <w:i/>
          <w:snapToGrid w:val="0"/>
          <w:lang w:val="fr-CH"/>
        </w:rPr>
        <w:t>’</w:t>
      </w:r>
      <w:r w:rsidRPr="00E454D1">
        <w:rPr>
          <w:rFonts w:cs="Arial"/>
          <w:bCs/>
          <w:i/>
          <w:snapToGrid w:val="0"/>
          <w:lang w:val="fr-CH"/>
        </w:rPr>
        <w:t>examen sur la base de la proposition</w:t>
      </w:r>
      <w:r w:rsidR="002F2D47" w:rsidRPr="00E454D1">
        <w:rPr>
          <w:rFonts w:cs="Arial"/>
          <w:bCs/>
          <w:i/>
          <w:snapToGrid w:val="0"/>
          <w:lang w:val="fr-CH"/>
        </w:rPr>
        <w:t xml:space="preserve"> du TWF</w:t>
      </w:r>
      <w:r w:rsidRPr="00E454D1">
        <w:rPr>
          <w:rFonts w:cs="Arial"/>
          <w:bCs/>
          <w:i/>
          <w:snapToGrid w:val="0"/>
          <w:lang w:val="fr-CH"/>
        </w:rPr>
        <w:t xml:space="preserve"> présentée </w:t>
      </w:r>
      <w:r w:rsidRPr="000B0444">
        <w:rPr>
          <w:rFonts w:cs="Arial"/>
          <w:bCs/>
          <w:i/>
          <w:snapToGrid w:val="0"/>
          <w:lang w:val="fr-CH"/>
        </w:rPr>
        <w:t>aux paragraphes</w:t>
      </w:r>
      <w:r w:rsidR="00FE5010" w:rsidRPr="000B0444">
        <w:rPr>
          <w:rFonts w:cs="Arial"/>
          <w:bCs/>
          <w:i/>
          <w:snapToGrid w:val="0"/>
          <w:lang w:val="fr-CH"/>
        </w:rPr>
        <w:t> </w:t>
      </w:r>
      <w:r w:rsidRPr="000B0444">
        <w:rPr>
          <w:rFonts w:cs="Arial"/>
          <w:bCs/>
          <w:i/>
          <w:snapToGrid w:val="0"/>
          <w:lang w:val="fr-CH"/>
        </w:rPr>
        <w:t>45 à 47.</w:t>
      </w:r>
    </w:p>
    <w:p w:rsidR="00D75FE9" w:rsidRPr="00E454D1" w:rsidRDefault="00D75FE9" w:rsidP="009956BC">
      <w:pPr>
        <w:rPr>
          <w:lang w:val="fr-CH"/>
        </w:rPr>
      </w:pPr>
    </w:p>
    <w:p w:rsidR="00D75FE9" w:rsidRPr="00E454D1" w:rsidRDefault="00A16C23" w:rsidP="00A16C23">
      <w:pPr>
        <w:keepNext/>
        <w:outlineLvl w:val="2"/>
        <w:rPr>
          <w:rFonts w:eastAsia="MS Mincho"/>
          <w:i/>
          <w:lang w:val="fr-CH"/>
        </w:rPr>
      </w:pPr>
      <w:bookmarkStart w:id="41" w:name="_Toc22035929"/>
      <w:r w:rsidRPr="00E454D1">
        <w:rPr>
          <w:rFonts w:eastAsia="MS Mincho"/>
          <w:i/>
          <w:lang w:val="fr-CH"/>
        </w:rPr>
        <w:t>Présentation de l</w:t>
      </w:r>
      <w:r w:rsidR="00E454D1">
        <w:rPr>
          <w:rFonts w:eastAsia="MS Mincho"/>
          <w:i/>
          <w:lang w:val="fr-CH"/>
        </w:rPr>
        <w:t>’</w:t>
      </w:r>
      <w:r w:rsidRPr="00E454D1">
        <w:rPr>
          <w:rFonts w:eastAsia="MS Mincho"/>
          <w:i/>
          <w:lang w:val="fr-CH"/>
        </w:rPr>
        <w:t>échelle complète des notes pour les caractères quantitatifs dans les principes directeurs d</w:t>
      </w:r>
      <w:r w:rsidR="00E454D1">
        <w:rPr>
          <w:rFonts w:eastAsia="MS Mincho"/>
          <w:i/>
          <w:lang w:val="fr-CH"/>
        </w:rPr>
        <w:t>’</w:t>
      </w:r>
      <w:r w:rsidRPr="00E454D1">
        <w:rPr>
          <w:rFonts w:eastAsia="MS Mincho"/>
          <w:i/>
          <w:lang w:val="fr-CH"/>
        </w:rPr>
        <w:t>examen</w:t>
      </w:r>
      <w:bookmarkEnd w:id="41"/>
    </w:p>
    <w:p w:rsidR="00D75FE9" w:rsidRPr="00E454D1" w:rsidRDefault="00D75FE9" w:rsidP="009956BC">
      <w:pPr>
        <w:rPr>
          <w:lang w:val="fr-CH"/>
        </w:rPr>
      </w:pPr>
    </w:p>
    <w:p w:rsidR="00D75FE9" w:rsidRPr="00E454D1" w:rsidRDefault="009956BC" w:rsidP="00A16C23">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A16C23" w:rsidRPr="00E454D1">
        <w:rPr>
          <w:lang w:val="fr-CH"/>
        </w:rPr>
        <w:t>Tous les principes directeurs d</w:t>
      </w:r>
      <w:r w:rsidR="00E454D1">
        <w:rPr>
          <w:lang w:val="fr-CH"/>
        </w:rPr>
        <w:t>’</w:t>
      </w:r>
      <w:r w:rsidR="00A16C23" w:rsidRPr="00E454D1">
        <w:rPr>
          <w:lang w:val="fr-CH"/>
        </w:rPr>
        <w:t>examen de l</w:t>
      </w:r>
      <w:r w:rsidR="00E454D1">
        <w:rPr>
          <w:lang w:val="fr-CH"/>
        </w:rPr>
        <w:t>’</w:t>
      </w:r>
      <w:r w:rsidR="00A16C23" w:rsidRPr="00E454D1">
        <w:rPr>
          <w:lang w:val="fr-CH"/>
        </w:rPr>
        <w:t>UPOV contiennent l</w:t>
      </w:r>
      <w:r w:rsidR="00E454D1">
        <w:rPr>
          <w:lang w:val="fr-CH"/>
        </w:rPr>
        <w:t>’</w:t>
      </w:r>
      <w:r w:rsidR="00A16C23" w:rsidRPr="00E454D1">
        <w:rPr>
          <w:lang w:val="fr-CH"/>
        </w:rPr>
        <w:t>explication ci</w:t>
      </w:r>
      <w:r w:rsidR="00E454D1">
        <w:rPr>
          <w:lang w:val="fr-CH"/>
        </w:rPr>
        <w:t>-</w:t>
      </w:r>
      <w:r w:rsidR="00A16C23" w:rsidRPr="00E454D1">
        <w:rPr>
          <w:lang w:val="fr-CH"/>
        </w:rPr>
        <w:t>après des niveaux d</w:t>
      </w:r>
      <w:r w:rsidR="00E454D1">
        <w:rPr>
          <w:lang w:val="fr-CH"/>
        </w:rPr>
        <w:t>’</w:t>
      </w:r>
      <w:r w:rsidR="00A16C23" w:rsidRPr="00E454D1">
        <w:rPr>
          <w:lang w:val="fr-CH"/>
        </w:rPr>
        <w:t xml:space="preserve">expression </w:t>
      </w:r>
      <w:r w:rsidR="00645E4E" w:rsidRPr="00E454D1">
        <w:rPr>
          <w:lang w:val="fr-CH"/>
        </w:rPr>
        <w:t>pour l</w:t>
      </w:r>
      <w:r w:rsidR="00A16C23" w:rsidRPr="00E454D1">
        <w:rPr>
          <w:lang w:val="fr-CH"/>
        </w:rPr>
        <w:t>es caractères quantitatifs (voir l</w:t>
      </w:r>
      <w:r w:rsidR="00E454D1">
        <w:rPr>
          <w:lang w:val="fr-CH"/>
        </w:rPr>
        <w:t>’</w:t>
      </w:r>
      <w:r w:rsidR="002F2D47" w:rsidRPr="00E454D1">
        <w:rPr>
          <w:lang w:val="fr-CH"/>
        </w:rPr>
        <w:t>annexe I</w:t>
      </w:r>
      <w:r w:rsidR="00A16C23" w:rsidRPr="00E454D1">
        <w:rPr>
          <w:lang w:val="fr-CH"/>
        </w:rPr>
        <w:t xml:space="preserve"> </w:t>
      </w:r>
      <w:r w:rsidR="00090D74" w:rsidRPr="00E454D1">
        <w:rPr>
          <w:lang w:val="fr-CH"/>
        </w:rPr>
        <w:t>“</w:t>
      </w:r>
      <w:r w:rsidR="00A16C23" w:rsidRPr="00E454D1">
        <w:rPr>
          <w:lang w:val="fr-CH"/>
        </w:rPr>
        <w:t>Structure des principes directeurs d</w:t>
      </w:r>
      <w:r w:rsidR="00E454D1">
        <w:rPr>
          <w:lang w:val="fr-CH"/>
        </w:rPr>
        <w:t>’</w:t>
      </w:r>
      <w:r w:rsidR="00A16C23" w:rsidRPr="00E454D1">
        <w:rPr>
          <w:lang w:val="fr-CH"/>
        </w:rPr>
        <w:t>examen et texte standard général</w:t>
      </w:r>
      <w:r w:rsidR="00090D74" w:rsidRPr="00E454D1">
        <w:rPr>
          <w:lang w:val="fr-CH"/>
        </w:rPr>
        <w:t>”</w:t>
      </w:r>
      <w:r w:rsidR="00A16C23" w:rsidRPr="00E454D1">
        <w:rPr>
          <w:lang w:val="fr-CH"/>
        </w:rPr>
        <w:t xml:space="preserve"> du document TGP/7 “Élaboration des principes directeurs d</w:t>
      </w:r>
      <w:r w:rsidR="00E454D1">
        <w:rPr>
          <w:lang w:val="fr-CH"/>
        </w:rPr>
        <w:t>’</w:t>
      </w:r>
      <w:r w:rsidR="00A16C23" w:rsidRPr="00E454D1">
        <w:rPr>
          <w:lang w:val="fr-CH"/>
        </w:rPr>
        <w:t>examen”).</w:t>
      </w:r>
    </w:p>
    <w:p w:rsidR="00D75FE9" w:rsidRPr="00E454D1" w:rsidRDefault="00D75FE9" w:rsidP="009956BC">
      <w:pPr>
        <w:rPr>
          <w:lang w:val="fr-CH"/>
        </w:rPr>
      </w:pPr>
    </w:p>
    <w:p w:rsidR="00D75FE9" w:rsidRPr="00E454D1" w:rsidRDefault="00090D74" w:rsidP="00A16C23">
      <w:pPr>
        <w:ind w:left="567" w:right="567"/>
        <w:rPr>
          <w:lang w:val="fr-CH"/>
        </w:rPr>
      </w:pPr>
      <w:r w:rsidRPr="00E454D1">
        <w:rPr>
          <w:rFonts w:eastAsia="Arial" w:cs="Arial"/>
          <w:lang w:val="fr-CH"/>
        </w:rPr>
        <w:t>“</w:t>
      </w:r>
      <w:r w:rsidR="00A16C23" w:rsidRPr="00E454D1">
        <w:rPr>
          <w:rFonts w:eastAsia="Arial" w:cs="Arial"/>
          <w:lang w:val="fr-CH"/>
        </w:rPr>
        <w:t>Dans le cas de caractères qualitatifs et pseudo</w:t>
      </w:r>
      <w:r w:rsidR="00E454D1">
        <w:rPr>
          <w:rFonts w:eastAsia="Arial" w:cs="Arial"/>
          <w:lang w:val="fr-CH"/>
        </w:rPr>
        <w:t>-</w:t>
      </w:r>
      <w:r w:rsidR="00A16C23" w:rsidRPr="00E454D1">
        <w:rPr>
          <w:rFonts w:eastAsia="Arial" w:cs="Arial"/>
          <w:lang w:val="fr-CH"/>
        </w:rPr>
        <w:t>qualitatifs (voir le chapitre 6.3), tous les niveaux d</w:t>
      </w:r>
      <w:r w:rsidR="00E454D1">
        <w:rPr>
          <w:rFonts w:eastAsia="Arial" w:cs="Arial"/>
          <w:lang w:val="fr-CH"/>
        </w:rPr>
        <w:t>’</w:t>
      </w:r>
      <w:r w:rsidR="00A16C23" w:rsidRPr="00E454D1">
        <w:rPr>
          <w:rFonts w:eastAsia="Arial" w:cs="Arial"/>
          <w:lang w:val="fr-CH"/>
        </w:rPr>
        <w:t>expression pertinents sont présentés dans le caractè</w:t>
      </w:r>
      <w:r w:rsidR="00C77A34" w:rsidRPr="00E454D1">
        <w:rPr>
          <w:rFonts w:eastAsia="Arial" w:cs="Arial"/>
          <w:lang w:val="fr-CH"/>
        </w:rPr>
        <w:t>re</w:t>
      </w:r>
      <w:r w:rsidR="00C77A34">
        <w:rPr>
          <w:rFonts w:eastAsia="Arial" w:cs="Arial"/>
          <w:lang w:val="fr-CH"/>
        </w:rPr>
        <w:t xml:space="preserve">.  </w:t>
      </w:r>
      <w:r w:rsidR="00C77A34" w:rsidRPr="00E454D1">
        <w:rPr>
          <w:rFonts w:eastAsia="Arial" w:cs="Arial"/>
          <w:lang w:val="fr-CH"/>
        </w:rPr>
        <w:t>To</w:t>
      </w:r>
      <w:r w:rsidR="00A16C23" w:rsidRPr="00E454D1">
        <w:rPr>
          <w:rFonts w:eastAsia="Arial" w:cs="Arial"/>
          <w:lang w:val="fr-CH"/>
        </w:rPr>
        <w:t>utefois, dans le cas de caractères quantitatifs ayant cinq niveaux ou davantage, une échelle abrégée peut être utilisée afin de réduire la taille du tableau des caractèr</w:t>
      </w:r>
      <w:r w:rsidR="00C77A34" w:rsidRPr="00E454D1">
        <w:rPr>
          <w:rFonts w:eastAsia="Arial" w:cs="Arial"/>
          <w:lang w:val="fr-CH"/>
        </w:rPr>
        <w:t>es</w:t>
      </w:r>
      <w:r w:rsidR="00C77A34">
        <w:rPr>
          <w:rFonts w:eastAsia="Arial" w:cs="Arial"/>
          <w:lang w:val="fr-CH"/>
        </w:rPr>
        <w:t xml:space="preserve">.  </w:t>
      </w:r>
      <w:r w:rsidR="00C77A34" w:rsidRPr="00E454D1">
        <w:rPr>
          <w:rFonts w:eastAsia="Arial" w:cs="Arial"/>
          <w:lang w:val="fr-CH"/>
        </w:rPr>
        <w:t>Pa</w:t>
      </w:r>
      <w:r w:rsidR="00A16C23" w:rsidRPr="00E454D1">
        <w:rPr>
          <w:rFonts w:eastAsia="Arial" w:cs="Arial"/>
          <w:lang w:val="fr-CH"/>
        </w:rPr>
        <w:t>r exemple, dans le cas d</w:t>
      </w:r>
      <w:r w:rsidR="00E454D1">
        <w:rPr>
          <w:rFonts w:eastAsia="Arial" w:cs="Arial"/>
          <w:lang w:val="fr-CH"/>
        </w:rPr>
        <w:t>’</w:t>
      </w:r>
      <w:r w:rsidR="00A16C23" w:rsidRPr="00E454D1">
        <w:rPr>
          <w:rFonts w:eastAsia="Arial" w:cs="Arial"/>
          <w:lang w:val="fr-CH"/>
        </w:rPr>
        <w:t>un caractère quantitatif comprenant neuf niveaux d</w:t>
      </w:r>
      <w:r w:rsidR="00E454D1">
        <w:rPr>
          <w:rFonts w:eastAsia="Arial" w:cs="Arial"/>
          <w:lang w:val="fr-CH"/>
        </w:rPr>
        <w:t>’</w:t>
      </w:r>
      <w:r w:rsidR="00A16C23" w:rsidRPr="00E454D1">
        <w:rPr>
          <w:rFonts w:eastAsia="Arial" w:cs="Arial"/>
          <w:lang w:val="fr-CH"/>
        </w:rPr>
        <w:t>expression, la présentation des niveaux d</w:t>
      </w:r>
      <w:r w:rsidR="00E454D1">
        <w:rPr>
          <w:rFonts w:eastAsia="Arial" w:cs="Arial"/>
          <w:lang w:val="fr-CH"/>
        </w:rPr>
        <w:t>’</w:t>
      </w:r>
      <w:r w:rsidR="00A16C23" w:rsidRPr="00E454D1">
        <w:rPr>
          <w:rFonts w:eastAsia="Arial" w:cs="Arial"/>
          <w:lang w:val="fr-CH"/>
        </w:rPr>
        <w:t>expression dans les principes directeurs d</w:t>
      </w:r>
      <w:r w:rsidR="00E454D1">
        <w:rPr>
          <w:rFonts w:eastAsia="Arial" w:cs="Arial"/>
          <w:lang w:val="fr-CH"/>
        </w:rPr>
        <w:t>’</w:t>
      </w:r>
      <w:r w:rsidR="00A16C23" w:rsidRPr="00E454D1">
        <w:rPr>
          <w:rFonts w:eastAsia="Arial" w:cs="Arial"/>
          <w:lang w:val="fr-CH"/>
        </w:rPr>
        <w:t>examen peut être abrégée de la manière suivante</w:t>
      </w:r>
      <w:r w:rsidR="00E454D1">
        <w:rPr>
          <w:rFonts w:eastAsia="Arial" w:cs="Arial"/>
          <w:lang w:val="fr-CH"/>
        </w:rPr>
        <w:t> :</w:t>
      </w:r>
    </w:p>
    <w:p w:rsidR="009956BC" w:rsidRPr="00E454D1" w:rsidRDefault="009956BC" w:rsidP="009956BC">
      <w:pPr>
        <w:rPr>
          <w:lang w:val="fr-CH"/>
        </w:rPr>
      </w:pPr>
    </w:p>
    <w:tbl>
      <w:tblPr>
        <w:tblOverlap w:val="never"/>
        <w:tblW w:w="9630" w:type="dxa"/>
        <w:tblLayout w:type="fixed"/>
        <w:tblLook w:val="01E0" w:firstRow="1" w:lastRow="1" w:firstColumn="1" w:lastColumn="1" w:noHBand="0" w:noVBand="0"/>
      </w:tblPr>
      <w:tblGrid>
        <w:gridCol w:w="9630"/>
      </w:tblGrid>
      <w:tr w:rsidR="009956BC" w:rsidRPr="00E454D1" w:rsidTr="001270B2">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E454D1" w:rsidRPr="00E454D1"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jc w:val="center"/>
                    <w:rPr>
                      <w:rFonts w:eastAsia="Arial" w:cs="Arial"/>
                      <w:i/>
                      <w:iCs/>
                      <w:sz w:val="16"/>
                      <w:szCs w:val="16"/>
                      <w:lang w:val="fr-CH"/>
                    </w:rPr>
                  </w:pPr>
                  <w:r w:rsidRPr="00E454D1">
                    <w:rPr>
                      <w:rFonts w:eastAsia="Arial" w:cs="Arial"/>
                      <w:i/>
                      <w:iCs/>
                      <w:sz w:val="16"/>
                      <w:szCs w:val="16"/>
                      <w:lang w:val="fr-CH"/>
                    </w:rPr>
                    <w:t>Niveau</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jc w:val="center"/>
                    <w:rPr>
                      <w:rFonts w:eastAsia="Arial" w:cs="Arial"/>
                      <w:i/>
                      <w:iCs/>
                      <w:sz w:val="16"/>
                      <w:szCs w:val="16"/>
                      <w:lang w:val="fr-CH"/>
                    </w:rPr>
                  </w:pPr>
                  <w:r w:rsidRPr="00E454D1">
                    <w:rPr>
                      <w:rFonts w:eastAsia="Arial" w:cs="Arial"/>
                      <w:i/>
                      <w:iCs/>
                      <w:sz w:val="16"/>
                      <w:szCs w:val="16"/>
                      <w:lang w:val="fr-CH"/>
                    </w:rPr>
                    <w:t>Note</w:t>
                  </w:r>
                </w:p>
              </w:tc>
            </w:tr>
            <w:tr w:rsidR="00E454D1" w:rsidRPr="00E454D1"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rPr>
                      <w:rFonts w:eastAsia="Arial" w:cs="Arial"/>
                      <w:sz w:val="16"/>
                      <w:szCs w:val="16"/>
                      <w:lang w:val="fr-CH"/>
                    </w:rPr>
                  </w:pPr>
                  <w:r w:rsidRPr="00E454D1">
                    <w:rPr>
                      <w:rFonts w:eastAsia="Arial" w:cs="Arial"/>
                      <w:sz w:val="16"/>
                      <w:szCs w:val="16"/>
                      <w:lang w:val="fr-CH"/>
                    </w:rPr>
                    <w:t>petit</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jc w:val="center"/>
                    <w:rPr>
                      <w:rFonts w:eastAsia="Arial" w:cs="Arial"/>
                      <w:sz w:val="16"/>
                      <w:szCs w:val="16"/>
                      <w:lang w:val="fr-CH"/>
                    </w:rPr>
                  </w:pPr>
                  <w:r w:rsidRPr="00E454D1">
                    <w:rPr>
                      <w:rFonts w:eastAsia="Arial" w:cs="Arial"/>
                      <w:sz w:val="16"/>
                      <w:szCs w:val="16"/>
                      <w:lang w:val="fr-CH"/>
                    </w:rPr>
                    <w:t>3</w:t>
                  </w:r>
                </w:p>
              </w:tc>
            </w:tr>
            <w:tr w:rsidR="00E454D1" w:rsidRPr="00E454D1"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rPr>
                      <w:rFonts w:eastAsia="Arial" w:cs="Arial"/>
                      <w:sz w:val="16"/>
                      <w:szCs w:val="16"/>
                      <w:lang w:val="fr-CH"/>
                    </w:rPr>
                  </w:pPr>
                  <w:r w:rsidRPr="00E454D1">
                    <w:rPr>
                      <w:rFonts w:eastAsia="Arial" w:cs="Arial"/>
                      <w:sz w:val="16"/>
                      <w:szCs w:val="16"/>
                      <w:lang w:val="fr-CH"/>
                    </w:rPr>
                    <w:t>moyen</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jc w:val="center"/>
                    <w:rPr>
                      <w:rFonts w:eastAsia="Arial" w:cs="Arial"/>
                      <w:sz w:val="16"/>
                      <w:szCs w:val="16"/>
                      <w:lang w:val="fr-CH"/>
                    </w:rPr>
                  </w:pPr>
                  <w:r w:rsidRPr="00E454D1">
                    <w:rPr>
                      <w:rFonts w:eastAsia="Arial" w:cs="Arial"/>
                      <w:sz w:val="16"/>
                      <w:szCs w:val="16"/>
                      <w:lang w:val="fr-CH"/>
                    </w:rPr>
                    <w:t>5</w:t>
                  </w:r>
                </w:p>
              </w:tc>
            </w:tr>
            <w:tr w:rsidR="00E454D1" w:rsidRPr="00E454D1" w:rsidTr="001270B2">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rPr>
                      <w:rFonts w:eastAsia="Arial" w:cs="Arial"/>
                      <w:sz w:val="16"/>
                      <w:szCs w:val="16"/>
                      <w:lang w:val="fr-CH"/>
                    </w:rPr>
                  </w:pPr>
                  <w:r w:rsidRPr="00E454D1">
                    <w:rPr>
                      <w:rFonts w:eastAsia="Arial" w:cs="Arial"/>
                      <w:sz w:val="16"/>
                      <w:szCs w:val="16"/>
                      <w:lang w:val="fr-CH"/>
                    </w:rPr>
                    <w:t>grand</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jc w:val="center"/>
                    <w:rPr>
                      <w:rFonts w:eastAsia="Arial" w:cs="Arial"/>
                      <w:sz w:val="16"/>
                      <w:szCs w:val="16"/>
                      <w:lang w:val="fr-CH"/>
                    </w:rPr>
                  </w:pPr>
                  <w:r w:rsidRPr="00E454D1">
                    <w:rPr>
                      <w:rFonts w:eastAsia="Arial" w:cs="Arial"/>
                      <w:sz w:val="16"/>
                      <w:szCs w:val="16"/>
                      <w:lang w:val="fr-CH"/>
                    </w:rPr>
                    <w:t>7</w:t>
                  </w:r>
                </w:p>
              </w:tc>
            </w:tr>
          </w:tbl>
          <w:p w:rsidR="009956BC" w:rsidRPr="00E454D1" w:rsidRDefault="009956BC" w:rsidP="009956BC">
            <w:pPr>
              <w:spacing w:line="1" w:lineRule="auto"/>
              <w:rPr>
                <w:lang w:val="fr-CH"/>
              </w:rPr>
            </w:pPr>
          </w:p>
        </w:tc>
      </w:tr>
    </w:tbl>
    <w:p w:rsidR="00D75FE9" w:rsidRPr="00E454D1" w:rsidRDefault="00D75FE9" w:rsidP="009956BC">
      <w:pPr>
        <w:rPr>
          <w:lang w:val="fr-CH"/>
        </w:rPr>
      </w:pPr>
    </w:p>
    <w:p w:rsidR="00D75FE9" w:rsidRPr="00E454D1" w:rsidRDefault="00090D74" w:rsidP="00A16C23">
      <w:pPr>
        <w:ind w:left="567" w:right="567"/>
        <w:rPr>
          <w:lang w:val="fr-CH"/>
        </w:rPr>
      </w:pPr>
      <w:r w:rsidRPr="00E454D1">
        <w:rPr>
          <w:lang w:val="fr-CH"/>
        </w:rPr>
        <w:t>“</w:t>
      </w:r>
      <w:r w:rsidR="00A16C23" w:rsidRPr="00E454D1">
        <w:rPr>
          <w:lang w:val="fr-CH"/>
        </w:rPr>
        <w:t>Toutefois, il convient de noter que les neuf</w:t>
      </w:r>
      <w:r w:rsidR="00124C91" w:rsidRPr="00E454D1">
        <w:rPr>
          <w:lang w:val="fr-CH"/>
        </w:rPr>
        <w:t> </w:t>
      </w:r>
      <w:r w:rsidR="00A16C23" w:rsidRPr="00E454D1">
        <w:rPr>
          <w:lang w:val="fr-CH"/>
        </w:rPr>
        <w:t>niveaux d</w:t>
      </w:r>
      <w:r w:rsidR="00E454D1">
        <w:rPr>
          <w:lang w:val="fr-CH"/>
        </w:rPr>
        <w:t>’</w:t>
      </w:r>
      <w:r w:rsidR="00A16C23" w:rsidRPr="00E454D1">
        <w:rPr>
          <w:lang w:val="fr-CH"/>
        </w:rPr>
        <w:t>expression ci</w:t>
      </w:r>
      <w:r w:rsidR="00E454D1">
        <w:rPr>
          <w:lang w:val="fr-CH"/>
        </w:rPr>
        <w:t>-</w:t>
      </w:r>
      <w:r w:rsidR="00A16C23" w:rsidRPr="00E454D1">
        <w:rPr>
          <w:lang w:val="fr-CH"/>
        </w:rPr>
        <w:t>après existent pour décrire les variétés et qu</w:t>
      </w:r>
      <w:r w:rsidR="00E454D1">
        <w:rPr>
          <w:lang w:val="fr-CH"/>
        </w:rPr>
        <w:t>’</w:t>
      </w:r>
      <w:r w:rsidR="00A16C23" w:rsidRPr="00E454D1">
        <w:rPr>
          <w:lang w:val="fr-CH"/>
        </w:rPr>
        <w:t>ils doivent être utilisés selon que de besoin</w:t>
      </w:r>
      <w:r w:rsidR="00E454D1">
        <w:rPr>
          <w:lang w:val="fr-CH"/>
        </w:rPr>
        <w:t> :</w:t>
      </w:r>
    </w:p>
    <w:p w:rsidR="009956BC" w:rsidRPr="00E454D1" w:rsidRDefault="009956BC" w:rsidP="009956BC">
      <w:pPr>
        <w:rPr>
          <w:lang w:val="fr-CH"/>
        </w:rPr>
      </w:pPr>
    </w:p>
    <w:tbl>
      <w:tblPr>
        <w:tblOverlap w:val="never"/>
        <w:tblW w:w="3585" w:type="dxa"/>
        <w:jc w:val="center"/>
        <w:tblLayout w:type="fixed"/>
        <w:tblLook w:val="01E0" w:firstRow="1" w:lastRow="1" w:firstColumn="1" w:lastColumn="1" w:noHBand="0" w:noVBand="0"/>
      </w:tblPr>
      <w:tblGrid>
        <w:gridCol w:w="2595"/>
        <w:gridCol w:w="990"/>
      </w:tblGrid>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jc w:val="center"/>
              <w:rPr>
                <w:rFonts w:eastAsia="Arial" w:cs="Arial"/>
                <w:i/>
                <w:iCs/>
                <w:sz w:val="16"/>
                <w:szCs w:val="16"/>
                <w:lang w:val="fr-CH"/>
              </w:rPr>
            </w:pPr>
            <w:r w:rsidRPr="00E454D1">
              <w:rPr>
                <w:rFonts w:eastAsia="Arial" w:cs="Arial"/>
                <w:i/>
                <w:iCs/>
                <w:sz w:val="16"/>
                <w:szCs w:val="16"/>
                <w:lang w:val="fr-CH"/>
              </w:rPr>
              <w:t>Niveau</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i/>
                <w:iCs/>
                <w:sz w:val="16"/>
                <w:szCs w:val="16"/>
                <w:lang w:val="fr-CH"/>
              </w:rPr>
            </w:pPr>
            <w:r w:rsidRPr="00E454D1">
              <w:rPr>
                <w:rFonts w:eastAsia="Arial" w:cs="Arial"/>
                <w:i/>
                <w:iCs/>
                <w:sz w:val="16"/>
                <w:szCs w:val="16"/>
                <w:lang w:val="fr-CH"/>
              </w:rPr>
              <w:t>Note</w:t>
            </w:r>
          </w:p>
        </w:tc>
      </w:tr>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très petit</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1</w:t>
            </w:r>
          </w:p>
        </w:tc>
      </w:tr>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très petit à petit</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2</w:t>
            </w:r>
          </w:p>
        </w:tc>
      </w:tr>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petit</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3</w:t>
            </w:r>
          </w:p>
        </w:tc>
      </w:tr>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petit à moyen</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4</w:t>
            </w:r>
          </w:p>
        </w:tc>
      </w:tr>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moyen</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5</w:t>
            </w:r>
          </w:p>
        </w:tc>
      </w:tr>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moyen à grand</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6</w:t>
            </w:r>
          </w:p>
        </w:tc>
      </w:tr>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grand</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7</w:t>
            </w:r>
          </w:p>
        </w:tc>
      </w:tr>
      <w:tr w:rsidR="00E454D1"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grand à très grand</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8</w:t>
            </w:r>
          </w:p>
        </w:tc>
      </w:tr>
      <w:tr w:rsidR="009956BC" w:rsidRPr="00E454D1" w:rsidTr="001270B2">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A16C23" w:rsidP="00A16C23">
            <w:pPr>
              <w:keepNext/>
              <w:rPr>
                <w:rFonts w:eastAsia="Arial" w:cs="Arial"/>
                <w:sz w:val="16"/>
                <w:szCs w:val="16"/>
                <w:lang w:val="fr-CH"/>
              </w:rPr>
            </w:pPr>
            <w:r w:rsidRPr="00E454D1">
              <w:rPr>
                <w:rFonts w:eastAsia="Arial" w:cs="Arial"/>
                <w:sz w:val="16"/>
                <w:szCs w:val="16"/>
                <w:lang w:val="fr-CH"/>
              </w:rPr>
              <w:t>très grand</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9956BC" w:rsidRPr="00E454D1" w:rsidRDefault="009956BC" w:rsidP="009956BC">
            <w:pPr>
              <w:keepNext/>
              <w:jc w:val="center"/>
              <w:rPr>
                <w:rFonts w:eastAsia="Arial" w:cs="Arial"/>
                <w:sz w:val="16"/>
                <w:szCs w:val="16"/>
                <w:lang w:val="fr-CH"/>
              </w:rPr>
            </w:pPr>
            <w:r w:rsidRPr="00E454D1">
              <w:rPr>
                <w:rFonts w:eastAsia="Arial" w:cs="Arial"/>
                <w:sz w:val="16"/>
                <w:szCs w:val="16"/>
                <w:lang w:val="fr-CH"/>
              </w:rPr>
              <w:t>9</w:t>
            </w:r>
          </w:p>
        </w:tc>
      </w:tr>
    </w:tbl>
    <w:p w:rsidR="00D75FE9" w:rsidRPr="00E454D1" w:rsidRDefault="00D75FE9" w:rsidP="009956BC">
      <w:pPr>
        <w:rPr>
          <w:lang w:val="fr-CH"/>
        </w:rPr>
      </w:pPr>
    </w:p>
    <w:p w:rsidR="002F2D47" w:rsidRPr="00E454D1" w:rsidRDefault="009956BC" w:rsidP="00D22D38">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662236" w:rsidRPr="00E454D1">
        <w:rPr>
          <w:lang w:val="fr-CH"/>
        </w:rPr>
        <w:t>Malgré cette explication, la confusion et l</w:t>
      </w:r>
      <w:r w:rsidR="00E454D1">
        <w:rPr>
          <w:lang w:val="fr-CH"/>
        </w:rPr>
        <w:t>’</w:t>
      </w:r>
      <w:r w:rsidR="00645E4E" w:rsidRPr="00E454D1">
        <w:rPr>
          <w:lang w:val="fr-CH"/>
        </w:rPr>
        <w:t>incompréhension sont</w:t>
      </w:r>
      <w:r w:rsidR="00662236" w:rsidRPr="00E454D1">
        <w:rPr>
          <w:lang w:val="fr-CH"/>
        </w:rPr>
        <w:t xml:space="preserve"> général</w:t>
      </w:r>
      <w:r w:rsidR="00645E4E" w:rsidRPr="00E454D1">
        <w:rPr>
          <w:lang w:val="fr-CH"/>
        </w:rPr>
        <w:t>e</w:t>
      </w:r>
      <w:r w:rsidR="00662236" w:rsidRPr="00E454D1">
        <w:rPr>
          <w:lang w:val="fr-CH"/>
        </w:rPr>
        <w:t>s concernant l</w:t>
      </w:r>
      <w:r w:rsidR="00E454D1">
        <w:rPr>
          <w:lang w:val="fr-CH"/>
        </w:rPr>
        <w:t>’</w:t>
      </w:r>
      <w:r w:rsidR="00662236" w:rsidRPr="00E454D1">
        <w:rPr>
          <w:lang w:val="fr-CH"/>
        </w:rPr>
        <w:t xml:space="preserve">échelle </w:t>
      </w:r>
      <w:r w:rsidR="00090D74" w:rsidRPr="00E454D1">
        <w:rPr>
          <w:lang w:val="fr-CH"/>
        </w:rPr>
        <w:t>“</w:t>
      </w:r>
      <w:r w:rsidR="00662236" w:rsidRPr="00E454D1">
        <w:rPr>
          <w:lang w:val="fr-CH"/>
        </w:rPr>
        <w:t>abrégée</w:t>
      </w:r>
      <w:r w:rsidR="00090D74" w:rsidRPr="00E454D1">
        <w:rPr>
          <w:lang w:val="fr-CH"/>
        </w:rPr>
        <w:t>”</w:t>
      </w:r>
      <w:r w:rsidR="00662236" w:rsidRPr="00E454D1">
        <w:rPr>
          <w:lang w:val="fr-CH"/>
        </w:rPr>
        <w:t>.</w:t>
      </w:r>
      <w:r w:rsidRPr="00E454D1">
        <w:rPr>
          <w:lang w:val="fr-CH"/>
        </w:rPr>
        <w:t xml:space="preserve">  </w:t>
      </w:r>
      <w:r w:rsidR="00662236" w:rsidRPr="00E454D1">
        <w:rPr>
          <w:lang w:val="fr-CH"/>
        </w:rPr>
        <w:t>En outre, la documentation de l</w:t>
      </w:r>
      <w:r w:rsidR="00E454D1">
        <w:rPr>
          <w:lang w:val="fr-CH"/>
        </w:rPr>
        <w:t>’</w:t>
      </w:r>
      <w:r w:rsidR="00662236" w:rsidRPr="00E454D1">
        <w:rPr>
          <w:lang w:val="fr-CH"/>
        </w:rPr>
        <w:t xml:space="preserve">UPOV, </w:t>
      </w:r>
      <w:r w:rsidR="00E454D1">
        <w:rPr>
          <w:lang w:val="fr-CH"/>
        </w:rPr>
        <w:t>y compris</w:t>
      </w:r>
      <w:r w:rsidR="00662236" w:rsidRPr="00E454D1">
        <w:rPr>
          <w:lang w:val="fr-CH"/>
        </w:rPr>
        <w:t xml:space="preserve"> les principes directeurs d</w:t>
      </w:r>
      <w:r w:rsidR="00E454D1">
        <w:rPr>
          <w:lang w:val="fr-CH"/>
        </w:rPr>
        <w:t>’</w:t>
      </w:r>
      <w:r w:rsidR="00662236" w:rsidRPr="00E454D1">
        <w:rPr>
          <w:lang w:val="fr-CH"/>
        </w:rPr>
        <w:t>examen, a été mise à disposition sur le site</w:t>
      </w:r>
      <w:r w:rsidR="00124C91" w:rsidRPr="00E454D1">
        <w:rPr>
          <w:lang w:val="fr-CH"/>
        </w:rPr>
        <w:t> </w:t>
      </w:r>
      <w:r w:rsidR="00662236" w:rsidRPr="00E454D1">
        <w:rPr>
          <w:lang w:val="fr-CH"/>
        </w:rPr>
        <w:t>Web de l</w:t>
      </w:r>
      <w:r w:rsidR="00E454D1">
        <w:rPr>
          <w:lang w:val="fr-CH"/>
        </w:rPr>
        <w:t>’</w:t>
      </w:r>
      <w:r w:rsidR="00662236" w:rsidRPr="00E454D1">
        <w:rPr>
          <w:lang w:val="fr-CH"/>
        </w:rPr>
        <w:t>Union et n</w:t>
      </w:r>
      <w:r w:rsidR="00E454D1">
        <w:rPr>
          <w:lang w:val="fr-CH"/>
        </w:rPr>
        <w:t>’</w:t>
      </w:r>
      <w:r w:rsidR="00662236" w:rsidRPr="00E454D1">
        <w:rPr>
          <w:lang w:val="fr-CH"/>
        </w:rPr>
        <w:t>est plus envoyée sur papier par courrier aux membres de l</w:t>
      </w:r>
      <w:r w:rsidR="00E454D1">
        <w:rPr>
          <w:lang w:val="fr-CH"/>
        </w:rPr>
        <w:t>’</w:t>
      </w:r>
      <w:r w:rsidR="00662236" w:rsidRPr="00E454D1">
        <w:rPr>
          <w:lang w:val="fr-CH"/>
        </w:rPr>
        <w:t>U</w:t>
      </w:r>
      <w:r w:rsidR="00C77A34" w:rsidRPr="00E454D1">
        <w:rPr>
          <w:lang w:val="fr-CH"/>
        </w:rPr>
        <w:t>POV</w:t>
      </w:r>
      <w:r w:rsidR="00C77A34">
        <w:rPr>
          <w:lang w:val="fr-CH"/>
        </w:rPr>
        <w:t xml:space="preserve">.  </w:t>
      </w:r>
      <w:r w:rsidR="00C77A34" w:rsidRPr="00E454D1">
        <w:rPr>
          <w:lang w:val="fr-CH"/>
        </w:rPr>
        <w:t>Pa</w:t>
      </w:r>
      <w:r w:rsidR="00D22D38" w:rsidRPr="00E454D1">
        <w:rPr>
          <w:lang w:val="fr-CH"/>
        </w:rPr>
        <w:t>r conséquent, l</w:t>
      </w:r>
      <w:r w:rsidR="00E454D1">
        <w:rPr>
          <w:lang w:val="fr-CH"/>
        </w:rPr>
        <w:t>’</w:t>
      </w:r>
      <w:r w:rsidR="00D22D38" w:rsidRPr="00E454D1">
        <w:rPr>
          <w:lang w:val="fr-CH"/>
        </w:rPr>
        <w:t>utilisation d</w:t>
      </w:r>
      <w:r w:rsidR="00E454D1">
        <w:rPr>
          <w:lang w:val="fr-CH"/>
        </w:rPr>
        <w:t>’</w:t>
      </w:r>
      <w:r w:rsidR="00D22D38" w:rsidRPr="00E454D1">
        <w:rPr>
          <w:lang w:val="fr-CH"/>
        </w:rPr>
        <w:t>une échelle abrégée pour réduire au minimum la taille du tableau des caractères n</w:t>
      </w:r>
      <w:r w:rsidR="00E454D1">
        <w:rPr>
          <w:lang w:val="fr-CH"/>
        </w:rPr>
        <w:t>’</w:t>
      </w:r>
      <w:r w:rsidR="00D22D38" w:rsidRPr="00E454D1">
        <w:rPr>
          <w:lang w:val="fr-CH"/>
        </w:rPr>
        <w:t>est peut</w:t>
      </w:r>
      <w:r w:rsidR="00E454D1">
        <w:rPr>
          <w:lang w:val="fr-CH"/>
        </w:rPr>
        <w:t>-</w:t>
      </w:r>
      <w:r w:rsidR="00D22D38" w:rsidRPr="00E454D1">
        <w:rPr>
          <w:lang w:val="fr-CH"/>
        </w:rPr>
        <w:t>être plus appropri</w:t>
      </w:r>
      <w:r w:rsidR="00C77A34" w:rsidRPr="00E454D1">
        <w:rPr>
          <w:lang w:val="fr-CH"/>
        </w:rPr>
        <w:t>ée</w:t>
      </w:r>
      <w:r w:rsidR="00C77A34">
        <w:rPr>
          <w:lang w:val="fr-CH"/>
        </w:rPr>
        <w:t xml:space="preserve">.  </w:t>
      </w:r>
      <w:r w:rsidR="00C77A34" w:rsidRPr="00E454D1">
        <w:rPr>
          <w:lang w:val="fr-CH"/>
        </w:rPr>
        <w:t>La</w:t>
      </w:r>
      <w:r w:rsidR="00D22D38" w:rsidRPr="00E454D1">
        <w:rPr>
          <w:lang w:val="fr-CH"/>
        </w:rPr>
        <w:t xml:space="preserve"> présentation de tous les niveaux d</w:t>
      </w:r>
      <w:r w:rsidR="00E454D1">
        <w:rPr>
          <w:lang w:val="fr-CH"/>
        </w:rPr>
        <w:t>’</w:t>
      </w:r>
      <w:r w:rsidR="00D22D38" w:rsidRPr="00E454D1">
        <w:rPr>
          <w:lang w:val="fr-CH"/>
        </w:rPr>
        <w:t xml:space="preserve">expression </w:t>
      </w:r>
      <w:r w:rsidR="00645E4E" w:rsidRPr="00E454D1">
        <w:rPr>
          <w:lang w:val="fr-CH"/>
        </w:rPr>
        <w:t>pour les</w:t>
      </w:r>
      <w:r w:rsidR="00D22D38" w:rsidRPr="00E454D1">
        <w:rPr>
          <w:lang w:val="fr-CH"/>
        </w:rPr>
        <w:t xml:space="preserve"> caractères quantitatifs dans les principes directeurs d</w:t>
      </w:r>
      <w:r w:rsidR="00E454D1">
        <w:rPr>
          <w:lang w:val="fr-CH"/>
        </w:rPr>
        <w:t>’</w:t>
      </w:r>
      <w:r w:rsidR="00D22D38" w:rsidRPr="00E454D1">
        <w:rPr>
          <w:lang w:val="fr-CH"/>
        </w:rPr>
        <w:t>examen éliminerait également la nécessité d</w:t>
      </w:r>
      <w:r w:rsidR="00E454D1">
        <w:rPr>
          <w:lang w:val="fr-CH"/>
        </w:rPr>
        <w:t>’</w:t>
      </w:r>
      <w:r w:rsidR="00D22D38" w:rsidRPr="00E454D1">
        <w:rPr>
          <w:lang w:val="fr-CH"/>
        </w:rPr>
        <w:t>un traitement spécial des caractères figurant dans le questionnaire techniq</w:t>
      </w:r>
      <w:r w:rsidR="00C77A34" w:rsidRPr="00E454D1">
        <w:rPr>
          <w:lang w:val="fr-CH"/>
        </w:rPr>
        <w:t>ue</w:t>
      </w:r>
      <w:r w:rsidR="00C77A34">
        <w:rPr>
          <w:lang w:val="fr-CH"/>
        </w:rPr>
        <w:t xml:space="preserve">.  </w:t>
      </w:r>
      <w:r w:rsidR="00C77A34" w:rsidRPr="00E454D1">
        <w:rPr>
          <w:lang w:val="fr-CH"/>
        </w:rPr>
        <w:t>Un</w:t>
      </w:r>
      <w:r w:rsidR="00D22D38" w:rsidRPr="00E454D1">
        <w:rPr>
          <w:lang w:val="fr-CH"/>
        </w:rPr>
        <w:t xml:space="preserve"> autre avantage serait que tous les niveaux d</w:t>
      </w:r>
      <w:r w:rsidR="00E454D1">
        <w:rPr>
          <w:lang w:val="fr-CH"/>
        </w:rPr>
        <w:t>’</w:t>
      </w:r>
      <w:r w:rsidR="00D22D38" w:rsidRPr="00E454D1">
        <w:rPr>
          <w:lang w:val="fr-CH"/>
        </w:rPr>
        <w:t>expression sont nécessaires pour les caractères figurant dans PRISMA UPOV.  C</w:t>
      </w:r>
      <w:r w:rsidR="00E454D1">
        <w:rPr>
          <w:lang w:val="fr-CH"/>
        </w:rPr>
        <w:t>’</w:t>
      </w:r>
      <w:r w:rsidR="00D22D38" w:rsidRPr="00E454D1">
        <w:rPr>
          <w:lang w:val="fr-CH"/>
        </w:rPr>
        <w:t>est pourquoi les membres de l</w:t>
      </w:r>
      <w:r w:rsidR="00E454D1">
        <w:rPr>
          <w:lang w:val="fr-CH"/>
        </w:rPr>
        <w:t>’</w:t>
      </w:r>
      <w:r w:rsidR="00D22D38" w:rsidRPr="00E454D1">
        <w:rPr>
          <w:lang w:val="fr-CH"/>
        </w:rPr>
        <w:t>UPOV souhaiteront peut</w:t>
      </w:r>
      <w:r w:rsidR="00E454D1">
        <w:rPr>
          <w:lang w:val="fr-CH"/>
        </w:rPr>
        <w:t>-</w:t>
      </w:r>
      <w:r w:rsidR="00D22D38" w:rsidRPr="00E454D1">
        <w:rPr>
          <w:lang w:val="fr-CH"/>
        </w:rPr>
        <w:t>être envisager de présenter tous les niveaux d</w:t>
      </w:r>
      <w:r w:rsidR="00E454D1">
        <w:rPr>
          <w:lang w:val="fr-CH"/>
        </w:rPr>
        <w:t>’</w:t>
      </w:r>
      <w:r w:rsidR="00D22D38" w:rsidRPr="00E454D1">
        <w:rPr>
          <w:lang w:val="fr-CH"/>
        </w:rPr>
        <w:t xml:space="preserve">expression </w:t>
      </w:r>
      <w:r w:rsidR="00645E4E" w:rsidRPr="00E454D1">
        <w:rPr>
          <w:lang w:val="fr-CH"/>
        </w:rPr>
        <w:t>pour les</w:t>
      </w:r>
      <w:r w:rsidR="00D22D38" w:rsidRPr="00E454D1">
        <w:rPr>
          <w:lang w:val="fr-CH"/>
        </w:rPr>
        <w:t xml:space="preserve"> caractères quantitatifs dans les principes directeurs d</w:t>
      </w:r>
      <w:r w:rsidR="00E454D1">
        <w:rPr>
          <w:lang w:val="fr-CH"/>
        </w:rPr>
        <w:t>’</w:t>
      </w:r>
      <w:r w:rsidR="00D22D38" w:rsidRPr="00E454D1">
        <w:rPr>
          <w:lang w:val="fr-CH"/>
        </w:rPr>
        <w:t>examen.</w:t>
      </w:r>
    </w:p>
    <w:p w:rsidR="00D75FE9" w:rsidRPr="00E454D1" w:rsidRDefault="00D75FE9" w:rsidP="009956BC">
      <w:pPr>
        <w:rPr>
          <w:lang w:val="fr-CH"/>
        </w:rPr>
      </w:pPr>
    </w:p>
    <w:p w:rsidR="00D75FE9" w:rsidRPr="00E454D1" w:rsidRDefault="009956BC" w:rsidP="00D22D38">
      <w:pPr>
        <w:rPr>
          <w:rFonts w:eastAsia="Arial" w:cs="Arial"/>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D22D38" w:rsidRPr="00E454D1">
        <w:rPr>
          <w:lang w:val="fr-CH"/>
        </w:rPr>
        <w:t xml:space="preserve">À leurs sessions </w:t>
      </w:r>
      <w:r w:rsidR="002F2D47" w:rsidRPr="00E454D1">
        <w:rPr>
          <w:lang w:val="fr-CH"/>
        </w:rPr>
        <w:t>de 2019</w:t>
      </w:r>
      <w:r w:rsidR="00D22D38" w:rsidRPr="00E454D1">
        <w:rPr>
          <w:lang w:val="fr-CH"/>
        </w:rPr>
        <w:t>,</w:t>
      </w:r>
      <w:r w:rsidR="002F2D47" w:rsidRPr="00E454D1">
        <w:rPr>
          <w:lang w:val="fr-CH"/>
        </w:rPr>
        <w:t xml:space="preserve"> les TWP</w:t>
      </w:r>
      <w:r w:rsidR="00D22D38" w:rsidRPr="00E454D1">
        <w:rPr>
          <w:lang w:val="fr-CH"/>
        </w:rPr>
        <w:t xml:space="preserve"> ont été invités à envisager de réviser la note explicative GN 20</w:t>
      </w:r>
      <w:r w:rsidR="00FE5010" w:rsidRPr="00E454D1">
        <w:rPr>
          <w:lang w:val="fr-CH"/>
        </w:rPr>
        <w:t> </w:t>
      </w:r>
      <w:r w:rsidR="00D22D38" w:rsidRPr="00E454D1">
        <w:rPr>
          <w:lang w:val="fr-CH"/>
        </w:rPr>
        <w:t>“Présentation des caractères</w:t>
      </w:r>
      <w:r w:rsidR="00E454D1">
        <w:rPr>
          <w:lang w:val="fr-CH"/>
        </w:rPr>
        <w:t> :</w:t>
      </w:r>
      <w:r w:rsidR="00D22D38" w:rsidRPr="00E454D1">
        <w:rPr>
          <w:lang w:val="fr-CH"/>
        </w:rPr>
        <w:t xml:space="preserve"> niveaux d</w:t>
      </w:r>
      <w:r w:rsidR="00E454D1">
        <w:rPr>
          <w:lang w:val="fr-CH"/>
        </w:rPr>
        <w:t>’</w:t>
      </w:r>
      <w:r w:rsidR="00D22D38" w:rsidRPr="00E454D1">
        <w:rPr>
          <w:lang w:val="fr-CH"/>
        </w:rPr>
        <w:t>expression selon le type d</w:t>
      </w:r>
      <w:r w:rsidR="00E454D1">
        <w:rPr>
          <w:lang w:val="fr-CH"/>
        </w:rPr>
        <w:t>’</w:t>
      </w:r>
      <w:r w:rsidR="00D22D38" w:rsidRPr="00E454D1">
        <w:rPr>
          <w:lang w:val="fr-CH"/>
        </w:rPr>
        <w:t>expression d</w:t>
      </w:r>
      <w:r w:rsidR="00E454D1">
        <w:rPr>
          <w:lang w:val="fr-CH"/>
        </w:rPr>
        <w:t>’</w:t>
      </w:r>
      <w:r w:rsidR="00D22D38" w:rsidRPr="00E454D1">
        <w:rPr>
          <w:lang w:val="fr-CH"/>
        </w:rPr>
        <w:t>un caractère” et l</w:t>
      </w:r>
      <w:r w:rsidR="00E454D1">
        <w:rPr>
          <w:lang w:val="fr-CH"/>
        </w:rPr>
        <w:t>’</w:t>
      </w:r>
      <w:r w:rsidR="00D22D38" w:rsidRPr="00E454D1">
        <w:rPr>
          <w:lang w:val="fr-CH"/>
        </w:rPr>
        <w:t>annexe</w:t>
      </w:r>
      <w:r w:rsidR="00FE5010" w:rsidRPr="00E454D1">
        <w:rPr>
          <w:lang w:val="fr-CH"/>
        </w:rPr>
        <w:t> </w:t>
      </w:r>
      <w:r w:rsidR="00D22D38" w:rsidRPr="00E454D1">
        <w:rPr>
          <w:lang w:val="fr-CH"/>
        </w:rPr>
        <w:t>1 “Structure des principes directeurs d</w:t>
      </w:r>
      <w:r w:rsidR="00E454D1">
        <w:rPr>
          <w:lang w:val="fr-CH"/>
        </w:rPr>
        <w:t>’</w:t>
      </w:r>
      <w:r w:rsidR="00D22D38" w:rsidRPr="00E454D1">
        <w:rPr>
          <w:lang w:val="fr-CH"/>
        </w:rPr>
        <w:t>examen et texte standard général” du document TGP/7 afin de présenter tous les niveaux d</w:t>
      </w:r>
      <w:r w:rsidR="00E454D1">
        <w:rPr>
          <w:lang w:val="fr-CH"/>
        </w:rPr>
        <w:t>’</w:t>
      </w:r>
      <w:r w:rsidR="00D22D38" w:rsidRPr="00E454D1">
        <w:rPr>
          <w:lang w:val="fr-CH"/>
        </w:rPr>
        <w:t>expression concernant des caractères quantitatifs figurant dans les principes directeurs d</w:t>
      </w:r>
      <w:r w:rsidR="00E454D1">
        <w:rPr>
          <w:lang w:val="fr-CH"/>
        </w:rPr>
        <w:t>’</w:t>
      </w:r>
      <w:r w:rsidR="00D22D38" w:rsidRPr="00E454D1">
        <w:rPr>
          <w:lang w:val="fr-CH"/>
        </w:rPr>
        <w:t>examen.</w:t>
      </w:r>
    </w:p>
    <w:p w:rsidR="00D75FE9" w:rsidRPr="00E454D1" w:rsidRDefault="00D75FE9" w:rsidP="009956BC">
      <w:pPr>
        <w:rPr>
          <w:rFonts w:eastAsia="Arial" w:cs="Arial"/>
          <w:lang w:val="fr-CH"/>
        </w:rPr>
      </w:pPr>
    </w:p>
    <w:p w:rsidR="00D75FE9" w:rsidRPr="00E454D1" w:rsidRDefault="00D22D38" w:rsidP="00C076EA">
      <w:pPr>
        <w:pStyle w:val="Heading4"/>
        <w:rPr>
          <w:rFonts w:eastAsia="Arial"/>
        </w:rPr>
      </w:pPr>
      <w:bookmarkStart w:id="42" w:name="_Toc22035930"/>
      <w:r w:rsidRPr="00E454D1">
        <w:rPr>
          <w:rFonts w:eastAsia="Arial"/>
        </w:rPr>
        <w:t>Observations formulées par</w:t>
      </w:r>
      <w:r w:rsidR="002F2D47" w:rsidRPr="00E454D1">
        <w:rPr>
          <w:rFonts w:eastAsia="Arial"/>
        </w:rPr>
        <w:t xml:space="preserve"> les TWP</w:t>
      </w:r>
      <w:r w:rsidRPr="00E454D1">
        <w:rPr>
          <w:rFonts w:eastAsia="Arial"/>
        </w:rPr>
        <w:t xml:space="preserve"> à leurs sessions </w:t>
      </w:r>
      <w:r w:rsidR="002F2D47" w:rsidRPr="00E454D1">
        <w:rPr>
          <w:rFonts w:eastAsia="Arial"/>
        </w:rPr>
        <w:t>de </w:t>
      </w:r>
      <w:bookmarkEnd w:id="42"/>
      <w:r w:rsidR="002F2D47" w:rsidRPr="00E454D1">
        <w:rPr>
          <w:rFonts w:eastAsia="Arial"/>
        </w:rPr>
        <w:t>2019</w:t>
      </w:r>
    </w:p>
    <w:p w:rsidR="00D75FE9" w:rsidRPr="00E454D1" w:rsidRDefault="00D75FE9" w:rsidP="009956BC">
      <w:pPr>
        <w:rPr>
          <w:rFonts w:eastAsia="Arial" w:cs="Arial"/>
          <w:lang w:val="fr-CH"/>
        </w:rPr>
      </w:pPr>
    </w:p>
    <w:p w:rsidR="00D75FE9" w:rsidRPr="00E454D1" w:rsidRDefault="00AE2C77" w:rsidP="000F110C">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0F110C" w:rsidRPr="00E454D1">
        <w:rPr>
          <w:lang w:val="fr-CH"/>
        </w:rPr>
        <w:t>Le TWO,</w:t>
      </w:r>
      <w:r w:rsidR="002F2D47" w:rsidRPr="00E454D1">
        <w:rPr>
          <w:lang w:val="fr-CH"/>
        </w:rPr>
        <w:t xml:space="preserve"> le TWV</w:t>
      </w:r>
      <w:r w:rsidR="000F110C" w:rsidRPr="00E454D1">
        <w:rPr>
          <w:lang w:val="fr-CH"/>
        </w:rPr>
        <w:t>,</w:t>
      </w:r>
      <w:r w:rsidR="002F2D47" w:rsidRPr="00E454D1">
        <w:rPr>
          <w:lang w:val="fr-CH"/>
        </w:rPr>
        <w:t xml:space="preserve"> le TWF</w:t>
      </w:r>
      <w:r w:rsidR="000F110C" w:rsidRPr="00E454D1">
        <w:rPr>
          <w:lang w:val="fr-CH"/>
        </w:rPr>
        <w:t xml:space="preserve"> et</w:t>
      </w:r>
      <w:r w:rsidR="002F2D47" w:rsidRPr="00E454D1">
        <w:rPr>
          <w:lang w:val="fr-CH"/>
        </w:rPr>
        <w:t xml:space="preserve"> le TWA</w:t>
      </w:r>
      <w:r w:rsidR="000F110C" w:rsidRPr="00E454D1">
        <w:rPr>
          <w:lang w:val="fr-CH"/>
        </w:rPr>
        <w:t xml:space="preserve">, à leurs sessions </w:t>
      </w:r>
      <w:r w:rsidR="002F2D47" w:rsidRPr="00E454D1">
        <w:rPr>
          <w:lang w:val="fr-CH"/>
        </w:rPr>
        <w:t>de 2019</w:t>
      </w:r>
      <w:r w:rsidR="000F110C" w:rsidRPr="00E454D1">
        <w:rPr>
          <w:lang w:val="fr-CH"/>
        </w:rPr>
        <w:t>, ont examiné la proposition de révision de la note explicative GN</w:t>
      </w:r>
      <w:r w:rsidR="00FE5010" w:rsidRPr="00E454D1">
        <w:rPr>
          <w:lang w:val="fr-CH"/>
        </w:rPr>
        <w:t> </w:t>
      </w:r>
      <w:r w:rsidR="000F110C" w:rsidRPr="00E454D1">
        <w:rPr>
          <w:lang w:val="fr-CH"/>
        </w:rPr>
        <w:t xml:space="preserve">20 du </w:t>
      </w:r>
      <w:r w:rsidR="002F2D47" w:rsidRPr="00E454D1">
        <w:rPr>
          <w:lang w:val="fr-CH"/>
        </w:rPr>
        <w:t>document TG</w:t>
      </w:r>
      <w:r w:rsidR="000F110C" w:rsidRPr="00E454D1">
        <w:rPr>
          <w:lang w:val="fr-CH"/>
        </w:rPr>
        <w:t>P/7 afin de présenter tous les niveaux d</w:t>
      </w:r>
      <w:r w:rsidR="00E454D1">
        <w:rPr>
          <w:lang w:val="fr-CH"/>
        </w:rPr>
        <w:t>’</w:t>
      </w:r>
      <w:r w:rsidR="000F110C" w:rsidRPr="00E454D1">
        <w:rPr>
          <w:lang w:val="fr-CH"/>
        </w:rPr>
        <w:t xml:space="preserve">expression </w:t>
      </w:r>
      <w:r w:rsidR="00645E4E" w:rsidRPr="00E454D1">
        <w:rPr>
          <w:lang w:val="fr-CH"/>
        </w:rPr>
        <w:t>pour les</w:t>
      </w:r>
      <w:r w:rsidR="000F110C" w:rsidRPr="00E454D1">
        <w:rPr>
          <w:lang w:val="fr-CH"/>
        </w:rPr>
        <w:t xml:space="preserve"> caractères quantitatifs figurant dans les principes directeurs d</w:t>
      </w:r>
      <w:r w:rsidR="00E454D1">
        <w:rPr>
          <w:lang w:val="fr-CH"/>
        </w:rPr>
        <w:t>’</w:t>
      </w:r>
      <w:r w:rsidR="000F110C" w:rsidRPr="00E454D1">
        <w:rPr>
          <w:lang w:val="fr-CH"/>
        </w:rPr>
        <w:t>examen (voir les paragraphes</w:t>
      </w:r>
      <w:r w:rsidR="00FE5010" w:rsidRPr="00E454D1">
        <w:rPr>
          <w:lang w:val="fr-CH"/>
        </w:rPr>
        <w:t> </w:t>
      </w:r>
      <w:r w:rsidR="000F110C" w:rsidRPr="00E454D1">
        <w:rPr>
          <w:lang w:val="fr-CH"/>
        </w:rPr>
        <w:t xml:space="preserve">19 à 23 du document TWO/51/12 </w:t>
      </w:r>
      <w:r w:rsidR="000F110C" w:rsidRPr="000B0444">
        <w:rPr>
          <w:i/>
          <w:lang w:val="fr-CH"/>
        </w:rPr>
        <w:t>“Report”</w:t>
      </w:r>
      <w:r w:rsidR="000F110C" w:rsidRPr="00E454D1">
        <w:rPr>
          <w:lang w:val="fr-CH"/>
        </w:rPr>
        <w:t>, les paragraphes</w:t>
      </w:r>
      <w:r w:rsidR="00FE5010" w:rsidRPr="00E454D1">
        <w:rPr>
          <w:lang w:val="fr-CH"/>
        </w:rPr>
        <w:t> </w:t>
      </w:r>
      <w:r w:rsidR="000F110C" w:rsidRPr="00E454D1">
        <w:rPr>
          <w:lang w:val="fr-CH"/>
        </w:rPr>
        <w:t xml:space="preserve">12 à 16 du document TWV/53/14 </w:t>
      </w:r>
      <w:r w:rsidR="000F110C" w:rsidRPr="000B0444">
        <w:rPr>
          <w:i/>
          <w:lang w:val="fr-CH"/>
        </w:rPr>
        <w:t>“Report”</w:t>
      </w:r>
      <w:r w:rsidR="000F110C" w:rsidRPr="00E454D1">
        <w:rPr>
          <w:lang w:val="fr-CH"/>
        </w:rPr>
        <w:t>, les paragraphes</w:t>
      </w:r>
      <w:r w:rsidR="00FE5010" w:rsidRPr="00E454D1">
        <w:rPr>
          <w:lang w:val="fr-CH"/>
        </w:rPr>
        <w:t> </w:t>
      </w:r>
      <w:r w:rsidR="000F110C" w:rsidRPr="00E454D1">
        <w:rPr>
          <w:lang w:val="fr-CH"/>
        </w:rPr>
        <w:t>11 et 13</w:t>
      </w:r>
      <w:r w:rsidR="00645E4E" w:rsidRPr="00E454D1">
        <w:rPr>
          <w:lang w:val="fr-CH"/>
        </w:rPr>
        <w:t xml:space="preserve"> du document TWF/50/13 </w:t>
      </w:r>
      <w:r w:rsidR="00645E4E" w:rsidRPr="000B0444">
        <w:rPr>
          <w:i/>
          <w:lang w:val="fr-CH"/>
        </w:rPr>
        <w:t>“Report”</w:t>
      </w:r>
      <w:r w:rsidR="000F110C" w:rsidRPr="00E454D1">
        <w:rPr>
          <w:lang w:val="fr-CH"/>
        </w:rPr>
        <w:t xml:space="preserve"> et les paragraphes</w:t>
      </w:r>
      <w:r w:rsidR="00FE5010" w:rsidRPr="00E454D1">
        <w:rPr>
          <w:lang w:val="fr-CH"/>
        </w:rPr>
        <w:t> </w:t>
      </w:r>
      <w:r w:rsidR="000F110C" w:rsidRPr="00E454D1">
        <w:rPr>
          <w:lang w:val="fr-CH"/>
        </w:rPr>
        <w:t xml:space="preserve">40 à 42 du document TWA/48/9 </w:t>
      </w:r>
      <w:r w:rsidR="000F110C" w:rsidRPr="000B0444">
        <w:rPr>
          <w:i/>
          <w:lang w:val="fr-CH"/>
        </w:rPr>
        <w:t>“Report”</w:t>
      </w:r>
      <w:r w:rsidR="000F110C" w:rsidRPr="00E454D1">
        <w:rPr>
          <w:lang w:val="fr-CH"/>
        </w:rPr>
        <w:t>).</w:t>
      </w:r>
    </w:p>
    <w:p w:rsidR="00D75FE9" w:rsidRPr="00E454D1" w:rsidRDefault="00D75FE9" w:rsidP="00016165">
      <w:pPr>
        <w:rPr>
          <w:lang w:val="fr-CH"/>
        </w:rPr>
      </w:pPr>
    </w:p>
    <w:p w:rsidR="002F2D47" w:rsidRPr="00E454D1" w:rsidRDefault="00016165" w:rsidP="008563AD">
      <w:pPr>
        <w:rPr>
          <w:lang w:val="fr-CH"/>
        </w:rPr>
      </w:pPr>
      <w:r w:rsidRPr="00E454D1">
        <w:rPr>
          <w:lang w:val="fr-CH"/>
        </w:rPr>
        <w:lastRenderedPageBreak/>
        <w:fldChar w:fldCharType="begin"/>
      </w:r>
      <w:r w:rsidRPr="00E454D1">
        <w:rPr>
          <w:lang w:val="fr-CH"/>
        </w:rPr>
        <w:instrText xml:space="preserve"> AUTONUM  </w:instrText>
      </w:r>
      <w:r w:rsidRPr="00E454D1">
        <w:rPr>
          <w:lang w:val="fr-CH"/>
        </w:rPr>
        <w:fldChar w:fldCharType="end"/>
      </w:r>
      <w:r w:rsidRPr="00E454D1">
        <w:rPr>
          <w:lang w:val="fr-CH"/>
        </w:rPr>
        <w:tab/>
      </w:r>
      <w:r w:rsidR="008563AD" w:rsidRPr="00E454D1">
        <w:rPr>
          <w:lang w:val="fr-CH"/>
        </w:rPr>
        <w:t>Le TWO,</w:t>
      </w:r>
      <w:r w:rsidR="002F2D47" w:rsidRPr="00E454D1">
        <w:rPr>
          <w:lang w:val="fr-CH"/>
        </w:rPr>
        <w:t xml:space="preserve"> le TWV</w:t>
      </w:r>
      <w:r w:rsidR="008563AD" w:rsidRPr="00E454D1">
        <w:rPr>
          <w:lang w:val="fr-CH"/>
        </w:rPr>
        <w:t xml:space="preserve"> et</w:t>
      </w:r>
      <w:r w:rsidR="002F2D47" w:rsidRPr="00E454D1">
        <w:rPr>
          <w:lang w:val="fr-CH"/>
        </w:rPr>
        <w:t xml:space="preserve"> le TWF</w:t>
      </w:r>
      <w:r w:rsidR="008563AD" w:rsidRPr="00E454D1">
        <w:rPr>
          <w:lang w:val="fr-CH"/>
        </w:rPr>
        <w:t xml:space="preserve"> sont convenus que tous les niveaux d</w:t>
      </w:r>
      <w:r w:rsidR="00E454D1">
        <w:rPr>
          <w:lang w:val="fr-CH"/>
        </w:rPr>
        <w:t>’</w:t>
      </w:r>
      <w:r w:rsidR="008563AD" w:rsidRPr="00E454D1">
        <w:rPr>
          <w:lang w:val="fr-CH"/>
        </w:rPr>
        <w:t xml:space="preserve">expression </w:t>
      </w:r>
      <w:r w:rsidR="00645E4E" w:rsidRPr="00E454D1">
        <w:rPr>
          <w:lang w:val="fr-CH"/>
        </w:rPr>
        <w:t>pour les</w:t>
      </w:r>
      <w:r w:rsidR="008563AD" w:rsidRPr="00E454D1">
        <w:rPr>
          <w:lang w:val="fr-CH"/>
        </w:rPr>
        <w:t xml:space="preserve"> caractères quantitatifs devaient êt</w:t>
      </w:r>
      <w:r w:rsidR="006667E1" w:rsidRPr="00E454D1">
        <w:rPr>
          <w:lang w:val="fr-CH"/>
        </w:rPr>
        <w:t xml:space="preserve">re </w:t>
      </w:r>
      <w:r w:rsidR="008563AD" w:rsidRPr="00E454D1">
        <w:rPr>
          <w:lang w:val="fr-CH"/>
        </w:rPr>
        <w:t>représentés dans les principes directeurs d</w:t>
      </w:r>
      <w:r w:rsidR="00E454D1">
        <w:rPr>
          <w:lang w:val="fr-CH"/>
        </w:rPr>
        <w:t>’</w:t>
      </w:r>
      <w:r w:rsidR="008563AD" w:rsidRPr="00E454D1">
        <w:rPr>
          <w:lang w:val="fr-CH"/>
        </w:rPr>
        <w:t>examen.</w:t>
      </w:r>
    </w:p>
    <w:p w:rsidR="00D75FE9" w:rsidRPr="00E454D1" w:rsidRDefault="00D75FE9" w:rsidP="00016165">
      <w:pPr>
        <w:rPr>
          <w:lang w:val="fr-CH"/>
        </w:rPr>
      </w:pPr>
    </w:p>
    <w:p w:rsidR="002F2D47" w:rsidRPr="00E454D1" w:rsidRDefault="00016165" w:rsidP="002606F9">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2606F9" w:rsidRPr="00E454D1">
        <w:rPr>
          <w:lang w:val="fr-CH"/>
        </w:rPr>
        <w:t>Le TWO et</w:t>
      </w:r>
      <w:r w:rsidR="002F2D47" w:rsidRPr="00E454D1">
        <w:rPr>
          <w:lang w:val="fr-CH"/>
        </w:rPr>
        <w:t xml:space="preserve"> le TWV</w:t>
      </w:r>
      <w:r w:rsidR="002606F9" w:rsidRPr="00E454D1">
        <w:rPr>
          <w:lang w:val="fr-CH"/>
        </w:rPr>
        <w:t xml:space="preserve"> ont rappelé que les orientations figurant dans le </w:t>
      </w:r>
      <w:r w:rsidR="002F2D47" w:rsidRPr="00E454D1">
        <w:rPr>
          <w:lang w:val="fr-CH"/>
        </w:rPr>
        <w:t>document TG</w:t>
      </w:r>
      <w:r w:rsidR="002606F9" w:rsidRPr="00E454D1">
        <w:rPr>
          <w:lang w:val="fr-CH"/>
        </w:rPr>
        <w:t>P/7 exigeaient des caractères quantitatifs avec une échelle “1</w:t>
      </w:r>
      <w:r w:rsidR="00E454D1">
        <w:rPr>
          <w:lang w:val="fr-CH"/>
        </w:rPr>
        <w:t>-</w:t>
      </w:r>
      <w:r w:rsidR="002606F9" w:rsidRPr="00E454D1">
        <w:rPr>
          <w:lang w:val="fr-CH"/>
        </w:rPr>
        <w:t>9” afin d</w:t>
      </w:r>
      <w:r w:rsidR="00E454D1">
        <w:rPr>
          <w:lang w:val="fr-CH"/>
        </w:rPr>
        <w:t>’</w:t>
      </w:r>
      <w:r w:rsidR="002606F9" w:rsidRPr="00E454D1">
        <w:rPr>
          <w:lang w:val="fr-CH"/>
        </w:rPr>
        <w:t>indiquer des exemples pour trois</w:t>
      </w:r>
      <w:r w:rsidR="00124C91" w:rsidRPr="00E454D1">
        <w:rPr>
          <w:lang w:val="fr-CH"/>
        </w:rPr>
        <w:t> </w:t>
      </w:r>
      <w:r w:rsidR="002606F9" w:rsidRPr="00E454D1">
        <w:rPr>
          <w:lang w:val="fr-CH"/>
        </w:rPr>
        <w:t>niveaux d</w:t>
      </w:r>
      <w:r w:rsidR="00E454D1">
        <w:rPr>
          <w:lang w:val="fr-CH"/>
        </w:rPr>
        <w:t>’</w:t>
      </w:r>
      <w:r w:rsidR="002606F9" w:rsidRPr="00E454D1">
        <w:rPr>
          <w:lang w:val="fr-CH"/>
        </w:rPr>
        <w:t>expression au moins et des échelles “1</w:t>
      </w:r>
      <w:r w:rsidR="00E454D1">
        <w:rPr>
          <w:lang w:val="fr-CH"/>
        </w:rPr>
        <w:t>-</w:t>
      </w:r>
      <w:r w:rsidR="002606F9" w:rsidRPr="00E454D1">
        <w:rPr>
          <w:lang w:val="fr-CH"/>
        </w:rPr>
        <w:t>5” / “1</w:t>
      </w:r>
      <w:r w:rsidR="00E454D1">
        <w:rPr>
          <w:lang w:val="fr-CH"/>
        </w:rPr>
        <w:t>-</w:t>
      </w:r>
      <w:r w:rsidR="002606F9" w:rsidRPr="00E454D1">
        <w:rPr>
          <w:lang w:val="fr-CH"/>
        </w:rPr>
        <w:t>4” / “1</w:t>
      </w:r>
      <w:r w:rsidR="00E454D1">
        <w:rPr>
          <w:lang w:val="fr-CH"/>
        </w:rPr>
        <w:t>-</w:t>
      </w:r>
      <w:r w:rsidR="002606F9" w:rsidRPr="00E454D1">
        <w:rPr>
          <w:lang w:val="fr-CH"/>
        </w:rPr>
        <w:t xml:space="preserve">3” pour </w:t>
      </w:r>
      <w:r w:rsidR="00645E4E" w:rsidRPr="00E454D1">
        <w:rPr>
          <w:lang w:val="fr-CH"/>
        </w:rPr>
        <w:t xml:space="preserve">au moins </w:t>
      </w:r>
      <w:r w:rsidR="002606F9" w:rsidRPr="00E454D1">
        <w:rPr>
          <w:lang w:val="fr-CH"/>
        </w:rPr>
        <w:t>deux</w:t>
      </w:r>
      <w:r w:rsidR="00124C91" w:rsidRPr="00E454D1">
        <w:rPr>
          <w:lang w:val="fr-CH"/>
        </w:rPr>
        <w:t> </w:t>
      </w:r>
      <w:r w:rsidR="002606F9" w:rsidRPr="00E454D1">
        <w:rPr>
          <w:lang w:val="fr-CH"/>
        </w:rPr>
        <w:t>niveaux d</w:t>
      </w:r>
      <w:r w:rsidR="00E454D1">
        <w:rPr>
          <w:lang w:val="fr-CH"/>
        </w:rPr>
        <w:t>’</w:t>
      </w:r>
      <w:r w:rsidR="002606F9" w:rsidRPr="00E454D1">
        <w:rPr>
          <w:lang w:val="fr-CH"/>
        </w:rPr>
        <w:t>expressi</w:t>
      </w:r>
      <w:r w:rsidR="00C77A34" w:rsidRPr="00E454D1">
        <w:rPr>
          <w:lang w:val="fr-CH"/>
        </w:rPr>
        <w:t>on</w:t>
      </w:r>
      <w:r w:rsidR="00C77A34">
        <w:rPr>
          <w:lang w:val="fr-CH"/>
        </w:rPr>
        <w:t xml:space="preserve">.  </w:t>
      </w:r>
      <w:r w:rsidR="00C77A34" w:rsidRPr="00E454D1">
        <w:rPr>
          <w:lang w:val="fr-CH"/>
        </w:rPr>
        <w:t>Le</w:t>
      </w:r>
      <w:r w:rsidR="002F2D47" w:rsidRPr="00E454D1">
        <w:rPr>
          <w:lang w:val="fr-CH"/>
        </w:rPr>
        <w:t> TWO</w:t>
      </w:r>
      <w:r w:rsidR="002606F9" w:rsidRPr="00E454D1">
        <w:rPr>
          <w:lang w:val="fr-CH"/>
        </w:rPr>
        <w:t xml:space="preserve"> et</w:t>
      </w:r>
      <w:r w:rsidR="002F2D47" w:rsidRPr="00E454D1">
        <w:rPr>
          <w:lang w:val="fr-CH"/>
        </w:rPr>
        <w:t xml:space="preserve"> le TWV</w:t>
      </w:r>
      <w:r w:rsidR="002606F9" w:rsidRPr="00E454D1">
        <w:rPr>
          <w:lang w:val="fr-CH"/>
        </w:rPr>
        <w:t xml:space="preserve"> ont approuvé la proposition </w:t>
      </w:r>
      <w:r w:rsidR="00003A6E" w:rsidRPr="00E454D1">
        <w:rPr>
          <w:lang w:val="fr-CH"/>
        </w:rPr>
        <w:t xml:space="preserve">relative à la présentation de </w:t>
      </w:r>
      <w:r w:rsidR="002606F9" w:rsidRPr="00E454D1">
        <w:rPr>
          <w:lang w:val="fr-CH"/>
        </w:rPr>
        <w:t>tous les niveaux d</w:t>
      </w:r>
      <w:r w:rsidR="00E454D1">
        <w:rPr>
          <w:lang w:val="fr-CH"/>
        </w:rPr>
        <w:t>’</w:t>
      </w:r>
      <w:r w:rsidR="002606F9" w:rsidRPr="00E454D1">
        <w:rPr>
          <w:lang w:val="fr-CH"/>
        </w:rPr>
        <w:t>expression des caractères quantitatifs dans les principes directeurs d</w:t>
      </w:r>
      <w:r w:rsidR="00E454D1">
        <w:rPr>
          <w:lang w:val="fr-CH"/>
        </w:rPr>
        <w:t>’</w:t>
      </w:r>
      <w:r w:rsidR="002606F9" w:rsidRPr="00E454D1">
        <w:rPr>
          <w:lang w:val="fr-CH"/>
        </w:rPr>
        <w:t>examen et ils sont convenus que cela ne modifierait pas le nombre minimal d</w:t>
      </w:r>
      <w:r w:rsidR="00E454D1">
        <w:rPr>
          <w:lang w:val="fr-CH"/>
        </w:rPr>
        <w:t>’</w:t>
      </w:r>
      <w:r w:rsidR="002606F9" w:rsidRPr="00E454D1">
        <w:rPr>
          <w:lang w:val="fr-CH"/>
        </w:rPr>
        <w:t xml:space="preserve">exemples requis dans le </w:t>
      </w:r>
      <w:r w:rsidR="002F2D47" w:rsidRPr="00E454D1">
        <w:rPr>
          <w:lang w:val="fr-CH"/>
        </w:rPr>
        <w:t>document TG</w:t>
      </w:r>
      <w:r w:rsidR="002606F9" w:rsidRPr="00E454D1">
        <w:rPr>
          <w:lang w:val="fr-CH"/>
        </w:rPr>
        <w:t>P/7.</w:t>
      </w:r>
    </w:p>
    <w:p w:rsidR="00D75FE9" w:rsidRPr="00E454D1" w:rsidRDefault="00D75FE9" w:rsidP="00016165">
      <w:pPr>
        <w:rPr>
          <w:lang w:val="fr-CH"/>
        </w:rPr>
      </w:pPr>
    </w:p>
    <w:p w:rsidR="00D75FE9" w:rsidRPr="00E454D1" w:rsidRDefault="00016165" w:rsidP="002606F9">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2606F9" w:rsidRPr="00E454D1">
        <w:rPr>
          <w:lang w:val="fr-CH"/>
        </w:rPr>
        <w:t xml:space="preserve">Le TWF a accueilli avec satisfaction la proposition </w:t>
      </w:r>
      <w:r w:rsidR="00003A6E" w:rsidRPr="00E454D1">
        <w:rPr>
          <w:lang w:val="fr-CH"/>
        </w:rPr>
        <w:t xml:space="preserve">relative à la présentation de </w:t>
      </w:r>
      <w:r w:rsidR="002606F9" w:rsidRPr="00E454D1">
        <w:rPr>
          <w:lang w:val="fr-CH"/>
        </w:rPr>
        <w:t>l</w:t>
      </w:r>
      <w:r w:rsidR="00E454D1">
        <w:rPr>
          <w:lang w:val="fr-CH"/>
        </w:rPr>
        <w:t>’</w:t>
      </w:r>
      <w:r w:rsidR="002606F9" w:rsidRPr="00E454D1">
        <w:rPr>
          <w:lang w:val="fr-CH"/>
        </w:rPr>
        <w:t>échelle complète des notes pour les caractères QN dans les principes directeurs d</w:t>
      </w:r>
      <w:r w:rsidR="00E454D1">
        <w:rPr>
          <w:lang w:val="fr-CH"/>
        </w:rPr>
        <w:t>’</w:t>
      </w:r>
      <w:r w:rsidR="002606F9" w:rsidRPr="00E454D1">
        <w:rPr>
          <w:lang w:val="fr-CH"/>
        </w:rPr>
        <w:t>examen car elle permettrait aux examinateurs DHS d</w:t>
      </w:r>
      <w:r w:rsidR="00E454D1">
        <w:rPr>
          <w:lang w:val="fr-CH"/>
        </w:rPr>
        <w:t>’</w:t>
      </w:r>
      <w:r w:rsidR="002606F9" w:rsidRPr="00E454D1">
        <w:rPr>
          <w:lang w:val="fr-CH"/>
        </w:rPr>
        <w:t>y voir plus clair, notamment en cas d</w:t>
      </w:r>
      <w:r w:rsidR="00E454D1">
        <w:rPr>
          <w:lang w:val="fr-CH"/>
        </w:rPr>
        <w:t>’</w:t>
      </w:r>
      <w:r w:rsidR="002606F9" w:rsidRPr="00E454D1">
        <w:rPr>
          <w:lang w:val="fr-CH"/>
        </w:rPr>
        <w:t>essais se déroulant sur l</w:t>
      </w:r>
      <w:r w:rsidR="00E454D1">
        <w:rPr>
          <w:lang w:val="fr-CH"/>
        </w:rPr>
        <w:t>’</w:t>
      </w:r>
      <w:r w:rsidR="002606F9" w:rsidRPr="00E454D1">
        <w:rPr>
          <w:lang w:val="fr-CH"/>
        </w:rPr>
        <w:t>exploitation de l</w:t>
      </w:r>
      <w:r w:rsidR="00E454D1">
        <w:rPr>
          <w:lang w:val="fr-CH"/>
        </w:rPr>
        <w:t>’</w:t>
      </w:r>
      <w:r w:rsidR="002606F9" w:rsidRPr="00E454D1">
        <w:rPr>
          <w:lang w:val="fr-CH"/>
        </w:rPr>
        <w:t>obtente</w:t>
      </w:r>
      <w:r w:rsidR="00C77A34" w:rsidRPr="00E454D1">
        <w:rPr>
          <w:lang w:val="fr-CH"/>
        </w:rPr>
        <w:t>ur</w:t>
      </w:r>
      <w:r w:rsidR="00C77A34">
        <w:rPr>
          <w:lang w:val="fr-CH"/>
        </w:rPr>
        <w:t xml:space="preserve">.  </w:t>
      </w:r>
      <w:r w:rsidR="00C77A34" w:rsidRPr="00E454D1">
        <w:rPr>
          <w:lang w:val="fr-CH"/>
        </w:rPr>
        <w:t>Il</w:t>
      </w:r>
      <w:r w:rsidR="002606F9" w:rsidRPr="00E454D1">
        <w:rPr>
          <w:lang w:val="fr-CH"/>
        </w:rPr>
        <w:t xml:space="preserve"> est également convenu que cela améliorerait la qualité des données fournies.</w:t>
      </w:r>
    </w:p>
    <w:p w:rsidR="00D75FE9" w:rsidRPr="00E454D1" w:rsidRDefault="00D75FE9" w:rsidP="00016165">
      <w:pPr>
        <w:rPr>
          <w:lang w:val="fr-CH"/>
        </w:rPr>
      </w:pPr>
    </w:p>
    <w:p w:rsidR="002F2D47" w:rsidRPr="00E454D1" w:rsidRDefault="00016165" w:rsidP="00A520CC">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A520CC" w:rsidRPr="00E454D1">
        <w:rPr>
          <w:lang w:val="fr-CH"/>
        </w:rPr>
        <w:t xml:space="preserve">Le TWA a examiné la proposition de révision du </w:t>
      </w:r>
      <w:r w:rsidR="002F2D47" w:rsidRPr="00E454D1">
        <w:rPr>
          <w:lang w:val="fr-CH"/>
        </w:rPr>
        <w:t>document TG</w:t>
      </w:r>
      <w:r w:rsidR="00A520CC" w:rsidRPr="00E454D1">
        <w:rPr>
          <w:lang w:val="fr-CH"/>
        </w:rPr>
        <w:t xml:space="preserve">P/7 </w:t>
      </w:r>
      <w:r w:rsidR="00645E4E" w:rsidRPr="00E454D1">
        <w:rPr>
          <w:lang w:val="fr-CH"/>
        </w:rPr>
        <w:t>afin d</w:t>
      </w:r>
      <w:r w:rsidR="00E454D1">
        <w:rPr>
          <w:lang w:val="fr-CH"/>
        </w:rPr>
        <w:t>’</w:t>
      </w:r>
      <w:r w:rsidR="00A520CC" w:rsidRPr="00E454D1">
        <w:rPr>
          <w:lang w:val="fr-CH"/>
        </w:rPr>
        <w:t>indiquer tous les niveaux d</w:t>
      </w:r>
      <w:r w:rsidR="00E454D1">
        <w:rPr>
          <w:lang w:val="fr-CH"/>
        </w:rPr>
        <w:t>’</w:t>
      </w:r>
      <w:r w:rsidR="00A520CC" w:rsidRPr="00E454D1">
        <w:rPr>
          <w:lang w:val="fr-CH"/>
        </w:rPr>
        <w:t xml:space="preserve">expression </w:t>
      </w:r>
      <w:r w:rsidR="00645E4E" w:rsidRPr="00E454D1">
        <w:rPr>
          <w:lang w:val="fr-CH"/>
        </w:rPr>
        <w:t xml:space="preserve">pour les </w:t>
      </w:r>
      <w:r w:rsidR="00A520CC" w:rsidRPr="00E454D1">
        <w:rPr>
          <w:lang w:val="fr-CH"/>
        </w:rPr>
        <w:t>caractères quantitatifs figurant dans les principes directeurs d</w:t>
      </w:r>
      <w:r w:rsidR="00E454D1">
        <w:rPr>
          <w:lang w:val="fr-CH"/>
        </w:rPr>
        <w:t>’</w:t>
      </w:r>
      <w:r w:rsidR="00A520CC" w:rsidRPr="00E454D1">
        <w:rPr>
          <w:lang w:val="fr-CH"/>
        </w:rPr>
        <w:t>examen et il est convenu qu</w:t>
      </w:r>
      <w:r w:rsidR="00E454D1">
        <w:rPr>
          <w:lang w:val="fr-CH"/>
        </w:rPr>
        <w:t>’</w:t>
      </w:r>
      <w:r w:rsidR="00A520CC" w:rsidRPr="00E454D1">
        <w:rPr>
          <w:lang w:val="fr-CH"/>
        </w:rPr>
        <w:t>il ne serait pas possible de parvenir à une conclusion sur cette question à ce stade.</w:t>
      </w:r>
    </w:p>
    <w:p w:rsidR="00D75FE9" w:rsidRPr="00E454D1" w:rsidRDefault="00D75FE9" w:rsidP="00016165">
      <w:pPr>
        <w:rPr>
          <w:lang w:val="fr-CH"/>
        </w:rPr>
      </w:pPr>
    </w:p>
    <w:p w:rsidR="002F2D47" w:rsidRPr="00E454D1" w:rsidRDefault="00016165" w:rsidP="00F328CF">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A520CC" w:rsidRPr="00E454D1">
        <w:rPr>
          <w:lang w:val="fr-CH"/>
        </w:rPr>
        <w:t xml:space="preserve">Le TWA a noté que </w:t>
      </w:r>
      <w:r w:rsidR="00645E4E" w:rsidRPr="00E454D1">
        <w:rPr>
          <w:lang w:val="fr-CH"/>
        </w:rPr>
        <w:t>la présentation de</w:t>
      </w:r>
      <w:r w:rsidR="00A520CC" w:rsidRPr="00E454D1">
        <w:rPr>
          <w:lang w:val="fr-CH"/>
        </w:rPr>
        <w:t xml:space="preserve"> tous les niveaux d</w:t>
      </w:r>
      <w:r w:rsidR="00E454D1">
        <w:rPr>
          <w:lang w:val="fr-CH"/>
        </w:rPr>
        <w:t>’</w:t>
      </w:r>
      <w:r w:rsidR="00A520CC" w:rsidRPr="00E454D1">
        <w:rPr>
          <w:lang w:val="fr-CH"/>
        </w:rPr>
        <w:t>expression dans les principes directeurs d</w:t>
      </w:r>
      <w:r w:rsidR="00E454D1">
        <w:rPr>
          <w:lang w:val="fr-CH"/>
        </w:rPr>
        <w:t>’</w:t>
      </w:r>
      <w:r w:rsidR="00A520CC" w:rsidRPr="00E454D1">
        <w:rPr>
          <w:lang w:val="fr-CH"/>
        </w:rPr>
        <w:t>examen pou</w:t>
      </w:r>
      <w:r w:rsidR="00645E4E" w:rsidRPr="00E454D1">
        <w:rPr>
          <w:lang w:val="fr-CH"/>
        </w:rPr>
        <w:t>v</w:t>
      </w:r>
      <w:r w:rsidR="00A520CC" w:rsidRPr="00E454D1">
        <w:rPr>
          <w:lang w:val="fr-CH"/>
        </w:rPr>
        <w:t>ait être utile pour les examinateurs DHS moins expérimentés et les autres utilisateurs des principes directeurs d</w:t>
      </w:r>
      <w:r w:rsidR="00E454D1">
        <w:rPr>
          <w:lang w:val="fr-CH"/>
        </w:rPr>
        <w:t>’</w:t>
      </w:r>
      <w:r w:rsidR="00A520CC" w:rsidRPr="00E454D1">
        <w:rPr>
          <w:lang w:val="fr-CH"/>
        </w:rPr>
        <w:t>examen, comme les obtenteu</w:t>
      </w:r>
      <w:r w:rsidR="00C77A34" w:rsidRPr="00E454D1">
        <w:rPr>
          <w:lang w:val="fr-CH"/>
        </w:rPr>
        <w:t>rs</w:t>
      </w:r>
      <w:r w:rsidR="00C77A34">
        <w:rPr>
          <w:lang w:val="fr-CH"/>
        </w:rPr>
        <w:t xml:space="preserve">.  </w:t>
      </w:r>
      <w:r w:rsidR="00C77A34" w:rsidRPr="00E454D1">
        <w:rPr>
          <w:lang w:val="fr-CH"/>
        </w:rPr>
        <w:t>Le</w:t>
      </w:r>
      <w:r w:rsidR="002F2D47" w:rsidRPr="00E454D1">
        <w:rPr>
          <w:lang w:val="fr-CH"/>
        </w:rPr>
        <w:t> TWA</w:t>
      </w:r>
      <w:r w:rsidR="00F328CF" w:rsidRPr="00E454D1">
        <w:rPr>
          <w:lang w:val="fr-CH"/>
        </w:rPr>
        <w:t xml:space="preserve"> a également noté que la présentation de tous les niveaux d</w:t>
      </w:r>
      <w:r w:rsidR="00E454D1">
        <w:rPr>
          <w:lang w:val="fr-CH"/>
        </w:rPr>
        <w:t>’</w:t>
      </w:r>
      <w:r w:rsidR="00F328CF" w:rsidRPr="00E454D1">
        <w:rPr>
          <w:lang w:val="fr-CH"/>
        </w:rPr>
        <w:t>expression était importante pour les systèmes de demande en ligne, notamment les systèmes nationaux de demande en ligne et UPOV PRISMA.</w:t>
      </w:r>
    </w:p>
    <w:p w:rsidR="00D75FE9" w:rsidRPr="00E454D1" w:rsidRDefault="00D75FE9" w:rsidP="00016165">
      <w:pPr>
        <w:rPr>
          <w:lang w:val="fr-CH"/>
        </w:rPr>
      </w:pPr>
    </w:p>
    <w:p w:rsidR="00D75FE9" w:rsidRPr="00E454D1" w:rsidRDefault="00016165" w:rsidP="00F328CF">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F328CF" w:rsidRPr="00E454D1">
        <w:rPr>
          <w:lang w:val="fr-CH"/>
        </w:rPr>
        <w:t>Le TWA a pris note de l</w:t>
      </w:r>
      <w:r w:rsidR="00E454D1">
        <w:rPr>
          <w:lang w:val="fr-CH"/>
        </w:rPr>
        <w:t>’</w:t>
      </w:r>
      <w:r w:rsidR="00F328CF" w:rsidRPr="00E454D1">
        <w:rPr>
          <w:lang w:val="fr-CH"/>
        </w:rPr>
        <w:t>explication standard dans les principes directeurs d</w:t>
      </w:r>
      <w:r w:rsidR="00E454D1">
        <w:rPr>
          <w:lang w:val="fr-CH"/>
        </w:rPr>
        <w:t>’</w:t>
      </w:r>
      <w:r w:rsidR="00F328CF" w:rsidRPr="00E454D1">
        <w:rPr>
          <w:lang w:val="fr-CH"/>
        </w:rPr>
        <w:t>examen selon laquelle, dans le cas de caractères quantitatifs ayant cinq</w:t>
      </w:r>
      <w:r w:rsidR="00124C91" w:rsidRPr="00E454D1">
        <w:rPr>
          <w:lang w:val="fr-CH"/>
        </w:rPr>
        <w:t> </w:t>
      </w:r>
      <w:r w:rsidR="00F328CF" w:rsidRPr="00E454D1">
        <w:rPr>
          <w:lang w:val="fr-CH"/>
        </w:rPr>
        <w:t>niveaux ou davantage, une échelle abrégée pouvait être utilisée, bien qu</w:t>
      </w:r>
      <w:r w:rsidR="00E454D1">
        <w:rPr>
          <w:lang w:val="fr-CH"/>
        </w:rPr>
        <w:t>’</w:t>
      </w:r>
      <w:r w:rsidR="00943CC5" w:rsidRPr="00E454D1">
        <w:rPr>
          <w:lang w:val="fr-CH"/>
        </w:rPr>
        <w:t>i</w:t>
      </w:r>
      <w:r w:rsidR="00F328CF" w:rsidRPr="00E454D1">
        <w:rPr>
          <w:lang w:val="fr-CH"/>
        </w:rPr>
        <w:t>l existe d</w:t>
      </w:r>
      <w:r w:rsidR="00E454D1">
        <w:rPr>
          <w:lang w:val="fr-CH"/>
        </w:rPr>
        <w:t>’</w:t>
      </w:r>
      <w:r w:rsidR="00F328CF" w:rsidRPr="00E454D1">
        <w:rPr>
          <w:lang w:val="fr-CH"/>
        </w:rPr>
        <w:t>autres niveaux d</w:t>
      </w:r>
      <w:r w:rsidR="00E454D1">
        <w:rPr>
          <w:lang w:val="fr-CH"/>
        </w:rPr>
        <w:t>’</w:t>
      </w:r>
      <w:r w:rsidR="00F328CF" w:rsidRPr="00E454D1">
        <w:rPr>
          <w:lang w:val="fr-CH"/>
        </w:rPr>
        <w:t>expression pour décrire les variétés qui doivent être utilisés de manière appropri</w:t>
      </w:r>
      <w:r w:rsidR="00C77A34" w:rsidRPr="00E454D1">
        <w:rPr>
          <w:lang w:val="fr-CH"/>
        </w:rPr>
        <w:t>ée</w:t>
      </w:r>
      <w:r w:rsidR="00C77A34">
        <w:rPr>
          <w:lang w:val="fr-CH"/>
        </w:rPr>
        <w:t xml:space="preserve">.  </w:t>
      </w:r>
      <w:r w:rsidR="00C77A34" w:rsidRPr="00E454D1">
        <w:rPr>
          <w:lang w:val="fr-CH"/>
        </w:rPr>
        <w:t>Le</w:t>
      </w:r>
      <w:r w:rsidR="002F2D47" w:rsidRPr="00E454D1">
        <w:rPr>
          <w:lang w:val="fr-CH"/>
        </w:rPr>
        <w:t> TWA</w:t>
      </w:r>
      <w:r w:rsidR="00F328CF" w:rsidRPr="00E454D1">
        <w:rPr>
          <w:lang w:val="fr-CH"/>
        </w:rPr>
        <w:t xml:space="preserve"> a noté que la présentation de tous les niveaux d</w:t>
      </w:r>
      <w:r w:rsidR="00E454D1">
        <w:rPr>
          <w:lang w:val="fr-CH"/>
        </w:rPr>
        <w:t>’</w:t>
      </w:r>
      <w:r w:rsidR="00F328CF" w:rsidRPr="00E454D1">
        <w:rPr>
          <w:lang w:val="fr-CH"/>
        </w:rPr>
        <w:t>expression pourrait augmenter la longueur des principes directeurs d</w:t>
      </w:r>
      <w:r w:rsidR="00E454D1">
        <w:rPr>
          <w:lang w:val="fr-CH"/>
        </w:rPr>
        <w:t>’</w:t>
      </w:r>
      <w:r w:rsidR="00F328CF" w:rsidRPr="00E454D1">
        <w:rPr>
          <w:lang w:val="fr-CH"/>
        </w:rPr>
        <w:t>examen et rendre le document moins pratique à utiliser sur le terrain par des examinateurs expérimentés.</w:t>
      </w:r>
    </w:p>
    <w:p w:rsidR="00D75FE9" w:rsidRPr="00E454D1" w:rsidRDefault="00D75FE9" w:rsidP="00016165">
      <w:pPr>
        <w:rPr>
          <w:lang w:val="fr-CH"/>
        </w:rPr>
      </w:pPr>
    </w:p>
    <w:p w:rsidR="00D75FE9" w:rsidRPr="00E454D1" w:rsidRDefault="00016165" w:rsidP="00F328CF">
      <w:pPr>
        <w:rPr>
          <w:rFonts w:cs="Arial"/>
          <w:lang w:val="fr-CH"/>
        </w:rPr>
      </w:pPr>
      <w:r w:rsidRPr="00E454D1">
        <w:rPr>
          <w:rFonts w:cs="Arial"/>
          <w:lang w:val="fr-CH"/>
        </w:rPr>
        <w:fldChar w:fldCharType="begin"/>
      </w:r>
      <w:r w:rsidRPr="00E454D1">
        <w:rPr>
          <w:rFonts w:cs="Arial"/>
          <w:lang w:val="fr-CH"/>
        </w:rPr>
        <w:instrText xml:space="preserve"> AUTONUM  </w:instrText>
      </w:r>
      <w:r w:rsidRPr="00E454D1">
        <w:rPr>
          <w:rFonts w:cs="Arial"/>
          <w:lang w:val="fr-CH"/>
        </w:rPr>
        <w:fldChar w:fldCharType="end"/>
      </w:r>
      <w:r w:rsidRPr="00E454D1">
        <w:rPr>
          <w:rFonts w:cs="Arial"/>
          <w:lang w:val="fr-CH"/>
        </w:rPr>
        <w:tab/>
      </w:r>
      <w:r w:rsidR="00F328CF" w:rsidRPr="00E454D1">
        <w:rPr>
          <w:rFonts w:cs="Arial"/>
          <w:lang w:val="fr-CH"/>
        </w:rPr>
        <w:t>Les observations formulées par</w:t>
      </w:r>
      <w:r w:rsidR="002F2D47" w:rsidRPr="00E454D1">
        <w:rPr>
          <w:rFonts w:cs="Arial"/>
          <w:lang w:val="fr-CH"/>
        </w:rPr>
        <w:t xml:space="preserve"> le TWC</w:t>
      </w:r>
      <w:r w:rsidR="00F328CF" w:rsidRPr="00E454D1">
        <w:rPr>
          <w:rFonts w:cs="Arial"/>
          <w:lang w:val="fr-CH"/>
        </w:rPr>
        <w:t xml:space="preserve"> à sa trente</w:t>
      </w:r>
      <w:r w:rsidR="00E454D1">
        <w:rPr>
          <w:rFonts w:cs="Arial"/>
          <w:lang w:val="fr-CH"/>
        </w:rPr>
        <w:t>-</w:t>
      </w:r>
      <w:r w:rsidR="00F328CF" w:rsidRPr="00E454D1">
        <w:rPr>
          <w:rFonts w:cs="Arial"/>
          <w:lang w:val="fr-CH"/>
        </w:rPr>
        <w:t>sept</w:t>
      </w:r>
      <w:r w:rsidR="00E454D1">
        <w:rPr>
          <w:rFonts w:cs="Arial"/>
          <w:lang w:val="fr-CH"/>
        </w:rPr>
        <w:t>ième session</w:t>
      </w:r>
      <w:r w:rsidR="00F328CF" w:rsidRPr="00E454D1">
        <w:rPr>
          <w:rFonts w:cs="Arial"/>
          <w:lang w:val="fr-CH"/>
        </w:rPr>
        <w:t xml:space="preserve"> prévue à Hangzhou (Chine) du 14 au 16</w:t>
      </w:r>
      <w:r w:rsidR="00090D74" w:rsidRPr="00E454D1">
        <w:rPr>
          <w:rFonts w:cs="Arial"/>
          <w:lang w:val="fr-CH"/>
        </w:rPr>
        <w:t> </w:t>
      </w:r>
      <w:r w:rsidR="00F328CF" w:rsidRPr="00E454D1">
        <w:rPr>
          <w:rFonts w:cs="Arial"/>
          <w:lang w:val="fr-CH"/>
        </w:rPr>
        <w:t>octobre</w:t>
      </w:r>
      <w:r w:rsidR="00090D74" w:rsidRPr="00E454D1">
        <w:rPr>
          <w:rFonts w:cs="Arial"/>
          <w:lang w:val="fr-CH"/>
        </w:rPr>
        <w:t> </w:t>
      </w:r>
      <w:r w:rsidR="00F328CF" w:rsidRPr="00E454D1">
        <w:rPr>
          <w:rFonts w:cs="Arial"/>
          <w:lang w:val="fr-CH"/>
        </w:rPr>
        <w:t>2019 seront présentées dans un additif au présent document.</w:t>
      </w:r>
    </w:p>
    <w:p w:rsidR="00D75FE9" w:rsidRPr="00E454D1" w:rsidRDefault="00D75FE9" w:rsidP="009956BC">
      <w:pPr>
        <w:tabs>
          <w:tab w:val="left" w:pos="5387"/>
        </w:tabs>
        <w:ind w:left="4820"/>
        <w:rPr>
          <w:i/>
          <w:lang w:val="fr-CH"/>
        </w:rPr>
      </w:pPr>
    </w:p>
    <w:p w:rsidR="002F2D47" w:rsidRPr="00E454D1" w:rsidRDefault="009956BC" w:rsidP="00F328CF">
      <w:pPr>
        <w:tabs>
          <w:tab w:val="left" w:pos="5387"/>
        </w:tabs>
        <w:ind w:left="4820"/>
        <w:rPr>
          <w:i/>
          <w:lang w:val="fr-CH"/>
        </w:rPr>
      </w:pPr>
      <w:r w:rsidRPr="00E454D1">
        <w:rPr>
          <w:i/>
          <w:lang w:val="fr-CH"/>
        </w:rPr>
        <w:fldChar w:fldCharType="begin"/>
      </w:r>
      <w:r w:rsidRPr="00E454D1">
        <w:rPr>
          <w:i/>
          <w:lang w:val="fr-CH"/>
        </w:rPr>
        <w:instrText xml:space="preserve"> AUTONUM  </w:instrText>
      </w:r>
      <w:r w:rsidRPr="00E454D1">
        <w:rPr>
          <w:i/>
          <w:lang w:val="fr-CH"/>
        </w:rPr>
        <w:fldChar w:fldCharType="end"/>
      </w:r>
      <w:r w:rsidRPr="00E454D1">
        <w:rPr>
          <w:i/>
          <w:lang w:val="fr-CH"/>
        </w:rPr>
        <w:tab/>
      </w:r>
      <w:r w:rsidR="00F328CF" w:rsidRPr="00E454D1">
        <w:rPr>
          <w:i/>
          <w:lang w:val="fr-CH"/>
        </w:rPr>
        <w:t>Le</w:t>
      </w:r>
      <w:r w:rsidR="00E454D1">
        <w:rPr>
          <w:i/>
          <w:lang w:val="fr-CH"/>
        </w:rPr>
        <w:t> TC</w:t>
      </w:r>
      <w:r w:rsidR="00F328CF" w:rsidRPr="00E454D1">
        <w:rPr>
          <w:i/>
          <w:lang w:val="fr-CH"/>
        </w:rPr>
        <w:t xml:space="preserve"> est invité à examiner la proposition de révision du document TGP/7 relative à la présentation de tous les niveaux d</w:t>
      </w:r>
      <w:r w:rsidR="00E454D1">
        <w:rPr>
          <w:i/>
          <w:lang w:val="fr-CH"/>
        </w:rPr>
        <w:t>’</w:t>
      </w:r>
      <w:r w:rsidR="00F328CF" w:rsidRPr="00E454D1">
        <w:rPr>
          <w:i/>
          <w:lang w:val="fr-CH"/>
        </w:rPr>
        <w:t xml:space="preserve">expression </w:t>
      </w:r>
      <w:r w:rsidR="00645E4E" w:rsidRPr="00E454D1">
        <w:rPr>
          <w:i/>
          <w:lang w:val="fr-CH"/>
        </w:rPr>
        <w:t>pour les</w:t>
      </w:r>
      <w:r w:rsidR="00F328CF" w:rsidRPr="00E454D1">
        <w:rPr>
          <w:i/>
          <w:lang w:val="fr-CH"/>
        </w:rPr>
        <w:t xml:space="preserve"> caractères quantitatifs </w:t>
      </w:r>
      <w:r w:rsidR="00645E4E" w:rsidRPr="00E454D1">
        <w:rPr>
          <w:i/>
          <w:lang w:val="fr-CH"/>
        </w:rPr>
        <w:t xml:space="preserve">figurant </w:t>
      </w:r>
      <w:r w:rsidR="00F328CF" w:rsidRPr="00E454D1">
        <w:rPr>
          <w:i/>
          <w:lang w:val="fr-CH"/>
        </w:rPr>
        <w:t>dans les principes directeurs d</w:t>
      </w:r>
      <w:r w:rsidR="00E454D1">
        <w:rPr>
          <w:i/>
          <w:lang w:val="fr-CH"/>
        </w:rPr>
        <w:t>’</w:t>
      </w:r>
      <w:r w:rsidR="00F328CF" w:rsidRPr="00E454D1">
        <w:rPr>
          <w:i/>
          <w:lang w:val="fr-CH"/>
        </w:rPr>
        <w:t>examen, compte tenu des observations formulées par</w:t>
      </w:r>
      <w:r w:rsidR="002F2D47" w:rsidRPr="00E454D1">
        <w:rPr>
          <w:i/>
          <w:lang w:val="fr-CH"/>
        </w:rPr>
        <w:t xml:space="preserve"> les TWP</w:t>
      </w:r>
      <w:r w:rsidR="00F328CF" w:rsidRPr="00E454D1">
        <w:rPr>
          <w:i/>
          <w:lang w:val="fr-CH"/>
        </w:rPr>
        <w:t xml:space="preserve"> à leurs sessions </w:t>
      </w:r>
      <w:r w:rsidR="002F2D47" w:rsidRPr="00E454D1">
        <w:rPr>
          <w:i/>
          <w:lang w:val="fr-CH"/>
        </w:rPr>
        <w:t>de 2019</w:t>
      </w:r>
      <w:r w:rsidR="00F328CF" w:rsidRPr="00E454D1">
        <w:rPr>
          <w:i/>
          <w:lang w:val="fr-CH"/>
        </w:rPr>
        <w:t xml:space="preserve">, comme indiqué aux </w:t>
      </w:r>
      <w:r w:rsidR="00F328CF" w:rsidRPr="000B0444">
        <w:rPr>
          <w:i/>
          <w:lang w:val="fr-CH"/>
        </w:rPr>
        <w:t>paragraphes</w:t>
      </w:r>
      <w:r w:rsidR="00FE5010" w:rsidRPr="000B0444">
        <w:rPr>
          <w:i/>
          <w:lang w:val="fr-CH"/>
        </w:rPr>
        <w:t> </w:t>
      </w:r>
      <w:r w:rsidR="00F328CF" w:rsidRPr="000B0444">
        <w:rPr>
          <w:i/>
          <w:lang w:val="fr-CH"/>
        </w:rPr>
        <w:t>53 à 60.</w:t>
      </w:r>
    </w:p>
    <w:p w:rsidR="00D75FE9" w:rsidRPr="00E454D1" w:rsidRDefault="00D75FE9" w:rsidP="009956BC">
      <w:pPr>
        <w:rPr>
          <w:lang w:val="fr-CH"/>
        </w:rPr>
      </w:pPr>
    </w:p>
    <w:p w:rsidR="00D75FE9" w:rsidRPr="00E454D1" w:rsidRDefault="001F3898" w:rsidP="001F3898">
      <w:pPr>
        <w:keepNext/>
        <w:outlineLvl w:val="1"/>
        <w:rPr>
          <w:snapToGrid w:val="0"/>
          <w:u w:val="single"/>
          <w:lang w:val="fr-CH"/>
        </w:rPr>
      </w:pPr>
      <w:bookmarkStart w:id="43" w:name="_Toc22035931"/>
      <w:r w:rsidRPr="00E454D1">
        <w:rPr>
          <w:snapToGrid w:val="0"/>
          <w:u w:val="single"/>
          <w:lang w:val="fr-CH"/>
        </w:rPr>
        <w:t>TGP/12</w:t>
      </w:r>
      <w:r w:rsidR="00E454D1">
        <w:rPr>
          <w:snapToGrid w:val="0"/>
          <w:u w:val="single"/>
          <w:lang w:val="fr-CH"/>
        </w:rPr>
        <w:t> :</w:t>
      </w:r>
      <w:r w:rsidRPr="00E454D1">
        <w:rPr>
          <w:snapToGrid w:val="0"/>
          <w:u w:val="single"/>
          <w:lang w:val="fr-CH"/>
        </w:rPr>
        <w:t xml:space="preserve"> Conseils en ce qui concerne certains caractères physiologiques</w:t>
      </w:r>
      <w:bookmarkEnd w:id="43"/>
    </w:p>
    <w:p w:rsidR="00D75FE9" w:rsidRPr="00E454D1" w:rsidRDefault="00D75FE9" w:rsidP="009956BC">
      <w:pPr>
        <w:rPr>
          <w:rFonts w:cs="Arial"/>
          <w:bCs/>
          <w:snapToGrid w:val="0"/>
          <w:lang w:val="fr-CH"/>
        </w:rPr>
      </w:pPr>
    </w:p>
    <w:p w:rsidR="00D75FE9" w:rsidRPr="00E454D1" w:rsidRDefault="001F3898" w:rsidP="001F3898">
      <w:pPr>
        <w:keepNext/>
        <w:outlineLvl w:val="2"/>
        <w:rPr>
          <w:rFonts w:eastAsia="MS Mincho"/>
          <w:i/>
          <w:lang w:val="fr-CH"/>
        </w:rPr>
      </w:pPr>
      <w:bookmarkStart w:id="44" w:name="_Toc22035932"/>
      <w:r w:rsidRPr="00E454D1">
        <w:rPr>
          <w:rFonts w:eastAsia="MS Mincho"/>
          <w:i/>
          <w:lang w:val="fr-CH"/>
        </w:rPr>
        <w:t>Explications sur les caractères de résistance aux maladies</w:t>
      </w:r>
      <w:bookmarkEnd w:id="44"/>
    </w:p>
    <w:p w:rsidR="00D75FE9" w:rsidRPr="00E454D1" w:rsidRDefault="00D75FE9" w:rsidP="009956BC">
      <w:pPr>
        <w:rPr>
          <w:lang w:val="fr-CH"/>
        </w:rPr>
      </w:pPr>
    </w:p>
    <w:p w:rsidR="002F2D47" w:rsidRPr="00E454D1" w:rsidRDefault="009956BC" w:rsidP="009D0DF4">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9D0DF4" w:rsidRPr="00E454D1">
        <w:rPr>
          <w:lang w:val="fr-CH"/>
        </w:rPr>
        <w:t>À sa cinquante</w:t>
      </w:r>
      <w:r w:rsidR="00E454D1">
        <w:rPr>
          <w:lang w:val="fr-CH"/>
        </w:rPr>
        <w:t>-</w:t>
      </w:r>
      <w:r w:rsidR="009D0DF4" w:rsidRPr="00E454D1">
        <w:rPr>
          <w:lang w:val="fr-CH"/>
        </w:rPr>
        <w:t>quatr</w:t>
      </w:r>
      <w:r w:rsidR="00E454D1">
        <w:rPr>
          <w:lang w:val="fr-CH"/>
        </w:rPr>
        <w:t>ième session</w:t>
      </w:r>
      <w:r w:rsidR="009D0DF4" w:rsidRPr="00E454D1">
        <w:rPr>
          <w:lang w:val="fr-CH"/>
        </w:rPr>
        <w:t>, le</w:t>
      </w:r>
      <w:r w:rsidR="00E454D1">
        <w:rPr>
          <w:lang w:val="fr-CH"/>
        </w:rPr>
        <w:t> TC</w:t>
      </w:r>
      <w:r w:rsidR="009D0DF4" w:rsidRPr="00E454D1">
        <w:rPr>
          <w:lang w:val="fr-CH"/>
        </w:rPr>
        <w:t xml:space="preserve"> a examiné s</w:t>
      </w:r>
      <w:r w:rsidR="00E454D1">
        <w:rPr>
          <w:lang w:val="fr-CH"/>
        </w:rPr>
        <w:t>’</w:t>
      </w:r>
      <w:r w:rsidR="009D0DF4" w:rsidRPr="00E454D1">
        <w:rPr>
          <w:lang w:val="fr-CH"/>
        </w:rPr>
        <w:t>il convenait d</w:t>
      </w:r>
      <w:r w:rsidR="00E454D1">
        <w:rPr>
          <w:lang w:val="fr-CH"/>
        </w:rPr>
        <w:t>’</w:t>
      </w:r>
      <w:r w:rsidR="009D0DF4" w:rsidRPr="00E454D1">
        <w:rPr>
          <w:lang w:val="fr-CH"/>
        </w:rPr>
        <w:t>inviter</w:t>
      </w:r>
      <w:r w:rsidR="002F2D47" w:rsidRPr="00E454D1">
        <w:rPr>
          <w:lang w:val="fr-CH"/>
        </w:rPr>
        <w:t xml:space="preserve"> les TWP</w:t>
      </w:r>
      <w:r w:rsidR="009D0DF4" w:rsidRPr="00E454D1">
        <w:rPr>
          <w:lang w:val="fr-CH"/>
        </w:rPr>
        <w:t xml:space="preserve"> à élaborer des conseils supplémentaires pour l</w:t>
      </w:r>
      <w:r w:rsidR="00E454D1">
        <w:rPr>
          <w:lang w:val="fr-CH"/>
        </w:rPr>
        <w:t>’</w:t>
      </w:r>
      <w:r w:rsidR="009D0DF4" w:rsidRPr="00E454D1">
        <w:rPr>
          <w:lang w:val="fr-CH"/>
        </w:rPr>
        <w:t>élaboration d</w:t>
      </w:r>
      <w:r w:rsidR="00E454D1">
        <w:rPr>
          <w:lang w:val="fr-CH"/>
        </w:rPr>
        <w:t>’</w:t>
      </w:r>
      <w:r w:rsidR="009D0DF4" w:rsidRPr="00E454D1">
        <w:rPr>
          <w:lang w:val="fr-CH"/>
        </w:rPr>
        <w:t>explications des caractères de résistance aux maladies dans les principes directeurs d</w:t>
      </w:r>
      <w:r w:rsidR="00E454D1">
        <w:rPr>
          <w:lang w:val="fr-CH"/>
        </w:rPr>
        <w:t>’</w:t>
      </w:r>
      <w:r w:rsidR="009D0DF4" w:rsidRPr="00E454D1">
        <w:rPr>
          <w:lang w:val="fr-CH"/>
        </w:rPr>
        <w:t xml:space="preserve">examen utilisant le protocole type de résistance fourni dans le document TGP/12 “Conseils en ce qui concerne certains caractères physiologiques”, </w:t>
      </w:r>
      <w:r w:rsidR="00E454D1">
        <w:rPr>
          <w:lang w:val="fr-CH"/>
        </w:rPr>
        <w:t>y compris</w:t>
      </w:r>
      <w:r w:rsidR="009D0DF4" w:rsidRPr="00E454D1">
        <w:rPr>
          <w:lang w:val="fr-CH"/>
        </w:rPr>
        <w:t xml:space="preserve"> les éléments qui ne doivent pas obligatoirement être inclus (voir les paragraphes</w:t>
      </w:r>
      <w:r w:rsidR="00FE5010" w:rsidRPr="00E454D1">
        <w:rPr>
          <w:lang w:val="fr-CH"/>
        </w:rPr>
        <w:t> </w:t>
      </w:r>
      <w:r w:rsidR="009D0DF4" w:rsidRPr="00E454D1">
        <w:rPr>
          <w:lang w:val="fr-CH"/>
        </w:rPr>
        <w:t xml:space="preserve">249 et 250 du </w:t>
      </w:r>
      <w:r w:rsidR="00E454D1" w:rsidRPr="00E454D1">
        <w:rPr>
          <w:lang w:val="fr-CH"/>
        </w:rPr>
        <w:t>document</w:t>
      </w:r>
      <w:r w:rsidR="00E454D1">
        <w:rPr>
          <w:lang w:val="fr-CH"/>
        </w:rPr>
        <w:t xml:space="preserve"> TC</w:t>
      </w:r>
      <w:r w:rsidR="009D0DF4" w:rsidRPr="00E454D1">
        <w:rPr>
          <w:lang w:val="fr-CH"/>
        </w:rPr>
        <w:t>/54/31</w:t>
      </w:r>
      <w:r w:rsidR="00124C91" w:rsidRPr="00E454D1">
        <w:rPr>
          <w:lang w:val="fr-CH"/>
        </w:rPr>
        <w:t> </w:t>
      </w:r>
      <w:r w:rsidR="00C76573" w:rsidRPr="00E454D1">
        <w:rPr>
          <w:lang w:val="fr-CH"/>
        </w:rPr>
        <w:t>Corr.</w:t>
      </w:r>
      <w:r w:rsidR="009D0DF4" w:rsidRPr="00E454D1">
        <w:rPr>
          <w:lang w:val="fr-CH"/>
        </w:rPr>
        <w:t xml:space="preserve"> “Compte rendu”).</w:t>
      </w:r>
    </w:p>
    <w:p w:rsidR="00D75FE9" w:rsidRPr="00E454D1" w:rsidRDefault="00D75FE9" w:rsidP="009956BC">
      <w:pPr>
        <w:rPr>
          <w:lang w:val="fr-CH"/>
        </w:rPr>
      </w:pPr>
    </w:p>
    <w:p w:rsidR="00D75FE9" w:rsidRPr="00E454D1" w:rsidRDefault="009956BC" w:rsidP="009D0DF4">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9D0DF4" w:rsidRPr="00E454D1">
        <w:rPr>
          <w:lang w:val="fr-CH"/>
        </w:rPr>
        <w:t>Le</w:t>
      </w:r>
      <w:r w:rsidR="00E454D1">
        <w:rPr>
          <w:lang w:val="fr-CH"/>
        </w:rPr>
        <w:t> TC</w:t>
      </w:r>
      <w:r w:rsidR="009D0DF4" w:rsidRPr="00E454D1">
        <w:rPr>
          <w:lang w:val="fr-CH"/>
        </w:rPr>
        <w:t xml:space="preserve"> a noté que la question de l</w:t>
      </w:r>
      <w:r w:rsidR="00E454D1">
        <w:rPr>
          <w:lang w:val="fr-CH"/>
        </w:rPr>
        <w:t>’</w:t>
      </w:r>
      <w:r w:rsidR="009D0DF4" w:rsidRPr="00E454D1">
        <w:rPr>
          <w:lang w:val="fr-CH"/>
        </w:rPr>
        <w:t>utilisation des caractères de résistance aux maladies serait examinée par</w:t>
      </w:r>
      <w:r w:rsidR="002F2D47" w:rsidRPr="00E454D1">
        <w:rPr>
          <w:lang w:val="fr-CH"/>
        </w:rPr>
        <w:t xml:space="preserve"> le TWV</w:t>
      </w:r>
      <w:r w:rsidR="009D0DF4" w:rsidRPr="00E454D1">
        <w:rPr>
          <w:lang w:val="fr-CH"/>
        </w:rPr>
        <w:t xml:space="preserve"> à sa prochaine session et il est convenu d</w:t>
      </w:r>
      <w:r w:rsidR="00E454D1">
        <w:rPr>
          <w:lang w:val="fr-CH"/>
        </w:rPr>
        <w:t>’</w:t>
      </w:r>
      <w:r w:rsidR="009D0DF4" w:rsidRPr="00E454D1">
        <w:rPr>
          <w:lang w:val="fr-CH"/>
        </w:rPr>
        <w:t>attendre le résultat de cet examen avant d</w:t>
      </w:r>
      <w:r w:rsidR="00E454D1">
        <w:rPr>
          <w:lang w:val="fr-CH"/>
        </w:rPr>
        <w:t>’</w:t>
      </w:r>
      <w:r w:rsidR="009D0DF4" w:rsidRPr="00E454D1">
        <w:rPr>
          <w:lang w:val="fr-CH"/>
        </w:rPr>
        <w:t>élaborer des conseils supplémentaires.</w:t>
      </w:r>
    </w:p>
    <w:p w:rsidR="00D75FE9" w:rsidRPr="00E454D1" w:rsidRDefault="00D75FE9" w:rsidP="009956BC">
      <w:pPr>
        <w:rPr>
          <w:i/>
          <w:lang w:val="fr-CH"/>
        </w:rPr>
      </w:pPr>
    </w:p>
    <w:p w:rsidR="00D75FE9" w:rsidRPr="00E454D1" w:rsidRDefault="009D0DF4" w:rsidP="00C076EA">
      <w:pPr>
        <w:pStyle w:val="Heading4"/>
      </w:pPr>
      <w:bookmarkStart w:id="45" w:name="_Toc22035933"/>
      <w:r w:rsidRPr="00E454D1">
        <w:t>Examen par le groupe de travail technique sur les plantes potagères</w:t>
      </w:r>
      <w:bookmarkEnd w:id="45"/>
    </w:p>
    <w:p w:rsidR="00D75FE9" w:rsidRPr="00E454D1" w:rsidRDefault="00D75FE9" w:rsidP="00C076EA">
      <w:pPr>
        <w:keepLines/>
        <w:rPr>
          <w:lang w:val="fr-CH"/>
        </w:rPr>
      </w:pPr>
    </w:p>
    <w:p w:rsidR="00D75FE9" w:rsidRPr="00E454D1" w:rsidRDefault="00C13C5C" w:rsidP="00C076EA">
      <w:pPr>
        <w:keepLines/>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B025E9" w:rsidRPr="00E454D1">
        <w:rPr>
          <w:lang w:val="fr-CH"/>
        </w:rPr>
        <w:t>À sa cinquante</w:t>
      </w:r>
      <w:r w:rsidR="00E454D1">
        <w:rPr>
          <w:lang w:val="fr-CH"/>
        </w:rPr>
        <w:t>-</w:t>
      </w:r>
      <w:r w:rsidR="00B025E9" w:rsidRPr="00E454D1">
        <w:rPr>
          <w:lang w:val="fr-CH"/>
        </w:rPr>
        <w:t>trois</w:t>
      </w:r>
      <w:r w:rsidR="00E454D1">
        <w:rPr>
          <w:lang w:val="fr-CH"/>
        </w:rPr>
        <w:t>ième session</w:t>
      </w:r>
      <w:r w:rsidR="00B025E9" w:rsidRPr="00E454D1">
        <w:rPr>
          <w:lang w:val="fr-CH"/>
        </w:rPr>
        <w:t xml:space="preserve"> tenue à Séoul (République de Corée) du 20 au 24</w:t>
      </w:r>
      <w:r w:rsidR="00090D74" w:rsidRPr="00E454D1">
        <w:rPr>
          <w:lang w:val="fr-CH"/>
        </w:rPr>
        <w:t> </w:t>
      </w:r>
      <w:r w:rsidR="00B025E9" w:rsidRPr="00E454D1">
        <w:rPr>
          <w:lang w:val="fr-CH"/>
        </w:rPr>
        <w:t>mai</w:t>
      </w:r>
      <w:r w:rsidR="00090D74" w:rsidRPr="00E454D1">
        <w:rPr>
          <w:lang w:val="fr-CH"/>
        </w:rPr>
        <w:t> </w:t>
      </w:r>
      <w:r w:rsidR="00B025E9" w:rsidRPr="00E454D1">
        <w:rPr>
          <w:lang w:val="fr-CH"/>
        </w:rPr>
        <w:t>2019,</w:t>
      </w:r>
      <w:r w:rsidR="002F2D47" w:rsidRPr="00E454D1">
        <w:rPr>
          <w:lang w:val="fr-CH"/>
        </w:rPr>
        <w:t xml:space="preserve"> le TWV</w:t>
      </w:r>
      <w:r w:rsidR="00B025E9" w:rsidRPr="00E454D1">
        <w:rPr>
          <w:lang w:val="fr-CH"/>
        </w:rPr>
        <w:t xml:space="preserve"> a suivi les</w:t>
      </w:r>
      <w:r w:rsidR="0087038D" w:rsidRPr="00E454D1">
        <w:rPr>
          <w:lang w:val="fr-CH"/>
        </w:rPr>
        <w:t xml:space="preserve"> </w:t>
      </w:r>
      <w:r w:rsidR="00B025E9" w:rsidRPr="00E454D1">
        <w:rPr>
          <w:lang w:val="fr-CH"/>
        </w:rPr>
        <w:t xml:space="preserve">exposés suivants, dont le texte est reproduit dans le </w:t>
      </w:r>
      <w:r w:rsidR="002F2D47" w:rsidRPr="00E454D1">
        <w:rPr>
          <w:lang w:val="fr-CH"/>
        </w:rPr>
        <w:t>document TW</w:t>
      </w:r>
      <w:r w:rsidR="00B025E9" w:rsidRPr="00E454D1">
        <w:rPr>
          <w:lang w:val="fr-CH"/>
        </w:rPr>
        <w:t>V/53/13 </w:t>
      </w:r>
      <w:proofErr w:type="spellStart"/>
      <w:r w:rsidR="00B025E9" w:rsidRPr="00E454D1">
        <w:rPr>
          <w:lang w:val="fr-CH"/>
        </w:rPr>
        <w:t>Rev</w:t>
      </w:r>
      <w:proofErr w:type="spellEnd"/>
      <w:r w:rsidR="00B025E9" w:rsidRPr="00E454D1">
        <w:rPr>
          <w:lang w:val="fr-CH"/>
        </w:rPr>
        <w:t>. (</w:t>
      </w:r>
      <w:proofErr w:type="gramStart"/>
      <w:r w:rsidR="00B025E9" w:rsidRPr="00E454D1">
        <w:rPr>
          <w:lang w:val="fr-CH"/>
        </w:rPr>
        <w:t>voir</w:t>
      </w:r>
      <w:proofErr w:type="gramEnd"/>
      <w:r w:rsidR="00B025E9" w:rsidRPr="00E454D1">
        <w:rPr>
          <w:lang w:val="fr-CH"/>
        </w:rPr>
        <w:t xml:space="preserve"> les paragraphes</w:t>
      </w:r>
      <w:r w:rsidR="00FE5010" w:rsidRPr="00E454D1">
        <w:rPr>
          <w:lang w:val="fr-CH"/>
        </w:rPr>
        <w:t> </w:t>
      </w:r>
      <w:r w:rsidR="00B025E9" w:rsidRPr="00E454D1">
        <w:rPr>
          <w:lang w:val="fr-CH"/>
        </w:rPr>
        <w:t xml:space="preserve">59 à 62 du </w:t>
      </w:r>
      <w:r w:rsidR="002F2D47" w:rsidRPr="00E454D1">
        <w:rPr>
          <w:lang w:val="fr-CH"/>
        </w:rPr>
        <w:t>document TW</w:t>
      </w:r>
      <w:r w:rsidR="00B025E9" w:rsidRPr="00E454D1">
        <w:rPr>
          <w:lang w:val="fr-CH"/>
        </w:rPr>
        <w:t>V/53/14</w:t>
      </w:r>
      <w:r w:rsidR="00124C91" w:rsidRPr="00E454D1">
        <w:rPr>
          <w:lang w:val="fr-CH"/>
        </w:rPr>
        <w:t> </w:t>
      </w:r>
      <w:proofErr w:type="spellStart"/>
      <w:r w:rsidR="00B025E9" w:rsidRPr="00E454D1">
        <w:rPr>
          <w:lang w:val="fr-CH"/>
        </w:rPr>
        <w:t>Rev</w:t>
      </w:r>
      <w:proofErr w:type="spellEnd"/>
      <w:r w:rsidR="00B025E9" w:rsidRPr="00E454D1">
        <w:rPr>
          <w:lang w:val="fr-CH"/>
        </w:rPr>
        <w:t xml:space="preserve">. </w:t>
      </w:r>
      <w:r w:rsidR="00B025E9" w:rsidRPr="0003485C">
        <w:rPr>
          <w:i/>
          <w:lang w:val="fr-CH"/>
        </w:rPr>
        <w:t>“</w:t>
      </w:r>
      <w:proofErr w:type="spellStart"/>
      <w:r w:rsidR="00B025E9" w:rsidRPr="0003485C">
        <w:rPr>
          <w:i/>
          <w:lang w:val="fr-CH"/>
        </w:rPr>
        <w:t>Revised</w:t>
      </w:r>
      <w:proofErr w:type="spellEnd"/>
      <w:r w:rsidR="00B025E9" w:rsidRPr="0003485C">
        <w:rPr>
          <w:i/>
          <w:lang w:val="fr-CH"/>
        </w:rPr>
        <w:t xml:space="preserve"> Report”</w:t>
      </w:r>
      <w:r w:rsidR="00B025E9" w:rsidRPr="00E454D1">
        <w:rPr>
          <w:lang w:val="fr-CH"/>
        </w:rPr>
        <w:t>)</w:t>
      </w:r>
      <w:r w:rsidR="00E454D1">
        <w:rPr>
          <w:lang w:val="fr-CH"/>
        </w:rPr>
        <w:t> :</w:t>
      </w:r>
    </w:p>
    <w:p w:rsidR="00D75FE9" w:rsidRPr="00E454D1" w:rsidRDefault="00D75FE9" w:rsidP="00C076EA">
      <w:pPr>
        <w:rPr>
          <w:lang w:val="fr-CH"/>
        </w:rPr>
      </w:pPr>
    </w:p>
    <w:p w:rsidR="00D75FE9" w:rsidRPr="00E454D1" w:rsidRDefault="00B025E9" w:rsidP="00B025E9">
      <w:pPr>
        <w:numPr>
          <w:ilvl w:val="0"/>
          <w:numId w:val="18"/>
        </w:numPr>
        <w:spacing w:line="276" w:lineRule="auto"/>
        <w:ind w:left="1134" w:hanging="567"/>
        <w:contextualSpacing/>
        <w:rPr>
          <w:rFonts w:eastAsia="MS Mincho"/>
          <w:lang w:val="fr-CH"/>
        </w:rPr>
      </w:pPr>
      <w:r w:rsidRPr="00E454D1">
        <w:rPr>
          <w:rFonts w:eastAsia="MS Mincho"/>
          <w:lang w:val="fr-CH"/>
        </w:rPr>
        <w:t>“</w:t>
      </w:r>
      <w:r w:rsidR="0087038D" w:rsidRPr="00E454D1">
        <w:rPr>
          <w:rFonts w:eastAsia="MS Mincho"/>
          <w:lang w:val="fr-CH"/>
        </w:rPr>
        <w:t xml:space="preserve">Use of </w:t>
      </w:r>
      <w:proofErr w:type="spellStart"/>
      <w:r w:rsidR="0087038D" w:rsidRPr="00E454D1">
        <w:rPr>
          <w:rFonts w:eastAsia="MS Mincho"/>
          <w:lang w:val="fr-CH"/>
        </w:rPr>
        <w:t>disease</w:t>
      </w:r>
      <w:proofErr w:type="spellEnd"/>
      <w:r w:rsidR="0087038D" w:rsidRPr="00E454D1">
        <w:rPr>
          <w:rFonts w:eastAsia="MS Mincho"/>
          <w:lang w:val="fr-CH"/>
        </w:rPr>
        <w:t xml:space="preserve"> </w:t>
      </w:r>
      <w:proofErr w:type="spellStart"/>
      <w:r w:rsidR="0087038D" w:rsidRPr="00E454D1">
        <w:rPr>
          <w:rFonts w:eastAsia="MS Mincho"/>
          <w:lang w:val="fr-CH"/>
        </w:rPr>
        <w:t>resistance</w:t>
      </w:r>
      <w:proofErr w:type="spellEnd"/>
      <w:r w:rsidR="0087038D" w:rsidRPr="00E454D1">
        <w:rPr>
          <w:rFonts w:eastAsia="MS Mincho"/>
          <w:lang w:val="fr-CH"/>
        </w:rPr>
        <w:t xml:space="preserve"> </w:t>
      </w:r>
      <w:proofErr w:type="spellStart"/>
      <w:r w:rsidR="0087038D" w:rsidRPr="00E454D1">
        <w:rPr>
          <w:rFonts w:eastAsia="MS Mincho"/>
          <w:lang w:val="fr-CH"/>
        </w:rPr>
        <w:t>characteristics</w:t>
      </w:r>
      <w:proofErr w:type="spellEnd"/>
      <w:r w:rsidRPr="00E454D1">
        <w:rPr>
          <w:rFonts w:eastAsia="MS Mincho"/>
          <w:lang w:val="fr-CH"/>
        </w:rPr>
        <w:t>”, présenté par un expert de l</w:t>
      </w:r>
      <w:r w:rsidR="00E454D1">
        <w:rPr>
          <w:rFonts w:eastAsia="MS Mincho"/>
          <w:lang w:val="fr-CH"/>
        </w:rPr>
        <w:t>’</w:t>
      </w:r>
      <w:r w:rsidRPr="00E454D1">
        <w:rPr>
          <w:rFonts w:eastAsia="MS Mincho"/>
          <w:lang w:val="fr-CH"/>
        </w:rPr>
        <w:t>Union européenne.</w:t>
      </w:r>
    </w:p>
    <w:p w:rsidR="00D75FE9" w:rsidRPr="00E454D1" w:rsidRDefault="00B025E9" w:rsidP="0087038D">
      <w:pPr>
        <w:numPr>
          <w:ilvl w:val="0"/>
          <w:numId w:val="18"/>
        </w:numPr>
        <w:spacing w:line="276" w:lineRule="auto"/>
        <w:ind w:left="1134" w:hanging="567"/>
        <w:contextualSpacing/>
        <w:rPr>
          <w:rFonts w:eastAsia="MS Mincho"/>
          <w:lang w:val="fr-CH"/>
        </w:rPr>
      </w:pPr>
      <w:r w:rsidRPr="00E454D1">
        <w:rPr>
          <w:rFonts w:eastAsia="MS Mincho"/>
        </w:rPr>
        <w:t>“</w:t>
      </w:r>
      <w:r w:rsidR="0087038D" w:rsidRPr="00E454D1">
        <w:rPr>
          <w:rFonts w:eastAsia="MS Mincho"/>
        </w:rPr>
        <w:t xml:space="preserve">Evaluation of disease resistance in vegetable varieties according to UPOV standards. </w:t>
      </w:r>
      <w:r w:rsidR="00124C91" w:rsidRPr="00E454D1">
        <w:rPr>
          <w:rFonts w:eastAsia="MS Mincho"/>
        </w:rPr>
        <w:t xml:space="preserve"> </w:t>
      </w:r>
      <w:r w:rsidR="0087038D" w:rsidRPr="00E454D1">
        <w:rPr>
          <w:rFonts w:eastAsia="MS Mincho"/>
          <w:lang w:val="fr-CH"/>
        </w:rPr>
        <w:t xml:space="preserve">A focus on the </w:t>
      </w:r>
      <w:proofErr w:type="spellStart"/>
      <w:r w:rsidR="0087038D" w:rsidRPr="00E454D1">
        <w:rPr>
          <w:rFonts w:eastAsia="MS Mincho"/>
          <w:lang w:val="fr-CH"/>
        </w:rPr>
        <w:t>Italian</w:t>
      </w:r>
      <w:proofErr w:type="spellEnd"/>
      <w:r w:rsidR="0087038D" w:rsidRPr="00E454D1">
        <w:rPr>
          <w:rFonts w:eastAsia="MS Mincho"/>
          <w:lang w:val="fr-CH"/>
        </w:rPr>
        <w:t xml:space="preserve"> </w:t>
      </w:r>
      <w:proofErr w:type="spellStart"/>
      <w:r w:rsidR="0087038D" w:rsidRPr="00E454D1">
        <w:rPr>
          <w:rFonts w:eastAsia="MS Mincho"/>
          <w:lang w:val="fr-CH"/>
        </w:rPr>
        <w:t>activities</w:t>
      </w:r>
      <w:proofErr w:type="spellEnd"/>
      <w:r w:rsidR="0087038D" w:rsidRPr="00E454D1">
        <w:rPr>
          <w:rFonts w:eastAsia="MS Mincho"/>
          <w:lang w:val="fr-CH"/>
        </w:rPr>
        <w:t>”, présenté par un expert de l</w:t>
      </w:r>
      <w:r w:rsidR="00E454D1">
        <w:rPr>
          <w:rFonts w:eastAsia="MS Mincho"/>
          <w:lang w:val="fr-CH"/>
        </w:rPr>
        <w:t>’</w:t>
      </w:r>
      <w:r w:rsidR="0087038D" w:rsidRPr="00E454D1">
        <w:rPr>
          <w:rFonts w:eastAsia="MS Mincho"/>
          <w:lang w:val="fr-CH"/>
        </w:rPr>
        <w:t>Italie.</w:t>
      </w:r>
    </w:p>
    <w:p w:rsidR="00D75FE9" w:rsidRPr="00E454D1" w:rsidRDefault="00617FB0" w:rsidP="00617FB0">
      <w:pPr>
        <w:numPr>
          <w:ilvl w:val="0"/>
          <w:numId w:val="18"/>
        </w:numPr>
        <w:spacing w:line="276" w:lineRule="auto"/>
        <w:ind w:left="1134" w:hanging="567"/>
        <w:contextualSpacing/>
        <w:rPr>
          <w:rFonts w:eastAsia="MS Mincho"/>
          <w:lang w:val="fr-CH"/>
        </w:rPr>
      </w:pPr>
      <w:r w:rsidRPr="00E454D1">
        <w:rPr>
          <w:rFonts w:eastAsia="MS Mincho"/>
          <w:lang w:val="fr-CH"/>
        </w:rPr>
        <w:t>“</w:t>
      </w:r>
      <w:proofErr w:type="spellStart"/>
      <w:r w:rsidRPr="00E454D1">
        <w:rPr>
          <w:rFonts w:eastAsia="MS Mincho"/>
          <w:lang w:val="fr-CH"/>
        </w:rPr>
        <w:t>Disease</w:t>
      </w:r>
      <w:proofErr w:type="spellEnd"/>
      <w:r w:rsidRPr="00E454D1">
        <w:rPr>
          <w:rFonts w:eastAsia="MS Mincho"/>
          <w:lang w:val="fr-CH"/>
        </w:rPr>
        <w:t xml:space="preserve"> </w:t>
      </w:r>
      <w:proofErr w:type="spellStart"/>
      <w:r w:rsidRPr="00E454D1">
        <w:rPr>
          <w:rFonts w:eastAsia="MS Mincho"/>
          <w:lang w:val="fr-CH"/>
        </w:rPr>
        <w:t>resistance</w:t>
      </w:r>
      <w:proofErr w:type="spellEnd"/>
      <w:r w:rsidRPr="00E454D1">
        <w:rPr>
          <w:rFonts w:eastAsia="MS Mincho"/>
          <w:lang w:val="fr-CH"/>
        </w:rPr>
        <w:t xml:space="preserve"> in DUS”, présenté par des experts de la France et des Pays</w:t>
      </w:r>
      <w:r w:rsidR="00E454D1">
        <w:rPr>
          <w:rFonts w:eastAsia="MS Mincho"/>
          <w:lang w:val="fr-CH"/>
        </w:rPr>
        <w:t>-</w:t>
      </w:r>
      <w:r w:rsidRPr="00E454D1">
        <w:rPr>
          <w:rFonts w:eastAsia="MS Mincho"/>
          <w:lang w:val="fr-CH"/>
        </w:rPr>
        <w:t>Bas.</w:t>
      </w:r>
    </w:p>
    <w:p w:rsidR="00D75FE9" w:rsidRPr="00E454D1" w:rsidRDefault="00617FB0" w:rsidP="00617FB0">
      <w:pPr>
        <w:numPr>
          <w:ilvl w:val="0"/>
          <w:numId w:val="18"/>
        </w:numPr>
        <w:spacing w:line="276" w:lineRule="auto"/>
        <w:ind w:left="1134" w:hanging="567"/>
        <w:contextualSpacing/>
        <w:rPr>
          <w:rFonts w:eastAsia="MS Mincho"/>
          <w:lang w:val="fr-CH"/>
        </w:rPr>
      </w:pPr>
      <w:r w:rsidRPr="00E454D1">
        <w:rPr>
          <w:rFonts w:eastAsia="MS Mincho"/>
          <w:lang w:val="fr-CH"/>
        </w:rPr>
        <w:t>“</w:t>
      </w:r>
      <w:proofErr w:type="spellStart"/>
      <w:r w:rsidRPr="00E454D1">
        <w:rPr>
          <w:rFonts w:eastAsia="MS Mincho"/>
          <w:lang w:val="fr-CH"/>
        </w:rPr>
        <w:t>Harmonization</w:t>
      </w:r>
      <w:proofErr w:type="spellEnd"/>
      <w:r w:rsidRPr="00E454D1">
        <w:rPr>
          <w:rFonts w:eastAsia="MS Mincho"/>
          <w:lang w:val="fr-CH"/>
        </w:rPr>
        <w:t xml:space="preserve"> of </w:t>
      </w:r>
      <w:proofErr w:type="spellStart"/>
      <w:r w:rsidRPr="00E454D1">
        <w:rPr>
          <w:rFonts w:eastAsia="MS Mincho"/>
          <w:lang w:val="fr-CH"/>
        </w:rPr>
        <w:t>resistance</w:t>
      </w:r>
      <w:proofErr w:type="spellEnd"/>
      <w:r w:rsidRPr="00E454D1">
        <w:rPr>
          <w:rFonts w:eastAsia="MS Mincho"/>
          <w:lang w:val="fr-CH"/>
        </w:rPr>
        <w:t xml:space="preserve"> tests to </w:t>
      </w:r>
      <w:proofErr w:type="spellStart"/>
      <w:r w:rsidRPr="00E454D1">
        <w:rPr>
          <w:rFonts w:eastAsia="MS Mincho"/>
          <w:lang w:val="fr-CH"/>
        </w:rPr>
        <w:t>diseases</w:t>
      </w:r>
      <w:proofErr w:type="spellEnd"/>
      <w:r w:rsidRPr="00E454D1">
        <w:rPr>
          <w:rFonts w:eastAsia="MS Mincho"/>
          <w:lang w:val="fr-CH"/>
        </w:rPr>
        <w:t xml:space="preserve"> for DUS </w:t>
      </w:r>
      <w:proofErr w:type="spellStart"/>
      <w:r w:rsidRPr="00E454D1">
        <w:rPr>
          <w:rFonts w:eastAsia="MS Mincho"/>
          <w:lang w:val="fr-CH"/>
        </w:rPr>
        <w:t>testing</w:t>
      </w:r>
      <w:proofErr w:type="spellEnd"/>
      <w:r w:rsidR="00E454D1">
        <w:rPr>
          <w:rFonts w:eastAsia="MS Mincho"/>
          <w:lang w:val="fr-CH"/>
        </w:rPr>
        <w:t> :</w:t>
      </w:r>
      <w:r w:rsidRPr="00E454D1">
        <w:rPr>
          <w:rFonts w:eastAsia="MS Mincho"/>
          <w:lang w:val="fr-CH"/>
        </w:rPr>
        <w:t xml:space="preserve"> </w:t>
      </w:r>
      <w:proofErr w:type="spellStart"/>
      <w:r w:rsidRPr="00E454D1">
        <w:rPr>
          <w:rFonts w:eastAsia="MS Mincho"/>
          <w:lang w:val="fr-CH"/>
        </w:rPr>
        <w:t>Harmores</w:t>
      </w:r>
      <w:proofErr w:type="spellEnd"/>
      <w:r w:rsidR="00FE5010" w:rsidRPr="00E454D1">
        <w:rPr>
          <w:rFonts w:eastAsia="MS Mincho"/>
          <w:lang w:val="fr-CH"/>
        </w:rPr>
        <w:t> </w:t>
      </w:r>
      <w:r w:rsidRPr="00E454D1">
        <w:rPr>
          <w:rFonts w:eastAsia="MS Mincho"/>
          <w:lang w:val="fr-CH"/>
        </w:rPr>
        <w:t>3”, présenté par un expert de la France (au nom du groupe de travail).</w:t>
      </w:r>
    </w:p>
    <w:p w:rsidR="00D75FE9" w:rsidRPr="00E454D1" w:rsidRDefault="00C13C5C" w:rsidP="00617FB0">
      <w:pPr>
        <w:numPr>
          <w:ilvl w:val="0"/>
          <w:numId w:val="18"/>
        </w:numPr>
        <w:spacing w:line="276" w:lineRule="auto"/>
        <w:ind w:left="1134" w:hanging="567"/>
        <w:contextualSpacing/>
        <w:rPr>
          <w:rFonts w:eastAsia="MS Mincho"/>
          <w:snapToGrid w:val="0"/>
        </w:rPr>
      </w:pPr>
      <w:r w:rsidRPr="00E454D1">
        <w:rPr>
          <w:rFonts w:eastAsia="MS Mincho"/>
        </w:rPr>
        <w:t xml:space="preserve">“Disease resistance in </w:t>
      </w:r>
      <w:proofErr w:type="gramStart"/>
      <w:r w:rsidRPr="00E454D1">
        <w:rPr>
          <w:rFonts w:eastAsia="MS Mincho"/>
        </w:rPr>
        <w:t>vegetables</w:t>
      </w:r>
      <w:r w:rsidR="00E454D1">
        <w:rPr>
          <w:rFonts w:eastAsia="MS Mincho"/>
        </w:rPr>
        <w:t> :</w:t>
      </w:r>
      <w:proofErr w:type="gramEnd"/>
      <w:r w:rsidRPr="00E454D1">
        <w:rPr>
          <w:rFonts w:eastAsia="MS Mincho"/>
        </w:rPr>
        <w:t xml:space="preserve"> What does the European industry do in terms of claims?</w:t>
      </w:r>
      <w:r w:rsidR="00F33CB8" w:rsidRPr="00E454D1">
        <w:rPr>
          <w:rFonts w:eastAsia="MS Mincho"/>
        </w:rPr>
        <w:t>”</w:t>
      </w:r>
      <w:r w:rsidRPr="00E454D1">
        <w:rPr>
          <w:rFonts w:eastAsia="MS Mincho"/>
        </w:rPr>
        <w:t xml:space="preserve"> </w:t>
      </w:r>
      <w:proofErr w:type="spellStart"/>
      <w:r w:rsidR="00617FB0" w:rsidRPr="00E454D1">
        <w:rPr>
          <w:rFonts w:eastAsia="MS Mincho"/>
        </w:rPr>
        <w:t>présenté</w:t>
      </w:r>
      <w:proofErr w:type="spellEnd"/>
      <w:r w:rsidR="00617FB0" w:rsidRPr="00E454D1">
        <w:rPr>
          <w:rFonts w:eastAsia="MS Mincho"/>
        </w:rPr>
        <w:t xml:space="preserve"> par un expert de </w:t>
      </w:r>
      <w:proofErr w:type="spellStart"/>
      <w:r w:rsidR="00617FB0" w:rsidRPr="00E454D1">
        <w:rPr>
          <w:rFonts w:eastAsia="MS Mincho"/>
        </w:rPr>
        <w:t>l</w:t>
      </w:r>
      <w:r w:rsidR="00E454D1">
        <w:rPr>
          <w:rFonts w:eastAsia="MS Mincho"/>
        </w:rPr>
        <w:t>’</w:t>
      </w:r>
      <w:r w:rsidR="00617FB0" w:rsidRPr="00E454D1">
        <w:rPr>
          <w:rFonts w:eastAsia="MS Mincho"/>
        </w:rPr>
        <w:t>European</w:t>
      </w:r>
      <w:proofErr w:type="spellEnd"/>
      <w:r w:rsidR="00617FB0" w:rsidRPr="00E454D1">
        <w:rPr>
          <w:rFonts w:eastAsia="MS Mincho"/>
        </w:rPr>
        <w:t xml:space="preserve"> Seed Association (ESA).</w:t>
      </w:r>
    </w:p>
    <w:p w:rsidR="00D75FE9" w:rsidRPr="00E454D1" w:rsidRDefault="00617FB0" w:rsidP="00617FB0">
      <w:pPr>
        <w:keepNext/>
        <w:numPr>
          <w:ilvl w:val="0"/>
          <w:numId w:val="18"/>
        </w:numPr>
        <w:spacing w:line="276" w:lineRule="auto"/>
        <w:ind w:left="1134" w:hanging="567"/>
        <w:contextualSpacing/>
        <w:rPr>
          <w:rFonts w:eastAsia="MS Mincho"/>
          <w:lang w:val="fr-CH"/>
        </w:rPr>
      </w:pPr>
      <w:r w:rsidRPr="00E454D1">
        <w:rPr>
          <w:rFonts w:eastAsia="MS Mincho"/>
          <w:lang w:val="fr-CH"/>
        </w:rPr>
        <w:t xml:space="preserve">“ISF </w:t>
      </w:r>
      <w:proofErr w:type="spellStart"/>
      <w:r w:rsidRPr="00E454D1">
        <w:rPr>
          <w:rFonts w:eastAsia="MS Mincho"/>
          <w:lang w:val="fr-CH"/>
        </w:rPr>
        <w:t>Working</w:t>
      </w:r>
      <w:proofErr w:type="spellEnd"/>
      <w:r w:rsidRPr="00E454D1">
        <w:rPr>
          <w:rFonts w:eastAsia="MS Mincho"/>
          <w:lang w:val="fr-CH"/>
        </w:rPr>
        <w:t xml:space="preserve"> Group </w:t>
      </w:r>
      <w:proofErr w:type="spellStart"/>
      <w:r w:rsidRPr="00E454D1">
        <w:rPr>
          <w:rFonts w:eastAsia="MS Mincho"/>
          <w:lang w:val="fr-CH"/>
        </w:rPr>
        <w:t>Disease</w:t>
      </w:r>
      <w:proofErr w:type="spellEnd"/>
      <w:r w:rsidRPr="00E454D1">
        <w:rPr>
          <w:rFonts w:eastAsia="MS Mincho"/>
          <w:lang w:val="fr-CH"/>
        </w:rPr>
        <w:t xml:space="preserve"> </w:t>
      </w:r>
      <w:proofErr w:type="spellStart"/>
      <w:r w:rsidRPr="00E454D1">
        <w:rPr>
          <w:rFonts w:eastAsia="MS Mincho"/>
          <w:lang w:val="fr-CH"/>
        </w:rPr>
        <w:t>resistance</w:t>
      </w:r>
      <w:proofErr w:type="spellEnd"/>
      <w:r w:rsidRPr="00E454D1">
        <w:rPr>
          <w:rFonts w:eastAsia="MS Mincho"/>
          <w:lang w:val="fr-CH"/>
        </w:rPr>
        <w:t xml:space="preserve"> </w:t>
      </w:r>
      <w:proofErr w:type="spellStart"/>
      <w:r w:rsidRPr="00E454D1">
        <w:rPr>
          <w:rFonts w:eastAsia="MS Mincho"/>
          <w:lang w:val="fr-CH"/>
        </w:rPr>
        <w:t>terminology</w:t>
      </w:r>
      <w:proofErr w:type="spellEnd"/>
      <w:r w:rsidRPr="00E454D1">
        <w:rPr>
          <w:rFonts w:eastAsia="MS Mincho"/>
          <w:lang w:val="fr-CH"/>
        </w:rPr>
        <w:t>”, présenté par un expert de l</w:t>
      </w:r>
      <w:r w:rsidR="00E454D1">
        <w:rPr>
          <w:rFonts w:eastAsia="MS Mincho"/>
          <w:lang w:val="fr-CH"/>
        </w:rPr>
        <w:t>’</w:t>
      </w:r>
      <w:r w:rsidRPr="00E454D1">
        <w:rPr>
          <w:rFonts w:eastAsia="MS Mincho"/>
          <w:lang w:val="fr-CH"/>
        </w:rPr>
        <w:t xml:space="preserve">International </w:t>
      </w:r>
      <w:proofErr w:type="spellStart"/>
      <w:r w:rsidRPr="00E454D1">
        <w:rPr>
          <w:rFonts w:eastAsia="MS Mincho"/>
          <w:lang w:val="fr-CH"/>
        </w:rPr>
        <w:t>Seed</w:t>
      </w:r>
      <w:proofErr w:type="spellEnd"/>
      <w:r w:rsidRPr="00E454D1">
        <w:rPr>
          <w:rFonts w:eastAsia="MS Mincho"/>
          <w:lang w:val="fr-CH"/>
        </w:rPr>
        <w:t xml:space="preserve"> </w:t>
      </w:r>
      <w:proofErr w:type="spellStart"/>
      <w:r w:rsidRPr="00E454D1">
        <w:rPr>
          <w:rFonts w:eastAsia="MS Mincho"/>
          <w:lang w:val="fr-CH"/>
        </w:rPr>
        <w:t>Federation</w:t>
      </w:r>
      <w:proofErr w:type="spellEnd"/>
      <w:r w:rsidRPr="00E454D1">
        <w:rPr>
          <w:rFonts w:eastAsia="MS Mincho"/>
          <w:lang w:val="fr-CH"/>
        </w:rPr>
        <w:t xml:space="preserve"> (ISF).</w:t>
      </w:r>
    </w:p>
    <w:p w:rsidR="00D75FE9" w:rsidRPr="00E454D1" w:rsidRDefault="00D75FE9" w:rsidP="00C13C5C">
      <w:pPr>
        <w:rPr>
          <w:lang w:val="fr-CH"/>
        </w:rPr>
      </w:pPr>
    </w:p>
    <w:p w:rsidR="00D75FE9" w:rsidRPr="00E454D1" w:rsidRDefault="00C13C5C" w:rsidP="00031B37">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617FB0" w:rsidRPr="00E454D1">
        <w:rPr>
          <w:lang w:val="fr-CH"/>
        </w:rPr>
        <w:t>Le TWV est convenu que les orientations figurant dans les documents UPOV concernant l</w:t>
      </w:r>
      <w:r w:rsidR="00E454D1">
        <w:rPr>
          <w:lang w:val="fr-CH"/>
        </w:rPr>
        <w:t>’</w:t>
      </w:r>
      <w:r w:rsidR="00617FB0" w:rsidRPr="00E454D1">
        <w:rPr>
          <w:lang w:val="fr-CH"/>
        </w:rPr>
        <w:t>utilisation des caractères de résistance aux maladies dans les principes directeurs d</w:t>
      </w:r>
      <w:r w:rsidR="00E454D1">
        <w:rPr>
          <w:lang w:val="fr-CH"/>
        </w:rPr>
        <w:t>’</w:t>
      </w:r>
      <w:r w:rsidR="00617FB0" w:rsidRPr="00E454D1">
        <w:rPr>
          <w:lang w:val="fr-CH"/>
        </w:rPr>
        <w:t>examen et dans l</w:t>
      </w:r>
      <w:r w:rsidR="00E454D1">
        <w:rPr>
          <w:lang w:val="fr-CH"/>
        </w:rPr>
        <w:t>’</w:t>
      </w:r>
      <w:r w:rsidR="00617FB0" w:rsidRPr="00E454D1">
        <w:rPr>
          <w:lang w:val="fr-CH"/>
        </w:rPr>
        <w:t>examen</w:t>
      </w:r>
      <w:r w:rsidR="00124C91" w:rsidRPr="00E454D1">
        <w:rPr>
          <w:lang w:val="fr-CH"/>
        </w:rPr>
        <w:t> </w:t>
      </w:r>
      <w:r w:rsidR="00617FB0" w:rsidRPr="00E454D1">
        <w:rPr>
          <w:lang w:val="fr-CH"/>
        </w:rPr>
        <w:t>DHS étaient claires et suffisantes pour le mome</w:t>
      </w:r>
      <w:r w:rsidR="00C77A34" w:rsidRPr="00E454D1">
        <w:rPr>
          <w:lang w:val="fr-CH"/>
        </w:rPr>
        <w:t>nt</w:t>
      </w:r>
      <w:r w:rsidR="00C77A34">
        <w:rPr>
          <w:lang w:val="fr-CH"/>
        </w:rPr>
        <w:t xml:space="preserve">.  </w:t>
      </w:r>
      <w:r w:rsidR="00C77A34" w:rsidRPr="00E454D1">
        <w:rPr>
          <w:lang w:val="fr-CH"/>
        </w:rPr>
        <w:t>Il</w:t>
      </w:r>
      <w:r w:rsidR="00031B37" w:rsidRPr="00E454D1">
        <w:rPr>
          <w:lang w:val="fr-CH"/>
        </w:rPr>
        <w:t xml:space="preserve"> a noté que, dans le domaine des caractères de résistance aux maladies, lorsqu</w:t>
      </w:r>
      <w:r w:rsidR="00E454D1">
        <w:rPr>
          <w:lang w:val="fr-CH"/>
        </w:rPr>
        <w:t>’</w:t>
      </w:r>
      <w:r w:rsidR="00031B37" w:rsidRPr="00E454D1">
        <w:rPr>
          <w:lang w:val="fr-CH"/>
        </w:rPr>
        <w:t>on utilisait QN comme type d</w:t>
      </w:r>
      <w:r w:rsidR="00E454D1">
        <w:rPr>
          <w:lang w:val="fr-CH"/>
        </w:rPr>
        <w:t>’</w:t>
      </w:r>
      <w:r w:rsidR="00031B37" w:rsidRPr="00E454D1">
        <w:rPr>
          <w:lang w:val="fr-CH"/>
        </w:rPr>
        <w:t>expression, plus de trois</w:t>
      </w:r>
      <w:r w:rsidR="00124C91" w:rsidRPr="00E454D1">
        <w:rPr>
          <w:lang w:val="fr-CH"/>
        </w:rPr>
        <w:t> </w:t>
      </w:r>
      <w:r w:rsidR="00031B37" w:rsidRPr="00E454D1">
        <w:rPr>
          <w:lang w:val="fr-CH"/>
        </w:rPr>
        <w:t>niveaux pouvaient être utilisés.</w:t>
      </w:r>
    </w:p>
    <w:p w:rsidR="00D75FE9" w:rsidRPr="00E454D1" w:rsidRDefault="00D75FE9" w:rsidP="00C13C5C">
      <w:pPr>
        <w:rPr>
          <w:lang w:val="fr-CH"/>
        </w:rPr>
      </w:pPr>
    </w:p>
    <w:p w:rsidR="002F2D47" w:rsidRPr="00E454D1" w:rsidRDefault="00C13C5C" w:rsidP="008A0B89">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8A0B89" w:rsidRPr="00E454D1">
        <w:rPr>
          <w:lang w:val="fr-CH"/>
        </w:rPr>
        <w:t>Le TWV est convenu que la résistance aux maladies était un objectif important en matière de sélection et que la coopération entre toutes les parties prenantes serait donc bénéfique pour faire en sorte que l</w:t>
      </w:r>
      <w:r w:rsidR="00E454D1">
        <w:rPr>
          <w:lang w:val="fr-CH"/>
        </w:rPr>
        <w:t>’</w:t>
      </w:r>
      <w:r w:rsidR="008A0B89" w:rsidRPr="00E454D1">
        <w:rPr>
          <w:lang w:val="fr-CH"/>
        </w:rPr>
        <w:t>examen</w:t>
      </w:r>
      <w:r w:rsidR="00124C91" w:rsidRPr="00E454D1">
        <w:rPr>
          <w:lang w:val="fr-CH"/>
        </w:rPr>
        <w:t> </w:t>
      </w:r>
      <w:r w:rsidR="008A0B89" w:rsidRPr="00E454D1">
        <w:rPr>
          <w:lang w:val="fr-CH"/>
        </w:rPr>
        <w:t>DHS et les principes directeurs d</w:t>
      </w:r>
      <w:r w:rsidR="00E454D1">
        <w:rPr>
          <w:lang w:val="fr-CH"/>
        </w:rPr>
        <w:t>’</w:t>
      </w:r>
      <w:r w:rsidR="008A0B89" w:rsidRPr="00E454D1">
        <w:rPr>
          <w:lang w:val="fr-CH"/>
        </w:rPr>
        <w:t>examen soient élaborés conformément aux attentes des utilisateurs du système.</w:t>
      </w:r>
    </w:p>
    <w:p w:rsidR="00D75FE9" w:rsidRPr="00E454D1" w:rsidRDefault="00D75FE9" w:rsidP="00C13C5C">
      <w:pPr>
        <w:rPr>
          <w:lang w:val="fr-CH"/>
        </w:rPr>
      </w:pPr>
    </w:p>
    <w:p w:rsidR="00D75FE9" w:rsidRPr="00E454D1" w:rsidRDefault="00C13C5C" w:rsidP="00913AAD">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8A0B89" w:rsidRPr="00E454D1">
        <w:rPr>
          <w:lang w:val="fr-CH"/>
        </w:rPr>
        <w:t>Le TWV est convenu que les caractères de résistance aux maladies étaient importants pour l</w:t>
      </w:r>
      <w:r w:rsidR="00E454D1">
        <w:rPr>
          <w:lang w:val="fr-CH"/>
        </w:rPr>
        <w:t>’</w:t>
      </w:r>
      <w:r w:rsidR="008A0B89" w:rsidRPr="00E454D1">
        <w:rPr>
          <w:lang w:val="fr-CH"/>
        </w:rPr>
        <w:t>examen</w:t>
      </w:r>
      <w:r w:rsidR="00124C91" w:rsidRPr="00E454D1">
        <w:rPr>
          <w:lang w:val="fr-CH"/>
        </w:rPr>
        <w:t> </w:t>
      </w:r>
      <w:r w:rsidR="008A0B89" w:rsidRPr="00E454D1">
        <w:rPr>
          <w:lang w:val="fr-CH"/>
        </w:rPr>
        <w:t>DHS, notamment pour la distinction, le groupement et les descriptions variétal</w:t>
      </w:r>
      <w:r w:rsidR="00C77A34" w:rsidRPr="00E454D1">
        <w:rPr>
          <w:lang w:val="fr-CH"/>
        </w:rPr>
        <w:t>es</w:t>
      </w:r>
      <w:r w:rsidR="00C77A34">
        <w:rPr>
          <w:lang w:val="fr-CH"/>
        </w:rPr>
        <w:t xml:space="preserve">.  </w:t>
      </w:r>
      <w:r w:rsidR="00C77A34" w:rsidRPr="00E454D1">
        <w:rPr>
          <w:lang w:val="fr-CH"/>
        </w:rPr>
        <w:t>Il</w:t>
      </w:r>
      <w:r w:rsidR="00913AAD" w:rsidRPr="00E454D1">
        <w:rPr>
          <w:lang w:val="fr-CH"/>
        </w:rPr>
        <w:t xml:space="preserve"> est donc convenu qu</w:t>
      </w:r>
      <w:r w:rsidR="00E454D1">
        <w:rPr>
          <w:lang w:val="fr-CH"/>
        </w:rPr>
        <w:t>’</w:t>
      </w:r>
      <w:r w:rsidR="00913AAD" w:rsidRPr="00E454D1">
        <w:rPr>
          <w:lang w:val="fr-CH"/>
        </w:rPr>
        <w:t>il incombait à chaque TWP de mettre à jour les principes directeurs d</w:t>
      </w:r>
      <w:r w:rsidR="00E454D1">
        <w:rPr>
          <w:lang w:val="fr-CH"/>
        </w:rPr>
        <w:t>’</w:t>
      </w:r>
      <w:r w:rsidR="00913AAD" w:rsidRPr="00E454D1">
        <w:rPr>
          <w:lang w:val="fr-CH"/>
        </w:rPr>
        <w:t>examen, le cas échéant, et de prendre le temps nécessaire pour inclure ou actualiser les caractères selon une méthode approuvée pour l</w:t>
      </w:r>
      <w:r w:rsidR="00E454D1">
        <w:rPr>
          <w:lang w:val="fr-CH"/>
        </w:rPr>
        <w:t>’</w:t>
      </w:r>
      <w:r w:rsidR="00913AAD" w:rsidRPr="00E454D1">
        <w:rPr>
          <w:lang w:val="fr-CH"/>
        </w:rPr>
        <w:t>évaluation des caractères (par exemple, type d</w:t>
      </w:r>
      <w:r w:rsidR="00E454D1">
        <w:rPr>
          <w:lang w:val="fr-CH"/>
        </w:rPr>
        <w:t>’</w:t>
      </w:r>
      <w:r w:rsidR="00913AAD" w:rsidRPr="00E454D1">
        <w:rPr>
          <w:lang w:val="fr-CH"/>
        </w:rPr>
        <w:t>expression QN/QL, terminologie convenue) et pour le respect du protocole thérapeutique vali</w:t>
      </w:r>
      <w:r w:rsidR="00C77A34" w:rsidRPr="00E454D1">
        <w:rPr>
          <w:lang w:val="fr-CH"/>
        </w:rPr>
        <w:t>dé</w:t>
      </w:r>
      <w:r w:rsidR="00C77A34">
        <w:rPr>
          <w:lang w:val="fr-CH"/>
        </w:rPr>
        <w:t xml:space="preserve">.  </w:t>
      </w:r>
      <w:r w:rsidR="00C77A34" w:rsidRPr="00E454D1">
        <w:rPr>
          <w:lang w:val="fr-CH"/>
        </w:rPr>
        <w:t>Po</w:t>
      </w:r>
      <w:r w:rsidR="00913AAD" w:rsidRPr="00E454D1">
        <w:rPr>
          <w:lang w:val="fr-CH"/>
        </w:rPr>
        <w:t>ur atteindre cet objectif,</w:t>
      </w:r>
      <w:r w:rsidR="002F2D47" w:rsidRPr="00E454D1">
        <w:rPr>
          <w:lang w:val="fr-CH"/>
        </w:rPr>
        <w:t xml:space="preserve"> le TWV</w:t>
      </w:r>
      <w:r w:rsidR="00913AAD" w:rsidRPr="00E454D1">
        <w:rPr>
          <w:lang w:val="fr-CH"/>
        </w:rPr>
        <w:t xml:space="preserve"> est convenu que toutes les parties prenantes (c</w:t>
      </w:r>
      <w:r w:rsidR="00E454D1">
        <w:rPr>
          <w:lang w:val="fr-CH"/>
        </w:rPr>
        <w:t>’</w:t>
      </w:r>
      <w:r w:rsidR="00913AAD" w:rsidRPr="00E454D1">
        <w:rPr>
          <w:lang w:val="fr-CH"/>
        </w:rPr>
        <w:t>est</w:t>
      </w:r>
      <w:r w:rsidR="00E454D1">
        <w:rPr>
          <w:lang w:val="fr-CH"/>
        </w:rPr>
        <w:t>-</w:t>
      </w:r>
      <w:r w:rsidR="00913AAD" w:rsidRPr="00E454D1">
        <w:rPr>
          <w:lang w:val="fr-CH"/>
        </w:rPr>
        <w:t>à</w:t>
      </w:r>
      <w:r w:rsidR="00E454D1">
        <w:rPr>
          <w:lang w:val="fr-CH"/>
        </w:rPr>
        <w:t>-</w:t>
      </w:r>
      <w:r w:rsidR="00913AAD" w:rsidRPr="00E454D1">
        <w:rPr>
          <w:lang w:val="fr-CH"/>
        </w:rPr>
        <w:t>dire les experts DHS, les pathologistes, les obtenteurs) devaient être consultées ou sollicitées et qu</w:t>
      </w:r>
      <w:r w:rsidR="00E454D1">
        <w:rPr>
          <w:lang w:val="fr-CH"/>
        </w:rPr>
        <w:t>’</w:t>
      </w:r>
      <w:r w:rsidR="00913AAD" w:rsidRPr="00E454D1">
        <w:rPr>
          <w:lang w:val="fr-CH"/>
        </w:rPr>
        <w:t>un délai suffisant devait être prévu afin de permettre à tous les services d</w:t>
      </w:r>
      <w:r w:rsidR="00E454D1">
        <w:rPr>
          <w:lang w:val="fr-CH"/>
        </w:rPr>
        <w:t>’</w:t>
      </w:r>
      <w:r w:rsidR="00913AAD" w:rsidRPr="00E454D1">
        <w:rPr>
          <w:lang w:val="fr-CH"/>
        </w:rPr>
        <w:t>examen</w:t>
      </w:r>
      <w:r w:rsidR="00124C91" w:rsidRPr="00E454D1">
        <w:rPr>
          <w:lang w:val="fr-CH"/>
        </w:rPr>
        <w:t> </w:t>
      </w:r>
      <w:r w:rsidR="00913AAD" w:rsidRPr="00E454D1">
        <w:rPr>
          <w:lang w:val="fr-CH"/>
        </w:rPr>
        <w:t>DHS de se mettre d</w:t>
      </w:r>
      <w:r w:rsidR="00E454D1">
        <w:rPr>
          <w:lang w:val="fr-CH"/>
        </w:rPr>
        <w:t>’</w:t>
      </w:r>
      <w:r w:rsidR="00913AAD" w:rsidRPr="00E454D1">
        <w:rPr>
          <w:lang w:val="fr-CH"/>
        </w:rPr>
        <w:t>accord avant d</w:t>
      </w:r>
      <w:r w:rsidR="00E454D1">
        <w:rPr>
          <w:lang w:val="fr-CH"/>
        </w:rPr>
        <w:t>’</w:t>
      </w:r>
      <w:r w:rsidR="00913AAD" w:rsidRPr="00E454D1">
        <w:rPr>
          <w:lang w:val="fr-CH"/>
        </w:rPr>
        <w:t xml:space="preserve">ajouter de nouveaux caractères de résistance ou un nouveau protocole </w:t>
      </w:r>
      <w:r w:rsidR="000901F1" w:rsidRPr="00E454D1">
        <w:rPr>
          <w:lang w:val="fr-CH"/>
        </w:rPr>
        <w:t>thérapeutique</w:t>
      </w:r>
      <w:r w:rsidR="00913AAD" w:rsidRPr="00E454D1">
        <w:rPr>
          <w:lang w:val="fr-CH"/>
        </w:rPr>
        <w:t>.</w:t>
      </w:r>
    </w:p>
    <w:p w:rsidR="00D75FE9" w:rsidRPr="00E454D1" w:rsidRDefault="00D75FE9" w:rsidP="001101C2">
      <w:pPr>
        <w:rPr>
          <w:lang w:val="fr-CH"/>
        </w:rPr>
      </w:pPr>
    </w:p>
    <w:p w:rsidR="002F2D47" w:rsidRPr="00E454D1" w:rsidRDefault="009956BC" w:rsidP="00913AAD">
      <w:pPr>
        <w:tabs>
          <w:tab w:val="left" w:pos="5387"/>
          <w:tab w:val="left" w:pos="5954"/>
        </w:tabs>
        <w:ind w:left="4820"/>
        <w:rPr>
          <w:rFonts w:cs="Arial"/>
          <w:bCs/>
          <w:i/>
          <w:snapToGrid w:val="0"/>
          <w:lang w:val="fr-CH"/>
        </w:rPr>
      </w:pPr>
      <w:r w:rsidRPr="00E454D1">
        <w:rPr>
          <w:rFonts w:cs="Arial"/>
          <w:bCs/>
          <w:i/>
          <w:snapToGrid w:val="0"/>
          <w:lang w:val="fr-CH"/>
        </w:rPr>
        <w:fldChar w:fldCharType="begin"/>
      </w:r>
      <w:r w:rsidRPr="00E454D1">
        <w:rPr>
          <w:rFonts w:cs="Arial"/>
          <w:bCs/>
          <w:i/>
          <w:snapToGrid w:val="0"/>
          <w:lang w:val="fr-CH"/>
        </w:rPr>
        <w:instrText xml:space="preserve"> AUTONUM  </w:instrText>
      </w:r>
      <w:r w:rsidRPr="00E454D1">
        <w:rPr>
          <w:rFonts w:cs="Arial"/>
          <w:bCs/>
          <w:i/>
          <w:snapToGrid w:val="0"/>
          <w:lang w:val="fr-CH"/>
        </w:rPr>
        <w:fldChar w:fldCharType="end"/>
      </w:r>
      <w:r w:rsidRPr="00E454D1">
        <w:rPr>
          <w:rFonts w:cs="Arial"/>
          <w:bCs/>
          <w:i/>
          <w:snapToGrid w:val="0"/>
          <w:lang w:val="fr-CH"/>
        </w:rPr>
        <w:tab/>
      </w:r>
      <w:r w:rsidR="00913AAD" w:rsidRPr="00E454D1">
        <w:rPr>
          <w:rFonts w:cs="Arial"/>
          <w:bCs/>
          <w:i/>
          <w:snapToGrid w:val="0"/>
          <w:lang w:val="fr-CH"/>
        </w:rPr>
        <w:t>Le</w:t>
      </w:r>
      <w:r w:rsidR="00E454D1">
        <w:rPr>
          <w:rFonts w:cs="Arial"/>
          <w:bCs/>
          <w:i/>
          <w:snapToGrid w:val="0"/>
          <w:lang w:val="fr-CH"/>
        </w:rPr>
        <w:t> TC</w:t>
      </w:r>
      <w:r w:rsidR="00913AAD" w:rsidRPr="00E454D1">
        <w:rPr>
          <w:rFonts w:cs="Arial"/>
          <w:bCs/>
          <w:i/>
          <w:snapToGrid w:val="0"/>
          <w:lang w:val="fr-CH"/>
        </w:rPr>
        <w:t xml:space="preserve"> est invité à noter que</w:t>
      </w:r>
      <w:r w:rsidR="002F2D47" w:rsidRPr="00E454D1">
        <w:rPr>
          <w:rFonts w:cs="Arial"/>
          <w:bCs/>
          <w:i/>
          <w:snapToGrid w:val="0"/>
          <w:lang w:val="fr-CH"/>
        </w:rPr>
        <w:t xml:space="preserve"> le TWV</w:t>
      </w:r>
      <w:r w:rsidR="00913AAD" w:rsidRPr="00E454D1">
        <w:rPr>
          <w:rFonts w:cs="Arial"/>
          <w:bCs/>
          <w:i/>
          <w:snapToGrid w:val="0"/>
          <w:lang w:val="fr-CH"/>
        </w:rPr>
        <w:t xml:space="preserve"> est convenu que les orientations figurant dans les documents UPOV concernant l</w:t>
      </w:r>
      <w:r w:rsidR="00E454D1">
        <w:rPr>
          <w:rFonts w:cs="Arial"/>
          <w:bCs/>
          <w:i/>
          <w:snapToGrid w:val="0"/>
          <w:lang w:val="fr-CH"/>
        </w:rPr>
        <w:t>’</w:t>
      </w:r>
      <w:r w:rsidR="00913AAD" w:rsidRPr="00E454D1">
        <w:rPr>
          <w:rFonts w:cs="Arial"/>
          <w:bCs/>
          <w:i/>
          <w:snapToGrid w:val="0"/>
          <w:lang w:val="fr-CH"/>
        </w:rPr>
        <w:t>utilisation des caractères de résistance aux maladies dans les principes directeurs d</w:t>
      </w:r>
      <w:r w:rsidR="00E454D1">
        <w:rPr>
          <w:rFonts w:cs="Arial"/>
          <w:bCs/>
          <w:i/>
          <w:snapToGrid w:val="0"/>
          <w:lang w:val="fr-CH"/>
        </w:rPr>
        <w:t>’</w:t>
      </w:r>
      <w:r w:rsidR="00913AAD" w:rsidRPr="00E454D1">
        <w:rPr>
          <w:rFonts w:cs="Arial"/>
          <w:bCs/>
          <w:i/>
          <w:snapToGrid w:val="0"/>
          <w:lang w:val="fr-CH"/>
        </w:rPr>
        <w:t>examen et dans l</w:t>
      </w:r>
      <w:r w:rsidR="00E454D1">
        <w:rPr>
          <w:rFonts w:cs="Arial"/>
          <w:bCs/>
          <w:i/>
          <w:snapToGrid w:val="0"/>
          <w:lang w:val="fr-CH"/>
        </w:rPr>
        <w:t>’</w:t>
      </w:r>
      <w:r w:rsidR="00913AAD" w:rsidRPr="00E454D1">
        <w:rPr>
          <w:rFonts w:cs="Arial"/>
          <w:bCs/>
          <w:i/>
          <w:snapToGrid w:val="0"/>
          <w:lang w:val="fr-CH"/>
        </w:rPr>
        <w:t>examen</w:t>
      </w:r>
      <w:r w:rsidR="00124C91" w:rsidRPr="00E454D1">
        <w:rPr>
          <w:rFonts w:cs="Arial"/>
          <w:bCs/>
          <w:i/>
          <w:snapToGrid w:val="0"/>
          <w:lang w:val="fr-CH"/>
        </w:rPr>
        <w:t> </w:t>
      </w:r>
      <w:r w:rsidR="00913AAD" w:rsidRPr="00E454D1">
        <w:rPr>
          <w:rFonts w:cs="Arial"/>
          <w:bCs/>
          <w:i/>
          <w:snapToGrid w:val="0"/>
          <w:lang w:val="fr-CH"/>
        </w:rPr>
        <w:t xml:space="preserve">DHS étaient claires et suffisantes pour le moment, comme indiqué </w:t>
      </w:r>
      <w:r w:rsidR="00913AAD" w:rsidRPr="00C076EA">
        <w:rPr>
          <w:rFonts w:cs="Arial"/>
          <w:bCs/>
          <w:i/>
          <w:snapToGrid w:val="0"/>
          <w:lang w:val="fr-CH"/>
        </w:rPr>
        <w:t>au paragraphe 65.</w:t>
      </w:r>
    </w:p>
    <w:p w:rsidR="00D75FE9" w:rsidRPr="00E454D1" w:rsidRDefault="00D75FE9" w:rsidP="009956BC">
      <w:pPr>
        <w:rPr>
          <w:lang w:val="fr-CH"/>
        </w:rPr>
      </w:pPr>
    </w:p>
    <w:p w:rsidR="00D75FE9" w:rsidRPr="00E454D1" w:rsidRDefault="00D75FE9" w:rsidP="009956BC">
      <w:pPr>
        <w:rPr>
          <w:lang w:val="fr-CH"/>
        </w:rPr>
      </w:pPr>
    </w:p>
    <w:p w:rsidR="00D75FE9" w:rsidRPr="00E454D1" w:rsidRDefault="00913AAD" w:rsidP="00913AAD">
      <w:pPr>
        <w:keepNext/>
        <w:outlineLvl w:val="0"/>
        <w:rPr>
          <w:caps/>
          <w:lang w:val="fr-CH"/>
        </w:rPr>
      </w:pPr>
      <w:bookmarkStart w:id="46" w:name="_Toc22035934"/>
      <w:r w:rsidRPr="00E454D1">
        <w:rPr>
          <w:caps/>
          <w:lang w:val="fr-CH"/>
        </w:rPr>
        <w:t>Programme d</w:t>
      </w:r>
      <w:r w:rsidR="00E454D1">
        <w:rPr>
          <w:caps/>
          <w:lang w:val="fr-CH"/>
        </w:rPr>
        <w:t>’</w:t>
      </w:r>
      <w:r w:rsidRPr="00E454D1">
        <w:rPr>
          <w:caps/>
          <w:lang w:val="fr-CH"/>
        </w:rPr>
        <w:t>élaboration des documents TGP</w:t>
      </w:r>
      <w:bookmarkEnd w:id="46"/>
    </w:p>
    <w:p w:rsidR="00D75FE9" w:rsidRPr="00E454D1" w:rsidRDefault="00D75FE9" w:rsidP="009956BC">
      <w:pPr>
        <w:rPr>
          <w:lang w:val="fr-CH"/>
        </w:rPr>
      </w:pPr>
    </w:p>
    <w:p w:rsidR="002F2D47" w:rsidRPr="00E454D1" w:rsidRDefault="009956BC" w:rsidP="00913AAD">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913AAD" w:rsidRPr="00C076EA">
        <w:rPr>
          <w:lang w:val="fr-CH"/>
        </w:rPr>
        <w:t>L</w:t>
      </w:r>
      <w:r w:rsidR="00E454D1" w:rsidRPr="00C076EA">
        <w:rPr>
          <w:lang w:val="fr-CH"/>
        </w:rPr>
        <w:t>’</w:t>
      </w:r>
      <w:r w:rsidR="00913AAD" w:rsidRPr="00C076EA">
        <w:rPr>
          <w:lang w:val="fr-CH"/>
        </w:rPr>
        <w:t>annexe</w:t>
      </w:r>
      <w:r w:rsidR="00FE5010" w:rsidRPr="00C076EA">
        <w:rPr>
          <w:lang w:val="fr-CH"/>
        </w:rPr>
        <w:t> </w:t>
      </w:r>
      <w:r w:rsidR="00913AAD" w:rsidRPr="00C076EA">
        <w:rPr>
          <w:lang w:val="fr-CH"/>
        </w:rPr>
        <w:t>VI du</w:t>
      </w:r>
      <w:r w:rsidR="00913AAD" w:rsidRPr="00E454D1">
        <w:rPr>
          <w:lang w:val="fr-CH"/>
        </w:rPr>
        <w:t xml:space="preserve"> présent document contient le programme d</w:t>
      </w:r>
      <w:r w:rsidR="00E454D1">
        <w:rPr>
          <w:lang w:val="fr-CH"/>
        </w:rPr>
        <w:t>’</w:t>
      </w:r>
      <w:r w:rsidR="00913AAD" w:rsidRPr="00E454D1">
        <w:rPr>
          <w:lang w:val="fr-CH"/>
        </w:rPr>
        <w:t>élaboration des documents TGP tel que modifié sur la base des observations formulées par</w:t>
      </w:r>
      <w:r w:rsidR="002F2D47" w:rsidRPr="00E454D1">
        <w:rPr>
          <w:lang w:val="fr-CH"/>
        </w:rPr>
        <w:t xml:space="preserve"> les TWP</w:t>
      </w:r>
      <w:r w:rsidR="00913AAD" w:rsidRPr="00E454D1">
        <w:rPr>
          <w:lang w:val="fr-CH"/>
        </w:rPr>
        <w:t xml:space="preserve"> à leurs sessions </w:t>
      </w:r>
      <w:r w:rsidR="002F2D47" w:rsidRPr="00E454D1">
        <w:rPr>
          <w:lang w:val="fr-CH"/>
        </w:rPr>
        <w:t>de 2019</w:t>
      </w:r>
      <w:r w:rsidR="00913AAD" w:rsidRPr="00E454D1">
        <w:rPr>
          <w:lang w:val="fr-CH"/>
        </w:rPr>
        <w:t>.</w:t>
      </w:r>
    </w:p>
    <w:p w:rsidR="00D75FE9" w:rsidRPr="00E454D1" w:rsidRDefault="00D75FE9" w:rsidP="009956BC">
      <w:pPr>
        <w:rPr>
          <w:lang w:val="fr-CH"/>
        </w:rPr>
      </w:pPr>
    </w:p>
    <w:p w:rsidR="00D75FE9" w:rsidRPr="00E454D1" w:rsidRDefault="000C1143" w:rsidP="00913AAD">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913AAD" w:rsidRPr="00E454D1">
        <w:rPr>
          <w:lang w:val="fr-CH"/>
        </w:rPr>
        <w:t>Il est proposé d</w:t>
      </w:r>
      <w:r w:rsidR="00E454D1">
        <w:rPr>
          <w:lang w:val="fr-CH"/>
        </w:rPr>
        <w:t>’</w:t>
      </w:r>
      <w:r w:rsidR="00913AAD" w:rsidRPr="00E454D1">
        <w:rPr>
          <w:lang w:val="fr-CH"/>
        </w:rPr>
        <w:t>étendre la portée du présent document à l</w:t>
      </w:r>
      <w:r w:rsidR="00E454D1">
        <w:rPr>
          <w:lang w:val="fr-CH"/>
        </w:rPr>
        <w:t>’</w:t>
      </w:r>
      <w:r w:rsidR="00913AAD" w:rsidRPr="00E454D1">
        <w:rPr>
          <w:lang w:val="fr-CH"/>
        </w:rPr>
        <w:t>ensemble des documents d</w:t>
      </w:r>
      <w:r w:rsidR="00E454D1">
        <w:rPr>
          <w:lang w:val="fr-CH"/>
        </w:rPr>
        <w:t>’</w:t>
      </w:r>
      <w:r w:rsidR="00913AAD" w:rsidRPr="00E454D1">
        <w:rPr>
          <w:lang w:val="fr-CH"/>
        </w:rPr>
        <w:t>information pertinents, pour les futures sessions du</w:t>
      </w:r>
      <w:r w:rsidR="00E454D1">
        <w:rPr>
          <w:lang w:val="fr-CH"/>
        </w:rPr>
        <w:t> TC</w:t>
      </w:r>
      <w:r w:rsidR="00913AAD" w:rsidRPr="00E454D1">
        <w:rPr>
          <w:lang w:val="fr-CH"/>
        </w:rPr>
        <w:t>.</w:t>
      </w:r>
    </w:p>
    <w:p w:rsidR="00D75FE9" w:rsidRPr="00E454D1" w:rsidRDefault="00D75FE9" w:rsidP="009956BC">
      <w:pPr>
        <w:rPr>
          <w:lang w:val="fr-CH"/>
        </w:rPr>
      </w:pPr>
    </w:p>
    <w:p w:rsidR="00D75FE9" w:rsidRPr="00E454D1" w:rsidRDefault="009956BC" w:rsidP="00913AAD">
      <w:pPr>
        <w:keepNext/>
        <w:tabs>
          <w:tab w:val="left" w:pos="5387"/>
        </w:tabs>
        <w:ind w:left="4820"/>
        <w:rPr>
          <w:i/>
          <w:lang w:val="fr-CH"/>
        </w:rPr>
      </w:pPr>
      <w:r w:rsidRPr="00E454D1">
        <w:rPr>
          <w:i/>
          <w:lang w:val="fr-CH"/>
        </w:rPr>
        <w:fldChar w:fldCharType="begin"/>
      </w:r>
      <w:r w:rsidRPr="00E454D1">
        <w:rPr>
          <w:i/>
          <w:lang w:val="fr-CH"/>
        </w:rPr>
        <w:instrText xml:space="preserve"> AUTONUM  </w:instrText>
      </w:r>
      <w:r w:rsidRPr="00E454D1">
        <w:rPr>
          <w:i/>
          <w:lang w:val="fr-CH"/>
        </w:rPr>
        <w:fldChar w:fldCharType="end"/>
      </w:r>
      <w:r w:rsidRPr="00E454D1">
        <w:rPr>
          <w:i/>
          <w:lang w:val="fr-CH"/>
        </w:rPr>
        <w:tab/>
      </w:r>
      <w:r w:rsidR="00913AAD" w:rsidRPr="00E454D1">
        <w:rPr>
          <w:i/>
          <w:lang w:val="fr-CH"/>
        </w:rPr>
        <w:t>Le</w:t>
      </w:r>
      <w:r w:rsidR="00E454D1">
        <w:rPr>
          <w:i/>
          <w:lang w:val="fr-CH"/>
        </w:rPr>
        <w:t> TC</w:t>
      </w:r>
      <w:r w:rsidR="00913AAD" w:rsidRPr="00E454D1">
        <w:rPr>
          <w:i/>
          <w:lang w:val="fr-CH"/>
        </w:rPr>
        <w:t xml:space="preserve"> est invité à examiner</w:t>
      </w:r>
    </w:p>
    <w:p w:rsidR="00D75FE9" w:rsidRPr="00E454D1" w:rsidRDefault="00D75FE9" w:rsidP="00193892">
      <w:pPr>
        <w:keepNext/>
        <w:tabs>
          <w:tab w:val="left" w:pos="5387"/>
        </w:tabs>
        <w:ind w:left="4820"/>
        <w:rPr>
          <w:i/>
          <w:lang w:val="fr-CH"/>
        </w:rPr>
      </w:pPr>
    </w:p>
    <w:p w:rsidR="00D75FE9" w:rsidRPr="00E454D1" w:rsidRDefault="000C1143" w:rsidP="00913AAD">
      <w:pPr>
        <w:keepNext/>
        <w:tabs>
          <w:tab w:val="left" w:pos="5387"/>
          <w:tab w:val="left" w:pos="5954"/>
        </w:tabs>
        <w:ind w:left="4820"/>
        <w:rPr>
          <w:i/>
          <w:lang w:val="fr-CH"/>
        </w:rPr>
      </w:pPr>
      <w:r w:rsidRPr="00E454D1">
        <w:rPr>
          <w:i/>
          <w:lang w:val="fr-CH"/>
        </w:rPr>
        <w:tab/>
      </w:r>
      <w:r w:rsidR="00913AAD" w:rsidRPr="00E454D1">
        <w:rPr>
          <w:i/>
          <w:lang w:val="fr-CH"/>
        </w:rPr>
        <w:t>a)</w:t>
      </w:r>
      <w:r w:rsidR="00913AAD" w:rsidRPr="00E454D1">
        <w:rPr>
          <w:i/>
          <w:lang w:val="fr-CH"/>
        </w:rPr>
        <w:tab/>
        <w:t xml:space="preserve">le programme </w:t>
      </w:r>
      <w:r w:rsidR="000901F1" w:rsidRPr="00E454D1">
        <w:rPr>
          <w:i/>
          <w:lang w:val="fr-CH"/>
        </w:rPr>
        <w:t>d</w:t>
      </w:r>
      <w:r w:rsidR="00E454D1">
        <w:rPr>
          <w:i/>
          <w:lang w:val="fr-CH"/>
        </w:rPr>
        <w:t>’</w:t>
      </w:r>
      <w:r w:rsidR="000901F1" w:rsidRPr="00E454D1">
        <w:rPr>
          <w:i/>
          <w:lang w:val="fr-CH"/>
        </w:rPr>
        <w:t>élaboration des documents TGP</w:t>
      </w:r>
      <w:r w:rsidR="00913AAD" w:rsidRPr="00E454D1">
        <w:rPr>
          <w:i/>
          <w:lang w:val="fr-CH"/>
        </w:rPr>
        <w:t xml:space="preserve"> qui figure </w:t>
      </w:r>
      <w:r w:rsidR="00913AAD" w:rsidRPr="00C076EA">
        <w:rPr>
          <w:i/>
          <w:lang w:val="fr-CH"/>
        </w:rPr>
        <w:t>à l</w:t>
      </w:r>
      <w:r w:rsidR="00E454D1" w:rsidRPr="00C076EA">
        <w:rPr>
          <w:i/>
          <w:lang w:val="fr-CH"/>
        </w:rPr>
        <w:t>’</w:t>
      </w:r>
      <w:r w:rsidR="00913AAD" w:rsidRPr="00C076EA">
        <w:rPr>
          <w:i/>
          <w:lang w:val="fr-CH"/>
        </w:rPr>
        <w:t>annexe</w:t>
      </w:r>
      <w:r w:rsidR="00FE5010" w:rsidRPr="00C076EA">
        <w:rPr>
          <w:i/>
          <w:lang w:val="fr-CH"/>
        </w:rPr>
        <w:t> </w:t>
      </w:r>
      <w:r w:rsidR="00913AAD" w:rsidRPr="00C076EA">
        <w:rPr>
          <w:i/>
          <w:lang w:val="fr-CH"/>
        </w:rPr>
        <w:t>VI</w:t>
      </w:r>
      <w:r w:rsidR="000901F1" w:rsidRPr="00C076EA">
        <w:rPr>
          <w:i/>
          <w:lang w:val="fr-CH"/>
        </w:rPr>
        <w:t xml:space="preserve"> du présent</w:t>
      </w:r>
      <w:r w:rsidR="000901F1" w:rsidRPr="00E454D1">
        <w:rPr>
          <w:i/>
          <w:lang w:val="fr-CH"/>
        </w:rPr>
        <w:t xml:space="preserve"> document</w:t>
      </w:r>
      <w:r w:rsidR="00913AAD" w:rsidRPr="00E454D1">
        <w:rPr>
          <w:i/>
          <w:lang w:val="fr-CH"/>
        </w:rPr>
        <w:t xml:space="preserve"> et</w:t>
      </w:r>
    </w:p>
    <w:p w:rsidR="00D75FE9" w:rsidRPr="00E454D1" w:rsidRDefault="00D75FE9" w:rsidP="000C1143">
      <w:pPr>
        <w:tabs>
          <w:tab w:val="left" w:pos="5387"/>
          <w:tab w:val="left" w:pos="5954"/>
        </w:tabs>
        <w:ind w:left="4820"/>
        <w:rPr>
          <w:i/>
          <w:lang w:val="fr-CH"/>
        </w:rPr>
      </w:pPr>
    </w:p>
    <w:p w:rsidR="00D75FE9" w:rsidRPr="00E454D1" w:rsidRDefault="000C1143" w:rsidP="00913AAD">
      <w:pPr>
        <w:tabs>
          <w:tab w:val="left" w:pos="5387"/>
          <w:tab w:val="left" w:pos="5954"/>
        </w:tabs>
        <w:ind w:left="4820"/>
        <w:rPr>
          <w:i/>
          <w:lang w:val="fr-CH"/>
        </w:rPr>
      </w:pPr>
      <w:r w:rsidRPr="00E454D1">
        <w:rPr>
          <w:i/>
          <w:lang w:val="fr-CH"/>
        </w:rPr>
        <w:tab/>
      </w:r>
      <w:r w:rsidR="00913AAD" w:rsidRPr="00E454D1">
        <w:rPr>
          <w:i/>
          <w:lang w:val="fr-CH"/>
        </w:rPr>
        <w:t>b)</w:t>
      </w:r>
      <w:r w:rsidR="00913AAD" w:rsidRPr="00E454D1">
        <w:rPr>
          <w:i/>
          <w:lang w:val="fr-CH"/>
        </w:rPr>
        <w:tab/>
        <w:t>la proposition d</w:t>
      </w:r>
      <w:r w:rsidR="00E454D1">
        <w:rPr>
          <w:i/>
          <w:lang w:val="fr-CH"/>
        </w:rPr>
        <w:t>’</w:t>
      </w:r>
      <w:r w:rsidR="00913AAD" w:rsidRPr="00E454D1">
        <w:rPr>
          <w:i/>
          <w:lang w:val="fr-CH"/>
        </w:rPr>
        <w:t>extension de la portée du présent document à l</w:t>
      </w:r>
      <w:r w:rsidR="00E454D1">
        <w:rPr>
          <w:i/>
          <w:lang w:val="fr-CH"/>
        </w:rPr>
        <w:t>’</w:t>
      </w:r>
      <w:r w:rsidR="00913AAD" w:rsidRPr="00E454D1">
        <w:rPr>
          <w:i/>
          <w:lang w:val="fr-CH"/>
        </w:rPr>
        <w:t>ensemble des documents d</w:t>
      </w:r>
      <w:r w:rsidR="00E454D1">
        <w:rPr>
          <w:i/>
          <w:lang w:val="fr-CH"/>
        </w:rPr>
        <w:t>’</w:t>
      </w:r>
      <w:r w:rsidR="00913AAD" w:rsidRPr="00E454D1">
        <w:rPr>
          <w:i/>
          <w:lang w:val="fr-CH"/>
        </w:rPr>
        <w:t>information pertinents</w:t>
      </w:r>
      <w:r w:rsidR="000901F1" w:rsidRPr="00E454D1">
        <w:rPr>
          <w:i/>
          <w:lang w:val="fr-CH"/>
        </w:rPr>
        <w:t>, pour se</w:t>
      </w:r>
      <w:r w:rsidR="00913AAD" w:rsidRPr="00E454D1">
        <w:rPr>
          <w:i/>
          <w:lang w:val="fr-CH"/>
        </w:rPr>
        <w:t>s futures sessions.</w:t>
      </w:r>
    </w:p>
    <w:p w:rsidR="00D75FE9" w:rsidRPr="00E454D1" w:rsidRDefault="00D75FE9" w:rsidP="009956BC">
      <w:pPr>
        <w:rPr>
          <w:rFonts w:cs="Arial"/>
          <w:bCs/>
          <w:snapToGrid w:val="0"/>
          <w:lang w:val="fr-CH"/>
        </w:rPr>
      </w:pPr>
    </w:p>
    <w:p w:rsidR="00D75FE9" w:rsidRPr="00E454D1" w:rsidRDefault="00D75FE9" w:rsidP="009956BC">
      <w:pPr>
        <w:rPr>
          <w:rFonts w:cs="Arial"/>
          <w:bCs/>
          <w:snapToGrid w:val="0"/>
          <w:lang w:val="fr-CH"/>
        </w:rPr>
      </w:pPr>
    </w:p>
    <w:bookmarkEnd w:id="35"/>
    <w:bookmarkEnd w:id="36"/>
    <w:bookmarkEnd w:id="37"/>
    <w:bookmarkEnd w:id="38"/>
    <w:p w:rsidR="002F2D47" w:rsidRPr="00E454D1" w:rsidRDefault="002F2D47" w:rsidP="009956BC">
      <w:pPr>
        <w:rPr>
          <w:rFonts w:cs="Arial"/>
          <w:bCs/>
          <w:snapToGrid w:val="0"/>
          <w:lang w:val="fr-CH"/>
        </w:rPr>
      </w:pPr>
    </w:p>
    <w:p w:rsidR="00D75FE9" w:rsidRPr="00E454D1" w:rsidRDefault="00913AAD" w:rsidP="00913AAD">
      <w:pPr>
        <w:jc w:val="right"/>
        <w:rPr>
          <w:snapToGrid w:val="0"/>
          <w:lang w:val="fr-CH"/>
        </w:rPr>
      </w:pPr>
      <w:r w:rsidRPr="00E454D1">
        <w:rPr>
          <w:snapToGrid w:val="0"/>
          <w:lang w:val="fr-CH"/>
        </w:rPr>
        <w:t>[Les annexes suivent]</w:t>
      </w:r>
    </w:p>
    <w:p w:rsidR="009956BC" w:rsidRPr="00E454D1" w:rsidRDefault="009956BC" w:rsidP="009956BC">
      <w:pPr>
        <w:jc w:val="right"/>
        <w:rPr>
          <w:snapToGrid w:val="0"/>
          <w:lang w:val="fr-CH"/>
        </w:rPr>
        <w:sectPr w:rsidR="009956BC" w:rsidRPr="00E454D1" w:rsidSect="001270B2">
          <w:headerReference w:type="default" r:id="rId11"/>
          <w:pgSz w:w="11907" w:h="16840" w:code="9"/>
          <w:pgMar w:top="709" w:right="1134" w:bottom="993" w:left="1134" w:header="510" w:footer="680" w:gutter="0"/>
          <w:pgNumType w:start="1"/>
          <w:cols w:space="720"/>
          <w:titlePg/>
        </w:sectPr>
      </w:pPr>
    </w:p>
    <w:p w:rsidR="00D75FE9" w:rsidRPr="00E454D1" w:rsidRDefault="00DC6D14" w:rsidP="00DC6D14">
      <w:pPr>
        <w:jc w:val="center"/>
        <w:rPr>
          <w:lang w:val="fr-CH"/>
        </w:rPr>
      </w:pPr>
      <w:r w:rsidRPr="00E454D1">
        <w:rPr>
          <w:lang w:val="fr-CH"/>
        </w:rPr>
        <w:lastRenderedPageBreak/>
        <w:t>QUESTIONS POUR ADOPTION PAR LE CONSEIL EN 2019</w:t>
      </w:r>
      <w:r w:rsidR="00E454D1">
        <w:rPr>
          <w:lang w:val="fr-CH"/>
        </w:rPr>
        <w:t> :</w:t>
      </w:r>
      <w:r w:rsidRPr="00E454D1">
        <w:rPr>
          <w:lang w:val="fr-CH"/>
        </w:rPr>
        <w:t xml:space="preserve"> RÉVISIONS DU DOCUMENT</w:t>
      </w:r>
      <w:r w:rsidR="00FE5010" w:rsidRPr="00E454D1">
        <w:rPr>
          <w:lang w:val="fr-CH"/>
        </w:rPr>
        <w:t> </w:t>
      </w:r>
      <w:r w:rsidRPr="00E454D1">
        <w:rPr>
          <w:lang w:val="fr-CH"/>
        </w:rPr>
        <w:t>TGP/7</w:t>
      </w:r>
    </w:p>
    <w:p w:rsidR="00D75FE9" w:rsidRPr="00E454D1" w:rsidRDefault="00D75FE9" w:rsidP="009956BC">
      <w:pPr>
        <w:rPr>
          <w:lang w:val="fr-CH"/>
        </w:rPr>
      </w:pPr>
    </w:p>
    <w:p w:rsidR="00D75FE9" w:rsidRPr="00E454D1" w:rsidRDefault="00DC6D14" w:rsidP="00DC6D14">
      <w:pPr>
        <w:rPr>
          <w:lang w:val="fr-CH"/>
        </w:rPr>
      </w:pPr>
      <w:r w:rsidRPr="00E454D1">
        <w:rPr>
          <w:lang w:val="fr-CH"/>
        </w:rPr>
        <w:t>Les révisions ci</w:t>
      </w:r>
      <w:r w:rsidR="00E454D1">
        <w:rPr>
          <w:lang w:val="fr-CH"/>
        </w:rPr>
        <w:t>-</w:t>
      </w:r>
      <w:r w:rsidRPr="00E454D1">
        <w:rPr>
          <w:lang w:val="fr-CH"/>
        </w:rPr>
        <w:t>après du document TGP/7 “Élaboration des principes directeurs d</w:t>
      </w:r>
      <w:r w:rsidR="00E454D1">
        <w:rPr>
          <w:lang w:val="fr-CH"/>
        </w:rPr>
        <w:t>’</w:t>
      </w:r>
      <w:r w:rsidRPr="00E454D1">
        <w:rPr>
          <w:lang w:val="fr-CH"/>
        </w:rPr>
        <w:t>examen” ont été approuvées par le Comité technique et seront proposées au Conseil pour adoption à sa cinquante</w:t>
      </w:r>
      <w:r w:rsidR="00E454D1">
        <w:rPr>
          <w:lang w:val="fr-CH"/>
        </w:rPr>
        <w:t>-</w:t>
      </w:r>
      <w:r w:rsidRPr="00E454D1">
        <w:rPr>
          <w:lang w:val="fr-CH"/>
        </w:rPr>
        <w:t>trois</w:t>
      </w:r>
      <w:r w:rsidR="00E454D1">
        <w:rPr>
          <w:lang w:val="fr-CH"/>
        </w:rPr>
        <w:t>ième session</w:t>
      </w:r>
      <w:r w:rsidRPr="00E454D1">
        <w:rPr>
          <w:lang w:val="fr-CH"/>
        </w:rPr>
        <w:t xml:space="preserve"> ordinaire qui se tiendra à Genève le</w:t>
      </w:r>
      <w:r w:rsidR="00E454D1">
        <w:rPr>
          <w:lang w:val="fr-CH"/>
        </w:rPr>
        <w:t xml:space="preserve"> 1</w:t>
      </w:r>
      <w:r w:rsidR="00E454D1" w:rsidRPr="00E454D1">
        <w:rPr>
          <w:vertAlign w:val="superscript"/>
          <w:lang w:val="fr-CH"/>
        </w:rPr>
        <w:t>er</w:t>
      </w:r>
      <w:r w:rsidR="00E454D1">
        <w:rPr>
          <w:lang w:val="fr-CH"/>
        </w:rPr>
        <w:t> </w:t>
      </w:r>
      <w:r w:rsidRPr="00E454D1">
        <w:rPr>
          <w:lang w:val="fr-CH"/>
        </w:rPr>
        <w:t>novembre</w:t>
      </w:r>
      <w:r w:rsidR="00090D74" w:rsidRPr="00E454D1">
        <w:rPr>
          <w:lang w:val="fr-CH"/>
        </w:rPr>
        <w:t> </w:t>
      </w:r>
      <w:r w:rsidRPr="00E454D1">
        <w:rPr>
          <w:lang w:val="fr-CH"/>
        </w:rPr>
        <w:t>2019, sous réserve de l</w:t>
      </w:r>
      <w:r w:rsidR="00E454D1">
        <w:rPr>
          <w:lang w:val="fr-CH"/>
        </w:rPr>
        <w:t>’</w:t>
      </w:r>
      <w:r w:rsidRPr="00E454D1">
        <w:rPr>
          <w:lang w:val="fr-CH"/>
        </w:rPr>
        <w:t>approbation</w:t>
      </w:r>
      <w:r w:rsidR="002F2D47" w:rsidRPr="00E454D1">
        <w:rPr>
          <w:lang w:val="fr-CH"/>
        </w:rPr>
        <w:t xml:space="preserve"> du CAJ</w:t>
      </w:r>
      <w:r w:rsidRPr="00E454D1">
        <w:rPr>
          <w:lang w:val="fr-CH"/>
        </w:rPr>
        <w:t xml:space="preserve"> à sa soixante</w:t>
      </w:r>
      <w:r w:rsidR="00E454D1">
        <w:rPr>
          <w:lang w:val="fr-CH"/>
        </w:rPr>
        <w:t>-</w:t>
      </w:r>
      <w:r w:rsidRPr="00E454D1">
        <w:rPr>
          <w:lang w:val="fr-CH"/>
        </w:rPr>
        <w:t>seiz</w:t>
      </w:r>
      <w:r w:rsidR="00E454D1">
        <w:rPr>
          <w:lang w:val="fr-CH"/>
        </w:rPr>
        <w:t>ième session</w:t>
      </w:r>
      <w:r w:rsidRPr="00E454D1">
        <w:rPr>
          <w:lang w:val="fr-CH"/>
        </w:rPr>
        <w:t xml:space="preserve"> qui se tiendra à Genève le 30</w:t>
      </w:r>
      <w:r w:rsidR="00090D74" w:rsidRPr="00E454D1">
        <w:rPr>
          <w:lang w:val="fr-CH"/>
        </w:rPr>
        <w:t> </w:t>
      </w:r>
      <w:r w:rsidRPr="00E454D1">
        <w:rPr>
          <w:lang w:val="fr-CH"/>
        </w:rPr>
        <w:t>octobre</w:t>
      </w:r>
      <w:r w:rsidR="00090D74" w:rsidRPr="00E454D1">
        <w:rPr>
          <w:lang w:val="fr-CH"/>
        </w:rPr>
        <w:t> </w:t>
      </w:r>
      <w:r w:rsidRPr="00E454D1">
        <w:rPr>
          <w:lang w:val="fr-CH"/>
        </w:rPr>
        <w:t xml:space="preserve">2019 (les éléments à supprimer sont </w:t>
      </w:r>
      <w:r w:rsidRPr="00E454D1">
        <w:rPr>
          <w:strike/>
          <w:highlight w:val="lightGray"/>
          <w:lang w:val="fr-CH"/>
        </w:rPr>
        <w:t>surlignés et biffés</w:t>
      </w:r>
      <w:r w:rsidRPr="00E454D1">
        <w:rPr>
          <w:lang w:val="fr-CH"/>
        </w:rPr>
        <w:t xml:space="preserve"> et les éléments à ajouter sont </w:t>
      </w:r>
      <w:r w:rsidRPr="00E454D1">
        <w:rPr>
          <w:highlight w:val="lightGray"/>
          <w:u w:val="single"/>
          <w:lang w:val="fr-CH"/>
        </w:rPr>
        <w:t>surlignés et soulignés</w:t>
      </w:r>
      <w:r w:rsidRPr="00E454D1">
        <w:rPr>
          <w:lang w:val="fr-CH"/>
        </w:rPr>
        <w:t>)</w:t>
      </w:r>
      <w:r w:rsidR="00E454D1">
        <w:rPr>
          <w:lang w:val="fr-CH"/>
        </w:rPr>
        <w:t> :</w:t>
      </w:r>
    </w:p>
    <w:p w:rsidR="00D75FE9" w:rsidRPr="00E454D1" w:rsidRDefault="00D75FE9" w:rsidP="009956BC">
      <w:pPr>
        <w:rPr>
          <w:lang w:val="fr-CH"/>
        </w:rPr>
      </w:pPr>
    </w:p>
    <w:p w:rsidR="002F2D47" w:rsidRPr="00E454D1" w:rsidRDefault="00DC6D14" w:rsidP="00DC6D14">
      <w:pPr>
        <w:rPr>
          <w:u w:val="single"/>
          <w:lang w:val="fr-CH"/>
        </w:rPr>
      </w:pPr>
      <w:r w:rsidRPr="00E454D1">
        <w:rPr>
          <w:u w:val="single"/>
          <w:lang w:val="fr-CH"/>
        </w:rPr>
        <w:t>i)</w:t>
      </w:r>
      <w:r w:rsidRPr="00E454D1">
        <w:rPr>
          <w:u w:val="single"/>
          <w:lang w:val="fr-CH"/>
        </w:rPr>
        <w:tab/>
        <w:t>Durée de l</w:t>
      </w:r>
      <w:r w:rsidR="00E454D1">
        <w:rPr>
          <w:u w:val="single"/>
          <w:lang w:val="fr-CH"/>
        </w:rPr>
        <w:t>’</w:t>
      </w:r>
      <w:r w:rsidRPr="00E454D1">
        <w:rPr>
          <w:u w:val="single"/>
          <w:lang w:val="fr-CH"/>
        </w:rPr>
        <w:t>examen</w:t>
      </w:r>
      <w:r w:rsidR="00124C91" w:rsidRPr="00E454D1">
        <w:rPr>
          <w:u w:val="single"/>
          <w:lang w:val="fr-CH"/>
        </w:rPr>
        <w:t> </w:t>
      </w:r>
      <w:r w:rsidRPr="00E454D1">
        <w:rPr>
          <w:u w:val="single"/>
          <w:lang w:val="fr-CH"/>
        </w:rPr>
        <w:t>DHS</w:t>
      </w:r>
    </w:p>
    <w:p w:rsidR="00D75FE9" w:rsidRPr="00E454D1" w:rsidRDefault="00D75FE9" w:rsidP="009956BC">
      <w:pPr>
        <w:rPr>
          <w:u w:val="single"/>
          <w:lang w:val="fr-CH"/>
        </w:rPr>
      </w:pPr>
    </w:p>
    <w:p w:rsidR="00D75FE9" w:rsidRPr="00E454D1" w:rsidRDefault="00DC6D14" w:rsidP="00DC6D14">
      <w:pPr>
        <w:rPr>
          <w:i/>
          <w:lang w:val="fr-CH"/>
        </w:rPr>
      </w:pPr>
      <w:r w:rsidRPr="00E454D1">
        <w:rPr>
          <w:i/>
          <w:lang w:val="fr-CH"/>
        </w:rPr>
        <w:t>Texte standard général</w:t>
      </w:r>
      <w:r w:rsidR="00E454D1">
        <w:rPr>
          <w:i/>
          <w:lang w:val="fr-CH"/>
        </w:rPr>
        <w:t> :</w:t>
      </w:r>
      <w:r w:rsidRPr="00E454D1">
        <w:rPr>
          <w:i/>
          <w:lang w:val="fr-CH"/>
        </w:rPr>
        <w:t xml:space="preserve"> Section</w:t>
      </w:r>
      <w:r w:rsidR="00FE5010" w:rsidRPr="00E454D1">
        <w:rPr>
          <w:i/>
          <w:lang w:val="fr-CH"/>
        </w:rPr>
        <w:t> </w:t>
      </w:r>
      <w:r w:rsidRPr="00E454D1">
        <w:rPr>
          <w:i/>
          <w:lang w:val="fr-CH"/>
        </w:rPr>
        <w:t>3.1</w:t>
      </w:r>
      <w:r w:rsidR="00E454D1">
        <w:rPr>
          <w:i/>
          <w:lang w:val="fr-CH"/>
        </w:rPr>
        <w:t> :</w:t>
      </w:r>
      <w:r w:rsidRPr="00E454D1">
        <w:rPr>
          <w:i/>
          <w:lang w:val="fr-CH"/>
        </w:rPr>
        <w:t xml:space="preserve"> Nombre de cycles de végétation</w:t>
      </w:r>
    </w:p>
    <w:p w:rsidR="00D75FE9" w:rsidRPr="00E454D1" w:rsidRDefault="00D75FE9" w:rsidP="009956BC">
      <w:pPr>
        <w:rPr>
          <w:lang w:val="fr-CH"/>
        </w:rPr>
      </w:pPr>
    </w:p>
    <w:p w:rsidR="00D75FE9" w:rsidRPr="00E454D1" w:rsidRDefault="00DC6D14" w:rsidP="00DC6D14">
      <w:pPr>
        <w:rPr>
          <w:lang w:val="fr-CH"/>
        </w:rPr>
      </w:pPr>
      <w:r w:rsidRPr="00E454D1">
        <w:rPr>
          <w:lang w:val="fr-CH"/>
        </w:rPr>
        <w:t>À sa cinquante</w:t>
      </w:r>
      <w:r w:rsidR="00E454D1">
        <w:rPr>
          <w:lang w:val="fr-CH"/>
        </w:rPr>
        <w:t>-</w:t>
      </w:r>
      <w:r w:rsidRPr="00E454D1">
        <w:rPr>
          <w:lang w:val="fr-CH"/>
        </w:rPr>
        <w:t>quatr</w:t>
      </w:r>
      <w:r w:rsidR="00E454D1">
        <w:rPr>
          <w:lang w:val="fr-CH"/>
        </w:rPr>
        <w:t>ième session</w:t>
      </w:r>
      <w:r w:rsidRPr="00E454D1">
        <w:rPr>
          <w:lang w:val="fr-CH"/>
        </w:rPr>
        <w:t>, le</w:t>
      </w:r>
      <w:r w:rsidR="00E454D1">
        <w:rPr>
          <w:lang w:val="fr-CH"/>
        </w:rPr>
        <w:t> TC</w:t>
      </w:r>
      <w:r w:rsidRPr="00E454D1">
        <w:rPr>
          <w:lang w:val="fr-CH"/>
        </w:rPr>
        <w:t xml:space="preserve"> a examiné le </w:t>
      </w:r>
      <w:r w:rsidR="00E454D1" w:rsidRPr="00E454D1">
        <w:rPr>
          <w:lang w:val="fr-CH"/>
        </w:rPr>
        <w:t>document</w:t>
      </w:r>
      <w:r w:rsidR="00E454D1">
        <w:rPr>
          <w:lang w:val="fr-CH"/>
        </w:rPr>
        <w:t xml:space="preserve"> TC</w:t>
      </w:r>
      <w:r w:rsidRPr="00E454D1">
        <w:rPr>
          <w:lang w:val="fr-CH"/>
        </w:rPr>
        <w:t>/54/14 “Durée de l</w:t>
      </w:r>
      <w:r w:rsidR="00E454D1">
        <w:rPr>
          <w:lang w:val="fr-CH"/>
        </w:rPr>
        <w:t>’</w:t>
      </w:r>
      <w:r w:rsidRPr="00E454D1">
        <w:rPr>
          <w:lang w:val="fr-CH"/>
        </w:rPr>
        <w:t>examen</w:t>
      </w:r>
      <w:r w:rsidR="00124C91" w:rsidRPr="00E454D1">
        <w:rPr>
          <w:lang w:val="fr-CH"/>
        </w:rPr>
        <w:t> </w:t>
      </w:r>
      <w:r w:rsidRPr="00E454D1">
        <w:rPr>
          <w:lang w:val="fr-CH"/>
        </w:rPr>
        <w:t>DHS” (voir les paragraphes</w:t>
      </w:r>
      <w:r w:rsidR="00FE5010" w:rsidRPr="00E454D1">
        <w:rPr>
          <w:lang w:val="fr-CH"/>
        </w:rPr>
        <w:t> </w:t>
      </w:r>
      <w:r w:rsidRPr="00E454D1">
        <w:rPr>
          <w:lang w:val="fr-CH"/>
        </w:rPr>
        <w:t>2</w:t>
      </w:r>
      <w:r w:rsidR="000901F1" w:rsidRPr="00E454D1">
        <w:rPr>
          <w:lang w:val="fr-CH"/>
        </w:rPr>
        <w:t>1</w:t>
      </w:r>
      <w:r w:rsidRPr="00E454D1">
        <w:rPr>
          <w:lang w:val="fr-CH"/>
        </w:rPr>
        <w:t>0 à 2</w:t>
      </w:r>
      <w:r w:rsidR="000901F1" w:rsidRPr="00E454D1">
        <w:rPr>
          <w:lang w:val="fr-CH"/>
        </w:rPr>
        <w:t>1</w:t>
      </w:r>
      <w:r w:rsidRPr="00E454D1">
        <w:rPr>
          <w:lang w:val="fr-CH"/>
        </w:rPr>
        <w:t xml:space="preserve">2 du </w:t>
      </w:r>
      <w:r w:rsidR="00E454D1" w:rsidRPr="00E454D1">
        <w:rPr>
          <w:lang w:val="fr-CH"/>
        </w:rPr>
        <w:t>document</w:t>
      </w:r>
      <w:r w:rsidR="00E454D1">
        <w:rPr>
          <w:lang w:val="fr-CH"/>
        </w:rPr>
        <w:t xml:space="preserve"> TC</w:t>
      </w:r>
      <w:r w:rsidRPr="00E454D1">
        <w:rPr>
          <w:lang w:val="fr-CH"/>
        </w:rPr>
        <w:t>/54/31</w:t>
      </w:r>
      <w:r w:rsidR="00124C91" w:rsidRPr="00E454D1">
        <w:rPr>
          <w:lang w:val="fr-CH"/>
        </w:rPr>
        <w:t> </w:t>
      </w:r>
      <w:r w:rsidR="00C76573" w:rsidRPr="00E454D1">
        <w:rPr>
          <w:lang w:val="fr-CH"/>
        </w:rPr>
        <w:t xml:space="preserve">Corr. </w:t>
      </w:r>
      <w:r w:rsidRPr="00E454D1">
        <w:rPr>
          <w:lang w:val="fr-CH"/>
        </w:rPr>
        <w:t>“Compte rendu”).</w:t>
      </w:r>
    </w:p>
    <w:p w:rsidR="00D75FE9" w:rsidRPr="00E454D1" w:rsidRDefault="00D75FE9" w:rsidP="009956BC">
      <w:pPr>
        <w:rPr>
          <w:lang w:val="fr-CH"/>
        </w:rPr>
      </w:pPr>
    </w:p>
    <w:p w:rsidR="00D75FE9" w:rsidRPr="00E454D1" w:rsidRDefault="005B7543" w:rsidP="005B7543">
      <w:pPr>
        <w:rPr>
          <w:lang w:val="fr-CH"/>
        </w:rPr>
      </w:pPr>
      <w:r w:rsidRPr="00E454D1">
        <w:rPr>
          <w:lang w:val="fr-CH"/>
        </w:rPr>
        <w:t>Le</w:t>
      </w:r>
      <w:r w:rsidR="00E454D1">
        <w:rPr>
          <w:lang w:val="fr-CH"/>
        </w:rPr>
        <w:t> TC</w:t>
      </w:r>
      <w:r w:rsidRPr="00E454D1">
        <w:rPr>
          <w:lang w:val="fr-CH"/>
        </w:rPr>
        <w:t xml:space="preserve"> est convenu que les orientations figurant dans le </w:t>
      </w:r>
      <w:r w:rsidR="002F2D47" w:rsidRPr="00E454D1">
        <w:rPr>
          <w:lang w:val="fr-CH"/>
        </w:rPr>
        <w:t>document TG</w:t>
      </w:r>
      <w:r w:rsidRPr="00E454D1">
        <w:rPr>
          <w:lang w:val="fr-CH"/>
        </w:rPr>
        <w:t xml:space="preserve">P/7 devaient être modifiées </w:t>
      </w:r>
      <w:r w:rsidR="000901F1" w:rsidRPr="00E454D1">
        <w:rPr>
          <w:lang w:val="fr-CH"/>
        </w:rPr>
        <w:t>afin de</w:t>
      </w:r>
      <w:r w:rsidRPr="00E454D1">
        <w:rPr>
          <w:lang w:val="fr-CH"/>
        </w:rPr>
        <w:t xml:space="preserve"> préciser que l</w:t>
      </w:r>
      <w:r w:rsidR="00E454D1">
        <w:rPr>
          <w:lang w:val="fr-CH"/>
        </w:rPr>
        <w:t>’</w:t>
      </w:r>
      <w:r w:rsidRPr="00E454D1">
        <w:rPr>
          <w:lang w:val="fr-CH"/>
        </w:rPr>
        <w:t>examen d</w:t>
      </w:r>
      <w:r w:rsidR="00E454D1">
        <w:rPr>
          <w:lang w:val="fr-CH"/>
        </w:rPr>
        <w:t>’</w:t>
      </w:r>
      <w:r w:rsidRPr="00E454D1">
        <w:rPr>
          <w:lang w:val="fr-CH"/>
        </w:rPr>
        <w:t>une variété pouvait être achevé quand le service compétent pouvait déterminer avec certitude le résultat de l</w:t>
      </w:r>
      <w:r w:rsidR="00E454D1">
        <w:rPr>
          <w:lang w:val="fr-CH"/>
        </w:rPr>
        <w:t>’</w:t>
      </w:r>
      <w:r w:rsidRPr="00E454D1">
        <w:rPr>
          <w:lang w:val="fr-CH"/>
        </w:rPr>
        <w:t>examen.</w:t>
      </w:r>
    </w:p>
    <w:p w:rsidR="00D75FE9" w:rsidRPr="00E454D1" w:rsidRDefault="00D75FE9" w:rsidP="009956BC">
      <w:pPr>
        <w:rPr>
          <w:lang w:val="fr-CH"/>
        </w:rPr>
      </w:pPr>
    </w:p>
    <w:p w:rsidR="00D75FE9" w:rsidRPr="00E454D1" w:rsidRDefault="005B7543" w:rsidP="005B7543">
      <w:pPr>
        <w:rPr>
          <w:lang w:val="fr-CH"/>
        </w:rPr>
      </w:pPr>
      <w:r w:rsidRPr="00E454D1">
        <w:rPr>
          <w:lang w:val="fr-CH"/>
        </w:rPr>
        <w:t>Le</w:t>
      </w:r>
      <w:r w:rsidR="00E454D1">
        <w:rPr>
          <w:lang w:val="fr-CH"/>
        </w:rPr>
        <w:t> TC</w:t>
      </w:r>
      <w:r w:rsidRPr="00E454D1">
        <w:rPr>
          <w:lang w:val="fr-CH"/>
        </w:rPr>
        <w:t xml:space="preserve"> est convenu d</w:t>
      </w:r>
      <w:r w:rsidR="00E454D1">
        <w:rPr>
          <w:lang w:val="fr-CH"/>
        </w:rPr>
        <w:t>’</w:t>
      </w:r>
      <w:r w:rsidRPr="00E454D1">
        <w:rPr>
          <w:lang w:val="fr-CH"/>
        </w:rPr>
        <w:t>ajouter la phrase suivante comme texte standard des principes directeurs d</w:t>
      </w:r>
      <w:r w:rsidR="00E454D1">
        <w:rPr>
          <w:lang w:val="fr-CH"/>
        </w:rPr>
        <w:t>’</w:t>
      </w:r>
      <w:r w:rsidRPr="00E454D1">
        <w:rPr>
          <w:lang w:val="fr-CH"/>
        </w:rPr>
        <w:t>examen</w:t>
      </w:r>
      <w:r w:rsidR="00E454D1">
        <w:rPr>
          <w:lang w:val="fr-CH"/>
        </w:rPr>
        <w:t> :</w:t>
      </w:r>
    </w:p>
    <w:p w:rsidR="00D75FE9" w:rsidRPr="00E454D1" w:rsidRDefault="00D75FE9" w:rsidP="009956BC">
      <w:pPr>
        <w:rPr>
          <w:sz w:val="18"/>
          <w:highlight w:val="yellow"/>
          <w:lang w:val="fr-CH"/>
        </w:rPr>
      </w:pPr>
    </w:p>
    <w:p w:rsidR="00D75FE9" w:rsidRPr="00E454D1" w:rsidRDefault="005B7543" w:rsidP="005B7543">
      <w:pPr>
        <w:ind w:left="567" w:right="567"/>
        <w:rPr>
          <w:sz w:val="18"/>
          <w:u w:val="single"/>
          <w:lang w:val="fr-CH"/>
        </w:rPr>
      </w:pPr>
      <w:r w:rsidRPr="00E454D1">
        <w:rPr>
          <w:sz w:val="18"/>
          <w:highlight w:val="lightGray"/>
          <w:u w:val="single"/>
          <w:lang w:val="fr-CH"/>
        </w:rPr>
        <w:t>“L</w:t>
      </w:r>
      <w:r w:rsidR="00E454D1">
        <w:rPr>
          <w:sz w:val="18"/>
          <w:highlight w:val="lightGray"/>
          <w:u w:val="single"/>
          <w:lang w:val="fr-CH"/>
        </w:rPr>
        <w:t>’</w:t>
      </w:r>
      <w:r w:rsidRPr="00E454D1">
        <w:rPr>
          <w:sz w:val="18"/>
          <w:highlight w:val="lightGray"/>
          <w:u w:val="single"/>
          <w:lang w:val="fr-CH"/>
        </w:rPr>
        <w:t>examen d</w:t>
      </w:r>
      <w:r w:rsidR="00E454D1">
        <w:rPr>
          <w:sz w:val="18"/>
          <w:highlight w:val="lightGray"/>
          <w:u w:val="single"/>
          <w:lang w:val="fr-CH"/>
        </w:rPr>
        <w:t>’</w:t>
      </w:r>
      <w:r w:rsidRPr="00E454D1">
        <w:rPr>
          <w:sz w:val="18"/>
          <w:highlight w:val="lightGray"/>
          <w:u w:val="single"/>
          <w:lang w:val="fr-CH"/>
        </w:rPr>
        <w:t>une variété peut être achevé lorsque le service compétent peut déterminer avec certitude le résultat de l</w:t>
      </w:r>
      <w:r w:rsidR="00E454D1">
        <w:rPr>
          <w:sz w:val="18"/>
          <w:highlight w:val="lightGray"/>
          <w:u w:val="single"/>
          <w:lang w:val="fr-CH"/>
        </w:rPr>
        <w:t>’</w:t>
      </w:r>
      <w:r w:rsidRPr="00E454D1">
        <w:rPr>
          <w:sz w:val="18"/>
          <w:highlight w:val="lightGray"/>
          <w:u w:val="single"/>
          <w:lang w:val="fr-CH"/>
        </w:rPr>
        <w:t>examen.”</w:t>
      </w:r>
    </w:p>
    <w:p w:rsidR="00D75FE9" w:rsidRPr="00E454D1" w:rsidRDefault="00D75FE9" w:rsidP="009956BC">
      <w:pPr>
        <w:rPr>
          <w:lang w:val="fr-CH"/>
        </w:rPr>
      </w:pPr>
    </w:p>
    <w:p w:rsidR="00D75FE9" w:rsidRPr="00E454D1" w:rsidRDefault="00D75FE9" w:rsidP="009956BC">
      <w:pPr>
        <w:rPr>
          <w:lang w:val="fr-CH"/>
        </w:rPr>
      </w:pPr>
    </w:p>
    <w:p w:rsidR="002F2D47" w:rsidRPr="00E454D1" w:rsidRDefault="005B7543" w:rsidP="005B7543">
      <w:pPr>
        <w:rPr>
          <w:rFonts w:eastAsia="MS Mincho"/>
          <w:u w:val="single"/>
          <w:lang w:val="fr-CH"/>
        </w:rPr>
      </w:pPr>
      <w:r w:rsidRPr="00E454D1">
        <w:rPr>
          <w:rFonts w:eastAsia="MS Mincho"/>
          <w:u w:val="single"/>
          <w:lang w:val="fr-CH"/>
        </w:rPr>
        <w:t>ii)</w:t>
      </w:r>
      <w:r w:rsidRPr="00E454D1">
        <w:rPr>
          <w:rFonts w:eastAsia="MS Mincho"/>
          <w:u w:val="single"/>
          <w:lang w:val="fr-CH"/>
        </w:rPr>
        <w:tab/>
        <w:t>Procédure d</w:t>
      </w:r>
      <w:r w:rsidR="00E454D1">
        <w:rPr>
          <w:rFonts w:eastAsia="MS Mincho"/>
          <w:u w:val="single"/>
          <w:lang w:val="fr-CH"/>
        </w:rPr>
        <w:t>’</w:t>
      </w:r>
      <w:r w:rsidRPr="00E454D1">
        <w:rPr>
          <w:rFonts w:eastAsia="MS Mincho"/>
          <w:u w:val="single"/>
          <w:lang w:val="fr-CH"/>
        </w:rPr>
        <w:t>adoption des principes directeurs d</w:t>
      </w:r>
      <w:r w:rsidR="00E454D1">
        <w:rPr>
          <w:rFonts w:eastAsia="MS Mincho"/>
          <w:u w:val="single"/>
          <w:lang w:val="fr-CH"/>
        </w:rPr>
        <w:t>’</w:t>
      </w:r>
      <w:r w:rsidRPr="00E454D1">
        <w:rPr>
          <w:rFonts w:eastAsia="MS Mincho"/>
          <w:u w:val="single"/>
          <w:lang w:val="fr-CH"/>
        </w:rPr>
        <w:t>examen par correspondance</w:t>
      </w:r>
    </w:p>
    <w:p w:rsidR="00D75FE9" w:rsidRPr="00E454D1" w:rsidRDefault="00D75FE9" w:rsidP="009956BC">
      <w:pPr>
        <w:rPr>
          <w:i/>
          <w:lang w:val="fr-CH"/>
        </w:rPr>
      </w:pPr>
    </w:p>
    <w:p w:rsidR="00D75FE9" w:rsidRPr="00E454D1" w:rsidRDefault="002F2D47" w:rsidP="005B7543">
      <w:pPr>
        <w:rPr>
          <w:i/>
          <w:lang w:val="fr-CH"/>
        </w:rPr>
      </w:pPr>
      <w:r w:rsidRPr="00E454D1">
        <w:rPr>
          <w:i/>
          <w:lang w:val="fr-CH"/>
        </w:rPr>
        <w:t>Section 2</w:t>
      </w:r>
      <w:r w:rsidR="005B7543" w:rsidRPr="00E454D1">
        <w:rPr>
          <w:i/>
          <w:lang w:val="fr-CH"/>
        </w:rPr>
        <w:t>.2</w:t>
      </w:r>
      <w:r w:rsidR="00FE5010" w:rsidRPr="00E454D1">
        <w:rPr>
          <w:i/>
          <w:lang w:val="fr-CH"/>
        </w:rPr>
        <w:t> </w:t>
      </w:r>
      <w:r w:rsidR="005B7543" w:rsidRPr="00E454D1">
        <w:rPr>
          <w:i/>
          <w:lang w:val="fr-CH"/>
        </w:rPr>
        <w:t>“Procédure applicable à l</w:t>
      </w:r>
      <w:r w:rsidR="00E454D1">
        <w:rPr>
          <w:i/>
          <w:lang w:val="fr-CH"/>
        </w:rPr>
        <w:t>’</w:t>
      </w:r>
      <w:r w:rsidR="005B7543" w:rsidRPr="00E454D1">
        <w:rPr>
          <w:i/>
          <w:lang w:val="fr-CH"/>
        </w:rPr>
        <w:t>adoption des principes directeurs d</w:t>
      </w:r>
      <w:r w:rsidR="00E454D1">
        <w:rPr>
          <w:i/>
          <w:lang w:val="fr-CH"/>
        </w:rPr>
        <w:t>’</w:t>
      </w:r>
      <w:r w:rsidR="005B7543" w:rsidRPr="00E454D1">
        <w:rPr>
          <w:i/>
          <w:lang w:val="fr-CH"/>
        </w:rPr>
        <w:t>examen”</w:t>
      </w:r>
    </w:p>
    <w:p w:rsidR="00D75FE9" w:rsidRPr="00E454D1" w:rsidRDefault="00D75FE9" w:rsidP="009956BC">
      <w:pPr>
        <w:rPr>
          <w:i/>
          <w:lang w:val="fr-CH"/>
        </w:rPr>
      </w:pPr>
    </w:p>
    <w:p w:rsidR="00D75FE9" w:rsidRPr="00E454D1" w:rsidRDefault="005B7543" w:rsidP="005B7543">
      <w:pPr>
        <w:rPr>
          <w:lang w:val="fr-CH"/>
        </w:rPr>
      </w:pPr>
      <w:r w:rsidRPr="00E454D1">
        <w:rPr>
          <w:lang w:val="fr-CH"/>
        </w:rPr>
        <w:t>À sa cinquante</w:t>
      </w:r>
      <w:r w:rsidR="00E454D1">
        <w:rPr>
          <w:lang w:val="fr-CH"/>
        </w:rPr>
        <w:t>-</w:t>
      </w:r>
      <w:r w:rsidRPr="00E454D1">
        <w:rPr>
          <w:lang w:val="fr-CH"/>
        </w:rPr>
        <w:t>quatr</w:t>
      </w:r>
      <w:r w:rsidR="00E454D1">
        <w:rPr>
          <w:lang w:val="fr-CH"/>
        </w:rPr>
        <w:t>ième session</w:t>
      </w:r>
      <w:r w:rsidRPr="00E454D1">
        <w:rPr>
          <w:lang w:val="fr-CH"/>
        </w:rPr>
        <w:t>, le</w:t>
      </w:r>
      <w:r w:rsidR="00E454D1">
        <w:rPr>
          <w:lang w:val="fr-CH"/>
        </w:rPr>
        <w:t> TC</w:t>
      </w:r>
      <w:r w:rsidRPr="00E454D1">
        <w:rPr>
          <w:lang w:val="fr-CH"/>
        </w:rPr>
        <w:t xml:space="preserve"> a examiné le </w:t>
      </w:r>
      <w:r w:rsidR="00E454D1" w:rsidRPr="00E454D1">
        <w:rPr>
          <w:lang w:val="fr-CH"/>
        </w:rPr>
        <w:t>document</w:t>
      </w:r>
      <w:r w:rsidR="00E454D1">
        <w:rPr>
          <w:lang w:val="fr-CH"/>
        </w:rPr>
        <w:t xml:space="preserve"> TC</w:t>
      </w:r>
      <w:r w:rsidRPr="00E454D1">
        <w:rPr>
          <w:lang w:val="fr-CH"/>
        </w:rPr>
        <w:t>/54/16 “Procédure applicable à l</w:t>
      </w:r>
      <w:r w:rsidR="00E454D1">
        <w:rPr>
          <w:lang w:val="fr-CH"/>
        </w:rPr>
        <w:t>’</w:t>
      </w:r>
      <w:r w:rsidRPr="00E454D1">
        <w:rPr>
          <w:lang w:val="fr-CH"/>
        </w:rPr>
        <w:t xml:space="preserve">adoption des </w:t>
      </w:r>
      <w:r w:rsidR="00410779" w:rsidRPr="00E454D1">
        <w:rPr>
          <w:lang w:val="fr-CH"/>
        </w:rPr>
        <w:t xml:space="preserve">projets de </w:t>
      </w:r>
      <w:r w:rsidRPr="00E454D1">
        <w:rPr>
          <w:lang w:val="fr-CH"/>
        </w:rPr>
        <w:t>principes directeurs d</w:t>
      </w:r>
      <w:r w:rsidR="00E454D1">
        <w:rPr>
          <w:lang w:val="fr-CH"/>
        </w:rPr>
        <w:t>’</w:t>
      </w:r>
      <w:r w:rsidRPr="00E454D1">
        <w:rPr>
          <w:lang w:val="fr-CH"/>
        </w:rPr>
        <w:t>examen par correspondance” (voir les paragraphes</w:t>
      </w:r>
      <w:r w:rsidR="00FE5010" w:rsidRPr="00E454D1">
        <w:rPr>
          <w:lang w:val="fr-CH"/>
        </w:rPr>
        <w:t> </w:t>
      </w:r>
      <w:r w:rsidRPr="00E454D1">
        <w:rPr>
          <w:lang w:val="fr-CH"/>
        </w:rPr>
        <w:t xml:space="preserve">217 à 220 du </w:t>
      </w:r>
      <w:r w:rsidR="00E454D1" w:rsidRPr="00E454D1">
        <w:rPr>
          <w:lang w:val="fr-CH"/>
        </w:rPr>
        <w:t>document</w:t>
      </w:r>
      <w:r w:rsidR="00E454D1">
        <w:rPr>
          <w:lang w:val="fr-CH"/>
        </w:rPr>
        <w:t xml:space="preserve"> TC</w:t>
      </w:r>
      <w:r w:rsidRPr="00E454D1">
        <w:rPr>
          <w:lang w:val="fr-CH"/>
        </w:rPr>
        <w:t>/54/31</w:t>
      </w:r>
      <w:r w:rsidR="00124C91" w:rsidRPr="00E454D1">
        <w:rPr>
          <w:lang w:val="fr-CH"/>
        </w:rPr>
        <w:t> </w:t>
      </w:r>
      <w:r w:rsidR="00C76573" w:rsidRPr="00E454D1">
        <w:rPr>
          <w:lang w:val="fr-CH"/>
        </w:rPr>
        <w:t>Corr.</w:t>
      </w:r>
      <w:r w:rsidRPr="00E454D1">
        <w:rPr>
          <w:lang w:val="fr-CH"/>
        </w:rPr>
        <w:t xml:space="preserve"> “Compte rendu”).</w:t>
      </w:r>
    </w:p>
    <w:p w:rsidR="00D75FE9" w:rsidRPr="00E454D1" w:rsidRDefault="00D75FE9" w:rsidP="009956BC">
      <w:pPr>
        <w:rPr>
          <w:lang w:val="fr-CH"/>
        </w:rPr>
      </w:pPr>
    </w:p>
    <w:p w:rsidR="002F2D47" w:rsidRPr="00E454D1" w:rsidRDefault="001959F5" w:rsidP="001959F5">
      <w:pPr>
        <w:rPr>
          <w:lang w:val="fr-CH"/>
        </w:rPr>
      </w:pPr>
      <w:r w:rsidRPr="00E454D1">
        <w:rPr>
          <w:lang w:val="fr-CH"/>
        </w:rPr>
        <w:t>Le</w:t>
      </w:r>
      <w:r w:rsidR="00E454D1">
        <w:rPr>
          <w:lang w:val="fr-CH"/>
        </w:rPr>
        <w:t> TC</w:t>
      </w:r>
      <w:r w:rsidRPr="00E454D1">
        <w:rPr>
          <w:lang w:val="fr-CH"/>
        </w:rPr>
        <w:t xml:space="preserve"> a examiné la proposition de révision du document TGP/7 “Élaboration des principes directeurs d</w:t>
      </w:r>
      <w:r w:rsidR="00E454D1">
        <w:rPr>
          <w:lang w:val="fr-CH"/>
        </w:rPr>
        <w:t>’</w:t>
      </w:r>
      <w:r w:rsidRPr="00E454D1">
        <w:rPr>
          <w:lang w:val="fr-CH"/>
        </w:rPr>
        <w:t>examen” afin de tenir compte de l</w:t>
      </w:r>
      <w:r w:rsidR="00E454D1">
        <w:rPr>
          <w:lang w:val="fr-CH"/>
        </w:rPr>
        <w:t>’</w:t>
      </w:r>
      <w:r w:rsidRPr="00E454D1">
        <w:rPr>
          <w:lang w:val="fr-CH"/>
        </w:rPr>
        <w:t>introduction d</w:t>
      </w:r>
      <w:r w:rsidR="00E454D1">
        <w:rPr>
          <w:lang w:val="fr-CH"/>
        </w:rPr>
        <w:t>’</w:t>
      </w:r>
      <w:r w:rsidRPr="00E454D1">
        <w:rPr>
          <w:lang w:val="fr-CH"/>
        </w:rPr>
        <w:t>une procédure d</w:t>
      </w:r>
      <w:r w:rsidR="00E454D1">
        <w:rPr>
          <w:lang w:val="fr-CH"/>
        </w:rPr>
        <w:t>’</w:t>
      </w:r>
      <w:r w:rsidRPr="00E454D1">
        <w:rPr>
          <w:lang w:val="fr-CH"/>
        </w:rPr>
        <w:t>adoption des principes directeurs d</w:t>
      </w:r>
      <w:r w:rsidR="00E454D1">
        <w:rPr>
          <w:lang w:val="fr-CH"/>
        </w:rPr>
        <w:t>’</w:t>
      </w:r>
      <w:r w:rsidRPr="00E454D1">
        <w:rPr>
          <w:lang w:val="fr-CH"/>
        </w:rPr>
        <w:t>examen par correspondance, comme indiqué au paragraphe</w:t>
      </w:r>
      <w:r w:rsidR="00FE5010" w:rsidRPr="00E454D1">
        <w:rPr>
          <w:lang w:val="fr-CH"/>
        </w:rPr>
        <w:t> </w:t>
      </w:r>
      <w:r w:rsidRPr="00E454D1">
        <w:rPr>
          <w:lang w:val="fr-CH"/>
        </w:rPr>
        <w:t xml:space="preserve">14 du </w:t>
      </w:r>
      <w:r w:rsidR="00E454D1" w:rsidRPr="00E454D1">
        <w:rPr>
          <w:lang w:val="fr-CH"/>
        </w:rPr>
        <w:t>document</w:t>
      </w:r>
      <w:r w:rsidR="00E454D1">
        <w:rPr>
          <w:lang w:val="fr-CH"/>
        </w:rPr>
        <w:t xml:space="preserve"> TC</w:t>
      </w:r>
      <w:r w:rsidRPr="00E454D1">
        <w:rPr>
          <w:lang w:val="fr-CH"/>
        </w:rPr>
        <w:t>/54/16, et a suivi un exposé présenté par le Bureau de l</w:t>
      </w:r>
      <w:r w:rsidR="00E454D1">
        <w:rPr>
          <w:lang w:val="fr-CH"/>
        </w:rPr>
        <w:t>’</w:t>
      </w:r>
      <w:r w:rsidRPr="00E454D1">
        <w:rPr>
          <w:lang w:val="fr-CH"/>
        </w:rPr>
        <w:t xml:space="preserve">Union dont une copie a été fournie dans un additif au </w:t>
      </w:r>
      <w:r w:rsidR="00E454D1" w:rsidRPr="00E454D1">
        <w:rPr>
          <w:lang w:val="fr-CH"/>
        </w:rPr>
        <w:t>document</w:t>
      </w:r>
      <w:r w:rsidR="00E454D1">
        <w:rPr>
          <w:lang w:val="fr-CH"/>
        </w:rPr>
        <w:t xml:space="preserve"> TC</w:t>
      </w:r>
      <w:r w:rsidRPr="00E454D1">
        <w:rPr>
          <w:lang w:val="fr-CH"/>
        </w:rPr>
        <w:t>/54/1</w:t>
      </w:r>
      <w:r w:rsidR="00090D74" w:rsidRPr="00E454D1">
        <w:rPr>
          <w:lang w:val="fr-CH"/>
        </w:rPr>
        <w:t>6.  Il</w:t>
      </w:r>
      <w:r w:rsidRPr="00E454D1">
        <w:rPr>
          <w:lang w:val="fr-CH"/>
        </w:rPr>
        <w:t xml:space="preserve"> est convenu par ailleurs que les orientations figurant dans le </w:t>
      </w:r>
      <w:r w:rsidR="002F2D47" w:rsidRPr="00E454D1">
        <w:rPr>
          <w:lang w:val="fr-CH"/>
        </w:rPr>
        <w:t>document TG</w:t>
      </w:r>
      <w:r w:rsidRPr="00E454D1">
        <w:rPr>
          <w:lang w:val="fr-CH"/>
        </w:rPr>
        <w:t>P/7 doivent être modifiées comme suit</w:t>
      </w:r>
      <w:r w:rsidR="00E454D1">
        <w:rPr>
          <w:lang w:val="fr-CH"/>
        </w:rPr>
        <w:t> :</w:t>
      </w:r>
    </w:p>
    <w:p w:rsidR="00D75FE9" w:rsidRPr="00E454D1" w:rsidRDefault="00D75FE9" w:rsidP="009956BC">
      <w:pPr>
        <w:rPr>
          <w:lang w:val="fr-CH"/>
        </w:rPr>
      </w:pPr>
    </w:p>
    <w:p w:rsidR="00D75FE9" w:rsidRPr="00E454D1" w:rsidRDefault="00090D74" w:rsidP="001959F5">
      <w:pPr>
        <w:keepNext/>
        <w:ind w:left="567" w:right="567"/>
        <w:rPr>
          <w:sz w:val="18"/>
          <w:szCs w:val="18"/>
          <w:u w:val="single"/>
          <w:lang w:val="fr-CH"/>
        </w:rPr>
      </w:pPr>
      <w:r w:rsidRPr="00E454D1">
        <w:rPr>
          <w:sz w:val="18"/>
          <w:szCs w:val="18"/>
          <w:u w:val="single"/>
          <w:lang w:val="fr-CH"/>
        </w:rPr>
        <w:t>“</w:t>
      </w:r>
      <w:r w:rsidR="001959F5" w:rsidRPr="00E454D1">
        <w:rPr>
          <w:sz w:val="18"/>
          <w:szCs w:val="18"/>
          <w:u w:val="single"/>
          <w:lang w:val="fr-CH"/>
        </w:rPr>
        <w:t>2.2.7</w:t>
      </w:r>
      <w:r w:rsidR="001959F5" w:rsidRPr="00E454D1">
        <w:rPr>
          <w:sz w:val="18"/>
          <w:szCs w:val="18"/>
          <w:u w:val="single"/>
          <w:lang w:val="fr-CH"/>
        </w:rPr>
        <w:tab/>
      </w:r>
      <w:r w:rsidR="001959F5" w:rsidRPr="00E454D1">
        <w:rPr>
          <w:sz w:val="18"/>
          <w:szCs w:val="18"/>
          <w:u w:val="single"/>
          <w:bdr w:val="single" w:sz="4" w:space="0" w:color="auto"/>
          <w:lang w:val="fr-CH"/>
        </w:rPr>
        <w:t>ÉTAPE 7</w:t>
      </w:r>
      <w:r w:rsidR="001959F5" w:rsidRPr="00E454D1">
        <w:rPr>
          <w:sz w:val="18"/>
          <w:szCs w:val="18"/>
          <w:u w:val="single"/>
          <w:lang w:val="fr-CH"/>
        </w:rPr>
        <w:tab/>
        <w:t>Examen des projets de principes directeurs par le</w:t>
      </w:r>
      <w:r w:rsidR="00E454D1">
        <w:rPr>
          <w:sz w:val="18"/>
          <w:szCs w:val="18"/>
          <w:u w:val="single"/>
          <w:lang w:val="fr-CH"/>
        </w:rPr>
        <w:t> TC-EDC</w:t>
      </w:r>
    </w:p>
    <w:p w:rsidR="00D75FE9" w:rsidRPr="00E454D1" w:rsidRDefault="00D75FE9" w:rsidP="001959F5">
      <w:pPr>
        <w:ind w:left="567" w:right="567"/>
        <w:rPr>
          <w:sz w:val="18"/>
          <w:szCs w:val="18"/>
          <w:lang w:val="fr-CH"/>
        </w:rPr>
      </w:pPr>
    </w:p>
    <w:p w:rsidR="00D75FE9" w:rsidRPr="00E454D1" w:rsidRDefault="00090D74" w:rsidP="001959F5">
      <w:pPr>
        <w:ind w:left="567" w:right="567"/>
        <w:rPr>
          <w:sz w:val="18"/>
          <w:szCs w:val="18"/>
          <w:lang w:val="fr-CH"/>
        </w:rPr>
      </w:pPr>
      <w:r w:rsidRPr="00E454D1">
        <w:rPr>
          <w:sz w:val="18"/>
          <w:szCs w:val="18"/>
          <w:lang w:val="fr-CH"/>
        </w:rPr>
        <w:t>“</w:t>
      </w:r>
      <w:r w:rsidR="001959F5" w:rsidRPr="00E454D1">
        <w:rPr>
          <w:sz w:val="18"/>
          <w:szCs w:val="18"/>
          <w:lang w:val="fr-CH"/>
        </w:rPr>
        <w:t>2.2.7.1</w:t>
      </w:r>
      <w:r w:rsidR="001959F5" w:rsidRPr="00E454D1">
        <w:rPr>
          <w:sz w:val="18"/>
          <w:szCs w:val="18"/>
          <w:lang w:val="fr-CH"/>
        </w:rPr>
        <w:tab/>
        <w:t>Le</w:t>
      </w:r>
      <w:r w:rsidR="00E454D1">
        <w:rPr>
          <w:sz w:val="18"/>
          <w:szCs w:val="18"/>
          <w:lang w:val="fr-CH"/>
        </w:rPr>
        <w:t> TC-EDC</w:t>
      </w:r>
      <w:r w:rsidR="001959F5" w:rsidRPr="00E454D1">
        <w:rPr>
          <w:sz w:val="18"/>
          <w:szCs w:val="18"/>
          <w:lang w:val="fr-CH"/>
        </w:rPr>
        <w:t xml:space="preserve"> a été créé par le Comité technique afin d</w:t>
      </w:r>
      <w:r w:rsidR="00E454D1">
        <w:rPr>
          <w:sz w:val="18"/>
          <w:szCs w:val="18"/>
          <w:lang w:val="fr-CH"/>
        </w:rPr>
        <w:t>’</w:t>
      </w:r>
      <w:r w:rsidR="001959F5" w:rsidRPr="00E454D1">
        <w:rPr>
          <w:sz w:val="18"/>
          <w:szCs w:val="18"/>
          <w:lang w:val="fr-CH"/>
        </w:rPr>
        <w:t>examiner tous les projets de principes directeurs d</w:t>
      </w:r>
      <w:r w:rsidR="00E454D1">
        <w:rPr>
          <w:sz w:val="18"/>
          <w:szCs w:val="18"/>
          <w:lang w:val="fr-CH"/>
        </w:rPr>
        <w:t>’</w:t>
      </w:r>
      <w:r w:rsidR="001959F5" w:rsidRPr="00E454D1">
        <w:rPr>
          <w:sz w:val="18"/>
          <w:szCs w:val="18"/>
          <w:lang w:val="fr-CH"/>
        </w:rPr>
        <w:t>examen établis par les TWP avant qu</w:t>
      </w:r>
      <w:r w:rsidR="00E454D1">
        <w:rPr>
          <w:sz w:val="18"/>
          <w:szCs w:val="18"/>
          <w:lang w:val="fr-CH"/>
        </w:rPr>
        <w:t>’</w:t>
      </w:r>
      <w:r w:rsidR="001959F5" w:rsidRPr="00E454D1">
        <w:rPr>
          <w:sz w:val="18"/>
          <w:szCs w:val="18"/>
          <w:lang w:val="fr-CH"/>
        </w:rPr>
        <w:t>ils ne soient soumis au Comité technique pour adopti</w:t>
      </w:r>
      <w:r w:rsidR="00C77A34" w:rsidRPr="00E454D1">
        <w:rPr>
          <w:sz w:val="18"/>
          <w:szCs w:val="18"/>
          <w:lang w:val="fr-CH"/>
        </w:rPr>
        <w:t>on</w:t>
      </w:r>
      <w:r w:rsidR="00C77A34">
        <w:rPr>
          <w:sz w:val="18"/>
          <w:szCs w:val="18"/>
          <w:lang w:val="fr-CH"/>
        </w:rPr>
        <w:t xml:space="preserve">.  </w:t>
      </w:r>
      <w:r w:rsidR="00C77A34" w:rsidRPr="00E454D1">
        <w:rPr>
          <w:sz w:val="18"/>
          <w:szCs w:val="18"/>
          <w:lang w:val="fr-CH"/>
        </w:rPr>
        <w:t>Le</w:t>
      </w:r>
      <w:r w:rsidR="00E454D1">
        <w:rPr>
          <w:sz w:val="18"/>
          <w:szCs w:val="18"/>
          <w:lang w:val="fr-CH"/>
        </w:rPr>
        <w:t> TC-EDC</w:t>
      </w:r>
      <w:r w:rsidR="001959F5" w:rsidRPr="00E454D1">
        <w:rPr>
          <w:sz w:val="18"/>
          <w:szCs w:val="18"/>
          <w:lang w:val="fr-CH"/>
        </w:rPr>
        <w:t xml:space="preserve"> a pour rôle de s</w:t>
      </w:r>
      <w:r w:rsidR="00E454D1">
        <w:rPr>
          <w:sz w:val="18"/>
          <w:szCs w:val="18"/>
          <w:lang w:val="fr-CH"/>
        </w:rPr>
        <w:t>’</w:t>
      </w:r>
      <w:r w:rsidR="001959F5" w:rsidRPr="00E454D1">
        <w:rPr>
          <w:sz w:val="18"/>
          <w:szCs w:val="18"/>
          <w:lang w:val="fr-CH"/>
        </w:rPr>
        <w:t>assurer que les principes directeurs d</w:t>
      </w:r>
      <w:r w:rsidR="00E454D1">
        <w:rPr>
          <w:sz w:val="18"/>
          <w:szCs w:val="18"/>
          <w:lang w:val="fr-CH"/>
        </w:rPr>
        <w:t>’</w:t>
      </w:r>
      <w:r w:rsidR="001959F5" w:rsidRPr="00E454D1">
        <w:rPr>
          <w:sz w:val="18"/>
          <w:szCs w:val="18"/>
          <w:lang w:val="fr-CH"/>
        </w:rPr>
        <w:t xml:space="preserve">examen ont été élaborés conformément aux exigences énumérées dans le </w:t>
      </w:r>
      <w:r w:rsidR="002F2D47" w:rsidRPr="00E454D1">
        <w:rPr>
          <w:sz w:val="18"/>
          <w:szCs w:val="18"/>
          <w:lang w:val="fr-CH"/>
        </w:rPr>
        <w:t>document TG</w:t>
      </w:r>
      <w:r w:rsidR="001959F5" w:rsidRPr="00E454D1">
        <w:rPr>
          <w:sz w:val="18"/>
          <w:szCs w:val="18"/>
          <w:lang w:val="fr-CH"/>
        </w:rPr>
        <w:t>P/7 et que toutes les versions linguistiques officielles de l</w:t>
      </w:r>
      <w:r w:rsidR="00E454D1">
        <w:rPr>
          <w:sz w:val="18"/>
          <w:szCs w:val="18"/>
          <w:lang w:val="fr-CH"/>
        </w:rPr>
        <w:t>’</w:t>
      </w:r>
      <w:r w:rsidR="001959F5" w:rsidRPr="00E454D1">
        <w:rPr>
          <w:sz w:val="18"/>
          <w:szCs w:val="18"/>
          <w:lang w:val="fr-CH"/>
        </w:rPr>
        <w:t>UPOV concorde</w:t>
      </w:r>
      <w:r w:rsidR="00C77A34" w:rsidRPr="00E454D1">
        <w:rPr>
          <w:sz w:val="18"/>
          <w:szCs w:val="18"/>
          <w:lang w:val="fr-CH"/>
        </w:rPr>
        <w:t>nt</w:t>
      </w:r>
      <w:r w:rsidR="00C77A34">
        <w:rPr>
          <w:sz w:val="18"/>
          <w:szCs w:val="18"/>
          <w:lang w:val="fr-CH"/>
        </w:rPr>
        <w:t xml:space="preserve">.  </w:t>
      </w:r>
      <w:r w:rsidR="00C77A34" w:rsidRPr="00E454D1">
        <w:rPr>
          <w:sz w:val="18"/>
          <w:szCs w:val="18"/>
          <w:lang w:val="fr-CH"/>
        </w:rPr>
        <w:t>Il</w:t>
      </w:r>
      <w:r w:rsidR="001959F5" w:rsidRPr="00E454D1">
        <w:rPr>
          <w:sz w:val="18"/>
          <w:szCs w:val="18"/>
          <w:lang w:val="fr-CH"/>
        </w:rPr>
        <w:t xml:space="preserve"> ne procède pas à un examen technique des principes directeurs d</w:t>
      </w:r>
      <w:r w:rsidR="00E454D1">
        <w:rPr>
          <w:sz w:val="18"/>
          <w:szCs w:val="18"/>
          <w:lang w:val="fr-CH"/>
        </w:rPr>
        <w:t>’</w:t>
      </w:r>
      <w:r w:rsidR="001959F5" w:rsidRPr="00E454D1">
        <w:rPr>
          <w:sz w:val="18"/>
          <w:szCs w:val="18"/>
          <w:lang w:val="fr-CH"/>
        </w:rPr>
        <w:t>examen quant au fo</w:t>
      </w:r>
      <w:r w:rsidR="00C77A34" w:rsidRPr="00E454D1">
        <w:rPr>
          <w:sz w:val="18"/>
          <w:szCs w:val="18"/>
          <w:lang w:val="fr-CH"/>
        </w:rPr>
        <w:t>nd</w:t>
      </w:r>
      <w:r w:rsidR="00C77A34">
        <w:rPr>
          <w:sz w:val="18"/>
          <w:szCs w:val="18"/>
          <w:lang w:val="fr-CH"/>
        </w:rPr>
        <w:t xml:space="preserve">.  </w:t>
      </w:r>
      <w:r w:rsidR="00C77A34" w:rsidRPr="00E454D1">
        <w:rPr>
          <w:sz w:val="18"/>
          <w:szCs w:val="18"/>
          <w:lang w:val="fr-CH"/>
        </w:rPr>
        <w:t>Le</w:t>
      </w:r>
      <w:r w:rsidR="001959F5" w:rsidRPr="00E454D1">
        <w:rPr>
          <w:sz w:val="18"/>
          <w:szCs w:val="18"/>
          <w:lang w:val="fr-CH"/>
        </w:rPr>
        <w:t>s membres du</w:t>
      </w:r>
      <w:r w:rsidR="00E454D1">
        <w:rPr>
          <w:sz w:val="18"/>
          <w:szCs w:val="18"/>
          <w:lang w:val="fr-CH"/>
        </w:rPr>
        <w:t> TC-EDC</w:t>
      </w:r>
      <w:r w:rsidR="001959F5" w:rsidRPr="00E454D1">
        <w:rPr>
          <w:sz w:val="18"/>
          <w:szCs w:val="18"/>
          <w:lang w:val="fr-CH"/>
        </w:rPr>
        <w:t xml:space="preserve"> sont choisis par le</w:t>
      </w:r>
      <w:r w:rsidR="00E454D1">
        <w:rPr>
          <w:sz w:val="18"/>
          <w:szCs w:val="18"/>
          <w:lang w:val="fr-CH"/>
        </w:rPr>
        <w:t> TC</w:t>
      </w:r>
      <w:r w:rsidR="001959F5" w:rsidRPr="00E454D1">
        <w:rPr>
          <w:sz w:val="18"/>
          <w:szCs w:val="18"/>
          <w:lang w:val="fr-CH"/>
        </w:rPr>
        <w:t xml:space="preserve"> de manière à réunir une vaste expérience du système de l</w:t>
      </w:r>
      <w:r w:rsidR="00E454D1">
        <w:rPr>
          <w:sz w:val="18"/>
          <w:szCs w:val="18"/>
          <w:lang w:val="fr-CH"/>
        </w:rPr>
        <w:t>’</w:t>
      </w:r>
      <w:r w:rsidR="001959F5" w:rsidRPr="00E454D1">
        <w:rPr>
          <w:sz w:val="18"/>
          <w:szCs w:val="18"/>
          <w:lang w:val="fr-CH"/>
        </w:rPr>
        <w:t>UPOV et à représenter les langues de l</w:t>
      </w:r>
      <w:r w:rsidR="00E454D1">
        <w:rPr>
          <w:sz w:val="18"/>
          <w:szCs w:val="18"/>
          <w:lang w:val="fr-CH"/>
        </w:rPr>
        <w:t>’</w:t>
      </w:r>
      <w:r w:rsidR="001959F5" w:rsidRPr="00E454D1">
        <w:rPr>
          <w:sz w:val="18"/>
          <w:szCs w:val="18"/>
          <w:lang w:val="fr-CH"/>
        </w:rPr>
        <w:t xml:space="preserve">UPOV, </w:t>
      </w:r>
      <w:r w:rsidR="00E454D1">
        <w:rPr>
          <w:sz w:val="18"/>
          <w:szCs w:val="18"/>
          <w:lang w:val="fr-CH"/>
        </w:rPr>
        <w:t>à savoir</w:t>
      </w:r>
      <w:r w:rsidR="001959F5" w:rsidRPr="00E454D1">
        <w:rPr>
          <w:sz w:val="18"/>
          <w:szCs w:val="18"/>
          <w:lang w:val="fr-CH"/>
        </w:rPr>
        <w:t xml:space="preserve"> le français, l</w:t>
      </w:r>
      <w:r w:rsidR="00E454D1">
        <w:rPr>
          <w:sz w:val="18"/>
          <w:szCs w:val="18"/>
          <w:lang w:val="fr-CH"/>
        </w:rPr>
        <w:t>’</w:t>
      </w:r>
      <w:r w:rsidR="001959F5" w:rsidRPr="00E454D1">
        <w:rPr>
          <w:sz w:val="18"/>
          <w:szCs w:val="18"/>
          <w:lang w:val="fr-CH"/>
        </w:rPr>
        <w:t>allemand, l</w:t>
      </w:r>
      <w:r w:rsidR="00E454D1">
        <w:rPr>
          <w:sz w:val="18"/>
          <w:szCs w:val="18"/>
          <w:lang w:val="fr-CH"/>
        </w:rPr>
        <w:t>’</w:t>
      </w:r>
      <w:r w:rsidR="001959F5" w:rsidRPr="00E454D1">
        <w:rPr>
          <w:sz w:val="18"/>
          <w:szCs w:val="18"/>
          <w:lang w:val="fr-CH"/>
        </w:rPr>
        <w:t>anglais et l</w:t>
      </w:r>
      <w:r w:rsidR="00E454D1">
        <w:rPr>
          <w:sz w:val="18"/>
          <w:szCs w:val="18"/>
          <w:lang w:val="fr-CH"/>
        </w:rPr>
        <w:t>’</w:t>
      </w:r>
      <w:r w:rsidR="001959F5" w:rsidRPr="00E454D1">
        <w:rPr>
          <w:sz w:val="18"/>
          <w:szCs w:val="18"/>
          <w:lang w:val="fr-CH"/>
        </w:rPr>
        <w:t>espagn</w:t>
      </w:r>
      <w:r w:rsidR="00C77A34" w:rsidRPr="00E454D1">
        <w:rPr>
          <w:sz w:val="18"/>
          <w:szCs w:val="18"/>
          <w:lang w:val="fr-CH"/>
        </w:rPr>
        <w:t>ol</w:t>
      </w:r>
      <w:r w:rsidR="00C77A34">
        <w:rPr>
          <w:sz w:val="18"/>
          <w:szCs w:val="18"/>
          <w:lang w:val="fr-CH"/>
        </w:rPr>
        <w:t xml:space="preserve">.  </w:t>
      </w:r>
      <w:r w:rsidR="00C77A34" w:rsidRPr="00E454D1">
        <w:rPr>
          <w:sz w:val="18"/>
          <w:szCs w:val="18"/>
          <w:lang w:val="fr-CH"/>
        </w:rPr>
        <w:t>Le</w:t>
      </w:r>
      <w:r w:rsidR="001959F5" w:rsidRPr="00E454D1">
        <w:rPr>
          <w:sz w:val="18"/>
          <w:szCs w:val="18"/>
          <w:lang w:val="fr-CH"/>
        </w:rPr>
        <w:t xml:space="preserve"> président du</w:t>
      </w:r>
      <w:r w:rsidR="00E454D1">
        <w:rPr>
          <w:sz w:val="18"/>
          <w:szCs w:val="18"/>
          <w:lang w:val="fr-CH"/>
        </w:rPr>
        <w:t> TC-EDC</w:t>
      </w:r>
      <w:r w:rsidR="001959F5" w:rsidRPr="00E454D1">
        <w:rPr>
          <w:sz w:val="18"/>
          <w:szCs w:val="18"/>
          <w:lang w:val="fr-CH"/>
        </w:rPr>
        <w:t xml:space="preserve"> est un membre du Secrétariat de l</w:t>
      </w:r>
      <w:r w:rsidR="00E454D1">
        <w:rPr>
          <w:sz w:val="18"/>
          <w:szCs w:val="18"/>
          <w:lang w:val="fr-CH"/>
        </w:rPr>
        <w:t>’</w:t>
      </w:r>
      <w:r w:rsidR="001959F5" w:rsidRPr="00E454D1">
        <w:rPr>
          <w:sz w:val="18"/>
          <w:szCs w:val="18"/>
          <w:lang w:val="fr-CH"/>
        </w:rPr>
        <w:t>UPOV.</w:t>
      </w:r>
    </w:p>
    <w:p w:rsidR="00D75FE9" w:rsidRPr="00E454D1" w:rsidRDefault="00D75FE9" w:rsidP="001959F5">
      <w:pPr>
        <w:ind w:left="567" w:right="567"/>
        <w:rPr>
          <w:sz w:val="18"/>
          <w:szCs w:val="18"/>
          <w:lang w:val="fr-CH"/>
        </w:rPr>
      </w:pPr>
    </w:p>
    <w:p w:rsidR="00D75FE9" w:rsidRPr="00E454D1" w:rsidRDefault="00090D74" w:rsidP="001959F5">
      <w:pPr>
        <w:ind w:left="567" w:right="567"/>
        <w:rPr>
          <w:sz w:val="18"/>
          <w:szCs w:val="18"/>
          <w:lang w:val="fr-CH"/>
        </w:rPr>
      </w:pPr>
      <w:r w:rsidRPr="00E454D1">
        <w:rPr>
          <w:sz w:val="18"/>
          <w:szCs w:val="18"/>
          <w:lang w:val="fr-CH"/>
        </w:rPr>
        <w:t>“</w:t>
      </w:r>
      <w:r w:rsidR="001959F5" w:rsidRPr="00E454D1">
        <w:rPr>
          <w:sz w:val="18"/>
          <w:szCs w:val="18"/>
          <w:lang w:val="fr-CH"/>
        </w:rPr>
        <w:t>2.2.7.2</w:t>
      </w:r>
      <w:r w:rsidR="001959F5" w:rsidRPr="00E454D1">
        <w:rPr>
          <w:sz w:val="18"/>
          <w:szCs w:val="18"/>
          <w:lang w:val="fr-CH"/>
        </w:rPr>
        <w:tab/>
        <w:t>Le</w:t>
      </w:r>
      <w:r w:rsidR="00E454D1">
        <w:rPr>
          <w:sz w:val="18"/>
          <w:szCs w:val="18"/>
          <w:lang w:val="fr-CH"/>
        </w:rPr>
        <w:t> TC-EDC</w:t>
      </w:r>
      <w:r w:rsidR="001959F5" w:rsidRPr="00E454D1">
        <w:rPr>
          <w:sz w:val="18"/>
          <w:szCs w:val="18"/>
          <w:lang w:val="fr-CH"/>
        </w:rPr>
        <w:t xml:space="preserve"> examine le projet de principes directeurs d</w:t>
      </w:r>
      <w:r w:rsidR="00E454D1">
        <w:rPr>
          <w:sz w:val="18"/>
          <w:szCs w:val="18"/>
          <w:lang w:val="fr-CH"/>
        </w:rPr>
        <w:t>’</w:t>
      </w:r>
      <w:r w:rsidR="001959F5" w:rsidRPr="00E454D1">
        <w:rPr>
          <w:sz w:val="18"/>
          <w:szCs w:val="18"/>
          <w:lang w:val="fr-CH"/>
        </w:rPr>
        <w:t>examen compte tenu de toutes instructions particulières données par le Comité technique et formule une recommandation quant à la possibilité d</w:t>
      </w:r>
      <w:r w:rsidR="00E454D1">
        <w:rPr>
          <w:sz w:val="18"/>
          <w:szCs w:val="18"/>
          <w:lang w:val="fr-CH"/>
        </w:rPr>
        <w:t>’</w:t>
      </w:r>
      <w:r w:rsidR="001959F5" w:rsidRPr="00E454D1">
        <w:rPr>
          <w:sz w:val="18"/>
          <w:szCs w:val="18"/>
          <w:lang w:val="fr-CH"/>
        </w:rPr>
        <w:t>adopter ces principes directeurs (étape 8).</w:t>
      </w:r>
      <w:r w:rsidR="001959F5" w:rsidRPr="00E454D1">
        <w:rPr>
          <w:sz w:val="18"/>
          <w:lang w:val="fr-CH"/>
        </w:rPr>
        <w:t xml:space="preserve"> </w:t>
      </w:r>
      <w:r w:rsidR="001959F5" w:rsidRPr="00E454D1">
        <w:rPr>
          <w:sz w:val="18"/>
          <w:szCs w:val="18"/>
          <w:lang w:val="fr-CH"/>
        </w:rPr>
        <w:t xml:space="preserve"> Il peut présenter au Comité technique une proposition d</w:t>
      </w:r>
      <w:r w:rsidR="00E454D1">
        <w:rPr>
          <w:sz w:val="18"/>
          <w:szCs w:val="18"/>
          <w:lang w:val="fr-CH"/>
        </w:rPr>
        <w:t>’</w:t>
      </w:r>
      <w:r w:rsidR="001959F5" w:rsidRPr="00E454D1">
        <w:rPr>
          <w:sz w:val="18"/>
          <w:szCs w:val="18"/>
          <w:lang w:val="fr-CH"/>
        </w:rPr>
        <w:t>adoption sous réserve de modifications d</w:t>
      </w:r>
      <w:r w:rsidR="00E454D1">
        <w:rPr>
          <w:sz w:val="18"/>
          <w:szCs w:val="18"/>
          <w:lang w:val="fr-CH"/>
        </w:rPr>
        <w:t>’</w:t>
      </w:r>
      <w:r w:rsidR="001959F5" w:rsidRPr="00E454D1">
        <w:rPr>
          <w:sz w:val="18"/>
          <w:szCs w:val="18"/>
          <w:lang w:val="fr-CH"/>
        </w:rPr>
        <w:t>ordre rédactionnel, qu</w:t>
      </w:r>
      <w:r w:rsidR="00E454D1">
        <w:rPr>
          <w:sz w:val="18"/>
          <w:szCs w:val="18"/>
          <w:lang w:val="fr-CH"/>
        </w:rPr>
        <w:t>’</w:t>
      </w:r>
      <w:r w:rsidR="001959F5" w:rsidRPr="00E454D1">
        <w:rPr>
          <w:sz w:val="18"/>
          <w:szCs w:val="18"/>
          <w:lang w:val="fr-CH"/>
        </w:rPr>
        <w:t>il indique expressément.</w:t>
      </w:r>
    </w:p>
    <w:p w:rsidR="00D75FE9" w:rsidRPr="00E454D1" w:rsidRDefault="00D75FE9" w:rsidP="009956BC">
      <w:pPr>
        <w:ind w:left="567" w:right="567"/>
        <w:rPr>
          <w:sz w:val="18"/>
          <w:szCs w:val="18"/>
          <w:lang w:val="fr-CH"/>
        </w:rPr>
      </w:pPr>
    </w:p>
    <w:p w:rsidR="00D75FE9" w:rsidRPr="00E454D1" w:rsidRDefault="00090D74" w:rsidP="001959F5">
      <w:pPr>
        <w:ind w:left="567" w:right="567"/>
        <w:rPr>
          <w:strike/>
          <w:sz w:val="18"/>
          <w:szCs w:val="18"/>
          <w:highlight w:val="lightGray"/>
          <w:lang w:val="fr-CH"/>
        </w:rPr>
      </w:pPr>
      <w:r w:rsidRPr="00E454D1">
        <w:rPr>
          <w:sz w:val="18"/>
          <w:szCs w:val="18"/>
          <w:highlight w:val="lightGray"/>
          <w:u w:val="single"/>
          <w:lang w:val="fr-CH"/>
        </w:rPr>
        <w:t>“</w:t>
      </w:r>
      <w:r w:rsidR="001959F5" w:rsidRPr="00E454D1">
        <w:rPr>
          <w:strike/>
          <w:sz w:val="18"/>
          <w:szCs w:val="18"/>
          <w:highlight w:val="lightGray"/>
          <w:lang w:val="fr-CH"/>
        </w:rPr>
        <w:t>2.2.7.3</w:t>
      </w:r>
      <w:r w:rsidR="001959F5" w:rsidRPr="00E454D1">
        <w:rPr>
          <w:strike/>
          <w:sz w:val="18"/>
          <w:szCs w:val="18"/>
          <w:highlight w:val="lightGray"/>
          <w:lang w:val="fr-CH"/>
        </w:rPr>
        <w:tab/>
        <w:t>S</w:t>
      </w:r>
      <w:r w:rsidR="00E454D1">
        <w:rPr>
          <w:strike/>
          <w:sz w:val="18"/>
          <w:szCs w:val="18"/>
          <w:highlight w:val="lightGray"/>
          <w:lang w:val="fr-CH"/>
        </w:rPr>
        <w:t>’</w:t>
      </w:r>
      <w:r w:rsidR="001959F5" w:rsidRPr="00E454D1">
        <w:rPr>
          <w:strike/>
          <w:sz w:val="18"/>
          <w:szCs w:val="18"/>
          <w:highlight w:val="lightGray"/>
          <w:lang w:val="fr-CH"/>
        </w:rPr>
        <w:t>il considère que des problèmes techniques doivent être résolus, le</w:t>
      </w:r>
      <w:r w:rsidR="00E454D1">
        <w:rPr>
          <w:strike/>
          <w:sz w:val="18"/>
          <w:szCs w:val="18"/>
          <w:highlight w:val="lightGray"/>
          <w:lang w:val="fr-CH"/>
        </w:rPr>
        <w:t> TC-EDC</w:t>
      </w:r>
      <w:r w:rsidR="001959F5" w:rsidRPr="00E454D1">
        <w:rPr>
          <w:strike/>
          <w:sz w:val="18"/>
          <w:szCs w:val="18"/>
          <w:highlight w:val="lightGray"/>
          <w:lang w:val="fr-CH"/>
        </w:rPr>
        <w:t xml:space="preserve"> peut chercher à résoudre les problèmes avec l</w:t>
      </w:r>
      <w:r w:rsidR="00E454D1">
        <w:rPr>
          <w:strike/>
          <w:sz w:val="18"/>
          <w:szCs w:val="18"/>
          <w:highlight w:val="lightGray"/>
          <w:lang w:val="fr-CH"/>
        </w:rPr>
        <w:t>’</w:t>
      </w:r>
      <w:r w:rsidR="001959F5" w:rsidRPr="00E454D1">
        <w:rPr>
          <w:strike/>
          <w:sz w:val="18"/>
          <w:szCs w:val="18"/>
          <w:highlight w:val="lightGray"/>
          <w:lang w:val="fr-CH"/>
        </w:rPr>
        <w:t>expert principal avant que le Comité technique examine les principes directeurs d</w:t>
      </w:r>
      <w:r w:rsidR="00E454D1">
        <w:rPr>
          <w:strike/>
          <w:sz w:val="18"/>
          <w:szCs w:val="18"/>
          <w:highlight w:val="lightGray"/>
          <w:lang w:val="fr-CH"/>
        </w:rPr>
        <w:t>’</w:t>
      </w:r>
      <w:r w:rsidR="001959F5" w:rsidRPr="00E454D1">
        <w:rPr>
          <w:strike/>
          <w:sz w:val="18"/>
          <w:szCs w:val="18"/>
          <w:highlight w:val="lightGray"/>
          <w:lang w:val="fr-CH"/>
        </w:rPr>
        <w:t>exam</w:t>
      </w:r>
      <w:r w:rsidR="00C77A34" w:rsidRPr="00E454D1">
        <w:rPr>
          <w:strike/>
          <w:sz w:val="18"/>
          <w:szCs w:val="18"/>
          <w:highlight w:val="lightGray"/>
          <w:lang w:val="fr-CH"/>
        </w:rPr>
        <w:t>en</w:t>
      </w:r>
      <w:r w:rsidR="00C77A34">
        <w:rPr>
          <w:strike/>
          <w:sz w:val="18"/>
          <w:szCs w:val="18"/>
          <w:highlight w:val="lightGray"/>
          <w:lang w:val="fr-CH"/>
        </w:rPr>
        <w:t xml:space="preserve">.  </w:t>
      </w:r>
      <w:r w:rsidR="00C77A34" w:rsidRPr="00E454D1">
        <w:rPr>
          <w:strike/>
          <w:sz w:val="18"/>
          <w:szCs w:val="18"/>
          <w:highlight w:val="lightGray"/>
          <w:lang w:val="fr-CH"/>
        </w:rPr>
        <w:t>Lo</w:t>
      </w:r>
      <w:r w:rsidR="001959F5" w:rsidRPr="00E454D1">
        <w:rPr>
          <w:strike/>
          <w:sz w:val="18"/>
          <w:szCs w:val="18"/>
          <w:highlight w:val="lightGray"/>
          <w:lang w:val="fr-CH"/>
        </w:rPr>
        <w:t>rsque ceci n</w:t>
      </w:r>
      <w:r w:rsidR="00E454D1">
        <w:rPr>
          <w:strike/>
          <w:sz w:val="18"/>
          <w:szCs w:val="18"/>
          <w:highlight w:val="lightGray"/>
          <w:lang w:val="fr-CH"/>
        </w:rPr>
        <w:t>’</w:t>
      </w:r>
      <w:r w:rsidR="001959F5" w:rsidRPr="00E454D1">
        <w:rPr>
          <w:strike/>
          <w:sz w:val="18"/>
          <w:szCs w:val="18"/>
          <w:highlight w:val="lightGray"/>
          <w:lang w:val="fr-CH"/>
        </w:rPr>
        <w:t>est pas possible, le</w:t>
      </w:r>
      <w:r w:rsidR="00E454D1">
        <w:rPr>
          <w:strike/>
          <w:sz w:val="18"/>
          <w:szCs w:val="18"/>
          <w:highlight w:val="lightGray"/>
          <w:lang w:val="fr-CH"/>
        </w:rPr>
        <w:t> TC-EDC</w:t>
      </w:r>
      <w:r w:rsidR="001959F5" w:rsidRPr="00E454D1">
        <w:rPr>
          <w:strike/>
          <w:sz w:val="18"/>
          <w:szCs w:val="18"/>
          <w:highlight w:val="lightGray"/>
          <w:lang w:val="fr-CH"/>
        </w:rPr>
        <w:t xml:space="preserve"> peut recommander au Comité technique</w:t>
      </w:r>
      <w:r w:rsidR="00E454D1">
        <w:rPr>
          <w:strike/>
          <w:sz w:val="18"/>
          <w:szCs w:val="18"/>
          <w:highlight w:val="lightGray"/>
          <w:lang w:val="fr-CH"/>
        </w:rPr>
        <w:t> :</w:t>
      </w:r>
    </w:p>
    <w:p w:rsidR="00D75FE9" w:rsidRPr="00E454D1" w:rsidRDefault="00D75FE9" w:rsidP="001959F5">
      <w:pPr>
        <w:ind w:left="567" w:right="567"/>
        <w:rPr>
          <w:strike/>
          <w:sz w:val="18"/>
          <w:szCs w:val="18"/>
          <w:highlight w:val="lightGray"/>
          <w:lang w:val="fr-CH"/>
        </w:rPr>
      </w:pPr>
    </w:p>
    <w:p w:rsidR="00D75FE9" w:rsidRPr="00E454D1" w:rsidRDefault="001959F5" w:rsidP="001959F5">
      <w:pPr>
        <w:ind w:left="567" w:right="567"/>
        <w:rPr>
          <w:strike/>
          <w:sz w:val="18"/>
          <w:szCs w:val="18"/>
          <w:highlight w:val="lightGray"/>
          <w:lang w:val="fr-CH"/>
        </w:rPr>
      </w:pPr>
      <w:r w:rsidRPr="00E454D1">
        <w:rPr>
          <w:strike/>
          <w:sz w:val="18"/>
          <w:szCs w:val="18"/>
          <w:highlight w:val="lightGray"/>
          <w:lang w:val="fr-CH"/>
        </w:rPr>
        <w:tab/>
        <w:t>a)</w:t>
      </w:r>
      <w:r w:rsidRPr="00E454D1">
        <w:rPr>
          <w:strike/>
          <w:sz w:val="18"/>
          <w:szCs w:val="18"/>
          <w:highlight w:val="lightGray"/>
          <w:lang w:val="fr-CH"/>
        </w:rPr>
        <w:tab/>
        <w:t>de renvoyer les principes directeurs d</w:t>
      </w:r>
      <w:r w:rsidR="00E454D1">
        <w:rPr>
          <w:strike/>
          <w:sz w:val="18"/>
          <w:szCs w:val="18"/>
          <w:highlight w:val="lightGray"/>
          <w:lang w:val="fr-CH"/>
        </w:rPr>
        <w:t>’</w:t>
      </w:r>
      <w:r w:rsidRPr="00E454D1">
        <w:rPr>
          <w:strike/>
          <w:sz w:val="18"/>
          <w:szCs w:val="18"/>
          <w:highlight w:val="lightGray"/>
          <w:lang w:val="fr-CH"/>
        </w:rPr>
        <w:t xml:space="preserve">examen au groupe de travail technique (étape 4), </w:t>
      </w:r>
      <w:proofErr w:type="gramStart"/>
      <w:r w:rsidRPr="00E454D1">
        <w:rPr>
          <w:strike/>
          <w:sz w:val="18"/>
          <w:szCs w:val="18"/>
          <w:highlight w:val="lightGray"/>
          <w:lang w:val="fr-CH"/>
        </w:rPr>
        <w:t>ou</w:t>
      </w:r>
      <w:proofErr w:type="gramEnd"/>
    </w:p>
    <w:p w:rsidR="00D75FE9" w:rsidRPr="00E454D1" w:rsidRDefault="001959F5" w:rsidP="001959F5">
      <w:pPr>
        <w:ind w:left="567" w:right="567"/>
        <w:rPr>
          <w:strike/>
          <w:sz w:val="18"/>
          <w:szCs w:val="18"/>
          <w:lang w:val="fr-CH"/>
        </w:rPr>
      </w:pPr>
      <w:r w:rsidRPr="00E454D1">
        <w:rPr>
          <w:strike/>
          <w:sz w:val="18"/>
          <w:szCs w:val="18"/>
          <w:highlight w:val="lightGray"/>
          <w:lang w:val="fr-CH"/>
        </w:rPr>
        <w:tab/>
        <w:t>b)</w:t>
      </w:r>
      <w:r w:rsidRPr="00E454D1">
        <w:rPr>
          <w:strike/>
          <w:sz w:val="18"/>
          <w:szCs w:val="18"/>
          <w:highlight w:val="lightGray"/>
          <w:lang w:val="fr-CH"/>
        </w:rPr>
        <w:tab/>
        <w:t>d</w:t>
      </w:r>
      <w:r w:rsidR="00E454D1">
        <w:rPr>
          <w:strike/>
          <w:sz w:val="18"/>
          <w:szCs w:val="18"/>
          <w:highlight w:val="lightGray"/>
          <w:lang w:val="fr-CH"/>
        </w:rPr>
        <w:t>’</w:t>
      </w:r>
      <w:r w:rsidRPr="00E454D1">
        <w:rPr>
          <w:strike/>
          <w:sz w:val="18"/>
          <w:szCs w:val="18"/>
          <w:highlight w:val="lightGray"/>
          <w:lang w:val="fr-CH"/>
        </w:rPr>
        <w:t>adopter les principes directeurs d</w:t>
      </w:r>
      <w:r w:rsidR="00E454D1">
        <w:rPr>
          <w:strike/>
          <w:sz w:val="18"/>
          <w:szCs w:val="18"/>
          <w:highlight w:val="lightGray"/>
          <w:lang w:val="fr-CH"/>
        </w:rPr>
        <w:t>’</w:t>
      </w:r>
      <w:r w:rsidRPr="00E454D1">
        <w:rPr>
          <w:strike/>
          <w:sz w:val="18"/>
          <w:szCs w:val="18"/>
          <w:highlight w:val="lightGray"/>
          <w:lang w:val="fr-CH"/>
        </w:rPr>
        <w:t>examen sous réserve de renseignements supplémentaires fournis par l</w:t>
      </w:r>
      <w:r w:rsidR="00E454D1">
        <w:rPr>
          <w:strike/>
          <w:sz w:val="18"/>
          <w:szCs w:val="18"/>
          <w:highlight w:val="lightGray"/>
          <w:lang w:val="fr-CH"/>
        </w:rPr>
        <w:t>’</w:t>
      </w:r>
      <w:r w:rsidRPr="00E454D1">
        <w:rPr>
          <w:strike/>
          <w:sz w:val="18"/>
          <w:szCs w:val="18"/>
          <w:highlight w:val="lightGray"/>
          <w:lang w:val="fr-CH"/>
        </w:rPr>
        <w:t>expert principal en accord avec tous les experts intéressés et le président du groupe de travail technique concerné.</w:t>
      </w:r>
    </w:p>
    <w:p w:rsidR="00D75FE9" w:rsidRPr="00E454D1" w:rsidRDefault="00D75FE9" w:rsidP="001959F5">
      <w:pPr>
        <w:ind w:right="567"/>
        <w:rPr>
          <w:sz w:val="18"/>
          <w:szCs w:val="18"/>
          <w:lang w:val="fr-CH"/>
        </w:rPr>
      </w:pPr>
    </w:p>
    <w:p w:rsidR="00D75FE9" w:rsidRPr="00E454D1" w:rsidRDefault="001959F5" w:rsidP="001959F5">
      <w:pPr>
        <w:ind w:left="567" w:right="567"/>
        <w:rPr>
          <w:sz w:val="18"/>
          <w:szCs w:val="18"/>
          <w:highlight w:val="lightGray"/>
          <w:u w:val="single"/>
          <w:lang w:val="fr-CH"/>
        </w:rPr>
      </w:pPr>
      <w:r w:rsidRPr="00E454D1">
        <w:rPr>
          <w:sz w:val="18"/>
          <w:szCs w:val="18"/>
          <w:highlight w:val="lightGray"/>
          <w:u w:val="single"/>
          <w:lang w:val="fr-CH"/>
        </w:rPr>
        <w:lastRenderedPageBreak/>
        <w:t>“NOUVEAU</w:t>
      </w:r>
      <w:r w:rsidRPr="00E454D1">
        <w:rPr>
          <w:sz w:val="18"/>
          <w:szCs w:val="18"/>
          <w:highlight w:val="lightGray"/>
          <w:u w:val="single"/>
          <w:lang w:val="fr-CH"/>
        </w:rPr>
        <w:tab/>
        <w:t>Sauf décision contraire du</w:t>
      </w:r>
      <w:r w:rsidR="00E454D1">
        <w:rPr>
          <w:sz w:val="18"/>
          <w:szCs w:val="18"/>
          <w:highlight w:val="lightGray"/>
          <w:u w:val="single"/>
          <w:lang w:val="fr-CH"/>
        </w:rPr>
        <w:t> TC</w:t>
      </w:r>
      <w:r w:rsidRPr="00E454D1">
        <w:rPr>
          <w:sz w:val="18"/>
          <w:szCs w:val="18"/>
          <w:highlight w:val="lightGray"/>
          <w:u w:val="single"/>
          <w:lang w:val="fr-CH"/>
        </w:rPr>
        <w:t>, le</w:t>
      </w:r>
      <w:r w:rsidR="00E454D1">
        <w:rPr>
          <w:sz w:val="18"/>
          <w:szCs w:val="18"/>
          <w:highlight w:val="lightGray"/>
          <w:u w:val="single"/>
          <w:lang w:val="fr-CH"/>
        </w:rPr>
        <w:t> TC-EDC</w:t>
      </w:r>
      <w:r w:rsidRPr="00E454D1">
        <w:rPr>
          <w:sz w:val="18"/>
          <w:szCs w:val="18"/>
          <w:highlight w:val="lightGray"/>
          <w:u w:val="single"/>
          <w:lang w:val="fr-CH"/>
        </w:rPr>
        <w:t xml:space="preserve"> se réunit deux fois par an, une fois en mars</w:t>
      </w:r>
      <w:r w:rsidR="00E454D1">
        <w:rPr>
          <w:sz w:val="18"/>
          <w:szCs w:val="18"/>
          <w:highlight w:val="lightGray"/>
          <w:u w:val="single"/>
          <w:lang w:val="fr-CH"/>
        </w:rPr>
        <w:t>-</w:t>
      </w:r>
      <w:r w:rsidRPr="00E454D1">
        <w:rPr>
          <w:sz w:val="18"/>
          <w:szCs w:val="18"/>
          <w:highlight w:val="lightGray"/>
          <w:u w:val="single"/>
          <w:lang w:val="fr-CH"/>
        </w:rPr>
        <w:t>avril et une fois dans le cadre de la session du</w:t>
      </w:r>
      <w:r w:rsidR="00E454D1">
        <w:rPr>
          <w:sz w:val="18"/>
          <w:szCs w:val="18"/>
          <w:highlight w:val="lightGray"/>
          <w:u w:val="single"/>
          <w:lang w:val="fr-CH"/>
        </w:rPr>
        <w:t> TC</w:t>
      </w:r>
      <w:r w:rsidRPr="00E454D1">
        <w:rPr>
          <w:sz w:val="18"/>
          <w:szCs w:val="18"/>
          <w:highlight w:val="lightGray"/>
          <w:u w:val="single"/>
          <w:lang w:val="fr-CH"/>
        </w:rPr>
        <w:t xml:space="preserve"> (octobre</w:t>
      </w:r>
      <w:r w:rsidR="00E454D1">
        <w:rPr>
          <w:sz w:val="18"/>
          <w:szCs w:val="18"/>
          <w:highlight w:val="lightGray"/>
          <w:u w:val="single"/>
          <w:lang w:val="fr-CH"/>
        </w:rPr>
        <w:t>-</w:t>
      </w:r>
      <w:r w:rsidRPr="00E454D1">
        <w:rPr>
          <w:sz w:val="18"/>
          <w:szCs w:val="18"/>
          <w:highlight w:val="lightGray"/>
          <w:u w:val="single"/>
          <w:lang w:val="fr-CH"/>
        </w:rPr>
        <w:t>novemb</w:t>
      </w:r>
      <w:r w:rsidR="00C77A34" w:rsidRPr="00E454D1">
        <w:rPr>
          <w:sz w:val="18"/>
          <w:szCs w:val="18"/>
          <w:highlight w:val="lightGray"/>
          <w:u w:val="single"/>
          <w:lang w:val="fr-CH"/>
        </w:rPr>
        <w:t>re)</w:t>
      </w:r>
      <w:r w:rsidR="00C77A34">
        <w:rPr>
          <w:sz w:val="18"/>
          <w:szCs w:val="18"/>
          <w:highlight w:val="lightGray"/>
          <w:u w:val="single"/>
          <w:lang w:val="fr-CH"/>
        </w:rPr>
        <w:t xml:space="preserve">.  </w:t>
      </w:r>
      <w:r w:rsidR="00C77A34" w:rsidRPr="00E454D1">
        <w:rPr>
          <w:sz w:val="18"/>
          <w:szCs w:val="18"/>
          <w:highlight w:val="lightGray"/>
          <w:u w:val="single"/>
          <w:lang w:val="fr-CH"/>
        </w:rPr>
        <w:t>Le</w:t>
      </w:r>
      <w:r w:rsidR="00E454D1">
        <w:rPr>
          <w:sz w:val="18"/>
          <w:szCs w:val="18"/>
          <w:highlight w:val="lightGray"/>
          <w:u w:val="single"/>
          <w:lang w:val="fr-CH"/>
        </w:rPr>
        <w:t> TC-EDC</w:t>
      </w:r>
      <w:r w:rsidRPr="00E454D1">
        <w:rPr>
          <w:sz w:val="18"/>
          <w:szCs w:val="18"/>
          <w:highlight w:val="lightGray"/>
          <w:u w:val="single"/>
          <w:lang w:val="fr-CH"/>
        </w:rPr>
        <w:t xml:space="preserve"> examinera les principes directeurs d</w:t>
      </w:r>
      <w:r w:rsidR="00E454D1">
        <w:rPr>
          <w:sz w:val="18"/>
          <w:szCs w:val="18"/>
          <w:highlight w:val="lightGray"/>
          <w:u w:val="single"/>
          <w:lang w:val="fr-CH"/>
        </w:rPr>
        <w:t>’</w:t>
      </w:r>
      <w:r w:rsidRPr="00E454D1">
        <w:rPr>
          <w:sz w:val="18"/>
          <w:szCs w:val="18"/>
          <w:highlight w:val="lightGray"/>
          <w:u w:val="single"/>
          <w:lang w:val="fr-CH"/>
        </w:rPr>
        <w:t>examen soumis par les TWP au moins 14</w:t>
      </w:r>
      <w:r w:rsidR="00FE5010" w:rsidRPr="00E454D1">
        <w:rPr>
          <w:sz w:val="18"/>
          <w:szCs w:val="18"/>
          <w:highlight w:val="lightGray"/>
          <w:u w:val="single"/>
          <w:lang w:val="fr-CH"/>
        </w:rPr>
        <w:t> </w:t>
      </w:r>
      <w:r w:rsidRPr="00E454D1">
        <w:rPr>
          <w:sz w:val="18"/>
          <w:szCs w:val="18"/>
          <w:highlight w:val="lightGray"/>
          <w:u w:val="single"/>
          <w:lang w:val="fr-CH"/>
        </w:rPr>
        <w:t>semaines avant la réunion du</w:t>
      </w:r>
      <w:r w:rsidR="00E454D1">
        <w:rPr>
          <w:sz w:val="18"/>
          <w:szCs w:val="18"/>
          <w:highlight w:val="lightGray"/>
          <w:u w:val="single"/>
          <w:lang w:val="fr-CH"/>
        </w:rPr>
        <w:t> TC-</w:t>
      </w:r>
      <w:r w:rsidR="00C77A34">
        <w:rPr>
          <w:sz w:val="18"/>
          <w:szCs w:val="18"/>
          <w:highlight w:val="lightGray"/>
          <w:u w:val="single"/>
          <w:lang w:val="fr-CH"/>
        </w:rPr>
        <w:t xml:space="preserve">EDC.  </w:t>
      </w:r>
      <w:r w:rsidR="00C77A34" w:rsidRPr="00E454D1">
        <w:rPr>
          <w:sz w:val="18"/>
          <w:szCs w:val="18"/>
          <w:highlight w:val="lightGray"/>
          <w:u w:val="single"/>
          <w:lang w:val="fr-CH"/>
        </w:rPr>
        <w:t>Le</w:t>
      </w:r>
      <w:r w:rsidRPr="00E454D1">
        <w:rPr>
          <w:sz w:val="18"/>
          <w:szCs w:val="18"/>
          <w:highlight w:val="lightGray"/>
          <w:u w:val="single"/>
          <w:lang w:val="fr-CH"/>
        </w:rPr>
        <w:t>s principes directeurs d</w:t>
      </w:r>
      <w:r w:rsidR="00E454D1">
        <w:rPr>
          <w:sz w:val="18"/>
          <w:szCs w:val="18"/>
          <w:highlight w:val="lightGray"/>
          <w:u w:val="single"/>
          <w:lang w:val="fr-CH"/>
        </w:rPr>
        <w:t>’</w:t>
      </w:r>
      <w:r w:rsidRPr="00E454D1">
        <w:rPr>
          <w:sz w:val="18"/>
          <w:szCs w:val="18"/>
          <w:highlight w:val="lightGray"/>
          <w:u w:val="single"/>
          <w:lang w:val="fr-CH"/>
        </w:rPr>
        <w:t>examen soumis moins de 14</w:t>
      </w:r>
      <w:r w:rsidR="00FE5010" w:rsidRPr="00E454D1">
        <w:rPr>
          <w:sz w:val="18"/>
          <w:szCs w:val="18"/>
          <w:highlight w:val="lightGray"/>
          <w:u w:val="single"/>
          <w:lang w:val="fr-CH"/>
        </w:rPr>
        <w:t> </w:t>
      </w:r>
      <w:r w:rsidRPr="00E454D1">
        <w:rPr>
          <w:sz w:val="18"/>
          <w:szCs w:val="18"/>
          <w:highlight w:val="lightGray"/>
          <w:u w:val="single"/>
          <w:lang w:val="fr-CH"/>
        </w:rPr>
        <w:t>semaines avant la réunion du</w:t>
      </w:r>
      <w:r w:rsidR="00E454D1">
        <w:rPr>
          <w:sz w:val="18"/>
          <w:szCs w:val="18"/>
          <w:highlight w:val="lightGray"/>
          <w:u w:val="single"/>
          <w:lang w:val="fr-CH"/>
        </w:rPr>
        <w:t> TC-EDC</w:t>
      </w:r>
      <w:r w:rsidRPr="00E454D1">
        <w:rPr>
          <w:sz w:val="18"/>
          <w:szCs w:val="18"/>
          <w:highlight w:val="lightGray"/>
          <w:u w:val="single"/>
          <w:lang w:val="fr-CH"/>
        </w:rPr>
        <w:t xml:space="preserve"> seront examinés à sa réunion suivante.</w:t>
      </w:r>
    </w:p>
    <w:p w:rsidR="00D75FE9" w:rsidRPr="00E454D1" w:rsidRDefault="00D75FE9" w:rsidP="001959F5">
      <w:pPr>
        <w:tabs>
          <w:tab w:val="left" w:pos="567"/>
          <w:tab w:val="left" w:pos="1134"/>
          <w:tab w:val="left" w:pos="5387"/>
        </w:tabs>
        <w:ind w:left="567" w:right="567"/>
        <w:rPr>
          <w:sz w:val="18"/>
          <w:szCs w:val="18"/>
          <w:highlight w:val="lightGray"/>
          <w:u w:val="single"/>
          <w:lang w:val="fr-CH"/>
        </w:rPr>
      </w:pPr>
    </w:p>
    <w:p w:rsidR="00D75FE9" w:rsidRPr="00E454D1" w:rsidRDefault="001959F5" w:rsidP="001959F5">
      <w:pPr>
        <w:ind w:left="567" w:right="567"/>
        <w:rPr>
          <w:sz w:val="18"/>
          <w:szCs w:val="18"/>
          <w:highlight w:val="lightGray"/>
          <w:u w:val="single"/>
          <w:lang w:val="fr-CH"/>
        </w:rPr>
      </w:pPr>
      <w:r w:rsidRPr="00E454D1">
        <w:rPr>
          <w:sz w:val="18"/>
          <w:szCs w:val="18"/>
          <w:highlight w:val="lightGray"/>
          <w:u w:val="single"/>
          <w:lang w:val="fr-CH"/>
        </w:rPr>
        <w:t>“NOUVEAU</w:t>
      </w:r>
      <w:r w:rsidRPr="00E454D1">
        <w:rPr>
          <w:sz w:val="18"/>
          <w:szCs w:val="18"/>
          <w:highlight w:val="lightGray"/>
          <w:u w:val="single"/>
          <w:lang w:val="fr-CH"/>
        </w:rPr>
        <w:tab/>
        <w:t>L</w:t>
      </w:r>
      <w:r w:rsidR="00E454D1">
        <w:rPr>
          <w:sz w:val="18"/>
          <w:szCs w:val="18"/>
          <w:highlight w:val="lightGray"/>
          <w:u w:val="single"/>
          <w:lang w:val="fr-CH"/>
        </w:rPr>
        <w:t>’</w:t>
      </w:r>
      <w:r w:rsidRPr="00E454D1">
        <w:rPr>
          <w:sz w:val="18"/>
          <w:szCs w:val="18"/>
          <w:highlight w:val="lightGray"/>
          <w:u w:val="single"/>
          <w:lang w:val="fr-CH"/>
        </w:rPr>
        <w:t>examen des principes directeurs d</w:t>
      </w:r>
      <w:r w:rsidR="00E454D1">
        <w:rPr>
          <w:sz w:val="18"/>
          <w:szCs w:val="18"/>
          <w:highlight w:val="lightGray"/>
          <w:u w:val="single"/>
          <w:lang w:val="fr-CH"/>
        </w:rPr>
        <w:t>’</w:t>
      </w:r>
      <w:r w:rsidRPr="00E454D1">
        <w:rPr>
          <w:sz w:val="18"/>
          <w:szCs w:val="18"/>
          <w:highlight w:val="lightGray"/>
          <w:u w:val="single"/>
          <w:lang w:val="fr-CH"/>
        </w:rPr>
        <w:t>examen par le</w:t>
      </w:r>
      <w:r w:rsidR="00E454D1">
        <w:rPr>
          <w:sz w:val="18"/>
          <w:szCs w:val="18"/>
          <w:highlight w:val="lightGray"/>
          <w:u w:val="single"/>
          <w:lang w:val="fr-CH"/>
        </w:rPr>
        <w:t> TC-EDC</w:t>
      </w:r>
      <w:r w:rsidRPr="00E454D1">
        <w:rPr>
          <w:sz w:val="18"/>
          <w:szCs w:val="18"/>
          <w:highlight w:val="lightGray"/>
          <w:u w:val="single"/>
          <w:lang w:val="fr-CH"/>
        </w:rPr>
        <w:t xml:space="preserve"> peut avoir l</w:t>
      </w:r>
      <w:r w:rsidR="00E454D1">
        <w:rPr>
          <w:sz w:val="18"/>
          <w:szCs w:val="18"/>
          <w:highlight w:val="lightGray"/>
          <w:u w:val="single"/>
          <w:lang w:val="fr-CH"/>
        </w:rPr>
        <w:t>’</w:t>
      </w:r>
      <w:r w:rsidRPr="00E454D1">
        <w:rPr>
          <w:sz w:val="18"/>
          <w:szCs w:val="18"/>
          <w:highlight w:val="lightGray"/>
          <w:u w:val="single"/>
          <w:lang w:val="fr-CH"/>
        </w:rPr>
        <w:t>un des résultats suivants</w:t>
      </w:r>
      <w:r w:rsidR="00E454D1">
        <w:rPr>
          <w:sz w:val="18"/>
          <w:szCs w:val="18"/>
          <w:highlight w:val="lightGray"/>
          <w:u w:val="single"/>
          <w:lang w:val="fr-CH"/>
        </w:rPr>
        <w:t> :</w:t>
      </w:r>
    </w:p>
    <w:p w:rsidR="00D75FE9" w:rsidRPr="00E454D1" w:rsidRDefault="00D75FE9" w:rsidP="001959F5">
      <w:pPr>
        <w:ind w:left="567" w:right="567"/>
        <w:rPr>
          <w:sz w:val="18"/>
          <w:szCs w:val="18"/>
          <w:highlight w:val="lightGray"/>
          <w:u w:val="single"/>
          <w:lang w:val="fr-CH"/>
        </w:rPr>
      </w:pPr>
    </w:p>
    <w:p w:rsidR="00D75FE9" w:rsidRPr="00E454D1" w:rsidRDefault="001959F5" w:rsidP="001959F5">
      <w:pPr>
        <w:numPr>
          <w:ilvl w:val="0"/>
          <w:numId w:val="6"/>
        </w:numPr>
        <w:ind w:left="1134" w:right="567" w:hanging="567"/>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aucun</w:t>
      </w:r>
      <w:proofErr w:type="gramEnd"/>
      <w:r w:rsidRPr="00E454D1">
        <w:rPr>
          <w:rFonts w:cs="Arial"/>
          <w:sz w:val="18"/>
          <w:szCs w:val="18"/>
          <w:highlight w:val="lightGray"/>
          <w:u w:val="single"/>
          <w:lang w:val="fr-CH" w:eastAsia="en-GB"/>
        </w:rPr>
        <w:t xml:space="preserve"> changement ne devra être apporté aux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 si ce n</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est des modifications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ordre purement rédactionnel, à propos desquelles des recommandations ont été approuvées par le</w:t>
      </w:r>
      <w:r w:rsidR="00E454D1">
        <w:rPr>
          <w:rFonts w:cs="Arial"/>
          <w:sz w:val="18"/>
          <w:szCs w:val="18"/>
          <w:highlight w:val="lightGray"/>
          <w:u w:val="single"/>
          <w:lang w:val="fr-CH" w:eastAsia="en-GB"/>
        </w:rPr>
        <w:t> TC-EDC</w:t>
      </w:r>
      <w:r w:rsidRPr="00E454D1">
        <w:rPr>
          <w:rFonts w:cs="Arial"/>
          <w:sz w:val="18"/>
          <w:szCs w:val="18"/>
          <w:highlight w:val="lightGray"/>
          <w:u w:val="single"/>
          <w:lang w:val="fr-CH" w:eastAsia="en-GB"/>
        </w:rPr>
        <w:t xml:space="preserve">; </w:t>
      </w:r>
      <w:r w:rsidR="00124C91" w:rsidRPr="00E454D1">
        <w:rPr>
          <w:rFonts w:cs="Arial"/>
          <w:sz w:val="18"/>
          <w:szCs w:val="18"/>
          <w:highlight w:val="lightGray"/>
          <w:u w:val="single"/>
          <w:lang w:val="fr-CH" w:eastAsia="en-GB"/>
        </w:rPr>
        <w:t xml:space="preserve"> </w:t>
      </w:r>
      <w:r w:rsidRPr="00E454D1">
        <w:rPr>
          <w:rFonts w:cs="Arial"/>
          <w:sz w:val="18"/>
          <w:szCs w:val="18"/>
          <w:highlight w:val="lightGray"/>
          <w:u w:val="single"/>
          <w:lang w:val="fr-CH" w:eastAsia="en-GB"/>
        </w:rPr>
        <w:t>ou</w:t>
      </w:r>
    </w:p>
    <w:p w:rsidR="00D75FE9" w:rsidRPr="00E454D1" w:rsidRDefault="001959F5" w:rsidP="001959F5">
      <w:pPr>
        <w:numPr>
          <w:ilvl w:val="0"/>
          <w:numId w:val="6"/>
        </w:numPr>
        <w:ind w:left="567" w:right="567" w:firstLine="0"/>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des</w:t>
      </w:r>
      <w:proofErr w:type="gramEnd"/>
      <w:r w:rsidRPr="00E454D1">
        <w:rPr>
          <w:rFonts w:cs="Arial"/>
          <w:sz w:val="18"/>
          <w:szCs w:val="18"/>
          <w:highlight w:val="lightGray"/>
          <w:u w:val="single"/>
          <w:lang w:val="fr-CH" w:eastAsia="en-GB"/>
        </w:rPr>
        <w:t xml:space="preserve"> précisions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 xml:space="preserve">ordre rédactionnel sont nécessaires; </w:t>
      </w:r>
      <w:r w:rsidR="00124C91" w:rsidRPr="00E454D1">
        <w:rPr>
          <w:rFonts w:cs="Arial"/>
          <w:sz w:val="18"/>
          <w:szCs w:val="18"/>
          <w:highlight w:val="lightGray"/>
          <w:u w:val="single"/>
          <w:lang w:val="fr-CH" w:eastAsia="en-GB"/>
        </w:rPr>
        <w:t xml:space="preserve"> </w:t>
      </w:r>
      <w:r w:rsidRPr="00E454D1">
        <w:rPr>
          <w:rFonts w:cs="Arial"/>
          <w:sz w:val="18"/>
          <w:szCs w:val="18"/>
          <w:highlight w:val="lightGray"/>
          <w:u w:val="single"/>
          <w:lang w:val="fr-CH" w:eastAsia="en-GB"/>
        </w:rPr>
        <w:t>ou</w:t>
      </w:r>
    </w:p>
    <w:p w:rsidR="00D75FE9" w:rsidRPr="00E454D1" w:rsidRDefault="001959F5" w:rsidP="001959F5">
      <w:pPr>
        <w:numPr>
          <w:ilvl w:val="0"/>
          <w:numId w:val="6"/>
        </w:numPr>
        <w:ind w:left="567" w:right="567" w:firstLine="0"/>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des</w:t>
      </w:r>
      <w:proofErr w:type="gramEnd"/>
      <w:r w:rsidRPr="00E454D1">
        <w:rPr>
          <w:rFonts w:cs="Arial"/>
          <w:sz w:val="18"/>
          <w:szCs w:val="18"/>
          <w:highlight w:val="lightGray"/>
          <w:u w:val="single"/>
          <w:lang w:val="fr-CH" w:eastAsia="en-GB"/>
        </w:rPr>
        <w:t xml:space="preserve"> problèmes techniques doivent être résolus.</w:t>
      </w:r>
    </w:p>
    <w:p w:rsidR="00D75FE9" w:rsidRPr="00E454D1" w:rsidRDefault="00D75FE9" w:rsidP="001959F5">
      <w:pPr>
        <w:ind w:left="567" w:right="567"/>
        <w:rPr>
          <w:sz w:val="18"/>
          <w:szCs w:val="18"/>
          <w:highlight w:val="lightGray"/>
          <w:u w:val="single"/>
          <w:lang w:val="fr-CH"/>
        </w:rPr>
      </w:pPr>
    </w:p>
    <w:p w:rsidR="00D75FE9" w:rsidRPr="00E454D1" w:rsidRDefault="001959F5" w:rsidP="001959F5">
      <w:pPr>
        <w:ind w:left="567" w:right="567"/>
        <w:rPr>
          <w:sz w:val="18"/>
          <w:szCs w:val="18"/>
          <w:highlight w:val="lightGray"/>
          <w:u w:val="single"/>
          <w:lang w:val="fr-CH"/>
        </w:rPr>
      </w:pPr>
      <w:r w:rsidRPr="00E454D1">
        <w:rPr>
          <w:sz w:val="18"/>
          <w:szCs w:val="18"/>
          <w:highlight w:val="lightGray"/>
          <w:u w:val="single"/>
          <w:lang w:val="fr-CH"/>
        </w:rPr>
        <w:t>“NOUVEAU</w:t>
      </w:r>
      <w:r w:rsidRPr="00E454D1">
        <w:rPr>
          <w:sz w:val="18"/>
          <w:szCs w:val="18"/>
          <w:highlight w:val="lightGray"/>
          <w:u w:val="single"/>
          <w:lang w:val="fr-CH"/>
        </w:rPr>
        <w:tab/>
        <w:t>Dans les cas où aucun changement ne doit être apporté aux principes directeurs d</w:t>
      </w:r>
      <w:r w:rsidR="00E454D1">
        <w:rPr>
          <w:sz w:val="18"/>
          <w:szCs w:val="18"/>
          <w:highlight w:val="lightGray"/>
          <w:u w:val="single"/>
          <w:lang w:val="fr-CH"/>
        </w:rPr>
        <w:t>’</w:t>
      </w:r>
      <w:r w:rsidRPr="00E454D1">
        <w:rPr>
          <w:sz w:val="18"/>
          <w:szCs w:val="18"/>
          <w:highlight w:val="lightGray"/>
          <w:u w:val="single"/>
          <w:lang w:val="fr-CH"/>
        </w:rPr>
        <w:t>examen, si ce n</w:t>
      </w:r>
      <w:r w:rsidR="00E454D1">
        <w:rPr>
          <w:sz w:val="18"/>
          <w:szCs w:val="18"/>
          <w:highlight w:val="lightGray"/>
          <w:u w:val="single"/>
          <w:lang w:val="fr-CH"/>
        </w:rPr>
        <w:t>’</w:t>
      </w:r>
      <w:r w:rsidRPr="00E454D1">
        <w:rPr>
          <w:sz w:val="18"/>
          <w:szCs w:val="18"/>
          <w:highlight w:val="lightGray"/>
          <w:u w:val="single"/>
          <w:lang w:val="fr-CH"/>
        </w:rPr>
        <w:t>est des modifications d</w:t>
      </w:r>
      <w:r w:rsidR="00E454D1">
        <w:rPr>
          <w:sz w:val="18"/>
          <w:szCs w:val="18"/>
          <w:highlight w:val="lightGray"/>
          <w:u w:val="single"/>
          <w:lang w:val="fr-CH"/>
        </w:rPr>
        <w:t>’</w:t>
      </w:r>
      <w:r w:rsidRPr="00E454D1">
        <w:rPr>
          <w:sz w:val="18"/>
          <w:szCs w:val="18"/>
          <w:highlight w:val="lightGray"/>
          <w:u w:val="single"/>
          <w:lang w:val="fr-CH"/>
        </w:rPr>
        <w:t>ordre purement rédactionnel, à propos desquelles des recommandations ont été approuvées par le</w:t>
      </w:r>
      <w:r w:rsidR="00E454D1">
        <w:rPr>
          <w:sz w:val="18"/>
          <w:szCs w:val="18"/>
          <w:highlight w:val="lightGray"/>
          <w:u w:val="single"/>
          <w:lang w:val="fr-CH"/>
        </w:rPr>
        <w:t> TC-EDC</w:t>
      </w:r>
      <w:r w:rsidRPr="00E454D1">
        <w:rPr>
          <w:sz w:val="18"/>
          <w:szCs w:val="18"/>
          <w:highlight w:val="lightGray"/>
          <w:u w:val="single"/>
          <w:lang w:val="fr-CH"/>
        </w:rPr>
        <w:t>, les principes directeurs d</w:t>
      </w:r>
      <w:r w:rsidR="00E454D1">
        <w:rPr>
          <w:sz w:val="18"/>
          <w:szCs w:val="18"/>
          <w:highlight w:val="lightGray"/>
          <w:u w:val="single"/>
          <w:lang w:val="fr-CH"/>
        </w:rPr>
        <w:t>’</w:t>
      </w:r>
      <w:r w:rsidRPr="00E454D1">
        <w:rPr>
          <w:sz w:val="18"/>
          <w:szCs w:val="18"/>
          <w:highlight w:val="lightGray"/>
          <w:u w:val="single"/>
          <w:lang w:val="fr-CH"/>
        </w:rPr>
        <w:t>examen sont communiqués pour adoption au Comité technique.</w:t>
      </w:r>
    </w:p>
    <w:p w:rsidR="00D75FE9" w:rsidRPr="00E454D1" w:rsidRDefault="00D75FE9" w:rsidP="001959F5">
      <w:pPr>
        <w:ind w:left="567" w:right="567"/>
        <w:rPr>
          <w:sz w:val="18"/>
          <w:szCs w:val="18"/>
          <w:highlight w:val="lightGray"/>
          <w:u w:val="single"/>
          <w:lang w:val="fr-CH"/>
        </w:rPr>
      </w:pPr>
    </w:p>
    <w:p w:rsidR="00D75FE9" w:rsidRPr="00E454D1" w:rsidRDefault="001959F5" w:rsidP="001959F5">
      <w:pPr>
        <w:ind w:left="567" w:right="567"/>
        <w:rPr>
          <w:sz w:val="18"/>
          <w:szCs w:val="18"/>
          <w:highlight w:val="lightGray"/>
          <w:u w:val="single"/>
          <w:lang w:val="fr-CH"/>
        </w:rPr>
      </w:pPr>
      <w:r w:rsidRPr="00E454D1">
        <w:rPr>
          <w:sz w:val="18"/>
          <w:szCs w:val="18"/>
          <w:highlight w:val="lightGray"/>
          <w:u w:val="single"/>
          <w:lang w:val="fr-CH"/>
        </w:rPr>
        <w:t>“NOUVEAU</w:t>
      </w:r>
      <w:r w:rsidRPr="00E454D1">
        <w:rPr>
          <w:sz w:val="18"/>
          <w:szCs w:val="18"/>
          <w:highlight w:val="lightGray"/>
          <w:u w:val="single"/>
          <w:lang w:val="fr-CH"/>
        </w:rPr>
        <w:tab/>
        <w:t>La procédure ci</w:t>
      </w:r>
      <w:r w:rsidR="00E454D1">
        <w:rPr>
          <w:sz w:val="18"/>
          <w:szCs w:val="18"/>
          <w:highlight w:val="lightGray"/>
          <w:u w:val="single"/>
          <w:lang w:val="fr-CH"/>
        </w:rPr>
        <w:t>-</w:t>
      </w:r>
      <w:r w:rsidRPr="00E454D1">
        <w:rPr>
          <w:sz w:val="18"/>
          <w:szCs w:val="18"/>
          <w:highlight w:val="lightGray"/>
          <w:u w:val="single"/>
          <w:lang w:val="fr-CH"/>
        </w:rPr>
        <w:t>après s</w:t>
      </w:r>
      <w:r w:rsidR="00E454D1">
        <w:rPr>
          <w:sz w:val="18"/>
          <w:szCs w:val="18"/>
          <w:highlight w:val="lightGray"/>
          <w:u w:val="single"/>
          <w:lang w:val="fr-CH"/>
        </w:rPr>
        <w:t>’</w:t>
      </w:r>
      <w:r w:rsidRPr="00E454D1">
        <w:rPr>
          <w:sz w:val="18"/>
          <w:szCs w:val="18"/>
          <w:highlight w:val="lightGray"/>
          <w:u w:val="single"/>
          <w:lang w:val="fr-CH"/>
        </w:rPr>
        <w:t>applique aux principes directeurs d</w:t>
      </w:r>
      <w:r w:rsidR="00E454D1">
        <w:rPr>
          <w:sz w:val="18"/>
          <w:szCs w:val="18"/>
          <w:highlight w:val="lightGray"/>
          <w:u w:val="single"/>
          <w:lang w:val="fr-CH"/>
        </w:rPr>
        <w:t>’</w:t>
      </w:r>
      <w:r w:rsidRPr="00E454D1">
        <w:rPr>
          <w:sz w:val="18"/>
          <w:szCs w:val="18"/>
          <w:highlight w:val="lightGray"/>
          <w:u w:val="single"/>
          <w:lang w:val="fr-CH"/>
        </w:rPr>
        <w:t>examen pour lesquels des précisions d</w:t>
      </w:r>
      <w:r w:rsidR="00E454D1">
        <w:rPr>
          <w:sz w:val="18"/>
          <w:szCs w:val="18"/>
          <w:highlight w:val="lightGray"/>
          <w:u w:val="single"/>
          <w:lang w:val="fr-CH"/>
        </w:rPr>
        <w:t>’</w:t>
      </w:r>
      <w:r w:rsidRPr="00E454D1">
        <w:rPr>
          <w:sz w:val="18"/>
          <w:szCs w:val="18"/>
          <w:highlight w:val="lightGray"/>
          <w:u w:val="single"/>
          <w:lang w:val="fr-CH"/>
        </w:rPr>
        <w:t>ordre rédactionnel sont nécessaires</w:t>
      </w:r>
      <w:r w:rsidR="00E454D1">
        <w:rPr>
          <w:sz w:val="18"/>
          <w:szCs w:val="18"/>
          <w:highlight w:val="lightGray"/>
          <w:u w:val="single"/>
          <w:lang w:val="fr-CH"/>
        </w:rPr>
        <w:t> :</w:t>
      </w:r>
    </w:p>
    <w:p w:rsidR="00D75FE9" w:rsidRPr="00E454D1" w:rsidRDefault="00D75FE9" w:rsidP="001959F5">
      <w:pPr>
        <w:ind w:left="567" w:right="567"/>
        <w:rPr>
          <w:rFonts w:cs="Arial"/>
          <w:sz w:val="18"/>
          <w:szCs w:val="18"/>
          <w:highlight w:val="lightGray"/>
          <w:u w:val="single"/>
          <w:lang w:val="fr-CH"/>
        </w:rPr>
      </w:pPr>
    </w:p>
    <w:p w:rsidR="00D75FE9" w:rsidRPr="00E454D1" w:rsidRDefault="001959F5" w:rsidP="001959F5">
      <w:pPr>
        <w:numPr>
          <w:ilvl w:val="0"/>
          <w:numId w:val="4"/>
        </w:numPr>
        <w:ind w:left="1134" w:right="567" w:hanging="567"/>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la</w:t>
      </w:r>
      <w:proofErr w:type="gramEnd"/>
      <w:r w:rsidRPr="00E454D1">
        <w:rPr>
          <w:rFonts w:cs="Arial"/>
          <w:sz w:val="18"/>
          <w:szCs w:val="18"/>
          <w:highlight w:val="lightGray"/>
          <w:u w:val="single"/>
          <w:lang w:val="fr-CH" w:eastAsia="en-GB"/>
        </w:rPr>
        <w:t xml:space="preserve"> demande de précisions est transmise à l</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expert principal;</w:t>
      </w:r>
    </w:p>
    <w:p w:rsidR="00D75FE9" w:rsidRPr="00E454D1" w:rsidRDefault="001959F5" w:rsidP="001959F5">
      <w:pPr>
        <w:numPr>
          <w:ilvl w:val="0"/>
          <w:numId w:val="4"/>
        </w:numPr>
        <w:ind w:left="1134" w:right="567" w:hanging="567"/>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les</w:t>
      </w:r>
      <w:proofErr w:type="gramEnd"/>
      <w:r w:rsidRPr="00E454D1">
        <w:rPr>
          <w:rFonts w:cs="Arial"/>
          <w:sz w:val="18"/>
          <w:szCs w:val="18"/>
          <w:highlight w:val="lightGray"/>
          <w:u w:val="single"/>
          <w:lang w:val="fr-CH" w:eastAsia="en-GB"/>
        </w:rPr>
        <w:t xml:space="preserve"> précisions doivent être apportées dans un délai de quatre semaines;</w:t>
      </w:r>
    </w:p>
    <w:p w:rsidR="00D75FE9" w:rsidRPr="00E454D1" w:rsidRDefault="001959F5" w:rsidP="001959F5">
      <w:pPr>
        <w:numPr>
          <w:ilvl w:val="0"/>
          <w:numId w:val="4"/>
        </w:numPr>
        <w:ind w:left="1134" w:right="567" w:hanging="567"/>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si</w:t>
      </w:r>
      <w:proofErr w:type="gramEnd"/>
      <w:r w:rsidRPr="00E454D1">
        <w:rPr>
          <w:rFonts w:cs="Arial"/>
          <w:sz w:val="18"/>
          <w:szCs w:val="18"/>
          <w:highlight w:val="lightGray"/>
          <w:u w:val="single"/>
          <w:lang w:val="fr-CH" w:eastAsia="en-GB"/>
        </w:rPr>
        <w:t xml:space="preserve"> les précisions sont approuvées par le</w:t>
      </w:r>
      <w:r w:rsidR="00E454D1">
        <w:rPr>
          <w:rFonts w:cs="Arial"/>
          <w:sz w:val="18"/>
          <w:szCs w:val="18"/>
          <w:highlight w:val="lightGray"/>
          <w:u w:val="single"/>
          <w:lang w:val="fr-CH" w:eastAsia="en-GB"/>
        </w:rPr>
        <w:t> TC-EDC</w:t>
      </w:r>
      <w:r w:rsidRPr="00E454D1">
        <w:rPr>
          <w:rFonts w:cs="Arial"/>
          <w:sz w:val="18"/>
          <w:szCs w:val="18"/>
          <w:highlight w:val="lightGray"/>
          <w:u w:val="single"/>
          <w:lang w:val="fr-CH" w:eastAsia="en-GB"/>
        </w:rPr>
        <w:t>, les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 seront recommandés pour adoption à la réunion du</w:t>
      </w:r>
      <w:r w:rsidR="00E454D1">
        <w:rPr>
          <w:rFonts w:cs="Arial"/>
          <w:sz w:val="18"/>
          <w:szCs w:val="18"/>
          <w:highlight w:val="lightGray"/>
          <w:u w:val="single"/>
          <w:lang w:val="fr-CH" w:eastAsia="en-GB"/>
        </w:rPr>
        <w:t> TC-EDC</w:t>
      </w:r>
      <w:r w:rsidRPr="00E454D1">
        <w:rPr>
          <w:rFonts w:cs="Arial"/>
          <w:sz w:val="18"/>
          <w:szCs w:val="18"/>
          <w:highlight w:val="lightGray"/>
          <w:u w:val="single"/>
          <w:lang w:val="fr-CH" w:eastAsia="en-GB"/>
        </w:rPr>
        <w:t>;</w:t>
      </w:r>
    </w:p>
    <w:p w:rsidR="00D75FE9" w:rsidRPr="00E454D1" w:rsidRDefault="001959F5" w:rsidP="001959F5">
      <w:pPr>
        <w:numPr>
          <w:ilvl w:val="0"/>
          <w:numId w:val="4"/>
        </w:numPr>
        <w:ind w:left="1134" w:right="567" w:hanging="567"/>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les</w:t>
      </w:r>
      <w:proofErr w:type="gramEnd"/>
      <w:r w:rsidRPr="00E454D1">
        <w:rPr>
          <w:rFonts w:cs="Arial"/>
          <w:sz w:val="18"/>
          <w:szCs w:val="18"/>
          <w:highlight w:val="lightGray"/>
          <w:u w:val="single"/>
          <w:lang w:val="fr-CH" w:eastAsia="en-GB"/>
        </w:rPr>
        <w:t xml:space="preserve">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 sont examinés en vue de leur adoption par le</w:t>
      </w:r>
      <w:r w:rsidR="00E454D1">
        <w:rPr>
          <w:rFonts w:cs="Arial"/>
          <w:sz w:val="18"/>
          <w:szCs w:val="18"/>
          <w:highlight w:val="lightGray"/>
          <w:u w:val="single"/>
          <w:lang w:val="fr-CH" w:eastAsia="en-GB"/>
        </w:rPr>
        <w:t> TC</w:t>
      </w:r>
      <w:r w:rsidRPr="00E454D1">
        <w:rPr>
          <w:rFonts w:cs="Arial"/>
          <w:sz w:val="18"/>
          <w:szCs w:val="18"/>
          <w:highlight w:val="lightGray"/>
          <w:u w:val="single"/>
          <w:lang w:val="fr-CH" w:eastAsia="en-GB"/>
        </w:rPr>
        <w:t>.</w:t>
      </w:r>
    </w:p>
    <w:p w:rsidR="00D75FE9" w:rsidRPr="00E454D1" w:rsidRDefault="00D75FE9" w:rsidP="001959F5">
      <w:pPr>
        <w:ind w:left="993" w:right="567" w:hanging="426"/>
        <w:rPr>
          <w:sz w:val="18"/>
          <w:szCs w:val="18"/>
          <w:highlight w:val="lightGray"/>
          <w:u w:val="single"/>
          <w:lang w:val="fr-CH"/>
        </w:rPr>
      </w:pPr>
    </w:p>
    <w:p w:rsidR="00D75FE9" w:rsidRPr="00E454D1" w:rsidRDefault="001959F5" w:rsidP="001959F5">
      <w:pPr>
        <w:ind w:left="993" w:right="567" w:hanging="426"/>
        <w:rPr>
          <w:sz w:val="18"/>
          <w:szCs w:val="18"/>
          <w:highlight w:val="lightGray"/>
          <w:u w:val="single"/>
          <w:lang w:val="fr-CH"/>
        </w:rPr>
      </w:pPr>
      <w:r w:rsidRPr="00E454D1">
        <w:rPr>
          <w:sz w:val="18"/>
          <w:szCs w:val="18"/>
          <w:highlight w:val="lightGray"/>
          <w:u w:val="single"/>
          <w:lang w:val="fr-CH"/>
        </w:rPr>
        <w:t>“NOUVEAU</w:t>
      </w:r>
      <w:r w:rsidRPr="00E454D1">
        <w:rPr>
          <w:sz w:val="18"/>
          <w:szCs w:val="18"/>
          <w:highlight w:val="lightGray"/>
          <w:u w:val="single"/>
          <w:lang w:val="fr-CH"/>
        </w:rPr>
        <w:tab/>
        <w:t>La procédure ci</w:t>
      </w:r>
      <w:r w:rsidR="00E454D1">
        <w:rPr>
          <w:sz w:val="18"/>
          <w:szCs w:val="18"/>
          <w:highlight w:val="lightGray"/>
          <w:u w:val="single"/>
          <w:lang w:val="fr-CH"/>
        </w:rPr>
        <w:t>-</w:t>
      </w:r>
      <w:r w:rsidRPr="00E454D1">
        <w:rPr>
          <w:sz w:val="18"/>
          <w:szCs w:val="18"/>
          <w:highlight w:val="lightGray"/>
          <w:u w:val="single"/>
          <w:lang w:val="fr-CH"/>
        </w:rPr>
        <w:t>après s</w:t>
      </w:r>
      <w:r w:rsidR="00E454D1">
        <w:rPr>
          <w:sz w:val="18"/>
          <w:szCs w:val="18"/>
          <w:highlight w:val="lightGray"/>
          <w:u w:val="single"/>
          <w:lang w:val="fr-CH"/>
        </w:rPr>
        <w:t>’</w:t>
      </w:r>
      <w:r w:rsidRPr="00E454D1">
        <w:rPr>
          <w:sz w:val="18"/>
          <w:szCs w:val="18"/>
          <w:highlight w:val="lightGray"/>
          <w:u w:val="single"/>
          <w:lang w:val="fr-CH"/>
        </w:rPr>
        <w:t>applique aux principes directeurs lorsque des problèmes techniques doivent être résolus</w:t>
      </w:r>
      <w:r w:rsidR="00E454D1">
        <w:rPr>
          <w:sz w:val="18"/>
          <w:szCs w:val="18"/>
          <w:highlight w:val="lightGray"/>
          <w:u w:val="single"/>
          <w:lang w:val="fr-CH"/>
        </w:rPr>
        <w:t> :</w:t>
      </w:r>
    </w:p>
    <w:p w:rsidR="00D75FE9" w:rsidRPr="00E454D1" w:rsidRDefault="00D75FE9" w:rsidP="001959F5">
      <w:pPr>
        <w:ind w:left="993" w:right="567" w:hanging="426"/>
        <w:rPr>
          <w:rFonts w:cs="Arial"/>
          <w:sz w:val="18"/>
          <w:szCs w:val="18"/>
          <w:highlight w:val="lightGray"/>
          <w:u w:val="single"/>
          <w:lang w:val="fr-CH"/>
        </w:rPr>
      </w:pPr>
    </w:p>
    <w:p w:rsidR="00D75FE9" w:rsidRPr="00E454D1" w:rsidRDefault="001959F5" w:rsidP="001959F5">
      <w:pPr>
        <w:numPr>
          <w:ilvl w:val="0"/>
          <w:numId w:val="5"/>
        </w:numPr>
        <w:ind w:left="993" w:right="567" w:hanging="426"/>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les</w:t>
      </w:r>
      <w:proofErr w:type="gramEnd"/>
      <w:r w:rsidRPr="00E454D1">
        <w:rPr>
          <w:rFonts w:cs="Arial"/>
          <w:sz w:val="18"/>
          <w:szCs w:val="18"/>
          <w:highlight w:val="lightGray"/>
          <w:u w:val="single"/>
          <w:lang w:val="fr-CH" w:eastAsia="en-GB"/>
        </w:rPr>
        <w:t xml:space="preserve"> problèmes techniques sont transmis à l</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expert principal;</w:t>
      </w:r>
    </w:p>
    <w:p w:rsidR="00D75FE9" w:rsidRPr="00E454D1" w:rsidRDefault="001959F5" w:rsidP="001959F5">
      <w:pPr>
        <w:numPr>
          <w:ilvl w:val="0"/>
          <w:numId w:val="5"/>
        </w:numPr>
        <w:ind w:left="993" w:right="567" w:hanging="426"/>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les</w:t>
      </w:r>
      <w:proofErr w:type="gramEnd"/>
      <w:r w:rsidRPr="00E454D1">
        <w:rPr>
          <w:rFonts w:cs="Arial"/>
          <w:sz w:val="18"/>
          <w:szCs w:val="18"/>
          <w:highlight w:val="lightGray"/>
          <w:u w:val="single"/>
          <w:lang w:val="fr-CH" w:eastAsia="en-GB"/>
        </w:rPr>
        <w:t xml:space="preserve"> problèmes techniques doivent être examinés par le groupe de travail technique correspondant sur la base du document TWP établi par l</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expert principal au moins quatre semaines avant la session du TWP (il n</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y a pas lieu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établir un nouveau projet de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w:t>
      </w:r>
    </w:p>
    <w:p w:rsidR="00D75FE9" w:rsidRPr="00E454D1" w:rsidRDefault="001959F5" w:rsidP="001959F5">
      <w:pPr>
        <w:numPr>
          <w:ilvl w:val="0"/>
          <w:numId w:val="5"/>
        </w:numPr>
        <w:ind w:left="993" w:right="567" w:hanging="426"/>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la</w:t>
      </w:r>
      <w:proofErr w:type="gramEnd"/>
      <w:r w:rsidRPr="00E454D1">
        <w:rPr>
          <w:rFonts w:cs="Arial"/>
          <w:sz w:val="18"/>
          <w:szCs w:val="18"/>
          <w:highlight w:val="lightGray"/>
          <w:u w:val="single"/>
          <w:lang w:val="fr-CH" w:eastAsia="en-GB"/>
        </w:rPr>
        <w:t xml:space="preserve"> résolution des problèmes doit être communiquée au</w:t>
      </w:r>
      <w:r w:rsidR="00E454D1">
        <w:rPr>
          <w:rFonts w:cs="Arial"/>
          <w:sz w:val="18"/>
          <w:szCs w:val="18"/>
          <w:highlight w:val="lightGray"/>
          <w:u w:val="single"/>
          <w:lang w:val="fr-CH" w:eastAsia="en-GB"/>
        </w:rPr>
        <w:t> TC-EDC</w:t>
      </w:r>
      <w:r w:rsidRPr="00E454D1">
        <w:rPr>
          <w:rFonts w:cs="Arial"/>
          <w:sz w:val="18"/>
          <w:szCs w:val="18"/>
          <w:highlight w:val="lightGray"/>
          <w:u w:val="single"/>
          <w:lang w:val="fr-CH" w:eastAsia="en-GB"/>
        </w:rPr>
        <w:t xml:space="preserve"> au moins sept semaines avant la réunion du</w:t>
      </w:r>
      <w:r w:rsidR="00E454D1">
        <w:rPr>
          <w:rFonts w:cs="Arial"/>
          <w:sz w:val="18"/>
          <w:szCs w:val="18"/>
          <w:highlight w:val="lightGray"/>
          <w:u w:val="single"/>
          <w:lang w:val="fr-CH" w:eastAsia="en-GB"/>
        </w:rPr>
        <w:t> TC-EDC</w:t>
      </w:r>
      <w:r w:rsidRPr="00E454D1">
        <w:rPr>
          <w:rFonts w:cs="Arial"/>
          <w:sz w:val="18"/>
          <w:szCs w:val="18"/>
          <w:highlight w:val="lightGray"/>
          <w:u w:val="single"/>
          <w:lang w:val="fr-CH" w:eastAsia="en-GB"/>
        </w:rPr>
        <w:t>;</w:t>
      </w:r>
    </w:p>
    <w:p w:rsidR="00D75FE9" w:rsidRPr="00E454D1" w:rsidRDefault="001959F5" w:rsidP="001959F5">
      <w:pPr>
        <w:numPr>
          <w:ilvl w:val="0"/>
          <w:numId w:val="4"/>
        </w:numPr>
        <w:ind w:left="993" w:right="567" w:hanging="426"/>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en</w:t>
      </w:r>
      <w:proofErr w:type="gramEnd"/>
      <w:r w:rsidRPr="00E454D1">
        <w:rPr>
          <w:rFonts w:cs="Arial"/>
          <w:sz w:val="18"/>
          <w:szCs w:val="18"/>
          <w:highlight w:val="lightGray"/>
          <w:u w:val="single"/>
          <w:lang w:val="fr-CH" w:eastAsia="en-GB"/>
        </w:rPr>
        <w:t xml:space="preserve"> cas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approbation par le</w:t>
      </w:r>
      <w:r w:rsidR="00E454D1">
        <w:rPr>
          <w:rFonts w:cs="Arial"/>
          <w:sz w:val="18"/>
          <w:szCs w:val="18"/>
          <w:highlight w:val="lightGray"/>
          <w:u w:val="single"/>
          <w:lang w:val="fr-CH" w:eastAsia="en-GB"/>
        </w:rPr>
        <w:t> TC-EDC</w:t>
      </w:r>
      <w:r w:rsidRPr="00E454D1">
        <w:rPr>
          <w:rFonts w:cs="Arial"/>
          <w:sz w:val="18"/>
          <w:szCs w:val="18"/>
          <w:highlight w:val="lightGray"/>
          <w:u w:val="single"/>
          <w:lang w:val="fr-CH" w:eastAsia="en-GB"/>
        </w:rPr>
        <w:t>, les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 seraient recommandés pour adoption à la réunion du</w:t>
      </w:r>
      <w:r w:rsidR="00E454D1">
        <w:rPr>
          <w:rFonts w:cs="Arial"/>
          <w:sz w:val="18"/>
          <w:szCs w:val="18"/>
          <w:highlight w:val="lightGray"/>
          <w:u w:val="single"/>
          <w:lang w:val="fr-CH" w:eastAsia="en-GB"/>
        </w:rPr>
        <w:t> TC-EDC</w:t>
      </w:r>
      <w:r w:rsidRPr="00E454D1">
        <w:rPr>
          <w:rFonts w:cs="Arial"/>
          <w:sz w:val="18"/>
          <w:szCs w:val="18"/>
          <w:highlight w:val="lightGray"/>
          <w:u w:val="single"/>
          <w:lang w:val="fr-CH" w:eastAsia="en-GB"/>
        </w:rPr>
        <w:t>;</w:t>
      </w:r>
    </w:p>
    <w:p w:rsidR="00D75FE9" w:rsidRPr="00E454D1" w:rsidRDefault="001959F5" w:rsidP="001959F5">
      <w:pPr>
        <w:numPr>
          <w:ilvl w:val="0"/>
          <w:numId w:val="4"/>
        </w:numPr>
        <w:ind w:left="993" w:right="567" w:hanging="426"/>
        <w:contextualSpacing/>
        <w:rPr>
          <w:rFonts w:cs="Arial"/>
          <w:sz w:val="18"/>
          <w:szCs w:val="18"/>
          <w:highlight w:val="lightGray"/>
          <w:u w:val="single"/>
          <w:lang w:val="fr-CH" w:eastAsia="en-GB"/>
        </w:rPr>
      </w:pPr>
      <w:proofErr w:type="gramStart"/>
      <w:r w:rsidRPr="00E454D1">
        <w:rPr>
          <w:rFonts w:cs="Arial"/>
          <w:sz w:val="18"/>
          <w:szCs w:val="18"/>
          <w:highlight w:val="lightGray"/>
          <w:u w:val="single"/>
          <w:lang w:val="fr-CH" w:eastAsia="en-GB"/>
        </w:rPr>
        <w:t>les</w:t>
      </w:r>
      <w:proofErr w:type="gramEnd"/>
      <w:r w:rsidRPr="00E454D1">
        <w:rPr>
          <w:rFonts w:cs="Arial"/>
          <w:sz w:val="18"/>
          <w:szCs w:val="18"/>
          <w:highlight w:val="lightGray"/>
          <w:u w:val="single"/>
          <w:lang w:val="fr-CH" w:eastAsia="en-GB"/>
        </w:rPr>
        <w:t xml:space="preserve">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 sont examinés en vue de leur adoption par le</w:t>
      </w:r>
      <w:r w:rsidR="00E454D1">
        <w:rPr>
          <w:rFonts w:cs="Arial"/>
          <w:sz w:val="18"/>
          <w:szCs w:val="18"/>
          <w:highlight w:val="lightGray"/>
          <w:u w:val="single"/>
          <w:lang w:val="fr-CH" w:eastAsia="en-GB"/>
        </w:rPr>
        <w:t> TC</w:t>
      </w:r>
      <w:r w:rsidRPr="00E454D1">
        <w:rPr>
          <w:rFonts w:cs="Arial"/>
          <w:sz w:val="18"/>
          <w:szCs w:val="18"/>
          <w:highlight w:val="lightGray"/>
          <w:u w:val="single"/>
          <w:lang w:val="fr-CH" w:eastAsia="en-GB"/>
        </w:rPr>
        <w:t>.</w:t>
      </w:r>
    </w:p>
    <w:p w:rsidR="00D75FE9" w:rsidRPr="00E454D1" w:rsidRDefault="00D75FE9" w:rsidP="001959F5">
      <w:pPr>
        <w:ind w:left="567" w:right="567"/>
        <w:rPr>
          <w:sz w:val="18"/>
          <w:szCs w:val="18"/>
          <w:lang w:val="fr-CH"/>
        </w:rPr>
      </w:pPr>
    </w:p>
    <w:p w:rsidR="00D75FE9" w:rsidRPr="00E454D1" w:rsidRDefault="00090D74" w:rsidP="001959F5">
      <w:pPr>
        <w:ind w:left="567" w:right="567"/>
        <w:rPr>
          <w:sz w:val="18"/>
          <w:szCs w:val="18"/>
          <w:u w:val="single"/>
          <w:lang w:val="fr-CH"/>
        </w:rPr>
      </w:pPr>
      <w:r w:rsidRPr="00E454D1">
        <w:rPr>
          <w:sz w:val="18"/>
          <w:szCs w:val="18"/>
          <w:u w:val="single"/>
          <w:lang w:val="fr-CH"/>
        </w:rPr>
        <w:t>“</w:t>
      </w:r>
      <w:r w:rsidR="001959F5" w:rsidRPr="00E454D1">
        <w:rPr>
          <w:sz w:val="18"/>
          <w:szCs w:val="18"/>
          <w:u w:val="single"/>
          <w:lang w:val="fr-CH"/>
        </w:rPr>
        <w:t>2.2.8</w:t>
      </w:r>
      <w:r w:rsidR="001959F5" w:rsidRPr="00E454D1">
        <w:rPr>
          <w:sz w:val="18"/>
          <w:szCs w:val="18"/>
          <w:u w:val="single"/>
          <w:lang w:val="fr-CH"/>
        </w:rPr>
        <w:tab/>
      </w:r>
      <w:r w:rsidR="001959F5" w:rsidRPr="00E454D1">
        <w:rPr>
          <w:sz w:val="18"/>
          <w:szCs w:val="18"/>
          <w:u w:val="single"/>
          <w:bdr w:val="single" w:sz="4" w:space="0" w:color="auto"/>
          <w:lang w:val="fr-CH"/>
        </w:rPr>
        <w:t>ÉTAPE 8</w:t>
      </w:r>
      <w:r w:rsidR="001959F5" w:rsidRPr="00E454D1">
        <w:rPr>
          <w:sz w:val="18"/>
          <w:szCs w:val="18"/>
          <w:u w:val="single"/>
          <w:lang w:val="fr-CH"/>
        </w:rPr>
        <w:t xml:space="preserve"> </w:t>
      </w:r>
      <w:r w:rsidR="001959F5" w:rsidRPr="00E454D1">
        <w:rPr>
          <w:sz w:val="18"/>
          <w:szCs w:val="18"/>
          <w:u w:val="single"/>
          <w:lang w:val="fr-CH"/>
        </w:rPr>
        <w:tab/>
        <w:t>Adoption des projets de principes directeurs d</w:t>
      </w:r>
      <w:r w:rsidR="00E454D1">
        <w:rPr>
          <w:sz w:val="18"/>
          <w:szCs w:val="18"/>
          <w:u w:val="single"/>
          <w:lang w:val="fr-CH"/>
        </w:rPr>
        <w:t>’</w:t>
      </w:r>
      <w:r w:rsidR="001959F5" w:rsidRPr="00E454D1">
        <w:rPr>
          <w:sz w:val="18"/>
          <w:szCs w:val="18"/>
          <w:u w:val="single"/>
          <w:lang w:val="fr-CH"/>
        </w:rPr>
        <w:t>examen par le Comité technique</w:t>
      </w:r>
    </w:p>
    <w:p w:rsidR="00D75FE9" w:rsidRPr="00E454D1" w:rsidRDefault="00D75FE9" w:rsidP="001959F5">
      <w:pPr>
        <w:ind w:left="567" w:right="567"/>
        <w:rPr>
          <w:sz w:val="18"/>
          <w:szCs w:val="18"/>
          <w:lang w:val="fr-CH"/>
        </w:rPr>
      </w:pPr>
    </w:p>
    <w:p w:rsidR="00D75FE9" w:rsidRPr="00E454D1" w:rsidRDefault="00090D74" w:rsidP="001959F5">
      <w:pPr>
        <w:ind w:left="567" w:right="567"/>
        <w:rPr>
          <w:sz w:val="18"/>
          <w:szCs w:val="18"/>
          <w:lang w:val="fr-CH"/>
        </w:rPr>
      </w:pPr>
      <w:r w:rsidRPr="00E454D1">
        <w:rPr>
          <w:sz w:val="18"/>
          <w:szCs w:val="18"/>
          <w:lang w:val="fr-CH"/>
        </w:rPr>
        <w:t>“</w:t>
      </w:r>
      <w:r w:rsidR="001959F5" w:rsidRPr="00E454D1">
        <w:rPr>
          <w:sz w:val="18"/>
          <w:szCs w:val="18"/>
          <w:lang w:val="fr-CH"/>
        </w:rPr>
        <w:t>2.2.8.1</w:t>
      </w:r>
      <w:r w:rsidR="001959F5" w:rsidRPr="00E454D1">
        <w:rPr>
          <w:sz w:val="18"/>
          <w:szCs w:val="18"/>
          <w:lang w:val="fr-CH"/>
        </w:rPr>
        <w:tab/>
        <w:t>Sur la base des recommandations formulées par le</w:t>
      </w:r>
      <w:r w:rsidR="00E454D1">
        <w:rPr>
          <w:sz w:val="18"/>
          <w:szCs w:val="18"/>
          <w:lang w:val="fr-CH"/>
        </w:rPr>
        <w:t> TC-EDC</w:t>
      </w:r>
      <w:r w:rsidR="001959F5" w:rsidRPr="00E454D1">
        <w:rPr>
          <w:sz w:val="18"/>
          <w:szCs w:val="18"/>
          <w:lang w:val="fr-CH"/>
        </w:rPr>
        <w:t>, le Comité technique décide d</w:t>
      </w:r>
      <w:r w:rsidR="00E454D1">
        <w:rPr>
          <w:sz w:val="18"/>
          <w:szCs w:val="18"/>
          <w:lang w:val="fr-CH"/>
        </w:rPr>
        <w:t>’</w:t>
      </w:r>
      <w:r w:rsidR="001959F5" w:rsidRPr="00E454D1">
        <w:rPr>
          <w:sz w:val="18"/>
          <w:szCs w:val="18"/>
          <w:lang w:val="fr-CH"/>
        </w:rPr>
        <w:t>adopter les principes directeurs d</w:t>
      </w:r>
      <w:r w:rsidR="00E454D1">
        <w:rPr>
          <w:sz w:val="18"/>
          <w:szCs w:val="18"/>
          <w:lang w:val="fr-CH"/>
        </w:rPr>
        <w:t>’</w:t>
      </w:r>
      <w:r w:rsidR="001959F5" w:rsidRPr="00E454D1">
        <w:rPr>
          <w:sz w:val="18"/>
          <w:szCs w:val="18"/>
          <w:lang w:val="fr-CH"/>
        </w:rPr>
        <w:t>examen ou de les renvoyer au TWP concerné.</w:t>
      </w:r>
    </w:p>
    <w:p w:rsidR="00D75FE9" w:rsidRPr="00E454D1" w:rsidRDefault="00D75FE9" w:rsidP="001959F5">
      <w:pPr>
        <w:ind w:left="567" w:right="567"/>
        <w:rPr>
          <w:sz w:val="18"/>
          <w:szCs w:val="18"/>
          <w:lang w:val="fr-CH"/>
        </w:rPr>
      </w:pPr>
    </w:p>
    <w:p w:rsidR="00D75FE9" w:rsidRPr="00E454D1" w:rsidRDefault="001959F5" w:rsidP="001959F5">
      <w:pPr>
        <w:ind w:left="567" w:right="567"/>
        <w:rPr>
          <w:sz w:val="18"/>
          <w:szCs w:val="18"/>
          <w:highlight w:val="lightGray"/>
          <w:u w:val="single"/>
          <w:lang w:val="fr-CH"/>
        </w:rPr>
      </w:pPr>
      <w:r w:rsidRPr="00E454D1">
        <w:rPr>
          <w:sz w:val="18"/>
          <w:szCs w:val="18"/>
          <w:highlight w:val="lightGray"/>
          <w:u w:val="single"/>
          <w:lang w:val="fr-CH"/>
        </w:rPr>
        <w:t>“NOUVEAU</w:t>
      </w:r>
      <w:r w:rsidRPr="00E454D1">
        <w:rPr>
          <w:sz w:val="18"/>
          <w:szCs w:val="18"/>
          <w:highlight w:val="lightGray"/>
          <w:u w:val="single"/>
          <w:lang w:val="fr-CH"/>
        </w:rPr>
        <w:tab/>
        <w:t>Le Comité technique peut adopter les principes directeurs d</w:t>
      </w:r>
      <w:r w:rsidR="00E454D1">
        <w:rPr>
          <w:sz w:val="18"/>
          <w:szCs w:val="18"/>
          <w:highlight w:val="lightGray"/>
          <w:u w:val="single"/>
          <w:lang w:val="fr-CH"/>
        </w:rPr>
        <w:t>’</w:t>
      </w:r>
      <w:r w:rsidRPr="00E454D1">
        <w:rPr>
          <w:sz w:val="18"/>
          <w:szCs w:val="18"/>
          <w:highlight w:val="lightGray"/>
          <w:u w:val="single"/>
          <w:lang w:val="fr-CH"/>
        </w:rPr>
        <w:t>examen à sa session ou par correspondan</w:t>
      </w:r>
      <w:r w:rsidR="00C77A34" w:rsidRPr="00E454D1">
        <w:rPr>
          <w:sz w:val="18"/>
          <w:szCs w:val="18"/>
          <w:highlight w:val="lightGray"/>
          <w:u w:val="single"/>
          <w:lang w:val="fr-CH"/>
        </w:rPr>
        <w:t>ce</w:t>
      </w:r>
      <w:r w:rsidR="00C77A34">
        <w:rPr>
          <w:sz w:val="18"/>
          <w:szCs w:val="18"/>
          <w:highlight w:val="lightGray"/>
          <w:u w:val="single"/>
          <w:lang w:val="fr-CH"/>
        </w:rPr>
        <w:t xml:space="preserve">.  </w:t>
      </w:r>
      <w:r w:rsidR="00C77A34" w:rsidRPr="00E454D1">
        <w:rPr>
          <w:sz w:val="18"/>
          <w:szCs w:val="18"/>
          <w:highlight w:val="lightGray"/>
          <w:u w:val="single"/>
          <w:lang w:val="fr-CH"/>
        </w:rPr>
        <w:t>Le</w:t>
      </w:r>
      <w:r w:rsidRPr="00E454D1">
        <w:rPr>
          <w:sz w:val="18"/>
          <w:szCs w:val="18"/>
          <w:highlight w:val="lightGray"/>
          <w:u w:val="single"/>
          <w:lang w:val="fr-CH"/>
        </w:rPr>
        <w:t>s principes directeurs d</w:t>
      </w:r>
      <w:r w:rsidR="00E454D1">
        <w:rPr>
          <w:sz w:val="18"/>
          <w:szCs w:val="18"/>
          <w:highlight w:val="lightGray"/>
          <w:u w:val="single"/>
          <w:lang w:val="fr-CH"/>
        </w:rPr>
        <w:t>’</w:t>
      </w:r>
      <w:r w:rsidRPr="00E454D1">
        <w:rPr>
          <w:sz w:val="18"/>
          <w:szCs w:val="18"/>
          <w:highlight w:val="lightGray"/>
          <w:u w:val="single"/>
          <w:lang w:val="fr-CH"/>
        </w:rPr>
        <w:t>examen peuvent être adoptés par correspondance selon la procédure suivante</w:t>
      </w:r>
      <w:r w:rsidR="00E454D1">
        <w:rPr>
          <w:sz w:val="18"/>
          <w:szCs w:val="18"/>
          <w:highlight w:val="lightGray"/>
          <w:u w:val="single"/>
          <w:lang w:val="fr-CH"/>
        </w:rPr>
        <w:t> :</w:t>
      </w:r>
    </w:p>
    <w:p w:rsidR="00D75FE9" w:rsidRPr="00E454D1" w:rsidRDefault="00D75FE9" w:rsidP="001959F5">
      <w:pPr>
        <w:ind w:left="567" w:right="567"/>
        <w:rPr>
          <w:sz w:val="18"/>
          <w:szCs w:val="18"/>
          <w:highlight w:val="lightGray"/>
          <w:u w:val="single"/>
          <w:lang w:val="fr-CH"/>
        </w:rPr>
      </w:pPr>
    </w:p>
    <w:p w:rsidR="00D75FE9" w:rsidRPr="00E454D1" w:rsidRDefault="001959F5" w:rsidP="001959F5">
      <w:pPr>
        <w:numPr>
          <w:ilvl w:val="0"/>
          <w:numId w:val="3"/>
        </w:numPr>
        <w:tabs>
          <w:tab w:val="left" w:pos="1134"/>
          <w:tab w:val="left" w:pos="5387"/>
        </w:tabs>
        <w:ind w:left="1134" w:right="567" w:hanging="567"/>
        <w:contextualSpacing/>
        <w:rPr>
          <w:rFonts w:cs="Arial"/>
          <w:sz w:val="18"/>
          <w:szCs w:val="18"/>
          <w:highlight w:val="lightGray"/>
          <w:u w:val="single"/>
          <w:lang w:val="fr-CH" w:eastAsia="en-GB"/>
        </w:rPr>
      </w:pPr>
      <w:r w:rsidRPr="00E454D1">
        <w:rPr>
          <w:rFonts w:cs="Arial"/>
          <w:sz w:val="18"/>
          <w:szCs w:val="18"/>
          <w:highlight w:val="lightGray"/>
          <w:u w:val="single"/>
          <w:lang w:val="fr-CH" w:eastAsia="en-GB"/>
        </w:rPr>
        <w:t>Les projets de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 sont communiqués au</w:t>
      </w:r>
      <w:r w:rsidR="00E454D1">
        <w:rPr>
          <w:rFonts w:cs="Arial"/>
          <w:sz w:val="18"/>
          <w:szCs w:val="18"/>
          <w:highlight w:val="lightGray"/>
          <w:u w:val="single"/>
          <w:lang w:val="fr-CH" w:eastAsia="en-GB"/>
        </w:rPr>
        <w:t> TC</w:t>
      </w:r>
      <w:r w:rsidRPr="00E454D1">
        <w:rPr>
          <w:rFonts w:cs="Arial"/>
          <w:sz w:val="18"/>
          <w:szCs w:val="18"/>
          <w:highlight w:val="lightGray"/>
          <w:u w:val="single"/>
          <w:lang w:val="fr-CH" w:eastAsia="en-GB"/>
        </w:rPr>
        <w:t xml:space="preserve"> pour adoption par correspondance avec les recommandations formulées par le</w:t>
      </w:r>
      <w:r w:rsidR="00E454D1">
        <w:rPr>
          <w:rFonts w:cs="Arial"/>
          <w:sz w:val="18"/>
          <w:szCs w:val="18"/>
          <w:highlight w:val="lightGray"/>
          <w:u w:val="single"/>
          <w:lang w:val="fr-CH" w:eastAsia="en-GB"/>
        </w:rPr>
        <w:t> TC-EDC</w:t>
      </w:r>
      <w:r w:rsidRPr="00E454D1">
        <w:rPr>
          <w:rFonts w:cs="Arial"/>
          <w:sz w:val="18"/>
          <w:szCs w:val="18"/>
          <w:highlight w:val="lightGray"/>
          <w:u w:val="single"/>
          <w:lang w:val="fr-CH" w:eastAsia="en-GB"/>
        </w:rPr>
        <w:t>;</w:t>
      </w:r>
    </w:p>
    <w:p w:rsidR="00D75FE9" w:rsidRPr="00E454D1" w:rsidRDefault="001959F5" w:rsidP="001959F5">
      <w:pPr>
        <w:numPr>
          <w:ilvl w:val="0"/>
          <w:numId w:val="3"/>
        </w:numPr>
        <w:tabs>
          <w:tab w:val="left" w:pos="1134"/>
          <w:tab w:val="left" w:pos="5387"/>
        </w:tabs>
        <w:ind w:left="1134" w:right="567" w:hanging="567"/>
        <w:contextualSpacing/>
        <w:rPr>
          <w:rFonts w:cs="Arial"/>
          <w:sz w:val="18"/>
          <w:szCs w:val="18"/>
          <w:highlight w:val="lightGray"/>
          <w:u w:val="single"/>
          <w:lang w:val="fr-CH" w:eastAsia="en-GB"/>
        </w:rPr>
      </w:pPr>
      <w:r w:rsidRPr="00E454D1">
        <w:rPr>
          <w:rFonts w:cs="Arial"/>
          <w:sz w:val="18"/>
          <w:szCs w:val="18"/>
          <w:highlight w:val="lightGray"/>
          <w:u w:val="single"/>
          <w:lang w:val="fr-CH" w:eastAsia="en-GB"/>
        </w:rPr>
        <w:t>Les projets de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 sont considérés comme adoptés si aucune observation n</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a été reçue dans un délai de six semaines;</w:t>
      </w:r>
    </w:p>
    <w:p w:rsidR="00D75FE9" w:rsidRPr="00E454D1" w:rsidRDefault="001959F5" w:rsidP="001959F5">
      <w:pPr>
        <w:numPr>
          <w:ilvl w:val="0"/>
          <w:numId w:val="3"/>
        </w:numPr>
        <w:tabs>
          <w:tab w:val="left" w:pos="1134"/>
          <w:tab w:val="left" w:pos="5387"/>
        </w:tabs>
        <w:ind w:left="1134" w:right="567" w:hanging="567"/>
        <w:contextualSpacing/>
        <w:rPr>
          <w:rFonts w:cs="Arial"/>
          <w:sz w:val="18"/>
          <w:szCs w:val="18"/>
          <w:highlight w:val="lightGray"/>
          <w:u w:val="single"/>
          <w:lang w:val="fr-CH" w:eastAsia="en-GB"/>
        </w:rPr>
      </w:pPr>
      <w:r w:rsidRPr="00E454D1">
        <w:rPr>
          <w:rFonts w:cs="Arial"/>
          <w:sz w:val="18"/>
          <w:szCs w:val="18"/>
          <w:highlight w:val="lightGray"/>
          <w:u w:val="single"/>
          <w:lang w:val="fr-CH" w:eastAsia="en-GB"/>
        </w:rPr>
        <w:t>Si des observations sont formulées, les projets de principes directeurs d</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examen sont renvoyés au TWP concerné pour qu</w:t>
      </w:r>
      <w:r w:rsidR="00E454D1">
        <w:rPr>
          <w:rFonts w:cs="Arial"/>
          <w:sz w:val="18"/>
          <w:szCs w:val="18"/>
          <w:highlight w:val="lightGray"/>
          <w:u w:val="single"/>
          <w:lang w:val="fr-CH" w:eastAsia="en-GB"/>
        </w:rPr>
        <w:t>’</w:t>
      </w:r>
      <w:r w:rsidRPr="00E454D1">
        <w:rPr>
          <w:rFonts w:cs="Arial"/>
          <w:sz w:val="18"/>
          <w:szCs w:val="18"/>
          <w:highlight w:val="lightGray"/>
          <w:u w:val="single"/>
          <w:lang w:val="fr-CH" w:eastAsia="en-GB"/>
        </w:rPr>
        <w:t>il en tienne compte.</w:t>
      </w:r>
    </w:p>
    <w:p w:rsidR="00D75FE9" w:rsidRPr="00E454D1" w:rsidRDefault="00D75FE9" w:rsidP="001959F5">
      <w:pPr>
        <w:ind w:left="567" w:right="567"/>
        <w:rPr>
          <w:sz w:val="18"/>
          <w:szCs w:val="18"/>
          <w:lang w:val="fr-CH"/>
        </w:rPr>
      </w:pPr>
    </w:p>
    <w:p w:rsidR="00D75FE9" w:rsidRPr="00E454D1" w:rsidRDefault="00090D74" w:rsidP="001959F5">
      <w:pPr>
        <w:ind w:left="567" w:right="567"/>
        <w:rPr>
          <w:sz w:val="18"/>
          <w:szCs w:val="18"/>
          <w:lang w:val="fr-CH"/>
        </w:rPr>
      </w:pPr>
      <w:r w:rsidRPr="00E454D1">
        <w:rPr>
          <w:sz w:val="18"/>
          <w:szCs w:val="18"/>
          <w:lang w:val="fr-CH"/>
        </w:rPr>
        <w:t>“</w:t>
      </w:r>
      <w:r w:rsidR="001959F5" w:rsidRPr="00E454D1">
        <w:rPr>
          <w:sz w:val="18"/>
          <w:szCs w:val="18"/>
          <w:lang w:val="fr-CH"/>
        </w:rPr>
        <w:t>2.2.8.2</w:t>
      </w:r>
      <w:r w:rsidR="001959F5" w:rsidRPr="00E454D1">
        <w:rPr>
          <w:sz w:val="18"/>
          <w:szCs w:val="18"/>
          <w:lang w:val="fr-CH"/>
        </w:rPr>
        <w:tab/>
        <w:t>Une fois que le Comité technique a adopté les principes directeurs d</w:t>
      </w:r>
      <w:r w:rsidR="00E454D1">
        <w:rPr>
          <w:sz w:val="18"/>
          <w:szCs w:val="18"/>
          <w:lang w:val="fr-CH"/>
        </w:rPr>
        <w:t>’</w:t>
      </w:r>
      <w:r w:rsidR="001959F5" w:rsidRPr="00E454D1">
        <w:rPr>
          <w:sz w:val="18"/>
          <w:szCs w:val="18"/>
          <w:lang w:val="fr-CH"/>
        </w:rPr>
        <w:t>examen, le Bureau apporte toutes les modifications arrêtées par le Comité technique, qui sont consignées dans le rapport sur la réunion pertinente du Comité techniq</w:t>
      </w:r>
      <w:r w:rsidR="00C77A34" w:rsidRPr="00E454D1">
        <w:rPr>
          <w:sz w:val="18"/>
          <w:szCs w:val="18"/>
          <w:lang w:val="fr-CH"/>
        </w:rPr>
        <w:t>ue</w:t>
      </w:r>
      <w:r w:rsidR="00C77A34">
        <w:rPr>
          <w:sz w:val="18"/>
          <w:szCs w:val="18"/>
          <w:lang w:val="fr-CH"/>
        </w:rPr>
        <w:t xml:space="preserve">.  </w:t>
      </w:r>
      <w:r w:rsidR="00C77A34" w:rsidRPr="00E454D1">
        <w:rPr>
          <w:sz w:val="18"/>
          <w:szCs w:val="18"/>
          <w:lang w:val="fr-CH"/>
        </w:rPr>
        <w:t>Le</w:t>
      </w:r>
      <w:r w:rsidR="001959F5" w:rsidRPr="00E454D1">
        <w:rPr>
          <w:sz w:val="18"/>
          <w:szCs w:val="18"/>
          <w:lang w:val="fr-CH"/>
        </w:rPr>
        <w:t xml:space="preserve"> Bureau publie ensuite les principes directeurs d</w:t>
      </w:r>
      <w:r w:rsidR="00E454D1">
        <w:rPr>
          <w:sz w:val="18"/>
          <w:szCs w:val="18"/>
          <w:lang w:val="fr-CH"/>
        </w:rPr>
        <w:t>’</w:t>
      </w:r>
      <w:r w:rsidR="001959F5" w:rsidRPr="00E454D1">
        <w:rPr>
          <w:sz w:val="18"/>
          <w:szCs w:val="18"/>
          <w:lang w:val="fr-CH"/>
        </w:rPr>
        <w:t>examen adoptés.</w:t>
      </w:r>
    </w:p>
    <w:p w:rsidR="00D75FE9" w:rsidRPr="00E454D1" w:rsidRDefault="00D75FE9" w:rsidP="001959F5">
      <w:pPr>
        <w:ind w:left="567" w:right="567"/>
        <w:rPr>
          <w:strike/>
          <w:sz w:val="18"/>
          <w:szCs w:val="18"/>
          <w:lang w:val="fr-CH"/>
        </w:rPr>
      </w:pPr>
    </w:p>
    <w:p w:rsidR="00D75FE9" w:rsidRPr="00E454D1" w:rsidRDefault="00090D74" w:rsidP="001959F5">
      <w:pPr>
        <w:ind w:left="567" w:right="567"/>
        <w:rPr>
          <w:strike/>
          <w:sz w:val="18"/>
          <w:szCs w:val="18"/>
          <w:lang w:val="fr-CH"/>
        </w:rPr>
      </w:pPr>
      <w:r w:rsidRPr="00E454D1">
        <w:rPr>
          <w:strike/>
          <w:sz w:val="18"/>
          <w:szCs w:val="18"/>
          <w:highlight w:val="lightGray"/>
          <w:lang w:val="fr-CH"/>
        </w:rPr>
        <w:t>“</w:t>
      </w:r>
      <w:r w:rsidR="001959F5" w:rsidRPr="00E454D1">
        <w:rPr>
          <w:strike/>
          <w:sz w:val="18"/>
          <w:szCs w:val="18"/>
          <w:highlight w:val="lightGray"/>
          <w:lang w:val="fr-CH"/>
        </w:rPr>
        <w:t>2.2.8.3</w:t>
      </w:r>
      <w:r w:rsidR="001959F5" w:rsidRPr="00E454D1">
        <w:rPr>
          <w:strike/>
          <w:sz w:val="18"/>
          <w:szCs w:val="18"/>
          <w:highlight w:val="lightGray"/>
          <w:lang w:val="fr-CH"/>
        </w:rPr>
        <w:tab/>
        <w:t>Si le Comité technique adopte les principes directeurs d</w:t>
      </w:r>
      <w:r w:rsidR="00E454D1">
        <w:rPr>
          <w:strike/>
          <w:sz w:val="18"/>
          <w:szCs w:val="18"/>
          <w:highlight w:val="lightGray"/>
          <w:lang w:val="fr-CH"/>
        </w:rPr>
        <w:t>’</w:t>
      </w:r>
      <w:r w:rsidR="001959F5" w:rsidRPr="00E454D1">
        <w:rPr>
          <w:strike/>
          <w:sz w:val="18"/>
          <w:szCs w:val="18"/>
          <w:highlight w:val="lightGray"/>
          <w:lang w:val="fr-CH"/>
        </w:rPr>
        <w:t>examen sous réserve de renseignements supplémentaires à présenter par l</w:t>
      </w:r>
      <w:r w:rsidR="00E454D1">
        <w:rPr>
          <w:strike/>
          <w:sz w:val="18"/>
          <w:szCs w:val="18"/>
          <w:highlight w:val="lightGray"/>
          <w:lang w:val="fr-CH"/>
        </w:rPr>
        <w:t>’</w:t>
      </w:r>
      <w:r w:rsidR="001959F5" w:rsidRPr="00E454D1">
        <w:rPr>
          <w:strike/>
          <w:sz w:val="18"/>
          <w:szCs w:val="18"/>
          <w:highlight w:val="lightGray"/>
          <w:lang w:val="fr-CH"/>
        </w:rPr>
        <w:t>expert principal avec l</w:t>
      </w:r>
      <w:r w:rsidR="00E454D1">
        <w:rPr>
          <w:strike/>
          <w:sz w:val="18"/>
          <w:szCs w:val="18"/>
          <w:highlight w:val="lightGray"/>
          <w:lang w:val="fr-CH"/>
        </w:rPr>
        <w:t>’</w:t>
      </w:r>
      <w:r w:rsidR="001959F5" w:rsidRPr="00E454D1">
        <w:rPr>
          <w:strike/>
          <w:sz w:val="18"/>
          <w:szCs w:val="18"/>
          <w:highlight w:val="lightGray"/>
          <w:lang w:val="fr-CH"/>
        </w:rPr>
        <w:t>accord de tous les experts intéressés et du président du TWP concerné (voir la section 2.2.7.3.b)), les renseignements nécessaires, approuvés par tous les experts intéressés, doivent être fournis au Bureau dans un délai de trois mois suivant la réunion du Comité technique ou avant la session suivante du TWP concerné si ce délai est plus cou</w:t>
      </w:r>
      <w:r w:rsidR="00C77A34" w:rsidRPr="00E454D1">
        <w:rPr>
          <w:strike/>
          <w:sz w:val="18"/>
          <w:szCs w:val="18"/>
          <w:highlight w:val="lightGray"/>
          <w:lang w:val="fr-CH"/>
        </w:rPr>
        <w:t>rt</w:t>
      </w:r>
      <w:r w:rsidR="00C77A34">
        <w:rPr>
          <w:strike/>
          <w:sz w:val="18"/>
          <w:szCs w:val="18"/>
          <w:highlight w:val="lightGray"/>
          <w:lang w:val="fr-CH"/>
        </w:rPr>
        <w:t xml:space="preserve">.  </w:t>
      </w:r>
      <w:r w:rsidR="00C77A34" w:rsidRPr="00E454D1">
        <w:rPr>
          <w:strike/>
          <w:sz w:val="18"/>
          <w:szCs w:val="18"/>
          <w:highlight w:val="lightGray"/>
          <w:lang w:val="fr-CH"/>
        </w:rPr>
        <w:t>Si</w:t>
      </w:r>
      <w:r w:rsidR="001959F5" w:rsidRPr="00E454D1">
        <w:rPr>
          <w:strike/>
          <w:sz w:val="18"/>
          <w:szCs w:val="18"/>
          <w:highlight w:val="lightGray"/>
          <w:lang w:val="fr-CH"/>
        </w:rPr>
        <w:t xml:space="preserve"> </w:t>
      </w:r>
      <w:r w:rsidR="001959F5" w:rsidRPr="00E454D1">
        <w:rPr>
          <w:strike/>
          <w:sz w:val="18"/>
          <w:szCs w:val="18"/>
          <w:highlight w:val="lightGray"/>
          <w:lang w:val="fr-CH"/>
        </w:rPr>
        <w:lastRenderedPageBreak/>
        <w:t>les renseignements nécessaires ne sont pas communiqués dans ce délai, les principes directeurs d</w:t>
      </w:r>
      <w:r w:rsidR="00E454D1">
        <w:rPr>
          <w:strike/>
          <w:sz w:val="18"/>
          <w:szCs w:val="18"/>
          <w:highlight w:val="lightGray"/>
          <w:lang w:val="fr-CH"/>
        </w:rPr>
        <w:t>’</w:t>
      </w:r>
      <w:r w:rsidR="001959F5" w:rsidRPr="00E454D1">
        <w:rPr>
          <w:strike/>
          <w:sz w:val="18"/>
          <w:szCs w:val="18"/>
          <w:highlight w:val="lightGray"/>
          <w:lang w:val="fr-CH"/>
        </w:rPr>
        <w:t>examen concernés ne sont pas adoptés et sont soumis de nouveau au TWP concerné (étape 4).</w:t>
      </w:r>
    </w:p>
    <w:p w:rsidR="00D75FE9" w:rsidRPr="00E454D1" w:rsidRDefault="00D75FE9" w:rsidP="009956BC">
      <w:pPr>
        <w:rPr>
          <w:lang w:val="fr-CH"/>
        </w:rPr>
      </w:pPr>
    </w:p>
    <w:p w:rsidR="002F2D47" w:rsidRPr="00E454D1" w:rsidRDefault="002255C4" w:rsidP="0056583E">
      <w:pPr>
        <w:rPr>
          <w:lang w:val="fr-CH"/>
        </w:rPr>
      </w:pPr>
      <w:r w:rsidRPr="00E454D1">
        <w:rPr>
          <w:lang w:val="fr-CH"/>
        </w:rPr>
        <w:t>Le</w:t>
      </w:r>
      <w:r w:rsidR="00E454D1">
        <w:rPr>
          <w:lang w:val="fr-CH"/>
        </w:rPr>
        <w:t> TC</w:t>
      </w:r>
      <w:r w:rsidRPr="00E454D1">
        <w:rPr>
          <w:lang w:val="fr-CH"/>
        </w:rPr>
        <w:t xml:space="preserve"> est convenu qu</w:t>
      </w:r>
      <w:r w:rsidR="00E454D1">
        <w:rPr>
          <w:lang w:val="fr-CH"/>
        </w:rPr>
        <w:t>’</w:t>
      </w:r>
      <w:r w:rsidRPr="00E454D1">
        <w:rPr>
          <w:lang w:val="fr-CH"/>
        </w:rPr>
        <w:t>un calendrier pertinent relatif à la publication des principes directeurs d</w:t>
      </w:r>
      <w:r w:rsidR="00E454D1">
        <w:rPr>
          <w:lang w:val="fr-CH"/>
        </w:rPr>
        <w:t>’</w:t>
      </w:r>
      <w:r w:rsidRPr="00E454D1">
        <w:rPr>
          <w:lang w:val="fr-CH"/>
        </w:rPr>
        <w:t>examen adoptés devait être ajouté aux orientatio</w:t>
      </w:r>
      <w:r w:rsidR="00C77A34" w:rsidRPr="00E454D1">
        <w:rPr>
          <w:lang w:val="fr-CH"/>
        </w:rPr>
        <w:t>ns</w:t>
      </w:r>
      <w:r w:rsidR="00C77A34">
        <w:rPr>
          <w:lang w:val="fr-CH"/>
        </w:rPr>
        <w:t xml:space="preserve">.  </w:t>
      </w:r>
      <w:r w:rsidR="00C77A34" w:rsidRPr="00E454D1">
        <w:rPr>
          <w:lang w:val="fr-CH"/>
        </w:rPr>
        <w:t>Il</w:t>
      </w:r>
      <w:r w:rsidRPr="00E454D1">
        <w:rPr>
          <w:lang w:val="fr-CH"/>
        </w:rPr>
        <w:t xml:space="preserve"> sera invité à examiner une proposition de calendrier à sa cinquante</w:t>
      </w:r>
      <w:r w:rsidR="00E454D1">
        <w:rPr>
          <w:lang w:val="fr-CH"/>
        </w:rPr>
        <w:t>-</w:t>
      </w:r>
      <w:r w:rsidRPr="00E454D1">
        <w:rPr>
          <w:lang w:val="fr-CH"/>
        </w:rPr>
        <w:t>cinqu</w:t>
      </w:r>
      <w:r w:rsidR="00E454D1">
        <w:rPr>
          <w:lang w:val="fr-CH"/>
        </w:rPr>
        <w:t>ième session</w:t>
      </w:r>
      <w:r w:rsidRPr="00E454D1">
        <w:rPr>
          <w:lang w:val="fr-CH"/>
        </w:rPr>
        <w:t xml:space="preserve"> qui se tiendra à Genève les 28 et 29 octobre 2019.</w:t>
      </w:r>
      <w:r w:rsidR="009956BC" w:rsidRPr="00E454D1">
        <w:rPr>
          <w:lang w:val="fr-CH"/>
        </w:rPr>
        <w:t xml:space="preserve">  </w:t>
      </w:r>
      <w:r w:rsidR="0056583E" w:rsidRPr="00E454D1">
        <w:rPr>
          <w:lang w:val="fr-CH"/>
        </w:rPr>
        <w:t>Sous réserve de l</w:t>
      </w:r>
      <w:r w:rsidR="00E454D1">
        <w:rPr>
          <w:lang w:val="fr-CH"/>
        </w:rPr>
        <w:t>’</w:t>
      </w:r>
      <w:r w:rsidR="0056583E" w:rsidRPr="00E454D1">
        <w:rPr>
          <w:lang w:val="fr-CH"/>
        </w:rPr>
        <w:t>accord du</w:t>
      </w:r>
      <w:r w:rsidR="00E454D1">
        <w:rPr>
          <w:lang w:val="fr-CH"/>
        </w:rPr>
        <w:t> TC</w:t>
      </w:r>
      <w:r w:rsidR="0056583E" w:rsidRPr="00E454D1">
        <w:rPr>
          <w:lang w:val="fr-CH"/>
        </w:rPr>
        <w:t xml:space="preserve"> et</w:t>
      </w:r>
      <w:r w:rsidR="002F2D47" w:rsidRPr="00E454D1">
        <w:rPr>
          <w:lang w:val="fr-CH"/>
        </w:rPr>
        <w:t xml:space="preserve"> du CAJ</w:t>
      </w:r>
      <w:r w:rsidR="0056583E" w:rsidRPr="00E454D1">
        <w:rPr>
          <w:lang w:val="fr-CH"/>
        </w:rPr>
        <w:t>, le calendrier proposé sera soumis au Conseil pour adoption à sa session prévue le</w:t>
      </w:r>
      <w:r w:rsidR="00E454D1">
        <w:rPr>
          <w:lang w:val="fr-CH"/>
        </w:rPr>
        <w:t xml:space="preserve"> 1</w:t>
      </w:r>
      <w:r w:rsidR="00E454D1" w:rsidRPr="00E454D1">
        <w:rPr>
          <w:vertAlign w:val="superscript"/>
          <w:lang w:val="fr-CH"/>
        </w:rPr>
        <w:t>er</w:t>
      </w:r>
      <w:r w:rsidR="00E454D1">
        <w:rPr>
          <w:lang w:val="fr-CH"/>
        </w:rPr>
        <w:t> </w:t>
      </w:r>
      <w:r w:rsidR="0056583E" w:rsidRPr="00E454D1">
        <w:rPr>
          <w:lang w:val="fr-CH"/>
        </w:rPr>
        <w:t>novembre 2019.</w:t>
      </w:r>
    </w:p>
    <w:p w:rsidR="00D75FE9" w:rsidRPr="00E454D1" w:rsidRDefault="00D75FE9" w:rsidP="009956BC">
      <w:pPr>
        <w:rPr>
          <w:lang w:val="fr-CH"/>
        </w:rPr>
      </w:pPr>
    </w:p>
    <w:p w:rsidR="00D75FE9" w:rsidRPr="00E454D1" w:rsidRDefault="0056583E" w:rsidP="0056583E">
      <w:pPr>
        <w:rPr>
          <w:lang w:val="fr-CH"/>
        </w:rPr>
      </w:pPr>
      <w:r w:rsidRPr="00E454D1">
        <w:rPr>
          <w:lang w:val="fr-CH"/>
        </w:rPr>
        <w:t>Le</w:t>
      </w:r>
      <w:r w:rsidR="00E454D1">
        <w:rPr>
          <w:lang w:val="fr-CH"/>
        </w:rPr>
        <w:t> TC</w:t>
      </w:r>
      <w:r w:rsidRPr="00E454D1">
        <w:rPr>
          <w:lang w:val="fr-CH"/>
        </w:rPr>
        <w:t xml:space="preserve"> est convenu que la procédure d</w:t>
      </w:r>
      <w:r w:rsidR="00E454D1">
        <w:rPr>
          <w:lang w:val="fr-CH"/>
        </w:rPr>
        <w:t>’</w:t>
      </w:r>
      <w:r w:rsidRPr="00E454D1">
        <w:rPr>
          <w:lang w:val="fr-CH"/>
        </w:rPr>
        <w:t>adoption des principes directeurs d</w:t>
      </w:r>
      <w:r w:rsidR="00E454D1">
        <w:rPr>
          <w:lang w:val="fr-CH"/>
        </w:rPr>
        <w:t>’</w:t>
      </w:r>
      <w:r w:rsidRPr="00E454D1">
        <w:rPr>
          <w:lang w:val="fr-CH"/>
        </w:rPr>
        <w:t>examen par correspondance devait être intégrée au contenu des ateliers préparatoires pour</w:t>
      </w:r>
      <w:r w:rsidR="002F2D47" w:rsidRPr="00E454D1">
        <w:rPr>
          <w:lang w:val="fr-CH"/>
        </w:rPr>
        <w:t xml:space="preserve"> les TWP</w:t>
      </w:r>
      <w:r w:rsidRPr="00E454D1">
        <w:rPr>
          <w:lang w:val="fr-CH"/>
        </w:rPr>
        <w:t>.</w:t>
      </w:r>
    </w:p>
    <w:p w:rsidR="00D75FE9" w:rsidRPr="00E454D1" w:rsidRDefault="00D75FE9" w:rsidP="009956BC">
      <w:pPr>
        <w:rPr>
          <w:lang w:val="fr-CH"/>
        </w:rPr>
      </w:pPr>
    </w:p>
    <w:p w:rsidR="00D75FE9" w:rsidRPr="00E454D1" w:rsidRDefault="00D75FE9" w:rsidP="009956BC">
      <w:pPr>
        <w:rPr>
          <w:lang w:val="fr-CH"/>
        </w:rPr>
      </w:pPr>
    </w:p>
    <w:p w:rsidR="00D75FE9" w:rsidRPr="00E454D1" w:rsidRDefault="00D75FE9" w:rsidP="009956BC">
      <w:pPr>
        <w:rPr>
          <w:lang w:val="fr-CH"/>
        </w:rPr>
      </w:pPr>
    </w:p>
    <w:p w:rsidR="00D75FE9" w:rsidRPr="00E454D1" w:rsidRDefault="0056583E" w:rsidP="0056583E">
      <w:pPr>
        <w:jc w:val="right"/>
        <w:rPr>
          <w:lang w:val="fr-CH"/>
        </w:rPr>
      </w:pPr>
      <w:r w:rsidRPr="00E454D1">
        <w:rPr>
          <w:lang w:val="fr-CH"/>
        </w:rPr>
        <w:t>[L</w:t>
      </w:r>
      <w:r w:rsidR="00E454D1">
        <w:rPr>
          <w:lang w:val="fr-CH"/>
        </w:rPr>
        <w:t>’</w:t>
      </w:r>
      <w:r w:rsidRPr="00E454D1">
        <w:rPr>
          <w:lang w:val="fr-CH"/>
        </w:rPr>
        <w:t>annexe</w:t>
      </w:r>
      <w:r w:rsidR="00FE5010" w:rsidRPr="00E454D1">
        <w:rPr>
          <w:lang w:val="fr-CH"/>
        </w:rPr>
        <w:t> </w:t>
      </w:r>
      <w:r w:rsidRPr="00E454D1">
        <w:rPr>
          <w:lang w:val="fr-CH"/>
        </w:rPr>
        <w:t>II suit]</w:t>
      </w:r>
    </w:p>
    <w:p w:rsidR="00D75FE9" w:rsidRPr="00E454D1" w:rsidRDefault="00D75FE9" w:rsidP="009956BC">
      <w:pPr>
        <w:rPr>
          <w:lang w:val="fr-CH"/>
        </w:rPr>
      </w:pPr>
    </w:p>
    <w:p w:rsidR="009956BC" w:rsidRPr="00E454D1" w:rsidRDefault="009956BC" w:rsidP="009956BC">
      <w:pPr>
        <w:rPr>
          <w:lang w:val="fr-CH"/>
        </w:rPr>
        <w:sectPr w:rsidR="009956BC" w:rsidRPr="00E454D1" w:rsidSect="001270B2">
          <w:headerReference w:type="default" r:id="rId12"/>
          <w:footerReference w:type="default" r:id="rId13"/>
          <w:headerReference w:type="first" r:id="rId14"/>
          <w:pgSz w:w="11907" w:h="16840" w:code="9"/>
          <w:pgMar w:top="510" w:right="1134" w:bottom="709" w:left="1134" w:header="510" w:footer="680" w:gutter="0"/>
          <w:pgNumType w:start="1"/>
          <w:cols w:space="720"/>
          <w:titlePg/>
        </w:sectPr>
      </w:pPr>
    </w:p>
    <w:p w:rsidR="00D75FE9" w:rsidRPr="00E454D1" w:rsidRDefault="0056583E" w:rsidP="0056583E">
      <w:pPr>
        <w:jc w:val="center"/>
        <w:rPr>
          <w:lang w:val="fr-CH"/>
        </w:rPr>
      </w:pPr>
      <w:r w:rsidRPr="00E454D1">
        <w:rPr>
          <w:lang w:val="fr-CH"/>
        </w:rPr>
        <w:lastRenderedPageBreak/>
        <w:t>QUESTIONS POUR ADOPTION PAR LE CONSEIL EN 2019</w:t>
      </w:r>
      <w:r w:rsidR="00E454D1">
        <w:rPr>
          <w:lang w:val="fr-CH"/>
        </w:rPr>
        <w:t> :</w:t>
      </w:r>
      <w:r w:rsidRPr="00E454D1">
        <w:rPr>
          <w:lang w:val="fr-CH"/>
        </w:rPr>
        <w:t xml:space="preserve"> DOCUMENT</w:t>
      </w:r>
      <w:r w:rsidR="00FE5010" w:rsidRPr="00E454D1">
        <w:rPr>
          <w:lang w:val="fr-CH"/>
        </w:rPr>
        <w:t> </w:t>
      </w:r>
      <w:r w:rsidRPr="00E454D1">
        <w:rPr>
          <w:lang w:val="fr-CH"/>
        </w:rPr>
        <w:t>TGP/8</w:t>
      </w:r>
    </w:p>
    <w:p w:rsidR="00D75FE9" w:rsidRPr="00E454D1" w:rsidRDefault="00D75FE9" w:rsidP="009956BC">
      <w:pPr>
        <w:rPr>
          <w:lang w:val="fr-CH"/>
        </w:rPr>
      </w:pPr>
    </w:p>
    <w:p w:rsidR="00D75FE9" w:rsidRPr="00E454D1" w:rsidRDefault="0056583E" w:rsidP="0056583E">
      <w:pPr>
        <w:rPr>
          <w:lang w:val="fr-CH"/>
        </w:rPr>
      </w:pPr>
      <w:r w:rsidRPr="00E454D1">
        <w:rPr>
          <w:lang w:val="fr-CH"/>
        </w:rPr>
        <w:t>La révision ci</w:t>
      </w:r>
      <w:r w:rsidR="00E454D1">
        <w:rPr>
          <w:lang w:val="fr-CH"/>
        </w:rPr>
        <w:t>-</w:t>
      </w:r>
      <w:r w:rsidRPr="00E454D1">
        <w:rPr>
          <w:lang w:val="fr-CH"/>
        </w:rPr>
        <w:t>après du document TGP/8 “Protocole d</w:t>
      </w:r>
      <w:r w:rsidR="00E454D1">
        <w:rPr>
          <w:lang w:val="fr-CH"/>
        </w:rPr>
        <w:t>’</w:t>
      </w:r>
      <w:r w:rsidRPr="00E454D1">
        <w:rPr>
          <w:lang w:val="fr-CH"/>
        </w:rPr>
        <w:t>essai et techniques utilisés dans l</w:t>
      </w:r>
      <w:r w:rsidR="00E454D1">
        <w:rPr>
          <w:lang w:val="fr-CH"/>
        </w:rPr>
        <w:t>’</w:t>
      </w:r>
      <w:r w:rsidRPr="00E454D1">
        <w:rPr>
          <w:lang w:val="fr-CH"/>
        </w:rPr>
        <w:t>examen de la distinction, de l</w:t>
      </w:r>
      <w:r w:rsidR="00E454D1">
        <w:rPr>
          <w:lang w:val="fr-CH"/>
        </w:rPr>
        <w:t>’</w:t>
      </w:r>
      <w:r w:rsidRPr="00E454D1">
        <w:rPr>
          <w:lang w:val="fr-CH"/>
        </w:rPr>
        <w:t>homogénéité et de la stabilité” a été approuvée par le Comité technique et sera proposée pour adoption par le Conseil à sa cinquante</w:t>
      </w:r>
      <w:r w:rsidR="00E454D1">
        <w:rPr>
          <w:lang w:val="fr-CH"/>
        </w:rPr>
        <w:t>-</w:t>
      </w:r>
      <w:r w:rsidRPr="00E454D1">
        <w:rPr>
          <w:lang w:val="fr-CH"/>
        </w:rPr>
        <w:t>trois</w:t>
      </w:r>
      <w:r w:rsidR="00E454D1">
        <w:rPr>
          <w:lang w:val="fr-CH"/>
        </w:rPr>
        <w:t>ième session</w:t>
      </w:r>
      <w:r w:rsidRPr="00E454D1">
        <w:rPr>
          <w:lang w:val="fr-CH"/>
        </w:rPr>
        <w:t xml:space="preserve"> ordinaire prévue à Genève le</w:t>
      </w:r>
      <w:r w:rsidR="00E454D1">
        <w:rPr>
          <w:lang w:val="fr-CH"/>
        </w:rPr>
        <w:t xml:space="preserve"> 1</w:t>
      </w:r>
      <w:r w:rsidR="00E454D1" w:rsidRPr="00E454D1">
        <w:rPr>
          <w:vertAlign w:val="superscript"/>
          <w:lang w:val="fr-CH"/>
        </w:rPr>
        <w:t>er</w:t>
      </w:r>
      <w:r w:rsidR="00E454D1">
        <w:rPr>
          <w:lang w:val="fr-CH"/>
        </w:rPr>
        <w:t> </w:t>
      </w:r>
      <w:r w:rsidRPr="00E454D1">
        <w:rPr>
          <w:lang w:val="fr-CH"/>
        </w:rPr>
        <w:t>novembre</w:t>
      </w:r>
      <w:r w:rsidR="00090D74" w:rsidRPr="00E454D1">
        <w:rPr>
          <w:lang w:val="fr-CH"/>
        </w:rPr>
        <w:t> </w:t>
      </w:r>
      <w:r w:rsidRPr="00E454D1">
        <w:rPr>
          <w:lang w:val="fr-CH"/>
        </w:rPr>
        <w:t>2019, sous réserve de l</w:t>
      </w:r>
      <w:r w:rsidR="00E454D1">
        <w:rPr>
          <w:lang w:val="fr-CH"/>
        </w:rPr>
        <w:t>’</w:t>
      </w:r>
      <w:r w:rsidRPr="00E454D1">
        <w:rPr>
          <w:lang w:val="fr-CH"/>
        </w:rPr>
        <w:t>approbation</w:t>
      </w:r>
      <w:r w:rsidR="002F2D47" w:rsidRPr="00E454D1">
        <w:rPr>
          <w:lang w:val="fr-CH"/>
        </w:rPr>
        <w:t xml:space="preserve"> du CAJ</w:t>
      </w:r>
      <w:r w:rsidRPr="00E454D1">
        <w:rPr>
          <w:lang w:val="fr-CH"/>
        </w:rPr>
        <w:t xml:space="preserve"> à sa soixante</w:t>
      </w:r>
      <w:r w:rsidR="00E454D1">
        <w:rPr>
          <w:lang w:val="fr-CH"/>
        </w:rPr>
        <w:t>-</w:t>
      </w:r>
      <w:r w:rsidRPr="00E454D1">
        <w:rPr>
          <w:lang w:val="fr-CH"/>
        </w:rPr>
        <w:t>seiz</w:t>
      </w:r>
      <w:r w:rsidR="00E454D1">
        <w:rPr>
          <w:lang w:val="fr-CH"/>
        </w:rPr>
        <w:t>ième session</w:t>
      </w:r>
      <w:r w:rsidRPr="00E454D1">
        <w:rPr>
          <w:lang w:val="fr-CH"/>
        </w:rPr>
        <w:t xml:space="preserve"> prévue à Genève le 30 octobre 2019.</w:t>
      </w:r>
    </w:p>
    <w:p w:rsidR="00D75FE9" w:rsidRPr="00E454D1" w:rsidRDefault="00D75FE9" w:rsidP="009956BC">
      <w:pPr>
        <w:keepNext/>
        <w:rPr>
          <w:caps/>
          <w:lang w:val="fr-CH"/>
        </w:rPr>
      </w:pPr>
    </w:p>
    <w:p w:rsidR="00D75FE9" w:rsidRPr="00E454D1" w:rsidRDefault="0056583E" w:rsidP="009956BC">
      <w:pPr>
        <w:keepNext/>
        <w:rPr>
          <w:u w:val="single"/>
          <w:lang w:val="fr-CH"/>
        </w:rPr>
      </w:pPr>
      <w:r w:rsidRPr="00E454D1">
        <w:rPr>
          <w:u w:val="single"/>
          <w:lang w:val="fr-CH"/>
        </w:rPr>
        <w:t>Examen DHS sur des échantillons globaux</w:t>
      </w:r>
    </w:p>
    <w:p w:rsidR="00D75FE9" w:rsidRPr="00E454D1" w:rsidRDefault="00D75FE9" w:rsidP="009956BC">
      <w:pPr>
        <w:keepNext/>
        <w:rPr>
          <w:lang w:val="fr-CH"/>
        </w:rPr>
      </w:pPr>
    </w:p>
    <w:p w:rsidR="00D75FE9" w:rsidRPr="00E454D1" w:rsidRDefault="0056583E" w:rsidP="0056583E">
      <w:pPr>
        <w:keepNext/>
        <w:rPr>
          <w:i/>
          <w:lang w:val="fr-CH"/>
        </w:rPr>
      </w:pPr>
      <w:r w:rsidRPr="00E454D1">
        <w:rPr>
          <w:lang w:val="fr-CH"/>
        </w:rPr>
        <w:t>Document TGP/8</w:t>
      </w:r>
      <w:r w:rsidR="00E454D1">
        <w:rPr>
          <w:lang w:val="fr-CH"/>
        </w:rPr>
        <w:t> :</w:t>
      </w:r>
      <w:r w:rsidRPr="00E454D1">
        <w:rPr>
          <w:lang w:val="fr-CH"/>
        </w:rPr>
        <w:t xml:space="preserve"> deuxième partie</w:t>
      </w:r>
      <w:r w:rsidR="00E454D1">
        <w:rPr>
          <w:lang w:val="fr-CH"/>
        </w:rPr>
        <w:t> :</w:t>
      </w:r>
      <w:r w:rsidRPr="00E454D1">
        <w:rPr>
          <w:i/>
          <w:lang w:val="fr-CH"/>
        </w:rPr>
        <w:t xml:space="preserve"> </w:t>
      </w:r>
      <w:r w:rsidRPr="00E454D1">
        <w:rPr>
          <w:lang w:val="fr-CH"/>
        </w:rPr>
        <w:t>Quelques techniques utilisées dans l</w:t>
      </w:r>
      <w:r w:rsidR="00E454D1">
        <w:rPr>
          <w:lang w:val="fr-CH"/>
        </w:rPr>
        <w:t>’</w:t>
      </w:r>
      <w:r w:rsidRPr="00E454D1">
        <w:rPr>
          <w:lang w:val="fr-CH"/>
        </w:rPr>
        <w:t>examen</w:t>
      </w:r>
      <w:r w:rsidR="00124C91" w:rsidRPr="00E454D1">
        <w:rPr>
          <w:lang w:val="fr-CH"/>
        </w:rPr>
        <w:t> </w:t>
      </w:r>
      <w:r w:rsidRPr="00E454D1">
        <w:rPr>
          <w:lang w:val="fr-CH"/>
        </w:rPr>
        <w:t xml:space="preserve">DHS, nouvelle </w:t>
      </w:r>
      <w:r w:rsidR="002F2D47" w:rsidRPr="00E454D1">
        <w:rPr>
          <w:lang w:val="fr-CH"/>
        </w:rPr>
        <w:t>section 1</w:t>
      </w:r>
      <w:r w:rsidRPr="00E454D1">
        <w:rPr>
          <w:lang w:val="fr-CH"/>
        </w:rPr>
        <w:t>2</w:t>
      </w:r>
      <w:r w:rsidR="00E454D1">
        <w:rPr>
          <w:lang w:val="fr-CH"/>
        </w:rPr>
        <w:t> :</w:t>
      </w:r>
      <w:r w:rsidRPr="00E454D1">
        <w:rPr>
          <w:lang w:val="fr-CH"/>
        </w:rPr>
        <w:t xml:space="preserve"> Examen des caractères DHS sur la base d</w:t>
      </w:r>
      <w:r w:rsidR="00E454D1">
        <w:rPr>
          <w:lang w:val="fr-CH"/>
        </w:rPr>
        <w:t>’</w:t>
      </w:r>
      <w:r w:rsidRPr="00E454D1">
        <w:rPr>
          <w:lang w:val="fr-CH"/>
        </w:rPr>
        <w:t>échantillons globaux</w:t>
      </w:r>
    </w:p>
    <w:p w:rsidR="00D75FE9" w:rsidRPr="00E454D1" w:rsidRDefault="00D75FE9" w:rsidP="009956BC">
      <w:pPr>
        <w:keepNext/>
        <w:rPr>
          <w:lang w:val="fr-CH"/>
        </w:rPr>
      </w:pPr>
    </w:p>
    <w:p w:rsidR="00D75FE9" w:rsidRPr="00E454D1" w:rsidRDefault="00EC2260" w:rsidP="00EC2260">
      <w:pPr>
        <w:keepNext/>
        <w:rPr>
          <w:lang w:val="fr-CH"/>
        </w:rPr>
      </w:pPr>
      <w:r w:rsidRPr="00E454D1">
        <w:rPr>
          <w:lang w:val="fr-CH"/>
        </w:rPr>
        <w:t>À sa cinquante</w:t>
      </w:r>
      <w:r w:rsidR="00E454D1">
        <w:rPr>
          <w:lang w:val="fr-CH"/>
        </w:rPr>
        <w:t>-</w:t>
      </w:r>
      <w:r w:rsidRPr="00E454D1">
        <w:rPr>
          <w:lang w:val="fr-CH"/>
        </w:rPr>
        <w:t>trois</w:t>
      </w:r>
      <w:r w:rsidR="00E454D1">
        <w:rPr>
          <w:lang w:val="fr-CH"/>
        </w:rPr>
        <w:t>ième session</w:t>
      </w:r>
      <w:r w:rsidRPr="00E454D1">
        <w:rPr>
          <w:lang w:val="fr-CH"/>
        </w:rPr>
        <w:t xml:space="preserve"> tenue à Genève du 3 au 5 avril 2017, le</w:t>
      </w:r>
      <w:r w:rsidR="00E454D1">
        <w:rPr>
          <w:lang w:val="fr-CH"/>
        </w:rPr>
        <w:t> TC</w:t>
      </w:r>
      <w:r w:rsidRPr="00E454D1">
        <w:rPr>
          <w:lang w:val="fr-CH"/>
        </w:rPr>
        <w:t xml:space="preserve"> a approuvé une liste de critères qui servira de base à l</w:t>
      </w:r>
      <w:r w:rsidR="00E454D1">
        <w:rPr>
          <w:lang w:val="fr-CH"/>
        </w:rPr>
        <w:t>’</w:t>
      </w:r>
      <w:r w:rsidRPr="00E454D1">
        <w:rPr>
          <w:lang w:val="fr-CH"/>
        </w:rPr>
        <w:t xml:space="preserve">élaboration de principes directeurs qui seront inclus dans une future version révisée du </w:t>
      </w:r>
      <w:r w:rsidR="002F2D47" w:rsidRPr="00E454D1">
        <w:rPr>
          <w:lang w:val="fr-CH"/>
        </w:rPr>
        <w:t>document TG</w:t>
      </w:r>
      <w:r w:rsidRPr="00E454D1">
        <w:rPr>
          <w:lang w:val="fr-CH"/>
        </w:rPr>
        <w:t>P/8, comme suit (voir les paragraphes</w:t>
      </w:r>
      <w:r w:rsidR="00FE5010" w:rsidRPr="00E454D1">
        <w:rPr>
          <w:lang w:val="fr-CH"/>
        </w:rPr>
        <w:t> </w:t>
      </w:r>
      <w:r w:rsidRPr="00E454D1">
        <w:rPr>
          <w:lang w:val="fr-CH"/>
        </w:rPr>
        <w:t xml:space="preserve">113 à 116 du </w:t>
      </w:r>
      <w:r w:rsidR="00E454D1" w:rsidRPr="00E454D1">
        <w:rPr>
          <w:lang w:val="fr-CH"/>
        </w:rPr>
        <w:t>document</w:t>
      </w:r>
      <w:r w:rsidR="00E454D1">
        <w:rPr>
          <w:lang w:val="fr-CH"/>
        </w:rPr>
        <w:t xml:space="preserve"> TC</w:t>
      </w:r>
      <w:r w:rsidRPr="00E454D1">
        <w:rPr>
          <w:lang w:val="fr-CH"/>
        </w:rPr>
        <w:t>/53/31 “Compte rendu”)</w:t>
      </w:r>
      <w:r w:rsidR="00E454D1">
        <w:rPr>
          <w:lang w:val="fr-CH"/>
        </w:rPr>
        <w:t> :</w:t>
      </w:r>
    </w:p>
    <w:p w:rsidR="00D75FE9" w:rsidRPr="00E454D1" w:rsidRDefault="00D75FE9" w:rsidP="009956BC">
      <w:pPr>
        <w:rPr>
          <w:lang w:val="fr-CH"/>
        </w:rPr>
      </w:pPr>
    </w:p>
    <w:p w:rsidR="00D75FE9" w:rsidRPr="00E454D1" w:rsidRDefault="00EC2260" w:rsidP="00EC2260">
      <w:pPr>
        <w:numPr>
          <w:ilvl w:val="0"/>
          <w:numId w:val="7"/>
        </w:numPr>
        <w:ind w:left="1134" w:right="567" w:hanging="567"/>
        <w:rPr>
          <w:sz w:val="18"/>
          <w:lang w:val="fr-CH"/>
        </w:rPr>
      </w:pPr>
      <w:r w:rsidRPr="00E454D1">
        <w:rPr>
          <w:iCs/>
          <w:sz w:val="18"/>
          <w:lang w:val="fr-CH"/>
        </w:rPr>
        <w:t>“le caractère devrait remplir les conditions relatives à un caractère, énoncées dans l</w:t>
      </w:r>
      <w:r w:rsidR="00E454D1">
        <w:rPr>
          <w:iCs/>
          <w:sz w:val="18"/>
          <w:lang w:val="fr-CH"/>
        </w:rPr>
        <w:t>’</w:t>
      </w:r>
      <w:r w:rsidRPr="00E454D1">
        <w:rPr>
          <w:iCs/>
          <w:sz w:val="18"/>
          <w:lang w:val="fr-CH"/>
        </w:rPr>
        <w:t>Introduction générale à l</w:t>
      </w:r>
      <w:r w:rsidR="00E454D1">
        <w:rPr>
          <w:iCs/>
          <w:sz w:val="18"/>
          <w:lang w:val="fr-CH"/>
        </w:rPr>
        <w:t>’</w:t>
      </w:r>
      <w:r w:rsidRPr="00E454D1">
        <w:rPr>
          <w:iCs/>
          <w:sz w:val="18"/>
          <w:lang w:val="fr-CH"/>
        </w:rPr>
        <w:t>examen de la distinction, de l</w:t>
      </w:r>
      <w:r w:rsidR="00E454D1">
        <w:rPr>
          <w:iCs/>
          <w:sz w:val="18"/>
          <w:lang w:val="fr-CH"/>
        </w:rPr>
        <w:t>’</w:t>
      </w:r>
      <w:r w:rsidRPr="00E454D1">
        <w:rPr>
          <w:iCs/>
          <w:sz w:val="18"/>
          <w:lang w:val="fr-CH"/>
        </w:rPr>
        <w:t>homogénéité et de la stabilité et à l</w:t>
      </w:r>
      <w:r w:rsidR="00E454D1">
        <w:rPr>
          <w:iCs/>
          <w:sz w:val="18"/>
          <w:lang w:val="fr-CH"/>
        </w:rPr>
        <w:t>’</w:t>
      </w:r>
      <w:r w:rsidRPr="00E454D1">
        <w:rPr>
          <w:iCs/>
          <w:sz w:val="18"/>
          <w:lang w:val="fr-CH"/>
        </w:rPr>
        <w:t xml:space="preserve">harmonisation des descriptions des obtentions végétales” (voir la section 4.2.1 du </w:t>
      </w:r>
      <w:r w:rsidR="002F2D47" w:rsidRPr="00E454D1">
        <w:rPr>
          <w:iCs/>
          <w:sz w:val="18"/>
          <w:lang w:val="fr-CH"/>
        </w:rPr>
        <w:t>document TG</w:t>
      </w:r>
      <w:r w:rsidRPr="00E454D1">
        <w:rPr>
          <w:iCs/>
          <w:sz w:val="18"/>
          <w:lang w:val="fr-CH"/>
        </w:rPr>
        <w:t>/1/3);</w:t>
      </w:r>
    </w:p>
    <w:p w:rsidR="00D75FE9" w:rsidRPr="00E454D1" w:rsidRDefault="00D75FE9" w:rsidP="00EC2260">
      <w:pPr>
        <w:ind w:left="1134" w:right="567" w:hanging="567"/>
        <w:rPr>
          <w:sz w:val="18"/>
          <w:lang w:val="fr-CH"/>
        </w:rPr>
      </w:pPr>
    </w:p>
    <w:p w:rsidR="00D75FE9" w:rsidRPr="00E454D1" w:rsidRDefault="00EC2260" w:rsidP="00EC2260">
      <w:pPr>
        <w:numPr>
          <w:ilvl w:val="0"/>
          <w:numId w:val="7"/>
        </w:numPr>
        <w:ind w:left="1134" w:right="567" w:hanging="567"/>
        <w:rPr>
          <w:sz w:val="18"/>
          <w:lang w:val="fr-CH"/>
        </w:rPr>
      </w:pPr>
      <w:r w:rsidRPr="00E454D1">
        <w:rPr>
          <w:sz w:val="18"/>
          <w:lang w:val="fr-CH"/>
        </w:rPr>
        <w:t>“des informations devraient être disponibles sur le déterminisme génétique du caractère;</w:t>
      </w:r>
    </w:p>
    <w:p w:rsidR="00D75FE9" w:rsidRPr="00E454D1" w:rsidRDefault="00D75FE9" w:rsidP="00EC2260">
      <w:pPr>
        <w:ind w:left="1134" w:right="567" w:hanging="567"/>
        <w:rPr>
          <w:iCs/>
          <w:sz w:val="18"/>
          <w:lang w:val="fr-CH"/>
        </w:rPr>
      </w:pPr>
    </w:p>
    <w:p w:rsidR="00D75FE9" w:rsidRPr="00E454D1" w:rsidRDefault="00EC2260" w:rsidP="00EC2260">
      <w:pPr>
        <w:numPr>
          <w:ilvl w:val="0"/>
          <w:numId w:val="7"/>
        </w:numPr>
        <w:ind w:left="1134" w:right="567" w:hanging="567"/>
        <w:rPr>
          <w:iCs/>
          <w:sz w:val="18"/>
          <w:lang w:val="fr-CH"/>
        </w:rPr>
      </w:pPr>
      <w:r w:rsidRPr="00E454D1">
        <w:rPr>
          <w:iCs/>
          <w:sz w:val="18"/>
          <w:lang w:val="fr-CH"/>
        </w:rPr>
        <w:t>“la pertinence du caractère devrait être validée par une évaluation initiale de l</w:t>
      </w:r>
      <w:r w:rsidR="00E454D1">
        <w:rPr>
          <w:iCs/>
          <w:sz w:val="18"/>
          <w:lang w:val="fr-CH"/>
        </w:rPr>
        <w:t>’</w:t>
      </w:r>
      <w:r w:rsidRPr="00E454D1">
        <w:rPr>
          <w:iCs/>
          <w:sz w:val="18"/>
          <w:lang w:val="fr-CH"/>
        </w:rPr>
        <w:t>homogénéité à partir de plantes isolées;</w:t>
      </w:r>
    </w:p>
    <w:p w:rsidR="00D75FE9" w:rsidRPr="00E454D1" w:rsidRDefault="00D75FE9" w:rsidP="00EC2260">
      <w:pPr>
        <w:ind w:left="1134" w:right="567" w:hanging="567"/>
        <w:rPr>
          <w:iCs/>
          <w:sz w:val="18"/>
          <w:lang w:val="fr-CH"/>
        </w:rPr>
      </w:pPr>
    </w:p>
    <w:p w:rsidR="00D75FE9" w:rsidRPr="00E454D1" w:rsidRDefault="00EC2260" w:rsidP="00EC2260">
      <w:pPr>
        <w:numPr>
          <w:ilvl w:val="0"/>
          <w:numId w:val="7"/>
        </w:numPr>
        <w:ind w:left="1134" w:right="567" w:hanging="567"/>
        <w:rPr>
          <w:iCs/>
          <w:sz w:val="18"/>
          <w:lang w:val="fr-CH"/>
        </w:rPr>
      </w:pPr>
      <w:r w:rsidRPr="00E454D1">
        <w:rPr>
          <w:sz w:val="18"/>
          <w:lang w:val="fr-CH"/>
        </w:rPr>
        <w:t>“des informations devraient être fournies sur la variabilité des plantes et leurs différences au cours des cycles de végétation (données extraites de mesures courantes relatives à un caractère sur plusieurs années);</w:t>
      </w:r>
    </w:p>
    <w:p w:rsidR="00D75FE9" w:rsidRPr="00E454D1" w:rsidRDefault="00D75FE9" w:rsidP="00EC2260">
      <w:pPr>
        <w:ind w:left="1134" w:right="567" w:hanging="567"/>
        <w:rPr>
          <w:iCs/>
          <w:sz w:val="18"/>
          <w:lang w:val="fr-CH"/>
        </w:rPr>
      </w:pPr>
    </w:p>
    <w:p w:rsidR="00D75FE9" w:rsidRPr="00E454D1" w:rsidRDefault="00EC2260" w:rsidP="00EC2260">
      <w:pPr>
        <w:numPr>
          <w:ilvl w:val="0"/>
          <w:numId w:val="7"/>
        </w:numPr>
        <w:ind w:left="1134" w:right="567" w:hanging="567"/>
        <w:rPr>
          <w:sz w:val="18"/>
          <w:lang w:val="fr-CH"/>
        </w:rPr>
      </w:pPr>
      <w:r w:rsidRPr="00E454D1">
        <w:rPr>
          <w:sz w:val="18"/>
          <w:lang w:val="fr-CH"/>
        </w:rPr>
        <w:t>“une description complète de la méthode d</w:t>
      </w:r>
      <w:r w:rsidR="00E454D1">
        <w:rPr>
          <w:sz w:val="18"/>
          <w:lang w:val="fr-CH"/>
        </w:rPr>
        <w:t>’</w:t>
      </w:r>
      <w:r w:rsidRPr="00E454D1">
        <w:rPr>
          <w:sz w:val="18"/>
          <w:lang w:val="fr-CH"/>
        </w:rPr>
        <w:t>évaluation devrait être fournie;</w:t>
      </w:r>
    </w:p>
    <w:p w:rsidR="00D75FE9" w:rsidRPr="00E454D1" w:rsidRDefault="00D75FE9" w:rsidP="00EC2260">
      <w:pPr>
        <w:ind w:left="1134" w:right="567" w:hanging="567"/>
        <w:rPr>
          <w:sz w:val="18"/>
          <w:lang w:val="fr-CH"/>
        </w:rPr>
      </w:pPr>
    </w:p>
    <w:p w:rsidR="00D75FE9" w:rsidRPr="00E454D1" w:rsidRDefault="00EC2260" w:rsidP="00EC2260">
      <w:pPr>
        <w:numPr>
          <w:ilvl w:val="0"/>
          <w:numId w:val="7"/>
        </w:numPr>
        <w:ind w:left="1134" w:right="567" w:hanging="567"/>
        <w:rPr>
          <w:sz w:val="18"/>
          <w:lang w:val="fr-CH"/>
        </w:rPr>
      </w:pPr>
      <w:r w:rsidRPr="00E454D1">
        <w:rPr>
          <w:sz w:val="18"/>
          <w:lang w:val="fr-CH"/>
        </w:rPr>
        <w:t>“la détermination des niveaux d</w:t>
      </w:r>
      <w:r w:rsidR="00E454D1">
        <w:rPr>
          <w:sz w:val="18"/>
          <w:lang w:val="fr-CH"/>
        </w:rPr>
        <w:t>’</w:t>
      </w:r>
      <w:r w:rsidRPr="00E454D1">
        <w:rPr>
          <w:sz w:val="18"/>
          <w:lang w:val="fr-CH"/>
        </w:rPr>
        <w:t>expression devrait être fondée sur la variation existante entre les variétés et tenir compte de l</w:t>
      </w:r>
      <w:r w:rsidR="00E454D1">
        <w:rPr>
          <w:sz w:val="18"/>
          <w:lang w:val="fr-CH"/>
        </w:rPr>
        <w:t>’</w:t>
      </w:r>
      <w:r w:rsidRPr="00E454D1">
        <w:rPr>
          <w:sz w:val="18"/>
          <w:lang w:val="fr-CH"/>
        </w:rPr>
        <w:t>influence de l</w:t>
      </w:r>
      <w:r w:rsidR="00E454D1">
        <w:rPr>
          <w:sz w:val="18"/>
          <w:lang w:val="fr-CH"/>
        </w:rPr>
        <w:t>’</w:t>
      </w:r>
      <w:r w:rsidRPr="00E454D1">
        <w:rPr>
          <w:sz w:val="18"/>
          <w:lang w:val="fr-CH"/>
        </w:rPr>
        <w:t>environnement.”</w:t>
      </w:r>
    </w:p>
    <w:p w:rsidR="00D75FE9" w:rsidRPr="00E454D1" w:rsidRDefault="00D75FE9" w:rsidP="009956BC">
      <w:pPr>
        <w:rPr>
          <w:lang w:val="fr-CH"/>
        </w:rPr>
      </w:pPr>
    </w:p>
    <w:p w:rsidR="00D75FE9" w:rsidRPr="00E454D1" w:rsidRDefault="00D75FE9" w:rsidP="009956BC">
      <w:pPr>
        <w:rPr>
          <w:lang w:val="fr-CH"/>
        </w:rPr>
      </w:pPr>
    </w:p>
    <w:p w:rsidR="00D75FE9" w:rsidRPr="00E454D1" w:rsidRDefault="009B0A52" w:rsidP="009956BC">
      <w:pPr>
        <w:jc w:val="right"/>
        <w:rPr>
          <w:lang w:val="fr-CH"/>
        </w:rPr>
      </w:pPr>
      <w:r w:rsidRPr="00E454D1">
        <w:rPr>
          <w:lang w:val="fr-CH"/>
        </w:rPr>
        <w:t>[L</w:t>
      </w:r>
      <w:r w:rsidR="00E454D1">
        <w:rPr>
          <w:lang w:val="fr-CH"/>
        </w:rPr>
        <w:t>’</w:t>
      </w:r>
      <w:r w:rsidRPr="00E454D1">
        <w:rPr>
          <w:lang w:val="fr-CH"/>
        </w:rPr>
        <w:t>a</w:t>
      </w:r>
      <w:r w:rsidR="009956BC" w:rsidRPr="00E454D1">
        <w:rPr>
          <w:lang w:val="fr-CH"/>
        </w:rPr>
        <w:t>nnex</w:t>
      </w:r>
      <w:r w:rsidRPr="00E454D1">
        <w:rPr>
          <w:lang w:val="fr-CH"/>
        </w:rPr>
        <w:t>e</w:t>
      </w:r>
      <w:r w:rsidR="00FE5010" w:rsidRPr="00E454D1">
        <w:rPr>
          <w:lang w:val="fr-CH"/>
        </w:rPr>
        <w:t> </w:t>
      </w:r>
      <w:r w:rsidR="009956BC" w:rsidRPr="00E454D1">
        <w:rPr>
          <w:lang w:val="fr-CH"/>
        </w:rPr>
        <w:t xml:space="preserve">III </w:t>
      </w:r>
      <w:r w:rsidRPr="00E454D1">
        <w:rPr>
          <w:lang w:val="fr-CH"/>
        </w:rPr>
        <w:t>suit</w:t>
      </w:r>
      <w:r w:rsidR="009956BC" w:rsidRPr="00E454D1">
        <w:rPr>
          <w:lang w:val="fr-CH"/>
        </w:rPr>
        <w:t>]</w:t>
      </w:r>
    </w:p>
    <w:p w:rsidR="00D75FE9" w:rsidRPr="00E454D1" w:rsidRDefault="00D75FE9" w:rsidP="009956BC">
      <w:pPr>
        <w:rPr>
          <w:lang w:val="fr-CH"/>
        </w:rPr>
      </w:pPr>
    </w:p>
    <w:p w:rsidR="009956BC" w:rsidRPr="00E454D1" w:rsidRDefault="009956BC" w:rsidP="009956BC">
      <w:pPr>
        <w:rPr>
          <w:lang w:val="fr-CH"/>
        </w:rPr>
        <w:sectPr w:rsidR="009956BC" w:rsidRPr="00E454D1" w:rsidSect="001270B2">
          <w:headerReference w:type="first" r:id="rId15"/>
          <w:pgSz w:w="11907" w:h="16840" w:code="9"/>
          <w:pgMar w:top="510" w:right="1134" w:bottom="709" w:left="1134" w:header="510" w:footer="680" w:gutter="0"/>
          <w:pgNumType w:start="1"/>
          <w:cols w:space="720"/>
          <w:titlePg/>
        </w:sectPr>
      </w:pPr>
    </w:p>
    <w:p w:rsidR="00D75FE9" w:rsidRPr="00E454D1" w:rsidRDefault="004520A0" w:rsidP="00D93DC2">
      <w:pPr>
        <w:jc w:val="center"/>
        <w:rPr>
          <w:lang w:val="fr-CH"/>
        </w:rPr>
      </w:pPr>
      <w:r w:rsidRPr="00E454D1">
        <w:rPr>
          <w:lang w:val="fr-CH"/>
        </w:rPr>
        <w:lastRenderedPageBreak/>
        <w:t>QUESTIONS POUR ADOPTION PAR LE CONSEIL EN 2019</w:t>
      </w:r>
      <w:r w:rsidR="00E454D1">
        <w:rPr>
          <w:lang w:val="fr-CH"/>
        </w:rPr>
        <w:t> :</w:t>
      </w:r>
      <w:r w:rsidRPr="00E454D1">
        <w:rPr>
          <w:lang w:val="fr-CH"/>
        </w:rPr>
        <w:t xml:space="preserve"> DOCUMENT</w:t>
      </w:r>
      <w:r w:rsidR="00FE5010" w:rsidRPr="00E454D1">
        <w:rPr>
          <w:lang w:val="fr-CH"/>
        </w:rPr>
        <w:t> </w:t>
      </w:r>
      <w:r w:rsidRPr="00E454D1">
        <w:rPr>
          <w:lang w:val="fr-CH"/>
        </w:rPr>
        <w:t>TGP/10</w:t>
      </w:r>
    </w:p>
    <w:p w:rsidR="00D75FE9" w:rsidRPr="00E454D1" w:rsidRDefault="00D75FE9" w:rsidP="009956BC">
      <w:pPr>
        <w:rPr>
          <w:lang w:val="fr-CH"/>
        </w:rPr>
      </w:pPr>
    </w:p>
    <w:p w:rsidR="00D75FE9" w:rsidRPr="00E454D1" w:rsidRDefault="00D93DC2" w:rsidP="00D93DC2">
      <w:pPr>
        <w:rPr>
          <w:lang w:val="fr-CH"/>
        </w:rPr>
      </w:pPr>
      <w:r w:rsidRPr="00E454D1">
        <w:rPr>
          <w:lang w:val="fr-CH"/>
        </w:rPr>
        <w:t>La révision ci</w:t>
      </w:r>
      <w:r w:rsidR="00E454D1">
        <w:rPr>
          <w:lang w:val="fr-CH"/>
        </w:rPr>
        <w:t>-</w:t>
      </w:r>
      <w:r w:rsidRPr="00E454D1">
        <w:rPr>
          <w:lang w:val="fr-CH"/>
        </w:rPr>
        <w:t xml:space="preserve">après du document TGP/10 </w:t>
      </w:r>
      <w:r w:rsidR="00090D74" w:rsidRPr="00E454D1">
        <w:rPr>
          <w:lang w:val="fr-CH"/>
        </w:rPr>
        <w:t>“</w:t>
      </w:r>
      <w:r w:rsidRPr="00E454D1">
        <w:rPr>
          <w:lang w:val="fr-CH"/>
        </w:rPr>
        <w:t>Examen de l</w:t>
      </w:r>
      <w:r w:rsidR="00E454D1">
        <w:rPr>
          <w:lang w:val="fr-CH"/>
        </w:rPr>
        <w:t>’</w:t>
      </w:r>
      <w:r w:rsidRPr="00E454D1">
        <w:rPr>
          <w:lang w:val="fr-CH"/>
        </w:rPr>
        <w:t>homogénéité</w:t>
      </w:r>
      <w:r w:rsidR="00090D74" w:rsidRPr="00E454D1">
        <w:rPr>
          <w:lang w:val="fr-CH"/>
        </w:rPr>
        <w:t>”</w:t>
      </w:r>
      <w:r w:rsidRPr="00E454D1">
        <w:rPr>
          <w:lang w:val="fr-CH"/>
        </w:rPr>
        <w:t xml:space="preserve"> a été approuvée par le</w:t>
      </w:r>
      <w:r w:rsidR="00E454D1">
        <w:rPr>
          <w:lang w:val="fr-CH"/>
        </w:rPr>
        <w:t> TC</w:t>
      </w:r>
      <w:r w:rsidRPr="00E454D1">
        <w:rPr>
          <w:lang w:val="fr-CH"/>
        </w:rPr>
        <w:t xml:space="preserve"> et sera proposée pour adoption par le Conseil à sa cinquante</w:t>
      </w:r>
      <w:r w:rsidR="00E454D1">
        <w:rPr>
          <w:lang w:val="fr-CH"/>
        </w:rPr>
        <w:t>-</w:t>
      </w:r>
      <w:r w:rsidRPr="00E454D1">
        <w:rPr>
          <w:lang w:val="fr-CH"/>
        </w:rPr>
        <w:t>trois</w:t>
      </w:r>
      <w:r w:rsidR="00E454D1">
        <w:rPr>
          <w:lang w:val="fr-CH"/>
        </w:rPr>
        <w:t>ième session</w:t>
      </w:r>
      <w:r w:rsidRPr="00E454D1">
        <w:rPr>
          <w:lang w:val="fr-CH"/>
        </w:rPr>
        <w:t xml:space="preserve"> ordinaire prévue à Genève le</w:t>
      </w:r>
      <w:r w:rsidR="00E454D1">
        <w:rPr>
          <w:lang w:val="fr-CH"/>
        </w:rPr>
        <w:t xml:space="preserve"> 1</w:t>
      </w:r>
      <w:r w:rsidR="00E454D1" w:rsidRPr="00E454D1">
        <w:rPr>
          <w:vertAlign w:val="superscript"/>
          <w:lang w:val="fr-CH"/>
        </w:rPr>
        <w:t>er</w:t>
      </w:r>
      <w:r w:rsidR="00E454D1">
        <w:rPr>
          <w:lang w:val="fr-CH"/>
        </w:rPr>
        <w:t> </w:t>
      </w:r>
      <w:r w:rsidRPr="00E454D1">
        <w:rPr>
          <w:lang w:val="fr-CH"/>
        </w:rPr>
        <w:t>novembre</w:t>
      </w:r>
      <w:r w:rsidR="00090D74" w:rsidRPr="00E454D1">
        <w:rPr>
          <w:lang w:val="fr-CH"/>
        </w:rPr>
        <w:t> </w:t>
      </w:r>
      <w:r w:rsidRPr="00E454D1">
        <w:rPr>
          <w:lang w:val="fr-CH"/>
        </w:rPr>
        <w:t>2019, sous réserve de l</w:t>
      </w:r>
      <w:r w:rsidR="00E454D1">
        <w:rPr>
          <w:lang w:val="fr-CH"/>
        </w:rPr>
        <w:t>’</w:t>
      </w:r>
      <w:r w:rsidRPr="00E454D1">
        <w:rPr>
          <w:lang w:val="fr-CH"/>
        </w:rPr>
        <w:t>approbation</w:t>
      </w:r>
      <w:r w:rsidR="002F2D47" w:rsidRPr="00E454D1">
        <w:rPr>
          <w:lang w:val="fr-CH"/>
        </w:rPr>
        <w:t xml:space="preserve"> du CAJ</w:t>
      </w:r>
      <w:r w:rsidRPr="00E454D1">
        <w:rPr>
          <w:lang w:val="fr-CH"/>
        </w:rPr>
        <w:t xml:space="preserve"> à sa soixante</w:t>
      </w:r>
      <w:r w:rsidR="00E454D1">
        <w:rPr>
          <w:lang w:val="fr-CH"/>
        </w:rPr>
        <w:t>-</w:t>
      </w:r>
      <w:r w:rsidRPr="00E454D1">
        <w:rPr>
          <w:lang w:val="fr-CH"/>
        </w:rPr>
        <w:t>seiz</w:t>
      </w:r>
      <w:r w:rsidR="00E454D1">
        <w:rPr>
          <w:lang w:val="fr-CH"/>
        </w:rPr>
        <w:t>ième session</w:t>
      </w:r>
      <w:r w:rsidRPr="00E454D1">
        <w:rPr>
          <w:lang w:val="fr-CH"/>
        </w:rPr>
        <w:t xml:space="preserve"> prévue à Genève le 30 octobre 2019.</w:t>
      </w:r>
    </w:p>
    <w:p w:rsidR="00D75FE9" w:rsidRPr="00E454D1" w:rsidRDefault="00D75FE9" w:rsidP="009956BC">
      <w:pPr>
        <w:rPr>
          <w:lang w:val="fr-CH"/>
        </w:rPr>
      </w:pPr>
    </w:p>
    <w:p w:rsidR="002F2D47" w:rsidRPr="00E454D1" w:rsidRDefault="004C349A" w:rsidP="004C349A">
      <w:pPr>
        <w:rPr>
          <w:rFonts w:eastAsia="MS Mincho"/>
          <w:u w:val="single"/>
          <w:lang w:val="fr-CH"/>
        </w:rPr>
      </w:pPr>
      <w:r w:rsidRPr="00E454D1">
        <w:rPr>
          <w:rFonts w:eastAsia="MS Mincho"/>
          <w:u w:val="single"/>
          <w:lang w:val="fr-CH"/>
        </w:rPr>
        <w:t>Évaluation de l</w:t>
      </w:r>
      <w:r w:rsidR="00E454D1">
        <w:rPr>
          <w:rFonts w:eastAsia="MS Mincho"/>
          <w:u w:val="single"/>
          <w:lang w:val="fr-CH"/>
        </w:rPr>
        <w:t>’</w:t>
      </w:r>
      <w:r w:rsidRPr="00E454D1">
        <w:rPr>
          <w:rFonts w:eastAsia="MS Mincho"/>
          <w:u w:val="single"/>
          <w:lang w:val="fr-CH"/>
        </w:rPr>
        <w:t>homogénéité d</w:t>
      </w:r>
      <w:r w:rsidR="00E454D1">
        <w:rPr>
          <w:rFonts w:eastAsia="MS Mincho"/>
          <w:u w:val="single"/>
          <w:lang w:val="fr-CH"/>
        </w:rPr>
        <w:t>’</w:t>
      </w:r>
      <w:r w:rsidRPr="00E454D1">
        <w:rPr>
          <w:rFonts w:eastAsia="MS Mincho"/>
          <w:u w:val="single"/>
          <w:lang w:val="fr-CH"/>
        </w:rPr>
        <w:t>après les plantes hors</w:t>
      </w:r>
      <w:r w:rsidR="00E454D1">
        <w:rPr>
          <w:rFonts w:eastAsia="MS Mincho"/>
          <w:u w:val="single"/>
          <w:lang w:val="fr-CH"/>
        </w:rPr>
        <w:t>-</w:t>
      </w:r>
      <w:r w:rsidRPr="00E454D1">
        <w:rPr>
          <w:rFonts w:eastAsia="MS Mincho"/>
          <w:u w:val="single"/>
          <w:lang w:val="fr-CH"/>
        </w:rPr>
        <w:t>type sur la base de plusieurs cycles de végétation ou sur la base de sous</w:t>
      </w:r>
      <w:r w:rsidR="00E454D1">
        <w:rPr>
          <w:rFonts w:eastAsia="MS Mincho"/>
          <w:u w:val="single"/>
          <w:lang w:val="fr-CH"/>
        </w:rPr>
        <w:t>-</w:t>
      </w:r>
      <w:r w:rsidRPr="00E454D1">
        <w:rPr>
          <w:rFonts w:eastAsia="MS Mincho"/>
          <w:u w:val="single"/>
          <w:lang w:val="fr-CH"/>
        </w:rPr>
        <w:t>échantillons</w:t>
      </w:r>
    </w:p>
    <w:p w:rsidR="00D75FE9" w:rsidRPr="00E454D1" w:rsidRDefault="00D75FE9" w:rsidP="009956BC">
      <w:pPr>
        <w:rPr>
          <w:lang w:val="fr-CH"/>
        </w:rPr>
      </w:pPr>
    </w:p>
    <w:p w:rsidR="00D75FE9" w:rsidRPr="00E454D1" w:rsidRDefault="004C349A" w:rsidP="004C349A">
      <w:pPr>
        <w:rPr>
          <w:lang w:val="fr-CH"/>
        </w:rPr>
      </w:pPr>
      <w:r w:rsidRPr="00E454D1">
        <w:rPr>
          <w:lang w:val="fr-CH"/>
        </w:rPr>
        <w:t>À sa cinquante</w:t>
      </w:r>
      <w:r w:rsidR="00E454D1">
        <w:rPr>
          <w:lang w:val="fr-CH"/>
        </w:rPr>
        <w:t>-</w:t>
      </w:r>
      <w:r w:rsidRPr="00E454D1">
        <w:rPr>
          <w:lang w:val="fr-CH"/>
        </w:rPr>
        <w:t>quatr</w:t>
      </w:r>
      <w:r w:rsidR="00E454D1">
        <w:rPr>
          <w:lang w:val="fr-CH"/>
        </w:rPr>
        <w:t>ième session</w:t>
      </w:r>
      <w:r w:rsidRPr="00E454D1">
        <w:rPr>
          <w:lang w:val="fr-CH"/>
        </w:rPr>
        <w:t>, le</w:t>
      </w:r>
      <w:r w:rsidR="00E454D1">
        <w:rPr>
          <w:lang w:val="fr-CH"/>
        </w:rPr>
        <w:t> TC</w:t>
      </w:r>
      <w:r w:rsidRPr="00E454D1">
        <w:rPr>
          <w:lang w:val="fr-CH"/>
        </w:rPr>
        <w:t xml:space="preserve"> a examiné le </w:t>
      </w:r>
      <w:r w:rsidR="00E454D1" w:rsidRPr="00E454D1">
        <w:rPr>
          <w:lang w:val="fr-CH"/>
        </w:rPr>
        <w:t>document</w:t>
      </w:r>
      <w:r w:rsidR="00E454D1">
        <w:rPr>
          <w:lang w:val="fr-CH"/>
        </w:rPr>
        <w:t xml:space="preserve"> TC</w:t>
      </w:r>
      <w:r w:rsidRPr="00E454D1">
        <w:rPr>
          <w:lang w:val="fr-CH"/>
        </w:rPr>
        <w:t>/54/20 “Évaluation de l</w:t>
      </w:r>
      <w:r w:rsidR="00E454D1">
        <w:rPr>
          <w:lang w:val="fr-CH"/>
        </w:rPr>
        <w:t>’</w:t>
      </w:r>
      <w:r w:rsidRPr="00E454D1">
        <w:rPr>
          <w:lang w:val="fr-CH"/>
        </w:rPr>
        <w:t>homogénéité d</w:t>
      </w:r>
      <w:r w:rsidR="00E454D1">
        <w:rPr>
          <w:lang w:val="fr-CH"/>
        </w:rPr>
        <w:t>’</w:t>
      </w:r>
      <w:r w:rsidRPr="00E454D1">
        <w:rPr>
          <w:lang w:val="fr-CH"/>
        </w:rPr>
        <w:t>après les plantes hors</w:t>
      </w:r>
      <w:r w:rsidR="00E454D1">
        <w:rPr>
          <w:lang w:val="fr-CH"/>
        </w:rPr>
        <w:t>-</w:t>
      </w:r>
      <w:r w:rsidRPr="00E454D1">
        <w:rPr>
          <w:lang w:val="fr-CH"/>
        </w:rPr>
        <w:t>type sur la base de plusieurs cycles de végétation ou sur la base de sous</w:t>
      </w:r>
      <w:r w:rsidR="00E454D1">
        <w:rPr>
          <w:lang w:val="fr-CH"/>
        </w:rPr>
        <w:t>-</w:t>
      </w:r>
      <w:r w:rsidRPr="00E454D1">
        <w:rPr>
          <w:lang w:val="fr-CH"/>
        </w:rPr>
        <w:t>échantillons” (voir les paragraphes</w:t>
      </w:r>
      <w:r w:rsidR="00FE5010" w:rsidRPr="00E454D1">
        <w:rPr>
          <w:lang w:val="fr-CH"/>
        </w:rPr>
        <w:t> </w:t>
      </w:r>
      <w:r w:rsidRPr="00E454D1">
        <w:rPr>
          <w:lang w:val="fr-CH"/>
        </w:rPr>
        <w:t xml:space="preserve">233 et 234 du </w:t>
      </w:r>
      <w:r w:rsidR="00E454D1" w:rsidRPr="00E454D1">
        <w:rPr>
          <w:lang w:val="fr-CH"/>
        </w:rPr>
        <w:t>document</w:t>
      </w:r>
      <w:r w:rsidR="00E454D1">
        <w:rPr>
          <w:lang w:val="fr-CH"/>
        </w:rPr>
        <w:t xml:space="preserve"> TC</w:t>
      </w:r>
      <w:r w:rsidRPr="00E454D1">
        <w:rPr>
          <w:lang w:val="fr-CH"/>
        </w:rPr>
        <w:t>/54/31</w:t>
      </w:r>
      <w:r w:rsidR="00124C91" w:rsidRPr="00E454D1">
        <w:rPr>
          <w:lang w:val="fr-CH"/>
        </w:rPr>
        <w:t> </w:t>
      </w:r>
      <w:r w:rsidR="00C76573" w:rsidRPr="00E454D1">
        <w:rPr>
          <w:lang w:val="fr-CH"/>
        </w:rPr>
        <w:t>Corr.</w:t>
      </w:r>
      <w:r w:rsidRPr="00E454D1">
        <w:rPr>
          <w:lang w:val="fr-CH"/>
        </w:rPr>
        <w:t xml:space="preserve"> “Compte rendu”).</w:t>
      </w:r>
    </w:p>
    <w:p w:rsidR="00D75FE9" w:rsidRPr="00E454D1" w:rsidRDefault="00D75FE9" w:rsidP="009956BC">
      <w:pPr>
        <w:rPr>
          <w:lang w:val="fr-CH"/>
        </w:rPr>
      </w:pPr>
    </w:p>
    <w:p w:rsidR="002F2D47" w:rsidRPr="00E454D1" w:rsidRDefault="004C349A" w:rsidP="004C349A">
      <w:pPr>
        <w:rPr>
          <w:rFonts w:eastAsia="MS Mincho"/>
          <w:szCs w:val="24"/>
          <w:lang w:val="fr-CH" w:eastAsia="ja-JP"/>
        </w:rPr>
      </w:pPr>
      <w:r w:rsidRPr="00E454D1">
        <w:rPr>
          <w:rFonts w:eastAsia="MS Mincho"/>
          <w:szCs w:val="24"/>
          <w:lang w:val="fr-CH" w:eastAsia="ja-JP"/>
        </w:rPr>
        <w:t>Le</w:t>
      </w:r>
      <w:r w:rsidR="00E454D1">
        <w:rPr>
          <w:rFonts w:eastAsia="MS Mincho"/>
          <w:szCs w:val="24"/>
          <w:lang w:val="fr-CH" w:eastAsia="ja-JP"/>
        </w:rPr>
        <w:t> TC</w:t>
      </w:r>
      <w:r w:rsidRPr="00E454D1">
        <w:rPr>
          <w:rFonts w:eastAsia="MS Mincho"/>
          <w:szCs w:val="24"/>
          <w:lang w:val="fr-CH" w:eastAsia="ja-JP"/>
        </w:rPr>
        <w:t xml:space="preserve"> est convenu que le projet d</w:t>
      </w:r>
      <w:r w:rsidR="00E454D1">
        <w:rPr>
          <w:rFonts w:eastAsia="MS Mincho"/>
          <w:szCs w:val="24"/>
          <w:lang w:val="fr-CH" w:eastAsia="ja-JP"/>
        </w:rPr>
        <w:t>’</w:t>
      </w:r>
      <w:r w:rsidRPr="00E454D1">
        <w:rPr>
          <w:rFonts w:eastAsia="MS Mincho"/>
          <w:szCs w:val="24"/>
          <w:lang w:val="fr-CH" w:eastAsia="ja-JP"/>
        </w:rPr>
        <w:t>orientation ci</w:t>
      </w:r>
      <w:r w:rsidR="00E454D1">
        <w:rPr>
          <w:rFonts w:eastAsia="MS Mincho"/>
          <w:szCs w:val="24"/>
          <w:lang w:val="fr-CH" w:eastAsia="ja-JP"/>
        </w:rPr>
        <w:t>-</w:t>
      </w:r>
      <w:r w:rsidRPr="00E454D1">
        <w:rPr>
          <w:rFonts w:eastAsia="MS Mincho"/>
          <w:szCs w:val="24"/>
          <w:lang w:val="fr-CH" w:eastAsia="ja-JP"/>
        </w:rPr>
        <w:t>dessous devait être soumis au Conseil pour adoption en vue de son inclusion dans une future version révisée du document TGP/10 “Examen de l</w:t>
      </w:r>
      <w:r w:rsidR="00E454D1">
        <w:rPr>
          <w:rFonts w:eastAsia="MS Mincho"/>
          <w:szCs w:val="24"/>
          <w:lang w:val="fr-CH" w:eastAsia="ja-JP"/>
        </w:rPr>
        <w:t>’</w:t>
      </w:r>
      <w:r w:rsidRPr="00E454D1">
        <w:rPr>
          <w:rFonts w:eastAsia="MS Mincho"/>
          <w:szCs w:val="24"/>
          <w:lang w:val="fr-CH" w:eastAsia="ja-JP"/>
        </w:rPr>
        <w:t>homogénéité” afin de donner des orientations sur l</w:t>
      </w:r>
      <w:r w:rsidR="00E454D1">
        <w:rPr>
          <w:rFonts w:eastAsia="MS Mincho"/>
          <w:szCs w:val="24"/>
          <w:lang w:val="fr-CH" w:eastAsia="ja-JP"/>
        </w:rPr>
        <w:t>’</w:t>
      </w:r>
      <w:r w:rsidRPr="00E454D1">
        <w:rPr>
          <w:rFonts w:eastAsia="MS Mincho"/>
          <w:szCs w:val="24"/>
          <w:lang w:val="fr-CH" w:eastAsia="ja-JP"/>
        </w:rPr>
        <w:t>évaluation de l</w:t>
      </w:r>
      <w:r w:rsidR="00E454D1">
        <w:rPr>
          <w:rFonts w:eastAsia="MS Mincho"/>
          <w:szCs w:val="24"/>
          <w:lang w:val="fr-CH" w:eastAsia="ja-JP"/>
        </w:rPr>
        <w:t>’</w:t>
      </w:r>
      <w:r w:rsidRPr="00E454D1">
        <w:rPr>
          <w:rFonts w:eastAsia="MS Mincho"/>
          <w:szCs w:val="24"/>
          <w:lang w:val="fr-CH" w:eastAsia="ja-JP"/>
        </w:rPr>
        <w:t>homogénéité d</w:t>
      </w:r>
      <w:r w:rsidR="00E454D1">
        <w:rPr>
          <w:rFonts w:eastAsia="MS Mincho"/>
          <w:szCs w:val="24"/>
          <w:lang w:val="fr-CH" w:eastAsia="ja-JP"/>
        </w:rPr>
        <w:t>’</w:t>
      </w:r>
      <w:r w:rsidRPr="00E454D1">
        <w:rPr>
          <w:rFonts w:eastAsia="MS Mincho"/>
          <w:szCs w:val="24"/>
          <w:lang w:val="fr-CH" w:eastAsia="ja-JP"/>
        </w:rPr>
        <w:t>après les plantes hors</w:t>
      </w:r>
      <w:r w:rsidR="00E454D1">
        <w:rPr>
          <w:rFonts w:eastAsia="MS Mincho"/>
          <w:szCs w:val="24"/>
          <w:lang w:val="fr-CH" w:eastAsia="ja-JP"/>
        </w:rPr>
        <w:t>-</w:t>
      </w:r>
      <w:r w:rsidRPr="00E454D1">
        <w:rPr>
          <w:rFonts w:eastAsia="MS Mincho"/>
          <w:szCs w:val="24"/>
          <w:lang w:val="fr-CH" w:eastAsia="ja-JP"/>
        </w:rPr>
        <w:t>type sur la base de plusieurs cycles de végétation ou sur la base de sous</w:t>
      </w:r>
      <w:r w:rsidR="00E454D1">
        <w:rPr>
          <w:rFonts w:eastAsia="MS Mincho"/>
          <w:szCs w:val="24"/>
          <w:lang w:val="fr-CH" w:eastAsia="ja-JP"/>
        </w:rPr>
        <w:t>-</w:t>
      </w:r>
      <w:r w:rsidRPr="00E454D1">
        <w:rPr>
          <w:rFonts w:eastAsia="MS Mincho"/>
          <w:szCs w:val="24"/>
          <w:lang w:val="fr-CH" w:eastAsia="ja-JP"/>
        </w:rPr>
        <w:t>échantillons.</w:t>
      </w:r>
    </w:p>
    <w:p w:rsidR="00D75FE9" w:rsidRPr="00E454D1" w:rsidRDefault="00D75FE9" w:rsidP="009956BC">
      <w:pPr>
        <w:rPr>
          <w:sz w:val="18"/>
          <w:lang w:val="fr-CH"/>
        </w:rPr>
      </w:pPr>
    </w:p>
    <w:p w:rsidR="00D75FE9" w:rsidRPr="00E454D1" w:rsidRDefault="004C349A" w:rsidP="000901F1">
      <w:pPr>
        <w:ind w:left="567" w:right="567"/>
        <w:rPr>
          <w:sz w:val="18"/>
          <w:u w:val="single"/>
          <w:lang w:val="fr-CH"/>
        </w:rPr>
      </w:pPr>
      <w:r w:rsidRPr="00E454D1">
        <w:rPr>
          <w:sz w:val="18"/>
          <w:u w:val="single"/>
          <w:lang w:val="fr-CH"/>
        </w:rPr>
        <w:t>Nouvelle section</w:t>
      </w:r>
      <w:r w:rsidR="00FE5010" w:rsidRPr="00E454D1">
        <w:rPr>
          <w:sz w:val="18"/>
          <w:u w:val="single"/>
          <w:lang w:val="fr-CH"/>
        </w:rPr>
        <w:t> </w:t>
      </w:r>
      <w:r w:rsidRPr="00E454D1">
        <w:rPr>
          <w:sz w:val="18"/>
          <w:u w:val="single"/>
          <w:lang w:val="fr-CH"/>
        </w:rPr>
        <w:t>4.7</w:t>
      </w:r>
      <w:r w:rsidR="00E454D1">
        <w:rPr>
          <w:sz w:val="18"/>
          <w:u w:val="single"/>
          <w:lang w:val="fr-CH"/>
        </w:rPr>
        <w:t> :</w:t>
      </w:r>
      <w:r w:rsidRPr="00E454D1">
        <w:rPr>
          <w:sz w:val="18"/>
          <w:u w:val="single"/>
          <w:lang w:val="fr-CH"/>
        </w:rPr>
        <w:t xml:space="preserve"> Évaluation de l</w:t>
      </w:r>
      <w:r w:rsidR="00E454D1">
        <w:rPr>
          <w:sz w:val="18"/>
          <w:u w:val="single"/>
          <w:lang w:val="fr-CH"/>
        </w:rPr>
        <w:t>’</w:t>
      </w:r>
      <w:r w:rsidRPr="00E454D1">
        <w:rPr>
          <w:sz w:val="18"/>
          <w:u w:val="single"/>
          <w:lang w:val="fr-CH"/>
        </w:rPr>
        <w:t>homogénéité d</w:t>
      </w:r>
      <w:r w:rsidR="00E454D1">
        <w:rPr>
          <w:sz w:val="18"/>
          <w:u w:val="single"/>
          <w:lang w:val="fr-CH"/>
        </w:rPr>
        <w:t>’</w:t>
      </w:r>
      <w:r w:rsidRPr="00E454D1">
        <w:rPr>
          <w:sz w:val="18"/>
          <w:u w:val="single"/>
          <w:lang w:val="fr-CH"/>
        </w:rPr>
        <w:t>après les plantes hors</w:t>
      </w:r>
      <w:r w:rsidR="00E454D1">
        <w:rPr>
          <w:sz w:val="18"/>
          <w:u w:val="single"/>
          <w:lang w:val="fr-CH"/>
        </w:rPr>
        <w:t>-</w:t>
      </w:r>
      <w:r w:rsidRPr="00E454D1">
        <w:rPr>
          <w:sz w:val="18"/>
          <w:u w:val="single"/>
          <w:lang w:val="fr-CH"/>
        </w:rPr>
        <w:t>type sur la base de plusieurs cycles de végétation</w:t>
      </w:r>
    </w:p>
    <w:p w:rsidR="00D75FE9" w:rsidRPr="00E454D1" w:rsidRDefault="00D75FE9" w:rsidP="000901F1">
      <w:pPr>
        <w:ind w:left="567" w:right="567"/>
        <w:rPr>
          <w:sz w:val="18"/>
          <w:lang w:val="fr-CH"/>
        </w:rPr>
      </w:pPr>
    </w:p>
    <w:p w:rsidR="00D75FE9" w:rsidRPr="00E454D1" w:rsidRDefault="004520A0" w:rsidP="000901F1">
      <w:pPr>
        <w:ind w:left="567"/>
        <w:rPr>
          <w:sz w:val="18"/>
          <w:szCs w:val="18"/>
          <w:lang w:val="fr-CH"/>
        </w:rPr>
      </w:pPr>
      <w:r w:rsidRPr="00E454D1">
        <w:rPr>
          <w:sz w:val="18"/>
          <w:szCs w:val="18"/>
          <w:lang w:val="fr-CH"/>
        </w:rPr>
        <w:t xml:space="preserve">Deux cycles de végétation indépendants pourraient avoir lieu en un seul endroit sur plusieurs années ou en différents endroits la même année, selon ce qui figure dans le </w:t>
      </w:r>
      <w:r w:rsidR="002F2D47" w:rsidRPr="00E454D1">
        <w:rPr>
          <w:sz w:val="18"/>
          <w:szCs w:val="18"/>
          <w:lang w:val="fr-CH"/>
        </w:rPr>
        <w:t>document TG</w:t>
      </w:r>
      <w:r w:rsidRPr="00E454D1">
        <w:rPr>
          <w:sz w:val="18"/>
          <w:szCs w:val="18"/>
          <w:lang w:val="fr-CH"/>
        </w:rPr>
        <w:t>P/8, première partie, sections 1.2 et 1.3.</w:t>
      </w:r>
    </w:p>
    <w:p w:rsidR="00D75FE9" w:rsidRPr="00E454D1" w:rsidRDefault="00D75FE9" w:rsidP="000901F1">
      <w:pPr>
        <w:ind w:left="567"/>
        <w:rPr>
          <w:sz w:val="18"/>
          <w:szCs w:val="18"/>
          <w:lang w:val="fr-CH"/>
        </w:rPr>
      </w:pPr>
    </w:p>
    <w:p w:rsidR="00D75FE9" w:rsidRPr="00E454D1" w:rsidRDefault="004520A0" w:rsidP="000901F1">
      <w:pPr>
        <w:ind w:left="567"/>
        <w:rPr>
          <w:sz w:val="18"/>
          <w:szCs w:val="18"/>
          <w:lang w:val="fr-CH"/>
        </w:rPr>
      </w:pPr>
      <w:r w:rsidRPr="00E454D1">
        <w:rPr>
          <w:sz w:val="18"/>
          <w:szCs w:val="18"/>
          <w:lang w:val="fr-CH"/>
        </w:rPr>
        <w:t>Les orientations ci</w:t>
      </w:r>
      <w:r w:rsidR="00E454D1">
        <w:rPr>
          <w:sz w:val="18"/>
          <w:szCs w:val="18"/>
          <w:lang w:val="fr-CH"/>
        </w:rPr>
        <w:t>-</w:t>
      </w:r>
      <w:r w:rsidRPr="00E454D1">
        <w:rPr>
          <w:sz w:val="18"/>
          <w:szCs w:val="18"/>
          <w:lang w:val="fr-CH"/>
        </w:rPr>
        <w:t>après ne sont pas destinées à être utilisées pour l</w:t>
      </w:r>
      <w:r w:rsidR="00E454D1">
        <w:rPr>
          <w:sz w:val="18"/>
          <w:szCs w:val="18"/>
          <w:lang w:val="fr-CH"/>
        </w:rPr>
        <w:t>’</w:t>
      </w:r>
      <w:r w:rsidRPr="00E454D1">
        <w:rPr>
          <w:sz w:val="18"/>
          <w:szCs w:val="18"/>
          <w:lang w:val="fr-CH"/>
        </w:rPr>
        <w:t>évaluation de l</w:t>
      </w:r>
      <w:r w:rsidR="00E454D1">
        <w:rPr>
          <w:sz w:val="18"/>
          <w:szCs w:val="18"/>
          <w:lang w:val="fr-CH"/>
        </w:rPr>
        <w:t>’</w:t>
      </w:r>
      <w:r w:rsidRPr="00E454D1">
        <w:rPr>
          <w:sz w:val="18"/>
          <w:szCs w:val="18"/>
          <w:lang w:val="fr-CH"/>
        </w:rPr>
        <w:t>homogénéité d</w:t>
      </w:r>
      <w:r w:rsidR="00E454D1">
        <w:rPr>
          <w:sz w:val="18"/>
          <w:szCs w:val="18"/>
          <w:lang w:val="fr-CH"/>
        </w:rPr>
        <w:t>’</w:t>
      </w:r>
      <w:r w:rsidRPr="00E454D1">
        <w:rPr>
          <w:sz w:val="18"/>
          <w:szCs w:val="18"/>
          <w:lang w:val="fr-CH"/>
        </w:rPr>
        <w:t>après les plantes hors</w:t>
      </w:r>
      <w:r w:rsidR="00E454D1">
        <w:rPr>
          <w:sz w:val="18"/>
          <w:szCs w:val="18"/>
          <w:lang w:val="fr-CH"/>
        </w:rPr>
        <w:t>-</w:t>
      </w:r>
      <w:r w:rsidRPr="00E454D1">
        <w:rPr>
          <w:sz w:val="18"/>
          <w:szCs w:val="18"/>
          <w:lang w:val="fr-CH"/>
        </w:rPr>
        <w:t>type sur les mêmes plantes pendant deux cycles de végétati</w:t>
      </w:r>
      <w:r w:rsidR="00C77A34" w:rsidRPr="00E454D1">
        <w:rPr>
          <w:sz w:val="18"/>
          <w:szCs w:val="18"/>
          <w:lang w:val="fr-CH"/>
        </w:rPr>
        <w:t>on</w:t>
      </w:r>
      <w:r w:rsidR="00C77A34">
        <w:rPr>
          <w:sz w:val="18"/>
          <w:szCs w:val="18"/>
          <w:lang w:val="fr-CH"/>
        </w:rPr>
        <w:t xml:space="preserve">.  </w:t>
      </w:r>
      <w:r w:rsidR="00C77A34" w:rsidRPr="00E454D1">
        <w:rPr>
          <w:sz w:val="18"/>
          <w:szCs w:val="18"/>
          <w:lang w:val="fr-CH"/>
        </w:rPr>
        <w:t>Le</w:t>
      </w:r>
      <w:r w:rsidRPr="00E454D1">
        <w:rPr>
          <w:sz w:val="18"/>
          <w:szCs w:val="18"/>
          <w:lang w:val="fr-CH"/>
        </w:rPr>
        <w:t>s résultats issus de cycles de végétation fondés sur des lots différents de matériel végétal ne devraient pas être combinés.</w:t>
      </w:r>
    </w:p>
    <w:p w:rsidR="00D75FE9" w:rsidRPr="00E454D1" w:rsidRDefault="00D75FE9" w:rsidP="000901F1">
      <w:pPr>
        <w:ind w:left="567"/>
        <w:rPr>
          <w:sz w:val="18"/>
          <w:szCs w:val="18"/>
          <w:lang w:val="fr-CH"/>
        </w:rPr>
      </w:pPr>
    </w:p>
    <w:p w:rsidR="00D75FE9" w:rsidRPr="00E454D1" w:rsidRDefault="004520A0" w:rsidP="000901F1">
      <w:pPr>
        <w:ind w:left="567" w:firstLine="567"/>
        <w:rPr>
          <w:i/>
          <w:sz w:val="18"/>
          <w:szCs w:val="18"/>
          <w:lang w:val="fr-CH"/>
        </w:rPr>
      </w:pPr>
      <w:r w:rsidRPr="00E454D1">
        <w:rPr>
          <w:i/>
          <w:sz w:val="18"/>
          <w:szCs w:val="18"/>
          <w:lang w:val="fr-CH"/>
        </w:rPr>
        <w:t>Méthode 1</w:t>
      </w:r>
      <w:r w:rsidR="00E454D1">
        <w:rPr>
          <w:i/>
          <w:sz w:val="18"/>
          <w:szCs w:val="18"/>
          <w:lang w:val="fr-CH"/>
        </w:rPr>
        <w:t> :</w:t>
      </w:r>
      <w:r w:rsidRPr="00E454D1">
        <w:rPr>
          <w:i/>
          <w:sz w:val="18"/>
          <w:szCs w:val="18"/>
          <w:lang w:val="fr-CH"/>
        </w:rPr>
        <w:t xml:space="preserve"> Troisième cycle de végétation si les résultats sont incompatibles</w:t>
      </w:r>
    </w:p>
    <w:p w:rsidR="00D75FE9" w:rsidRPr="00E454D1" w:rsidRDefault="00D75FE9" w:rsidP="000901F1">
      <w:pPr>
        <w:ind w:left="567"/>
        <w:jc w:val="center"/>
        <w:rPr>
          <w:b/>
          <w:sz w:val="18"/>
          <w:szCs w:val="18"/>
          <w:lang w:val="fr-CH"/>
        </w:rPr>
      </w:pPr>
    </w:p>
    <w:p w:rsidR="00D75FE9" w:rsidRPr="00E454D1" w:rsidRDefault="004520A0" w:rsidP="000901F1">
      <w:pPr>
        <w:ind w:left="567"/>
        <w:rPr>
          <w:rFonts w:eastAsia="SimSun"/>
          <w:sz w:val="18"/>
          <w:szCs w:val="18"/>
          <w:lang w:val="fr-CH" w:eastAsia="zh-CN"/>
        </w:rPr>
      </w:pPr>
      <w:r w:rsidRPr="00E454D1">
        <w:rPr>
          <w:rFonts w:eastAsia="SimSun"/>
          <w:sz w:val="18"/>
          <w:szCs w:val="18"/>
          <w:lang w:val="fr-CH"/>
        </w:rPr>
        <w:t>Une variété est réputée homogène si elle se situe dans les limites de la norme d</w:t>
      </w:r>
      <w:r w:rsidR="00E454D1">
        <w:rPr>
          <w:rFonts w:eastAsia="SimSun"/>
          <w:sz w:val="18"/>
          <w:szCs w:val="18"/>
          <w:lang w:val="fr-CH"/>
        </w:rPr>
        <w:t>’</w:t>
      </w:r>
      <w:r w:rsidRPr="00E454D1">
        <w:rPr>
          <w:rFonts w:eastAsia="SimSun"/>
          <w:sz w:val="18"/>
          <w:szCs w:val="18"/>
          <w:lang w:val="fr-CH"/>
        </w:rPr>
        <w:t>homogénéité sur les deux cycles de végétation.</w:t>
      </w:r>
    </w:p>
    <w:p w:rsidR="00D75FE9" w:rsidRPr="00E454D1" w:rsidRDefault="00D75FE9" w:rsidP="000901F1">
      <w:pPr>
        <w:ind w:left="567"/>
        <w:rPr>
          <w:rFonts w:eastAsia="SimSun"/>
          <w:sz w:val="18"/>
          <w:szCs w:val="18"/>
          <w:lang w:val="fr-CH" w:eastAsia="zh-CN"/>
        </w:rPr>
      </w:pPr>
    </w:p>
    <w:p w:rsidR="00D75FE9" w:rsidRPr="00E454D1" w:rsidRDefault="004520A0" w:rsidP="000901F1">
      <w:pPr>
        <w:ind w:left="567"/>
        <w:rPr>
          <w:rFonts w:eastAsia="SimSun"/>
          <w:sz w:val="18"/>
          <w:szCs w:val="18"/>
          <w:lang w:val="fr-CH" w:eastAsia="zh-CN"/>
        </w:rPr>
      </w:pPr>
      <w:r w:rsidRPr="00E454D1">
        <w:rPr>
          <w:rFonts w:eastAsia="SimSun"/>
          <w:sz w:val="18"/>
          <w:szCs w:val="18"/>
          <w:lang w:val="fr-CH"/>
        </w:rPr>
        <w:t>Une variété est réputée non homogène si elle ne se situe pas dans les limites de la norme d</w:t>
      </w:r>
      <w:r w:rsidR="00E454D1">
        <w:rPr>
          <w:rFonts w:eastAsia="SimSun"/>
          <w:sz w:val="18"/>
          <w:szCs w:val="18"/>
          <w:lang w:val="fr-CH"/>
        </w:rPr>
        <w:t>’</w:t>
      </w:r>
      <w:r w:rsidRPr="00E454D1">
        <w:rPr>
          <w:rFonts w:eastAsia="SimSun"/>
          <w:sz w:val="18"/>
          <w:szCs w:val="18"/>
          <w:lang w:val="fr-CH"/>
        </w:rPr>
        <w:t>homogénéité sur les deux cycles de végétation.</w:t>
      </w:r>
    </w:p>
    <w:p w:rsidR="00D75FE9" w:rsidRPr="00E454D1" w:rsidRDefault="00D75FE9" w:rsidP="000901F1">
      <w:pPr>
        <w:ind w:left="567"/>
        <w:rPr>
          <w:rFonts w:eastAsia="SimSun"/>
          <w:sz w:val="18"/>
          <w:szCs w:val="18"/>
          <w:lang w:val="fr-CH" w:eastAsia="zh-CN"/>
        </w:rPr>
      </w:pPr>
    </w:p>
    <w:p w:rsidR="00D75FE9" w:rsidRPr="00E454D1" w:rsidRDefault="004520A0" w:rsidP="000901F1">
      <w:pPr>
        <w:keepNext/>
        <w:keepLines/>
        <w:ind w:left="567"/>
        <w:rPr>
          <w:rFonts w:eastAsia="SimSun"/>
          <w:sz w:val="18"/>
          <w:szCs w:val="18"/>
          <w:lang w:val="fr-CH" w:eastAsia="zh-CN"/>
        </w:rPr>
      </w:pPr>
      <w:r w:rsidRPr="00E454D1">
        <w:rPr>
          <w:rFonts w:eastAsia="SimSun"/>
          <w:sz w:val="18"/>
          <w:szCs w:val="18"/>
          <w:lang w:val="fr-CH"/>
        </w:rPr>
        <w:t>Si, à l</w:t>
      </w:r>
      <w:r w:rsidR="00E454D1">
        <w:rPr>
          <w:rFonts w:eastAsia="SimSun"/>
          <w:sz w:val="18"/>
          <w:szCs w:val="18"/>
          <w:lang w:val="fr-CH"/>
        </w:rPr>
        <w:t>’</w:t>
      </w:r>
      <w:r w:rsidRPr="00E454D1">
        <w:rPr>
          <w:rFonts w:eastAsia="SimSun"/>
          <w:sz w:val="18"/>
          <w:szCs w:val="18"/>
          <w:lang w:val="fr-CH"/>
        </w:rPr>
        <w:t>issue des deux cycles de végétation, la variété se situe dans les limites de la norme d</w:t>
      </w:r>
      <w:r w:rsidR="00E454D1">
        <w:rPr>
          <w:rFonts w:eastAsia="SimSun"/>
          <w:sz w:val="18"/>
          <w:szCs w:val="18"/>
          <w:lang w:val="fr-CH"/>
        </w:rPr>
        <w:t>’</w:t>
      </w:r>
      <w:r w:rsidRPr="00E454D1">
        <w:rPr>
          <w:rFonts w:eastAsia="SimSun"/>
          <w:sz w:val="18"/>
          <w:szCs w:val="18"/>
          <w:lang w:val="fr-CH"/>
        </w:rPr>
        <w:t>homogénéité pour un cycle et pas l</w:t>
      </w:r>
      <w:r w:rsidR="00E454D1">
        <w:rPr>
          <w:rFonts w:eastAsia="SimSun"/>
          <w:sz w:val="18"/>
          <w:szCs w:val="18"/>
          <w:lang w:val="fr-CH"/>
        </w:rPr>
        <w:t>’</w:t>
      </w:r>
      <w:r w:rsidRPr="00E454D1">
        <w:rPr>
          <w:rFonts w:eastAsia="SimSun"/>
          <w:sz w:val="18"/>
          <w:szCs w:val="18"/>
          <w:lang w:val="fr-CH"/>
        </w:rPr>
        <w:t>autre, l</w:t>
      </w:r>
      <w:r w:rsidR="00E454D1">
        <w:rPr>
          <w:rFonts w:eastAsia="SimSun"/>
          <w:sz w:val="18"/>
          <w:szCs w:val="18"/>
          <w:lang w:val="fr-CH"/>
        </w:rPr>
        <w:t>’</w:t>
      </w:r>
      <w:r w:rsidRPr="00E454D1">
        <w:rPr>
          <w:rFonts w:eastAsia="SimSun"/>
          <w:sz w:val="18"/>
          <w:szCs w:val="18"/>
          <w:lang w:val="fr-CH"/>
        </w:rPr>
        <w:t>homogénéité peut être évaluée sur un troisième cycle de végétati</w:t>
      </w:r>
      <w:r w:rsidR="00C77A34" w:rsidRPr="00E454D1">
        <w:rPr>
          <w:rFonts w:eastAsia="SimSun"/>
          <w:sz w:val="18"/>
          <w:szCs w:val="18"/>
          <w:lang w:val="fr-CH"/>
        </w:rPr>
        <w:t>on</w:t>
      </w:r>
      <w:r w:rsidR="00C77A34">
        <w:rPr>
          <w:rFonts w:eastAsia="SimSun"/>
          <w:sz w:val="18"/>
          <w:szCs w:val="18"/>
          <w:lang w:val="fr-CH"/>
        </w:rPr>
        <w:t xml:space="preserve">.  </w:t>
      </w:r>
      <w:r w:rsidR="00C77A34" w:rsidRPr="00E454D1">
        <w:rPr>
          <w:rFonts w:eastAsia="SimSun"/>
          <w:sz w:val="18"/>
          <w:szCs w:val="18"/>
          <w:lang w:val="fr-CH"/>
        </w:rPr>
        <w:t>Si</w:t>
      </w:r>
      <w:r w:rsidRPr="00E454D1">
        <w:rPr>
          <w:rFonts w:eastAsia="SimSun"/>
          <w:sz w:val="18"/>
          <w:szCs w:val="18"/>
          <w:lang w:val="fr-CH"/>
        </w:rPr>
        <w:t>, pour ce troisième cycle, elle se situe dans les limites de la norme d</w:t>
      </w:r>
      <w:r w:rsidR="00E454D1">
        <w:rPr>
          <w:rFonts w:eastAsia="SimSun"/>
          <w:sz w:val="18"/>
          <w:szCs w:val="18"/>
          <w:lang w:val="fr-CH"/>
        </w:rPr>
        <w:t>’</w:t>
      </w:r>
      <w:r w:rsidRPr="00E454D1">
        <w:rPr>
          <w:rFonts w:eastAsia="SimSun"/>
          <w:sz w:val="18"/>
          <w:szCs w:val="18"/>
          <w:lang w:val="fr-CH"/>
        </w:rPr>
        <w:t>homogénéité, elle est réputée homogè</w:t>
      </w:r>
      <w:r w:rsidR="00C77A34" w:rsidRPr="00E454D1">
        <w:rPr>
          <w:rFonts w:eastAsia="SimSun"/>
          <w:sz w:val="18"/>
          <w:szCs w:val="18"/>
          <w:lang w:val="fr-CH"/>
        </w:rPr>
        <w:t>ne</w:t>
      </w:r>
      <w:r w:rsidR="00C77A34">
        <w:rPr>
          <w:rFonts w:eastAsia="SimSun"/>
          <w:sz w:val="18"/>
          <w:szCs w:val="18"/>
          <w:lang w:val="fr-CH"/>
        </w:rPr>
        <w:t xml:space="preserve">.  </w:t>
      </w:r>
      <w:r w:rsidR="00C77A34" w:rsidRPr="00E454D1">
        <w:rPr>
          <w:rFonts w:eastAsia="SimSun"/>
          <w:sz w:val="18"/>
          <w:szCs w:val="18"/>
          <w:lang w:val="fr-CH"/>
        </w:rPr>
        <w:t>Si</w:t>
      </w:r>
      <w:r w:rsidRPr="00E454D1">
        <w:rPr>
          <w:rFonts w:eastAsia="SimSun"/>
          <w:sz w:val="18"/>
          <w:szCs w:val="18"/>
          <w:lang w:val="fr-CH"/>
        </w:rPr>
        <w:t>, à la fin du troisième cycle de végétation, la variété ne se situe pas dans la norme d</w:t>
      </w:r>
      <w:r w:rsidR="00E454D1">
        <w:rPr>
          <w:rFonts w:eastAsia="SimSun"/>
          <w:sz w:val="18"/>
          <w:szCs w:val="18"/>
          <w:lang w:val="fr-CH"/>
        </w:rPr>
        <w:t>’</w:t>
      </w:r>
      <w:r w:rsidRPr="00E454D1">
        <w:rPr>
          <w:rFonts w:eastAsia="SimSun"/>
          <w:sz w:val="18"/>
          <w:szCs w:val="18"/>
          <w:lang w:val="fr-CH"/>
        </w:rPr>
        <w:t>homogénéité, elle est réputée non homogène.</w:t>
      </w:r>
    </w:p>
    <w:p w:rsidR="00D75FE9" w:rsidRPr="00E454D1" w:rsidRDefault="00D75FE9" w:rsidP="000901F1">
      <w:pPr>
        <w:keepNext/>
        <w:keepLines/>
        <w:ind w:left="567"/>
        <w:rPr>
          <w:sz w:val="18"/>
          <w:szCs w:val="18"/>
          <w:lang w:val="fr-CH"/>
        </w:rPr>
      </w:pPr>
    </w:p>
    <w:p w:rsidR="00D75FE9" w:rsidRPr="00E454D1" w:rsidRDefault="004520A0" w:rsidP="000901F1">
      <w:pPr>
        <w:keepNext/>
        <w:keepLines/>
        <w:ind w:left="567"/>
        <w:rPr>
          <w:sz w:val="18"/>
          <w:szCs w:val="18"/>
          <w:lang w:val="fr-CH"/>
        </w:rPr>
      </w:pPr>
      <w:r w:rsidRPr="00E454D1">
        <w:rPr>
          <w:sz w:val="18"/>
          <w:szCs w:val="18"/>
          <w:lang w:val="fr-CH"/>
        </w:rPr>
        <w:t>Il faut faire preuve de prudence lorsqu</w:t>
      </w:r>
      <w:r w:rsidR="00E454D1">
        <w:rPr>
          <w:sz w:val="18"/>
          <w:szCs w:val="18"/>
          <w:lang w:val="fr-CH"/>
        </w:rPr>
        <w:t>’</w:t>
      </w:r>
      <w:r w:rsidRPr="00E454D1">
        <w:rPr>
          <w:sz w:val="18"/>
          <w:szCs w:val="18"/>
          <w:lang w:val="fr-CH"/>
        </w:rPr>
        <w:t>on examine des résultats très différents dans chacun des cycles de végétation, notamment lorsqu</w:t>
      </w:r>
      <w:r w:rsidR="00E454D1">
        <w:rPr>
          <w:sz w:val="18"/>
          <w:szCs w:val="18"/>
          <w:lang w:val="fr-CH"/>
        </w:rPr>
        <w:t>’</w:t>
      </w:r>
      <w:r w:rsidRPr="00E454D1">
        <w:rPr>
          <w:sz w:val="18"/>
          <w:szCs w:val="18"/>
          <w:lang w:val="fr-CH"/>
        </w:rPr>
        <w:t>un type de plante hors</w:t>
      </w:r>
      <w:r w:rsidR="00E454D1">
        <w:rPr>
          <w:sz w:val="18"/>
          <w:szCs w:val="18"/>
          <w:lang w:val="fr-CH"/>
        </w:rPr>
        <w:t>-</w:t>
      </w:r>
      <w:r w:rsidRPr="00E454D1">
        <w:rPr>
          <w:sz w:val="18"/>
          <w:szCs w:val="18"/>
          <w:lang w:val="fr-CH"/>
        </w:rPr>
        <w:t>type a été observé à un niveau élevé dans un cycle de végétation tout en étant absent dans un aut</w:t>
      </w:r>
      <w:r w:rsidR="00C77A34" w:rsidRPr="00E454D1">
        <w:rPr>
          <w:sz w:val="18"/>
          <w:szCs w:val="18"/>
          <w:lang w:val="fr-CH"/>
        </w:rPr>
        <w:t>re</w:t>
      </w:r>
      <w:r w:rsidR="00C77A34">
        <w:rPr>
          <w:sz w:val="18"/>
          <w:szCs w:val="18"/>
          <w:lang w:val="fr-CH"/>
        </w:rPr>
        <w:t xml:space="preserve">.  </w:t>
      </w:r>
      <w:r w:rsidR="00C77A34" w:rsidRPr="00E454D1">
        <w:rPr>
          <w:sz w:val="18"/>
          <w:szCs w:val="18"/>
          <w:lang w:val="fr-CH"/>
        </w:rPr>
        <w:t>Il</w:t>
      </w:r>
      <w:r w:rsidRPr="00E454D1">
        <w:rPr>
          <w:sz w:val="18"/>
          <w:szCs w:val="18"/>
          <w:lang w:val="fr-CH"/>
        </w:rPr>
        <w:t xml:space="preserve"> est important d</w:t>
      </w:r>
      <w:r w:rsidR="00E454D1">
        <w:rPr>
          <w:sz w:val="18"/>
          <w:szCs w:val="18"/>
          <w:lang w:val="fr-CH"/>
        </w:rPr>
        <w:t>’</w:t>
      </w:r>
      <w:r w:rsidRPr="00E454D1">
        <w:rPr>
          <w:sz w:val="18"/>
          <w:szCs w:val="18"/>
          <w:lang w:val="fr-CH"/>
        </w:rPr>
        <w:t>identifier si la variation du nombre de plantes hors</w:t>
      </w:r>
      <w:r w:rsidR="00E454D1">
        <w:rPr>
          <w:sz w:val="18"/>
          <w:szCs w:val="18"/>
          <w:lang w:val="fr-CH"/>
        </w:rPr>
        <w:t>-</w:t>
      </w:r>
      <w:r w:rsidRPr="00E454D1">
        <w:rPr>
          <w:sz w:val="18"/>
          <w:szCs w:val="18"/>
          <w:lang w:val="fr-CH"/>
        </w:rPr>
        <w:t>type entre les cycles s</w:t>
      </w:r>
      <w:r w:rsidR="00E454D1">
        <w:rPr>
          <w:sz w:val="18"/>
          <w:szCs w:val="18"/>
          <w:lang w:val="fr-CH"/>
        </w:rPr>
        <w:t>’</w:t>
      </w:r>
      <w:r w:rsidRPr="00E454D1">
        <w:rPr>
          <w:sz w:val="18"/>
          <w:szCs w:val="18"/>
          <w:lang w:val="fr-CH"/>
        </w:rPr>
        <w:t>explique par des conditions environnementales ou des fluctuations d</w:t>
      </w:r>
      <w:r w:rsidR="00E454D1">
        <w:rPr>
          <w:sz w:val="18"/>
          <w:szCs w:val="18"/>
          <w:lang w:val="fr-CH"/>
        </w:rPr>
        <w:t>’</w:t>
      </w:r>
      <w:r w:rsidRPr="00E454D1">
        <w:rPr>
          <w:sz w:val="18"/>
          <w:szCs w:val="18"/>
          <w:lang w:val="fr-CH"/>
        </w:rPr>
        <w:t>échantillonnage.</w:t>
      </w:r>
    </w:p>
    <w:p w:rsidR="00D75FE9" w:rsidRPr="00E454D1" w:rsidRDefault="00D75FE9" w:rsidP="000901F1">
      <w:pPr>
        <w:keepNext/>
        <w:keepLines/>
        <w:ind w:left="567"/>
        <w:rPr>
          <w:sz w:val="18"/>
          <w:szCs w:val="18"/>
          <w:lang w:val="fr-CH"/>
        </w:rPr>
      </w:pPr>
    </w:p>
    <w:p w:rsidR="00D75FE9" w:rsidRPr="00E454D1" w:rsidRDefault="004520A0" w:rsidP="000901F1">
      <w:pPr>
        <w:keepNext/>
        <w:keepLines/>
        <w:ind w:left="567"/>
        <w:rPr>
          <w:rFonts w:eastAsia="SimSun"/>
          <w:sz w:val="18"/>
          <w:szCs w:val="18"/>
          <w:lang w:val="fr-CH" w:eastAsia="zh-CN"/>
        </w:rPr>
      </w:pPr>
      <w:r w:rsidRPr="00E454D1">
        <w:rPr>
          <w:rFonts w:eastAsia="SimSun"/>
          <w:sz w:val="18"/>
          <w:szCs w:val="18"/>
          <w:lang w:val="fr-CH"/>
        </w:rPr>
        <w:t>En outre, si au cours du premier cycle de végétation, le nombre de plantes hors</w:t>
      </w:r>
      <w:r w:rsidR="00E454D1">
        <w:rPr>
          <w:rFonts w:eastAsia="SimSun"/>
          <w:sz w:val="18"/>
          <w:szCs w:val="18"/>
          <w:lang w:val="fr-CH"/>
        </w:rPr>
        <w:t>-</w:t>
      </w:r>
      <w:r w:rsidRPr="00E454D1">
        <w:rPr>
          <w:rFonts w:eastAsia="SimSun"/>
          <w:sz w:val="18"/>
          <w:szCs w:val="18"/>
          <w:lang w:val="fr-CH"/>
        </w:rPr>
        <w:t>type dépasse une limite supérieure prédéfinie, la variété peut être rejetée après un seul cycle de végétation.</w:t>
      </w:r>
    </w:p>
    <w:p w:rsidR="00D75FE9" w:rsidRPr="00E454D1" w:rsidRDefault="00D75FE9" w:rsidP="000901F1">
      <w:pPr>
        <w:keepNext/>
        <w:keepLines/>
        <w:ind w:left="567"/>
        <w:rPr>
          <w:rFonts w:eastAsia="SimSun"/>
          <w:sz w:val="18"/>
          <w:szCs w:val="18"/>
          <w:lang w:val="fr-CH" w:eastAsia="zh-CN"/>
        </w:rPr>
      </w:pPr>
    </w:p>
    <w:p w:rsidR="00D75FE9" w:rsidRPr="00E454D1" w:rsidRDefault="004520A0" w:rsidP="000901F1">
      <w:pPr>
        <w:ind w:left="567" w:firstLine="567"/>
        <w:rPr>
          <w:i/>
          <w:sz w:val="18"/>
          <w:szCs w:val="18"/>
          <w:lang w:val="fr-CH"/>
        </w:rPr>
      </w:pPr>
      <w:r w:rsidRPr="00E454D1">
        <w:rPr>
          <w:i/>
          <w:sz w:val="18"/>
          <w:szCs w:val="18"/>
          <w:lang w:val="fr-CH"/>
        </w:rPr>
        <w:t>Méthode 2</w:t>
      </w:r>
      <w:r w:rsidR="00E454D1">
        <w:rPr>
          <w:i/>
          <w:sz w:val="18"/>
          <w:szCs w:val="18"/>
          <w:lang w:val="fr-CH"/>
        </w:rPr>
        <w:t> :</w:t>
      </w:r>
      <w:r w:rsidRPr="00E454D1">
        <w:rPr>
          <w:i/>
          <w:sz w:val="18"/>
          <w:szCs w:val="18"/>
          <w:lang w:val="fr-CH"/>
        </w:rPr>
        <w:t xml:space="preserve"> Combiner les résultats de deux cycles de végétation si les résultats sont incompatibles</w:t>
      </w:r>
    </w:p>
    <w:p w:rsidR="00D75FE9" w:rsidRPr="00E454D1" w:rsidRDefault="00D75FE9" w:rsidP="000901F1">
      <w:pPr>
        <w:keepNext/>
        <w:keepLines/>
        <w:ind w:left="567"/>
        <w:rPr>
          <w:rFonts w:eastAsia="MS Mincho"/>
          <w:sz w:val="18"/>
          <w:szCs w:val="18"/>
          <w:lang w:val="fr-CH" w:eastAsia="ja-JP"/>
        </w:rPr>
      </w:pPr>
    </w:p>
    <w:p w:rsidR="00D75FE9" w:rsidRPr="00E454D1" w:rsidRDefault="004520A0" w:rsidP="000901F1">
      <w:pPr>
        <w:ind w:left="567"/>
        <w:rPr>
          <w:rFonts w:eastAsia="SimSun"/>
          <w:sz w:val="18"/>
          <w:szCs w:val="18"/>
          <w:lang w:val="fr-CH" w:eastAsia="zh-CN"/>
        </w:rPr>
      </w:pPr>
      <w:r w:rsidRPr="00E454D1">
        <w:rPr>
          <w:rFonts w:eastAsia="SimSun"/>
          <w:sz w:val="18"/>
          <w:szCs w:val="18"/>
          <w:lang w:val="fr-CH"/>
        </w:rPr>
        <w:t>Une variété est réputée homogène si elle se situe dans les limites de la norme d</w:t>
      </w:r>
      <w:r w:rsidR="00E454D1">
        <w:rPr>
          <w:rFonts w:eastAsia="SimSun"/>
          <w:sz w:val="18"/>
          <w:szCs w:val="18"/>
          <w:lang w:val="fr-CH"/>
        </w:rPr>
        <w:t>’</w:t>
      </w:r>
      <w:r w:rsidRPr="00E454D1">
        <w:rPr>
          <w:rFonts w:eastAsia="SimSun"/>
          <w:sz w:val="18"/>
          <w:szCs w:val="18"/>
          <w:lang w:val="fr-CH"/>
        </w:rPr>
        <w:t>homogénéité sur les deux cycles de végétation.</w:t>
      </w:r>
    </w:p>
    <w:p w:rsidR="00D75FE9" w:rsidRPr="00E454D1" w:rsidRDefault="00D75FE9" w:rsidP="000901F1">
      <w:pPr>
        <w:ind w:left="567"/>
        <w:rPr>
          <w:rFonts w:eastAsia="SimSun"/>
          <w:sz w:val="18"/>
          <w:szCs w:val="18"/>
          <w:lang w:val="fr-CH" w:eastAsia="zh-CN"/>
        </w:rPr>
      </w:pPr>
    </w:p>
    <w:p w:rsidR="00D75FE9" w:rsidRPr="00E454D1" w:rsidRDefault="004520A0" w:rsidP="000901F1">
      <w:pPr>
        <w:ind w:left="567"/>
        <w:rPr>
          <w:rFonts w:eastAsia="SimSun"/>
          <w:sz w:val="18"/>
          <w:szCs w:val="18"/>
          <w:lang w:val="fr-CH" w:eastAsia="zh-CN"/>
        </w:rPr>
      </w:pPr>
      <w:r w:rsidRPr="00E454D1">
        <w:rPr>
          <w:rFonts w:eastAsia="SimSun"/>
          <w:sz w:val="18"/>
          <w:szCs w:val="18"/>
          <w:lang w:val="fr-CH"/>
        </w:rPr>
        <w:t>Une variété est réputée non homogène si elle ne se situe pas dans les limites de la norme d</w:t>
      </w:r>
      <w:r w:rsidR="00E454D1">
        <w:rPr>
          <w:rFonts w:eastAsia="SimSun"/>
          <w:sz w:val="18"/>
          <w:szCs w:val="18"/>
          <w:lang w:val="fr-CH"/>
        </w:rPr>
        <w:t>’</w:t>
      </w:r>
      <w:r w:rsidRPr="00E454D1">
        <w:rPr>
          <w:rFonts w:eastAsia="SimSun"/>
          <w:sz w:val="18"/>
          <w:szCs w:val="18"/>
          <w:lang w:val="fr-CH"/>
        </w:rPr>
        <w:t>homogénéité sur les deux cycles de végétation.</w:t>
      </w:r>
    </w:p>
    <w:p w:rsidR="00D75FE9" w:rsidRPr="00E454D1" w:rsidRDefault="00D75FE9" w:rsidP="000901F1">
      <w:pPr>
        <w:ind w:left="567"/>
        <w:rPr>
          <w:rFonts w:eastAsia="SimSun"/>
          <w:sz w:val="18"/>
          <w:szCs w:val="18"/>
          <w:lang w:val="fr-CH" w:eastAsia="zh-CN"/>
        </w:rPr>
      </w:pPr>
    </w:p>
    <w:p w:rsidR="00D75FE9" w:rsidRPr="00E454D1" w:rsidRDefault="004520A0" w:rsidP="000901F1">
      <w:pPr>
        <w:keepNext/>
        <w:keepLines/>
        <w:ind w:left="567"/>
        <w:rPr>
          <w:rFonts w:eastAsia="SimSun"/>
          <w:sz w:val="18"/>
          <w:szCs w:val="18"/>
          <w:lang w:val="fr-CH" w:eastAsia="zh-CN"/>
        </w:rPr>
      </w:pPr>
      <w:r w:rsidRPr="00E454D1">
        <w:rPr>
          <w:rFonts w:eastAsia="SimSun"/>
          <w:sz w:val="18"/>
          <w:szCs w:val="18"/>
          <w:lang w:val="fr-CH"/>
        </w:rPr>
        <w:lastRenderedPageBreak/>
        <w:t>Si, à l</w:t>
      </w:r>
      <w:r w:rsidR="00E454D1">
        <w:rPr>
          <w:rFonts w:eastAsia="SimSun"/>
          <w:sz w:val="18"/>
          <w:szCs w:val="18"/>
          <w:lang w:val="fr-CH"/>
        </w:rPr>
        <w:t>’</w:t>
      </w:r>
      <w:r w:rsidRPr="00E454D1">
        <w:rPr>
          <w:rFonts w:eastAsia="SimSun"/>
          <w:sz w:val="18"/>
          <w:szCs w:val="18"/>
          <w:lang w:val="fr-CH"/>
        </w:rPr>
        <w:t>issue des deux cycles de végétation, la variété se situe dans les limites de la norme d</w:t>
      </w:r>
      <w:r w:rsidR="00E454D1">
        <w:rPr>
          <w:rFonts w:eastAsia="SimSun"/>
          <w:sz w:val="18"/>
          <w:szCs w:val="18"/>
          <w:lang w:val="fr-CH"/>
        </w:rPr>
        <w:t>’</w:t>
      </w:r>
      <w:r w:rsidRPr="00E454D1">
        <w:rPr>
          <w:rFonts w:eastAsia="SimSun"/>
          <w:sz w:val="18"/>
          <w:szCs w:val="18"/>
          <w:lang w:val="fr-CH"/>
        </w:rPr>
        <w:t>homogénéité pour un cycle et pas l</w:t>
      </w:r>
      <w:r w:rsidR="00E454D1">
        <w:rPr>
          <w:rFonts w:eastAsia="SimSun"/>
          <w:sz w:val="18"/>
          <w:szCs w:val="18"/>
          <w:lang w:val="fr-CH"/>
        </w:rPr>
        <w:t>’</w:t>
      </w:r>
      <w:r w:rsidRPr="00E454D1">
        <w:rPr>
          <w:rFonts w:eastAsia="SimSun"/>
          <w:sz w:val="18"/>
          <w:szCs w:val="18"/>
          <w:lang w:val="fr-CH"/>
        </w:rPr>
        <w:t>autre, une variété est réputée homogène si le nombre total de plantes hors</w:t>
      </w:r>
      <w:r w:rsidR="00E454D1">
        <w:rPr>
          <w:rFonts w:eastAsia="SimSun"/>
          <w:sz w:val="18"/>
          <w:szCs w:val="18"/>
          <w:lang w:val="fr-CH"/>
        </w:rPr>
        <w:t>-</w:t>
      </w:r>
      <w:r w:rsidRPr="00E454D1">
        <w:rPr>
          <w:rFonts w:eastAsia="SimSun"/>
          <w:sz w:val="18"/>
          <w:szCs w:val="18"/>
          <w:lang w:val="fr-CH"/>
        </w:rPr>
        <w:t>type à l</w:t>
      </w:r>
      <w:r w:rsidR="00E454D1">
        <w:rPr>
          <w:rFonts w:eastAsia="SimSun"/>
          <w:sz w:val="18"/>
          <w:szCs w:val="18"/>
          <w:lang w:val="fr-CH"/>
        </w:rPr>
        <w:t>’</w:t>
      </w:r>
      <w:r w:rsidRPr="00E454D1">
        <w:rPr>
          <w:rFonts w:eastAsia="SimSun"/>
          <w:sz w:val="18"/>
          <w:szCs w:val="18"/>
          <w:lang w:val="fr-CH"/>
        </w:rPr>
        <w:t>issue des deux cycles de végétation ne dépasse pas le nombre de plantes hors</w:t>
      </w:r>
      <w:r w:rsidR="00E454D1">
        <w:rPr>
          <w:rFonts w:eastAsia="SimSun"/>
          <w:sz w:val="18"/>
          <w:szCs w:val="18"/>
          <w:lang w:val="fr-CH"/>
        </w:rPr>
        <w:t>-</w:t>
      </w:r>
      <w:r w:rsidRPr="00E454D1">
        <w:rPr>
          <w:rFonts w:eastAsia="SimSun"/>
          <w:sz w:val="18"/>
          <w:szCs w:val="18"/>
          <w:lang w:val="fr-CH"/>
        </w:rPr>
        <w:t xml:space="preserve">type </w:t>
      </w:r>
      <w:proofErr w:type="gramStart"/>
      <w:r w:rsidRPr="00E454D1">
        <w:rPr>
          <w:rFonts w:eastAsia="SimSun"/>
          <w:sz w:val="18"/>
          <w:szCs w:val="18"/>
          <w:lang w:val="fr-CH"/>
        </w:rPr>
        <w:t>autorisé</w:t>
      </w:r>
      <w:proofErr w:type="gramEnd"/>
      <w:r w:rsidRPr="00E454D1">
        <w:rPr>
          <w:rFonts w:eastAsia="SimSun"/>
          <w:sz w:val="18"/>
          <w:szCs w:val="18"/>
          <w:lang w:val="fr-CH"/>
        </w:rPr>
        <w:t xml:space="preserve"> pour la taille de l</w:t>
      </w:r>
      <w:r w:rsidR="00E454D1">
        <w:rPr>
          <w:rFonts w:eastAsia="SimSun"/>
          <w:sz w:val="18"/>
          <w:szCs w:val="18"/>
          <w:lang w:val="fr-CH"/>
        </w:rPr>
        <w:t>’</w:t>
      </w:r>
      <w:r w:rsidRPr="00E454D1">
        <w:rPr>
          <w:rFonts w:eastAsia="SimSun"/>
          <w:sz w:val="18"/>
          <w:szCs w:val="18"/>
          <w:lang w:val="fr-CH"/>
        </w:rPr>
        <w:t>échantillon des cycles de végétation 1 et 2 combinés.</w:t>
      </w:r>
    </w:p>
    <w:p w:rsidR="00D75FE9" w:rsidRPr="00E454D1" w:rsidRDefault="00D75FE9" w:rsidP="000901F1">
      <w:pPr>
        <w:keepNext/>
        <w:keepLines/>
        <w:ind w:left="567" w:right="459"/>
        <w:rPr>
          <w:rFonts w:eastAsia="SimSun"/>
          <w:sz w:val="18"/>
          <w:szCs w:val="18"/>
          <w:lang w:val="fr-CH" w:eastAsia="zh-CN"/>
        </w:rPr>
      </w:pPr>
    </w:p>
    <w:p w:rsidR="00D75FE9" w:rsidRPr="00E454D1" w:rsidRDefault="004520A0" w:rsidP="000901F1">
      <w:pPr>
        <w:keepNext/>
        <w:keepLines/>
        <w:ind w:left="567"/>
        <w:rPr>
          <w:rFonts w:eastAsia="SimSun"/>
          <w:sz w:val="18"/>
          <w:szCs w:val="18"/>
          <w:lang w:val="fr-CH" w:eastAsia="zh-CN"/>
        </w:rPr>
      </w:pPr>
      <w:r w:rsidRPr="00E454D1">
        <w:rPr>
          <w:rFonts w:eastAsia="SimSun"/>
          <w:sz w:val="18"/>
          <w:szCs w:val="18"/>
          <w:lang w:val="fr-CH"/>
        </w:rPr>
        <w:t>Il faut faire preuve de prudence lorsqu</w:t>
      </w:r>
      <w:r w:rsidR="00E454D1">
        <w:rPr>
          <w:rFonts w:eastAsia="SimSun"/>
          <w:sz w:val="18"/>
          <w:szCs w:val="18"/>
          <w:lang w:val="fr-CH"/>
        </w:rPr>
        <w:t>’</w:t>
      </w:r>
      <w:r w:rsidRPr="00E454D1">
        <w:rPr>
          <w:rFonts w:eastAsia="SimSun"/>
          <w:sz w:val="18"/>
          <w:szCs w:val="18"/>
          <w:lang w:val="fr-CH"/>
        </w:rPr>
        <w:t>on examine des résultats très différents dans chacun des cycles de végétation, notamment lorsqu</w:t>
      </w:r>
      <w:r w:rsidR="00E454D1">
        <w:rPr>
          <w:rFonts w:eastAsia="SimSun"/>
          <w:sz w:val="18"/>
          <w:szCs w:val="18"/>
          <w:lang w:val="fr-CH"/>
        </w:rPr>
        <w:t>’</w:t>
      </w:r>
      <w:r w:rsidRPr="00E454D1">
        <w:rPr>
          <w:rFonts w:eastAsia="SimSun"/>
          <w:sz w:val="18"/>
          <w:szCs w:val="18"/>
          <w:lang w:val="fr-CH"/>
        </w:rPr>
        <w:t>un type de plante hors</w:t>
      </w:r>
      <w:r w:rsidR="00E454D1">
        <w:rPr>
          <w:rFonts w:eastAsia="SimSun"/>
          <w:sz w:val="18"/>
          <w:szCs w:val="18"/>
          <w:lang w:val="fr-CH"/>
        </w:rPr>
        <w:t>-</w:t>
      </w:r>
      <w:r w:rsidRPr="00E454D1">
        <w:rPr>
          <w:rFonts w:eastAsia="SimSun"/>
          <w:sz w:val="18"/>
          <w:szCs w:val="18"/>
          <w:lang w:val="fr-CH"/>
        </w:rPr>
        <w:t>type a été observé à un niveau élevé dans un cycle de végétation tout en étant absent dans un aut</w:t>
      </w:r>
      <w:r w:rsidR="00C77A34" w:rsidRPr="00E454D1">
        <w:rPr>
          <w:rFonts w:eastAsia="SimSun"/>
          <w:sz w:val="18"/>
          <w:szCs w:val="18"/>
          <w:lang w:val="fr-CH"/>
        </w:rPr>
        <w:t>re</w:t>
      </w:r>
      <w:r w:rsidR="00C77A34">
        <w:rPr>
          <w:rFonts w:eastAsia="SimSun"/>
          <w:sz w:val="18"/>
          <w:szCs w:val="18"/>
          <w:lang w:val="fr-CH"/>
        </w:rPr>
        <w:t xml:space="preserve">.  </w:t>
      </w:r>
      <w:r w:rsidR="00C77A34" w:rsidRPr="00E454D1">
        <w:rPr>
          <w:sz w:val="18"/>
          <w:szCs w:val="18"/>
          <w:lang w:val="fr-CH"/>
        </w:rPr>
        <w:t>Un</w:t>
      </w:r>
      <w:r w:rsidRPr="00E454D1">
        <w:rPr>
          <w:sz w:val="18"/>
          <w:szCs w:val="18"/>
          <w:lang w:val="fr-CH"/>
        </w:rPr>
        <w:t xml:space="preserve"> test statistique d</w:t>
      </w:r>
      <w:r w:rsidR="00E454D1">
        <w:rPr>
          <w:sz w:val="18"/>
          <w:szCs w:val="18"/>
          <w:lang w:val="fr-CH"/>
        </w:rPr>
        <w:t>’</w:t>
      </w:r>
      <w:r w:rsidRPr="00E454D1">
        <w:rPr>
          <w:sz w:val="18"/>
          <w:szCs w:val="18"/>
          <w:lang w:val="fr-CH"/>
        </w:rPr>
        <w:t>homogénéité devrait être pratiqué, le cas échéa</w:t>
      </w:r>
      <w:r w:rsidR="00C77A34" w:rsidRPr="00E454D1">
        <w:rPr>
          <w:sz w:val="18"/>
          <w:szCs w:val="18"/>
          <w:lang w:val="fr-CH"/>
        </w:rPr>
        <w:t>nt</w:t>
      </w:r>
      <w:r w:rsidR="00C77A34">
        <w:rPr>
          <w:sz w:val="18"/>
          <w:szCs w:val="18"/>
          <w:lang w:val="fr-CH"/>
        </w:rPr>
        <w:t xml:space="preserve">.  </w:t>
      </w:r>
      <w:r w:rsidR="00C77A34" w:rsidRPr="00E454D1">
        <w:rPr>
          <w:sz w:val="18"/>
          <w:szCs w:val="18"/>
          <w:lang w:val="fr-CH"/>
        </w:rPr>
        <w:t>Il</w:t>
      </w:r>
      <w:r w:rsidRPr="00E454D1">
        <w:rPr>
          <w:sz w:val="18"/>
          <w:szCs w:val="18"/>
          <w:lang w:val="fr-CH"/>
        </w:rPr>
        <w:t xml:space="preserve"> est important d</w:t>
      </w:r>
      <w:r w:rsidR="00E454D1">
        <w:rPr>
          <w:sz w:val="18"/>
          <w:szCs w:val="18"/>
          <w:lang w:val="fr-CH"/>
        </w:rPr>
        <w:t>’</w:t>
      </w:r>
      <w:r w:rsidRPr="00E454D1">
        <w:rPr>
          <w:sz w:val="18"/>
          <w:szCs w:val="18"/>
          <w:lang w:val="fr-CH"/>
        </w:rPr>
        <w:t>identifier si la variation du nombre de plantes hors</w:t>
      </w:r>
      <w:r w:rsidR="00E454D1">
        <w:rPr>
          <w:sz w:val="18"/>
          <w:szCs w:val="18"/>
          <w:lang w:val="fr-CH"/>
        </w:rPr>
        <w:t>-</w:t>
      </w:r>
      <w:r w:rsidRPr="00E454D1">
        <w:rPr>
          <w:sz w:val="18"/>
          <w:szCs w:val="18"/>
          <w:lang w:val="fr-CH"/>
        </w:rPr>
        <w:t>type entre les cycles s</w:t>
      </w:r>
      <w:r w:rsidR="00E454D1">
        <w:rPr>
          <w:sz w:val="18"/>
          <w:szCs w:val="18"/>
          <w:lang w:val="fr-CH"/>
        </w:rPr>
        <w:t>’</w:t>
      </w:r>
      <w:r w:rsidRPr="00E454D1">
        <w:rPr>
          <w:sz w:val="18"/>
          <w:szCs w:val="18"/>
          <w:lang w:val="fr-CH"/>
        </w:rPr>
        <w:t>explique par des conditions environnementales ou des fluctuations d</w:t>
      </w:r>
      <w:r w:rsidR="00E454D1">
        <w:rPr>
          <w:sz w:val="18"/>
          <w:szCs w:val="18"/>
          <w:lang w:val="fr-CH"/>
        </w:rPr>
        <w:t>’</w:t>
      </w:r>
      <w:r w:rsidRPr="00E454D1">
        <w:rPr>
          <w:sz w:val="18"/>
          <w:szCs w:val="18"/>
          <w:lang w:val="fr-CH"/>
        </w:rPr>
        <w:t>échantillonnage.</w:t>
      </w:r>
    </w:p>
    <w:p w:rsidR="00D75FE9" w:rsidRPr="00E454D1" w:rsidRDefault="00D75FE9" w:rsidP="000901F1">
      <w:pPr>
        <w:keepNext/>
        <w:keepLines/>
        <w:ind w:left="567"/>
        <w:rPr>
          <w:sz w:val="18"/>
          <w:szCs w:val="18"/>
          <w:lang w:val="fr-CH"/>
        </w:rPr>
      </w:pPr>
    </w:p>
    <w:p w:rsidR="00D75FE9" w:rsidRPr="00E454D1" w:rsidRDefault="004520A0" w:rsidP="000901F1">
      <w:pPr>
        <w:keepNext/>
        <w:keepLines/>
        <w:ind w:left="567"/>
        <w:rPr>
          <w:rFonts w:eastAsia="SimSun"/>
          <w:sz w:val="18"/>
          <w:szCs w:val="18"/>
          <w:u w:val="single"/>
          <w:lang w:val="fr-CH" w:eastAsia="zh-CN"/>
        </w:rPr>
      </w:pPr>
      <w:r w:rsidRPr="00E454D1">
        <w:rPr>
          <w:rFonts w:eastAsia="SimSun"/>
          <w:sz w:val="18"/>
          <w:szCs w:val="18"/>
          <w:lang w:val="fr-CH"/>
        </w:rPr>
        <w:t>En outre, si au cours du premier cycle de végétation, le nombre de plantes hors</w:t>
      </w:r>
      <w:r w:rsidR="00E454D1">
        <w:rPr>
          <w:rFonts w:eastAsia="SimSun"/>
          <w:sz w:val="18"/>
          <w:szCs w:val="18"/>
          <w:lang w:val="fr-CH"/>
        </w:rPr>
        <w:t>-</w:t>
      </w:r>
      <w:r w:rsidRPr="00E454D1">
        <w:rPr>
          <w:rFonts w:eastAsia="SimSun"/>
          <w:sz w:val="18"/>
          <w:szCs w:val="18"/>
          <w:lang w:val="fr-CH"/>
        </w:rPr>
        <w:t>type dépasse une limite supérieure prédéfinie, la variété peut être rejetée après un seul cycle de végétation.</w:t>
      </w:r>
    </w:p>
    <w:p w:rsidR="00D75FE9" w:rsidRPr="00E454D1" w:rsidRDefault="00D75FE9" w:rsidP="000901F1">
      <w:pPr>
        <w:keepNext/>
        <w:keepLines/>
        <w:ind w:left="567"/>
        <w:rPr>
          <w:rFonts w:eastAsia="SimSun"/>
          <w:sz w:val="18"/>
          <w:szCs w:val="18"/>
          <w:lang w:val="fr-CH" w:eastAsia="zh-CN"/>
        </w:rPr>
      </w:pPr>
    </w:p>
    <w:p w:rsidR="00D75FE9" w:rsidRPr="00E454D1" w:rsidRDefault="004520A0" w:rsidP="000901F1">
      <w:pPr>
        <w:keepNext/>
        <w:ind w:left="567" w:firstLine="567"/>
        <w:rPr>
          <w:bCs/>
          <w:i/>
          <w:sz w:val="18"/>
          <w:szCs w:val="18"/>
          <w:lang w:val="fr-CH"/>
        </w:rPr>
      </w:pPr>
      <w:r w:rsidRPr="00E454D1">
        <w:rPr>
          <w:bCs/>
          <w:i/>
          <w:sz w:val="18"/>
          <w:szCs w:val="18"/>
          <w:lang w:val="fr-CH"/>
        </w:rPr>
        <w:t>Méthode 3</w:t>
      </w:r>
      <w:r w:rsidR="00E454D1">
        <w:rPr>
          <w:bCs/>
          <w:i/>
          <w:sz w:val="18"/>
          <w:szCs w:val="18"/>
          <w:lang w:val="fr-CH"/>
        </w:rPr>
        <w:t> :</w:t>
      </w:r>
      <w:r w:rsidRPr="00E454D1">
        <w:rPr>
          <w:bCs/>
          <w:i/>
          <w:sz w:val="18"/>
          <w:szCs w:val="18"/>
          <w:lang w:val="fr-CH"/>
        </w:rPr>
        <w:t xml:space="preserve"> Combiner les résultats de deux cycles de végétation</w:t>
      </w:r>
    </w:p>
    <w:p w:rsidR="00D75FE9" w:rsidRPr="00E454D1" w:rsidRDefault="00D75FE9" w:rsidP="000901F1">
      <w:pPr>
        <w:keepNext/>
        <w:ind w:left="567"/>
        <w:rPr>
          <w:sz w:val="18"/>
          <w:szCs w:val="18"/>
          <w:lang w:val="fr-CH"/>
        </w:rPr>
      </w:pPr>
    </w:p>
    <w:p w:rsidR="00D75FE9" w:rsidRPr="00E454D1" w:rsidRDefault="004520A0" w:rsidP="000901F1">
      <w:pPr>
        <w:spacing w:after="120"/>
        <w:ind w:left="567"/>
        <w:rPr>
          <w:sz w:val="18"/>
          <w:szCs w:val="18"/>
          <w:lang w:val="fr-CH"/>
        </w:rPr>
      </w:pPr>
      <w:r w:rsidRPr="00E454D1">
        <w:rPr>
          <w:sz w:val="18"/>
          <w:szCs w:val="18"/>
          <w:lang w:val="fr-CH"/>
        </w:rPr>
        <w:t>Une variété est réputée homogène si le nombre total de plantes hors</w:t>
      </w:r>
      <w:r w:rsidR="00E454D1">
        <w:rPr>
          <w:sz w:val="18"/>
          <w:szCs w:val="18"/>
          <w:lang w:val="fr-CH"/>
        </w:rPr>
        <w:t>-</w:t>
      </w:r>
      <w:r w:rsidRPr="00E454D1">
        <w:rPr>
          <w:sz w:val="18"/>
          <w:szCs w:val="18"/>
          <w:lang w:val="fr-CH"/>
        </w:rPr>
        <w:t>type à l</w:t>
      </w:r>
      <w:r w:rsidR="00E454D1">
        <w:rPr>
          <w:sz w:val="18"/>
          <w:szCs w:val="18"/>
          <w:lang w:val="fr-CH"/>
        </w:rPr>
        <w:t>’</w:t>
      </w:r>
      <w:r w:rsidRPr="00E454D1">
        <w:rPr>
          <w:sz w:val="18"/>
          <w:szCs w:val="18"/>
          <w:lang w:val="fr-CH"/>
        </w:rPr>
        <w:t>issue des deux cycles de végétation ne dépasse pas le nombre de plantes hors</w:t>
      </w:r>
      <w:r w:rsidR="00E454D1">
        <w:rPr>
          <w:sz w:val="18"/>
          <w:szCs w:val="18"/>
          <w:lang w:val="fr-CH"/>
        </w:rPr>
        <w:t>-</w:t>
      </w:r>
      <w:r w:rsidRPr="00E454D1">
        <w:rPr>
          <w:sz w:val="18"/>
          <w:szCs w:val="18"/>
          <w:lang w:val="fr-CH"/>
        </w:rPr>
        <w:t xml:space="preserve">type </w:t>
      </w:r>
      <w:proofErr w:type="gramStart"/>
      <w:r w:rsidRPr="00E454D1">
        <w:rPr>
          <w:sz w:val="18"/>
          <w:szCs w:val="18"/>
          <w:lang w:val="fr-CH"/>
        </w:rPr>
        <w:t>autorisé</w:t>
      </w:r>
      <w:proofErr w:type="gramEnd"/>
      <w:r w:rsidRPr="00E454D1">
        <w:rPr>
          <w:sz w:val="18"/>
          <w:szCs w:val="18"/>
          <w:lang w:val="fr-CH"/>
        </w:rPr>
        <w:t xml:space="preserve"> pour l</w:t>
      </w:r>
      <w:r w:rsidR="00E454D1">
        <w:rPr>
          <w:sz w:val="18"/>
          <w:szCs w:val="18"/>
          <w:lang w:val="fr-CH"/>
        </w:rPr>
        <w:t>’</w:t>
      </w:r>
      <w:r w:rsidRPr="00E454D1">
        <w:rPr>
          <w:sz w:val="18"/>
          <w:szCs w:val="18"/>
          <w:lang w:val="fr-CH"/>
        </w:rPr>
        <w:t>échantillon combiné.</w:t>
      </w:r>
    </w:p>
    <w:p w:rsidR="00D75FE9" w:rsidRPr="00E454D1" w:rsidRDefault="00D75FE9" w:rsidP="000901F1">
      <w:pPr>
        <w:spacing w:before="120"/>
        <w:ind w:left="567"/>
        <w:rPr>
          <w:sz w:val="18"/>
          <w:szCs w:val="18"/>
          <w:lang w:val="fr-CH"/>
        </w:rPr>
      </w:pPr>
    </w:p>
    <w:p w:rsidR="00D75FE9" w:rsidRPr="00E454D1" w:rsidRDefault="004520A0" w:rsidP="000901F1">
      <w:pPr>
        <w:ind w:left="567"/>
        <w:rPr>
          <w:sz w:val="18"/>
          <w:szCs w:val="18"/>
          <w:lang w:val="fr-CH"/>
        </w:rPr>
      </w:pPr>
      <w:r w:rsidRPr="00E454D1">
        <w:rPr>
          <w:sz w:val="18"/>
          <w:szCs w:val="18"/>
          <w:lang w:val="fr-CH"/>
        </w:rPr>
        <w:t>Une variété est réputée non homogène si le nombre total de plantes hors</w:t>
      </w:r>
      <w:r w:rsidR="00E454D1">
        <w:rPr>
          <w:sz w:val="18"/>
          <w:szCs w:val="18"/>
          <w:lang w:val="fr-CH"/>
        </w:rPr>
        <w:t>-</w:t>
      </w:r>
      <w:r w:rsidRPr="00E454D1">
        <w:rPr>
          <w:sz w:val="18"/>
          <w:szCs w:val="18"/>
          <w:lang w:val="fr-CH"/>
        </w:rPr>
        <w:t>type à la fin des deux cycles de végétation dépasse le nombre de plantes hors</w:t>
      </w:r>
      <w:r w:rsidR="00E454D1">
        <w:rPr>
          <w:sz w:val="18"/>
          <w:szCs w:val="18"/>
          <w:lang w:val="fr-CH"/>
        </w:rPr>
        <w:t>-</w:t>
      </w:r>
      <w:r w:rsidRPr="00E454D1">
        <w:rPr>
          <w:sz w:val="18"/>
          <w:szCs w:val="18"/>
          <w:lang w:val="fr-CH"/>
        </w:rPr>
        <w:t xml:space="preserve">type </w:t>
      </w:r>
      <w:proofErr w:type="gramStart"/>
      <w:r w:rsidRPr="00E454D1">
        <w:rPr>
          <w:sz w:val="18"/>
          <w:szCs w:val="18"/>
          <w:lang w:val="fr-CH"/>
        </w:rPr>
        <w:t>autorisé</w:t>
      </w:r>
      <w:proofErr w:type="gramEnd"/>
      <w:r w:rsidRPr="00E454D1">
        <w:rPr>
          <w:sz w:val="18"/>
          <w:szCs w:val="18"/>
          <w:lang w:val="fr-CH"/>
        </w:rPr>
        <w:t xml:space="preserve"> pour l</w:t>
      </w:r>
      <w:r w:rsidR="00E454D1">
        <w:rPr>
          <w:sz w:val="18"/>
          <w:szCs w:val="18"/>
          <w:lang w:val="fr-CH"/>
        </w:rPr>
        <w:t>’</w:t>
      </w:r>
      <w:r w:rsidRPr="00E454D1">
        <w:rPr>
          <w:sz w:val="18"/>
          <w:szCs w:val="18"/>
          <w:lang w:val="fr-CH"/>
        </w:rPr>
        <w:t>échantillon combiné.</w:t>
      </w:r>
    </w:p>
    <w:p w:rsidR="00D75FE9" w:rsidRPr="00E454D1" w:rsidRDefault="00D75FE9" w:rsidP="000901F1">
      <w:pPr>
        <w:ind w:left="567"/>
        <w:rPr>
          <w:sz w:val="18"/>
          <w:szCs w:val="18"/>
          <w:lang w:val="fr-CH"/>
        </w:rPr>
      </w:pPr>
    </w:p>
    <w:p w:rsidR="00D75FE9" w:rsidRPr="00E454D1" w:rsidRDefault="004520A0" w:rsidP="000901F1">
      <w:pPr>
        <w:ind w:left="567"/>
        <w:rPr>
          <w:sz w:val="18"/>
          <w:szCs w:val="18"/>
          <w:lang w:val="fr-CH"/>
        </w:rPr>
      </w:pPr>
      <w:r w:rsidRPr="00E454D1">
        <w:rPr>
          <w:sz w:val="18"/>
          <w:szCs w:val="18"/>
          <w:lang w:val="fr-CH"/>
        </w:rPr>
        <w:t>Une variété peut être rejetée après un seul cycle de végétation si le nombre de plantes hors</w:t>
      </w:r>
      <w:r w:rsidR="00E454D1">
        <w:rPr>
          <w:sz w:val="18"/>
          <w:szCs w:val="18"/>
          <w:lang w:val="fr-CH"/>
        </w:rPr>
        <w:t>-</w:t>
      </w:r>
      <w:r w:rsidRPr="00E454D1">
        <w:rPr>
          <w:sz w:val="18"/>
          <w:szCs w:val="18"/>
          <w:lang w:val="fr-CH"/>
        </w:rPr>
        <w:t>type dépasse le nombre de plantes hors</w:t>
      </w:r>
      <w:r w:rsidR="00E454D1">
        <w:rPr>
          <w:sz w:val="18"/>
          <w:szCs w:val="18"/>
          <w:lang w:val="fr-CH"/>
        </w:rPr>
        <w:t>-</w:t>
      </w:r>
      <w:r w:rsidRPr="00E454D1">
        <w:rPr>
          <w:sz w:val="18"/>
          <w:szCs w:val="18"/>
          <w:lang w:val="fr-CH"/>
        </w:rPr>
        <w:t xml:space="preserve">type </w:t>
      </w:r>
      <w:proofErr w:type="gramStart"/>
      <w:r w:rsidRPr="00E454D1">
        <w:rPr>
          <w:sz w:val="18"/>
          <w:szCs w:val="18"/>
          <w:lang w:val="fr-CH"/>
        </w:rPr>
        <w:t>autorisé</w:t>
      </w:r>
      <w:proofErr w:type="gramEnd"/>
      <w:r w:rsidRPr="00E454D1">
        <w:rPr>
          <w:sz w:val="18"/>
          <w:szCs w:val="18"/>
          <w:lang w:val="fr-CH"/>
        </w:rPr>
        <w:t xml:space="preserve"> pour l</w:t>
      </w:r>
      <w:r w:rsidR="00E454D1">
        <w:rPr>
          <w:sz w:val="18"/>
          <w:szCs w:val="18"/>
          <w:lang w:val="fr-CH"/>
        </w:rPr>
        <w:t>’</w:t>
      </w:r>
      <w:r w:rsidRPr="00E454D1">
        <w:rPr>
          <w:sz w:val="18"/>
          <w:szCs w:val="18"/>
          <w:lang w:val="fr-CH"/>
        </w:rPr>
        <w:t>échantillon combiné (sur deux cycles).</w:t>
      </w:r>
    </w:p>
    <w:p w:rsidR="00D75FE9" w:rsidRPr="00E454D1" w:rsidRDefault="00D75FE9" w:rsidP="000901F1">
      <w:pPr>
        <w:keepNext/>
        <w:keepLines/>
        <w:ind w:left="567"/>
        <w:rPr>
          <w:sz w:val="18"/>
          <w:szCs w:val="18"/>
          <w:lang w:val="fr-CH"/>
        </w:rPr>
      </w:pPr>
    </w:p>
    <w:p w:rsidR="00D75FE9" w:rsidRPr="00E454D1" w:rsidRDefault="004520A0" w:rsidP="000901F1">
      <w:pPr>
        <w:keepNext/>
        <w:ind w:left="567"/>
        <w:rPr>
          <w:rFonts w:eastAsia="SimSun"/>
          <w:sz w:val="18"/>
          <w:szCs w:val="18"/>
          <w:lang w:val="fr-CH" w:eastAsia="zh-CN"/>
        </w:rPr>
      </w:pPr>
      <w:r w:rsidRPr="00E454D1">
        <w:rPr>
          <w:sz w:val="18"/>
          <w:szCs w:val="18"/>
          <w:lang w:val="fr-CH"/>
        </w:rPr>
        <w:t>Il faut faire preuve de prudence lorsqu</w:t>
      </w:r>
      <w:r w:rsidR="00E454D1">
        <w:rPr>
          <w:sz w:val="18"/>
          <w:szCs w:val="18"/>
          <w:lang w:val="fr-CH"/>
        </w:rPr>
        <w:t>’</w:t>
      </w:r>
      <w:r w:rsidRPr="00E454D1">
        <w:rPr>
          <w:sz w:val="18"/>
          <w:szCs w:val="18"/>
          <w:lang w:val="fr-CH"/>
        </w:rPr>
        <w:t>on examine des résultats très différents dans chacun des cycles de végétation, notamment lorsqu</w:t>
      </w:r>
      <w:r w:rsidR="00E454D1">
        <w:rPr>
          <w:sz w:val="18"/>
          <w:szCs w:val="18"/>
          <w:lang w:val="fr-CH"/>
        </w:rPr>
        <w:t>’</w:t>
      </w:r>
      <w:r w:rsidRPr="00E454D1">
        <w:rPr>
          <w:sz w:val="18"/>
          <w:szCs w:val="18"/>
          <w:lang w:val="fr-CH"/>
        </w:rPr>
        <w:t>un type de plante hors</w:t>
      </w:r>
      <w:r w:rsidR="00E454D1">
        <w:rPr>
          <w:sz w:val="18"/>
          <w:szCs w:val="18"/>
          <w:lang w:val="fr-CH"/>
        </w:rPr>
        <w:t>-</w:t>
      </w:r>
      <w:r w:rsidRPr="00E454D1">
        <w:rPr>
          <w:sz w:val="18"/>
          <w:szCs w:val="18"/>
          <w:lang w:val="fr-CH"/>
        </w:rPr>
        <w:t>type est observé à un niveau élevé dans un cycle de végétation tout en étant absent dans un aut</w:t>
      </w:r>
      <w:r w:rsidR="00C77A34" w:rsidRPr="00E454D1">
        <w:rPr>
          <w:sz w:val="18"/>
          <w:szCs w:val="18"/>
          <w:lang w:val="fr-CH"/>
        </w:rPr>
        <w:t>re</w:t>
      </w:r>
      <w:r w:rsidR="00C77A34">
        <w:rPr>
          <w:sz w:val="18"/>
          <w:szCs w:val="18"/>
          <w:lang w:val="fr-CH"/>
        </w:rPr>
        <w:t xml:space="preserve">.  </w:t>
      </w:r>
      <w:r w:rsidR="00C77A34" w:rsidRPr="00E454D1">
        <w:rPr>
          <w:rFonts w:eastAsia="SimSun"/>
          <w:sz w:val="18"/>
          <w:szCs w:val="18"/>
          <w:lang w:val="fr-CH"/>
        </w:rPr>
        <w:t>Un</w:t>
      </w:r>
      <w:r w:rsidRPr="00E454D1">
        <w:rPr>
          <w:rFonts w:eastAsia="SimSun"/>
          <w:sz w:val="18"/>
          <w:szCs w:val="18"/>
          <w:lang w:val="fr-CH"/>
        </w:rPr>
        <w:t xml:space="preserve"> test statistique d</w:t>
      </w:r>
      <w:r w:rsidR="00E454D1">
        <w:rPr>
          <w:rFonts w:eastAsia="SimSun"/>
          <w:sz w:val="18"/>
          <w:szCs w:val="18"/>
          <w:lang w:val="fr-CH"/>
        </w:rPr>
        <w:t>’</w:t>
      </w:r>
      <w:r w:rsidRPr="00E454D1">
        <w:rPr>
          <w:rFonts w:eastAsia="SimSun"/>
          <w:sz w:val="18"/>
          <w:szCs w:val="18"/>
          <w:lang w:val="fr-CH"/>
        </w:rPr>
        <w:t>homogénéité devrait être pratiqué, le cas échéa</w:t>
      </w:r>
      <w:r w:rsidR="00C77A34" w:rsidRPr="00E454D1">
        <w:rPr>
          <w:rFonts w:eastAsia="SimSun"/>
          <w:sz w:val="18"/>
          <w:szCs w:val="18"/>
          <w:lang w:val="fr-CH"/>
        </w:rPr>
        <w:t>nt</w:t>
      </w:r>
      <w:r w:rsidR="00C77A34">
        <w:rPr>
          <w:rFonts w:eastAsia="SimSun"/>
          <w:sz w:val="18"/>
          <w:szCs w:val="18"/>
          <w:lang w:val="fr-CH"/>
        </w:rPr>
        <w:t xml:space="preserve">.  </w:t>
      </w:r>
      <w:r w:rsidR="00C77A34" w:rsidRPr="00E454D1">
        <w:rPr>
          <w:sz w:val="18"/>
          <w:szCs w:val="18"/>
          <w:lang w:val="fr-CH"/>
        </w:rPr>
        <w:t>Il</w:t>
      </w:r>
      <w:r w:rsidRPr="00E454D1">
        <w:rPr>
          <w:sz w:val="18"/>
          <w:szCs w:val="18"/>
          <w:lang w:val="fr-CH"/>
        </w:rPr>
        <w:t xml:space="preserve"> est important d</w:t>
      </w:r>
      <w:r w:rsidR="00E454D1">
        <w:rPr>
          <w:sz w:val="18"/>
          <w:szCs w:val="18"/>
          <w:lang w:val="fr-CH"/>
        </w:rPr>
        <w:t>’</w:t>
      </w:r>
      <w:r w:rsidRPr="00E454D1">
        <w:rPr>
          <w:sz w:val="18"/>
          <w:szCs w:val="18"/>
          <w:lang w:val="fr-CH"/>
        </w:rPr>
        <w:t>identifier si la variation du nombre de plantes hors</w:t>
      </w:r>
      <w:r w:rsidR="00E454D1">
        <w:rPr>
          <w:sz w:val="18"/>
          <w:szCs w:val="18"/>
          <w:lang w:val="fr-CH"/>
        </w:rPr>
        <w:t>-</w:t>
      </w:r>
      <w:r w:rsidRPr="00E454D1">
        <w:rPr>
          <w:sz w:val="18"/>
          <w:szCs w:val="18"/>
          <w:lang w:val="fr-CH"/>
        </w:rPr>
        <w:t>type entre les cycles s</w:t>
      </w:r>
      <w:r w:rsidR="00E454D1">
        <w:rPr>
          <w:sz w:val="18"/>
          <w:szCs w:val="18"/>
          <w:lang w:val="fr-CH"/>
        </w:rPr>
        <w:t>’</w:t>
      </w:r>
      <w:r w:rsidRPr="00E454D1">
        <w:rPr>
          <w:sz w:val="18"/>
          <w:szCs w:val="18"/>
          <w:lang w:val="fr-CH"/>
        </w:rPr>
        <w:t>explique par des conditions environnementales ou des fluctuations d</w:t>
      </w:r>
      <w:r w:rsidR="00E454D1">
        <w:rPr>
          <w:sz w:val="18"/>
          <w:szCs w:val="18"/>
          <w:lang w:val="fr-CH"/>
        </w:rPr>
        <w:t>’</w:t>
      </w:r>
      <w:r w:rsidRPr="00E454D1">
        <w:rPr>
          <w:sz w:val="18"/>
          <w:szCs w:val="18"/>
          <w:lang w:val="fr-CH"/>
        </w:rPr>
        <w:t>échantillonnage.</w:t>
      </w:r>
    </w:p>
    <w:p w:rsidR="00D75FE9" w:rsidRPr="00E454D1" w:rsidRDefault="00D75FE9" w:rsidP="000901F1">
      <w:pPr>
        <w:keepNext/>
        <w:keepLines/>
        <w:ind w:left="567"/>
        <w:rPr>
          <w:rFonts w:eastAsia="SimSun"/>
          <w:sz w:val="18"/>
          <w:szCs w:val="18"/>
          <w:lang w:val="fr-CH" w:eastAsia="zh-CN"/>
        </w:rPr>
      </w:pPr>
    </w:p>
    <w:p w:rsidR="00D75FE9" w:rsidRPr="00E454D1" w:rsidRDefault="00D75FE9" w:rsidP="000901F1">
      <w:pPr>
        <w:keepNext/>
        <w:keepLines/>
        <w:ind w:left="567"/>
        <w:jc w:val="left"/>
        <w:rPr>
          <w:sz w:val="18"/>
          <w:szCs w:val="18"/>
          <w:lang w:val="fr-CH"/>
        </w:rPr>
      </w:pPr>
    </w:p>
    <w:p w:rsidR="00D75FE9" w:rsidRPr="00E454D1" w:rsidRDefault="004520A0" w:rsidP="000901F1">
      <w:pPr>
        <w:keepNext/>
        <w:keepLines/>
        <w:ind w:left="567" w:firstLine="567"/>
        <w:jc w:val="left"/>
        <w:rPr>
          <w:i/>
          <w:sz w:val="18"/>
          <w:szCs w:val="18"/>
          <w:lang w:val="fr-CH"/>
        </w:rPr>
      </w:pPr>
      <w:r w:rsidRPr="00E454D1">
        <w:rPr>
          <w:i/>
          <w:sz w:val="18"/>
          <w:szCs w:val="18"/>
          <w:lang w:val="fr-CH"/>
        </w:rPr>
        <w:t>Exemple</w:t>
      </w:r>
      <w:r w:rsidR="00E454D1">
        <w:rPr>
          <w:i/>
          <w:sz w:val="18"/>
          <w:szCs w:val="18"/>
          <w:lang w:val="fr-CH"/>
        </w:rPr>
        <w:t> :</w:t>
      </w:r>
    </w:p>
    <w:p w:rsidR="004520A0" w:rsidRPr="00E454D1" w:rsidRDefault="004520A0" w:rsidP="000901F1">
      <w:pPr>
        <w:keepNext/>
        <w:keepLines/>
        <w:ind w:left="567"/>
        <w:jc w:val="left"/>
        <w:rPr>
          <w:sz w:val="18"/>
          <w:szCs w:val="18"/>
          <w:lang w:val="fr-CH"/>
        </w:rPr>
      </w:pPr>
    </w:p>
    <w:tbl>
      <w:tblPr>
        <w:tblW w:w="8397" w:type="dxa"/>
        <w:tblInd w:w="600" w:type="dxa"/>
        <w:tblLayout w:type="fixed"/>
        <w:tblLook w:val="04A0" w:firstRow="1" w:lastRow="0" w:firstColumn="1" w:lastColumn="0" w:noHBand="0" w:noVBand="1"/>
      </w:tblPr>
      <w:tblGrid>
        <w:gridCol w:w="393"/>
        <w:gridCol w:w="1134"/>
        <w:gridCol w:w="180"/>
        <w:gridCol w:w="954"/>
        <w:gridCol w:w="1807"/>
        <w:gridCol w:w="320"/>
        <w:gridCol w:w="1985"/>
        <w:gridCol w:w="1624"/>
      </w:tblGrid>
      <w:tr w:rsidR="00E454D1" w:rsidRPr="00E454D1" w:rsidTr="00D87148">
        <w:trPr>
          <w:gridAfter w:val="1"/>
          <w:wAfter w:w="1624" w:type="dxa"/>
          <w:trHeight w:val="255"/>
        </w:trPr>
        <w:tc>
          <w:tcPr>
            <w:tcW w:w="393" w:type="dxa"/>
            <w:tcBorders>
              <w:top w:val="nil"/>
              <w:left w:val="nil"/>
              <w:bottom w:val="nil"/>
            </w:tcBorders>
            <w:shd w:val="clear" w:color="auto" w:fill="auto"/>
            <w:noWrap/>
            <w:vAlign w:val="bottom"/>
          </w:tcPr>
          <w:p w:rsidR="004520A0" w:rsidRPr="00E454D1" w:rsidRDefault="004520A0" w:rsidP="000901F1">
            <w:pPr>
              <w:ind w:left="567"/>
              <w:jc w:val="left"/>
              <w:rPr>
                <w:rFonts w:cs="Arial"/>
                <w:sz w:val="18"/>
                <w:szCs w:val="18"/>
                <w:lang w:val="fr-CH"/>
              </w:rPr>
            </w:pPr>
          </w:p>
        </w:tc>
        <w:tc>
          <w:tcPr>
            <w:tcW w:w="6380" w:type="dxa"/>
            <w:gridSpan w:val="6"/>
            <w:tcBorders>
              <w:top w:val="nil"/>
            </w:tcBorders>
            <w:shd w:val="clear" w:color="auto" w:fill="auto"/>
            <w:vAlign w:val="bottom"/>
          </w:tcPr>
          <w:p w:rsidR="004520A0" w:rsidRPr="00E454D1" w:rsidRDefault="004520A0" w:rsidP="00D87148">
            <w:pPr>
              <w:ind w:left="173"/>
              <w:jc w:val="left"/>
              <w:rPr>
                <w:rFonts w:cs="Arial"/>
                <w:sz w:val="18"/>
                <w:szCs w:val="18"/>
                <w:lang w:val="fr-CH"/>
              </w:rPr>
            </w:pPr>
            <w:r w:rsidRPr="00E454D1">
              <w:rPr>
                <w:rFonts w:cs="Arial"/>
                <w:sz w:val="18"/>
                <w:szCs w:val="18"/>
                <w:lang w:val="fr-CH"/>
              </w:rPr>
              <w:t xml:space="preserve">Norme de population = 1% </w:t>
            </w:r>
          </w:p>
        </w:tc>
      </w:tr>
      <w:tr w:rsidR="00E454D1" w:rsidRPr="00E454D1" w:rsidTr="00D87148">
        <w:trPr>
          <w:gridAfter w:val="1"/>
          <w:wAfter w:w="1624" w:type="dxa"/>
          <w:trHeight w:val="270"/>
        </w:trPr>
        <w:tc>
          <w:tcPr>
            <w:tcW w:w="393" w:type="dxa"/>
            <w:tcBorders>
              <w:top w:val="nil"/>
              <w:left w:val="nil"/>
              <w:bottom w:val="nil"/>
            </w:tcBorders>
            <w:shd w:val="clear" w:color="auto" w:fill="auto"/>
            <w:noWrap/>
            <w:vAlign w:val="bottom"/>
            <w:hideMark/>
          </w:tcPr>
          <w:p w:rsidR="004520A0" w:rsidRPr="00E454D1" w:rsidRDefault="004520A0" w:rsidP="000901F1">
            <w:pPr>
              <w:ind w:left="567"/>
              <w:jc w:val="left"/>
              <w:rPr>
                <w:rFonts w:cs="Arial"/>
                <w:sz w:val="18"/>
                <w:szCs w:val="18"/>
                <w:lang w:val="fr-CH"/>
              </w:rPr>
            </w:pPr>
          </w:p>
        </w:tc>
        <w:tc>
          <w:tcPr>
            <w:tcW w:w="6380" w:type="dxa"/>
            <w:gridSpan w:val="6"/>
            <w:tcBorders>
              <w:top w:val="nil"/>
              <w:bottom w:val="single" w:sz="4" w:space="0" w:color="auto"/>
            </w:tcBorders>
            <w:shd w:val="clear" w:color="auto" w:fill="auto"/>
            <w:vAlign w:val="bottom"/>
          </w:tcPr>
          <w:p w:rsidR="004520A0" w:rsidRPr="00E454D1" w:rsidRDefault="004520A0" w:rsidP="00D87148">
            <w:pPr>
              <w:ind w:left="173"/>
              <w:jc w:val="left"/>
              <w:rPr>
                <w:rFonts w:cs="Arial"/>
                <w:sz w:val="18"/>
                <w:szCs w:val="18"/>
                <w:lang w:val="fr-CH"/>
              </w:rPr>
            </w:pPr>
            <w:r w:rsidRPr="00E454D1">
              <w:rPr>
                <w:rFonts w:cs="Arial"/>
                <w:sz w:val="18"/>
                <w:szCs w:val="18"/>
                <w:lang w:val="fr-CH"/>
              </w:rPr>
              <w:t>Probabilité d</w:t>
            </w:r>
            <w:r w:rsidR="00E454D1">
              <w:rPr>
                <w:rFonts w:cs="Arial"/>
                <w:sz w:val="18"/>
                <w:szCs w:val="18"/>
                <w:lang w:val="fr-CH"/>
              </w:rPr>
              <w:t>’</w:t>
            </w:r>
            <w:r w:rsidRPr="00E454D1">
              <w:rPr>
                <w:rFonts w:cs="Arial"/>
                <w:sz w:val="18"/>
                <w:szCs w:val="18"/>
                <w:lang w:val="fr-CH"/>
              </w:rPr>
              <w:t>acceptation ≥ 95%</w:t>
            </w:r>
          </w:p>
        </w:tc>
      </w:tr>
      <w:tr w:rsidR="00E454D1" w:rsidRPr="00AE777D" w:rsidTr="00D87148">
        <w:trPr>
          <w:gridBefore w:val="1"/>
          <w:gridAfter w:val="1"/>
          <w:wBefore w:w="393" w:type="dxa"/>
          <w:wAfter w:w="1624" w:type="dxa"/>
          <w:trHeight w:val="255"/>
        </w:trPr>
        <w:tc>
          <w:tcPr>
            <w:tcW w:w="638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4520A0" w:rsidRPr="00E454D1" w:rsidRDefault="004520A0" w:rsidP="00D87148">
            <w:pPr>
              <w:ind w:left="173"/>
              <w:jc w:val="left"/>
              <w:rPr>
                <w:rFonts w:cs="Arial"/>
                <w:sz w:val="18"/>
                <w:szCs w:val="18"/>
                <w:lang w:val="fr-CH"/>
              </w:rPr>
            </w:pPr>
            <w:r w:rsidRPr="00E454D1">
              <w:rPr>
                <w:rFonts w:cs="Arial"/>
                <w:sz w:val="18"/>
                <w:szCs w:val="18"/>
                <w:lang w:val="fr-CH"/>
              </w:rPr>
              <w:t>Taille de l</w:t>
            </w:r>
            <w:r w:rsidR="00E454D1">
              <w:rPr>
                <w:rFonts w:cs="Arial"/>
                <w:sz w:val="18"/>
                <w:szCs w:val="18"/>
                <w:lang w:val="fr-CH"/>
              </w:rPr>
              <w:t>’</w:t>
            </w:r>
            <w:r w:rsidRPr="00E454D1">
              <w:rPr>
                <w:rFonts w:cs="Arial"/>
                <w:sz w:val="18"/>
                <w:szCs w:val="18"/>
                <w:lang w:val="fr-CH"/>
              </w:rPr>
              <w:t>échantillon dans chacun des cycles de végétation</w:t>
            </w:r>
            <w:r w:rsidR="00FE5010" w:rsidRPr="00E454D1">
              <w:rPr>
                <w:rFonts w:cs="Arial"/>
                <w:sz w:val="18"/>
                <w:szCs w:val="18"/>
                <w:lang w:val="fr-CH"/>
              </w:rPr>
              <w:t> </w:t>
            </w:r>
            <w:r w:rsidRPr="00E454D1">
              <w:rPr>
                <w:rFonts w:cs="Arial"/>
                <w:sz w:val="18"/>
                <w:szCs w:val="18"/>
                <w:lang w:val="fr-CH"/>
              </w:rPr>
              <w:t>1 et 2 = 50</w:t>
            </w:r>
          </w:p>
        </w:tc>
      </w:tr>
      <w:tr w:rsidR="00E454D1" w:rsidRPr="00AE777D" w:rsidTr="00D87148">
        <w:trPr>
          <w:gridBefore w:val="1"/>
          <w:gridAfter w:val="1"/>
          <w:wBefore w:w="393" w:type="dxa"/>
          <w:wAfter w:w="1624" w:type="dxa"/>
          <w:trHeight w:val="270"/>
        </w:trPr>
        <w:tc>
          <w:tcPr>
            <w:tcW w:w="638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4520A0" w:rsidRPr="00E454D1" w:rsidRDefault="004520A0" w:rsidP="00D87148">
            <w:pPr>
              <w:ind w:left="173"/>
              <w:jc w:val="left"/>
              <w:rPr>
                <w:rFonts w:cs="Arial"/>
                <w:sz w:val="18"/>
                <w:szCs w:val="18"/>
                <w:lang w:val="fr-CH"/>
              </w:rPr>
            </w:pPr>
            <w:r w:rsidRPr="00E454D1">
              <w:rPr>
                <w:rFonts w:cs="Arial"/>
                <w:sz w:val="18"/>
                <w:szCs w:val="18"/>
                <w:lang w:val="fr-CH"/>
              </w:rPr>
              <w:t>Nombre maximum de plantes hors</w:t>
            </w:r>
            <w:r w:rsidR="00E454D1">
              <w:rPr>
                <w:rFonts w:cs="Arial"/>
                <w:sz w:val="18"/>
                <w:szCs w:val="18"/>
                <w:lang w:val="fr-CH"/>
              </w:rPr>
              <w:t>-</w:t>
            </w:r>
            <w:r w:rsidRPr="00E454D1">
              <w:rPr>
                <w:rFonts w:cs="Arial"/>
                <w:sz w:val="18"/>
                <w:szCs w:val="18"/>
                <w:lang w:val="fr-CH"/>
              </w:rPr>
              <w:t>type = 2</w:t>
            </w:r>
          </w:p>
        </w:tc>
      </w:tr>
      <w:tr w:rsidR="00E454D1" w:rsidRPr="00AE777D" w:rsidTr="00D87148">
        <w:trPr>
          <w:gridBefore w:val="1"/>
          <w:gridAfter w:val="1"/>
          <w:wBefore w:w="393"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rsidR="004520A0" w:rsidRPr="00E454D1" w:rsidRDefault="004520A0" w:rsidP="00D87148">
            <w:pPr>
              <w:ind w:left="173"/>
              <w:jc w:val="left"/>
              <w:rPr>
                <w:rFonts w:cs="Arial"/>
                <w:sz w:val="18"/>
                <w:szCs w:val="18"/>
                <w:lang w:val="fr-CH"/>
              </w:rPr>
            </w:pPr>
            <w:r w:rsidRPr="00E454D1">
              <w:rPr>
                <w:rFonts w:cs="Arial"/>
                <w:sz w:val="18"/>
                <w:szCs w:val="18"/>
                <w:lang w:val="fr-CH"/>
              </w:rPr>
              <w:t>Taille de l</w:t>
            </w:r>
            <w:r w:rsidR="00E454D1">
              <w:rPr>
                <w:rFonts w:cs="Arial"/>
                <w:sz w:val="18"/>
                <w:szCs w:val="18"/>
                <w:lang w:val="fr-CH"/>
              </w:rPr>
              <w:t>’</w:t>
            </w:r>
            <w:r w:rsidRPr="00E454D1">
              <w:rPr>
                <w:rFonts w:cs="Arial"/>
                <w:sz w:val="18"/>
                <w:szCs w:val="18"/>
                <w:lang w:val="fr-CH"/>
              </w:rPr>
              <w:t>échantillon dans les cycles de végétation</w:t>
            </w:r>
            <w:r w:rsidR="00FE5010" w:rsidRPr="00E454D1">
              <w:rPr>
                <w:rFonts w:cs="Arial"/>
                <w:sz w:val="18"/>
                <w:szCs w:val="18"/>
                <w:lang w:val="fr-CH"/>
              </w:rPr>
              <w:t> </w:t>
            </w:r>
            <w:r w:rsidRPr="00E454D1">
              <w:rPr>
                <w:rFonts w:cs="Arial"/>
                <w:sz w:val="18"/>
                <w:szCs w:val="18"/>
                <w:lang w:val="fr-CH"/>
              </w:rPr>
              <w:t>1 et 2 combinés = 100</w:t>
            </w:r>
          </w:p>
        </w:tc>
      </w:tr>
      <w:tr w:rsidR="00E454D1" w:rsidRPr="00AE777D" w:rsidTr="00D87148">
        <w:trPr>
          <w:gridBefore w:val="1"/>
          <w:gridAfter w:val="1"/>
          <w:wBefore w:w="393"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4520A0" w:rsidRPr="00E454D1" w:rsidRDefault="004520A0" w:rsidP="00D87148">
            <w:pPr>
              <w:ind w:left="315"/>
              <w:jc w:val="left"/>
              <w:rPr>
                <w:rFonts w:cs="Arial"/>
                <w:sz w:val="18"/>
                <w:szCs w:val="18"/>
                <w:lang w:val="fr-CH"/>
              </w:rPr>
            </w:pPr>
            <w:r w:rsidRPr="00E454D1">
              <w:rPr>
                <w:rFonts w:cs="Arial"/>
                <w:sz w:val="18"/>
                <w:szCs w:val="18"/>
                <w:lang w:val="fr-CH"/>
              </w:rPr>
              <w:t>Nombre maximum de plantes hors</w:t>
            </w:r>
            <w:r w:rsidR="00E454D1">
              <w:rPr>
                <w:rFonts w:cs="Arial"/>
                <w:sz w:val="18"/>
                <w:szCs w:val="18"/>
                <w:lang w:val="fr-CH"/>
              </w:rPr>
              <w:t>-</w:t>
            </w:r>
            <w:r w:rsidRPr="00E454D1">
              <w:rPr>
                <w:rFonts w:cs="Arial"/>
                <w:sz w:val="18"/>
                <w:szCs w:val="18"/>
                <w:lang w:val="fr-CH"/>
              </w:rPr>
              <w:t>type = 3</w:t>
            </w:r>
          </w:p>
        </w:tc>
      </w:tr>
      <w:tr w:rsidR="00E454D1" w:rsidRPr="00AE777D" w:rsidTr="00D87148">
        <w:trPr>
          <w:gridBefore w:val="1"/>
          <w:gridAfter w:val="1"/>
          <w:wBefore w:w="393"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4520A0" w:rsidRPr="00E454D1" w:rsidRDefault="004520A0" w:rsidP="000901F1">
            <w:pPr>
              <w:ind w:left="567"/>
              <w:jc w:val="left"/>
              <w:rPr>
                <w:rFonts w:cs="Arial"/>
                <w:sz w:val="18"/>
                <w:szCs w:val="18"/>
                <w:lang w:val="fr-CH"/>
              </w:rPr>
            </w:pPr>
            <w:r w:rsidRPr="00E454D1">
              <w:rPr>
                <w:rFonts w:cs="Arial"/>
                <w:sz w:val="18"/>
                <w:szCs w:val="18"/>
                <w:lang w:val="fr-CH"/>
              </w:rPr>
              <w:t> </w:t>
            </w:r>
          </w:p>
        </w:tc>
        <w:tc>
          <w:tcPr>
            <w:tcW w:w="954" w:type="dxa"/>
            <w:tcBorders>
              <w:top w:val="nil"/>
              <w:left w:val="nil"/>
              <w:bottom w:val="single" w:sz="4" w:space="0" w:color="auto"/>
              <w:right w:val="nil"/>
            </w:tcBorders>
            <w:shd w:val="clear" w:color="auto" w:fill="auto"/>
            <w:noWrap/>
            <w:vAlign w:val="bottom"/>
            <w:hideMark/>
          </w:tcPr>
          <w:p w:rsidR="004520A0" w:rsidRPr="00E454D1" w:rsidRDefault="004520A0" w:rsidP="000901F1">
            <w:pPr>
              <w:ind w:left="567"/>
              <w:jc w:val="left"/>
              <w:rPr>
                <w:rFonts w:cs="Arial"/>
                <w:sz w:val="18"/>
                <w:szCs w:val="18"/>
                <w:lang w:val="fr-CH"/>
              </w:rPr>
            </w:pPr>
            <w:r w:rsidRPr="00E454D1">
              <w:rPr>
                <w:rFonts w:cs="Arial"/>
                <w:sz w:val="18"/>
                <w:szCs w:val="18"/>
                <w:lang w:val="fr-CH"/>
              </w:rPr>
              <w:t> </w:t>
            </w:r>
          </w:p>
        </w:tc>
        <w:tc>
          <w:tcPr>
            <w:tcW w:w="1807" w:type="dxa"/>
            <w:tcBorders>
              <w:top w:val="nil"/>
              <w:left w:val="nil"/>
              <w:bottom w:val="single" w:sz="4" w:space="0" w:color="auto"/>
              <w:right w:val="nil"/>
            </w:tcBorders>
            <w:shd w:val="clear" w:color="auto" w:fill="auto"/>
            <w:noWrap/>
            <w:vAlign w:val="bottom"/>
            <w:hideMark/>
          </w:tcPr>
          <w:p w:rsidR="004520A0" w:rsidRPr="00E454D1" w:rsidRDefault="004520A0" w:rsidP="000901F1">
            <w:pPr>
              <w:ind w:left="567"/>
              <w:jc w:val="left"/>
              <w:rPr>
                <w:rFonts w:cs="Arial"/>
                <w:sz w:val="18"/>
                <w:szCs w:val="18"/>
                <w:lang w:val="fr-CH"/>
              </w:rPr>
            </w:pPr>
            <w:r w:rsidRPr="00E454D1">
              <w:rPr>
                <w:rFonts w:cs="Arial"/>
                <w:sz w:val="18"/>
                <w:szCs w:val="18"/>
                <w:lang w:val="fr-CH"/>
              </w:rPr>
              <w:t> </w:t>
            </w:r>
          </w:p>
        </w:tc>
        <w:tc>
          <w:tcPr>
            <w:tcW w:w="2305" w:type="dxa"/>
            <w:gridSpan w:val="2"/>
            <w:tcBorders>
              <w:top w:val="nil"/>
              <w:left w:val="nil"/>
              <w:bottom w:val="single" w:sz="4" w:space="0" w:color="auto"/>
            </w:tcBorders>
            <w:shd w:val="clear" w:color="auto" w:fill="auto"/>
            <w:noWrap/>
            <w:vAlign w:val="bottom"/>
            <w:hideMark/>
          </w:tcPr>
          <w:p w:rsidR="004520A0" w:rsidRPr="00E454D1" w:rsidRDefault="004520A0" w:rsidP="000901F1">
            <w:pPr>
              <w:ind w:left="567"/>
              <w:jc w:val="left"/>
              <w:rPr>
                <w:rFonts w:cs="Arial"/>
                <w:sz w:val="18"/>
                <w:szCs w:val="18"/>
                <w:lang w:val="fr-CH"/>
              </w:rPr>
            </w:pPr>
            <w:r w:rsidRPr="00E454D1">
              <w:rPr>
                <w:rFonts w:cs="Arial"/>
                <w:sz w:val="18"/>
                <w:szCs w:val="18"/>
                <w:lang w:val="fr-CH"/>
              </w:rPr>
              <w:t> </w:t>
            </w:r>
          </w:p>
        </w:tc>
      </w:tr>
      <w:tr w:rsidR="00E454D1" w:rsidRPr="00E454D1" w:rsidTr="00D87148">
        <w:trPr>
          <w:trHeight w:val="380"/>
        </w:trPr>
        <w:tc>
          <w:tcPr>
            <w:tcW w:w="393" w:type="dxa"/>
            <w:tcBorders>
              <w:top w:val="nil"/>
              <w:left w:val="nil"/>
              <w:bottom w:val="nil"/>
              <w:right w:val="single" w:sz="4" w:space="0" w:color="auto"/>
            </w:tcBorders>
            <w:shd w:val="clear" w:color="auto" w:fill="auto"/>
            <w:noWrap/>
            <w:vAlign w:val="bottom"/>
            <w:hideMark/>
          </w:tcPr>
          <w:p w:rsidR="004520A0" w:rsidRPr="00E454D1" w:rsidRDefault="004520A0" w:rsidP="000901F1">
            <w:pPr>
              <w:ind w:left="567"/>
              <w:jc w:val="left"/>
              <w:rPr>
                <w:rFonts w:cs="Arial"/>
                <w:sz w:val="18"/>
                <w:szCs w:val="18"/>
                <w:lang w:val="fr-CH"/>
              </w:rPr>
            </w:pPr>
            <w:r w:rsidRPr="00E454D1">
              <w:rPr>
                <w:rFonts w:cs="Arial"/>
                <w:sz w:val="18"/>
                <w:szCs w:val="18"/>
                <w:lang w:val="fr-CH"/>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4520A0" w:rsidRPr="00E454D1" w:rsidRDefault="004520A0" w:rsidP="00D87148">
            <w:pPr>
              <w:ind w:left="300"/>
              <w:jc w:val="left"/>
              <w:rPr>
                <w:rFonts w:cs="Arial"/>
                <w:sz w:val="18"/>
                <w:szCs w:val="18"/>
                <w:lang w:val="fr-CH"/>
              </w:rPr>
            </w:pPr>
            <w:r w:rsidRPr="00E454D1">
              <w:rPr>
                <w:rFonts w:cs="Arial"/>
                <w:sz w:val="18"/>
                <w:szCs w:val="18"/>
                <w:lang w:val="fr-CH"/>
              </w:rPr>
              <w:t>Cycle de végétation</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4520A0" w:rsidRPr="00E454D1" w:rsidRDefault="004520A0" w:rsidP="000901F1">
            <w:pPr>
              <w:ind w:left="567"/>
              <w:jc w:val="center"/>
              <w:rPr>
                <w:sz w:val="18"/>
                <w:szCs w:val="18"/>
                <w:lang w:val="fr-CH"/>
              </w:rPr>
            </w:pPr>
            <w:r w:rsidRPr="00E454D1">
              <w:rPr>
                <w:rFonts w:cs="Arial"/>
                <w:sz w:val="18"/>
                <w:szCs w:val="18"/>
                <w:lang w:val="fr-CH"/>
              </w:rPr>
              <w:t>Décision</w:t>
            </w:r>
          </w:p>
        </w:tc>
      </w:tr>
      <w:tr w:rsidR="00E454D1" w:rsidRPr="00E454D1" w:rsidTr="00D87148">
        <w:trPr>
          <w:trHeight w:val="236"/>
        </w:trPr>
        <w:tc>
          <w:tcPr>
            <w:tcW w:w="393" w:type="dxa"/>
            <w:tcBorders>
              <w:top w:val="nil"/>
              <w:left w:val="nil"/>
              <w:bottom w:val="single" w:sz="4" w:space="0" w:color="auto"/>
              <w:right w:val="single" w:sz="4" w:space="0" w:color="auto"/>
            </w:tcBorders>
            <w:shd w:val="clear" w:color="auto" w:fill="auto"/>
            <w:noWrap/>
            <w:vAlign w:val="bottom"/>
            <w:hideMark/>
          </w:tcPr>
          <w:p w:rsidR="004520A0" w:rsidRPr="00E454D1" w:rsidRDefault="004520A0" w:rsidP="000901F1">
            <w:pPr>
              <w:ind w:left="567"/>
              <w:jc w:val="left"/>
              <w:rPr>
                <w:rFonts w:cs="Arial"/>
                <w:sz w:val="18"/>
                <w:szCs w:val="18"/>
                <w:lang w:val="fr-CH"/>
              </w:rPr>
            </w:pPr>
            <w:r w:rsidRPr="00E454D1">
              <w:rPr>
                <w:rFonts w:cs="Arial"/>
                <w:sz w:val="18"/>
                <w:szCs w:val="18"/>
                <w:lang w:val="fr-CH"/>
              </w:rPr>
              <w:t> </w:t>
            </w:r>
          </w:p>
        </w:tc>
        <w:tc>
          <w:tcPr>
            <w:tcW w:w="1134" w:type="dxa"/>
            <w:tcBorders>
              <w:top w:val="nil"/>
              <w:left w:val="nil"/>
              <w:bottom w:val="single" w:sz="4" w:space="0" w:color="auto"/>
              <w:right w:val="single" w:sz="4" w:space="0" w:color="auto"/>
            </w:tcBorders>
            <w:shd w:val="clear" w:color="auto" w:fill="auto"/>
            <w:noWrap/>
            <w:vAlign w:val="center"/>
            <w:hideMark/>
          </w:tcPr>
          <w:p w:rsidR="004520A0" w:rsidRPr="00E454D1" w:rsidRDefault="004520A0" w:rsidP="00B05CA3">
            <w:pPr>
              <w:spacing w:after="100" w:afterAutospacing="1"/>
              <w:ind w:left="159"/>
              <w:jc w:val="center"/>
              <w:rPr>
                <w:rFonts w:cs="Arial"/>
                <w:sz w:val="18"/>
                <w:szCs w:val="18"/>
                <w:lang w:val="fr-CH"/>
              </w:rPr>
            </w:pPr>
            <w:r w:rsidRPr="00E454D1">
              <w:rPr>
                <w:rFonts w:cs="Arial"/>
                <w:sz w:val="18"/>
                <w:szCs w:val="18"/>
                <w:lang w:val="fr-CH"/>
              </w:rPr>
              <w:t>Premier</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4520A0" w:rsidRPr="00E454D1" w:rsidRDefault="004520A0" w:rsidP="00B05CA3">
            <w:pPr>
              <w:ind w:left="10"/>
              <w:jc w:val="left"/>
              <w:rPr>
                <w:rFonts w:cs="Arial"/>
                <w:sz w:val="18"/>
                <w:szCs w:val="18"/>
                <w:lang w:val="fr-CH"/>
              </w:rPr>
            </w:pPr>
            <w:r w:rsidRPr="00E454D1">
              <w:rPr>
                <w:rFonts w:cs="Arial"/>
                <w:sz w:val="18"/>
                <w:szCs w:val="18"/>
                <w:lang w:val="fr-CH"/>
              </w:rPr>
              <w:t>Deuxième</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4520A0" w:rsidRPr="00E454D1" w:rsidRDefault="004520A0" w:rsidP="000901F1">
            <w:pPr>
              <w:ind w:left="567"/>
              <w:jc w:val="center"/>
              <w:rPr>
                <w:rFonts w:cs="Arial"/>
                <w:sz w:val="18"/>
                <w:szCs w:val="18"/>
                <w:lang w:val="fr-CH"/>
              </w:rPr>
            </w:pPr>
            <w:r w:rsidRPr="00E454D1">
              <w:rPr>
                <w:rFonts w:cs="Arial"/>
                <w:sz w:val="18"/>
                <w:szCs w:val="18"/>
                <w:lang w:val="fr-CH"/>
              </w:rPr>
              <w:t>Méthode</w:t>
            </w:r>
            <w:r w:rsidR="00FE5010" w:rsidRPr="00E454D1">
              <w:rPr>
                <w:rFonts w:cs="Arial"/>
                <w:sz w:val="18"/>
                <w:szCs w:val="18"/>
                <w:lang w:val="fr-CH"/>
              </w:rPr>
              <w:t> </w:t>
            </w:r>
            <w:r w:rsidRPr="00E454D1">
              <w:rPr>
                <w:rFonts w:cs="Arial"/>
                <w:sz w:val="18"/>
                <w:szCs w:val="18"/>
                <w:lang w:val="fr-CH"/>
              </w:rPr>
              <w:t>1</w:t>
            </w:r>
          </w:p>
        </w:tc>
        <w:tc>
          <w:tcPr>
            <w:tcW w:w="1985" w:type="dxa"/>
            <w:tcBorders>
              <w:top w:val="nil"/>
              <w:left w:val="nil"/>
              <w:bottom w:val="single" w:sz="4" w:space="0" w:color="auto"/>
              <w:right w:val="single" w:sz="4" w:space="0" w:color="auto"/>
            </w:tcBorders>
            <w:shd w:val="clear" w:color="auto" w:fill="auto"/>
            <w:noWrap/>
            <w:vAlign w:val="center"/>
            <w:hideMark/>
          </w:tcPr>
          <w:p w:rsidR="004520A0" w:rsidRPr="00E454D1" w:rsidRDefault="004520A0" w:rsidP="000901F1">
            <w:pPr>
              <w:ind w:left="567"/>
              <w:jc w:val="center"/>
              <w:rPr>
                <w:rFonts w:cs="Arial"/>
                <w:sz w:val="18"/>
                <w:szCs w:val="18"/>
                <w:lang w:val="fr-CH"/>
              </w:rPr>
            </w:pPr>
            <w:r w:rsidRPr="00E454D1">
              <w:rPr>
                <w:rFonts w:cs="Arial"/>
                <w:sz w:val="18"/>
                <w:szCs w:val="18"/>
                <w:lang w:val="fr-CH"/>
              </w:rPr>
              <w:t>Méthode</w:t>
            </w:r>
            <w:r w:rsidR="00FE5010" w:rsidRPr="00E454D1">
              <w:rPr>
                <w:rFonts w:cs="Arial"/>
                <w:sz w:val="18"/>
                <w:szCs w:val="18"/>
                <w:lang w:val="fr-CH"/>
              </w:rPr>
              <w:t> </w:t>
            </w:r>
            <w:r w:rsidRPr="00E454D1">
              <w:rPr>
                <w:rFonts w:cs="Arial"/>
                <w:sz w:val="18"/>
                <w:szCs w:val="18"/>
                <w:lang w:val="fr-CH"/>
              </w:rPr>
              <w:t>2</w:t>
            </w:r>
          </w:p>
        </w:tc>
        <w:tc>
          <w:tcPr>
            <w:tcW w:w="1624" w:type="dxa"/>
            <w:tcBorders>
              <w:top w:val="single" w:sz="4" w:space="0" w:color="auto"/>
              <w:bottom w:val="single" w:sz="4" w:space="0" w:color="auto"/>
              <w:right w:val="single" w:sz="4" w:space="0" w:color="auto"/>
            </w:tcBorders>
            <w:shd w:val="clear" w:color="auto" w:fill="auto"/>
          </w:tcPr>
          <w:p w:rsidR="004520A0" w:rsidRPr="00E454D1" w:rsidRDefault="004520A0" w:rsidP="000901F1">
            <w:pPr>
              <w:ind w:left="567"/>
              <w:jc w:val="center"/>
              <w:rPr>
                <w:sz w:val="18"/>
                <w:szCs w:val="18"/>
                <w:lang w:val="fr-CH"/>
              </w:rPr>
            </w:pPr>
            <w:r w:rsidRPr="00E454D1">
              <w:rPr>
                <w:sz w:val="18"/>
                <w:szCs w:val="18"/>
                <w:lang w:val="fr-CH"/>
              </w:rPr>
              <w:t>Méthode</w:t>
            </w:r>
            <w:r w:rsidR="00FE5010" w:rsidRPr="00E454D1">
              <w:rPr>
                <w:sz w:val="18"/>
                <w:szCs w:val="18"/>
                <w:lang w:val="fr-CH"/>
              </w:rPr>
              <w:t> </w:t>
            </w:r>
            <w:r w:rsidRPr="00E454D1">
              <w:rPr>
                <w:sz w:val="18"/>
                <w:szCs w:val="18"/>
                <w:lang w:val="fr-CH"/>
              </w:rPr>
              <w:t>3</w:t>
            </w:r>
          </w:p>
        </w:tc>
      </w:tr>
      <w:tr w:rsidR="00E454D1" w:rsidRPr="00E454D1" w:rsidTr="00D87148">
        <w:trPr>
          <w:trHeight w:val="240"/>
        </w:trPr>
        <w:tc>
          <w:tcPr>
            <w:tcW w:w="393" w:type="dxa"/>
            <w:vMerge w:val="restart"/>
            <w:tcBorders>
              <w:top w:val="nil"/>
              <w:left w:val="single" w:sz="4" w:space="0" w:color="auto"/>
              <w:right w:val="single" w:sz="4" w:space="0" w:color="auto"/>
            </w:tcBorders>
            <w:shd w:val="clear" w:color="auto" w:fill="auto"/>
            <w:textDirection w:val="btLr"/>
            <w:vAlign w:val="center"/>
          </w:tcPr>
          <w:p w:rsidR="004520A0" w:rsidRPr="00E454D1" w:rsidRDefault="004520A0" w:rsidP="000901F1">
            <w:pPr>
              <w:ind w:left="567"/>
              <w:jc w:val="center"/>
              <w:rPr>
                <w:rFonts w:cs="Arial"/>
                <w:sz w:val="18"/>
                <w:szCs w:val="18"/>
                <w:lang w:val="fr-CH"/>
              </w:rPr>
            </w:pPr>
            <w:r w:rsidRPr="00E454D1">
              <w:rPr>
                <w:rFonts w:cs="Arial"/>
                <w:sz w:val="18"/>
                <w:szCs w:val="18"/>
                <w:lang w:val="fr-CH"/>
              </w:rPr>
              <w:t xml:space="preserve">Nombre de plantes </w:t>
            </w:r>
            <w:r w:rsidRPr="00E454D1">
              <w:rPr>
                <w:rFonts w:cs="Arial"/>
                <w:sz w:val="18"/>
                <w:szCs w:val="18"/>
                <w:lang w:val="fr-CH"/>
              </w:rPr>
              <w:br/>
              <w:t>hors</w:t>
            </w:r>
            <w:r w:rsidR="00E454D1">
              <w:rPr>
                <w:rFonts w:cs="Arial"/>
                <w:sz w:val="18"/>
                <w:szCs w:val="18"/>
                <w:lang w:val="fr-CH"/>
              </w:rPr>
              <w:t>-</w:t>
            </w:r>
            <w:r w:rsidRPr="00E454D1">
              <w:rPr>
                <w:rFonts w:cs="Arial"/>
                <w:sz w:val="18"/>
                <w:szCs w:val="18"/>
                <w:lang w:val="fr-CH"/>
              </w:rPr>
              <w:t>type</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4520A0" w:rsidRPr="00E454D1" w:rsidRDefault="004520A0" w:rsidP="00844B8A">
            <w:pPr>
              <w:ind w:left="567"/>
              <w:rPr>
                <w:rFonts w:cs="Arial"/>
                <w:sz w:val="18"/>
                <w:szCs w:val="18"/>
                <w:lang w:val="fr-CH"/>
              </w:rPr>
            </w:pPr>
            <w:r w:rsidRPr="00E454D1">
              <w:rPr>
                <w:rFonts w:cs="Arial"/>
                <w:sz w:val="18"/>
                <w:szCs w:val="18"/>
                <w:lang w:val="fr-CH"/>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4520A0" w:rsidRPr="00E454D1" w:rsidRDefault="004520A0" w:rsidP="00844B8A">
            <w:pPr>
              <w:ind w:left="567"/>
              <w:rPr>
                <w:rFonts w:cs="Arial"/>
                <w:sz w:val="18"/>
                <w:szCs w:val="18"/>
                <w:lang w:val="fr-CH"/>
              </w:rPr>
            </w:pPr>
            <w:r w:rsidRPr="00E454D1">
              <w:rPr>
                <w:rFonts w:cs="Arial"/>
                <w:sz w:val="18"/>
                <w:szCs w:val="18"/>
                <w:lang w:val="fr-CH"/>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4520A0" w:rsidRPr="00E454D1" w:rsidRDefault="004520A0" w:rsidP="00844B8A">
            <w:pPr>
              <w:ind w:left="155"/>
              <w:jc w:val="center"/>
              <w:rPr>
                <w:rFonts w:cs="Arial"/>
                <w:sz w:val="18"/>
                <w:szCs w:val="18"/>
                <w:lang w:val="fr-CH"/>
              </w:rPr>
            </w:pPr>
            <w:r w:rsidRPr="00E454D1">
              <w:rPr>
                <w:rFonts w:cs="Arial"/>
                <w:sz w:val="18"/>
                <w:szCs w:val="18"/>
                <w:lang w:val="fr-CH"/>
              </w:rPr>
              <w:t>homogène</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4520A0" w:rsidRPr="00E454D1" w:rsidRDefault="004520A0" w:rsidP="00844B8A">
            <w:pPr>
              <w:ind w:left="158"/>
              <w:jc w:val="center"/>
              <w:rPr>
                <w:rFonts w:cs="Arial"/>
                <w:sz w:val="18"/>
                <w:szCs w:val="18"/>
                <w:lang w:val="fr-CH"/>
              </w:rPr>
            </w:pPr>
            <w:r w:rsidRPr="00E454D1">
              <w:rPr>
                <w:rFonts w:cs="Arial"/>
                <w:sz w:val="18"/>
                <w:szCs w:val="18"/>
                <w:lang w:val="fr-CH"/>
              </w:rPr>
              <w:t>homogène</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4520A0" w:rsidRPr="00E454D1" w:rsidRDefault="004520A0" w:rsidP="00844B8A">
            <w:pPr>
              <w:ind w:left="292"/>
              <w:jc w:val="center"/>
              <w:rPr>
                <w:sz w:val="18"/>
                <w:szCs w:val="18"/>
                <w:lang w:val="fr-CH"/>
              </w:rPr>
            </w:pPr>
            <w:r w:rsidRPr="00E454D1">
              <w:rPr>
                <w:rFonts w:cs="Arial"/>
                <w:sz w:val="18"/>
                <w:szCs w:val="18"/>
                <w:lang w:val="fr-CH"/>
              </w:rPr>
              <w:t>homogène</w:t>
            </w:r>
          </w:p>
        </w:tc>
      </w:tr>
      <w:tr w:rsidR="00E454D1" w:rsidRPr="00E454D1" w:rsidTr="00D87148">
        <w:trPr>
          <w:trHeight w:val="240"/>
        </w:trPr>
        <w:tc>
          <w:tcPr>
            <w:tcW w:w="393" w:type="dxa"/>
            <w:vMerge/>
            <w:tcBorders>
              <w:left w:val="single" w:sz="4" w:space="0" w:color="auto"/>
              <w:right w:val="single" w:sz="4" w:space="0" w:color="auto"/>
            </w:tcBorders>
            <w:shd w:val="clear" w:color="auto" w:fill="auto"/>
            <w:textDirection w:val="btLr"/>
            <w:vAlign w:val="center"/>
            <w:hideMark/>
          </w:tcPr>
          <w:p w:rsidR="004520A0" w:rsidRPr="00E454D1" w:rsidRDefault="004520A0" w:rsidP="000901F1">
            <w:pPr>
              <w:ind w:left="567"/>
              <w:jc w:val="center"/>
              <w:rPr>
                <w:rFonts w:cs="Arial"/>
                <w:sz w:val="18"/>
                <w:szCs w:val="18"/>
                <w:lang w:val="fr-CH"/>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4520A0" w:rsidRPr="00E454D1" w:rsidRDefault="004520A0" w:rsidP="00844B8A">
            <w:pPr>
              <w:ind w:left="155"/>
              <w:jc w:val="center"/>
              <w:rPr>
                <w:rFonts w:cs="Arial"/>
                <w:sz w:val="18"/>
                <w:szCs w:val="18"/>
                <w:lang w:val="fr-CH"/>
              </w:rPr>
            </w:pPr>
            <w:r w:rsidRPr="00E454D1">
              <w:rPr>
                <w:rFonts w:cs="Arial"/>
                <w:sz w:val="18"/>
                <w:szCs w:val="18"/>
                <w:lang w:val="fr-CH"/>
              </w:rPr>
              <w:t>homogène</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4520A0" w:rsidRPr="00E454D1" w:rsidRDefault="004520A0" w:rsidP="00844B8A">
            <w:pPr>
              <w:ind w:left="158"/>
              <w:jc w:val="center"/>
              <w:rPr>
                <w:rFonts w:cs="Arial"/>
                <w:sz w:val="18"/>
                <w:szCs w:val="18"/>
                <w:lang w:val="fr-CH"/>
              </w:rPr>
            </w:pPr>
            <w:r w:rsidRPr="00E454D1">
              <w:rPr>
                <w:rFonts w:cs="Arial"/>
                <w:sz w:val="18"/>
                <w:szCs w:val="18"/>
                <w:lang w:val="fr-CH"/>
              </w:rPr>
              <w:t>homogène</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4520A0" w:rsidRPr="00E454D1" w:rsidRDefault="004520A0" w:rsidP="00844B8A">
            <w:pPr>
              <w:ind w:left="292"/>
              <w:jc w:val="center"/>
              <w:rPr>
                <w:sz w:val="18"/>
                <w:szCs w:val="18"/>
                <w:lang w:val="fr-CH"/>
              </w:rPr>
            </w:pPr>
            <w:r w:rsidRPr="00E454D1">
              <w:rPr>
                <w:sz w:val="18"/>
                <w:szCs w:val="18"/>
                <w:lang w:val="fr-CH"/>
              </w:rPr>
              <w:t>non homogène</w:t>
            </w:r>
          </w:p>
        </w:tc>
      </w:tr>
      <w:tr w:rsidR="00E454D1" w:rsidRPr="00E454D1" w:rsidTr="00D87148">
        <w:trPr>
          <w:trHeight w:val="273"/>
        </w:trPr>
        <w:tc>
          <w:tcPr>
            <w:tcW w:w="393" w:type="dxa"/>
            <w:vMerge/>
            <w:tcBorders>
              <w:left w:val="single" w:sz="4" w:space="0" w:color="auto"/>
              <w:right w:val="single" w:sz="4" w:space="0" w:color="000000"/>
            </w:tcBorders>
            <w:vAlign w:val="center"/>
            <w:hideMark/>
          </w:tcPr>
          <w:p w:rsidR="004520A0" w:rsidRPr="00E454D1" w:rsidRDefault="004520A0" w:rsidP="000901F1">
            <w:pPr>
              <w:ind w:left="567"/>
              <w:jc w:val="left"/>
              <w:rPr>
                <w:rFonts w:cs="Arial"/>
                <w:sz w:val="18"/>
                <w:szCs w:val="18"/>
                <w:lang w:val="fr-CH"/>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4520A0" w:rsidRPr="00E454D1" w:rsidRDefault="004520A0" w:rsidP="00844B8A">
            <w:pPr>
              <w:ind w:left="155"/>
              <w:rPr>
                <w:rFonts w:cs="Arial"/>
                <w:sz w:val="18"/>
                <w:szCs w:val="18"/>
                <w:lang w:val="fr-CH"/>
              </w:rPr>
            </w:pPr>
            <w:r w:rsidRPr="00E454D1">
              <w:rPr>
                <w:rFonts w:cs="Arial"/>
                <w:sz w:val="18"/>
                <w:szCs w:val="18"/>
                <w:lang w:val="fr-CH"/>
              </w:rPr>
              <w:t>troisième cycle de végétation*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520A0" w:rsidRPr="00E454D1" w:rsidRDefault="004520A0" w:rsidP="00844B8A">
            <w:pPr>
              <w:ind w:left="158"/>
              <w:jc w:val="center"/>
              <w:rPr>
                <w:rFonts w:cs="Arial"/>
                <w:sz w:val="18"/>
                <w:szCs w:val="18"/>
                <w:lang w:val="fr-CH"/>
              </w:rPr>
            </w:pPr>
            <w:r w:rsidRPr="00E454D1">
              <w:rPr>
                <w:rFonts w:cs="Arial"/>
                <w:sz w:val="18"/>
                <w:szCs w:val="18"/>
                <w:lang w:val="fr-CH"/>
              </w:rPr>
              <w:t>homogène</w:t>
            </w:r>
          </w:p>
        </w:tc>
        <w:tc>
          <w:tcPr>
            <w:tcW w:w="1624" w:type="dxa"/>
            <w:tcBorders>
              <w:top w:val="single" w:sz="4" w:space="0" w:color="auto"/>
              <w:bottom w:val="single" w:sz="4" w:space="0" w:color="auto"/>
              <w:right w:val="single" w:sz="4" w:space="0" w:color="auto"/>
            </w:tcBorders>
            <w:shd w:val="clear" w:color="auto" w:fill="auto"/>
          </w:tcPr>
          <w:p w:rsidR="004520A0" w:rsidRPr="00E454D1" w:rsidRDefault="004520A0" w:rsidP="00844B8A">
            <w:pPr>
              <w:ind w:left="292"/>
              <w:jc w:val="center"/>
              <w:rPr>
                <w:sz w:val="18"/>
                <w:szCs w:val="18"/>
                <w:lang w:val="fr-CH"/>
              </w:rPr>
            </w:pPr>
            <w:r w:rsidRPr="00E454D1">
              <w:rPr>
                <w:sz w:val="18"/>
                <w:szCs w:val="18"/>
                <w:lang w:val="fr-CH"/>
              </w:rPr>
              <w:t>homogène</w:t>
            </w:r>
          </w:p>
        </w:tc>
      </w:tr>
      <w:tr w:rsidR="00E454D1" w:rsidRPr="00E454D1" w:rsidTr="00D87148">
        <w:trPr>
          <w:trHeight w:val="248"/>
        </w:trPr>
        <w:tc>
          <w:tcPr>
            <w:tcW w:w="393" w:type="dxa"/>
            <w:vMerge/>
            <w:tcBorders>
              <w:left w:val="single" w:sz="4" w:space="0" w:color="auto"/>
              <w:right w:val="single" w:sz="4" w:space="0" w:color="auto"/>
            </w:tcBorders>
            <w:vAlign w:val="center"/>
            <w:hideMark/>
          </w:tcPr>
          <w:p w:rsidR="004520A0" w:rsidRPr="00E454D1" w:rsidRDefault="004520A0" w:rsidP="000901F1">
            <w:pPr>
              <w:ind w:left="567"/>
              <w:jc w:val="left"/>
              <w:rPr>
                <w:rFonts w:cs="Arial"/>
                <w:sz w:val="18"/>
                <w:szCs w:val="18"/>
                <w:lang w:val="fr-CH"/>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4520A0" w:rsidRPr="00E454D1" w:rsidRDefault="004520A0" w:rsidP="00844B8A">
            <w:pPr>
              <w:ind w:left="155"/>
              <w:rPr>
                <w:rFonts w:cs="Arial"/>
                <w:sz w:val="18"/>
                <w:szCs w:val="18"/>
                <w:lang w:val="fr-CH"/>
              </w:rPr>
            </w:pPr>
            <w:r w:rsidRPr="00E454D1">
              <w:rPr>
                <w:rFonts w:cs="Arial"/>
                <w:sz w:val="18"/>
                <w:szCs w:val="18"/>
                <w:lang w:val="fr-CH"/>
              </w:rPr>
              <w:t>troisième cycle de végétation*</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4520A0" w:rsidRPr="00E454D1" w:rsidRDefault="004520A0" w:rsidP="00844B8A">
            <w:pPr>
              <w:ind w:left="158"/>
              <w:jc w:val="center"/>
              <w:rPr>
                <w:rFonts w:cs="Arial"/>
                <w:sz w:val="18"/>
                <w:szCs w:val="18"/>
                <w:lang w:val="fr-CH"/>
              </w:rPr>
            </w:pPr>
            <w:r w:rsidRPr="00E454D1">
              <w:rPr>
                <w:rFonts w:cs="Arial"/>
                <w:sz w:val="18"/>
                <w:szCs w:val="18"/>
                <w:lang w:val="fr-CH"/>
              </w:rPr>
              <w:t>non homogène*</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4520A0" w:rsidRPr="00E454D1" w:rsidRDefault="004520A0" w:rsidP="00844B8A">
            <w:pPr>
              <w:ind w:left="292"/>
              <w:jc w:val="center"/>
              <w:rPr>
                <w:sz w:val="18"/>
                <w:szCs w:val="18"/>
                <w:lang w:val="fr-CH"/>
              </w:rPr>
            </w:pPr>
            <w:r w:rsidRPr="00E454D1">
              <w:rPr>
                <w:sz w:val="18"/>
                <w:szCs w:val="18"/>
                <w:lang w:val="fr-CH"/>
              </w:rPr>
              <w:t>non homogène*</w:t>
            </w:r>
          </w:p>
        </w:tc>
      </w:tr>
      <w:tr w:rsidR="00E454D1" w:rsidRPr="00E454D1" w:rsidTr="00D87148">
        <w:trPr>
          <w:trHeight w:val="267"/>
        </w:trPr>
        <w:tc>
          <w:tcPr>
            <w:tcW w:w="393" w:type="dxa"/>
            <w:vMerge/>
            <w:tcBorders>
              <w:left w:val="single" w:sz="4" w:space="0" w:color="auto"/>
              <w:right w:val="single" w:sz="4" w:space="0" w:color="000000"/>
            </w:tcBorders>
            <w:vAlign w:val="center"/>
            <w:hideMark/>
          </w:tcPr>
          <w:p w:rsidR="004520A0" w:rsidRPr="00E454D1" w:rsidRDefault="004520A0" w:rsidP="000901F1">
            <w:pPr>
              <w:ind w:left="567"/>
              <w:jc w:val="left"/>
              <w:rPr>
                <w:rFonts w:cs="Arial"/>
                <w:sz w:val="18"/>
                <w:szCs w:val="18"/>
                <w:lang w:val="fr-CH"/>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4520A0" w:rsidRPr="00E454D1" w:rsidRDefault="004520A0" w:rsidP="00844B8A">
            <w:pPr>
              <w:ind w:left="155"/>
              <w:rPr>
                <w:rFonts w:cs="Arial"/>
                <w:sz w:val="18"/>
                <w:szCs w:val="18"/>
                <w:lang w:val="fr-CH"/>
              </w:rPr>
            </w:pPr>
            <w:r w:rsidRPr="00E454D1">
              <w:rPr>
                <w:rFonts w:cs="Arial"/>
                <w:sz w:val="18"/>
                <w:szCs w:val="18"/>
                <w:lang w:val="fr-CH"/>
              </w:rPr>
              <w:t>troisième cycle de végétation*</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4520A0" w:rsidRPr="00E454D1" w:rsidRDefault="004520A0" w:rsidP="00844B8A">
            <w:pPr>
              <w:ind w:left="158"/>
              <w:jc w:val="center"/>
              <w:rPr>
                <w:rFonts w:cs="Arial"/>
                <w:sz w:val="18"/>
                <w:szCs w:val="18"/>
                <w:lang w:val="fr-CH"/>
              </w:rPr>
            </w:pPr>
            <w:r w:rsidRPr="00E454D1">
              <w:rPr>
                <w:rFonts w:cs="Arial"/>
                <w:sz w:val="18"/>
                <w:szCs w:val="18"/>
                <w:lang w:val="fr-CH"/>
              </w:rPr>
              <w:t>non homogène*</w:t>
            </w:r>
          </w:p>
        </w:tc>
        <w:tc>
          <w:tcPr>
            <w:tcW w:w="1624" w:type="dxa"/>
            <w:tcBorders>
              <w:top w:val="single" w:sz="4" w:space="0" w:color="auto"/>
              <w:bottom w:val="single" w:sz="4" w:space="0" w:color="auto"/>
              <w:right w:val="single" w:sz="4" w:space="0" w:color="auto"/>
            </w:tcBorders>
            <w:shd w:val="clear" w:color="auto" w:fill="auto"/>
          </w:tcPr>
          <w:p w:rsidR="004520A0" w:rsidRPr="00E454D1" w:rsidRDefault="004520A0" w:rsidP="00844B8A">
            <w:pPr>
              <w:ind w:left="292"/>
              <w:jc w:val="center"/>
              <w:rPr>
                <w:sz w:val="18"/>
                <w:szCs w:val="18"/>
                <w:lang w:val="fr-CH"/>
              </w:rPr>
            </w:pPr>
            <w:r w:rsidRPr="00E454D1">
              <w:rPr>
                <w:sz w:val="18"/>
                <w:szCs w:val="18"/>
                <w:lang w:val="fr-CH"/>
              </w:rPr>
              <w:t>non homogène*</w:t>
            </w:r>
          </w:p>
        </w:tc>
      </w:tr>
      <w:tr w:rsidR="004520A0" w:rsidRPr="00E454D1" w:rsidTr="00D87148">
        <w:trPr>
          <w:trHeight w:val="266"/>
        </w:trPr>
        <w:tc>
          <w:tcPr>
            <w:tcW w:w="393" w:type="dxa"/>
            <w:vMerge/>
            <w:tcBorders>
              <w:left w:val="single" w:sz="4" w:space="0" w:color="auto"/>
              <w:bottom w:val="single" w:sz="4" w:space="0" w:color="auto"/>
              <w:right w:val="single" w:sz="4" w:space="0" w:color="000000"/>
            </w:tcBorders>
            <w:shd w:val="clear" w:color="auto" w:fill="auto"/>
            <w:noWrap/>
            <w:vAlign w:val="bottom"/>
            <w:hideMark/>
          </w:tcPr>
          <w:p w:rsidR="004520A0" w:rsidRPr="00E454D1" w:rsidRDefault="004520A0" w:rsidP="000901F1">
            <w:pPr>
              <w:ind w:left="567"/>
              <w:jc w:val="left"/>
              <w:rPr>
                <w:rFonts w:cs="Arial"/>
                <w:sz w:val="18"/>
                <w:szCs w:val="18"/>
                <w:lang w:val="fr-CH"/>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4520A0" w:rsidRPr="00E454D1" w:rsidRDefault="004520A0" w:rsidP="00844B8A">
            <w:pPr>
              <w:ind w:left="567"/>
              <w:rPr>
                <w:rFonts w:cs="Arial"/>
                <w:sz w:val="18"/>
                <w:szCs w:val="18"/>
                <w:lang w:val="fr-CH"/>
              </w:rPr>
            </w:pPr>
            <w:r w:rsidRPr="00E454D1">
              <w:rPr>
                <w:rFonts w:cs="Arial"/>
                <w:sz w:val="18"/>
                <w:szCs w:val="18"/>
                <w:lang w:val="fr-CH"/>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4520A0" w:rsidRPr="00E454D1" w:rsidRDefault="004520A0" w:rsidP="00844B8A">
            <w:pPr>
              <w:ind w:left="567" w:right="-123"/>
              <w:rPr>
                <w:rFonts w:cs="Arial"/>
                <w:sz w:val="18"/>
                <w:szCs w:val="18"/>
                <w:lang w:val="fr-CH"/>
              </w:rPr>
            </w:pPr>
            <w:r w:rsidRPr="00E454D1">
              <w:rPr>
                <w:rFonts w:cs="Arial"/>
                <w:sz w:val="18"/>
                <w:szCs w:val="18"/>
                <w:lang w:val="fr-CH"/>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4520A0" w:rsidRPr="00E454D1" w:rsidRDefault="004520A0" w:rsidP="00844B8A">
            <w:pPr>
              <w:ind w:left="155" w:right="-122"/>
              <w:rPr>
                <w:rFonts w:cs="Arial"/>
                <w:sz w:val="18"/>
                <w:szCs w:val="18"/>
                <w:lang w:val="fr-CH"/>
              </w:rPr>
            </w:pPr>
            <w:r w:rsidRPr="00E454D1">
              <w:rPr>
                <w:rFonts w:cs="Arial"/>
                <w:sz w:val="18"/>
                <w:szCs w:val="18"/>
                <w:lang w:val="fr-CH"/>
              </w:rPr>
              <w:t xml:space="preserve">troisième cycle de végétation*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4520A0" w:rsidRPr="00E454D1" w:rsidRDefault="004520A0" w:rsidP="00844B8A">
            <w:pPr>
              <w:ind w:left="158"/>
              <w:jc w:val="center"/>
              <w:rPr>
                <w:rFonts w:cs="Arial"/>
                <w:sz w:val="18"/>
                <w:szCs w:val="18"/>
                <w:lang w:val="fr-CH"/>
              </w:rPr>
            </w:pPr>
            <w:r w:rsidRPr="00E454D1">
              <w:rPr>
                <w:rFonts w:cs="Arial"/>
                <w:sz w:val="18"/>
                <w:szCs w:val="18"/>
                <w:lang w:val="fr-CH"/>
              </w:rPr>
              <w:t>non homogène*</w:t>
            </w:r>
          </w:p>
        </w:tc>
        <w:tc>
          <w:tcPr>
            <w:tcW w:w="1624" w:type="dxa"/>
            <w:tcBorders>
              <w:top w:val="single" w:sz="4" w:space="0" w:color="auto"/>
              <w:bottom w:val="single" w:sz="4" w:space="0" w:color="auto"/>
              <w:right w:val="single" w:sz="4" w:space="0" w:color="auto"/>
            </w:tcBorders>
            <w:shd w:val="clear" w:color="auto" w:fill="auto"/>
          </w:tcPr>
          <w:p w:rsidR="004520A0" w:rsidRPr="00E454D1" w:rsidRDefault="004520A0" w:rsidP="00844B8A">
            <w:pPr>
              <w:ind w:left="292"/>
              <w:jc w:val="center"/>
              <w:rPr>
                <w:sz w:val="18"/>
                <w:szCs w:val="18"/>
                <w:lang w:val="fr-CH"/>
              </w:rPr>
            </w:pPr>
            <w:r w:rsidRPr="00E454D1">
              <w:rPr>
                <w:sz w:val="18"/>
                <w:szCs w:val="18"/>
                <w:lang w:val="fr-CH"/>
              </w:rPr>
              <w:t>non homogène*</w:t>
            </w:r>
          </w:p>
        </w:tc>
      </w:tr>
    </w:tbl>
    <w:p w:rsidR="00D75FE9" w:rsidRPr="00E454D1" w:rsidRDefault="00D75FE9" w:rsidP="002C37D6">
      <w:pPr>
        <w:rPr>
          <w:lang w:val="fr-CH"/>
        </w:rPr>
      </w:pPr>
    </w:p>
    <w:p w:rsidR="00D75FE9" w:rsidRPr="00E454D1" w:rsidRDefault="004520A0" w:rsidP="000901F1">
      <w:pPr>
        <w:keepNext/>
        <w:keepLines/>
        <w:ind w:left="567"/>
        <w:rPr>
          <w:sz w:val="18"/>
          <w:szCs w:val="18"/>
          <w:u w:val="single"/>
          <w:lang w:val="fr-CH"/>
        </w:rPr>
      </w:pPr>
      <w:r w:rsidRPr="00E454D1">
        <w:rPr>
          <w:sz w:val="18"/>
          <w:szCs w:val="18"/>
          <w:lang w:val="fr-CH"/>
        </w:rPr>
        <w:t xml:space="preserve">* </w:t>
      </w:r>
      <w:r w:rsidRPr="00E454D1">
        <w:rPr>
          <w:rFonts w:eastAsia="SimSun"/>
          <w:sz w:val="18"/>
          <w:szCs w:val="18"/>
          <w:lang w:val="fr-CH"/>
        </w:rPr>
        <w:t>Il faut faire preuve de prudence lorsqu</w:t>
      </w:r>
      <w:r w:rsidR="00E454D1">
        <w:rPr>
          <w:rFonts w:eastAsia="SimSun"/>
          <w:sz w:val="18"/>
          <w:szCs w:val="18"/>
          <w:lang w:val="fr-CH"/>
        </w:rPr>
        <w:t>’</w:t>
      </w:r>
      <w:r w:rsidRPr="00E454D1">
        <w:rPr>
          <w:rFonts w:eastAsia="SimSun"/>
          <w:sz w:val="18"/>
          <w:szCs w:val="18"/>
          <w:lang w:val="fr-CH"/>
        </w:rPr>
        <w:t>on examine des résultats très différents dans chacun des cycles de végétation, notamment lorsqu</w:t>
      </w:r>
      <w:r w:rsidR="00E454D1">
        <w:rPr>
          <w:rFonts w:eastAsia="SimSun"/>
          <w:sz w:val="18"/>
          <w:szCs w:val="18"/>
          <w:lang w:val="fr-CH"/>
        </w:rPr>
        <w:t>’</w:t>
      </w:r>
      <w:r w:rsidRPr="00E454D1">
        <w:rPr>
          <w:rFonts w:eastAsia="SimSun"/>
          <w:sz w:val="18"/>
          <w:szCs w:val="18"/>
          <w:lang w:val="fr-CH"/>
        </w:rPr>
        <w:t>un type de plante hors</w:t>
      </w:r>
      <w:r w:rsidR="00E454D1">
        <w:rPr>
          <w:rFonts w:eastAsia="SimSun"/>
          <w:sz w:val="18"/>
          <w:szCs w:val="18"/>
          <w:lang w:val="fr-CH"/>
        </w:rPr>
        <w:t>-</w:t>
      </w:r>
      <w:r w:rsidRPr="00E454D1">
        <w:rPr>
          <w:rFonts w:eastAsia="SimSun"/>
          <w:sz w:val="18"/>
          <w:szCs w:val="18"/>
          <w:lang w:val="fr-CH"/>
        </w:rPr>
        <w:t>type a été observé à un niveau élevé dans un cycle de végétation tout en étant absent dans un aut</w:t>
      </w:r>
      <w:r w:rsidR="00C77A34" w:rsidRPr="00E454D1">
        <w:rPr>
          <w:rFonts w:eastAsia="SimSun"/>
          <w:sz w:val="18"/>
          <w:szCs w:val="18"/>
          <w:lang w:val="fr-CH"/>
        </w:rPr>
        <w:t>re</w:t>
      </w:r>
      <w:r w:rsidR="00C77A34">
        <w:rPr>
          <w:rFonts w:eastAsia="SimSun"/>
          <w:sz w:val="18"/>
          <w:szCs w:val="18"/>
          <w:lang w:val="fr-CH"/>
        </w:rPr>
        <w:t xml:space="preserve">.  </w:t>
      </w:r>
      <w:r w:rsidR="00C77A34" w:rsidRPr="00E454D1">
        <w:rPr>
          <w:sz w:val="18"/>
          <w:szCs w:val="18"/>
          <w:lang w:val="fr-CH"/>
        </w:rPr>
        <w:t>Un</w:t>
      </w:r>
      <w:r w:rsidRPr="00E454D1">
        <w:rPr>
          <w:sz w:val="18"/>
          <w:szCs w:val="18"/>
          <w:lang w:val="fr-CH"/>
        </w:rPr>
        <w:t xml:space="preserve"> test statistique d</w:t>
      </w:r>
      <w:r w:rsidR="00E454D1">
        <w:rPr>
          <w:sz w:val="18"/>
          <w:szCs w:val="18"/>
          <w:lang w:val="fr-CH"/>
        </w:rPr>
        <w:t>’</w:t>
      </w:r>
      <w:r w:rsidRPr="00E454D1">
        <w:rPr>
          <w:sz w:val="18"/>
          <w:szCs w:val="18"/>
          <w:lang w:val="fr-CH"/>
        </w:rPr>
        <w:t>homogénéité devrait être pratiqué, le cas échéa</w:t>
      </w:r>
      <w:r w:rsidR="00C77A34" w:rsidRPr="00E454D1">
        <w:rPr>
          <w:sz w:val="18"/>
          <w:szCs w:val="18"/>
          <w:lang w:val="fr-CH"/>
        </w:rPr>
        <w:t>nt</w:t>
      </w:r>
      <w:r w:rsidR="00C77A34">
        <w:rPr>
          <w:sz w:val="18"/>
          <w:szCs w:val="18"/>
          <w:lang w:val="fr-CH"/>
        </w:rPr>
        <w:t xml:space="preserve">.  </w:t>
      </w:r>
      <w:r w:rsidR="00C77A34" w:rsidRPr="00E454D1">
        <w:rPr>
          <w:sz w:val="18"/>
          <w:szCs w:val="18"/>
          <w:lang w:val="fr-CH"/>
        </w:rPr>
        <w:t>Il</w:t>
      </w:r>
      <w:r w:rsidRPr="00E454D1">
        <w:rPr>
          <w:sz w:val="18"/>
          <w:szCs w:val="18"/>
          <w:lang w:val="fr-CH"/>
        </w:rPr>
        <w:t xml:space="preserve"> est important d</w:t>
      </w:r>
      <w:r w:rsidR="00E454D1">
        <w:rPr>
          <w:sz w:val="18"/>
          <w:szCs w:val="18"/>
          <w:lang w:val="fr-CH"/>
        </w:rPr>
        <w:t>’</w:t>
      </w:r>
      <w:r w:rsidRPr="00E454D1">
        <w:rPr>
          <w:sz w:val="18"/>
          <w:szCs w:val="18"/>
          <w:lang w:val="fr-CH"/>
        </w:rPr>
        <w:t>identifier si la variation du nombre de plantes hors</w:t>
      </w:r>
      <w:r w:rsidR="00E454D1">
        <w:rPr>
          <w:sz w:val="18"/>
          <w:szCs w:val="18"/>
          <w:lang w:val="fr-CH"/>
        </w:rPr>
        <w:t>-</w:t>
      </w:r>
      <w:r w:rsidRPr="00E454D1">
        <w:rPr>
          <w:sz w:val="18"/>
          <w:szCs w:val="18"/>
          <w:lang w:val="fr-CH"/>
        </w:rPr>
        <w:t>type entre les cycles s</w:t>
      </w:r>
      <w:r w:rsidR="00E454D1">
        <w:rPr>
          <w:sz w:val="18"/>
          <w:szCs w:val="18"/>
          <w:lang w:val="fr-CH"/>
        </w:rPr>
        <w:t>’</w:t>
      </w:r>
      <w:r w:rsidRPr="00E454D1">
        <w:rPr>
          <w:sz w:val="18"/>
          <w:szCs w:val="18"/>
          <w:lang w:val="fr-CH"/>
        </w:rPr>
        <w:t>explique par des conditions environnementales ou des fluctuations d</w:t>
      </w:r>
      <w:r w:rsidR="00E454D1">
        <w:rPr>
          <w:sz w:val="18"/>
          <w:szCs w:val="18"/>
          <w:lang w:val="fr-CH"/>
        </w:rPr>
        <w:t>’</w:t>
      </w:r>
      <w:r w:rsidRPr="00E454D1">
        <w:rPr>
          <w:sz w:val="18"/>
          <w:szCs w:val="18"/>
          <w:lang w:val="fr-CH"/>
        </w:rPr>
        <w:t>échantillonnage.</w:t>
      </w:r>
    </w:p>
    <w:p w:rsidR="00D75FE9" w:rsidRPr="00E454D1" w:rsidRDefault="00D75FE9" w:rsidP="000901F1">
      <w:pPr>
        <w:keepNext/>
        <w:keepLines/>
        <w:ind w:left="567"/>
        <w:rPr>
          <w:sz w:val="18"/>
          <w:szCs w:val="18"/>
          <w:lang w:val="fr-CH"/>
        </w:rPr>
      </w:pPr>
    </w:p>
    <w:p w:rsidR="00D75FE9" w:rsidRPr="00E454D1" w:rsidRDefault="004520A0" w:rsidP="000901F1">
      <w:pPr>
        <w:ind w:left="567" w:right="567"/>
        <w:jc w:val="left"/>
        <w:rPr>
          <w:sz w:val="18"/>
          <w:szCs w:val="18"/>
          <w:lang w:val="fr-CH"/>
        </w:rPr>
      </w:pPr>
      <w:r w:rsidRPr="00E454D1">
        <w:rPr>
          <w:sz w:val="18"/>
          <w:szCs w:val="18"/>
          <w:lang w:val="fr-CH"/>
        </w:rPr>
        <w:t>** Si au cours du premier cycle de végétation, le nombre de plantes hors</w:t>
      </w:r>
      <w:r w:rsidR="00E454D1">
        <w:rPr>
          <w:sz w:val="18"/>
          <w:szCs w:val="18"/>
          <w:lang w:val="fr-CH"/>
        </w:rPr>
        <w:t>-</w:t>
      </w:r>
      <w:r w:rsidRPr="00E454D1">
        <w:rPr>
          <w:sz w:val="18"/>
          <w:szCs w:val="18"/>
          <w:lang w:val="fr-CH"/>
        </w:rPr>
        <w:t>type dépasse une limite supérieure prédéfinie, la variété peut être rejetée après un seul cycle de végétation.</w:t>
      </w:r>
    </w:p>
    <w:p w:rsidR="00D75FE9" w:rsidRPr="00E454D1" w:rsidRDefault="00D75FE9" w:rsidP="000901F1">
      <w:pPr>
        <w:ind w:left="567" w:right="567"/>
        <w:rPr>
          <w:sz w:val="18"/>
          <w:lang w:val="fr-CH"/>
        </w:rPr>
      </w:pPr>
    </w:p>
    <w:p w:rsidR="00D75FE9" w:rsidRPr="00E454D1" w:rsidRDefault="00D75FE9" w:rsidP="000901F1">
      <w:pPr>
        <w:ind w:left="567" w:right="567"/>
        <w:rPr>
          <w:sz w:val="18"/>
          <w:lang w:val="fr-CH"/>
        </w:rPr>
      </w:pPr>
    </w:p>
    <w:p w:rsidR="002F2D47" w:rsidRPr="00E454D1" w:rsidRDefault="009956BC" w:rsidP="000901F1">
      <w:pPr>
        <w:ind w:left="567" w:right="567"/>
        <w:rPr>
          <w:sz w:val="18"/>
          <w:u w:val="single"/>
          <w:lang w:val="fr-CH"/>
        </w:rPr>
      </w:pPr>
      <w:r w:rsidRPr="00E454D1">
        <w:rPr>
          <w:sz w:val="18"/>
          <w:u w:val="single"/>
          <w:lang w:val="fr-CH"/>
        </w:rPr>
        <w:lastRenderedPageBreak/>
        <w:t>N</w:t>
      </w:r>
      <w:r w:rsidR="0040586B" w:rsidRPr="00E454D1">
        <w:rPr>
          <w:sz w:val="18"/>
          <w:u w:val="single"/>
          <w:lang w:val="fr-CH"/>
        </w:rPr>
        <w:t>ouvelle s</w:t>
      </w:r>
      <w:r w:rsidRPr="00E454D1">
        <w:rPr>
          <w:sz w:val="18"/>
          <w:u w:val="single"/>
          <w:lang w:val="fr-CH"/>
        </w:rPr>
        <w:t>ection</w:t>
      </w:r>
      <w:r w:rsidR="00FE5010" w:rsidRPr="00E454D1">
        <w:rPr>
          <w:sz w:val="18"/>
          <w:u w:val="single"/>
          <w:lang w:val="fr-CH"/>
        </w:rPr>
        <w:t> </w:t>
      </w:r>
      <w:r w:rsidRPr="00E454D1">
        <w:rPr>
          <w:sz w:val="18"/>
          <w:u w:val="single"/>
          <w:lang w:val="fr-CH"/>
        </w:rPr>
        <w:t>4.8</w:t>
      </w:r>
      <w:r w:rsidR="00E454D1">
        <w:rPr>
          <w:sz w:val="18"/>
          <w:u w:val="single"/>
          <w:lang w:val="fr-CH"/>
        </w:rPr>
        <w:t> :</w:t>
      </w:r>
      <w:r w:rsidRPr="00E454D1">
        <w:rPr>
          <w:sz w:val="18"/>
          <w:u w:val="single"/>
          <w:lang w:val="fr-CH"/>
        </w:rPr>
        <w:t xml:space="preserve"> </w:t>
      </w:r>
      <w:r w:rsidR="007254EC" w:rsidRPr="00E454D1">
        <w:rPr>
          <w:sz w:val="18"/>
          <w:u w:val="single"/>
          <w:lang w:val="fr-CH"/>
        </w:rPr>
        <w:t>Évaluation de l</w:t>
      </w:r>
      <w:r w:rsidR="00E454D1">
        <w:rPr>
          <w:sz w:val="18"/>
          <w:u w:val="single"/>
          <w:lang w:val="fr-CH"/>
        </w:rPr>
        <w:t>’</w:t>
      </w:r>
      <w:r w:rsidR="007254EC" w:rsidRPr="00E454D1">
        <w:rPr>
          <w:sz w:val="18"/>
          <w:u w:val="single"/>
          <w:lang w:val="fr-CH"/>
        </w:rPr>
        <w:t>homogénéité d</w:t>
      </w:r>
      <w:r w:rsidR="00E454D1">
        <w:rPr>
          <w:sz w:val="18"/>
          <w:u w:val="single"/>
          <w:lang w:val="fr-CH"/>
        </w:rPr>
        <w:t>’</w:t>
      </w:r>
      <w:r w:rsidR="007254EC" w:rsidRPr="00E454D1">
        <w:rPr>
          <w:sz w:val="18"/>
          <w:u w:val="single"/>
          <w:lang w:val="fr-CH"/>
        </w:rPr>
        <w:t>après les plantes hors</w:t>
      </w:r>
      <w:r w:rsidR="00E454D1">
        <w:rPr>
          <w:sz w:val="18"/>
          <w:u w:val="single"/>
          <w:lang w:val="fr-CH"/>
        </w:rPr>
        <w:t>-</w:t>
      </w:r>
      <w:r w:rsidR="007254EC" w:rsidRPr="00E454D1">
        <w:rPr>
          <w:sz w:val="18"/>
          <w:u w:val="single"/>
          <w:lang w:val="fr-CH"/>
        </w:rPr>
        <w:t>type sur la base de sous</w:t>
      </w:r>
      <w:r w:rsidR="00E454D1">
        <w:rPr>
          <w:sz w:val="18"/>
          <w:u w:val="single"/>
          <w:lang w:val="fr-CH"/>
        </w:rPr>
        <w:t>-</w:t>
      </w:r>
      <w:r w:rsidR="007254EC" w:rsidRPr="00E454D1">
        <w:rPr>
          <w:sz w:val="18"/>
          <w:u w:val="single"/>
          <w:lang w:val="fr-CH"/>
        </w:rPr>
        <w:t>échantillons dans le cadre d</w:t>
      </w:r>
      <w:r w:rsidR="00E454D1">
        <w:rPr>
          <w:sz w:val="18"/>
          <w:u w:val="single"/>
          <w:lang w:val="fr-CH"/>
        </w:rPr>
        <w:t>’</w:t>
      </w:r>
      <w:r w:rsidR="007254EC" w:rsidRPr="00E454D1">
        <w:rPr>
          <w:sz w:val="18"/>
          <w:u w:val="single"/>
          <w:lang w:val="fr-CH"/>
        </w:rPr>
        <w:t>un seul examen/essai</w:t>
      </w:r>
    </w:p>
    <w:p w:rsidR="00D75FE9" w:rsidRPr="00E454D1" w:rsidRDefault="00D75FE9" w:rsidP="009956BC">
      <w:pPr>
        <w:ind w:left="567" w:right="567"/>
        <w:rPr>
          <w:sz w:val="18"/>
          <w:lang w:val="fr-CH"/>
        </w:rPr>
      </w:pPr>
    </w:p>
    <w:p w:rsidR="00D75FE9" w:rsidRPr="00E454D1" w:rsidRDefault="0040586B" w:rsidP="0040586B">
      <w:pPr>
        <w:ind w:left="567" w:right="567" w:firstLine="567"/>
        <w:rPr>
          <w:i/>
          <w:sz w:val="18"/>
          <w:lang w:val="fr-CH"/>
        </w:rPr>
      </w:pPr>
      <w:r w:rsidRPr="00E454D1">
        <w:rPr>
          <w:i/>
          <w:sz w:val="18"/>
          <w:lang w:val="fr-CH"/>
        </w:rPr>
        <w:t>Méthode</w:t>
      </w:r>
      <w:r w:rsidR="00E454D1">
        <w:rPr>
          <w:i/>
          <w:sz w:val="18"/>
          <w:lang w:val="fr-CH"/>
        </w:rPr>
        <w:t> :</w:t>
      </w:r>
      <w:r w:rsidRPr="00E454D1">
        <w:rPr>
          <w:i/>
          <w:sz w:val="18"/>
          <w:lang w:val="fr-CH"/>
        </w:rPr>
        <w:t xml:space="preserve"> Utilisation du sous</w:t>
      </w:r>
      <w:r w:rsidR="00E454D1">
        <w:rPr>
          <w:i/>
          <w:sz w:val="18"/>
          <w:lang w:val="fr-CH"/>
        </w:rPr>
        <w:t>-</w:t>
      </w:r>
      <w:r w:rsidRPr="00E454D1">
        <w:rPr>
          <w:i/>
          <w:sz w:val="18"/>
          <w:lang w:val="fr-CH"/>
        </w:rPr>
        <w:t>échantillon comme première étape d</w:t>
      </w:r>
      <w:r w:rsidR="00E454D1">
        <w:rPr>
          <w:i/>
          <w:sz w:val="18"/>
          <w:lang w:val="fr-CH"/>
        </w:rPr>
        <w:t>’</w:t>
      </w:r>
      <w:r w:rsidRPr="00E454D1">
        <w:rPr>
          <w:i/>
          <w:sz w:val="18"/>
          <w:lang w:val="fr-CH"/>
        </w:rPr>
        <w:t>évaluation</w:t>
      </w:r>
    </w:p>
    <w:p w:rsidR="00D75FE9" w:rsidRPr="00E454D1" w:rsidRDefault="0040586B" w:rsidP="0040586B">
      <w:pPr>
        <w:ind w:left="567" w:right="567"/>
        <w:rPr>
          <w:i/>
          <w:sz w:val="18"/>
          <w:lang w:val="fr-CH"/>
        </w:rPr>
      </w:pPr>
      <w:r w:rsidRPr="00E454D1">
        <w:rPr>
          <w:i/>
          <w:sz w:val="18"/>
          <w:lang w:val="fr-CH"/>
        </w:rPr>
        <w:tab/>
      </w:r>
    </w:p>
    <w:p w:rsidR="00D75FE9" w:rsidRPr="00E454D1" w:rsidRDefault="0040586B" w:rsidP="0040586B">
      <w:pPr>
        <w:ind w:left="567" w:right="567"/>
        <w:rPr>
          <w:sz w:val="18"/>
          <w:lang w:val="fr-CH"/>
        </w:rPr>
      </w:pPr>
      <w:r w:rsidRPr="00E454D1">
        <w:rPr>
          <w:sz w:val="18"/>
          <w:lang w:val="fr-CH"/>
        </w:rPr>
        <w:t>Une variété est réputée homogène si le nombre de plantes hors</w:t>
      </w:r>
      <w:r w:rsidR="00E454D1">
        <w:rPr>
          <w:sz w:val="18"/>
          <w:lang w:val="fr-CH"/>
        </w:rPr>
        <w:t>-</w:t>
      </w:r>
      <w:r w:rsidRPr="00E454D1">
        <w:rPr>
          <w:sz w:val="18"/>
          <w:lang w:val="fr-CH"/>
        </w:rPr>
        <w:t>type ne dépasse pas une limite inférieure prédéfinie dans le sous</w:t>
      </w:r>
      <w:r w:rsidR="00E454D1">
        <w:rPr>
          <w:sz w:val="18"/>
          <w:lang w:val="fr-CH"/>
        </w:rPr>
        <w:t>-</w:t>
      </w:r>
      <w:r w:rsidRPr="00E454D1">
        <w:rPr>
          <w:sz w:val="18"/>
          <w:lang w:val="fr-CH"/>
        </w:rPr>
        <w:t>échantillon.</w:t>
      </w:r>
    </w:p>
    <w:p w:rsidR="00D75FE9" w:rsidRPr="00E454D1" w:rsidRDefault="00D75FE9" w:rsidP="0040586B">
      <w:pPr>
        <w:ind w:left="567" w:right="567"/>
        <w:rPr>
          <w:sz w:val="18"/>
          <w:lang w:val="fr-CH"/>
        </w:rPr>
      </w:pPr>
    </w:p>
    <w:p w:rsidR="00D75FE9" w:rsidRPr="00E454D1" w:rsidRDefault="0040586B" w:rsidP="0040586B">
      <w:pPr>
        <w:ind w:left="567" w:right="567"/>
        <w:rPr>
          <w:sz w:val="18"/>
          <w:lang w:val="fr-CH"/>
        </w:rPr>
      </w:pPr>
      <w:r w:rsidRPr="00E454D1">
        <w:rPr>
          <w:sz w:val="18"/>
          <w:lang w:val="fr-CH"/>
        </w:rPr>
        <w:t>Une variété est réputée non homogène si le nombre de plantes hors</w:t>
      </w:r>
      <w:r w:rsidR="00E454D1">
        <w:rPr>
          <w:sz w:val="18"/>
          <w:lang w:val="fr-CH"/>
        </w:rPr>
        <w:t>-</w:t>
      </w:r>
      <w:r w:rsidRPr="00E454D1">
        <w:rPr>
          <w:sz w:val="18"/>
          <w:lang w:val="fr-CH"/>
        </w:rPr>
        <w:t>type dépasse une limite supérieure prédéfinie dans le sous</w:t>
      </w:r>
      <w:r w:rsidR="00E454D1">
        <w:rPr>
          <w:sz w:val="18"/>
          <w:lang w:val="fr-CH"/>
        </w:rPr>
        <w:t>-</w:t>
      </w:r>
      <w:r w:rsidRPr="00E454D1">
        <w:rPr>
          <w:sz w:val="18"/>
          <w:lang w:val="fr-CH"/>
        </w:rPr>
        <w:t>échantillon.</w:t>
      </w:r>
    </w:p>
    <w:p w:rsidR="00D75FE9" w:rsidRPr="00E454D1" w:rsidRDefault="00D75FE9" w:rsidP="0040586B">
      <w:pPr>
        <w:ind w:left="567" w:right="567"/>
        <w:rPr>
          <w:sz w:val="18"/>
          <w:lang w:val="fr-CH"/>
        </w:rPr>
      </w:pPr>
    </w:p>
    <w:p w:rsidR="00D75FE9" w:rsidRPr="00E454D1" w:rsidRDefault="0040586B" w:rsidP="0040586B">
      <w:pPr>
        <w:ind w:left="567" w:right="567"/>
        <w:rPr>
          <w:sz w:val="18"/>
          <w:lang w:val="fr-CH"/>
        </w:rPr>
      </w:pPr>
      <w:r w:rsidRPr="00E454D1">
        <w:rPr>
          <w:sz w:val="18"/>
          <w:lang w:val="fr-CH"/>
        </w:rPr>
        <w:t>Si le nombre de plantes hors</w:t>
      </w:r>
      <w:r w:rsidR="00E454D1">
        <w:rPr>
          <w:sz w:val="18"/>
          <w:lang w:val="fr-CH"/>
        </w:rPr>
        <w:t>-</w:t>
      </w:r>
      <w:r w:rsidRPr="00E454D1">
        <w:rPr>
          <w:sz w:val="18"/>
          <w:lang w:val="fr-CH"/>
        </w:rPr>
        <w:t>type se situe entre les limites inférieure et supérieure prédéfinies, l</w:t>
      </w:r>
      <w:r w:rsidR="00E454D1">
        <w:rPr>
          <w:sz w:val="18"/>
          <w:lang w:val="fr-CH"/>
        </w:rPr>
        <w:t>’</w:t>
      </w:r>
      <w:r w:rsidRPr="00E454D1">
        <w:rPr>
          <w:sz w:val="18"/>
          <w:lang w:val="fr-CH"/>
        </w:rPr>
        <w:t>échantillon tout entier est éval</w:t>
      </w:r>
      <w:r w:rsidR="00C77A34" w:rsidRPr="00E454D1">
        <w:rPr>
          <w:sz w:val="18"/>
          <w:lang w:val="fr-CH"/>
        </w:rPr>
        <w:t>ué</w:t>
      </w:r>
      <w:r w:rsidR="00C77A34">
        <w:rPr>
          <w:sz w:val="18"/>
          <w:lang w:val="fr-CH"/>
        </w:rPr>
        <w:t xml:space="preserve">.  </w:t>
      </w:r>
      <w:r w:rsidR="00C77A34" w:rsidRPr="00E454D1">
        <w:rPr>
          <w:sz w:val="18"/>
          <w:lang w:val="fr-CH"/>
        </w:rPr>
        <w:t>Le</w:t>
      </w:r>
      <w:r w:rsidRPr="00E454D1">
        <w:rPr>
          <w:sz w:val="18"/>
          <w:lang w:val="fr-CH"/>
        </w:rPr>
        <w:t>s limites inférieure et supérieure doivent être choisies compte tenu des probabilités d</w:t>
      </w:r>
      <w:r w:rsidR="00E454D1">
        <w:rPr>
          <w:sz w:val="18"/>
          <w:lang w:val="fr-CH"/>
        </w:rPr>
        <w:t>’</w:t>
      </w:r>
      <w:r w:rsidRPr="00E454D1">
        <w:rPr>
          <w:sz w:val="18"/>
          <w:lang w:val="fr-CH"/>
        </w:rPr>
        <w:t>erreurs de type I et de type</w:t>
      </w:r>
      <w:r w:rsidR="00FE5010" w:rsidRPr="00E454D1">
        <w:rPr>
          <w:sz w:val="18"/>
          <w:lang w:val="fr-CH"/>
        </w:rPr>
        <w:t> </w:t>
      </w:r>
      <w:r w:rsidRPr="00E454D1">
        <w:rPr>
          <w:sz w:val="18"/>
          <w:lang w:val="fr-CH"/>
        </w:rPr>
        <w:t>II comparables entre le sous</w:t>
      </w:r>
      <w:r w:rsidR="00E454D1">
        <w:rPr>
          <w:sz w:val="18"/>
          <w:lang w:val="fr-CH"/>
        </w:rPr>
        <w:t>-</w:t>
      </w:r>
      <w:r w:rsidRPr="00E454D1">
        <w:rPr>
          <w:sz w:val="18"/>
          <w:lang w:val="fr-CH"/>
        </w:rPr>
        <w:t>échantillon et l</w:t>
      </w:r>
      <w:r w:rsidR="00E454D1">
        <w:rPr>
          <w:sz w:val="18"/>
          <w:lang w:val="fr-CH"/>
        </w:rPr>
        <w:t>’</w:t>
      </w:r>
      <w:r w:rsidRPr="00E454D1">
        <w:rPr>
          <w:sz w:val="18"/>
          <w:lang w:val="fr-CH"/>
        </w:rPr>
        <w:t>échantillon tout entier.</w:t>
      </w:r>
    </w:p>
    <w:p w:rsidR="00D75FE9" w:rsidRPr="00E454D1" w:rsidRDefault="00D75FE9" w:rsidP="0040586B">
      <w:pPr>
        <w:ind w:left="567" w:right="567"/>
        <w:rPr>
          <w:sz w:val="18"/>
          <w:lang w:val="fr-CH"/>
        </w:rPr>
      </w:pPr>
    </w:p>
    <w:p w:rsidR="00D75FE9" w:rsidRPr="00E454D1" w:rsidRDefault="0040586B" w:rsidP="0040586B">
      <w:pPr>
        <w:ind w:left="567" w:right="567" w:firstLine="567"/>
        <w:rPr>
          <w:i/>
          <w:sz w:val="18"/>
          <w:szCs w:val="24"/>
          <w:lang w:val="fr-CH"/>
        </w:rPr>
      </w:pPr>
      <w:r w:rsidRPr="00E454D1">
        <w:rPr>
          <w:i/>
          <w:sz w:val="18"/>
          <w:szCs w:val="24"/>
          <w:lang w:val="fr-CH"/>
        </w:rPr>
        <w:t>Exemple</w:t>
      </w:r>
      <w:r w:rsidR="00E454D1">
        <w:rPr>
          <w:i/>
          <w:sz w:val="18"/>
          <w:szCs w:val="24"/>
          <w:lang w:val="fr-CH"/>
        </w:rPr>
        <w:t> :</w:t>
      </w:r>
    </w:p>
    <w:p w:rsidR="00D75FE9" w:rsidRPr="00E454D1" w:rsidRDefault="00D75FE9" w:rsidP="0040586B">
      <w:pPr>
        <w:ind w:left="567" w:right="567"/>
        <w:rPr>
          <w:sz w:val="18"/>
          <w:szCs w:val="24"/>
          <w:lang w:val="fr-CH"/>
        </w:rPr>
      </w:pPr>
    </w:p>
    <w:p w:rsidR="00D75FE9" w:rsidRPr="00E454D1" w:rsidRDefault="0040586B" w:rsidP="0040586B">
      <w:pPr>
        <w:ind w:left="567" w:right="567"/>
        <w:rPr>
          <w:sz w:val="18"/>
          <w:szCs w:val="24"/>
          <w:lang w:val="fr-CH"/>
        </w:rPr>
      </w:pPr>
      <w:r w:rsidRPr="00E454D1">
        <w:rPr>
          <w:sz w:val="18"/>
          <w:szCs w:val="24"/>
          <w:lang w:val="fr-CH"/>
        </w:rPr>
        <w:t>Dans un échantillon de 100</w:t>
      </w:r>
      <w:r w:rsidR="00FE5010" w:rsidRPr="00E454D1">
        <w:rPr>
          <w:sz w:val="18"/>
          <w:szCs w:val="24"/>
          <w:lang w:val="fr-CH"/>
        </w:rPr>
        <w:t> </w:t>
      </w:r>
      <w:r w:rsidRPr="00E454D1">
        <w:rPr>
          <w:sz w:val="18"/>
          <w:szCs w:val="24"/>
          <w:lang w:val="fr-CH"/>
        </w:rPr>
        <w:t>plantes, le nombre acceptable de plantes hors</w:t>
      </w:r>
      <w:r w:rsidR="00E454D1">
        <w:rPr>
          <w:sz w:val="18"/>
          <w:szCs w:val="24"/>
          <w:lang w:val="fr-CH"/>
        </w:rPr>
        <w:t>-</w:t>
      </w:r>
      <w:r w:rsidRPr="00E454D1">
        <w:rPr>
          <w:sz w:val="18"/>
          <w:szCs w:val="24"/>
          <w:lang w:val="fr-CH"/>
        </w:rPr>
        <w:t>type est de 3 (sur la base d</w:t>
      </w:r>
      <w:r w:rsidR="00E454D1">
        <w:rPr>
          <w:sz w:val="18"/>
          <w:szCs w:val="24"/>
          <w:lang w:val="fr-CH"/>
        </w:rPr>
        <w:t>’</w:t>
      </w:r>
      <w:r w:rsidRPr="00E454D1">
        <w:rPr>
          <w:sz w:val="18"/>
          <w:szCs w:val="24"/>
          <w:lang w:val="fr-CH"/>
        </w:rPr>
        <w:t>une norme de population de 1% et d</w:t>
      </w:r>
      <w:r w:rsidR="00E454D1">
        <w:rPr>
          <w:sz w:val="18"/>
          <w:szCs w:val="24"/>
          <w:lang w:val="fr-CH"/>
        </w:rPr>
        <w:t>’</w:t>
      </w:r>
      <w:r w:rsidRPr="00E454D1">
        <w:rPr>
          <w:sz w:val="18"/>
          <w:szCs w:val="24"/>
          <w:lang w:val="fr-CH"/>
        </w:rPr>
        <w:t>une probabilité d</w:t>
      </w:r>
      <w:r w:rsidR="00E454D1">
        <w:rPr>
          <w:sz w:val="18"/>
          <w:szCs w:val="24"/>
          <w:lang w:val="fr-CH"/>
        </w:rPr>
        <w:t>’</w:t>
      </w:r>
      <w:r w:rsidRPr="00E454D1">
        <w:rPr>
          <w:sz w:val="18"/>
          <w:szCs w:val="24"/>
          <w:lang w:val="fr-CH"/>
        </w:rPr>
        <w:t>acceptation d</w:t>
      </w:r>
      <w:r w:rsidR="00E454D1">
        <w:rPr>
          <w:sz w:val="18"/>
          <w:szCs w:val="24"/>
          <w:lang w:val="fr-CH"/>
        </w:rPr>
        <w:t>’</w:t>
      </w:r>
      <w:r w:rsidRPr="00E454D1">
        <w:rPr>
          <w:sz w:val="18"/>
          <w:szCs w:val="24"/>
          <w:lang w:val="fr-CH"/>
        </w:rPr>
        <w:t>au moins 95%).</w:t>
      </w:r>
    </w:p>
    <w:p w:rsidR="00D75FE9" w:rsidRPr="00E454D1" w:rsidRDefault="00D75FE9" w:rsidP="0040586B">
      <w:pPr>
        <w:ind w:left="567" w:right="567"/>
        <w:rPr>
          <w:sz w:val="18"/>
          <w:szCs w:val="24"/>
          <w:lang w:val="fr-CH"/>
        </w:rPr>
      </w:pPr>
    </w:p>
    <w:p w:rsidR="00D75FE9" w:rsidRPr="00E454D1" w:rsidRDefault="0040586B" w:rsidP="0040586B">
      <w:pPr>
        <w:ind w:left="567" w:right="567"/>
        <w:rPr>
          <w:sz w:val="18"/>
          <w:szCs w:val="24"/>
          <w:lang w:val="fr-CH"/>
        </w:rPr>
      </w:pPr>
      <w:r w:rsidRPr="00E454D1">
        <w:rPr>
          <w:sz w:val="18"/>
          <w:szCs w:val="24"/>
          <w:lang w:val="fr-CH"/>
        </w:rPr>
        <w:t>Dans un sous</w:t>
      </w:r>
      <w:r w:rsidR="00E454D1">
        <w:rPr>
          <w:sz w:val="18"/>
          <w:szCs w:val="24"/>
          <w:lang w:val="fr-CH"/>
        </w:rPr>
        <w:t>-</w:t>
      </w:r>
      <w:r w:rsidRPr="00E454D1">
        <w:rPr>
          <w:sz w:val="18"/>
          <w:szCs w:val="24"/>
          <w:lang w:val="fr-CH"/>
        </w:rPr>
        <w:t>échantillon de 20</w:t>
      </w:r>
      <w:r w:rsidR="00FE5010" w:rsidRPr="00E454D1">
        <w:rPr>
          <w:sz w:val="18"/>
          <w:szCs w:val="24"/>
          <w:lang w:val="fr-CH"/>
        </w:rPr>
        <w:t> </w:t>
      </w:r>
      <w:r w:rsidRPr="00E454D1">
        <w:rPr>
          <w:sz w:val="18"/>
          <w:szCs w:val="24"/>
          <w:lang w:val="fr-CH"/>
        </w:rPr>
        <w:t>plantes utilisé dans le contexte de l</w:t>
      </w:r>
      <w:r w:rsidR="00E454D1">
        <w:rPr>
          <w:sz w:val="18"/>
          <w:szCs w:val="24"/>
          <w:lang w:val="fr-CH"/>
        </w:rPr>
        <w:t>’</w:t>
      </w:r>
      <w:r w:rsidRPr="00E454D1">
        <w:rPr>
          <w:sz w:val="18"/>
          <w:szCs w:val="24"/>
          <w:lang w:val="fr-CH"/>
        </w:rPr>
        <w:t>échantillon de 100</w:t>
      </w:r>
      <w:r w:rsidR="00FE5010" w:rsidRPr="00E454D1">
        <w:rPr>
          <w:sz w:val="18"/>
          <w:szCs w:val="24"/>
          <w:lang w:val="fr-CH"/>
        </w:rPr>
        <w:t> </w:t>
      </w:r>
      <w:r w:rsidRPr="00E454D1">
        <w:rPr>
          <w:sz w:val="18"/>
          <w:szCs w:val="24"/>
          <w:lang w:val="fr-CH"/>
        </w:rPr>
        <w:t>plantes ci</w:t>
      </w:r>
      <w:r w:rsidR="00E454D1">
        <w:rPr>
          <w:sz w:val="18"/>
          <w:szCs w:val="24"/>
          <w:lang w:val="fr-CH"/>
        </w:rPr>
        <w:t>-</w:t>
      </w:r>
      <w:r w:rsidRPr="00E454D1">
        <w:rPr>
          <w:sz w:val="18"/>
          <w:szCs w:val="24"/>
          <w:lang w:val="fr-CH"/>
        </w:rPr>
        <w:t>dessus</w:t>
      </w:r>
      <w:r w:rsidR="00E454D1">
        <w:rPr>
          <w:sz w:val="18"/>
          <w:szCs w:val="24"/>
          <w:lang w:val="fr-CH"/>
        </w:rPr>
        <w:t> :</w:t>
      </w:r>
    </w:p>
    <w:p w:rsidR="00D75FE9" w:rsidRPr="00E454D1" w:rsidRDefault="00D75FE9" w:rsidP="0040586B">
      <w:pPr>
        <w:ind w:left="567" w:right="567"/>
        <w:rPr>
          <w:sz w:val="18"/>
          <w:szCs w:val="24"/>
          <w:lang w:val="fr-CH"/>
        </w:rPr>
      </w:pPr>
    </w:p>
    <w:p w:rsidR="00D75FE9" w:rsidRPr="00E454D1" w:rsidRDefault="0040586B" w:rsidP="0040586B">
      <w:pPr>
        <w:ind w:left="567" w:right="567"/>
        <w:rPr>
          <w:sz w:val="18"/>
          <w:szCs w:val="24"/>
          <w:lang w:val="fr-CH"/>
        </w:rPr>
      </w:pPr>
      <w:r w:rsidRPr="00E454D1">
        <w:rPr>
          <w:sz w:val="18"/>
          <w:szCs w:val="24"/>
          <w:lang w:val="fr-CH"/>
        </w:rPr>
        <w:t>Une variété est réputée homogène si aucune plante hors</w:t>
      </w:r>
      <w:r w:rsidR="00E454D1">
        <w:rPr>
          <w:sz w:val="18"/>
          <w:szCs w:val="24"/>
          <w:lang w:val="fr-CH"/>
        </w:rPr>
        <w:t>-</w:t>
      </w:r>
      <w:r w:rsidRPr="00E454D1">
        <w:rPr>
          <w:sz w:val="18"/>
          <w:szCs w:val="24"/>
          <w:lang w:val="fr-CH"/>
        </w:rPr>
        <w:t>type n</w:t>
      </w:r>
      <w:r w:rsidR="00E454D1">
        <w:rPr>
          <w:sz w:val="18"/>
          <w:szCs w:val="24"/>
          <w:lang w:val="fr-CH"/>
        </w:rPr>
        <w:t>’</w:t>
      </w:r>
      <w:r w:rsidRPr="00E454D1">
        <w:rPr>
          <w:sz w:val="18"/>
          <w:szCs w:val="24"/>
          <w:lang w:val="fr-CH"/>
        </w:rPr>
        <w:t>est observée dans le sous</w:t>
      </w:r>
      <w:r w:rsidR="00E454D1">
        <w:rPr>
          <w:sz w:val="18"/>
          <w:szCs w:val="24"/>
          <w:lang w:val="fr-CH"/>
        </w:rPr>
        <w:t>-</w:t>
      </w:r>
      <w:r w:rsidRPr="00E454D1">
        <w:rPr>
          <w:sz w:val="18"/>
          <w:szCs w:val="24"/>
          <w:lang w:val="fr-CH"/>
        </w:rPr>
        <w:t>échantillon.</w:t>
      </w:r>
    </w:p>
    <w:p w:rsidR="00D75FE9" w:rsidRPr="00E454D1" w:rsidRDefault="00D75FE9" w:rsidP="0040586B">
      <w:pPr>
        <w:ind w:left="567" w:right="567"/>
        <w:rPr>
          <w:sz w:val="18"/>
          <w:szCs w:val="24"/>
          <w:lang w:val="fr-CH"/>
        </w:rPr>
      </w:pPr>
    </w:p>
    <w:p w:rsidR="00D75FE9" w:rsidRPr="00E454D1" w:rsidRDefault="0040586B" w:rsidP="0040586B">
      <w:pPr>
        <w:ind w:left="567" w:right="567"/>
        <w:rPr>
          <w:sz w:val="18"/>
          <w:szCs w:val="24"/>
          <w:lang w:val="fr-CH"/>
        </w:rPr>
      </w:pPr>
      <w:r w:rsidRPr="00E454D1">
        <w:rPr>
          <w:sz w:val="18"/>
          <w:szCs w:val="24"/>
          <w:lang w:val="fr-CH"/>
        </w:rPr>
        <w:t>Une variété est réputée non homogène si le nombre de plantes hors</w:t>
      </w:r>
      <w:r w:rsidR="00E454D1">
        <w:rPr>
          <w:sz w:val="18"/>
          <w:szCs w:val="24"/>
          <w:lang w:val="fr-CH"/>
        </w:rPr>
        <w:t>-</w:t>
      </w:r>
      <w:r w:rsidRPr="00E454D1">
        <w:rPr>
          <w:sz w:val="18"/>
          <w:szCs w:val="24"/>
          <w:lang w:val="fr-CH"/>
        </w:rPr>
        <w:t>type dans le sous</w:t>
      </w:r>
      <w:r w:rsidR="00E454D1">
        <w:rPr>
          <w:sz w:val="18"/>
          <w:szCs w:val="24"/>
          <w:lang w:val="fr-CH"/>
        </w:rPr>
        <w:t>-</w:t>
      </w:r>
      <w:r w:rsidRPr="00E454D1">
        <w:rPr>
          <w:sz w:val="18"/>
          <w:szCs w:val="24"/>
          <w:lang w:val="fr-CH"/>
        </w:rPr>
        <w:t>échantillon dépasse 3.</w:t>
      </w:r>
    </w:p>
    <w:p w:rsidR="00D75FE9" w:rsidRPr="00E454D1" w:rsidRDefault="00D75FE9" w:rsidP="0040586B">
      <w:pPr>
        <w:ind w:left="567" w:right="567"/>
        <w:rPr>
          <w:sz w:val="18"/>
          <w:szCs w:val="24"/>
          <w:lang w:val="fr-CH"/>
        </w:rPr>
      </w:pPr>
    </w:p>
    <w:p w:rsidR="00D75FE9" w:rsidRPr="00E454D1" w:rsidRDefault="0040586B" w:rsidP="0040586B">
      <w:pPr>
        <w:ind w:left="567" w:right="567"/>
        <w:rPr>
          <w:sz w:val="18"/>
          <w:szCs w:val="24"/>
          <w:lang w:val="fr-CH"/>
        </w:rPr>
      </w:pPr>
      <w:r w:rsidRPr="00E454D1">
        <w:rPr>
          <w:sz w:val="18"/>
          <w:szCs w:val="24"/>
          <w:lang w:val="fr-CH"/>
        </w:rPr>
        <w:t>Si le nombre de plantes hors</w:t>
      </w:r>
      <w:r w:rsidR="00E454D1">
        <w:rPr>
          <w:sz w:val="18"/>
          <w:szCs w:val="24"/>
          <w:lang w:val="fr-CH"/>
        </w:rPr>
        <w:t>-</w:t>
      </w:r>
      <w:r w:rsidRPr="00E454D1">
        <w:rPr>
          <w:sz w:val="18"/>
          <w:szCs w:val="24"/>
          <w:lang w:val="fr-CH"/>
        </w:rPr>
        <w:t>type varie entre 1 et 3, l</w:t>
      </w:r>
      <w:r w:rsidR="00E454D1">
        <w:rPr>
          <w:sz w:val="18"/>
          <w:szCs w:val="24"/>
          <w:lang w:val="fr-CH"/>
        </w:rPr>
        <w:t>’</w:t>
      </w:r>
      <w:r w:rsidRPr="00E454D1">
        <w:rPr>
          <w:sz w:val="18"/>
          <w:szCs w:val="24"/>
          <w:lang w:val="fr-CH"/>
        </w:rPr>
        <w:t>échantillon tout entier de 100</w:t>
      </w:r>
      <w:r w:rsidR="00FE5010" w:rsidRPr="00E454D1">
        <w:rPr>
          <w:sz w:val="18"/>
          <w:szCs w:val="24"/>
          <w:lang w:val="fr-CH"/>
        </w:rPr>
        <w:t> </w:t>
      </w:r>
      <w:r w:rsidRPr="00E454D1">
        <w:rPr>
          <w:sz w:val="18"/>
          <w:szCs w:val="24"/>
          <w:lang w:val="fr-CH"/>
        </w:rPr>
        <w:t>plantes est évalué.</w:t>
      </w:r>
    </w:p>
    <w:p w:rsidR="00D75FE9" w:rsidRPr="00E454D1" w:rsidRDefault="00D75FE9" w:rsidP="0040586B">
      <w:pPr>
        <w:ind w:left="567" w:right="567"/>
        <w:rPr>
          <w:sz w:val="18"/>
          <w:szCs w:val="24"/>
          <w:lang w:val="fr-CH"/>
        </w:rPr>
      </w:pPr>
    </w:p>
    <w:p w:rsidR="00D75FE9" w:rsidRPr="00E454D1" w:rsidRDefault="0040586B" w:rsidP="0040586B">
      <w:pPr>
        <w:ind w:left="567" w:right="567"/>
        <w:rPr>
          <w:sz w:val="18"/>
          <w:lang w:val="fr-CH"/>
        </w:rPr>
      </w:pPr>
      <w:r w:rsidRPr="00E454D1">
        <w:rPr>
          <w:sz w:val="18"/>
          <w:szCs w:val="24"/>
          <w:lang w:val="fr-CH"/>
        </w:rPr>
        <w:t>Dans l</w:t>
      </w:r>
      <w:r w:rsidR="00E454D1">
        <w:rPr>
          <w:sz w:val="18"/>
          <w:szCs w:val="24"/>
          <w:lang w:val="fr-CH"/>
        </w:rPr>
        <w:t>’</w:t>
      </w:r>
      <w:r w:rsidRPr="00E454D1">
        <w:rPr>
          <w:sz w:val="18"/>
          <w:szCs w:val="24"/>
          <w:lang w:val="fr-CH"/>
        </w:rPr>
        <w:t>échantillon de 100</w:t>
      </w:r>
      <w:r w:rsidR="00FE5010" w:rsidRPr="00E454D1">
        <w:rPr>
          <w:sz w:val="18"/>
          <w:szCs w:val="24"/>
          <w:lang w:val="fr-CH"/>
        </w:rPr>
        <w:t> </w:t>
      </w:r>
      <w:r w:rsidRPr="00E454D1">
        <w:rPr>
          <w:sz w:val="18"/>
          <w:szCs w:val="24"/>
          <w:lang w:val="fr-CH"/>
        </w:rPr>
        <w:t>plantes, si le nombre de plantes hors</w:t>
      </w:r>
      <w:r w:rsidR="00E454D1">
        <w:rPr>
          <w:sz w:val="18"/>
          <w:szCs w:val="24"/>
          <w:lang w:val="fr-CH"/>
        </w:rPr>
        <w:t>-</w:t>
      </w:r>
      <w:r w:rsidRPr="00E454D1">
        <w:rPr>
          <w:sz w:val="18"/>
          <w:szCs w:val="24"/>
          <w:lang w:val="fr-CH"/>
        </w:rPr>
        <w:t>type dépasse 3, la variété est réputée non homogène</w:t>
      </w:r>
      <w:r w:rsidR="009956BC" w:rsidRPr="00E454D1">
        <w:rPr>
          <w:rFonts w:cs="Arial"/>
          <w:sz w:val="18"/>
          <w:lang w:val="fr-CH"/>
        </w:rPr>
        <w:t>.</w:t>
      </w:r>
    </w:p>
    <w:p w:rsidR="00D75FE9" w:rsidRPr="00E454D1" w:rsidRDefault="00D75FE9" w:rsidP="009956BC">
      <w:pPr>
        <w:rPr>
          <w:lang w:val="fr-CH"/>
        </w:rPr>
      </w:pPr>
    </w:p>
    <w:p w:rsidR="00D75FE9" w:rsidRPr="00E454D1" w:rsidRDefault="00D75FE9" w:rsidP="009956BC">
      <w:pPr>
        <w:rPr>
          <w:lang w:val="fr-CH"/>
        </w:rPr>
      </w:pPr>
    </w:p>
    <w:p w:rsidR="00D75FE9" w:rsidRPr="00E454D1" w:rsidRDefault="00D75FE9" w:rsidP="009956BC">
      <w:pPr>
        <w:rPr>
          <w:lang w:val="fr-CH"/>
        </w:rPr>
      </w:pPr>
    </w:p>
    <w:p w:rsidR="00D75FE9" w:rsidRPr="00E454D1" w:rsidRDefault="007254EC" w:rsidP="009956BC">
      <w:pPr>
        <w:jc w:val="right"/>
        <w:rPr>
          <w:lang w:val="fr-CH"/>
        </w:rPr>
      </w:pPr>
      <w:r w:rsidRPr="00E454D1">
        <w:rPr>
          <w:lang w:val="fr-CH"/>
        </w:rPr>
        <w:t>[L</w:t>
      </w:r>
      <w:r w:rsidR="00E454D1">
        <w:rPr>
          <w:lang w:val="fr-CH"/>
        </w:rPr>
        <w:t>’</w:t>
      </w:r>
      <w:r w:rsidR="002F2D47" w:rsidRPr="00E454D1">
        <w:rPr>
          <w:lang w:val="fr-CH"/>
        </w:rPr>
        <w:t>annexe I</w:t>
      </w:r>
      <w:r w:rsidR="009956BC" w:rsidRPr="00E454D1">
        <w:rPr>
          <w:lang w:val="fr-CH"/>
        </w:rPr>
        <w:t xml:space="preserve">V </w:t>
      </w:r>
      <w:r w:rsidRPr="00E454D1">
        <w:rPr>
          <w:lang w:val="fr-CH"/>
        </w:rPr>
        <w:t>suit</w:t>
      </w:r>
      <w:r w:rsidR="009956BC" w:rsidRPr="00E454D1">
        <w:rPr>
          <w:lang w:val="fr-CH"/>
        </w:rPr>
        <w:t>]</w:t>
      </w:r>
    </w:p>
    <w:p w:rsidR="00D75FE9" w:rsidRPr="00E454D1" w:rsidRDefault="00D75FE9" w:rsidP="009956BC">
      <w:pPr>
        <w:rPr>
          <w:lang w:val="fr-CH"/>
        </w:rPr>
      </w:pPr>
    </w:p>
    <w:p w:rsidR="009956BC" w:rsidRPr="00E454D1" w:rsidRDefault="009956BC" w:rsidP="009956BC">
      <w:pPr>
        <w:rPr>
          <w:lang w:val="fr-CH"/>
        </w:rPr>
        <w:sectPr w:rsidR="009956BC" w:rsidRPr="00E454D1" w:rsidSect="001270B2">
          <w:headerReference w:type="default" r:id="rId16"/>
          <w:headerReference w:type="first" r:id="rId17"/>
          <w:pgSz w:w="11907" w:h="16840" w:code="9"/>
          <w:pgMar w:top="510" w:right="1134" w:bottom="709" w:left="1134" w:header="510" w:footer="680" w:gutter="0"/>
          <w:pgNumType w:start="1"/>
          <w:cols w:space="720"/>
          <w:titlePg/>
        </w:sectPr>
      </w:pPr>
    </w:p>
    <w:p w:rsidR="00D75FE9" w:rsidRPr="00E454D1" w:rsidRDefault="00913A90" w:rsidP="00F80625">
      <w:pPr>
        <w:jc w:val="center"/>
        <w:rPr>
          <w:lang w:val="fr-CH"/>
        </w:rPr>
      </w:pPr>
      <w:r w:rsidRPr="00E454D1">
        <w:rPr>
          <w:lang w:val="fr-CH"/>
        </w:rPr>
        <w:lastRenderedPageBreak/>
        <w:t>QUESTIONS POUR ADOPTION PAR LE CONSEIL EN 2019</w:t>
      </w:r>
      <w:r w:rsidR="00E454D1">
        <w:rPr>
          <w:lang w:val="fr-CH"/>
        </w:rPr>
        <w:t> :</w:t>
      </w:r>
      <w:r w:rsidRPr="00E454D1">
        <w:rPr>
          <w:lang w:val="fr-CH"/>
        </w:rPr>
        <w:t xml:space="preserve"> DOCUMENT TGP/14</w:t>
      </w:r>
    </w:p>
    <w:p w:rsidR="00D75FE9" w:rsidRPr="00E454D1" w:rsidRDefault="00D75FE9" w:rsidP="009956BC">
      <w:pPr>
        <w:rPr>
          <w:lang w:val="fr-CH"/>
        </w:rPr>
      </w:pPr>
    </w:p>
    <w:p w:rsidR="00D75FE9" w:rsidRPr="00E454D1" w:rsidRDefault="00F80625" w:rsidP="00F80625">
      <w:pPr>
        <w:rPr>
          <w:lang w:val="fr-CH"/>
        </w:rPr>
      </w:pPr>
      <w:r w:rsidRPr="00E454D1">
        <w:rPr>
          <w:lang w:val="fr-CH"/>
        </w:rPr>
        <w:t>Les révisions ci</w:t>
      </w:r>
      <w:r w:rsidR="00E454D1">
        <w:rPr>
          <w:lang w:val="fr-CH"/>
        </w:rPr>
        <w:t>-</w:t>
      </w:r>
      <w:r w:rsidRPr="00E454D1">
        <w:rPr>
          <w:lang w:val="fr-CH"/>
        </w:rPr>
        <w:t xml:space="preserve">après du document TGP/14 </w:t>
      </w:r>
      <w:r w:rsidR="00090D74" w:rsidRPr="00E454D1">
        <w:rPr>
          <w:lang w:val="fr-CH"/>
        </w:rPr>
        <w:t>“</w:t>
      </w:r>
      <w:r w:rsidRPr="00E454D1">
        <w:rPr>
          <w:lang w:val="fr-CH"/>
        </w:rPr>
        <w:t>Glossaire de termes utilisés dans les documents de l</w:t>
      </w:r>
      <w:r w:rsidR="00E454D1">
        <w:rPr>
          <w:lang w:val="fr-CH"/>
        </w:rPr>
        <w:t>’</w:t>
      </w:r>
      <w:r w:rsidRPr="00E454D1">
        <w:rPr>
          <w:lang w:val="fr-CH"/>
        </w:rPr>
        <w:t>UPOV</w:t>
      </w:r>
      <w:r w:rsidR="00090D74" w:rsidRPr="00E454D1">
        <w:rPr>
          <w:lang w:val="fr-CH"/>
        </w:rPr>
        <w:t>”</w:t>
      </w:r>
      <w:r w:rsidRPr="00E454D1">
        <w:rPr>
          <w:lang w:val="fr-CH"/>
        </w:rPr>
        <w:t xml:space="preserve"> ont été approuvées par le</w:t>
      </w:r>
      <w:r w:rsidR="00E454D1">
        <w:rPr>
          <w:lang w:val="fr-CH"/>
        </w:rPr>
        <w:t> TC</w:t>
      </w:r>
      <w:r w:rsidRPr="00E454D1">
        <w:rPr>
          <w:lang w:val="fr-CH"/>
        </w:rPr>
        <w:t xml:space="preserve"> et seront proposées pour adoption par le Conseil à sa cinquante</w:t>
      </w:r>
      <w:r w:rsidR="00E454D1">
        <w:rPr>
          <w:lang w:val="fr-CH"/>
        </w:rPr>
        <w:t>-</w:t>
      </w:r>
      <w:r w:rsidRPr="00E454D1">
        <w:rPr>
          <w:lang w:val="fr-CH"/>
        </w:rPr>
        <w:t>trois</w:t>
      </w:r>
      <w:r w:rsidR="00E454D1">
        <w:rPr>
          <w:lang w:val="fr-CH"/>
        </w:rPr>
        <w:t>ième session</w:t>
      </w:r>
      <w:r w:rsidRPr="00E454D1">
        <w:rPr>
          <w:lang w:val="fr-CH"/>
        </w:rPr>
        <w:t xml:space="preserve"> ordinaire prévue à Genève le</w:t>
      </w:r>
      <w:r w:rsidR="00E454D1">
        <w:rPr>
          <w:lang w:val="fr-CH"/>
        </w:rPr>
        <w:t xml:space="preserve"> 1</w:t>
      </w:r>
      <w:r w:rsidR="00E454D1" w:rsidRPr="00E454D1">
        <w:rPr>
          <w:vertAlign w:val="superscript"/>
          <w:lang w:val="fr-CH"/>
        </w:rPr>
        <w:t>er</w:t>
      </w:r>
      <w:r w:rsidR="00E454D1">
        <w:rPr>
          <w:lang w:val="fr-CH"/>
        </w:rPr>
        <w:t> </w:t>
      </w:r>
      <w:r w:rsidRPr="00E454D1">
        <w:rPr>
          <w:lang w:val="fr-CH"/>
        </w:rPr>
        <w:t>novembre</w:t>
      </w:r>
      <w:r w:rsidR="00090D74" w:rsidRPr="00E454D1">
        <w:rPr>
          <w:lang w:val="fr-CH"/>
        </w:rPr>
        <w:t> </w:t>
      </w:r>
      <w:r w:rsidRPr="00E454D1">
        <w:rPr>
          <w:lang w:val="fr-CH"/>
        </w:rPr>
        <w:t>2019, sous réserve de l</w:t>
      </w:r>
      <w:r w:rsidR="00E454D1">
        <w:rPr>
          <w:lang w:val="fr-CH"/>
        </w:rPr>
        <w:t>’</w:t>
      </w:r>
      <w:r w:rsidRPr="00E454D1">
        <w:rPr>
          <w:lang w:val="fr-CH"/>
        </w:rPr>
        <w:t>approbation</w:t>
      </w:r>
      <w:r w:rsidR="002F2D47" w:rsidRPr="00E454D1">
        <w:rPr>
          <w:lang w:val="fr-CH"/>
        </w:rPr>
        <w:t xml:space="preserve"> du CAJ</w:t>
      </w:r>
      <w:r w:rsidRPr="00E454D1">
        <w:rPr>
          <w:lang w:val="fr-CH"/>
        </w:rPr>
        <w:t xml:space="preserve"> à sa soixante</w:t>
      </w:r>
      <w:r w:rsidR="00E454D1">
        <w:rPr>
          <w:lang w:val="fr-CH"/>
        </w:rPr>
        <w:t>-</w:t>
      </w:r>
      <w:r w:rsidRPr="00E454D1">
        <w:rPr>
          <w:lang w:val="fr-CH"/>
        </w:rPr>
        <w:t>seiz</w:t>
      </w:r>
      <w:r w:rsidR="00E454D1">
        <w:rPr>
          <w:lang w:val="fr-CH"/>
        </w:rPr>
        <w:t>ième session</w:t>
      </w:r>
      <w:r w:rsidRPr="00E454D1">
        <w:rPr>
          <w:lang w:val="fr-CH"/>
        </w:rPr>
        <w:t xml:space="preserve"> prévue à Genève le 30 octobre 2019.</w:t>
      </w:r>
    </w:p>
    <w:p w:rsidR="00D75FE9" w:rsidRPr="00E454D1" w:rsidRDefault="00D75FE9" w:rsidP="009956BC">
      <w:pPr>
        <w:rPr>
          <w:lang w:val="fr-CH"/>
        </w:rPr>
      </w:pPr>
    </w:p>
    <w:p w:rsidR="00D75FE9" w:rsidRPr="00E454D1" w:rsidRDefault="00F80625" w:rsidP="00F80625">
      <w:pPr>
        <w:rPr>
          <w:u w:val="single"/>
          <w:lang w:val="fr-CH"/>
        </w:rPr>
      </w:pPr>
      <w:r w:rsidRPr="00E454D1">
        <w:rPr>
          <w:u w:val="single"/>
          <w:lang w:val="fr-CH"/>
        </w:rPr>
        <w:t>i)</w:t>
      </w:r>
      <w:r w:rsidRPr="00E454D1">
        <w:rPr>
          <w:u w:val="single"/>
          <w:lang w:val="fr-CH"/>
        </w:rPr>
        <w:tab/>
        <w:t>Illustrations des caractères liés à la forme et au ratio</w:t>
      </w:r>
    </w:p>
    <w:p w:rsidR="00D75FE9" w:rsidRPr="00E454D1" w:rsidRDefault="00D75FE9" w:rsidP="009956BC">
      <w:pPr>
        <w:rPr>
          <w:snapToGrid w:val="0"/>
          <w:lang w:val="fr-CH"/>
        </w:rPr>
      </w:pPr>
    </w:p>
    <w:p w:rsidR="00D75FE9" w:rsidRPr="00E454D1" w:rsidRDefault="009956BC" w:rsidP="00F80625">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F80625" w:rsidRPr="00E454D1">
        <w:rPr>
          <w:lang w:val="fr-CH"/>
        </w:rPr>
        <w:t>À sa cinquante</w:t>
      </w:r>
      <w:r w:rsidR="00E454D1">
        <w:rPr>
          <w:lang w:val="fr-CH"/>
        </w:rPr>
        <w:t>-</w:t>
      </w:r>
      <w:r w:rsidR="00F80625" w:rsidRPr="00E454D1">
        <w:rPr>
          <w:lang w:val="fr-CH"/>
        </w:rPr>
        <w:t>trois</w:t>
      </w:r>
      <w:r w:rsidR="00E454D1">
        <w:rPr>
          <w:lang w:val="fr-CH"/>
        </w:rPr>
        <w:t>ième session</w:t>
      </w:r>
      <w:r w:rsidR="00F80625" w:rsidRPr="00E454D1">
        <w:rPr>
          <w:lang w:val="fr-CH"/>
        </w:rPr>
        <w:t xml:space="preserve"> tenue à Genève du 3 au 5 avril 2017, le</w:t>
      </w:r>
      <w:r w:rsidR="00E454D1">
        <w:rPr>
          <w:lang w:val="fr-CH"/>
        </w:rPr>
        <w:t> TC</w:t>
      </w:r>
      <w:r w:rsidR="00F80625" w:rsidRPr="00E454D1">
        <w:rPr>
          <w:lang w:val="fr-CH"/>
        </w:rPr>
        <w:t xml:space="preserve"> est convenu de réviser le </w:t>
      </w:r>
      <w:r w:rsidR="002F2D47" w:rsidRPr="00E454D1">
        <w:rPr>
          <w:lang w:val="fr-CH"/>
        </w:rPr>
        <w:t>document TG</w:t>
      </w:r>
      <w:r w:rsidR="00F80625" w:rsidRPr="00E454D1">
        <w:rPr>
          <w:lang w:val="fr-CH"/>
        </w:rPr>
        <w:t>P/14</w:t>
      </w:r>
      <w:r w:rsidR="00E454D1">
        <w:rPr>
          <w:lang w:val="fr-CH"/>
        </w:rPr>
        <w:t> :</w:t>
      </w:r>
      <w:r w:rsidR="00F80625" w:rsidRPr="00E454D1">
        <w:rPr>
          <w:lang w:val="fr-CH"/>
        </w:rPr>
        <w:t xml:space="preserve"> section</w:t>
      </w:r>
      <w:r w:rsidR="00FE5010" w:rsidRPr="00E454D1">
        <w:rPr>
          <w:lang w:val="fr-CH"/>
        </w:rPr>
        <w:t> </w:t>
      </w:r>
      <w:r w:rsidR="00F80625" w:rsidRPr="00E454D1">
        <w:rPr>
          <w:lang w:val="fr-CH"/>
        </w:rPr>
        <w:t>2</w:t>
      </w:r>
      <w:r w:rsidR="00E454D1">
        <w:rPr>
          <w:lang w:val="fr-CH"/>
        </w:rPr>
        <w:t> :</w:t>
      </w:r>
      <w:r w:rsidR="00F80625" w:rsidRPr="00E454D1">
        <w:rPr>
          <w:lang w:val="fr-CH"/>
        </w:rPr>
        <w:t xml:space="preserve"> sous</w:t>
      </w:r>
      <w:r w:rsidR="00E454D1">
        <w:rPr>
          <w:lang w:val="fr-CH"/>
        </w:rPr>
        <w:t>-</w:t>
      </w:r>
      <w:r w:rsidR="00F80625" w:rsidRPr="00E454D1">
        <w:rPr>
          <w:lang w:val="fr-CH"/>
        </w:rPr>
        <w:t>section</w:t>
      </w:r>
      <w:r w:rsidR="00FE5010" w:rsidRPr="00E454D1">
        <w:rPr>
          <w:lang w:val="fr-CH"/>
        </w:rPr>
        <w:t> </w:t>
      </w:r>
      <w:r w:rsidR="00F80625" w:rsidRPr="00E454D1">
        <w:rPr>
          <w:lang w:val="fr-CH"/>
        </w:rPr>
        <w:t>2</w:t>
      </w:r>
      <w:r w:rsidR="00E454D1">
        <w:rPr>
          <w:lang w:val="fr-CH"/>
        </w:rPr>
        <w:t> :</w:t>
      </w:r>
      <w:r w:rsidR="00F80625" w:rsidRPr="00E454D1">
        <w:rPr>
          <w:lang w:val="fr-CH"/>
        </w:rPr>
        <w:t xml:space="preserve"> Formes et structures pour modifier le tableau des positions de la partie la plus large et des rapports longueur/largeur présenté dans l</w:t>
      </w:r>
      <w:r w:rsidR="00E454D1">
        <w:rPr>
          <w:lang w:val="fr-CH"/>
        </w:rPr>
        <w:t>’</w:t>
      </w:r>
      <w:r w:rsidR="00F80625" w:rsidRPr="00E454D1">
        <w:rPr>
          <w:lang w:val="fr-CH"/>
        </w:rPr>
        <w:t>exemple</w:t>
      </w:r>
      <w:r w:rsidR="00FE5010" w:rsidRPr="00E454D1">
        <w:rPr>
          <w:lang w:val="fr-CH"/>
        </w:rPr>
        <w:t> </w:t>
      </w:r>
      <w:r w:rsidR="00F80625" w:rsidRPr="00E454D1">
        <w:rPr>
          <w:lang w:val="fr-CH"/>
        </w:rPr>
        <w:t>5, variante 2</w:t>
      </w:r>
      <w:r w:rsidR="000901F1" w:rsidRPr="00E454D1">
        <w:rPr>
          <w:lang w:val="fr-CH"/>
        </w:rPr>
        <w:t>,</w:t>
      </w:r>
      <w:r w:rsidR="00F80625" w:rsidRPr="00E454D1">
        <w:rPr>
          <w:lang w:val="fr-CH"/>
        </w:rPr>
        <w:t xml:space="preserve"> afin de supprimer le terme “rapport” et de faire figurer “largeur relative” dans une colonne distincte de l</w:t>
      </w:r>
      <w:r w:rsidR="00E454D1">
        <w:rPr>
          <w:lang w:val="fr-CH"/>
        </w:rPr>
        <w:t>’</w:t>
      </w:r>
      <w:r w:rsidR="00F80625" w:rsidRPr="00E454D1">
        <w:rPr>
          <w:lang w:val="fr-CH"/>
        </w:rPr>
        <w:t>échelle “large à étroit”, de la manière suivante (voir le paragraphe</w:t>
      </w:r>
      <w:r w:rsidR="00FE5010" w:rsidRPr="00E454D1">
        <w:rPr>
          <w:lang w:val="fr-CH"/>
        </w:rPr>
        <w:t> </w:t>
      </w:r>
      <w:r w:rsidR="00F80625" w:rsidRPr="00E454D1">
        <w:rPr>
          <w:lang w:val="fr-CH"/>
        </w:rPr>
        <w:t xml:space="preserve">141 du </w:t>
      </w:r>
      <w:r w:rsidR="00E454D1" w:rsidRPr="00E454D1">
        <w:rPr>
          <w:lang w:val="fr-CH"/>
        </w:rPr>
        <w:t>document</w:t>
      </w:r>
      <w:r w:rsidR="00E454D1">
        <w:rPr>
          <w:lang w:val="fr-CH"/>
        </w:rPr>
        <w:t xml:space="preserve"> TC</w:t>
      </w:r>
      <w:r w:rsidR="00F80625" w:rsidRPr="00E454D1">
        <w:rPr>
          <w:lang w:val="fr-CH"/>
        </w:rPr>
        <w:t>/53/31 “Compte rendu”</w:t>
      </w:r>
      <w:r w:rsidR="006667E1" w:rsidRPr="00E454D1">
        <w:rPr>
          <w:lang w:val="fr-CH"/>
        </w:rPr>
        <w:t>) (l</w:t>
      </w:r>
      <w:r w:rsidR="00F80625" w:rsidRPr="00E454D1">
        <w:rPr>
          <w:lang w:val="fr-CH"/>
        </w:rPr>
        <w:t xml:space="preserve">es éléments à supprimer sont </w:t>
      </w:r>
      <w:r w:rsidR="00F80625" w:rsidRPr="00E454D1">
        <w:rPr>
          <w:strike/>
          <w:highlight w:val="lightGray"/>
          <w:lang w:val="fr-CH"/>
        </w:rPr>
        <w:t>surlignés et biffés</w:t>
      </w:r>
      <w:r w:rsidR="00F80625" w:rsidRPr="00E454D1">
        <w:rPr>
          <w:lang w:val="fr-CH"/>
        </w:rPr>
        <w:t xml:space="preserve"> et les éléments à ajouter sont </w:t>
      </w:r>
      <w:r w:rsidR="00F80625" w:rsidRPr="00E454D1">
        <w:rPr>
          <w:highlight w:val="lightGray"/>
          <w:u w:val="single"/>
          <w:lang w:val="fr-CH"/>
        </w:rPr>
        <w:t>surlignés et soulignés</w:t>
      </w:r>
      <w:r w:rsidR="00F80625" w:rsidRPr="00E454D1">
        <w:rPr>
          <w:lang w:val="fr-CH"/>
        </w:rPr>
        <w:t>)</w:t>
      </w:r>
      <w:r w:rsidR="00E454D1">
        <w:rPr>
          <w:lang w:val="fr-CH"/>
        </w:rPr>
        <w:t> :</w:t>
      </w:r>
    </w:p>
    <w:p w:rsidR="00B637B6" w:rsidRPr="00E454D1" w:rsidRDefault="00B637B6" w:rsidP="00B637B6">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638"/>
        <w:gridCol w:w="236"/>
        <w:gridCol w:w="1420"/>
        <w:gridCol w:w="1389"/>
        <w:gridCol w:w="26"/>
        <w:gridCol w:w="1363"/>
        <w:gridCol w:w="55"/>
        <w:gridCol w:w="1333"/>
        <w:gridCol w:w="1389"/>
        <w:gridCol w:w="1382"/>
        <w:gridCol w:w="7"/>
      </w:tblGrid>
      <w:tr w:rsidR="00E454D1" w:rsidRPr="00E454D1" w:rsidTr="00B637B6">
        <w:trPr>
          <w:gridBefore w:val="1"/>
          <w:gridAfter w:val="1"/>
          <w:wBefore w:w="451" w:type="dxa"/>
          <w:wAfter w:w="7" w:type="dxa"/>
          <w:cantSplit/>
          <w:jc w:val="center"/>
        </w:trPr>
        <w:tc>
          <w:tcPr>
            <w:tcW w:w="638" w:type="dxa"/>
            <w:tcBorders>
              <w:top w:val="nil"/>
              <w:left w:val="nil"/>
              <w:bottom w:val="nil"/>
              <w:right w:val="nil"/>
            </w:tcBorders>
          </w:tcPr>
          <w:p w:rsidR="00B637B6" w:rsidRPr="00E454D1" w:rsidRDefault="00B637B6" w:rsidP="00B637B6">
            <w:pPr>
              <w:keepNext/>
              <w:keepLines/>
              <w:jc w:val="center"/>
              <w:rPr>
                <w:lang w:val="fr-CH"/>
              </w:rPr>
            </w:pPr>
          </w:p>
        </w:tc>
        <w:tc>
          <w:tcPr>
            <w:tcW w:w="236" w:type="dxa"/>
            <w:tcBorders>
              <w:top w:val="nil"/>
              <w:left w:val="nil"/>
              <w:bottom w:val="nil"/>
              <w:right w:val="nil"/>
            </w:tcBorders>
          </w:tcPr>
          <w:p w:rsidR="00B637B6" w:rsidRPr="00E454D1" w:rsidRDefault="00B637B6" w:rsidP="00B637B6">
            <w:pPr>
              <w:keepNext/>
              <w:keepLines/>
              <w:jc w:val="center"/>
              <w:rPr>
                <w:lang w:val="fr-CH"/>
              </w:rPr>
            </w:pPr>
          </w:p>
        </w:tc>
        <w:tc>
          <w:tcPr>
            <w:tcW w:w="8357" w:type="dxa"/>
            <w:gridSpan w:val="8"/>
            <w:tcBorders>
              <w:left w:val="single" w:sz="4" w:space="0" w:color="auto"/>
              <w:bottom w:val="nil"/>
            </w:tcBorders>
          </w:tcPr>
          <w:p w:rsidR="00B637B6" w:rsidRPr="00E454D1" w:rsidRDefault="00B637B6" w:rsidP="00B637B6">
            <w:pPr>
              <w:keepNext/>
              <w:keepLines/>
              <w:jc w:val="center"/>
              <w:rPr>
                <w:lang w:val="fr-CH"/>
              </w:rPr>
            </w:pPr>
            <w:r w:rsidRPr="00E454D1">
              <w:rPr>
                <w:lang w:val="fr-CH"/>
              </w:rPr>
              <w:tab/>
            </w:r>
            <w:r w:rsidRPr="00E454D1">
              <w:rPr>
                <w:lang w:val="fr-CH"/>
              </w:rPr>
              <w:sym w:font="Wingdings" w:char="F0DF"/>
            </w:r>
            <w:r w:rsidRPr="00E454D1">
              <w:rPr>
                <w:lang w:val="fr-CH"/>
              </w:rPr>
              <w:tab/>
            </w:r>
            <w:r w:rsidRPr="00E454D1">
              <w:rPr>
                <w:lang w:val="fr-CH"/>
              </w:rPr>
              <w:tab/>
              <w:t>partie la plus large</w:t>
            </w:r>
            <w:r w:rsidRPr="00E454D1">
              <w:rPr>
                <w:lang w:val="fr-CH"/>
              </w:rPr>
              <w:tab/>
            </w:r>
            <w:r w:rsidRPr="00E454D1">
              <w:rPr>
                <w:lang w:val="fr-CH"/>
              </w:rPr>
              <w:tab/>
            </w:r>
            <w:r w:rsidRPr="00E454D1">
              <w:rPr>
                <w:lang w:val="fr-CH"/>
              </w:rPr>
              <w:sym w:font="Wingdings" w:char="F0E0"/>
            </w:r>
            <w:r w:rsidRPr="00E454D1">
              <w:rPr>
                <w:lang w:val="fr-CH"/>
              </w:rPr>
              <w:t xml:space="preserve"> </w:t>
            </w:r>
            <w:r w:rsidRPr="00E454D1">
              <w:rPr>
                <w:lang w:val="fr-CH"/>
              </w:rPr>
              <w:tab/>
            </w:r>
          </w:p>
        </w:tc>
      </w:tr>
      <w:tr w:rsidR="00E454D1" w:rsidRPr="00E454D1" w:rsidTr="00B637B6">
        <w:trPr>
          <w:gridBefore w:val="1"/>
          <w:gridAfter w:val="1"/>
          <w:wBefore w:w="451" w:type="dxa"/>
          <w:wAfter w:w="7" w:type="dxa"/>
          <w:cantSplit/>
          <w:jc w:val="center"/>
        </w:trPr>
        <w:tc>
          <w:tcPr>
            <w:tcW w:w="638" w:type="dxa"/>
            <w:tcBorders>
              <w:top w:val="nil"/>
              <w:left w:val="nil"/>
              <w:bottom w:val="nil"/>
              <w:right w:val="nil"/>
            </w:tcBorders>
          </w:tcPr>
          <w:p w:rsidR="00B637B6" w:rsidRPr="00E454D1" w:rsidRDefault="00B637B6" w:rsidP="00B637B6">
            <w:pPr>
              <w:jc w:val="center"/>
              <w:rPr>
                <w:lang w:val="fr-CH"/>
              </w:rPr>
            </w:pPr>
          </w:p>
        </w:tc>
        <w:tc>
          <w:tcPr>
            <w:tcW w:w="236" w:type="dxa"/>
            <w:tcBorders>
              <w:top w:val="nil"/>
              <w:left w:val="nil"/>
              <w:bottom w:val="nil"/>
              <w:right w:val="nil"/>
            </w:tcBorders>
          </w:tcPr>
          <w:p w:rsidR="00B637B6" w:rsidRPr="00E454D1" w:rsidRDefault="00B637B6" w:rsidP="00B637B6">
            <w:pPr>
              <w:jc w:val="center"/>
              <w:rPr>
                <w:lang w:val="fr-CH"/>
              </w:rPr>
            </w:pPr>
          </w:p>
        </w:tc>
        <w:tc>
          <w:tcPr>
            <w:tcW w:w="2835" w:type="dxa"/>
            <w:gridSpan w:val="3"/>
            <w:tcBorders>
              <w:top w:val="single" w:sz="4" w:space="0" w:color="auto"/>
              <w:left w:val="single" w:sz="4" w:space="0" w:color="auto"/>
              <w:bottom w:val="single" w:sz="4" w:space="0" w:color="auto"/>
              <w:right w:val="single" w:sz="4" w:space="0" w:color="auto"/>
            </w:tcBorders>
          </w:tcPr>
          <w:p w:rsidR="00B637B6" w:rsidRPr="00E454D1" w:rsidRDefault="00B637B6" w:rsidP="00B637B6">
            <w:pPr>
              <w:jc w:val="center"/>
              <w:rPr>
                <w:lang w:val="fr-CH"/>
              </w:rPr>
            </w:pPr>
            <w:r w:rsidRPr="00E454D1">
              <w:rPr>
                <w:lang w:val="fr-CH"/>
              </w:rPr>
              <w:t>(en dessous du milieu)</w:t>
            </w:r>
          </w:p>
        </w:tc>
        <w:tc>
          <w:tcPr>
            <w:tcW w:w="1418" w:type="dxa"/>
            <w:gridSpan w:val="2"/>
            <w:tcBorders>
              <w:top w:val="single" w:sz="4" w:space="0" w:color="auto"/>
              <w:left w:val="single" w:sz="4" w:space="0" w:color="auto"/>
              <w:bottom w:val="single" w:sz="4" w:space="0" w:color="auto"/>
              <w:right w:val="single" w:sz="4" w:space="0" w:color="auto"/>
            </w:tcBorders>
          </w:tcPr>
          <w:p w:rsidR="00B637B6" w:rsidRPr="00E454D1" w:rsidRDefault="00B637B6" w:rsidP="00B637B6">
            <w:pPr>
              <w:jc w:val="center"/>
              <w:rPr>
                <w:lang w:val="fr-CH"/>
              </w:rPr>
            </w:pPr>
            <w:r w:rsidRPr="00E454D1">
              <w:rPr>
                <w:lang w:val="fr-CH"/>
              </w:rPr>
              <w:t>au milieu</w:t>
            </w:r>
          </w:p>
        </w:tc>
        <w:tc>
          <w:tcPr>
            <w:tcW w:w="4104" w:type="dxa"/>
            <w:gridSpan w:val="3"/>
            <w:tcBorders>
              <w:top w:val="single" w:sz="4" w:space="0" w:color="auto"/>
              <w:left w:val="single" w:sz="4" w:space="0" w:color="auto"/>
              <w:bottom w:val="single" w:sz="4" w:space="0" w:color="auto"/>
              <w:right w:val="single" w:sz="4" w:space="0" w:color="auto"/>
            </w:tcBorders>
          </w:tcPr>
          <w:p w:rsidR="00B637B6" w:rsidRPr="00E454D1" w:rsidRDefault="00B637B6" w:rsidP="00B637B6">
            <w:pPr>
              <w:jc w:val="center"/>
              <w:rPr>
                <w:lang w:val="fr-CH"/>
              </w:rPr>
            </w:pPr>
            <w:r w:rsidRPr="00E454D1">
              <w:rPr>
                <w:lang w:val="fr-CH"/>
              </w:rPr>
              <w:t>(au</w:t>
            </w:r>
            <w:r w:rsidR="00E454D1">
              <w:rPr>
                <w:lang w:val="fr-CH"/>
              </w:rPr>
              <w:t>-</w:t>
            </w:r>
            <w:r w:rsidRPr="00E454D1">
              <w:rPr>
                <w:lang w:val="fr-CH"/>
              </w:rPr>
              <w:t>dessus du milieu)</w:t>
            </w:r>
          </w:p>
        </w:tc>
      </w:tr>
      <w:tr w:rsidR="00E454D1" w:rsidRPr="00E454D1" w:rsidTr="00B637B6">
        <w:trPr>
          <w:gridBefore w:val="1"/>
          <w:wBefore w:w="451" w:type="dxa"/>
          <w:trHeight w:val="163"/>
          <w:jc w:val="center"/>
        </w:trPr>
        <w:tc>
          <w:tcPr>
            <w:tcW w:w="638" w:type="dxa"/>
            <w:tcBorders>
              <w:top w:val="nil"/>
              <w:left w:val="nil"/>
              <w:bottom w:val="nil"/>
              <w:right w:val="nil"/>
            </w:tcBorders>
          </w:tcPr>
          <w:p w:rsidR="00B637B6" w:rsidRPr="00E454D1" w:rsidRDefault="00B637B6" w:rsidP="00B637B6">
            <w:pPr>
              <w:jc w:val="center"/>
              <w:rPr>
                <w:lang w:val="fr-CH"/>
              </w:rPr>
            </w:pPr>
          </w:p>
        </w:tc>
        <w:tc>
          <w:tcPr>
            <w:tcW w:w="236" w:type="dxa"/>
            <w:tcBorders>
              <w:top w:val="nil"/>
              <w:left w:val="nil"/>
              <w:bottom w:val="nil"/>
              <w:right w:val="nil"/>
            </w:tcBorders>
          </w:tcPr>
          <w:p w:rsidR="00B637B6" w:rsidRPr="00E454D1" w:rsidRDefault="00B637B6" w:rsidP="00B637B6">
            <w:pPr>
              <w:jc w:val="center"/>
              <w:rPr>
                <w:lang w:val="fr-CH"/>
              </w:rPr>
            </w:pPr>
          </w:p>
        </w:tc>
        <w:tc>
          <w:tcPr>
            <w:tcW w:w="1420" w:type="dxa"/>
            <w:tcBorders>
              <w:top w:val="nil"/>
              <w:left w:val="nil"/>
              <w:bottom w:val="nil"/>
              <w:right w:val="nil"/>
            </w:tcBorders>
          </w:tcPr>
          <w:p w:rsidR="00B637B6" w:rsidRPr="00E454D1" w:rsidRDefault="00B637B6" w:rsidP="00B637B6">
            <w:pPr>
              <w:jc w:val="center"/>
              <w:rPr>
                <w:lang w:val="fr-CH"/>
              </w:rPr>
            </w:pPr>
          </w:p>
        </w:tc>
        <w:tc>
          <w:tcPr>
            <w:tcW w:w="1389" w:type="dxa"/>
            <w:tcBorders>
              <w:top w:val="nil"/>
              <w:left w:val="nil"/>
              <w:bottom w:val="nil"/>
              <w:right w:val="nil"/>
            </w:tcBorders>
          </w:tcPr>
          <w:p w:rsidR="00B637B6" w:rsidRPr="00E454D1" w:rsidRDefault="00B637B6" w:rsidP="00B637B6">
            <w:pPr>
              <w:jc w:val="center"/>
              <w:rPr>
                <w:lang w:val="fr-CH"/>
              </w:rPr>
            </w:pPr>
          </w:p>
        </w:tc>
        <w:tc>
          <w:tcPr>
            <w:tcW w:w="1389" w:type="dxa"/>
            <w:gridSpan w:val="2"/>
            <w:tcBorders>
              <w:top w:val="nil"/>
              <w:left w:val="nil"/>
              <w:bottom w:val="nil"/>
              <w:right w:val="nil"/>
            </w:tcBorders>
          </w:tcPr>
          <w:p w:rsidR="00B637B6" w:rsidRPr="00E454D1" w:rsidRDefault="00B637B6" w:rsidP="00B637B6">
            <w:pPr>
              <w:jc w:val="center"/>
              <w:rPr>
                <w:lang w:val="fr-CH"/>
              </w:rPr>
            </w:pPr>
          </w:p>
        </w:tc>
        <w:tc>
          <w:tcPr>
            <w:tcW w:w="1388" w:type="dxa"/>
            <w:gridSpan w:val="2"/>
            <w:tcBorders>
              <w:top w:val="nil"/>
              <w:left w:val="nil"/>
              <w:bottom w:val="nil"/>
              <w:right w:val="nil"/>
            </w:tcBorders>
          </w:tcPr>
          <w:p w:rsidR="00B637B6" w:rsidRPr="00E454D1" w:rsidRDefault="00B637B6" w:rsidP="00B637B6">
            <w:pPr>
              <w:jc w:val="center"/>
              <w:rPr>
                <w:lang w:val="fr-CH"/>
              </w:rPr>
            </w:pPr>
          </w:p>
        </w:tc>
        <w:tc>
          <w:tcPr>
            <w:tcW w:w="1389" w:type="dxa"/>
            <w:tcBorders>
              <w:top w:val="nil"/>
              <w:left w:val="nil"/>
              <w:bottom w:val="nil"/>
              <w:right w:val="nil"/>
            </w:tcBorders>
          </w:tcPr>
          <w:p w:rsidR="00B637B6" w:rsidRPr="00E454D1" w:rsidRDefault="00B637B6" w:rsidP="00B637B6">
            <w:pPr>
              <w:jc w:val="center"/>
              <w:rPr>
                <w:lang w:val="fr-CH"/>
              </w:rPr>
            </w:pPr>
          </w:p>
        </w:tc>
        <w:tc>
          <w:tcPr>
            <w:tcW w:w="1389" w:type="dxa"/>
            <w:gridSpan w:val="2"/>
            <w:tcBorders>
              <w:top w:val="nil"/>
              <w:left w:val="nil"/>
              <w:bottom w:val="nil"/>
              <w:right w:val="nil"/>
            </w:tcBorders>
          </w:tcPr>
          <w:p w:rsidR="00B637B6" w:rsidRPr="00E454D1" w:rsidRDefault="00B637B6" w:rsidP="00B637B6">
            <w:pPr>
              <w:jc w:val="center"/>
              <w:rPr>
                <w:lang w:val="fr-CH"/>
              </w:rPr>
            </w:pPr>
          </w:p>
        </w:tc>
      </w:tr>
      <w:tr w:rsidR="00E454D1" w:rsidRPr="00E454D1" w:rsidTr="00B637B6">
        <w:trPr>
          <w:cantSplit/>
          <w:jc w:val="center"/>
        </w:trPr>
        <w:tc>
          <w:tcPr>
            <w:tcW w:w="451" w:type="dxa"/>
            <w:vMerge w:val="restart"/>
            <w:shd w:val="clear" w:color="auto" w:fill="auto"/>
            <w:textDirection w:val="btLr"/>
          </w:tcPr>
          <w:p w:rsidR="00B637B6" w:rsidRPr="00E454D1" w:rsidRDefault="00B637B6" w:rsidP="00B637B6">
            <w:pPr>
              <w:ind w:left="113" w:right="113"/>
              <w:jc w:val="center"/>
              <w:rPr>
                <w:u w:val="single"/>
                <w:lang w:val="fr-CH"/>
              </w:rPr>
            </w:pPr>
            <w:r w:rsidRPr="00E454D1">
              <w:rPr>
                <w:highlight w:val="lightGray"/>
                <w:u w:val="single"/>
                <w:lang w:val="fr-CH"/>
              </w:rPr>
              <w:sym w:font="Wingdings" w:char="F0DF"/>
            </w:r>
            <w:r w:rsidRPr="00E454D1">
              <w:rPr>
                <w:highlight w:val="lightGray"/>
                <w:u w:val="single"/>
                <w:lang w:val="fr-CH"/>
              </w:rPr>
              <w:t xml:space="preserve">                   largeur</w:t>
            </w:r>
            <w:r w:rsidR="00BD7E87" w:rsidRPr="00E454D1">
              <w:rPr>
                <w:highlight w:val="lightGray"/>
                <w:u w:val="single"/>
                <w:lang w:val="fr-CH"/>
              </w:rPr>
              <w:t xml:space="preserve"> relative</w:t>
            </w:r>
            <w:r w:rsidRPr="00E454D1">
              <w:rPr>
                <w:highlight w:val="lightGray"/>
                <w:u w:val="single"/>
                <w:lang w:val="fr-CH"/>
              </w:rPr>
              <w:t xml:space="preserve">                 </w:t>
            </w:r>
            <w:r w:rsidRPr="00E454D1">
              <w:rPr>
                <w:highlight w:val="lightGray"/>
                <w:u w:val="single"/>
                <w:lang w:val="fr-CH"/>
              </w:rPr>
              <w:sym w:font="Wingdings" w:char="F0E0"/>
            </w:r>
          </w:p>
        </w:tc>
        <w:tc>
          <w:tcPr>
            <w:tcW w:w="638" w:type="dxa"/>
            <w:vMerge w:val="restart"/>
            <w:tcBorders>
              <w:top w:val="single" w:sz="4" w:space="0" w:color="auto"/>
              <w:right w:val="single" w:sz="4" w:space="0" w:color="auto"/>
            </w:tcBorders>
            <w:textDirection w:val="btLr"/>
          </w:tcPr>
          <w:p w:rsidR="00B637B6" w:rsidRPr="00E454D1" w:rsidRDefault="00B637B6" w:rsidP="00B637B6">
            <w:pPr>
              <w:ind w:left="113" w:right="113"/>
              <w:jc w:val="center"/>
              <w:rPr>
                <w:lang w:val="fr-CH"/>
              </w:rPr>
            </w:pPr>
            <w:r w:rsidRPr="00E454D1">
              <w:rPr>
                <w:lang w:val="fr-CH"/>
              </w:rPr>
              <w:t xml:space="preserve">large </w:t>
            </w:r>
            <w:r w:rsidRPr="00E454D1">
              <w:rPr>
                <w:strike/>
                <w:highlight w:val="lightGray"/>
                <w:lang w:val="fr-CH"/>
              </w:rPr>
              <w:t>(</w:t>
            </w:r>
            <w:r w:rsidRPr="00E454D1">
              <w:rPr>
                <w:i/>
                <w:strike/>
                <w:highlight w:val="lightGray"/>
                <w:lang w:val="fr-CH"/>
              </w:rPr>
              <w:t>bas)</w:t>
            </w:r>
            <w:r w:rsidRPr="00E454D1">
              <w:rPr>
                <w:lang w:val="fr-CH"/>
              </w:rPr>
              <w:sym w:font="Wingdings" w:char="F0DF"/>
            </w:r>
            <w:r w:rsidRPr="00E454D1">
              <w:rPr>
                <w:lang w:val="fr-CH"/>
              </w:rPr>
              <w:tab/>
            </w:r>
            <w:r w:rsidRPr="00E454D1">
              <w:rPr>
                <w:strike/>
                <w:highlight w:val="lightGray"/>
                <w:lang w:val="fr-CH"/>
              </w:rPr>
              <w:t>largeur</w:t>
            </w:r>
            <w:r w:rsidRPr="00E454D1">
              <w:rPr>
                <w:strike/>
                <w:lang w:val="fr-CH"/>
              </w:rPr>
              <w:t xml:space="preserve"> </w:t>
            </w:r>
            <w:r w:rsidRPr="00E454D1">
              <w:rPr>
                <w:strike/>
                <w:highlight w:val="lightGray"/>
                <w:lang w:val="fr-CH"/>
              </w:rPr>
              <w:t xml:space="preserve">(rapport </w:t>
            </w:r>
            <w:r w:rsidRPr="00E454D1">
              <w:rPr>
                <w:highlight w:val="lightGray"/>
                <w:u w:val="single"/>
                <w:lang w:val="fr-CH"/>
              </w:rPr>
              <w:sym w:font="Wingdings" w:char="F0E0"/>
            </w:r>
            <w:r w:rsidRPr="00E454D1">
              <w:rPr>
                <w:strike/>
                <w:highlight w:val="lightGray"/>
                <w:lang w:val="fr-CH"/>
              </w:rPr>
              <w:t xml:space="preserve"> longueur/largeur)</w:t>
            </w:r>
            <w:r w:rsidRPr="00E454D1">
              <w:rPr>
                <w:lang w:val="fr-CH"/>
              </w:rPr>
              <w:tab/>
            </w:r>
            <w:r w:rsidRPr="00E454D1">
              <w:rPr>
                <w:lang w:val="fr-CH"/>
              </w:rPr>
              <w:sym w:font="Wingdings" w:char="F0E0"/>
            </w:r>
            <w:r w:rsidRPr="00E454D1">
              <w:rPr>
                <w:lang w:val="fr-CH"/>
              </w:rPr>
              <w:t xml:space="preserve"> étroit </w:t>
            </w:r>
            <w:r w:rsidRPr="00E454D1">
              <w:rPr>
                <w:strike/>
                <w:highlight w:val="lightGray"/>
                <w:lang w:val="fr-CH"/>
              </w:rPr>
              <w:t>(</w:t>
            </w:r>
            <w:r w:rsidRPr="00E454D1">
              <w:rPr>
                <w:i/>
                <w:strike/>
                <w:highlight w:val="lightGray"/>
                <w:lang w:val="fr-CH"/>
              </w:rPr>
              <w:t>élevé</w:t>
            </w:r>
            <w:r w:rsidRPr="00E454D1">
              <w:rPr>
                <w:strike/>
                <w:highlight w:val="lightGray"/>
                <w:lang w:val="fr-CH"/>
              </w:rPr>
              <w:t>)</w:t>
            </w:r>
          </w:p>
        </w:tc>
        <w:tc>
          <w:tcPr>
            <w:tcW w:w="236" w:type="dxa"/>
            <w:tcBorders>
              <w:top w:val="nil"/>
              <w:left w:val="nil"/>
              <w:bottom w:val="nil"/>
              <w:right w:val="nil"/>
            </w:tcBorders>
          </w:tcPr>
          <w:p w:rsidR="00B637B6" w:rsidRPr="00E454D1" w:rsidRDefault="00B637B6" w:rsidP="00B637B6">
            <w:pPr>
              <w:jc w:val="center"/>
              <w:rPr>
                <w:lang w:val="fr-CH"/>
              </w:rPr>
            </w:pPr>
          </w:p>
        </w:tc>
        <w:tc>
          <w:tcPr>
            <w:tcW w:w="1420" w:type="dxa"/>
            <w:tcBorders>
              <w:left w:val="single" w:sz="4" w:space="0" w:color="auto"/>
            </w:tcBorders>
          </w:tcPr>
          <w:p w:rsidR="00B637B6" w:rsidRPr="00E454D1" w:rsidRDefault="00B637B6" w:rsidP="00B637B6">
            <w:pPr>
              <w:jc w:val="center"/>
              <w:rPr>
                <w:lang w:val="fr-CH"/>
              </w:rPr>
            </w:pPr>
          </w:p>
        </w:tc>
        <w:tc>
          <w:tcPr>
            <w:tcW w:w="1389" w:type="dxa"/>
          </w:tcPr>
          <w:p w:rsidR="00B637B6" w:rsidRPr="00E454D1" w:rsidRDefault="00B637B6" w:rsidP="00B637B6">
            <w:pPr>
              <w:jc w:val="center"/>
              <w:rPr>
                <w:lang w:val="fr-CH"/>
              </w:rPr>
            </w:pPr>
          </w:p>
        </w:tc>
        <w:tc>
          <w:tcPr>
            <w:tcW w:w="1389" w:type="dxa"/>
            <w:gridSpan w:val="2"/>
          </w:tcPr>
          <w:p w:rsidR="00D75FE9" w:rsidRPr="00E454D1" w:rsidRDefault="00B637B6" w:rsidP="00B637B6">
            <w:pPr>
              <w:jc w:val="center"/>
              <w:rPr>
                <w:lang w:val="fr-CH"/>
              </w:rPr>
            </w:pPr>
            <w:r w:rsidRPr="00E454D1">
              <w:rPr>
                <w:noProof/>
              </w:rPr>
              <w:drawing>
                <wp:inline distT="0" distB="0" distL="0" distR="0" wp14:anchorId="1B198BD2" wp14:editId="3E15C896">
                  <wp:extent cx="171450" cy="1085850"/>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6</w:t>
            </w:r>
          </w:p>
          <w:p w:rsidR="00B637B6" w:rsidRPr="00E454D1" w:rsidRDefault="00B637B6" w:rsidP="00B637B6">
            <w:pPr>
              <w:jc w:val="center"/>
              <w:rPr>
                <w:lang w:val="fr-CH"/>
              </w:rPr>
            </w:pPr>
            <w:r w:rsidRPr="00E454D1">
              <w:rPr>
                <w:lang w:val="fr-CH"/>
              </w:rPr>
              <w:t>linéaire</w:t>
            </w:r>
          </w:p>
        </w:tc>
        <w:tc>
          <w:tcPr>
            <w:tcW w:w="1388" w:type="dxa"/>
            <w:gridSpan w:val="2"/>
          </w:tcPr>
          <w:p w:rsidR="00B637B6" w:rsidRPr="00E454D1" w:rsidRDefault="00B637B6" w:rsidP="00B637B6">
            <w:pPr>
              <w:jc w:val="center"/>
              <w:rPr>
                <w:lang w:val="fr-CH"/>
              </w:rPr>
            </w:pPr>
          </w:p>
        </w:tc>
        <w:tc>
          <w:tcPr>
            <w:tcW w:w="1389" w:type="dxa"/>
          </w:tcPr>
          <w:p w:rsidR="00B637B6" w:rsidRPr="00E454D1" w:rsidRDefault="00B637B6" w:rsidP="00B637B6">
            <w:pPr>
              <w:jc w:val="center"/>
              <w:rPr>
                <w:lang w:val="fr-CH"/>
              </w:rPr>
            </w:pPr>
          </w:p>
        </w:tc>
        <w:tc>
          <w:tcPr>
            <w:tcW w:w="1389" w:type="dxa"/>
            <w:gridSpan w:val="2"/>
          </w:tcPr>
          <w:p w:rsidR="00B637B6" w:rsidRPr="00E454D1" w:rsidRDefault="00B637B6" w:rsidP="00B637B6">
            <w:pPr>
              <w:jc w:val="center"/>
              <w:rPr>
                <w:lang w:val="fr-CH"/>
              </w:rPr>
            </w:pPr>
          </w:p>
        </w:tc>
      </w:tr>
      <w:tr w:rsidR="00E454D1" w:rsidRPr="00E454D1" w:rsidTr="00B637B6">
        <w:trPr>
          <w:cantSplit/>
          <w:jc w:val="center"/>
        </w:trPr>
        <w:tc>
          <w:tcPr>
            <w:tcW w:w="451" w:type="dxa"/>
            <w:vMerge/>
            <w:shd w:val="clear" w:color="auto" w:fill="auto"/>
          </w:tcPr>
          <w:p w:rsidR="00B637B6" w:rsidRPr="00E454D1" w:rsidRDefault="00B637B6" w:rsidP="00B637B6">
            <w:pPr>
              <w:jc w:val="center"/>
              <w:rPr>
                <w:lang w:val="fr-CH"/>
              </w:rPr>
            </w:pPr>
          </w:p>
        </w:tc>
        <w:tc>
          <w:tcPr>
            <w:tcW w:w="638" w:type="dxa"/>
            <w:vMerge/>
            <w:tcBorders>
              <w:right w:val="single" w:sz="4" w:space="0" w:color="auto"/>
            </w:tcBorders>
          </w:tcPr>
          <w:p w:rsidR="00B637B6" w:rsidRPr="00E454D1" w:rsidRDefault="00B637B6" w:rsidP="00B637B6">
            <w:pPr>
              <w:jc w:val="center"/>
              <w:rPr>
                <w:lang w:val="fr-CH"/>
              </w:rPr>
            </w:pPr>
          </w:p>
        </w:tc>
        <w:tc>
          <w:tcPr>
            <w:tcW w:w="236" w:type="dxa"/>
            <w:tcBorders>
              <w:top w:val="nil"/>
              <w:left w:val="nil"/>
              <w:bottom w:val="nil"/>
              <w:right w:val="nil"/>
            </w:tcBorders>
          </w:tcPr>
          <w:p w:rsidR="00B637B6" w:rsidRPr="00E454D1" w:rsidRDefault="00B637B6" w:rsidP="00B637B6">
            <w:pPr>
              <w:jc w:val="center"/>
              <w:rPr>
                <w:lang w:val="fr-CH"/>
              </w:rPr>
            </w:pPr>
          </w:p>
        </w:tc>
        <w:tc>
          <w:tcPr>
            <w:tcW w:w="1420" w:type="dxa"/>
            <w:tcBorders>
              <w:left w:val="single" w:sz="4" w:space="0" w:color="auto"/>
            </w:tcBorders>
          </w:tcPr>
          <w:p w:rsidR="00B637B6" w:rsidRPr="00E454D1" w:rsidRDefault="00B637B6" w:rsidP="00B637B6">
            <w:pPr>
              <w:jc w:val="center"/>
              <w:rPr>
                <w:lang w:val="fr-CH"/>
              </w:rPr>
            </w:pPr>
          </w:p>
        </w:tc>
        <w:tc>
          <w:tcPr>
            <w:tcW w:w="1389" w:type="dxa"/>
          </w:tcPr>
          <w:p w:rsidR="00B637B6" w:rsidRPr="00E454D1" w:rsidRDefault="00B637B6" w:rsidP="00B637B6">
            <w:pPr>
              <w:jc w:val="center"/>
              <w:rPr>
                <w:lang w:val="fr-CH"/>
              </w:rPr>
            </w:pPr>
          </w:p>
        </w:tc>
        <w:tc>
          <w:tcPr>
            <w:tcW w:w="1389" w:type="dxa"/>
            <w:gridSpan w:val="2"/>
          </w:tcPr>
          <w:p w:rsidR="00D75FE9" w:rsidRPr="00E454D1" w:rsidRDefault="00B637B6" w:rsidP="00B637B6">
            <w:pPr>
              <w:jc w:val="center"/>
              <w:rPr>
                <w:lang w:val="fr-CH"/>
              </w:rPr>
            </w:pPr>
            <w:r w:rsidRPr="00E454D1">
              <w:rPr>
                <w:noProof/>
              </w:rPr>
              <w:drawing>
                <wp:inline distT="0" distB="0" distL="0" distR="0" wp14:anchorId="64BCFF67" wp14:editId="419EF540">
                  <wp:extent cx="371475" cy="1085850"/>
                  <wp:effectExtent l="0" t="0" r="9525" b="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5</w:t>
            </w:r>
          </w:p>
          <w:p w:rsidR="00B637B6" w:rsidRPr="00E454D1" w:rsidRDefault="00B637B6" w:rsidP="00B637B6">
            <w:pPr>
              <w:jc w:val="center"/>
              <w:rPr>
                <w:lang w:val="fr-CH"/>
              </w:rPr>
            </w:pPr>
            <w:r w:rsidRPr="00E454D1">
              <w:rPr>
                <w:lang w:val="fr-CH"/>
              </w:rPr>
              <w:t>oblong</w:t>
            </w:r>
          </w:p>
        </w:tc>
        <w:tc>
          <w:tcPr>
            <w:tcW w:w="1388" w:type="dxa"/>
            <w:gridSpan w:val="2"/>
          </w:tcPr>
          <w:p w:rsidR="00D75FE9" w:rsidRPr="00E454D1" w:rsidRDefault="00B637B6" w:rsidP="00B637B6">
            <w:pPr>
              <w:jc w:val="center"/>
              <w:rPr>
                <w:lang w:val="fr-CH"/>
              </w:rPr>
            </w:pPr>
            <w:r w:rsidRPr="00E454D1">
              <w:rPr>
                <w:noProof/>
              </w:rPr>
              <w:drawing>
                <wp:inline distT="0" distB="0" distL="0" distR="0" wp14:anchorId="0A336222" wp14:editId="70486992">
                  <wp:extent cx="266700" cy="1085850"/>
                  <wp:effectExtent l="0" t="0" r="0"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8</w:t>
            </w:r>
          </w:p>
          <w:p w:rsidR="00B637B6" w:rsidRPr="00E454D1" w:rsidRDefault="00B637B6" w:rsidP="00B637B6">
            <w:pPr>
              <w:jc w:val="center"/>
              <w:rPr>
                <w:lang w:val="fr-CH"/>
              </w:rPr>
            </w:pPr>
            <w:proofErr w:type="spellStart"/>
            <w:r w:rsidRPr="00E454D1">
              <w:rPr>
                <w:lang w:val="fr-CH"/>
              </w:rPr>
              <w:t>oblancéolé</w:t>
            </w:r>
            <w:proofErr w:type="spellEnd"/>
          </w:p>
        </w:tc>
        <w:tc>
          <w:tcPr>
            <w:tcW w:w="1389" w:type="dxa"/>
          </w:tcPr>
          <w:p w:rsidR="00D75FE9" w:rsidRPr="00E454D1" w:rsidRDefault="00B637B6" w:rsidP="00B637B6">
            <w:pPr>
              <w:jc w:val="center"/>
              <w:rPr>
                <w:lang w:val="fr-CH"/>
              </w:rPr>
            </w:pPr>
            <w:r w:rsidRPr="00E454D1">
              <w:rPr>
                <w:noProof/>
              </w:rPr>
              <w:drawing>
                <wp:inline distT="0" distB="0" distL="0" distR="0" wp14:anchorId="25070139" wp14:editId="18C6B2DD">
                  <wp:extent cx="304800" cy="1076325"/>
                  <wp:effectExtent l="0" t="0" r="0" b="9525"/>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9</w:t>
            </w:r>
          </w:p>
          <w:p w:rsidR="00B637B6" w:rsidRPr="00E454D1" w:rsidRDefault="00B637B6" w:rsidP="00B637B6">
            <w:pPr>
              <w:jc w:val="center"/>
              <w:rPr>
                <w:lang w:val="fr-CH"/>
              </w:rPr>
            </w:pPr>
            <w:r w:rsidRPr="00E454D1">
              <w:rPr>
                <w:lang w:val="fr-CH"/>
              </w:rPr>
              <w:t>spatulé</w:t>
            </w:r>
          </w:p>
        </w:tc>
        <w:tc>
          <w:tcPr>
            <w:tcW w:w="1389" w:type="dxa"/>
            <w:gridSpan w:val="2"/>
          </w:tcPr>
          <w:p w:rsidR="00B637B6" w:rsidRPr="00E454D1" w:rsidRDefault="00B637B6" w:rsidP="00B637B6">
            <w:pPr>
              <w:jc w:val="center"/>
              <w:rPr>
                <w:lang w:val="fr-CH"/>
              </w:rPr>
            </w:pPr>
          </w:p>
        </w:tc>
      </w:tr>
      <w:tr w:rsidR="00E454D1" w:rsidRPr="00E454D1" w:rsidTr="00B637B6">
        <w:trPr>
          <w:cantSplit/>
          <w:jc w:val="center"/>
        </w:trPr>
        <w:tc>
          <w:tcPr>
            <w:tcW w:w="451" w:type="dxa"/>
            <w:vMerge/>
            <w:shd w:val="clear" w:color="auto" w:fill="auto"/>
          </w:tcPr>
          <w:p w:rsidR="00B637B6" w:rsidRPr="00E454D1" w:rsidRDefault="00B637B6" w:rsidP="00B637B6">
            <w:pPr>
              <w:jc w:val="center"/>
              <w:rPr>
                <w:lang w:val="fr-CH"/>
              </w:rPr>
            </w:pPr>
          </w:p>
        </w:tc>
        <w:tc>
          <w:tcPr>
            <w:tcW w:w="638" w:type="dxa"/>
            <w:vMerge/>
            <w:tcBorders>
              <w:right w:val="single" w:sz="4" w:space="0" w:color="auto"/>
            </w:tcBorders>
          </w:tcPr>
          <w:p w:rsidR="00B637B6" w:rsidRPr="00E454D1" w:rsidRDefault="00B637B6" w:rsidP="00B637B6">
            <w:pPr>
              <w:jc w:val="center"/>
              <w:rPr>
                <w:lang w:val="fr-CH"/>
              </w:rPr>
            </w:pPr>
          </w:p>
        </w:tc>
        <w:tc>
          <w:tcPr>
            <w:tcW w:w="236" w:type="dxa"/>
            <w:tcBorders>
              <w:top w:val="nil"/>
              <w:left w:val="nil"/>
              <w:bottom w:val="nil"/>
              <w:right w:val="nil"/>
            </w:tcBorders>
          </w:tcPr>
          <w:p w:rsidR="00B637B6" w:rsidRPr="00E454D1" w:rsidRDefault="00B637B6" w:rsidP="00B637B6">
            <w:pPr>
              <w:jc w:val="center"/>
              <w:rPr>
                <w:lang w:val="fr-CH"/>
              </w:rPr>
            </w:pPr>
          </w:p>
        </w:tc>
        <w:tc>
          <w:tcPr>
            <w:tcW w:w="1420" w:type="dxa"/>
            <w:tcBorders>
              <w:left w:val="single" w:sz="4" w:space="0" w:color="auto"/>
            </w:tcBorders>
          </w:tcPr>
          <w:p w:rsidR="00D75FE9" w:rsidRPr="00E454D1" w:rsidRDefault="00B637B6" w:rsidP="00B637B6">
            <w:pPr>
              <w:jc w:val="center"/>
              <w:rPr>
                <w:lang w:val="fr-CH"/>
              </w:rPr>
            </w:pPr>
            <w:r w:rsidRPr="00E454D1">
              <w:rPr>
                <w:noProof/>
              </w:rPr>
              <w:drawing>
                <wp:inline distT="0" distB="0" distL="0" distR="0" wp14:anchorId="19C882E2" wp14:editId="3C51CD3A">
                  <wp:extent cx="581025" cy="1047750"/>
                  <wp:effectExtent l="0" t="0" r="9525" b="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1</w:t>
            </w:r>
          </w:p>
          <w:p w:rsidR="00B637B6" w:rsidRPr="00E454D1" w:rsidRDefault="00B637B6" w:rsidP="00B637B6">
            <w:pPr>
              <w:jc w:val="center"/>
              <w:rPr>
                <w:lang w:val="fr-CH"/>
              </w:rPr>
            </w:pPr>
            <w:r w:rsidRPr="00E454D1">
              <w:rPr>
                <w:lang w:val="fr-CH"/>
              </w:rPr>
              <w:t>triangulaire</w:t>
            </w:r>
          </w:p>
        </w:tc>
        <w:tc>
          <w:tcPr>
            <w:tcW w:w="1389" w:type="dxa"/>
          </w:tcPr>
          <w:p w:rsidR="00D75FE9" w:rsidRPr="00E454D1" w:rsidRDefault="00B637B6" w:rsidP="00B637B6">
            <w:pPr>
              <w:jc w:val="center"/>
              <w:rPr>
                <w:lang w:val="fr-CH"/>
              </w:rPr>
            </w:pPr>
            <w:r w:rsidRPr="00E454D1">
              <w:rPr>
                <w:noProof/>
              </w:rPr>
              <w:drawing>
                <wp:inline distT="0" distB="0" distL="0" distR="0" wp14:anchorId="293AFB98" wp14:editId="56D2C1AC">
                  <wp:extent cx="504825" cy="1085850"/>
                  <wp:effectExtent l="0" t="0" r="9525" b="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2</w:t>
            </w:r>
          </w:p>
          <w:p w:rsidR="00B637B6" w:rsidRPr="00E454D1" w:rsidRDefault="00B637B6" w:rsidP="00B637B6">
            <w:pPr>
              <w:jc w:val="center"/>
              <w:rPr>
                <w:lang w:val="fr-CH"/>
              </w:rPr>
            </w:pPr>
            <w:r w:rsidRPr="00E454D1">
              <w:rPr>
                <w:lang w:val="fr-CH"/>
              </w:rPr>
              <w:t>ovale</w:t>
            </w:r>
          </w:p>
        </w:tc>
        <w:tc>
          <w:tcPr>
            <w:tcW w:w="1389" w:type="dxa"/>
            <w:gridSpan w:val="2"/>
          </w:tcPr>
          <w:p w:rsidR="00D75FE9" w:rsidRPr="00E454D1" w:rsidRDefault="00B637B6" w:rsidP="00B637B6">
            <w:pPr>
              <w:jc w:val="center"/>
              <w:rPr>
                <w:lang w:val="fr-CH"/>
              </w:rPr>
            </w:pPr>
            <w:r w:rsidRPr="00E454D1">
              <w:rPr>
                <w:noProof/>
              </w:rPr>
              <w:drawing>
                <wp:inline distT="0" distB="0" distL="0" distR="0" wp14:anchorId="6E5CB9F3" wp14:editId="765690A4">
                  <wp:extent cx="457200" cy="1076325"/>
                  <wp:effectExtent l="0" t="0" r="0" b="9525"/>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4</w:t>
            </w:r>
          </w:p>
          <w:p w:rsidR="00B637B6" w:rsidRPr="00E454D1" w:rsidRDefault="00B637B6" w:rsidP="00B637B6">
            <w:pPr>
              <w:jc w:val="center"/>
              <w:rPr>
                <w:lang w:val="fr-CH"/>
              </w:rPr>
            </w:pPr>
            <w:r w:rsidRPr="00E454D1">
              <w:rPr>
                <w:lang w:val="fr-CH"/>
              </w:rPr>
              <w:t>elliptique</w:t>
            </w:r>
          </w:p>
        </w:tc>
        <w:tc>
          <w:tcPr>
            <w:tcW w:w="1388" w:type="dxa"/>
            <w:gridSpan w:val="2"/>
          </w:tcPr>
          <w:p w:rsidR="00D75FE9" w:rsidRPr="00E454D1" w:rsidRDefault="00B637B6" w:rsidP="00B637B6">
            <w:pPr>
              <w:jc w:val="center"/>
              <w:rPr>
                <w:lang w:val="fr-CH"/>
              </w:rPr>
            </w:pPr>
            <w:r w:rsidRPr="00E454D1">
              <w:rPr>
                <w:noProof/>
              </w:rPr>
              <w:drawing>
                <wp:inline distT="0" distB="0" distL="0" distR="0" wp14:anchorId="71F7DD09" wp14:editId="4CE78D0B">
                  <wp:extent cx="533400" cy="1076325"/>
                  <wp:effectExtent l="0" t="0" r="0" b="9525"/>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7</w:t>
            </w:r>
          </w:p>
          <w:p w:rsidR="00B637B6" w:rsidRPr="00E454D1" w:rsidRDefault="00B637B6" w:rsidP="00B637B6">
            <w:pPr>
              <w:jc w:val="center"/>
              <w:rPr>
                <w:lang w:val="fr-CH"/>
              </w:rPr>
            </w:pPr>
            <w:proofErr w:type="spellStart"/>
            <w:r w:rsidRPr="00E454D1">
              <w:rPr>
                <w:lang w:val="fr-CH"/>
              </w:rPr>
              <w:t>obovale</w:t>
            </w:r>
            <w:proofErr w:type="spellEnd"/>
          </w:p>
        </w:tc>
        <w:tc>
          <w:tcPr>
            <w:tcW w:w="1389" w:type="dxa"/>
          </w:tcPr>
          <w:p w:rsidR="00B637B6" w:rsidRPr="00E454D1" w:rsidRDefault="00B637B6" w:rsidP="00B637B6">
            <w:pPr>
              <w:jc w:val="center"/>
              <w:rPr>
                <w:lang w:val="fr-CH"/>
              </w:rPr>
            </w:pPr>
          </w:p>
        </w:tc>
        <w:tc>
          <w:tcPr>
            <w:tcW w:w="1389" w:type="dxa"/>
            <w:gridSpan w:val="2"/>
          </w:tcPr>
          <w:p w:rsidR="00D75FE9" w:rsidRPr="00E454D1" w:rsidRDefault="00B637B6" w:rsidP="00B637B6">
            <w:pPr>
              <w:jc w:val="center"/>
              <w:rPr>
                <w:lang w:val="fr-CH"/>
              </w:rPr>
            </w:pPr>
            <w:r w:rsidRPr="00E454D1">
              <w:rPr>
                <w:noProof/>
              </w:rPr>
              <w:drawing>
                <wp:inline distT="0" distB="0" distL="0" distR="0" wp14:anchorId="6A1AB2B0" wp14:editId="1D460605">
                  <wp:extent cx="523875" cy="1085850"/>
                  <wp:effectExtent l="0" t="0" r="9525" b="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B637B6" w:rsidRPr="00E454D1" w:rsidRDefault="00B637B6" w:rsidP="00B637B6">
            <w:pPr>
              <w:ind w:left="-57" w:right="-57"/>
              <w:jc w:val="center"/>
              <w:rPr>
                <w:lang w:val="fr-CH"/>
              </w:rPr>
            </w:pPr>
            <w:r w:rsidRPr="00E454D1">
              <w:rPr>
                <w:lang w:val="fr-CH"/>
              </w:rPr>
              <w:t xml:space="preserve">10 </w:t>
            </w:r>
            <w:proofErr w:type="spellStart"/>
            <w:r w:rsidRPr="00E454D1">
              <w:rPr>
                <w:lang w:val="fr-CH"/>
              </w:rPr>
              <w:t>obtriangulaire</w:t>
            </w:r>
            <w:proofErr w:type="spellEnd"/>
          </w:p>
        </w:tc>
      </w:tr>
      <w:tr w:rsidR="00B637B6" w:rsidRPr="00E454D1" w:rsidTr="00B637B6">
        <w:trPr>
          <w:cantSplit/>
          <w:trHeight w:val="2035"/>
          <w:jc w:val="center"/>
        </w:trPr>
        <w:tc>
          <w:tcPr>
            <w:tcW w:w="451" w:type="dxa"/>
            <w:vMerge/>
            <w:shd w:val="clear" w:color="auto" w:fill="auto"/>
          </w:tcPr>
          <w:p w:rsidR="00B637B6" w:rsidRPr="00E454D1" w:rsidRDefault="00B637B6" w:rsidP="00B637B6">
            <w:pPr>
              <w:jc w:val="center"/>
              <w:rPr>
                <w:lang w:val="fr-CH"/>
              </w:rPr>
            </w:pPr>
          </w:p>
        </w:tc>
        <w:tc>
          <w:tcPr>
            <w:tcW w:w="638" w:type="dxa"/>
            <w:vMerge/>
            <w:tcBorders>
              <w:right w:val="single" w:sz="4" w:space="0" w:color="auto"/>
            </w:tcBorders>
          </w:tcPr>
          <w:p w:rsidR="00B637B6" w:rsidRPr="00E454D1" w:rsidRDefault="00B637B6" w:rsidP="00B637B6">
            <w:pPr>
              <w:jc w:val="center"/>
              <w:rPr>
                <w:lang w:val="fr-CH"/>
              </w:rPr>
            </w:pPr>
          </w:p>
        </w:tc>
        <w:tc>
          <w:tcPr>
            <w:tcW w:w="236" w:type="dxa"/>
            <w:tcBorders>
              <w:top w:val="nil"/>
              <w:left w:val="nil"/>
              <w:bottom w:val="nil"/>
              <w:right w:val="nil"/>
            </w:tcBorders>
          </w:tcPr>
          <w:p w:rsidR="00B637B6" w:rsidRPr="00E454D1" w:rsidRDefault="00B637B6" w:rsidP="00B637B6">
            <w:pPr>
              <w:jc w:val="center"/>
              <w:rPr>
                <w:lang w:val="fr-CH"/>
              </w:rPr>
            </w:pPr>
          </w:p>
        </w:tc>
        <w:tc>
          <w:tcPr>
            <w:tcW w:w="1420" w:type="dxa"/>
            <w:tcBorders>
              <w:left w:val="single" w:sz="4" w:space="0" w:color="auto"/>
            </w:tcBorders>
          </w:tcPr>
          <w:p w:rsidR="00B637B6" w:rsidRPr="00E454D1" w:rsidRDefault="00B637B6" w:rsidP="00B637B6">
            <w:pPr>
              <w:jc w:val="center"/>
              <w:rPr>
                <w:lang w:val="fr-CH"/>
              </w:rPr>
            </w:pPr>
          </w:p>
        </w:tc>
        <w:tc>
          <w:tcPr>
            <w:tcW w:w="1389" w:type="dxa"/>
          </w:tcPr>
          <w:p w:rsidR="00B637B6" w:rsidRPr="00E454D1" w:rsidRDefault="00B637B6" w:rsidP="00B637B6">
            <w:pPr>
              <w:jc w:val="center"/>
              <w:rPr>
                <w:lang w:val="fr-CH"/>
              </w:rPr>
            </w:pPr>
          </w:p>
        </w:tc>
        <w:tc>
          <w:tcPr>
            <w:tcW w:w="1389" w:type="dxa"/>
            <w:gridSpan w:val="2"/>
          </w:tcPr>
          <w:p w:rsidR="00D75FE9" w:rsidRPr="00E454D1" w:rsidRDefault="00B637B6" w:rsidP="00B637B6">
            <w:pPr>
              <w:jc w:val="center"/>
              <w:rPr>
                <w:lang w:val="fr-CH"/>
              </w:rPr>
            </w:pPr>
            <w:r w:rsidRPr="00E454D1">
              <w:rPr>
                <w:noProof/>
              </w:rPr>
              <w:drawing>
                <wp:inline distT="0" distB="0" distL="0" distR="0" wp14:anchorId="2261BFDD" wp14:editId="1B0A5728">
                  <wp:extent cx="600075" cy="857250"/>
                  <wp:effectExtent l="0" t="0" r="9525" b="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D75FE9" w:rsidRPr="00E454D1" w:rsidRDefault="00B637B6" w:rsidP="00B637B6">
            <w:pPr>
              <w:jc w:val="center"/>
              <w:rPr>
                <w:lang w:val="fr-CH"/>
              </w:rPr>
            </w:pPr>
            <w:r w:rsidRPr="00E454D1">
              <w:rPr>
                <w:lang w:val="fr-CH"/>
              </w:rPr>
              <w:t>3</w:t>
            </w:r>
          </w:p>
          <w:p w:rsidR="00B637B6" w:rsidRPr="00E454D1" w:rsidRDefault="00B637B6" w:rsidP="00B637B6">
            <w:pPr>
              <w:jc w:val="center"/>
              <w:rPr>
                <w:lang w:val="fr-CH"/>
              </w:rPr>
            </w:pPr>
            <w:r w:rsidRPr="00E454D1">
              <w:rPr>
                <w:lang w:val="fr-CH"/>
              </w:rPr>
              <w:t>circulaire</w:t>
            </w:r>
          </w:p>
        </w:tc>
        <w:tc>
          <w:tcPr>
            <w:tcW w:w="1388" w:type="dxa"/>
            <w:gridSpan w:val="2"/>
          </w:tcPr>
          <w:p w:rsidR="00B637B6" w:rsidRPr="00E454D1" w:rsidRDefault="00B637B6" w:rsidP="00B637B6">
            <w:pPr>
              <w:jc w:val="center"/>
              <w:rPr>
                <w:lang w:val="fr-CH"/>
              </w:rPr>
            </w:pPr>
          </w:p>
        </w:tc>
        <w:tc>
          <w:tcPr>
            <w:tcW w:w="1389" w:type="dxa"/>
          </w:tcPr>
          <w:p w:rsidR="00B637B6" w:rsidRPr="00E454D1" w:rsidRDefault="00B637B6" w:rsidP="00B637B6">
            <w:pPr>
              <w:jc w:val="center"/>
              <w:rPr>
                <w:lang w:val="fr-CH"/>
              </w:rPr>
            </w:pPr>
          </w:p>
        </w:tc>
        <w:tc>
          <w:tcPr>
            <w:tcW w:w="1389" w:type="dxa"/>
            <w:gridSpan w:val="2"/>
          </w:tcPr>
          <w:p w:rsidR="00B637B6" w:rsidRPr="00E454D1" w:rsidRDefault="00B637B6" w:rsidP="00B637B6">
            <w:pPr>
              <w:jc w:val="center"/>
              <w:rPr>
                <w:lang w:val="fr-CH"/>
              </w:rPr>
            </w:pPr>
          </w:p>
        </w:tc>
      </w:tr>
    </w:tbl>
    <w:p w:rsidR="00D75FE9" w:rsidRPr="00E454D1" w:rsidRDefault="00D75FE9" w:rsidP="00B637B6">
      <w:pPr>
        <w:rPr>
          <w:lang w:val="fr-CH"/>
        </w:rPr>
      </w:pPr>
    </w:p>
    <w:p w:rsidR="00D75FE9" w:rsidRPr="00E454D1" w:rsidRDefault="00D75FE9" w:rsidP="009956BC">
      <w:pPr>
        <w:rPr>
          <w:lang w:val="fr-CH"/>
        </w:rPr>
      </w:pPr>
    </w:p>
    <w:p w:rsidR="00D75FE9" w:rsidRPr="00E454D1" w:rsidRDefault="009956BC" w:rsidP="009956BC">
      <w:pPr>
        <w:jc w:val="left"/>
        <w:rPr>
          <w:lang w:val="fr-CH"/>
        </w:rPr>
      </w:pPr>
      <w:r w:rsidRPr="00E454D1">
        <w:rPr>
          <w:lang w:val="fr-CH"/>
        </w:rPr>
        <w:br w:type="page"/>
      </w:r>
    </w:p>
    <w:p w:rsidR="00D75FE9" w:rsidRPr="00E454D1" w:rsidRDefault="0074047A" w:rsidP="0074047A">
      <w:pPr>
        <w:rPr>
          <w:rFonts w:eastAsia="MS Mincho"/>
          <w:u w:val="single"/>
          <w:lang w:val="fr-CH"/>
        </w:rPr>
      </w:pPr>
      <w:r w:rsidRPr="00E454D1">
        <w:rPr>
          <w:rFonts w:eastAsia="MS Mincho"/>
          <w:u w:val="single"/>
          <w:lang w:val="fr-CH"/>
        </w:rPr>
        <w:lastRenderedPageBreak/>
        <w:t>ii)</w:t>
      </w:r>
      <w:r w:rsidRPr="00E454D1">
        <w:rPr>
          <w:rFonts w:eastAsia="MS Mincho"/>
          <w:u w:val="single"/>
          <w:lang w:val="fr-CH"/>
        </w:rPr>
        <w:tab/>
        <w:t>Facteurs à prendre en considération pour la création de groupes de couleurs</w:t>
      </w:r>
    </w:p>
    <w:p w:rsidR="00D75FE9" w:rsidRPr="00E454D1" w:rsidRDefault="00D75FE9" w:rsidP="009956BC">
      <w:pPr>
        <w:rPr>
          <w:lang w:val="fr-CH"/>
        </w:rPr>
      </w:pPr>
    </w:p>
    <w:p w:rsidR="00D75FE9" w:rsidRPr="00E454D1" w:rsidRDefault="009956BC" w:rsidP="0074047A">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74047A" w:rsidRPr="00E454D1">
        <w:rPr>
          <w:lang w:val="fr-CH"/>
        </w:rPr>
        <w:t>À sa cinquante</w:t>
      </w:r>
      <w:r w:rsidR="00E454D1">
        <w:rPr>
          <w:lang w:val="fr-CH"/>
        </w:rPr>
        <w:t>-</w:t>
      </w:r>
      <w:r w:rsidR="0074047A" w:rsidRPr="00E454D1">
        <w:rPr>
          <w:lang w:val="fr-CH"/>
        </w:rPr>
        <w:t>quatr</w:t>
      </w:r>
      <w:r w:rsidR="00E454D1">
        <w:rPr>
          <w:lang w:val="fr-CH"/>
        </w:rPr>
        <w:t>ième session</w:t>
      </w:r>
      <w:r w:rsidR="0074047A" w:rsidRPr="00E454D1">
        <w:rPr>
          <w:lang w:val="fr-CH"/>
        </w:rPr>
        <w:t>, le</w:t>
      </w:r>
      <w:r w:rsidR="00E454D1">
        <w:rPr>
          <w:lang w:val="fr-CH"/>
        </w:rPr>
        <w:t> TC</w:t>
      </w:r>
      <w:r w:rsidR="0074047A" w:rsidRPr="00E454D1">
        <w:rPr>
          <w:lang w:val="fr-CH"/>
        </w:rPr>
        <w:t xml:space="preserve"> a examiné le </w:t>
      </w:r>
      <w:r w:rsidR="00E454D1" w:rsidRPr="00E454D1">
        <w:rPr>
          <w:lang w:val="fr-CH"/>
        </w:rPr>
        <w:t>document</w:t>
      </w:r>
      <w:r w:rsidR="00E454D1">
        <w:rPr>
          <w:lang w:val="fr-CH"/>
        </w:rPr>
        <w:t xml:space="preserve"> TC</w:t>
      </w:r>
      <w:r w:rsidR="0074047A" w:rsidRPr="00E454D1">
        <w:rPr>
          <w:lang w:val="fr-CH"/>
        </w:rPr>
        <w:t>/54/22 “Noms de couleurs pour le code RHS des couleurs” (voir le paragraphe</w:t>
      </w:r>
      <w:r w:rsidR="00FE5010" w:rsidRPr="00E454D1">
        <w:rPr>
          <w:lang w:val="fr-CH"/>
        </w:rPr>
        <w:t> </w:t>
      </w:r>
      <w:r w:rsidR="0074047A" w:rsidRPr="00E454D1">
        <w:rPr>
          <w:lang w:val="fr-CH"/>
        </w:rPr>
        <w:t xml:space="preserve">244 du </w:t>
      </w:r>
      <w:r w:rsidR="00E454D1" w:rsidRPr="00E454D1">
        <w:rPr>
          <w:lang w:val="fr-CH"/>
        </w:rPr>
        <w:t>document</w:t>
      </w:r>
      <w:r w:rsidR="00E454D1">
        <w:rPr>
          <w:lang w:val="fr-CH"/>
        </w:rPr>
        <w:t xml:space="preserve"> TC</w:t>
      </w:r>
      <w:r w:rsidR="0074047A" w:rsidRPr="00E454D1">
        <w:rPr>
          <w:lang w:val="fr-CH"/>
        </w:rPr>
        <w:t>/54/31</w:t>
      </w:r>
      <w:r w:rsidR="00124C91" w:rsidRPr="00E454D1">
        <w:rPr>
          <w:lang w:val="fr-CH"/>
        </w:rPr>
        <w:t> </w:t>
      </w:r>
      <w:r w:rsidR="00C76573" w:rsidRPr="00E454D1">
        <w:rPr>
          <w:lang w:val="fr-CH"/>
        </w:rPr>
        <w:t xml:space="preserve">Corr. </w:t>
      </w:r>
      <w:r w:rsidR="0074047A" w:rsidRPr="00E454D1">
        <w:rPr>
          <w:lang w:val="fr-CH"/>
        </w:rPr>
        <w:t>“Compte rendu”).</w:t>
      </w:r>
    </w:p>
    <w:p w:rsidR="00D75FE9" w:rsidRPr="00E454D1" w:rsidRDefault="00D75FE9" w:rsidP="009956BC">
      <w:pPr>
        <w:rPr>
          <w:lang w:val="fr-CH"/>
        </w:rPr>
      </w:pPr>
    </w:p>
    <w:p w:rsidR="00D75FE9" w:rsidRPr="00E454D1" w:rsidRDefault="009956BC" w:rsidP="0074047A">
      <w:pPr>
        <w:rPr>
          <w:lang w:val="fr-CH"/>
        </w:rPr>
      </w:pPr>
      <w:r w:rsidRPr="00E454D1">
        <w:rPr>
          <w:lang w:val="fr-CH"/>
        </w:rPr>
        <w:fldChar w:fldCharType="begin"/>
      </w:r>
      <w:r w:rsidRPr="00E454D1">
        <w:rPr>
          <w:lang w:val="fr-CH"/>
        </w:rPr>
        <w:instrText xml:space="preserve"> AUTONUM  </w:instrText>
      </w:r>
      <w:r w:rsidRPr="00E454D1">
        <w:rPr>
          <w:lang w:val="fr-CH"/>
        </w:rPr>
        <w:fldChar w:fldCharType="end"/>
      </w:r>
      <w:r w:rsidRPr="00E454D1">
        <w:rPr>
          <w:lang w:val="fr-CH"/>
        </w:rPr>
        <w:tab/>
      </w:r>
      <w:r w:rsidR="0074047A" w:rsidRPr="00E454D1">
        <w:rPr>
          <w:lang w:val="fr-CH"/>
        </w:rPr>
        <w:t>Le</w:t>
      </w:r>
      <w:r w:rsidR="00E454D1">
        <w:rPr>
          <w:lang w:val="fr-CH"/>
        </w:rPr>
        <w:t> TC</w:t>
      </w:r>
      <w:r w:rsidR="0074047A" w:rsidRPr="00E454D1">
        <w:rPr>
          <w:lang w:val="fr-CH"/>
        </w:rPr>
        <w:t xml:space="preserve"> est convenu de proposer de modifier comme suit le </w:t>
      </w:r>
      <w:r w:rsidR="002F2D47" w:rsidRPr="00E454D1">
        <w:rPr>
          <w:lang w:val="fr-CH"/>
        </w:rPr>
        <w:t>document TG</w:t>
      </w:r>
      <w:r w:rsidR="0074047A" w:rsidRPr="00E454D1">
        <w:rPr>
          <w:lang w:val="fr-CH"/>
        </w:rPr>
        <w:t>P/14 pour y inclure des orientations sur les facteurs à prendre en considération pour la création de groupes de couleurs aux fins du groupement de variétés et de l</w:t>
      </w:r>
      <w:r w:rsidR="00E454D1">
        <w:rPr>
          <w:lang w:val="fr-CH"/>
        </w:rPr>
        <w:t>’</w:t>
      </w:r>
      <w:r w:rsidR="0074047A" w:rsidRPr="00E454D1">
        <w:rPr>
          <w:lang w:val="fr-CH"/>
        </w:rPr>
        <w:t>organisation d</w:t>
      </w:r>
      <w:r w:rsidR="00E454D1">
        <w:rPr>
          <w:lang w:val="fr-CH"/>
        </w:rPr>
        <w:t>’</w:t>
      </w:r>
      <w:r w:rsidR="0074047A" w:rsidRPr="00E454D1">
        <w:rPr>
          <w:lang w:val="fr-CH"/>
        </w:rPr>
        <w:t>essais en culture</w:t>
      </w:r>
      <w:r w:rsidR="00E454D1">
        <w:rPr>
          <w:lang w:val="fr-CH"/>
        </w:rPr>
        <w:t> :</w:t>
      </w:r>
    </w:p>
    <w:p w:rsidR="00D75FE9" w:rsidRPr="00E454D1" w:rsidRDefault="00D75FE9" w:rsidP="009956BC">
      <w:pPr>
        <w:rPr>
          <w:rFonts w:eastAsiaTheme="minorEastAsia" w:cs="Arial"/>
          <w:lang w:val="fr-CH"/>
        </w:rPr>
      </w:pPr>
    </w:p>
    <w:p w:rsidR="00D75FE9" w:rsidRPr="00E454D1" w:rsidRDefault="0074047A" w:rsidP="0074047A">
      <w:pPr>
        <w:ind w:left="567" w:right="567"/>
        <w:rPr>
          <w:rFonts w:eastAsiaTheme="minorEastAsia" w:cs="Arial"/>
          <w:sz w:val="18"/>
          <w:szCs w:val="18"/>
          <w:lang w:val="fr-CH"/>
        </w:rPr>
      </w:pPr>
      <w:r w:rsidRPr="00E454D1">
        <w:rPr>
          <w:rFonts w:eastAsiaTheme="minorEastAsia" w:cs="Arial"/>
          <w:sz w:val="18"/>
          <w:szCs w:val="18"/>
          <w:lang w:val="fr-CH"/>
        </w:rPr>
        <w:t>Sous</w:t>
      </w:r>
      <w:r w:rsidR="00E454D1">
        <w:rPr>
          <w:rFonts w:eastAsiaTheme="minorEastAsia" w:cs="Arial"/>
          <w:sz w:val="18"/>
          <w:szCs w:val="18"/>
          <w:lang w:val="fr-CH"/>
        </w:rPr>
        <w:t>-</w:t>
      </w:r>
      <w:r w:rsidRPr="00E454D1">
        <w:rPr>
          <w:rFonts w:eastAsiaTheme="minorEastAsia" w:cs="Arial"/>
          <w:sz w:val="18"/>
          <w:szCs w:val="18"/>
          <w:lang w:val="fr-CH"/>
        </w:rPr>
        <w:t>section</w:t>
      </w:r>
      <w:r w:rsidR="00FE5010" w:rsidRPr="00E454D1">
        <w:rPr>
          <w:rFonts w:eastAsiaTheme="minorEastAsia" w:cs="Arial"/>
          <w:sz w:val="18"/>
          <w:szCs w:val="18"/>
          <w:lang w:val="fr-CH"/>
        </w:rPr>
        <w:t> </w:t>
      </w:r>
      <w:r w:rsidRPr="00E454D1">
        <w:rPr>
          <w:rFonts w:eastAsiaTheme="minorEastAsia" w:cs="Arial"/>
          <w:sz w:val="18"/>
          <w:szCs w:val="18"/>
          <w:lang w:val="fr-CH"/>
        </w:rPr>
        <w:t>3</w:t>
      </w:r>
      <w:r w:rsidR="00E454D1">
        <w:rPr>
          <w:rFonts w:eastAsiaTheme="minorEastAsia" w:cs="Arial"/>
          <w:sz w:val="18"/>
          <w:szCs w:val="18"/>
          <w:lang w:val="fr-CH"/>
        </w:rPr>
        <w:t> :</w:t>
      </w:r>
      <w:r w:rsidRPr="00E454D1">
        <w:rPr>
          <w:rFonts w:eastAsiaTheme="minorEastAsia" w:cs="Arial"/>
          <w:sz w:val="18"/>
          <w:szCs w:val="18"/>
          <w:lang w:val="fr-CH"/>
        </w:rPr>
        <w:t xml:space="preserve"> Couleur</w:t>
      </w:r>
      <w:r w:rsidR="00E454D1">
        <w:rPr>
          <w:rFonts w:eastAsiaTheme="minorEastAsia" w:cs="Arial"/>
          <w:sz w:val="18"/>
          <w:szCs w:val="18"/>
          <w:lang w:val="fr-CH"/>
        </w:rPr>
        <w:t> :</w:t>
      </w:r>
      <w:r w:rsidRPr="00E454D1">
        <w:rPr>
          <w:rFonts w:eastAsiaTheme="minorEastAsia" w:cs="Arial"/>
          <w:sz w:val="18"/>
          <w:szCs w:val="18"/>
          <w:lang w:val="fr-CH"/>
        </w:rPr>
        <w:t xml:space="preserve"> Nouvelle section</w:t>
      </w:r>
      <w:r w:rsidR="00E454D1">
        <w:rPr>
          <w:rFonts w:eastAsiaTheme="minorEastAsia" w:cs="Arial"/>
          <w:sz w:val="18"/>
          <w:szCs w:val="18"/>
          <w:lang w:val="fr-CH"/>
        </w:rPr>
        <w:t> :</w:t>
      </w:r>
      <w:r w:rsidRPr="00E454D1">
        <w:rPr>
          <w:rFonts w:eastAsiaTheme="minorEastAsia" w:cs="Arial"/>
          <w:sz w:val="18"/>
          <w:szCs w:val="18"/>
          <w:lang w:val="fr-CH"/>
        </w:rPr>
        <w:t xml:space="preserve"> 5 “Facteurs à prendre en considération pour la création de groupes de couleurs”</w:t>
      </w:r>
    </w:p>
    <w:p w:rsidR="00D75FE9" w:rsidRPr="00E454D1" w:rsidRDefault="00D75FE9" w:rsidP="009956BC">
      <w:pPr>
        <w:ind w:left="567" w:right="567"/>
        <w:rPr>
          <w:rFonts w:eastAsiaTheme="minorEastAsia" w:cs="Arial"/>
          <w:sz w:val="18"/>
          <w:lang w:val="fr-CH"/>
        </w:rPr>
      </w:pPr>
    </w:p>
    <w:p w:rsidR="00D75FE9" w:rsidRPr="00E454D1" w:rsidRDefault="0074047A" w:rsidP="0074047A">
      <w:pPr>
        <w:keepNext/>
        <w:ind w:left="567" w:right="567"/>
        <w:rPr>
          <w:rFonts w:eastAsiaTheme="minorEastAsia" w:cs="Arial"/>
          <w:sz w:val="18"/>
          <w:lang w:val="fr-CH"/>
        </w:rPr>
      </w:pPr>
      <w:r w:rsidRPr="00E454D1">
        <w:rPr>
          <w:rFonts w:eastAsiaTheme="minorEastAsia" w:cs="Arial"/>
          <w:sz w:val="18"/>
          <w:lang w:val="fr-CH"/>
        </w:rPr>
        <w:t>“Lorsqu</w:t>
      </w:r>
      <w:r w:rsidR="00E454D1">
        <w:rPr>
          <w:rFonts w:eastAsiaTheme="minorEastAsia" w:cs="Arial"/>
          <w:sz w:val="18"/>
          <w:lang w:val="fr-CH"/>
        </w:rPr>
        <w:t>’</w:t>
      </w:r>
      <w:r w:rsidRPr="00E454D1">
        <w:rPr>
          <w:rFonts w:eastAsiaTheme="minorEastAsia" w:cs="Arial"/>
          <w:sz w:val="18"/>
          <w:lang w:val="fr-CH"/>
        </w:rPr>
        <w:t>on utilise la couleur d</w:t>
      </w:r>
      <w:r w:rsidR="00E454D1">
        <w:rPr>
          <w:rFonts w:eastAsiaTheme="minorEastAsia" w:cs="Arial"/>
          <w:sz w:val="18"/>
          <w:lang w:val="fr-CH"/>
        </w:rPr>
        <w:t>’</w:t>
      </w:r>
      <w:r w:rsidRPr="00E454D1">
        <w:rPr>
          <w:rFonts w:eastAsiaTheme="minorEastAsia" w:cs="Arial"/>
          <w:sz w:val="18"/>
          <w:lang w:val="fr-CH"/>
        </w:rPr>
        <w:t>une partie de plante aux fins du groupement des variétés, une très nette différence entre les couleurs est requi</w:t>
      </w:r>
      <w:r w:rsidR="00C77A34" w:rsidRPr="00E454D1">
        <w:rPr>
          <w:rFonts w:eastAsiaTheme="minorEastAsia" w:cs="Arial"/>
          <w:sz w:val="18"/>
          <w:lang w:val="fr-CH"/>
        </w:rPr>
        <w:t>se</w:t>
      </w:r>
      <w:r w:rsidR="00C77A34">
        <w:rPr>
          <w:rFonts w:eastAsiaTheme="minorEastAsia" w:cs="Arial"/>
          <w:sz w:val="18"/>
          <w:lang w:val="fr-CH"/>
        </w:rPr>
        <w:t xml:space="preserve">.  </w:t>
      </w:r>
      <w:r w:rsidR="00C77A34" w:rsidRPr="00E454D1">
        <w:rPr>
          <w:rFonts w:eastAsiaTheme="minorEastAsia" w:cs="Arial"/>
          <w:sz w:val="18"/>
          <w:lang w:val="fr-CH"/>
        </w:rPr>
        <w:t>Ce</w:t>
      </w:r>
      <w:r w:rsidRPr="00E454D1">
        <w:rPr>
          <w:rFonts w:eastAsiaTheme="minorEastAsia" w:cs="Arial"/>
          <w:sz w:val="18"/>
          <w:lang w:val="fr-CH"/>
        </w:rPr>
        <w:t>pendant, les groupes de couleurs sont également utilisés dans le questionnaire technique pour les demandeurs qui n</w:t>
      </w:r>
      <w:r w:rsidR="00E454D1">
        <w:rPr>
          <w:rFonts w:eastAsiaTheme="minorEastAsia" w:cs="Arial"/>
          <w:sz w:val="18"/>
          <w:lang w:val="fr-CH"/>
        </w:rPr>
        <w:t>’</w:t>
      </w:r>
      <w:r w:rsidRPr="00E454D1">
        <w:rPr>
          <w:rFonts w:eastAsiaTheme="minorEastAsia" w:cs="Arial"/>
          <w:sz w:val="18"/>
          <w:lang w:val="fr-CH"/>
        </w:rPr>
        <w:t>ont pas de code RHS des couleu</w:t>
      </w:r>
      <w:r w:rsidR="00C77A34" w:rsidRPr="00E454D1">
        <w:rPr>
          <w:rFonts w:eastAsiaTheme="minorEastAsia" w:cs="Arial"/>
          <w:sz w:val="18"/>
          <w:lang w:val="fr-CH"/>
        </w:rPr>
        <w:t>rs</w:t>
      </w:r>
      <w:r w:rsidR="00C77A34">
        <w:rPr>
          <w:rFonts w:eastAsiaTheme="minorEastAsia" w:cs="Arial"/>
          <w:sz w:val="18"/>
          <w:lang w:val="fr-CH"/>
        </w:rPr>
        <w:t xml:space="preserve">.  </w:t>
      </w:r>
      <w:r w:rsidR="00C77A34" w:rsidRPr="00E454D1">
        <w:rPr>
          <w:rFonts w:eastAsiaTheme="minorEastAsia" w:cs="Arial"/>
          <w:sz w:val="18"/>
          <w:lang w:val="fr-CH"/>
        </w:rPr>
        <w:t>Pa</w:t>
      </w:r>
      <w:r w:rsidRPr="00E454D1">
        <w:rPr>
          <w:rFonts w:eastAsiaTheme="minorEastAsia" w:cs="Arial"/>
          <w:sz w:val="18"/>
          <w:lang w:val="fr-CH"/>
        </w:rPr>
        <w:t>r conséquent, les groupes doivent être suffisamment petits pour que les demandeurs puissent indiquer un niveau d</w:t>
      </w:r>
      <w:r w:rsidR="00E454D1">
        <w:rPr>
          <w:rFonts w:eastAsiaTheme="minorEastAsia" w:cs="Arial"/>
          <w:sz w:val="18"/>
          <w:lang w:val="fr-CH"/>
        </w:rPr>
        <w:t>’</w:t>
      </w:r>
      <w:r w:rsidRPr="00E454D1">
        <w:rPr>
          <w:rFonts w:eastAsiaTheme="minorEastAsia" w:cs="Arial"/>
          <w:sz w:val="18"/>
          <w:lang w:val="fr-CH"/>
        </w:rPr>
        <w:t>expression adapté pour le caractère.</w:t>
      </w:r>
    </w:p>
    <w:p w:rsidR="00D75FE9" w:rsidRPr="00E454D1" w:rsidRDefault="00D75FE9" w:rsidP="0074047A">
      <w:pPr>
        <w:ind w:left="567" w:right="567"/>
        <w:rPr>
          <w:rFonts w:eastAsiaTheme="minorEastAsia" w:cs="Arial"/>
          <w:sz w:val="18"/>
          <w:lang w:val="fr-CH"/>
        </w:rPr>
      </w:pPr>
    </w:p>
    <w:p w:rsidR="00D75FE9" w:rsidRPr="00E454D1" w:rsidRDefault="0074047A" w:rsidP="0074047A">
      <w:pPr>
        <w:ind w:left="567" w:right="567"/>
        <w:rPr>
          <w:rFonts w:eastAsiaTheme="minorEastAsia" w:cs="Arial"/>
          <w:sz w:val="18"/>
          <w:lang w:val="fr-CH"/>
        </w:rPr>
      </w:pPr>
      <w:r w:rsidRPr="00E454D1">
        <w:rPr>
          <w:rFonts w:eastAsiaTheme="minorEastAsia" w:cs="Arial"/>
          <w:sz w:val="18"/>
          <w:lang w:val="fr-CH"/>
        </w:rPr>
        <w:t>“Les facteurs ci</w:t>
      </w:r>
      <w:r w:rsidR="00E454D1">
        <w:rPr>
          <w:rFonts w:eastAsiaTheme="minorEastAsia" w:cs="Arial"/>
          <w:sz w:val="18"/>
          <w:lang w:val="fr-CH"/>
        </w:rPr>
        <w:t>-</w:t>
      </w:r>
      <w:r w:rsidRPr="00E454D1">
        <w:rPr>
          <w:rFonts w:eastAsiaTheme="minorEastAsia" w:cs="Arial"/>
          <w:sz w:val="18"/>
          <w:lang w:val="fr-CH"/>
        </w:rPr>
        <w:t>après sont à prendre en considération pour la création de groupes de couleurs aux fins du groupement des variétés</w:t>
      </w:r>
      <w:r w:rsidR="00E454D1">
        <w:rPr>
          <w:rFonts w:eastAsiaTheme="minorEastAsia" w:cs="Arial"/>
          <w:sz w:val="18"/>
          <w:lang w:val="fr-CH"/>
        </w:rPr>
        <w:t> :</w:t>
      </w:r>
    </w:p>
    <w:p w:rsidR="00D75FE9" w:rsidRPr="00E454D1" w:rsidRDefault="00D75FE9" w:rsidP="0074047A">
      <w:pPr>
        <w:ind w:left="567" w:right="567"/>
        <w:rPr>
          <w:rFonts w:eastAsiaTheme="minorEastAsia" w:cs="Arial"/>
          <w:sz w:val="10"/>
          <w:lang w:val="fr-CH"/>
        </w:rPr>
      </w:pPr>
    </w:p>
    <w:p w:rsidR="00D75FE9" w:rsidRPr="00E454D1" w:rsidRDefault="0074047A" w:rsidP="0074047A">
      <w:pPr>
        <w:numPr>
          <w:ilvl w:val="0"/>
          <w:numId w:val="8"/>
        </w:numPr>
        <w:ind w:left="1701" w:right="567" w:hanging="567"/>
        <w:contextualSpacing/>
        <w:rPr>
          <w:rFonts w:eastAsiaTheme="minorEastAsia" w:cs="Arial"/>
          <w:sz w:val="18"/>
          <w:lang w:val="fr-CH"/>
        </w:rPr>
      </w:pPr>
      <w:proofErr w:type="gramStart"/>
      <w:r w:rsidRPr="00E454D1">
        <w:rPr>
          <w:rFonts w:eastAsiaTheme="minorEastAsia" w:cs="Arial"/>
          <w:sz w:val="18"/>
          <w:lang w:val="fr-CH"/>
        </w:rPr>
        <w:t>gamme</w:t>
      </w:r>
      <w:proofErr w:type="gramEnd"/>
      <w:r w:rsidRPr="00E454D1">
        <w:rPr>
          <w:rFonts w:eastAsiaTheme="minorEastAsia" w:cs="Arial"/>
          <w:sz w:val="18"/>
          <w:lang w:val="fr-CH"/>
        </w:rPr>
        <w:t xml:space="preserve"> des variations de la couleur de la partie de plante au sein de l</w:t>
      </w:r>
      <w:r w:rsidR="00E454D1">
        <w:rPr>
          <w:rFonts w:eastAsiaTheme="minorEastAsia" w:cs="Arial"/>
          <w:sz w:val="18"/>
          <w:lang w:val="fr-CH"/>
        </w:rPr>
        <w:t>’</w:t>
      </w:r>
      <w:r w:rsidRPr="00E454D1">
        <w:rPr>
          <w:rFonts w:eastAsiaTheme="minorEastAsia" w:cs="Arial"/>
          <w:sz w:val="18"/>
          <w:lang w:val="fr-CH"/>
        </w:rPr>
        <w:t>espèce</w:t>
      </w:r>
    </w:p>
    <w:p w:rsidR="00D75FE9" w:rsidRPr="00E454D1" w:rsidRDefault="0074047A" w:rsidP="0074047A">
      <w:pPr>
        <w:numPr>
          <w:ilvl w:val="0"/>
          <w:numId w:val="8"/>
        </w:numPr>
        <w:ind w:left="1701" w:right="567" w:hanging="567"/>
        <w:contextualSpacing/>
        <w:rPr>
          <w:rFonts w:eastAsiaTheme="minorEastAsia" w:cs="Arial"/>
          <w:sz w:val="18"/>
          <w:lang w:val="fr-CH"/>
        </w:rPr>
      </w:pPr>
      <w:proofErr w:type="gramStart"/>
      <w:r w:rsidRPr="00E454D1">
        <w:rPr>
          <w:rFonts w:eastAsiaTheme="minorEastAsia" w:cs="Arial"/>
          <w:sz w:val="18"/>
          <w:lang w:val="fr-CH"/>
        </w:rPr>
        <w:t>différences</w:t>
      </w:r>
      <w:proofErr w:type="gramEnd"/>
      <w:r w:rsidRPr="00E454D1">
        <w:rPr>
          <w:rFonts w:eastAsiaTheme="minorEastAsia" w:cs="Arial"/>
          <w:sz w:val="18"/>
          <w:lang w:val="fr-CH"/>
        </w:rPr>
        <w:t xml:space="preserve"> de couleurs nécessaires pour que les variétés soient considérées comme étant nettement distinctes</w:t>
      </w:r>
    </w:p>
    <w:p w:rsidR="00D75FE9" w:rsidRPr="00E454D1" w:rsidRDefault="0074047A" w:rsidP="0074047A">
      <w:pPr>
        <w:numPr>
          <w:ilvl w:val="0"/>
          <w:numId w:val="8"/>
        </w:numPr>
        <w:ind w:left="1701" w:right="567" w:hanging="567"/>
        <w:contextualSpacing/>
        <w:rPr>
          <w:rFonts w:eastAsiaTheme="minorEastAsia" w:cs="Arial"/>
          <w:sz w:val="18"/>
          <w:lang w:val="fr-CH"/>
        </w:rPr>
      </w:pPr>
      <w:proofErr w:type="gramStart"/>
      <w:r w:rsidRPr="00E454D1">
        <w:rPr>
          <w:rFonts w:eastAsiaTheme="minorEastAsia" w:cs="Arial"/>
          <w:sz w:val="18"/>
          <w:lang w:val="fr-CH"/>
        </w:rPr>
        <w:t>influence</w:t>
      </w:r>
      <w:proofErr w:type="gramEnd"/>
      <w:r w:rsidRPr="00E454D1">
        <w:rPr>
          <w:rFonts w:eastAsiaTheme="minorEastAsia" w:cs="Arial"/>
          <w:sz w:val="18"/>
          <w:lang w:val="fr-CH"/>
        </w:rPr>
        <w:t xml:space="preserve"> possible de l</w:t>
      </w:r>
      <w:r w:rsidR="00E454D1">
        <w:rPr>
          <w:rFonts w:eastAsiaTheme="minorEastAsia" w:cs="Arial"/>
          <w:sz w:val="18"/>
          <w:lang w:val="fr-CH"/>
        </w:rPr>
        <w:t>’</w:t>
      </w:r>
      <w:r w:rsidRPr="00E454D1">
        <w:rPr>
          <w:rFonts w:eastAsiaTheme="minorEastAsia" w:cs="Arial"/>
          <w:sz w:val="18"/>
          <w:lang w:val="fr-CH"/>
        </w:rPr>
        <w:t>environnement sur la couleur de la partie de plante.</w:t>
      </w:r>
    </w:p>
    <w:p w:rsidR="00D75FE9" w:rsidRPr="00E454D1" w:rsidRDefault="00D75FE9" w:rsidP="0074047A">
      <w:pPr>
        <w:rPr>
          <w:rFonts w:eastAsiaTheme="minorEastAsia"/>
          <w:lang w:val="fr-CH"/>
        </w:rPr>
      </w:pPr>
    </w:p>
    <w:p w:rsidR="00D75FE9" w:rsidRPr="00E454D1" w:rsidRDefault="0074047A" w:rsidP="0074047A">
      <w:pPr>
        <w:ind w:left="567" w:right="567"/>
        <w:rPr>
          <w:rFonts w:eastAsiaTheme="minorEastAsia" w:cs="Arial"/>
          <w:sz w:val="18"/>
          <w:lang w:val="fr-CH"/>
        </w:rPr>
      </w:pPr>
      <w:r w:rsidRPr="00E454D1">
        <w:rPr>
          <w:rFonts w:eastAsiaTheme="minorEastAsia" w:cs="Arial"/>
          <w:sz w:val="18"/>
          <w:lang w:val="fr-CH"/>
        </w:rPr>
        <w:t>“Selon l</w:t>
      </w:r>
      <w:r w:rsidR="00E454D1">
        <w:rPr>
          <w:rFonts w:eastAsiaTheme="minorEastAsia" w:cs="Arial"/>
          <w:sz w:val="18"/>
          <w:lang w:val="fr-CH"/>
        </w:rPr>
        <w:t>’</w:t>
      </w:r>
      <w:r w:rsidRPr="00E454D1">
        <w:rPr>
          <w:rFonts w:eastAsiaTheme="minorEastAsia" w:cs="Arial"/>
          <w:sz w:val="18"/>
          <w:lang w:val="fr-CH"/>
        </w:rPr>
        <w:t>espèce et la partie de plante observée, les groupes de couleurs aux fins du groupement peuvent vari</w:t>
      </w:r>
      <w:r w:rsidR="00C77A34" w:rsidRPr="00E454D1">
        <w:rPr>
          <w:rFonts w:eastAsiaTheme="minorEastAsia" w:cs="Arial"/>
          <w:sz w:val="18"/>
          <w:lang w:val="fr-CH"/>
        </w:rPr>
        <w:t>er</w:t>
      </w:r>
      <w:r w:rsidR="00C77A34">
        <w:rPr>
          <w:rFonts w:eastAsiaTheme="minorEastAsia" w:cs="Arial"/>
          <w:sz w:val="18"/>
          <w:lang w:val="fr-CH"/>
        </w:rPr>
        <w:t xml:space="preserve">.  </w:t>
      </w:r>
      <w:r w:rsidR="00C77A34" w:rsidRPr="00E454D1">
        <w:rPr>
          <w:rFonts w:eastAsiaTheme="minorEastAsia" w:cs="Arial"/>
          <w:sz w:val="18"/>
          <w:lang w:val="fr-CH"/>
        </w:rPr>
        <w:t>Le</w:t>
      </w:r>
      <w:r w:rsidRPr="00E454D1">
        <w:rPr>
          <w:rFonts w:eastAsiaTheme="minorEastAsia" w:cs="Arial"/>
          <w:sz w:val="18"/>
          <w:lang w:val="fr-CH"/>
        </w:rPr>
        <w:t xml:space="preserve"> tableau ci</w:t>
      </w:r>
      <w:r w:rsidR="00E454D1">
        <w:rPr>
          <w:rFonts w:eastAsiaTheme="minorEastAsia" w:cs="Arial"/>
          <w:sz w:val="18"/>
          <w:lang w:val="fr-CH"/>
        </w:rPr>
        <w:t>-</w:t>
      </w:r>
      <w:r w:rsidRPr="00E454D1">
        <w:rPr>
          <w:rFonts w:eastAsiaTheme="minorEastAsia" w:cs="Arial"/>
          <w:sz w:val="18"/>
          <w:lang w:val="fr-CH"/>
        </w:rPr>
        <w:t>dessous contient des exemples de groupes de couleurs aux fins des caractères de groupement de plusieurs principes directeurs d</w:t>
      </w:r>
      <w:r w:rsidR="00E454D1">
        <w:rPr>
          <w:rFonts w:eastAsiaTheme="minorEastAsia" w:cs="Arial"/>
          <w:sz w:val="18"/>
          <w:lang w:val="fr-CH"/>
        </w:rPr>
        <w:t>’</w:t>
      </w:r>
      <w:r w:rsidRPr="00E454D1">
        <w:rPr>
          <w:rFonts w:eastAsiaTheme="minorEastAsia" w:cs="Arial"/>
          <w:sz w:val="18"/>
          <w:lang w:val="fr-CH"/>
        </w:rPr>
        <w:t>examen.</w:t>
      </w:r>
    </w:p>
    <w:p w:rsidR="0074047A" w:rsidRPr="00E454D1" w:rsidRDefault="0074047A" w:rsidP="0074047A">
      <w:pPr>
        <w:tabs>
          <w:tab w:val="left" w:pos="8556"/>
        </w:tabs>
        <w:rPr>
          <w:rFonts w:eastAsiaTheme="minorEastAsia" w:cs="Arial"/>
          <w:sz w:val="18"/>
          <w:lang w:val="fr-CH"/>
        </w:rPr>
      </w:pPr>
    </w:p>
    <w:tbl>
      <w:tblPr>
        <w:tblW w:w="8738" w:type="dxa"/>
        <w:jc w:val="center"/>
        <w:tblLayout w:type="fixed"/>
        <w:tblCellMar>
          <w:top w:w="57" w:type="dxa"/>
          <w:left w:w="57" w:type="dxa"/>
          <w:bottom w:w="28" w:type="dxa"/>
          <w:right w:w="57" w:type="dxa"/>
        </w:tblCellMar>
        <w:tblLook w:val="04A0" w:firstRow="1" w:lastRow="0" w:firstColumn="1" w:lastColumn="0" w:noHBand="0" w:noVBand="1"/>
      </w:tblPr>
      <w:tblGrid>
        <w:gridCol w:w="1508"/>
        <w:gridCol w:w="1786"/>
        <w:gridCol w:w="2002"/>
        <w:gridCol w:w="1741"/>
        <w:gridCol w:w="1701"/>
      </w:tblGrid>
      <w:tr w:rsidR="00E454D1" w:rsidRPr="00E454D1" w:rsidTr="00E12A45">
        <w:trPr>
          <w:cantSplit/>
          <w:trHeight w:val="397"/>
          <w:jc w:val="center"/>
        </w:trPr>
        <w:tc>
          <w:tcPr>
            <w:tcW w:w="1508" w:type="dxa"/>
            <w:tcBorders>
              <w:top w:val="single" w:sz="4" w:space="0" w:color="auto"/>
              <w:left w:val="nil"/>
              <w:bottom w:val="single" w:sz="4" w:space="0" w:color="auto"/>
              <w:right w:val="single" w:sz="4" w:space="0" w:color="auto"/>
            </w:tcBorders>
          </w:tcPr>
          <w:p w:rsidR="0074047A" w:rsidRPr="00E454D1" w:rsidRDefault="0074047A" w:rsidP="00E12A45">
            <w:pPr>
              <w:keepNext/>
              <w:rPr>
                <w:sz w:val="16"/>
                <w:lang w:val="fr-CH"/>
              </w:rPr>
            </w:pPr>
            <w:r w:rsidRPr="00E454D1">
              <w:rPr>
                <w:sz w:val="16"/>
                <w:lang w:val="fr-CH"/>
              </w:rPr>
              <w:t>Principes directeurs d</w:t>
            </w:r>
            <w:r w:rsidR="00E454D1">
              <w:rPr>
                <w:sz w:val="16"/>
                <w:lang w:val="fr-CH"/>
              </w:rPr>
              <w:t>’</w:t>
            </w:r>
            <w:r w:rsidRPr="00E454D1">
              <w:rPr>
                <w:sz w:val="16"/>
                <w:lang w:val="fr-CH"/>
              </w:rPr>
              <w:t>examen</w:t>
            </w:r>
          </w:p>
        </w:tc>
        <w:tc>
          <w:tcPr>
            <w:tcW w:w="1786" w:type="dxa"/>
            <w:tcBorders>
              <w:top w:val="single" w:sz="4" w:space="0" w:color="auto"/>
              <w:left w:val="single" w:sz="4" w:space="0" w:color="auto"/>
              <w:bottom w:val="single" w:sz="4" w:space="0" w:color="auto"/>
              <w:right w:val="single" w:sz="4" w:space="0" w:color="auto"/>
            </w:tcBorders>
            <w:hideMark/>
          </w:tcPr>
          <w:p w:rsidR="0074047A" w:rsidRPr="00E454D1" w:rsidRDefault="0074047A" w:rsidP="00E12A45">
            <w:pPr>
              <w:keepNext/>
              <w:rPr>
                <w:sz w:val="16"/>
                <w:lang w:val="fr-CH"/>
              </w:rPr>
            </w:pPr>
            <w:r w:rsidRPr="00E454D1">
              <w:rPr>
                <w:sz w:val="16"/>
                <w:lang w:val="fr-CH"/>
              </w:rPr>
              <w:t>Campanule (TG/305/1)</w:t>
            </w:r>
          </w:p>
        </w:tc>
        <w:tc>
          <w:tcPr>
            <w:tcW w:w="2002" w:type="dxa"/>
            <w:tcBorders>
              <w:top w:val="single" w:sz="4" w:space="0" w:color="auto"/>
              <w:left w:val="single" w:sz="4" w:space="0" w:color="auto"/>
              <w:bottom w:val="single" w:sz="4" w:space="0" w:color="auto"/>
              <w:right w:val="single" w:sz="4" w:space="0" w:color="auto"/>
            </w:tcBorders>
            <w:hideMark/>
          </w:tcPr>
          <w:p w:rsidR="0074047A" w:rsidRPr="00E454D1" w:rsidRDefault="0074047A" w:rsidP="00E12A45">
            <w:pPr>
              <w:keepNext/>
              <w:rPr>
                <w:sz w:val="16"/>
                <w:lang w:val="fr-CH"/>
              </w:rPr>
            </w:pPr>
            <w:proofErr w:type="spellStart"/>
            <w:r w:rsidRPr="00E454D1">
              <w:rPr>
                <w:sz w:val="16"/>
                <w:lang w:val="fr-CH"/>
              </w:rPr>
              <w:t>Funkia</w:t>
            </w:r>
            <w:proofErr w:type="spellEnd"/>
            <w:r w:rsidRPr="00E454D1">
              <w:rPr>
                <w:sz w:val="16"/>
                <w:lang w:val="fr-CH"/>
              </w:rPr>
              <w:t xml:space="preserve"> (TG/299/1)</w:t>
            </w:r>
          </w:p>
        </w:tc>
        <w:tc>
          <w:tcPr>
            <w:tcW w:w="1741" w:type="dxa"/>
            <w:tcBorders>
              <w:top w:val="single" w:sz="4" w:space="0" w:color="auto"/>
              <w:left w:val="single" w:sz="4" w:space="0" w:color="auto"/>
              <w:bottom w:val="single" w:sz="4" w:space="0" w:color="auto"/>
              <w:right w:val="single" w:sz="4" w:space="0" w:color="auto"/>
            </w:tcBorders>
            <w:hideMark/>
          </w:tcPr>
          <w:p w:rsidR="0074047A" w:rsidRPr="00E454D1" w:rsidRDefault="0074047A" w:rsidP="00E12A45">
            <w:pPr>
              <w:keepNext/>
              <w:rPr>
                <w:sz w:val="16"/>
                <w:lang w:val="fr-CH"/>
              </w:rPr>
            </w:pPr>
            <w:r w:rsidRPr="00E454D1">
              <w:rPr>
                <w:sz w:val="16"/>
                <w:lang w:val="fr-CH"/>
              </w:rPr>
              <w:t>Cordyline (TG/317/1)</w:t>
            </w:r>
          </w:p>
        </w:tc>
        <w:tc>
          <w:tcPr>
            <w:tcW w:w="1701" w:type="dxa"/>
            <w:tcBorders>
              <w:top w:val="single" w:sz="4" w:space="0" w:color="auto"/>
              <w:left w:val="single" w:sz="4" w:space="0" w:color="auto"/>
              <w:bottom w:val="single" w:sz="4" w:space="0" w:color="auto"/>
            </w:tcBorders>
            <w:hideMark/>
          </w:tcPr>
          <w:p w:rsidR="0074047A" w:rsidRPr="00E454D1" w:rsidRDefault="0074047A" w:rsidP="00E12A45">
            <w:pPr>
              <w:keepNext/>
              <w:rPr>
                <w:sz w:val="16"/>
                <w:lang w:val="fr-CH"/>
              </w:rPr>
            </w:pPr>
            <w:proofErr w:type="spellStart"/>
            <w:r w:rsidRPr="00E454D1">
              <w:rPr>
                <w:sz w:val="16"/>
                <w:lang w:val="fr-CH"/>
              </w:rPr>
              <w:t>Ostéospermum</w:t>
            </w:r>
            <w:proofErr w:type="spellEnd"/>
            <w:r w:rsidRPr="00E454D1">
              <w:rPr>
                <w:sz w:val="16"/>
                <w:lang w:val="fr-CH"/>
              </w:rPr>
              <w:t xml:space="preserve"> (TG/175/5)</w:t>
            </w:r>
          </w:p>
        </w:tc>
      </w:tr>
      <w:tr w:rsidR="00E454D1" w:rsidRPr="00AE777D" w:rsidTr="00E12A45">
        <w:trPr>
          <w:cantSplit/>
          <w:jc w:val="center"/>
        </w:trPr>
        <w:tc>
          <w:tcPr>
            <w:tcW w:w="1508" w:type="dxa"/>
            <w:tcBorders>
              <w:top w:val="nil"/>
              <w:left w:val="nil"/>
              <w:bottom w:val="single" w:sz="4" w:space="0" w:color="auto"/>
              <w:right w:val="single" w:sz="4" w:space="0" w:color="auto"/>
            </w:tcBorders>
          </w:tcPr>
          <w:p w:rsidR="0074047A" w:rsidRPr="00E454D1" w:rsidRDefault="0074047A" w:rsidP="00E12A45">
            <w:pPr>
              <w:keepNext/>
              <w:jc w:val="left"/>
              <w:rPr>
                <w:sz w:val="16"/>
                <w:lang w:val="fr-CH"/>
              </w:rPr>
            </w:pPr>
            <w:r w:rsidRPr="00E454D1">
              <w:rPr>
                <w:sz w:val="16"/>
                <w:lang w:val="fr-CH"/>
              </w:rPr>
              <w:t>Caractère</w:t>
            </w:r>
          </w:p>
        </w:tc>
        <w:tc>
          <w:tcPr>
            <w:tcW w:w="1786" w:type="dxa"/>
            <w:tcBorders>
              <w:top w:val="nil"/>
              <w:left w:val="single" w:sz="4" w:space="0" w:color="auto"/>
              <w:bottom w:val="single" w:sz="4" w:space="0" w:color="auto"/>
              <w:right w:val="single" w:sz="4" w:space="0" w:color="auto"/>
            </w:tcBorders>
            <w:hideMark/>
          </w:tcPr>
          <w:p w:rsidR="0074047A" w:rsidRPr="00E454D1" w:rsidRDefault="0074047A" w:rsidP="00E12A45">
            <w:pPr>
              <w:keepNext/>
              <w:jc w:val="left"/>
              <w:rPr>
                <w:sz w:val="16"/>
                <w:lang w:val="fr-CH"/>
              </w:rPr>
            </w:pPr>
            <w:r w:rsidRPr="00E454D1">
              <w:rPr>
                <w:sz w:val="16"/>
                <w:lang w:val="fr-CH"/>
              </w:rPr>
              <w:t>Corolle</w:t>
            </w:r>
            <w:r w:rsidR="00E454D1">
              <w:rPr>
                <w:sz w:val="16"/>
                <w:lang w:val="fr-CH"/>
              </w:rPr>
              <w:t> :</w:t>
            </w:r>
            <w:r w:rsidRPr="00E454D1">
              <w:rPr>
                <w:sz w:val="16"/>
                <w:lang w:val="fr-CH"/>
              </w:rPr>
              <w:t xml:space="preserve"> couleur principale de la face interne</w:t>
            </w:r>
          </w:p>
        </w:tc>
        <w:tc>
          <w:tcPr>
            <w:tcW w:w="2002" w:type="dxa"/>
            <w:tcBorders>
              <w:top w:val="nil"/>
              <w:left w:val="single" w:sz="4" w:space="0" w:color="auto"/>
              <w:bottom w:val="single" w:sz="4" w:space="0" w:color="auto"/>
              <w:right w:val="single" w:sz="4" w:space="0" w:color="auto"/>
            </w:tcBorders>
            <w:hideMark/>
          </w:tcPr>
          <w:p w:rsidR="0074047A" w:rsidRPr="00E454D1" w:rsidRDefault="0074047A" w:rsidP="00E12A45">
            <w:pPr>
              <w:keepNext/>
              <w:jc w:val="left"/>
              <w:rPr>
                <w:sz w:val="16"/>
                <w:lang w:val="fr-CH"/>
              </w:rPr>
            </w:pPr>
            <w:r w:rsidRPr="00E454D1">
              <w:rPr>
                <w:sz w:val="16"/>
                <w:lang w:val="fr-CH"/>
              </w:rPr>
              <w:t>Limbe</w:t>
            </w:r>
            <w:r w:rsidR="00E454D1">
              <w:rPr>
                <w:sz w:val="16"/>
                <w:lang w:val="fr-CH"/>
              </w:rPr>
              <w:t> :</w:t>
            </w:r>
            <w:r w:rsidRPr="00E454D1">
              <w:rPr>
                <w:sz w:val="16"/>
                <w:lang w:val="fr-CH"/>
              </w:rPr>
              <w:t xml:space="preserve"> couleur qui occupe la surface la plus grande</w:t>
            </w:r>
          </w:p>
        </w:tc>
        <w:tc>
          <w:tcPr>
            <w:tcW w:w="1741" w:type="dxa"/>
            <w:tcBorders>
              <w:top w:val="nil"/>
              <w:left w:val="single" w:sz="4" w:space="0" w:color="auto"/>
              <w:bottom w:val="single" w:sz="4" w:space="0" w:color="auto"/>
              <w:right w:val="single" w:sz="4" w:space="0" w:color="auto"/>
            </w:tcBorders>
            <w:hideMark/>
          </w:tcPr>
          <w:p w:rsidR="0074047A" w:rsidRPr="00E454D1" w:rsidRDefault="0074047A" w:rsidP="00E12A45">
            <w:pPr>
              <w:keepNext/>
              <w:jc w:val="left"/>
              <w:rPr>
                <w:sz w:val="16"/>
                <w:lang w:val="fr-CH"/>
              </w:rPr>
            </w:pPr>
            <w:r w:rsidRPr="00E454D1">
              <w:rPr>
                <w:sz w:val="16"/>
                <w:lang w:val="fr-CH"/>
              </w:rPr>
              <w:t>Feuille</w:t>
            </w:r>
            <w:r w:rsidR="00E454D1">
              <w:rPr>
                <w:sz w:val="16"/>
                <w:lang w:val="fr-CH"/>
              </w:rPr>
              <w:t> :</w:t>
            </w:r>
            <w:r w:rsidRPr="00E454D1">
              <w:rPr>
                <w:sz w:val="16"/>
                <w:lang w:val="fr-CH"/>
              </w:rPr>
              <w:t xml:space="preserve"> couleur secondaire</w:t>
            </w:r>
          </w:p>
        </w:tc>
        <w:tc>
          <w:tcPr>
            <w:tcW w:w="1701" w:type="dxa"/>
            <w:tcBorders>
              <w:top w:val="nil"/>
              <w:left w:val="single" w:sz="4" w:space="0" w:color="auto"/>
              <w:bottom w:val="single" w:sz="4" w:space="0" w:color="auto"/>
            </w:tcBorders>
            <w:hideMark/>
          </w:tcPr>
          <w:p w:rsidR="0074047A" w:rsidRPr="00E454D1" w:rsidRDefault="0074047A" w:rsidP="00E12A45">
            <w:pPr>
              <w:keepNext/>
              <w:jc w:val="left"/>
              <w:rPr>
                <w:sz w:val="16"/>
                <w:lang w:val="fr-CH"/>
              </w:rPr>
            </w:pPr>
            <w:r w:rsidRPr="00E454D1">
              <w:rPr>
                <w:sz w:val="16"/>
                <w:lang w:val="fr-CH"/>
              </w:rPr>
              <w:t>Fleur ligulée</w:t>
            </w:r>
            <w:r w:rsidR="00E454D1">
              <w:rPr>
                <w:sz w:val="16"/>
                <w:lang w:val="fr-CH"/>
              </w:rPr>
              <w:t> :</w:t>
            </w:r>
            <w:r w:rsidRPr="00E454D1">
              <w:rPr>
                <w:sz w:val="16"/>
                <w:lang w:val="fr-CH"/>
              </w:rPr>
              <w:t xml:space="preserve"> couleur principale de la partie médiane</w:t>
            </w:r>
          </w:p>
        </w:tc>
      </w:tr>
      <w:tr w:rsidR="00E454D1" w:rsidRPr="00E454D1" w:rsidTr="00E12A45">
        <w:trPr>
          <w:cantSplit/>
          <w:jc w:val="center"/>
        </w:trPr>
        <w:tc>
          <w:tcPr>
            <w:tcW w:w="1508" w:type="dxa"/>
            <w:vMerge w:val="restart"/>
            <w:tcBorders>
              <w:top w:val="nil"/>
              <w:left w:val="nil"/>
              <w:right w:val="single" w:sz="4" w:space="0" w:color="auto"/>
            </w:tcBorders>
            <w:hideMark/>
          </w:tcPr>
          <w:p w:rsidR="00D75FE9" w:rsidRPr="00E454D1" w:rsidRDefault="0074047A" w:rsidP="00E12A45">
            <w:pPr>
              <w:keepNext/>
              <w:jc w:val="left"/>
              <w:rPr>
                <w:sz w:val="16"/>
                <w:lang w:val="fr-CH"/>
              </w:rPr>
            </w:pPr>
            <w:r w:rsidRPr="00E454D1">
              <w:rPr>
                <w:sz w:val="16"/>
                <w:lang w:val="fr-CH"/>
              </w:rPr>
              <w:t>Groupes de couleurs</w:t>
            </w:r>
          </w:p>
          <w:p w:rsidR="0074047A" w:rsidRPr="00E454D1" w:rsidRDefault="0074047A" w:rsidP="00E12A45">
            <w:pPr>
              <w:keepNext/>
              <w:jc w:val="left"/>
              <w:rPr>
                <w:sz w:val="16"/>
                <w:lang w:val="fr-CH"/>
              </w:rPr>
            </w:pPr>
            <w:r w:rsidRPr="00E454D1">
              <w:rPr>
                <w:sz w:val="16"/>
                <w:lang w:val="fr-CH"/>
              </w:rPr>
              <w:t>aux fins du groupement des variétés</w:t>
            </w:r>
          </w:p>
        </w:tc>
        <w:tc>
          <w:tcPr>
            <w:tcW w:w="1786"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blanc</w:t>
            </w:r>
          </w:p>
        </w:tc>
        <w:tc>
          <w:tcPr>
            <w:tcW w:w="2002"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blanc</w:t>
            </w:r>
          </w:p>
        </w:tc>
        <w:tc>
          <w:tcPr>
            <w:tcW w:w="1741"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blanc</w:t>
            </w:r>
          </w:p>
        </w:tc>
        <w:tc>
          <w:tcPr>
            <w:tcW w:w="1701" w:type="dxa"/>
            <w:tcBorders>
              <w:top w:val="nil"/>
              <w:left w:val="single" w:sz="4" w:space="0" w:color="auto"/>
              <w:bottom w:val="nil"/>
            </w:tcBorders>
            <w:hideMark/>
          </w:tcPr>
          <w:p w:rsidR="0074047A" w:rsidRPr="00E454D1" w:rsidRDefault="0074047A" w:rsidP="00E12A45">
            <w:pPr>
              <w:keepNext/>
              <w:rPr>
                <w:sz w:val="16"/>
                <w:lang w:val="fr-CH"/>
              </w:rPr>
            </w:pPr>
            <w:r w:rsidRPr="00E454D1">
              <w:rPr>
                <w:sz w:val="16"/>
                <w:lang w:val="fr-CH"/>
              </w:rPr>
              <w:t>blanc</w:t>
            </w:r>
          </w:p>
        </w:tc>
      </w:tr>
      <w:tr w:rsidR="00E454D1" w:rsidRPr="00E454D1" w:rsidTr="00E12A45">
        <w:trPr>
          <w:cantSplit/>
          <w:jc w:val="center"/>
        </w:trPr>
        <w:tc>
          <w:tcPr>
            <w:tcW w:w="1508" w:type="dxa"/>
            <w:vMerge/>
            <w:tcBorders>
              <w:left w:val="nil"/>
              <w:bottom w:val="nil"/>
              <w:right w:val="single" w:sz="4" w:space="0" w:color="auto"/>
            </w:tcBorders>
            <w:hideMark/>
          </w:tcPr>
          <w:p w:rsidR="0074047A" w:rsidRPr="00E454D1" w:rsidRDefault="0074047A" w:rsidP="00E12A45">
            <w:pPr>
              <w:keepNext/>
              <w:rPr>
                <w:sz w:val="16"/>
                <w:lang w:val="fr-CH"/>
              </w:rPr>
            </w:pPr>
          </w:p>
        </w:tc>
        <w:tc>
          <w:tcPr>
            <w:tcW w:w="1786"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rose</w:t>
            </w:r>
          </w:p>
        </w:tc>
        <w:tc>
          <w:tcPr>
            <w:tcW w:w="2002"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jaune clair</w:t>
            </w:r>
          </w:p>
        </w:tc>
        <w:tc>
          <w:tcPr>
            <w:tcW w:w="1741"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jaune</w:t>
            </w:r>
          </w:p>
        </w:tc>
        <w:tc>
          <w:tcPr>
            <w:tcW w:w="1701" w:type="dxa"/>
            <w:tcBorders>
              <w:top w:val="nil"/>
              <w:left w:val="single" w:sz="4" w:space="0" w:color="auto"/>
              <w:bottom w:val="nil"/>
            </w:tcBorders>
            <w:hideMark/>
          </w:tcPr>
          <w:p w:rsidR="0074047A" w:rsidRPr="00E454D1" w:rsidRDefault="0074047A" w:rsidP="00E12A45">
            <w:pPr>
              <w:keepNext/>
              <w:rPr>
                <w:sz w:val="16"/>
                <w:lang w:val="fr-CH"/>
              </w:rPr>
            </w:pPr>
            <w:r w:rsidRPr="00E454D1">
              <w:rPr>
                <w:sz w:val="16"/>
                <w:lang w:val="fr-CH"/>
              </w:rPr>
              <w:t>jaune</w:t>
            </w:r>
          </w:p>
        </w:tc>
      </w:tr>
      <w:tr w:rsidR="00E454D1" w:rsidRPr="00E454D1" w:rsidTr="00E12A45">
        <w:trPr>
          <w:cantSplit/>
          <w:jc w:val="center"/>
        </w:trPr>
        <w:tc>
          <w:tcPr>
            <w:tcW w:w="1508" w:type="dxa"/>
            <w:tcBorders>
              <w:top w:val="nil"/>
              <w:left w:val="nil"/>
              <w:bottom w:val="nil"/>
              <w:right w:val="single" w:sz="4" w:space="0" w:color="auto"/>
            </w:tcBorders>
          </w:tcPr>
          <w:p w:rsidR="0074047A" w:rsidRPr="00E454D1" w:rsidRDefault="0074047A" w:rsidP="00E12A45">
            <w:pPr>
              <w:keepNext/>
              <w:rPr>
                <w:sz w:val="16"/>
                <w:lang w:val="fr-CH"/>
              </w:rPr>
            </w:pPr>
          </w:p>
        </w:tc>
        <w:tc>
          <w:tcPr>
            <w:tcW w:w="1786"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pourpre</w:t>
            </w:r>
            <w:r w:rsidR="00E454D1">
              <w:rPr>
                <w:sz w:val="16"/>
                <w:lang w:val="fr-CH"/>
              </w:rPr>
              <w:t>-</w:t>
            </w:r>
            <w:r w:rsidRPr="00E454D1">
              <w:rPr>
                <w:sz w:val="16"/>
                <w:lang w:val="fr-CH"/>
              </w:rPr>
              <w:t>rouge</w:t>
            </w:r>
          </w:p>
        </w:tc>
        <w:tc>
          <w:tcPr>
            <w:tcW w:w="2002"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jaune moyen</w:t>
            </w:r>
          </w:p>
        </w:tc>
        <w:tc>
          <w:tcPr>
            <w:tcW w:w="1741"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vert</w:t>
            </w:r>
          </w:p>
        </w:tc>
        <w:tc>
          <w:tcPr>
            <w:tcW w:w="1701" w:type="dxa"/>
            <w:tcBorders>
              <w:top w:val="nil"/>
              <w:left w:val="single" w:sz="4" w:space="0" w:color="auto"/>
              <w:bottom w:val="nil"/>
            </w:tcBorders>
            <w:hideMark/>
          </w:tcPr>
          <w:p w:rsidR="0074047A" w:rsidRPr="00E454D1" w:rsidRDefault="0074047A" w:rsidP="00E12A45">
            <w:pPr>
              <w:keepNext/>
              <w:rPr>
                <w:sz w:val="16"/>
                <w:lang w:val="fr-CH"/>
              </w:rPr>
            </w:pPr>
            <w:r w:rsidRPr="00E454D1">
              <w:rPr>
                <w:sz w:val="16"/>
                <w:lang w:val="fr-CH"/>
              </w:rPr>
              <w:t>orange</w:t>
            </w:r>
          </w:p>
        </w:tc>
      </w:tr>
      <w:tr w:rsidR="00E454D1" w:rsidRPr="00E454D1" w:rsidTr="00E12A45">
        <w:trPr>
          <w:cantSplit/>
          <w:jc w:val="center"/>
        </w:trPr>
        <w:tc>
          <w:tcPr>
            <w:tcW w:w="1508" w:type="dxa"/>
            <w:tcBorders>
              <w:top w:val="nil"/>
              <w:left w:val="nil"/>
              <w:bottom w:val="nil"/>
              <w:right w:val="single" w:sz="4" w:space="0" w:color="auto"/>
            </w:tcBorders>
          </w:tcPr>
          <w:p w:rsidR="0074047A" w:rsidRPr="00E454D1" w:rsidRDefault="0074047A" w:rsidP="00E12A45">
            <w:pPr>
              <w:keepNext/>
              <w:rPr>
                <w:sz w:val="16"/>
                <w:lang w:val="fr-CH"/>
              </w:rPr>
            </w:pPr>
          </w:p>
        </w:tc>
        <w:tc>
          <w:tcPr>
            <w:tcW w:w="1786"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pourpre</w:t>
            </w:r>
          </w:p>
        </w:tc>
        <w:tc>
          <w:tcPr>
            <w:tcW w:w="2002"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jaune foncé</w:t>
            </w:r>
          </w:p>
        </w:tc>
        <w:tc>
          <w:tcPr>
            <w:tcW w:w="1741"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rouge</w:t>
            </w:r>
          </w:p>
        </w:tc>
        <w:tc>
          <w:tcPr>
            <w:tcW w:w="1701" w:type="dxa"/>
            <w:tcBorders>
              <w:top w:val="nil"/>
              <w:left w:val="single" w:sz="4" w:space="0" w:color="auto"/>
              <w:bottom w:val="nil"/>
            </w:tcBorders>
            <w:hideMark/>
          </w:tcPr>
          <w:p w:rsidR="0074047A" w:rsidRPr="00E454D1" w:rsidRDefault="0074047A" w:rsidP="00E12A45">
            <w:pPr>
              <w:keepNext/>
              <w:rPr>
                <w:sz w:val="16"/>
                <w:lang w:val="fr-CH"/>
              </w:rPr>
            </w:pPr>
            <w:r w:rsidRPr="00E454D1">
              <w:rPr>
                <w:sz w:val="16"/>
                <w:lang w:val="fr-CH"/>
              </w:rPr>
              <w:t>rose</w:t>
            </w:r>
          </w:p>
        </w:tc>
      </w:tr>
      <w:tr w:rsidR="00E454D1" w:rsidRPr="00E454D1" w:rsidTr="00E12A45">
        <w:trPr>
          <w:cantSplit/>
          <w:jc w:val="center"/>
        </w:trPr>
        <w:tc>
          <w:tcPr>
            <w:tcW w:w="1508" w:type="dxa"/>
            <w:tcBorders>
              <w:top w:val="nil"/>
              <w:left w:val="nil"/>
              <w:bottom w:val="nil"/>
              <w:right w:val="single" w:sz="4" w:space="0" w:color="auto"/>
            </w:tcBorders>
          </w:tcPr>
          <w:p w:rsidR="0074047A" w:rsidRPr="00E454D1" w:rsidRDefault="0074047A" w:rsidP="00E12A45">
            <w:pPr>
              <w:keepNext/>
              <w:rPr>
                <w:sz w:val="16"/>
                <w:lang w:val="fr-CH"/>
              </w:rPr>
            </w:pPr>
          </w:p>
        </w:tc>
        <w:tc>
          <w:tcPr>
            <w:tcW w:w="1786"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bleu</w:t>
            </w:r>
          </w:p>
        </w:tc>
        <w:tc>
          <w:tcPr>
            <w:tcW w:w="2002"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vert clair</w:t>
            </w:r>
          </w:p>
        </w:tc>
        <w:tc>
          <w:tcPr>
            <w:tcW w:w="1741"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pourpre</w:t>
            </w:r>
          </w:p>
        </w:tc>
        <w:tc>
          <w:tcPr>
            <w:tcW w:w="1701" w:type="dxa"/>
            <w:tcBorders>
              <w:top w:val="nil"/>
              <w:left w:val="single" w:sz="4" w:space="0" w:color="auto"/>
              <w:bottom w:val="nil"/>
            </w:tcBorders>
            <w:hideMark/>
          </w:tcPr>
          <w:p w:rsidR="0074047A" w:rsidRPr="00E454D1" w:rsidRDefault="0074047A" w:rsidP="00E12A45">
            <w:pPr>
              <w:keepNext/>
              <w:rPr>
                <w:sz w:val="16"/>
                <w:lang w:val="fr-CH"/>
              </w:rPr>
            </w:pPr>
            <w:r w:rsidRPr="00E454D1">
              <w:rPr>
                <w:sz w:val="16"/>
                <w:lang w:val="fr-CH"/>
              </w:rPr>
              <w:t>rouge</w:t>
            </w:r>
          </w:p>
        </w:tc>
      </w:tr>
      <w:tr w:rsidR="00E454D1" w:rsidRPr="00E454D1" w:rsidTr="00E12A45">
        <w:trPr>
          <w:cantSplit/>
          <w:jc w:val="center"/>
        </w:trPr>
        <w:tc>
          <w:tcPr>
            <w:tcW w:w="1508" w:type="dxa"/>
            <w:tcBorders>
              <w:top w:val="nil"/>
              <w:left w:val="nil"/>
              <w:bottom w:val="nil"/>
              <w:right w:val="single" w:sz="4" w:space="0" w:color="auto"/>
            </w:tcBorders>
          </w:tcPr>
          <w:p w:rsidR="0074047A" w:rsidRPr="00E454D1" w:rsidRDefault="0074047A" w:rsidP="00E12A45">
            <w:pPr>
              <w:keepNext/>
              <w:rPr>
                <w:sz w:val="16"/>
                <w:lang w:val="fr-CH"/>
              </w:rPr>
            </w:pPr>
          </w:p>
        </w:tc>
        <w:tc>
          <w:tcPr>
            <w:tcW w:w="1786" w:type="dxa"/>
            <w:tcBorders>
              <w:top w:val="nil"/>
              <w:left w:val="single" w:sz="4" w:space="0" w:color="auto"/>
              <w:bottom w:val="nil"/>
              <w:right w:val="single" w:sz="4" w:space="0" w:color="auto"/>
            </w:tcBorders>
          </w:tcPr>
          <w:p w:rsidR="0074047A" w:rsidRPr="00E454D1" w:rsidRDefault="0074047A" w:rsidP="00E12A45">
            <w:pPr>
              <w:keepNext/>
              <w:rPr>
                <w:sz w:val="16"/>
                <w:lang w:val="fr-CH"/>
              </w:rPr>
            </w:pPr>
          </w:p>
        </w:tc>
        <w:tc>
          <w:tcPr>
            <w:tcW w:w="2002"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vert moyen</w:t>
            </w:r>
          </w:p>
        </w:tc>
        <w:tc>
          <w:tcPr>
            <w:tcW w:w="1741"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marron</w:t>
            </w:r>
          </w:p>
        </w:tc>
        <w:tc>
          <w:tcPr>
            <w:tcW w:w="1701" w:type="dxa"/>
            <w:tcBorders>
              <w:top w:val="nil"/>
              <w:left w:val="single" w:sz="4" w:space="0" w:color="auto"/>
              <w:bottom w:val="nil"/>
            </w:tcBorders>
            <w:hideMark/>
          </w:tcPr>
          <w:p w:rsidR="0074047A" w:rsidRPr="00E454D1" w:rsidRDefault="0074047A" w:rsidP="00E12A45">
            <w:pPr>
              <w:keepNext/>
              <w:rPr>
                <w:sz w:val="16"/>
                <w:lang w:val="fr-CH"/>
              </w:rPr>
            </w:pPr>
            <w:r w:rsidRPr="00E454D1">
              <w:rPr>
                <w:sz w:val="16"/>
                <w:lang w:val="fr-CH"/>
              </w:rPr>
              <w:t>pourpre</w:t>
            </w:r>
          </w:p>
        </w:tc>
      </w:tr>
      <w:tr w:rsidR="00E454D1" w:rsidRPr="00E454D1" w:rsidTr="00E12A45">
        <w:trPr>
          <w:cantSplit/>
          <w:jc w:val="center"/>
        </w:trPr>
        <w:tc>
          <w:tcPr>
            <w:tcW w:w="1508" w:type="dxa"/>
            <w:tcBorders>
              <w:top w:val="nil"/>
              <w:left w:val="nil"/>
              <w:bottom w:val="nil"/>
              <w:right w:val="single" w:sz="4" w:space="0" w:color="auto"/>
            </w:tcBorders>
          </w:tcPr>
          <w:p w:rsidR="0074047A" w:rsidRPr="00E454D1" w:rsidRDefault="0074047A" w:rsidP="00E12A45">
            <w:pPr>
              <w:keepNext/>
              <w:rPr>
                <w:sz w:val="16"/>
                <w:lang w:val="fr-CH"/>
              </w:rPr>
            </w:pPr>
          </w:p>
        </w:tc>
        <w:tc>
          <w:tcPr>
            <w:tcW w:w="1786" w:type="dxa"/>
            <w:tcBorders>
              <w:top w:val="nil"/>
              <w:left w:val="single" w:sz="4" w:space="0" w:color="auto"/>
              <w:bottom w:val="nil"/>
              <w:right w:val="single" w:sz="4" w:space="0" w:color="auto"/>
            </w:tcBorders>
          </w:tcPr>
          <w:p w:rsidR="0074047A" w:rsidRPr="00E454D1" w:rsidRDefault="0074047A" w:rsidP="00E12A45">
            <w:pPr>
              <w:keepNext/>
              <w:rPr>
                <w:sz w:val="16"/>
                <w:lang w:val="fr-CH"/>
              </w:rPr>
            </w:pPr>
          </w:p>
        </w:tc>
        <w:tc>
          <w:tcPr>
            <w:tcW w:w="2002"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vert foncé</w:t>
            </w:r>
          </w:p>
        </w:tc>
        <w:tc>
          <w:tcPr>
            <w:tcW w:w="1741" w:type="dxa"/>
            <w:tcBorders>
              <w:top w:val="nil"/>
              <w:left w:val="single" w:sz="4" w:space="0" w:color="auto"/>
              <w:bottom w:val="nil"/>
              <w:right w:val="single" w:sz="4" w:space="0" w:color="auto"/>
            </w:tcBorders>
            <w:hideMark/>
          </w:tcPr>
          <w:p w:rsidR="0074047A" w:rsidRPr="00E454D1" w:rsidRDefault="0074047A" w:rsidP="00E12A45">
            <w:pPr>
              <w:keepNext/>
              <w:rPr>
                <w:sz w:val="16"/>
                <w:lang w:val="fr-CH"/>
              </w:rPr>
            </w:pPr>
            <w:r w:rsidRPr="00E454D1">
              <w:rPr>
                <w:sz w:val="16"/>
                <w:lang w:val="fr-CH"/>
              </w:rPr>
              <w:t>noirâtre</w:t>
            </w:r>
          </w:p>
        </w:tc>
        <w:tc>
          <w:tcPr>
            <w:tcW w:w="1701" w:type="dxa"/>
            <w:tcBorders>
              <w:top w:val="nil"/>
              <w:left w:val="single" w:sz="4" w:space="0" w:color="auto"/>
              <w:bottom w:val="nil"/>
            </w:tcBorders>
            <w:hideMark/>
          </w:tcPr>
          <w:p w:rsidR="0074047A" w:rsidRPr="00E454D1" w:rsidRDefault="0074047A" w:rsidP="00E12A45">
            <w:pPr>
              <w:keepNext/>
              <w:rPr>
                <w:sz w:val="16"/>
                <w:lang w:val="fr-CH"/>
              </w:rPr>
            </w:pPr>
            <w:r w:rsidRPr="00E454D1">
              <w:rPr>
                <w:sz w:val="16"/>
                <w:lang w:val="fr-CH"/>
              </w:rPr>
              <w:t>violet</w:t>
            </w:r>
          </w:p>
        </w:tc>
      </w:tr>
      <w:tr w:rsidR="0074047A" w:rsidRPr="00E454D1" w:rsidTr="00E12A45">
        <w:trPr>
          <w:cantSplit/>
          <w:jc w:val="center"/>
        </w:trPr>
        <w:tc>
          <w:tcPr>
            <w:tcW w:w="1508" w:type="dxa"/>
            <w:tcBorders>
              <w:top w:val="nil"/>
              <w:left w:val="nil"/>
              <w:bottom w:val="nil"/>
              <w:right w:val="single" w:sz="4" w:space="0" w:color="auto"/>
            </w:tcBorders>
          </w:tcPr>
          <w:p w:rsidR="0074047A" w:rsidRPr="00E454D1" w:rsidRDefault="0074047A" w:rsidP="00E12A45">
            <w:pPr>
              <w:rPr>
                <w:sz w:val="16"/>
                <w:lang w:val="fr-CH"/>
              </w:rPr>
            </w:pPr>
          </w:p>
        </w:tc>
        <w:tc>
          <w:tcPr>
            <w:tcW w:w="1786" w:type="dxa"/>
            <w:tcBorders>
              <w:top w:val="nil"/>
              <w:left w:val="single" w:sz="4" w:space="0" w:color="auto"/>
              <w:bottom w:val="nil"/>
              <w:right w:val="single" w:sz="4" w:space="0" w:color="auto"/>
            </w:tcBorders>
          </w:tcPr>
          <w:p w:rsidR="0074047A" w:rsidRPr="00E454D1" w:rsidRDefault="0074047A" w:rsidP="00E12A45">
            <w:pPr>
              <w:rPr>
                <w:sz w:val="16"/>
                <w:lang w:val="fr-CH"/>
              </w:rPr>
            </w:pPr>
          </w:p>
        </w:tc>
        <w:tc>
          <w:tcPr>
            <w:tcW w:w="2002" w:type="dxa"/>
            <w:tcBorders>
              <w:top w:val="nil"/>
              <w:left w:val="single" w:sz="4" w:space="0" w:color="auto"/>
              <w:bottom w:val="nil"/>
              <w:right w:val="single" w:sz="4" w:space="0" w:color="auto"/>
            </w:tcBorders>
            <w:hideMark/>
          </w:tcPr>
          <w:p w:rsidR="0074047A" w:rsidRPr="00E454D1" w:rsidRDefault="0074047A" w:rsidP="00E12A45">
            <w:pPr>
              <w:rPr>
                <w:sz w:val="16"/>
                <w:lang w:val="fr-CH"/>
              </w:rPr>
            </w:pPr>
            <w:proofErr w:type="spellStart"/>
            <w:r w:rsidRPr="00E454D1">
              <w:rPr>
                <w:sz w:val="16"/>
                <w:lang w:val="fr-CH"/>
              </w:rPr>
              <w:t>vert</w:t>
            </w:r>
            <w:r w:rsidR="00E454D1">
              <w:rPr>
                <w:sz w:val="16"/>
                <w:lang w:val="fr-CH"/>
              </w:rPr>
              <w:t>-</w:t>
            </w:r>
            <w:r w:rsidRPr="00E454D1">
              <w:rPr>
                <w:sz w:val="16"/>
                <w:lang w:val="fr-CH"/>
              </w:rPr>
              <w:t>bleu</w:t>
            </w:r>
            <w:proofErr w:type="spellEnd"/>
          </w:p>
        </w:tc>
        <w:tc>
          <w:tcPr>
            <w:tcW w:w="1741" w:type="dxa"/>
            <w:tcBorders>
              <w:top w:val="nil"/>
              <w:left w:val="single" w:sz="4" w:space="0" w:color="auto"/>
              <w:bottom w:val="nil"/>
              <w:right w:val="single" w:sz="4" w:space="0" w:color="auto"/>
            </w:tcBorders>
          </w:tcPr>
          <w:p w:rsidR="0074047A" w:rsidRPr="00E454D1" w:rsidRDefault="0074047A" w:rsidP="00E12A45">
            <w:pPr>
              <w:rPr>
                <w:sz w:val="16"/>
                <w:lang w:val="fr-CH"/>
              </w:rPr>
            </w:pPr>
          </w:p>
        </w:tc>
        <w:tc>
          <w:tcPr>
            <w:tcW w:w="1701" w:type="dxa"/>
            <w:tcBorders>
              <w:top w:val="nil"/>
              <w:left w:val="single" w:sz="4" w:space="0" w:color="auto"/>
              <w:bottom w:val="nil"/>
            </w:tcBorders>
          </w:tcPr>
          <w:p w:rsidR="0074047A" w:rsidRPr="00E454D1" w:rsidRDefault="0074047A" w:rsidP="00E12A45">
            <w:pPr>
              <w:rPr>
                <w:sz w:val="16"/>
                <w:lang w:val="fr-CH"/>
              </w:rPr>
            </w:pPr>
          </w:p>
        </w:tc>
      </w:tr>
    </w:tbl>
    <w:p w:rsidR="00D75FE9" w:rsidRPr="00E454D1" w:rsidRDefault="00D75FE9" w:rsidP="0074047A">
      <w:pPr>
        <w:rPr>
          <w:rFonts w:eastAsiaTheme="minorEastAsia" w:cs="Arial"/>
          <w:sz w:val="18"/>
          <w:lang w:val="fr-CH"/>
        </w:rPr>
      </w:pPr>
    </w:p>
    <w:p w:rsidR="00D75FE9" w:rsidRPr="00E454D1" w:rsidRDefault="0074047A" w:rsidP="0074047A">
      <w:pPr>
        <w:ind w:left="567" w:right="567"/>
        <w:rPr>
          <w:rFonts w:eastAsiaTheme="minorEastAsia" w:cs="Arial"/>
          <w:sz w:val="18"/>
          <w:lang w:val="fr-CH"/>
        </w:rPr>
      </w:pPr>
      <w:r w:rsidRPr="00E454D1">
        <w:rPr>
          <w:rFonts w:eastAsiaTheme="minorEastAsia" w:cs="Arial"/>
          <w:sz w:val="18"/>
          <w:lang w:val="fr-CH"/>
        </w:rPr>
        <w:t>“Il y a lieu de souligner que tous les groupes ne sont pas nécessairement nettement distincts les uns des autres lorsque les renseignements utilisés ne proviennent pas de la même source (même site, même observateur) et qu</w:t>
      </w:r>
      <w:r w:rsidR="00E454D1">
        <w:rPr>
          <w:rFonts w:eastAsiaTheme="minorEastAsia" w:cs="Arial"/>
          <w:sz w:val="18"/>
          <w:lang w:val="fr-CH"/>
        </w:rPr>
        <w:t>’</w:t>
      </w:r>
      <w:r w:rsidRPr="00E454D1">
        <w:rPr>
          <w:rFonts w:eastAsiaTheme="minorEastAsia" w:cs="Arial"/>
          <w:sz w:val="18"/>
          <w:lang w:val="fr-CH"/>
        </w:rPr>
        <w:t>ils ne peuvent pas toujours être utilisés pour exclure des variétés de l</w:t>
      </w:r>
      <w:r w:rsidR="00E454D1">
        <w:rPr>
          <w:rFonts w:eastAsiaTheme="minorEastAsia" w:cs="Arial"/>
          <w:sz w:val="18"/>
          <w:lang w:val="fr-CH"/>
        </w:rPr>
        <w:t>’</w:t>
      </w:r>
      <w:r w:rsidRPr="00E454D1">
        <w:rPr>
          <w:rFonts w:eastAsiaTheme="minorEastAsia" w:cs="Arial"/>
          <w:sz w:val="18"/>
          <w:lang w:val="fr-CH"/>
        </w:rPr>
        <w:t>ess</w:t>
      </w:r>
      <w:r w:rsidR="00C77A34" w:rsidRPr="00E454D1">
        <w:rPr>
          <w:rFonts w:eastAsiaTheme="minorEastAsia" w:cs="Arial"/>
          <w:sz w:val="18"/>
          <w:lang w:val="fr-CH"/>
        </w:rPr>
        <w:t>ai</w:t>
      </w:r>
      <w:r w:rsidR="00C77A34">
        <w:rPr>
          <w:rFonts w:eastAsiaTheme="minorEastAsia" w:cs="Arial"/>
          <w:sz w:val="18"/>
          <w:lang w:val="fr-CH"/>
        </w:rPr>
        <w:t xml:space="preserve">.  </w:t>
      </w:r>
      <w:r w:rsidR="00C77A34" w:rsidRPr="00E454D1">
        <w:rPr>
          <w:rFonts w:eastAsiaTheme="minorEastAsia" w:cs="Arial"/>
          <w:sz w:val="18"/>
          <w:lang w:val="fr-CH"/>
        </w:rPr>
        <w:t>Pa</w:t>
      </w:r>
      <w:r w:rsidRPr="00E454D1">
        <w:rPr>
          <w:rFonts w:eastAsiaTheme="minorEastAsia" w:cs="Arial"/>
          <w:sz w:val="18"/>
          <w:lang w:val="fr-CH"/>
        </w:rPr>
        <w:t xml:space="preserve">r exemple, concernant le caractère </w:t>
      </w:r>
      <w:r w:rsidR="00090D74" w:rsidRPr="00E454D1">
        <w:rPr>
          <w:rFonts w:eastAsiaTheme="minorEastAsia" w:cs="Arial"/>
          <w:sz w:val="18"/>
          <w:lang w:val="fr-CH"/>
        </w:rPr>
        <w:t>“</w:t>
      </w:r>
      <w:r w:rsidRPr="00E454D1">
        <w:rPr>
          <w:rFonts w:eastAsiaTheme="minorEastAsia" w:cs="Arial"/>
          <w:sz w:val="18"/>
          <w:lang w:val="fr-CH"/>
        </w:rPr>
        <w:t>Feuille</w:t>
      </w:r>
      <w:r w:rsidR="00E454D1">
        <w:rPr>
          <w:rFonts w:eastAsiaTheme="minorEastAsia" w:cs="Arial"/>
          <w:sz w:val="18"/>
          <w:lang w:val="fr-CH"/>
        </w:rPr>
        <w:t> :</w:t>
      </w:r>
      <w:r w:rsidRPr="00E454D1">
        <w:rPr>
          <w:rFonts w:eastAsiaTheme="minorEastAsia" w:cs="Arial"/>
          <w:sz w:val="18"/>
          <w:lang w:val="fr-CH"/>
        </w:rPr>
        <w:t xml:space="preserve"> couleur secondaire</w:t>
      </w:r>
      <w:r w:rsidR="00090D74" w:rsidRPr="00E454D1">
        <w:rPr>
          <w:rFonts w:eastAsiaTheme="minorEastAsia" w:cs="Arial"/>
          <w:sz w:val="18"/>
          <w:lang w:val="fr-CH"/>
        </w:rPr>
        <w:t>”</w:t>
      </w:r>
      <w:r w:rsidRPr="00E454D1">
        <w:rPr>
          <w:rFonts w:eastAsiaTheme="minorEastAsia" w:cs="Arial"/>
          <w:sz w:val="18"/>
          <w:lang w:val="fr-CH"/>
        </w:rPr>
        <w:t xml:space="preserve"> pour la cordyline, il peut être impossible de faire une distinction nette entre </w:t>
      </w:r>
      <w:r w:rsidR="00090D74" w:rsidRPr="00E454D1">
        <w:rPr>
          <w:rFonts w:eastAsiaTheme="minorEastAsia" w:cs="Arial"/>
          <w:sz w:val="18"/>
          <w:lang w:val="fr-CH"/>
        </w:rPr>
        <w:t>“</w:t>
      </w:r>
      <w:r w:rsidRPr="00E454D1">
        <w:rPr>
          <w:rFonts w:eastAsiaTheme="minorEastAsia" w:cs="Arial"/>
          <w:sz w:val="18"/>
          <w:lang w:val="fr-CH"/>
        </w:rPr>
        <w:t>brun</w:t>
      </w:r>
      <w:r w:rsidR="00090D74" w:rsidRPr="00E454D1">
        <w:rPr>
          <w:rFonts w:eastAsiaTheme="minorEastAsia" w:cs="Arial"/>
          <w:sz w:val="18"/>
          <w:lang w:val="fr-CH"/>
        </w:rPr>
        <w:t>”</w:t>
      </w:r>
      <w:r w:rsidRPr="00E454D1">
        <w:rPr>
          <w:rFonts w:eastAsiaTheme="minorEastAsia" w:cs="Arial"/>
          <w:sz w:val="18"/>
          <w:lang w:val="fr-CH"/>
        </w:rPr>
        <w:t xml:space="preserve"> et </w:t>
      </w:r>
      <w:r w:rsidR="00090D74" w:rsidRPr="00E454D1">
        <w:rPr>
          <w:rFonts w:eastAsiaTheme="minorEastAsia" w:cs="Arial"/>
          <w:sz w:val="18"/>
          <w:lang w:val="fr-CH"/>
        </w:rPr>
        <w:t>“</w:t>
      </w:r>
      <w:r w:rsidRPr="00E454D1">
        <w:rPr>
          <w:rFonts w:eastAsiaTheme="minorEastAsia" w:cs="Arial"/>
          <w:sz w:val="18"/>
          <w:lang w:val="fr-CH"/>
        </w:rPr>
        <w:t>noirâtre</w:t>
      </w:r>
      <w:r w:rsidR="00090D74" w:rsidRPr="00E454D1">
        <w:rPr>
          <w:rFonts w:eastAsiaTheme="minorEastAsia" w:cs="Arial"/>
          <w:sz w:val="18"/>
          <w:lang w:val="fr-CH"/>
        </w:rPr>
        <w:t>”</w:t>
      </w:r>
      <w:r w:rsidRPr="00E454D1">
        <w:rPr>
          <w:rFonts w:eastAsiaTheme="minorEastAsia" w:cs="Arial"/>
          <w:sz w:val="18"/>
          <w:lang w:val="fr-CH"/>
        </w:rPr>
        <w:t xml:space="preserve"> lorsqu</w:t>
      </w:r>
      <w:r w:rsidR="00E454D1">
        <w:rPr>
          <w:rFonts w:eastAsiaTheme="minorEastAsia" w:cs="Arial"/>
          <w:sz w:val="18"/>
          <w:lang w:val="fr-CH"/>
        </w:rPr>
        <w:t>’</w:t>
      </w:r>
      <w:r w:rsidRPr="00E454D1">
        <w:rPr>
          <w:rFonts w:eastAsiaTheme="minorEastAsia" w:cs="Arial"/>
          <w:sz w:val="18"/>
          <w:lang w:val="fr-CH"/>
        </w:rPr>
        <w:t>on examine des photographies sur l</w:t>
      </w:r>
      <w:r w:rsidR="00E454D1">
        <w:rPr>
          <w:rFonts w:eastAsiaTheme="minorEastAsia" w:cs="Arial"/>
          <w:sz w:val="18"/>
          <w:lang w:val="fr-CH"/>
        </w:rPr>
        <w:t>’</w:t>
      </w:r>
      <w:r w:rsidRPr="00E454D1">
        <w:rPr>
          <w:rFonts w:eastAsiaTheme="minorEastAsia" w:cs="Arial"/>
          <w:sz w:val="18"/>
          <w:lang w:val="fr-CH"/>
        </w:rPr>
        <w:t>Internet o</w:t>
      </w:r>
      <w:r w:rsidR="000901F1" w:rsidRPr="00E454D1">
        <w:rPr>
          <w:rFonts w:eastAsiaTheme="minorEastAsia" w:cs="Arial"/>
          <w:sz w:val="18"/>
          <w:lang w:val="fr-CH"/>
        </w:rPr>
        <w:t>u dans un catalogue de plantes.”</w:t>
      </w:r>
    </w:p>
    <w:p w:rsidR="00D75FE9" w:rsidRPr="00E454D1" w:rsidRDefault="00D75FE9" w:rsidP="009956BC">
      <w:pPr>
        <w:jc w:val="left"/>
        <w:rPr>
          <w:lang w:val="fr-CH"/>
        </w:rPr>
      </w:pPr>
    </w:p>
    <w:p w:rsidR="00D75FE9" w:rsidRPr="00E454D1" w:rsidRDefault="00D75FE9" w:rsidP="009956BC">
      <w:pPr>
        <w:jc w:val="left"/>
        <w:rPr>
          <w:lang w:val="fr-CH"/>
        </w:rPr>
      </w:pPr>
    </w:p>
    <w:p w:rsidR="00D75FE9" w:rsidRPr="00E454D1" w:rsidRDefault="00D75FE9" w:rsidP="009956BC">
      <w:pPr>
        <w:jc w:val="left"/>
        <w:rPr>
          <w:lang w:val="fr-CH"/>
        </w:rPr>
      </w:pPr>
    </w:p>
    <w:p w:rsidR="00D75FE9" w:rsidRPr="00E454D1" w:rsidRDefault="0074047A" w:rsidP="009956BC">
      <w:pPr>
        <w:jc w:val="right"/>
        <w:rPr>
          <w:lang w:val="fr-CH"/>
        </w:rPr>
      </w:pPr>
      <w:r w:rsidRPr="00E454D1">
        <w:rPr>
          <w:lang w:val="fr-CH"/>
        </w:rPr>
        <w:t>[L</w:t>
      </w:r>
      <w:r w:rsidR="00E454D1">
        <w:rPr>
          <w:lang w:val="fr-CH"/>
        </w:rPr>
        <w:t>’</w:t>
      </w:r>
      <w:r w:rsidR="002F2D47" w:rsidRPr="00E454D1">
        <w:rPr>
          <w:lang w:val="fr-CH"/>
        </w:rPr>
        <w:t>annexe V</w:t>
      </w:r>
      <w:r w:rsidR="009956BC" w:rsidRPr="00E454D1">
        <w:rPr>
          <w:lang w:val="fr-CH"/>
        </w:rPr>
        <w:t xml:space="preserve"> </w:t>
      </w:r>
      <w:r w:rsidRPr="00E454D1">
        <w:rPr>
          <w:lang w:val="fr-CH"/>
        </w:rPr>
        <w:t>suit</w:t>
      </w:r>
      <w:r w:rsidR="009956BC" w:rsidRPr="00E454D1">
        <w:rPr>
          <w:lang w:val="fr-CH"/>
        </w:rPr>
        <w:t>]</w:t>
      </w:r>
    </w:p>
    <w:p w:rsidR="00D75FE9" w:rsidRPr="00E454D1" w:rsidRDefault="00D75FE9" w:rsidP="009956BC">
      <w:pPr>
        <w:jc w:val="left"/>
        <w:rPr>
          <w:lang w:val="fr-CH"/>
        </w:rPr>
      </w:pPr>
    </w:p>
    <w:p w:rsidR="009956BC" w:rsidRPr="00E454D1" w:rsidRDefault="009956BC" w:rsidP="009956BC">
      <w:pPr>
        <w:jc w:val="left"/>
        <w:rPr>
          <w:lang w:val="fr-CH"/>
        </w:rPr>
        <w:sectPr w:rsidR="009956BC" w:rsidRPr="00E454D1" w:rsidSect="001270B2">
          <w:headerReference w:type="default" r:id="rId28"/>
          <w:headerReference w:type="first" r:id="rId29"/>
          <w:pgSz w:w="11907" w:h="16840" w:code="9"/>
          <w:pgMar w:top="510" w:right="1134" w:bottom="709" w:left="1134" w:header="510" w:footer="680" w:gutter="0"/>
          <w:pgNumType w:start="1"/>
          <w:cols w:space="720"/>
          <w:titlePg/>
        </w:sectPr>
      </w:pPr>
    </w:p>
    <w:p w:rsidR="00D75FE9" w:rsidRPr="00E454D1" w:rsidRDefault="00913A90" w:rsidP="00D75FE9">
      <w:pPr>
        <w:jc w:val="center"/>
        <w:rPr>
          <w:lang w:val="fr-CH"/>
        </w:rPr>
      </w:pPr>
      <w:r w:rsidRPr="00E454D1">
        <w:rPr>
          <w:lang w:val="fr-CH"/>
        </w:rPr>
        <w:lastRenderedPageBreak/>
        <w:t>QUESTIONS POUR ADOPTION PAR LE CONSEIL EN 2019</w:t>
      </w:r>
      <w:r w:rsidR="00E454D1">
        <w:rPr>
          <w:lang w:val="fr-CH"/>
        </w:rPr>
        <w:t> :</w:t>
      </w:r>
      <w:r w:rsidRPr="00E454D1">
        <w:rPr>
          <w:lang w:val="fr-CH"/>
        </w:rPr>
        <w:t xml:space="preserve"> DOCUMENT TGP/15</w:t>
      </w:r>
    </w:p>
    <w:p w:rsidR="00D75FE9" w:rsidRPr="00E454D1" w:rsidRDefault="00D75FE9" w:rsidP="009956BC">
      <w:pPr>
        <w:rPr>
          <w:lang w:val="fr-CH"/>
        </w:rPr>
      </w:pPr>
    </w:p>
    <w:p w:rsidR="00D75FE9" w:rsidRPr="00E454D1" w:rsidRDefault="00D75FE9" w:rsidP="00D75FE9">
      <w:pPr>
        <w:rPr>
          <w:lang w:val="fr-CH"/>
        </w:rPr>
      </w:pPr>
      <w:r w:rsidRPr="00E454D1">
        <w:rPr>
          <w:lang w:val="fr-CH"/>
        </w:rPr>
        <w:t>1.</w:t>
      </w:r>
      <w:r w:rsidRPr="00E454D1">
        <w:rPr>
          <w:lang w:val="fr-CH"/>
        </w:rPr>
        <w:tab/>
        <w:t>Les révisions ci</w:t>
      </w:r>
      <w:r w:rsidR="00E454D1">
        <w:rPr>
          <w:lang w:val="fr-CH"/>
        </w:rPr>
        <w:t>-</w:t>
      </w:r>
      <w:r w:rsidRPr="00E454D1">
        <w:rPr>
          <w:lang w:val="fr-CH"/>
        </w:rPr>
        <w:t>après du document TGP/15 “Conseils en ce qui concerne l</w:t>
      </w:r>
      <w:r w:rsidR="00E454D1">
        <w:rPr>
          <w:lang w:val="fr-CH"/>
        </w:rPr>
        <w:t>’</w:t>
      </w:r>
      <w:r w:rsidRPr="00E454D1">
        <w:rPr>
          <w:lang w:val="fr-CH"/>
        </w:rPr>
        <w:t>utilisation des marqueurs biochimiques et moléculaires dans l</w:t>
      </w:r>
      <w:r w:rsidR="00E454D1">
        <w:rPr>
          <w:lang w:val="fr-CH"/>
        </w:rPr>
        <w:t>’</w:t>
      </w:r>
      <w:r w:rsidRPr="00E454D1">
        <w:rPr>
          <w:lang w:val="fr-CH"/>
        </w:rPr>
        <w:t>examen de la distinction, de l</w:t>
      </w:r>
      <w:r w:rsidR="00E454D1">
        <w:rPr>
          <w:lang w:val="fr-CH"/>
        </w:rPr>
        <w:t>’</w:t>
      </w:r>
      <w:r w:rsidRPr="00E454D1">
        <w:rPr>
          <w:lang w:val="fr-CH"/>
        </w:rPr>
        <w:t>homogénéité et de la stabilité (DHS)” ont été approuvées par le Comité technique et seront proposées pour adoption par le Conseil à sa cinquante</w:t>
      </w:r>
      <w:r w:rsidR="00E454D1">
        <w:rPr>
          <w:lang w:val="fr-CH"/>
        </w:rPr>
        <w:t>-</w:t>
      </w:r>
      <w:r w:rsidRPr="00E454D1">
        <w:rPr>
          <w:lang w:val="fr-CH"/>
        </w:rPr>
        <w:t>trois</w:t>
      </w:r>
      <w:r w:rsidR="00E454D1">
        <w:rPr>
          <w:lang w:val="fr-CH"/>
        </w:rPr>
        <w:t>ième session</w:t>
      </w:r>
      <w:r w:rsidRPr="00E454D1">
        <w:rPr>
          <w:lang w:val="fr-CH"/>
        </w:rPr>
        <w:t xml:space="preserve"> ordinaire prévue à Genève le</w:t>
      </w:r>
      <w:r w:rsidR="00E454D1">
        <w:rPr>
          <w:lang w:val="fr-CH"/>
        </w:rPr>
        <w:t xml:space="preserve"> 1</w:t>
      </w:r>
      <w:r w:rsidR="00E454D1" w:rsidRPr="00E454D1">
        <w:rPr>
          <w:vertAlign w:val="superscript"/>
          <w:lang w:val="fr-CH"/>
        </w:rPr>
        <w:t>er</w:t>
      </w:r>
      <w:r w:rsidR="00E454D1">
        <w:rPr>
          <w:lang w:val="fr-CH"/>
        </w:rPr>
        <w:t> </w:t>
      </w:r>
      <w:r w:rsidRPr="00E454D1">
        <w:rPr>
          <w:lang w:val="fr-CH"/>
        </w:rPr>
        <w:t>novembre</w:t>
      </w:r>
      <w:r w:rsidR="00090D74" w:rsidRPr="00E454D1">
        <w:rPr>
          <w:lang w:val="fr-CH"/>
        </w:rPr>
        <w:t> </w:t>
      </w:r>
      <w:r w:rsidRPr="00E454D1">
        <w:rPr>
          <w:lang w:val="fr-CH"/>
        </w:rPr>
        <w:t>2019, sous réserve de l</w:t>
      </w:r>
      <w:r w:rsidR="00E454D1">
        <w:rPr>
          <w:lang w:val="fr-CH"/>
        </w:rPr>
        <w:t>’</w:t>
      </w:r>
      <w:r w:rsidRPr="00E454D1">
        <w:rPr>
          <w:lang w:val="fr-CH"/>
        </w:rPr>
        <w:t>approbation</w:t>
      </w:r>
      <w:r w:rsidR="002F2D47" w:rsidRPr="00E454D1">
        <w:rPr>
          <w:lang w:val="fr-CH"/>
        </w:rPr>
        <w:t xml:space="preserve"> du CAJ</w:t>
      </w:r>
      <w:r w:rsidRPr="00E454D1">
        <w:rPr>
          <w:lang w:val="fr-CH"/>
        </w:rPr>
        <w:t xml:space="preserve"> à sa soixante</w:t>
      </w:r>
      <w:r w:rsidR="00E454D1">
        <w:rPr>
          <w:lang w:val="fr-CH"/>
        </w:rPr>
        <w:t>-</w:t>
      </w:r>
      <w:r w:rsidRPr="00E454D1">
        <w:rPr>
          <w:lang w:val="fr-CH"/>
        </w:rPr>
        <w:t>seiz</w:t>
      </w:r>
      <w:r w:rsidR="00E454D1">
        <w:rPr>
          <w:lang w:val="fr-CH"/>
        </w:rPr>
        <w:t>ième session</w:t>
      </w:r>
      <w:r w:rsidRPr="00E454D1">
        <w:rPr>
          <w:lang w:val="fr-CH"/>
        </w:rPr>
        <w:t xml:space="preserve"> prévue à Genève le 30 octobre 2019.</w:t>
      </w:r>
    </w:p>
    <w:p w:rsidR="00D75FE9" w:rsidRPr="00E454D1" w:rsidRDefault="00D75FE9" w:rsidP="009956BC">
      <w:pPr>
        <w:ind w:left="567" w:hanging="567"/>
        <w:rPr>
          <w:rFonts w:cs="Arial"/>
          <w:lang w:val="fr-CH"/>
        </w:rPr>
      </w:pPr>
    </w:p>
    <w:p w:rsidR="00D75FE9" w:rsidRPr="00E454D1" w:rsidRDefault="00D75FE9" w:rsidP="009956BC">
      <w:pPr>
        <w:ind w:left="567" w:hanging="567"/>
        <w:rPr>
          <w:rFonts w:cs="Arial"/>
          <w:lang w:val="fr-CH"/>
        </w:rPr>
      </w:pPr>
    </w:p>
    <w:p w:rsidR="002F2D47" w:rsidRPr="00E454D1" w:rsidRDefault="00D75FE9" w:rsidP="00D75FE9">
      <w:pPr>
        <w:ind w:left="567" w:hanging="567"/>
        <w:rPr>
          <w:rFonts w:cs="Arial"/>
          <w:u w:val="single"/>
          <w:lang w:val="fr-CH"/>
        </w:rPr>
      </w:pPr>
      <w:r w:rsidRPr="00E454D1">
        <w:rPr>
          <w:rFonts w:cs="Arial"/>
          <w:u w:val="single"/>
          <w:lang w:val="fr-CH"/>
        </w:rPr>
        <w:t>Fiabilité du lien entre le gène et l</w:t>
      </w:r>
      <w:r w:rsidR="00E454D1">
        <w:rPr>
          <w:rFonts w:cs="Arial"/>
          <w:u w:val="single"/>
          <w:lang w:val="fr-CH"/>
        </w:rPr>
        <w:t>’</w:t>
      </w:r>
      <w:r w:rsidRPr="00E454D1">
        <w:rPr>
          <w:rFonts w:cs="Arial"/>
          <w:u w:val="single"/>
          <w:lang w:val="fr-CH"/>
        </w:rPr>
        <w:t>expression du caractère</w:t>
      </w:r>
    </w:p>
    <w:p w:rsidR="00D75FE9" w:rsidRPr="00E454D1" w:rsidRDefault="00D75FE9" w:rsidP="009956BC">
      <w:pPr>
        <w:ind w:left="567" w:hanging="567"/>
        <w:rPr>
          <w:rFonts w:cs="Arial"/>
          <w:lang w:val="fr-CH"/>
        </w:rPr>
      </w:pPr>
    </w:p>
    <w:p w:rsidR="00D75FE9" w:rsidRPr="00E454D1" w:rsidRDefault="00D75FE9" w:rsidP="00D75FE9">
      <w:pPr>
        <w:rPr>
          <w:lang w:val="fr-CH"/>
        </w:rPr>
      </w:pPr>
      <w:r w:rsidRPr="00E454D1">
        <w:rPr>
          <w:lang w:val="fr-CH"/>
        </w:rPr>
        <w:t>2.</w:t>
      </w:r>
      <w:r w:rsidRPr="00E454D1">
        <w:rPr>
          <w:lang w:val="fr-CH"/>
        </w:rPr>
        <w:tab/>
        <w:t>À sa cinquante</w:t>
      </w:r>
      <w:r w:rsidR="00E454D1">
        <w:rPr>
          <w:lang w:val="fr-CH"/>
        </w:rPr>
        <w:t>-</w:t>
      </w:r>
      <w:r w:rsidRPr="00E454D1">
        <w:rPr>
          <w:lang w:val="fr-CH"/>
        </w:rPr>
        <w:t>quatr</w:t>
      </w:r>
      <w:r w:rsidR="00E454D1">
        <w:rPr>
          <w:lang w:val="fr-CH"/>
        </w:rPr>
        <w:t>ième session</w:t>
      </w:r>
      <w:r w:rsidRPr="00E454D1">
        <w:rPr>
          <w:lang w:val="fr-CH"/>
        </w:rPr>
        <w:t>, le</w:t>
      </w:r>
      <w:r w:rsidR="00E454D1">
        <w:rPr>
          <w:lang w:val="fr-CH"/>
        </w:rPr>
        <w:t> TC</w:t>
      </w:r>
      <w:r w:rsidRPr="00E454D1">
        <w:rPr>
          <w:lang w:val="fr-CH"/>
        </w:rPr>
        <w:t xml:space="preserve"> est convenu d</w:t>
      </w:r>
      <w:r w:rsidR="00E454D1">
        <w:rPr>
          <w:lang w:val="fr-CH"/>
        </w:rPr>
        <w:t>’</w:t>
      </w:r>
      <w:r w:rsidRPr="00E454D1">
        <w:rPr>
          <w:lang w:val="fr-CH"/>
        </w:rPr>
        <w:t>insérer le texte ci</w:t>
      </w:r>
      <w:r w:rsidR="00E454D1">
        <w:rPr>
          <w:lang w:val="fr-CH"/>
        </w:rPr>
        <w:t>-</w:t>
      </w:r>
      <w:r w:rsidRPr="00E454D1">
        <w:rPr>
          <w:lang w:val="fr-CH"/>
        </w:rPr>
        <w:t xml:space="preserve">après tiré du </w:t>
      </w:r>
      <w:r w:rsidR="002F2D47" w:rsidRPr="00E454D1">
        <w:rPr>
          <w:lang w:val="fr-CH"/>
        </w:rPr>
        <w:t>document UP</w:t>
      </w:r>
      <w:r w:rsidRPr="00E454D1">
        <w:rPr>
          <w:lang w:val="fr-CH"/>
        </w:rPr>
        <w:t xml:space="preserve">OV/INF/18/1 dans le </w:t>
      </w:r>
      <w:r w:rsidR="002F2D47" w:rsidRPr="00E454D1">
        <w:rPr>
          <w:lang w:val="fr-CH"/>
        </w:rPr>
        <w:t>document TG</w:t>
      </w:r>
      <w:r w:rsidRPr="00E454D1">
        <w:rPr>
          <w:lang w:val="fr-CH"/>
        </w:rPr>
        <w:t>P/15 pour préciser qu</w:t>
      </w:r>
      <w:r w:rsidR="00E454D1">
        <w:rPr>
          <w:lang w:val="fr-CH"/>
        </w:rPr>
        <w:t>’</w:t>
      </w:r>
      <w:r w:rsidRPr="00E454D1">
        <w:rPr>
          <w:lang w:val="fr-CH"/>
        </w:rPr>
        <w:t>il incombe à l</w:t>
      </w:r>
      <w:r w:rsidR="00E454D1">
        <w:rPr>
          <w:lang w:val="fr-CH"/>
        </w:rPr>
        <w:t>’</w:t>
      </w:r>
      <w:r w:rsidRPr="00E454D1">
        <w:rPr>
          <w:lang w:val="fr-CH"/>
        </w:rPr>
        <w:t>autorité de se prononcer sur la fiabilité du lien entre le gène et l</w:t>
      </w:r>
      <w:r w:rsidR="00E454D1">
        <w:rPr>
          <w:lang w:val="fr-CH"/>
        </w:rPr>
        <w:t>’</w:t>
      </w:r>
      <w:r w:rsidRPr="00E454D1">
        <w:rPr>
          <w:lang w:val="fr-CH"/>
        </w:rPr>
        <w:t>expression du caractère (voir les paragraphes</w:t>
      </w:r>
      <w:r w:rsidR="00FE5010" w:rsidRPr="00E454D1">
        <w:rPr>
          <w:lang w:val="fr-CH"/>
        </w:rPr>
        <w:t> </w:t>
      </w:r>
      <w:r w:rsidRPr="00E454D1">
        <w:rPr>
          <w:lang w:val="fr-CH"/>
        </w:rPr>
        <w:t xml:space="preserve">272 et 273 du </w:t>
      </w:r>
      <w:r w:rsidR="00E454D1" w:rsidRPr="00E454D1">
        <w:rPr>
          <w:lang w:val="fr-CH"/>
        </w:rPr>
        <w:t>document</w:t>
      </w:r>
      <w:r w:rsidR="00E454D1">
        <w:rPr>
          <w:lang w:val="fr-CH"/>
        </w:rPr>
        <w:t xml:space="preserve"> TC</w:t>
      </w:r>
      <w:r w:rsidRPr="00E454D1">
        <w:rPr>
          <w:lang w:val="fr-CH"/>
        </w:rPr>
        <w:t>/54/31</w:t>
      </w:r>
      <w:r w:rsidR="00124C91" w:rsidRPr="00E454D1">
        <w:rPr>
          <w:lang w:val="fr-CH"/>
        </w:rPr>
        <w:t> </w:t>
      </w:r>
      <w:r w:rsidR="00C76573" w:rsidRPr="00E454D1">
        <w:rPr>
          <w:lang w:val="fr-CH"/>
        </w:rPr>
        <w:t xml:space="preserve">Corr. </w:t>
      </w:r>
      <w:r w:rsidRPr="00E454D1">
        <w:rPr>
          <w:lang w:val="fr-CH"/>
        </w:rPr>
        <w:t>“Compte rendu”)</w:t>
      </w:r>
      <w:r w:rsidR="00E454D1">
        <w:rPr>
          <w:lang w:val="fr-CH"/>
        </w:rPr>
        <w:t> :</w:t>
      </w:r>
    </w:p>
    <w:p w:rsidR="00D75FE9" w:rsidRPr="00E454D1" w:rsidRDefault="00D75FE9" w:rsidP="009956BC">
      <w:pPr>
        <w:rPr>
          <w:rFonts w:cs="Arial"/>
          <w:lang w:val="fr-CH"/>
        </w:rPr>
      </w:pPr>
    </w:p>
    <w:p w:rsidR="002F2D47" w:rsidRPr="00E454D1" w:rsidRDefault="00D75FE9" w:rsidP="00D75FE9">
      <w:pPr>
        <w:autoSpaceDE w:val="0"/>
        <w:autoSpaceDN w:val="0"/>
        <w:adjustRightInd w:val="0"/>
        <w:ind w:left="567" w:right="567"/>
        <w:rPr>
          <w:sz w:val="18"/>
          <w:lang w:val="fr-CH" w:eastAsia="ja-JP"/>
        </w:rPr>
      </w:pPr>
      <w:r w:rsidRPr="00E454D1">
        <w:rPr>
          <w:sz w:val="18"/>
          <w:lang w:val="fr-CH" w:eastAsia="ja-JP"/>
        </w:rPr>
        <w:t>“3.1.4 Aux fins de l</w:t>
      </w:r>
      <w:r w:rsidR="00E454D1">
        <w:rPr>
          <w:sz w:val="18"/>
          <w:lang w:val="fr-CH" w:eastAsia="ja-JP"/>
        </w:rPr>
        <w:t>’</w:t>
      </w:r>
      <w:r w:rsidRPr="00E454D1">
        <w:rPr>
          <w:sz w:val="18"/>
          <w:lang w:val="fr-CH" w:eastAsia="ja-JP"/>
        </w:rPr>
        <w:t>examen du modèle et de l</w:t>
      </w:r>
      <w:r w:rsidR="00E454D1">
        <w:rPr>
          <w:sz w:val="18"/>
          <w:lang w:val="fr-CH" w:eastAsia="ja-JP"/>
        </w:rPr>
        <w:t>’</w:t>
      </w:r>
      <w:r w:rsidRPr="00E454D1">
        <w:rPr>
          <w:sz w:val="18"/>
          <w:lang w:val="fr-CH" w:eastAsia="ja-JP"/>
        </w:rPr>
        <w:t>exemple, tels que figurant dans l</w:t>
      </w:r>
      <w:r w:rsidR="00E454D1">
        <w:rPr>
          <w:sz w:val="18"/>
          <w:lang w:val="fr-CH" w:eastAsia="ja-JP"/>
        </w:rPr>
        <w:t>’</w:t>
      </w:r>
      <w:r w:rsidRPr="00E454D1">
        <w:rPr>
          <w:sz w:val="18"/>
          <w:lang w:val="fr-CH" w:eastAsia="ja-JP"/>
        </w:rPr>
        <w:t>annexe</w:t>
      </w:r>
      <w:r w:rsidR="00FE5010" w:rsidRPr="00E454D1">
        <w:rPr>
          <w:sz w:val="18"/>
          <w:lang w:val="fr-CH" w:eastAsia="ja-JP"/>
        </w:rPr>
        <w:t> </w:t>
      </w:r>
      <w:r w:rsidRPr="00E454D1">
        <w:rPr>
          <w:sz w:val="18"/>
          <w:lang w:val="fr-CH" w:eastAsia="ja-JP"/>
        </w:rPr>
        <w:t>1 du présent document, le</w:t>
      </w:r>
      <w:r w:rsidR="00E454D1">
        <w:rPr>
          <w:sz w:val="18"/>
          <w:lang w:val="fr-CH" w:eastAsia="ja-JP"/>
        </w:rPr>
        <w:t> TC</w:t>
      </w:r>
      <w:r w:rsidRPr="00E454D1">
        <w:rPr>
          <w:sz w:val="18"/>
          <w:lang w:val="fr-CH" w:eastAsia="ja-JP"/>
        </w:rPr>
        <w:t xml:space="preserve"> a souligné l</w:t>
      </w:r>
      <w:r w:rsidR="00E454D1">
        <w:rPr>
          <w:sz w:val="18"/>
          <w:lang w:val="fr-CH" w:eastAsia="ja-JP"/>
        </w:rPr>
        <w:t>’</w:t>
      </w:r>
      <w:r w:rsidRPr="00E454D1">
        <w:rPr>
          <w:sz w:val="18"/>
          <w:lang w:val="fr-CH" w:eastAsia="ja-JP"/>
        </w:rPr>
        <w:t>importance du respect des hypothès</w:t>
      </w:r>
      <w:r w:rsidR="00C77A34" w:rsidRPr="00E454D1">
        <w:rPr>
          <w:sz w:val="18"/>
          <w:lang w:val="fr-CH" w:eastAsia="ja-JP"/>
        </w:rPr>
        <w:t>es</w:t>
      </w:r>
      <w:r w:rsidR="00C77A34">
        <w:rPr>
          <w:sz w:val="18"/>
          <w:lang w:val="fr-CH" w:eastAsia="ja-JP"/>
        </w:rPr>
        <w:t xml:space="preserve">.  </w:t>
      </w:r>
      <w:r w:rsidR="00C77A34" w:rsidRPr="00E454D1">
        <w:rPr>
          <w:sz w:val="18"/>
          <w:lang w:val="fr-CH" w:eastAsia="ja-JP"/>
        </w:rPr>
        <w:t xml:space="preserve">À </w:t>
      </w:r>
      <w:r w:rsidRPr="00E454D1">
        <w:rPr>
          <w:sz w:val="18"/>
          <w:lang w:val="fr-CH" w:eastAsia="ja-JP"/>
        </w:rPr>
        <w:t>cet égard, il a expliqué qu</w:t>
      </w:r>
      <w:r w:rsidR="00E454D1">
        <w:rPr>
          <w:sz w:val="18"/>
          <w:lang w:val="fr-CH" w:eastAsia="ja-JP"/>
        </w:rPr>
        <w:t>’</w:t>
      </w:r>
      <w:r w:rsidRPr="00E454D1">
        <w:rPr>
          <w:sz w:val="18"/>
          <w:lang w:val="fr-CH" w:eastAsia="ja-JP"/>
        </w:rPr>
        <w:t>il s</w:t>
      </w:r>
      <w:r w:rsidR="00E454D1">
        <w:rPr>
          <w:sz w:val="18"/>
          <w:lang w:val="fr-CH" w:eastAsia="ja-JP"/>
        </w:rPr>
        <w:t>’</w:t>
      </w:r>
      <w:r w:rsidRPr="00E454D1">
        <w:rPr>
          <w:sz w:val="18"/>
          <w:lang w:val="fr-CH" w:eastAsia="ja-JP"/>
        </w:rPr>
        <w:t>agissait d</w:t>
      </w:r>
      <w:r w:rsidR="00E454D1">
        <w:rPr>
          <w:sz w:val="18"/>
          <w:lang w:val="fr-CH" w:eastAsia="ja-JP"/>
        </w:rPr>
        <w:t>’</w:t>
      </w:r>
      <w:r w:rsidRPr="00E454D1">
        <w:rPr>
          <w:sz w:val="18"/>
          <w:lang w:val="fr-CH" w:eastAsia="ja-JP"/>
        </w:rPr>
        <w:t>une question que l</w:t>
      </w:r>
      <w:r w:rsidR="00E454D1">
        <w:rPr>
          <w:sz w:val="18"/>
          <w:lang w:val="fr-CH" w:eastAsia="ja-JP"/>
        </w:rPr>
        <w:t>’</w:t>
      </w:r>
      <w:r w:rsidRPr="00E454D1">
        <w:rPr>
          <w:sz w:val="18"/>
          <w:lang w:val="fr-CH" w:eastAsia="ja-JP"/>
        </w:rPr>
        <w:t>administration compétente devait examiner pour vérifier qu</w:t>
      </w:r>
      <w:r w:rsidR="00E454D1">
        <w:rPr>
          <w:sz w:val="18"/>
          <w:lang w:val="fr-CH" w:eastAsia="ja-JP"/>
        </w:rPr>
        <w:t>’</w:t>
      </w:r>
      <w:r w:rsidRPr="00E454D1">
        <w:rPr>
          <w:sz w:val="18"/>
          <w:lang w:val="fr-CH" w:eastAsia="ja-JP"/>
        </w:rPr>
        <w:t>il était satisfait aux hypothèses (voir le paragraphe</w:t>
      </w:r>
      <w:r w:rsidR="00FE5010" w:rsidRPr="00E454D1">
        <w:rPr>
          <w:sz w:val="18"/>
          <w:lang w:val="fr-CH" w:eastAsia="ja-JP"/>
        </w:rPr>
        <w:t> </w:t>
      </w:r>
      <w:r w:rsidRPr="00E454D1">
        <w:rPr>
          <w:sz w:val="18"/>
          <w:lang w:val="fr-CH" w:eastAsia="ja-JP"/>
        </w:rPr>
        <w:t xml:space="preserve">152 du </w:t>
      </w:r>
      <w:r w:rsidR="00E454D1" w:rsidRPr="00E454D1">
        <w:rPr>
          <w:sz w:val="18"/>
          <w:lang w:val="fr-CH" w:eastAsia="ja-JP"/>
        </w:rPr>
        <w:t>document</w:t>
      </w:r>
      <w:r w:rsidR="00E454D1">
        <w:rPr>
          <w:sz w:val="18"/>
          <w:lang w:val="fr-CH" w:eastAsia="ja-JP"/>
        </w:rPr>
        <w:t xml:space="preserve"> TC</w:t>
      </w:r>
      <w:r w:rsidRPr="00E454D1">
        <w:rPr>
          <w:sz w:val="18"/>
          <w:lang w:val="fr-CH" w:eastAsia="ja-JP"/>
        </w:rPr>
        <w:t>/45/16 “Compte rendu”).”</w:t>
      </w:r>
    </w:p>
    <w:p w:rsidR="00D75FE9" w:rsidRPr="00E454D1" w:rsidRDefault="00D75FE9" w:rsidP="009956BC">
      <w:pPr>
        <w:ind w:left="567" w:hanging="567"/>
        <w:rPr>
          <w:rFonts w:cs="Arial"/>
          <w:lang w:val="fr-CH"/>
        </w:rPr>
      </w:pPr>
    </w:p>
    <w:p w:rsidR="00D75FE9" w:rsidRPr="00E454D1" w:rsidRDefault="00823AF9" w:rsidP="00823AF9">
      <w:pPr>
        <w:rPr>
          <w:lang w:val="fr-CH"/>
        </w:rPr>
      </w:pPr>
      <w:r w:rsidRPr="00E454D1">
        <w:rPr>
          <w:lang w:val="fr-CH"/>
        </w:rPr>
        <w:t>Le</w:t>
      </w:r>
      <w:r w:rsidR="00E454D1">
        <w:rPr>
          <w:lang w:val="fr-CH"/>
        </w:rPr>
        <w:t> TC</w:t>
      </w:r>
      <w:r w:rsidRPr="00E454D1">
        <w:rPr>
          <w:lang w:val="fr-CH"/>
        </w:rPr>
        <w:t xml:space="preserve"> a examiné la proposition</w:t>
      </w:r>
      <w:r w:rsidR="002F2D47" w:rsidRPr="00E454D1">
        <w:rPr>
          <w:lang w:val="fr-CH"/>
        </w:rPr>
        <w:t xml:space="preserve"> du BMT</w:t>
      </w:r>
      <w:r w:rsidRPr="00E454D1">
        <w:rPr>
          <w:lang w:val="fr-CH"/>
        </w:rPr>
        <w:t xml:space="preserve"> et il est convenu de faire figurer dans le </w:t>
      </w:r>
      <w:r w:rsidR="002F2D47" w:rsidRPr="00E454D1">
        <w:rPr>
          <w:lang w:val="fr-CH"/>
        </w:rPr>
        <w:t>document TG</w:t>
      </w:r>
      <w:r w:rsidRPr="00E454D1">
        <w:rPr>
          <w:lang w:val="fr-CH"/>
        </w:rPr>
        <w:t>P/15 une explication selon laquelle il appartiendrait aux groupes de travail techniques concernés et au</w:t>
      </w:r>
      <w:r w:rsidR="00E454D1">
        <w:rPr>
          <w:lang w:val="fr-CH"/>
        </w:rPr>
        <w:t> TC</w:t>
      </w:r>
      <w:r w:rsidRPr="00E454D1">
        <w:rPr>
          <w:lang w:val="fr-CH"/>
        </w:rPr>
        <w:t xml:space="preserve"> de déterminer s</w:t>
      </w:r>
      <w:r w:rsidR="00E454D1">
        <w:rPr>
          <w:lang w:val="fr-CH"/>
        </w:rPr>
        <w:t>’</w:t>
      </w:r>
      <w:r w:rsidRPr="00E454D1">
        <w:rPr>
          <w:lang w:val="fr-CH"/>
        </w:rPr>
        <w:t>il était répondu à l</w:t>
      </w:r>
      <w:r w:rsidR="00E454D1">
        <w:rPr>
          <w:lang w:val="fr-CH"/>
        </w:rPr>
        <w:t>’</w:t>
      </w:r>
      <w:r w:rsidRPr="00E454D1">
        <w:rPr>
          <w:lang w:val="fr-CH"/>
        </w:rPr>
        <w:t>exigence de fiabilité du lien entre le gène et l</w:t>
      </w:r>
      <w:r w:rsidR="00E454D1">
        <w:rPr>
          <w:lang w:val="fr-CH"/>
        </w:rPr>
        <w:t>’</w:t>
      </w:r>
      <w:r w:rsidRPr="00E454D1">
        <w:rPr>
          <w:lang w:val="fr-CH"/>
        </w:rPr>
        <w:t>expression du caractère afin d</w:t>
      </w:r>
      <w:r w:rsidR="00E454D1">
        <w:rPr>
          <w:lang w:val="fr-CH"/>
        </w:rPr>
        <w:t>’</w:t>
      </w:r>
      <w:r w:rsidRPr="00E454D1">
        <w:rPr>
          <w:lang w:val="fr-CH"/>
        </w:rPr>
        <w:t>incorporer une méthode dans les principes directeurs d</w:t>
      </w:r>
      <w:r w:rsidR="00E454D1">
        <w:rPr>
          <w:lang w:val="fr-CH"/>
        </w:rPr>
        <w:t>’</w:t>
      </w:r>
      <w:r w:rsidRPr="00E454D1">
        <w:rPr>
          <w:lang w:val="fr-CH"/>
        </w:rPr>
        <w:t>examen.</w:t>
      </w:r>
    </w:p>
    <w:p w:rsidR="00D75FE9" w:rsidRPr="00E454D1" w:rsidRDefault="00D75FE9" w:rsidP="009956BC">
      <w:pPr>
        <w:jc w:val="left"/>
        <w:rPr>
          <w:lang w:val="fr-CH"/>
        </w:rPr>
      </w:pPr>
    </w:p>
    <w:p w:rsidR="00D75FE9" w:rsidRPr="00E454D1" w:rsidRDefault="00D75FE9" w:rsidP="009956BC">
      <w:pPr>
        <w:jc w:val="left"/>
        <w:rPr>
          <w:lang w:val="fr-CH"/>
        </w:rPr>
      </w:pPr>
    </w:p>
    <w:p w:rsidR="00D75FE9" w:rsidRPr="00E454D1" w:rsidRDefault="00823AF9" w:rsidP="00823AF9">
      <w:pPr>
        <w:rPr>
          <w:u w:val="single"/>
          <w:lang w:val="fr-CH"/>
        </w:rPr>
      </w:pPr>
      <w:r w:rsidRPr="00E454D1">
        <w:rPr>
          <w:u w:val="single"/>
          <w:lang w:val="fr-CH"/>
        </w:rPr>
        <w:t>Nouveau modèle</w:t>
      </w:r>
      <w:r w:rsidR="00E454D1">
        <w:rPr>
          <w:u w:val="single"/>
          <w:lang w:val="fr-CH"/>
        </w:rPr>
        <w:t> :</w:t>
      </w:r>
      <w:r w:rsidRPr="00E454D1">
        <w:rPr>
          <w:u w:val="single"/>
          <w:lang w:val="fr-CH"/>
        </w:rPr>
        <w:t xml:space="preserve"> Sélection génétique de variétés voisines pour le premier cycle de végétation</w:t>
      </w:r>
    </w:p>
    <w:p w:rsidR="00D75FE9" w:rsidRPr="00E454D1" w:rsidRDefault="00D75FE9" w:rsidP="009956BC">
      <w:pPr>
        <w:rPr>
          <w:lang w:val="fr-CH"/>
        </w:rPr>
      </w:pPr>
    </w:p>
    <w:p w:rsidR="00D75FE9" w:rsidRPr="00E454D1" w:rsidRDefault="00E12A45" w:rsidP="00E12A45">
      <w:pPr>
        <w:rPr>
          <w:lang w:val="fr-CH"/>
        </w:rPr>
      </w:pPr>
      <w:r w:rsidRPr="00E454D1">
        <w:rPr>
          <w:lang w:val="fr-CH"/>
        </w:rPr>
        <w:t>4.</w:t>
      </w:r>
      <w:r w:rsidRPr="00E454D1">
        <w:rPr>
          <w:lang w:val="fr-CH"/>
        </w:rPr>
        <w:tab/>
        <w:t>À sa cinquante</w:t>
      </w:r>
      <w:r w:rsidR="00E454D1">
        <w:rPr>
          <w:lang w:val="fr-CH"/>
        </w:rPr>
        <w:t>-</w:t>
      </w:r>
      <w:r w:rsidRPr="00E454D1">
        <w:rPr>
          <w:lang w:val="fr-CH"/>
        </w:rPr>
        <w:t>quatr</w:t>
      </w:r>
      <w:r w:rsidR="00E454D1">
        <w:rPr>
          <w:lang w:val="fr-CH"/>
        </w:rPr>
        <w:t>ième session</w:t>
      </w:r>
      <w:r w:rsidRPr="00E454D1">
        <w:rPr>
          <w:lang w:val="fr-CH"/>
        </w:rPr>
        <w:t>, le</w:t>
      </w:r>
      <w:r w:rsidR="00E454D1">
        <w:rPr>
          <w:lang w:val="fr-CH"/>
        </w:rPr>
        <w:t> TC</w:t>
      </w:r>
      <w:r w:rsidRPr="00E454D1">
        <w:rPr>
          <w:lang w:val="fr-CH"/>
        </w:rPr>
        <w:t xml:space="preserve"> a approuvé l</w:t>
      </w:r>
      <w:r w:rsidR="00E454D1">
        <w:rPr>
          <w:lang w:val="fr-CH"/>
        </w:rPr>
        <w:t>’</w:t>
      </w:r>
      <w:r w:rsidRPr="00E454D1">
        <w:rPr>
          <w:lang w:val="fr-CH"/>
        </w:rPr>
        <w:t>inclusion d</w:t>
      </w:r>
      <w:r w:rsidR="00E454D1">
        <w:rPr>
          <w:lang w:val="fr-CH"/>
        </w:rPr>
        <w:t>’</w:t>
      </w:r>
      <w:r w:rsidRPr="00E454D1">
        <w:rPr>
          <w:lang w:val="fr-CH"/>
        </w:rPr>
        <w:t xml:space="preserve">un nouveau modèle dans le </w:t>
      </w:r>
      <w:r w:rsidR="002F2D47" w:rsidRPr="00E454D1">
        <w:rPr>
          <w:lang w:val="fr-CH"/>
        </w:rPr>
        <w:t>document TG</w:t>
      </w:r>
      <w:r w:rsidRPr="00E454D1">
        <w:rPr>
          <w:lang w:val="fr-CH"/>
        </w:rPr>
        <w:t>P/15, comme suit (voir les paragraphes</w:t>
      </w:r>
      <w:r w:rsidR="00FE5010" w:rsidRPr="00E454D1">
        <w:rPr>
          <w:lang w:val="fr-CH"/>
        </w:rPr>
        <w:t> </w:t>
      </w:r>
      <w:r w:rsidRPr="00E454D1">
        <w:rPr>
          <w:lang w:val="fr-CH"/>
        </w:rPr>
        <w:t xml:space="preserve">290 et 291 du </w:t>
      </w:r>
      <w:r w:rsidR="00E454D1" w:rsidRPr="00E454D1">
        <w:rPr>
          <w:lang w:val="fr-CH"/>
        </w:rPr>
        <w:t>document</w:t>
      </w:r>
      <w:r w:rsidR="00E454D1">
        <w:rPr>
          <w:lang w:val="fr-CH"/>
        </w:rPr>
        <w:t xml:space="preserve"> TC</w:t>
      </w:r>
      <w:r w:rsidRPr="00E454D1">
        <w:rPr>
          <w:lang w:val="fr-CH"/>
        </w:rPr>
        <w:t>/54/31</w:t>
      </w:r>
      <w:r w:rsidR="00124C91" w:rsidRPr="00E454D1">
        <w:rPr>
          <w:lang w:val="fr-CH"/>
        </w:rPr>
        <w:t> </w:t>
      </w:r>
      <w:r w:rsidR="00C76573" w:rsidRPr="00E454D1">
        <w:rPr>
          <w:lang w:val="fr-CH"/>
        </w:rPr>
        <w:t xml:space="preserve">Corr. </w:t>
      </w:r>
      <w:r w:rsidRPr="00E454D1">
        <w:rPr>
          <w:lang w:val="fr-CH"/>
        </w:rPr>
        <w:t>“Compte rendu”)</w:t>
      </w:r>
      <w:r w:rsidR="00E454D1">
        <w:rPr>
          <w:lang w:val="fr-CH"/>
        </w:rPr>
        <w:t> :</w:t>
      </w:r>
    </w:p>
    <w:p w:rsidR="00D75FE9" w:rsidRPr="00E454D1" w:rsidRDefault="00D75FE9" w:rsidP="009956BC">
      <w:pPr>
        <w:rPr>
          <w:lang w:val="fr-CH"/>
        </w:rPr>
      </w:pPr>
    </w:p>
    <w:p w:rsidR="00D75FE9" w:rsidRPr="00E454D1" w:rsidRDefault="00D75FE9" w:rsidP="009956BC">
      <w:pPr>
        <w:rPr>
          <w:lang w:val="fr-CH"/>
        </w:rPr>
      </w:pPr>
    </w:p>
    <w:p w:rsidR="00D75FE9" w:rsidRPr="00E454D1" w:rsidRDefault="00E12A45" w:rsidP="00E12A45">
      <w:pPr>
        <w:rPr>
          <w:i/>
          <w:lang w:val="fr-CH"/>
        </w:rPr>
      </w:pPr>
      <w:r w:rsidRPr="00E454D1">
        <w:rPr>
          <w:i/>
          <w:lang w:val="fr-CH"/>
        </w:rPr>
        <w:t xml:space="preserve">Nouvelle </w:t>
      </w:r>
      <w:r w:rsidR="002F2D47" w:rsidRPr="00E454D1">
        <w:rPr>
          <w:i/>
          <w:lang w:val="fr-CH"/>
        </w:rPr>
        <w:t>section 2</w:t>
      </w:r>
      <w:r w:rsidRPr="00E454D1">
        <w:rPr>
          <w:i/>
          <w:lang w:val="fr-CH"/>
        </w:rPr>
        <w:t>.3</w:t>
      </w:r>
      <w:r w:rsidR="00FE5010" w:rsidRPr="00E454D1">
        <w:rPr>
          <w:i/>
          <w:lang w:val="fr-CH"/>
        </w:rPr>
        <w:t> </w:t>
      </w:r>
      <w:r w:rsidRPr="00E454D1">
        <w:rPr>
          <w:i/>
          <w:lang w:val="fr-CH"/>
        </w:rPr>
        <w:t>“Sélection génétique de variétés voisines pour le premier cycle de végétation”</w:t>
      </w:r>
    </w:p>
    <w:p w:rsidR="00D75FE9" w:rsidRPr="00E454D1" w:rsidRDefault="00D75FE9" w:rsidP="009956BC">
      <w:pPr>
        <w:rPr>
          <w:lang w:val="fr-CH"/>
        </w:rPr>
      </w:pPr>
    </w:p>
    <w:p w:rsidR="00D75FE9" w:rsidRPr="00E454D1" w:rsidRDefault="00E12A45" w:rsidP="00E12A45">
      <w:pPr>
        <w:rPr>
          <w:lang w:val="fr-CH"/>
        </w:rPr>
      </w:pPr>
      <w:r w:rsidRPr="00E454D1">
        <w:rPr>
          <w:lang w:val="fr-CH"/>
        </w:rPr>
        <w:t>2.3</w:t>
      </w:r>
      <w:r w:rsidRPr="00E454D1">
        <w:rPr>
          <w:lang w:val="fr-CH"/>
        </w:rPr>
        <w:tab/>
        <w:t>Sélection génétique de variétés voisines pour le premier cycle de végétation (voir l</w:t>
      </w:r>
      <w:r w:rsidR="00E454D1">
        <w:rPr>
          <w:lang w:val="fr-CH"/>
        </w:rPr>
        <w:t>’</w:t>
      </w:r>
      <w:r w:rsidRPr="00E454D1">
        <w:rPr>
          <w:lang w:val="fr-CH"/>
        </w:rPr>
        <w:t>annexe</w:t>
      </w:r>
      <w:r w:rsidR="00FE5010" w:rsidRPr="00E454D1">
        <w:rPr>
          <w:lang w:val="fr-CH"/>
        </w:rPr>
        <w:t> </w:t>
      </w:r>
      <w:r w:rsidRPr="00E454D1">
        <w:rPr>
          <w:lang w:val="fr-CH"/>
        </w:rPr>
        <w:t>III)</w:t>
      </w:r>
    </w:p>
    <w:p w:rsidR="00D75FE9" w:rsidRPr="00E454D1" w:rsidRDefault="00D75FE9" w:rsidP="009956BC">
      <w:pPr>
        <w:rPr>
          <w:lang w:val="fr-CH"/>
        </w:rPr>
      </w:pPr>
    </w:p>
    <w:p w:rsidR="00D75FE9" w:rsidRPr="00E454D1" w:rsidRDefault="00E12A45" w:rsidP="00E12A45">
      <w:pPr>
        <w:rPr>
          <w:lang w:val="fr-CH"/>
        </w:rPr>
      </w:pPr>
      <w:r w:rsidRPr="00E454D1">
        <w:rPr>
          <w:lang w:val="fr-CH"/>
        </w:rPr>
        <w:t>2.3.1</w:t>
      </w:r>
      <w:r w:rsidRPr="00E454D1">
        <w:rPr>
          <w:lang w:val="fr-CH"/>
        </w:rPr>
        <w:tab/>
        <w:t>La présente méthode comprend une étape permettant de vérifier la similarité génétique avant le premier cycle de végétation.</w:t>
      </w:r>
    </w:p>
    <w:p w:rsidR="00D75FE9" w:rsidRPr="00E454D1" w:rsidRDefault="00D75FE9" w:rsidP="009956BC">
      <w:pPr>
        <w:rPr>
          <w:lang w:val="fr-CH"/>
        </w:rPr>
      </w:pPr>
    </w:p>
    <w:p w:rsidR="00D75FE9" w:rsidRPr="00E454D1" w:rsidRDefault="00E12A45" w:rsidP="00E12A45">
      <w:pPr>
        <w:rPr>
          <w:lang w:val="fr-CH"/>
        </w:rPr>
      </w:pPr>
      <w:r w:rsidRPr="00E454D1">
        <w:rPr>
          <w:lang w:val="fr-CH"/>
        </w:rPr>
        <w:t>2.3.2</w:t>
      </w:r>
      <w:r w:rsidRPr="00E454D1">
        <w:rPr>
          <w:lang w:val="fr-CH"/>
        </w:rPr>
        <w:tab/>
        <w:t>Dans les cas où la durée minimale des essais est normalement de deux</w:t>
      </w:r>
      <w:r w:rsidR="00124C91" w:rsidRPr="00E454D1">
        <w:rPr>
          <w:lang w:val="fr-CH"/>
        </w:rPr>
        <w:t> </w:t>
      </w:r>
      <w:r w:rsidRPr="00E454D1">
        <w:rPr>
          <w:lang w:val="fr-CH"/>
        </w:rPr>
        <w:t>cycles de végétation, des variétés voisines sont sélectionnées dans la collection de variétés afin de les comparer aux variétés candidates dans le premier cycle de végétation, sur la base de la similarité génétiq</w:t>
      </w:r>
      <w:r w:rsidR="00C77A34" w:rsidRPr="00E454D1">
        <w:rPr>
          <w:lang w:val="fr-CH"/>
        </w:rPr>
        <w:t>ue</w:t>
      </w:r>
      <w:r w:rsidR="00C77A34">
        <w:rPr>
          <w:lang w:val="fr-CH"/>
        </w:rPr>
        <w:t xml:space="preserve">.  </w:t>
      </w:r>
      <w:r w:rsidR="00C77A34" w:rsidRPr="00E454D1">
        <w:rPr>
          <w:lang w:val="fr-CH"/>
        </w:rPr>
        <w:t>Da</w:t>
      </w:r>
      <w:r w:rsidRPr="00E454D1">
        <w:rPr>
          <w:lang w:val="fr-CH"/>
        </w:rPr>
        <w:t>ns l</w:t>
      </w:r>
      <w:r w:rsidR="00E454D1">
        <w:rPr>
          <w:lang w:val="fr-CH"/>
        </w:rPr>
        <w:t>’</w:t>
      </w:r>
      <w:r w:rsidRPr="00E454D1">
        <w:rPr>
          <w:lang w:val="fr-CH"/>
        </w:rPr>
        <w:t>étape suivante, les informations fournies par le demandeur figurant dans le questionnaire technique sont utilisées pour déterminer si certaines des variétés génétiquement similaires ne doivent pas faire l</w:t>
      </w:r>
      <w:r w:rsidR="00E454D1">
        <w:rPr>
          <w:lang w:val="fr-CH"/>
        </w:rPr>
        <w:t>’</w:t>
      </w:r>
      <w:r w:rsidRPr="00E454D1">
        <w:rPr>
          <w:lang w:val="fr-CH"/>
        </w:rPr>
        <w:t>objet d</w:t>
      </w:r>
      <w:r w:rsidR="00E454D1">
        <w:rPr>
          <w:lang w:val="fr-CH"/>
        </w:rPr>
        <w:t>’</w:t>
      </w:r>
      <w:r w:rsidRPr="00E454D1">
        <w:rPr>
          <w:lang w:val="fr-CH"/>
        </w:rPr>
        <w:t>une comparaison dans un essai en culture du fait des différences entre les caractères DHS.</w:t>
      </w:r>
    </w:p>
    <w:p w:rsidR="002F2D47" w:rsidRPr="00E454D1" w:rsidRDefault="002F2D47" w:rsidP="009956BC">
      <w:pPr>
        <w:rPr>
          <w:lang w:val="fr-CH"/>
        </w:rPr>
      </w:pPr>
    </w:p>
    <w:p w:rsidR="002F2D47" w:rsidRPr="00E454D1" w:rsidRDefault="00E12A45" w:rsidP="00E12A45">
      <w:pPr>
        <w:rPr>
          <w:lang w:val="fr-CH"/>
        </w:rPr>
      </w:pPr>
      <w:r w:rsidRPr="00E454D1">
        <w:rPr>
          <w:lang w:val="fr-CH"/>
        </w:rPr>
        <w:t>2.3.3</w:t>
      </w:r>
      <w:r w:rsidRPr="00E454D1">
        <w:rPr>
          <w:lang w:val="fr-CH"/>
        </w:rPr>
        <w:tab/>
        <w:t>Compte tenu de la description variétale des caractères DHS produite dans le premier cycle de végétation, une recherche supplémentaire est effectuée afin de recenser, dans la collection de variétés, des variétés voisines n</w:t>
      </w:r>
      <w:r w:rsidR="00E454D1">
        <w:rPr>
          <w:lang w:val="fr-CH"/>
        </w:rPr>
        <w:t>’</w:t>
      </w:r>
      <w:r w:rsidRPr="00E454D1">
        <w:rPr>
          <w:lang w:val="fr-CH"/>
        </w:rPr>
        <w:t>ayant pas fait l</w:t>
      </w:r>
      <w:r w:rsidR="00E454D1">
        <w:rPr>
          <w:lang w:val="fr-CH"/>
        </w:rPr>
        <w:t>’</w:t>
      </w:r>
      <w:r w:rsidRPr="00E454D1">
        <w:rPr>
          <w:lang w:val="fr-CH"/>
        </w:rPr>
        <w:t>objet d</w:t>
      </w:r>
      <w:r w:rsidR="00E454D1">
        <w:rPr>
          <w:lang w:val="fr-CH"/>
        </w:rPr>
        <w:t>’</w:t>
      </w:r>
      <w:r w:rsidRPr="00E454D1">
        <w:rPr>
          <w:lang w:val="fr-CH"/>
        </w:rPr>
        <w:t>une comparaison dans le premier cycle de végétation qui pourraient être comparées à la variété candidate dans le second cycle de végétation.</w:t>
      </w:r>
    </w:p>
    <w:p w:rsidR="00D75FE9" w:rsidRPr="00E454D1" w:rsidRDefault="00D75FE9" w:rsidP="009956BC">
      <w:pPr>
        <w:rPr>
          <w:lang w:val="fr-CH"/>
        </w:rPr>
      </w:pPr>
    </w:p>
    <w:p w:rsidR="00D75FE9" w:rsidRPr="00E454D1" w:rsidRDefault="00E12A45" w:rsidP="00E12A45">
      <w:pPr>
        <w:rPr>
          <w:lang w:val="fr-CH"/>
        </w:rPr>
      </w:pPr>
      <w:r w:rsidRPr="00E454D1">
        <w:rPr>
          <w:lang w:val="fr-CH"/>
        </w:rPr>
        <w:t>2.3.4</w:t>
      </w:r>
      <w:r w:rsidRPr="00E454D1">
        <w:rPr>
          <w:lang w:val="fr-CH"/>
        </w:rPr>
        <w:tab/>
        <w:t>L</w:t>
      </w:r>
      <w:r w:rsidR="00E454D1">
        <w:rPr>
          <w:lang w:val="fr-CH"/>
        </w:rPr>
        <w:t>’</w:t>
      </w:r>
      <w:r w:rsidRPr="00E454D1">
        <w:rPr>
          <w:lang w:val="fr-CH"/>
        </w:rPr>
        <w:t>annexe</w:t>
      </w:r>
      <w:r w:rsidR="00FE5010" w:rsidRPr="00E454D1">
        <w:rPr>
          <w:lang w:val="fr-CH"/>
        </w:rPr>
        <w:t> </w:t>
      </w:r>
      <w:r w:rsidRPr="00E454D1">
        <w:rPr>
          <w:lang w:val="fr-CH"/>
        </w:rPr>
        <w:t>III du présent document “Sélection génétique de variétés voisines pour le premier cycle de végétation” contient un exemple de sélection génétique de variétés voisines pour le premier cycle de végétation.</w:t>
      </w:r>
    </w:p>
    <w:p w:rsidR="00D75FE9" w:rsidRPr="00E454D1" w:rsidRDefault="00D75FE9" w:rsidP="009956BC">
      <w:pPr>
        <w:rPr>
          <w:lang w:val="fr-CH"/>
        </w:rPr>
      </w:pPr>
    </w:p>
    <w:p w:rsidR="00D75FE9" w:rsidRPr="00E454D1" w:rsidRDefault="00E12A45" w:rsidP="002C37D6">
      <w:pPr>
        <w:keepNext/>
        <w:rPr>
          <w:i/>
          <w:lang w:val="fr-CH"/>
        </w:rPr>
      </w:pPr>
      <w:r w:rsidRPr="00E454D1">
        <w:rPr>
          <w:i/>
          <w:lang w:val="fr-CH"/>
        </w:rPr>
        <w:lastRenderedPageBreak/>
        <w:t>Annexe</w:t>
      </w:r>
      <w:r w:rsidR="00FE5010" w:rsidRPr="00E454D1">
        <w:rPr>
          <w:i/>
          <w:lang w:val="fr-CH"/>
        </w:rPr>
        <w:t> </w:t>
      </w:r>
      <w:r w:rsidRPr="00E454D1">
        <w:rPr>
          <w:i/>
          <w:lang w:val="fr-CH"/>
        </w:rPr>
        <w:t>III “Modèle</w:t>
      </w:r>
      <w:r w:rsidR="00E454D1">
        <w:rPr>
          <w:i/>
          <w:lang w:val="fr-CH"/>
        </w:rPr>
        <w:t> :</w:t>
      </w:r>
      <w:r w:rsidRPr="00E454D1">
        <w:rPr>
          <w:i/>
          <w:lang w:val="fr-CH"/>
        </w:rPr>
        <w:t xml:space="preserve"> sélection génétique de variétés voisines pour le premier cycle de végétation”</w:t>
      </w:r>
    </w:p>
    <w:p w:rsidR="00D75FE9" w:rsidRPr="00E454D1" w:rsidRDefault="00D75FE9" w:rsidP="002C37D6">
      <w:pPr>
        <w:keepNext/>
        <w:jc w:val="center"/>
        <w:rPr>
          <w:snapToGrid w:val="0"/>
          <w:lang w:val="fr-CH"/>
        </w:rPr>
      </w:pPr>
    </w:p>
    <w:p w:rsidR="00D75FE9" w:rsidRPr="00E454D1" w:rsidRDefault="00E12A45" w:rsidP="002C37D6">
      <w:pPr>
        <w:keepNext/>
        <w:jc w:val="left"/>
        <w:rPr>
          <w:lang w:val="fr-CH"/>
        </w:rPr>
      </w:pPr>
      <w:r w:rsidRPr="00E454D1">
        <w:rPr>
          <w:lang w:val="fr-CH"/>
        </w:rPr>
        <w:t>Exemple</w:t>
      </w:r>
      <w:r w:rsidR="00E454D1">
        <w:rPr>
          <w:lang w:val="fr-CH"/>
        </w:rPr>
        <w:t> :</w:t>
      </w:r>
      <w:r w:rsidRPr="00E454D1">
        <w:rPr>
          <w:lang w:val="fr-CH"/>
        </w:rPr>
        <w:t xml:space="preserve"> haricot (établi par un expert des Pays</w:t>
      </w:r>
      <w:r w:rsidR="00E454D1">
        <w:rPr>
          <w:lang w:val="fr-CH"/>
        </w:rPr>
        <w:t>-</w:t>
      </w:r>
      <w:r w:rsidRPr="00E454D1">
        <w:rPr>
          <w:lang w:val="fr-CH"/>
        </w:rPr>
        <w:t>Bas)</w:t>
      </w:r>
    </w:p>
    <w:p w:rsidR="00D75FE9" w:rsidRPr="00E454D1" w:rsidRDefault="00D75FE9" w:rsidP="002C37D6">
      <w:pPr>
        <w:keepNext/>
        <w:jc w:val="center"/>
        <w:rPr>
          <w:rFonts w:cs="Arial"/>
          <w:i/>
          <w:lang w:val="fr-CH"/>
        </w:rPr>
      </w:pPr>
    </w:p>
    <w:p w:rsidR="00D75FE9" w:rsidRPr="00E454D1" w:rsidRDefault="00E12A45" w:rsidP="002C37D6">
      <w:pPr>
        <w:keepNext/>
        <w:rPr>
          <w:lang w:val="fr-CH"/>
        </w:rPr>
      </w:pPr>
      <w:r w:rsidRPr="00E454D1">
        <w:rPr>
          <w:lang w:val="fr-CH"/>
        </w:rPr>
        <w:t>1.</w:t>
      </w:r>
      <w:r w:rsidRPr="00E454D1">
        <w:rPr>
          <w:lang w:val="fr-CH"/>
        </w:rPr>
        <w:tab/>
        <w:t>Introduction</w:t>
      </w:r>
    </w:p>
    <w:p w:rsidR="00D75FE9" w:rsidRPr="00E454D1" w:rsidRDefault="00D75FE9" w:rsidP="002C37D6">
      <w:pPr>
        <w:keepNext/>
        <w:rPr>
          <w:lang w:val="fr-CH"/>
        </w:rPr>
      </w:pPr>
    </w:p>
    <w:p w:rsidR="002F2D47" w:rsidRPr="00E454D1" w:rsidRDefault="00E12A45" w:rsidP="002C37D6">
      <w:pPr>
        <w:keepNext/>
        <w:rPr>
          <w:lang w:val="fr-CH"/>
        </w:rPr>
      </w:pPr>
      <w:r w:rsidRPr="00E454D1">
        <w:rPr>
          <w:lang w:val="fr-CH"/>
        </w:rPr>
        <w:t>1.1</w:t>
      </w:r>
      <w:r w:rsidRPr="00E454D1">
        <w:rPr>
          <w:lang w:val="fr-CH"/>
        </w:rPr>
        <w:tab/>
        <w:t>La présente méthode comprend une étape permettant de vérifier la similarité génétique avant le premier cycle de végétation.</w:t>
      </w:r>
    </w:p>
    <w:p w:rsidR="00D75FE9" w:rsidRPr="00E454D1" w:rsidRDefault="00D75FE9" w:rsidP="009956BC">
      <w:pPr>
        <w:rPr>
          <w:lang w:val="fr-CH"/>
        </w:rPr>
      </w:pPr>
    </w:p>
    <w:p w:rsidR="002F2D47" w:rsidRPr="00E454D1" w:rsidRDefault="00E12A45" w:rsidP="00E12A45">
      <w:pPr>
        <w:rPr>
          <w:lang w:val="fr-CH"/>
        </w:rPr>
      </w:pPr>
      <w:r w:rsidRPr="00E454D1">
        <w:rPr>
          <w:lang w:val="fr-CH"/>
        </w:rPr>
        <w:t>1.2</w:t>
      </w:r>
      <w:r w:rsidRPr="00E454D1">
        <w:rPr>
          <w:lang w:val="fr-CH"/>
        </w:rPr>
        <w:tab/>
        <w:t>Dans les cas où la durée minimale des essais est normalement de deux</w:t>
      </w:r>
      <w:r w:rsidR="00124C91" w:rsidRPr="00E454D1">
        <w:rPr>
          <w:lang w:val="fr-CH"/>
        </w:rPr>
        <w:t> </w:t>
      </w:r>
      <w:r w:rsidRPr="00E454D1">
        <w:rPr>
          <w:lang w:val="fr-CH"/>
        </w:rPr>
        <w:t>cycles de végétation, des variétés voisines sont sélectionnées dans la collection de variétés afin de les comparer aux variétés candidates dans le premier cycle de végétation, sur la base de la similarité génétiq</w:t>
      </w:r>
      <w:r w:rsidR="00C77A34" w:rsidRPr="00E454D1">
        <w:rPr>
          <w:lang w:val="fr-CH"/>
        </w:rPr>
        <w:t>ue</w:t>
      </w:r>
      <w:r w:rsidR="00C77A34">
        <w:rPr>
          <w:lang w:val="fr-CH"/>
        </w:rPr>
        <w:t xml:space="preserve">.  </w:t>
      </w:r>
      <w:r w:rsidR="00C77A34" w:rsidRPr="00E454D1">
        <w:rPr>
          <w:lang w:val="fr-CH"/>
        </w:rPr>
        <w:t>Da</w:t>
      </w:r>
      <w:r w:rsidRPr="00E454D1">
        <w:rPr>
          <w:lang w:val="fr-CH"/>
        </w:rPr>
        <w:t>ns l</w:t>
      </w:r>
      <w:r w:rsidR="00E454D1">
        <w:rPr>
          <w:lang w:val="fr-CH"/>
        </w:rPr>
        <w:t>’</w:t>
      </w:r>
      <w:r w:rsidRPr="00E454D1">
        <w:rPr>
          <w:lang w:val="fr-CH"/>
        </w:rPr>
        <w:t>étape suivante, les informations fournies par le demandeur figurant dans le questionnaire technique sont utilisées pour déterminer si certaines des variétés génétiquement similaires ne doivent pas faire l</w:t>
      </w:r>
      <w:r w:rsidR="00E454D1">
        <w:rPr>
          <w:lang w:val="fr-CH"/>
        </w:rPr>
        <w:t>’</w:t>
      </w:r>
      <w:r w:rsidRPr="00E454D1">
        <w:rPr>
          <w:lang w:val="fr-CH"/>
        </w:rPr>
        <w:t>objet d</w:t>
      </w:r>
      <w:r w:rsidR="00E454D1">
        <w:rPr>
          <w:lang w:val="fr-CH"/>
        </w:rPr>
        <w:t>’</w:t>
      </w:r>
      <w:r w:rsidRPr="00E454D1">
        <w:rPr>
          <w:lang w:val="fr-CH"/>
        </w:rPr>
        <w:t>une comparaison dans un essai en culture du fait des différences entre les caractères DHS.</w:t>
      </w:r>
    </w:p>
    <w:p w:rsidR="00D75FE9" w:rsidRPr="00E454D1" w:rsidRDefault="00D75FE9" w:rsidP="009956BC">
      <w:pPr>
        <w:rPr>
          <w:lang w:val="fr-CH"/>
        </w:rPr>
      </w:pPr>
    </w:p>
    <w:p w:rsidR="002F2D47" w:rsidRPr="00E454D1" w:rsidRDefault="00E12A45" w:rsidP="00E12A45">
      <w:pPr>
        <w:rPr>
          <w:lang w:val="fr-CH"/>
        </w:rPr>
      </w:pPr>
      <w:r w:rsidRPr="00E454D1">
        <w:rPr>
          <w:lang w:val="fr-CH"/>
        </w:rPr>
        <w:t>1.3</w:t>
      </w:r>
      <w:r w:rsidRPr="00E454D1">
        <w:rPr>
          <w:lang w:val="fr-CH"/>
        </w:rPr>
        <w:tab/>
        <w:t>Compte tenu de la description variétale des caractères DHS produite dans le premier cycle de végétation, une recherche supplémentaire est effectuée afin de recenser, dans la collection de variétés, des variétés voisines n</w:t>
      </w:r>
      <w:r w:rsidR="00E454D1">
        <w:rPr>
          <w:lang w:val="fr-CH"/>
        </w:rPr>
        <w:t>’</w:t>
      </w:r>
      <w:r w:rsidRPr="00E454D1">
        <w:rPr>
          <w:lang w:val="fr-CH"/>
        </w:rPr>
        <w:t>ayant pas fait l</w:t>
      </w:r>
      <w:r w:rsidR="00E454D1">
        <w:rPr>
          <w:lang w:val="fr-CH"/>
        </w:rPr>
        <w:t>’</w:t>
      </w:r>
      <w:r w:rsidRPr="00E454D1">
        <w:rPr>
          <w:lang w:val="fr-CH"/>
        </w:rPr>
        <w:t>objet d</w:t>
      </w:r>
      <w:r w:rsidR="00E454D1">
        <w:rPr>
          <w:lang w:val="fr-CH"/>
        </w:rPr>
        <w:t>’</w:t>
      </w:r>
      <w:r w:rsidRPr="00E454D1">
        <w:rPr>
          <w:lang w:val="fr-CH"/>
        </w:rPr>
        <w:t>une comparaison dans le premier cycle de végétation qui pourraient être comparées à la variété candidate dans le second cycle de végétation.</w:t>
      </w:r>
    </w:p>
    <w:p w:rsidR="00D75FE9" w:rsidRPr="00E454D1" w:rsidRDefault="00D75FE9" w:rsidP="009956BC">
      <w:pPr>
        <w:rPr>
          <w:lang w:val="fr-CH"/>
        </w:rPr>
      </w:pPr>
    </w:p>
    <w:p w:rsidR="00D75FE9" w:rsidRPr="00E454D1" w:rsidRDefault="002C276F" w:rsidP="002C276F">
      <w:pPr>
        <w:rPr>
          <w:lang w:val="fr-CH"/>
        </w:rPr>
      </w:pPr>
      <w:r w:rsidRPr="00E454D1">
        <w:rPr>
          <w:lang w:val="fr-CH"/>
        </w:rPr>
        <w:t>2.</w:t>
      </w:r>
      <w:r w:rsidRPr="00E454D1">
        <w:rPr>
          <w:lang w:val="fr-CH"/>
        </w:rPr>
        <w:tab/>
        <w:t>Procédure</w:t>
      </w:r>
    </w:p>
    <w:p w:rsidR="002F2D47" w:rsidRPr="00E454D1" w:rsidRDefault="002F2D47" w:rsidP="009956BC">
      <w:pPr>
        <w:keepNext/>
        <w:outlineLvl w:val="2"/>
        <w:rPr>
          <w:rFonts w:eastAsia="MS Mincho"/>
          <w:i/>
          <w:lang w:val="fr-CH"/>
        </w:rPr>
      </w:pPr>
    </w:p>
    <w:p w:rsidR="00D75FE9" w:rsidRPr="00E454D1" w:rsidRDefault="002C276F" w:rsidP="002C276F">
      <w:pPr>
        <w:rPr>
          <w:i/>
          <w:lang w:val="fr-CH"/>
        </w:rPr>
      </w:pPr>
      <w:r w:rsidRPr="00E454D1">
        <w:rPr>
          <w:i/>
          <w:lang w:val="fr-CH"/>
        </w:rPr>
        <w:t>Détermination de la similarité génétique</w:t>
      </w:r>
    </w:p>
    <w:p w:rsidR="00D75FE9" w:rsidRPr="00E454D1" w:rsidRDefault="00D75FE9" w:rsidP="009956BC">
      <w:pPr>
        <w:rPr>
          <w:lang w:val="fr-CH"/>
        </w:rPr>
      </w:pPr>
    </w:p>
    <w:p w:rsidR="00D75FE9" w:rsidRPr="00E454D1" w:rsidRDefault="002C276F" w:rsidP="002C276F">
      <w:pPr>
        <w:rPr>
          <w:lang w:val="fr-CH"/>
        </w:rPr>
      </w:pPr>
      <w:r w:rsidRPr="00E454D1">
        <w:rPr>
          <w:lang w:val="fr-CH"/>
        </w:rPr>
        <w:t>2.1</w:t>
      </w:r>
      <w:r w:rsidRPr="00E454D1">
        <w:rPr>
          <w:lang w:val="fr-CH"/>
        </w:rPr>
        <w:tab/>
        <w:t>Le profil d</w:t>
      </w:r>
      <w:r w:rsidR="00E454D1">
        <w:rPr>
          <w:lang w:val="fr-CH"/>
        </w:rPr>
        <w:t>’</w:t>
      </w:r>
      <w:r w:rsidRPr="00E454D1">
        <w:rPr>
          <w:lang w:val="fr-CH"/>
        </w:rPr>
        <w:t>ADN de la variété candidate est produit sitôt le matériel végétal reçu.</w:t>
      </w:r>
    </w:p>
    <w:p w:rsidR="00D75FE9" w:rsidRPr="00E454D1" w:rsidRDefault="00D75FE9" w:rsidP="009956BC">
      <w:pPr>
        <w:rPr>
          <w:lang w:val="fr-CH"/>
        </w:rPr>
      </w:pPr>
    </w:p>
    <w:p w:rsidR="002F2D47" w:rsidRPr="00E454D1" w:rsidRDefault="002C276F" w:rsidP="002C276F">
      <w:pPr>
        <w:rPr>
          <w:lang w:val="fr-CH"/>
        </w:rPr>
      </w:pPr>
      <w:r w:rsidRPr="00E454D1">
        <w:rPr>
          <w:lang w:val="fr-CH"/>
        </w:rPr>
        <w:t>2.2</w:t>
      </w:r>
      <w:r w:rsidRPr="00E454D1">
        <w:rPr>
          <w:lang w:val="fr-CH"/>
        </w:rPr>
        <w:tab/>
        <w:t>Le profil d</w:t>
      </w:r>
      <w:r w:rsidR="00E454D1">
        <w:rPr>
          <w:lang w:val="fr-CH"/>
        </w:rPr>
        <w:t>’</w:t>
      </w:r>
      <w:r w:rsidRPr="00E454D1">
        <w:rPr>
          <w:lang w:val="fr-CH"/>
        </w:rPr>
        <w:t>ADN est comparé aux profils de toutes les variétés figurant dans la collection de variétés, puis les variétés génétiquement similaires sont recensées.</w:t>
      </w:r>
    </w:p>
    <w:p w:rsidR="00D75FE9" w:rsidRPr="00E454D1" w:rsidRDefault="00D75FE9" w:rsidP="009956BC">
      <w:pPr>
        <w:rPr>
          <w:lang w:val="fr-CH"/>
        </w:rPr>
      </w:pPr>
    </w:p>
    <w:p w:rsidR="00D75FE9" w:rsidRPr="00E454D1" w:rsidRDefault="002C276F" w:rsidP="002C276F">
      <w:pPr>
        <w:rPr>
          <w:i/>
          <w:lang w:val="fr-CH"/>
        </w:rPr>
      </w:pPr>
      <w:r w:rsidRPr="00E454D1">
        <w:rPr>
          <w:i/>
          <w:lang w:val="fr-CH"/>
        </w:rPr>
        <w:t>Informations figurant dans le questionnaire technique</w:t>
      </w:r>
    </w:p>
    <w:p w:rsidR="00D75FE9" w:rsidRPr="00E454D1" w:rsidRDefault="00D75FE9" w:rsidP="009956BC">
      <w:pPr>
        <w:rPr>
          <w:lang w:val="fr-CH"/>
        </w:rPr>
      </w:pPr>
    </w:p>
    <w:p w:rsidR="002F2D47" w:rsidRPr="00E454D1" w:rsidRDefault="002C276F" w:rsidP="002C276F">
      <w:pPr>
        <w:rPr>
          <w:lang w:val="fr-CH"/>
        </w:rPr>
      </w:pPr>
      <w:r w:rsidRPr="00E454D1">
        <w:rPr>
          <w:lang w:val="fr-CH"/>
        </w:rPr>
        <w:t>2.3</w:t>
      </w:r>
      <w:r w:rsidRPr="00E454D1">
        <w:rPr>
          <w:lang w:val="fr-CH"/>
        </w:rPr>
        <w:tab/>
        <w:t>Les informations fournies par le demandeur figurant dans le questionnaire technique sont ensuite utilisées pour déterminer s</w:t>
      </w:r>
      <w:r w:rsidR="00E454D1">
        <w:rPr>
          <w:lang w:val="fr-CH"/>
        </w:rPr>
        <w:t>’</w:t>
      </w:r>
      <w:r w:rsidRPr="00E454D1">
        <w:rPr>
          <w:lang w:val="fr-CH"/>
        </w:rPr>
        <w:t>il existe des différences nettes entre les caractères DHS pour certaines des variétés génétiquement similaires, afin que celles</w:t>
      </w:r>
      <w:r w:rsidR="00E454D1">
        <w:rPr>
          <w:lang w:val="fr-CH"/>
        </w:rPr>
        <w:t>-</w:t>
      </w:r>
      <w:r w:rsidRPr="00E454D1">
        <w:rPr>
          <w:lang w:val="fr-CH"/>
        </w:rPr>
        <w:t>ci ne doivent pas être comparées aux variétés candidates dans un essai en culture.</w:t>
      </w:r>
    </w:p>
    <w:p w:rsidR="00D75FE9" w:rsidRPr="00E454D1" w:rsidRDefault="00D75FE9" w:rsidP="009956BC">
      <w:pPr>
        <w:rPr>
          <w:lang w:val="fr-CH"/>
        </w:rPr>
      </w:pPr>
    </w:p>
    <w:p w:rsidR="00D75FE9" w:rsidRPr="00E454D1" w:rsidRDefault="002C276F" w:rsidP="002C276F">
      <w:pPr>
        <w:rPr>
          <w:i/>
          <w:lang w:val="fr-CH"/>
        </w:rPr>
      </w:pPr>
      <w:r w:rsidRPr="00E454D1">
        <w:rPr>
          <w:i/>
          <w:lang w:val="fr-CH"/>
        </w:rPr>
        <w:t>Essai en plein champ</w:t>
      </w:r>
    </w:p>
    <w:p w:rsidR="00D75FE9" w:rsidRPr="00E454D1" w:rsidRDefault="00D75FE9" w:rsidP="009956BC">
      <w:pPr>
        <w:rPr>
          <w:lang w:val="fr-CH"/>
        </w:rPr>
      </w:pPr>
    </w:p>
    <w:p w:rsidR="00D75FE9" w:rsidRPr="00E454D1" w:rsidRDefault="002C276F" w:rsidP="002C276F">
      <w:pPr>
        <w:ind w:firstLine="567"/>
        <w:rPr>
          <w:u w:val="single"/>
          <w:lang w:val="fr-CH"/>
        </w:rPr>
      </w:pPr>
      <w:r w:rsidRPr="00E454D1">
        <w:rPr>
          <w:u w:val="single"/>
          <w:lang w:val="fr-CH"/>
        </w:rPr>
        <w:t>Premier cycle de végétation</w:t>
      </w:r>
      <w:r w:rsidR="00E454D1">
        <w:rPr>
          <w:lang w:val="fr-CH"/>
        </w:rPr>
        <w:t> :</w:t>
      </w:r>
    </w:p>
    <w:p w:rsidR="00D75FE9" w:rsidRPr="00E454D1" w:rsidRDefault="00D75FE9" w:rsidP="009956BC">
      <w:pPr>
        <w:rPr>
          <w:lang w:val="fr-CH"/>
        </w:rPr>
      </w:pPr>
    </w:p>
    <w:p w:rsidR="002F2D47" w:rsidRPr="00E454D1" w:rsidRDefault="002C276F" w:rsidP="002C276F">
      <w:pPr>
        <w:rPr>
          <w:lang w:val="fr-CH"/>
        </w:rPr>
      </w:pPr>
      <w:r w:rsidRPr="00E454D1">
        <w:rPr>
          <w:lang w:val="fr-CH"/>
        </w:rPr>
        <w:t>2.4</w:t>
      </w:r>
      <w:r w:rsidRPr="00E454D1">
        <w:rPr>
          <w:lang w:val="fr-CH"/>
        </w:rPr>
        <w:tab/>
        <w:t>La variété candidate et les variétés génétiquement similaires sélectionnées conformément à la procédure susmentionnée font l</w:t>
      </w:r>
      <w:r w:rsidR="00E454D1">
        <w:rPr>
          <w:lang w:val="fr-CH"/>
        </w:rPr>
        <w:t>’</w:t>
      </w:r>
      <w:r w:rsidRPr="00E454D1">
        <w:rPr>
          <w:lang w:val="fr-CH"/>
        </w:rPr>
        <w:t>objet d</w:t>
      </w:r>
      <w:r w:rsidR="00E454D1">
        <w:rPr>
          <w:lang w:val="fr-CH"/>
        </w:rPr>
        <w:t>’</w:t>
      </w:r>
      <w:r w:rsidRPr="00E454D1">
        <w:rPr>
          <w:lang w:val="fr-CH"/>
        </w:rPr>
        <w:t>un essai un plein cha</w:t>
      </w:r>
      <w:r w:rsidR="00C77A34" w:rsidRPr="00E454D1">
        <w:rPr>
          <w:lang w:val="fr-CH"/>
        </w:rPr>
        <w:t>mp</w:t>
      </w:r>
      <w:r w:rsidR="00C77A34">
        <w:rPr>
          <w:lang w:val="fr-CH"/>
        </w:rPr>
        <w:t xml:space="preserve">.  </w:t>
      </w:r>
      <w:r w:rsidR="00C77A34" w:rsidRPr="00E454D1">
        <w:rPr>
          <w:lang w:val="fr-CH"/>
        </w:rPr>
        <w:t>Un</w:t>
      </w:r>
      <w:r w:rsidRPr="00E454D1">
        <w:rPr>
          <w:lang w:val="fr-CH"/>
        </w:rPr>
        <w:t>e description complète des caractères DHS de la variété candidate est produite, puis comparée aux descriptions de toutes les variétés figurant dans la collection de variétés au moyen d</w:t>
      </w:r>
      <w:r w:rsidR="00E454D1">
        <w:rPr>
          <w:lang w:val="fr-CH"/>
        </w:rPr>
        <w:t>’</w:t>
      </w:r>
      <w:r w:rsidRPr="00E454D1">
        <w:rPr>
          <w:lang w:val="fr-CH"/>
        </w:rPr>
        <w:t>une base de données contenant les descriptions produites au même endroit au cours des années précédentes.</w:t>
      </w:r>
    </w:p>
    <w:p w:rsidR="00D75FE9" w:rsidRPr="00E454D1" w:rsidRDefault="00D75FE9" w:rsidP="009956BC">
      <w:pPr>
        <w:rPr>
          <w:lang w:val="fr-CH"/>
        </w:rPr>
      </w:pPr>
    </w:p>
    <w:p w:rsidR="002F2D47" w:rsidRPr="00E454D1" w:rsidRDefault="002C276F" w:rsidP="002C276F">
      <w:pPr>
        <w:rPr>
          <w:lang w:val="fr-CH"/>
        </w:rPr>
      </w:pPr>
      <w:r w:rsidRPr="00E454D1">
        <w:rPr>
          <w:lang w:val="fr-CH"/>
        </w:rPr>
        <w:t>2.5</w:t>
      </w:r>
      <w:r w:rsidRPr="00E454D1">
        <w:rPr>
          <w:lang w:val="fr-CH"/>
        </w:rPr>
        <w:tab/>
        <w:t>Résultats possibles</w:t>
      </w:r>
      <w:r w:rsidR="00E454D1">
        <w:rPr>
          <w:lang w:val="fr-CH"/>
        </w:rPr>
        <w:t> :</w:t>
      </w:r>
    </w:p>
    <w:p w:rsidR="00D75FE9" w:rsidRPr="00E454D1" w:rsidRDefault="00D75FE9" w:rsidP="009956BC">
      <w:pPr>
        <w:rPr>
          <w:lang w:val="fr-CH"/>
        </w:rPr>
      </w:pPr>
    </w:p>
    <w:p w:rsidR="002F2D47" w:rsidRPr="00E454D1" w:rsidRDefault="002C276F" w:rsidP="002C276F">
      <w:pPr>
        <w:rPr>
          <w:lang w:val="fr-CH"/>
        </w:rPr>
      </w:pPr>
      <w:r w:rsidRPr="00E454D1">
        <w:rPr>
          <w:lang w:val="fr-CH"/>
        </w:rPr>
        <w:t>Si la variété candidate ne se distingue pas des variétés génétiquement similaires du point de vue des caractères DHS, l</w:t>
      </w:r>
      <w:r w:rsidR="00E454D1">
        <w:rPr>
          <w:lang w:val="fr-CH"/>
        </w:rPr>
        <w:t>’</w:t>
      </w:r>
      <w:r w:rsidRPr="00E454D1">
        <w:rPr>
          <w:lang w:val="fr-CH"/>
        </w:rPr>
        <w:t>essai se poursuit dans le cadre d</w:t>
      </w:r>
      <w:r w:rsidR="00E454D1">
        <w:rPr>
          <w:lang w:val="fr-CH"/>
        </w:rPr>
        <w:t>’</w:t>
      </w:r>
      <w:r w:rsidRPr="00E454D1">
        <w:rPr>
          <w:lang w:val="fr-CH"/>
        </w:rPr>
        <w:t>un second cycle de végétation.</w:t>
      </w:r>
    </w:p>
    <w:p w:rsidR="00D75FE9" w:rsidRPr="00E454D1" w:rsidRDefault="00D75FE9" w:rsidP="009956BC">
      <w:pPr>
        <w:rPr>
          <w:lang w:val="fr-CH"/>
        </w:rPr>
      </w:pPr>
    </w:p>
    <w:p w:rsidR="002F2D47" w:rsidRPr="00E454D1" w:rsidRDefault="002C276F" w:rsidP="002C276F">
      <w:pPr>
        <w:rPr>
          <w:lang w:val="fr-CH"/>
        </w:rPr>
      </w:pPr>
      <w:r w:rsidRPr="00E454D1">
        <w:rPr>
          <w:lang w:val="fr-CH"/>
        </w:rPr>
        <w:t>Dans tous les cas, la description de la variété candidate produite dans le premier cycle de végétation est comparée aux descriptions des variétés figurant dans la collection de variétés au moyen d</w:t>
      </w:r>
      <w:r w:rsidR="00E454D1">
        <w:rPr>
          <w:lang w:val="fr-CH"/>
        </w:rPr>
        <w:t>’</w:t>
      </w:r>
      <w:r w:rsidRPr="00E454D1">
        <w:rPr>
          <w:lang w:val="fr-CH"/>
        </w:rPr>
        <w:t>une base de données contenant les descriptions produites au même endroit.</w:t>
      </w:r>
    </w:p>
    <w:p w:rsidR="00D75FE9" w:rsidRPr="00E454D1" w:rsidRDefault="00D75FE9" w:rsidP="009956BC">
      <w:pPr>
        <w:rPr>
          <w:lang w:val="fr-CH"/>
        </w:rPr>
      </w:pPr>
    </w:p>
    <w:p w:rsidR="00D75FE9" w:rsidRPr="00E454D1" w:rsidRDefault="009956BC" w:rsidP="002C276F">
      <w:pPr>
        <w:rPr>
          <w:lang w:val="fr-CH"/>
        </w:rPr>
      </w:pPr>
      <w:r w:rsidRPr="00E454D1">
        <w:rPr>
          <w:lang w:val="fr-CH"/>
        </w:rPr>
        <w:tab/>
      </w:r>
      <w:r w:rsidRPr="00E454D1">
        <w:rPr>
          <w:lang w:val="fr-CH"/>
        </w:rPr>
        <w:tab/>
      </w:r>
      <w:r w:rsidR="002C276F" w:rsidRPr="00E454D1">
        <w:rPr>
          <w:lang w:val="fr-CH"/>
        </w:rPr>
        <w:t>a) Si la variété candidate est jugée distincte de toutes les variétés ayant fait l</w:t>
      </w:r>
      <w:r w:rsidR="00E454D1">
        <w:rPr>
          <w:lang w:val="fr-CH"/>
        </w:rPr>
        <w:t>’</w:t>
      </w:r>
      <w:r w:rsidR="002C276F" w:rsidRPr="00E454D1">
        <w:rPr>
          <w:lang w:val="fr-CH"/>
        </w:rPr>
        <w:t>objet du premier cycle de végétation et de toutes les autres variétés figurant dans la collection de variétés à la fin du premier cycle de végétation et qu</w:t>
      </w:r>
      <w:r w:rsidR="00E454D1">
        <w:rPr>
          <w:lang w:val="fr-CH"/>
        </w:rPr>
        <w:t>’</w:t>
      </w:r>
      <w:r w:rsidR="002C276F" w:rsidRPr="00E454D1">
        <w:rPr>
          <w:lang w:val="fr-CH"/>
        </w:rPr>
        <w:t>elle remplit les conditions d</w:t>
      </w:r>
      <w:r w:rsidR="00E454D1">
        <w:rPr>
          <w:lang w:val="fr-CH"/>
        </w:rPr>
        <w:t>’</w:t>
      </w:r>
      <w:r w:rsidR="002C276F" w:rsidRPr="00E454D1">
        <w:rPr>
          <w:lang w:val="fr-CH"/>
        </w:rPr>
        <w:t>homogénéité et de stabilité, l</w:t>
      </w:r>
      <w:r w:rsidR="00E454D1">
        <w:rPr>
          <w:lang w:val="fr-CH"/>
        </w:rPr>
        <w:t>’</w:t>
      </w:r>
      <w:r w:rsidR="002C276F" w:rsidRPr="00E454D1">
        <w:rPr>
          <w:lang w:val="fr-CH"/>
        </w:rPr>
        <w:t>essai DHS s</w:t>
      </w:r>
      <w:r w:rsidR="00E454D1">
        <w:rPr>
          <w:lang w:val="fr-CH"/>
        </w:rPr>
        <w:t>’</w:t>
      </w:r>
      <w:r w:rsidR="002C276F" w:rsidRPr="00E454D1">
        <w:rPr>
          <w:lang w:val="fr-CH"/>
        </w:rPr>
        <w:t>achève après le premier cycle de végétation.</w:t>
      </w:r>
    </w:p>
    <w:p w:rsidR="00D75FE9" w:rsidRPr="00E454D1" w:rsidRDefault="00D75FE9" w:rsidP="009956BC">
      <w:pPr>
        <w:rPr>
          <w:lang w:val="fr-CH"/>
        </w:rPr>
      </w:pPr>
    </w:p>
    <w:p w:rsidR="002F2D47" w:rsidRPr="00E454D1" w:rsidRDefault="009956BC" w:rsidP="002C276F">
      <w:pPr>
        <w:rPr>
          <w:lang w:val="fr-CH"/>
        </w:rPr>
      </w:pPr>
      <w:r w:rsidRPr="00E454D1">
        <w:rPr>
          <w:lang w:val="fr-CH"/>
        </w:rPr>
        <w:tab/>
      </w:r>
      <w:r w:rsidRPr="00E454D1">
        <w:rPr>
          <w:lang w:val="fr-CH"/>
        </w:rPr>
        <w:tab/>
      </w:r>
      <w:r w:rsidR="002C276F" w:rsidRPr="00E454D1">
        <w:rPr>
          <w:lang w:val="fr-CH"/>
        </w:rPr>
        <w:t>b) Dans tous les autres cas, un second cycle de végétation est nécessaire.</w:t>
      </w:r>
    </w:p>
    <w:p w:rsidR="00D75FE9" w:rsidRPr="00E454D1" w:rsidRDefault="00D75FE9" w:rsidP="009956BC">
      <w:pPr>
        <w:rPr>
          <w:lang w:val="fr-CH"/>
        </w:rPr>
      </w:pPr>
    </w:p>
    <w:p w:rsidR="00D75FE9" w:rsidRPr="00E454D1" w:rsidRDefault="002C276F" w:rsidP="002C276F">
      <w:pPr>
        <w:ind w:firstLine="567"/>
        <w:rPr>
          <w:u w:val="single"/>
          <w:lang w:val="fr-CH"/>
        </w:rPr>
      </w:pPr>
      <w:r w:rsidRPr="00E454D1">
        <w:rPr>
          <w:u w:val="single"/>
          <w:lang w:val="fr-CH"/>
        </w:rPr>
        <w:lastRenderedPageBreak/>
        <w:t>Second cycle de végétation</w:t>
      </w:r>
    </w:p>
    <w:p w:rsidR="00D75FE9" w:rsidRPr="00E454D1" w:rsidRDefault="00D75FE9" w:rsidP="009956BC">
      <w:pPr>
        <w:rPr>
          <w:lang w:val="fr-CH"/>
        </w:rPr>
      </w:pPr>
    </w:p>
    <w:p w:rsidR="002F2D47" w:rsidRPr="00E454D1" w:rsidRDefault="002C276F" w:rsidP="002C276F">
      <w:pPr>
        <w:rPr>
          <w:lang w:val="fr-CH"/>
        </w:rPr>
      </w:pPr>
      <w:r w:rsidRPr="00E454D1">
        <w:rPr>
          <w:lang w:val="fr-CH"/>
        </w:rPr>
        <w:t>2.6</w:t>
      </w:r>
      <w:r w:rsidRPr="00E454D1">
        <w:rPr>
          <w:lang w:val="fr-CH"/>
        </w:rPr>
        <w:tab/>
        <w:t xml:space="preserve">Dans le second cycle de végétation, la variété candidate est mise en culture avec toutes les variétés figurant dans la collection de variétés </w:t>
      </w:r>
      <w:r w:rsidR="00E454D1">
        <w:rPr>
          <w:lang w:val="fr-CH"/>
        </w:rPr>
        <w:t>à l’égard</w:t>
      </w:r>
      <w:r w:rsidRPr="00E454D1">
        <w:rPr>
          <w:lang w:val="fr-CH"/>
        </w:rPr>
        <w:t xml:space="preserve"> desquelles il n</w:t>
      </w:r>
      <w:r w:rsidR="00E454D1">
        <w:rPr>
          <w:lang w:val="fr-CH"/>
        </w:rPr>
        <w:t>’</w:t>
      </w:r>
      <w:r w:rsidRPr="00E454D1">
        <w:rPr>
          <w:lang w:val="fr-CH"/>
        </w:rPr>
        <w:t>a pas été possible d</w:t>
      </w:r>
      <w:r w:rsidR="00E454D1">
        <w:rPr>
          <w:lang w:val="fr-CH"/>
        </w:rPr>
        <w:t>’</w:t>
      </w:r>
      <w:r w:rsidRPr="00E454D1">
        <w:rPr>
          <w:lang w:val="fr-CH"/>
        </w:rPr>
        <w:t>établir la distinction à la fin du premier cycle de végétation.</w:t>
      </w:r>
    </w:p>
    <w:p w:rsidR="00D75FE9" w:rsidRPr="00E454D1" w:rsidRDefault="00D75FE9" w:rsidP="009956BC">
      <w:pPr>
        <w:rPr>
          <w:lang w:val="fr-CH"/>
        </w:rPr>
      </w:pPr>
    </w:p>
    <w:p w:rsidR="00D75FE9" w:rsidRPr="00E454D1" w:rsidRDefault="002C276F" w:rsidP="002C276F">
      <w:pPr>
        <w:rPr>
          <w:lang w:val="fr-CH"/>
        </w:rPr>
      </w:pPr>
      <w:r w:rsidRPr="00E454D1">
        <w:rPr>
          <w:lang w:val="fr-CH"/>
        </w:rPr>
        <w:t>2.7</w:t>
      </w:r>
      <w:r w:rsidRPr="00E454D1">
        <w:rPr>
          <w:lang w:val="fr-CH"/>
        </w:rPr>
        <w:tab/>
        <w:t>À la fin du second cycle de végétation, on procède à une évaluation DHS.</w:t>
      </w:r>
      <w:r w:rsidR="009956BC" w:rsidRPr="00E454D1">
        <w:rPr>
          <w:lang w:val="fr-CH"/>
        </w:rPr>
        <w:t xml:space="preserve">  </w:t>
      </w:r>
      <w:r w:rsidRPr="00E454D1">
        <w:rPr>
          <w:lang w:val="fr-CH"/>
        </w:rPr>
        <w:t>S</w:t>
      </w:r>
      <w:r w:rsidR="00E454D1">
        <w:rPr>
          <w:lang w:val="fr-CH"/>
        </w:rPr>
        <w:t>’</w:t>
      </w:r>
      <w:r w:rsidRPr="00E454D1">
        <w:rPr>
          <w:lang w:val="fr-CH"/>
        </w:rPr>
        <w:t>il n</w:t>
      </w:r>
      <w:r w:rsidR="00E454D1">
        <w:rPr>
          <w:lang w:val="fr-CH"/>
        </w:rPr>
        <w:t>’</w:t>
      </w:r>
      <w:r w:rsidRPr="00E454D1">
        <w:rPr>
          <w:lang w:val="fr-CH"/>
        </w:rPr>
        <w:t>est pas possible de se prononcer quant à l</w:t>
      </w:r>
      <w:r w:rsidR="00E454D1">
        <w:rPr>
          <w:lang w:val="fr-CH"/>
        </w:rPr>
        <w:t>’</w:t>
      </w:r>
      <w:r w:rsidRPr="00E454D1">
        <w:rPr>
          <w:lang w:val="fr-CH"/>
        </w:rPr>
        <w:t>examen</w:t>
      </w:r>
      <w:r w:rsidR="00124C91" w:rsidRPr="00E454D1">
        <w:rPr>
          <w:lang w:val="fr-CH"/>
        </w:rPr>
        <w:t> </w:t>
      </w:r>
      <w:r w:rsidRPr="00E454D1">
        <w:rPr>
          <w:lang w:val="fr-CH"/>
        </w:rPr>
        <w:t>DHS à la fin du second cycle de végétation, un cycle de végétation supplémentaire peut être nécessaire.</w:t>
      </w:r>
    </w:p>
    <w:p w:rsidR="00D75FE9" w:rsidRPr="00E454D1" w:rsidRDefault="00D75FE9" w:rsidP="009956BC">
      <w:pPr>
        <w:rPr>
          <w:lang w:val="fr-CH"/>
        </w:rPr>
      </w:pPr>
    </w:p>
    <w:p w:rsidR="00D75FE9" w:rsidRPr="00E454D1" w:rsidRDefault="00D75FE9" w:rsidP="009956BC">
      <w:pPr>
        <w:rPr>
          <w:lang w:val="fr-CH"/>
        </w:rPr>
      </w:pPr>
    </w:p>
    <w:p w:rsidR="00D75FE9" w:rsidRPr="00E454D1" w:rsidRDefault="00D75FE9" w:rsidP="009956BC">
      <w:pPr>
        <w:rPr>
          <w:lang w:val="fr-CH"/>
        </w:rPr>
      </w:pPr>
    </w:p>
    <w:p w:rsidR="00D75FE9" w:rsidRPr="00E454D1" w:rsidRDefault="002C276F" w:rsidP="002C276F">
      <w:pPr>
        <w:jc w:val="right"/>
        <w:rPr>
          <w:lang w:val="fr-CH"/>
        </w:rPr>
      </w:pPr>
      <w:r w:rsidRPr="00E454D1">
        <w:rPr>
          <w:lang w:val="fr-CH"/>
        </w:rPr>
        <w:t>[L</w:t>
      </w:r>
      <w:r w:rsidR="00E454D1">
        <w:rPr>
          <w:lang w:val="fr-CH"/>
        </w:rPr>
        <w:t>’</w:t>
      </w:r>
      <w:r w:rsidRPr="00E454D1">
        <w:rPr>
          <w:lang w:val="fr-CH"/>
        </w:rPr>
        <w:t>annexe</w:t>
      </w:r>
      <w:r w:rsidR="00FE5010" w:rsidRPr="00E454D1">
        <w:rPr>
          <w:lang w:val="fr-CH"/>
        </w:rPr>
        <w:t> </w:t>
      </w:r>
      <w:r w:rsidRPr="00E454D1">
        <w:rPr>
          <w:lang w:val="fr-CH"/>
        </w:rPr>
        <w:t>VI suit]</w:t>
      </w:r>
    </w:p>
    <w:p w:rsidR="00D75FE9" w:rsidRPr="006667E1" w:rsidRDefault="00D75FE9" w:rsidP="009956BC">
      <w:pPr>
        <w:jc w:val="right"/>
        <w:rPr>
          <w:lang w:val="fr-CH"/>
        </w:rPr>
      </w:pPr>
    </w:p>
    <w:p w:rsidR="009956BC" w:rsidRPr="006667E1" w:rsidRDefault="009956BC" w:rsidP="009956BC">
      <w:pPr>
        <w:jc w:val="right"/>
        <w:rPr>
          <w:lang w:val="fr-CH"/>
        </w:rPr>
        <w:sectPr w:rsidR="009956BC" w:rsidRPr="006667E1" w:rsidSect="001270B2">
          <w:headerReference w:type="default" r:id="rId30"/>
          <w:headerReference w:type="first" r:id="rId31"/>
          <w:pgSz w:w="11907" w:h="16840" w:code="9"/>
          <w:pgMar w:top="510" w:right="1134" w:bottom="709" w:left="1134" w:header="510" w:footer="680" w:gutter="0"/>
          <w:pgNumType w:start="1"/>
          <w:cols w:space="720"/>
          <w:titlePg/>
        </w:sectPr>
      </w:pPr>
    </w:p>
    <w:p w:rsidR="00D75FE9" w:rsidRPr="006667E1" w:rsidRDefault="00A951A9" w:rsidP="00A951A9">
      <w:pPr>
        <w:ind w:left="-284"/>
        <w:jc w:val="center"/>
        <w:rPr>
          <w:lang w:val="fr-CH"/>
        </w:rPr>
      </w:pPr>
      <w:bookmarkStart w:id="47" w:name="_GoBack"/>
      <w:r w:rsidRPr="00A951A9">
        <w:rPr>
          <w:noProof/>
        </w:rPr>
        <w:lastRenderedPageBreak/>
        <w:drawing>
          <wp:inline distT="0" distB="0" distL="0" distR="0">
            <wp:extent cx="8881178" cy="630579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8885672" cy="6308988"/>
                    </a:xfrm>
                    <a:prstGeom prst="rect">
                      <a:avLst/>
                    </a:prstGeom>
                    <a:noFill/>
                    <a:ln>
                      <a:noFill/>
                    </a:ln>
                  </pic:spPr>
                </pic:pic>
              </a:graphicData>
            </a:graphic>
          </wp:inline>
        </w:drawing>
      </w:r>
      <w:bookmarkEnd w:id="47"/>
    </w:p>
    <w:sectPr w:rsidR="00D75FE9" w:rsidRPr="006667E1" w:rsidSect="00E03680">
      <w:headerReference w:type="default" r:id="rId33"/>
      <w:headerReference w:type="first" r:id="rId34"/>
      <w:footerReference w:type="first" r:id="rId35"/>
      <w:pgSz w:w="16840" w:h="11907" w:orient="landscape" w:code="9"/>
      <w:pgMar w:top="1134" w:right="510" w:bottom="567" w:left="1134" w:header="510" w:footer="244"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DF2" w:rsidRDefault="00BD7DF2" w:rsidP="006655D3">
      <w:r>
        <w:separator/>
      </w:r>
    </w:p>
    <w:p w:rsidR="00BD7DF2" w:rsidRDefault="00BD7DF2" w:rsidP="006655D3"/>
    <w:p w:rsidR="00BD7DF2" w:rsidRDefault="00BD7DF2" w:rsidP="006655D3"/>
  </w:endnote>
  <w:endnote w:type="continuationSeparator" w:id="0">
    <w:p w:rsidR="00BD7DF2" w:rsidRDefault="00BD7DF2" w:rsidP="006655D3">
      <w:r>
        <w:separator/>
      </w:r>
    </w:p>
    <w:p w:rsidR="00BD7DF2" w:rsidRPr="00294751" w:rsidRDefault="00BD7DF2" w:rsidP="005C2C74">
      <w:pPr>
        <w:pStyle w:val="Footer"/>
        <w:rPr>
          <w:lang w:val="fr-FR"/>
        </w:rPr>
      </w:pPr>
      <w:r w:rsidRPr="00294751">
        <w:rPr>
          <w:lang w:val="fr-FR"/>
        </w:rPr>
        <w:t>[Suite de la note de la page précédente]</w:t>
      </w:r>
    </w:p>
    <w:p w:rsidR="00BD7DF2" w:rsidRPr="00294751" w:rsidRDefault="00BD7DF2" w:rsidP="006655D3">
      <w:pPr>
        <w:rPr>
          <w:lang w:val="fr-FR"/>
        </w:rPr>
      </w:pPr>
    </w:p>
    <w:p w:rsidR="00BD7DF2" w:rsidRPr="00294751" w:rsidRDefault="00BD7DF2" w:rsidP="006655D3">
      <w:pPr>
        <w:rPr>
          <w:lang w:val="fr-FR"/>
        </w:rPr>
      </w:pPr>
    </w:p>
  </w:endnote>
  <w:endnote w:type="continuationNotice" w:id="1">
    <w:p w:rsidR="00BD7DF2" w:rsidRPr="00294751" w:rsidRDefault="00BD7DF2" w:rsidP="006655D3">
      <w:pPr>
        <w:rPr>
          <w:lang w:val="fr-FR"/>
        </w:rPr>
      </w:pPr>
      <w:r w:rsidRPr="00294751">
        <w:rPr>
          <w:lang w:val="fr-FR"/>
        </w:rPr>
        <w:t>[Suite de la note page suivante]</w:t>
      </w:r>
    </w:p>
    <w:p w:rsidR="00BD7DF2" w:rsidRPr="00294751" w:rsidRDefault="00BD7DF2" w:rsidP="006655D3">
      <w:pPr>
        <w:rPr>
          <w:lang w:val="fr-FR"/>
        </w:rPr>
      </w:pPr>
    </w:p>
    <w:p w:rsidR="00BD7DF2" w:rsidRPr="00294751" w:rsidRDefault="00BD7DF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DE7D82" w:rsidRDefault="00BD7DF2" w:rsidP="005C2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Default="00BD7DF2" w:rsidP="005C2C74">
    <w:pPr>
      <w:pStyle w:val="Footer"/>
      <w:rPr>
        <w:sz w:val="20"/>
      </w:rPr>
    </w:pPr>
  </w:p>
  <w:p w:rsidR="002C37D6" w:rsidRDefault="002C37D6" w:rsidP="005C2C74">
    <w:pPr>
      <w:pStyle w:val="Footer"/>
      <w:rPr>
        <w:sz w:val="20"/>
      </w:rPr>
    </w:pPr>
  </w:p>
  <w:p w:rsidR="00BD7DF2" w:rsidRPr="00D93DC2" w:rsidRDefault="00BD7DF2" w:rsidP="005C2C74">
    <w:pPr>
      <w:pStyle w:val="Footer"/>
      <w:rPr>
        <w:sz w:val="20"/>
        <w:lang w:val="fr-CH"/>
      </w:rPr>
    </w:pPr>
    <w:r w:rsidRPr="00D93DC2">
      <w:rPr>
        <w:sz w:val="20"/>
        <w:lang w:val="fr-CH"/>
      </w:rPr>
      <w:t xml:space="preserve">[Fin de l’annexe VI </w:t>
    </w:r>
    <w:r>
      <w:rPr>
        <w:sz w:val="20"/>
        <w:lang w:val="fr-CH"/>
      </w:rPr>
      <w:t xml:space="preserve">et du </w:t>
    </w:r>
    <w:r w:rsidRPr="00D93DC2">
      <w:rPr>
        <w:sz w:val="20"/>
        <w:lang w:val="fr-CH"/>
      </w:rPr>
      <w:t>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DF2" w:rsidRDefault="00BD7DF2" w:rsidP="006655D3">
      <w:r>
        <w:separator/>
      </w:r>
    </w:p>
  </w:footnote>
  <w:footnote w:type="continuationSeparator" w:id="0">
    <w:p w:rsidR="00BD7DF2" w:rsidRDefault="00BD7DF2" w:rsidP="006655D3">
      <w:r>
        <w:separator/>
      </w:r>
    </w:p>
  </w:footnote>
  <w:footnote w:type="continuationNotice" w:id="1">
    <w:p w:rsidR="00BD7DF2" w:rsidRPr="00AB530F" w:rsidRDefault="00BD7DF2" w:rsidP="005C2C74">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1270B2">
    <w:pPr>
      <w:jc w:val="center"/>
      <w:rPr>
        <w:lang w:val="pt-BR"/>
      </w:rPr>
    </w:pPr>
    <w:r>
      <w:t>TC/55/4</w:t>
    </w:r>
  </w:p>
  <w:p w:rsidR="00BD7DF2" w:rsidRDefault="00BD7DF2" w:rsidP="001270B2">
    <w:pPr>
      <w:jc w:val="center"/>
    </w:pPr>
    <w:r w:rsidRPr="002E1B40">
      <w:rPr>
        <w:lang w:val="pt-BR"/>
      </w:rPr>
      <w:t>page</w:t>
    </w:r>
    <w:r>
      <w:rPr>
        <w:lang w:val="pt-BR"/>
      </w:rPr>
      <w:t> </w:t>
    </w:r>
    <w:r w:rsidRPr="00C5280D">
      <w:fldChar w:fldCharType="begin"/>
    </w:r>
    <w:r w:rsidRPr="002E1B40">
      <w:rPr>
        <w:lang w:val="pt-BR"/>
      </w:rPr>
      <w:instrText xml:space="preserve"> PAGE </w:instrText>
    </w:r>
    <w:r w:rsidRPr="00C5280D">
      <w:fldChar w:fldCharType="separate"/>
    </w:r>
    <w:r w:rsidR="00E03680">
      <w:rPr>
        <w:noProof/>
        <w:lang w:val="pt-BR"/>
      </w:rPr>
      <w:t>11</w:t>
    </w:r>
    <w:r w:rsidRPr="00C5280D">
      <w:fldChar w:fldCharType="end"/>
    </w:r>
  </w:p>
  <w:p w:rsidR="00C77A34" w:rsidRPr="002E1B40" w:rsidRDefault="00C77A34" w:rsidP="001270B2">
    <w:pPr>
      <w:jc w:val="center"/>
      <w:rPr>
        <w:lang w:val="pt-BR"/>
      </w:rPr>
    </w:pPr>
  </w:p>
  <w:p w:rsidR="00BD7DF2" w:rsidRPr="002E1B40" w:rsidRDefault="00BD7DF2" w:rsidP="006655D3">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Default="00BD7DF2" w:rsidP="001270B2">
    <w:pPr>
      <w:jc w:val="center"/>
    </w:pPr>
  </w:p>
  <w:p w:rsidR="00BD7DF2" w:rsidRDefault="00BD7DF2" w:rsidP="001270B2">
    <w:pPr>
      <w:jc w:val="center"/>
    </w:pPr>
    <w:r>
      <w:t xml:space="preserve">ANNEXE V </w:t>
    </w:r>
  </w:p>
  <w:p w:rsidR="00BD7DF2" w:rsidRDefault="00BD7DF2" w:rsidP="001270B2">
    <w:pPr>
      <w:jc w:val="center"/>
    </w:pPr>
  </w:p>
  <w:p w:rsidR="00BD7DF2" w:rsidRPr="004A75CB" w:rsidRDefault="00BD7DF2" w:rsidP="001270B2">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C5280D" w:rsidRDefault="00BD7DF2" w:rsidP="00EB048E">
    <w:pPr>
      <w:pStyle w:val="Header"/>
      <w:rPr>
        <w:rStyle w:val="PageNumber"/>
        <w:lang w:val="en-US"/>
      </w:rPr>
    </w:pPr>
    <w:r>
      <w:rPr>
        <w:rStyle w:val="PageNumber"/>
        <w:lang w:val="en-US"/>
      </w:rPr>
      <w:t>TC/55/4</w:t>
    </w:r>
  </w:p>
  <w:p w:rsidR="00BD7DF2" w:rsidRPr="00C5280D" w:rsidRDefault="00BD7DF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C37D6">
      <w:rPr>
        <w:rStyle w:val="PageNumber"/>
        <w:noProof/>
        <w:lang w:val="en-US"/>
      </w:rPr>
      <w:t>5</w:t>
    </w:r>
    <w:r w:rsidRPr="00C5280D">
      <w:rPr>
        <w:rStyle w:val="PageNumber"/>
        <w:lang w:val="en-US"/>
      </w:rPr>
      <w:fldChar w:fldCharType="end"/>
    </w:r>
  </w:p>
  <w:p w:rsidR="00BD7DF2" w:rsidRPr="00C5280D" w:rsidRDefault="00BD7DF2" w:rsidP="006655D3"/>
  <w:p w:rsidR="00BD7DF2" w:rsidRDefault="00BD7DF2"/>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E454D1" w:rsidRDefault="00BD7DF2" w:rsidP="009956BC">
    <w:pPr>
      <w:jc w:val="center"/>
      <w:rPr>
        <w:lang w:val="fr-CH"/>
      </w:rPr>
    </w:pPr>
    <w:r w:rsidRPr="00E454D1">
      <w:rPr>
        <w:lang w:val="fr-CH"/>
      </w:rPr>
      <w:t>TC/55/4</w:t>
    </w:r>
  </w:p>
  <w:p w:rsidR="00BD7DF2" w:rsidRPr="00E454D1" w:rsidRDefault="00BD7DF2" w:rsidP="001270B2">
    <w:pPr>
      <w:jc w:val="center"/>
      <w:rPr>
        <w:lang w:val="fr-CH"/>
      </w:rPr>
    </w:pPr>
  </w:p>
  <w:p w:rsidR="00BD7DF2" w:rsidRDefault="00BD7DF2" w:rsidP="001270B2">
    <w:pPr>
      <w:jc w:val="center"/>
      <w:rPr>
        <w:lang w:val="fr-CH"/>
      </w:rPr>
    </w:pPr>
    <w:r w:rsidRPr="00DD6CA3">
      <w:rPr>
        <w:lang w:val="fr-CH"/>
      </w:rPr>
      <w:t>ANNEXE VI – PROGRAM</w:t>
    </w:r>
    <w:r w:rsidR="00DD6CA3" w:rsidRPr="00DD6CA3">
      <w:rPr>
        <w:lang w:val="fr-CH"/>
      </w:rPr>
      <w:t xml:space="preserve">ME D’ÉLABORATION DES </w:t>
    </w:r>
    <w:r w:rsidRPr="00DD6CA3">
      <w:rPr>
        <w:lang w:val="fr-CH"/>
      </w:rPr>
      <w:t xml:space="preserve">DOCUMENTS </w:t>
    </w:r>
    <w:r w:rsidR="00DD6CA3" w:rsidRPr="00DD6CA3">
      <w:rPr>
        <w:lang w:val="fr-CH"/>
      </w:rPr>
      <w:t>TGP</w:t>
    </w:r>
  </w:p>
  <w:p w:rsidR="00C77A34" w:rsidRPr="00996F63" w:rsidRDefault="00C77A34" w:rsidP="001270B2">
    <w:pPr>
      <w:jc w:val="center"/>
      <w:rPr>
        <w:sz w:val="14"/>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Pr="00C5280D" w:rsidRDefault="00BD7DF2" w:rsidP="00EB048E">
    <w:pPr>
      <w:pStyle w:val="Header"/>
      <w:rPr>
        <w:lang w:val="en-US"/>
      </w:rPr>
    </w:pPr>
    <w:proofErr w:type="spellStart"/>
    <w:r>
      <w:rPr>
        <w:lang w:val="en-US"/>
      </w:rPr>
      <w:t>Annexe</w:t>
    </w:r>
    <w:proofErr w:type="spellEnd"/>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03680">
      <w:rPr>
        <w:rStyle w:val="PageNumber"/>
        <w:noProof/>
        <w:lang w:val="en-US"/>
      </w:rPr>
      <w:t>3</w:t>
    </w:r>
    <w:r w:rsidRPr="00C5280D">
      <w:rPr>
        <w:rStyle w:val="PageNumber"/>
        <w:lang w:val="en-US"/>
      </w:rPr>
      <w:fldChar w:fldCharType="end"/>
    </w:r>
  </w:p>
  <w:p w:rsidR="00BD7DF2" w:rsidRDefault="00BD7DF2" w:rsidP="006655D3"/>
  <w:p w:rsidR="00BD7DF2" w:rsidRPr="00C5280D" w:rsidRDefault="00BD7DF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Default="00BD7DF2" w:rsidP="001270B2">
    <w:pPr>
      <w:jc w:val="center"/>
    </w:pPr>
  </w:p>
  <w:p w:rsidR="00BD7DF2" w:rsidRDefault="00BD7DF2" w:rsidP="001270B2">
    <w:pPr>
      <w:jc w:val="center"/>
    </w:pPr>
    <w:r>
      <w:t xml:space="preserve">ANNEXE I </w:t>
    </w:r>
  </w:p>
  <w:p w:rsidR="00BD7DF2" w:rsidRDefault="00BD7DF2" w:rsidP="001270B2">
    <w:pPr>
      <w:jc w:val="center"/>
    </w:pPr>
  </w:p>
  <w:p w:rsidR="00BD7DF2" w:rsidRPr="004A75CB" w:rsidRDefault="00BD7DF2" w:rsidP="001270B2">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Default="00BD7DF2" w:rsidP="001270B2">
    <w:pPr>
      <w:jc w:val="center"/>
    </w:pPr>
  </w:p>
  <w:p w:rsidR="00BD7DF2" w:rsidRDefault="00BD7DF2" w:rsidP="001270B2">
    <w:pPr>
      <w:jc w:val="center"/>
    </w:pPr>
    <w:r>
      <w:t xml:space="preserve">ANNEXE II </w:t>
    </w:r>
  </w:p>
  <w:p w:rsidR="00BD7DF2" w:rsidRDefault="00BD7DF2" w:rsidP="001270B2">
    <w:pPr>
      <w:jc w:val="center"/>
    </w:pPr>
  </w:p>
  <w:p w:rsidR="00BD7DF2" w:rsidRPr="004A75CB" w:rsidRDefault="00BD7DF2" w:rsidP="001270B2">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Pr="00436698" w:rsidRDefault="00BD7DF2" w:rsidP="00EB048E">
    <w:pPr>
      <w:pStyle w:val="Header"/>
      <w:rPr>
        <w:lang w:val="fr-CH"/>
      </w:rPr>
    </w:pPr>
    <w:r w:rsidRPr="00436698">
      <w:rPr>
        <w:lang w:val="fr-CH"/>
      </w:rPr>
      <w:t>Annex</w:t>
    </w:r>
    <w:r>
      <w:rPr>
        <w:lang w:val="fr-CH"/>
      </w:rPr>
      <w:t>e</w:t>
    </w:r>
    <w:r w:rsidRPr="00436698">
      <w:rPr>
        <w:lang w:val="fr-CH"/>
      </w:rPr>
      <w:t xml:space="preserve"> III,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E03680">
      <w:rPr>
        <w:rStyle w:val="PageNumber"/>
        <w:noProof/>
        <w:lang w:val="fr-CH"/>
      </w:rPr>
      <w:t>3</w:t>
    </w:r>
    <w:r w:rsidRPr="00C5280D">
      <w:rPr>
        <w:rStyle w:val="PageNumber"/>
        <w:lang w:val="en-US"/>
      </w:rPr>
      <w:fldChar w:fldCharType="end"/>
    </w:r>
  </w:p>
  <w:p w:rsidR="00BD7DF2" w:rsidRDefault="00BD7DF2" w:rsidP="006655D3">
    <w:pPr>
      <w:rPr>
        <w:lang w:val="fr-CH"/>
      </w:rPr>
    </w:pPr>
  </w:p>
  <w:p w:rsidR="00BD7DF2" w:rsidRPr="00436698" w:rsidRDefault="00BD7DF2"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Default="00BD7DF2" w:rsidP="001270B2">
    <w:pPr>
      <w:jc w:val="center"/>
    </w:pPr>
  </w:p>
  <w:p w:rsidR="00BD7DF2" w:rsidRDefault="00BD7DF2" w:rsidP="001270B2">
    <w:pPr>
      <w:jc w:val="center"/>
    </w:pPr>
    <w:r>
      <w:t xml:space="preserve">ANNEXE III </w:t>
    </w:r>
  </w:p>
  <w:p w:rsidR="00BD7DF2" w:rsidRDefault="00BD7DF2" w:rsidP="001270B2">
    <w:pPr>
      <w:jc w:val="center"/>
    </w:pPr>
  </w:p>
  <w:p w:rsidR="00BD7DF2" w:rsidRPr="004A75CB" w:rsidRDefault="00BD7DF2" w:rsidP="001270B2">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Pr="00436698" w:rsidRDefault="00BD7DF2" w:rsidP="00EB048E">
    <w:pPr>
      <w:pStyle w:val="Header"/>
      <w:rPr>
        <w:lang w:val="fr-CH"/>
      </w:rPr>
    </w:pPr>
    <w:r w:rsidRPr="00436698">
      <w:rPr>
        <w:lang w:val="fr-CH"/>
      </w:rPr>
      <w:t>Annex</w:t>
    </w:r>
    <w:r>
      <w:rPr>
        <w:lang w:val="fr-CH"/>
      </w:rPr>
      <w:t>e</w:t>
    </w:r>
    <w:r w:rsidRPr="00436698">
      <w:rPr>
        <w:lang w:val="fr-CH"/>
      </w:rPr>
      <w:t xml:space="preserve"> IV,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E03680">
      <w:rPr>
        <w:rStyle w:val="PageNumber"/>
        <w:noProof/>
        <w:lang w:val="fr-CH"/>
      </w:rPr>
      <w:t>2</w:t>
    </w:r>
    <w:r w:rsidRPr="00C5280D">
      <w:rPr>
        <w:rStyle w:val="PageNumber"/>
        <w:lang w:val="en-US"/>
      </w:rPr>
      <w:fldChar w:fldCharType="end"/>
    </w:r>
  </w:p>
  <w:p w:rsidR="00BD7DF2" w:rsidRDefault="00BD7DF2" w:rsidP="006655D3">
    <w:pPr>
      <w:rPr>
        <w:lang w:val="fr-CH"/>
      </w:rPr>
    </w:pPr>
  </w:p>
  <w:p w:rsidR="00BD7DF2" w:rsidRPr="00436698" w:rsidRDefault="00BD7DF2"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Default="00BD7DF2" w:rsidP="001270B2">
    <w:pPr>
      <w:jc w:val="center"/>
    </w:pPr>
  </w:p>
  <w:p w:rsidR="00BD7DF2" w:rsidRDefault="00BD7DF2" w:rsidP="001270B2">
    <w:pPr>
      <w:jc w:val="center"/>
    </w:pPr>
    <w:r>
      <w:t xml:space="preserve">ANNEXE IV </w:t>
    </w:r>
  </w:p>
  <w:p w:rsidR="00BD7DF2" w:rsidRDefault="00BD7DF2" w:rsidP="001270B2">
    <w:pPr>
      <w:jc w:val="center"/>
    </w:pPr>
  </w:p>
  <w:p w:rsidR="00BD7DF2" w:rsidRPr="004A75CB" w:rsidRDefault="00BD7DF2" w:rsidP="001270B2">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F2" w:rsidRPr="002E1B40" w:rsidRDefault="00BD7DF2" w:rsidP="009956BC">
    <w:pPr>
      <w:jc w:val="center"/>
      <w:rPr>
        <w:lang w:val="pt-BR"/>
      </w:rPr>
    </w:pPr>
    <w:r>
      <w:t>TC/55/4</w:t>
    </w:r>
  </w:p>
  <w:p w:rsidR="00BD7DF2" w:rsidRPr="00436698" w:rsidRDefault="00BD7DF2" w:rsidP="00EB048E">
    <w:pPr>
      <w:pStyle w:val="Header"/>
      <w:rPr>
        <w:lang w:val="fr-CH"/>
      </w:rPr>
    </w:pPr>
    <w:r w:rsidRPr="00436698">
      <w:rPr>
        <w:lang w:val="fr-CH"/>
      </w:rPr>
      <w:t>Annex</w:t>
    </w:r>
    <w:r>
      <w:rPr>
        <w:lang w:val="fr-CH"/>
      </w:rPr>
      <w:t>e</w:t>
    </w:r>
    <w:r w:rsidRPr="00436698">
      <w:rPr>
        <w:lang w:val="fr-CH"/>
      </w:rPr>
      <w:t xml:space="preserve"> 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E03680">
      <w:rPr>
        <w:rStyle w:val="PageNumber"/>
        <w:noProof/>
        <w:lang w:val="fr-CH"/>
      </w:rPr>
      <w:t>3</w:t>
    </w:r>
    <w:r w:rsidRPr="00C5280D">
      <w:rPr>
        <w:rStyle w:val="PageNumber"/>
        <w:lang w:val="en-US"/>
      </w:rPr>
      <w:fldChar w:fldCharType="end"/>
    </w:r>
  </w:p>
  <w:p w:rsidR="00BD7DF2" w:rsidRDefault="00BD7DF2" w:rsidP="006655D3">
    <w:pPr>
      <w:rPr>
        <w:lang w:val="fr-CH"/>
      </w:rPr>
    </w:pPr>
  </w:p>
  <w:p w:rsidR="00BD7DF2" w:rsidRPr="00436698" w:rsidRDefault="00BD7DF2"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6DB3"/>
    <w:multiLevelType w:val="hybridMultilevel"/>
    <w:tmpl w:val="CD8C303A"/>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AD7199"/>
    <w:multiLevelType w:val="hybridMultilevel"/>
    <w:tmpl w:val="8F0E9FD2"/>
    <w:lvl w:ilvl="0" w:tplc="0409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26AA139A"/>
    <w:multiLevelType w:val="hybridMultilevel"/>
    <w:tmpl w:val="848C53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42817DDD"/>
    <w:multiLevelType w:val="hybridMultilevel"/>
    <w:tmpl w:val="6F7A20DE"/>
    <w:lvl w:ilvl="0" w:tplc="04090017">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15:restartNumberingAfterBreak="0">
    <w:nsid w:val="4508156C"/>
    <w:multiLevelType w:val="hybridMultilevel"/>
    <w:tmpl w:val="3AA06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5"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2"/>
  </w:num>
  <w:num w:numId="4">
    <w:abstractNumId w:val="15"/>
  </w:num>
  <w:num w:numId="5">
    <w:abstractNumId w:val="6"/>
  </w:num>
  <w:num w:numId="6">
    <w:abstractNumId w:val="5"/>
  </w:num>
  <w:num w:numId="7">
    <w:abstractNumId w:val="10"/>
  </w:num>
  <w:num w:numId="8">
    <w:abstractNumId w:val="3"/>
  </w:num>
  <w:num w:numId="9">
    <w:abstractNumId w:val="4"/>
  </w:num>
  <w:num w:numId="10">
    <w:abstractNumId w:val="11"/>
  </w:num>
  <w:num w:numId="11">
    <w:abstractNumId w:val="9"/>
  </w:num>
  <w:num w:numId="12">
    <w:abstractNumId w:val="16"/>
  </w:num>
  <w:num w:numId="13">
    <w:abstractNumId w:val="14"/>
  </w:num>
  <w:num w:numId="14">
    <w:abstractNumId w:val="8"/>
  </w:num>
  <w:num w:numId="15">
    <w:abstractNumId w:val="13"/>
  </w:num>
  <w:num w:numId="16">
    <w:abstractNumId w:val="17"/>
  </w:num>
  <w:num w:numId="17">
    <w:abstractNumId w:val="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xtBase TMs\WorkspaceFTS\UPOV\TGs|TextBase TMs\WorkspaceFTS\UPOV\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A04A26"/>
    <w:rsid w:val="00003A6E"/>
    <w:rsid w:val="00010CF3"/>
    <w:rsid w:val="00011E27"/>
    <w:rsid w:val="000148BC"/>
    <w:rsid w:val="00016165"/>
    <w:rsid w:val="00020BA0"/>
    <w:rsid w:val="00024AB8"/>
    <w:rsid w:val="00025904"/>
    <w:rsid w:val="00030854"/>
    <w:rsid w:val="000317FB"/>
    <w:rsid w:val="00031B37"/>
    <w:rsid w:val="0003485C"/>
    <w:rsid w:val="00036028"/>
    <w:rsid w:val="0004024C"/>
    <w:rsid w:val="00044642"/>
    <w:rsid w:val="000446B9"/>
    <w:rsid w:val="00047E21"/>
    <w:rsid w:val="00050E16"/>
    <w:rsid w:val="00085505"/>
    <w:rsid w:val="00087258"/>
    <w:rsid w:val="000901F1"/>
    <w:rsid w:val="00090D74"/>
    <w:rsid w:val="000B0444"/>
    <w:rsid w:val="000C1143"/>
    <w:rsid w:val="000C4E25"/>
    <w:rsid w:val="000C7021"/>
    <w:rsid w:val="000D6BBC"/>
    <w:rsid w:val="000D7780"/>
    <w:rsid w:val="000E4458"/>
    <w:rsid w:val="000E5975"/>
    <w:rsid w:val="000E636A"/>
    <w:rsid w:val="000F110C"/>
    <w:rsid w:val="000F1B8F"/>
    <w:rsid w:val="000F2F11"/>
    <w:rsid w:val="00105929"/>
    <w:rsid w:val="001101C2"/>
    <w:rsid w:val="00110C36"/>
    <w:rsid w:val="001131D5"/>
    <w:rsid w:val="00124C91"/>
    <w:rsid w:val="001270B2"/>
    <w:rsid w:val="00134CDD"/>
    <w:rsid w:val="00136EE6"/>
    <w:rsid w:val="00140229"/>
    <w:rsid w:val="00141DB8"/>
    <w:rsid w:val="00151149"/>
    <w:rsid w:val="00154024"/>
    <w:rsid w:val="00167198"/>
    <w:rsid w:val="00172084"/>
    <w:rsid w:val="0017474A"/>
    <w:rsid w:val="001758C6"/>
    <w:rsid w:val="00182B99"/>
    <w:rsid w:val="00193892"/>
    <w:rsid w:val="00193975"/>
    <w:rsid w:val="001959F5"/>
    <w:rsid w:val="001B3658"/>
    <w:rsid w:val="001C0E7F"/>
    <w:rsid w:val="001F3898"/>
    <w:rsid w:val="00205C7D"/>
    <w:rsid w:val="0021332C"/>
    <w:rsid w:val="00213982"/>
    <w:rsid w:val="002255C4"/>
    <w:rsid w:val="00241A46"/>
    <w:rsid w:val="0024416D"/>
    <w:rsid w:val="002606F9"/>
    <w:rsid w:val="00271911"/>
    <w:rsid w:val="002800A0"/>
    <w:rsid w:val="002801B3"/>
    <w:rsid w:val="00281060"/>
    <w:rsid w:val="002940E8"/>
    <w:rsid w:val="00294751"/>
    <w:rsid w:val="002A0B75"/>
    <w:rsid w:val="002A6E50"/>
    <w:rsid w:val="002B4298"/>
    <w:rsid w:val="002C256A"/>
    <w:rsid w:val="002C276F"/>
    <w:rsid w:val="002C37D6"/>
    <w:rsid w:val="002D1193"/>
    <w:rsid w:val="002F020D"/>
    <w:rsid w:val="002F27A3"/>
    <w:rsid w:val="002F2D47"/>
    <w:rsid w:val="00304827"/>
    <w:rsid w:val="00305A7F"/>
    <w:rsid w:val="003152FE"/>
    <w:rsid w:val="00327436"/>
    <w:rsid w:val="00344BD6"/>
    <w:rsid w:val="0035528D"/>
    <w:rsid w:val="0035588A"/>
    <w:rsid w:val="00357B39"/>
    <w:rsid w:val="00361821"/>
    <w:rsid w:val="00361E9E"/>
    <w:rsid w:val="003B3732"/>
    <w:rsid w:val="003B6691"/>
    <w:rsid w:val="003C7FBE"/>
    <w:rsid w:val="003D227C"/>
    <w:rsid w:val="003D2B4D"/>
    <w:rsid w:val="003D4709"/>
    <w:rsid w:val="0040586B"/>
    <w:rsid w:val="004061B9"/>
    <w:rsid w:val="00410779"/>
    <w:rsid w:val="00421BAE"/>
    <w:rsid w:val="0044336B"/>
    <w:rsid w:val="00444A88"/>
    <w:rsid w:val="004520A0"/>
    <w:rsid w:val="00474DA4"/>
    <w:rsid w:val="00476B4D"/>
    <w:rsid w:val="004805FA"/>
    <w:rsid w:val="004935D2"/>
    <w:rsid w:val="004A2B7B"/>
    <w:rsid w:val="004B1215"/>
    <w:rsid w:val="004B29C3"/>
    <w:rsid w:val="004C0D78"/>
    <w:rsid w:val="004C349A"/>
    <w:rsid w:val="004D047D"/>
    <w:rsid w:val="004E75AF"/>
    <w:rsid w:val="004F1E9E"/>
    <w:rsid w:val="004F305A"/>
    <w:rsid w:val="00512164"/>
    <w:rsid w:val="00520297"/>
    <w:rsid w:val="00524DB4"/>
    <w:rsid w:val="005338F9"/>
    <w:rsid w:val="0054281C"/>
    <w:rsid w:val="00544581"/>
    <w:rsid w:val="0055268D"/>
    <w:rsid w:val="00552782"/>
    <w:rsid w:val="0056583E"/>
    <w:rsid w:val="00576987"/>
    <w:rsid w:val="00576BE4"/>
    <w:rsid w:val="00580FFF"/>
    <w:rsid w:val="005A400A"/>
    <w:rsid w:val="005B46E9"/>
    <w:rsid w:val="005B7543"/>
    <w:rsid w:val="005C2C74"/>
    <w:rsid w:val="005E6B99"/>
    <w:rsid w:val="005E75C9"/>
    <w:rsid w:val="005F0359"/>
    <w:rsid w:val="005F7B92"/>
    <w:rsid w:val="00612379"/>
    <w:rsid w:val="006153B6"/>
    <w:rsid w:val="0061555F"/>
    <w:rsid w:val="00617FB0"/>
    <w:rsid w:val="00636CA6"/>
    <w:rsid w:val="00637C8A"/>
    <w:rsid w:val="00641200"/>
    <w:rsid w:val="00642259"/>
    <w:rsid w:val="00645CA8"/>
    <w:rsid w:val="00645E4E"/>
    <w:rsid w:val="00650E61"/>
    <w:rsid w:val="00661BFC"/>
    <w:rsid w:val="00662236"/>
    <w:rsid w:val="006655D3"/>
    <w:rsid w:val="006667E1"/>
    <w:rsid w:val="00667404"/>
    <w:rsid w:val="00687EB4"/>
    <w:rsid w:val="00695C56"/>
    <w:rsid w:val="006A5CDE"/>
    <w:rsid w:val="006A644A"/>
    <w:rsid w:val="006B17D2"/>
    <w:rsid w:val="006C224E"/>
    <w:rsid w:val="006D7435"/>
    <w:rsid w:val="006D780A"/>
    <w:rsid w:val="006E2A19"/>
    <w:rsid w:val="006F67C5"/>
    <w:rsid w:val="0071271E"/>
    <w:rsid w:val="007254EC"/>
    <w:rsid w:val="00732DEC"/>
    <w:rsid w:val="00735BD5"/>
    <w:rsid w:val="0074047A"/>
    <w:rsid w:val="0074544B"/>
    <w:rsid w:val="00751613"/>
    <w:rsid w:val="007556F6"/>
    <w:rsid w:val="00760EEF"/>
    <w:rsid w:val="00764773"/>
    <w:rsid w:val="00777EE5"/>
    <w:rsid w:val="0078234B"/>
    <w:rsid w:val="00784836"/>
    <w:rsid w:val="00786656"/>
    <w:rsid w:val="0079023E"/>
    <w:rsid w:val="007A2854"/>
    <w:rsid w:val="007B4F3F"/>
    <w:rsid w:val="007C1D92"/>
    <w:rsid w:val="007C4CB9"/>
    <w:rsid w:val="007D0B9D"/>
    <w:rsid w:val="007D19B0"/>
    <w:rsid w:val="007E09F2"/>
    <w:rsid w:val="007E785D"/>
    <w:rsid w:val="007F498F"/>
    <w:rsid w:val="007F69A3"/>
    <w:rsid w:val="0080679D"/>
    <w:rsid w:val="008108B0"/>
    <w:rsid w:val="00811B20"/>
    <w:rsid w:val="008211B5"/>
    <w:rsid w:val="0082296E"/>
    <w:rsid w:val="00823AF9"/>
    <w:rsid w:val="00824099"/>
    <w:rsid w:val="00844B8A"/>
    <w:rsid w:val="00846D7C"/>
    <w:rsid w:val="008563AD"/>
    <w:rsid w:val="00867AC1"/>
    <w:rsid w:val="0087038D"/>
    <w:rsid w:val="00890DF8"/>
    <w:rsid w:val="008A0B89"/>
    <w:rsid w:val="008A743F"/>
    <w:rsid w:val="008B6E60"/>
    <w:rsid w:val="008B773F"/>
    <w:rsid w:val="008C0970"/>
    <w:rsid w:val="008D0BC5"/>
    <w:rsid w:val="008D2CF7"/>
    <w:rsid w:val="008D7E86"/>
    <w:rsid w:val="00900C26"/>
    <w:rsid w:val="0090197F"/>
    <w:rsid w:val="00905272"/>
    <w:rsid w:val="00906DDC"/>
    <w:rsid w:val="00913A90"/>
    <w:rsid w:val="00913AAD"/>
    <w:rsid w:val="00930086"/>
    <w:rsid w:val="00934E09"/>
    <w:rsid w:val="00935260"/>
    <w:rsid w:val="00936253"/>
    <w:rsid w:val="00940D46"/>
    <w:rsid w:val="00943CC5"/>
    <w:rsid w:val="00952DD4"/>
    <w:rsid w:val="00965AE7"/>
    <w:rsid w:val="00970FED"/>
    <w:rsid w:val="00992D82"/>
    <w:rsid w:val="009956BC"/>
    <w:rsid w:val="00996F63"/>
    <w:rsid w:val="00997029"/>
    <w:rsid w:val="009A3859"/>
    <w:rsid w:val="009A7339"/>
    <w:rsid w:val="009B0A52"/>
    <w:rsid w:val="009B440E"/>
    <w:rsid w:val="009C63EC"/>
    <w:rsid w:val="009C7B43"/>
    <w:rsid w:val="009D0DF4"/>
    <w:rsid w:val="009D690D"/>
    <w:rsid w:val="009E65B6"/>
    <w:rsid w:val="009F2AA3"/>
    <w:rsid w:val="00A021BA"/>
    <w:rsid w:val="00A02FB5"/>
    <w:rsid w:val="00A04A26"/>
    <w:rsid w:val="00A126EE"/>
    <w:rsid w:val="00A16A1D"/>
    <w:rsid w:val="00A16C23"/>
    <w:rsid w:val="00A24C10"/>
    <w:rsid w:val="00A32CCB"/>
    <w:rsid w:val="00A35379"/>
    <w:rsid w:val="00A36A0F"/>
    <w:rsid w:val="00A37C2B"/>
    <w:rsid w:val="00A42AC3"/>
    <w:rsid w:val="00A430CF"/>
    <w:rsid w:val="00A520CC"/>
    <w:rsid w:val="00A54309"/>
    <w:rsid w:val="00A81683"/>
    <w:rsid w:val="00A951A9"/>
    <w:rsid w:val="00AB2B93"/>
    <w:rsid w:val="00AB530F"/>
    <w:rsid w:val="00AB7E5B"/>
    <w:rsid w:val="00AC05EF"/>
    <w:rsid w:val="00AC2883"/>
    <w:rsid w:val="00AE0EF1"/>
    <w:rsid w:val="00AE2937"/>
    <w:rsid w:val="00AE2C77"/>
    <w:rsid w:val="00AE777D"/>
    <w:rsid w:val="00B025E9"/>
    <w:rsid w:val="00B05CA3"/>
    <w:rsid w:val="00B07301"/>
    <w:rsid w:val="00B11F3E"/>
    <w:rsid w:val="00B12C03"/>
    <w:rsid w:val="00B224DE"/>
    <w:rsid w:val="00B264B1"/>
    <w:rsid w:val="00B27FFA"/>
    <w:rsid w:val="00B324D4"/>
    <w:rsid w:val="00B46575"/>
    <w:rsid w:val="00B57113"/>
    <w:rsid w:val="00B61777"/>
    <w:rsid w:val="00B637B6"/>
    <w:rsid w:val="00B725AE"/>
    <w:rsid w:val="00B84BBD"/>
    <w:rsid w:val="00BA43FB"/>
    <w:rsid w:val="00BA7564"/>
    <w:rsid w:val="00BC127D"/>
    <w:rsid w:val="00BC1FE6"/>
    <w:rsid w:val="00BD3CA9"/>
    <w:rsid w:val="00BD7DF2"/>
    <w:rsid w:val="00BD7E87"/>
    <w:rsid w:val="00C061B6"/>
    <w:rsid w:val="00C076EA"/>
    <w:rsid w:val="00C13C5C"/>
    <w:rsid w:val="00C17B29"/>
    <w:rsid w:val="00C2446C"/>
    <w:rsid w:val="00C36AE5"/>
    <w:rsid w:val="00C40ED8"/>
    <w:rsid w:val="00C41F17"/>
    <w:rsid w:val="00C527FA"/>
    <w:rsid w:val="00C5280D"/>
    <w:rsid w:val="00C53EB3"/>
    <w:rsid w:val="00C55CB8"/>
    <w:rsid w:val="00C5791C"/>
    <w:rsid w:val="00C66290"/>
    <w:rsid w:val="00C72B7A"/>
    <w:rsid w:val="00C76573"/>
    <w:rsid w:val="00C77A34"/>
    <w:rsid w:val="00C973F2"/>
    <w:rsid w:val="00CA304C"/>
    <w:rsid w:val="00CA774A"/>
    <w:rsid w:val="00CC11B0"/>
    <w:rsid w:val="00CC2841"/>
    <w:rsid w:val="00CF1330"/>
    <w:rsid w:val="00CF7E36"/>
    <w:rsid w:val="00D20D36"/>
    <w:rsid w:val="00D22D38"/>
    <w:rsid w:val="00D35BC0"/>
    <w:rsid w:val="00D3708D"/>
    <w:rsid w:val="00D40426"/>
    <w:rsid w:val="00D542BB"/>
    <w:rsid w:val="00D5547C"/>
    <w:rsid w:val="00D57C96"/>
    <w:rsid w:val="00D57D18"/>
    <w:rsid w:val="00D605D9"/>
    <w:rsid w:val="00D7161A"/>
    <w:rsid w:val="00D75FE9"/>
    <w:rsid w:val="00D87148"/>
    <w:rsid w:val="00D91203"/>
    <w:rsid w:val="00D92A27"/>
    <w:rsid w:val="00D93DC2"/>
    <w:rsid w:val="00D95174"/>
    <w:rsid w:val="00DA2250"/>
    <w:rsid w:val="00DA4973"/>
    <w:rsid w:val="00DA6F36"/>
    <w:rsid w:val="00DB596E"/>
    <w:rsid w:val="00DB7773"/>
    <w:rsid w:val="00DC00EA"/>
    <w:rsid w:val="00DC3802"/>
    <w:rsid w:val="00DC6D14"/>
    <w:rsid w:val="00DD6CA3"/>
    <w:rsid w:val="00DE28FC"/>
    <w:rsid w:val="00DE2CF8"/>
    <w:rsid w:val="00E03680"/>
    <w:rsid w:val="00E07D87"/>
    <w:rsid w:val="00E12A45"/>
    <w:rsid w:val="00E14B8C"/>
    <w:rsid w:val="00E32F7E"/>
    <w:rsid w:val="00E41DBE"/>
    <w:rsid w:val="00E454D1"/>
    <w:rsid w:val="00E5267B"/>
    <w:rsid w:val="00E55782"/>
    <w:rsid w:val="00E63C0E"/>
    <w:rsid w:val="00E72D49"/>
    <w:rsid w:val="00E7593C"/>
    <w:rsid w:val="00E7678A"/>
    <w:rsid w:val="00E8341C"/>
    <w:rsid w:val="00E84B03"/>
    <w:rsid w:val="00E935F1"/>
    <w:rsid w:val="00E94A81"/>
    <w:rsid w:val="00EA1FFB"/>
    <w:rsid w:val="00EB048E"/>
    <w:rsid w:val="00EB4E9C"/>
    <w:rsid w:val="00EC2260"/>
    <w:rsid w:val="00ED3E46"/>
    <w:rsid w:val="00EE34DF"/>
    <w:rsid w:val="00EF2F89"/>
    <w:rsid w:val="00F03E98"/>
    <w:rsid w:val="00F1237A"/>
    <w:rsid w:val="00F20BA5"/>
    <w:rsid w:val="00F22CBD"/>
    <w:rsid w:val="00F272F1"/>
    <w:rsid w:val="00F328CF"/>
    <w:rsid w:val="00F33CB8"/>
    <w:rsid w:val="00F45372"/>
    <w:rsid w:val="00F560F7"/>
    <w:rsid w:val="00F62B97"/>
    <w:rsid w:val="00F6334D"/>
    <w:rsid w:val="00F80625"/>
    <w:rsid w:val="00F84293"/>
    <w:rsid w:val="00FA49AB"/>
    <w:rsid w:val="00FB6BDA"/>
    <w:rsid w:val="00FC5331"/>
    <w:rsid w:val="00FE39C7"/>
    <w:rsid w:val="00FE5010"/>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13582F34"/>
  <w15:docId w15:val="{BC824CCC-8170-4573-9028-57A5BB46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C076EA"/>
    <w:pPr>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9956BC"/>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5C2C74"/>
    <w:pPr>
      <w:jc w:val="right"/>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36A0F"/>
    <w:pPr>
      <w:tabs>
        <w:tab w:val="right" w:leader="dot" w:pos="9639"/>
      </w:tabs>
      <w:ind w:left="568" w:right="851" w:hanging="284"/>
      <w:contextualSpacing/>
      <w:jc w:val="left"/>
    </w:pPr>
    <w:rPr>
      <w:sz w:val="18"/>
    </w:rPr>
  </w:style>
  <w:style w:type="paragraph" w:styleId="TOC3">
    <w:name w:val="toc 3"/>
    <w:basedOn w:val="Normal"/>
    <w:next w:val="Normal"/>
    <w:autoRedefine/>
    <w:uiPriority w:val="39"/>
    <w:qFormat/>
    <w:rsid w:val="00A36A0F"/>
    <w:pPr>
      <w:tabs>
        <w:tab w:val="right" w:leader="dot" w:pos="9639"/>
      </w:tabs>
      <w:spacing w:after="60"/>
      <w:ind w:left="851" w:right="1418" w:hanging="284"/>
      <w:contextualSpacing/>
      <w:jc w:val="left"/>
    </w:pPr>
    <w:rPr>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A36A0F"/>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semiHidden/>
    <w:rsid w:val="009956BC"/>
    <w:rPr>
      <w:rFonts w:asciiTheme="majorHAnsi" w:eastAsiaTheme="majorEastAsia" w:hAnsiTheme="majorHAnsi" w:cstheme="majorBidi"/>
      <w:color w:val="243F60" w:themeColor="accent1" w:themeShade="7F"/>
    </w:rPr>
  </w:style>
  <w:style w:type="character" w:customStyle="1" w:styleId="Heading1Char">
    <w:name w:val="Heading 1 Char"/>
    <w:aliases w:val="COMMON NAME Char,common Char"/>
    <w:basedOn w:val="DefaultParagraphFont"/>
    <w:link w:val="Heading1"/>
    <w:rsid w:val="009956BC"/>
    <w:rPr>
      <w:rFonts w:ascii="Arial" w:hAnsi="Arial"/>
      <w:caps/>
    </w:rPr>
  </w:style>
  <w:style w:type="character" w:customStyle="1" w:styleId="Heading2Char">
    <w:name w:val="Heading 2 Char"/>
    <w:basedOn w:val="DefaultParagraphFont"/>
    <w:link w:val="Heading2"/>
    <w:rsid w:val="009956BC"/>
    <w:rPr>
      <w:rFonts w:ascii="Arial" w:hAnsi="Arial"/>
      <w:u w:val="single"/>
    </w:rPr>
  </w:style>
  <w:style w:type="character" w:customStyle="1" w:styleId="Heading3Char">
    <w:name w:val="Heading 3 Char"/>
    <w:basedOn w:val="DefaultParagraphFont"/>
    <w:link w:val="Heading3"/>
    <w:rsid w:val="009956BC"/>
    <w:rPr>
      <w:rFonts w:ascii="Arial" w:hAnsi="Arial"/>
      <w:i/>
    </w:rPr>
  </w:style>
  <w:style w:type="character" w:customStyle="1" w:styleId="Heading4Char">
    <w:name w:val="Heading 4 Char"/>
    <w:basedOn w:val="DefaultParagraphFont"/>
    <w:link w:val="Heading4"/>
    <w:rsid w:val="00C076EA"/>
    <w:rPr>
      <w:rFonts w:ascii="Arial" w:hAnsi="Arial"/>
      <w:u w:val="single"/>
      <w:lang w:val="fr-FR"/>
    </w:rPr>
  </w:style>
  <w:style w:type="character" w:customStyle="1" w:styleId="Heading5Char">
    <w:name w:val="Heading 5 Char"/>
    <w:basedOn w:val="DefaultParagraphFont"/>
    <w:link w:val="Heading5"/>
    <w:rsid w:val="009956BC"/>
    <w:rPr>
      <w:rFonts w:ascii="Arial" w:hAnsi="Arial"/>
      <w:i/>
    </w:rPr>
  </w:style>
  <w:style w:type="character" w:customStyle="1" w:styleId="Heading9Char">
    <w:name w:val="Heading 9 Char"/>
    <w:basedOn w:val="DefaultParagraphFont"/>
    <w:link w:val="Heading9"/>
    <w:rsid w:val="009956BC"/>
    <w:rPr>
      <w:rFonts w:ascii="Arial" w:hAnsi="Arial"/>
      <w:i/>
      <w:sz w:val="18"/>
    </w:rPr>
  </w:style>
  <w:style w:type="character" w:customStyle="1" w:styleId="HeaderChar">
    <w:name w:val="Header Char"/>
    <w:basedOn w:val="DefaultParagraphFont"/>
    <w:link w:val="Header"/>
    <w:rsid w:val="009956BC"/>
    <w:rPr>
      <w:rFonts w:ascii="Arial" w:hAnsi="Arial"/>
      <w:lang w:val="fr-FR"/>
    </w:rPr>
  </w:style>
  <w:style w:type="character" w:customStyle="1" w:styleId="FooterChar">
    <w:name w:val="Footer Char"/>
    <w:aliases w:val="doc_path_name Char"/>
    <w:basedOn w:val="DefaultParagraphFont"/>
    <w:link w:val="Footer"/>
    <w:rsid w:val="005C2C74"/>
    <w:rPr>
      <w:rFonts w:ascii="Arial" w:hAnsi="Arial"/>
      <w:sz w:val="14"/>
    </w:rPr>
  </w:style>
  <w:style w:type="character" w:customStyle="1" w:styleId="TitleChar">
    <w:name w:val="Title Char"/>
    <w:basedOn w:val="DefaultParagraphFont"/>
    <w:link w:val="Title"/>
    <w:rsid w:val="009956BC"/>
    <w:rPr>
      <w:rFonts w:ascii="Arial" w:hAnsi="Arial"/>
      <w:b/>
      <w:caps/>
      <w:kern w:val="28"/>
      <w:sz w:val="30"/>
    </w:rPr>
  </w:style>
  <w:style w:type="character" w:customStyle="1" w:styleId="FootnoteTextChar">
    <w:name w:val="Footnote Text Char"/>
    <w:basedOn w:val="DefaultParagraphFont"/>
    <w:link w:val="FootnoteText"/>
    <w:rsid w:val="009956BC"/>
    <w:rPr>
      <w:rFonts w:ascii="Arial" w:hAnsi="Arial"/>
      <w:sz w:val="16"/>
    </w:rPr>
  </w:style>
  <w:style w:type="character" w:customStyle="1" w:styleId="ClosingChar">
    <w:name w:val="Closing Char"/>
    <w:basedOn w:val="DefaultParagraphFont"/>
    <w:link w:val="Closing"/>
    <w:rsid w:val="009956BC"/>
    <w:rPr>
      <w:rFonts w:ascii="Arial" w:hAnsi="Arial"/>
    </w:rPr>
  </w:style>
  <w:style w:type="character" w:customStyle="1" w:styleId="MacroTextChar">
    <w:name w:val="Macro Text Char"/>
    <w:basedOn w:val="DefaultParagraphFont"/>
    <w:link w:val="MacroText"/>
    <w:semiHidden/>
    <w:rsid w:val="009956BC"/>
    <w:rPr>
      <w:rFonts w:ascii="Courier New" w:hAnsi="Courier New"/>
      <w:sz w:val="16"/>
    </w:rPr>
  </w:style>
  <w:style w:type="character" w:customStyle="1" w:styleId="SignatureChar">
    <w:name w:val="Signature Char"/>
    <w:basedOn w:val="DefaultParagraphFont"/>
    <w:link w:val="Signature"/>
    <w:rsid w:val="009956BC"/>
    <w:rPr>
      <w:rFonts w:ascii="Arial" w:hAnsi="Arial"/>
    </w:rPr>
  </w:style>
  <w:style w:type="character" w:customStyle="1" w:styleId="BodyTextChar">
    <w:name w:val="Body Text Char"/>
    <w:basedOn w:val="DefaultParagraphFont"/>
    <w:link w:val="BodyText"/>
    <w:rsid w:val="009956BC"/>
    <w:rPr>
      <w:rFonts w:ascii="Arial" w:hAnsi="Arial"/>
    </w:rPr>
  </w:style>
  <w:style w:type="character" w:customStyle="1" w:styleId="EndnoteTextChar">
    <w:name w:val="Endnote Text Char"/>
    <w:basedOn w:val="DefaultParagraphFont"/>
    <w:link w:val="EndnoteText"/>
    <w:semiHidden/>
    <w:rsid w:val="009956BC"/>
    <w:rPr>
      <w:rFonts w:ascii="Arial" w:hAnsi="Arial"/>
    </w:rPr>
  </w:style>
  <w:style w:type="character" w:customStyle="1" w:styleId="DateChar">
    <w:name w:val="Date Char"/>
    <w:basedOn w:val="DefaultParagraphFont"/>
    <w:link w:val="Date"/>
    <w:semiHidden/>
    <w:rsid w:val="009956BC"/>
    <w:rPr>
      <w:rFonts w:ascii="Arial" w:hAnsi="Arial"/>
      <w:b/>
      <w:sz w:val="22"/>
    </w:rPr>
  </w:style>
  <w:style w:type="paragraph" w:customStyle="1" w:styleId="Sessiontwp">
    <w:name w:val="Session_twp"/>
    <w:basedOn w:val="Normal"/>
    <w:next w:val="Normal"/>
    <w:qFormat/>
    <w:rsid w:val="009956BC"/>
    <w:rPr>
      <w:b/>
    </w:rPr>
  </w:style>
  <w:style w:type="paragraph" w:customStyle="1" w:styleId="Sessiontwpplacedate">
    <w:name w:val="Session_twp_place_date"/>
    <w:basedOn w:val="Normal"/>
    <w:next w:val="Normal"/>
    <w:qFormat/>
    <w:rsid w:val="009956BC"/>
  </w:style>
  <w:style w:type="paragraph" w:styleId="ListParagraph">
    <w:name w:val="List Paragraph"/>
    <w:basedOn w:val="Normal"/>
    <w:uiPriority w:val="34"/>
    <w:qFormat/>
    <w:rsid w:val="009956BC"/>
    <w:pPr>
      <w:ind w:left="720"/>
      <w:contextualSpacing/>
    </w:pPr>
  </w:style>
  <w:style w:type="table" w:customStyle="1" w:styleId="TableGrid2">
    <w:name w:val="Table Grid2"/>
    <w:basedOn w:val="TableNormal"/>
    <w:next w:val="TableGrid"/>
    <w:uiPriority w:val="59"/>
    <w:rsid w:val="009956BC"/>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95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44336B"/>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64559">
      <w:bodyDiv w:val="1"/>
      <w:marLeft w:val="0"/>
      <w:marRight w:val="0"/>
      <w:marTop w:val="0"/>
      <w:marBottom w:val="0"/>
      <w:divBdr>
        <w:top w:val="none" w:sz="0" w:space="0" w:color="auto"/>
        <w:left w:val="none" w:sz="0" w:space="0" w:color="auto"/>
        <w:bottom w:val="none" w:sz="0" w:space="0" w:color="auto"/>
        <w:right w:val="none" w:sz="0" w:space="0" w:color="auto"/>
      </w:divBdr>
    </w:div>
    <w:div w:id="385494038">
      <w:bodyDiv w:val="1"/>
      <w:marLeft w:val="0"/>
      <w:marRight w:val="0"/>
      <w:marTop w:val="0"/>
      <w:marBottom w:val="0"/>
      <w:divBdr>
        <w:top w:val="none" w:sz="0" w:space="0" w:color="auto"/>
        <w:left w:val="none" w:sz="0" w:space="0" w:color="auto"/>
        <w:bottom w:val="none" w:sz="0" w:space="0" w:color="auto"/>
        <w:right w:val="none" w:sz="0" w:space="0" w:color="auto"/>
      </w:divBdr>
    </w:div>
    <w:div w:id="1327787466">
      <w:bodyDiv w:val="1"/>
      <w:marLeft w:val="0"/>
      <w:marRight w:val="0"/>
      <w:marTop w:val="0"/>
      <w:marBottom w:val="0"/>
      <w:divBdr>
        <w:top w:val="none" w:sz="0" w:space="0" w:color="auto"/>
        <w:left w:val="none" w:sz="0" w:space="0" w:color="auto"/>
        <w:bottom w:val="none" w:sz="0" w:space="0" w:color="auto"/>
        <w:right w:val="none" w:sz="0" w:space="0" w:color="auto"/>
      </w:divBdr>
    </w:div>
    <w:div w:id="1752893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wmf"/><Relationship Id="rId26" Type="http://schemas.openxmlformats.org/officeDocument/2006/relationships/image" Target="media/image10.wmf"/><Relationship Id="rId21" Type="http://schemas.openxmlformats.org/officeDocument/2006/relationships/image" Target="media/image5.wmf"/><Relationship Id="rId34"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image" Target="media/image9.wmf"/><Relationship Id="rId33"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wmf"/><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image" Target="media/image8.wmf"/><Relationship Id="rId32" Type="http://schemas.openxmlformats.org/officeDocument/2006/relationships/image" Target="media/image12.emf"/><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7.wmf"/><Relationship Id="rId28" Type="http://schemas.openxmlformats.org/officeDocument/2006/relationships/header" Target="header7.xml"/><Relationship Id="rId36" Type="http://schemas.openxmlformats.org/officeDocument/2006/relationships/fontTable" Target="fontTable.xml"/><Relationship Id="rId10" Type="http://schemas.openxmlformats.org/officeDocument/2006/relationships/hyperlink" Target="https://www.upov.int/meetings/fr/doc_details.jsp?meeting_id=48107&amp;doc_id=419311" TargetMode="External"/><Relationship Id="rId19" Type="http://schemas.openxmlformats.org/officeDocument/2006/relationships/image" Target="media/image3.wmf"/><Relationship Id="rId31"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hyperlink" Target="https://www.upov.int/edocs/mdocs/upov/fr/tc_54/tc_54_31.pdf" TargetMode="External"/><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image" Target="media/image11.wmf"/><Relationship Id="rId30" Type="http://schemas.openxmlformats.org/officeDocument/2006/relationships/header" Target="header9.xml"/><Relationship Id="rId35" Type="http://schemas.openxmlformats.org/officeDocument/2006/relationships/footer" Target="footer2.xml"/><Relationship Id="rId8" Type="http://schemas.openxmlformats.org/officeDocument/2006/relationships/hyperlink" Target="http://www.upov.int/upov_collection/fr/"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10816</Words>
  <Characters>62488</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TC/55/4</vt:lpstr>
    </vt:vector>
  </TitlesOfParts>
  <Company>UPOV</Company>
  <LinksUpToDate>false</LinksUpToDate>
  <CharactersWithSpaces>73158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TC/55/4</dc:title>
  <dc:subject/>
  <dc:creator>SANCHEZ VIZCAINO GOMEZ Rosa Maria</dc:creator>
  <cp:keywords/>
  <dc:description/>
  <cp:lastModifiedBy>MAY Jessica</cp:lastModifiedBy>
  <cp:revision>24</cp:revision>
  <cp:lastPrinted>2019-10-14T06:57:00Z</cp:lastPrinted>
  <dcterms:created xsi:type="dcterms:W3CDTF">2019-10-22T13:52:00Z</dcterms:created>
  <dcterms:modified xsi:type="dcterms:W3CDTF">2019-10-22T15:01:00Z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f3ef9385-e4eb-4288-853d-ffed49f6bead</vt:lpwstr>
  </property>
</Properties>
</file>