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0"/>
        <w:gridCol w:w="3025"/>
      </w:tblGrid>
      <w:tr w:rsidR="00B535ED" w:rsidRPr="00815738" w14:paraId="2DCB3927" w14:textId="77777777" w:rsidTr="00703514">
        <w:tc>
          <w:tcPr>
            <w:tcW w:w="6522" w:type="dxa"/>
          </w:tcPr>
          <w:p w14:paraId="4F498319" w14:textId="77777777" w:rsidR="00B535ED" w:rsidRPr="00AC2883" w:rsidRDefault="00B535ED" w:rsidP="00703514">
            <w:bookmarkStart w:id="0" w:name="TitleOfDoc"/>
            <w:bookmarkEnd w:id="0"/>
            <w:r w:rsidRPr="00D250C5">
              <w:rPr>
                <w:noProof/>
                <w:lang w:val="en-US"/>
              </w:rPr>
              <w:drawing>
                <wp:inline distT="0" distB="0" distL="0" distR="0" wp14:anchorId="42EF1EF4" wp14:editId="6A8358A5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23747D3" w14:textId="77777777" w:rsidR="00B535ED" w:rsidRPr="007C1D92" w:rsidRDefault="00B535ED" w:rsidP="00703514">
            <w:pPr>
              <w:pStyle w:val="Lettrine"/>
            </w:pPr>
            <w:r>
              <w:t>F</w:t>
            </w:r>
          </w:p>
        </w:tc>
      </w:tr>
      <w:tr w:rsidR="00B535ED" w:rsidRPr="00DA4973" w14:paraId="4996C114" w14:textId="77777777" w:rsidTr="00703514">
        <w:trPr>
          <w:trHeight w:val="219"/>
        </w:trPr>
        <w:tc>
          <w:tcPr>
            <w:tcW w:w="6522" w:type="dxa"/>
          </w:tcPr>
          <w:p w14:paraId="685C5C4A" w14:textId="77777777" w:rsidR="00B535ED" w:rsidRPr="00AC2883" w:rsidRDefault="00B535ED" w:rsidP="00703514">
            <w:pPr>
              <w:pStyle w:val="upove"/>
            </w:pPr>
            <w:r w:rsidRPr="00AC2883">
              <w:t xml:space="preserve">Union </w:t>
            </w:r>
            <w:r>
              <w:t>i</w:t>
            </w:r>
            <w:r w:rsidRPr="00AC2883">
              <w:t>nternational</w:t>
            </w:r>
            <w:r>
              <w:t>e</w:t>
            </w:r>
            <w:r w:rsidRPr="00AC2883">
              <w:t xml:space="preserve"> </w:t>
            </w:r>
            <w:r>
              <w:t>pour la protection des obtentions végétales</w:t>
            </w:r>
          </w:p>
        </w:tc>
        <w:tc>
          <w:tcPr>
            <w:tcW w:w="3117" w:type="dxa"/>
          </w:tcPr>
          <w:p w14:paraId="3A4D7BE5" w14:textId="77777777" w:rsidR="00B535ED" w:rsidRPr="00DA4973" w:rsidRDefault="00B535ED" w:rsidP="00703514"/>
        </w:tc>
      </w:tr>
    </w:tbl>
    <w:p w14:paraId="377A01A5" w14:textId="77777777" w:rsidR="00B535ED" w:rsidRDefault="00B535ED" w:rsidP="00B535ED"/>
    <w:p w14:paraId="5E9DE790" w14:textId="77777777" w:rsidR="00B535ED" w:rsidRPr="00365DC1" w:rsidRDefault="00B535ED" w:rsidP="00B535ED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320"/>
        <w:gridCol w:w="3035"/>
      </w:tblGrid>
      <w:tr w:rsidR="00B535ED" w:rsidRPr="00C5280D" w14:paraId="186A5943" w14:textId="77777777" w:rsidTr="00703514">
        <w:tc>
          <w:tcPr>
            <w:tcW w:w="6512" w:type="dxa"/>
          </w:tcPr>
          <w:p w14:paraId="6AC96A3C" w14:textId="77777777" w:rsidR="00B535ED" w:rsidRPr="00AC2883" w:rsidRDefault="00B535ED" w:rsidP="00703514">
            <w:pPr>
              <w:pStyle w:val="Sessiontc"/>
              <w:spacing w:line="240" w:lineRule="auto"/>
            </w:pPr>
            <w:r>
              <w:t>Comité technique</w:t>
            </w:r>
          </w:p>
          <w:p w14:paraId="4BFD615A" w14:textId="77777777" w:rsidR="00B535ED" w:rsidRPr="00DC3802" w:rsidRDefault="00B535ED" w:rsidP="00703514">
            <w:pPr>
              <w:pStyle w:val="Sessiontcplacedate"/>
              <w:rPr>
                <w:sz w:val="22"/>
              </w:rPr>
            </w:pPr>
            <w:r>
              <w:t>Cinquante-cinquième s</w:t>
            </w:r>
            <w:r w:rsidRPr="00DA4973">
              <w:t>ession</w:t>
            </w:r>
            <w:r w:rsidRPr="00DA4973">
              <w:br/>
              <w:t>Gen</w:t>
            </w:r>
            <w:r>
              <w:t>è</w:t>
            </w:r>
            <w:r w:rsidRPr="00DA4973">
              <w:t>v</w:t>
            </w:r>
            <w:r>
              <w:t>e</w:t>
            </w:r>
            <w:r w:rsidRPr="00DA4973">
              <w:t xml:space="preserve">, </w:t>
            </w:r>
            <w:r>
              <w:t>28 et 29 octobre 2019</w:t>
            </w:r>
          </w:p>
        </w:tc>
        <w:tc>
          <w:tcPr>
            <w:tcW w:w="3127" w:type="dxa"/>
          </w:tcPr>
          <w:p w14:paraId="528CA6B7" w14:textId="77777777" w:rsidR="00B535ED" w:rsidRPr="00A90B64" w:rsidRDefault="00B535ED" w:rsidP="00703514">
            <w:pPr>
              <w:pStyle w:val="Doccode"/>
              <w:rPr>
                <w:lang w:val="fr-CH"/>
              </w:rPr>
            </w:pPr>
            <w:r w:rsidRPr="00A90B64">
              <w:rPr>
                <w:lang w:val="fr-CH"/>
              </w:rPr>
              <w:t>TC/55/</w:t>
            </w:r>
            <w:r>
              <w:rPr>
                <w:lang w:val="fr-CH"/>
              </w:rPr>
              <w:t>3 </w:t>
            </w:r>
            <w:proofErr w:type="spellStart"/>
            <w:r>
              <w:rPr>
                <w:lang w:val="fr-CH"/>
              </w:rPr>
              <w:t>Add</w:t>
            </w:r>
            <w:proofErr w:type="spellEnd"/>
            <w:r>
              <w:rPr>
                <w:lang w:val="fr-CH"/>
              </w:rPr>
              <w:t>.</w:t>
            </w:r>
          </w:p>
          <w:p w14:paraId="78E49F55" w14:textId="77777777" w:rsidR="00B535ED" w:rsidRPr="003C7FBE" w:rsidRDefault="00B535ED" w:rsidP="00703514">
            <w:pPr>
              <w:pStyle w:val="Docoriginal"/>
            </w:pPr>
            <w:r w:rsidRPr="00AC2883">
              <w:t>Original</w:t>
            </w:r>
            <w:r>
              <w:t> </w:t>
            </w:r>
            <w:r w:rsidRPr="00AC2883">
              <w:t>:</w:t>
            </w:r>
            <w:r>
              <w:rPr>
                <w:b w:val="0"/>
                <w:spacing w:val="0"/>
              </w:rPr>
              <w:t xml:space="preserve"> anglais</w:t>
            </w:r>
          </w:p>
          <w:p w14:paraId="75C16C72" w14:textId="77777777" w:rsidR="00B535ED" w:rsidRPr="007C1D92" w:rsidRDefault="00B535ED" w:rsidP="00703514">
            <w:pPr>
              <w:pStyle w:val="Docoriginal"/>
            </w:pPr>
            <w:r w:rsidRPr="00AC2883">
              <w:t>Date</w:t>
            </w:r>
            <w:r>
              <w:t> </w:t>
            </w:r>
            <w:r w:rsidRPr="00AC2883">
              <w:t>:</w:t>
            </w:r>
            <w:r>
              <w:rPr>
                <w:b w:val="0"/>
                <w:spacing w:val="0"/>
              </w:rPr>
              <w:t xml:space="preserve"> 21 octobre 2019</w:t>
            </w:r>
          </w:p>
        </w:tc>
      </w:tr>
    </w:tbl>
    <w:p w14:paraId="3EEC5D8A" w14:textId="73BD4089" w:rsidR="000D7780" w:rsidRPr="006A644A" w:rsidRDefault="00222950" w:rsidP="006A644A">
      <w:pPr>
        <w:pStyle w:val="Titleofdoc0"/>
      </w:pPr>
      <w:r>
        <w:t>Additif aux questions soulev</w:t>
      </w:r>
      <w:r w:rsidR="005B317F">
        <w:t>É</w:t>
      </w:r>
      <w:r>
        <w:t>es par les groupes de travail techniques</w:t>
      </w:r>
    </w:p>
    <w:p w14:paraId="3EEC5D8B" w14:textId="16A283D2" w:rsidR="006A644A" w:rsidRPr="006A644A" w:rsidRDefault="00AE0EF1" w:rsidP="006A644A">
      <w:pPr>
        <w:pStyle w:val="preparedby1"/>
        <w:jc w:val="left"/>
      </w:pPr>
      <w:bookmarkStart w:id="1" w:name="Prepared"/>
      <w:bookmarkEnd w:id="1"/>
      <w:r>
        <w:t>Document établi par le Bureau de l</w:t>
      </w:r>
      <w:r w:rsidR="00040EBF">
        <w:t>’</w:t>
      </w:r>
      <w:r>
        <w:t>Union</w:t>
      </w:r>
    </w:p>
    <w:p w14:paraId="3EEC5D8C" w14:textId="3849DB3A" w:rsidR="00050E16" w:rsidRPr="006A644A" w:rsidRDefault="00050E16" w:rsidP="006A644A">
      <w:pPr>
        <w:pStyle w:val="Disclaimer"/>
      </w:pPr>
      <w:r>
        <w:t>Avertissement</w:t>
      </w:r>
      <w:r w:rsidR="00040EBF">
        <w:t> :</w:t>
      </w:r>
      <w:r>
        <w:t xml:space="preserve"> le présent document ne représente pas les principes ou les orientations de l</w:t>
      </w:r>
      <w:r w:rsidR="00040EBF">
        <w:t>’</w:t>
      </w:r>
      <w:r>
        <w:t>UPOV</w:t>
      </w:r>
    </w:p>
    <w:p w14:paraId="3EEC5D8D" w14:textId="4A79A865" w:rsidR="00222950" w:rsidRDefault="00222950" w:rsidP="00222950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>Cet additif a pour objet de présenter</w:t>
      </w:r>
      <w:r>
        <w:t xml:space="preserve"> les questions soulevées lors des sessions </w:t>
      </w:r>
      <w:r w:rsidR="00040EBF">
        <w:t>de 2019</w:t>
      </w:r>
      <w:r>
        <w:t xml:space="preserve"> du </w:t>
      </w:r>
      <w:r>
        <w:rPr>
          <w:snapToGrid w:val="0"/>
        </w:rPr>
        <w:t>Groupe de travail technique sur les systèmes d</w:t>
      </w:r>
      <w:r w:rsidR="00040EBF">
        <w:rPr>
          <w:snapToGrid w:val="0"/>
        </w:rPr>
        <w:t>’</w:t>
      </w:r>
      <w:r>
        <w:rPr>
          <w:snapToGrid w:val="0"/>
        </w:rPr>
        <w:t>automatisation et les programmes d</w:t>
      </w:r>
      <w:r w:rsidR="00040EBF">
        <w:rPr>
          <w:snapToGrid w:val="0"/>
        </w:rPr>
        <w:t>’</w:t>
      </w:r>
      <w:r>
        <w:rPr>
          <w:snapToGrid w:val="0"/>
        </w:rPr>
        <w:t>ordinateur (TWC) et du Groupe de travail sur les techniques biochimiques et moléculaires, notamment les profils d</w:t>
      </w:r>
      <w:r w:rsidR="00040EBF">
        <w:rPr>
          <w:snapToGrid w:val="0"/>
        </w:rPr>
        <w:t>’</w:t>
      </w:r>
      <w:r>
        <w:rPr>
          <w:snapToGrid w:val="0"/>
        </w:rPr>
        <w:t>ADN (BMT)</w:t>
      </w:r>
      <w:r>
        <w:t xml:space="preserve"> qui ne relèvent pas expressément d</w:t>
      </w:r>
      <w:r w:rsidR="00040EBF">
        <w:t>’</w:t>
      </w:r>
      <w:r>
        <w:t>un point spécifique de l</w:t>
      </w:r>
      <w:r w:rsidR="00040EBF">
        <w:t>’</w:t>
      </w:r>
      <w:r>
        <w:t>ordre du jour.</w:t>
      </w:r>
    </w:p>
    <w:p w14:paraId="3EEC5D8E" w14:textId="77777777" w:rsidR="004B345C" w:rsidRDefault="004B345C" w:rsidP="004B345C"/>
    <w:p w14:paraId="3EEC5D8F" w14:textId="415FC320" w:rsidR="004B345C" w:rsidRDefault="004B345C" w:rsidP="004B345C">
      <w:pPr>
        <w:pStyle w:val="Heading2"/>
        <w:rPr>
          <w:snapToGrid w:val="0"/>
        </w:rPr>
      </w:pPr>
      <w:r>
        <w:rPr>
          <w:snapToGrid w:val="0"/>
        </w:rPr>
        <w:t>Évaluation de l</w:t>
      </w:r>
      <w:r w:rsidR="00040EBF">
        <w:rPr>
          <w:snapToGrid w:val="0"/>
        </w:rPr>
        <w:t>’</w:t>
      </w:r>
      <w:r>
        <w:rPr>
          <w:snapToGrid w:val="0"/>
        </w:rPr>
        <w:t>homogénéité au moyen des plantes hors</w:t>
      </w:r>
      <w:r w:rsidR="00040EBF">
        <w:rPr>
          <w:snapToGrid w:val="0"/>
        </w:rPr>
        <w:t>-</w:t>
      </w:r>
      <w:r>
        <w:rPr>
          <w:snapToGrid w:val="0"/>
        </w:rPr>
        <w:t>type</w:t>
      </w:r>
    </w:p>
    <w:p w14:paraId="51E45EFA" w14:textId="77777777" w:rsidR="00040EBF" w:rsidRDefault="00040EBF" w:rsidP="004B345C">
      <w:pPr>
        <w:rPr>
          <w:snapToGrid w:val="0"/>
        </w:rPr>
      </w:pPr>
    </w:p>
    <w:p w14:paraId="3EEC5D91" w14:textId="4C068F21" w:rsidR="004B345C" w:rsidRPr="00934E5E" w:rsidRDefault="004B345C" w:rsidP="004B345C">
      <w:pPr>
        <w:rPr>
          <w:lang w:val="en-US"/>
        </w:rPr>
      </w:pPr>
      <w:r w:rsidRPr="00A108B4">
        <w:fldChar w:fldCharType="begin"/>
      </w:r>
      <w:r w:rsidRPr="00934E5E">
        <w:rPr>
          <w:lang w:val="en-US"/>
        </w:rPr>
        <w:instrText xml:space="preserve"> AUTONUM  </w:instrText>
      </w:r>
      <w:r w:rsidRPr="00A108B4">
        <w:fldChar w:fldCharType="end"/>
      </w:r>
      <w:r w:rsidRPr="00934E5E">
        <w:rPr>
          <w:lang w:val="en-US"/>
        </w:rPr>
        <w:tab/>
        <w:t xml:space="preserve">Le TWC a </w:t>
      </w:r>
      <w:proofErr w:type="spellStart"/>
      <w:r w:rsidRPr="00934E5E">
        <w:rPr>
          <w:lang w:val="en-US"/>
        </w:rPr>
        <w:t>examiné</w:t>
      </w:r>
      <w:proofErr w:type="spellEnd"/>
      <w:r w:rsidRPr="00934E5E">
        <w:rPr>
          <w:lang w:val="en-US"/>
        </w:rPr>
        <w:t xml:space="preserve"> le document</w:t>
      </w:r>
      <w:r w:rsidR="006C3B23">
        <w:rPr>
          <w:lang w:val="en-US"/>
        </w:rPr>
        <w:t> </w:t>
      </w:r>
      <w:r w:rsidRPr="00934E5E">
        <w:rPr>
          <w:lang w:val="en-US"/>
        </w:rPr>
        <w:t xml:space="preserve">TWC/37/5 </w:t>
      </w:r>
      <w:proofErr w:type="spellStart"/>
      <w:r w:rsidRPr="00934E5E">
        <w:rPr>
          <w:lang w:val="en-US"/>
        </w:rPr>
        <w:t>intitulé</w:t>
      </w:r>
      <w:proofErr w:type="spellEnd"/>
      <w:r w:rsidRPr="00934E5E">
        <w:rPr>
          <w:lang w:val="en-US"/>
        </w:rPr>
        <w:t xml:space="preserve"> </w:t>
      </w:r>
      <w:r w:rsidRPr="004329BD">
        <w:rPr>
          <w:i/>
          <w:snapToGrid w:val="0"/>
          <w:lang w:val="en-US"/>
        </w:rPr>
        <w:t>“</w:t>
      </w:r>
      <w:r w:rsidR="00934E5E" w:rsidRPr="004329BD">
        <w:rPr>
          <w:i/>
          <w:snapToGrid w:val="0"/>
          <w:lang w:val="en-US"/>
        </w:rPr>
        <w:t>Risks associated with assessment of uniformity by off</w:t>
      </w:r>
      <w:r w:rsidR="00040EBF" w:rsidRPr="004329BD">
        <w:rPr>
          <w:i/>
          <w:snapToGrid w:val="0"/>
          <w:lang w:val="en-US"/>
        </w:rPr>
        <w:t>-</w:t>
      </w:r>
      <w:r w:rsidR="00934E5E" w:rsidRPr="004329BD">
        <w:rPr>
          <w:i/>
          <w:snapToGrid w:val="0"/>
          <w:lang w:val="en-US"/>
        </w:rPr>
        <w:t>types on the basis of more than one growing cycle</w:t>
      </w:r>
      <w:r w:rsidRPr="004329BD">
        <w:rPr>
          <w:i/>
          <w:snapToGrid w:val="0"/>
          <w:lang w:val="en-US"/>
        </w:rPr>
        <w:t>”</w:t>
      </w:r>
      <w:r w:rsidRPr="00934E5E">
        <w:rPr>
          <w:lang w:val="en-US"/>
        </w:rPr>
        <w:t xml:space="preserve"> (</w:t>
      </w:r>
      <w:proofErr w:type="spellStart"/>
      <w:r w:rsidRPr="00934E5E">
        <w:rPr>
          <w:lang w:val="en-US"/>
        </w:rPr>
        <w:t>voir</w:t>
      </w:r>
      <w:proofErr w:type="spellEnd"/>
      <w:r w:rsidRPr="00934E5E">
        <w:rPr>
          <w:lang w:val="en-US"/>
        </w:rPr>
        <w:t xml:space="preserve"> document TWC/37/12 </w:t>
      </w:r>
      <w:r w:rsidRPr="004329BD">
        <w:rPr>
          <w:i/>
          <w:lang w:val="en-US"/>
        </w:rPr>
        <w:t>“</w:t>
      </w:r>
      <w:r w:rsidR="00934E5E" w:rsidRPr="004329BD">
        <w:rPr>
          <w:i/>
          <w:lang w:val="en-US"/>
        </w:rPr>
        <w:t>Report</w:t>
      </w:r>
      <w:r w:rsidRPr="004329BD">
        <w:rPr>
          <w:i/>
          <w:lang w:val="en-US"/>
        </w:rPr>
        <w:t>”</w:t>
      </w:r>
      <w:r w:rsidRPr="00934E5E">
        <w:rPr>
          <w:lang w:val="en-US"/>
        </w:rPr>
        <w:t xml:space="preserve">, </w:t>
      </w:r>
      <w:proofErr w:type="spellStart"/>
      <w:r w:rsidRPr="00934E5E">
        <w:rPr>
          <w:lang w:val="en-US"/>
        </w:rPr>
        <w:t>paragraphes</w:t>
      </w:r>
      <w:proofErr w:type="spellEnd"/>
      <w:r w:rsidRPr="00934E5E">
        <w:rPr>
          <w:lang w:val="en-US"/>
        </w:rPr>
        <w:t> 11 à 16).</w:t>
      </w:r>
    </w:p>
    <w:p w14:paraId="3EEC5D92" w14:textId="77777777" w:rsidR="004B345C" w:rsidRPr="00934E5E" w:rsidRDefault="004B345C" w:rsidP="004B345C">
      <w:pPr>
        <w:rPr>
          <w:lang w:val="en-US"/>
        </w:rPr>
      </w:pPr>
    </w:p>
    <w:p w14:paraId="3EEC5D93" w14:textId="4E172158" w:rsidR="004B345C" w:rsidRDefault="004B345C" w:rsidP="004B345C">
      <w:r>
        <w:fldChar w:fldCharType="begin"/>
      </w:r>
      <w:r w:rsidRPr="007E6870">
        <w:rPr>
          <w:lang w:val="en-US"/>
        </w:rPr>
        <w:instrText xml:space="preserve"> AUTONUM  </w:instrText>
      </w:r>
      <w:r>
        <w:fldChar w:fldCharType="end"/>
      </w:r>
      <w:r w:rsidRPr="007E6870">
        <w:rPr>
          <w:lang w:val="en-US"/>
        </w:rPr>
        <w:tab/>
        <w:t xml:space="preserve">Le TWC </w:t>
      </w:r>
      <w:r w:rsidR="0090208B" w:rsidRPr="007E6870">
        <w:rPr>
          <w:lang w:val="en-US"/>
        </w:rPr>
        <w:t>a</w:t>
      </w:r>
      <w:r w:rsidR="00351644" w:rsidRPr="007E6870">
        <w:rPr>
          <w:lang w:val="en-US"/>
        </w:rPr>
        <w:t xml:space="preserve"> </w:t>
      </w:r>
      <w:proofErr w:type="spellStart"/>
      <w:r w:rsidR="00351644" w:rsidRPr="007E6870">
        <w:rPr>
          <w:lang w:val="en-US"/>
        </w:rPr>
        <w:t>assisté</w:t>
      </w:r>
      <w:proofErr w:type="spellEnd"/>
      <w:r w:rsidR="00351644" w:rsidRPr="007E6870">
        <w:rPr>
          <w:lang w:val="en-US"/>
        </w:rPr>
        <w:t xml:space="preserve"> à </w:t>
      </w:r>
      <w:proofErr w:type="spellStart"/>
      <w:r w:rsidRPr="007E6870">
        <w:rPr>
          <w:lang w:val="en-US"/>
        </w:rPr>
        <w:t>une</w:t>
      </w:r>
      <w:proofErr w:type="spellEnd"/>
      <w:r w:rsidRPr="007E6870">
        <w:rPr>
          <w:lang w:val="en-US"/>
        </w:rPr>
        <w:t xml:space="preserve"> </w:t>
      </w:r>
      <w:proofErr w:type="spellStart"/>
      <w:r w:rsidRPr="007E6870">
        <w:rPr>
          <w:lang w:val="en-US"/>
        </w:rPr>
        <w:t>présentation</w:t>
      </w:r>
      <w:proofErr w:type="spellEnd"/>
      <w:r w:rsidRPr="007E6870">
        <w:rPr>
          <w:lang w:val="en-US"/>
        </w:rPr>
        <w:t xml:space="preserve"> </w:t>
      </w:r>
      <w:proofErr w:type="spellStart"/>
      <w:r w:rsidR="007E6870" w:rsidRPr="007E6870">
        <w:rPr>
          <w:lang w:val="en-US"/>
        </w:rPr>
        <w:t>intitulée</w:t>
      </w:r>
      <w:proofErr w:type="spellEnd"/>
      <w:r w:rsidRPr="007E6870">
        <w:rPr>
          <w:lang w:val="en-US"/>
        </w:rPr>
        <w:t xml:space="preserve"> </w:t>
      </w:r>
      <w:r w:rsidRPr="004329BD">
        <w:rPr>
          <w:i/>
          <w:lang w:val="en-US"/>
        </w:rPr>
        <w:t>“</w:t>
      </w:r>
      <w:r w:rsidR="007E6870" w:rsidRPr="004329BD">
        <w:rPr>
          <w:i/>
          <w:lang w:val="en-US"/>
        </w:rPr>
        <w:t>Assessing uniformity by off</w:t>
      </w:r>
      <w:r w:rsidR="00040EBF" w:rsidRPr="004329BD">
        <w:rPr>
          <w:i/>
          <w:lang w:val="en-US"/>
        </w:rPr>
        <w:t>-</w:t>
      </w:r>
      <w:r w:rsidR="007E6870" w:rsidRPr="004329BD">
        <w:rPr>
          <w:i/>
          <w:lang w:val="en-US"/>
        </w:rPr>
        <w:t>types: Calculator for number of off</w:t>
      </w:r>
      <w:r w:rsidR="00040EBF" w:rsidRPr="004329BD">
        <w:rPr>
          <w:i/>
          <w:lang w:val="en-US"/>
        </w:rPr>
        <w:t>-</w:t>
      </w:r>
      <w:r w:rsidR="007E6870" w:rsidRPr="004329BD">
        <w:rPr>
          <w:i/>
          <w:lang w:val="en-US"/>
        </w:rPr>
        <w:t>types and risks</w:t>
      </w:r>
      <w:r w:rsidRPr="004329BD">
        <w:rPr>
          <w:i/>
          <w:lang w:val="en-US"/>
        </w:rPr>
        <w:t>”</w:t>
      </w:r>
      <w:r w:rsidRPr="007E6870">
        <w:rPr>
          <w:lang w:val="en-US"/>
        </w:rPr>
        <w:t xml:space="preserve">.  </w:t>
      </w:r>
      <w:r>
        <w:t xml:space="preserve">Une copie de cette présentation </w:t>
      </w:r>
      <w:r w:rsidR="00351644">
        <w:t>figure</w:t>
      </w:r>
      <w:r>
        <w:t xml:space="preserve"> à l</w:t>
      </w:r>
      <w:r w:rsidR="00040EBF">
        <w:t>’</w:t>
      </w:r>
      <w:r>
        <w:t xml:space="preserve">annexe I du </w:t>
      </w:r>
      <w:r w:rsidR="00040EBF">
        <w:t>document</w:t>
      </w:r>
      <w:r w:rsidR="006C3B23">
        <w:t> </w:t>
      </w:r>
      <w:r w:rsidR="00040EBF">
        <w:t>TW</w:t>
      </w:r>
      <w:r>
        <w:t>C/37/5.</w:t>
      </w:r>
    </w:p>
    <w:p w14:paraId="3EEC5D94" w14:textId="77777777" w:rsidR="004B345C" w:rsidRDefault="004B345C" w:rsidP="004B345C"/>
    <w:p w14:paraId="7E066BC9" w14:textId="625CBE54" w:rsidR="00040EBF" w:rsidRDefault="004B345C" w:rsidP="004B345C">
      <w:r w:rsidRPr="00A108B4">
        <w:fldChar w:fldCharType="begin"/>
      </w:r>
      <w:r w:rsidRPr="00A108B4">
        <w:instrText xml:space="preserve"> AUTONUM  </w:instrText>
      </w:r>
      <w:r w:rsidRPr="00A108B4">
        <w:fldChar w:fldCharType="end"/>
      </w:r>
      <w:r>
        <w:tab/>
        <w:t>Le TWC a constaté qu</w:t>
      </w:r>
      <w:r w:rsidR="00040EBF">
        <w:t>’</w:t>
      </w:r>
      <w:r>
        <w:t>un logiciel avait été mis au point grâce à Excel pour calculer le nombre de plantes hors</w:t>
      </w:r>
      <w:r w:rsidR="00040EBF">
        <w:t>-</w:t>
      </w:r>
      <w:r>
        <w:t>type et de risques associés à l</w:t>
      </w:r>
      <w:r w:rsidR="00040EBF">
        <w:t>’</w:t>
      </w:r>
      <w:r>
        <w:t>évaluation de l</w:t>
      </w:r>
      <w:r w:rsidR="00040EBF">
        <w:t>’</w:t>
      </w:r>
      <w:r>
        <w:t>homogénéité au moyen des plantes hors</w:t>
      </w:r>
      <w:r w:rsidR="00040EBF">
        <w:t>-</w:t>
      </w:r>
      <w:r>
        <w:t>type sur la base de plusieurs cycles de croissance, comme le montre l</w:t>
      </w:r>
      <w:r w:rsidR="00040EBF">
        <w:t>’</w:t>
      </w:r>
      <w:r>
        <w:t xml:space="preserve">annexe II du </w:t>
      </w:r>
      <w:r w:rsidR="00040EBF">
        <w:t>document</w:t>
      </w:r>
      <w:r w:rsidR="006C3B23">
        <w:t> </w:t>
      </w:r>
      <w:r w:rsidR="00040EBF">
        <w:t>TW</w:t>
      </w:r>
      <w:r>
        <w:t>C/37/5.</w:t>
      </w:r>
    </w:p>
    <w:p w14:paraId="3EEC5D96" w14:textId="411C8426" w:rsidR="004B345C" w:rsidRDefault="004B345C" w:rsidP="004B345C"/>
    <w:p w14:paraId="3EEC5D97" w14:textId="648361DA" w:rsidR="004B345C" w:rsidRPr="00A108B4" w:rsidRDefault="004B345C" w:rsidP="004B345C">
      <w:r w:rsidRPr="00A108B4">
        <w:fldChar w:fldCharType="begin"/>
      </w:r>
      <w:r w:rsidRPr="00A108B4">
        <w:instrText xml:space="preserve"> AUTONUM  </w:instrText>
      </w:r>
      <w:r w:rsidRPr="00A108B4">
        <w:fldChar w:fldCharType="end"/>
      </w:r>
      <w:r>
        <w:tab/>
        <w:t>Le TWC s</w:t>
      </w:r>
      <w:r w:rsidR="00040EBF">
        <w:t>’</w:t>
      </w:r>
      <w:r>
        <w:t>est félicité de l</w:t>
      </w:r>
      <w:r w:rsidR="00040EBF">
        <w:t>’</w:t>
      </w:r>
      <w:r>
        <w:t>existence d</w:t>
      </w:r>
      <w:r w:rsidR="00040EBF">
        <w:t>’</w:t>
      </w:r>
      <w:r>
        <w:t>un logiciel permettant de déterminer le nombre maximum de plantes hors</w:t>
      </w:r>
      <w:r w:rsidR="00040EBF">
        <w:t>-</w:t>
      </w:r>
      <w:r>
        <w:t>type, à la fois lorsque la probabilité d</w:t>
      </w:r>
      <w:r w:rsidR="00040EBF">
        <w:t>’</w:t>
      </w:r>
      <w:r>
        <w:t>acceptation s</w:t>
      </w:r>
      <w:r w:rsidR="00040EBF">
        <w:t>’</w:t>
      </w:r>
      <w:r>
        <w:t>applique à chaque cycle séparément ou lors de l</w:t>
      </w:r>
      <w:r w:rsidR="00040EBF">
        <w:t>’</w:t>
      </w:r>
      <w:r>
        <w:t>examen sur deux</w:t>
      </w:r>
      <w:r w:rsidR="0057121B">
        <w:t> </w:t>
      </w:r>
      <w:r>
        <w:t>cycles.</w:t>
      </w:r>
    </w:p>
    <w:p w14:paraId="3EEC5D98" w14:textId="77777777" w:rsidR="004B345C" w:rsidRDefault="004B345C" w:rsidP="004B345C"/>
    <w:p w14:paraId="3EEC5D99" w14:textId="1175A128" w:rsidR="004B345C" w:rsidRPr="00A108B4" w:rsidRDefault="004B345C" w:rsidP="004B345C">
      <w:r w:rsidRPr="00A108B4">
        <w:fldChar w:fldCharType="begin"/>
      </w:r>
      <w:r w:rsidRPr="00A108B4">
        <w:instrText xml:space="preserve"> AUTONUM  </w:instrText>
      </w:r>
      <w:r w:rsidRPr="00A108B4">
        <w:fldChar w:fldCharType="end"/>
      </w:r>
      <w:r>
        <w:tab/>
        <w:t>Le TWC est convenu de proposer l</w:t>
      </w:r>
      <w:r w:rsidR="00040EBF">
        <w:t>’</w:t>
      </w:r>
      <w:r>
        <w:t>ajout d</w:t>
      </w:r>
      <w:r w:rsidR="00040EBF">
        <w:t>’</w:t>
      </w:r>
      <w:r>
        <w:t>une phrase au document</w:t>
      </w:r>
      <w:r w:rsidR="006C3B23">
        <w:t> </w:t>
      </w:r>
      <w:r>
        <w:t>TGP/8 afin d</w:t>
      </w:r>
      <w:r w:rsidR="00040EBF">
        <w:t>’</w:t>
      </w:r>
      <w:r>
        <w:t>expliquer que le logiciel permet de calculer le nombre de plantes hors</w:t>
      </w:r>
      <w:r w:rsidR="00040EBF">
        <w:t>-</w:t>
      </w:r>
      <w:r>
        <w:t>type pour une combinaison de cycles de croissance.</w:t>
      </w:r>
    </w:p>
    <w:p w14:paraId="3EEC5D9A" w14:textId="77777777" w:rsidR="004B345C" w:rsidRPr="00A108B4" w:rsidRDefault="004B345C" w:rsidP="004B345C"/>
    <w:p w14:paraId="6362F979" w14:textId="7C7450CB" w:rsidR="00040EBF" w:rsidRDefault="004B345C" w:rsidP="004B345C">
      <w:r w:rsidRPr="00A108B4">
        <w:fldChar w:fldCharType="begin"/>
      </w:r>
      <w:r w:rsidRPr="00A108B4">
        <w:instrText xml:space="preserve"> AUTONUM  </w:instrText>
      </w:r>
      <w:r w:rsidRPr="00A108B4">
        <w:fldChar w:fldCharType="end"/>
      </w:r>
      <w:r>
        <w:tab/>
        <w:t>Le TWC est convenu de proposer d</w:t>
      </w:r>
      <w:r w:rsidR="00040EBF">
        <w:t>’</w:t>
      </w:r>
      <w:r>
        <w:t>offrir le logiciel au téléchargement sur le site</w:t>
      </w:r>
      <w:r w:rsidR="0057121B">
        <w:t> </w:t>
      </w:r>
      <w:r>
        <w:t>Web de l</w:t>
      </w:r>
      <w:r w:rsidR="00040EBF">
        <w:t>’</w:t>
      </w:r>
      <w:r>
        <w:t>UPOV.</w:t>
      </w:r>
    </w:p>
    <w:p w14:paraId="3EEC5D9C" w14:textId="5761F0E2" w:rsidR="004B345C" w:rsidRDefault="004B345C" w:rsidP="004B345C"/>
    <w:p w14:paraId="3EEC5D9D" w14:textId="06C2CCD8" w:rsidR="004B345C" w:rsidRDefault="004B345C" w:rsidP="004B345C">
      <w:pPr>
        <w:pStyle w:val="Heading2"/>
      </w:pPr>
      <w:r>
        <w:rPr>
          <w:snapToGrid w:val="0"/>
        </w:rPr>
        <w:t>Expérience en matière d</w:t>
      </w:r>
      <w:r w:rsidR="00040EBF">
        <w:rPr>
          <w:snapToGrid w:val="0"/>
        </w:rPr>
        <w:t>’</w:t>
      </w:r>
      <w:r>
        <w:rPr>
          <w:snapToGrid w:val="0"/>
        </w:rPr>
        <w:t>utilisation de deux</w:t>
      </w:r>
      <w:r w:rsidR="0057121B">
        <w:rPr>
          <w:snapToGrid w:val="0"/>
        </w:rPr>
        <w:t> </w:t>
      </w:r>
      <w:r>
        <w:rPr>
          <w:snapToGrid w:val="0"/>
        </w:rPr>
        <w:t>sites sur un an pour les décisions au titre de l</w:t>
      </w:r>
      <w:r w:rsidR="00040EBF">
        <w:rPr>
          <w:snapToGrid w:val="0"/>
        </w:rPr>
        <w:t>’</w:t>
      </w:r>
      <w:r>
        <w:rPr>
          <w:snapToGrid w:val="0"/>
        </w:rPr>
        <w:t>examen</w:t>
      </w:r>
      <w:r w:rsidR="0057121B">
        <w:rPr>
          <w:snapToGrid w:val="0"/>
        </w:rPr>
        <w:t> </w:t>
      </w:r>
      <w:r>
        <w:rPr>
          <w:snapToGrid w:val="0"/>
        </w:rPr>
        <w:t>DHS</w:t>
      </w:r>
    </w:p>
    <w:p w14:paraId="3EEC5D9E" w14:textId="77777777" w:rsidR="004B345C" w:rsidRDefault="004B345C" w:rsidP="004B345C"/>
    <w:p w14:paraId="3EEC5D9F" w14:textId="3342625D" w:rsidR="002E65B0" w:rsidRDefault="004B345C" w:rsidP="002E65B0">
      <w:r w:rsidRPr="005E4A17">
        <w:fldChar w:fldCharType="begin"/>
      </w:r>
      <w:r w:rsidRPr="005E4A17">
        <w:instrText xml:space="preserve"> AUTONUM  </w:instrText>
      </w:r>
      <w:r w:rsidRPr="005E4A17">
        <w:fldChar w:fldCharType="end"/>
      </w:r>
      <w:r>
        <w:tab/>
        <w:t>Le TWC s</w:t>
      </w:r>
      <w:r w:rsidR="00040EBF">
        <w:t>’</w:t>
      </w:r>
      <w:r>
        <w:t xml:space="preserve">est intéressé au </w:t>
      </w:r>
      <w:r w:rsidR="00040EBF">
        <w:t>document</w:t>
      </w:r>
      <w:r w:rsidR="006C3B23">
        <w:t> </w:t>
      </w:r>
      <w:r w:rsidR="00040EBF">
        <w:rPr>
          <w:snapToGrid w:val="0"/>
        </w:rPr>
        <w:t>TW</w:t>
      </w:r>
      <w:r>
        <w:rPr>
          <w:snapToGrid w:val="0"/>
        </w:rPr>
        <w:t>C/37/10</w:t>
      </w:r>
      <w:r>
        <w:t xml:space="preserve"> et a </w:t>
      </w:r>
      <w:r w:rsidR="00713309">
        <w:t xml:space="preserve">assisté à </w:t>
      </w:r>
      <w:r>
        <w:t>une présentation d</w:t>
      </w:r>
      <w:r w:rsidR="00040EBF">
        <w:t>’</w:t>
      </w:r>
      <w:r>
        <w:t xml:space="preserve">un expert de la France </w:t>
      </w:r>
      <w:r w:rsidR="007E6870">
        <w:t xml:space="preserve">intitulée </w:t>
      </w:r>
      <w:r w:rsidR="00040EBF" w:rsidRPr="004329BD">
        <w:rPr>
          <w:i/>
          <w:snapToGrid w:val="0"/>
        </w:rPr>
        <w:t>“</w:t>
      </w:r>
      <w:proofErr w:type="spellStart"/>
      <w:r w:rsidR="007E6870" w:rsidRPr="004329BD">
        <w:rPr>
          <w:i/>
          <w:snapToGrid w:val="0"/>
        </w:rPr>
        <w:t>Experience</w:t>
      </w:r>
      <w:proofErr w:type="spellEnd"/>
      <w:r w:rsidR="007E6870" w:rsidRPr="004329BD">
        <w:rPr>
          <w:i/>
          <w:snapToGrid w:val="0"/>
        </w:rPr>
        <w:t xml:space="preserve"> </w:t>
      </w:r>
      <w:proofErr w:type="spellStart"/>
      <w:r w:rsidR="007E6870" w:rsidRPr="004329BD">
        <w:rPr>
          <w:i/>
          <w:snapToGrid w:val="0"/>
        </w:rPr>
        <w:t>with</w:t>
      </w:r>
      <w:proofErr w:type="spellEnd"/>
      <w:r w:rsidR="007E6870" w:rsidRPr="004329BD">
        <w:rPr>
          <w:i/>
          <w:snapToGrid w:val="0"/>
        </w:rPr>
        <w:t xml:space="preserve"> </w:t>
      </w:r>
      <w:proofErr w:type="spellStart"/>
      <w:r w:rsidR="007E6870" w:rsidRPr="004329BD">
        <w:rPr>
          <w:i/>
          <w:snapToGrid w:val="0"/>
        </w:rPr>
        <w:t>using</w:t>
      </w:r>
      <w:proofErr w:type="spellEnd"/>
      <w:r w:rsidR="007E6870" w:rsidRPr="004329BD">
        <w:rPr>
          <w:i/>
          <w:snapToGrid w:val="0"/>
        </w:rPr>
        <w:t xml:space="preserve"> </w:t>
      </w:r>
      <w:proofErr w:type="spellStart"/>
      <w:r w:rsidR="007E6870" w:rsidRPr="004329BD">
        <w:rPr>
          <w:i/>
          <w:snapToGrid w:val="0"/>
        </w:rPr>
        <w:t>two</w:t>
      </w:r>
      <w:proofErr w:type="spellEnd"/>
      <w:r w:rsidR="007E6870" w:rsidRPr="004329BD">
        <w:rPr>
          <w:i/>
          <w:snapToGrid w:val="0"/>
        </w:rPr>
        <w:t xml:space="preserve"> locations by one </w:t>
      </w:r>
      <w:proofErr w:type="spellStart"/>
      <w:r w:rsidR="007E6870" w:rsidRPr="004329BD">
        <w:rPr>
          <w:i/>
          <w:snapToGrid w:val="0"/>
        </w:rPr>
        <w:t>year</w:t>
      </w:r>
      <w:proofErr w:type="spellEnd"/>
      <w:r w:rsidR="007E6870" w:rsidRPr="004329BD">
        <w:rPr>
          <w:i/>
          <w:snapToGrid w:val="0"/>
        </w:rPr>
        <w:t xml:space="preserve"> for DUS </w:t>
      </w:r>
      <w:proofErr w:type="spellStart"/>
      <w:r w:rsidR="007E6870" w:rsidRPr="004329BD">
        <w:rPr>
          <w:i/>
          <w:snapToGrid w:val="0"/>
        </w:rPr>
        <w:t>decisions</w:t>
      </w:r>
      <w:proofErr w:type="spellEnd"/>
      <w:r w:rsidRPr="004329BD">
        <w:rPr>
          <w:i/>
          <w:snapToGrid w:val="0"/>
        </w:rPr>
        <w:t>”</w:t>
      </w:r>
      <w:r>
        <w:t>.  Une copie de cette présentation figure à l</w:t>
      </w:r>
      <w:r w:rsidR="00040EBF">
        <w:t>’</w:t>
      </w:r>
      <w:r>
        <w:t xml:space="preserve">annexe du </w:t>
      </w:r>
      <w:r w:rsidR="00040EBF">
        <w:t>document</w:t>
      </w:r>
      <w:r w:rsidR="006C3B23">
        <w:t> </w:t>
      </w:r>
      <w:r w:rsidR="00040EBF">
        <w:t>TW</w:t>
      </w:r>
      <w:r>
        <w:t xml:space="preserve">C/37/10 (voir document TWC/37/12 </w:t>
      </w:r>
      <w:r w:rsidRPr="004329BD">
        <w:rPr>
          <w:i/>
        </w:rPr>
        <w:t>“</w:t>
      </w:r>
      <w:r w:rsidR="00934E5E" w:rsidRPr="004329BD">
        <w:rPr>
          <w:i/>
        </w:rPr>
        <w:t>Report</w:t>
      </w:r>
      <w:r w:rsidRPr="004329BD">
        <w:rPr>
          <w:i/>
        </w:rPr>
        <w:t>”</w:t>
      </w:r>
      <w:r>
        <w:t>, paragraphes 17 et 18).</w:t>
      </w:r>
    </w:p>
    <w:p w14:paraId="3EEC5DA0" w14:textId="77777777" w:rsidR="004B345C" w:rsidRDefault="004B345C" w:rsidP="004B345C"/>
    <w:p w14:paraId="194D9F48" w14:textId="114CCAF5" w:rsidR="00040EBF" w:rsidRDefault="004B345C" w:rsidP="004B345C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Le TWC a </w:t>
      </w:r>
      <w:r w:rsidR="00713309">
        <w:t>précisé</w:t>
      </w:r>
      <w:r>
        <w:t xml:space="preserve"> que la description variétale émanait des informations tirées d</w:t>
      </w:r>
      <w:r w:rsidR="00040EBF">
        <w:t>’</w:t>
      </w:r>
      <w:r>
        <w:t>un seul site d</w:t>
      </w:r>
      <w:r w:rsidR="00040EBF">
        <w:t>’</w:t>
      </w:r>
      <w:r>
        <w:t>examen.</w:t>
      </w:r>
    </w:p>
    <w:p w14:paraId="3EEC5DA2" w14:textId="30146403" w:rsidR="004B345C" w:rsidRDefault="004B345C" w:rsidP="004B345C"/>
    <w:p w14:paraId="71E56082" w14:textId="50919C24" w:rsidR="00040EBF" w:rsidRDefault="004B345C" w:rsidP="004B345C">
      <w:r>
        <w:fldChar w:fldCharType="begin"/>
      </w:r>
      <w:r>
        <w:instrText xml:space="preserve"> AUTONUM  </w:instrText>
      </w:r>
      <w:r>
        <w:fldChar w:fldCharType="end"/>
      </w:r>
      <w:r>
        <w:tab/>
        <w:t>Le TWC a rappelé que, lorsque deux</w:t>
      </w:r>
      <w:r w:rsidR="0057121B">
        <w:t> </w:t>
      </w:r>
      <w:r>
        <w:t>cycles de croissance sont lancés la même année et au même moment, une certaine distance ou une certaine différence des conditions de croissance entre les deux</w:t>
      </w:r>
      <w:r w:rsidR="0057121B">
        <w:t> </w:t>
      </w:r>
      <w:r>
        <w:t>sites est nécessaire afin de satisfaire aux exigences d</w:t>
      </w:r>
      <w:r w:rsidR="00040EBF">
        <w:t>’</w:t>
      </w:r>
      <w:r>
        <w:t>indépendance.</w:t>
      </w:r>
    </w:p>
    <w:p w14:paraId="3EEC5DA4" w14:textId="67097BF5" w:rsidR="004B345C" w:rsidRDefault="004B345C" w:rsidP="004B345C"/>
    <w:p w14:paraId="0C2D9CFD" w14:textId="77777777" w:rsidR="000E0357" w:rsidRDefault="000E0357">
      <w:pPr>
        <w:jc w:val="left"/>
        <w:rPr>
          <w:u w:val="single"/>
        </w:rPr>
      </w:pPr>
      <w:r>
        <w:br w:type="page"/>
      </w:r>
    </w:p>
    <w:p w14:paraId="3EEC5DA5" w14:textId="4A32C528" w:rsidR="004B345C" w:rsidRDefault="004B345C" w:rsidP="002E65B0">
      <w:pPr>
        <w:pStyle w:val="Heading2"/>
      </w:pPr>
      <w:r>
        <w:lastRenderedPageBreak/>
        <w:t>Mise au point et innovation des outils d</w:t>
      </w:r>
      <w:r w:rsidR="00040EBF">
        <w:t>’</w:t>
      </w:r>
      <w:r>
        <w:t>examen</w:t>
      </w:r>
      <w:r w:rsidR="0057121B">
        <w:t> </w:t>
      </w:r>
      <w:r>
        <w:t>DHS</w:t>
      </w:r>
    </w:p>
    <w:p w14:paraId="3EEC5DA6" w14:textId="77777777" w:rsidR="004B345C" w:rsidRDefault="004B345C" w:rsidP="004B345C"/>
    <w:p w14:paraId="3EEC5DA7" w14:textId="72E9E0E9" w:rsidR="004B345C" w:rsidRDefault="004B345C" w:rsidP="004B345C">
      <w:r w:rsidRPr="00B13C80">
        <w:fldChar w:fldCharType="begin"/>
      </w:r>
      <w:r w:rsidRPr="00B13C80">
        <w:instrText xml:space="preserve"> AUTONUM  </w:instrText>
      </w:r>
      <w:r w:rsidRPr="00B13C80">
        <w:fldChar w:fldCharType="end"/>
      </w:r>
      <w:r>
        <w:tab/>
        <w:t>Le TWC a examiné le document</w:t>
      </w:r>
      <w:r w:rsidR="006C3B23">
        <w:t> </w:t>
      </w:r>
      <w:r>
        <w:t xml:space="preserve">TWC/37/9 et a </w:t>
      </w:r>
      <w:r w:rsidR="00713309">
        <w:t xml:space="preserve">assisté à </w:t>
      </w:r>
      <w:r>
        <w:t>une présentation d</w:t>
      </w:r>
      <w:r w:rsidR="00040EBF">
        <w:t>’</w:t>
      </w:r>
      <w:r>
        <w:t>un expert de la Chine sur le thème suivant</w:t>
      </w:r>
      <w:r w:rsidR="00040EBF">
        <w:t> :</w:t>
      </w:r>
      <w:r>
        <w:t xml:space="preserve"> </w:t>
      </w:r>
      <w:r w:rsidR="00040EBF" w:rsidRPr="004329BD">
        <w:rPr>
          <w:i/>
          <w:snapToGrid w:val="0"/>
        </w:rPr>
        <w:t>“</w:t>
      </w:r>
      <w:proofErr w:type="spellStart"/>
      <w:r w:rsidR="007E6870" w:rsidRPr="004329BD">
        <w:rPr>
          <w:i/>
          <w:snapToGrid w:val="0"/>
        </w:rPr>
        <w:t>Development</w:t>
      </w:r>
      <w:proofErr w:type="spellEnd"/>
      <w:r w:rsidR="007E6870" w:rsidRPr="004329BD">
        <w:rPr>
          <w:i/>
          <w:snapToGrid w:val="0"/>
        </w:rPr>
        <w:t xml:space="preserve"> and innovation of DUS test </w:t>
      </w:r>
      <w:proofErr w:type="spellStart"/>
      <w:r w:rsidR="007E6870" w:rsidRPr="004329BD">
        <w:rPr>
          <w:i/>
          <w:snapToGrid w:val="0"/>
        </w:rPr>
        <w:t>tools</w:t>
      </w:r>
      <w:proofErr w:type="spellEnd"/>
      <w:r w:rsidRPr="004329BD">
        <w:rPr>
          <w:i/>
          <w:snapToGrid w:val="0"/>
        </w:rPr>
        <w:t>”</w:t>
      </w:r>
      <w:r>
        <w:t xml:space="preserve">. </w:t>
      </w:r>
      <w:r w:rsidR="007E6870">
        <w:t xml:space="preserve"> </w:t>
      </w:r>
      <w:r>
        <w:t>Une copie de cette présentation figure à l</w:t>
      </w:r>
      <w:r w:rsidR="00040EBF">
        <w:t>’</w:t>
      </w:r>
      <w:r>
        <w:t xml:space="preserve">annexe du </w:t>
      </w:r>
      <w:r w:rsidR="00040EBF">
        <w:t>document</w:t>
      </w:r>
      <w:r w:rsidR="006C3B23">
        <w:t> </w:t>
      </w:r>
      <w:r w:rsidR="00040EBF">
        <w:t>TW</w:t>
      </w:r>
      <w:r>
        <w:t xml:space="preserve">C/37/9 (voir document TWC/37/12 </w:t>
      </w:r>
      <w:r w:rsidRPr="004329BD">
        <w:rPr>
          <w:i/>
        </w:rPr>
        <w:t>“</w:t>
      </w:r>
      <w:r w:rsidR="00934E5E" w:rsidRPr="004329BD">
        <w:rPr>
          <w:i/>
        </w:rPr>
        <w:t>Report</w:t>
      </w:r>
      <w:r w:rsidRPr="004329BD">
        <w:rPr>
          <w:i/>
        </w:rPr>
        <w:t>”</w:t>
      </w:r>
      <w:r>
        <w:t>, paragraphes 19 et 20).</w:t>
      </w:r>
    </w:p>
    <w:p w14:paraId="3EEC5DA8" w14:textId="77777777" w:rsidR="004B345C" w:rsidRDefault="004B345C" w:rsidP="004B345C"/>
    <w:p w14:paraId="3EEC5DA9" w14:textId="7B5F7AB7" w:rsidR="004B345C" w:rsidRDefault="004B345C" w:rsidP="004B345C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Le TWC a rappelé que les </w:t>
      </w:r>
      <w:r w:rsidR="00040EBF">
        <w:t>documents UP</w:t>
      </w:r>
      <w:r>
        <w:t>OV/INF/16 int</w:t>
      </w:r>
      <w:r w:rsidR="000E0357">
        <w:t xml:space="preserve">itulé “Logiciels échangeables” </w:t>
      </w:r>
      <w:r>
        <w:t>ou UPOV/INF/22 intitulé “Logiciels et équipements utilisés par les membres de l</w:t>
      </w:r>
      <w:r w:rsidR="00040EBF">
        <w:t>’</w:t>
      </w:r>
      <w:r>
        <w:t xml:space="preserve">Union” pourraient, le cas échéant, servir à partager des informations concernant les évolutions </w:t>
      </w:r>
      <w:r w:rsidR="000E0357">
        <w:t>dont</w:t>
      </w:r>
      <w:r>
        <w:t xml:space="preserve"> la Chine</w:t>
      </w:r>
      <w:r w:rsidR="000E0357">
        <w:t xml:space="preserve"> a fait état</w:t>
      </w:r>
      <w:r>
        <w:t>.</w:t>
      </w:r>
    </w:p>
    <w:p w14:paraId="3EEC5DAA" w14:textId="77777777" w:rsidR="004B345C" w:rsidRDefault="004B345C" w:rsidP="004B345C"/>
    <w:p w14:paraId="3EEC5DAB" w14:textId="775230A0" w:rsidR="003B7109" w:rsidRPr="00582154" w:rsidRDefault="003B7109" w:rsidP="003B7109">
      <w:pPr>
        <w:pStyle w:val="Heading2"/>
      </w:pPr>
      <w:r>
        <w:t>Services Web fournis par l</w:t>
      </w:r>
      <w:r w:rsidR="00040EBF">
        <w:t>’</w:t>
      </w:r>
      <w:r>
        <w:t>UPOV</w:t>
      </w:r>
    </w:p>
    <w:p w14:paraId="3EEC5DAC" w14:textId="77777777" w:rsidR="003B7109" w:rsidRDefault="003B7109" w:rsidP="003B7109"/>
    <w:p w14:paraId="3EEC5DAD" w14:textId="58EADECE" w:rsidR="003B7109" w:rsidRDefault="003B7109" w:rsidP="003B7109">
      <w:r>
        <w:fldChar w:fldCharType="begin"/>
      </w:r>
      <w:r>
        <w:instrText xml:space="preserve"> AUTONUM  </w:instrText>
      </w:r>
      <w:r>
        <w:fldChar w:fldCharType="end"/>
      </w:r>
      <w:r>
        <w:tab/>
        <w:t>Le TWC s</w:t>
      </w:r>
      <w:r w:rsidR="00040EBF">
        <w:t>’</w:t>
      </w:r>
      <w:r>
        <w:t xml:space="preserve">est penché sur le </w:t>
      </w:r>
      <w:r w:rsidR="00040EBF">
        <w:t>document</w:t>
      </w:r>
      <w:r w:rsidR="006C3B23">
        <w:t> </w:t>
      </w:r>
      <w:r w:rsidR="00040EBF">
        <w:t>TW</w:t>
      </w:r>
      <w:r>
        <w:t xml:space="preserve">C/37/4 intitulé </w:t>
      </w:r>
      <w:r w:rsidR="00040EBF" w:rsidRPr="004329BD">
        <w:rPr>
          <w:i/>
        </w:rPr>
        <w:t>“</w:t>
      </w:r>
      <w:r w:rsidR="00934E5E" w:rsidRPr="004329BD">
        <w:rPr>
          <w:i/>
        </w:rPr>
        <w:t xml:space="preserve">Web services </w:t>
      </w:r>
      <w:proofErr w:type="spellStart"/>
      <w:r w:rsidR="00934E5E" w:rsidRPr="004329BD">
        <w:rPr>
          <w:i/>
        </w:rPr>
        <w:t>provided</w:t>
      </w:r>
      <w:proofErr w:type="spellEnd"/>
      <w:r w:rsidR="00934E5E" w:rsidRPr="004329BD">
        <w:rPr>
          <w:i/>
        </w:rPr>
        <w:t xml:space="preserve"> by UPOV</w:t>
      </w:r>
      <w:r w:rsidRPr="004329BD">
        <w:rPr>
          <w:i/>
        </w:rPr>
        <w:t>”</w:t>
      </w:r>
      <w:r>
        <w:t xml:space="preserve"> et </w:t>
      </w:r>
      <w:r>
        <w:rPr>
          <w:snapToGrid w:val="0"/>
        </w:rPr>
        <w:t>a pris note de l</w:t>
      </w:r>
      <w:r w:rsidR="00040EBF">
        <w:rPr>
          <w:snapToGrid w:val="0"/>
        </w:rPr>
        <w:t>’</w:t>
      </w:r>
      <w:r>
        <w:rPr>
          <w:snapToGrid w:val="0"/>
        </w:rPr>
        <w:t>existence de services Web aux fins de la transmission des données relatives aux demandes entre les services de protection des obtentions végétales et UPOV PRISMA</w:t>
      </w:r>
      <w:r>
        <w:t xml:space="preserve"> </w:t>
      </w:r>
      <w:r w:rsidR="000E0357">
        <w:t>ainsi que</w:t>
      </w:r>
      <w:r>
        <w:t xml:space="preserve"> </w:t>
      </w:r>
      <w:r>
        <w:rPr>
          <w:snapToGrid w:val="0"/>
        </w:rPr>
        <w:t xml:space="preserve">des futures évolutions </w:t>
      </w:r>
      <w:r w:rsidR="000E0357">
        <w:rPr>
          <w:snapToGrid w:val="0"/>
        </w:rPr>
        <w:t>de</w:t>
      </w:r>
      <w:r>
        <w:rPr>
          <w:snapToGrid w:val="0"/>
        </w:rPr>
        <w:t xml:space="preserve"> la base de données GENIE</w:t>
      </w:r>
      <w:r>
        <w:t xml:space="preserve"> (voir document TWC/37/12 </w:t>
      </w:r>
      <w:r w:rsidRPr="004329BD">
        <w:rPr>
          <w:i/>
        </w:rPr>
        <w:t>“</w:t>
      </w:r>
      <w:r w:rsidR="00934E5E" w:rsidRPr="004329BD">
        <w:rPr>
          <w:i/>
        </w:rPr>
        <w:t>Report</w:t>
      </w:r>
      <w:r w:rsidRPr="004329BD">
        <w:rPr>
          <w:i/>
        </w:rPr>
        <w:t>”</w:t>
      </w:r>
      <w:r>
        <w:t>, paragraphe 57).</w:t>
      </w:r>
    </w:p>
    <w:p w14:paraId="3EEC5DAE" w14:textId="77777777" w:rsidR="003B7109" w:rsidRDefault="003B7109" w:rsidP="003B7109"/>
    <w:p w14:paraId="3EEC5DAF" w14:textId="72A483BD" w:rsidR="006C4A11" w:rsidRDefault="00155B72" w:rsidP="00155B72">
      <w:pPr>
        <w:pStyle w:val="Heading2"/>
        <w:rPr>
          <w:snapToGrid w:val="0"/>
        </w:rPr>
      </w:pPr>
      <w:r>
        <w:rPr>
          <w:snapToGrid w:val="0"/>
        </w:rPr>
        <w:t>Logiciel d</w:t>
      </w:r>
      <w:r w:rsidR="00040EBF">
        <w:rPr>
          <w:snapToGrid w:val="0"/>
        </w:rPr>
        <w:t>’</w:t>
      </w:r>
      <w:r>
        <w:rPr>
          <w:snapToGrid w:val="0"/>
        </w:rPr>
        <w:t>analyse statistique</w:t>
      </w:r>
      <w:r w:rsidR="00040EBF">
        <w:rPr>
          <w:snapToGrid w:val="0"/>
        </w:rPr>
        <w:t xml:space="preserve"> – </w:t>
      </w:r>
      <w:r>
        <w:rPr>
          <w:snapToGrid w:val="0"/>
        </w:rPr>
        <w:t>Excel DHS</w:t>
      </w:r>
    </w:p>
    <w:p w14:paraId="3EEC5DB0" w14:textId="77777777" w:rsidR="006C4A11" w:rsidRDefault="006C4A11" w:rsidP="00222950">
      <w:pPr>
        <w:rPr>
          <w:snapToGrid w:val="0"/>
        </w:rPr>
      </w:pPr>
    </w:p>
    <w:p w14:paraId="3EEC5DB1" w14:textId="4D67161C" w:rsidR="00155B72" w:rsidRDefault="00155B72" w:rsidP="00155B72">
      <w:r w:rsidRPr="00E57FA2">
        <w:fldChar w:fldCharType="begin"/>
      </w:r>
      <w:r w:rsidRPr="00E57FA2">
        <w:instrText xml:space="preserve"> AUTONUM  </w:instrText>
      </w:r>
      <w:r w:rsidRPr="00E57FA2">
        <w:fldChar w:fldCharType="end"/>
      </w:r>
      <w:r>
        <w:tab/>
        <w:t>Le TWC a analysé le document</w:t>
      </w:r>
      <w:r w:rsidR="006C3B23">
        <w:t> </w:t>
      </w:r>
      <w:r>
        <w:t xml:space="preserve">TWC/37/8 et a </w:t>
      </w:r>
      <w:r w:rsidR="004644EA">
        <w:t xml:space="preserve">assisté à </w:t>
      </w:r>
      <w:r>
        <w:t>une présentation d</w:t>
      </w:r>
      <w:r w:rsidR="00040EBF">
        <w:t>’</w:t>
      </w:r>
      <w:r>
        <w:t xml:space="preserve">un expert de la Chine </w:t>
      </w:r>
      <w:r w:rsidR="007E6870">
        <w:t>intitulée</w:t>
      </w:r>
      <w:r>
        <w:t xml:space="preserve"> </w:t>
      </w:r>
      <w:r w:rsidR="00040EBF" w:rsidRPr="004B4722">
        <w:rPr>
          <w:i/>
        </w:rPr>
        <w:t>“</w:t>
      </w:r>
      <w:r w:rsidR="007E6870" w:rsidRPr="004B4722">
        <w:rPr>
          <w:i/>
        </w:rPr>
        <w:t xml:space="preserve">A </w:t>
      </w:r>
      <w:proofErr w:type="spellStart"/>
      <w:r w:rsidR="007E6870" w:rsidRPr="004B4722">
        <w:rPr>
          <w:i/>
        </w:rPr>
        <w:t>statistical</w:t>
      </w:r>
      <w:proofErr w:type="spellEnd"/>
      <w:r w:rsidR="007E6870" w:rsidRPr="004B4722">
        <w:rPr>
          <w:i/>
        </w:rPr>
        <w:t xml:space="preserve"> </w:t>
      </w:r>
      <w:proofErr w:type="spellStart"/>
      <w:r w:rsidR="007E6870" w:rsidRPr="004B4722">
        <w:rPr>
          <w:i/>
        </w:rPr>
        <w:t>analysis</w:t>
      </w:r>
      <w:proofErr w:type="spellEnd"/>
      <w:r w:rsidR="007E6870" w:rsidRPr="004B4722">
        <w:rPr>
          <w:i/>
        </w:rPr>
        <w:t xml:space="preserve"> Software</w:t>
      </w:r>
      <w:r w:rsidR="00040EBF" w:rsidRPr="004B4722">
        <w:rPr>
          <w:i/>
        </w:rPr>
        <w:t xml:space="preserve"> – </w:t>
      </w:r>
      <w:r w:rsidR="007E6870" w:rsidRPr="004B4722">
        <w:rPr>
          <w:i/>
        </w:rPr>
        <w:t>DUS Excel</w:t>
      </w:r>
      <w:r w:rsidRPr="004B4722">
        <w:rPr>
          <w:i/>
        </w:rPr>
        <w:t>”</w:t>
      </w:r>
      <w:r>
        <w:t>.  Une copie de cette présentation figure à l</w:t>
      </w:r>
      <w:r w:rsidR="00040EBF">
        <w:t>’</w:t>
      </w:r>
      <w:r>
        <w:t xml:space="preserve">annexe du </w:t>
      </w:r>
      <w:r w:rsidR="00040EBF">
        <w:t>document</w:t>
      </w:r>
      <w:r w:rsidR="006C3B23">
        <w:t> </w:t>
      </w:r>
      <w:r w:rsidR="00040EBF">
        <w:t>TW</w:t>
      </w:r>
      <w:r>
        <w:t xml:space="preserve">C/37/8 (voir document TWC/37/12 </w:t>
      </w:r>
      <w:r w:rsidRPr="004B4722">
        <w:rPr>
          <w:i/>
        </w:rPr>
        <w:t>“</w:t>
      </w:r>
      <w:r w:rsidR="007E6870" w:rsidRPr="004B4722">
        <w:rPr>
          <w:i/>
        </w:rPr>
        <w:t>Report</w:t>
      </w:r>
      <w:r w:rsidRPr="004B4722">
        <w:rPr>
          <w:i/>
        </w:rPr>
        <w:t>”</w:t>
      </w:r>
      <w:r>
        <w:t>, paragraphes 104 et 106).</w:t>
      </w:r>
    </w:p>
    <w:p w14:paraId="3EEC5DB2" w14:textId="77777777" w:rsidR="00155B72" w:rsidRDefault="00155B72" w:rsidP="00155B72">
      <w:pPr>
        <w:tabs>
          <w:tab w:val="left" w:pos="1312"/>
        </w:tabs>
      </w:pPr>
    </w:p>
    <w:p w14:paraId="2D0A7DF3" w14:textId="31BC9002" w:rsidR="00040EBF" w:rsidRDefault="00155B72" w:rsidP="00155B72">
      <w:pPr>
        <w:tabs>
          <w:tab w:val="left" w:pos="567"/>
        </w:tabs>
      </w:pPr>
      <w:r w:rsidRPr="00E57FA2">
        <w:fldChar w:fldCharType="begin"/>
      </w:r>
      <w:r w:rsidRPr="00E57FA2">
        <w:instrText xml:space="preserve"> AUTONUM  </w:instrText>
      </w:r>
      <w:r w:rsidRPr="00E57FA2">
        <w:fldChar w:fldCharType="end"/>
      </w:r>
      <w:r>
        <w:tab/>
        <w:t>Le TWC s</w:t>
      </w:r>
      <w:r w:rsidR="00040EBF">
        <w:t>’</w:t>
      </w:r>
      <w:r>
        <w:t xml:space="preserve">est intéressé à la validation du logiciel proposé.  Il a rappelé </w:t>
      </w:r>
      <w:r w:rsidR="007E6870">
        <w:t>un</w:t>
      </w:r>
      <w:r>
        <w:t xml:space="preserve"> précédent </w:t>
      </w:r>
      <w:r w:rsidR="007E6870">
        <w:t xml:space="preserve">exercice </w:t>
      </w:r>
      <w:r>
        <w:t xml:space="preserve">qui avait consisté à comparer les résultats </w:t>
      </w:r>
      <w:r w:rsidR="00357A04">
        <w:t>du</w:t>
      </w:r>
      <w:r>
        <w:t xml:space="preserve"> logiciel de la Chine et d</w:t>
      </w:r>
      <w:r w:rsidR="00040EBF">
        <w:t>’</w:t>
      </w:r>
      <w:r>
        <w:t>autres logiciels utilisés par des participants</w:t>
      </w:r>
      <w:r w:rsidR="00040EBF">
        <w:t xml:space="preserve"> au TWC</w:t>
      </w:r>
      <w:r>
        <w:t xml:space="preserve">. </w:t>
      </w:r>
      <w:r w:rsidR="00040EBF">
        <w:t xml:space="preserve"> Le TWC</w:t>
      </w:r>
      <w:r>
        <w:t xml:space="preserve"> a pris acte de l</w:t>
      </w:r>
      <w:r w:rsidR="00040EBF">
        <w:t>’</w:t>
      </w:r>
      <w:r>
        <w:t>offre du Royaume</w:t>
      </w:r>
      <w:r w:rsidR="00040EBF">
        <w:t>-</w:t>
      </w:r>
      <w:r>
        <w:t>Uni de fournir à la Chine, à la France et au Kenya une série de données communes pour comparer les résultats obtenus grâce aux processus COYD et COYU en recourant à différents logiciels.</w:t>
      </w:r>
    </w:p>
    <w:p w14:paraId="3EEC5DB4" w14:textId="07B45AC2" w:rsidR="00155B72" w:rsidRDefault="00155B72" w:rsidP="00155B72">
      <w:pPr>
        <w:tabs>
          <w:tab w:val="left" w:pos="1312"/>
        </w:tabs>
      </w:pPr>
    </w:p>
    <w:p w14:paraId="3EEC5DB5" w14:textId="07652A49" w:rsidR="00155B72" w:rsidRDefault="00155B72" w:rsidP="000E0357">
      <w:pPr>
        <w:tabs>
          <w:tab w:val="left" w:pos="567"/>
        </w:tabs>
      </w:pPr>
      <w:r w:rsidRPr="00E57FA2">
        <w:fldChar w:fldCharType="begin"/>
      </w:r>
      <w:r w:rsidRPr="00E57FA2">
        <w:instrText xml:space="preserve"> AUTONUM  </w:instrText>
      </w:r>
      <w:r w:rsidRPr="00E57FA2">
        <w:fldChar w:fldCharType="end"/>
      </w:r>
      <w:r>
        <w:tab/>
        <w:t xml:space="preserve">Le TWC a pris note de </w:t>
      </w:r>
      <w:r w:rsidR="000E0357">
        <w:t>la proposition</w:t>
      </w:r>
      <w:r>
        <w:t xml:space="preserve"> de la Chine </w:t>
      </w:r>
      <w:r w:rsidR="000E0357">
        <w:t xml:space="preserve">tendant à mettre le logiciel à la disposition </w:t>
      </w:r>
      <w:r>
        <w:t>des autres membres de l</w:t>
      </w:r>
      <w:r w:rsidR="00040EBF">
        <w:t>’</w:t>
      </w:r>
      <w:r>
        <w:t xml:space="preserve">UPOV. </w:t>
      </w:r>
      <w:r w:rsidR="00040EBF">
        <w:t xml:space="preserve"> Le TWC</w:t>
      </w:r>
      <w:r>
        <w:t xml:space="preserve"> a constaté que l</w:t>
      </w:r>
      <w:r w:rsidR="00040EBF">
        <w:t>’</w:t>
      </w:r>
      <w:r>
        <w:t xml:space="preserve">interface utilisateur était disponible en chinois et en anglais, tandis que le manuel </w:t>
      </w:r>
      <w:r w:rsidR="00357A04">
        <w:t>de l</w:t>
      </w:r>
      <w:r w:rsidR="00040EBF">
        <w:t>’</w:t>
      </w:r>
      <w:r>
        <w:t xml:space="preserve">utilisateur </w:t>
      </w:r>
      <w:r w:rsidR="000E0357">
        <w:t>ne l</w:t>
      </w:r>
      <w:r w:rsidR="00040EBF">
        <w:t>’</w:t>
      </w:r>
      <w:r w:rsidR="000E0357">
        <w:t>était qu</w:t>
      </w:r>
      <w:r w:rsidR="00040EBF">
        <w:t>’</w:t>
      </w:r>
      <w:r w:rsidR="000E0357">
        <w:t>en chinois</w:t>
      </w:r>
      <w:r>
        <w:t xml:space="preserve">. </w:t>
      </w:r>
      <w:r w:rsidR="00040EBF">
        <w:t xml:space="preserve"> Le TWC</w:t>
      </w:r>
      <w:r>
        <w:t xml:space="preserve"> a pris acte de la proposition des États</w:t>
      </w:r>
      <w:r w:rsidR="00040EBF">
        <w:t>-</w:t>
      </w:r>
      <w:r>
        <w:t>Unis d</w:t>
      </w:r>
      <w:r w:rsidR="00040EBF">
        <w:t>’</w:t>
      </w:r>
      <w:r>
        <w:t xml:space="preserve">Amérique </w:t>
      </w:r>
      <w:r w:rsidR="001668C2">
        <w:t>de</w:t>
      </w:r>
      <w:r>
        <w:t xml:space="preserve"> tradu</w:t>
      </w:r>
      <w:r w:rsidR="001668C2">
        <w:t>ire</w:t>
      </w:r>
      <w:r>
        <w:t xml:space="preserve"> une brève description du système afin de juger de l</w:t>
      </w:r>
      <w:r w:rsidR="00040EBF">
        <w:t>’</w:t>
      </w:r>
      <w:r>
        <w:t>intérêt de traduire le manuel</w:t>
      </w:r>
      <w:r w:rsidR="00357A04">
        <w:t xml:space="preserve"> de l</w:t>
      </w:r>
      <w:r w:rsidR="00040EBF">
        <w:t>’</w:t>
      </w:r>
      <w:r w:rsidR="00357A04">
        <w:t>utilisateur</w:t>
      </w:r>
      <w:r>
        <w:t xml:space="preserve"> dans son intégralité.</w:t>
      </w:r>
    </w:p>
    <w:p w14:paraId="3EEC5DB6" w14:textId="77777777" w:rsidR="00155B72" w:rsidRDefault="00155B72" w:rsidP="00155B72"/>
    <w:p w14:paraId="3EEC5DB7" w14:textId="507C53B7" w:rsidR="00155B72" w:rsidRPr="00582154" w:rsidRDefault="00155B72" w:rsidP="0039169C">
      <w:pPr>
        <w:pStyle w:val="Heading2"/>
      </w:pPr>
      <w:r>
        <w:t>Construction d</w:t>
      </w:r>
      <w:r w:rsidR="00040EBF">
        <w:t>’</w:t>
      </w:r>
      <w:r>
        <w:t>une base de données à partir des données relatives aux marqueurs moléculaires pour la gestion des collections de variétés</w:t>
      </w:r>
    </w:p>
    <w:p w14:paraId="3EEC5DB8" w14:textId="77777777" w:rsidR="00155B72" w:rsidRDefault="00155B72" w:rsidP="00155B72"/>
    <w:p w14:paraId="3EEC5DB9" w14:textId="683EAC11" w:rsidR="00155B72" w:rsidRDefault="00155B72" w:rsidP="00155B72">
      <w:r w:rsidRPr="00F77341">
        <w:fldChar w:fldCharType="begin"/>
      </w:r>
      <w:r w:rsidRPr="00F77341">
        <w:instrText xml:space="preserve"> AUTONUM  </w:instrText>
      </w:r>
      <w:r w:rsidRPr="00F77341">
        <w:fldChar w:fldCharType="end"/>
      </w:r>
      <w:r>
        <w:tab/>
        <w:t>Le TWC a analysé le document</w:t>
      </w:r>
      <w:r w:rsidR="006C3B23">
        <w:t> </w:t>
      </w:r>
      <w:r>
        <w:t xml:space="preserve">TWC/37/6 et a </w:t>
      </w:r>
      <w:r w:rsidR="00357A04">
        <w:t xml:space="preserve">assisté à </w:t>
      </w:r>
      <w:r>
        <w:t>une présentation d</w:t>
      </w:r>
      <w:r w:rsidR="00040EBF">
        <w:t>’</w:t>
      </w:r>
      <w:r>
        <w:t xml:space="preserve">un expert de la Chine </w:t>
      </w:r>
      <w:r w:rsidR="001668C2">
        <w:t>intitulée</w:t>
      </w:r>
      <w:r>
        <w:t xml:space="preserve"> </w:t>
      </w:r>
      <w:r w:rsidRPr="004B4722">
        <w:rPr>
          <w:i/>
          <w:snapToGrid w:val="0"/>
        </w:rPr>
        <w:t>“</w:t>
      </w:r>
      <w:r w:rsidR="001668C2" w:rsidRPr="004B4722">
        <w:rPr>
          <w:i/>
          <w:snapToGrid w:val="0"/>
        </w:rPr>
        <w:t xml:space="preserve">Plant DNA </w:t>
      </w:r>
      <w:proofErr w:type="spellStart"/>
      <w:r w:rsidR="001668C2" w:rsidRPr="004B4722">
        <w:rPr>
          <w:i/>
          <w:snapToGrid w:val="0"/>
        </w:rPr>
        <w:t>fingerprint</w:t>
      </w:r>
      <w:proofErr w:type="spellEnd"/>
      <w:r w:rsidR="001668C2" w:rsidRPr="004B4722">
        <w:rPr>
          <w:i/>
          <w:snapToGrid w:val="0"/>
        </w:rPr>
        <w:t xml:space="preserve"> </w:t>
      </w:r>
      <w:proofErr w:type="spellStart"/>
      <w:r w:rsidR="001668C2" w:rsidRPr="004B4722">
        <w:rPr>
          <w:i/>
          <w:snapToGrid w:val="0"/>
        </w:rPr>
        <w:t>database</w:t>
      </w:r>
      <w:proofErr w:type="spellEnd"/>
      <w:r w:rsidR="001668C2" w:rsidRPr="004B4722">
        <w:rPr>
          <w:i/>
          <w:snapToGrid w:val="0"/>
        </w:rPr>
        <w:t xml:space="preserve"> management system</w:t>
      </w:r>
      <w:r w:rsidRPr="004B4722">
        <w:rPr>
          <w:i/>
          <w:snapToGrid w:val="0"/>
        </w:rPr>
        <w:t>”</w:t>
      </w:r>
      <w:r>
        <w:t>.  Une copie de cette présentation figure à l</w:t>
      </w:r>
      <w:r w:rsidR="00040EBF">
        <w:t>’</w:t>
      </w:r>
      <w:r>
        <w:t xml:space="preserve">annexe du </w:t>
      </w:r>
      <w:r w:rsidR="00040EBF">
        <w:t>document</w:t>
      </w:r>
      <w:r w:rsidR="006C3B23">
        <w:t> </w:t>
      </w:r>
      <w:r w:rsidR="00040EBF">
        <w:t>TW</w:t>
      </w:r>
      <w:r>
        <w:t xml:space="preserve">C/37/6 (voir document TWC/37/12 </w:t>
      </w:r>
      <w:r w:rsidRPr="004B4722">
        <w:rPr>
          <w:i/>
        </w:rPr>
        <w:t>“</w:t>
      </w:r>
      <w:r w:rsidR="007E6870" w:rsidRPr="004B4722">
        <w:rPr>
          <w:i/>
        </w:rPr>
        <w:t>Report</w:t>
      </w:r>
      <w:r w:rsidRPr="004B4722">
        <w:rPr>
          <w:i/>
        </w:rPr>
        <w:t>”</w:t>
      </w:r>
      <w:r>
        <w:t>, paragraphe 113).</w:t>
      </w:r>
    </w:p>
    <w:p w14:paraId="3EEC5DBA" w14:textId="77777777" w:rsidR="00155B72" w:rsidRDefault="00155B72" w:rsidP="00155B72"/>
    <w:p w14:paraId="3EEC5DBB" w14:textId="77777777" w:rsidR="00816846" w:rsidRDefault="00816846" w:rsidP="00155B72">
      <w:bookmarkStart w:id="2" w:name="_GoBack"/>
      <w:bookmarkEnd w:id="2"/>
    </w:p>
    <w:p w14:paraId="3EEC5DBC" w14:textId="77777777" w:rsidR="00222950" w:rsidRDefault="00222950" w:rsidP="00CA71B1">
      <w:pPr>
        <w:jc w:val="right"/>
        <w:rPr>
          <w:snapToGrid w:val="0"/>
        </w:rPr>
      </w:pPr>
    </w:p>
    <w:p w14:paraId="3EEC5DBD" w14:textId="77777777" w:rsidR="00671852" w:rsidRPr="00C5280D" w:rsidRDefault="00397D83" w:rsidP="00CA71B1">
      <w:pPr>
        <w:jc w:val="right"/>
      </w:pPr>
      <w:r>
        <w:rPr>
          <w:snapToGrid w:val="0"/>
        </w:rPr>
        <w:t>[Fin du document]</w:t>
      </w:r>
    </w:p>
    <w:sectPr w:rsidR="00671852" w:rsidRPr="00C5280D" w:rsidSect="00CA71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567" w:right="1134" w:bottom="1021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C5DC3" w14:textId="77777777" w:rsidR="008314A8" w:rsidRDefault="008314A8" w:rsidP="006655D3">
      <w:r>
        <w:separator/>
      </w:r>
    </w:p>
    <w:p w14:paraId="3EEC5DC4" w14:textId="77777777" w:rsidR="008314A8" w:rsidRDefault="008314A8" w:rsidP="006655D3"/>
    <w:p w14:paraId="3EEC5DC5" w14:textId="77777777" w:rsidR="008314A8" w:rsidRDefault="008314A8" w:rsidP="006655D3"/>
  </w:endnote>
  <w:endnote w:type="continuationSeparator" w:id="0">
    <w:p w14:paraId="3EEC5DC6" w14:textId="77777777" w:rsidR="008314A8" w:rsidRDefault="008314A8" w:rsidP="006655D3">
      <w:r>
        <w:separator/>
      </w:r>
    </w:p>
    <w:p w14:paraId="3EEC5DC7" w14:textId="77777777" w:rsidR="008314A8" w:rsidRPr="00294751" w:rsidRDefault="008314A8">
      <w:pPr>
        <w:pStyle w:val="Footer"/>
        <w:spacing w:after="60"/>
        <w:rPr>
          <w:sz w:val="18"/>
        </w:rPr>
      </w:pPr>
      <w:r w:rsidRPr="00294751">
        <w:rPr>
          <w:sz w:val="18"/>
        </w:rPr>
        <w:t>[Suite de la note de la page précédente]</w:t>
      </w:r>
    </w:p>
    <w:p w14:paraId="3EEC5DC8" w14:textId="77777777" w:rsidR="008314A8" w:rsidRPr="00294751" w:rsidRDefault="008314A8" w:rsidP="006655D3"/>
    <w:p w14:paraId="3EEC5DC9" w14:textId="77777777" w:rsidR="008314A8" w:rsidRPr="00294751" w:rsidRDefault="008314A8" w:rsidP="006655D3"/>
  </w:endnote>
  <w:endnote w:type="continuationNotice" w:id="1">
    <w:p w14:paraId="3EEC5DCA" w14:textId="77777777" w:rsidR="008314A8" w:rsidRPr="00294751" w:rsidRDefault="008314A8" w:rsidP="006655D3">
      <w:r w:rsidRPr="00294751">
        <w:t>[Suite de la note page suivante]</w:t>
      </w:r>
    </w:p>
    <w:p w14:paraId="3EEC5DCB" w14:textId="77777777" w:rsidR="008314A8" w:rsidRPr="00294751" w:rsidRDefault="008314A8" w:rsidP="006655D3"/>
    <w:p w14:paraId="3EEC5DCC" w14:textId="77777777" w:rsidR="008314A8" w:rsidRPr="00294751" w:rsidRDefault="008314A8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6A6E1" w14:textId="77777777" w:rsidR="006C3B23" w:rsidRDefault="006C3B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F8302" w14:textId="77777777" w:rsidR="006C3B23" w:rsidRDefault="006C3B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C38FA" w14:textId="77777777" w:rsidR="006C3B23" w:rsidRDefault="006C3B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C5DC0" w14:textId="77777777" w:rsidR="008314A8" w:rsidRDefault="008314A8" w:rsidP="006655D3">
      <w:r>
        <w:separator/>
      </w:r>
    </w:p>
  </w:footnote>
  <w:footnote w:type="continuationSeparator" w:id="0">
    <w:p w14:paraId="3EEC5DC1" w14:textId="77777777" w:rsidR="008314A8" w:rsidRDefault="008314A8" w:rsidP="006655D3">
      <w:r>
        <w:separator/>
      </w:r>
    </w:p>
  </w:footnote>
  <w:footnote w:type="continuationNotice" w:id="1">
    <w:p w14:paraId="3EEC5DC2" w14:textId="77777777" w:rsidR="008314A8" w:rsidRPr="00AB530F" w:rsidRDefault="008314A8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969A0" w14:textId="77777777" w:rsidR="006C3B23" w:rsidRDefault="006C3B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C5DCD" w14:textId="77777777" w:rsidR="00E25A70" w:rsidRPr="008A3E38" w:rsidRDefault="00E25A70" w:rsidP="00EB048E">
    <w:pPr>
      <w:pStyle w:val="Header"/>
      <w:rPr>
        <w:rStyle w:val="PageNumber"/>
      </w:rPr>
    </w:pPr>
    <w:r>
      <w:rPr>
        <w:rStyle w:val="PageNumber"/>
      </w:rPr>
      <w:t xml:space="preserve">TC/55/3 </w:t>
    </w:r>
    <w:proofErr w:type="spellStart"/>
    <w:r>
      <w:rPr>
        <w:rStyle w:val="PageNumber"/>
      </w:rPr>
      <w:t>Add</w:t>
    </w:r>
    <w:proofErr w:type="spellEnd"/>
    <w:r>
      <w:rPr>
        <w:rStyle w:val="PageNumber"/>
      </w:rPr>
      <w:t>.</w:t>
    </w:r>
  </w:p>
  <w:p w14:paraId="3EEC5DCE" w14:textId="178E873D" w:rsidR="00CA71B1" w:rsidRPr="00C62912" w:rsidRDefault="00CA71B1" w:rsidP="00CA71B1">
    <w:pPr>
      <w:pStyle w:val="Header"/>
    </w:pPr>
    <w:r>
      <w:t xml:space="preserve">page </w:t>
    </w:r>
    <w:r w:rsidRPr="00C5280D">
      <w:rPr>
        <w:rStyle w:val="PageNumber"/>
      </w:rPr>
      <w:fldChar w:fldCharType="begin"/>
    </w:r>
    <w:r w:rsidRPr="00C62912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4B4722">
      <w:rPr>
        <w:rStyle w:val="PageNumber"/>
        <w:noProof/>
      </w:rPr>
      <w:t>2</w:t>
    </w:r>
    <w:r w:rsidRPr="00C5280D">
      <w:rPr>
        <w:rStyle w:val="PageNumber"/>
      </w:rPr>
      <w:fldChar w:fldCharType="end"/>
    </w:r>
  </w:p>
  <w:p w14:paraId="3EEC5DCF" w14:textId="77777777" w:rsidR="00E25A70" w:rsidRPr="008A3E38" w:rsidRDefault="00E25A70" w:rsidP="006655D3">
    <w:pPr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7587B" w14:textId="77777777" w:rsidR="006C3B23" w:rsidRDefault="006C3B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650D0"/>
    <w:multiLevelType w:val="hybridMultilevel"/>
    <w:tmpl w:val="0CBE3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FE49CC"/>
    <w:multiLevelType w:val="hybridMultilevel"/>
    <w:tmpl w:val="B7304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66DB3"/>
    <w:multiLevelType w:val="hybridMultilevel"/>
    <w:tmpl w:val="82BE4666"/>
    <w:lvl w:ilvl="0" w:tplc="0409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A0844"/>
    <w:multiLevelType w:val="hybridMultilevel"/>
    <w:tmpl w:val="85908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B2F6E"/>
    <w:multiLevelType w:val="hybridMultilevel"/>
    <w:tmpl w:val="B5D4F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F1EA3"/>
    <w:multiLevelType w:val="hybridMultilevel"/>
    <w:tmpl w:val="2F1E0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C79F9"/>
    <w:multiLevelType w:val="hybridMultilevel"/>
    <w:tmpl w:val="4C2CA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9342C"/>
    <w:multiLevelType w:val="hybridMultilevel"/>
    <w:tmpl w:val="85D6F85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26"/>
    <w:rsid w:val="000012E3"/>
    <w:rsid w:val="00010CF3"/>
    <w:rsid w:val="00011E27"/>
    <w:rsid w:val="000148BC"/>
    <w:rsid w:val="00024AB8"/>
    <w:rsid w:val="00030854"/>
    <w:rsid w:val="00036028"/>
    <w:rsid w:val="00040EBF"/>
    <w:rsid w:val="00044642"/>
    <w:rsid w:val="000446B9"/>
    <w:rsid w:val="00047E21"/>
    <w:rsid w:val="00050E16"/>
    <w:rsid w:val="00085505"/>
    <w:rsid w:val="000970DC"/>
    <w:rsid w:val="000A276E"/>
    <w:rsid w:val="000B794A"/>
    <w:rsid w:val="000C4E25"/>
    <w:rsid w:val="000C7021"/>
    <w:rsid w:val="000D368A"/>
    <w:rsid w:val="000D6BBC"/>
    <w:rsid w:val="000D6D0A"/>
    <w:rsid w:val="000D7780"/>
    <w:rsid w:val="000E0357"/>
    <w:rsid w:val="000E636A"/>
    <w:rsid w:val="000F2F11"/>
    <w:rsid w:val="00105929"/>
    <w:rsid w:val="0010755F"/>
    <w:rsid w:val="00110C36"/>
    <w:rsid w:val="001131D5"/>
    <w:rsid w:val="00123756"/>
    <w:rsid w:val="00141DB8"/>
    <w:rsid w:val="00155B72"/>
    <w:rsid w:val="001668C2"/>
    <w:rsid w:val="00166BA4"/>
    <w:rsid w:val="00172084"/>
    <w:rsid w:val="0017474A"/>
    <w:rsid w:val="001758C6"/>
    <w:rsid w:val="00182B99"/>
    <w:rsid w:val="001C44C0"/>
    <w:rsid w:val="001C4EC1"/>
    <w:rsid w:val="0021332C"/>
    <w:rsid w:val="00213982"/>
    <w:rsid w:val="00222950"/>
    <w:rsid w:val="0024416D"/>
    <w:rsid w:val="00244757"/>
    <w:rsid w:val="00260E33"/>
    <w:rsid w:val="002704BE"/>
    <w:rsid w:val="00271911"/>
    <w:rsid w:val="00274A4D"/>
    <w:rsid w:val="002800A0"/>
    <w:rsid w:val="002801B3"/>
    <w:rsid w:val="00281060"/>
    <w:rsid w:val="002940E8"/>
    <w:rsid w:val="00294751"/>
    <w:rsid w:val="0029690D"/>
    <w:rsid w:val="002A6E50"/>
    <w:rsid w:val="002B4298"/>
    <w:rsid w:val="002B6F79"/>
    <w:rsid w:val="002C256A"/>
    <w:rsid w:val="002E65B0"/>
    <w:rsid w:val="002F1989"/>
    <w:rsid w:val="00304827"/>
    <w:rsid w:val="00305A7F"/>
    <w:rsid w:val="003152FE"/>
    <w:rsid w:val="00327436"/>
    <w:rsid w:val="003401F8"/>
    <w:rsid w:val="00344BD6"/>
    <w:rsid w:val="00351644"/>
    <w:rsid w:val="00353F13"/>
    <w:rsid w:val="0035528D"/>
    <w:rsid w:val="00357A04"/>
    <w:rsid w:val="00361821"/>
    <w:rsid w:val="00361E9E"/>
    <w:rsid w:val="0039169C"/>
    <w:rsid w:val="00397D83"/>
    <w:rsid w:val="003A58AB"/>
    <w:rsid w:val="003B7109"/>
    <w:rsid w:val="003C52A2"/>
    <w:rsid w:val="003C7FBE"/>
    <w:rsid w:val="003D227C"/>
    <w:rsid w:val="003D2B4D"/>
    <w:rsid w:val="00410344"/>
    <w:rsid w:val="0043294B"/>
    <w:rsid w:val="004329BD"/>
    <w:rsid w:val="00442107"/>
    <w:rsid w:val="00444A88"/>
    <w:rsid w:val="0045053E"/>
    <w:rsid w:val="004644EA"/>
    <w:rsid w:val="00472ACF"/>
    <w:rsid w:val="00474DA4"/>
    <w:rsid w:val="00476B4D"/>
    <w:rsid w:val="004805FA"/>
    <w:rsid w:val="004935D2"/>
    <w:rsid w:val="004B1215"/>
    <w:rsid w:val="004B345C"/>
    <w:rsid w:val="004B4722"/>
    <w:rsid w:val="004D047D"/>
    <w:rsid w:val="004F1E9E"/>
    <w:rsid w:val="004F305A"/>
    <w:rsid w:val="00512164"/>
    <w:rsid w:val="00520297"/>
    <w:rsid w:val="005338F9"/>
    <w:rsid w:val="00535F56"/>
    <w:rsid w:val="00540C52"/>
    <w:rsid w:val="0054281C"/>
    <w:rsid w:val="00544581"/>
    <w:rsid w:val="0055268D"/>
    <w:rsid w:val="00553EB4"/>
    <w:rsid w:val="005550A4"/>
    <w:rsid w:val="0057121B"/>
    <w:rsid w:val="00576BE4"/>
    <w:rsid w:val="0059212A"/>
    <w:rsid w:val="005A400A"/>
    <w:rsid w:val="005B317F"/>
    <w:rsid w:val="005D2FE1"/>
    <w:rsid w:val="005F7B92"/>
    <w:rsid w:val="00601B3C"/>
    <w:rsid w:val="006060A5"/>
    <w:rsid w:val="00612379"/>
    <w:rsid w:val="006153B6"/>
    <w:rsid w:val="00615429"/>
    <w:rsid w:val="0061555F"/>
    <w:rsid w:val="00627A8C"/>
    <w:rsid w:val="00636CA6"/>
    <w:rsid w:val="00641200"/>
    <w:rsid w:val="00645CA8"/>
    <w:rsid w:val="006655D3"/>
    <w:rsid w:val="00667404"/>
    <w:rsid w:val="00671852"/>
    <w:rsid w:val="006773E5"/>
    <w:rsid w:val="00687EB4"/>
    <w:rsid w:val="00695C56"/>
    <w:rsid w:val="006A5CDE"/>
    <w:rsid w:val="006A644A"/>
    <w:rsid w:val="006A69B6"/>
    <w:rsid w:val="006B17D2"/>
    <w:rsid w:val="006C11EA"/>
    <w:rsid w:val="006C224E"/>
    <w:rsid w:val="006C3B23"/>
    <w:rsid w:val="006C4A11"/>
    <w:rsid w:val="006D7435"/>
    <w:rsid w:val="006D780A"/>
    <w:rsid w:val="006E2343"/>
    <w:rsid w:val="00701F1E"/>
    <w:rsid w:val="0071271E"/>
    <w:rsid w:val="007131F0"/>
    <w:rsid w:val="00713309"/>
    <w:rsid w:val="00732DEC"/>
    <w:rsid w:val="00735BD5"/>
    <w:rsid w:val="007371B7"/>
    <w:rsid w:val="00744D56"/>
    <w:rsid w:val="00751613"/>
    <w:rsid w:val="007556F6"/>
    <w:rsid w:val="007557F1"/>
    <w:rsid w:val="00755FCE"/>
    <w:rsid w:val="00760EEF"/>
    <w:rsid w:val="00777EE5"/>
    <w:rsid w:val="00784635"/>
    <w:rsid w:val="00784836"/>
    <w:rsid w:val="0079023E"/>
    <w:rsid w:val="007A2854"/>
    <w:rsid w:val="007A4840"/>
    <w:rsid w:val="007C1D92"/>
    <w:rsid w:val="007C4CB9"/>
    <w:rsid w:val="007D0B9D"/>
    <w:rsid w:val="007D19B0"/>
    <w:rsid w:val="007E6870"/>
    <w:rsid w:val="007F498F"/>
    <w:rsid w:val="0080679D"/>
    <w:rsid w:val="008108B0"/>
    <w:rsid w:val="00811B20"/>
    <w:rsid w:val="00816846"/>
    <w:rsid w:val="008211B5"/>
    <w:rsid w:val="0082271C"/>
    <w:rsid w:val="0082296E"/>
    <w:rsid w:val="00824099"/>
    <w:rsid w:val="0082582D"/>
    <w:rsid w:val="008314A8"/>
    <w:rsid w:val="00846D7C"/>
    <w:rsid w:val="00850B54"/>
    <w:rsid w:val="00850FD4"/>
    <w:rsid w:val="00853022"/>
    <w:rsid w:val="00867AC1"/>
    <w:rsid w:val="00872256"/>
    <w:rsid w:val="00890DF8"/>
    <w:rsid w:val="00897E98"/>
    <w:rsid w:val="008A3E38"/>
    <w:rsid w:val="008A743F"/>
    <w:rsid w:val="008B6E60"/>
    <w:rsid w:val="008C0970"/>
    <w:rsid w:val="008D0BC5"/>
    <w:rsid w:val="008D1C86"/>
    <w:rsid w:val="008D2CF7"/>
    <w:rsid w:val="008D7E86"/>
    <w:rsid w:val="008E40A6"/>
    <w:rsid w:val="008E4F12"/>
    <w:rsid w:val="00900C26"/>
    <w:rsid w:val="0090197F"/>
    <w:rsid w:val="0090208B"/>
    <w:rsid w:val="00906DDC"/>
    <w:rsid w:val="009250AA"/>
    <w:rsid w:val="00934E09"/>
    <w:rsid w:val="00934E5E"/>
    <w:rsid w:val="00936253"/>
    <w:rsid w:val="00940D46"/>
    <w:rsid w:val="00952DD4"/>
    <w:rsid w:val="0096250C"/>
    <w:rsid w:val="00965AE7"/>
    <w:rsid w:val="00970FED"/>
    <w:rsid w:val="00973C53"/>
    <w:rsid w:val="00992D82"/>
    <w:rsid w:val="00997029"/>
    <w:rsid w:val="009A7339"/>
    <w:rsid w:val="009B0CB9"/>
    <w:rsid w:val="009B440E"/>
    <w:rsid w:val="009B704D"/>
    <w:rsid w:val="009D690D"/>
    <w:rsid w:val="009E18D2"/>
    <w:rsid w:val="009E5D02"/>
    <w:rsid w:val="009E65B6"/>
    <w:rsid w:val="009F5853"/>
    <w:rsid w:val="00A04A26"/>
    <w:rsid w:val="00A211E8"/>
    <w:rsid w:val="00A24C10"/>
    <w:rsid w:val="00A336E9"/>
    <w:rsid w:val="00A37C2B"/>
    <w:rsid w:val="00A42AC3"/>
    <w:rsid w:val="00A430CF"/>
    <w:rsid w:val="00A54309"/>
    <w:rsid w:val="00A92FA3"/>
    <w:rsid w:val="00A930DD"/>
    <w:rsid w:val="00AA0DEF"/>
    <w:rsid w:val="00AA1C00"/>
    <w:rsid w:val="00AB2B93"/>
    <w:rsid w:val="00AB530F"/>
    <w:rsid w:val="00AB7E5B"/>
    <w:rsid w:val="00AC2883"/>
    <w:rsid w:val="00AC5F56"/>
    <w:rsid w:val="00AE0EF1"/>
    <w:rsid w:val="00AE2937"/>
    <w:rsid w:val="00AF0EAD"/>
    <w:rsid w:val="00B03A49"/>
    <w:rsid w:val="00B07301"/>
    <w:rsid w:val="00B11F3E"/>
    <w:rsid w:val="00B224DE"/>
    <w:rsid w:val="00B324D4"/>
    <w:rsid w:val="00B46575"/>
    <w:rsid w:val="00B535ED"/>
    <w:rsid w:val="00B556C7"/>
    <w:rsid w:val="00B61777"/>
    <w:rsid w:val="00B84BBD"/>
    <w:rsid w:val="00B93B4F"/>
    <w:rsid w:val="00BA43FB"/>
    <w:rsid w:val="00BB4DB2"/>
    <w:rsid w:val="00BC127D"/>
    <w:rsid w:val="00BC1FE6"/>
    <w:rsid w:val="00BC5EB0"/>
    <w:rsid w:val="00BC700C"/>
    <w:rsid w:val="00C061B6"/>
    <w:rsid w:val="00C2446C"/>
    <w:rsid w:val="00C36AE5"/>
    <w:rsid w:val="00C41F17"/>
    <w:rsid w:val="00C504C2"/>
    <w:rsid w:val="00C527FA"/>
    <w:rsid w:val="00C5280D"/>
    <w:rsid w:val="00C53EB3"/>
    <w:rsid w:val="00C5791C"/>
    <w:rsid w:val="00C62CCD"/>
    <w:rsid w:val="00C66290"/>
    <w:rsid w:val="00C72B7A"/>
    <w:rsid w:val="00C763B8"/>
    <w:rsid w:val="00C973F2"/>
    <w:rsid w:val="00CA304C"/>
    <w:rsid w:val="00CA71B1"/>
    <w:rsid w:val="00CA774A"/>
    <w:rsid w:val="00CC11B0"/>
    <w:rsid w:val="00CC2841"/>
    <w:rsid w:val="00CF1330"/>
    <w:rsid w:val="00CF5A90"/>
    <w:rsid w:val="00CF7E36"/>
    <w:rsid w:val="00D10B2E"/>
    <w:rsid w:val="00D3708D"/>
    <w:rsid w:val="00D40426"/>
    <w:rsid w:val="00D40C9F"/>
    <w:rsid w:val="00D57C96"/>
    <w:rsid w:val="00D57D18"/>
    <w:rsid w:val="00D66782"/>
    <w:rsid w:val="00D7614C"/>
    <w:rsid w:val="00D827B7"/>
    <w:rsid w:val="00D909E3"/>
    <w:rsid w:val="00D91203"/>
    <w:rsid w:val="00D95174"/>
    <w:rsid w:val="00DA4973"/>
    <w:rsid w:val="00DA6F36"/>
    <w:rsid w:val="00DB1534"/>
    <w:rsid w:val="00DB2FE8"/>
    <w:rsid w:val="00DB596E"/>
    <w:rsid w:val="00DB7773"/>
    <w:rsid w:val="00DC00EA"/>
    <w:rsid w:val="00DC0EFC"/>
    <w:rsid w:val="00DC2A56"/>
    <w:rsid w:val="00DC3802"/>
    <w:rsid w:val="00E07D87"/>
    <w:rsid w:val="00E25A70"/>
    <w:rsid w:val="00E32F7E"/>
    <w:rsid w:val="00E47F79"/>
    <w:rsid w:val="00E5267B"/>
    <w:rsid w:val="00E63C0E"/>
    <w:rsid w:val="00E6777A"/>
    <w:rsid w:val="00E72D49"/>
    <w:rsid w:val="00E7593C"/>
    <w:rsid w:val="00E7678A"/>
    <w:rsid w:val="00E77198"/>
    <w:rsid w:val="00E935F1"/>
    <w:rsid w:val="00E94A81"/>
    <w:rsid w:val="00EA1FFB"/>
    <w:rsid w:val="00EB048E"/>
    <w:rsid w:val="00EB4E9C"/>
    <w:rsid w:val="00EE34DF"/>
    <w:rsid w:val="00EE62A8"/>
    <w:rsid w:val="00EF2F89"/>
    <w:rsid w:val="00F03E98"/>
    <w:rsid w:val="00F06C29"/>
    <w:rsid w:val="00F1237A"/>
    <w:rsid w:val="00F22CBD"/>
    <w:rsid w:val="00F272F1"/>
    <w:rsid w:val="00F343B8"/>
    <w:rsid w:val="00F43046"/>
    <w:rsid w:val="00F45372"/>
    <w:rsid w:val="00F52059"/>
    <w:rsid w:val="00F560F7"/>
    <w:rsid w:val="00F6334D"/>
    <w:rsid w:val="00FA49AB"/>
    <w:rsid w:val="00FE39C7"/>
    <w:rsid w:val="00FF07D9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EEC5D7C"/>
  <w15:docId w15:val="{B603EDB1-AA95-436E-A322-32C15F71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6773E5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fr-FR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rsid w:val="00853022"/>
    <w:pPr>
      <w:ind w:left="284" w:right="-1"/>
      <w:contextualSpacing/>
    </w:pPr>
    <w:rPr>
      <w:sz w:val="18"/>
    </w:rPr>
  </w:style>
  <w:style w:type="paragraph" w:styleId="TOC3">
    <w:name w:val="toc 3"/>
    <w:next w:val="Normal"/>
    <w:autoRedefine/>
    <w:uiPriority w:val="39"/>
    <w:rsid w:val="00E47F79"/>
    <w:pPr>
      <w:tabs>
        <w:tab w:val="right" w:leader="dot" w:pos="9639"/>
      </w:tabs>
      <w:spacing w:before="120"/>
      <w:ind w:left="568" w:right="-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basedOn w:val="Normal"/>
    <w:next w:val="Normal"/>
    <w:autoRedefine/>
    <w:uiPriority w:val="39"/>
    <w:rsid w:val="00D10B2E"/>
    <w:pPr>
      <w:tabs>
        <w:tab w:val="right" w:leader="dot" w:pos="9356"/>
      </w:tabs>
      <w:spacing w:before="60"/>
      <w:ind w:right="-1"/>
      <w:contextualSpacing/>
      <w:jc w:val="left"/>
    </w:pPr>
    <w:rPr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397D8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66782"/>
    <w:rPr>
      <w:rFonts w:ascii="Arial" w:hAnsi="Arial"/>
      <w:lang w:val="fr-FR"/>
    </w:rPr>
  </w:style>
  <w:style w:type="character" w:customStyle="1" w:styleId="Heading2Char">
    <w:name w:val="Heading 2 Char"/>
    <w:aliases w:val="VARIETY Char,variety Char"/>
    <w:link w:val="Heading2"/>
    <w:locked/>
    <w:rsid w:val="00AA1C00"/>
    <w:rPr>
      <w:rFonts w:ascii="Arial" w:hAnsi="Arial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03A4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4B345C"/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FFC9A-2C8F-4972-8544-112A4D49C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904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TC/55/3</vt:lpstr>
    </vt:vector>
  </TitlesOfParts>
  <Company>UPOV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TC/55/3</dc:title>
  <dc:creator>SANCHEZ VIZCAINO GOMEZ Rosa Maria</dc:creator>
  <cp:lastModifiedBy>MAY Jessica</cp:lastModifiedBy>
  <cp:revision>4</cp:revision>
  <cp:lastPrinted>2019-10-29T09:19:00Z</cp:lastPrinted>
  <dcterms:created xsi:type="dcterms:W3CDTF">2019-10-31T12:04:00Z</dcterms:created>
  <dcterms:modified xsi:type="dcterms:W3CDTF">2019-10-31T12:07:00Z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9467b8eb-f2b6-4658-8b6c-3500fe6aac13</vt:lpwstr>
  </property>
</Properties>
</file>