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0"/>
        <w:gridCol w:w="3025"/>
      </w:tblGrid>
      <w:tr w:rsidR="005C718D" w:rsidRPr="005C718D" w:rsidTr="002A1701">
        <w:tc>
          <w:tcPr>
            <w:tcW w:w="6522" w:type="dxa"/>
          </w:tcPr>
          <w:p w:rsidR="005C718D" w:rsidRPr="005C718D" w:rsidRDefault="005C718D" w:rsidP="002A1701">
            <w:pPr>
              <w:rPr>
                <w:lang w:val="fr-FR"/>
              </w:rPr>
            </w:pPr>
            <w:bookmarkStart w:id="0" w:name="TitleOfDoc"/>
            <w:bookmarkStart w:id="1" w:name="_Toc18604994"/>
            <w:bookmarkEnd w:id="0"/>
            <w:r w:rsidRPr="005C718D">
              <w:rPr>
                <w:noProof/>
              </w:rPr>
              <w:drawing>
                <wp:inline distT="0" distB="0" distL="0" distR="0" wp14:anchorId="499ABA22" wp14:editId="4FE37BCC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5C718D" w:rsidRPr="005C718D" w:rsidRDefault="005C718D" w:rsidP="002A1701">
            <w:pPr>
              <w:pStyle w:val="Lettrine"/>
              <w:rPr>
                <w:lang w:val="fr-FR"/>
              </w:rPr>
            </w:pPr>
            <w:r w:rsidRPr="005C718D">
              <w:rPr>
                <w:lang w:val="fr-FR"/>
              </w:rPr>
              <w:t>F</w:t>
            </w:r>
          </w:p>
        </w:tc>
      </w:tr>
      <w:tr w:rsidR="005C718D" w:rsidRPr="00A301FF" w:rsidTr="002A1701">
        <w:trPr>
          <w:trHeight w:val="219"/>
        </w:trPr>
        <w:tc>
          <w:tcPr>
            <w:tcW w:w="6522" w:type="dxa"/>
          </w:tcPr>
          <w:p w:rsidR="005C718D" w:rsidRPr="005C718D" w:rsidRDefault="005C718D" w:rsidP="002A1701">
            <w:pPr>
              <w:pStyle w:val="upove"/>
              <w:rPr>
                <w:lang w:val="fr-FR"/>
              </w:rPr>
            </w:pPr>
            <w:r w:rsidRPr="005C718D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5C718D" w:rsidRPr="005C718D" w:rsidRDefault="005C718D" w:rsidP="002A1701">
            <w:pPr>
              <w:rPr>
                <w:lang w:val="fr-FR"/>
              </w:rPr>
            </w:pPr>
          </w:p>
        </w:tc>
      </w:tr>
    </w:tbl>
    <w:p w:rsidR="005C718D" w:rsidRPr="005C718D" w:rsidRDefault="005C718D" w:rsidP="005C718D">
      <w:pPr>
        <w:rPr>
          <w:lang w:val="fr-FR"/>
        </w:rPr>
      </w:pPr>
    </w:p>
    <w:p w:rsidR="005C718D" w:rsidRPr="005C718D" w:rsidRDefault="005C718D" w:rsidP="005C718D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320"/>
        <w:gridCol w:w="3035"/>
      </w:tblGrid>
      <w:tr w:rsidR="005C718D" w:rsidRPr="00A301FF" w:rsidTr="002A1701">
        <w:tc>
          <w:tcPr>
            <w:tcW w:w="6512" w:type="dxa"/>
          </w:tcPr>
          <w:p w:rsidR="005C718D" w:rsidRPr="005C718D" w:rsidRDefault="005C718D" w:rsidP="002A1701">
            <w:pPr>
              <w:pStyle w:val="Sessiontc"/>
              <w:spacing w:line="240" w:lineRule="auto"/>
              <w:rPr>
                <w:lang w:val="fr-FR"/>
              </w:rPr>
            </w:pPr>
            <w:r w:rsidRPr="005C718D">
              <w:rPr>
                <w:lang w:val="fr-FR"/>
              </w:rPr>
              <w:t>Comité technique</w:t>
            </w:r>
          </w:p>
          <w:p w:rsidR="005C718D" w:rsidRPr="005C718D" w:rsidRDefault="005C718D" w:rsidP="002A1701">
            <w:pPr>
              <w:pStyle w:val="Sessiontcplacedate"/>
              <w:rPr>
                <w:sz w:val="22"/>
                <w:lang w:val="fr-FR"/>
              </w:rPr>
            </w:pPr>
            <w:r w:rsidRPr="005C718D">
              <w:rPr>
                <w:lang w:val="fr-FR"/>
              </w:rPr>
              <w:t>Cinquante</w:t>
            </w:r>
            <w:r>
              <w:rPr>
                <w:lang w:val="fr-FR"/>
              </w:rPr>
              <w:t>-</w:t>
            </w:r>
            <w:r w:rsidRPr="005C718D">
              <w:rPr>
                <w:lang w:val="fr-FR"/>
              </w:rPr>
              <w:t>cinqu</w:t>
            </w:r>
            <w:r>
              <w:rPr>
                <w:lang w:val="fr-FR"/>
              </w:rPr>
              <w:t>ième session</w:t>
            </w:r>
            <w:r w:rsidRPr="005C718D">
              <w:rPr>
                <w:lang w:val="fr-FR"/>
              </w:rPr>
              <w:br/>
              <w:t>Genève, 28 et 29 octobre 2019</w:t>
            </w:r>
          </w:p>
        </w:tc>
        <w:tc>
          <w:tcPr>
            <w:tcW w:w="3127" w:type="dxa"/>
          </w:tcPr>
          <w:p w:rsidR="005C718D" w:rsidRPr="005C718D" w:rsidRDefault="005C718D" w:rsidP="002A1701">
            <w:pPr>
              <w:pStyle w:val="Doccode"/>
              <w:rPr>
                <w:lang w:val="fr-FR"/>
              </w:rPr>
            </w:pPr>
            <w:r w:rsidRPr="005C718D">
              <w:rPr>
                <w:lang w:val="fr-FR"/>
              </w:rPr>
              <w:t>TC/55/3</w:t>
            </w:r>
          </w:p>
          <w:p w:rsidR="005C718D" w:rsidRPr="005C718D" w:rsidRDefault="005C718D" w:rsidP="002A1701">
            <w:pPr>
              <w:pStyle w:val="Docoriginal"/>
              <w:rPr>
                <w:lang w:val="fr-FR"/>
              </w:rPr>
            </w:pPr>
            <w:r w:rsidRPr="005C718D">
              <w:rPr>
                <w:lang w:val="fr-FR"/>
              </w:rPr>
              <w:t>Original</w:t>
            </w:r>
            <w:r>
              <w:rPr>
                <w:lang w:val="fr-FR"/>
              </w:rPr>
              <w:t> :</w:t>
            </w:r>
            <w:r w:rsidRPr="005C718D">
              <w:rPr>
                <w:b w:val="0"/>
                <w:spacing w:val="0"/>
                <w:lang w:val="fr-FR"/>
              </w:rPr>
              <w:t xml:space="preserve"> anglais</w:t>
            </w:r>
          </w:p>
          <w:p w:rsidR="005C718D" w:rsidRPr="005C718D" w:rsidRDefault="005C718D" w:rsidP="00A301FF">
            <w:pPr>
              <w:pStyle w:val="Docoriginal"/>
              <w:rPr>
                <w:lang w:val="fr-FR"/>
              </w:rPr>
            </w:pPr>
            <w:r w:rsidRPr="005C718D">
              <w:rPr>
                <w:lang w:val="fr-FR"/>
              </w:rPr>
              <w:t>Date</w:t>
            </w:r>
            <w:r>
              <w:rPr>
                <w:lang w:val="fr-FR"/>
              </w:rPr>
              <w:t> :</w:t>
            </w:r>
            <w:r w:rsidRPr="005C718D">
              <w:rPr>
                <w:b w:val="0"/>
                <w:spacing w:val="0"/>
                <w:lang w:val="fr-FR"/>
              </w:rPr>
              <w:t xml:space="preserve"> </w:t>
            </w:r>
            <w:r w:rsidR="00A301FF">
              <w:rPr>
                <w:b w:val="0"/>
                <w:spacing w:val="0"/>
                <w:lang w:val="fr-FR"/>
              </w:rPr>
              <w:t>3 octobre</w:t>
            </w:r>
            <w:r>
              <w:rPr>
                <w:b w:val="0"/>
                <w:spacing w:val="0"/>
                <w:lang w:val="fr-FR"/>
              </w:rPr>
              <w:t> </w:t>
            </w:r>
            <w:r w:rsidRPr="005C718D">
              <w:rPr>
                <w:b w:val="0"/>
                <w:spacing w:val="0"/>
                <w:lang w:val="fr-FR"/>
              </w:rPr>
              <w:t>2019</w:t>
            </w:r>
          </w:p>
        </w:tc>
      </w:tr>
    </w:tbl>
    <w:p w:rsidR="005C718D" w:rsidRPr="005C718D" w:rsidRDefault="005C718D" w:rsidP="005C718D">
      <w:pPr>
        <w:pStyle w:val="Titleofdoc0"/>
        <w:rPr>
          <w:lang w:val="fr-FR"/>
        </w:rPr>
      </w:pPr>
      <w:bookmarkStart w:id="2" w:name="Prepared"/>
      <w:bookmarkEnd w:id="1"/>
      <w:bookmarkEnd w:id="2"/>
      <w:r w:rsidRPr="005C718D">
        <w:rPr>
          <w:lang w:val="fr-FR"/>
        </w:rPr>
        <w:t>Questions d</w:t>
      </w:r>
      <w:r w:rsidR="00A301FF">
        <w:rPr>
          <w:rFonts w:cs="Arial"/>
          <w:lang w:val="fr-FR"/>
        </w:rPr>
        <w:t>É</w:t>
      </w:r>
      <w:r w:rsidRPr="005C718D">
        <w:rPr>
          <w:lang w:val="fr-FR"/>
        </w:rPr>
        <w:t>coulant des travaux des groupes de travail techniques</w:t>
      </w:r>
    </w:p>
    <w:p w:rsidR="005C718D" w:rsidRPr="005C718D" w:rsidRDefault="005C718D" w:rsidP="005C718D">
      <w:pPr>
        <w:pStyle w:val="preparedby1"/>
        <w:jc w:val="left"/>
        <w:rPr>
          <w:lang w:val="fr-FR"/>
        </w:rPr>
      </w:pPr>
      <w:r w:rsidRPr="005C718D">
        <w:rPr>
          <w:lang w:val="fr-FR"/>
        </w:rPr>
        <w:t>Document établi par le Bureau de l</w:t>
      </w:r>
      <w:r>
        <w:rPr>
          <w:lang w:val="fr-FR"/>
        </w:rPr>
        <w:t>’</w:t>
      </w:r>
      <w:r w:rsidRPr="005C718D">
        <w:rPr>
          <w:lang w:val="fr-FR"/>
        </w:rPr>
        <w:t>Union</w:t>
      </w:r>
    </w:p>
    <w:p w:rsidR="005C718D" w:rsidRPr="005C718D" w:rsidRDefault="005C718D" w:rsidP="005C718D">
      <w:pPr>
        <w:pStyle w:val="Disclaimer"/>
        <w:rPr>
          <w:lang w:val="fr-FR"/>
        </w:rPr>
      </w:pPr>
      <w:r w:rsidRPr="005C718D">
        <w:rPr>
          <w:lang w:val="fr-FR"/>
        </w:rPr>
        <w:t>Avertissement</w:t>
      </w:r>
      <w:r>
        <w:rPr>
          <w:lang w:val="fr-FR"/>
        </w:rPr>
        <w:t> :</w:t>
      </w:r>
      <w:r w:rsidRPr="005C718D">
        <w:rPr>
          <w:lang w:val="fr-FR"/>
        </w:rPr>
        <w:t xml:space="preserve"> le présent document ne représente pas les principes ou les orientations de l</w:t>
      </w:r>
      <w:r>
        <w:rPr>
          <w:lang w:val="fr-FR"/>
        </w:rPr>
        <w:t>’</w:t>
      </w:r>
      <w:r w:rsidRPr="005C718D">
        <w:rPr>
          <w:lang w:val="fr-FR"/>
        </w:rPr>
        <w:t>UPOV</w:t>
      </w:r>
    </w:p>
    <w:p w:rsidR="00B03A49" w:rsidRPr="005C718D" w:rsidRDefault="00B97803" w:rsidP="006773E5">
      <w:pPr>
        <w:pStyle w:val="Heading1"/>
        <w:rPr>
          <w:lang w:val="fr-FR"/>
        </w:rPr>
      </w:pPr>
      <w:bookmarkStart w:id="3" w:name="_Toc22473821"/>
      <w:r w:rsidRPr="005C718D">
        <w:rPr>
          <w:lang w:val="fr-FR"/>
        </w:rPr>
        <w:t>R</w:t>
      </w:r>
      <w:r w:rsidR="00A301FF">
        <w:rPr>
          <w:rFonts w:cs="Arial"/>
          <w:lang w:val="fr-FR"/>
        </w:rPr>
        <w:t>É</w:t>
      </w:r>
      <w:r w:rsidRPr="005C718D">
        <w:rPr>
          <w:lang w:val="fr-FR"/>
        </w:rPr>
        <w:t>sum</w:t>
      </w:r>
      <w:r w:rsidR="00A301FF">
        <w:rPr>
          <w:rFonts w:cs="Arial"/>
          <w:lang w:val="fr-FR"/>
        </w:rPr>
        <w:t>É</w:t>
      </w:r>
      <w:bookmarkEnd w:id="3"/>
    </w:p>
    <w:p w:rsidR="00B03A49" w:rsidRPr="005C718D" w:rsidRDefault="00B03A49" w:rsidP="00B03A49">
      <w:pPr>
        <w:rPr>
          <w:color w:val="000000"/>
          <w:lang w:val="fr-FR"/>
        </w:rPr>
      </w:pPr>
    </w:p>
    <w:p w:rsidR="005C718D" w:rsidRDefault="00B03A49" w:rsidP="00A301FF">
      <w:pPr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Pr="005C718D">
        <w:rPr>
          <w:lang w:val="fr-FR"/>
        </w:rPr>
        <w:tab/>
      </w:r>
      <w:r w:rsidR="00B97803" w:rsidRPr="005C718D">
        <w:rPr>
          <w:lang w:val="fr-FR"/>
        </w:rPr>
        <w:t>Le présent</w:t>
      </w:r>
      <w:r w:rsidRPr="005C718D">
        <w:rPr>
          <w:lang w:val="fr-FR"/>
        </w:rPr>
        <w:t xml:space="preserve"> document </w:t>
      </w:r>
      <w:r w:rsidR="00B97803" w:rsidRPr="005C718D">
        <w:rPr>
          <w:lang w:val="fr-FR"/>
        </w:rPr>
        <w:t xml:space="preserve">résume certaines questions découlant des travaux </w:t>
      </w:r>
      <w:r w:rsidR="00E30EB4" w:rsidRPr="005C718D">
        <w:rPr>
          <w:lang w:val="fr-FR"/>
        </w:rPr>
        <w:t xml:space="preserve">du Groupe de travail technique sur les plantes ornementales et les arbres forestiers, du </w:t>
      </w:r>
      <w:r w:rsidR="00E30EB4" w:rsidRPr="005C718D">
        <w:rPr>
          <w:rFonts w:eastAsia="PMingLiU"/>
          <w:szCs w:val="24"/>
          <w:lang w:val="fr-FR"/>
        </w:rPr>
        <w:t>Groupe de travail technique sur les plantes potagères</w:t>
      </w:r>
      <w:r w:rsidR="00442107" w:rsidRPr="005C718D">
        <w:rPr>
          <w:rFonts w:eastAsia="PMingLiU"/>
          <w:szCs w:val="24"/>
          <w:lang w:val="fr-FR"/>
        </w:rPr>
        <w:t>,</w:t>
      </w:r>
      <w:r w:rsidR="00A930DD" w:rsidRPr="005C718D">
        <w:rPr>
          <w:rFonts w:eastAsia="PMingLiU"/>
          <w:szCs w:val="24"/>
          <w:lang w:val="fr-FR"/>
        </w:rPr>
        <w:t xml:space="preserve"> </w:t>
      </w:r>
      <w:r w:rsidR="00E30EB4" w:rsidRPr="005C718D">
        <w:rPr>
          <w:rFonts w:eastAsia="PMingLiU"/>
          <w:szCs w:val="24"/>
          <w:lang w:val="fr-FR"/>
        </w:rPr>
        <w:t xml:space="preserve">du Groupe de travail technique sur les plantes fruitières et du Groupe de travail technique sur les plantes agricoles </w:t>
      </w:r>
      <w:r w:rsidR="00B97803" w:rsidRPr="005C718D">
        <w:rPr>
          <w:lang w:val="fr-FR"/>
        </w:rPr>
        <w:t xml:space="preserve">à leurs sessions </w:t>
      </w:r>
      <w:r w:rsidR="005C718D" w:rsidRPr="005C718D">
        <w:rPr>
          <w:lang w:val="fr-FR"/>
        </w:rPr>
        <w:t>de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2019</w:t>
      </w:r>
      <w:r w:rsidR="00E30EB4" w:rsidRPr="005C718D">
        <w:rPr>
          <w:lang w:val="fr-FR"/>
        </w:rPr>
        <w:t>,</w:t>
      </w:r>
      <w:r w:rsidR="00B97803" w:rsidRPr="005C718D">
        <w:rPr>
          <w:lang w:val="fr-FR"/>
        </w:rPr>
        <w:t xml:space="preserve"> qui ne relèvent pas de points précis de l</w:t>
      </w:r>
      <w:r w:rsidR="005C718D">
        <w:rPr>
          <w:lang w:val="fr-FR"/>
        </w:rPr>
        <w:t>’</w:t>
      </w:r>
      <w:r w:rsidR="00B97803" w:rsidRPr="005C718D">
        <w:rPr>
          <w:lang w:val="fr-FR"/>
        </w:rPr>
        <w:t>ordre du jour</w:t>
      </w:r>
      <w:r w:rsidRPr="005C718D">
        <w:rPr>
          <w:lang w:val="fr-FR"/>
        </w:rPr>
        <w:t>.</w:t>
      </w:r>
    </w:p>
    <w:p w:rsidR="00A930DD" w:rsidRPr="005C718D" w:rsidRDefault="00A930DD" w:rsidP="00B03A49">
      <w:pPr>
        <w:rPr>
          <w:color w:val="000000"/>
          <w:lang w:val="fr-FR"/>
        </w:rPr>
      </w:pPr>
    </w:p>
    <w:p w:rsidR="00B03A49" w:rsidRPr="005C718D" w:rsidRDefault="00A930DD" w:rsidP="00A301FF">
      <w:pPr>
        <w:rPr>
          <w:lang w:val="fr-FR"/>
        </w:rPr>
      </w:pPr>
      <w:r w:rsidRPr="005C718D">
        <w:rPr>
          <w:color w:val="000000"/>
          <w:lang w:val="fr-FR"/>
        </w:rPr>
        <w:fldChar w:fldCharType="begin"/>
      </w:r>
      <w:r w:rsidRPr="005C718D">
        <w:rPr>
          <w:color w:val="000000"/>
          <w:lang w:val="fr-FR"/>
        </w:rPr>
        <w:instrText xml:space="preserve"> AUTONUM  </w:instrText>
      </w:r>
      <w:r w:rsidRPr="005C718D">
        <w:rPr>
          <w:color w:val="000000"/>
          <w:lang w:val="fr-FR"/>
        </w:rPr>
        <w:fldChar w:fldCharType="end"/>
      </w:r>
      <w:r w:rsidRPr="005C718D">
        <w:rPr>
          <w:color w:val="000000"/>
          <w:lang w:val="fr-FR"/>
        </w:rPr>
        <w:tab/>
      </w:r>
      <w:r w:rsidR="00E30EB4" w:rsidRPr="005C718D">
        <w:rPr>
          <w:color w:val="000000"/>
          <w:lang w:val="fr-FR"/>
        </w:rPr>
        <w:t>Ces questions sont regroupées en deux</w:t>
      </w:r>
      <w:r w:rsidR="0055585E">
        <w:rPr>
          <w:color w:val="000000"/>
          <w:lang w:val="fr-FR"/>
        </w:rPr>
        <w:t> </w:t>
      </w:r>
      <w:r w:rsidR="00E30EB4" w:rsidRPr="005C718D">
        <w:rPr>
          <w:color w:val="000000"/>
          <w:lang w:val="fr-FR"/>
        </w:rPr>
        <w:t>parti</w:t>
      </w:r>
      <w:r w:rsidR="00E64434" w:rsidRPr="005C718D">
        <w:rPr>
          <w:color w:val="000000"/>
          <w:lang w:val="fr-FR"/>
        </w:rPr>
        <w:t>es</w:t>
      </w:r>
      <w:r w:rsidR="00E64434">
        <w:rPr>
          <w:color w:val="000000"/>
          <w:lang w:val="fr-FR"/>
        </w:rPr>
        <w:t xml:space="preserve">.  </w:t>
      </w:r>
      <w:r w:rsidR="00E64434" w:rsidRPr="005C718D">
        <w:rPr>
          <w:lang w:val="fr-FR"/>
        </w:rPr>
        <w:t>La</w:t>
      </w:r>
      <w:r w:rsidR="00E30EB4" w:rsidRPr="005C718D">
        <w:rPr>
          <w:lang w:val="fr-FR"/>
        </w:rPr>
        <w:t xml:space="preserve"> première</w:t>
      </w:r>
      <w:r w:rsidR="00B03A49" w:rsidRPr="005C718D">
        <w:rPr>
          <w:lang w:val="fr-FR"/>
        </w:rPr>
        <w:t>,</w:t>
      </w:r>
      <w:r w:rsidR="00E30EB4" w:rsidRPr="005C718D">
        <w:rPr>
          <w:lang w:val="fr-FR"/>
        </w:rPr>
        <w:t xml:space="preserve"> intitulée</w:t>
      </w:r>
      <w:r w:rsidR="00B03A49" w:rsidRPr="005C718D">
        <w:rPr>
          <w:lang w:val="fr-FR"/>
        </w:rPr>
        <w:t xml:space="preserve"> “</w:t>
      </w:r>
      <w:r w:rsidR="00E30EB4" w:rsidRPr="005C718D">
        <w:rPr>
          <w:lang w:val="fr-FR"/>
        </w:rPr>
        <w:t>Questions pour information et décision éventuelle du Comité technique (TC)</w:t>
      </w:r>
      <w:r w:rsidR="00B03A49" w:rsidRPr="005C718D">
        <w:rPr>
          <w:caps/>
          <w:lang w:val="fr-FR"/>
        </w:rPr>
        <w:t>”,</w:t>
      </w:r>
      <w:r w:rsidR="00B03A49" w:rsidRPr="005C718D">
        <w:rPr>
          <w:lang w:val="fr-FR"/>
        </w:rPr>
        <w:t xml:space="preserve"> </w:t>
      </w:r>
      <w:r w:rsidR="00E30EB4" w:rsidRPr="005C718D">
        <w:rPr>
          <w:lang w:val="fr-FR"/>
        </w:rPr>
        <w:t>recense les questions qui peuvent nécessiter une prise de décision par le</w:t>
      </w:r>
      <w:r w:rsidR="005C718D">
        <w:rPr>
          <w:lang w:val="fr-FR"/>
        </w:rPr>
        <w:t> TC</w:t>
      </w:r>
      <w:r w:rsidR="00B03A49" w:rsidRPr="005C718D">
        <w:rPr>
          <w:lang w:val="fr-FR"/>
        </w:rPr>
        <w:t xml:space="preserve">.  </w:t>
      </w:r>
      <w:r w:rsidR="00E30EB4" w:rsidRPr="005C718D">
        <w:rPr>
          <w:lang w:val="fr-FR"/>
        </w:rPr>
        <w:t>Le Bureau de l</w:t>
      </w:r>
      <w:r w:rsidR="005C718D">
        <w:rPr>
          <w:lang w:val="fr-FR"/>
        </w:rPr>
        <w:t>’</w:t>
      </w:r>
      <w:r w:rsidR="00E30EB4" w:rsidRPr="005C718D">
        <w:rPr>
          <w:lang w:val="fr-FR"/>
        </w:rPr>
        <w:t>Union</w:t>
      </w:r>
      <w:r w:rsidR="00B03A49" w:rsidRPr="005C718D">
        <w:rPr>
          <w:lang w:val="fr-FR"/>
        </w:rPr>
        <w:t xml:space="preserve"> (</w:t>
      </w:r>
      <w:r w:rsidR="00E30EB4" w:rsidRPr="005C718D">
        <w:rPr>
          <w:lang w:val="fr-FR"/>
        </w:rPr>
        <w:t>ci</w:t>
      </w:r>
      <w:r w:rsidR="005C718D">
        <w:rPr>
          <w:lang w:val="fr-FR"/>
        </w:rPr>
        <w:t>-</w:t>
      </w:r>
      <w:r w:rsidR="00E30EB4" w:rsidRPr="005C718D">
        <w:rPr>
          <w:lang w:val="fr-FR"/>
        </w:rPr>
        <w:t>après dénommé “Bureau”</w:t>
      </w:r>
      <w:r w:rsidR="00B03A49" w:rsidRPr="005C718D">
        <w:rPr>
          <w:lang w:val="fr-FR"/>
        </w:rPr>
        <w:t xml:space="preserve">) </w:t>
      </w:r>
      <w:r w:rsidR="00E30EB4" w:rsidRPr="005C718D">
        <w:rPr>
          <w:lang w:val="fr-FR"/>
        </w:rPr>
        <w:t>a précisé les questions au sujet desquelles le</w:t>
      </w:r>
      <w:r w:rsidR="005C718D">
        <w:rPr>
          <w:lang w:val="fr-FR"/>
        </w:rPr>
        <w:t> TC</w:t>
      </w:r>
      <w:r w:rsidR="00E30EB4" w:rsidRPr="005C718D">
        <w:rPr>
          <w:lang w:val="fr-FR"/>
        </w:rPr>
        <w:t xml:space="preserve"> peut souhaiter prendre une décision en présentant un paragraphe contenant une proposition de décisi</w:t>
      </w:r>
      <w:r w:rsidR="00E64434" w:rsidRPr="005C718D">
        <w:rPr>
          <w:lang w:val="fr-FR"/>
        </w:rPr>
        <w:t>on</w:t>
      </w:r>
      <w:r w:rsidR="00E64434">
        <w:rPr>
          <w:lang w:val="fr-FR"/>
        </w:rPr>
        <w:t xml:space="preserve">.  </w:t>
      </w:r>
      <w:r w:rsidR="00E64434" w:rsidRPr="005C718D">
        <w:rPr>
          <w:lang w:val="fr-FR"/>
        </w:rPr>
        <w:t>La</w:t>
      </w:r>
      <w:r w:rsidR="00E30EB4" w:rsidRPr="005C718D">
        <w:rPr>
          <w:lang w:val="fr-FR"/>
        </w:rPr>
        <w:t xml:space="preserve"> seconde partie</w:t>
      </w:r>
      <w:r w:rsidR="00B03A49" w:rsidRPr="005C718D">
        <w:rPr>
          <w:lang w:val="fr-FR"/>
        </w:rPr>
        <w:t xml:space="preserve">, </w:t>
      </w:r>
      <w:r w:rsidR="00E30EB4" w:rsidRPr="005C718D">
        <w:rPr>
          <w:lang w:val="fr-FR"/>
        </w:rPr>
        <w:t xml:space="preserve">intitulée </w:t>
      </w:r>
      <w:r w:rsidR="00B03A49" w:rsidRPr="005C718D">
        <w:rPr>
          <w:lang w:val="fr-FR"/>
        </w:rPr>
        <w:t>“</w:t>
      </w:r>
      <w:r w:rsidR="00E30EB4" w:rsidRPr="005C718D">
        <w:rPr>
          <w:lang w:val="fr-FR"/>
        </w:rPr>
        <w:t>Questions pour</w:t>
      </w:r>
      <w:r w:rsidR="00B03A49" w:rsidRPr="005C718D">
        <w:rPr>
          <w:lang w:val="fr-FR"/>
        </w:rPr>
        <w:t xml:space="preserve"> information”, </w:t>
      </w:r>
      <w:r w:rsidR="00E30EB4" w:rsidRPr="005C718D">
        <w:rPr>
          <w:lang w:val="fr-FR"/>
        </w:rPr>
        <w:t>est communiquée pour l</w:t>
      </w:r>
      <w:r w:rsidR="005C718D">
        <w:rPr>
          <w:lang w:val="fr-FR"/>
        </w:rPr>
        <w:t>’</w:t>
      </w:r>
      <w:r w:rsidR="00E30EB4" w:rsidRPr="005C718D">
        <w:rPr>
          <w:lang w:val="fr-FR"/>
        </w:rPr>
        <w:t>information du</w:t>
      </w:r>
      <w:r w:rsidR="005C718D">
        <w:rPr>
          <w:lang w:val="fr-FR"/>
        </w:rPr>
        <w:t> TC</w:t>
      </w:r>
      <w:r w:rsidR="00E30EB4" w:rsidRPr="005C718D">
        <w:rPr>
          <w:lang w:val="fr-FR"/>
        </w:rPr>
        <w:t>, mais n</w:t>
      </w:r>
      <w:r w:rsidR="005C718D">
        <w:rPr>
          <w:lang w:val="fr-FR"/>
        </w:rPr>
        <w:t>’</w:t>
      </w:r>
      <w:r w:rsidR="00E30EB4" w:rsidRPr="005C718D">
        <w:rPr>
          <w:lang w:val="fr-FR"/>
        </w:rPr>
        <w:t>appelle pas de décision à ce stade</w:t>
      </w:r>
      <w:r w:rsidR="00B03A49" w:rsidRPr="005C718D">
        <w:rPr>
          <w:lang w:val="fr-FR"/>
        </w:rPr>
        <w:t>.</w:t>
      </w:r>
    </w:p>
    <w:p w:rsidR="00B03A49" w:rsidRPr="005C718D" w:rsidRDefault="00B03A49" w:rsidP="00B03A49">
      <w:pPr>
        <w:tabs>
          <w:tab w:val="left" w:pos="567"/>
          <w:tab w:val="left" w:pos="1701"/>
        </w:tabs>
        <w:ind w:left="1695" w:hanging="1695"/>
        <w:rPr>
          <w:rFonts w:eastAsia="PMingLiU"/>
          <w:szCs w:val="24"/>
          <w:lang w:val="fr-FR"/>
        </w:rPr>
      </w:pPr>
    </w:p>
    <w:p w:rsidR="00AC5F56" w:rsidRPr="005C718D" w:rsidRDefault="00AC5F56" w:rsidP="00BC700C">
      <w:pPr>
        <w:tabs>
          <w:tab w:val="left" w:pos="567"/>
        </w:tabs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Pr="005C718D">
        <w:rPr>
          <w:lang w:val="fr-FR"/>
        </w:rPr>
        <w:tab/>
      </w:r>
      <w:r w:rsidR="00E30EB4" w:rsidRPr="005C718D">
        <w:rPr>
          <w:lang w:val="fr-FR"/>
        </w:rPr>
        <w:t>Le</w:t>
      </w:r>
      <w:r w:rsidR="005C718D">
        <w:rPr>
          <w:lang w:val="fr-FR"/>
        </w:rPr>
        <w:t> TC</w:t>
      </w:r>
      <w:r w:rsidR="00E30EB4" w:rsidRPr="005C718D">
        <w:rPr>
          <w:lang w:val="fr-FR"/>
        </w:rPr>
        <w:t xml:space="preserve"> est invité à prendre note des faits nouveaux </w:t>
      </w:r>
      <w:r w:rsidR="00D06819" w:rsidRPr="005C718D">
        <w:rPr>
          <w:lang w:val="fr-FR"/>
        </w:rPr>
        <w:t>ad</w:t>
      </w:r>
      <w:r w:rsidR="00E30EB4" w:rsidRPr="005C718D">
        <w:rPr>
          <w:lang w:val="fr-FR"/>
        </w:rPr>
        <w:t xml:space="preserve">venus au sein des groupes de travail techniques </w:t>
      </w:r>
      <w:r w:rsidR="00D84990" w:rsidRPr="005C718D">
        <w:rPr>
          <w:lang w:val="fr-FR"/>
        </w:rPr>
        <w:t>concernant les point</w:t>
      </w:r>
      <w:r w:rsidR="00D06819" w:rsidRPr="005C718D">
        <w:rPr>
          <w:lang w:val="fr-FR"/>
        </w:rPr>
        <w:t>s suivants</w:t>
      </w:r>
      <w:r w:rsidR="005C718D">
        <w:rPr>
          <w:lang w:val="fr-FR"/>
        </w:rPr>
        <w:t> :</w:t>
      </w:r>
    </w:p>
    <w:p w:rsidR="00AC5F56" w:rsidRPr="005C718D" w:rsidRDefault="00AC5F56" w:rsidP="00AC5F56">
      <w:pPr>
        <w:tabs>
          <w:tab w:val="left" w:pos="567"/>
        </w:tabs>
        <w:rPr>
          <w:lang w:val="fr-FR"/>
        </w:rPr>
      </w:pPr>
    </w:p>
    <w:p w:rsidR="00AC5F56" w:rsidRPr="005C718D" w:rsidRDefault="00AC5F56" w:rsidP="00BC700C">
      <w:pPr>
        <w:tabs>
          <w:tab w:val="left" w:pos="1701"/>
        </w:tabs>
        <w:ind w:left="1134" w:hanging="567"/>
        <w:rPr>
          <w:lang w:val="fr-FR"/>
        </w:rPr>
      </w:pPr>
      <w:r w:rsidRPr="005C718D">
        <w:rPr>
          <w:lang w:val="fr-FR"/>
        </w:rPr>
        <w:t>i)</w:t>
      </w:r>
      <w:r w:rsidRPr="005C718D">
        <w:rPr>
          <w:lang w:val="fr-FR"/>
        </w:rPr>
        <w:tab/>
      </w:r>
      <w:r w:rsidR="00D06819" w:rsidRPr="005C718D">
        <w:rPr>
          <w:lang w:val="fr-FR"/>
        </w:rPr>
        <w:t>U</w:t>
      </w:r>
      <w:r w:rsidR="00D44131" w:rsidRPr="005C718D">
        <w:rPr>
          <w:lang w:val="fr-FR"/>
        </w:rPr>
        <w:t>tilisation</w:t>
      </w:r>
      <w:r w:rsidR="00DC2A56" w:rsidRPr="005C718D">
        <w:rPr>
          <w:lang w:val="fr-FR"/>
        </w:rPr>
        <w:t xml:space="preserve"> </w:t>
      </w:r>
      <w:r w:rsidR="00D44131" w:rsidRPr="005C718D">
        <w:rPr>
          <w:lang w:val="fr-FR"/>
        </w:rPr>
        <w:t>de caractères de ré</w:t>
      </w:r>
      <w:r w:rsidR="00DC2A56" w:rsidRPr="005C718D">
        <w:rPr>
          <w:lang w:val="fr-FR"/>
        </w:rPr>
        <w:t>sistance</w:t>
      </w:r>
      <w:r w:rsidR="00D44131" w:rsidRPr="005C718D">
        <w:rPr>
          <w:lang w:val="fr-FR"/>
        </w:rPr>
        <w:t xml:space="preserve"> aux maladies,</w:t>
      </w:r>
    </w:p>
    <w:p w:rsidR="00AC5F56" w:rsidRPr="005C718D" w:rsidRDefault="00AC5F56" w:rsidP="00BC700C">
      <w:pPr>
        <w:tabs>
          <w:tab w:val="left" w:pos="1701"/>
        </w:tabs>
        <w:ind w:left="1134" w:hanging="567"/>
        <w:rPr>
          <w:lang w:val="fr-FR"/>
        </w:rPr>
      </w:pPr>
      <w:r w:rsidRPr="005C718D">
        <w:rPr>
          <w:lang w:val="fr-FR"/>
        </w:rPr>
        <w:t>ii)</w:t>
      </w:r>
      <w:r w:rsidRPr="005C718D">
        <w:rPr>
          <w:lang w:val="fr-FR"/>
        </w:rPr>
        <w:tab/>
      </w:r>
      <w:r w:rsidR="00D06819" w:rsidRPr="005C718D">
        <w:rPr>
          <w:lang w:val="fr-FR"/>
        </w:rPr>
        <w:t>A</w:t>
      </w:r>
      <w:r w:rsidR="00D44131" w:rsidRPr="005C718D">
        <w:rPr>
          <w:lang w:val="fr-FR"/>
        </w:rPr>
        <w:t>ccè</w:t>
      </w:r>
      <w:r w:rsidR="00DC2A56" w:rsidRPr="005C718D">
        <w:rPr>
          <w:lang w:val="fr-FR"/>
        </w:rPr>
        <w:t xml:space="preserve">s </w:t>
      </w:r>
      <w:r w:rsidR="00D44131" w:rsidRPr="005C718D">
        <w:rPr>
          <w:lang w:val="fr-FR"/>
        </w:rPr>
        <w:t>au matériel végétal</w:t>
      </w:r>
      <w:r w:rsidR="00DC2A56" w:rsidRPr="005C718D">
        <w:rPr>
          <w:lang w:val="fr-FR"/>
        </w:rPr>
        <w:t xml:space="preserve"> </w:t>
      </w:r>
      <w:r w:rsidR="002520D9" w:rsidRPr="005C718D">
        <w:rPr>
          <w:lang w:val="fr-FR"/>
        </w:rPr>
        <w:t>aux fins de</w:t>
      </w:r>
      <w:r w:rsidR="00D44131" w:rsidRPr="005C718D">
        <w:rPr>
          <w:lang w:val="fr-FR"/>
        </w:rPr>
        <w:t xml:space="preserve"> la gestion des </w:t>
      </w:r>
      <w:r w:rsidR="00DC2A56" w:rsidRPr="005C718D">
        <w:rPr>
          <w:lang w:val="fr-FR"/>
        </w:rPr>
        <w:t xml:space="preserve">collections </w:t>
      </w:r>
      <w:r w:rsidR="00D44131" w:rsidRPr="005C718D">
        <w:rPr>
          <w:lang w:val="fr-FR"/>
        </w:rPr>
        <w:t>de variété</w:t>
      </w:r>
      <w:r w:rsidR="000E6BA8" w:rsidRPr="005C718D">
        <w:rPr>
          <w:lang w:val="fr-FR"/>
        </w:rPr>
        <w:t>s</w:t>
      </w:r>
      <w:r w:rsidR="002520D9" w:rsidRPr="005C718D">
        <w:rPr>
          <w:lang w:val="fr-FR"/>
        </w:rPr>
        <w:t xml:space="preserve"> et de</w:t>
      </w:r>
      <w:r w:rsidR="00D44131" w:rsidRPr="005C718D">
        <w:rPr>
          <w:lang w:val="fr-FR"/>
        </w:rPr>
        <w:t xml:space="preserve"> l</w:t>
      </w:r>
      <w:r w:rsidR="005C718D">
        <w:rPr>
          <w:lang w:val="fr-FR"/>
        </w:rPr>
        <w:t>’</w:t>
      </w:r>
      <w:r w:rsidR="00D44131" w:rsidRPr="005C718D">
        <w:rPr>
          <w:lang w:val="fr-FR"/>
        </w:rPr>
        <w:t>examen</w:t>
      </w:r>
      <w:r w:rsidR="0055585E">
        <w:rPr>
          <w:lang w:val="fr-FR"/>
        </w:rPr>
        <w:t> </w:t>
      </w:r>
      <w:r w:rsidR="00DC2A56" w:rsidRPr="005C718D">
        <w:rPr>
          <w:lang w:val="fr-FR"/>
        </w:rPr>
        <w:t>D</w:t>
      </w:r>
      <w:r w:rsidR="00D44131" w:rsidRPr="005C718D">
        <w:rPr>
          <w:lang w:val="fr-FR"/>
        </w:rPr>
        <w:t>H</w:t>
      </w:r>
      <w:r w:rsidR="00DC2A56" w:rsidRPr="005C718D">
        <w:rPr>
          <w:lang w:val="fr-FR"/>
        </w:rPr>
        <w:t>S</w:t>
      </w:r>
      <w:r w:rsidR="00D44131" w:rsidRPr="005C718D">
        <w:rPr>
          <w:lang w:val="fr-FR"/>
        </w:rPr>
        <w:t>,</w:t>
      </w:r>
    </w:p>
    <w:p w:rsidR="00AC5F56" w:rsidRPr="005C718D" w:rsidRDefault="00AC5F56" w:rsidP="00BC700C">
      <w:pPr>
        <w:tabs>
          <w:tab w:val="left" w:pos="1701"/>
        </w:tabs>
        <w:ind w:left="1134" w:hanging="567"/>
        <w:rPr>
          <w:lang w:val="fr-FR"/>
        </w:rPr>
      </w:pPr>
      <w:r w:rsidRPr="005C718D">
        <w:rPr>
          <w:lang w:val="fr-FR"/>
        </w:rPr>
        <w:t>iii)</w:t>
      </w:r>
      <w:r w:rsidRPr="005C718D">
        <w:rPr>
          <w:lang w:val="fr-FR"/>
        </w:rPr>
        <w:tab/>
      </w:r>
      <w:r w:rsidR="00D06819" w:rsidRPr="005C718D">
        <w:rPr>
          <w:lang w:val="fr-FR"/>
        </w:rPr>
        <w:t>E</w:t>
      </w:r>
      <w:r w:rsidR="00D44131" w:rsidRPr="005C718D">
        <w:rPr>
          <w:lang w:val="fr-FR"/>
        </w:rPr>
        <w:t xml:space="preserve">xamen </w:t>
      </w:r>
      <w:r w:rsidR="00DC2A56" w:rsidRPr="005C718D">
        <w:rPr>
          <w:lang w:val="fr-FR"/>
        </w:rPr>
        <w:t>D</w:t>
      </w:r>
      <w:r w:rsidR="00D44131" w:rsidRPr="005C718D">
        <w:rPr>
          <w:lang w:val="fr-FR"/>
        </w:rPr>
        <w:t>H</w:t>
      </w:r>
      <w:r w:rsidR="00DC2A56" w:rsidRPr="005C718D">
        <w:rPr>
          <w:lang w:val="fr-FR"/>
        </w:rPr>
        <w:t xml:space="preserve">S </w:t>
      </w:r>
      <w:r w:rsidR="00D44131" w:rsidRPr="005C718D">
        <w:rPr>
          <w:lang w:val="fr-FR"/>
        </w:rPr>
        <w:t>des variétés mutantes du pommier,</w:t>
      </w:r>
    </w:p>
    <w:p w:rsidR="00AC5F56" w:rsidRPr="005C718D" w:rsidRDefault="00AC5F56" w:rsidP="00BC700C">
      <w:pPr>
        <w:tabs>
          <w:tab w:val="left" w:pos="1701"/>
        </w:tabs>
        <w:ind w:left="1134" w:hanging="567"/>
        <w:rPr>
          <w:lang w:val="fr-FR"/>
        </w:rPr>
      </w:pPr>
      <w:r w:rsidRPr="005C718D">
        <w:rPr>
          <w:lang w:val="fr-FR"/>
        </w:rPr>
        <w:t>iv)</w:t>
      </w:r>
      <w:r w:rsidRPr="005C718D">
        <w:rPr>
          <w:lang w:val="fr-FR"/>
        </w:rPr>
        <w:tab/>
      </w:r>
      <w:r w:rsidR="00D06819" w:rsidRPr="005C718D">
        <w:rPr>
          <w:lang w:val="fr-FR"/>
        </w:rPr>
        <w:t>D</w:t>
      </w:r>
      <w:r w:rsidR="00D44131" w:rsidRPr="005C718D">
        <w:rPr>
          <w:lang w:val="fr-FR"/>
        </w:rPr>
        <w:t>onnées d</w:t>
      </w:r>
      <w:r w:rsidR="005C718D">
        <w:rPr>
          <w:lang w:val="fr-FR"/>
        </w:rPr>
        <w:t>’</w:t>
      </w:r>
      <w:r w:rsidR="00D44131" w:rsidRPr="005C718D">
        <w:rPr>
          <w:lang w:val="fr-FR"/>
        </w:rPr>
        <w:t>expérience relatives à la définition des arbres</w:t>
      </w:r>
      <w:r w:rsidR="00DC2A56" w:rsidRPr="005C718D">
        <w:rPr>
          <w:lang w:val="fr-FR"/>
        </w:rPr>
        <w:t>,</w:t>
      </w:r>
      <w:r w:rsidR="00D44131" w:rsidRPr="005C718D">
        <w:rPr>
          <w:lang w:val="fr-FR"/>
        </w:rPr>
        <w:t xml:space="preserve"> des arbustes et de la</w:t>
      </w:r>
      <w:r w:rsidR="00DC2A56" w:rsidRPr="005C718D">
        <w:rPr>
          <w:lang w:val="fr-FR"/>
        </w:rPr>
        <w:t xml:space="preserve"> vi</w:t>
      </w:r>
      <w:r w:rsidR="00D44131" w:rsidRPr="005C718D">
        <w:rPr>
          <w:lang w:val="fr-FR"/>
        </w:rPr>
        <w:t>gne,</w:t>
      </w:r>
    </w:p>
    <w:p w:rsidR="00AC5F56" w:rsidRPr="005C718D" w:rsidRDefault="00AC5F56" w:rsidP="00BC700C">
      <w:pPr>
        <w:tabs>
          <w:tab w:val="left" w:pos="1701"/>
        </w:tabs>
        <w:ind w:left="1134" w:hanging="567"/>
        <w:rPr>
          <w:lang w:val="fr-FR"/>
        </w:rPr>
      </w:pPr>
      <w:r w:rsidRPr="005C718D">
        <w:rPr>
          <w:lang w:val="fr-FR"/>
        </w:rPr>
        <w:t>v)</w:t>
      </w:r>
      <w:r w:rsidRPr="005C718D">
        <w:rPr>
          <w:lang w:val="fr-FR"/>
        </w:rPr>
        <w:tab/>
      </w:r>
      <w:r w:rsidR="00D06819" w:rsidRPr="005C718D">
        <w:rPr>
          <w:lang w:val="fr-FR"/>
        </w:rPr>
        <w:t>D</w:t>
      </w:r>
      <w:r w:rsidR="00D44131" w:rsidRPr="005C718D">
        <w:rPr>
          <w:lang w:val="fr-FR"/>
        </w:rPr>
        <w:t>éfinition du</w:t>
      </w:r>
      <w:r w:rsidR="00DC2A56" w:rsidRPr="005C718D">
        <w:rPr>
          <w:lang w:val="fr-FR"/>
        </w:rPr>
        <w:t xml:space="preserve"> “cycle</w:t>
      </w:r>
      <w:r w:rsidR="00D44131" w:rsidRPr="005C718D">
        <w:rPr>
          <w:lang w:val="fr-FR"/>
        </w:rPr>
        <w:t xml:space="preserve"> de végétation</w:t>
      </w:r>
      <w:r w:rsidR="00DC2A56" w:rsidRPr="005C718D">
        <w:rPr>
          <w:lang w:val="fr-FR"/>
        </w:rPr>
        <w:t xml:space="preserve">” </w:t>
      </w:r>
      <w:r w:rsidR="00387517" w:rsidRPr="005C718D">
        <w:rPr>
          <w:lang w:val="fr-FR"/>
        </w:rPr>
        <w:t>d</w:t>
      </w:r>
      <w:r w:rsidR="00D44131" w:rsidRPr="005C718D">
        <w:rPr>
          <w:lang w:val="fr-FR"/>
        </w:rPr>
        <w:t>es variétés ornementales,</w:t>
      </w:r>
    </w:p>
    <w:p w:rsidR="00AC5F56" w:rsidRPr="005C718D" w:rsidRDefault="00AC5F56" w:rsidP="00BC700C">
      <w:pPr>
        <w:tabs>
          <w:tab w:val="left" w:pos="1701"/>
        </w:tabs>
        <w:ind w:left="1134" w:hanging="567"/>
        <w:rPr>
          <w:lang w:val="fr-FR"/>
        </w:rPr>
      </w:pPr>
      <w:r w:rsidRPr="005C718D">
        <w:rPr>
          <w:lang w:val="fr-FR"/>
        </w:rPr>
        <w:t>vi)</w:t>
      </w:r>
      <w:r w:rsidRPr="005C718D">
        <w:rPr>
          <w:lang w:val="fr-FR"/>
        </w:rPr>
        <w:tab/>
      </w:r>
      <w:r w:rsidR="00D06819" w:rsidRPr="005C718D">
        <w:rPr>
          <w:lang w:val="fr-FR"/>
        </w:rPr>
        <w:t>D</w:t>
      </w:r>
      <w:r w:rsidR="00D44131" w:rsidRPr="005C718D">
        <w:rPr>
          <w:lang w:val="fr-FR"/>
        </w:rPr>
        <w:t>onnées d</w:t>
      </w:r>
      <w:r w:rsidR="005C718D">
        <w:rPr>
          <w:lang w:val="fr-FR"/>
        </w:rPr>
        <w:t>’</w:t>
      </w:r>
      <w:r w:rsidR="00D44131" w:rsidRPr="005C718D">
        <w:rPr>
          <w:lang w:val="fr-FR"/>
        </w:rPr>
        <w:t>expérience relatives aux caractères évalués sur la base d</w:t>
      </w:r>
      <w:r w:rsidR="005C718D">
        <w:rPr>
          <w:lang w:val="fr-FR"/>
        </w:rPr>
        <w:t>’</w:t>
      </w:r>
      <w:r w:rsidR="00D44131" w:rsidRPr="005C718D">
        <w:rPr>
          <w:lang w:val="fr-FR"/>
        </w:rPr>
        <w:t>échantillons globaux,</w:t>
      </w:r>
    </w:p>
    <w:p w:rsidR="00AC5F56" w:rsidRPr="005C718D" w:rsidRDefault="00AC5F56" w:rsidP="00BC700C">
      <w:pPr>
        <w:tabs>
          <w:tab w:val="left" w:pos="1701"/>
        </w:tabs>
        <w:ind w:left="1134" w:hanging="567"/>
        <w:rPr>
          <w:lang w:val="fr-FR"/>
        </w:rPr>
      </w:pPr>
      <w:r w:rsidRPr="005C718D">
        <w:rPr>
          <w:lang w:val="fr-FR"/>
        </w:rPr>
        <w:t>vii)</w:t>
      </w:r>
      <w:r w:rsidRPr="005C718D">
        <w:rPr>
          <w:lang w:val="fr-FR"/>
        </w:rPr>
        <w:tab/>
      </w:r>
      <w:r w:rsidR="00D06819" w:rsidRPr="005C718D">
        <w:rPr>
          <w:lang w:val="fr-FR"/>
        </w:rPr>
        <w:t>D</w:t>
      </w:r>
      <w:r w:rsidR="00D44131" w:rsidRPr="005C718D">
        <w:rPr>
          <w:lang w:val="fr-FR"/>
        </w:rPr>
        <w:t>onnées d</w:t>
      </w:r>
      <w:r w:rsidR="005C718D">
        <w:rPr>
          <w:lang w:val="fr-FR"/>
        </w:rPr>
        <w:t>’</w:t>
      </w:r>
      <w:r w:rsidR="00D44131" w:rsidRPr="005C718D">
        <w:rPr>
          <w:lang w:val="fr-FR"/>
        </w:rPr>
        <w:t>expé</w:t>
      </w:r>
      <w:r w:rsidR="00DC2A56" w:rsidRPr="005C718D">
        <w:rPr>
          <w:lang w:val="fr-FR"/>
        </w:rPr>
        <w:t xml:space="preserve">rience </w:t>
      </w:r>
      <w:r w:rsidR="00D44131" w:rsidRPr="005C718D">
        <w:rPr>
          <w:lang w:val="fr-FR"/>
        </w:rPr>
        <w:t xml:space="preserve">relatives au code couleur </w:t>
      </w:r>
      <w:r w:rsidR="00DC2A56" w:rsidRPr="005C718D">
        <w:rPr>
          <w:lang w:val="fr-FR"/>
        </w:rPr>
        <w:t xml:space="preserve">RHS </w:t>
      </w:r>
      <w:r w:rsidR="00052EC7" w:rsidRPr="005C718D">
        <w:rPr>
          <w:lang w:val="fr-FR"/>
        </w:rPr>
        <w:t>et à l</w:t>
      </w:r>
      <w:r w:rsidR="005C718D">
        <w:rPr>
          <w:lang w:val="fr-FR"/>
        </w:rPr>
        <w:t>’</w:t>
      </w:r>
      <w:r w:rsidR="00052EC7" w:rsidRPr="005C718D">
        <w:rPr>
          <w:lang w:val="fr-FR"/>
        </w:rPr>
        <w:t>ajout éventuel de couleurs à l</w:t>
      </w:r>
      <w:r w:rsidR="005C718D">
        <w:rPr>
          <w:lang w:val="fr-FR"/>
        </w:rPr>
        <w:t>’</w:t>
      </w:r>
      <w:r w:rsidR="00052EC7" w:rsidRPr="005C718D">
        <w:rPr>
          <w:lang w:val="fr-FR"/>
        </w:rPr>
        <w:t>avenir,</w:t>
      </w:r>
    </w:p>
    <w:p w:rsidR="00AC5F56" w:rsidRPr="005C718D" w:rsidRDefault="00AC5F56" w:rsidP="00BC700C">
      <w:pPr>
        <w:tabs>
          <w:tab w:val="left" w:pos="1701"/>
        </w:tabs>
        <w:ind w:left="1134" w:hanging="567"/>
        <w:rPr>
          <w:lang w:val="fr-FR"/>
        </w:rPr>
      </w:pPr>
      <w:r w:rsidRPr="005C718D">
        <w:rPr>
          <w:lang w:val="fr-FR"/>
        </w:rPr>
        <w:t>viii)</w:t>
      </w:r>
      <w:r w:rsidRPr="005C718D">
        <w:rPr>
          <w:lang w:val="fr-FR"/>
        </w:rPr>
        <w:tab/>
      </w:r>
      <w:r w:rsidR="00D06819" w:rsidRPr="005C718D">
        <w:rPr>
          <w:lang w:val="fr-FR"/>
        </w:rPr>
        <w:t>D</w:t>
      </w:r>
      <w:r w:rsidR="00052EC7" w:rsidRPr="005C718D">
        <w:rPr>
          <w:lang w:val="fr-FR"/>
        </w:rPr>
        <w:t>onnées d</w:t>
      </w:r>
      <w:r w:rsidR="005C718D">
        <w:rPr>
          <w:lang w:val="fr-FR"/>
        </w:rPr>
        <w:t>’</w:t>
      </w:r>
      <w:r w:rsidR="00052EC7" w:rsidRPr="005C718D">
        <w:rPr>
          <w:lang w:val="fr-FR"/>
        </w:rPr>
        <w:t>expé</w:t>
      </w:r>
      <w:r w:rsidR="00DC2A56" w:rsidRPr="005C718D">
        <w:rPr>
          <w:lang w:val="fr-FR"/>
        </w:rPr>
        <w:t xml:space="preserve">rience </w:t>
      </w:r>
      <w:r w:rsidR="00052EC7" w:rsidRPr="005C718D">
        <w:rPr>
          <w:lang w:val="fr-FR"/>
        </w:rPr>
        <w:t xml:space="preserve">relatives aux </w:t>
      </w:r>
      <w:r w:rsidR="00DE24EA" w:rsidRPr="005C718D">
        <w:rPr>
          <w:lang w:val="fr-FR"/>
        </w:rPr>
        <w:t xml:space="preserve">bases de </w:t>
      </w:r>
      <w:r w:rsidR="00052EC7" w:rsidRPr="005C718D">
        <w:rPr>
          <w:lang w:val="fr-FR"/>
        </w:rPr>
        <w:t>données taxonomiques,</w:t>
      </w:r>
    </w:p>
    <w:p w:rsidR="00AC5F56" w:rsidRPr="005C718D" w:rsidRDefault="00AC5F56" w:rsidP="00BC700C">
      <w:pPr>
        <w:tabs>
          <w:tab w:val="left" w:pos="1701"/>
        </w:tabs>
        <w:ind w:left="1134" w:hanging="567"/>
        <w:rPr>
          <w:lang w:val="fr-FR"/>
        </w:rPr>
      </w:pPr>
      <w:r w:rsidRPr="005C718D">
        <w:rPr>
          <w:lang w:val="fr-FR"/>
        </w:rPr>
        <w:t>ix)</w:t>
      </w:r>
      <w:r w:rsidRPr="005C718D">
        <w:rPr>
          <w:lang w:val="fr-FR"/>
        </w:rPr>
        <w:tab/>
      </w:r>
      <w:r w:rsidR="00D06819" w:rsidRPr="005C718D">
        <w:rPr>
          <w:lang w:val="fr-FR"/>
        </w:rPr>
        <w:t>D</w:t>
      </w:r>
      <w:r w:rsidR="00052EC7" w:rsidRPr="005C718D">
        <w:rPr>
          <w:lang w:val="fr-FR"/>
        </w:rPr>
        <w:t>ivergences entre les informations figurant dans le questionnaire technique et le matériel végétal soumis pour examen,</w:t>
      </w:r>
    </w:p>
    <w:p w:rsidR="00AC5F56" w:rsidRPr="005C718D" w:rsidRDefault="00AC5F56" w:rsidP="00BC700C">
      <w:pPr>
        <w:tabs>
          <w:tab w:val="left" w:pos="1701"/>
        </w:tabs>
        <w:ind w:left="1134" w:hanging="567"/>
        <w:rPr>
          <w:lang w:val="fr-FR"/>
        </w:rPr>
      </w:pPr>
      <w:r w:rsidRPr="005C718D">
        <w:rPr>
          <w:lang w:val="fr-FR"/>
        </w:rPr>
        <w:t>x)</w:t>
      </w:r>
      <w:r w:rsidRPr="005C718D">
        <w:rPr>
          <w:lang w:val="fr-FR"/>
        </w:rPr>
        <w:tab/>
      </w:r>
      <w:r w:rsidR="00D06819" w:rsidRPr="005C718D">
        <w:rPr>
          <w:lang w:val="fr-FR"/>
        </w:rPr>
        <w:t>D</w:t>
      </w:r>
      <w:r w:rsidR="00052EC7" w:rsidRPr="005C718D">
        <w:rPr>
          <w:lang w:val="fr-FR"/>
        </w:rPr>
        <w:t>onnées d</w:t>
      </w:r>
      <w:r w:rsidR="005C718D">
        <w:rPr>
          <w:lang w:val="fr-FR"/>
        </w:rPr>
        <w:t>’</w:t>
      </w:r>
      <w:r w:rsidR="00052EC7" w:rsidRPr="005C718D">
        <w:rPr>
          <w:lang w:val="fr-FR"/>
        </w:rPr>
        <w:t>expérience relatives aux nouveaux types et espèces,</w:t>
      </w:r>
    </w:p>
    <w:p w:rsidR="005C718D" w:rsidRDefault="00AC5F56" w:rsidP="00BC700C">
      <w:pPr>
        <w:tabs>
          <w:tab w:val="left" w:pos="1701"/>
        </w:tabs>
        <w:ind w:left="1134" w:hanging="567"/>
        <w:rPr>
          <w:lang w:val="fr-FR"/>
        </w:rPr>
      </w:pPr>
      <w:r w:rsidRPr="005C718D">
        <w:rPr>
          <w:lang w:val="fr-FR"/>
        </w:rPr>
        <w:t>xi)</w:t>
      </w:r>
      <w:r w:rsidRPr="005C718D">
        <w:rPr>
          <w:lang w:val="fr-FR"/>
        </w:rPr>
        <w:tab/>
      </w:r>
      <w:r w:rsidR="00D06819" w:rsidRPr="005C718D">
        <w:rPr>
          <w:lang w:val="fr-FR"/>
        </w:rPr>
        <w:t>N</w:t>
      </w:r>
      <w:r w:rsidR="00052EC7" w:rsidRPr="005C718D">
        <w:rPr>
          <w:lang w:val="fr-FR"/>
        </w:rPr>
        <w:t>ouvelles questions se posant pour l</w:t>
      </w:r>
      <w:r w:rsidR="005C718D">
        <w:rPr>
          <w:lang w:val="fr-FR"/>
        </w:rPr>
        <w:t>’</w:t>
      </w:r>
      <w:r w:rsidR="00052EC7" w:rsidRPr="005C718D">
        <w:rPr>
          <w:lang w:val="fr-FR"/>
        </w:rPr>
        <w:t>examen</w:t>
      </w:r>
      <w:r w:rsidR="0055585E">
        <w:rPr>
          <w:lang w:val="fr-FR"/>
        </w:rPr>
        <w:t> </w:t>
      </w:r>
      <w:r w:rsidR="00052EC7" w:rsidRPr="005C718D">
        <w:rPr>
          <w:lang w:val="fr-FR"/>
        </w:rPr>
        <w:t>DHS,</w:t>
      </w:r>
    </w:p>
    <w:p w:rsidR="00AC5F56" w:rsidRPr="005C718D" w:rsidRDefault="00AC5F56" w:rsidP="00BC700C">
      <w:pPr>
        <w:tabs>
          <w:tab w:val="left" w:pos="1701"/>
        </w:tabs>
        <w:ind w:left="1134" w:hanging="567"/>
        <w:rPr>
          <w:lang w:val="fr-FR"/>
        </w:rPr>
      </w:pPr>
      <w:r w:rsidRPr="005C718D">
        <w:rPr>
          <w:lang w:val="fr-FR"/>
        </w:rPr>
        <w:t>xii)</w:t>
      </w:r>
      <w:r w:rsidRPr="005C718D">
        <w:rPr>
          <w:lang w:val="fr-FR"/>
        </w:rPr>
        <w:tab/>
      </w:r>
      <w:r w:rsidR="00D06819" w:rsidRPr="005C718D">
        <w:rPr>
          <w:lang w:val="fr-FR"/>
        </w:rPr>
        <w:t>Q</w:t>
      </w:r>
      <w:r w:rsidR="00052EC7" w:rsidRPr="005C718D">
        <w:rPr>
          <w:lang w:val="fr-FR"/>
        </w:rPr>
        <w:t>uestions à prendre en considération dans l</w:t>
      </w:r>
      <w:r w:rsidR="005C718D">
        <w:rPr>
          <w:lang w:val="fr-FR"/>
        </w:rPr>
        <w:t>’</w:t>
      </w:r>
      <w:r w:rsidR="00052EC7" w:rsidRPr="005C718D">
        <w:rPr>
          <w:lang w:val="fr-FR"/>
        </w:rPr>
        <w:t>examen</w:t>
      </w:r>
      <w:r w:rsidR="0055585E">
        <w:rPr>
          <w:lang w:val="fr-FR"/>
        </w:rPr>
        <w:t> </w:t>
      </w:r>
      <w:r w:rsidR="00DC2A56" w:rsidRPr="005C718D">
        <w:rPr>
          <w:lang w:val="fr-FR"/>
        </w:rPr>
        <w:t>D</w:t>
      </w:r>
      <w:r w:rsidR="00052EC7" w:rsidRPr="005C718D">
        <w:rPr>
          <w:lang w:val="fr-FR"/>
        </w:rPr>
        <w:t>H</w:t>
      </w:r>
      <w:r w:rsidR="00DC2A56" w:rsidRPr="005C718D">
        <w:rPr>
          <w:lang w:val="fr-FR"/>
        </w:rPr>
        <w:t xml:space="preserve">S </w:t>
      </w:r>
      <w:r w:rsidR="00052EC7" w:rsidRPr="005C718D">
        <w:rPr>
          <w:lang w:val="fr-FR"/>
        </w:rPr>
        <w:t>pour le secteur des fruits,</w:t>
      </w:r>
      <w:r w:rsidR="00DC2A56" w:rsidRPr="005C718D">
        <w:rPr>
          <w:lang w:val="fr-FR"/>
        </w:rPr>
        <w:t xml:space="preserve"> </w:t>
      </w:r>
      <w:r w:rsidR="00052EC7" w:rsidRPr="005C718D">
        <w:rPr>
          <w:lang w:val="fr-FR"/>
        </w:rPr>
        <w:t>et</w:t>
      </w:r>
    </w:p>
    <w:p w:rsidR="00B03A49" w:rsidRPr="005C718D" w:rsidRDefault="00AC5F56" w:rsidP="00DC2A56">
      <w:pPr>
        <w:tabs>
          <w:tab w:val="left" w:pos="1701"/>
        </w:tabs>
        <w:ind w:left="1134" w:hanging="567"/>
        <w:rPr>
          <w:lang w:val="fr-FR"/>
        </w:rPr>
      </w:pPr>
      <w:r w:rsidRPr="005C718D">
        <w:rPr>
          <w:lang w:val="fr-FR"/>
        </w:rPr>
        <w:t>xiii)</w:t>
      </w:r>
      <w:r w:rsidRPr="005C718D">
        <w:rPr>
          <w:lang w:val="fr-FR"/>
        </w:rPr>
        <w:tab/>
      </w:r>
      <w:r w:rsidR="00D06819" w:rsidRPr="005C718D">
        <w:rPr>
          <w:lang w:val="fr-FR"/>
        </w:rPr>
        <w:t>G</w:t>
      </w:r>
      <w:r w:rsidR="00052EC7" w:rsidRPr="005C718D">
        <w:rPr>
          <w:lang w:val="fr-FR"/>
        </w:rPr>
        <w:t>roupes de d</w:t>
      </w:r>
      <w:r w:rsidR="00DC2A56" w:rsidRPr="005C718D">
        <w:rPr>
          <w:lang w:val="fr-FR"/>
        </w:rPr>
        <w:t xml:space="preserve">iscussion </w:t>
      </w:r>
      <w:r w:rsidR="00052EC7" w:rsidRPr="005C718D">
        <w:rPr>
          <w:lang w:val="fr-FR"/>
        </w:rPr>
        <w:t>chargés d</w:t>
      </w:r>
      <w:r w:rsidR="005C718D">
        <w:rPr>
          <w:lang w:val="fr-FR"/>
        </w:rPr>
        <w:t>’</w:t>
      </w:r>
      <w:r w:rsidR="00052EC7" w:rsidRPr="005C718D">
        <w:rPr>
          <w:lang w:val="fr-FR"/>
        </w:rPr>
        <w:t>examiner la question des</w:t>
      </w:r>
      <w:r w:rsidR="00DC2A56" w:rsidRPr="005C718D">
        <w:rPr>
          <w:lang w:val="fr-FR"/>
        </w:rPr>
        <w:t xml:space="preserve"> “</w:t>
      </w:r>
      <w:r w:rsidR="00052EC7" w:rsidRPr="005C718D">
        <w:rPr>
          <w:lang w:val="fr-FR"/>
        </w:rPr>
        <w:t>nouv</w:t>
      </w:r>
      <w:r w:rsidR="00387517" w:rsidRPr="005C718D">
        <w:rPr>
          <w:lang w:val="fr-FR"/>
        </w:rPr>
        <w:t>elles technologies utilisées aux fins de</w:t>
      </w:r>
      <w:r w:rsidR="00052EC7" w:rsidRPr="005C718D">
        <w:rPr>
          <w:lang w:val="fr-FR"/>
        </w:rPr>
        <w:t xml:space="preserve"> l</w:t>
      </w:r>
      <w:r w:rsidR="005C718D">
        <w:rPr>
          <w:lang w:val="fr-FR"/>
        </w:rPr>
        <w:t>’</w:t>
      </w:r>
      <w:r w:rsidR="00052EC7" w:rsidRPr="005C718D">
        <w:rPr>
          <w:lang w:val="fr-FR"/>
        </w:rPr>
        <w:t>examen</w:t>
      </w:r>
      <w:r w:rsidR="0055585E">
        <w:rPr>
          <w:lang w:val="fr-FR"/>
        </w:rPr>
        <w:t> </w:t>
      </w:r>
      <w:r w:rsidR="00052EC7" w:rsidRPr="005C718D">
        <w:rPr>
          <w:lang w:val="fr-FR"/>
        </w:rPr>
        <w:t>DHS</w:t>
      </w:r>
      <w:r w:rsidR="00DC2A56" w:rsidRPr="005C718D">
        <w:rPr>
          <w:lang w:val="fr-FR"/>
        </w:rPr>
        <w:t>”</w:t>
      </w:r>
    </w:p>
    <w:p w:rsidR="00442107" w:rsidRPr="005C718D" w:rsidRDefault="00442107" w:rsidP="00AC5F56">
      <w:pPr>
        <w:tabs>
          <w:tab w:val="left" w:pos="1701"/>
        </w:tabs>
        <w:ind w:left="1701" w:hanging="567"/>
        <w:rPr>
          <w:rFonts w:cs="Arial"/>
          <w:lang w:val="fr-FR"/>
        </w:rPr>
      </w:pPr>
    </w:p>
    <w:p w:rsidR="00B03A49" w:rsidRPr="005C718D" w:rsidRDefault="00B03A49" w:rsidP="00B03A49">
      <w:pPr>
        <w:keepNext/>
        <w:rPr>
          <w:color w:val="000000"/>
          <w:lang w:val="fr-FR"/>
        </w:rPr>
      </w:pPr>
      <w:r w:rsidRPr="005C718D">
        <w:rPr>
          <w:color w:val="000000"/>
          <w:lang w:val="fr-FR"/>
        </w:rPr>
        <w:lastRenderedPageBreak/>
        <w:fldChar w:fldCharType="begin"/>
      </w:r>
      <w:r w:rsidRPr="005C718D">
        <w:rPr>
          <w:color w:val="000000"/>
          <w:lang w:val="fr-FR"/>
        </w:rPr>
        <w:instrText xml:space="preserve"> AUTONUM  </w:instrText>
      </w:r>
      <w:r w:rsidRPr="005C718D">
        <w:rPr>
          <w:color w:val="000000"/>
          <w:lang w:val="fr-FR"/>
        </w:rPr>
        <w:fldChar w:fldCharType="end"/>
      </w:r>
      <w:r w:rsidRPr="005C718D">
        <w:rPr>
          <w:color w:val="000000"/>
          <w:lang w:val="fr-FR"/>
        </w:rPr>
        <w:tab/>
      </w:r>
      <w:r w:rsidR="00052EC7" w:rsidRPr="005C718D">
        <w:rPr>
          <w:color w:val="000000"/>
          <w:lang w:val="fr-FR"/>
        </w:rPr>
        <w:t>Les abréviations ci</w:t>
      </w:r>
      <w:r w:rsidR="005C718D">
        <w:rPr>
          <w:color w:val="000000"/>
          <w:lang w:val="fr-FR"/>
        </w:rPr>
        <w:t>-</w:t>
      </w:r>
      <w:r w:rsidR="00052EC7" w:rsidRPr="005C718D">
        <w:rPr>
          <w:color w:val="000000"/>
          <w:lang w:val="fr-FR"/>
        </w:rPr>
        <w:t>après sont utilisées dans le présent</w:t>
      </w:r>
      <w:r w:rsidRPr="005C718D">
        <w:rPr>
          <w:color w:val="000000"/>
          <w:lang w:val="fr-FR"/>
        </w:rPr>
        <w:t xml:space="preserve"> document</w:t>
      </w:r>
      <w:r w:rsidR="005C718D">
        <w:rPr>
          <w:color w:val="000000"/>
          <w:lang w:val="fr-FR"/>
        </w:rPr>
        <w:t> :</w:t>
      </w:r>
    </w:p>
    <w:p w:rsidR="00B03A49" w:rsidRPr="005C718D" w:rsidRDefault="00B03A49" w:rsidP="00B03A49">
      <w:pPr>
        <w:keepNext/>
        <w:ind w:left="1692" w:hanging="1125"/>
        <w:jc w:val="left"/>
        <w:rPr>
          <w:color w:val="000000"/>
          <w:lang w:val="fr-FR"/>
        </w:rPr>
      </w:pPr>
    </w:p>
    <w:p w:rsidR="005C718D" w:rsidRDefault="00B03A49" w:rsidP="0093731E">
      <w:pPr>
        <w:keepNext/>
        <w:tabs>
          <w:tab w:val="left" w:pos="567"/>
          <w:tab w:val="left" w:pos="1701"/>
        </w:tabs>
        <w:ind w:left="1701" w:hanging="1701"/>
        <w:rPr>
          <w:lang w:val="fr-FR"/>
        </w:rPr>
      </w:pPr>
      <w:r w:rsidRPr="005C718D">
        <w:rPr>
          <w:lang w:val="fr-FR"/>
        </w:rPr>
        <w:tab/>
        <w:t>CAJ</w:t>
      </w:r>
      <w:r w:rsidR="005C718D">
        <w:rPr>
          <w:lang w:val="fr-FR"/>
        </w:rPr>
        <w:t> :</w:t>
      </w:r>
      <w:r w:rsidR="0055585E">
        <w:rPr>
          <w:lang w:val="fr-FR"/>
        </w:rPr>
        <w:t xml:space="preserve"> </w:t>
      </w:r>
      <w:r w:rsidRPr="005C718D">
        <w:rPr>
          <w:lang w:val="fr-FR"/>
        </w:rPr>
        <w:tab/>
      </w:r>
      <w:r w:rsidR="00052EC7" w:rsidRPr="005C718D">
        <w:rPr>
          <w:lang w:val="fr-FR"/>
        </w:rPr>
        <w:t>Comité administratif et juridique</w:t>
      </w:r>
    </w:p>
    <w:p w:rsidR="00B03A49" w:rsidRPr="005C718D" w:rsidRDefault="00B03A49" w:rsidP="0093731E">
      <w:pPr>
        <w:keepNext/>
        <w:tabs>
          <w:tab w:val="left" w:pos="567"/>
          <w:tab w:val="left" w:pos="1701"/>
        </w:tabs>
        <w:ind w:left="1701" w:hanging="1701"/>
        <w:rPr>
          <w:lang w:val="fr-FR"/>
        </w:rPr>
      </w:pPr>
      <w:r w:rsidRPr="005C718D">
        <w:rPr>
          <w:lang w:val="fr-FR"/>
        </w:rPr>
        <w:tab/>
        <w:t>TC</w:t>
      </w:r>
      <w:r w:rsidR="005C718D">
        <w:rPr>
          <w:lang w:val="fr-FR"/>
        </w:rPr>
        <w:t> :</w:t>
      </w:r>
      <w:r w:rsidR="0055585E">
        <w:rPr>
          <w:lang w:val="fr-FR"/>
        </w:rPr>
        <w:t xml:space="preserve"> </w:t>
      </w:r>
      <w:r w:rsidRPr="005C718D">
        <w:rPr>
          <w:lang w:val="fr-FR"/>
        </w:rPr>
        <w:tab/>
        <w:t>Com</w:t>
      </w:r>
      <w:r w:rsidR="00052EC7" w:rsidRPr="005C718D">
        <w:rPr>
          <w:lang w:val="fr-FR"/>
        </w:rPr>
        <w:t>ité technique</w:t>
      </w:r>
    </w:p>
    <w:p w:rsidR="00B03A49" w:rsidRPr="005C718D" w:rsidRDefault="00B03A49" w:rsidP="0093731E">
      <w:pPr>
        <w:keepNext/>
        <w:tabs>
          <w:tab w:val="left" w:pos="567"/>
          <w:tab w:val="left" w:pos="1701"/>
        </w:tabs>
        <w:ind w:left="1701" w:hanging="1701"/>
        <w:rPr>
          <w:rFonts w:eastAsia="PMingLiU"/>
          <w:szCs w:val="24"/>
          <w:lang w:val="fr-FR"/>
        </w:rPr>
      </w:pPr>
      <w:r w:rsidRPr="005C718D">
        <w:rPr>
          <w:rFonts w:eastAsia="PMingLiU"/>
          <w:szCs w:val="24"/>
          <w:lang w:val="fr-FR"/>
        </w:rPr>
        <w:tab/>
        <w:t>TC</w:t>
      </w:r>
      <w:r w:rsidR="005C718D">
        <w:rPr>
          <w:rFonts w:eastAsia="PMingLiU"/>
          <w:szCs w:val="24"/>
          <w:lang w:val="fr-FR"/>
        </w:rPr>
        <w:t>-</w:t>
      </w:r>
      <w:r w:rsidRPr="005C718D">
        <w:rPr>
          <w:rFonts w:eastAsia="PMingLiU"/>
          <w:szCs w:val="24"/>
          <w:lang w:val="fr-FR"/>
        </w:rPr>
        <w:t>EDC</w:t>
      </w:r>
      <w:r w:rsidR="005C718D">
        <w:rPr>
          <w:rFonts w:eastAsia="PMingLiU"/>
          <w:szCs w:val="24"/>
          <w:lang w:val="fr-FR"/>
        </w:rPr>
        <w:t> :</w:t>
      </w:r>
      <w:r w:rsidR="0055585E">
        <w:rPr>
          <w:rFonts w:eastAsia="PMingLiU"/>
          <w:szCs w:val="24"/>
          <w:lang w:val="fr-FR"/>
        </w:rPr>
        <w:t xml:space="preserve"> </w:t>
      </w:r>
      <w:r w:rsidRPr="005C718D">
        <w:rPr>
          <w:rFonts w:eastAsia="PMingLiU"/>
          <w:szCs w:val="24"/>
          <w:lang w:val="fr-FR"/>
        </w:rPr>
        <w:tab/>
      </w:r>
      <w:r w:rsidR="007D789B" w:rsidRPr="005C718D">
        <w:rPr>
          <w:rFonts w:eastAsia="PMingLiU"/>
          <w:szCs w:val="24"/>
          <w:lang w:val="fr-FR"/>
        </w:rPr>
        <w:t>Comité de rédaction élargi</w:t>
      </w:r>
    </w:p>
    <w:p w:rsidR="00B03A49" w:rsidRPr="005C718D" w:rsidRDefault="00B03A49" w:rsidP="0093731E">
      <w:pPr>
        <w:keepNext/>
        <w:tabs>
          <w:tab w:val="left" w:pos="567"/>
          <w:tab w:val="left" w:pos="1701"/>
        </w:tabs>
        <w:ind w:left="1701" w:hanging="1701"/>
        <w:rPr>
          <w:rFonts w:eastAsia="PMingLiU"/>
          <w:szCs w:val="24"/>
          <w:lang w:val="fr-FR"/>
        </w:rPr>
      </w:pPr>
      <w:r w:rsidRPr="005C718D">
        <w:rPr>
          <w:rFonts w:eastAsia="PMingLiU"/>
          <w:szCs w:val="24"/>
          <w:lang w:val="fr-FR"/>
        </w:rPr>
        <w:tab/>
        <w:t>TWA</w:t>
      </w:r>
      <w:r w:rsidR="005C718D">
        <w:rPr>
          <w:rFonts w:eastAsia="PMingLiU"/>
          <w:szCs w:val="24"/>
          <w:lang w:val="fr-FR"/>
        </w:rPr>
        <w:t> :</w:t>
      </w:r>
      <w:r w:rsidR="0055585E">
        <w:rPr>
          <w:rFonts w:eastAsia="PMingLiU"/>
          <w:szCs w:val="24"/>
          <w:lang w:val="fr-FR"/>
        </w:rPr>
        <w:t xml:space="preserve"> </w:t>
      </w:r>
      <w:r w:rsidRPr="005C718D">
        <w:rPr>
          <w:rFonts w:eastAsia="PMingLiU"/>
          <w:szCs w:val="24"/>
          <w:lang w:val="fr-FR"/>
        </w:rPr>
        <w:tab/>
      </w:r>
      <w:r w:rsidR="007D789B" w:rsidRPr="005C718D">
        <w:rPr>
          <w:rFonts w:eastAsia="PMingLiU"/>
          <w:szCs w:val="24"/>
          <w:lang w:val="fr-FR"/>
        </w:rPr>
        <w:t>Groupe de travail technique sur les plantes agricoles</w:t>
      </w:r>
    </w:p>
    <w:p w:rsidR="00B03A49" w:rsidRPr="005C718D" w:rsidRDefault="00B03A49" w:rsidP="0093731E">
      <w:pPr>
        <w:keepNext/>
        <w:tabs>
          <w:tab w:val="left" w:pos="567"/>
          <w:tab w:val="left" w:pos="1701"/>
        </w:tabs>
        <w:ind w:left="1701" w:hanging="1701"/>
        <w:rPr>
          <w:rFonts w:eastAsia="PMingLiU"/>
          <w:szCs w:val="24"/>
          <w:lang w:val="fr-FR"/>
        </w:rPr>
      </w:pPr>
      <w:r w:rsidRPr="005C718D">
        <w:rPr>
          <w:rFonts w:eastAsia="PMingLiU"/>
          <w:szCs w:val="24"/>
          <w:lang w:val="fr-FR"/>
        </w:rPr>
        <w:tab/>
        <w:t>TWC</w:t>
      </w:r>
      <w:r w:rsidR="005C718D">
        <w:rPr>
          <w:rFonts w:eastAsia="PMingLiU"/>
          <w:szCs w:val="24"/>
          <w:lang w:val="fr-FR"/>
        </w:rPr>
        <w:t> :</w:t>
      </w:r>
      <w:r w:rsidR="0055585E">
        <w:rPr>
          <w:rFonts w:eastAsia="PMingLiU"/>
          <w:szCs w:val="24"/>
          <w:lang w:val="fr-FR"/>
        </w:rPr>
        <w:t xml:space="preserve"> </w:t>
      </w:r>
      <w:r w:rsidRPr="005C718D">
        <w:rPr>
          <w:rFonts w:eastAsia="PMingLiU"/>
          <w:szCs w:val="24"/>
          <w:lang w:val="fr-FR"/>
        </w:rPr>
        <w:tab/>
      </w:r>
      <w:r w:rsidR="007D789B" w:rsidRPr="005C718D">
        <w:rPr>
          <w:rFonts w:eastAsia="PMingLiU"/>
          <w:szCs w:val="24"/>
          <w:lang w:val="fr-FR"/>
        </w:rPr>
        <w:t>Groupe de travail technique sur les systèmes d</w:t>
      </w:r>
      <w:r w:rsidR="005C718D">
        <w:rPr>
          <w:rFonts w:eastAsia="PMingLiU"/>
          <w:szCs w:val="24"/>
          <w:lang w:val="fr-FR"/>
        </w:rPr>
        <w:t>’</w:t>
      </w:r>
      <w:r w:rsidR="007D789B" w:rsidRPr="005C718D">
        <w:rPr>
          <w:rFonts w:eastAsia="PMingLiU"/>
          <w:szCs w:val="24"/>
          <w:lang w:val="fr-FR"/>
        </w:rPr>
        <w:t>automatisation et les programmes d</w:t>
      </w:r>
      <w:r w:rsidR="005C718D">
        <w:rPr>
          <w:rFonts w:eastAsia="PMingLiU"/>
          <w:szCs w:val="24"/>
          <w:lang w:val="fr-FR"/>
        </w:rPr>
        <w:t>’</w:t>
      </w:r>
      <w:r w:rsidR="007D789B" w:rsidRPr="005C718D">
        <w:rPr>
          <w:rFonts w:eastAsia="PMingLiU"/>
          <w:szCs w:val="24"/>
          <w:lang w:val="fr-FR"/>
        </w:rPr>
        <w:t>ordinateur</w:t>
      </w:r>
    </w:p>
    <w:p w:rsidR="00B03A49" w:rsidRPr="005C718D" w:rsidRDefault="00B03A49" w:rsidP="0093731E">
      <w:pPr>
        <w:keepNext/>
        <w:tabs>
          <w:tab w:val="left" w:pos="567"/>
          <w:tab w:val="left" w:pos="1701"/>
        </w:tabs>
        <w:ind w:left="1701" w:hanging="1701"/>
        <w:rPr>
          <w:rFonts w:eastAsia="PMingLiU"/>
          <w:szCs w:val="24"/>
          <w:lang w:val="fr-FR"/>
        </w:rPr>
      </w:pPr>
      <w:r w:rsidRPr="005C718D">
        <w:rPr>
          <w:rFonts w:eastAsia="PMingLiU"/>
          <w:szCs w:val="24"/>
          <w:lang w:val="fr-FR"/>
        </w:rPr>
        <w:tab/>
        <w:t>TWF</w:t>
      </w:r>
      <w:r w:rsidR="005C718D">
        <w:rPr>
          <w:rFonts w:eastAsia="PMingLiU"/>
          <w:szCs w:val="24"/>
          <w:lang w:val="fr-FR"/>
        </w:rPr>
        <w:t> :</w:t>
      </w:r>
      <w:r w:rsidRPr="005C718D">
        <w:rPr>
          <w:rFonts w:eastAsia="PMingLiU"/>
          <w:szCs w:val="24"/>
          <w:lang w:val="fr-FR"/>
        </w:rPr>
        <w:t xml:space="preserve"> </w:t>
      </w:r>
      <w:r w:rsidRPr="005C718D">
        <w:rPr>
          <w:rFonts w:eastAsia="PMingLiU"/>
          <w:szCs w:val="24"/>
          <w:lang w:val="fr-FR"/>
        </w:rPr>
        <w:tab/>
      </w:r>
      <w:r w:rsidR="007D789B" w:rsidRPr="005C718D">
        <w:rPr>
          <w:rFonts w:eastAsia="PMingLiU"/>
          <w:szCs w:val="24"/>
          <w:lang w:val="fr-FR"/>
        </w:rPr>
        <w:t>Groupe de travail technique sur les plantes fruitières</w:t>
      </w:r>
    </w:p>
    <w:p w:rsidR="00B03A49" w:rsidRPr="005C718D" w:rsidRDefault="00B03A49" w:rsidP="0093731E">
      <w:pPr>
        <w:keepNext/>
        <w:tabs>
          <w:tab w:val="left" w:pos="567"/>
          <w:tab w:val="left" w:pos="1701"/>
        </w:tabs>
        <w:ind w:left="1701" w:hanging="1701"/>
        <w:rPr>
          <w:rFonts w:eastAsia="PMingLiU"/>
          <w:szCs w:val="24"/>
          <w:lang w:val="fr-FR"/>
        </w:rPr>
      </w:pPr>
      <w:r w:rsidRPr="005C718D">
        <w:rPr>
          <w:rFonts w:eastAsia="PMingLiU"/>
          <w:szCs w:val="24"/>
          <w:lang w:val="fr-FR"/>
        </w:rPr>
        <w:tab/>
        <w:t>TWO</w:t>
      </w:r>
      <w:r w:rsidR="005C718D">
        <w:rPr>
          <w:rFonts w:eastAsia="PMingLiU"/>
          <w:szCs w:val="24"/>
          <w:lang w:val="fr-FR"/>
        </w:rPr>
        <w:t> :</w:t>
      </w:r>
      <w:r w:rsidR="0055585E">
        <w:rPr>
          <w:rFonts w:eastAsia="PMingLiU"/>
          <w:szCs w:val="24"/>
          <w:lang w:val="fr-FR"/>
        </w:rPr>
        <w:t xml:space="preserve"> </w:t>
      </w:r>
      <w:r w:rsidRPr="005C718D">
        <w:rPr>
          <w:rFonts w:eastAsia="PMingLiU"/>
          <w:szCs w:val="24"/>
          <w:lang w:val="fr-FR"/>
        </w:rPr>
        <w:tab/>
      </w:r>
      <w:r w:rsidR="007D789B" w:rsidRPr="005C718D">
        <w:rPr>
          <w:rFonts w:eastAsia="PMingLiU"/>
          <w:szCs w:val="24"/>
          <w:lang w:val="fr-FR"/>
        </w:rPr>
        <w:t>Groupe de travail technique sur les plantes ornementales et les arbres forestiers</w:t>
      </w:r>
    </w:p>
    <w:p w:rsidR="00B03A49" w:rsidRPr="005C718D" w:rsidRDefault="00052EC7" w:rsidP="0093731E">
      <w:pPr>
        <w:keepNext/>
        <w:tabs>
          <w:tab w:val="left" w:pos="567"/>
          <w:tab w:val="left" w:pos="1701"/>
        </w:tabs>
        <w:ind w:left="1701" w:hanging="1701"/>
        <w:rPr>
          <w:rFonts w:eastAsia="PMingLiU"/>
          <w:szCs w:val="24"/>
          <w:lang w:val="fr-FR"/>
        </w:rPr>
      </w:pPr>
      <w:r w:rsidRPr="005C718D">
        <w:rPr>
          <w:rFonts w:eastAsia="PMingLiU"/>
          <w:szCs w:val="24"/>
          <w:lang w:val="fr-FR"/>
        </w:rPr>
        <w:tab/>
        <w:t>TWP</w:t>
      </w:r>
      <w:r w:rsidR="005C718D">
        <w:rPr>
          <w:rFonts w:eastAsia="PMingLiU"/>
          <w:szCs w:val="24"/>
          <w:lang w:val="fr-FR"/>
        </w:rPr>
        <w:t> :</w:t>
      </w:r>
      <w:r w:rsidR="0055585E">
        <w:rPr>
          <w:rFonts w:eastAsia="PMingLiU"/>
          <w:szCs w:val="24"/>
          <w:lang w:val="fr-FR"/>
        </w:rPr>
        <w:t xml:space="preserve"> </w:t>
      </w:r>
      <w:r w:rsidR="00B03A49" w:rsidRPr="005C718D">
        <w:rPr>
          <w:rFonts w:eastAsia="PMingLiU"/>
          <w:szCs w:val="24"/>
          <w:lang w:val="fr-FR"/>
        </w:rPr>
        <w:tab/>
      </w:r>
      <w:r w:rsidR="007D789B" w:rsidRPr="005C718D">
        <w:rPr>
          <w:rFonts w:eastAsia="PMingLiU"/>
          <w:szCs w:val="24"/>
          <w:lang w:val="fr-FR"/>
        </w:rPr>
        <w:t>Groupe de travail technique</w:t>
      </w:r>
    </w:p>
    <w:p w:rsidR="00B03A49" w:rsidRPr="005C718D" w:rsidRDefault="00B03A49" w:rsidP="0093731E">
      <w:pPr>
        <w:keepNext/>
        <w:tabs>
          <w:tab w:val="left" w:pos="567"/>
          <w:tab w:val="left" w:pos="1701"/>
        </w:tabs>
        <w:ind w:left="1701" w:hanging="1701"/>
        <w:rPr>
          <w:rFonts w:eastAsia="PMingLiU"/>
          <w:szCs w:val="24"/>
          <w:lang w:val="fr-FR"/>
        </w:rPr>
      </w:pPr>
      <w:r w:rsidRPr="005C718D">
        <w:rPr>
          <w:rFonts w:eastAsia="PMingLiU"/>
          <w:szCs w:val="24"/>
          <w:lang w:val="fr-FR"/>
        </w:rPr>
        <w:tab/>
        <w:t>TWV</w:t>
      </w:r>
      <w:r w:rsidR="005C718D">
        <w:rPr>
          <w:rFonts w:eastAsia="PMingLiU"/>
          <w:szCs w:val="24"/>
          <w:lang w:val="fr-FR"/>
        </w:rPr>
        <w:t> :</w:t>
      </w:r>
      <w:r w:rsidR="0055585E">
        <w:rPr>
          <w:rFonts w:eastAsia="PMingLiU"/>
          <w:szCs w:val="24"/>
          <w:lang w:val="fr-FR"/>
        </w:rPr>
        <w:t xml:space="preserve"> </w:t>
      </w:r>
      <w:r w:rsidRPr="005C718D">
        <w:rPr>
          <w:rFonts w:eastAsia="PMingLiU"/>
          <w:szCs w:val="24"/>
          <w:lang w:val="fr-FR"/>
        </w:rPr>
        <w:tab/>
      </w:r>
      <w:r w:rsidR="007D789B" w:rsidRPr="005C718D">
        <w:rPr>
          <w:rFonts w:eastAsia="PMingLiU"/>
          <w:szCs w:val="24"/>
          <w:lang w:val="fr-FR"/>
        </w:rPr>
        <w:t>Groupe de travail technique sur les plantes potagères</w:t>
      </w:r>
    </w:p>
    <w:p w:rsidR="00B03A49" w:rsidRPr="005C718D" w:rsidRDefault="00B03A49" w:rsidP="00B03A49">
      <w:pPr>
        <w:rPr>
          <w:highlight w:val="cyan"/>
          <w:lang w:val="fr-FR"/>
        </w:rPr>
      </w:pPr>
    </w:p>
    <w:p w:rsidR="00B03A49" w:rsidRPr="005C718D" w:rsidRDefault="00B03A49" w:rsidP="00B03A49">
      <w:pPr>
        <w:rPr>
          <w:highlight w:val="cyan"/>
          <w:lang w:val="fr-FR"/>
        </w:rPr>
      </w:pPr>
    </w:p>
    <w:p w:rsidR="00E47F79" w:rsidRPr="005C718D" w:rsidRDefault="00E47F79" w:rsidP="00B03A49">
      <w:pPr>
        <w:rPr>
          <w:highlight w:val="cyan"/>
          <w:lang w:val="fr-FR"/>
        </w:rPr>
      </w:pPr>
    </w:p>
    <w:p w:rsidR="00DC2A56" w:rsidRPr="005C718D" w:rsidRDefault="00DC2A56" w:rsidP="00B03A49">
      <w:pPr>
        <w:rPr>
          <w:highlight w:val="cyan"/>
          <w:lang w:val="fr-FR"/>
        </w:rPr>
      </w:pPr>
    </w:p>
    <w:p w:rsidR="00B03A49" w:rsidRPr="005C718D" w:rsidRDefault="00B03A49" w:rsidP="00B03A49">
      <w:pPr>
        <w:rPr>
          <w:lang w:val="fr-FR"/>
        </w:rPr>
      </w:pPr>
      <w:r w:rsidRPr="005C718D">
        <w:rPr>
          <w:color w:val="000000"/>
          <w:lang w:val="fr-FR"/>
        </w:rPr>
        <w:fldChar w:fldCharType="begin"/>
      </w:r>
      <w:r w:rsidRPr="005C718D">
        <w:rPr>
          <w:color w:val="000000"/>
          <w:lang w:val="fr-FR"/>
        </w:rPr>
        <w:instrText xml:space="preserve"> AUTONUM  </w:instrText>
      </w:r>
      <w:r w:rsidRPr="005C718D">
        <w:rPr>
          <w:color w:val="000000"/>
          <w:lang w:val="fr-FR"/>
        </w:rPr>
        <w:fldChar w:fldCharType="end"/>
      </w:r>
      <w:r w:rsidRPr="005C718D">
        <w:rPr>
          <w:color w:val="000000"/>
          <w:lang w:val="fr-FR"/>
        </w:rPr>
        <w:tab/>
      </w:r>
      <w:r w:rsidR="007D789B" w:rsidRPr="005C718D">
        <w:rPr>
          <w:color w:val="000000"/>
          <w:lang w:val="fr-FR"/>
        </w:rPr>
        <w:t>Le présent document est structuré comme suit</w:t>
      </w:r>
      <w:r w:rsidR="005C718D">
        <w:rPr>
          <w:color w:val="000000"/>
          <w:lang w:val="fr-FR"/>
        </w:rPr>
        <w:t> :</w:t>
      </w:r>
    </w:p>
    <w:p w:rsidR="00B03A49" w:rsidRPr="005C718D" w:rsidRDefault="00B03A49" w:rsidP="00B03A49">
      <w:pPr>
        <w:rPr>
          <w:lang w:val="fr-FR"/>
        </w:rPr>
      </w:pPr>
    </w:p>
    <w:p w:rsidR="00A301FF" w:rsidRPr="00A301FF" w:rsidRDefault="00853022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/>
        </w:rPr>
      </w:pPr>
      <w:r w:rsidRPr="005C718D">
        <w:rPr>
          <w:rFonts w:eastAsia="MS Mincho" w:cs="Arial"/>
          <w:noProof/>
          <w:lang w:val="fr-FR" w:eastAsia="ja-JP"/>
        </w:rPr>
        <w:fldChar w:fldCharType="begin"/>
      </w:r>
      <w:r w:rsidRPr="005C718D">
        <w:rPr>
          <w:rFonts w:eastAsia="MS Mincho" w:cs="Arial"/>
          <w:noProof/>
          <w:lang w:val="fr-FR" w:eastAsia="ja-JP"/>
        </w:rPr>
        <w:instrText xml:space="preserve"> TOC \o "1-2" \u </w:instrText>
      </w:r>
      <w:r w:rsidRPr="005C718D">
        <w:rPr>
          <w:rFonts w:eastAsia="MS Mincho" w:cs="Arial"/>
          <w:noProof/>
          <w:lang w:val="fr-FR" w:eastAsia="ja-JP"/>
        </w:rPr>
        <w:fldChar w:fldCharType="separate"/>
      </w:r>
      <w:r w:rsidR="00A301FF" w:rsidRPr="00925216">
        <w:rPr>
          <w:noProof/>
          <w:lang w:val="fr-FR"/>
        </w:rPr>
        <w:t>R</w:t>
      </w:r>
      <w:r w:rsidR="00A301FF" w:rsidRPr="00925216">
        <w:rPr>
          <w:rFonts w:cs="Arial"/>
          <w:noProof/>
          <w:lang w:val="fr-FR"/>
        </w:rPr>
        <w:t>É</w:t>
      </w:r>
      <w:r w:rsidR="00A301FF" w:rsidRPr="00925216">
        <w:rPr>
          <w:noProof/>
          <w:lang w:val="fr-FR"/>
        </w:rPr>
        <w:t>sum</w:t>
      </w:r>
      <w:r w:rsidR="00A301FF" w:rsidRPr="00925216">
        <w:rPr>
          <w:rFonts w:cs="Arial"/>
          <w:noProof/>
          <w:lang w:val="fr-FR"/>
        </w:rPr>
        <w:t>É</w:t>
      </w:r>
      <w:r w:rsidR="00A301FF" w:rsidRPr="00A301FF">
        <w:rPr>
          <w:noProof/>
          <w:lang w:val="fr-CH"/>
        </w:rPr>
        <w:tab/>
      </w:r>
      <w:r w:rsidR="00A301FF">
        <w:rPr>
          <w:noProof/>
        </w:rPr>
        <w:fldChar w:fldCharType="begin"/>
      </w:r>
      <w:r w:rsidR="00A301FF" w:rsidRPr="00A301FF">
        <w:rPr>
          <w:noProof/>
          <w:lang w:val="fr-CH"/>
        </w:rPr>
        <w:instrText xml:space="preserve"> PAGEREF _Toc22473821 \h </w:instrText>
      </w:r>
      <w:r w:rsidR="00A301FF">
        <w:rPr>
          <w:noProof/>
        </w:rPr>
      </w:r>
      <w:r w:rsidR="00A301FF">
        <w:rPr>
          <w:noProof/>
        </w:rPr>
        <w:fldChar w:fldCharType="separate"/>
      </w:r>
      <w:r w:rsidR="00A301FF" w:rsidRPr="00A301FF">
        <w:rPr>
          <w:noProof/>
          <w:lang w:val="fr-CH"/>
        </w:rPr>
        <w:t>1</w:t>
      </w:r>
      <w:r w:rsidR="00A301FF">
        <w:rPr>
          <w:noProof/>
        </w:rPr>
        <w:fldChar w:fldCharType="end"/>
      </w:r>
    </w:p>
    <w:p w:rsidR="00A301FF" w:rsidRPr="00A301FF" w:rsidRDefault="00A301FF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/>
        </w:rPr>
      </w:pPr>
      <w:r w:rsidRPr="00925216">
        <w:rPr>
          <w:noProof/>
          <w:lang w:val="fr-FR"/>
        </w:rPr>
        <w:t>Questions pour information et d</w:t>
      </w:r>
      <w:r w:rsidRPr="00925216">
        <w:rPr>
          <w:rFonts w:cs="Arial"/>
          <w:noProof/>
          <w:lang w:val="fr-FR"/>
        </w:rPr>
        <w:t>É</w:t>
      </w:r>
      <w:r w:rsidRPr="00925216">
        <w:rPr>
          <w:noProof/>
          <w:lang w:val="fr-FR"/>
        </w:rPr>
        <w:t xml:space="preserve">cision </w:t>
      </w:r>
      <w:r w:rsidRPr="00925216">
        <w:rPr>
          <w:rFonts w:cs="Arial"/>
          <w:noProof/>
          <w:lang w:val="fr-FR"/>
        </w:rPr>
        <w:t>É</w:t>
      </w:r>
      <w:r w:rsidRPr="00925216">
        <w:rPr>
          <w:noProof/>
          <w:lang w:val="fr-FR"/>
        </w:rPr>
        <w:t>ventuelle du comit</w:t>
      </w:r>
      <w:r w:rsidRPr="00925216">
        <w:rPr>
          <w:rFonts w:cs="Arial"/>
          <w:noProof/>
          <w:lang w:val="fr-FR"/>
        </w:rPr>
        <w:t>É</w:t>
      </w:r>
      <w:r w:rsidRPr="00925216">
        <w:rPr>
          <w:noProof/>
          <w:lang w:val="fr-FR"/>
        </w:rPr>
        <w:t xml:space="preserve"> technique (TC)</w:t>
      </w:r>
      <w:r w:rsidRPr="00A301FF">
        <w:rPr>
          <w:noProof/>
          <w:lang w:val="fr-CH"/>
        </w:rPr>
        <w:tab/>
      </w:r>
      <w:r>
        <w:rPr>
          <w:noProof/>
        </w:rPr>
        <w:fldChar w:fldCharType="begin"/>
      </w:r>
      <w:r w:rsidRPr="00A301FF">
        <w:rPr>
          <w:noProof/>
          <w:lang w:val="fr-CH"/>
        </w:rPr>
        <w:instrText xml:space="preserve"> PAGEREF _Toc22473822 \h </w:instrText>
      </w:r>
      <w:r>
        <w:rPr>
          <w:noProof/>
        </w:rPr>
      </w:r>
      <w:r>
        <w:rPr>
          <w:noProof/>
        </w:rPr>
        <w:fldChar w:fldCharType="separate"/>
      </w:r>
      <w:r w:rsidRPr="00A301FF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A301FF" w:rsidRPr="00A301FF" w:rsidRDefault="00A301FF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/>
        </w:rPr>
      </w:pPr>
      <w:r w:rsidRPr="00925216">
        <w:rPr>
          <w:noProof/>
          <w:lang w:val="fr-FR"/>
        </w:rPr>
        <w:t>Questions pour information</w:t>
      </w:r>
      <w:r w:rsidRPr="00A301FF">
        <w:rPr>
          <w:noProof/>
          <w:lang w:val="fr-CH"/>
        </w:rPr>
        <w:tab/>
      </w:r>
      <w:r>
        <w:rPr>
          <w:noProof/>
        </w:rPr>
        <w:fldChar w:fldCharType="begin"/>
      </w:r>
      <w:r w:rsidRPr="00A301FF">
        <w:rPr>
          <w:noProof/>
          <w:lang w:val="fr-CH"/>
        </w:rPr>
        <w:instrText xml:space="preserve"> PAGEREF _Toc22473823 \h </w:instrText>
      </w:r>
      <w:r>
        <w:rPr>
          <w:noProof/>
        </w:rPr>
      </w:r>
      <w:r>
        <w:rPr>
          <w:noProof/>
        </w:rPr>
        <w:fldChar w:fldCharType="separate"/>
      </w:r>
      <w:r w:rsidRPr="00A301FF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A301FF" w:rsidRPr="00A301FF" w:rsidRDefault="00A301FF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r-CH"/>
        </w:rPr>
      </w:pPr>
      <w:r w:rsidRPr="00925216">
        <w:rPr>
          <w:noProof/>
          <w:lang w:val="fr-FR"/>
        </w:rPr>
        <w:t>Utilisation de caractères de résistance aux maladies</w:t>
      </w:r>
      <w:r w:rsidRPr="00A301FF">
        <w:rPr>
          <w:noProof/>
          <w:lang w:val="fr-CH"/>
        </w:rPr>
        <w:tab/>
      </w:r>
      <w:r>
        <w:rPr>
          <w:noProof/>
        </w:rPr>
        <w:fldChar w:fldCharType="begin"/>
      </w:r>
      <w:r w:rsidRPr="00A301FF">
        <w:rPr>
          <w:noProof/>
          <w:lang w:val="fr-CH"/>
        </w:rPr>
        <w:instrText xml:space="preserve"> PAGEREF _Toc22473824 \h </w:instrText>
      </w:r>
      <w:r>
        <w:rPr>
          <w:noProof/>
        </w:rPr>
      </w:r>
      <w:r>
        <w:rPr>
          <w:noProof/>
        </w:rPr>
        <w:fldChar w:fldCharType="separate"/>
      </w:r>
      <w:r w:rsidRPr="00A301FF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A301FF" w:rsidRPr="00A301FF" w:rsidRDefault="00A301FF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r-CH"/>
        </w:rPr>
      </w:pPr>
      <w:r w:rsidRPr="00925216">
        <w:rPr>
          <w:noProof/>
          <w:lang w:val="fr-FR"/>
        </w:rPr>
        <w:t>Accès au matériel végétal aux fins de la gestion des collections de variétés et de l’examen DHS</w:t>
      </w:r>
      <w:r w:rsidRPr="00A301FF">
        <w:rPr>
          <w:noProof/>
          <w:lang w:val="fr-CH"/>
        </w:rPr>
        <w:tab/>
      </w:r>
      <w:r>
        <w:rPr>
          <w:noProof/>
        </w:rPr>
        <w:fldChar w:fldCharType="begin"/>
      </w:r>
      <w:r w:rsidRPr="00A301FF">
        <w:rPr>
          <w:noProof/>
          <w:lang w:val="fr-CH"/>
        </w:rPr>
        <w:instrText xml:space="preserve"> PAGEREF _Toc22473825 \h </w:instrText>
      </w:r>
      <w:r>
        <w:rPr>
          <w:noProof/>
        </w:rPr>
      </w:r>
      <w:r>
        <w:rPr>
          <w:noProof/>
        </w:rPr>
        <w:fldChar w:fldCharType="separate"/>
      </w:r>
      <w:r w:rsidRPr="00A301FF">
        <w:rPr>
          <w:noProof/>
          <w:lang w:val="fr-CH"/>
        </w:rPr>
        <w:t>3</w:t>
      </w:r>
      <w:r>
        <w:rPr>
          <w:noProof/>
        </w:rPr>
        <w:fldChar w:fldCharType="end"/>
      </w:r>
    </w:p>
    <w:p w:rsidR="00A301FF" w:rsidRPr="00A301FF" w:rsidRDefault="00A301FF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r-CH"/>
        </w:rPr>
      </w:pPr>
      <w:r w:rsidRPr="00925216">
        <w:rPr>
          <w:noProof/>
          <w:lang w:val="fr-FR"/>
        </w:rPr>
        <w:t>Examen DHS des variétés mutantes du pommier</w:t>
      </w:r>
      <w:r w:rsidRPr="00A301FF">
        <w:rPr>
          <w:noProof/>
          <w:lang w:val="fr-CH"/>
        </w:rPr>
        <w:tab/>
      </w:r>
      <w:r>
        <w:rPr>
          <w:noProof/>
        </w:rPr>
        <w:fldChar w:fldCharType="begin"/>
      </w:r>
      <w:r w:rsidRPr="00A301FF">
        <w:rPr>
          <w:noProof/>
          <w:lang w:val="fr-CH"/>
        </w:rPr>
        <w:instrText xml:space="preserve"> PAGEREF _Toc22473826 \h </w:instrText>
      </w:r>
      <w:r>
        <w:rPr>
          <w:noProof/>
        </w:rPr>
      </w:r>
      <w:r>
        <w:rPr>
          <w:noProof/>
        </w:rPr>
        <w:fldChar w:fldCharType="separate"/>
      </w:r>
      <w:r w:rsidRPr="00A301FF">
        <w:rPr>
          <w:noProof/>
          <w:lang w:val="fr-CH"/>
        </w:rPr>
        <w:t>5</w:t>
      </w:r>
      <w:r>
        <w:rPr>
          <w:noProof/>
        </w:rPr>
        <w:fldChar w:fldCharType="end"/>
      </w:r>
    </w:p>
    <w:p w:rsidR="00A301FF" w:rsidRPr="00A301FF" w:rsidRDefault="00A301FF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r-CH"/>
        </w:rPr>
      </w:pPr>
      <w:r w:rsidRPr="00925216">
        <w:rPr>
          <w:noProof/>
          <w:lang w:val="fr-FR"/>
        </w:rPr>
        <w:t>Données d’expérience relatives à la définition des arbres, des arbustes et de la vigne</w:t>
      </w:r>
      <w:r w:rsidRPr="00A301FF">
        <w:rPr>
          <w:noProof/>
          <w:lang w:val="fr-CH"/>
        </w:rPr>
        <w:tab/>
      </w:r>
      <w:r>
        <w:rPr>
          <w:noProof/>
        </w:rPr>
        <w:fldChar w:fldCharType="begin"/>
      </w:r>
      <w:r w:rsidRPr="00A301FF">
        <w:rPr>
          <w:noProof/>
          <w:lang w:val="fr-CH"/>
        </w:rPr>
        <w:instrText xml:space="preserve"> PAGEREF _Toc22473827 \h </w:instrText>
      </w:r>
      <w:r>
        <w:rPr>
          <w:noProof/>
        </w:rPr>
      </w:r>
      <w:r>
        <w:rPr>
          <w:noProof/>
        </w:rPr>
        <w:fldChar w:fldCharType="separate"/>
      </w:r>
      <w:r w:rsidRPr="00A301FF">
        <w:rPr>
          <w:noProof/>
          <w:lang w:val="fr-CH"/>
        </w:rPr>
        <w:t>5</w:t>
      </w:r>
      <w:r>
        <w:rPr>
          <w:noProof/>
        </w:rPr>
        <w:fldChar w:fldCharType="end"/>
      </w:r>
    </w:p>
    <w:p w:rsidR="00A301FF" w:rsidRPr="00A301FF" w:rsidRDefault="00A301FF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r-CH"/>
        </w:rPr>
      </w:pPr>
      <w:r w:rsidRPr="00925216">
        <w:rPr>
          <w:noProof/>
          <w:lang w:val="fr-FR"/>
        </w:rPr>
        <w:t>Définition du “cycle de végétation” des variétés ornementales</w:t>
      </w:r>
      <w:r w:rsidRPr="00A301FF">
        <w:rPr>
          <w:noProof/>
          <w:lang w:val="fr-CH"/>
        </w:rPr>
        <w:tab/>
      </w:r>
      <w:r>
        <w:rPr>
          <w:noProof/>
        </w:rPr>
        <w:fldChar w:fldCharType="begin"/>
      </w:r>
      <w:r w:rsidRPr="00A301FF">
        <w:rPr>
          <w:noProof/>
          <w:lang w:val="fr-CH"/>
        </w:rPr>
        <w:instrText xml:space="preserve"> PAGEREF _Toc22473828 \h </w:instrText>
      </w:r>
      <w:r>
        <w:rPr>
          <w:noProof/>
        </w:rPr>
      </w:r>
      <w:r>
        <w:rPr>
          <w:noProof/>
        </w:rPr>
        <w:fldChar w:fldCharType="separate"/>
      </w:r>
      <w:r w:rsidRPr="00A301FF">
        <w:rPr>
          <w:noProof/>
          <w:lang w:val="fr-CH"/>
        </w:rPr>
        <w:t>6</w:t>
      </w:r>
      <w:r>
        <w:rPr>
          <w:noProof/>
        </w:rPr>
        <w:fldChar w:fldCharType="end"/>
      </w:r>
    </w:p>
    <w:p w:rsidR="00A301FF" w:rsidRPr="00A301FF" w:rsidRDefault="00A301FF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r-CH"/>
        </w:rPr>
      </w:pPr>
      <w:r w:rsidRPr="00925216">
        <w:rPr>
          <w:noProof/>
          <w:lang w:val="fr-FR"/>
        </w:rPr>
        <w:t>Données d’expérience relatives aux caractères évalués sur la base d’échantillons globaux</w:t>
      </w:r>
      <w:r w:rsidRPr="00A301FF">
        <w:rPr>
          <w:noProof/>
          <w:lang w:val="fr-CH"/>
        </w:rPr>
        <w:tab/>
      </w:r>
      <w:r>
        <w:rPr>
          <w:noProof/>
        </w:rPr>
        <w:fldChar w:fldCharType="begin"/>
      </w:r>
      <w:r w:rsidRPr="00A301FF">
        <w:rPr>
          <w:noProof/>
          <w:lang w:val="fr-CH"/>
        </w:rPr>
        <w:instrText xml:space="preserve"> PAGEREF _Toc22473829 \h </w:instrText>
      </w:r>
      <w:r>
        <w:rPr>
          <w:noProof/>
        </w:rPr>
      </w:r>
      <w:r>
        <w:rPr>
          <w:noProof/>
        </w:rPr>
        <w:fldChar w:fldCharType="separate"/>
      </w:r>
      <w:r w:rsidRPr="00A301FF">
        <w:rPr>
          <w:noProof/>
          <w:lang w:val="fr-CH"/>
        </w:rPr>
        <w:t>6</w:t>
      </w:r>
      <w:r>
        <w:rPr>
          <w:noProof/>
        </w:rPr>
        <w:fldChar w:fldCharType="end"/>
      </w:r>
    </w:p>
    <w:p w:rsidR="00A301FF" w:rsidRPr="00A301FF" w:rsidRDefault="00A301FF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r-CH"/>
        </w:rPr>
      </w:pPr>
      <w:r w:rsidRPr="00925216">
        <w:rPr>
          <w:noProof/>
          <w:lang w:val="fr-FR"/>
        </w:rPr>
        <w:t>Données d’expérience relatives au code couleur RHS et à l’ajout éventuel de couleurs à l’avenir</w:t>
      </w:r>
      <w:r w:rsidRPr="00A301FF">
        <w:rPr>
          <w:noProof/>
          <w:lang w:val="fr-CH"/>
        </w:rPr>
        <w:tab/>
      </w:r>
      <w:r>
        <w:rPr>
          <w:noProof/>
        </w:rPr>
        <w:fldChar w:fldCharType="begin"/>
      </w:r>
      <w:r w:rsidRPr="00A301FF">
        <w:rPr>
          <w:noProof/>
          <w:lang w:val="fr-CH"/>
        </w:rPr>
        <w:instrText xml:space="preserve"> PAGEREF _Toc22473830 \h </w:instrText>
      </w:r>
      <w:r>
        <w:rPr>
          <w:noProof/>
        </w:rPr>
      </w:r>
      <w:r>
        <w:rPr>
          <w:noProof/>
        </w:rPr>
        <w:fldChar w:fldCharType="separate"/>
      </w:r>
      <w:r w:rsidRPr="00A301FF">
        <w:rPr>
          <w:noProof/>
          <w:lang w:val="fr-CH"/>
        </w:rPr>
        <w:t>6</w:t>
      </w:r>
      <w:r>
        <w:rPr>
          <w:noProof/>
        </w:rPr>
        <w:fldChar w:fldCharType="end"/>
      </w:r>
    </w:p>
    <w:p w:rsidR="00A301FF" w:rsidRPr="00A301FF" w:rsidRDefault="00A301FF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r-CH"/>
        </w:rPr>
      </w:pPr>
      <w:r w:rsidRPr="00925216">
        <w:rPr>
          <w:noProof/>
          <w:shd w:val="clear" w:color="auto" w:fill="FFFFFF"/>
          <w:lang w:val="fr-FR"/>
        </w:rPr>
        <w:t>Données d’expérience relatives aux bases de données taxonomiques</w:t>
      </w:r>
      <w:r w:rsidRPr="00A301FF">
        <w:rPr>
          <w:noProof/>
          <w:lang w:val="fr-CH"/>
        </w:rPr>
        <w:tab/>
      </w:r>
      <w:r>
        <w:rPr>
          <w:noProof/>
        </w:rPr>
        <w:fldChar w:fldCharType="begin"/>
      </w:r>
      <w:r w:rsidRPr="00A301FF">
        <w:rPr>
          <w:noProof/>
          <w:lang w:val="fr-CH"/>
        </w:rPr>
        <w:instrText xml:space="preserve"> PAGEREF _Toc22473831 \h </w:instrText>
      </w:r>
      <w:r>
        <w:rPr>
          <w:noProof/>
        </w:rPr>
      </w:r>
      <w:r>
        <w:rPr>
          <w:noProof/>
        </w:rPr>
        <w:fldChar w:fldCharType="separate"/>
      </w:r>
      <w:r w:rsidRPr="00A301FF">
        <w:rPr>
          <w:noProof/>
          <w:lang w:val="fr-CH"/>
        </w:rPr>
        <w:t>6</w:t>
      </w:r>
      <w:r>
        <w:rPr>
          <w:noProof/>
        </w:rPr>
        <w:fldChar w:fldCharType="end"/>
      </w:r>
    </w:p>
    <w:p w:rsidR="00A301FF" w:rsidRPr="00A301FF" w:rsidRDefault="00A301FF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r-CH"/>
        </w:rPr>
      </w:pPr>
      <w:r w:rsidRPr="00925216">
        <w:rPr>
          <w:noProof/>
          <w:lang w:val="fr-FR"/>
        </w:rPr>
        <w:t>Divergences entre les informations figurant dans le questionnaire technique et le matériel végétal soumis pour examen</w:t>
      </w:r>
      <w:r w:rsidRPr="00A301FF">
        <w:rPr>
          <w:noProof/>
          <w:lang w:val="fr-CH"/>
        </w:rPr>
        <w:tab/>
      </w:r>
      <w:r>
        <w:rPr>
          <w:noProof/>
        </w:rPr>
        <w:fldChar w:fldCharType="begin"/>
      </w:r>
      <w:r w:rsidRPr="00A301FF">
        <w:rPr>
          <w:noProof/>
          <w:lang w:val="fr-CH"/>
        </w:rPr>
        <w:instrText xml:space="preserve"> PAGEREF _Toc22473832 \h </w:instrText>
      </w:r>
      <w:r>
        <w:rPr>
          <w:noProof/>
        </w:rPr>
      </w:r>
      <w:r>
        <w:rPr>
          <w:noProof/>
        </w:rPr>
        <w:fldChar w:fldCharType="separate"/>
      </w:r>
      <w:r w:rsidRPr="00A301FF">
        <w:rPr>
          <w:noProof/>
          <w:lang w:val="fr-CH"/>
        </w:rPr>
        <w:t>6</w:t>
      </w:r>
      <w:r>
        <w:rPr>
          <w:noProof/>
        </w:rPr>
        <w:fldChar w:fldCharType="end"/>
      </w:r>
    </w:p>
    <w:p w:rsidR="00A301FF" w:rsidRPr="00A301FF" w:rsidRDefault="00A301FF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r-CH"/>
        </w:rPr>
      </w:pPr>
      <w:r w:rsidRPr="00925216">
        <w:rPr>
          <w:noProof/>
          <w:lang w:val="fr-FR"/>
        </w:rPr>
        <w:t>Données d’expérience relatives aux nouveaux types et espèces</w:t>
      </w:r>
      <w:r w:rsidRPr="00A301FF">
        <w:rPr>
          <w:noProof/>
          <w:lang w:val="fr-CH"/>
        </w:rPr>
        <w:tab/>
      </w:r>
      <w:r>
        <w:rPr>
          <w:noProof/>
        </w:rPr>
        <w:fldChar w:fldCharType="begin"/>
      </w:r>
      <w:r w:rsidRPr="00A301FF">
        <w:rPr>
          <w:noProof/>
          <w:lang w:val="fr-CH"/>
        </w:rPr>
        <w:instrText xml:space="preserve"> PAGEREF _Toc22473833 \h </w:instrText>
      </w:r>
      <w:r>
        <w:rPr>
          <w:noProof/>
        </w:rPr>
      </w:r>
      <w:r>
        <w:rPr>
          <w:noProof/>
        </w:rPr>
        <w:fldChar w:fldCharType="separate"/>
      </w:r>
      <w:r w:rsidRPr="00A301FF">
        <w:rPr>
          <w:noProof/>
          <w:lang w:val="fr-CH"/>
        </w:rPr>
        <w:t>7</w:t>
      </w:r>
      <w:r>
        <w:rPr>
          <w:noProof/>
        </w:rPr>
        <w:fldChar w:fldCharType="end"/>
      </w:r>
    </w:p>
    <w:p w:rsidR="00A301FF" w:rsidRPr="00A301FF" w:rsidRDefault="00A301FF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r-CH"/>
        </w:rPr>
      </w:pPr>
      <w:r w:rsidRPr="00925216">
        <w:rPr>
          <w:noProof/>
          <w:lang w:val="fr-FR"/>
        </w:rPr>
        <w:t>Nouvelles questions se posant pour l’examen DHS</w:t>
      </w:r>
      <w:r w:rsidRPr="00A301FF">
        <w:rPr>
          <w:noProof/>
          <w:lang w:val="fr-CH"/>
        </w:rPr>
        <w:tab/>
      </w:r>
      <w:r>
        <w:rPr>
          <w:noProof/>
        </w:rPr>
        <w:fldChar w:fldCharType="begin"/>
      </w:r>
      <w:r w:rsidRPr="00A301FF">
        <w:rPr>
          <w:noProof/>
          <w:lang w:val="fr-CH"/>
        </w:rPr>
        <w:instrText xml:space="preserve"> PAGEREF _Toc22473834 \h </w:instrText>
      </w:r>
      <w:r>
        <w:rPr>
          <w:noProof/>
        </w:rPr>
      </w:r>
      <w:r>
        <w:rPr>
          <w:noProof/>
        </w:rPr>
        <w:fldChar w:fldCharType="separate"/>
      </w:r>
      <w:r w:rsidRPr="00A301FF">
        <w:rPr>
          <w:noProof/>
          <w:lang w:val="fr-CH"/>
        </w:rPr>
        <w:t>7</w:t>
      </w:r>
      <w:r>
        <w:rPr>
          <w:noProof/>
        </w:rPr>
        <w:fldChar w:fldCharType="end"/>
      </w:r>
    </w:p>
    <w:p w:rsidR="00A301FF" w:rsidRPr="00A301FF" w:rsidRDefault="00A301FF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r-CH"/>
        </w:rPr>
      </w:pPr>
      <w:r w:rsidRPr="00925216">
        <w:rPr>
          <w:noProof/>
          <w:lang w:val="fr-FR"/>
        </w:rPr>
        <w:t>Questions à prendre en considération dans l’examen DHS pour le secteur des fruits</w:t>
      </w:r>
      <w:r w:rsidRPr="00A301FF">
        <w:rPr>
          <w:noProof/>
          <w:lang w:val="fr-CH"/>
        </w:rPr>
        <w:tab/>
      </w:r>
      <w:r>
        <w:rPr>
          <w:noProof/>
        </w:rPr>
        <w:fldChar w:fldCharType="begin"/>
      </w:r>
      <w:r w:rsidRPr="00A301FF">
        <w:rPr>
          <w:noProof/>
          <w:lang w:val="fr-CH"/>
        </w:rPr>
        <w:instrText xml:space="preserve"> PAGEREF _Toc22473835 \h </w:instrText>
      </w:r>
      <w:r>
        <w:rPr>
          <w:noProof/>
        </w:rPr>
      </w:r>
      <w:r>
        <w:rPr>
          <w:noProof/>
        </w:rPr>
        <w:fldChar w:fldCharType="separate"/>
      </w:r>
      <w:r w:rsidRPr="00A301FF">
        <w:rPr>
          <w:noProof/>
          <w:lang w:val="fr-CH"/>
        </w:rPr>
        <w:t>8</w:t>
      </w:r>
      <w:r>
        <w:rPr>
          <w:noProof/>
        </w:rPr>
        <w:fldChar w:fldCharType="end"/>
      </w:r>
    </w:p>
    <w:p w:rsidR="00A301FF" w:rsidRPr="00A301FF" w:rsidRDefault="00A301FF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r-CH"/>
        </w:rPr>
      </w:pPr>
      <w:r w:rsidRPr="00925216">
        <w:rPr>
          <w:noProof/>
          <w:lang w:val="fr-FR"/>
        </w:rPr>
        <w:t>Groupes de discussion chargés d’examiner la question des “nouvelles technologies utilisées aux fins de l’examen DHS”</w:t>
      </w:r>
      <w:r w:rsidRPr="00A301FF">
        <w:rPr>
          <w:noProof/>
          <w:lang w:val="fr-CH"/>
        </w:rPr>
        <w:tab/>
      </w:r>
      <w:r>
        <w:rPr>
          <w:noProof/>
        </w:rPr>
        <w:fldChar w:fldCharType="begin"/>
      </w:r>
      <w:r w:rsidRPr="00A301FF">
        <w:rPr>
          <w:noProof/>
          <w:lang w:val="fr-CH"/>
        </w:rPr>
        <w:instrText xml:space="preserve"> PAGEREF _Toc22473836 \h </w:instrText>
      </w:r>
      <w:r>
        <w:rPr>
          <w:noProof/>
        </w:rPr>
      </w:r>
      <w:r>
        <w:rPr>
          <w:noProof/>
        </w:rPr>
        <w:fldChar w:fldCharType="separate"/>
      </w:r>
      <w:r w:rsidRPr="00A301FF">
        <w:rPr>
          <w:noProof/>
          <w:lang w:val="fr-CH"/>
        </w:rPr>
        <w:t>8</w:t>
      </w:r>
      <w:r>
        <w:rPr>
          <w:noProof/>
        </w:rPr>
        <w:fldChar w:fldCharType="end"/>
      </w:r>
    </w:p>
    <w:p w:rsidR="00BC700C" w:rsidRPr="005C718D" w:rsidRDefault="00853022" w:rsidP="00D10B2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FR"/>
        </w:rPr>
      </w:pPr>
      <w:r w:rsidRPr="005C718D">
        <w:rPr>
          <w:rFonts w:eastAsia="MS Mincho" w:cs="Arial"/>
          <w:bCs/>
          <w:i/>
          <w:noProof/>
          <w:lang w:val="fr-FR" w:eastAsia="ja-JP"/>
        </w:rPr>
        <w:fldChar w:fldCharType="end"/>
      </w:r>
      <w:r w:rsidR="00B03A49" w:rsidRPr="005C718D">
        <w:rPr>
          <w:lang w:val="fr-FR"/>
        </w:rPr>
        <w:fldChar w:fldCharType="begin"/>
      </w:r>
      <w:r w:rsidR="00B03A49" w:rsidRPr="005C718D">
        <w:rPr>
          <w:lang w:val="fr-FR"/>
        </w:rPr>
        <w:instrText xml:space="preserve"> TOC \o "1-3" \h \z \u </w:instrText>
      </w:r>
      <w:r w:rsidR="00B03A49" w:rsidRPr="005C718D">
        <w:rPr>
          <w:lang w:val="fr-FR"/>
        </w:rPr>
        <w:fldChar w:fldCharType="separate"/>
      </w:r>
    </w:p>
    <w:p w:rsidR="00B03A49" w:rsidRPr="005C718D" w:rsidRDefault="00B03A49" w:rsidP="00397D83">
      <w:pPr>
        <w:tabs>
          <w:tab w:val="left" w:pos="567"/>
        </w:tabs>
        <w:rPr>
          <w:rFonts w:cs="Arial"/>
          <w:lang w:val="fr-FR"/>
        </w:rPr>
      </w:pPr>
      <w:r w:rsidRPr="005C718D">
        <w:rPr>
          <w:lang w:val="fr-FR"/>
        </w:rPr>
        <w:fldChar w:fldCharType="end"/>
      </w:r>
    </w:p>
    <w:p w:rsidR="00B03A49" w:rsidRPr="005C718D" w:rsidRDefault="007D789B" w:rsidP="006773E5">
      <w:pPr>
        <w:pStyle w:val="Heading1"/>
        <w:rPr>
          <w:rFonts w:eastAsia="PMingLiU"/>
          <w:szCs w:val="24"/>
          <w:lang w:val="fr-FR"/>
        </w:rPr>
      </w:pPr>
      <w:bookmarkStart w:id="4" w:name="_Toc441497828"/>
      <w:bookmarkStart w:id="5" w:name="_Toc527377892"/>
      <w:bookmarkStart w:id="6" w:name="_Toc20505078"/>
      <w:bookmarkStart w:id="7" w:name="_Toc22473822"/>
      <w:r w:rsidRPr="005C718D">
        <w:rPr>
          <w:lang w:val="fr-FR"/>
        </w:rPr>
        <w:t>Questions pour information et d</w:t>
      </w:r>
      <w:r w:rsidR="00A301FF">
        <w:rPr>
          <w:rFonts w:cs="Arial"/>
          <w:lang w:val="fr-FR"/>
        </w:rPr>
        <w:t>É</w:t>
      </w:r>
      <w:r w:rsidRPr="005C718D">
        <w:rPr>
          <w:lang w:val="fr-FR"/>
        </w:rPr>
        <w:t xml:space="preserve">cision </w:t>
      </w:r>
      <w:r w:rsidR="00A301FF">
        <w:rPr>
          <w:rFonts w:cs="Arial"/>
          <w:lang w:val="fr-FR"/>
        </w:rPr>
        <w:t>É</w:t>
      </w:r>
      <w:r w:rsidRPr="005C718D">
        <w:rPr>
          <w:lang w:val="fr-FR"/>
        </w:rPr>
        <w:t>ventuelle du comit</w:t>
      </w:r>
      <w:r w:rsidR="00A301FF">
        <w:rPr>
          <w:rFonts w:cs="Arial"/>
          <w:lang w:val="fr-FR"/>
        </w:rPr>
        <w:t>É</w:t>
      </w:r>
      <w:r w:rsidRPr="005C718D">
        <w:rPr>
          <w:lang w:val="fr-FR"/>
        </w:rPr>
        <w:t xml:space="preserve"> technique</w:t>
      </w:r>
      <w:r w:rsidR="00B03A49" w:rsidRPr="005C718D">
        <w:rPr>
          <w:lang w:val="fr-FR"/>
        </w:rPr>
        <w:t xml:space="preserve"> (TC)</w:t>
      </w:r>
      <w:bookmarkEnd w:id="4"/>
      <w:bookmarkEnd w:id="5"/>
      <w:bookmarkEnd w:id="6"/>
      <w:bookmarkEnd w:id="7"/>
    </w:p>
    <w:p w:rsidR="00B03A49" w:rsidRPr="005C718D" w:rsidRDefault="00B03A49" w:rsidP="00B03A49">
      <w:pPr>
        <w:rPr>
          <w:lang w:val="fr-FR"/>
        </w:rPr>
      </w:pPr>
    </w:p>
    <w:p w:rsidR="00CA71B1" w:rsidRPr="005C718D" w:rsidRDefault="00BC700C" w:rsidP="000970DC">
      <w:pPr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Pr="005C718D">
        <w:rPr>
          <w:lang w:val="fr-FR"/>
        </w:rPr>
        <w:tab/>
      </w:r>
      <w:r w:rsidR="007D789B" w:rsidRPr="005C718D">
        <w:rPr>
          <w:lang w:val="fr-FR"/>
        </w:rPr>
        <w:t>Il n</w:t>
      </w:r>
      <w:r w:rsidR="005C718D">
        <w:rPr>
          <w:lang w:val="fr-FR"/>
        </w:rPr>
        <w:t>’</w:t>
      </w:r>
      <w:r w:rsidR="007D789B" w:rsidRPr="005C718D">
        <w:rPr>
          <w:lang w:val="fr-FR"/>
        </w:rPr>
        <w:t xml:space="preserve">y a aucune question </w:t>
      </w:r>
      <w:r w:rsidR="00A14DD7" w:rsidRPr="005C718D">
        <w:rPr>
          <w:lang w:val="fr-FR"/>
        </w:rPr>
        <w:t>nécessitant une prise de dé</w:t>
      </w:r>
      <w:r w:rsidRPr="005C718D">
        <w:rPr>
          <w:lang w:val="fr-FR"/>
        </w:rPr>
        <w:t xml:space="preserve">cision </w:t>
      </w:r>
      <w:r w:rsidR="00A14DD7" w:rsidRPr="005C718D">
        <w:rPr>
          <w:lang w:val="fr-FR"/>
        </w:rPr>
        <w:t>de la part du Comité technique à sa cinquante</w:t>
      </w:r>
      <w:r w:rsidR="005C718D">
        <w:rPr>
          <w:lang w:val="fr-FR"/>
        </w:rPr>
        <w:t>-</w:t>
      </w:r>
      <w:r w:rsidR="00A14DD7" w:rsidRPr="005C718D">
        <w:rPr>
          <w:lang w:val="fr-FR"/>
        </w:rPr>
        <w:t>cinqu</w:t>
      </w:r>
      <w:r w:rsidR="005C718D">
        <w:rPr>
          <w:lang w:val="fr-FR"/>
        </w:rPr>
        <w:t>ième session</w:t>
      </w:r>
      <w:r w:rsidRPr="005C718D">
        <w:rPr>
          <w:lang w:val="fr-FR"/>
        </w:rPr>
        <w:t>.</w:t>
      </w:r>
    </w:p>
    <w:p w:rsidR="00CA71B1" w:rsidRPr="005C718D" w:rsidRDefault="00CA71B1" w:rsidP="000970DC">
      <w:pPr>
        <w:rPr>
          <w:lang w:val="fr-FR"/>
        </w:rPr>
      </w:pPr>
    </w:p>
    <w:p w:rsidR="00244757" w:rsidRPr="005C718D" w:rsidRDefault="00244757" w:rsidP="000970DC">
      <w:pPr>
        <w:rPr>
          <w:lang w:val="fr-FR"/>
        </w:rPr>
      </w:pPr>
    </w:p>
    <w:p w:rsidR="000970DC" w:rsidRPr="005C718D" w:rsidRDefault="00A14DD7" w:rsidP="006773E5">
      <w:pPr>
        <w:pStyle w:val="Heading1"/>
        <w:rPr>
          <w:lang w:val="fr-FR"/>
        </w:rPr>
      </w:pPr>
      <w:bookmarkStart w:id="8" w:name="_Toc441497830"/>
      <w:bookmarkStart w:id="9" w:name="_Toc527377899"/>
      <w:bookmarkStart w:id="10" w:name="_Toc20505079"/>
      <w:bookmarkStart w:id="11" w:name="_Toc22473823"/>
      <w:r w:rsidRPr="005C718D">
        <w:rPr>
          <w:lang w:val="fr-FR"/>
        </w:rPr>
        <w:t>Questions pour information</w:t>
      </w:r>
      <w:bookmarkEnd w:id="8"/>
      <w:bookmarkEnd w:id="9"/>
      <w:bookmarkEnd w:id="10"/>
      <w:bookmarkEnd w:id="11"/>
    </w:p>
    <w:p w:rsidR="00C763B8" w:rsidRPr="005C718D" w:rsidRDefault="00C763B8" w:rsidP="00BB4DB2">
      <w:pPr>
        <w:pStyle w:val="Heading2"/>
        <w:rPr>
          <w:lang w:val="fr-FR"/>
        </w:rPr>
      </w:pPr>
    </w:p>
    <w:p w:rsidR="00BB4DB2" w:rsidRPr="005C718D" w:rsidRDefault="00A14DD7" w:rsidP="00BB4DB2">
      <w:pPr>
        <w:pStyle w:val="Heading2"/>
        <w:rPr>
          <w:lang w:val="fr-FR"/>
        </w:rPr>
      </w:pPr>
      <w:bookmarkStart w:id="12" w:name="_Toc20505080"/>
      <w:bookmarkStart w:id="13" w:name="_Toc22473824"/>
      <w:r w:rsidRPr="005C718D">
        <w:rPr>
          <w:lang w:val="fr-FR"/>
        </w:rPr>
        <w:t>Utilisation de caractères de résistance aux maladies</w:t>
      </w:r>
      <w:bookmarkEnd w:id="12"/>
      <w:bookmarkEnd w:id="13"/>
    </w:p>
    <w:p w:rsidR="00BB4DB2" w:rsidRPr="005C718D" w:rsidRDefault="00BB4DB2" w:rsidP="00BB4DB2">
      <w:pPr>
        <w:keepNext/>
        <w:rPr>
          <w:lang w:val="fr-FR"/>
        </w:rPr>
      </w:pPr>
    </w:p>
    <w:p w:rsidR="00BB4DB2" w:rsidRPr="005C718D" w:rsidRDefault="00A14DD7" w:rsidP="00BB4DB2">
      <w:pPr>
        <w:pStyle w:val="Heading3"/>
        <w:rPr>
          <w:lang w:val="fr-FR"/>
        </w:rPr>
      </w:pPr>
      <w:bookmarkStart w:id="14" w:name="_Toc20505081"/>
      <w:r w:rsidRPr="005C718D">
        <w:rPr>
          <w:lang w:val="fr-FR"/>
        </w:rPr>
        <w:t>Faits nouveaux au sein du Comité</w:t>
      </w:r>
      <w:bookmarkEnd w:id="14"/>
      <w:r w:rsidRPr="005C718D">
        <w:rPr>
          <w:lang w:val="fr-FR"/>
        </w:rPr>
        <w:t xml:space="preserve"> technique</w:t>
      </w:r>
    </w:p>
    <w:p w:rsidR="00BB4DB2" w:rsidRPr="005C718D" w:rsidRDefault="00BB4DB2" w:rsidP="00BB4DB2">
      <w:pPr>
        <w:rPr>
          <w:lang w:val="fr-FR"/>
        </w:rPr>
      </w:pPr>
    </w:p>
    <w:p w:rsidR="00BB4DB2" w:rsidRPr="005C718D" w:rsidRDefault="00BB4DB2" w:rsidP="00BB4DB2">
      <w:pPr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="00A14DD7" w:rsidRPr="005C718D">
        <w:rPr>
          <w:lang w:val="fr-FR"/>
        </w:rPr>
        <w:tab/>
        <w:t>À sa cinquante</w:t>
      </w:r>
      <w:r w:rsidR="005C718D">
        <w:rPr>
          <w:lang w:val="fr-FR"/>
        </w:rPr>
        <w:t>-</w:t>
      </w:r>
      <w:r w:rsidR="00A14DD7" w:rsidRPr="005C718D">
        <w:rPr>
          <w:lang w:val="fr-FR"/>
        </w:rPr>
        <w:t>quatr</w:t>
      </w:r>
      <w:r w:rsidR="005C718D">
        <w:rPr>
          <w:lang w:val="fr-FR"/>
        </w:rPr>
        <w:t>ième session</w:t>
      </w:r>
      <w:r w:rsidR="00A14DD7" w:rsidRPr="005C718D">
        <w:rPr>
          <w:lang w:val="fr-FR"/>
        </w:rPr>
        <w:t xml:space="preserve"> tenue à Genève les 29 et 30 octobre 2018, l</w:t>
      </w:r>
      <w:r w:rsidRPr="005C718D">
        <w:rPr>
          <w:lang w:val="fr-FR"/>
        </w:rPr>
        <w:t>e</w:t>
      </w:r>
      <w:r w:rsidR="005C718D">
        <w:rPr>
          <w:lang w:val="fr-FR"/>
        </w:rPr>
        <w:t> TC</w:t>
      </w:r>
      <w:r w:rsidRPr="005C718D">
        <w:rPr>
          <w:lang w:val="fr-FR"/>
        </w:rPr>
        <w:t xml:space="preserve"> </w:t>
      </w:r>
      <w:r w:rsidR="00A14DD7" w:rsidRPr="005C718D">
        <w:rPr>
          <w:lang w:val="fr-FR"/>
        </w:rPr>
        <w:t>a pris connaissance des</w:t>
      </w:r>
      <w:r w:rsidR="00E91F35" w:rsidRPr="005C718D">
        <w:rPr>
          <w:lang w:val="fr-FR"/>
        </w:rPr>
        <w:t xml:space="preserve"> rapports de</w:t>
      </w:r>
      <w:r w:rsidR="00A14DD7" w:rsidRPr="005C718D">
        <w:rPr>
          <w:lang w:val="fr-FR"/>
        </w:rPr>
        <w:t xml:space="preserve"> discussions portant sur les caractères de résistance aux maladies dans le cadre de l</w:t>
      </w:r>
      <w:r w:rsidR="005C718D">
        <w:rPr>
          <w:lang w:val="fr-FR"/>
        </w:rPr>
        <w:t>’</w:t>
      </w:r>
      <w:r w:rsidR="00A14DD7" w:rsidRPr="005C718D">
        <w:rPr>
          <w:lang w:val="fr-FR"/>
        </w:rPr>
        <w:t>examen</w:t>
      </w:r>
      <w:r w:rsidR="0055585E">
        <w:rPr>
          <w:lang w:val="fr-FR"/>
        </w:rPr>
        <w:t> </w:t>
      </w:r>
      <w:r w:rsidR="00A14DD7" w:rsidRPr="005C718D">
        <w:rPr>
          <w:lang w:val="fr-FR"/>
        </w:rPr>
        <w:t>DHS</w:t>
      </w:r>
      <w:r w:rsidR="007A5411" w:rsidRPr="005C718D">
        <w:rPr>
          <w:lang w:val="fr-FR"/>
        </w:rPr>
        <w:t>,</w:t>
      </w:r>
      <w:r w:rsidRPr="005C718D">
        <w:rPr>
          <w:lang w:val="fr-FR"/>
        </w:rPr>
        <w:t xml:space="preserve"> </w:t>
      </w:r>
      <w:r w:rsidR="007A5411" w:rsidRPr="005C718D">
        <w:rPr>
          <w:lang w:val="fr-FR"/>
        </w:rPr>
        <w:t>tenues par</w:t>
      </w:r>
      <w:r w:rsidR="005C718D" w:rsidRPr="005C718D">
        <w:rPr>
          <w:lang w:val="fr-FR"/>
        </w:rPr>
        <w:t xml:space="preserve"> les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TWP</w:t>
      </w:r>
      <w:r w:rsidR="007A5411" w:rsidRPr="005C718D">
        <w:rPr>
          <w:lang w:val="fr-FR"/>
        </w:rPr>
        <w:t xml:space="preserve"> à leurs </w:t>
      </w:r>
      <w:r w:rsidRPr="005C718D">
        <w:rPr>
          <w:lang w:val="fr-FR"/>
        </w:rPr>
        <w:t xml:space="preserve">sessions </w:t>
      </w:r>
      <w:r w:rsidR="005C718D" w:rsidRPr="005C718D">
        <w:rPr>
          <w:lang w:val="fr-FR"/>
        </w:rPr>
        <w:t>de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2017</w:t>
      </w:r>
      <w:r w:rsidRPr="005C718D">
        <w:rPr>
          <w:lang w:val="fr-FR"/>
        </w:rPr>
        <w:t xml:space="preserve"> </w:t>
      </w:r>
      <w:r w:rsidR="007A5411" w:rsidRPr="005C718D">
        <w:rPr>
          <w:lang w:val="fr-FR"/>
        </w:rPr>
        <w:t xml:space="preserve">et </w:t>
      </w:r>
      <w:r w:rsidR="005C718D" w:rsidRPr="005C718D">
        <w:rPr>
          <w:lang w:val="fr-FR"/>
        </w:rPr>
        <w:t>de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2018</w:t>
      </w:r>
      <w:r w:rsidRPr="005C718D">
        <w:rPr>
          <w:lang w:val="fr-FR"/>
        </w:rPr>
        <w:t xml:space="preserve">, </w:t>
      </w:r>
      <w:r w:rsidR="00E91F35" w:rsidRPr="005C718D">
        <w:rPr>
          <w:lang w:val="fr-FR"/>
        </w:rPr>
        <w:t>qui figurent</w:t>
      </w:r>
      <w:r w:rsidR="007A5411" w:rsidRPr="005C718D">
        <w:rPr>
          <w:lang w:val="fr-FR"/>
        </w:rPr>
        <w:t xml:space="preserve"> aux </w:t>
      </w:r>
      <w:r w:rsidR="005C718D" w:rsidRPr="005C718D">
        <w:rPr>
          <w:lang w:val="fr-FR"/>
        </w:rPr>
        <w:t>paragraphes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4</w:t>
      </w:r>
      <w:r w:rsidR="007A5411" w:rsidRPr="005C718D">
        <w:rPr>
          <w:lang w:val="fr-FR"/>
        </w:rPr>
        <w:t xml:space="preserve">3 à 55 du </w:t>
      </w:r>
      <w:r w:rsidR="005C718D" w:rsidRPr="005C718D">
        <w:rPr>
          <w:lang w:val="fr-FR"/>
        </w:rPr>
        <w:t>document</w:t>
      </w:r>
      <w:r w:rsidR="005C718D">
        <w:rPr>
          <w:lang w:val="fr-FR"/>
        </w:rPr>
        <w:t xml:space="preserve"> TC</w:t>
      </w:r>
      <w:r w:rsidR="007A5411" w:rsidRPr="005C718D">
        <w:rPr>
          <w:lang w:val="fr-FR"/>
        </w:rPr>
        <w:t>/54/3</w:t>
      </w:r>
      <w:r w:rsidRPr="005C718D">
        <w:rPr>
          <w:lang w:val="fr-FR"/>
        </w:rPr>
        <w:t xml:space="preserve"> (</w:t>
      </w:r>
      <w:r w:rsidR="007A5411" w:rsidRPr="005C718D">
        <w:rPr>
          <w:lang w:val="fr-FR"/>
        </w:rPr>
        <w:t xml:space="preserve">voir les </w:t>
      </w:r>
      <w:r w:rsidR="005C718D" w:rsidRPr="005C718D">
        <w:rPr>
          <w:lang w:val="fr-FR"/>
        </w:rPr>
        <w:t>paragraphes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2</w:t>
      </w:r>
      <w:r w:rsidR="007A5411" w:rsidRPr="005C718D">
        <w:rPr>
          <w:lang w:val="fr-FR"/>
        </w:rPr>
        <w:t xml:space="preserve">02 et 203 du </w:t>
      </w:r>
      <w:r w:rsidR="005C718D" w:rsidRPr="005C718D">
        <w:rPr>
          <w:lang w:val="fr-FR"/>
        </w:rPr>
        <w:t>document</w:t>
      </w:r>
      <w:r w:rsidR="005C718D">
        <w:rPr>
          <w:lang w:val="fr-FR"/>
        </w:rPr>
        <w:t xml:space="preserve"> TC</w:t>
      </w:r>
      <w:r w:rsidR="007A5411" w:rsidRPr="005C718D">
        <w:rPr>
          <w:lang w:val="fr-FR"/>
        </w:rPr>
        <w:t>/54/31 “Comp</w:t>
      </w:r>
      <w:r w:rsidRPr="005C718D">
        <w:rPr>
          <w:lang w:val="fr-FR"/>
        </w:rPr>
        <w:t>t</w:t>
      </w:r>
      <w:r w:rsidR="007A5411" w:rsidRPr="005C718D">
        <w:rPr>
          <w:lang w:val="fr-FR"/>
        </w:rPr>
        <w:t>e rendu</w:t>
      </w:r>
      <w:r w:rsidRPr="005C718D">
        <w:rPr>
          <w:lang w:val="fr-FR"/>
        </w:rPr>
        <w:t>”,)</w:t>
      </w:r>
    </w:p>
    <w:p w:rsidR="00BB4DB2" w:rsidRPr="005C718D" w:rsidRDefault="00BB4DB2" w:rsidP="00BB4DB2">
      <w:pPr>
        <w:rPr>
          <w:lang w:val="fr-FR"/>
        </w:rPr>
      </w:pPr>
    </w:p>
    <w:p w:rsidR="005C718D" w:rsidRDefault="00BB4DB2" w:rsidP="00BB4DB2">
      <w:pPr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Pr="005C718D">
        <w:rPr>
          <w:lang w:val="fr-FR"/>
        </w:rPr>
        <w:tab/>
      </w:r>
      <w:r w:rsidR="007A5411" w:rsidRPr="005C718D">
        <w:rPr>
          <w:lang w:val="fr-FR"/>
        </w:rPr>
        <w:t>L</w:t>
      </w:r>
      <w:r w:rsidRPr="005C718D">
        <w:rPr>
          <w:lang w:val="fr-FR"/>
        </w:rPr>
        <w:t>e</w:t>
      </w:r>
      <w:r w:rsidR="005C718D">
        <w:rPr>
          <w:lang w:val="fr-FR"/>
        </w:rPr>
        <w:t> TC</w:t>
      </w:r>
      <w:r w:rsidR="007A5411" w:rsidRPr="005C718D">
        <w:rPr>
          <w:lang w:val="fr-FR"/>
        </w:rPr>
        <w:t xml:space="preserve"> a pris note</w:t>
      </w:r>
      <w:r w:rsidRPr="005C718D">
        <w:rPr>
          <w:lang w:val="fr-FR"/>
        </w:rPr>
        <w:t xml:space="preserve"> </w:t>
      </w:r>
      <w:r w:rsidR="007A5411" w:rsidRPr="005C718D">
        <w:rPr>
          <w:lang w:val="fr-FR"/>
        </w:rPr>
        <w:t>des projets</w:t>
      </w:r>
      <w:r w:rsidR="005C718D" w:rsidRPr="005C718D">
        <w:rPr>
          <w:lang w:val="fr-FR"/>
        </w:rPr>
        <w:t xml:space="preserve"> du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TWV</w:t>
      </w:r>
      <w:r w:rsidR="007A5411" w:rsidRPr="005C718D">
        <w:rPr>
          <w:lang w:val="fr-FR"/>
        </w:rPr>
        <w:t xml:space="preserve"> </w:t>
      </w:r>
      <w:r w:rsidR="00E91F35" w:rsidRPr="005C718D">
        <w:rPr>
          <w:lang w:val="fr-FR"/>
        </w:rPr>
        <w:t>visant à</w:t>
      </w:r>
      <w:r w:rsidR="007A5411" w:rsidRPr="005C718D">
        <w:rPr>
          <w:lang w:val="fr-FR"/>
        </w:rPr>
        <w:t xml:space="preserve"> débattre</w:t>
      </w:r>
      <w:r w:rsidR="00007749" w:rsidRPr="005C718D">
        <w:rPr>
          <w:lang w:val="fr-FR"/>
        </w:rPr>
        <w:t>, à sa prochaine session,</w:t>
      </w:r>
      <w:r w:rsidR="007A5411" w:rsidRPr="005C718D">
        <w:rPr>
          <w:lang w:val="fr-FR"/>
        </w:rPr>
        <w:t xml:space="preserve"> des caractères de</w:t>
      </w:r>
      <w:r w:rsidR="00E91F35" w:rsidRPr="005C718D">
        <w:rPr>
          <w:lang w:val="fr-FR"/>
        </w:rPr>
        <w:t xml:space="preserve"> résistance aux maladies dans le cadre de l</w:t>
      </w:r>
      <w:r w:rsidR="005C718D">
        <w:rPr>
          <w:lang w:val="fr-FR"/>
        </w:rPr>
        <w:t>’</w:t>
      </w:r>
      <w:r w:rsidR="007A5411" w:rsidRPr="005C718D">
        <w:rPr>
          <w:lang w:val="fr-FR"/>
        </w:rPr>
        <w:t>examen</w:t>
      </w:r>
      <w:r w:rsidR="0055585E">
        <w:rPr>
          <w:lang w:val="fr-FR"/>
        </w:rPr>
        <w:t> </w:t>
      </w:r>
      <w:r w:rsidR="007A5411" w:rsidRPr="005C718D">
        <w:rPr>
          <w:lang w:val="fr-FR"/>
        </w:rPr>
        <w:t>DHS</w:t>
      </w:r>
      <w:r w:rsidR="00007749" w:rsidRPr="005C718D">
        <w:rPr>
          <w:lang w:val="fr-FR"/>
        </w:rPr>
        <w:t>,</w:t>
      </w:r>
      <w:r w:rsidR="007A5411" w:rsidRPr="005C718D">
        <w:rPr>
          <w:lang w:val="fr-FR"/>
        </w:rPr>
        <w:t xml:space="preserve"> </w:t>
      </w:r>
      <w:r w:rsidR="00E91F35" w:rsidRPr="005C718D">
        <w:rPr>
          <w:lang w:val="fr-FR"/>
        </w:rPr>
        <w:t>et a décidé</w:t>
      </w:r>
      <w:r w:rsidR="00007749" w:rsidRPr="005C718D">
        <w:rPr>
          <w:lang w:val="fr-FR"/>
        </w:rPr>
        <w:t xml:space="preserve"> d</w:t>
      </w:r>
      <w:r w:rsidR="005C718D">
        <w:rPr>
          <w:lang w:val="fr-FR"/>
        </w:rPr>
        <w:t>’</w:t>
      </w:r>
      <w:r w:rsidR="007A5411" w:rsidRPr="005C718D">
        <w:rPr>
          <w:lang w:val="fr-FR"/>
        </w:rPr>
        <w:t>inviter</w:t>
      </w:r>
      <w:r w:rsidR="005C718D" w:rsidRPr="005C718D">
        <w:rPr>
          <w:lang w:val="fr-FR"/>
        </w:rPr>
        <w:t xml:space="preserve"> le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TWV</w:t>
      </w:r>
      <w:r w:rsidR="00007749" w:rsidRPr="005C718D">
        <w:rPr>
          <w:lang w:val="fr-FR"/>
        </w:rPr>
        <w:t xml:space="preserve"> </w:t>
      </w:r>
      <w:r w:rsidR="007A5411" w:rsidRPr="005C718D">
        <w:rPr>
          <w:lang w:val="fr-FR"/>
        </w:rPr>
        <w:t>à lui rendre compte de</w:t>
      </w:r>
      <w:r w:rsidR="00E91F35" w:rsidRPr="005C718D">
        <w:rPr>
          <w:lang w:val="fr-FR"/>
        </w:rPr>
        <w:t xml:space="preserve">s faits nouveaux </w:t>
      </w:r>
      <w:r w:rsidR="00007749" w:rsidRPr="005C718D">
        <w:rPr>
          <w:lang w:val="fr-FR"/>
        </w:rPr>
        <w:t xml:space="preserve">en la matière </w:t>
      </w:r>
      <w:r w:rsidR="00E91F35" w:rsidRPr="005C718D">
        <w:rPr>
          <w:lang w:val="fr-FR"/>
        </w:rPr>
        <w:t>à sa cinquante</w:t>
      </w:r>
      <w:r w:rsidR="005C718D">
        <w:rPr>
          <w:lang w:val="fr-FR"/>
        </w:rPr>
        <w:t>-</w:t>
      </w:r>
      <w:r w:rsidR="007A5411" w:rsidRPr="005C718D">
        <w:rPr>
          <w:lang w:val="fr-FR"/>
        </w:rPr>
        <w:t>cinqu</w:t>
      </w:r>
      <w:r w:rsidR="005C718D">
        <w:rPr>
          <w:lang w:val="fr-FR"/>
        </w:rPr>
        <w:t>ième sessi</w:t>
      </w:r>
      <w:r w:rsidR="00E64434">
        <w:rPr>
          <w:lang w:val="fr-FR"/>
        </w:rPr>
        <w:t xml:space="preserve">on.  </w:t>
      </w:r>
      <w:r w:rsidR="00E64434" w:rsidRPr="005C718D">
        <w:rPr>
          <w:lang w:val="fr-FR"/>
        </w:rPr>
        <w:t>Le</w:t>
      </w:r>
      <w:r w:rsidR="005C718D">
        <w:rPr>
          <w:lang w:val="fr-FR"/>
        </w:rPr>
        <w:t> TC</w:t>
      </w:r>
      <w:r w:rsidR="007A5411" w:rsidRPr="005C718D">
        <w:rPr>
          <w:lang w:val="fr-FR"/>
        </w:rPr>
        <w:t xml:space="preserve"> a rappelé l</w:t>
      </w:r>
      <w:r w:rsidR="005C718D">
        <w:rPr>
          <w:lang w:val="fr-FR"/>
        </w:rPr>
        <w:t>’</w:t>
      </w:r>
      <w:r w:rsidR="007A5411" w:rsidRPr="005C718D">
        <w:rPr>
          <w:lang w:val="fr-FR"/>
        </w:rPr>
        <w:t>importance des méthod</w:t>
      </w:r>
      <w:r w:rsidR="00007749" w:rsidRPr="005C718D">
        <w:rPr>
          <w:lang w:val="fr-FR"/>
        </w:rPr>
        <w:t xml:space="preserve">ologies normalisées ainsi que </w:t>
      </w:r>
      <w:r w:rsidR="007A5411" w:rsidRPr="005C718D">
        <w:rPr>
          <w:lang w:val="fr-FR"/>
        </w:rPr>
        <w:t xml:space="preserve">la nécessité de satisfaire aux </w:t>
      </w:r>
      <w:r w:rsidR="00007749" w:rsidRPr="005C718D">
        <w:rPr>
          <w:lang w:val="fr-FR"/>
        </w:rPr>
        <w:t>exigence</w:t>
      </w:r>
      <w:r w:rsidR="007A5411" w:rsidRPr="005C718D">
        <w:rPr>
          <w:lang w:val="fr-FR"/>
        </w:rPr>
        <w:t xml:space="preserve">s du document TGP/7 </w:t>
      </w:r>
      <w:r w:rsidR="00007749" w:rsidRPr="005C718D">
        <w:rPr>
          <w:lang w:val="fr-FR"/>
        </w:rPr>
        <w:t>en ce qui concerne les c</w:t>
      </w:r>
      <w:r w:rsidR="007A5411" w:rsidRPr="005C718D">
        <w:rPr>
          <w:lang w:val="fr-FR"/>
        </w:rPr>
        <w:t>aractères de résistance aux maladi</w:t>
      </w:r>
      <w:r w:rsidR="00E64434" w:rsidRPr="005C718D">
        <w:rPr>
          <w:lang w:val="fr-FR"/>
        </w:rPr>
        <w:t>es</w:t>
      </w:r>
      <w:r w:rsidR="00E64434">
        <w:rPr>
          <w:lang w:val="fr-FR"/>
        </w:rPr>
        <w:t xml:space="preserve">.  </w:t>
      </w:r>
      <w:r w:rsidR="00E64434" w:rsidRPr="005C718D">
        <w:rPr>
          <w:lang w:val="fr-FR"/>
        </w:rPr>
        <w:t>Il</w:t>
      </w:r>
      <w:r w:rsidRPr="005C718D">
        <w:rPr>
          <w:lang w:val="fr-FR"/>
        </w:rPr>
        <w:t xml:space="preserve"> a</w:t>
      </w:r>
      <w:r w:rsidR="007A5411" w:rsidRPr="005C718D">
        <w:rPr>
          <w:lang w:val="fr-FR"/>
        </w:rPr>
        <w:t xml:space="preserve"> également </w:t>
      </w:r>
      <w:r w:rsidR="00007749" w:rsidRPr="005C718D">
        <w:rPr>
          <w:lang w:val="fr-FR"/>
        </w:rPr>
        <w:t>estimé</w:t>
      </w:r>
      <w:r w:rsidR="007A5411" w:rsidRPr="005C718D">
        <w:rPr>
          <w:lang w:val="fr-FR"/>
        </w:rPr>
        <w:t xml:space="preserve"> utile que le Bureau de l</w:t>
      </w:r>
      <w:r w:rsidR="005C718D">
        <w:rPr>
          <w:lang w:val="fr-FR"/>
        </w:rPr>
        <w:t>’</w:t>
      </w:r>
      <w:r w:rsidR="007A5411" w:rsidRPr="005C718D">
        <w:rPr>
          <w:lang w:val="fr-FR"/>
        </w:rPr>
        <w:t>Union présente</w:t>
      </w:r>
      <w:r w:rsidR="005C718D" w:rsidRPr="005C718D">
        <w:rPr>
          <w:lang w:val="fr-FR"/>
        </w:rPr>
        <w:t xml:space="preserve"> au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TWV</w:t>
      </w:r>
      <w:r w:rsidR="007A5411" w:rsidRPr="005C718D">
        <w:rPr>
          <w:lang w:val="fr-FR"/>
        </w:rPr>
        <w:t xml:space="preserve"> les orientations</w:t>
      </w:r>
      <w:r w:rsidR="00007749" w:rsidRPr="005C718D">
        <w:rPr>
          <w:lang w:val="fr-FR"/>
        </w:rPr>
        <w:t xml:space="preserve"> en matière de caractères de résistance aux maladies, qui figure</w:t>
      </w:r>
      <w:r w:rsidR="007A5411" w:rsidRPr="005C718D">
        <w:rPr>
          <w:lang w:val="fr-FR"/>
        </w:rPr>
        <w:t xml:space="preserve">nt dans les documents TGP, </w:t>
      </w:r>
      <w:r w:rsidR="005C718D">
        <w:rPr>
          <w:lang w:val="fr-FR"/>
        </w:rPr>
        <w:t>y compris</w:t>
      </w:r>
      <w:r w:rsidR="007A5411" w:rsidRPr="005C718D">
        <w:rPr>
          <w:lang w:val="fr-FR"/>
        </w:rPr>
        <w:t xml:space="preserve"> celles </w:t>
      </w:r>
      <w:r w:rsidR="00007749" w:rsidRPr="005C718D">
        <w:rPr>
          <w:lang w:val="fr-FR"/>
        </w:rPr>
        <w:t>figurant</w:t>
      </w:r>
      <w:r w:rsidR="007A5411" w:rsidRPr="005C718D">
        <w:rPr>
          <w:lang w:val="fr-FR"/>
        </w:rPr>
        <w:t xml:space="preserve"> dans les documents TGP/7 “Élaboration des principes </w:t>
      </w:r>
      <w:r w:rsidR="007A5411" w:rsidRPr="005C718D">
        <w:rPr>
          <w:lang w:val="fr-FR"/>
        </w:rPr>
        <w:lastRenderedPageBreak/>
        <w:t>directeurs d</w:t>
      </w:r>
      <w:r w:rsidR="005C718D">
        <w:rPr>
          <w:lang w:val="fr-FR"/>
        </w:rPr>
        <w:t>’</w:t>
      </w:r>
      <w:r w:rsidR="007A5411" w:rsidRPr="005C718D">
        <w:rPr>
          <w:lang w:val="fr-FR"/>
        </w:rPr>
        <w:t>examen”, TGP/12 “Conseils en ce qui concerne certains caractères physiologiques” et TGP/15 “Conseils en ce qui concerne l</w:t>
      </w:r>
      <w:r w:rsidR="005C718D">
        <w:rPr>
          <w:lang w:val="fr-FR"/>
        </w:rPr>
        <w:t>’</w:t>
      </w:r>
      <w:r w:rsidR="007A5411" w:rsidRPr="005C718D">
        <w:rPr>
          <w:lang w:val="fr-FR"/>
        </w:rPr>
        <w:t>utilisation des marqueurs biochimiques et moléculaires dans l</w:t>
      </w:r>
      <w:r w:rsidR="005C718D">
        <w:rPr>
          <w:lang w:val="fr-FR"/>
        </w:rPr>
        <w:t>’</w:t>
      </w:r>
      <w:r w:rsidR="007A5411" w:rsidRPr="005C718D">
        <w:rPr>
          <w:lang w:val="fr-FR"/>
        </w:rPr>
        <w:t>examen de la distinction, de l</w:t>
      </w:r>
      <w:r w:rsidR="005C718D">
        <w:rPr>
          <w:lang w:val="fr-FR"/>
        </w:rPr>
        <w:t>’</w:t>
      </w:r>
      <w:r w:rsidR="007A5411" w:rsidRPr="005C718D">
        <w:rPr>
          <w:lang w:val="fr-FR"/>
        </w:rPr>
        <w:t>homogénéité et de la stabilité (DHS</w:t>
      </w:r>
      <w:r w:rsidRPr="005C718D">
        <w:rPr>
          <w:snapToGrid w:val="0"/>
          <w:lang w:val="fr-FR"/>
        </w:rPr>
        <w:t>)”.</w:t>
      </w:r>
    </w:p>
    <w:p w:rsidR="00BB4DB2" w:rsidRPr="005C718D" w:rsidRDefault="00BB4DB2" w:rsidP="00BB4DB2">
      <w:pPr>
        <w:keepNext/>
        <w:rPr>
          <w:lang w:val="fr-FR"/>
        </w:rPr>
      </w:pPr>
    </w:p>
    <w:p w:rsidR="00BB4DB2" w:rsidRPr="005C718D" w:rsidRDefault="007A5411" w:rsidP="00BB4DB2">
      <w:pPr>
        <w:keepNext/>
        <w:rPr>
          <w:i/>
          <w:lang w:val="fr-FR"/>
        </w:rPr>
      </w:pPr>
      <w:r w:rsidRPr="005C718D">
        <w:rPr>
          <w:i/>
          <w:lang w:val="fr-FR"/>
        </w:rPr>
        <w:t>Faits nouveaux au sein du</w:t>
      </w:r>
      <w:r w:rsidR="00BB4DB2" w:rsidRPr="005C718D">
        <w:rPr>
          <w:i/>
          <w:lang w:val="fr-FR"/>
        </w:rPr>
        <w:t xml:space="preserve"> </w:t>
      </w:r>
      <w:r w:rsidRPr="005C718D">
        <w:rPr>
          <w:i/>
          <w:lang w:val="fr-FR"/>
        </w:rPr>
        <w:t>Groupe de travail technique sur les plantes potagères</w:t>
      </w:r>
    </w:p>
    <w:p w:rsidR="00BB4DB2" w:rsidRPr="005C718D" w:rsidRDefault="00BB4DB2" w:rsidP="00BB4DB2">
      <w:pPr>
        <w:keepNext/>
        <w:rPr>
          <w:lang w:val="fr-FR"/>
        </w:rPr>
      </w:pPr>
    </w:p>
    <w:p w:rsidR="00BB4DB2" w:rsidRPr="005C718D" w:rsidRDefault="00BB4DB2" w:rsidP="00BB4DB2">
      <w:pPr>
        <w:keepNext/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Pr="005C718D">
        <w:rPr>
          <w:lang w:val="fr-FR"/>
        </w:rPr>
        <w:tab/>
      </w:r>
      <w:r w:rsidR="00B806C4" w:rsidRPr="005C718D">
        <w:rPr>
          <w:lang w:val="fr-FR"/>
        </w:rPr>
        <w:t>À sa cinquante</w:t>
      </w:r>
      <w:r w:rsidR="005C718D">
        <w:rPr>
          <w:lang w:val="fr-FR"/>
        </w:rPr>
        <w:t>-</w:t>
      </w:r>
      <w:r w:rsidR="00B806C4" w:rsidRPr="005C718D">
        <w:rPr>
          <w:lang w:val="fr-FR"/>
        </w:rPr>
        <w:t>trois</w:t>
      </w:r>
      <w:r w:rsidR="005C718D">
        <w:rPr>
          <w:lang w:val="fr-FR"/>
        </w:rPr>
        <w:t>ième session</w:t>
      </w:r>
      <w:r w:rsidR="00B806C4" w:rsidRPr="005C718D">
        <w:rPr>
          <w:lang w:val="fr-FR"/>
        </w:rPr>
        <w:t xml:space="preserve"> tenue à Séoul (République de Corée) du 20 au 24 mai 2019,</w:t>
      </w:r>
      <w:r w:rsidR="005C718D" w:rsidRPr="005C718D">
        <w:rPr>
          <w:lang w:val="fr-FR"/>
        </w:rPr>
        <w:t xml:space="preserve"> le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TWV</w:t>
      </w:r>
      <w:r w:rsidRPr="005C718D">
        <w:rPr>
          <w:lang w:val="fr-FR"/>
        </w:rPr>
        <w:t xml:space="preserve"> </w:t>
      </w:r>
      <w:r w:rsidR="00B806C4" w:rsidRPr="005C718D">
        <w:rPr>
          <w:lang w:val="fr-FR"/>
        </w:rPr>
        <w:t>a assisté aux exposés ci</w:t>
      </w:r>
      <w:r w:rsidR="005C718D">
        <w:rPr>
          <w:lang w:val="fr-FR"/>
        </w:rPr>
        <w:t>-</w:t>
      </w:r>
      <w:r w:rsidR="00B806C4" w:rsidRPr="005C718D">
        <w:rPr>
          <w:lang w:val="fr-FR"/>
        </w:rPr>
        <w:t>après</w:t>
      </w:r>
      <w:r w:rsidRPr="005C718D">
        <w:rPr>
          <w:lang w:val="fr-FR"/>
        </w:rPr>
        <w:t>,</w:t>
      </w:r>
      <w:r w:rsidR="00B806C4" w:rsidRPr="005C718D">
        <w:rPr>
          <w:lang w:val="fr-FR"/>
        </w:rPr>
        <w:t xml:space="preserve"> dont le texte est reproduit dans le </w:t>
      </w:r>
      <w:r w:rsidR="005C718D" w:rsidRPr="005C718D">
        <w:rPr>
          <w:lang w:val="fr-FR"/>
        </w:rPr>
        <w:t>document</w:t>
      </w:r>
      <w:r w:rsidR="005C718D">
        <w:rPr>
          <w:lang w:val="fr-FR"/>
        </w:rPr>
        <w:t xml:space="preserve"> </w:t>
      </w:r>
      <w:r w:rsidR="005C718D" w:rsidRPr="005C718D">
        <w:rPr>
          <w:lang w:val="fr-FR"/>
        </w:rPr>
        <w:t>TW</w:t>
      </w:r>
      <w:r w:rsidRPr="005C718D">
        <w:rPr>
          <w:lang w:val="fr-FR"/>
        </w:rPr>
        <w:t>V/53/13 </w:t>
      </w:r>
      <w:proofErr w:type="spellStart"/>
      <w:r w:rsidRPr="005C718D">
        <w:rPr>
          <w:lang w:val="fr-FR"/>
        </w:rPr>
        <w:t>Rev</w:t>
      </w:r>
      <w:proofErr w:type="spellEnd"/>
      <w:r w:rsidRPr="005C718D">
        <w:rPr>
          <w:lang w:val="fr-FR"/>
        </w:rPr>
        <w:t>. (</w:t>
      </w:r>
      <w:proofErr w:type="gramStart"/>
      <w:r w:rsidR="00B806C4" w:rsidRPr="005C718D">
        <w:rPr>
          <w:lang w:val="fr-FR"/>
        </w:rPr>
        <w:t>voir</w:t>
      </w:r>
      <w:proofErr w:type="gramEnd"/>
      <w:r w:rsidR="00B806C4" w:rsidRPr="005C718D">
        <w:rPr>
          <w:lang w:val="fr-FR"/>
        </w:rPr>
        <w:t xml:space="preserve"> les </w:t>
      </w:r>
      <w:r w:rsidR="005C718D" w:rsidRPr="005C718D">
        <w:rPr>
          <w:lang w:val="fr-FR"/>
        </w:rPr>
        <w:t>paragraphes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5</w:t>
      </w:r>
      <w:r w:rsidR="00B806C4" w:rsidRPr="005C718D">
        <w:rPr>
          <w:lang w:val="fr-FR"/>
        </w:rPr>
        <w:t>9 à 62 du</w:t>
      </w:r>
      <w:r w:rsidRPr="005C718D">
        <w:rPr>
          <w:lang w:val="fr-FR"/>
        </w:rPr>
        <w:t xml:space="preserve"> </w:t>
      </w:r>
      <w:r w:rsidR="005C718D" w:rsidRPr="005C718D">
        <w:rPr>
          <w:lang w:val="fr-FR"/>
        </w:rPr>
        <w:t>document</w:t>
      </w:r>
      <w:r w:rsidR="005C718D">
        <w:rPr>
          <w:lang w:val="fr-FR"/>
        </w:rPr>
        <w:t xml:space="preserve"> </w:t>
      </w:r>
      <w:r w:rsidR="005C718D" w:rsidRPr="005C718D">
        <w:rPr>
          <w:lang w:val="fr-FR"/>
        </w:rPr>
        <w:t>TW</w:t>
      </w:r>
      <w:r w:rsidR="00B806C4" w:rsidRPr="005C718D">
        <w:rPr>
          <w:lang w:val="fr-FR"/>
        </w:rPr>
        <w:t>V/53/14</w:t>
      </w:r>
      <w:r w:rsidR="0055585E">
        <w:rPr>
          <w:lang w:val="fr-FR"/>
        </w:rPr>
        <w:t> </w:t>
      </w:r>
      <w:proofErr w:type="spellStart"/>
      <w:r w:rsidR="00B806C4" w:rsidRPr="005C718D">
        <w:rPr>
          <w:lang w:val="fr-FR"/>
        </w:rPr>
        <w:t>Rev</w:t>
      </w:r>
      <w:proofErr w:type="spellEnd"/>
      <w:r w:rsidR="00B806C4" w:rsidRPr="005C718D">
        <w:rPr>
          <w:lang w:val="fr-FR"/>
        </w:rPr>
        <w:t xml:space="preserve">. </w:t>
      </w:r>
      <w:r w:rsidR="00B806C4" w:rsidRPr="00DE7DFF">
        <w:rPr>
          <w:lang w:val="fr-FR"/>
        </w:rPr>
        <w:t>“</w:t>
      </w:r>
      <w:proofErr w:type="spellStart"/>
      <w:r w:rsidR="00B806C4" w:rsidRPr="00DE7DFF">
        <w:rPr>
          <w:lang w:val="fr-FR"/>
        </w:rPr>
        <w:t>Revised</w:t>
      </w:r>
      <w:proofErr w:type="spellEnd"/>
      <w:r w:rsidR="00B806C4" w:rsidRPr="00DE7DFF">
        <w:rPr>
          <w:lang w:val="fr-FR"/>
        </w:rPr>
        <w:t xml:space="preserve"> Report”</w:t>
      </w:r>
      <w:r w:rsidR="004446E1" w:rsidRPr="005C718D">
        <w:rPr>
          <w:lang w:val="fr-FR"/>
        </w:rPr>
        <w:t xml:space="preserve"> (Compte rendu révisé)</w:t>
      </w:r>
      <w:r w:rsidRPr="005C718D">
        <w:rPr>
          <w:lang w:val="fr-FR"/>
        </w:rPr>
        <w:t>)</w:t>
      </w:r>
      <w:r w:rsidR="005C718D">
        <w:rPr>
          <w:lang w:val="fr-FR"/>
        </w:rPr>
        <w:t> :</w:t>
      </w:r>
    </w:p>
    <w:p w:rsidR="00BB4DB2" w:rsidRPr="005C718D" w:rsidRDefault="00BB4DB2" w:rsidP="00BB4DB2">
      <w:pPr>
        <w:keepNext/>
        <w:rPr>
          <w:lang w:val="fr-FR"/>
        </w:rPr>
      </w:pPr>
    </w:p>
    <w:p w:rsidR="00BB4DB2" w:rsidRPr="005C718D" w:rsidRDefault="00BB4DB2" w:rsidP="00BB4DB2">
      <w:pPr>
        <w:pStyle w:val="ListParagraph"/>
        <w:numPr>
          <w:ilvl w:val="0"/>
          <w:numId w:val="3"/>
        </w:numPr>
        <w:ind w:left="1134" w:hanging="567"/>
        <w:rPr>
          <w:lang w:val="fr-FR"/>
        </w:rPr>
      </w:pPr>
      <w:r w:rsidRPr="005C718D">
        <w:rPr>
          <w:lang w:val="fr-FR"/>
        </w:rPr>
        <w:t>“</w:t>
      </w:r>
      <w:r w:rsidR="0085201F" w:rsidRPr="005C718D">
        <w:rPr>
          <w:rFonts w:cs="Arial"/>
          <w:lang w:val="fr-FR"/>
        </w:rPr>
        <w:t xml:space="preserve">Use of </w:t>
      </w:r>
      <w:proofErr w:type="spellStart"/>
      <w:r w:rsidR="0085201F" w:rsidRPr="005C718D">
        <w:rPr>
          <w:rFonts w:cs="Arial"/>
          <w:lang w:val="fr-FR"/>
        </w:rPr>
        <w:t>disease</w:t>
      </w:r>
      <w:proofErr w:type="spellEnd"/>
      <w:r w:rsidR="0085201F" w:rsidRPr="005C718D">
        <w:rPr>
          <w:rFonts w:cs="Arial"/>
          <w:lang w:val="fr-FR"/>
        </w:rPr>
        <w:t xml:space="preserve"> </w:t>
      </w:r>
      <w:proofErr w:type="spellStart"/>
      <w:r w:rsidR="0085201F" w:rsidRPr="005C718D">
        <w:rPr>
          <w:rFonts w:cs="Arial"/>
          <w:lang w:val="fr-FR"/>
        </w:rPr>
        <w:t>resistance</w:t>
      </w:r>
      <w:proofErr w:type="spellEnd"/>
      <w:r w:rsidR="0085201F" w:rsidRPr="005C718D">
        <w:rPr>
          <w:rFonts w:cs="Arial"/>
          <w:lang w:val="fr-FR"/>
        </w:rPr>
        <w:t xml:space="preserve"> </w:t>
      </w:r>
      <w:proofErr w:type="spellStart"/>
      <w:r w:rsidR="0085201F" w:rsidRPr="005C718D">
        <w:rPr>
          <w:rFonts w:cs="Arial"/>
          <w:lang w:val="fr-FR"/>
        </w:rPr>
        <w:t>characteristics</w:t>
      </w:r>
      <w:proofErr w:type="spellEnd"/>
      <w:r w:rsidR="0085201F" w:rsidRPr="005C718D">
        <w:rPr>
          <w:lang w:val="fr-FR"/>
        </w:rPr>
        <w:t>” (Utilisation de caractères de résistance aux maladies)</w:t>
      </w:r>
      <w:r w:rsidR="004C0F7C" w:rsidRPr="005C718D">
        <w:rPr>
          <w:lang w:val="fr-FR"/>
        </w:rPr>
        <w:t>,</w:t>
      </w:r>
      <w:r w:rsidRPr="005C718D">
        <w:rPr>
          <w:lang w:val="fr-FR"/>
        </w:rPr>
        <w:t xml:space="preserve"> </w:t>
      </w:r>
      <w:r w:rsidR="00B806C4" w:rsidRPr="005C718D">
        <w:rPr>
          <w:lang w:val="fr-FR"/>
        </w:rPr>
        <w:t xml:space="preserve">présenté par un </w:t>
      </w:r>
      <w:r w:rsidR="00E17C3B" w:rsidRPr="005C718D">
        <w:rPr>
          <w:lang w:val="fr-FR"/>
        </w:rPr>
        <w:t>expert</w:t>
      </w:r>
      <w:r w:rsidRPr="005C718D">
        <w:rPr>
          <w:lang w:val="fr-FR"/>
        </w:rPr>
        <w:t xml:space="preserve"> </w:t>
      </w:r>
      <w:r w:rsidR="0085201F" w:rsidRPr="005C718D">
        <w:rPr>
          <w:lang w:val="fr-FR"/>
        </w:rPr>
        <w:t>d</w:t>
      </w:r>
      <w:r w:rsidR="004C0F7C" w:rsidRPr="005C718D">
        <w:rPr>
          <w:lang w:val="fr-FR"/>
        </w:rPr>
        <w:t>e l</w:t>
      </w:r>
      <w:r w:rsidR="005C718D">
        <w:rPr>
          <w:lang w:val="fr-FR"/>
        </w:rPr>
        <w:t>’</w:t>
      </w:r>
      <w:r w:rsidRPr="005C718D">
        <w:rPr>
          <w:lang w:val="fr-FR"/>
        </w:rPr>
        <w:t>Union</w:t>
      </w:r>
      <w:r w:rsidR="00B806C4" w:rsidRPr="005C718D">
        <w:rPr>
          <w:lang w:val="fr-FR"/>
        </w:rPr>
        <w:t xml:space="preserve"> européenne</w:t>
      </w:r>
      <w:r w:rsidRPr="005C718D">
        <w:rPr>
          <w:lang w:val="fr-FR"/>
        </w:rPr>
        <w:t>.</w:t>
      </w:r>
    </w:p>
    <w:p w:rsidR="00BB4DB2" w:rsidRPr="005C718D" w:rsidRDefault="00BB4DB2" w:rsidP="00BB4DB2">
      <w:pPr>
        <w:pStyle w:val="ListParagraph"/>
        <w:numPr>
          <w:ilvl w:val="0"/>
          <w:numId w:val="3"/>
        </w:numPr>
        <w:ind w:left="1134" w:hanging="567"/>
        <w:rPr>
          <w:lang w:val="fr-FR"/>
        </w:rPr>
      </w:pPr>
      <w:r w:rsidRPr="00A301FF">
        <w:t xml:space="preserve">“Evaluation of disease resistance in vegetable varieties according to UPOV standards.  </w:t>
      </w:r>
      <w:r w:rsidRPr="005C718D">
        <w:rPr>
          <w:lang w:val="fr-FR"/>
        </w:rPr>
        <w:t xml:space="preserve">A focus on the </w:t>
      </w:r>
      <w:proofErr w:type="spellStart"/>
      <w:r w:rsidRPr="005C718D">
        <w:rPr>
          <w:lang w:val="fr-FR"/>
        </w:rPr>
        <w:t>Italian</w:t>
      </w:r>
      <w:proofErr w:type="spellEnd"/>
      <w:r w:rsidRPr="005C718D">
        <w:rPr>
          <w:lang w:val="fr-FR"/>
        </w:rPr>
        <w:t xml:space="preserve"> </w:t>
      </w:r>
      <w:proofErr w:type="spellStart"/>
      <w:r w:rsidRPr="005C718D">
        <w:rPr>
          <w:lang w:val="fr-FR"/>
        </w:rPr>
        <w:t>activities</w:t>
      </w:r>
      <w:proofErr w:type="spellEnd"/>
      <w:r w:rsidRPr="005C718D">
        <w:rPr>
          <w:lang w:val="fr-FR"/>
        </w:rPr>
        <w:t>”</w:t>
      </w:r>
      <w:r w:rsidR="0085201F" w:rsidRPr="005C718D">
        <w:rPr>
          <w:lang w:val="fr-FR"/>
        </w:rPr>
        <w:t xml:space="preserve"> (</w:t>
      </w:r>
      <w:r w:rsidR="004C0F7C" w:rsidRPr="005C718D">
        <w:rPr>
          <w:lang w:val="fr-FR"/>
        </w:rPr>
        <w:t>Évaluation de la résistance des variétés végétales aux maladies selon les normes de l</w:t>
      </w:r>
      <w:r w:rsidR="005C718D">
        <w:rPr>
          <w:lang w:val="fr-FR"/>
        </w:rPr>
        <w:t>’</w:t>
      </w:r>
      <w:r w:rsidR="004C0F7C" w:rsidRPr="005C718D">
        <w:rPr>
          <w:lang w:val="fr-FR"/>
        </w:rPr>
        <w:t>U</w:t>
      </w:r>
      <w:r w:rsidR="00E64434" w:rsidRPr="005C718D">
        <w:rPr>
          <w:lang w:val="fr-FR"/>
        </w:rPr>
        <w:t>POV</w:t>
      </w:r>
      <w:r w:rsidR="00E64434">
        <w:rPr>
          <w:lang w:val="fr-FR"/>
        </w:rPr>
        <w:t xml:space="preserve">.  </w:t>
      </w:r>
      <w:r w:rsidR="00E64434" w:rsidRPr="005C718D">
        <w:rPr>
          <w:lang w:val="fr-FR"/>
        </w:rPr>
        <w:t>Le</w:t>
      </w:r>
      <w:r w:rsidR="004C0F7C" w:rsidRPr="005C718D">
        <w:rPr>
          <w:lang w:val="fr-FR"/>
        </w:rPr>
        <w:t>s recherches menées en Italie</w:t>
      </w:r>
      <w:r w:rsidR="0085201F" w:rsidRPr="005C718D">
        <w:rPr>
          <w:lang w:val="fr-FR"/>
        </w:rPr>
        <w:t xml:space="preserve">), présenté par un </w:t>
      </w:r>
      <w:r w:rsidR="00E17C3B" w:rsidRPr="005C718D">
        <w:rPr>
          <w:lang w:val="fr-FR"/>
        </w:rPr>
        <w:t>expert</w:t>
      </w:r>
      <w:r w:rsidR="009E3EB2" w:rsidRPr="005C718D">
        <w:rPr>
          <w:lang w:val="fr-FR"/>
        </w:rPr>
        <w:t xml:space="preserve"> d</w:t>
      </w:r>
      <w:r w:rsidR="005C718D">
        <w:rPr>
          <w:lang w:val="fr-FR"/>
        </w:rPr>
        <w:t>’</w:t>
      </w:r>
      <w:r w:rsidR="009E3EB2" w:rsidRPr="005C718D">
        <w:rPr>
          <w:lang w:val="fr-FR"/>
        </w:rPr>
        <w:t>Italie</w:t>
      </w:r>
      <w:r w:rsidRPr="005C718D">
        <w:rPr>
          <w:lang w:val="fr-FR"/>
        </w:rPr>
        <w:t>.</w:t>
      </w:r>
    </w:p>
    <w:p w:rsidR="00BB4DB2" w:rsidRPr="005C718D" w:rsidRDefault="00BB4DB2" w:rsidP="00BB4DB2">
      <w:pPr>
        <w:pStyle w:val="ListParagraph"/>
        <w:numPr>
          <w:ilvl w:val="0"/>
          <w:numId w:val="3"/>
        </w:numPr>
        <w:ind w:left="1134" w:hanging="567"/>
        <w:rPr>
          <w:lang w:val="fr-FR"/>
        </w:rPr>
      </w:pPr>
      <w:r w:rsidRPr="005C718D">
        <w:rPr>
          <w:lang w:val="fr-FR"/>
        </w:rPr>
        <w:t>“</w:t>
      </w:r>
      <w:proofErr w:type="spellStart"/>
      <w:r w:rsidRPr="005C718D">
        <w:rPr>
          <w:lang w:val="fr-FR"/>
        </w:rPr>
        <w:t>Disease</w:t>
      </w:r>
      <w:proofErr w:type="spellEnd"/>
      <w:r w:rsidRPr="005C718D">
        <w:rPr>
          <w:lang w:val="fr-FR"/>
        </w:rPr>
        <w:t xml:space="preserve"> </w:t>
      </w:r>
      <w:proofErr w:type="spellStart"/>
      <w:r w:rsidRPr="005C718D">
        <w:rPr>
          <w:lang w:val="fr-FR"/>
        </w:rPr>
        <w:t>resistance</w:t>
      </w:r>
      <w:proofErr w:type="spellEnd"/>
      <w:r w:rsidRPr="005C718D">
        <w:rPr>
          <w:lang w:val="fr-FR"/>
        </w:rPr>
        <w:t xml:space="preserve"> in DUS”</w:t>
      </w:r>
      <w:r w:rsidR="0085201F" w:rsidRPr="005C718D">
        <w:rPr>
          <w:lang w:val="fr-FR"/>
        </w:rPr>
        <w:t xml:space="preserve"> (</w:t>
      </w:r>
      <w:r w:rsidR="00160A4B" w:rsidRPr="005C718D">
        <w:rPr>
          <w:lang w:val="fr-FR"/>
        </w:rPr>
        <w:t>La résistance aux maladies dans le cadre de l</w:t>
      </w:r>
      <w:r w:rsidR="005C718D">
        <w:rPr>
          <w:lang w:val="fr-FR"/>
        </w:rPr>
        <w:t>’</w:t>
      </w:r>
      <w:r w:rsidR="00160A4B" w:rsidRPr="005C718D">
        <w:rPr>
          <w:lang w:val="fr-FR"/>
        </w:rPr>
        <w:t>examen</w:t>
      </w:r>
      <w:r w:rsidR="0055585E">
        <w:rPr>
          <w:lang w:val="fr-FR"/>
        </w:rPr>
        <w:t> </w:t>
      </w:r>
      <w:r w:rsidR="00160A4B" w:rsidRPr="005C718D">
        <w:rPr>
          <w:lang w:val="fr-FR"/>
        </w:rPr>
        <w:t>DHS</w:t>
      </w:r>
      <w:r w:rsidR="0085201F" w:rsidRPr="005C718D">
        <w:rPr>
          <w:lang w:val="fr-FR"/>
        </w:rPr>
        <w:t xml:space="preserve">), présenté par des </w:t>
      </w:r>
      <w:r w:rsidR="00E17C3B" w:rsidRPr="005C718D">
        <w:rPr>
          <w:lang w:val="fr-FR"/>
        </w:rPr>
        <w:t>expert</w:t>
      </w:r>
      <w:r w:rsidR="0085201F" w:rsidRPr="005C718D">
        <w:rPr>
          <w:lang w:val="fr-FR"/>
        </w:rPr>
        <w:t xml:space="preserve">s </w:t>
      </w:r>
      <w:r w:rsidR="009E3EB2" w:rsidRPr="005C718D">
        <w:rPr>
          <w:lang w:val="fr-FR"/>
        </w:rPr>
        <w:t>de France</w:t>
      </w:r>
      <w:r w:rsidR="00160A4B" w:rsidRPr="005C718D">
        <w:rPr>
          <w:lang w:val="fr-FR"/>
        </w:rPr>
        <w:t xml:space="preserve"> et</w:t>
      </w:r>
      <w:r w:rsidR="009E3EB2" w:rsidRPr="005C718D">
        <w:rPr>
          <w:lang w:val="fr-FR"/>
        </w:rPr>
        <w:t xml:space="preserve"> des Pays</w:t>
      </w:r>
      <w:r w:rsidR="005C718D">
        <w:rPr>
          <w:lang w:val="fr-FR"/>
        </w:rPr>
        <w:t>-</w:t>
      </w:r>
      <w:r w:rsidR="009E3EB2" w:rsidRPr="005C718D">
        <w:rPr>
          <w:lang w:val="fr-FR"/>
        </w:rPr>
        <w:t>Bas</w:t>
      </w:r>
      <w:r w:rsidRPr="005C718D">
        <w:rPr>
          <w:lang w:val="fr-FR"/>
        </w:rPr>
        <w:t>.</w:t>
      </w:r>
    </w:p>
    <w:p w:rsidR="00BB4DB2" w:rsidRPr="005C718D" w:rsidRDefault="00BB4DB2" w:rsidP="00BB4DB2">
      <w:pPr>
        <w:pStyle w:val="ListParagraph"/>
        <w:numPr>
          <w:ilvl w:val="0"/>
          <w:numId w:val="3"/>
        </w:numPr>
        <w:ind w:left="1134" w:hanging="567"/>
        <w:rPr>
          <w:lang w:val="fr-FR"/>
        </w:rPr>
      </w:pPr>
      <w:r w:rsidRPr="005C718D">
        <w:rPr>
          <w:lang w:val="fr-FR"/>
        </w:rPr>
        <w:t>“</w:t>
      </w:r>
      <w:proofErr w:type="spellStart"/>
      <w:r w:rsidRPr="005C718D">
        <w:rPr>
          <w:lang w:val="fr-FR"/>
        </w:rPr>
        <w:t>Harmonization</w:t>
      </w:r>
      <w:proofErr w:type="spellEnd"/>
      <w:r w:rsidRPr="005C718D">
        <w:rPr>
          <w:lang w:val="fr-FR"/>
        </w:rPr>
        <w:t xml:space="preserve"> of </w:t>
      </w:r>
      <w:proofErr w:type="spellStart"/>
      <w:r w:rsidRPr="005C718D">
        <w:rPr>
          <w:lang w:val="fr-FR"/>
        </w:rPr>
        <w:t>resistance</w:t>
      </w:r>
      <w:proofErr w:type="spellEnd"/>
      <w:r w:rsidRPr="005C718D">
        <w:rPr>
          <w:lang w:val="fr-FR"/>
        </w:rPr>
        <w:t xml:space="preserve"> tests to </w:t>
      </w:r>
      <w:proofErr w:type="spellStart"/>
      <w:r w:rsidRPr="005C718D">
        <w:rPr>
          <w:lang w:val="fr-FR"/>
        </w:rPr>
        <w:t>diseases</w:t>
      </w:r>
      <w:proofErr w:type="spellEnd"/>
      <w:r w:rsidRPr="005C718D">
        <w:rPr>
          <w:lang w:val="fr-FR"/>
        </w:rPr>
        <w:t xml:space="preserve"> for DUS </w:t>
      </w:r>
      <w:proofErr w:type="spellStart"/>
      <w:r w:rsidRPr="005C718D">
        <w:rPr>
          <w:lang w:val="fr-FR"/>
        </w:rPr>
        <w:t>testing</w:t>
      </w:r>
      <w:proofErr w:type="spellEnd"/>
      <w:r w:rsidR="0055585E">
        <w:rPr>
          <w:lang w:val="fr-FR"/>
        </w:rPr>
        <w:t> </w:t>
      </w:r>
      <w:r w:rsidRPr="005C718D">
        <w:rPr>
          <w:lang w:val="fr-FR"/>
        </w:rPr>
        <w:t xml:space="preserve">: </w:t>
      </w:r>
      <w:proofErr w:type="spellStart"/>
      <w:r w:rsidRPr="005C718D">
        <w:rPr>
          <w:lang w:val="fr-FR"/>
        </w:rPr>
        <w:t>Harmores</w:t>
      </w:r>
      <w:proofErr w:type="spellEnd"/>
      <w:r w:rsidRPr="005C718D">
        <w:rPr>
          <w:lang w:val="fr-FR"/>
        </w:rPr>
        <w:t xml:space="preserve"> 3”</w:t>
      </w:r>
      <w:r w:rsidR="004C0F7C" w:rsidRPr="005C718D">
        <w:rPr>
          <w:lang w:val="fr-FR"/>
        </w:rPr>
        <w:t xml:space="preserve"> (</w:t>
      </w:r>
      <w:r w:rsidR="00160A4B" w:rsidRPr="005C718D">
        <w:rPr>
          <w:lang w:val="fr-FR"/>
        </w:rPr>
        <w:t>Harmonisation des essais de résistance aux maladies aux fins de l</w:t>
      </w:r>
      <w:r w:rsidR="005C718D">
        <w:rPr>
          <w:lang w:val="fr-FR"/>
        </w:rPr>
        <w:t>’</w:t>
      </w:r>
      <w:r w:rsidR="00160A4B" w:rsidRPr="005C718D">
        <w:rPr>
          <w:lang w:val="fr-FR"/>
        </w:rPr>
        <w:t>examen</w:t>
      </w:r>
      <w:r w:rsidR="0055585E">
        <w:rPr>
          <w:lang w:val="fr-FR"/>
        </w:rPr>
        <w:t> </w:t>
      </w:r>
      <w:r w:rsidR="00160A4B" w:rsidRPr="005C718D">
        <w:rPr>
          <w:lang w:val="fr-FR"/>
        </w:rPr>
        <w:t>DHS</w:t>
      </w:r>
      <w:r w:rsidR="005C718D">
        <w:rPr>
          <w:lang w:val="fr-FR"/>
        </w:rPr>
        <w:t> :</w:t>
      </w:r>
      <w:r w:rsidR="00160A4B" w:rsidRPr="005C718D">
        <w:rPr>
          <w:lang w:val="fr-FR"/>
        </w:rPr>
        <w:t xml:space="preserve"> </w:t>
      </w:r>
      <w:proofErr w:type="spellStart"/>
      <w:r w:rsidR="00160A4B" w:rsidRPr="005C718D">
        <w:rPr>
          <w:lang w:val="fr-FR"/>
        </w:rPr>
        <w:t>Harmores</w:t>
      </w:r>
      <w:proofErr w:type="spellEnd"/>
      <w:r w:rsidR="00160A4B" w:rsidRPr="005C718D">
        <w:rPr>
          <w:lang w:val="fr-FR"/>
        </w:rPr>
        <w:t xml:space="preserve"> 3</w:t>
      </w:r>
      <w:r w:rsidR="004C0F7C" w:rsidRPr="005C718D">
        <w:rPr>
          <w:lang w:val="fr-FR"/>
        </w:rPr>
        <w:t xml:space="preserve">), présenté par un </w:t>
      </w:r>
      <w:r w:rsidR="00E17C3B" w:rsidRPr="005C718D">
        <w:rPr>
          <w:lang w:val="fr-FR"/>
        </w:rPr>
        <w:t>expert</w:t>
      </w:r>
      <w:r w:rsidR="004C0F7C" w:rsidRPr="005C718D">
        <w:rPr>
          <w:lang w:val="fr-FR"/>
        </w:rPr>
        <w:t xml:space="preserve"> </w:t>
      </w:r>
      <w:r w:rsidR="009E3EB2" w:rsidRPr="005C718D">
        <w:rPr>
          <w:lang w:val="fr-FR"/>
        </w:rPr>
        <w:t>de France</w:t>
      </w:r>
      <w:r w:rsidRPr="005C718D">
        <w:rPr>
          <w:lang w:val="fr-FR"/>
        </w:rPr>
        <w:t xml:space="preserve"> (</w:t>
      </w:r>
      <w:r w:rsidR="004C0F7C" w:rsidRPr="005C718D">
        <w:rPr>
          <w:lang w:val="fr-FR"/>
        </w:rPr>
        <w:t>au nom du groupe de travail</w:t>
      </w:r>
      <w:r w:rsidRPr="005C718D">
        <w:rPr>
          <w:lang w:val="fr-FR"/>
        </w:rPr>
        <w:t>).</w:t>
      </w:r>
    </w:p>
    <w:p w:rsidR="00BB4DB2" w:rsidRPr="005C718D" w:rsidRDefault="00BB4DB2" w:rsidP="00BB4DB2">
      <w:pPr>
        <w:pStyle w:val="ListParagraph"/>
        <w:numPr>
          <w:ilvl w:val="0"/>
          <w:numId w:val="3"/>
        </w:numPr>
        <w:ind w:left="1134" w:hanging="567"/>
        <w:rPr>
          <w:snapToGrid w:val="0"/>
          <w:lang w:val="fr-FR"/>
        </w:rPr>
      </w:pPr>
      <w:r w:rsidRPr="00A301FF">
        <w:t xml:space="preserve">“Disease resistance in </w:t>
      </w:r>
      <w:proofErr w:type="gramStart"/>
      <w:r w:rsidRPr="00A301FF">
        <w:t>vegetables</w:t>
      </w:r>
      <w:r w:rsidR="0055585E" w:rsidRPr="00A301FF">
        <w:t> </w:t>
      </w:r>
      <w:r w:rsidRPr="00A301FF">
        <w:t>:</w:t>
      </w:r>
      <w:proofErr w:type="gramEnd"/>
      <w:r w:rsidRPr="00A301FF">
        <w:t xml:space="preserve"> What does the European industry do in terms of claims?”</w:t>
      </w:r>
      <w:r w:rsidR="004C0F7C" w:rsidRPr="00A301FF">
        <w:t xml:space="preserve"> </w:t>
      </w:r>
      <w:r w:rsidR="004C0F7C" w:rsidRPr="005C718D">
        <w:rPr>
          <w:lang w:val="fr-FR"/>
        </w:rPr>
        <w:t>(</w:t>
      </w:r>
      <w:r w:rsidR="00160A4B" w:rsidRPr="005C718D">
        <w:rPr>
          <w:lang w:val="fr-FR"/>
        </w:rPr>
        <w:t>La résistance des variétés végétales</w:t>
      </w:r>
      <w:r w:rsidR="009E3EB2" w:rsidRPr="005C718D">
        <w:rPr>
          <w:lang w:val="fr-FR"/>
        </w:rPr>
        <w:t xml:space="preserve"> aux maladies</w:t>
      </w:r>
      <w:r w:rsidR="005C718D">
        <w:rPr>
          <w:lang w:val="fr-FR"/>
        </w:rPr>
        <w:t> :</w:t>
      </w:r>
      <w:r w:rsidR="00160A4B" w:rsidRPr="005C718D">
        <w:rPr>
          <w:lang w:val="fr-FR"/>
        </w:rPr>
        <w:t xml:space="preserve"> que fait l</w:t>
      </w:r>
      <w:r w:rsidR="005C718D">
        <w:rPr>
          <w:lang w:val="fr-FR"/>
        </w:rPr>
        <w:t>’</w:t>
      </w:r>
      <w:r w:rsidR="00160A4B" w:rsidRPr="005C718D">
        <w:rPr>
          <w:lang w:val="fr-FR"/>
        </w:rPr>
        <w:t>industrie européenne en matière de réclamation?</w:t>
      </w:r>
      <w:r w:rsidR="004C0F7C" w:rsidRPr="005C718D">
        <w:rPr>
          <w:lang w:val="fr-FR"/>
        </w:rPr>
        <w:t xml:space="preserve">), présenté par un </w:t>
      </w:r>
      <w:r w:rsidR="00E17C3B" w:rsidRPr="005C718D">
        <w:rPr>
          <w:lang w:val="fr-FR"/>
        </w:rPr>
        <w:t>expert</w:t>
      </w:r>
      <w:r w:rsidR="004C0F7C" w:rsidRPr="005C718D">
        <w:rPr>
          <w:lang w:val="fr-FR"/>
        </w:rPr>
        <w:t xml:space="preserve"> de</w:t>
      </w:r>
      <w:r w:rsidRPr="005C718D">
        <w:rPr>
          <w:lang w:val="fr-FR"/>
        </w:rPr>
        <w:t xml:space="preserve"> </w:t>
      </w:r>
      <w:r w:rsidR="004C0F7C" w:rsidRPr="005C718D">
        <w:rPr>
          <w:lang w:val="fr-FR"/>
        </w:rPr>
        <w:t>l</w:t>
      </w:r>
      <w:r w:rsidR="005C718D">
        <w:rPr>
          <w:lang w:val="fr-FR"/>
        </w:rPr>
        <w:t>’</w:t>
      </w:r>
      <w:proofErr w:type="spellStart"/>
      <w:r w:rsidRPr="005C718D">
        <w:rPr>
          <w:lang w:val="fr-FR"/>
        </w:rPr>
        <w:t>European</w:t>
      </w:r>
      <w:proofErr w:type="spellEnd"/>
      <w:r w:rsidRPr="005C718D">
        <w:rPr>
          <w:lang w:val="fr-FR"/>
        </w:rPr>
        <w:t xml:space="preserve"> </w:t>
      </w:r>
      <w:proofErr w:type="spellStart"/>
      <w:r w:rsidRPr="005C718D">
        <w:rPr>
          <w:lang w:val="fr-FR"/>
        </w:rPr>
        <w:t>Seed</w:t>
      </w:r>
      <w:proofErr w:type="spellEnd"/>
      <w:r w:rsidRPr="005C718D">
        <w:rPr>
          <w:lang w:val="fr-FR"/>
        </w:rPr>
        <w:t xml:space="preserve"> Association (ESA).</w:t>
      </w:r>
    </w:p>
    <w:p w:rsidR="00BB4DB2" w:rsidRPr="005C718D" w:rsidRDefault="00BB4DB2" w:rsidP="00BB4DB2">
      <w:pPr>
        <w:pStyle w:val="ListParagraph"/>
        <w:keepNext/>
        <w:numPr>
          <w:ilvl w:val="0"/>
          <w:numId w:val="3"/>
        </w:numPr>
        <w:ind w:left="1134" w:hanging="567"/>
        <w:rPr>
          <w:lang w:val="fr-FR"/>
        </w:rPr>
      </w:pPr>
      <w:r w:rsidRPr="005C718D">
        <w:rPr>
          <w:lang w:val="fr-FR"/>
        </w:rPr>
        <w:t xml:space="preserve">“ISF </w:t>
      </w:r>
      <w:proofErr w:type="spellStart"/>
      <w:r w:rsidRPr="005C718D">
        <w:rPr>
          <w:lang w:val="fr-FR"/>
        </w:rPr>
        <w:t>Working</w:t>
      </w:r>
      <w:proofErr w:type="spellEnd"/>
      <w:r w:rsidRPr="005C718D">
        <w:rPr>
          <w:lang w:val="fr-FR"/>
        </w:rPr>
        <w:t xml:space="preserve"> Group </w:t>
      </w:r>
      <w:proofErr w:type="spellStart"/>
      <w:r w:rsidRPr="005C718D">
        <w:rPr>
          <w:lang w:val="fr-FR"/>
        </w:rPr>
        <w:t>Disease</w:t>
      </w:r>
      <w:proofErr w:type="spellEnd"/>
      <w:r w:rsidRPr="005C718D">
        <w:rPr>
          <w:lang w:val="fr-FR"/>
        </w:rPr>
        <w:t xml:space="preserve"> </w:t>
      </w:r>
      <w:proofErr w:type="spellStart"/>
      <w:r w:rsidRPr="005C718D">
        <w:rPr>
          <w:lang w:val="fr-FR"/>
        </w:rPr>
        <w:t>resistance</w:t>
      </w:r>
      <w:proofErr w:type="spellEnd"/>
      <w:r w:rsidRPr="005C718D">
        <w:rPr>
          <w:lang w:val="fr-FR"/>
        </w:rPr>
        <w:t xml:space="preserve"> </w:t>
      </w:r>
      <w:proofErr w:type="spellStart"/>
      <w:r w:rsidRPr="005C718D">
        <w:rPr>
          <w:lang w:val="fr-FR"/>
        </w:rPr>
        <w:t>terminology</w:t>
      </w:r>
      <w:proofErr w:type="spellEnd"/>
      <w:r w:rsidRPr="005C718D">
        <w:rPr>
          <w:lang w:val="fr-FR"/>
        </w:rPr>
        <w:t>”</w:t>
      </w:r>
      <w:r w:rsidR="004C0F7C" w:rsidRPr="005C718D">
        <w:rPr>
          <w:lang w:val="fr-FR"/>
        </w:rPr>
        <w:t xml:space="preserve"> (</w:t>
      </w:r>
      <w:r w:rsidR="004E4FFE" w:rsidRPr="005C718D">
        <w:rPr>
          <w:lang w:val="fr-FR"/>
        </w:rPr>
        <w:t xml:space="preserve">Travaux menés par le groupe de travail </w:t>
      </w:r>
      <w:r w:rsidR="009E3EB2" w:rsidRPr="005C718D">
        <w:rPr>
          <w:lang w:val="fr-FR"/>
        </w:rPr>
        <w:t>de l</w:t>
      </w:r>
      <w:r w:rsidR="005C718D">
        <w:rPr>
          <w:lang w:val="fr-FR"/>
        </w:rPr>
        <w:t>’</w:t>
      </w:r>
      <w:r w:rsidR="009E3EB2" w:rsidRPr="005C718D">
        <w:rPr>
          <w:lang w:val="fr-FR"/>
        </w:rPr>
        <w:t xml:space="preserve">ISF </w:t>
      </w:r>
      <w:r w:rsidR="004E4FFE" w:rsidRPr="005C718D">
        <w:rPr>
          <w:lang w:val="fr-FR"/>
        </w:rPr>
        <w:t>sur la terminologie de la résistance aux maladies</w:t>
      </w:r>
      <w:r w:rsidR="004C0F7C" w:rsidRPr="005C718D">
        <w:rPr>
          <w:lang w:val="fr-FR"/>
        </w:rPr>
        <w:t xml:space="preserve">), présenté par un </w:t>
      </w:r>
      <w:r w:rsidR="00E17C3B" w:rsidRPr="005C718D">
        <w:rPr>
          <w:lang w:val="fr-FR"/>
        </w:rPr>
        <w:t>expert</w:t>
      </w:r>
      <w:r w:rsidRPr="005C718D">
        <w:rPr>
          <w:lang w:val="fr-FR"/>
        </w:rPr>
        <w:t xml:space="preserve"> </w:t>
      </w:r>
      <w:r w:rsidR="004C0F7C" w:rsidRPr="005C718D">
        <w:rPr>
          <w:lang w:val="fr-FR"/>
        </w:rPr>
        <w:t>de l</w:t>
      </w:r>
      <w:r w:rsidR="005C718D">
        <w:rPr>
          <w:lang w:val="fr-FR"/>
        </w:rPr>
        <w:t>’</w:t>
      </w:r>
      <w:r w:rsidRPr="005C718D">
        <w:rPr>
          <w:lang w:val="fr-FR"/>
        </w:rPr>
        <w:t xml:space="preserve">International </w:t>
      </w:r>
      <w:proofErr w:type="spellStart"/>
      <w:r w:rsidRPr="005C718D">
        <w:rPr>
          <w:lang w:val="fr-FR"/>
        </w:rPr>
        <w:t>Seed</w:t>
      </w:r>
      <w:proofErr w:type="spellEnd"/>
      <w:r w:rsidRPr="005C718D">
        <w:rPr>
          <w:lang w:val="fr-FR"/>
        </w:rPr>
        <w:t xml:space="preserve"> </w:t>
      </w:r>
      <w:proofErr w:type="spellStart"/>
      <w:r w:rsidRPr="005C718D">
        <w:rPr>
          <w:lang w:val="fr-FR"/>
        </w:rPr>
        <w:t>Federation</w:t>
      </w:r>
      <w:proofErr w:type="spellEnd"/>
      <w:r w:rsidRPr="005C718D">
        <w:rPr>
          <w:lang w:val="fr-FR"/>
        </w:rPr>
        <w:t xml:space="preserve"> (ISF).</w:t>
      </w:r>
    </w:p>
    <w:p w:rsidR="00BB4DB2" w:rsidRPr="005C718D" w:rsidRDefault="00BB4DB2" w:rsidP="00BB4DB2">
      <w:pPr>
        <w:rPr>
          <w:lang w:val="fr-FR"/>
        </w:rPr>
      </w:pPr>
    </w:p>
    <w:p w:rsidR="00BB4DB2" w:rsidRPr="005C718D" w:rsidRDefault="00BB4DB2" w:rsidP="00BB4DB2">
      <w:pPr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Pr="005C718D">
        <w:rPr>
          <w:lang w:val="fr-FR"/>
        </w:rPr>
        <w:tab/>
      </w:r>
      <w:r w:rsidR="004E4FFE" w:rsidRPr="005C718D">
        <w:rPr>
          <w:lang w:val="fr-FR"/>
        </w:rPr>
        <w:t>L</w:t>
      </w:r>
      <w:r w:rsidRPr="005C718D">
        <w:rPr>
          <w:lang w:val="fr-FR"/>
        </w:rPr>
        <w:t xml:space="preserve">e TWV </w:t>
      </w:r>
      <w:r w:rsidR="004E4FFE" w:rsidRPr="005C718D">
        <w:rPr>
          <w:lang w:val="fr-FR"/>
        </w:rPr>
        <w:t>a est</w:t>
      </w:r>
      <w:r w:rsidR="00602B0A" w:rsidRPr="005C718D">
        <w:rPr>
          <w:lang w:val="fr-FR"/>
        </w:rPr>
        <w:t>imé que les orientations figurant</w:t>
      </w:r>
      <w:r w:rsidR="004E4FFE" w:rsidRPr="005C718D">
        <w:rPr>
          <w:lang w:val="fr-FR"/>
        </w:rPr>
        <w:t xml:space="preserve"> actuellement dans les documents de</w:t>
      </w:r>
      <w:r w:rsidRPr="005C718D">
        <w:rPr>
          <w:lang w:val="fr-FR"/>
        </w:rPr>
        <w:t xml:space="preserve"> </w:t>
      </w:r>
      <w:r w:rsidR="004E4FFE" w:rsidRPr="005C718D">
        <w:rPr>
          <w:lang w:val="fr-FR"/>
        </w:rPr>
        <w:t>l</w:t>
      </w:r>
      <w:r w:rsidR="005C718D">
        <w:rPr>
          <w:lang w:val="fr-FR"/>
        </w:rPr>
        <w:t>’</w:t>
      </w:r>
      <w:r w:rsidRPr="005C718D">
        <w:rPr>
          <w:lang w:val="fr-FR"/>
        </w:rPr>
        <w:t xml:space="preserve">UPOV </w:t>
      </w:r>
      <w:r w:rsidR="004E4FFE" w:rsidRPr="005C718D">
        <w:rPr>
          <w:lang w:val="fr-FR"/>
        </w:rPr>
        <w:t>relatifs à l</w:t>
      </w:r>
      <w:r w:rsidR="005C718D">
        <w:rPr>
          <w:lang w:val="fr-FR"/>
        </w:rPr>
        <w:t>’</w:t>
      </w:r>
      <w:r w:rsidR="004E4FFE" w:rsidRPr="005C718D">
        <w:rPr>
          <w:lang w:val="fr-FR"/>
        </w:rPr>
        <w:t xml:space="preserve">utilisation des caractères de résistance aux maladies dans les principes directeurs </w:t>
      </w:r>
      <w:r w:rsidR="001924BB" w:rsidRPr="005C718D">
        <w:rPr>
          <w:lang w:val="fr-FR"/>
        </w:rPr>
        <w:t>d</w:t>
      </w:r>
      <w:r w:rsidR="005C718D">
        <w:rPr>
          <w:lang w:val="fr-FR"/>
        </w:rPr>
        <w:t>’</w:t>
      </w:r>
      <w:r w:rsidR="001924BB" w:rsidRPr="005C718D">
        <w:rPr>
          <w:lang w:val="fr-FR"/>
        </w:rPr>
        <w:t xml:space="preserve">examen et </w:t>
      </w:r>
      <w:r w:rsidR="00602B0A" w:rsidRPr="005C718D">
        <w:rPr>
          <w:lang w:val="fr-FR"/>
        </w:rPr>
        <w:t xml:space="preserve">aux fins de </w:t>
      </w:r>
      <w:r w:rsidR="001924BB" w:rsidRPr="005C718D">
        <w:rPr>
          <w:lang w:val="fr-FR"/>
        </w:rPr>
        <w:t>l</w:t>
      </w:r>
      <w:r w:rsidR="005C718D">
        <w:rPr>
          <w:lang w:val="fr-FR"/>
        </w:rPr>
        <w:t>’</w:t>
      </w:r>
      <w:r w:rsidR="001924BB" w:rsidRPr="005C718D">
        <w:rPr>
          <w:lang w:val="fr-FR"/>
        </w:rPr>
        <w:t>examen</w:t>
      </w:r>
      <w:r w:rsidR="0055585E">
        <w:rPr>
          <w:lang w:val="fr-FR"/>
        </w:rPr>
        <w:t> </w:t>
      </w:r>
      <w:r w:rsidR="001924BB" w:rsidRPr="005C718D">
        <w:rPr>
          <w:lang w:val="fr-FR"/>
        </w:rPr>
        <w:t>DHS étaient suffisamment claires et détaillées en l</w:t>
      </w:r>
      <w:r w:rsidR="005C718D">
        <w:rPr>
          <w:lang w:val="fr-FR"/>
        </w:rPr>
        <w:t>’</w:t>
      </w:r>
      <w:r w:rsidR="001924BB" w:rsidRPr="005C718D">
        <w:rPr>
          <w:lang w:val="fr-FR"/>
        </w:rPr>
        <w:t>état actuel des chos</w:t>
      </w:r>
      <w:r w:rsidR="00E64434" w:rsidRPr="005C718D">
        <w:rPr>
          <w:lang w:val="fr-FR"/>
        </w:rPr>
        <w:t>es</w:t>
      </w:r>
      <w:r w:rsidR="00E64434">
        <w:rPr>
          <w:lang w:val="fr-FR"/>
        </w:rPr>
        <w:t xml:space="preserve">.  </w:t>
      </w:r>
      <w:r w:rsidR="00E64434" w:rsidRPr="005C718D">
        <w:rPr>
          <w:lang w:val="fr-FR"/>
        </w:rPr>
        <w:t>Le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TWV</w:t>
      </w:r>
      <w:r w:rsidRPr="005C718D">
        <w:rPr>
          <w:lang w:val="fr-FR"/>
        </w:rPr>
        <w:t xml:space="preserve"> </w:t>
      </w:r>
      <w:r w:rsidR="001924BB" w:rsidRPr="005C718D">
        <w:rPr>
          <w:lang w:val="fr-FR"/>
        </w:rPr>
        <w:t>a noté qu</w:t>
      </w:r>
      <w:r w:rsidR="00596020" w:rsidRPr="005C718D">
        <w:rPr>
          <w:lang w:val="fr-FR"/>
        </w:rPr>
        <w:t xml:space="preserve">e, </w:t>
      </w:r>
      <w:r w:rsidR="00602B0A" w:rsidRPr="005C718D">
        <w:rPr>
          <w:lang w:val="fr-FR"/>
        </w:rPr>
        <w:t>en matière de</w:t>
      </w:r>
      <w:r w:rsidR="00596020" w:rsidRPr="005C718D">
        <w:rPr>
          <w:lang w:val="fr-FR"/>
        </w:rPr>
        <w:t xml:space="preserve"> caractères de résistance aux maladies, plus de trois</w:t>
      </w:r>
      <w:r w:rsidR="0055585E">
        <w:rPr>
          <w:lang w:val="fr-FR"/>
        </w:rPr>
        <w:t> </w:t>
      </w:r>
      <w:r w:rsidR="00596020" w:rsidRPr="005C718D">
        <w:rPr>
          <w:lang w:val="fr-FR"/>
        </w:rPr>
        <w:t>états pouvaient être utilisés avec</w:t>
      </w:r>
      <w:r w:rsidR="001924BB" w:rsidRPr="005C718D">
        <w:rPr>
          <w:lang w:val="fr-FR"/>
        </w:rPr>
        <w:t xml:space="preserve"> un type d</w:t>
      </w:r>
      <w:r w:rsidR="005C718D">
        <w:rPr>
          <w:lang w:val="fr-FR"/>
        </w:rPr>
        <w:t>’</w:t>
      </w:r>
      <w:r w:rsidR="00596020" w:rsidRPr="005C718D">
        <w:rPr>
          <w:lang w:val="fr-FR"/>
        </w:rPr>
        <w:t>expression QN</w:t>
      </w:r>
      <w:r w:rsidRPr="005C718D">
        <w:rPr>
          <w:lang w:val="fr-FR"/>
        </w:rPr>
        <w:t>.</w:t>
      </w:r>
    </w:p>
    <w:p w:rsidR="00BB4DB2" w:rsidRPr="005C718D" w:rsidRDefault="00BB4DB2" w:rsidP="00BB4DB2">
      <w:pPr>
        <w:rPr>
          <w:lang w:val="fr-FR"/>
        </w:rPr>
      </w:pPr>
    </w:p>
    <w:p w:rsidR="005C718D" w:rsidRDefault="00BB4DB2" w:rsidP="00BB4DB2">
      <w:pPr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="00A33B0D" w:rsidRPr="005C718D">
        <w:rPr>
          <w:lang w:val="fr-FR"/>
        </w:rPr>
        <w:tab/>
        <w:t>L</w:t>
      </w:r>
      <w:r w:rsidRPr="005C718D">
        <w:rPr>
          <w:lang w:val="fr-FR"/>
        </w:rPr>
        <w:t xml:space="preserve">e TWV </w:t>
      </w:r>
      <w:r w:rsidR="00EE755A" w:rsidRPr="005C718D">
        <w:rPr>
          <w:lang w:val="fr-FR"/>
        </w:rPr>
        <w:t>s</w:t>
      </w:r>
      <w:r w:rsidR="005C718D">
        <w:rPr>
          <w:lang w:val="fr-FR"/>
        </w:rPr>
        <w:t>’</w:t>
      </w:r>
      <w:r w:rsidR="00EE755A" w:rsidRPr="005C718D">
        <w:rPr>
          <w:lang w:val="fr-FR"/>
        </w:rPr>
        <w:t xml:space="preserve">est accordé à reconnaître </w:t>
      </w:r>
      <w:r w:rsidR="002641F1" w:rsidRPr="005C718D">
        <w:rPr>
          <w:lang w:val="fr-FR"/>
        </w:rPr>
        <w:t>que la résistance aux maladies était un objectif fondamental en matière de sélection et que la coopération entre toutes les parties prenantes assurerait l</w:t>
      </w:r>
      <w:r w:rsidR="005C718D">
        <w:rPr>
          <w:lang w:val="fr-FR"/>
        </w:rPr>
        <w:t>’</w:t>
      </w:r>
      <w:r w:rsidR="002641F1" w:rsidRPr="005C718D">
        <w:rPr>
          <w:lang w:val="fr-FR"/>
        </w:rPr>
        <w:t>élaboration de principes directeurs d</w:t>
      </w:r>
      <w:r w:rsidR="005C718D">
        <w:rPr>
          <w:lang w:val="fr-FR"/>
        </w:rPr>
        <w:t>’</w:t>
      </w:r>
      <w:r w:rsidR="002641F1" w:rsidRPr="005C718D">
        <w:rPr>
          <w:lang w:val="fr-FR"/>
        </w:rPr>
        <w:t>examen et d</w:t>
      </w:r>
      <w:r w:rsidR="005C718D">
        <w:rPr>
          <w:lang w:val="fr-FR"/>
        </w:rPr>
        <w:t>’</w:t>
      </w:r>
      <w:r w:rsidR="002641F1" w:rsidRPr="005C718D">
        <w:rPr>
          <w:lang w:val="fr-FR"/>
        </w:rPr>
        <w:t>examens DHS conformes aux attentes des utilisateurs du systè</w:t>
      </w:r>
      <w:r w:rsidRPr="005C718D">
        <w:rPr>
          <w:lang w:val="fr-FR"/>
        </w:rPr>
        <w:t>m</w:t>
      </w:r>
      <w:r w:rsidR="002641F1" w:rsidRPr="005C718D">
        <w:rPr>
          <w:lang w:val="fr-FR"/>
        </w:rPr>
        <w:t>e</w:t>
      </w:r>
      <w:r w:rsidRPr="005C718D">
        <w:rPr>
          <w:lang w:val="fr-FR"/>
        </w:rPr>
        <w:t>.</w:t>
      </w:r>
    </w:p>
    <w:p w:rsidR="00BB4DB2" w:rsidRPr="005C718D" w:rsidRDefault="00BB4DB2" w:rsidP="00BB4DB2">
      <w:pPr>
        <w:rPr>
          <w:lang w:val="fr-FR"/>
        </w:rPr>
      </w:pPr>
    </w:p>
    <w:p w:rsidR="00BB4DB2" w:rsidRPr="005C718D" w:rsidRDefault="00BB4DB2" w:rsidP="00BB4DB2">
      <w:pPr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Pr="005C718D">
        <w:rPr>
          <w:lang w:val="fr-FR"/>
        </w:rPr>
        <w:tab/>
      </w:r>
      <w:r w:rsidR="003937C0" w:rsidRPr="005C718D">
        <w:rPr>
          <w:lang w:val="fr-FR"/>
        </w:rPr>
        <w:t>L</w:t>
      </w:r>
      <w:r w:rsidRPr="005C718D">
        <w:rPr>
          <w:lang w:val="fr-FR"/>
        </w:rPr>
        <w:t xml:space="preserve">e TWV </w:t>
      </w:r>
      <w:r w:rsidR="00EE755A" w:rsidRPr="005C718D">
        <w:rPr>
          <w:lang w:val="fr-FR"/>
        </w:rPr>
        <w:t>a recon</w:t>
      </w:r>
      <w:r w:rsidR="003937C0" w:rsidRPr="005C718D">
        <w:rPr>
          <w:lang w:val="fr-FR"/>
        </w:rPr>
        <w:t>nu que les caractères de résistance aux maladies étaient</w:t>
      </w:r>
      <w:r w:rsidRPr="005C718D">
        <w:rPr>
          <w:lang w:val="fr-FR"/>
        </w:rPr>
        <w:t xml:space="preserve"> important</w:t>
      </w:r>
      <w:r w:rsidR="003937C0" w:rsidRPr="005C718D">
        <w:rPr>
          <w:lang w:val="fr-FR"/>
        </w:rPr>
        <w:t>s pour l</w:t>
      </w:r>
      <w:r w:rsidR="005C718D">
        <w:rPr>
          <w:lang w:val="fr-FR"/>
        </w:rPr>
        <w:t>’</w:t>
      </w:r>
      <w:r w:rsidR="003937C0" w:rsidRPr="005C718D">
        <w:rPr>
          <w:lang w:val="fr-FR"/>
        </w:rPr>
        <w:t>examen</w:t>
      </w:r>
      <w:r w:rsidR="0055585E">
        <w:rPr>
          <w:lang w:val="fr-FR"/>
        </w:rPr>
        <w:t> </w:t>
      </w:r>
      <w:r w:rsidR="003937C0" w:rsidRPr="005C718D">
        <w:rPr>
          <w:lang w:val="fr-FR"/>
        </w:rPr>
        <w:t xml:space="preserve">DHS, en particulier </w:t>
      </w:r>
      <w:r w:rsidR="00EE755A" w:rsidRPr="005C718D">
        <w:rPr>
          <w:lang w:val="fr-FR"/>
        </w:rPr>
        <w:t xml:space="preserve">en </w:t>
      </w:r>
      <w:r w:rsidR="00372799" w:rsidRPr="005C718D">
        <w:rPr>
          <w:lang w:val="fr-FR"/>
        </w:rPr>
        <w:t>ce qui concerne la</w:t>
      </w:r>
      <w:r w:rsidR="00EE755A" w:rsidRPr="005C718D">
        <w:rPr>
          <w:lang w:val="fr-FR"/>
        </w:rPr>
        <w:t xml:space="preserve"> distinction, </w:t>
      </w:r>
      <w:r w:rsidR="00372799" w:rsidRPr="005C718D">
        <w:rPr>
          <w:lang w:val="fr-FR"/>
        </w:rPr>
        <w:t>le regroupement et les</w:t>
      </w:r>
      <w:r w:rsidR="00EE755A" w:rsidRPr="005C718D">
        <w:rPr>
          <w:lang w:val="fr-FR"/>
        </w:rPr>
        <w:t xml:space="preserve"> </w:t>
      </w:r>
      <w:r w:rsidRPr="005C718D">
        <w:rPr>
          <w:lang w:val="fr-FR"/>
        </w:rPr>
        <w:t>descriptions</w:t>
      </w:r>
      <w:r w:rsidR="00EE755A" w:rsidRPr="005C718D">
        <w:rPr>
          <w:lang w:val="fr-FR"/>
        </w:rPr>
        <w:t xml:space="preserve"> de la varié</w:t>
      </w:r>
      <w:r w:rsidR="00E64434" w:rsidRPr="005C718D">
        <w:rPr>
          <w:lang w:val="fr-FR"/>
        </w:rPr>
        <w:t>té</w:t>
      </w:r>
      <w:r w:rsidR="00E64434">
        <w:rPr>
          <w:lang w:val="fr-FR"/>
        </w:rPr>
        <w:t xml:space="preserve">.  </w:t>
      </w:r>
      <w:r w:rsidR="00E64434" w:rsidRPr="005C718D">
        <w:rPr>
          <w:lang w:val="fr-FR"/>
        </w:rPr>
        <w:t>Le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TWV</w:t>
      </w:r>
      <w:r w:rsidRPr="005C718D">
        <w:rPr>
          <w:lang w:val="fr-FR"/>
        </w:rPr>
        <w:t xml:space="preserve"> </w:t>
      </w:r>
      <w:r w:rsidR="00EE755A" w:rsidRPr="005C718D">
        <w:rPr>
          <w:lang w:val="fr-FR"/>
        </w:rPr>
        <w:t xml:space="preserve">a donc </w:t>
      </w:r>
      <w:r w:rsidR="00786C46" w:rsidRPr="005C718D">
        <w:rPr>
          <w:lang w:val="fr-FR"/>
        </w:rPr>
        <w:t>estimé</w:t>
      </w:r>
      <w:r w:rsidR="00EE755A" w:rsidRPr="005C718D">
        <w:rPr>
          <w:lang w:val="fr-FR"/>
        </w:rPr>
        <w:t xml:space="preserve"> qu</w:t>
      </w:r>
      <w:r w:rsidR="005C718D">
        <w:rPr>
          <w:lang w:val="fr-FR"/>
        </w:rPr>
        <w:t>’</w:t>
      </w:r>
      <w:r w:rsidR="00EE755A" w:rsidRPr="005C718D">
        <w:rPr>
          <w:lang w:val="fr-FR"/>
        </w:rPr>
        <w:t>il relevait de la responsabilité</w:t>
      </w:r>
      <w:r w:rsidR="005C718D" w:rsidRPr="005C718D">
        <w:rPr>
          <w:lang w:val="fr-FR"/>
        </w:rPr>
        <w:t xml:space="preserve"> des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TWP</w:t>
      </w:r>
      <w:r w:rsidRPr="005C718D">
        <w:rPr>
          <w:lang w:val="fr-FR"/>
        </w:rPr>
        <w:t xml:space="preserve"> </w:t>
      </w:r>
      <w:r w:rsidR="00EE755A" w:rsidRPr="005C718D">
        <w:rPr>
          <w:lang w:val="fr-FR"/>
        </w:rPr>
        <w:t>de mettre à jour leurs principes directeurs d</w:t>
      </w:r>
      <w:r w:rsidR="005C718D">
        <w:rPr>
          <w:lang w:val="fr-FR"/>
        </w:rPr>
        <w:t>’</w:t>
      </w:r>
      <w:r w:rsidR="00EE755A" w:rsidRPr="005C718D">
        <w:rPr>
          <w:lang w:val="fr-FR"/>
        </w:rPr>
        <w:t>examen le cas échéant et de prendre le temps nécessaire à l</w:t>
      </w:r>
      <w:r w:rsidR="005C718D">
        <w:rPr>
          <w:lang w:val="fr-FR"/>
        </w:rPr>
        <w:t>’</w:t>
      </w:r>
      <w:r w:rsidR="00EE755A" w:rsidRPr="005C718D">
        <w:rPr>
          <w:lang w:val="fr-FR"/>
        </w:rPr>
        <w:t>ajout ou à l</w:t>
      </w:r>
      <w:r w:rsidR="005C718D">
        <w:rPr>
          <w:lang w:val="fr-FR"/>
        </w:rPr>
        <w:t>’</w:t>
      </w:r>
      <w:r w:rsidR="00EE755A" w:rsidRPr="005C718D">
        <w:rPr>
          <w:lang w:val="fr-FR"/>
        </w:rPr>
        <w:t>actualisation des caract</w:t>
      </w:r>
      <w:r w:rsidR="00372799" w:rsidRPr="005C718D">
        <w:rPr>
          <w:lang w:val="fr-FR"/>
        </w:rPr>
        <w:t>ères</w:t>
      </w:r>
      <w:r w:rsidRPr="005C718D">
        <w:rPr>
          <w:lang w:val="fr-FR"/>
        </w:rPr>
        <w:t xml:space="preserve"> </w:t>
      </w:r>
      <w:r w:rsidR="00EE755A" w:rsidRPr="005C718D">
        <w:rPr>
          <w:lang w:val="fr-FR"/>
        </w:rPr>
        <w:t>à l</w:t>
      </w:r>
      <w:r w:rsidR="005C718D">
        <w:rPr>
          <w:lang w:val="fr-FR"/>
        </w:rPr>
        <w:t>’</w:t>
      </w:r>
      <w:r w:rsidR="00EE755A" w:rsidRPr="005C718D">
        <w:rPr>
          <w:lang w:val="fr-FR"/>
        </w:rPr>
        <w:t>aide d</w:t>
      </w:r>
      <w:r w:rsidR="005C718D">
        <w:rPr>
          <w:lang w:val="fr-FR"/>
        </w:rPr>
        <w:t>’</w:t>
      </w:r>
      <w:r w:rsidR="00EE755A" w:rsidRPr="005C718D">
        <w:rPr>
          <w:lang w:val="fr-FR"/>
        </w:rPr>
        <w:t xml:space="preserve">une méthodologie approuvée </w:t>
      </w:r>
      <w:r w:rsidR="00372799" w:rsidRPr="005C718D">
        <w:rPr>
          <w:lang w:val="fr-FR"/>
        </w:rPr>
        <w:t>en matière d</w:t>
      </w:r>
      <w:r w:rsidR="005C718D">
        <w:rPr>
          <w:lang w:val="fr-FR"/>
        </w:rPr>
        <w:t>’</w:t>
      </w:r>
      <w:r w:rsidR="00372799" w:rsidRPr="005C718D">
        <w:rPr>
          <w:lang w:val="fr-FR"/>
        </w:rPr>
        <w:t>évaluation des caractères</w:t>
      </w:r>
      <w:r w:rsidR="00EE755A" w:rsidRPr="005C718D">
        <w:rPr>
          <w:lang w:val="fr-FR"/>
        </w:rPr>
        <w:t xml:space="preserve"> (par exemple, le</w:t>
      </w:r>
      <w:r w:rsidRPr="005C718D">
        <w:rPr>
          <w:lang w:val="fr-FR"/>
        </w:rPr>
        <w:t xml:space="preserve"> </w:t>
      </w:r>
      <w:r w:rsidR="00EE755A" w:rsidRPr="005C718D">
        <w:rPr>
          <w:lang w:val="fr-FR"/>
        </w:rPr>
        <w:t>type d</w:t>
      </w:r>
      <w:r w:rsidR="005C718D">
        <w:rPr>
          <w:lang w:val="fr-FR"/>
        </w:rPr>
        <w:t>’</w:t>
      </w:r>
      <w:r w:rsidRPr="005C718D">
        <w:rPr>
          <w:lang w:val="fr-FR"/>
        </w:rPr>
        <w:t>expression</w:t>
      </w:r>
      <w:r w:rsidR="00EE755A" w:rsidRPr="005C718D">
        <w:rPr>
          <w:lang w:val="fr-FR"/>
        </w:rPr>
        <w:t xml:space="preserve"> QN/QL et</w:t>
      </w:r>
      <w:r w:rsidRPr="005C718D">
        <w:rPr>
          <w:lang w:val="fr-FR"/>
        </w:rPr>
        <w:t xml:space="preserve"> </w:t>
      </w:r>
      <w:r w:rsidR="00EE755A" w:rsidRPr="005C718D">
        <w:rPr>
          <w:lang w:val="fr-FR"/>
        </w:rPr>
        <w:t>la terminologie communément admise</w:t>
      </w:r>
      <w:r w:rsidRPr="005C718D">
        <w:rPr>
          <w:lang w:val="fr-FR"/>
        </w:rPr>
        <w:t xml:space="preserve">) </w:t>
      </w:r>
      <w:r w:rsidR="00372799" w:rsidRPr="005C718D">
        <w:rPr>
          <w:lang w:val="fr-FR"/>
        </w:rPr>
        <w:t>et de</w:t>
      </w:r>
      <w:r w:rsidR="00EE755A" w:rsidRPr="005C718D">
        <w:rPr>
          <w:lang w:val="fr-FR"/>
        </w:rPr>
        <w:t xml:space="preserve"> protocole </w:t>
      </w:r>
      <w:r w:rsidR="00786C46" w:rsidRPr="005C718D">
        <w:rPr>
          <w:lang w:val="fr-FR"/>
        </w:rPr>
        <w:t>d</w:t>
      </w:r>
      <w:r w:rsidR="005C718D">
        <w:rPr>
          <w:lang w:val="fr-FR"/>
        </w:rPr>
        <w:t>’</w:t>
      </w:r>
      <w:r w:rsidR="00786C46" w:rsidRPr="005C718D">
        <w:rPr>
          <w:lang w:val="fr-FR"/>
        </w:rPr>
        <w:t>essai thérapeutique</w:t>
      </w:r>
      <w:r w:rsidRPr="005C718D">
        <w:rPr>
          <w:lang w:val="fr-FR"/>
        </w:rPr>
        <w:t xml:space="preserve"> </w:t>
      </w:r>
      <w:r w:rsidR="00786C46" w:rsidRPr="005C718D">
        <w:rPr>
          <w:lang w:val="fr-FR"/>
        </w:rPr>
        <w:t>validé à suiv</w:t>
      </w:r>
      <w:r w:rsidR="00E64434" w:rsidRPr="005C718D">
        <w:rPr>
          <w:lang w:val="fr-FR"/>
        </w:rPr>
        <w:t>re</w:t>
      </w:r>
      <w:r w:rsidR="00E64434">
        <w:rPr>
          <w:lang w:val="fr-FR"/>
        </w:rPr>
        <w:t xml:space="preserve">.  </w:t>
      </w:r>
      <w:r w:rsidR="00E64434" w:rsidRPr="005C718D">
        <w:rPr>
          <w:lang w:val="fr-FR"/>
        </w:rPr>
        <w:t>Af</w:t>
      </w:r>
      <w:r w:rsidR="00786C46" w:rsidRPr="005C718D">
        <w:rPr>
          <w:lang w:val="fr-FR"/>
        </w:rPr>
        <w:t>in d</w:t>
      </w:r>
      <w:r w:rsidR="005C718D">
        <w:rPr>
          <w:lang w:val="fr-FR"/>
        </w:rPr>
        <w:t>’</w:t>
      </w:r>
      <w:r w:rsidR="00786C46" w:rsidRPr="005C718D">
        <w:rPr>
          <w:lang w:val="fr-FR"/>
        </w:rPr>
        <w:t>atteindre cet objectif,</w:t>
      </w:r>
      <w:r w:rsidR="005C718D" w:rsidRPr="005C718D">
        <w:rPr>
          <w:lang w:val="fr-FR"/>
        </w:rPr>
        <w:t xml:space="preserve"> le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TWV</w:t>
      </w:r>
      <w:r w:rsidRPr="005C718D">
        <w:rPr>
          <w:lang w:val="fr-FR"/>
        </w:rPr>
        <w:t xml:space="preserve"> </w:t>
      </w:r>
      <w:r w:rsidR="00786C46" w:rsidRPr="005C718D">
        <w:rPr>
          <w:lang w:val="fr-FR"/>
        </w:rPr>
        <w:t>a décidé que toutes les parties prenantes (soit les experts de l</w:t>
      </w:r>
      <w:r w:rsidR="005C718D">
        <w:rPr>
          <w:lang w:val="fr-FR"/>
        </w:rPr>
        <w:t>’</w:t>
      </w:r>
      <w:r w:rsidR="00786C46" w:rsidRPr="005C718D">
        <w:rPr>
          <w:lang w:val="fr-FR"/>
        </w:rPr>
        <w:t>examen</w:t>
      </w:r>
      <w:r w:rsidR="0055585E">
        <w:rPr>
          <w:lang w:val="fr-FR"/>
        </w:rPr>
        <w:t> </w:t>
      </w:r>
      <w:r w:rsidR="00786C46" w:rsidRPr="005C718D">
        <w:rPr>
          <w:lang w:val="fr-FR"/>
        </w:rPr>
        <w:t>DHS</w:t>
      </w:r>
      <w:r w:rsidRPr="005C718D">
        <w:rPr>
          <w:lang w:val="fr-FR"/>
        </w:rPr>
        <w:t xml:space="preserve">, </w:t>
      </w:r>
      <w:r w:rsidR="00786C46" w:rsidRPr="005C718D">
        <w:rPr>
          <w:lang w:val="fr-FR"/>
        </w:rPr>
        <w:t>les pathologist</w:t>
      </w:r>
      <w:r w:rsidR="00E60258" w:rsidRPr="005C718D">
        <w:rPr>
          <w:lang w:val="fr-FR"/>
        </w:rPr>
        <w:t>e</w:t>
      </w:r>
      <w:r w:rsidR="00786C46" w:rsidRPr="005C718D">
        <w:rPr>
          <w:lang w:val="fr-FR"/>
        </w:rPr>
        <w:t xml:space="preserve">s et les </w:t>
      </w:r>
      <w:r w:rsidR="007B7843" w:rsidRPr="005C718D">
        <w:rPr>
          <w:lang w:val="fr-FR"/>
        </w:rPr>
        <w:t>obtente</w:t>
      </w:r>
      <w:r w:rsidR="00786C46" w:rsidRPr="005C718D">
        <w:rPr>
          <w:lang w:val="fr-FR"/>
        </w:rPr>
        <w:t>urs</w:t>
      </w:r>
      <w:r w:rsidRPr="005C718D">
        <w:rPr>
          <w:lang w:val="fr-FR"/>
        </w:rPr>
        <w:t xml:space="preserve">) </w:t>
      </w:r>
      <w:r w:rsidR="00E60258" w:rsidRPr="005C718D">
        <w:rPr>
          <w:lang w:val="fr-FR"/>
        </w:rPr>
        <w:t>devaient être consulté</w:t>
      </w:r>
      <w:r w:rsidR="00372799" w:rsidRPr="005C718D">
        <w:rPr>
          <w:lang w:val="fr-FR"/>
        </w:rPr>
        <w:t>e</w:t>
      </w:r>
      <w:r w:rsidR="00E60258" w:rsidRPr="005C718D">
        <w:rPr>
          <w:lang w:val="fr-FR"/>
        </w:rPr>
        <w:t>s et impliqué</w:t>
      </w:r>
      <w:r w:rsidR="00372799" w:rsidRPr="005C718D">
        <w:rPr>
          <w:lang w:val="fr-FR"/>
        </w:rPr>
        <w:t>e</w:t>
      </w:r>
      <w:r w:rsidR="00E60258" w:rsidRPr="005C718D">
        <w:rPr>
          <w:lang w:val="fr-FR"/>
        </w:rPr>
        <w:t>s</w:t>
      </w:r>
      <w:r w:rsidRPr="005C718D">
        <w:rPr>
          <w:lang w:val="fr-FR"/>
        </w:rPr>
        <w:t xml:space="preserve"> </w:t>
      </w:r>
      <w:r w:rsidR="00E60258" w:rsidRPr="005C718D">
        <w:rPr>
          <w:lang w:val="fr-FR"/>
        </w:rPr>
        <w:t>et que suffisamment de temps devait être accordé pour garantir que tous les services chargés de l</w:t>
      </w:r>
      <w:r w:rsidR="005C718D">
        <w:rPr>
          <w:lang w:val="fr-FR"/>
        </w:rPr>
        <w:t>’</w:t>
      </w:r>
      <w:r w:rsidR="00E60258" w:rsidRPr="005C718D">
        <w:rPr>
          <w:lang w:val="fr-FR"/>
        </w:rPr>
        <w:t>examen</w:t>
      </w:r>
      <w:r w:rsidR="0055585E">
        <w:rPr>
          <w:lang w:val="fr-FR"/>
        </w:rPr>
        <w:t> </w:t>
      </w:r>
      <w:r w:rsidR="00E60258" w:rsidRPr="005C718D">
        <w:rPr>
          <w:lang w:val="fr-FR"/>
        </w:rPr>
        <w:t>DHS</w:t>
      </w:r>
      <w:r w:rsidRPr="005C718D">
        <w:rPr>
          <w:lang w:val="fr-FR"/>
        </w:rPr>
        <w:t xml:space="preserve"> </w:t>
      </w:r>
      <w:r w:rsidR="00E60258" w:rsidRPr="005C718D">
        <w:rPr>
          <w:lang w:val="fr-FR"/>
        </w:rPr>
        <w:t>donnent leur accord avant d</w:t>
      </w:r>
      <w:r w:rsidR="005C718D">
        <w:rPr>
          <w:lang w:val="fr-FR"/>
        </w:rPr>
        <w:t>’</w:t>
      </w:r>
      <w:r w:rsidR="00E60258" w:rsidRPr="005C718D">
        <w:rPr>
          <w:lang w:val="fr-FR"/>
        </w:rPr>
        <w:t>ajouter de nouveaux caractères de résistance aux maladies ou un nouveau protocole d</w:t>
      </w:r>
      <w:r w:rsidR="005C718D">
        <w:rPr>
          <w:lang w:val="fr-FR"/>
        </w:rPr>
        <w:t>’</w:t>
      </w:r>
      <w:r w:rsidR="00E60258" w:rsidRPr="005C718D">
        <w:rPr>
          <w:lang w:val="fr-FR"/>
        </w:rPr>
        <w:t>essai thérapeutique</w:t>
      </w:r>
      <w:r w:rsidRPr="005C718D">
        <w:rPr>
          <w:lang w:val="fr-FR"/>
        </w:rPr>
        <w:t>.</w:t>
      </w:r>
    </w:p>
    <w:p w:rsidR="00BB4DB2" w:rsidRPr="005C718D" w:rsidRDefault="00BB4DB2" w:rsidP="007557F1">
      <w:pPr>
        <w:rPr>
          <w:lang w:val="fr-FR"/>
        </w:rPr>
      </w:pPr>
    </w:p>
    <w:p w:rsidR="005C718D" w:rsidRDefault="000E6BA8" w:rsidP="007557F1">
      <w:pPr>
        <w:pStyle w:val="Heading2"/>
        <w:rPr>
          <w:lang w:val="fr-FR"/>
        </w:rPr>
      </w:pPr>
      <w:bookmarkStart w:id="15" w:name="_Toc20505082"/>
      <w:bookmarkStart w:id="16" w:name="_Toc22473825"/>
      <w:r w:rsidRPr="005C718D">
        <w:rPr>
          <w:lang w:val="fr-FR"/>
        </w:rPr>
        <w:t>Accè</w:t>
      </w:r>
      <w:r w:rsidR="007557F1" w:rsidRPr="005C718D">
        <w:rPr>
          <w:lang w:val="fr-FR"/>
        </w:rPr>
        <w:t xml:space="preserve">s </w:t>
      </w:r>
      <w:r w:rsidRPr="005C718D">
        <w:rPr>
          <w:lang w:val="fr-FR"/>
        </w:rPr>
        <w:t xml:space="preserve">au matériel végétal </w:t>
      </w:r>
      <w:r w:rsidR="002520D9" w:rsidRPr="005C718D">
        <w:rPr>
          <w:lang w:val="fr-FR"/>
        </w:rPr>
        <w:t xml:space="preserve">aux fins de </w:t>
      </w:r>
      <w:r w:rsidRPr="005C718D">
        <w:rPr>
          <w:lang w:val="fr-FR"/>
        </w:rPr>
        <w:t>la gestion des</w:t>
      </w:r>
      <w:r w:rsidR="007557F1" w:rsidRPr="005C718D">
        <w:rPr>
          <w:lang w:val="fr-FR"/>
        </w:rPr>
        <w:t xml:space="preserve"> collections </w:t>
      </w:r>
      <w:r w:rsidR="002520D9" w:rsidRPr="005C718D">
        <w:rPr>
          <w:lang w:val="fr-FR"/>
        </w:rPr>
        <w:t>de variétés et de</w:t>
      </w:r>
      <w:r w:rsidRPr="005C718D">
        <w:rPr>
          <w:lang w:val="fr-FR"/>
        </w:rPr>
        <w:t xml:space="preserve"> l</w:t>
      </w:r>
      <w:r w:rsidR="005C718D">
        <w:rPr>
          <w:lang w:val="fr-FR"/>
        </w:rPr>
        <w:t>’</w:t>
      </w:r>
      <w:bookmarkEnd w:id="15"/>
      <w:r w:rsidRPr="005C718D">
        <w:rPr>
          <w:lang w:val="fr-FR"/>
        </w:rPr>
        <w:t>examen</w:t>
      </w:r>
      <w:r w:rsidR="0055585E">
        <w:rPr>
          <w:lang w:val="fr-FR"/>
        </w:rPr>
        <w:t> </w:t>
      </w:r>
      <w:r w:rsidRPr="005C718D">
        <w:rPr>
          <w:lang w:val="fr-FR"/>
        </w:rPr>
        <w:t>DHS</w:t>
      </w:r>
      <w:bookmarkEnd w:id="16"/>
    </w:p>
    <w:p w:rsidR="007557F1" w:rsidRPr="005C718D" w:rsidRDefault="007557F1" w:rsidP="007557F1">
      <w:pPr>
        <w:keepNext/>
        <w:rPr>
          <w:lang w:val="fr-FR"/>
        </w:rPr>
      </w:pPr>
    </w:p>
    <w:p w:rsidR="007557F1" w:rsidRPr="005C718D" w:rsidRDefault="007557F1" w:rsidP="007557F1">
      <w:pPr>
        <w:keepNext/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Pr="005C718D">
        <w:rPr>
          <w:lang w:val="fr-FR"/>
        </w:rPr>
        <w:tab/>
      </w:r>
      <w:r w:rsidR="000E6BA8" w:rsidRPr="005C718D">
        <w:rPr>
          <w:lang w:val="fr-FR"/>
        </w:rPr>
        <w:t>À sa cinquant</w:t>
      </w:r>
      <w:r w:rsidR="005C718D">
        <w:rPr>
          <w:lang w:val="fr-FR"/>
        </w:rPr>
        <w:t>ième session</w:t>
      </w:r>
      <w:r w:rsidR="000E6BA8" w:rsidRPr="005C718D">
        <w:rPr>
          <w:lang w:val="fr-FR"/>
        </w:rPr>
        <w:t xml:space="preserve"> tenue à Budapest (Hongrie) du 24 au 28 juin 2019,</w:t>
      </w:r>
      <w:r w:rsidR="005C718D" w:rsidRPr="005C718D">
        <w:rPr>
          <w:lang w:val="fr-FR"/>
        </w:rPr>
        <w:t xml:space="preserve"> le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TWF</w:t>
      </w:r>
      <w:r w:rsidR="000E6BA8" w:rsidRPr="005C718D">
        <w:rPr>
          <w:lang w:val="fr-FR"/>
        </w:rPr>
        <w:t xml:space="preserve"> a assisté à un exposé intitulé</w:t>
      </w:r>
      <w:r w:rsidRPr="005C718D">
        <w:rPr>
          <w:lang w:val="fr-FR"/>
        </w:rPr>
        <w:t xml:space="preserve"> “</w:t>
      </w:r>
      <w:proofErr w:type="spellStart"/>
      <w:r w:rsidRPr="005C718D">
        <w:rPr>
          <w:lang w:val="fr-FR"/>
        </w:rPr>
        <w:t>Canada</w:t>
      </w:r>
      <w:r w:rsidR="005C718D">
        <w:rPr>
          <w:lang w:val="fr-FR"/>
        </w:rPr>
        <w:t>’</w:t>
      </w:r>
      <w:r w:rsidRPr="005C718D">
        <w:rPr>
          <w:lang w:val="fr-FR"/>
        </w:rPr>
        <w:t>s</w:t>
      </w:r>
      <w:proofErr w:type="spellEnd"/>
      <w:r w:rsidRPr="005C718D">
        <w:rPr>
          <w:lang w:val="fr-FR"/>
        </w:rPr>
        <w:t xml:space="preserve"> </w:t>
      </w:r>
      <w:proofErr w:type="spellStart"/>
      <w:r w:rsidRPr="005C718D">
        <w:rPr>
          <w:lang w:val="fr-FR"/>
        </w:rPr>
        <w:t>experience</w:t>
      </w:r>
      <w:proofErr w:type="spellEnd"/>
      <w:r w:rsidRPr="005C718D">
        <w:rPr>
          <w:lang w:val="fr-FR"/>
        </w:rPr>
        <w:t xml:space="preserve"> in </w:t>
      </w:r>
      <w:proofErr w:type="spellStart"/>
      <w:r w:rsidRPr="005C718D">
        <w:rPr>
          <w:lang w:val="fr-FR"/>
        </w:rPr>
        <w:t>accessing</w:t>
      </w:r>
      <w:proofErr w:type="spellEnd"/>
      <w:r w:rsidRPr="005C718D">
        <w:rPr>
          <w:lang w:val="fr-FR"/>
        </w:rPr>
        <w:t xml:space="preserve"> plant </w:t>
      </w:r>
      <w:proofErr w:type="spellStart"/>
      <w:r w:rsidRPr="005C718D">
        <w:rPr>
          <w:lang w:val="fr-FR"/>
        </w:rPr>
        <w:t>material</w:t>
      </w:r>
      <w:proofErr w:type="spellEnd"/>
      <w:r w:rsidRPr="005C718D">
        <w:rPr>
          <w:lang w:val="fr-FR"/>
        </w:rPr>
        <w:t xml:space="preserve"> for DUS </w:t>
      </w:r>
      <w:proofErr w:type="spellStart"/>
      <w:r w:rsidRPr="005C718D">
        <w:rPr>
          <w:lang w:val="fr-FR"/>
        </w:rPr>
        <w:t>testing</w:t>
      </w:r>
      <w:proofErr w:type="spellEnd"/>
      <w:r w:rsidRPr="005C718D">
        <w:rPr>
          <w:lang w:val="fr-FR"/>
        </w:rPr>
        <w:t xml:space="preserve">” </w:t>
      </w:r>
      <w:r w:rsidR="000E6BA8" w:rsidRPr="005C718D">
        <w:rPr>
          <w:lang w:val="fr-FR"/>
        </w:rPr>
        <w:t>(Donnée</w:t>
      </w:r>
      <w:r w:rsidR="00372799" w:rsidRPr="005C718D">
        <w:rPr>
          <w:lang w:val="fr-FR"/>
        </w:rPr>
        <w:t>s d</w:t>
      </w:r>
      <w:r w:rsidR="005C718D">
        <w:rPr>
          <w:lang w:val="fr-FR"/>
        </w:rPr>
        <w:t>’</w:t>
      </w:r>
      <w:r w:rsidR="00372799" w:rsidRPr="005C718D">
        <w:rPr>
          <w:lang w:val="fr-FR"/>
        </w:rPr>
        <w:t>expérience du Canada en matière d</w:t>
      </w:r>
      <w:r w:rsidR="005C718D">
        <w:rPr>
          <w:lang w:val="fr-FR"/>
        </w:rPr>
        <w:t>’</w:t>
      </w:r>
      <w:r w:rsidR="000E6BA8" w:rsidRPr="005C718D">
        <w:rPr>
          <w:lang w:val="fr-FR"/>
        </w:rPr>
        <w:t>accès au matériel vé</w:t>
      </w:r>
      <w:r w:rsidR="00B50AD3" w:rsidRPr="005C718D">
        <w:rPr>
          <w:lang w:val="fr-FR"/>
        </w:rPr>
        <w:t>gétal aux fins de l</w:t>
      </w:r>
      <w:r w:rsidR="005C718D">
        <w:rPr>
          <w:lang w:val="fr-FR"/>
        </w:rPr>
        <w:t>’</w:t>
      </w:r>
      <w:r w:rsidR="00B50AD3" w:rsidRPr="005C718D">
        <w:rPr>
          <w:lang w:val="fr-FR"/>
        </w:rPr>
        <w:t>examen</w:t>
      </w:r>
      <w:r w:rsidR="0055585E">
        <w:rPr>
          <w:lang w:val="fr-FR"/>
        </w:rPr>
        <w:t> </w:t>
      </w:r>
      <w:r w:rsidR="00B50AD3" w:rsidRPr="005C718D">
        <w:rPr>
          <w:lang w:val="fr-FR"/>
        </w:rPr>
        <w:t>DHS)</w:t>
      </w:r>
      <w:r w:rsidR="000E6BA8" w:rsidRPr="005C718D">
        <w:rPr>
          <w:lang w:val="fr-FR"/>
        </w:rPr>
        <w:t xml:space="preserve"> présenté par un </w:t>
      </w:r>
      <w:r w:rsidR="00E17C3B" w:rsidRPr="005C718D">
        <w:rPr>
          <w:lang w:val="fr-FR"/>
        </w:rPr>
        <w:t>expert</w:t>
      </w:r>
      <w:r w:rsidR="000E6BA8" w:rsidRPr="005C718D">
        <w:rPr>
          <w:lang w:val="fr-FR"/>
        </w:rPr>
        <w:t xml:space="preserve"> </w:t>
      </w:r>
      <w:r w:rsidR="00372799" w:rsidRPr="005C718D">
        <w:rPr>
          <w:lang w:val="fr-FR"/>
        </w:rPr>
        <w:t>du Canada</w:t>
      </w:r>
      <w:r w:rsidR="00174D15" w:rsidRPr="005C718D">
        <w:rPr>
          <w:lang w:val="fr-FR"/>
        </w:rPr>
        <w:t>, qui figure dans le</w:t>
      </w:r>
      <w:r w:rsidRPr="005C718D">
        <w:rPr>
          <w:lang w:val="fr-FR"/>
        </w:rPr>
        <w:t xml:space="preserve"> document TWF/50/9. </w:t>
      </w:r>
      <w:r w:rsidR="005C718D" w:rsidRPr="005C718D">
        <w:rPr>
          <w:lang w:val="fr-FR"/>
        </w:rPr>
        <w:t xml:space="preserve"> Le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TWF</w:t>
      </w:r>
      <w:r w:rsidRPr="005C718D">
        <w:rPr>
          <w:lang w:val="fr-FR"/>
        </w:rPr>
        <w:t xml:space="preserve"> a</w:t>
      </w:r>
      <w:r w:rsidR="00174D15" w:rsidRPr="005C718D">
        <w:rPr>
          <w:lang w:val="fr-FR"/>
        </w:rPr>
        <w:t xml:space="preserve"> également assisté à l</w:t>
      </w:r>
      <w:r w:rsidR="005C718D">
        <w:rPr>
          <w:lang w:val="fr-FR"/>
        </w:rPr>
        <w:t>’</w:t>
      </w:r>
      <w:r w:rsidR="00174D15" w:rsidRPr="005C718D">
        <w:rPr>
          <w:lang w:val="fr-FR"/>
        </w:rPr>
        <w:t>exposé intitulé</w:t>
      </w:r>
      <w:r w:rsidRPr="005C718D">
        <w:rPr>
          <w:lang w:val="fr-FR"/>
        </w:rPr>
        <w:t xml:space="preserve"> “</w:t>
      </w:r>
      <w:proofErr w:type="spellStart"/>
      <w:r w:rsidRPr="005C718D">
        <w:rPr>
          <w:lang w:val="fr-FR"/>
        </w:rPr>
        <w:t>China</w:t>
      </w:r>
      <w:r w:rsidR="005C718D">
        <w:rPr>
          <w:lang w:val="fr-FR"/>
        </w:rPr>
        <w:t>’</w:t>
      </w:r>
      <w:r w:rsidRPr="005C718D">
        <w:rPr>
          <w:lang w:val="fr-FR"/>
        </w:rPr>
        <w:t>s</w:t>
      </w:r>
      <w:proofErr w:type="spellEnd"/>
      <w:r w:rsidRPr="005C718D">
        <w:rPr>
          <w:lang w:val="fr-FR"/>
        </w:rPr>
        <w:t xml:space="preserve"> practice in </w:t>
      </w:r>
      <w:proofErr w:type="spellStart"/>
      <w:r w:rsidRPr="005C718D">
        <w:rPr>
          <w:lang w:val="fr-FR"/>
        </w:rPr>
        <w:t>accessing</w:t>
      </w:r>
      <w:proofErr w:type="spellEnd"/>
      <w:r w:rsidRPr="005C718D">
        <w:rPr>
          <w:lang w:val="fr-FR"/>
        </w:rPr>
        <w:t xml:space="preserve"> to plant </w:t>
      </w:r>
      <w:proofErr w:type="spellStart"/>
      <w:r w:rsidRPr="005C718D">
        <w:rPr>
          <w:lang w:val="fr-FR"/>
        </w:rPr>
        <w:t>materials</w:t>
      </w:r>
      <w:proofErr w:type="spellEnd"/>
      <w:r w:rsidRPr="005C718D">
        <w:rPr>
          <w:lang w:val="fr-FR"/>
        </w:rPr>
        <w:t xml:space="preserve"> for </w:t>
      </w:r>
      <w:proofErr w:type="spellStart"/>
      <w:r w:rsidRPr="005C718D">
        <w:rPr>
          <w:lang w:val="fr-FR"/>
        </w:rPr>
        <w:t>variety</w:t>
      </w:r>
      <w:proofErr w:type="spellEnd"/>
      <w:r w:rsidRPr="005C718D">
        <w:rPr>
          <w:lang w:val="fr-FR"/>
        </w:rPr>
        <w:t xml:space="preserve"> collection management and DUS test”</w:t>
      </w:r>
      <w:r w:rsidR="00174D15" w:rsidRPr="005C718D">
        <w:rPr>
          <w:lang w:val="fr-FR"/>
        </w:rPr>
        <w:t xml:space="preserve"> (Pratiques de la Chine </w:t>
      </w:r>
      <w:r w:rsidR="00372799" w:rsidRPr="005C718D">
        <w:rPr>
          <w:lang w:val="fr-FR"/>
        </w:rPr>
        <w:t>en matière d</w:t>
      </w:r>
      <w:r w:rsidR="005C718D">
        <w:rPr>
          <w:lang w:val="fr-FR"/>
        </w:rPr>
        <w:t>’</w:t>
      </w:r>
      <w:r w:rsidR="00174D15" w:rsidRPr="005C718D">
        <w:rPr>
          <w:lang w:val="fr-FR"/>
        </w:rPr>
        <w:t xml:space="preserve">accès au matériel végétal </w:t>
      </w:r>
      <w:r w:rsidR="002520D9" w:rsidRPr="005C718D">
        <w:rPr>
          <w:lang w:val="fr-FR"/>
        </w:rPr>
        <w:t>aux fins de</w:t>
      </w:r>
      <w:r w:rsidR="00174D15" w:rsidRPr="005C718D">
        <w:rPr>
          <w:lang w:val="fr-FR"/>
        </w:rPr>
        <w:t xml:space="preserve"> la gestion des collections de variétés et </w:t>
      </w:r>
      <w:r w:rsidR="002520D9" w:rsidRPr="005C718D">
        <w:rPr>
          <w:lang w:val="fr-FR"/>
        </w:rPr>
        <w:t>de</w:t>
      </w:r>
      <w:r w:rsidR="00174D15" w:rsidRPr="005C718D">
        <w:rPr>
          <w:lang w:val="fr-FR"/>
        </w:rPr>
        <w:t xml:space="preserve"> l</w:t>
      </w:r>
      <w:r w:rsidR="005C718D">
        <w:rPr>
          <w:lang w:val="fr-FR"/>
        </w:rPr>
        <w:t>’</w:t>
      </w:r>
      <w:r w:rsidR="00174D15" w:rsidRPr="005C718D">
        <w:rPr>
          <w:lang w:val="fr-FR"/>
        </w:rPr>
        <w:t>examen</w:t>
      </w:r>
      <w:r w:rsidR="0055585E">
        <w:rPr>
          <w:lang w:val="fr-FR"/>
        </w:rPr>
        <w:t> </w:t>
      </w:r>
      <w:r w:rsidR="00174D15" w:rsidRPr="005C718D">
        <w:rPr>
          <w:lang w:val="fr-FR"/>
        </w:rPr>
        <w:t>DHS)</w:t>
      </w:r>
      <w:r w:rsidRPr="005C718D">
        <w:rPr>
          <w:lang w:val="fr-FR"/>
        </w:rPr>
        <w:t xml:space="preserve"> </w:t>
      </w:r>
      <w:r w:rsidR="00174D15" w:rsidRPr="005C718D">
        <w:rPr>
          <w:lang w:val="fr-FR"/>
        </w:rPr>
        <w:t xml:space="preserve">présenté par un </w:t>
      </w:r>
      <w:r w:rsidR="00E17C3B" w:rsidRPr="005C718D">
        <w:rPr>
          <w:lang w:val="fr-FR"/>
        </w:rPr>
        <w:t>expert</w:t>
      </w:r>
      <w:r w:rsidR="00372799" w:rsidRPr="005C718D">
        <w:rPr>
          <w:lang w:val="fr-FR"/>
        </w:rPr>
        <w:t xml:space="preserve"> de Chine</w:t>
      </w:r>
      <w:r w:rsidR="00174D15" w:rsidRPr="005C718D">
        <w:rPr>
          <w:lang w:val="fr-FR"/>
        </w:rPr>
        <w:t>, ainsi qu</w:t>
      </w:r>
      <w:r w:rsidR="005C718D">
        <w:rPr>
          <w:lang w:val="fr-FR"/>
        </w:rPr>
        <w:t>’</w:t>
      </w:r>
      <w:r w:rsidR="00174D15" w:rsidRPr="005C718D">
        <w:rPr>
          <w:lang w:val="fr-FR"/>
        </w:rPr>
        <w:t>à l</w:t>
      </w:r>
      <w:r w:rsidR="005C718D">
        <w:rPr>
          <w:lang w:val="fr-FR"/>
        </w:rPr>
        <w:t>’</w:t>
      </w:r>
      <w:r w:rsidR="00174D15" w:rsidRPr="005C718D">
        <w:rPr>
          <w:lang w:val="fr-FR"/>
        </w:rPr>
        <w:t>exposé</w:t>
      </w:r>
      <w:r w:rsidR="00372799" w:rsidRPr="005C718D">
        <w:rPr>
          <w:lang w:val="fr-FR"/>
        </w:rPr>
        <w:t xml:space="preserve"> intitulé</w:t>
      </w:r>
      <w:r w:rsidRPr="005C718D">
        <w:rPr>
          <w:lang w:val="fr-FR"/>
        </w:rPr>
        <w:t xml:space="preserve"> “Access to plant </w:t>
      </w:r>
      <w:proofErr w:type="spellStart"/>
      <w:r w:rsidRPr="005C718D">
        <w:rPr>
          <w:lang w:val="fr-FR"/>
        </w:rPr>
        <w:t>material</w:t>
      </w:r>
      <w:proofErr w:type="spellEnd"/>
      <w:r w:rsidRPr="005C718D">
        <w:rPr>
          <w:lang w:val="fr-FR"/>
        </w:rPr>
        <w:t xml:space="preserve"> for </w:t>
      </w:r>
      <w:proofErr w:type="spellStart"/>
      <w:r w:rsidRPr="005C718D">
        <w:rPr>
          <w:lang w:val="fr-FR"/>
        </w:rPr>
        <w:t>variety</w:t>
      </w:r>
      <w:proofErr w:type="spellEnd"/>
      <w:r w:rsidRPr="005C718D">
        <w:rPr>
          <w:lang w:val="fr-FR"/>
        </w:rPr>
        <w:t xml:space="preserve"> </w:t>
      </w:r>
      <w:proofErr w:type="spellStart"/>
      <w:r w:rsidRPr="005C718D">
        <w:rPr>
          <w:lang w:val="fr-FR"/>
        </w:rPr>
        <w:t>testing</w:t>
      </w:r>
      <w:proofErr w:type="spellEnd"/>
      <w:r w:rsidRPr="005C718D">
        <w:rPr>
          <w:lang w:val="fr-FR"/>
        </w:rPr>
        <w:t xml:space="preserve"> </w:t>
      </w:r>
      <w:proofErr w:type="spellStart"/>
      <w:r w:rsidRPr="005C718D">
        <w:rPr>
          <w:lang w:val="fr-FR"/>
        </w:rPr>
        <w:t>purposes</w:t>
      </w:r>
      <w:proofErr w:type="spellEnd"/>
      <w:r w:rsidR="0055585E">
        <w:rPr>
          <w:lang w:val="fr-FR"/>
        </w:rPr>
        <w:t> </w:t>
      </w:r>
      <w:r w:rsidRPr="005C718D">
        <w:rPr>
          <w:lang w:val="fr-FR"/>
        </w:rPr>
        <w:t xml:space="preserve">: </w:t>
      </w:r>
      <w:proofErr w:type="spellStart"/>
      <w:r w:rsidRPr="005C718D">
        <w:rPr>
          <w:lang w:val="fr-FR"/>
        </w:rPr>
        <w:t>Status</w:t>
      </w:r>
      <w:proofErr w:type="spellEnd"/>
      <w:r w:rsidRPr="005C718D">
        <w:rPr>
          <w:lang w:val="fr-FR"/>
        </w:rPr>
        <w:t xml:space="preserve"> quo, </w:t>
      </w:r>
      <w:proofErr w:type="spellStart"/>
      <w:r w:rsidRPr="005C718D">
        <w:rPr>
          <w:lang w:val="fr-FR"/>
        </w:rPr>
        <w:t>problems</w:t>
      </w:r>
      <w:proofErr w:type="spellEnd"/>
      <w:r w:rsidRPr="005C718D">
        <w:rPr>
          <w:lang w:val="fr-FR"/>
        </w:rPr>
        <w:t xml:space="preserve"> and possible solutions”</w:t>
      </w:r>
      <w:r w:rsidR="00174D15" w:rsidRPr="005C718D">
        <w:rPr>
          <w:lang w:val="fr-FR"/>
        </w:rPr>
        <w:t xml:space="preserve"> (Accès </w:t>
      </w:r>
      <w:r w:rsidR="00372799" w:rsidRPr="005C718D">
        <w:rPr>
          <w:lang w:val="fr-FR"/>
        </w:rPr>
        <w:t>au matériel végétal aux fins de</w:t>
      </w:r>
      <w:r w:rsidR="00174D15" w:rsidRPr="005C718D">
        <w:rPr>
          <w:lang w:val="fr-FR"/>
        </w:rPr>
        <w:t xml:space="preserve"> </w:t>
      </w:r>
      <w:r w:rsidR="00372799" w:rsidRPr="005C718D">
        <w:rPr>
          <w:lang w:val="fr-FR"/>
        </w:rPr>
        <w:t>l</w:t>
      </w:r>
      <w:r w:rsidR="005C718D">
        <w:rPr>
          <w:lang w:val="fr-FR"/>
        </w:rPr>
        <w:t>’</w:t>
      </w:r>
      <w:r w:rsidR="00372799" w:rsidRPr="005C718D">
        <w:rPr>
          <w:lang w:val="fr-FR"/>
        </w:rPr>
        <w:t>examen</w:t>
      </w:r>
      <w:r w:rsidR="00174D15" w:rsidRPr="005C718D">
        <w:rPr>
          <w:lang w:val="fr-FR"/>
        </w:rPr>
        <w:t xml:space="preserve"> de la variété</w:t>
      </w:r>
      <w:r w:rsidR="005C718D">
        <w:rPr>
          <w:lang w:val="fr-FR"/>
        </w:rPr>
        <w:t> :</w:t>
      </w:r>
      <w:r w:rsidR="00174D15" w:rsidRPr="005C718D">
        <w:rPr>
          <w:lang w:val="fr-FR"/>
        </w:rPr>
        <w:t xml:space="preserve"> </w:t>
      </w:r>
      <w:proofErr w:type="spellStart"/>
      <w:r w:rsidR="00174D15" w:rsidRPr="005C718D">
        <w:rPr>
          <w:lang w:val="fr-FR"/>
        </w:rPr>
        <w:t>status</w:t>
      </w:r>
      <w:proofErr w:type="spellEnd"/>
      <w:r w:rsidR="00174D15" w:rsidRPr="005C718D">
        <w:rPr>
          <w:lang w:val="fr-FR"/>
        </w:rPr>
        <w:t xml:space="preserve"> quo, pr</w:t>
      </w:r>
      <w:r w:rsidR="00300C95" w:rsidRPr="005C718D">
        <w:rPr>
          <w:lang w:val="fr-FR"/>
        </w:rPr>
        <w:t>oblèmes et solutions possibles)</w:t>
      </w:r>
      <w:r w:rsidR="00174D15" w:rsidRPr="005C718D">
        <w:rPr>
          <w:lang w:val="fr-FR"/>
        </w:rPr>
        <w:t xml:space="preserve"> présenté par </w:t>
      </w:r>
      <w:r w:rsidR="007C6ED5" w:rsidRPr="005C718D">
        <w:rPr>
          <w:lang w:val="fr-FR"/>
        </w:rPr>
        <w:t xml:space="preserve">un </w:t>
      </w:r>
      <w:r w:rsidR="00E17C3B" w:rsidRPr="005C718D">
        <w:rPr>
          <w:lang w:val="fr-FR"/>
        </w:rPr>
        <w:t>expert</w:t>
      </w:r>
      <w:r w:rsidR="00372799" w:rsidRPr="005C718D">
        <w:rPr>
          <w:lang w:val="fr-FR"/>
        </w:rPr>
        <w:t xml:space="preserve"> d</w:t>
      </w:r>
      <w:r w:rsidR="005C718D">
        <w:rPr>
          <w:lang w:val="fr-FR"/>
        </w:rPr>
        <w:t>’</w:t>
      </w:r>
      <w:r w:rsidR="00372799" w:rsidRPr="005C718D">
        <w:rPr>
          <w:lang w:val="fr-FR"/>
        </w:rPr>
        <w:t>Ital</w:t>
      </w:r>
      <w:r w:rsidR="00E64434" w:rsidRPr="005C718D">
        <w:rPr>
          <w:lang w:val="fr-FR"/>
        </w:rPr>
        <w:t>ie</w:t>
      </w:r>
      <w:r w:rsidR="00E64434">
        <w:rPr>
          <w:lang w:val="fr-FR"/>
        </w:rPr>
        <w:t xml:space="preserve">.  </w:t>
      </w:r>
      <w:r w:rsidR="00E64434" w:rsidRPr="005C718D">
        <w:rPr>
          <w:lang w:val="fr-FR"/>
        </w:rPr>
        <w:t>Le</w:t>
      </w:r>
      <w:r w:rsidR="00174D15" w:rsidRPr="005C718D">
        <w:rPr>
          <w:lang w:val="fr-FR"/>
        </w:rPr>
        <w:t xml:space="preserve"> texte des </w:t>
      </w:r>
      <w:r w:rsidR="00372799" w:rsidRPr="005C718D">
        <w:rPr>
          <w:lang w:val="fr-FR"/>
        </w:rPr>
        <w:t>exposé</w:t>
      </w:r>
      <w:r w:rsidR="00174D15" w:rsidRPr="005C718D">
        <w:rPr>
          <w:lang w:val="fr-FR"/>
        </w:rPr>
        <w:t>s a été reproduit d</w:t>
      </w:r>
      <w:r w:rsidRPr="005C718D">
        <w:rPr>
          <w:lang w:val="fr-FR"/>
        </w:rPr>
        <w:t>a</w:t>
      </w:r>
      <w:r w:rsidR="00174D15" w:rsidRPr="005C718D">
        <w:rPr>
          <w:lang w:val="fr-FR"/>
        </w:rPr>
        <w:t>n</w:t>
      </w:r>
      <w:r w:rsidRPr="005C718D">
        <w:rPr>
          <w:lang w:val="fr-FR"/>
        </w:rPr>
        <w:t xml:space="preserve">s </w:t>
      </w:r>
      <w:r w:rsidR="00174D15" w:rsidRPr="005C718D">
        <w:rPr>
          <w:lang w:val="fr-FR"/>
        </w:rPr>
        <w:t>un additif au</w:t>
      </w:r>
      <w:r w:rsidRPr="005C718D">
        <w:rPr>
          <w:lang w:val="fr-FR"/>
        </w:rPr>
        <w:t xml:space="preserve"> document TWF/50/9. </w:t>
      </w:r>
      <w:r w:rsidR="005C718D" w:rsidRPr="005C718D">
        <w:rPr>
          <w:lang w:val="fr-FR"/>
        </w:rPr>
        <w:t xml:space="preserve"> Le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TWF</w:t>
      </w:r>
      <w:r w:rsidR="008A01C1" w:rsidRPr="005C718D">
        <w:rPr>
          <w:lang w:val="fr-FR"/>
        </w:rPr>
        <w:t xml:space="preserve"> a </w:t>
      </w:r>
      <w:r w:rsidR="007C6ED5" w:rsidRPr="005C718D">
        <w:rPr>
          <w:lang w:val="fr-FR"/>
        </w:rPr>
        <w:lastRenderedPageBreak/>
        <w:t xml:space="preserve">également entendu les </w:t>
      </w:r>
      <w:r w:rsidR="00816B6A" w:rsidRPr="005C718D">
        <w:rPr>
          <w:lang w:val="fr-FR"/>
        </w:rPr>
        <w:t>rapports verbaux</w:t>
      </w:r>
      <w:r w:rsidR="007C6ED5" w:rsidRPr="005C718D">
        <w:rPr>
          <w:lang w:val="fr-FR"/>
        </w:rPr>
        <w:t xml:space="preserve"> d</w:t>
      </w:r>
      <w:r w:rsidR="005C718D">
        <w:rPr>
          <w:lang w:val="fr-FR"/>
        </w:rPr>
        <w:t>’</w:t>
      </w:r>
      <w:r w:rsidR="00E17C3B" w:rsidRPr="005C718D">
        <w:rPr>
          <w:lang w:val="fr-FR"/>
        </w:rPr>
        <w:t>expert</w:t>
      </w:r>
      <w:r w:rsidR="008A01C1" w:rsidRPr="005C718D">
        <w:rPr>
          <w:lang w:val="fr-FR"/>
        </w:rPr>
        <w:t>s de l</w:t>
      </w:r>
      <w:r w:rsidR="005C718D">
        <w:rPr>
          <w:lang w:val="fr-FR"/>
        </w:rPr>
        <w:t>’</w:t>
      </w:r>
      <w:r w:rsidR="008A01C1" w:rsidRPr="005C718D">
        <w:rPr>
          <w:lang w:val="fr-FR"/>
        </w:rPr>
        <w:t>Union européenne et d</w:t>
      </w:r>
      <w:r w:rsidR="005C718D">
        <w:rPr>
          <w:lang w:val="fr-FR"/>
        </w:rPr>
        <w:t>’</w:t>
      </w:r>
      <w:r w:rsidR="008A01C1" w:rsidRPr="005C718D">
        <w:rPr>
          <w:lang w:val="fr-FR"/>
        </w:rPr>
        <w:t>Espagne</w:t>
      </w:r>
      <w:r w:rsidRPr="005C718D">
        <w:rPr>
          <w:lang w:val="fr-FR"/>
        </w:rPr>
        <w:t xml:space="preserve"> </w:t>
      </w:r>
      <w:r w:rsidR="00816B6A" w:rsidRPr="005C718D">
        <w:rPr>
          <w:lang w:val="fr-FR"/>
        </w:rPr>
        <w:t>sur</w:t>
      </w:r>
      <w:r w:rsidR="008A01C1" w:rsidRPr="005C718D">
        <w:rPr>
          <w:lang w:val="fr-FR"/>
        </w:rPr>
        <w:t xml:space="preserve"> </w:t>
      </w:r>
      <w:r w:rsidR="00816B6A" w:rsidRPr="005C718D">
        <w:rPr>
          <w:lang w:val="fr-FR"/>
        </w:rPr>
        <w:t xml:space="preserve">la </w:t>
      </w:r>
      <w:r w:rsidRPr="005C718D">
        <w:rPr>
          <w:lang w:val="fr-FR"/>
        </w:rPr>
        <w:t xml:space="preserve">situation </w:t>
      </w:r>
      <w:r w:rsidR="008A01C1" w:rsidRPr="005C718D">
        <w:rPr>
          <w:lang w:val="fr-FR"/>
        </w:rPr>
        <w:t>e</w:t>
      </w:r>
      <w:r w:rsidRPr="005C718D">
        <w:rPr>
          <w:lang w:val="fr-FR"/>
        </w:rPr>
        <w:t>n</w:t>
      </w:r>
      <w:r w:rsidR="008A01C1" w:rsidRPr="005C718D">
        <w:rPr>
          <w:lang w:val="fr-FR"/>
        </w:rPr>
        <w:t xml:space="preserve"> matière d</w:t>
      </w:r>
      <w:r w:rsidR="005C718D">
        <w:rPr>
          <w:lang w:val="fr-FR"/>
        </w:rPr>
        <w:t>’</w:t>
      </w:r>
      <w:r w:rsidR="008A01C1" w:rsidRPr="005C718D">
        <w:rPr>
          <w:lang w:val="fr-FR"/>
        </w:rPr>
        <w:t>accès au matériel végétal</w:t>
      </w:r>
      <w:r w:rsidR="002520D9" w:rsidRPr="005C718D">
        <w:rPr>
          <w:lang w:val="fr-FR"/>
        </w:rPr>
        <w:t xml:space="preserve"> aux fins de </w:t>
      </w:r>
      <w:r w:rsidR="008A01C1" w:rsidRPr="005C718D">
        <w:rPr>
          <w:lang w:val="fr-FR"/>
        </w:rPr>
        <w:t xml:space="preserve">la gestion des collections de variétés et </w:t>
      </w:r>
      <w:r w:rsidR="002520D9" w:rsidRPr="005C718D">
        <w:rPr>
          <w:lang w:val="fr-FR"/>
        </w:rPr>
        <w:t>de</w:t>
      </w:r>
      <w:r w:rsidR="008A01C1" w:rsidRPr="005C718D">
        <w:rPr>
          <w:lang w:val="fr-FR"/>
        </w:rPr>
        <w:t xml:space="preserve"> l</w:t>
      </w:r>
      <w:r w:rsidR="005C718D">
        <w:rPr>
          <w:lang w:val="fr-FR"/>
        </w:rPr>
        <w:t>’</w:t>
      </w:r>
      <w:r w:rsidR="008A01C1" w:rsidRPr="005C718D">
        <w:rPr>
          <w:lang w:val="fr-FR"/>
        </w:rPr>
        <w:t>examen</w:t>
      </w:r>
      <w:r w:rsidR="0055585E">
        <w:rPr>
          <w:lang w:val="fr-FR"/>
        </w:rPr>
        <w:t> </w:t>
      </w:r>
      <w:r w:rsidR="008A01C1" w:rsidRPr="005C718D">
        <w:rPr>
          <w:lang w:val="fr-FR"/>
        </w:rPr>
        <w:t>DHS</w:t>
      </w:r>
      <w:r w:rsidRPr="005C718D">
        <w:rPr>
          <w:lang w:val="fr-FR"/>
        </w:rPr>
        <w:t xml:space="preserve"> (</w:t>
      </w:r>
      <w:r w:rsidR="008A01C1" w:rsidRPr="005C718D">
        <w:rPr>
          <w:lang w:val="fr-FR"/>
        </w:rPr>
        <w:t xml:space="preserve">voir les </w:t>
      </w:r>
      <w:r w:rsidR="005C718D" w:rsidRPr="005C718D">
        <w:rPr>
          <w:lang w:val="fr-FR"/>
        </w:rPr>
        <w:t>paragraphes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4</w:t>
      </w:r>
      <w:r w:rsidR="008A01C1" w:rsidRPr="005C718D">
        <w:rPr>
          <w:lang w:val="fr-FR"/>
        </w:rPr>
        <w:t>0 à 44</w:t>
      </w:r>
      <w:r w:rsidRPr="005C718D">
        <w:rPr>
          <w:lang w:val="fr-FR"/>
        </w:rPr>
        <w:t xml:space="preserve"> </w:t>
      </w:r>
      <w:r w:rsidR="008A01C1" w:rsidRPr="005C718D">
        <w:rPr>
          <w:lang w:val="fr-FR"/>
        </w:rPr>
        <w:t xml:space="preserve">du </w:t>
      </w:r>
      <w:r w:rsidR="005C718D" w:rsidRPr="005C718D">
        <w:rPr>
          <w:lang w:val="fr-FR"/>
        </w:rPr>
        <w:t>document</w:t>
      </w:r>
      <w:r w:rsidR="005C718D">
        <w:rPr>
          <w:lang w:val="fr-FR"/>
        </w:rPr>
        <w:t xml:space="preserve"> </w:t>
      </w:r>
      <w:r w:rsidR="005C718D" w:rsidRPr="005C718D">
        <w:rPr>
          <w:lang w:val="fr-FR"/>
        </w:rPr>
        <w:t>TW</w:t>
      </w:r>
      <w:r w:rsidRPr="005C718D">
        <w:rPr>
          <w:lang w:val="fr-FR"/>
        </w:rPr>
        <w:t>F/50/13 “Report”</w:t>
      </w:r>
      <w:r w:rsidR="008A01C1" w:rsidRPr="005C718D">
        <w:rPr>
          <w:lang w:val="fr-FR"/>
        </w:rPr>
        <w:t xml:space="preserve"> (Compte rendu)</w:t>
      </w:r>
      <w:r w:rsidRPr="005C718D">
        <w:rPr>
          <w:lang w:val="fr-FR"/>
        </w:rPr>
        <w:t>).</w:t>
      </w:r>
    </w:p>
    <w:p w:rsidR="007557F1" w:rsidRPr="005C718D" w:rsidRDefault="007557F1" w:rsidP="007557F1">
      <w:pPr>
        <w:rPr>
          <w:lang w:val="fr-FR"/>
        </w:rPr>
      </w:pPr>
    </w:p>
    <w:p w:rsidR="007557F1" w:rsidRPr="005C718D" w:rsidRDefault="007557F1" w:rsidP="007557F1">
      <w:pPr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="008A01C1" w:rsidRPr="005C718D">
        <w:rPr>
          <w:lang w:val="fr-FR"/>
        </w:rPr>
        <w:tab/>
        <w:t>L</w:t>
      </w:r>
      <w:r w:rsidRPr="005C718D">
        <w:rPr>
          <w:lang w:val="fr-FR"/>
        </w:rPr>
        <w:t xml:space="preserve">e TWF </w:t>
      </w:r>
      <w:r w:rsidR="008A01C1" w:rsidRPr="005C718D">
        <w:rPr>
          <w:lang w:val="fr-FR"/>
        </w:rPr>
        <w:t xml:space="preserve">a </w:t>
      </w:r>
      <w:r w:rsidR="00816B6A" w:rsidRPr="005C718D">
        <w:rPr>
          <w:lang w:val="fr-FR"/>
        </w:rPr>
        <w:t>pris note des difficultés et</w:t>
      </w:r>
      <w:r w:rsidR="008A01C1" w:rsidRPr="005C718D">
        <w:rPr>
          <w:lang w:val="fr-FR"/>
        </w:rPr>
        <w:t xml:space="preserve"> problèmes ci</w:t>
      </w:r>
      <w:r w:rsidR="005C718D">
        <w:rPr>
          <w:lang w:val="fr-FR"/>
        </w:rPr>
        <w:t>-</w:t>
      </w:r>
      <w:r w:rsidR="008A01C1" w:rsidRPr="005C718D">
        <w:rPr>
          <w:lang w:val="fr-FR"/>
        </w:rPr>
        <w:t>après</w:t>
      </w:r>
      <w:r w:rsidRPr="005C718D">
        <w:rPr>
          <w:lang w:val="fr-FR"/>
        </w:rPr>
        <w:t xml:space="preserve"> </w:t>
      </w:r>
      <w:r w:rsidR="00B417AB" w:rsidRPr="005C718D">
        <w:rPr>
          <w:lang w:val="fr-FR"/>
        </w:rPr>
        <w:t>e</w:t>
      </w:r>
      <w:r w:rsidRPr="005C718D">
        <w:rPr>
          <w:lang w:val="fr-FR"/>
        </w:rPr>
        <w:t>n</w:t>
      </w:r>
      <w:r w:rsidR="00B417AB" w:rsidRPr="005C718D">
        <w:rPr>
          <w:lang w:val="fr-FR"/>
        </w:rPr>
        <w:t xml:space="preserve"> ce qui concerne l</w:t>
      </w:r>
      <w:r w:rsidR="005C718D">
        <w:rPr>
          <w:lang w:val="fr-FR"/>
        </w:rPr>
        <w:t>’</w:t>
      </w:r>
      <w:r w:rsidR="00B417AB" w:rsidRPr="005C718D">
        <w:rPr>
          <w:lang w:val="fr-FR"/>
        </w:rPr>
        <w:t xml:space="preserve">accès au matériel végétal </w:t>
      </w:r>
      <w:r w:rsidR="002520D9" w:rsidRPr="005C718D">
        <w:rPr>
          <w:lang w:val="fr-FR"/>
        </w:rPr>
        <w:t>aux fins de la</w:t>
      </w:r>
      <w:r w:rsidR="00B417AB" w:rsidRPr="005C718D">
        <w:rPr>
          <w:lang w:val="fr-FR"/>
        </w:rPr>
        <w:t xml:space="preserve"> gestion des</w:t>
      </w:r>
      <w:r w:rsidRPr="005C718D">
        <w:rPr>
          <w:lang w:val="fr-FR"/>
        </w:rPr>
        <w:t xml:space="preserve"> collection</w:t>
      </w:r>
      <w:r w:rsidR="00B417AB" w:rsidRPr="005C718D">
        <w:rPr>
          <w:lang w:val="fr-FR"/>
        </w:rPr>
        <w:t>s d</w:t>
      </w:r>
      <w:r w:rsidR="002520D9" w:rsidRPr="005C718D">
        <w:rPr>
          <w:lang w:val="fr-FR"/>
        </w:rPr>
        <w:t>e variétés et de</w:t>
      </w:r>
      <w:r w:rsidR="00B417AB" w:rsidRPr="005C718D">
        <w:rPr>
          <w:lang w:val="fr-FR"/>
        </w:rPr>
        <w:t xml:space="preserve"> l</w:t>
      </w:r>
      <w:r w:rsidR="005C718D">
        <w:rPr>
          <w:lang w:val="fr-FR"/>
        </w:rPr>
        <w:t>’</w:t>
      </w:r>
      <w:r w:rsidR="00B417AB" w:rsidRPr="005C718D">
        <w:rPr>
          <w:lang w:val="fr-FR"/>
        </w:rPr>
        <w:t>examen</w:t>
      </w:r>
      <w:r w:rsidR="0055585E">
        <w:rPr>
          <w:lang w:val="fr-FR"/>
        </w:rPr>
        <w:t> </w:t>
      </w:r>
      <w:r w:rsidR="00B417AB" w:rsidRPr="005C718D">
        <w:rPr>
          <w:lang w:val="fr-FR"/>
        </w:rPr>
        <w:t>DHS</w:t>
      </w:r>
      <w:r w:rsidR="005C718D">
        <w:rPr>
          <w:lang w:val="fr-FR"/>
        </w:rPr>
        <w:t> :</w:t>
      </w:r>
    </w:p>
    <w:p w:rsidR="007557F1" w:rsidRPr="005C718D" w:rsidRDefault="007557F1" w:rsidP="007557F1">
      <w:pPr>
        <w:rPr>
          <w:lang w:val="fr-FR"/>
        </w:rPr>
      </w:pPr>
    </w:p>
    <w:p w:rsidR="007557F1" w:rsidRPr="005C718D" w:rsidRDefault="00B417AB" w:rsidP="0093731E">
      <w:pPr>
        <w:pStyle w:val="ListParagraph"/>
        <w:numPr>
          <w:ilvl w:val="0"/>
          <w:numId w:val="4"/>
        </w:numPr>
        <w:ind w:left="1134" w:hanging="567"/>
        <w:rPr>
          <w:lang w:val="fr-FR"/>
        </w:rPr>
      </w:pPr>
      <w:r w:rsidRPr="005C718D">
        <w:rPr>
          <w:lang w:val="fr-FR"/>
        </w:rPr>
        <w:t>Risque phytosanitaire (risque</w:t>
      </w:r>
      <w:r w:rsidR="007557F1" w:rsidRPr="005C718D">
        <w:rPr>
          <w:lang w:val="fr-FR"/>
        </w:rPr>
        <w:t xml:space="preserve"> </w:t>
      </w:r>
      <w:r w:rsidRPr="005C718D">
        <w:rPr>
          <w:lang w:val="fr-FR"/>
        </w:rPr>
        <w:t>d</w:t>
      </w:r>
      <w:r w:rsidR="005C718D">
        <w:rPr>
          <w:lang w:val="fr-FR"/>
        </w:rPr>
        <w:t>’</w:t>
      </w:r>
      <w:r w:rsidRPr="005C718D">
        <w:rPr>
          <w:lang w:val="fr-FR"/>
        </w:rPr>
        <w:t>introduction de pathogè</w:t>
      </w:r>
      <w:r w:rsidR="007557F1" w:rsidRPr="005C718D">
        <w:rPr>
          <w:lang w:val="fr-FR"/>
        </w:rPr>
        <w:t>n</w:t>
      </w:r>
      <w:r w:rsidRPr="005C718D">
        <w:rPr>
          <w:lang w:val="fr-FR"/>
        </w:rPr>
        <w:t>e</w:t>
      </w:r>
      <w:r w:rsidR="007557F1" w:rsidRPr="005C718D">
        <w:rPr>
          <w:lang w:val="fr-FR"/>
        </w:rPr>
        <w:t xml:space="preserve">s </w:t>
      </w:r>
      <w:r w:rsidRPr="005C718D">
        <w:rPr>
          <w:lang w:val="fr-FR"/>
        </w:rPr>
        <w:t>dans une</w:t>
      </w:r>
      <w:r w:rsidR="007557F1" w:rsidRPr="005C718D">
        <w:rPr>
          <w:lang w:val="fr-FR"/>
        </w:rPr>
        <w:t xml:space="preserve"> collection</w:t>
      </w:r>
      <w:r w:rsidRPr="005C718D">
        <w:rPr>
          <w:lang w:val="fr-FR"/>
        </w:rPr>
        <w:t xml:space="preserve"> de variétés</w:t>
      </w:r>
      <w:r w:rsidR="007557F1" w:rsidRPr="005C718D">
        <w:rPr>
          <w:lang w:val="fr-FR"/>
        </w:rPr>
        <w:t>)</w:t>
      </w:r>
    </w:p>
    <w:p w:rsidR="007557F1" w:rsidRPr="005C718D" w:rsidRDefault="00B417AB" w:rsidP="0093731E">
      <w:pPr>
        <w:pStyle w:val="ListParagraph"/>
        <w:numPr>
          <w:ilvl w:val="0"/>
          <w:numId w:val="4"/>
        </w:numPr>
        <w:ind w:left="1134" w:hanging="567"/>
        <w:rPr>
          <w:lang w:val="fr-FR"/>
        </w:rPr>
      </w:pPr>
      <w:r w:rsidRPr="005C718D">
        <w:rPr>
          <w:lang w:val="fr-FR"/>
        </w:rPr>
        <w:t>Importation du matériel végétal</w:t>
      </w:r>
      <w:r w:rsidR="007557F1" w:rsidRPr="005C718D">
        <w:rPr>
          <w:lang w:val="fr-FR"/>
        </w:rPr>
        <w:t xml:space="preserve"> (</w:t>
      </w:r>
      <w:r w:rsidRPr="005C718D">
        <w:rPr>
          <w:lang w:val="fr-FR"/>
        </w:rPr>
        <w:t>me</w:t>
      </w:r>
      <w:r w:rsidR="007557F1" w:rsidRPr="005C718D">
        <w:rPr>
          <w:lang w:val="fr-FR"/>
        </w:rPr>
        <w:t>sures</w:t>
      </w:r>
      <w:r w:rsidRPr="005C718D">
        <w:rPr>
          <w:lang w:val="fr-FR"/>
        </w:rPr>
        <w:t xml:space="preserve"> phytosanitaires</w:t>
      </w:r>
      <w:r w:rsidR="007557F1" w:rsidRPr="005C718D">
        <w:rPr>
          <w:lang w:val="fr-FR"/>
        </w:rPr>
        <w:t>)</w:t>
      </w:r>
    </w:p>
    <w:p w:rsidR="007557F1" w:rsidRPr="005C718D" w:rsidRDefault="00B417AB" w:rsidP="0093731E">
      <w:pPr>
        <w:pStyle w:val="ListParagraph"/>
        <w:numPr>
          <w:ilvl w:val="0"/>
          <w:numId w:val="4"/>
        </w:numPr>
        <w:ind w:left="1134" w:hanging="567"/>
        <w:rPr>
          <w:lang w:val="fr-FR"/>
        </w:rPr>
      </w:pPr>
      <w:r w:rsidRPr="005C718D">
        <w:rPr>
          <w:lang w:val="fr-FR"/>
        </w:rPr>
        <w:t xml:space="preserve">Manque de compréhension des </w:t>
      </w:r>
      <w:r w:rsidR="007B7843" w:rsidRPr="005C718D">
        <w:rPr>
          <w:lang w:val="fr-FR"/>
        </w:rPr>
        <w:t>obtent</w:t>
      </w:r>
      <w:r w:rsidRPr="005C718D">
        <w:rPr>
          <w:lang w:val="fr-FR"/>
        </w:rPr>
        <w:t xml:space="preserve">eurs </w:t>
      </w:r>
      <w:r w:rsidR="007A71C1" w:rsidRPr="005C718D">
        <w:rPr>
          <w:lang w:val="fr-FR"/>
        </w:rPr>
        <w:t>en ce qui concerne</w:t>
      </w:r>
      <w:r w:rsidRPr="005C718D">
        <w:rPr>
          <w:lang w:val="fr-FR"/>
        </w:rPr>
        <w:t xml:space="preserve"> les avantages de fournir</w:t>
      </w:r>
      <w:r w:rsidR="007557F1" w:rsidRPr="005C718D">
        <w:rPr>
          <w:lang w:val="fr-FR"/>
        </w:rPr>
        <w:t xml:space="preserve"> </w:t>
      </w:r>
      <w:r w:rsidR="007A71C1" w:rsidRPr="005C718D">
        <w:rPr>
          <w:lang w:val="fr-FR"/>
        </w:rPr>
        <w:t>leurs variétés pour référence</w:t>
      </w:r>
    </w:p>
    <w:p w:rsidR="007557F1" w:rsidRPr="005C718D" w:rsidRDefault="007A71C1" w:rsidP="0093731E">
      <w:pPr>
        <w:pStyle w:val="ListParagraph"/>
        <w:numPr>
          <w:ilvl w:val="0"/>
          <w:numId w:val="4"/>
        </w:numPr>
        <w:ind w:left="1134" w:hanging="567"/>
        <w:rPr>
          <w:lang w:val="fr-FR"/>
        </w:rPr>
      </w:pPr>
      <w:r w:rsidRPr="005C718D">
        <w:rPr>
          <w:lang w:val="fr-FR"/>
        </w:rPr>
        <w:t xml:space="preserve">Manque de volonté des </w:t>
      </w:r>
      <w:r w:rsidR="007B7843" w:rsidRPr="005C718D">
        <w:rPr>
          <w:lang w:val="fr-FR"/>
        </w:rPr>
        <w:t>obtent</w:t>
      </w:r>
      <w:r w:rsidRPr="005C718D">
        <w:rPr>
          <w:lang w:val="fr-FR"/>
        </w:rPr>
        <w:t>eurs</w:t>
      </w:r>
      <w:r w:rsidR="007557F1" w:rsidRPr="005C718D">
        <w:rPr>
          <w:lang w:val="fr-FR"/>
        </w:rPr>
        <w:t xml:space="preserve"> </w:t>
      </w:r>
      <w:r w:rsidR="00816B6A" w:rsidRPr="005C718D">
        <w:rPr>
          <w:lang w:val="fr-FR"/>
        </w:rPr>
        <w:t>en ce qui concerne</w:t>
      </w:r>
      <w:r w:rsidRPr="005C718D">
        <w:rPr>
          <w:lang w:val="fr-FR"/>
        </w:rPr>
        <w:t xml:space="preserve"> la mise à disposition de leur matériel</w:t>
      </w:r>
      <w:r w:rsidR="007557F1" w:rsidRPr="005C718D">
        <w:rPr>
          <w:lang w:val="fr-FR"/>
        </w:rPr>
        <w:t xml:space="preserve"> </w:t>
      </w:r>
      <w:r w:rsidRPr="005C718D">
        <w:rPr>
          <w:lang w:val="fr-FR"/>
        </w:rPr>
        <w:t>lorsque l</w:t>
      </w:r>
      <w:r w:rsidR="005C718D">
        <w:rPr>
          <w:lang w:val="fr-FR"/>
        </w:rPr>
        <w:t>’</w:t>
      </w:r>
      <w:r w:rsidRPr="005C718D">
        <w:rPr>
          <w:lang w:val="fr-FR"/>
        </w:rPr>
        <w:t>examen</w:t>
      </w:r>
      <w:r w:rsidR="0055585E">
        <w:rPr>
          <w:lang w:val="fr-FR"/>
        </w:rPr>
        <w:t> </w:t>
      </w:r>
      <w:r w:rsidRPr="005C718D">
        <w:rPr>
          <w:lang w:val="fr-FR"/>
        </w:rPr>
        <w:t>DHS est effectué dans les locaux d</w:t>
      </w:r>
      <w:r w:rsidR="005C718D">
        <w:rPr>
          <w:lang w:val="fr-FR"/>
        </w:rPr>
        <w:t>’</w:t>
      </w:r>
      <w:r w:rsidRPr="005C718D">
        <w:rPr>
          <w:lang w:val="fr-FR"/>
        </w:rPr>
        <w:t xml:space="preserve">un autre </w:t>
      </w:r>
      <w:r w:rsidR="007B7843" w:rsidRPr="005C718D">
        <w:rPr>
          <w:lang w:val="fr-FR"/>
        </w:rPr>
        <w:t>obtent</w:t>
      </w:r>
      <w:r w:rsidRPr="005C718D">
        <w:rPr>
          <w:lang w:val="fr-FR"/>
        </w:rPr>
        <w:t>eur</w:t>
      </w:r>
    </w:p>
    <w:p w:rsidR="005C718D" w:rsidRDefault="007A71C1" w:rsidP="0093731E">
      <w:pPr>
        <w:pStyle w:val="ListParagraph"/>
        <w:numPr>
          <w:ilvl w:val="0"/>
          <w:numId w:val="4"/>
        </w:numPr>
        <w:ind w:left="1134" w:hanging="567"/>
        <w:rPr>
          <w:lang w:val="fr-FR"/>
        </w:rPr>
      </w:pPr>
      <w:r w:rsidRPr="005C718D">
        <w:rPr>
          <w:lang w:val="fr-FR"/>
        </w:rPr>
        <w:t xml:space="preserve">Garantie demandée par les </w:t>
      </w:r>
      <w:r w:rsidR="007B7843" w:rsidRPr="005C718D">
        <w:rPr>
          <w:lang w:val="fr-FR"/>
        </w:rPr>
        <w:t>obtent</w:t>
      </w:r>
      <w:r w:rsidRPr="005C718D">
        <w:rPr>
          <w:lang w:val="fr-FR"/>
        </w:rPr>
        <w:t>eurs en ce qui concerne l</w:t>
      </w:r>
      <w:r w:rsidR="005C718D">
        <w:rPr>
          <w:lang w:val="fr-FR"/>
        </w:rPr>
        <w:t>’</w:t>
      </w:r>
      <w:r w:rsidRPr="005C718D">
        <w:rPr>
          <w:lang w:val="fr-FR"/>
        </w:rPr>
        <w:t>utilisation du matériel végétal fourni</w:t>
      </w:r>
    </w:p>
    <w:p w:rsidR="007557F1" w:rsidRPr="005C718D" w:rsidRDefault="007A71C1" w:rsidP="0093731E">
      <w:pPr>
        <w:pStyle w:val="ListParagraph"/>
        <w:numPr>
          <w:ilvl w:val="0"/>
          <w:numId w:val="4"/>
        </w:numPr>
        <w:ind w:left="1134" w:hanging="567"/>
        <w:rPr>
          <w:lang w:val="fr-FR"/>
        </w:rPr>
      </w:pPr>
      <w:r w:rsidRPr="005C718D">
        <w:rPr>
          <w:lang w:val="fr-FR"/>
        </w:rPr>
        <w:t>Création</w:t>
      </w:r>
      <w:r w:rsidR="007557F1" w:rsidRPr="005C718D">
        <w:rPr>
          <w:lang w:val="fr-FR"/>
        </w:rPr>
        <w:t>,</w:t>
      </w:r>
      <w:r w:rsidRPr="005C718D">
        <w:rPr>
          <w:lang w:val="fr-FR"/>
        </w:rPr>
        <w:t xml:space="preserve"> </w:t>
      </w:r>
      <w:r w:rsidR="00286591" w:rsidRPr="005C718D">
        <w:rPr>
          <w:lang w:val="fr-FR"/>
        </w:rPr>
        <w:t>maintien</w:t>
      </w:r>
      <w:r w:rsidRPr="005C718D">
        <w:rPr>
          <w:lang w:val="fr-FR"/>
        </w:rPr>
        <w:t xml:space="preserve"> et renouvellement d</w:t>
      </w:r>
      <w:r w:rsidR="005C718D">
        <w:rPr>
          <w:lang w:val="fr-FR"/>
        </w:rPr>
        <w:t>’</w:t>
      </w:r>
      <w:r w:rsidRPr="005C718D">
        <w:rPr>
          <w:lang w:val="fr-FR"/>
        </w:rPr>
        <w:t>une</w:t>
      </w:r>
      <w:r w:rsidR="007557F1" w:rsidRPr="005C718D">
        <w:rPr>
          <w:lang w:val="fr-FR"/>
        </w:rPr>
        <w:t xml:space="preserve"> collection </w:t>
      </w:r>
      <w:r w:rsidRPr="005C718D">
        <w:rPr>
          <w:lang w:val="fr-FR"/>
        </w:rPr>
        <w:t>de matériel végétal vivant</w:t>
      </w:r>
    </w:p>
    <w:p w:rsidR="007557F1" w:rsidRPr="005C718D" w:rsidRDefault="007B7843" w:rsidP="0093731E">
      <w:pPr>
        <w:pStyle w:val="ListParagraph"/>
        <w:numPr>
          <w:ilvl w:val="0"/>
          <w:numId w:val="4"/>
        </w:numPr>
        <w:ind w:left="1134" w:hanging="567"/>
        <w:rPr>
          <w:lang w:val="fr-FR"/>
        </w:rPr>
      </w:pPr>
      <w:r w:rsidRPr="005C718D">
        <w:rPr>
          <w:lang w:val="fr-FR"/>
        </w:rPr>
        <w:t>Accès au matériel végétal souvent restreint sur le marché, matériel</w:t>
      </w:r>
      <w:r w:rsidR="007557F1" w:rsidRPr="005C718D">
        <w:rPr>
          <w:lang w:val="fr-FR"/>
        </w:rPr>
        <w:t xml:space="preserve"> </w:t>
      </w:r>
      <w:r w:rsidRPr="005C718D">
        <w:rPr>
          <w:lang w:val="fr-FR"/>
        </w:rPr>
        <w:t>circulant dans des réseaux fermés</w:t>
      </w:r>
      <w:r w:rsidR="007557F1" w:rsidRPr="005C718D">
        <w:rPr>
          <w:lang w:val="fr-FR"/>
        </w:rPr>
        <w:t xml:space="preserve"> (club</w:t>
      </w:r>
      <w:r w:rsidR="00B0133B" w:rsidRPr="005C718D">
        <w:rPr>
          <w:lang w:val="fr-FR"/>
        </w:rPr>
        <w:t>s</w:t>
      </w:r>
      <w:r w:rsidR="007557F1" w:rsidRPr="005C718D">
        <w:rPr>
          <w:lang w:val="fr-FR"/>
        </w:rPr>
        <w:t>)</w:t>
      </w:r>
    </w:p>
    <w:p w:rsidR="007557F1" w:rsidRPr="005C718D" w:rsidRDefault="00B0133B" w:rsidP="0093731E">
      <w:pPr>
        <w:pStyle w:val="ListParagraph"/>
        <w:numPr>
          <w:ilvl w:val="0"/>
          <w:numId w:val="4"/>
        </w:numPr>
        <w:ind w:left="1134" w:hanging="567"/>
        <w:rPr>
          <w:lang w:val="fr-FR"/>
        </w:rPr>
      </w:pPr>
      <w:r w:rsidRPr="005C718D">
        <w:rPr>
          <w:lang w:val="fr-FR"/>
        </w:rPr>
        <w:t>Utilisation limitée des techniques</w:t>
      </w:r>
      <w:r w:rsidR="005C718D">
        <w:rPr>
          <w:lang w:val="fr-FR"/>
        </w:rPr>
        <w:t> :</w:t>
      </w:r>
      <w:r w:rsidR="007557F1" w:rsidRPr="005C718D">
        <w:rPr>
          <w:lang w:val="fr-FR"/>
        </w:rPr>
        <w:t xml:space="preserve"> A</w:t>
      </w:r>
      <w:r w:rsidRPr="005C718D">
        <w:rPr>
          <w:lang w:val="fr-FR"/>
        </w:rPr>
        <w:t>DN</w:t>
      </w:r>
      <w:r w:rsidR="007557F1" w:rsidRPr="005C718D">
        <w:rPr>
          <w:lang w:val="fr-FR"/>
        </w:rPr>
        <w:t xml:space="preserve">, </w:t>
      </w:r>
      <w:r w:rsidR="00AC709F" w:rsidRPr="005C718D">
        <w:rPr>
          <w:lang w:val="fr-FR"/>
        </w:rPr>
        <w:t>analyse des</w:t>
      </w:r>
      <w:r w:rsidRPr="005C718D">
        <w:rPr>
          <w:lang w:val="fr-FR"/>
        </w:rPr>
        <w:t xml:space="preserve"> images</w:t>
      </w:r>
      <w:r w:rsidR="00AC709F" w:rsidRPr="005C718D">
        <w:rPr>
          <w:lang w:val="fr-FR"/>
        </w:rPr>
        <w:t xml:space="preserve"> qui</w:t>
      </w:r>
      <w:r w:rsidR="007557F1" w:rsidRPr="005C718D">
        <w:rPr>
          <w:lang w:val="fr-FR"/>
        </w:rPr>
        <w:t xml:space="preserve"> </w:t>
      </w:r>
      <w:r w:rsidR="00AC709F" w:rsidRPr="005C718D">
        <w:rPr>
          <w:lang w:val="fr-FR"/>
        </w:rPr>
        <w:t>limite</w:t>
      </w:r>
      <w:r w:rsidRPr="005C718D">
        <w:rPr>
          <w:lang w:val="fr-FR"/>
        </w:rPr>
        <w:t>nt la nécessité de transférer du matériel végétal</w:t>
      </w:r>
    </w:p>
    <w:p w:rsidR="007557F1" w:rsidRPr="005C718D" w:rsidRDefault="00B50752" w:rsidP="0093731E">
      <w:pPr>
        <w:pStyle w:val="ListParagraph"/>
        <w:numPr>
          <w:ilvl w:val="0"/>
          <w:numId w:val="4"/>
        </w:numPr>
        <w:ind w:left="1134" w:hanging="567"/>
        <w:rPr>
          <w:lang w:val="fr-FR"/>
        </w:rPr>
      </w:pPr>
      <w:r w:rsidRPr="005C718D">
        <w:rPr>
          <w:lang w:val="fr-FR"/>
        </w:rPr>
        <w:t>Nombre croissant de variétés protégées et non protégées à ajout</w:t>
      </w:r>
      <w:r w:rsidR="00E64434" w:rsidRPr="005C718D">
        <w:rPr>
          <w:lang w:val="fr-FR"/>
        </w:rPr>
        <w:t>er</w:t>
      </w:r>
      <w:r w:rsidR="00E64434">
        <w:rPr>
          <w:lang w:val="fr-FR"/>
        </w:rPr>
        <w:t xml:space="preserve">.  </w:t>
      </w:r>
      <w:r w:rsidR="00E64434" w:rsidRPr="005C718D">
        <w:rPr>
          <w:lang w:val="fr-FR"/>
        </w:rPr>
        <w:t>Da</w:t>
      </w:r>
      <w:r w:rsidR="00B0133B" w:rsidRPr="005C718D">
        <w:rPr>
          <w:lang w:val="fr-FR"/>
        </w:rPr>
        <w:t>ns le secteur des fruits</w:t>
      </w:r>
      <w:r w:rsidR="007557F1" w:rsidRPr="005C718D">
        <w:rPr>
          <w:lang w:val="fr-FR"/>
        </w:rPr>
        <w:t xml:space="preserve">, </w:t>
      </w:r>
      <w:r w:rsidRPr="005C718D">
        <w:rPr>
          <w:lang w:val="fr-FR"/>
        </w:rPr>
        <w:t>les variété</w:t>
      </w:r>
      <w:r w:rsidR="007557F1" w:rsidRPr="005C718D">
        <w:rPr>
          <w:lang w:val="fr-FR"/>
        </w:rPr>
        <w:t xml:space="preserve">s </w:t>
      </w:r>
      <w:r w:rsidRPr="005C718D">
        <w:rPr>
          <w:lang w:val="fr-FR"/>
        </w:rPr>
        <w:t>sont le plus souvent créées dans le monde entier</w:t>
      </w:r>
      <w:r w:rsidR="007557F1" w:rsidRPr="005C718D">
        <w:rPr>
          <w:lang w:val="fr-FR"/>
        </w:rPr>
        <w:t xml:space="preserve"> </w:t>
      </w:r>
      <w:r w:rsidRPr="005C718D">
        <w:rPr>
          <w:lang w:val="fr-FR"/>
        </w:rPr>
        <w:t>et adaptées à</w:t>
      </w:r>
      <w:r w:rsidR="00286591" w:rsidRPr="005C718D">
        <w:rPr>
          <w:lang w:val="fr-FR"/>
        </w:rPr>
        <w:t xml:space="preserve"> être cultivées dans</w:t>
      </w:r>
      <w:r w:rsidRPr="005C718D">
        <w:rPr>
          <w:lang w:val="fr-FR"/>
        </w:rPr>
        <w:t xml:space="preserve"> un large éventail d</w:t>
      </w:r>
      <w:r w:rsidR="005C718D">
        <w:rPr>
          <w:lang w:val="fr-FR"/>
        </w:rPr>
        <w:t>’</w:t>
      </w:r>
      <w:r w:rsidRPr="005C718D">
        <w:rPr>
          <w:lang w:val="fr-FR"/>
        </w:rPr>
        <w:t>environnements différents</w:t>
      </w:r>
    </w:p>
    <w:p w:rsidR="007557F1" w:rsidRPr="005C718D" w:rsidRDefault="00AC709F" w:rsidP="0093731E">
      <w:pPr>
        <w:pStyle w:val="ListParagraph"/>
        <w:numPr>
          <w:ilvl w:val="0"/>
          <w:numId w:val="4"/>
        </w:numPr>
        <w:ind w:left="1134" w:hanging="567"/>
        <w:rPr>
          <w:lang w:val="fr-FR"/>
        </w:rPr>
      </w:pPr>
      <w:r w:rsidRPr="005C718D">
        <w:rPr>
          <w:lang w:val="fr-FR"/>
        </w:rPr>
        <w:t>Informations</w:t>
      </w:r>
      <w:r w:rsidR="00B50752" w:rsidRPr="005C718D">
        <w:rPr>
          <w:lang w:val="fr-FR"/>
        </w:rPr>
        <w:t xml:space="preserve"> difficile</w:t>
      </w:r>
      <w:r w:rsidRPr="005C718D">
        <w:rPr>
          <w:lang w:val="fr-FR"/>
        </w:rPr>
        <w:t>s</w:t>
      </w:r>
      <w:r w:rsidR="00B50752" w:rsidRPr="005C718D">
        <w:rPr>
          <w:lang w:val="fr-FR"/>
        </w:rPr>
        <w:t xml:space="preserve"> d</w:t>
      </w:r>
      <w:r w:rsidR="005C718D">
        <w:rPr>
          <w:lang w:val="fr-FR"/>
        </w:rPr>
        <w:t>’</w:t>
      </w:r>
      <w:r w:rsidR="00B50752" w:rsidRPr="005C718D">
        <w:rPr>
          <w:lang w:val="fr-FR"/>
        </w:rPr>
        <w:t>accès (en particulier si les variétés</w:t>
      </w:r>
      <w:r w:rsidR="007557F1" w:rsidRPr="005C718D">
        <w:rPr>
          <w:lang w:val="fr-FR"/>
        </w:rPr>
        <w:t xml:space="preserve"> </w:t>
      </w:r>
      <w:r w:rsidR="00B50752" w:rsidRPr="005C718D">
        <w:rPr>
          <w:lang w:val="fr-FR"/>
        </w:rPr>
        <w:t>sont enregistrées sous différentes dénominations ou</w:t>
      </w:r>
      <w:r w:rsidR="007557F1" w:rsidRPr="005C718D">
        <w:rPr>
          <w:lang w:val="fr-FR"/>
        </w:rPr>
        <w:t xml:space="preserve"> </w:t>
      </w:r>
      <w:r w:rsidR="00286591" w:rsidRPr="005C718D">
        <w:rPr>
          <w:lang w:val="fr-FR"/>
        </w:rPr>
        <w:t xml:space="preserve">différents </w:t>
      </w:r>
      <w:r w:rsidR="007557F1" w:rsidRPr="005C718D">
        <w:rPr>
          <w:lang w:val="fr-FR"/>
        </w:rPr>
        <w:t>synonym</w:t>
      </w:r>
      <w:r w:rsidR="00B50752" w:rsidRPr="005C718D">
        <w:rPr>
          <w:lang w:val="fr-FR"/>
        </w:rPr>
        <w:t>e</w:t>
      </w:r>
      <w:r w:rsidR="007557F1" w:rsidRPr="005C718D">
        <w:rPr>
          <w:lang w:val="fr-FR"/>
        </w:rPr>
        <w:t xml:space="preserve">s </w:t>
      </w:r>
      <w:r w:rsidR="00B50752" w:rsidRPr="005C718D">
        <w:rPr>
          <w:lang w:val="fr-FR"/>
        </w:rPr>
        <w:t>dans</w:t>
      </w:r>
      <w:r w:rsidR="00286591" w:rsidRPr="005C718D">
        <w:rPr>
          <w:lang w:val="fr-FR"/>
        </w:rPr>
        <w:t xml:space="preserve"> les catalogues nationaux</w:t>
      </w:r>
      <w:r w:rsidR="007557F1" w:rsidRPr="005C718D">
        <w:rPr>
          <w:lang w:val="fr-FR"/>
        </w:rPr>
        <w:t>)</w:t>
      </w:r>
    </w:p>
    <w:p w:rsidR="007557F1" w:rsidRPr="005C718D" w:rsidRDefault="007557F1" w:rsidP="007557F1">
      <w:pPr>
        <w:rPr>
          <w:lang w:val="fr-FR"/>
        </w:rPr>
      </w:pPr>
    </w:p>
    <w:p w:rsidR="007557F1" w:rsidRPr="005C718D" w:rsidRDefault="007557F1" w:rsidP="007557F1">
      <w:pPr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="00286591" w:rsidRPr="005C718D">
        <w:rPr>
          <w:lang w:val="fr-FR"/>
        </w:rPr>
        <w:tab/>
        <w:t>L</w:t>
      </w:r>
      <w:r w:rsidRPr="005C718D">
        <w:rPr>
          <w:lang w:val="fr-FR"/>
        </w:rPr>
        <w:t xml:space="preserve">e TWF </w:t>
      </w:r>
      <w:r w:rsidR="00286591" w:rsidRPr="005C718D">
        <w:rPr>
          <w:lang w:val="fr-FR"/>
        </w:rPr>
        <w:t>a rappelé les orientations figurant dans le</w:t>
      </w:r>
      <w:r w:rsidRPr="005C718D">
        <w:rPr>
          <w:lang w:val="fr-FR"/>
        </w:rPr>
        <w:t xml:space="preserve"> document TGP/4 “Constitution </w:t>
      </w:r>
      <w:r w:rsidR="00286591" w:rsidRPr="005C718D">
        <w:rPr>
          <w:lang w:val="fr-FR"/>
        </w:rPr>
        <w:t>et maintien des collections de variétés” et notamment l</w:t>
      </w:r>
      <w:r w:rsidR="005C718D">
        <w:rPr>
          <w:lang w:val="fr-FR"/>
        </w:rPr>
        <w:t>’</w:t>
      </w:r>
      <w:r w:rsidRPr="005C718D">
        <w:rPr>
          <w:lang w:val="fr-FR"/>
        </w:rPr>
        <w:t xml:space="preserve">importance </w:t>
      </w:r>
      <w:r w:rsidR="00286591" w:rsidRPr="005C718D">
        <w:rPr>
          <w:lang w:val="fr-FR"/>
        </w:rPr>
        <w:t>de la coopé</w:t>
      </w:r>
      <w:r w:rsidRPr="005C718D">
        <w:rPr>
          <w:lang w:val="fr-FR"/>
        </w:rPr>
        <w:t>ration,</w:t>
      </w:r>
      <w:r w:rsidR="00286591" w:rsidRPr="005C718D">
        <w:rPr>
          <w:lang w:val="fr-FR"/>
        </w:rPr>
        <w:t xml:space="preserve"> dont le texte est reproduit ci</w:t>
      </w:r>
      <w:r w:rsidR="005C718D">
        <w:rPr>
          <w:lang w:val="fr-FR"/>
        </w:rPr>
        <w:t>-</w:t>
      </w:r>
      <w:r w:rsidR="00286591" w:rsidRPr="005C718D">
        <w:rPr>
          <w:lang w:val="fr-FR"/>
        </w:rPr>
        <w:t>après</w:t>
      </w:r>
      <w:r w:rsidR="005C718D">
        <w:rPr>
          <w:lang w:val="fr-FR"/>
        </w:rPr>
        <w:t> :</w:t>
      </w:r>
    </w:p>
    <w:p w:rsidR="007557F1" w:rsidRPr="005C718D" w:rsidRDefault="007557F1" w:rsidP="007557F1">
      <w:pPr>
        <w:rPr>
          <w:lang w:val="fr-FR"/>
        </w:rPr>
      </w:pPr>
    </w:p>
    <w:p w:rsidR="007557F1" w:rsidRPr="005C718D" w:rsidRDefault="007557F1" w:rsidP="007557F1">
      <w:pPr>
        <w:ind w:left="567" w:right="567"/>
        <w:rPr>
          <w:sz w:val="18"/>
          <w:lang w:val="fr-FR"/>
        </w:rPr>
      </w:pPr>
      <w:proofErr w:type="gramStart"/>
      <w:r w:rsidRPr="005C718D">
        <w:rPr>
          <w:sz w:val="18"/>
          <w:lang w:val="fr-FR"/>
        </w:rPr>
        <w:t>“[</w:t>
      </w:r>
      <w:proofErr w:type="gramEnd"/>
      <w:r w:rsidRPr="005C718D">
        <w:rPr>
          <w:sz w:val="18"/>
          <w:lang w:val="fr-FR"/>
        </w:rPr>
        <w:t xml:space="preserve">…] </w:t>
      </w:r>
      <w:r w:rsidRPr="005C718D">
        <w:rPr>
          <w:sz w:val="18"/>
          <w:u w:val="single"/>
          <w:lang w:val="fr-FR"/>
        </w:rPr>
        <w:t xml:space="preserve">3.1.2.2 Sources </w:t>
      </w:r>
      <w:r w:rsidR="00286591" w:rsidRPr="005C718D">
        <w:rPr>
          <w:sz w:val="18"/>
          <w:u w:val="single"/>
          <w:lang w:val="fr-FR"/>
        </w:rPr>
        <w:t>de matériel végétal vivant</w:t>
      </w:r>
    </w:p>
    <w:p w:rsidR="007557F1" w:rsidRPr="005C718D" w:rsidRDefault="007557F1" w:rsidP="007557F1">
      <w:pPr>
        <w:ind w:left="567" w:right="567"/>
        <w:rPr>
          <w:sz w:val="18"/>
          <w:lang w:val="fr-FR"/>
        </w:rPr>
      </w:pPr>
    </w:p>
    <w:p w:rsidR="007557F1" w:rsidRPr="005C718D" w:rsidRDefault="007557F1" w:rsidP="007557F1">
      <w:pPr>
        <w:ind w:left="567" w:right="567"/>
        <w:rPr>
          <w:sz w:val="18"/>
          <w:lang w:val="fr-FR"/>
        </w:rPr>
      </w:pPr>
      <w:r w:rsidRPr="005C718D">
        <w:rPr>
          <w:sz w:val="18"/>
          <w:lang w:val="fr-FR"/>
        </w:rPr>
        <w:t xml:space="preserve">3.1.2.2.4 </w:t>
      </w:r>
      <w:r w:rsidR="00286591" w:rsidRPr="005C718D">
        <w:rPr>
          <w:sz w:val="18"/>
          <w:lang w:val="fr-FR"/>
        </w:rPr>
        <w:t xml:space="preserve">Les obtenteurs sont également une source importante de matériel végétal vivant et la coopération avec eux est encouragée (voir la </w:t>
      </w:r>
      <w:r w:rsidR="005C718D" w:rsidRPr="005C718D">
        <w:rPr>
          <w:sz w:val="18"/>
          <w:lang w:val="fr-FR"/>
        </w:rPr>
        <w:t>section</w:t>
      </w:r>
      <w:r w:rsidR="005C718D">
        <w:rPr>
          <w:sz w:val="18"/>
          <w:lang w:val="fr-FR"/>
        </w:rPr>
        <w:t> </w:t>
      </w:r>
      <w:r w:rsidR="005C718D" w:rsidRPr="005C718D">
        <w:rPr>
          <w:sz w:val="18"/>
          <w:lang w:val="fr-FR"/>
        </w:rPr>
        <w:t>3</w:t>
      </w:r>
      <w:r w:rsidR="00286591" w:rsidRPr="005C718D">
        <w:rPr>
          <w:sz w:val="18"/>
          <w:lang w:val="fr-FR"/>
        </w:rPr>
        <w:t>.2.3</w:t>
      </w:r>
      <w:r w:rsidRPr="005C718D">
        <w:rPr>
          <w:sz w:val="18"/>
          <w:lang w:val="fr-FR"/>
        </w:rPr>
        <w:t xml:space="preserve">). </w:t>
      </w:r>
      <w:r w:rsidR="00286591" w:rsidRPr="005C718D">
        <w:rPr>
          <w:sz w:val="18"/>
          <w:lang w:val="fr-FR"/>
        </w:rPr>
        <w:t xml:space="preserve"> En particulier s</w:t>
      </w:r>
      <w:r w:rsidR="005C718D">
        <w:rPr>
          <w:sz w:val="18"/>
          <w:lang w:val="fr-FR"/>
        </w:rPr>
        <w:t>’</w:t>
      </w:r>
      <w:r w:rsidR="00286591" w:rsidRPr="005C718D">
        <w:rPr>
          <w:sz w:val="18"/>
          <w:lang w:val="fr-FR"/>
        </w:rPr>
        <w:t>agissant des variétés protégées, les obtenteurs ont une motivation particulière à maintenir leurs variétés parce que le défaut de maintien d</w:t>
      </w:r>
      <w:r w:rsidR="005C718D">
        <w:rPr>
          <w:sz w:val="18"/>
          <w:lang w:val="fr-FR"/>
        </w:rPr>
        <w:t>’</w:t>
      </w:r>
      <w:r w:rsidR="00286591" w:rsidRPr="005C718D">
        <w:rPr>
          <w:sz w:val="18"/>
          <w:lang w:val="fr-FR"/>
        </w:rPr>
        <w:t>une variété peut entraîner la déchéance du droit d</w:t>
      </w:r>
      <w:r w:rsidR="005C718D">
        <w:rPr>
          <w:sz w:val="18"/>
          <w:lang w:val="fr-FR"/>
        </w:rPr>
        <w:t>’</w:t>
      </w:r>
      <w:r w:rsidR="00286591" w:rsidRPr="005C718D">
        <w:rPr>
          <w:sz w:val="18"/>
          <w:lang w:val="fr-FR"/>
        </w:rPr>
        <w:t>obtenteur</w:t>
      </w:r>
      <w:r w:rsidRPr="005C718D">
        <w:rPr>
          <w:sz w:val="18"/>
          <w:lang w:val="fr-FR"/>
        </w:rPr>
        <w:t xml:space="preserve">. </w:t>
      </w:r>
      <w:r w:rsidR="0055585E">
        <w:rPr>
          <w:sz w:val="18"/>
          <w:lang w:val="fr-FR"/>
        </w:rPr>
        <w:t xml:space="preserve"> </w:t>
      </w:r>
      <w:r w:rsidRPr="005C718D">
        <w:rPr>
          <w:sz w:val="18"/>
          <w:lang w:val="fr-FR"/>
        </w:rPr>
        <w:t>[…]</w:t>
      </w:r>
    </w:p>
    <w:p w:rsidR="007557F1" w:rsidRPr="005C718D" w:rsidRDefault="007557F1" w:rsidP="007557F1">
      <w:pPr>
        <w:ind w:left="567" w:right="567"/>
        <w:rPr>
          <w:sz w:val="18"/>
          <w:lang w:val="fr-FR"/>
        </w:rPr>
      </w:pPr>
    </w:p>
    <w:p w:rsidR="007557F1" w:rsidRPr="005C718D" w:rsidRDefault="00286591" w:rsidP="00897E98">
      <w:pPr>
        <w:keepNext/>
        <w:ind w:left="567" w:right="567"/>
        <w:rPr>
          <w:sz w:val="18"/>
          <w:u w:val="single"/>
          <w:lang w:val="fr-FR"/>
        </w:rPr>
      </w:pPr>
      <w:r w:rsidRPr="005C718D">
        <w:rPr>
          <w:sz w:val="18"/>
          <w:u w:val="single"/>
          <w:lang w:val="fr-FR"/>
        </w:rPr>
        <w:t>3.2.2 Coopé</w:t>
      </w:r>
      <w:r w:rsidR="007557F1" w:rsidRPr="005C718D">
        <w:rPr>
          <w:sz w:val="18"/>
          <w:u w:val="single"/>
          <w:lang w:val="fr-FR"/>
        </w:rPr>
        <w:t xml:space="preserve">ration </w:t>
      </w:r>
      <w:r w:rsidRPr="005C718D">
        <w:rPr>
          <w:sz w:val="18"/>
          <w:u w:val="single"/>
          <w:lang w:val="fr-FR"/>
        </w:rPr>
        <w:t>entre services</w:t>
      </w:r>
    </w:p>
    <w:p w:rsidR="007557F1" w:rsidRPr="005C718D" w:rsidRDefault="007557F1" w:rsidP="00897E98">
      <w:pPr>
        <w:keepNext/>
        <w:ind w:left="567" w:right="567"/>
        <w:rPr>
          <w:sz w:val="18"/>
          <w:u w:val="single"/>
          <w:lang w:val="fr-FR"/>
        </w:rPr>
      </w:pPr>
    </w:p>
    <w:p w:rsidR="007557F1" w:rsidRPr="005C718D" w:rsidRDefault="007557F1" w:rsidP="00897E98">
      <w:pPr>
        <w:keepNext/>
        <w:ind w:left="567" w:right="567"/>
        <w:rPr>
          <w:sz w:val="18"/>
          <w:lang w:val="fr-FR"/>
        </w:rPr>
      </w:pPr>
      <w:r w:rsidRPr="005C718D">
        <w:rPr>
          <w:sz w:val="18"/>
          <w:lang w:val="fr-FR"/>
        </w:rPr>
        <w:t xml:space="preserve">3.2.2.1 </w:t>
      </w:r>
      <w:r w:rsidR="00286591" w:rsidRPr="005C718D">
        <w:rPr>
          <w:sz w:val="18"/>
          <w:lang w:val="fr-FR"/>
        </w:rPr>
        <w:t>La disponibilité d</w:t>
      </w:r>
      <w:r w:rsidR="005C718D">
        <w:rPr>
          <w:sz w:val="18"/>
          <w:lang w:val="fr-FR"/>
        </w:rPr>
        <w:t>’</w:t>
      </w:r>
      <w:r w:rsidR="00286591" w:rsidRPr="005C718D">
        <w:rPr>
          <w:sz w:val="18"/>
          <w:lang w:val="fr-FR"/>
        </w:rPr>
        <w:t>informations sur les variétés notoirement connues est une condition indispensable à la création de collections de variét</w:t>
      </w:r>
      <w:r w:rsidR="00E64434" w:rsidRPr="005C718D">
        <w:rPr>
          <w:sz w:val="18"/>
          <w:lang w:val="fr-FR"/>
        </w:rPr>
        <w:t>és</w:t>
      </w:r>
      <w:r w:rsidR="00E64434">
        <w:rPr>
          <w:sz w:val="18"/>
          <w:lang w:val="fr-FR"/>
        </w:rPr>
        <w:t xml:space="preserve">.  </w:t>
      </w:r>
      <w:r w:rsidR="00E64434" w:rsidRPr="005C718D">
        <w:rPr>
          <w:sz w:val="18"/>
          <w:lang w:val="fr-FR"/>
        </w:rPr>
        <w:t>L</w:t>
      </w:r>
      <w:r w:rsidR="00E64434">
        <w:rPr>
          <w:sz w:val="18"/>
          <w:lang w:val="fr-FR"/>
        </w:rPr>
        <w:t>’</w:t>
      </w:r>
      <w:r w:rsidR="00E64434" w:rsidRPr="005C718D">
        <w:rPr>
          <w:sz w:val="18"/>
          <w:lang w:val="fr-FR"/>
        </w:rPr>
        <w:t>é</w:t>
      </w:r>
      <w:r w:rsidR="00286591" w:rsidRPr="005C718D">
        <w:rPr>
          <w:sz w:val="18"/>
          <w:lang w:val="fr-FR"/>
        </w:rPr>
        <w:t>change d</w:t>
      </w:r>
      <w:r w:rsidR="005C718D">
        <w:rPr>
          <w:sz w:val="18"/>
          <w:lang w:val="fr-FR"/>
        </w:rPr>
        <w:t>’</w:t>
      </w:r>
      <w:r w:rsidR="00286591" w:rsidRPr="005C718D">
        <w:rPr>
          <w:sz w:val="18"/>
          <w:lang w:val="fr-FR"/>
        </w:rPr>
        <w:t>informations entre services, obtenteurs, jardins botaniques, banques de gènes, ou entre toute autre source d</w:t>
      </w:r>
      <w:r w:rsidR="005C718D">
        <w:rPr>
          <w:sz w:val="18"/>
          <w:lang w:val="fr-FR"/>
        </w:rPr>
        <w:t>’</w:t>
      </w:r>
      <w:r w:rsidR="00286591" w:rsidRPr="005C718D">
        <w:rPr>
          <w:sz w:val="18"/>
          <w:lang w:val="fr-FR"/>
        </w:rPr>
        <w:t>informations possible est très important en vue de l</w:t>
      </w:r>
      <w:r w:rsidR="005C718D">
        <w:rPr>
          <w:sz w:val="18"/>
          <w:lang w:val="fr-FR"/>
        </w:rPr>
        <w:t>’</w:t>
      </w:r>
      <w:r w:rsidR="00286591" w:rsidRPr="005C718D">
        <w:rPr>
          <w:sz w:val="18"/>
          <w:lang w:val="fr-FR"/>
        </w:rPr>
        <w:t xml:space="preserve">établissement de la liste des variétés à faire figurer dans une collection (voir la </w:t>
      </w:r>
      <w:r w:rsidR="005C718D" w:rsidRPr="005C718D">
        <w:rPr>
          <w:sz w:val="18"/>
          <w:lang w:val="fr-FR"/>
        </w:rPr>
        <w:t>section</w:t>
      </w:r>
      <w:r w:rsidR="005C718D">
        <w:rPr>
          <w:sz w:val="18"/>
          <w:lang w:val="fr-FR"/>
        </w:rPr>
        <w:t> </w:t>
      </w:r>
      <w:r w:rsidR="005C718D" w:rsidRPr="005C718D">
        <w:rPr>
          <w:sz w:val="18"/>
          <w:lang w:val="fr-FR"/>
        </w:rPr>
        <w:t>2</w:t>
      </w:r>
      <w:r w:rsidR="00286591" w:rsidRPr="005C718D">
        <w:rPr>
          <w:sz w:val="18"/>
          <w:lang w:val="fr-FR"/>
        </w:rPr>
        <w:t>.2</w:t>
      </w:r>
      <w:r w:rsidRPr="005C718D">
        <w:rPr>
          <w:sz w:val="18"/>
          <w:lang w:val="fr-FR"/>
        </w:rPr>
        <w:t xml:space="preserve">). </w:t>
      </w:r>
      <w:r w:rsidR="0055585E">
        <w:rPr>
          <w:sz w:val="18"/>
          <w:lang w:val="fr-FR"/>
        </w:rPr>
        <w:t xml:space="preserve"> </w:t>
      </w:r>
      <w:r w:rsidRPr="005C718D">
        <w:rPr>
          <w:sz w:val="18"/>
          <w:lang w:val="fr-FR"/>
        </w:rPr>
        <w:t>[…]</w:t>
      </w:r>
    </w:p>
    <w:p w:rsidR="007557F1" w:rsidRPr="005C718D" w:rsidRDefault="007557F1" w:rsidP="007557F1">
      <w:pPr>
        <w:ind w:left="567" w:right="567"/>
        <w:rPr>
          <w:sz w:val="18"/>
          <w:lang w:val="fr-FR"/>
        </w:rPr>
      </w:pPr>
    </w:p>
    <w:p w:rsidR="007557F1" w:rsidRPr="005C718D" w:rsidRDefault="00286591" w:rsidP="007557F1">
      <w:pPr>
        <w:ind w:left="567" w:right="567"/>
        <w:rPr>
          <w:sz w:val="18"/>
          <w:u w:val="single"/>
          <w:lang w:val="fr-FR"/>
        </w:rPr>
      </w:pPr>
      <w:r w:rsidRPr="005C718D">
        <w:rPr>
          <w:sz w:val="18"/>
          <w:u w:val="single"/>
          <w:lang w:val="fr-FR"/>
        </w:rPr>
        <w:t>3.2.3 Coopé</w:t>
      </w:r>
      <w:r w:rsidR="007557F1" w:rsidRPr="005C718D">
        <w:rPr>
          <w:sz w:val="18"/>
          <w:u w:val="single"/>
          <w:lang w:val="fr-FR"/>
        </w:rPr>
        <w:t xml:space="preserve">ration </w:t>
      </w:r>
      <w:r w:rsidRPr="005C718D">
        <w:rPr>
          <w:sz w:val="18"/>
          <w:u w:val="single"/>
          <w:lang w:val="fr-FR"/>
        </w:rPr>
        <w:t>avec les obtenteurs</w:t>
      </w:r>
    </w:p>
    <w:p w:rsidR="007557F1" w:rsidRPr="005C718D" w:rsidRDefault="007557F1" w:rsidP="007557F1">
      <w:pPr>
        <w:ind w:left="567" w:right="567"/>
        <w:rPr>
          <w:sz w:val="18"/>
          <w:u w:val="single"/>
          <w:lang w:val="fr-FR"/>
        </w:rPr>
      </w:pPr>
    </w:p>
    <w:p w:rsidR="007557F1" w:rsidRPr="005C718D" w:rsidRDefault="007557F1" w:rsidP="007557F1">
      <w:pPr>
        <w:ind w:left="567" w:right="567"/>
        <w:rPr>
          <w:sz w:val="18"/>
          <w:lang w:val="fr-FR"/>
        </w:rPr>
      </w:pPr>
      <w:r w:rsidRPr="005C718D">
        <w:rPr>
          <w:sz w:val="18"/>
          <w:lang w:val="fr-FR"/>
        </w:rPr>
        <w:t xml:space="preserve">3.2.3.1 </w:t>
      </w:r>
      <w:r w:rsidR="00286591" w:rsidRPr="005C718D">
        <w:rPr>
          <w:sz w:val="18"/>
          <w:lang w:val="fr-FR"/>
        </w:rPr>
        <w:t>Grâce à la coopération, les services peuvent créer et maintenir les collections de variétés de façon plus efficace, d</w:t>
      </w:r>
      <w:r w:rsidR="005C718D">
        <w:rPr>
          <w:sz w:val="18"/>
          <w:lang w:val="fr-FR"/>
        </w:rPr>
        <w:t>’</w:t>
      </w:r>
      <w:r w:rsidR="00286591" w:rsidRPr="005C718D">
        <w:rPr>
          <w:sz w:val="18"/>
          <w:lang w:val="fr-FR"/>
        </w:rPr>
        <w:t>où un renforcement des droits des obtenteurs</w:t>
      </w:r>
      <w:r w:rsidRPr="005C718D">
        <w:rPr>
          <w:sz w:val="18"/>
          <w:lang w:val="fr-FR"/>
        </w:rPr>
        <w:t>.</w:t>
      </w:r>
    </w:p>
    <w:p w:rsidR="007557F1" w:rsidRPr="005C718D" w:rsidRDefault="007557F1" w:rsidP="007557F1">
      <w:pPr>
        <w:ind w:left="567" w:right="567"/>
        <w:rPr>
          <w:sz w:val="18"/>
          <w:lang w:val="fr-FR"/>
        </w:rPr>
      </w:pPr>
    </w:p>
    <w:p w:rsidR="007557F1" w:rsidRPr="005C718D" w:rsidRDefault="007557F1" w:rsidP="007557F1">
      <w:pPr>
        <w:ind w:left="567" w:right="567"/>
        <w:rPr>
          <w:sz w:val="18"/>
          <w:lang w:val="fr-FR"/>
        </w:rPr>
      </w:pPr>
      <w:r w:rsidRPr="005C718D">
        <w:rPr>
          <w:sz w:val="18"/>
          <w:lang w:val="fr-FR"/>
        </w:rPr>
        <w:t xml:space="preserve">3.2.3.2 </w:t>
      </w:r>
      <w:r w:rsidR="00286591" w:rsidRPr="005C718D">
        <w:rPr>
          <w:sz w:val="18"/>
          <w:lang w:val="fr-FR"/>
        </w:rPr>
        <w:t>Les obtenteurs sont tout particulièrement encouragés à coopérer en ce qui concerne la fourniture de matériel végétal vivant car il est important, pour la qualité de l</w:t>
      </w:r>
      <w:r w:rsidR="005C718D">
        <w:rPr>
          <w:sz w:val="18"/>
          <w:lang w:val="fr-FR"/>
        </w:rPr>
        <w:t>’</w:t>
      </w:r>
      <w:r w:rsidR="00286591" w:rsidRPr="005C718D">
        <w:rPr>
          <w:sz w:val="18"/>
          <w:lang w:val="fr-FR"/>
        </w:rPr>
        <w:t>examen de la distinction et, par conséquent, pour la qualité de la protection d</w:t>
      </w:r>
      <w:r w:rsidR="005C718D">
        <w:rPr>
          <w:sz w:val="18"/>
          <w:lang w:val="fr-FR"/>
        </w:rPr>
        <w:t>’</w:t>
      </w:r>
      <w:r w:rsidR="00286591" w:rsidRPr="005C718D">
        <w:rPr>
          <w:sz w:val="18"/>
          <w:lang w:val="fr-FR"/>
        </w:rPr>
        <w:t>une variété, d</w:t>
      </w:r>
      <w:r w:rsidR="005C718D">
        <w:rPr>
          <w:sz w:val="18"/>
          <w:lang w:val="fr-FR"/>
        </w:rPr>
        <w:t>’</w:t>
      </w:r>
      <w:r w:rsidR="00286591" w:rsidRPr="005C718D">
        <w:rPr>
          <w:sz w:val="18"/>
          <w:lang w:val="fr-FR"/>
        </w:rPr>
        <w:t>inclure des variétés dans les essais en culture et dans d</w:t>
      </w:r>
      <w:r w:rsidR="005C718D">
        <w:rPr>
          <w:sz w:val="18"/>
          <w:lang w:val="fr-FR"/>
        </w:rPr>
        <w:t>’</w:t>
      </w:r>
      <w:r w:rsidR="00286591" w:rsidRPr="005C718D">
        <w:rPr>
          <w:sz w:val="18"/>
          <w:lang w:val="fr-FR"/>
        </w:rPr>
        <w:t>autres essais</w:t>
      </w:r>
      <w:r w:rsidRPr="005C718D">
        <w:rPr>
          <w:sz w:val="18"/>
          <w:lang w:val="fr-FR"/>
        </w:rPr>
        <w:t>.</w:t>
      </w:r>
    </w:p>
    <w:p w:rsidR="007557F1" w:rsidRPr="005C718D" w:rsidRDefault="007557F1" w:rsidP="007557F1">
      <w:pPr>
        <w:ind w:left="567" w:right="567"/>
        <w:rPr>
          <w:sz w:val="18"/>
          <w:lang w:val="fr-FR"/>
        </w:rPr>
      </w:pPr>
    </w:p>
    <w:p w:rsidR="007557F1" w:rsidRPr="005C718D" w:rsidRDefault="007557F1" w:rsidP="007557F1">
      <w:pPr>
        <w:ind w:left="567" w:right="567"/>
        <w:rPr>
          <w:sz w:val="18"/>
          <w:lang w:val="fr-FR"/>
        </w:rPr>
      </w:pPr>
      <w:r w:rsidRPr="005C718D">
        <w:rPr>
          <w:sz w:val="18"/>
          <w:lang w:val="fr-FR"/>
        </w:rPr>
        <w:t xml:space="preserve">3.2.3.3 </w:t>
      </w:r>
      <w:r w:rsidR="00286591" w:rsidRPr="005C718D">
        <w:rPr>
          <w:sz w:val="18"/>
          <w:lang w:val="fr-FR"/>
        </w:rPr>
        <w:t>La coopération avec les obtenteurs peut inclure, par exemple, le recours à des obtenteurs ou des associations d</w:t>
      </w:r>
      <w:r w:rsidR="005C718D">
        <w:rPr>
          <w:sz w:val="18"/>
          <w:lang w:val="fr-FR"/>
        </w:rPr>
        <w:t>’</w:t>
      </w:r>
      <w:r w:rsidR="00286591" w:rsidRPr="005C718D">
        <w:rPr>
          <w:sz w:val="18"/>
          <w:lang w:val="fr-FR"/>
        </w:rPr>
        <w:t>obtenteurs qui maintiennent une collection de matériel végétal vivant mise à la disposition du service d</w:t>
      </w:r>
      <w:r w:rsidR="005C718D">
        <w:rPr>
          <w:sz w:val="18"/>
          <w:lang w:val="fr-FR"/>
        </w:rPr>
        <w:t>’</w:t>
      </w:r>
      <w:r w:rsidR="00286591" w:rsidRPr="005C718D">
        <w:rPr>
          <w:sz w:val="18"/>
          <w:lang w:val="fr-FR"/>
        </w:rPr>
        <w:t>examen dans des conditions définies</w:t>
      </w:r>
      <w:r w:rsidRPr="005C718D">
        <w:rPr>
          <w:sz w:val="18"/>
          <w:lang w:val="fr-FR"/>
        </w:rPr>
        <w:t>.”</w:t>
      </w:r>
    </w:p>
    <w:p w:rsidR="007557F1" w:rsidRPr="005C718D" w:rsidRDefault="007557F1" w:rsidP="007557F1">
      <w:pPr>
        <w:ind w:left="709" w:right="992"/>
        <w:rPr>
          <w:sz w:val="18"/>
          <w:lang w:val="fr-FR"/>
        </w:rPr>
      </w:pPr>
    </w:p>
    <w:p w:rsidR="007557F1" w:rsidRPr="005C718D" w:rsidRDefault="007557F1" w:rsidP="007557F1">
      <w:pPr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="00F239D2" w:rsidRPr="005C718D">
        <w:rPr>
          <w:lang w:val="fr-FR"/>
        </w:rPr>
        <w:tab/>
        <w:t>L</w:t>
      </w:r>
      <w:r w:rsidRPr="005C718D">
        <w:rPr>
          <w:lang w:val="fr-FR"/>
        </w:rPr>
        <w:t xml:space="preserve">e TWF </w:t>
      </w:r>
      <w:r w:rsidR="008A4BCC" w:rsidRPr="005C718D">
        <w:rPr>
          <w:lang w:val="fr-FR"/>
        </w:rPr>
        <w:t>s</w:t>
      </w:r>
      <w:r w:rsidR="005C718D">
        <w:rPr>
          <w:lang w:val="fr-FR"/>
        </w:rPr>
        <w:t>’</w:t>
      </w:r>
      <w:r w:rsidR="008A4BCC" w:rsidRPr="005C718D">
        <w:rPr>
          <w:lang w:val="fr-FR"/>
        </w:rPr>
        <w:t>est accordé à reconnaître</w:t>
      </w:r>
      <w:r w:rsidR="00995668" w:rsidRPr="005C718D">
        <w:rPr>
          <w:lang w:val="fr-FR"/>
        </w:rPr>
        <w:t xml:space="preserve"> que les obtenteurs constitu</w:t>
      </w:r>
      <w:r w:rsidR="008A4BCC" w:rsidRPr="005C718D">
        <w:rPr>
          <w:lang w:val="fr-FR"/>
        </w:rPr>
        <w:t>ai</w:t>
      </w:r>
      <w:r w:rsidR="00995668" w:rsidRPr="005C718D">
        <w:rPr>
          <w:lang w:val="fr-FR"/>
        </w:rPr>
        <w:t>ent une</w:t>
      </w:r>
      <w:r w:rsidRPr="005C718D">
        <w:rPr>
          <w:lang w:val="fr-FR"/>
        </w:rPr>
        <w:t xml:space="preserve"> source</w:t>
      </w:r>
      <w:r w:rsidR="00995668" w:rsidRPr="005C718D">
        <w:rPr>
          <w:lang w:val="fr-FR"/>
        </w:rPr>
        <w:t xml:space="preserve"> importante</w:t>
      </w:r>
      <w:r w:rsidRPr="005C718D">
        <w:rPr>
          <w:lang w:val="fr-FR"/>
        </w:rPr>
        <w:t xml:space="preserve"> </w:t>
      </w:r>
      <w:r w:rsidR="00995668" w:rsidRPr="005C718D">
        <w:rPr>
          <w:lang w:val="fr-FR"/>
        </w:rPr>
        <w:t>d</w:t>
      </w:r>
      <w:r w:rsidR="005C718D">
        <w:rPr>
          <w:lang w:val="fr-FR"/>
        </w:rPr>
        <w:t>’</w:t>
      </w:r>
      <w:r w:rsidRPr="005C718D">
        <w:rPr>
          <w:lang w:val="fr-FR"/>
        </w:rPr>
        <w:t>information</w:t>
      </w:r>
      <w:r w:rsidR="00995668" w:rsidRPr="005C718D">
        <w:rPr>
          <w:lang w:val="fr-FR"/>
        </w:rPr>
        <w:t>s</w:t>
      </w:r>
      <w:r w:rsidRPr="005C718D">
        <w:rPr>
          <w:lang w:val="fr-FR"/>
        </w:rPr>
        <w:t xml:space="preserve"> </w:t>
      </w:r>
      <w:r w:rsidR="00995668" w:rsidRPr="005C718D">
        <w:rPr>
          <w:lang w:val="fr-FR"/>
        </w:rPr>
        <w:t>et de matériel végétal vivant et qu</w:t>
      </w:r>
      <w:r w:rsidR="005C718D">
        <w:rPr>
          <w:lang w:val="fr-FR"/>
        </w:rPr>
        <w:t>’</w:t>
      </w:r>
      <w:r w:rsidR="00995668" w:rsidRPr="005C718D">
        <w:rPr>
          <w:lang w:val="fr-FR"/>
        </w:rPr>
        <w:t>il était dans l</w:t>
      </w:r>
      <w:r w:rsidR="005C718D">
        <w:rPr>
          <w:lang w:val="fr-FR"/>
        </w:rPr>
        <w:t>’</w:t>
      </w:r>
      <w:r w:rsidR="00995668" w:rsidRPr="005C718D">
        <w:rPr>
          <w:lang w:val="fr-FR"/>
        </w:rPr>
        <w:t>intérêt des obtenteurs de coopérer à la création et au maintien des collections de variét</w:t>
      </w:r>
      <w:r w:rsidR="00E64434" w:rsidRPr="005C718D">
        <w:rPr>
          <w:lang w:val="fr-FR"/>
        </w:rPr>
        <w:t>és</w:t>
      </w:r>
      <w:r w:rsidR="00E64434">
        <w:rPr>
          <w:lang w:val="fr-FR"/>
        </w:rPr>
        <w:t xml:space="preserve">.  </w:t>
      </w:r>
      <w:r w:rsidR="00E64434" w:rsidRPr="005C718D">
        <w:rPr>
          <w:lang w:val="fr-FR"/>
        </w:rPr>
        <w:t>Le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TWF</w:t>
      </w:r>
      <w:r w:rsidRPr="005C718D">
        <w:rPr>
          <w:lang w:val="fr-FR"/>
        </w:rPr>
        <w:t xml:space="preserve"> </w:t>
      </w:r>
      <w:r w:rsidR="00995668" w:rsidRPr="005C718D">
        <w:rPr>
          <w:lang w:val="fr-FR"/>
        </w:rPr>
        <w:t>a pris note des observations formulées par un représentant</w:t>
      </w:r>
      <w:r w:rsidRPr="005C718D">
        <w:rPr>
          <w:lang w:val="fr-FR"/>
        </w:rPr>
        <w:t xml:space="preserve"> </w:t>
      </w:r>
      <w:r w:rsidR="00995668" w:rsidRPr="005C718D">
        <w:rPr>
          <w:lang w:val="fr-FR"/>
        </w:rPr>
        <w:t>de</w:t>
      </w:r>
      <w:r w:rsidR="005C718D" w:rsidRPr="005C718D">
        <w:rPr>
          <w:lang w:val="fr-FR"/>
        </w:rPr>
        <w:t xml:space="preserve"> la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CIO</w:t>
      </w:r>
      <w:r w:rsidRPr="005C718D">
        <w:rPr>
          <w:lang w:val="fr-FR"/>
        </w:rPr>
        <w:t xml:space="preserve">PORA </w:t>
      </w:r>
      <w:r w:rsidR="00995668" w:rsidRPr="005C718D">
        <w:rPr>
          <w:lang w:val="fr-FR"/>
        </w:rPr>
        <w:t>sur</w:t>
      </w:r>
      <w:r w:rsidRPr="005C718D">
        <w:rPr>
          <w:lang w:val="fr-FR"/>
        </w:rPr>
        <w:t xml:space="preserve"> </w:t>
      </w:r>
      <w:r w:rsidR="00995668" w:rsidRPr="005C718D">
        <w:rPr>
          <w:lang w:val="fr-FR"/>
        </w:rPr>
        <w:t>la nécessité</w:t>
      </w:r>
      <w:r w:rsidRPr="005C718D">
        <w:rPr>
          <w:lang w:val="fr-FR"/>
        </w:rPr>
        <w:t xml:space="preserve"> </w:t>
      </w:r>
      <w:r w:rsidR="00995668" w:rsidRPr="005C718D">
        <w:rPr>
          <w:lang w:val="fr-FR"/>
        </w:rPr>
        <w:t>de protéger les intérêts des obtenteurs</w:t>
      </w:r>
      <w:r w:rsidRPr="005C718D">
        <w:rPr>
          <w:lang w:val="fr-FR"/>
        </w:rPr>
        <w:t xml:space="preserve"> </w:t>
      </w:r>
      <w:r w:rsidR="00995668" w:rsidRPr="005C718D">
        <w:rPr>
          <w:lang w:val="fr-FR"/>
        </w:rPr>
        <w:t>lorsque ceux</w:t>
      </w:r>
      <w:r w:rsidR="005C718D">
        <w:rPr>
          <w:lang w:val="fr-FR"/>
        </w:rPr>
        <w:t>-</w:t>
      </w:r>
      <w:r w:rsidR="00995668" w:rsidRPr="005C718D">
        <w:rPr>
          <w:lang w:val="fr-FR"/>
        </w:rPr>
        <w:t>ci fournissent du matériel végét</w:t>
      </w:r>
      <w:r w:rsidR="00E64434" w:rsidRPr="005C718D">
        <w:rPr>
          <w:lang w:val="fr-FR"/>
        </w:rPr>
        <w:t>al</w:t>
      </w:r>
      <w:r w:rsidR="00E64434">
        <w:rPr>
          <w:lang w:val="fr-FR"/>
        </w:rPr>
        <w:t xml:space="preserve">.  </w:t>
      </w:r>
      <w:r w:rsidR="00E64434" w:rsidRPr="005C718D">
        <w:rPr>
          <w:lang w:val="fr-FR"/>
        </w:rPr>
        <w:t>Le</w:t>
      </w:r>
      <w:r w:rsidR="00E25A01" w:rsidRPr="005C718D">
        <w:rPr>
          <w:lang w:val="fr-FR"/>
        </w:rPr>
        <w:t>s débats ont également porté sur le risque perçu par les obtenteurs lorsque les services d</w:t>
      </w:r>
      <w:r w:rsidR="005C718D">
        <w:rPr>
          <w:lang w:val="fr-FR"/>
        </w:rPr>
        <w:t>’</w:t>
      </w:r>
      <w:r w:rsidR="00E25A01" w:rsidRPr="005C718D">
        <w:rPr>
          <w:lang w:val="fr-FR"/>
        </w:rPr>
        <w:t xml:space="preserve">examen </w:t>
      </w:r>
      <w:r w:rsidR="008A4BCC" w:rsidRPr="005C718D">
        <w:rPr>
          <w:lang w:val="fr-FR"/>
        </w:rPr>
        <w:t>opèrent des activités</w:t>
      </w:r>
      <w:r w:rsidR="00E25A01" w:rsidRPr="005C718D">
        <w:rPr>
          <w:lang w:val="fr-FR"/>
        </w:rPr>
        <w:t xml:space="preserve"> de sélection</w:t>
      </w:r>
      <w:r w:rsidRPr="005C718D">
        <w:rPr>
          <w:lang w:val="fr-FR"/>
        </w:rPr>
        <w:t xml:space="preserve"> </w:t>
      </w:r>
      <w:r w:rsidR="00E25A01" w:rsidRPr="005C718D">
        <w:rPr>
          <w:lang w:val="fr-FR"/>
        </w:rPr>
        <w:t>et sur les moyens de garantir que les collections de matériel vivant ne seront pas utilisées à des fins de sélecti</w:t>
      </w:r>
      <w:r w:rsidR="00E64434" w:rsidRPr="005C718D">
        <w:rPr>
          <w:lang w:val="fr-FR"/>
        </w:rPr>
        <w:t>on</w:t>
      </w:r>
      <w:r w:rsidR="00E64434">
        <w:rPr>
          <w:lang w:val="fr-FR"/>
        </w:rPr>
        <w:t xml:space="preserve">.  </w:t>
      </w:r>
      <w:r w:rsidR="00E64434" w:rsidRPr="005C718D">
        <w:rPr>
          <w:lang w:val="fr-FR"/>
        </w:rPr>
        <w:t>Le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TWF</w:t>
      </w:r>
      <w:r w:rsidR="00E25A01" w:rsidRPr="005C718D">
        <w:rPr>
          <w:lang w:val="fr-FR"/>
        </w:rPr>
        <w:t xml:space="preserve"> a souligné la nécessité</w:t>
      </w:r>
      <w:r w:rsidR="003B02DB" w:rsidRPr="005C718D">
        <w:rPr>
          <w:lang w:val="fr-FR"/>
        </w:rPr>
        <w:t xml:space="preserve"> </w:t>
      </w:r>
      <w:r w:rsidR="003B02DB" w:rsidRPr="005C718D">
        <w:rPr>
          <w:lang w:val="fr-FR"/>
        </w:rPr>
        <w:lastRenderedPageBreak/>
        <w:t>d</w:t>
      </w:r>
      <w:r w:rsidR="005C718D">
        <w:rPr>
          <w:lang w:val="fr-FR"/>
        </w:rPr>
        <w:t>’</w:t>
      </w:r>
      <w:r w:rsidR="003B02DB" w:rsidRPr="005C718D">
        <w:rPr>
          <w:lang w:val="fr-FR"/>
        </w:rPr>
        <w:t>atteindre un niveau de confiance élevé en</w:t>
      </w:r>
      <w:r w:rsidR="00995668" w:rsidRPr="005C718D">
        <w:rPr>
          <w:lang w:val="fr-FR"/>
        </w:rPr>
        <w:t>t</w:t>
      </w:r>
      <w:r w:rsidR="003B02DB" w:rsidRPr="005C718D">
        <w:rPr>
          <w:lang w:val="fr-FR"/>
        </w:rPr>
        <w:t>re</w:t>
      </w:r>
      <w:r w:rsidR="00995668" w:rsidRPr="005C718D">
        <w:rPr>
          <w:lang w:val="fr-FR"/>
        </w:rPr>
        <w:t xml:space="preserve"> </w:t>
      </w:r>
      <w:r w:rsidR="003B02DB" w:rsidRPr="005C718D">
        <w:rPr>
          <w:lang w:val="fr-FR"/>
        </w:rPr>
        <w:t>les services de protection des obtentions végétales et les obtenteurs afin d</w:t>
      </w:r>
      <w:r w:rsidR="005C718D">
        <w:rPr>
          <w:lang w:val="fr-FR"/>
        </w:rPr>
        <w:t>’</w:t>
      </w:r>
      <w:r w:rsidR="003B02DB" w:rsidRPr="005C718D">
        <w:rPr>
          <w:lang w:val="fr-FR"/>
        </w:rPr>
        <w:t>assurer une coopération fructueu</w:t>
      </w:r>
      <w:r w:rsidR="00E64434" w:rsidRPr="005C718D">
        <w:rPr>
          <w:lang w:val="fr-FR"/>
        </w:rPr>
        <w:t>se</w:t>
      </w:r>
      <w:r w:rsidR="00E64434">
        <w:rPr>
          <w:lang w:val="fr-FR"/>
        </w:rPr>
        <w:t xml:space="preserve">.  </w:t>
      </w:r>
      <w:r w:rsidR="00E64434" w:rsidRPr="005C718D">
        <w:rPr>
          <w:lang w:val="fr-FR"/>
        </w:rPr>
        <w:t>Le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TWF</w:t>
      </w:r>
      <w:r w:rsidRPr="005C718D">
        <w:rPr>
          <w:lang w:val="fr-FR"/>
        </w:rPr>
        <w:t xml:space="preserve"> </w:t>
      </w:r>
      <w:r w:rsidR="003B02DB" w:rsidRPr="005C718D">
        <w:rPr>
          <w:lang w:val="fr-FR"/>
        </w:rPr>
        <w:t>a noté que l</w:t>
      </w:r>
      <w:r w:rsidR="005C718D">
        <w:rPr>
          <w:lang w:val="fr-FR"/>
        </w:rPr>
        <w:t>’</w:t>
      </w:r>
      <w:r w:rsidR="003B02DB" w:rsidRPr="005C718D">
        <w:rPr>
          <w:lang w:val="fr-FR"/>
        </w:rPr>
        <w:t>Union européenne a adopté des règles relatives à l</w:t>
      </w:r>
      <w:r w:rsidR="005C718D">
        <w:rPr>
          <w:lang w:val="fr-FR"/>
        </w:rPr>
        <w:t>’</w:t>
      </w:r>
      <w:r w:rsidR="003B02DB" w:rsidRPr="005C718D">
        <w:rPr>
          <w:lang w:val="fr-FR"/>
        </w:rPr>
        <w:t>utilisation du matériel végétal fourni aux fins de l</w:t>
      </w:r>
      <w:r w:rsidR="005C718D">
        <w:rPr>
          <w:lang w:val="fr-FR"/>
        </w:rPr>
        <w:t>’</w:t>
      </w:r>
      <w:r w:rsidR="003B02DB" w:rsidRPr="005C718D">
        <w:rPr>
          <w:lang w:val="fr-FR"/>
        </w:rPr>
        <w:t>examen</w:t>
      </w:r>
      <w:r w:rsidR="0055585E">
        <w:rPr>
          <w:lang w:val="fr-FR"/>
        </w:rPr>
        <w:t> </w:t>
      </w:r>
      <w:r w:rsidR="003B02DB" w:rsidRPr="005C718D">
        <w:rPr>
          <w:lang w:val="fr-FR"/>
        </w:rPr>
        <w:t>DHS.</w:t>
      </w:r>
    </w:p>
    <w:p w:rsidR="007557F1" w:rsidRPr="005C718D" w:rsidRDefault="007557F1" w:rsidP="007557F1">
      <w:pPr>
        <w:rPr>
          <w:lang w:val="fr-FR"/>
        </w:rPr>
      </w:pPr>
    </w:p>
    <w:p w:rsidR="005C718D" w:rsidRDefault="007557F1" w:rsidP="007557F1">
      <w:pPr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="00AF687F" w:rsidRPr="005C718D">
        <w:rPr>
          <w:lang w:val="fr-FR"/>
        </w:rPr>
        <w:tab/>
        <w:t>L</w:t>
      </w:r>
      <w:r w:rsidRPr="005C718D">
        <w:rPr>
          <w:lang w:val="fr-FR"/>
        </w:rPr>
        <w:t>e TWF a</w:t>
      </w:r>
      <w:r w:rsidR="00AF687F" w:rsidRPr="005C718D">
        <w:rPr>
          <w:lang w:val="fr-FR"/>
        </w:rPr>
        <w:t xml:space="preserve"> décidé de</w:t>
      </w:r>
      <w:r w:rsidRPr="005C718D">
        <w:rPr>
          <w:lang w:val="fr-FR"/>
        </w:rPr>
        <w:t xml:space="preserve"> continue</w:t>
      </w:r>
      <w:r w:rsidR="00AF687F" w:rsidRPr="005C718D">
        <w:rPr>
          <w:lang w:val="fr-FR"/>
        </w:rPr>
        <w:t xml:space="preserve">r les débats à sa prochaine </w:t>
      </w:r>
      <w:r w:rsidRPr="005C718D">
        <w:rPr>
          <w:lang w:val="fr-FR"/>
        </w:rPr>
        <w:t xml:space="preserve">session </w:t>
      </w:r>
      <w:r w:rsidR="007C6ED5" w:rsidRPr="005C718D">
        <w:rPr>
          <w:lang w:val="fr-FR"/>
        </w:rPr>
        <w:t>et a invité l</w:t>
      </w:r>
      <w:r w:rsidR="005C718D">
        <w:rPr>
          <w:lang w:val="fr-FR"/>
        </w:rPr>
        <w:t>’</w:t>
      </w:r>
      <w:r w:rsidR="00E17C3B" w:rsidRPr="005C718D">
        <w:rPr>
          <w:lang w:val="fr-FR"/>
        </w:rPr>
        <w:t>expert</w:t>
      </w:r>
      <w:r w:rsidR="00AF687F" w:rsidRPr="005C718D">
        <w:rPr>
          <w:lang w:val="fr-FR"/>
        </w:rPr>
        <w:t xml:space="preserve"> </w:t>
      </w:r>
      <w:r w:rsidR="00D06819" w:rsidRPr="005C718D">
        <w:rPr>
          <w:lang w:val="fr-FR"/>
        </w:rPr>
        <w:t>d</w:t>
      </w:r>
      <w:r w:rsidR="005C718D">
        <w:rPr>
          <w:lang w:val="fr-FR"/>
        </w:rPr>
        <w:t>’</w:t>
      </w:r>
      <w:r w:rsidR="00D06819" w:rsidRPr="005C718D">
        <w:rPr>
          <w:lang w:val="fr-FR"/>
        </w:rPr>
        <w:t>Italie</w:t>
      </w:r>
      <w:r w:rsidR="00AF687F" w:rsidRPr="005C718D">
        <w:rPr>
          <w:lang w:val="fr-FR"/>
        </w:rPr>
        <w:t xml:space="preserve"> à élaborer un</w:t>
      </w:r>
      <w:r w:rsidRPr="005C718D">
        <w:rPr>
          <w:lang w:val="fr-FR"/>
        </w:rPr>
        <w:t xml:space="preserve"> document </w:t>
      </w:r>
      <w:r w:rsidR="00AF687F" w:rsidRPr="005C718D">
        <w:rPr>
          <w:lang w:val="fr-FR"/>
        </w:rPr>
        <w:t>recensant les</w:t>
      </w:r>
      <w:r w:rsidR="008A4BCC" w:rsidRPr="005C718D">
        <w:rPr>
          <w:lang w:val="fr-FR"/>
        </w:rPr>
        <w:t xml:space="preserve"> problèmes soulevé</w:t>
      </w:r>
      <w:r w:rsidR="00AF687F" w:rsidRPr="005C718D">
        <w:rPr>
          <w:lang w:val="fr-FR"/>
        </w:rPr>
        <w:t>s par les services de protection des obtentions végétales et les obtenteurs</w:t>
      </w:r>
      <w:r w:rsidRPr="005C718D">
        <w:rPr>
          <w:lang w:val="fr-FR"/>
        </w:rPr>
        <w:t xml:space="preserve">, </w:t>
      </w:r>
      <w:r w:rsidR="00AF687F" w:rsidRPr="005C718D">
        <w:rPr>
          <w:lang w:val="fr-FR"/>
        </w:rPr>
        <w:t>ainsi qu</w:t>
      </w:r>
      <w:r w:rsidR="005C718D">
        <w:rPr>
          <w:lang w:val="fr-FR"/>
        </w:rPr>
        <w:t>’</w:t>
      </w:r>
      <w:r w:rsidR="00AF687F" w:rsidRPr="005C718D">
        <w:rPr>
          <w:lang w:val="fr-FR"/>
        </w:rPr>
        <w:t>à émettre des pro</w:t>
      </w:r>
      <w:r w:rsidR="008A4BCC" w:rsidRPr="005C718D">
        <w:rPr>
          <w:lang w:val="fr-FR"/>
        </w:rPr>
        <w:t>positions quant à la manière d</w:t>
      </w:r>
      <w:r w:rsidR="005C718D">
        <w:rPr>
          <w:lang w:val="fr-FR"/>
        </w:rPr>
        <w:t>’</w:t>
      </w:r>
      <w:r w:rsidR="008A4BCC" w:rsidRPr="005C718D">
        <w:rPr>
          <w:lang w:val="fr-FR"/>
        </w:rPr>
        <w:t xml:space="preserve">aborder </w:t>
      </w:r>
      <w:r w:rsidR="00AF687F" w:rsidRPr="005C718D">
        <w:rPr>
          <w:lang w:val="fr-FR"/>
        </w:rPr>
        <w:t xml:space="preserve">ces </w:t>
      </w:r>
      <w:r w:rsidR="008A4BCC" w:rsidRPr="005C718D">
        <w:rPr>
          <w:lang w:val="fr-FR"/>
        </w:rPr>
        <w:t xml:space="preserve">problèmes </w:t>
      </w:r>
      <w:r w:rsidR="00AF687F" w:rsidRPr="005C718D">
        <w:rPr>
          <w:lang w:val="fr-FR"/>
        </w:rPr>
        <w:t>au sein de</w:t>
      </w:r>
      <w:r w:rsidRPr="005C718D">
        <w:rPr>
          <w:lang w:val="fr-FR"/>
        </w:rPr>
        <w:t xml:space="preserve"> </w:t>
      </w:r>
      <w:r w:rsidR="00AF687F" w:rsidRPr="005C718D">
        <w:rPr>
          <w:lang w:val="fr-FR"/>
        </w:rPr>
        <w:t>l</w:t>
      </w:r>
      <w:r w:rsidR="005C718D">
        <w:rPr>
          <w:lang w:val="fr-FR"/>
        </w:rPr>
        <w:t>’</w:t>
      </w:r>
      <w:r w:rsidRPr="005C718D">
        <w:rPr>
          <w:lang w:val="fr-FR"/>
        </w:rPr>
        <w:t>U</w:t>
      </w:r>
      <w:r w:rsidR="00E64434" w:rsidRPr="005C718D">
        <w:rPr>
          <w:lang w:val="fr-FR"/>
        </w:rPr>
        <w:t>POV</w:t>
      </w:r>
      <w:r w:rsidR="00E64434">
        <w:rPr>
          <w:lang w:val="fr-FR"/>
        </w:rPr>
        <w:t xml:space="preserve">.  </w:t>
      </w:r>
      <w:r w:rsidR="00E64434" w:rsidRPr="005C718D">
        <w:rPr>
          <w:lang w:val="fr-FR"/>
        </w:rPr>
        <w:t>Le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TWF</w:t>
      </w:r>
      <w:r w:rsidRPr="005C718D">
        <w:rPr>
          <w:lang w:val="fr-FR"/>
        </w:rPr>
        <w:t xml:space="preserve"> </w:t>
      </w:r>
      <w:r w:rsidR="00AF687F" w:rsidRPr="005C718D">
        <w:rPr>
          <w:lang w:val="fr-FR"/>
        </w:rPr>
        <w:t xml:space="preserve">a noté que les </w:t>
      </w:r>
      <w:r w:rsidR="00E17C3B" w:rsidRPr="005C718D">
        <w:rPr>
          <w:lang w:val="fr-FR"/>
        </w:rPr>
        <w:t>expert</w:t>
      </w:r>
      <w:r w:rsidR="00AF687F" w:rsidRPr="005C718D">
        <w:rPr>
          <w:lang w:val="fr-FR"/>
        </w:rPr>
        <w:t>s d</w:t>
      </w:r>
      <w:r w:rsidR="005C718D">
        <w:rPr>
          <w:lang w:val="fr-FR"/>
        </w:rPr>
        <w:t>’</w:t>
      </w:r>
      <w:r w:rsidR="00AF687F" w:rsidRPr="005C718D">
        <w:rPr>
          <w:lang w:val="fr-FR"/>
        </w:rPr>
        <w:t>Allemagne, du</w:t>
      </w:r>
      <w:r w:rsidRPr="005C718D">
        <w:rPr>
          <w:lang w:val="fr-FR"/>
        </w:rPr>
        <w:t xml:space="preserve"> Canada, </w:t>
      </w:r>
      <w:r w:rsidR="00AF687F" w:rsidRPr="005C718D">
        <w:rPr>
          <w:lang w:val="fr-FR"/>
        </w:rPr>
        <w:t xml:space="preserve">du </w:t>
      </w:r>
      <w:r w:rsidRPr="005C718D">
        <w:rPr>
          <w:lang w:val="fr-FR"/>
        </w:rPr>
        <w:t>Chil</w:t>
      </w:r>
      <w:r w:rsidR="00AF687F" w:rsidRPr="005C718D">
        <w:rPr>
          <w:lang w:val="fr-FR"/>
        </w:rPr>
        <w:t>i</w:t>
      </w:r>
      <w:r w:rsidRPr="005C718D">
        <w:rPr>
          <w:lang w:val="fr-FR"/>
        </w:rPr>
        <w:t xml:space="preserve">, </w:t>
      </w:r>
      <w:r w:rsidR="00AF687F" w:rsidRPr="005C718D">
        <w:rPr>
          <w:lang w:val="fr-FR"/>
        </w:rPr>
        <w:t>de Chine</w:t>
      </w:r>
      <w:r w:rsidRPr="005C718D">
        <w:rPr>
          <w:lang w:val="fr-FR"/>
        </w:rPr>
        <w:t>,</w:t>
      </w:r>
      <w:r w:rsidR="00AF687F" w:rsidRPr="005C718D">
        <w:rPr>
          <w:lang w:val="fr-FR"/>
        </w:rPr>
        <w:t xml:space="preserve"> d</w:t>
      </w:r>
      <w:r w:rsidR="005C718D">
        <w:rPr>
          <w:lang w:val="fr-FR"/>
        </w:rPr>
        <w:t>’</w:t>
      </w:r>
      <w:r w:rsidR="00AF687F" w:rsidRPr="005C718D">
        <w:rPr>
          <w:lang w:val="fr-FR"/>
        </w:rPr>
        <w:t>Espagne, de France, de Nouvelle</w:t>
      </w:r>
      <w:r w:rsidR="005C718D">
        <w:rPr>
          <w:lang w:val="fr-FR"/>
        </w:rPr>
        <w:t>-</w:t>
      </w:r>
      <w:r w:rsidR="00AF687F" w:rsidRPr="005C718D">
        <w:rPr>
          <w:lang w:val="fr-FR"/>
        </w:rPr>
        <w:t>Zélande</w:t>
      </w:r>
      <w:r w:rsidR="008A4BCC" w:rsidRPr="005C718D">
        <w:rPr>
          <w:lang w:val="fr-FR"/>
        </w:rPr>
        <w:t>,</w:t>
      </w:r>
      <w:r w:rsidR="00AF687F" w:rsidRPr="005C718D">
        <w:rPr>
          <w:lang w:val="fr-FR"/>
        </w:rPr>
        <w:t xml:space="preserve"> </w:t>
      </w:r>
      <w:r w:rsidR="008A4BCC" w:rsidRPr="005C718D">
        <w:rPr>
          <w:lang w:val="fr-FR"/>
        </w:rPr>
        <w:t>de l</w:t>
      </w:r>
      <w:r w:rsidR="005C718D">
        <w:rPr>
          <w:lang w:val="fr-FR"/>
        </w:rPr>
        <w:t>’</w:t>
      </w:r>
      <w:r w:rsidR="008A4BCC" w:rsidRPr="005C718D">
        <w:rPr>
          <w:lang w:val="fr-FR"/>
        </w:rPr>
        <w:t xml:space="preserve">Union européenne </w:t>
      </w:r>
      <w:r w:rsidR="00AF687F" w:rsidRPr="005C718D">
        <w:rPr>
          <w:lang w:val="fr-FR"/>
        </w:rPr>
        <w:t>et de</w:t>
      </w:r>
      <w:r w:rsidR="005C718D" w:rsidRPr="005C718D">
        <w:rPr>
          <w:lang w:val="fr-FR"/>
        </w:rPr>
        <w:t xml:space="preserve"> la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CIO</w:t>
      </w:r>
      <w:r w:rsidRPr="005C718D">
        <w:rPr>
          <w:lang w:val="fr-FR"/>
        </w:rPr>
        <w:t xml:space="preserve">PORA </w:t>
      </w:r>
      <w:r w:rsidR="00AF687F" w:rsidRPr="005C718D">
        <w:rPr>
          <w:lang w:val="fr-FR"/>
        </w:rPr>
        <w:t>apporteraient leur concours à l</w:t>
      </w:r>
      <w:r w:rsidR="005C718D">
        <w:rPr>
          <w:lang w:val="fr-FR"/>
        </w:rPr>
        <w:t>’</w:t>
      </w:r>
      <w:r w:rsidR="00AF687F" w:rsidRPr="005C718D">
        <w:rPr>
          <w:lang w:val="fr-FR"/>
        </w:rPr>
        <w:t>élaboration du</w:t>
      </w:r>
      <w:r w:rsidRPr="005C718D">
        <w:rPr>
          <w:lang w:val="fr-FR"/>
        </w:rPr>
        <w:t xml:space="preserve"> document.</w:t>
      </w:r>
    </w:p>
    <w:p w:rsidR="007557F1" w:rsidRPr="005C718D" w:rsidRDefault="007557F1" w:rsidP="007557F1">
      <w:pPr>
        <w:rPr>
          <w:lang w:val="fr-FR"/>
        </w:rPr>
      </w:pPr>
    </w:p>
    <w:p w:rsidR="007557F1" w:rsidRPr="005C718D" w:rsidRDefault="00D06819" w:rsidP="007557F1">
      <w:pPr>
        <w:pStyle w:val="Heading2"/>
        <w:rPr>
          <w:lang w:val="fr-FR"/>
        </w:rPr>
      </w:pPr>
      <w:bookmarkStart w:id="17" w:name="_Toc20505083"/>
      <w:bookmarkStart w:id="18" w:name="_Toc22473826"/>
      <w:r w:rsidRPr="005C718D">
        <w:rPr>
          <w:lang w:val="fr-FR"/>
        </w:rPr>
        <w:t xml:space="preserve">Examen </w:t>
      </w:r>
      <w:r w:rsidR="007557F1" w:rsidRPr="005C718D">
        <w:rPr>
          <w:lang w:val="fr-FR"/>
        </w:rPr>
        <w:t>D</w:t>
      </w:r>
      <w:r w:rsidRPr="005C718D">
        <w:rPr>
          <w:lang w:val="fr-FR"/>
        </w:rPr>
        <w:t>H</w:t>
      </w:r>
      <w:r w:rsidR="007557F1" w:rsidRPr="005C718D">
        <w:rPr>
          <w:lang w:val="fr-FR"/>
        </w:rPr>
        <w:t>S</w:t>
      </w:r>
      <w:r w:rsidRPr="005C718D">
        <w:rPr>
          <w:lang w:val="fr-FR"/>
        </w:rPr>
        <w:t xml:space="preserve"> des variétés</w:t>
      </w:r>
      <w:r w:rsidR="007557F1" w:rsidRPr="005C718D">
        <w:rPr>
          <w:lang w:val="fr-FR"/>
        </w:rPr>
        <w:t xml:space="preserve"> mutant</w:t>
      </w:r>
      <w:r w:rsidRPr="005C718D">
        <w:rPr>
          <w:lang w:val="fr-FR"/>
        </w:rPr>
        <w:t>es du pommier</w:t>
      </w:r>
      <w:bookmarkEnd w:id="17"/>
      <w:bookmarkEnd w:id="18"/>
    </w:p>
    <w:p w:rsidR="007557F1" w:rsidRPr="005C718D" w:rsidRDefault="007557F1" w:rsidP="007557F1">
      <w:pPr>
        <w:keepNext/>
        <w:rPr>
          <w:lang w:val="fr-FR"/>
        </w:rPr>
      </w:pPr>
    </w:p>
    <w:p w:rsidR="007557F1" w:rsidRPr="005C718D" w:rsidRDefault="007557F1" w:rsidP="007557F1">
      <w:pPr>
        <w:keepNext/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="00D06819" w:rsidRPr="005C718D">
        <w:rPr>
          <w:lang w:val="fr-FR"/>
        </w:rPr>
        <w:tab/>
      </w:r>
      <w:r w:rsidR="00E17C3B" w:rsidRPr="005C718D">
        <w:rPr>
          <w:lang w:val="fr-FR"/>
        </w:rPr>
        <w:t>À sa cinquant</w:t>
      </w:r>
      <w:r w:rsidR="005C718D">
        <w:rPr>
          <w:lang w:val="fr-FR"/>
        </w:rPr>
        <w:t>ième session</w:t>
      </w:r>
      <w:r w:rsidR="00E17C3B" w:rsidRPr="005C718D">
        <w:rPr>
          <w:lang w:val="fr-FR"/>
        </w:rPr>
        <w:t xml:space="preserve"> tenue à Budapest (Hongrie) du 24 au 28 juin 2019,</w:t>
      </w:r>
      <w:r w:rsidR="005C718D" w:rsidRPr="005C718D">
        <w:rPr>
          <w:lang w:val="fr-FR"/>
        </w:rPr>
        <w:t xml:space="preserve"> le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TWF</w:t>
      </w:r>
      <w:r w:rsidR="00E17C3B" w:rsidRPr="005C718D">
        <w:rPr>
          <w:lang w:val="fr-FR"/>
        </w:rPr>
        <w:t xml:space="preserve"> a examiné le</w:t>
      </w:r>
      <w:r w:rsidRPr="005C718D">
        <w:rPr>
          <w:lang w:val="fr-FR"/>
        </w:rPr>
        <w:t xml:space="preserve"> document TWF/50/10 </w:t>
      </w:r>
      <w:r w:rsidR="00E17C3B" w:rsidRPr="005C718D">
        <w:rPr>
          <w:lang w:val="fr-FR"/>
        </w:rPr>
        <w:t>et assisté à un exposé intitulé</w:t>
      </w:r>
      <w:r w:rsidRPr="005C718D">
        <w:rPr>
          <w:lang w:val="fr-FR"/>
        </w:rPr>
        <w:t xml:space="preserve"> “DUS </w:t>
      </w:r>
      <w:proofErr w:type="spellStart"/>
      <w:r w:rsidRPr="005C718D">
        <w:rPr>
          <w:lang w:val="fr-FR"/>
        </w:rPr>
        <w:t>examination</w:t>
      </w:r>
      <w:proofErr w:type="spellEnd"/>
      <w:r w:rsidRPr="005C718D">
        <w:rPr>
          <w:lang w:val="fr-FR"/>
        </w:rPr>
        <w:t xml:space="preserve"> of mutant </w:t>
      </w:r>
      <w:proofErr w:type="spellStart"/>
      <w:r w:rsidRPr="005C718D">
        <w:rPr>
          <w:lang w:val="fr-FR"/>
        </w:rPr>
        <w:t>varieties</w:t>
      </w:r>
      <w:proofErr w:type="spellEnd"/>
      <w:r w:rsidRPr="005C718D">
        <w:rPr>
          <w:lang w:val="fr-FR"/>
        </w:rPr>
        <w:t xml:space="preserve"> of </w:t>
      </w:r>
      <w:proofErr w:type="spellStart"/>
      <w:r w:rsidRPr="005C718D">
        <w:rPr>
          <w:lang w:val="fr-FR"/>
        </w:rPr>
        <w:t>apple</w:t>
      </w:r>
      <w:proofErr w:type="spellEnd"/>
      <w:r w:rsidRPr="005C718D">
        <w:rPr>
          <w:lang w:val="fr-FR"/>
        </w:rPr>
        <w:t>”</w:t>
      </w:r>
      <w:r w:rsidR="00E17C3B" w:rsidRPr="005C718D">
        <w:rPr>
          <w:lang w:val="fr-FR"/>
        </w:rPr>
        <w:t xml:space="preserve"> (Examen DHS de</w:t>
      </w:r>
      <w:r w:rsidR="00300C95" w:rsidRPr="005C718D">
        <w:rPr>
          <w:lang w:val="fr-FR"/>
        </w:rPr>
        <w:t>s variétés mutantes du pommier)</w:t>
      </w:r>
      <w:r w:rsidR="00E17C3B" w:rsidRPr="005C718D">
        <w:rPr>
          <w:lang w:val="fr-FR"/>
        </w:rPr>
        <w:t xml:space="preserve"> présenté par un expert de l</w:t>
      </w:r>
      <w:r w:rsidR="005C718D">
        <w:rPr>
          <w:lang w:val="fr-FR"/>
        </w:rPr>
        <w:t>’</w:t>
      </w:r>
      <w:r w:rsidR="00E17C3B" w:rsidRPr="005C718D">
        <w:rPr>
          <w:lang w:val="fr-FR"/>
        </w:rPr>
        <w:t>Union européen</w:t>
      </w:r>
      <w:r w:rsidR="00E64434" w:rsidRPr="005C718D">
        <w:rPr>
          <w:lang w:val="fr-FR"/>
        </w:rPr>
        <w:t>ne</w:t>
      </w:r>
      <w:r w:rsidR="00E64434">
        <w:rPr>
          <w:lang w:val="fr-FR"/>
        </w:rPr>
        <w:t xml:space="preserve">.  </w:t>
      </w:r>
      <w:r w:rsidR="00E64434" w:rsidRPr="005C718D">
        <w:rPr>
          <w:lang w:val="fr-FR"/>
        </w:rPr>
        <w:t>Le</w:t>
      </w:r>
      <w:r w:rsidR="00E17C3B" w:rsidRPr="005C718D">
        <w:rPr>
          <w:lang w:val="fr-FR"/>
        </w:rPr>
        <w:t xml:space="preserve"> texte de </w:t>
      </w:r>
      <w:r w:rsidR="008A4BCC" w:rsidRPr="005C718D">
        <w:rPr>
          <w:lang w:val="fr-FR"/>
        </w:rPr>
        <w:t>l</w:t>
      </w:r>
      <w:r w:rsidR="005C718D">
        <w:rPr>
          <w:lang w:val="fr-FR"/>
        </w:rPr>
        <w:t>’</w:t>
      </w:r>
      <w:r w:rsidR="008A4BCC" w:rsidRPr="005C718D">
        <w:rPr>
          <w:lang w:val="fr-FR"/>
        </w:rPr>
        <w:t>exposé</w:t>
      </w:r>
      <w:r w:rsidR="00E17C3B" w:rsidRPr="005C718D">
        <w:rPr>
          <w:lang w:val="fr-FR"/>
        </w:rPr>
        <w:t xml:space="preserve"> est reproduit à l</w:t>
      </w:r>
      <w:r w:rsidR="005C718D">
        <w:rPr>
          <w:lang w:val="fr-FR"/>
        </w:rPr>
        <w:t>’</w:t>
      </w:r>
      <w:r w:rsidR="00E17C3B" w:rsidRPr="005C718D">
        <w:rPr>
          <w:lang w:val="fr-FR"/>
        </w:rPr>
        <w:t>annexe du</w:t>
      </w:r>
      <w:r w:rsidRPr="005C718D">
        <w:rPr>
          <w:lang w:val="fr-FR"/>
        </w:rPr>
        <w:t xml:space="preserve"> document TWF/50/10</w:t>
      </w:r>
      <w:r w:rsidR="0055585E">
        <w:rPr>
          <w:lang w:val="fr-FR"/>
        </w:rPr>
        <w:t> </w:t>
      </w:r>
      <w:proofErr w:type="spellStart"/>
      <w:r w:rsidRPr="005C718D">
        <w:rPr>
          <w:lang w:val="fr-FR"/>
        </w:rPr>
        <w:t>Rev</w:t>
      </w:r>
      <w:proofErr w:type="spellEnd"/>
      <w:r w:rsidRPr="005C718D">
        <w:rPr>
          <w:lang w:val="fr-FR"/>
        </w:rPr>
        <w:t>. (</w:t>
      </w:r>
      <w:proofErr w:type="gramStart"/>
      <w:r w:rsidR="00E17C3B" w:rsidRPr="005C718D">
        <w:rPr>
          <w:lang w:val="fr-FR"/>
        </w:rPr>
        <w:t>voir</w:t>
      </w:r>
      <w:proofErr w:type="gramEnd"/>
      <w:r w:rsidR="00E17C3B" w:rsidRPr="005C718D">
        <w:rPr>
          <w:lang w:val="fr-FR"/>
        </w:rPr>
        <w:t xml:space="preserve"> les</w:t>
      </w:r>
      <w:r w:rsidRPr="005C718D">
        <w:rPr>
          <w:lang w:val="fr-FR"/>
        </w:rPr>
        <w:t xml:space="preserve"> </w:t>
      </w:r>
      <w:r w:rsidR="005C718D" w:rsidRPr="005C718D">
        <w:rPr>
          <w:lang w:val="fr-FR"/>
        </w:rPr>
        <w:t>paragraphes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4</w:t>
      </w:r>
      <w:r w:rsidR="00E17C3B" w:rsidRPr="005C718D">
        <w:rPr>
          <w:lang w:val="fr-FR"/>
        </w:rPr>
        <w:t xml:space="preserve">5 à 49 du </w:t>
      </w:r>
      <w:r w:rsidRPr="005C718D">
        <w:rPr>
          <w:lang w:val="fr-FR"/>
        </w:rPr>
        <w:t>document TWF/50/13 “Report”</w:t>
      </w:r>
      <w:r w:rsidR="00E17C3B" w:rsidRPr="005C718D">
        <w:rPr>
          <w:lang w:val="fr-FR"/>
        </w:rPr>
        <w:t xml:space="preserve"> (Compte rendu))</w:t>
      </w:r>
      <w:r w:rsidRPr="005C718D">
        <w:rPr>
          <w:lang w:val="fr-FR"/>
        </w:rPr>
        <w:t>.</w:t>
      </w:r>
    </w:p>
    <w:p w:rsidR="007557F1" w:rsidRPr="005C718D" w:rsidRDefault="007557F1" w:rsidP="007557F1">
      <w:pPr>
        <w:rPr>
          <w:lang w:val="fr-FR"/>
        </w:rPr>
      </w:pPr>
    </w:p>
    <w:p w:rsidR="007557F1" w:rsidRPr="005C718D" w:rsidRDefault="007557F1" w:rsidP="007557F1">
      <w:pPr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="00E17C3B" w:rsidRPr="005C718D">
        <w:rPr>
          <w:lang w:val="fr-FR"/>
        </w:rPr>
        <w:tab/>
        <w:t>L</w:t>
      </w:r>
      <w:r w:rsidRPr="005C718D">
        <w:rPr>
          <w:lang w:val="fr-FR"/>
        </w:rPr>
        <w:t xml:space="preserve">e TWF </w:t>
      </w:r>
      <w:r w:rsidR="00E17C3B" w:rsidRPr="005C718D">
        <w:rPr>
          <w:lang w:val="fr-FR"/>
        </w:rPr>
        <w:t>a pris note des faits nouveaux advenus depuis la quarante</w:t>
      </w:r>
      <w:r w:rsidR="005C718D">
        <w:rPr>
          <w:lang w:val="fr-FR"/>
        </w:rPr>
        <w:t>-</w:t>
      </w:r>
      <w:r w:rsidR="00E17C3B" w:rsidRPr="005C718D">
        <w:rPr>
          <w:lang w:val="fr-FR"/>
        </w:rPr>
        <w:t>neuv</w:t>
      </w:r>
      <w:r w:rsidR="005C718D">
        <w:rPr>
          <w:lang w:val="fr-FR"/>
        </w:rPr>
        <w:t>ième session</w:t>
      </w:r>
      <w:r w:rsidR="005C718D" w:rsidRPr="005C718D">
        <w:rPr>
          <w:lang w:val="fr-FR"/>
        </w:rPr>
        <w:t xml:space="preserve"> du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TWF</w:t>
      </w:r>
      <w:r w:rsidRPr="005C718D">
        <w:rPr>
          <w:lang w:val="fr-FR"/>
        </w:rPr>
        <w:t xml:space="preserve"> </w:t>
      </w:r>
      <w:r w:rsidR="005C718D" w:rsidRPr="005C718D">
        <w:rPr>
          <w:lang w:val="fr-FR"/>
        </w:rPr>
        <w:t>en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2018</w:t>
      </w:r>
      <w:r w:rsidRPr="005C718D">
        <w:rPr>
          <w:lang w:val="fr-FR"/>
        </w:rPr>
        <w:t xml:space="preserve">. </w:t>
      </w:r>
      <w:r w:rsidR="005C718D" w:rsidRPr="005C718D">
        <w:rPr>
          <w:lang w:val="fr-FR"/>
        </w:rPr>
        <w:t xml:space="preserve"> Le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TWF</w:t>
      </w:r>
      <w:r w:rsidRPr="005C718D">
        <w:rPr>
          <w:lang w:val="fr-FR"/>
        </w:rPr>
        <w:t xml:space="preserve"> </w:t>
      </w:r>
      <w:r w:rsidR="00E17C3B" w:rsidRPr="005C718D">
        <w:rPr>
          <w:lang w:val="fr-FR"/>
        </w:rPr>
        <w:t>a noté que</w:t>
      </w:r>
      <w:r w:rsidRPr="005C718D">
        <w:rPr>
          <w:lang w:val="fr-FR"/>
        </w:rPr>
        <w:t xml:space="preserve">, </w:t>
      </w:r>
      <w:r w:rsidR="00E17C3B" w:rsidRPr="005C718D">
        <w:rPr>
          <w:lang w:val="fr-FR"/>
        </w:rPr>
        <w:t xml:space="preserve">sans une collection de variétés </w:t>
      </w:r>
      <w:r w:rsidR="009048CF" w:rsidRPr="005C718D">
        <w:rPr>
          <w:lang w:val="fr-FR"/>
        </w:rPr>
        <w:t>appropriée</w:t>
      </w:r>
      <w:r w:rsidR="00E17C3B" w:rsidRPr="005C718D">
        <w:rPr>
          <w:lang w:val="fr-FR"/>
        </w:rPr>
        <w:t xml:space="preserve"> aux fins de l</w:t>
      </w:r>
      <w:r w:rsidR="005C718D">
        <w:rPr>
          <w:lang w:val="fr-FR"/>
        </w:rPr>
        <w:t>’</w:t>
      </w:r>
      <w:r w:rsidR="00E17C3B" w:rsidRPr="005C718D">
        <w:rPr>
          <w:lang w:val="fr-FR"/>
        </w:rPr>
        <w:t>examen</w:t>
      </w:r>
      <w:r w:rsidR="0055585E">
        <w:rPr>
          <w:lang w:val="fr-FR"/>
        </w:rPr>
        <w:t> </w:t>
      </w:r>
      <w:r w:rsidR="00E17C3B" w:rsidRPr="005C718D">
        <w:rPr>
          <w:lang w:val="fr-FR"/>
        </w:rPr>
        <w:t>DHS</w:t>
      </w:r>
      <w:r w:rsidRPr="005C718D">
        <w:rPr>
          <w:lang w:val="fr-FR"/>
        </w:rPr>
        <w:t xml:space="preserve">, </w:t>
      </w:r>
      <w:r w:rsidR="00E17C3B" w:rsidRPr="005C718D">
        <w:rPr>
          <w:lang w:val="fr-FR"/>
        </w:rPr>
        <w:t>l</w:t>
      </w:r>
      <w:r w:rsidR="005C718D">
        <w:rPr>
          <w:lang w:val="fr-FR"/>
        </w:rPr>
        <w:t>’</w:t>
      </w:r>
      <w:r w:rsidR="00E17C3B" w:rsidRPr="005C718D">
        <w:rPr>
          <w:lang w:val="fr-FR"/>
        </w:rPr>
        <w:t xml:space="preserve">exactitude du rapport DHS pouvait </w:t>
      </w:r>
      <w:r w:rsidR="007C6ED5" w:rsidRPr="005C718D">
        <w:rPr>
          <w:lang w:val="fr-FR"/>
        </w:rPr>
        <w:t>être compromise</w:t>
      </w:r>
      <w:r w:rsidRPr="005C718D">
        <w:rPr>
          <w:lang w:val="fr-FR"/>
        </w:rPr>
        <w:t>,</w:t>
      </w:r>
      <w:r w:rsidR="007C6ED5" w:rsidRPr="005C718D">
        <w:rPr>
          <w:lang w:val="fr-FR"/>
        </w:rPr>
        <w:t xml:space="preserve"> entravant ainsi la coopération et l</w:t>
      </w:r>
      <w:r w:rsidR="005C718D">
        <w:rPr>
          <w:lang w:val="fr-FR"/>
        </w:rPr>
        <w:t>’</w:t>
      </w:r>
      <w:r w:rsidR="007C6ED5" w:rsidRPr="005C718D">
        <w:rPr>
          <w:lang w:val="fr-FR"/>
        </w:rPr>
        <w:t>échange de rapport</w:t>
      </w:r>
      <w:r w:rsidR="009048CF" w:rsidRPr="005C718D">
        <w:rPr>
          <w:lang w:val="fr-FR"/>
        </w:rPr>
        <w:t>s</w:t>
      </w:r>
      <w:r w:rsidR="007C6ED5" w:rsidRPr="005C718D">
        <w:rPr>
          <w:lang w:val="fr-FR"/>
        </w:rPr>
        <w:t xml:space="preserve"> DHS </w:t>
      </w:r>
      <w:r w:rsidR="009048CF" w:rsidRPr="005C718D">
        <w:rPr>
          <w:lang w:val="fr-FR"/>
        </w:rPr>
        <w:t xml:space="preserve">relatifs aux variétés mutantes du pommier </w:t>
      </w:r>
      <w:r w:rsidR="007C6ED5" w:rsidRPr="005C718D">
        <w:rPr>
          <w:lang w:val="fr-FR"/>
        </w:rPr>
        <w:t>entre les services de protection des obtentions végétales</w:t>
      </w:r>
      <w:r w:rsidRPr="005C718D">
        <w:rPr>
          <w:lang w:val="fr-FR"/>
        </w:rPr>
        <w:t>.</w:t>
      </w:r>
    </w:p>
    <w:p w:rsidR="007557F1" w:rsidRPr="005C718D" w:rsidRDefault="007557F1" w:rsidP="007557F1">
      <w:pPr>
        <w:rPr>
          <w:lang w:val="fr-FR"/>
        </w:rPr>
      </w:pPr>
    </w:p>
    <w:p w:rsidR="007557F1" w:rsidRPr="005C718D" w:rsidRDefault="007557F1" w:rsidP="007557F1">
      <w:pPr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="007C6ED5" w:rsidRPr="005C718D">
        <w:rPr>
          <w:lang w:val="fr-FR"/>
        </w:rPr>
        <w:tab/>
        <w:t>L</w:t>
      </w:r>
      <w:r w:rsidR="005C718D">
        <w:rPr>
          <w:lang w:val="fr-FR"/>
        </w:rPr>
        <w:t>’</w:t>
      </w:r>
      <w:r w:rsidR="007C6ED5" w:rsidRPr="005C718D">
        <w:rPr>
          <w:lang w:val="fr-FR"/>
        </w:rPr>
        <w:t>Union européenne a informé</w:t>
      </w:r>
      <w:r w:rsidR="005C718D" w:rsidRPr="005C718D">
        <w:rPr>
          <w:lang w:val="fr-FR"/>
        </w:rPr>
        <w:t xml:space="preserve"> le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TWF</w:t>
      </w:r>
      <w:r w:rsidRPr="005C718D">
        <w:rPr>
          <w:lang w:val="fr-FR"/>
        </w:rPr>
        <w:t xml:space="preserve"> </w:t>
      </w:r>
      <w:r w:rsidR="007C6ED5" w:rsidRPr="005C718D">
        <w:rPr>
          <w:lang w:val="fr-FR"/>
        </w:rPr>
        <w:t>que des discussions étaient actuellement en cours au sein de l</w:t>
      </w:r>
      <w:r w:rsidR="005C718D">
        <w:rPr>
          <w:lang w:val="fr-FR"/>
        </w:rPr>
        <w:t>’</w:t>
      </w:r>
      <w:r w:rsidR="007C6ED5" w:rsidRPr="005C718D">
        <w:rPr>
          <w:lang w:val="fr-FR"/>
        </w:rPr>
        <w:t>Union européenne sur la possibilité d</w:t>
      </w:r>
      <w:r w:rsidR="005C718D">
        <w:rPr>
          <w:lang w:val="fr-FR"/>
        </w:rPr>
        <w:t>’</w:t>
      </w:r>
      <w:r w:rsidR="007C6ED5" w:rsidRPr="005C718D">
        <w:rPr>
          <w:lang w:val="fr-FR"/>
        </w:rPr>
        <w:t>examiner les demandes relatives aux variétés mutantes du pommier dans un lieu différent en raison de la forte influence de l</w:t>
      </w:r>
      <w:r w:rsidR="005C718D">
        <w:rPr>
          <w:lang w:val="fr-FR"/>
        </w:rPr>
        <w:t>’</w:t>
      </w:r>
      <w:r w:rsidRPr="005C718D">
        <w:rPr>
          <w:lang w:val="fr-FR"/>
        </w:rPr>
        <w:t>environ</w:t>
      </w:r>
      <w:r w:rsidR="007C6ED5" w:rsidRPr="005C718D">
        <w:rPr>
          <w:lang w:val="fr-FR"/>
        </w:rPr>
        <w:t>ne</w:t>
      </w:r>
      <w:r w:rsidRPr="005C718D">
        <w:rPr>
          <w:lang w:val="fr-FR"/>
        </w:rPr>
        <w:t xml:space="preserve">ment </w:t>
      </w:r>
      <w:r w:rsidR="007C6ED5" w:rsidRPr="005C718D">
        <w:rPr>
          <w:lang w:val="fr-FR"/>
        </w:rPr>
        <w:t>sur la couleur du fru</w:t>
      </w:r>
      <w:r w:rsidR="00E64434" w:rsidRPr="005C718D">
        <w:rPr>
          <w:lang w:val="fr-FR"/>
        </w:rPr>
        <w:t>it</w:t>
      </w:r>
      <w:r w:rsidR="00E64434">
        <w:rPr>
          <w:lang w:val="fr-FR"/>
        </w:rPr>
        <w:t xml:space="preserve">.  </w:t>
      </w:r>
      <w:r w:rsidR="00E64434" w:rsidRPr="005C718D">
        <w:rPr>
          <w:lang w:val="fr-FR"/>
        </w:rPr>
        <w:t>Il</w:t>
      </w:r>
      <w:r w:rsidR="007C6ED5" w:rsidRPr="005C718D">
        <w:rPr>
          <w:lang w:val="fr-FR"/>
        </w:rPr>
        <w:t xml:space="preserve"> a été </w:t>
      </w:r>
      <w:r w:rsidR="00582BA5" w:rsidRPr="005C718D">
        <w:rPr>
          <w:lang w:val="fr-FR"/>
        </w:rPr>
        <w:t>observé</w:t>
      </w:r>
      <w:r w:rsidR="007C6ED5" w:rsidRPr="005C718D">
        <w:rPr>
          <w:lang w:val="fr-FR"/>
        </w:rPr>
        <w:t xml:space="preserve"> que certaines variétés étaient cultivées dans un environnement très diffé</w:t>
      </w:r>
      <w:r w:rsidRPr="005C718D">
        <w:rPr>
          <w:lang w:val="fr-FR"/>
        </w:rPr>
        <w:t xml:space="preserve">rent </w:t>
      </w:r>
      <w:r w:rsidR="007C6ED5" w:rsidRPr="005C718D">
        <w:rPr>
          <w:lang w:val="fr-FR"/>
        </w:rPr>
        <w:t>des</w:t>
      </w:r>
      <w:r w:rsidRPr="005C718D">
        <w:rPr>
          <w:lang w:val="fr-FR"/>
        </w:rPr>
        <w:t xml:space="preserve"> conditions </w:t>
      </w:r>
      <w:r w:rsidR="007C6ED5" w:rsidRPr="005C718D">
        <w:rPr>
          <w:lang w:val="fr-FR"/>
        </w:rPr>
        <w:t xml:space="preserve">selon lesquelles </w:t>
      </w:r>
      <w:r w:rsidR="00582BA5" w:rsidRPr="005C718D">
        <w:rPr>
          <w:lang w:val="fr-FR"/>
        </w:rPr>
        <w:t>l</w:t>
      </w:r>
      <w:r w:rsidR="005C718D">
        <w:rPr>
          <w:lang w:val="fr-FR"/>
        </w:rPr>
        <w:t>’</w:t>
      </w:r>
      <w:r w:rsidR="00582BA5" w:rsidRPr="005C718D">
        <w:rPr>
          <w:lang w:val="fr-FR"/>
        </w:rPr>
        <w:t>examen</w:t>
      </w:r>
      <w:r w:rsidR="0055585E">
        <w:rPr>
          <w:lang w:val="fr-FR"/>
        </w:rPr>
        <w:t> </w:t>
      </w:r>
      <w:r w:rsidR="00582BA5" w:rsidRPr="005C718D">
        <w:rPr>
          <w:lang w:val="fr-FR"/>
        </w:rPr>
        <w:t>DHS était réalisé au sein d</w:t>
      </w:r>
      <w:r w:rsidR="005C718D">
        <w:rPr>
          <w:lang w:val="fr-FR"/>
        </w:rPr>
        <w:t>’</w:t>
      </w:r>
      <w:r w:rsidR="00582BA5" w:rsidRPr="005C718D">
        <w:rPr>
          <w:lang w:val="fr-FR"/>
        </w:rPr>
        <w:t>un système centrali</w:t>
      </w:r>
      <w:r w:rsidR="00E64434" w:rsidRPr="005C718D">
        <w:rPr>
          <w:lang w:val="fr-FR"/>
        </w:rPr>
        <w:t>sé</w:t>
      </w:r>
      <w:r w:rsidR="00E64434">
        <w:rPr>
          <w:lang w:val="fr-FR"/>
        </w:rPr>
        <w:t xml:space="preserve">.  </w:t>
      </w:r>
      <w:r w:rsidR="00E64434" w:rsidRPr="005C718D">
        <w:rPr>
          <w:lang w:val="fr-FR"/>
        </w:rPr>
        <w:t>Le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TWF</w:t>
      </w:r>
      <w:r w:rsidR="00582BA5" w:rsidRPr="005C718D">
        <w:rPr>
          <w:lang w:val="fr-FR"/>
        </w:rPr>
        <w:t xml:space="preserve"> a indiqué que, selon les orientations actuelles</w:t>
      </w:r>
      <w:r w:rsidRPr="005C718D">
        <w:rPr>
          <w:lang w:val="fr-FR"/>
        </w:rPr>
        <w:t xml:space="preserve"> </w:t>
      </w:r>
      <w:r w:rsidR="00582BA5" w:rsidRPr="005C718D">
        <w:rPr>
          <w:lang w:val="fr-FR"/>
        </w:rPr>
        <w:t>de l</w:t>
      </w:r>
      <w:r w:rsidR="005C718D">
        <w:rPr>
          <w:lang w:val="fr-FR"/>
        </w:rPr>
        <w:t>’</w:t>
      </w:r>
      <w:r w:rsidRPr="005C718D">
        <w:rPr>
          <w:lang w:val="fr-FR"/>
        </w:rPr>
        <w:t xml:space="preserve">UPOV </w:t>
      </w:r>
      <w:r w:rsidR="00582BA5" w:rsidRPr="005C718D">
        <w:rPr>
          <w:lang w:val="fr-FR"/>
        </w:rPr>
        <w:t>concernant les cultures fruitières, les essais étaient généralement réalisés à un seul</w:t>
      </w:r>
      <w:r w:rsidR="009048CF" w:rsidRPr="005C718D">
        <w:rPr>
          <w:lang w:val="fr-FR"/>
        </w:rPr>
        <w:t xml:space="preserve"> et même</w:t>
      </w:r>
      <w:r w:rsidR="00582BA5" w:rsidRPr="005C718D">
        <w:rPr>
          <w:lang w:val="fr-FR"/>
        </w:rPr>
        <w:t xml:space="preserve"> endroit et a estimé qu</w:t>
      </w:r>
      <w:r w:rsidR="005C718D">
        <w:rPr>
          <w:lang w:val="fr-FR"/>
        </w:rPr>
        <w:t>’</w:t>
      </w:r>
      <w:r w:rsidR="00582BA5" w:rsidRPr="005C718D">
        <w:rPr>
          <w:lang w:val="fr-FR"/>
        </w:rPr>
        <w:t>il ne serait pas judicieux de s</w:t>
      </w:r>
      <w:r w:rsidR="005C718D">
        <w:rPr>
          <w:lang w:val="fr-FR"/>
        </w:rPr>
        <w:t>’</w:t>
      </w:r>
      <w:r w:rsidR="00582BA5" w:rsidRPr="005C718D">
        <w:rPr>
          <w:lang w:val="fr-FR"/>
        </w:rPr>
        <w:t>écarter de ces orientations pour des cas particuliers</w:t>
      </w:r>
      <w:r w:rsidRPr="005C718D">
        <w:rPr>
          <w:lang w:val="fr-FR"/>
        </w:rPr>
        <w:t xml:space="preserve"> (</w:t>
      </w:r>
      <w:r w:rsidR="00582BA5" w:rsidRPr="005C718D">
        <w:rPr>
          <w:lang w:val="fr-FR"/>
        </w:rPr>
        <w:t>par exemple, pour les variétés mutantes de</w:t>
      </w:r>
      <w:r w:rsidR="009048CF" w:rsidRPr="005C718D">
        <w:rPr>
          <w:lang w:val="fr-FR"/>
        </w:rPr>
        <w:t xml:space="preserve"> g</w:t>
      </w:r>
      <w:r w:rsidRPr="005C718D">
        <w:rPr>
          <w:lang w:val="fr-FR"/>
        </w:rPr>
        <w:t>ala).</w:t>
      </w:r>
    </w:p>
    <w:p w:rsidR="007557F1" w:rsidRPr="005C718D" w:rsidRDefault="007557F1" w:rsidP="007557F1">
      <w:pPr>
        <w:rPr>
          <w:lang w:val="fr-FR"/>
        </w:rPr>
      </w:pPr>
    </w:p>
    <w:p w:rsidR="007557F1" w:rsidRPr="005C718D" w:rsidRDefault="007557F1" w:rsidP="007557F1">
      <w:pPr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="008753BA" w:rsidRPr="005C718D">
        <w:rPr>
          <w:lang w:val="fr-FR"/>
        </w:rPr>
        <w:tab/>
        <w:t>L</w:t>
      </w:r>
      <w:r w:rsidRPr="005C718D">
        <w:rPr>
          <w:lang w:val="fr-FR"/>
        </w:rPr>
        <w:t xml:space="preserve">e TWF </w:t>
      </w:r>
      <w:r w:rsidR="008753BA" w:rsidRPr="005C718D">
        <w:rPr>
          <w:lang w:val="fr-FR"/>
        </w:rPr>
        <w:t>a pris note des observations formulées par</w:t>
      </w:r>
      <w:r w:rsidRPr="005C718D">
        <w:rPr>
          <w:lang w:val="fr-FR"/>
        </w:rPr>
        <w:t xml:space="preserve"> </w:t>
      </w:r>
      <w:r w:rsidR="008753BA" w:rsidRPr="005C718D">
        <w:rPr>
          <w:lang w:val="fr-FR"/>
        </w:rPr>
        <w:t>l</w:t>
      </w:r>
      <w:r w:rsidR="005C718D">
        <w:rPr>
          <w:lang w:val="fr-FR"/>
        </w:rPr>
        <w:t>’</w:t>
      </w:r>
      <w:r w:rsidRPr="005C718D">
        <w:rPr>
          <w:lang w:val="fr-FR"/>
        </w:rPr>
        <w:t xml:space="preserve">expert </w:t>
      </w:r>
      <w:r w:rsidR="008753BA" w:rsidRPr="005C718D">
        <w:rPr>
          <w:lang w:val="fr-FR"/>
        </w:rPr>
        <w:t>de l</w:t>
      </w:r>
      <w:r w:rsidR="005C718D">
        <w:rPr>
          <w:lang w:val="fr-FR"/>
        </w:rPr>
        <w:t>’</w:t>
      </w:r>
      <w:r w:rsidR="008753BA" w:rsidRPr="005C718D">
        <w:rPr>
          <w:lang w:val="fr-FR"/>
        </w:rPr>
        <w:t xml:space="preserve">Union européenne selon lesquelles </w:t>
      </w:r>
      <w:r w:rsidR="00B50AD3" w:rsidRPr="005C718D">
        <w:rPr>
          <w:lang w:val="fr-FR"/>
        </w:rPr>
        <w:t>les mesures des caractères</w:t>
      </w:r>
      <w:r w:rsidRPr="005C718D">
        <w:rPr>
          <w:lang w:val="fr-FR"/>
        </w:rPr>
        <w:t xml:space="preserve"> (</w:t>
      </w:r>
      <w:r w:rsidR="008753BA" w:rsidRPr="005C718D">
        <w:rPr>
          <w:lang w:val="fr-FR"/>
        </w:rPr>
        <w:t>au lieu d</w:t>
      </w:r>
      <w:r w:rsidR="00B50AD3" w:rsidRPr="005C718D">
        <w:rPr>
          <w:lang w:val="fr-FR"/>
        </w:rPr>
        <w:t xml:space="preserve">es </w:t>
      </w:r>
      <w:r w:rsidR="008753BA" w:rsidRPr="005C718D">
        <w:rPr>
          <w:lang w:val="fr-FR"/>
        </w:rPr>
        <w:t>observations visuelles</w:t>
      </w:r>
      <w:r w:rsidRPr="005C718D">
        <w:rPr>
          <w:lang w:val="fr-FR"/>
        </w:rPr>
        <w:t xml:space="preserve">) </w:t>
      </w:r>
      <w:r w:rsidR="008753BA" w:rsidRPr="005C718D">
        <w:rPr>
          <w:lang w:val="fr-FR"/>
        </w:rPr>
        <w:t>s</w:t>
      </w:r>
      <w:r w:rsidR="005C718D">
        <w:rPr>
          <w:lang w:val="fr-FR"/>
        </w:rPr>
        <w:t>’</w:t>
      </w:r>
      <w:r w:rsidR="008753BA" w:rsidRPr="005C718D">
        <w:rPr>
          <w:lang w:val="fr-FR"/>
        </w:rPr>
        <w:t xml:space="preserve">étaient avérées utiles dans les procédures judiciaires basées sur les rapports </w:t>
      </w:r>
      <w:r w:rsidR="00E64434" w:rsidRPr="005C718D">
        <w:rPr>
          <w:lang w:val="fr-FR"/>
        </w:rPr>
        <w:t>DHS</w:t>
      </w:r>
      <w:r w:rsidR="00E64434">
        <w:rPr>
          <w:lang w:val="fr-FR"/>
        </w:rPr>
        <w:t xml:space="preserve">.  </w:t>
      </w:r>
      <w:r w:rsidR="00E64434" w:rsidRPr="005C718D">
        <w:rPr>
          <w:lang w:val="fr-FR"/>
        </w:rPr>
        <w:t>Le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TWF</w:t>
      </w:r>
      <w:r w:rsidRPr="005C718D">
        <w:rPr>
          <w:lang w:val="fr-FR"/>
        </w:rPr>
        <w:t xml:space="preserve"> </w:t>
      </w:r>
      <w:r w:rsidR="00B50AD3" w:rsidRPr="005C718D">
        <w:rPr>
          <w:lang w:val="fr-FR"/>
        </w:rPr>
        <w:t xml:space="preserve">a reconnu </w:t>
      </w:r>
      <w:r w:rsidR="008753BA" w:rsidRPr="005C718D">
        <w:rPr>
          <w:lang w:val="fr-FR"/>
        </w:rPr>
        <w:t>que l</w:t>
      </w:r>
      <w:r w:rsidR="005C718D">
        <w:rPr>
          <w:lang w:val="fr-FR"/>
        </w:rPr>
        <w:t>’</w:t>
      </w:r>
      <w:r w:rsidR="008753BA" w:rsidRPr="005C718D">
        <w:rPr>
          <w:lang w:val="fr-FR"/>
        </w:rPr>
        <w:t>analyse d</w:t>
      </w:r>
      <w:r w:rsidR="00B50AD3" w:rsidRPr="005C718D">
        <w:rPr>
          <w:lang w:val="fr-FR"/>
        </w:rPr>
        <w:t>es images pouvai</w:t>
      </w:r>
      <w:r w:rsidR="008753BA" w:rsidRPr="005C718D">
        <w:rPr>
          <w:lang w:val="fr-FR"/>
        </w:rPr>
        <w:t xml:space="preserve">t </w:t>
      </w:r>
      <w:r w:rsidR="00B50AD3" w:rsidRPr="005C718D">
        <w:rPr>
          <w:lang w:val="fr-FR"/>
        </w:rPr>
        <w:t>être prise en considération dans</w:t>
      </w:r>
      <w:r w:rsidRPr="005C718D">
        <w:rPr>
          <w:lang w:val="fr-FR"/>
        </w:rPr>
        <w:t xml:space="preserve"> </w:t>
      </w:r>
      <w:r w:rsidR="008753BA" w:rsidRPr="005C718D">
        <w:rPr>
          <w:lang w:val="fr-FR"/>
        </w:rPr>
        <w:t>l</w:t>
      </w:r>
      <w:r w:rsidR="005C718D">
        <w:rPr>
          <w:lang w:val="fr-FR"/>
        </w:rPr>
        <w:t>’</w:t>
      </w:r>
      <w:r w:rsidR="008753BA" w:rsidRPr="005C718D">
        <w:rPr>
          <w:lang w:val="fr-FR"/>
        </w:rPr>
        <w:t xml:space="preserve">observation de la </w:t>
      </w:r>
      <w:r w:rsidR="00B50AD3" w:rsidRPr="005C718D">
        <w:rPr>
          <w:lang w:val="fr-FR"/>
        </w:rPr>
        <w:t xml:space="preserve">couleur, mais </w:t>
      </w:r>
      <w:r w:rsidR="008753BA" w:rsidRPr="005C718D">
        <w:rPr>
          <w:lang w:val="fr-FR"/>
        </w:rPr>
        <w:t>a rappelé que les analyses statistiques</w:t>
      </w:r>
      <w:r w:rsidRPr="005C718D">
        <w:rPr>
          <w:lang w:val="fr-FR"/>
        </w:rPr>
        <w:t xml:space="preserve"> </w:t>
      </w:r>
      <w:r w:rsidR="008753BA" w:rsidRPr="005C718D">
        <w:rPr>
          <w:lang w:val="fr-FR"/>
        </w:rPr>
        <w:t>n</w:t>
      </w:r>
      <w:r w:rsidR="005C718D">
        <w:rPr>
          <w:lang w:val="fr-FR"/>
        </w:rPr>
        <w:t>’</w:t>
      </w:r>
      <w:r w:rsidR="008753BA" w:rsidRPr="005C718D">
        <w:rPr>
          <w:lang w:val="fr-FR"/>
        </w:rPr>
        <w:t>étaient pas fréquemment utilisées</w:t>
      </w:r>
      <w:r w:rsidRPr="005C718D">
        <w:rPr>
          <w:lang w:val="fr-FR"/>
        </w:rPr>
        <w:t xml:space="preserve"> </w:t>
      </w:r>
      <w:r w:rsidR="008753BA" w:rsidRPr="005C718D">
        <w:rPr>
          <w:lang w:val="fr-FR"/>
        </w:rPr>
        <w:t>dans l</w:t>
      </w:r>
      <w:r w:rsidR="005C718D">
        <w:rPr>
          <w:lang w:val="fr-FR"/>
        </w:rPr>
        <w:t>’</w:t>
      </w:r>
      <w:r w:rsidR="008753BA" w:rsidRPr="005C718D">
        <w:rPr>
          <w:lang w:val="fr-FR"/>
        </w:rPr>
        <w:t>examen</w:t>
      </w:r>
      <w:r w:rsidR="0055585E">
        <w:rPr>
          <w:lang w:val="fr-FR"/>
        </w:rPr>
        <w:t> </w:t>
      </w:r>
      <w:r w:rsidR="008753BA" w:rsidRPr="005C718D">
        <w:rPr>
          <w:lang w:val="fr-FR"/>
        </w:rPr>
        <w:t>DHS des cultures fruitières</w:t>
      </w:r>
      <w:r w:rsidRPr="005C718D">
        <w:rPr>
          <w:lang w:val="fr-FR"/>
        </w:rPr>
        <w:t>.</w:t>
      </w:r>
    </w:p>
    <w:p w:rsidR="007557F1" w:rsidRPr="005C718D" w:rsidRDefault="007557F1" w:rsidP="007557F1">
      <w:pPr>
        <w:rPr>
          <w:lang w:val="fr-FR"/>
        </w:rPr>
      </w:pPr>
    </w:p>
    <w:p w:rsidR="005C718D" w:rsidRDefault="007557F1" w:rsidP="007557F1">
      <w:pPr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="00354C71" w:rsidRPr="005C718D">
        <w:rPr>
          <w:lang w:val="fr-FR"/>
        </w:rPr>
        <w:tab/>
        <w:t>L</w:t>
      </w:r>
      <w:r w:rsidRPr="005C718D">
        <w:rPr>
          <w:lang w:val="fr-FR"/>
        </w:rPr>
        <w:t xml:space="preserve">e TWF </w:t>
      </w:r>
      <w:r w:rsidR="00354C71" w:rsidRPr="005C718D">
        <w:rPr>
          <w:lang w:val="fr-FR"/>
        </w:rPr>
        <w:t>a invité l</w:t>
      </w:r>
      <w:r w:rsidR="005C718D">
        <w:rPr>
          <w:lang w:val="fr-FR"/>
        </w:rPr>
        <w:t>’</w:t>
      </w:r>
      <w:r w:rsidR="00354C71" w:rsidRPr="005C718D">
        <w:rPr>
          <w:lang w:val="fr-FR"/>
        </w:rPr>
        <w:t>expert de l</w:t>
      </w:r>
      <w:r w:rsidR="005C718D">
        <w:rPr>
          <w:lang w:val="fr-FR"/>
        </w:rPr>
        <w:t>’</w:t>
      </w:r>
      <w:r w:rsidR="00354C71" w:rsidRPr="005C718D">
        <w:rPr>
          <w:lang w:val="fr-FR"/>
        </w:rPr>
        <w:t>Union européenne à élaborer, pour présentation à sa cinquante</w:t>
      </w:r>
      <w:r w:rsidR="005C718D">
        <w:rPr>
          <w:lang w:val="fr-FR"/>
        </w:rPr>
        <w:t> et unième session</w:t>
      </w:r>
      <w:r w:rsidR="00354C71" w:rsidRPr="005C718D">
        <w:rPr>
          <w:lang w:val="fr-FR"/>
        </w:rPr>
        <w:t>, un exposé sur les évolutions futures en matière d</w:t>
      </w:r>
      <w:r w:rsidR="005C718D">
        <w:rPr>
          <w:lang w:val="fr-FR"/>
        </w:rPr>
        <w:t>’</w:t>
      </w:r>
      <w:r w:rsidR="00354C71" w:rsidRPr="005C718D">
        <w:rPr>
          <w:lang w:val="fr-FR"/>
        </w:rPr>
        <w:t>examen</w:t>
      </w:r>
      <w:r w:rsidR="0055585E">
        <w:rPr>
          <w:lang w:val="fr-FR"/>
        </w:rPr>
        <w:t> </w:t>
      </w:r>
      <w:r w:rsidR="00354C71" w:rsidRPr="005C718D">
        <w:rPr>
          <w:lang w:val="fr-FR"/>
        </w:rPr>
        <w:t>DHS des variétés mutantes du pommier dans l</w:t>
      </w:r>
      <w:r w:rsidR="005C718D">
        <w:rPr>
          <w:lang w:val="fr-FR"/>
        </w:rPr>
        <w:t>’</w:t>
      </w:r>
      <w:r w:rsidR="00354C71" w:rsidRPr="005C718D">
        <w:rPr>
          <w:lang w:val="fr-FR"/>
        </w:rPr>
        <w:t>Union européenne</w:t>
      </w:r>
      <w:r w:rsidRPr="005C718D">
        <w:rPr>
          <w:lang w:val="fr-FR"/>
        </w:rPr>
        <w:t>.</w:t>
      </w:r>
    </w:p>
    <w:p w:rsidR="000D6D0A" w:rsidRPr="005C718D" w:rsidRDefault="000D6D0A" w:rsidP="0029690D">
      <w:pPr>
        <w:rPr>
          <w:lang w:val="fr-FR"/>
        </w:rPr>
      </w:pPr>
    </w:p>
    <w:p w:rsidR="0029690D" w:rsidRPr="005C718D" w:rsidRDefault="00AF137C" w:rsidP="0029690D">
      <w:pPr>
        <w:pStyle w:val="Heading2"/>
        <w:rPr>
          <w:lang w:val="fr-FR"/>
        </w:rPr>
      </w:pPr>
      <w:bookmarkStart w:id="19" w:name="_Toc20505084"/>
      <w:bookmarkStart w:id="20" w:name="_Toc22473827"/>
      <w:r w:rsidRPr="005C718D">
        <w:rPr>
          <w:lang w:val="fr-FR"/>
        </w:rPr>
        <w:t>Données d</w:t>
      </w:r>
      <w:r w:rsidR="005C718D">
        <w:rPr>
          <w:lang w:val="fr-FR"/>
        </w:rPr>
        <w:t>’</w:t>
      </w:r>
      <w:r w:rsidRPr="005C718D">
        <w:rPr>
          <w:lang w:val="fr-FR"/>
        </w:rPr>
        <w:t>expérience</w:t>
      </w:r>
      <w:r w:rsidR="0029690D" w:rsidRPr="005C718D">
        <w:rPr>
          <w:lang w:val="fr-FR"/>
        </w:rPr>
        <w:t xml:space="preserve"> </w:t>
      </w:r>
      <w:bookmarkEnd w:id="19"/>
      <w:r w:rsidRPr="005C718D">
        <w:rPr>
          <w:lang w:val="fr-FR"/>
        </w:rPr>
        <w:t>relatives à la définition des arbres, des arbustes et de la vigne</w:t>
      </w:r>
      <w:bookmarkEnd w:id="20"/>
    </w:p>
    <w:p w:rsidR="0029690D" w:rsidRPr="005C718D" w:rsidRDefault="0029690D" w:rsidP="0029690D">
      <w:pPr>
        <w:keepNext/>
        <w:rPr>
          <w:lang w:val="fr-FR"/>
        </w:rPr>
      </w:pPr>
    </w:p>
    <w:p w:rsidR="0029690D" w:rsidRPr="005C718D" w:rsidRDefault="0029690D" w:rsidP="0029690D">
      <w:pPr>
        <w:keepNext/>
        <w:autoSpaceDE w:val="0"/>
        <w:autoSpaceDN w:val="0"/>
        <w:adjustRightInd w:val="0"/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Pr="005C718D">
        <w:rPr>
          <w:lang w:val="fr-FR"/>
        </w:rPr>
        <w:tab/>
      </w:r>
      <w:r w:rsidR="00AF137C" w:rsidRPr="005C718D">
        <w:rPr>
          <w:lang w:val="fr-FR"/>
        </w:rPr>
        <w:t>À sa cinquante</w:t>
      </w:r>
      <w:r w:rsidR="005C718D">
        <w:rPr>
          <w:lang w:val="fr-FR"/>
        </w:rPr>
        <w:t> et unième session</w:t>
      </w:r>
      <w:r w:rsidR="00AF137C" w:rsidRPr="005C718D">
        <w:rPr>
          <w:lang w:val="fr-FR"/>
        </w:rPr>
        <w:t xml:space="preserve"> tenue à Christchurch (Nouvelle</w:t>
      </w:r>
      <w:r w:rsidR="005C718D">
        <w:rPr>
          <w:lang w:val="fr-FR"/>
        </w:rPr>
        <w:t>-</w:t>
      </w:r>
      <w:r w:rsidR="00AF137C" w:rsidRPr="005C718D">
        <w:rPr>
          <w:lang w:val="fr-FR"/>
        </w:rPr>
        <w:t>Zélande) du 18 au 22 février 2019,</w:t>
      </w:r>
      <w:r w:rsidR="005C718D" w:rsidRPr="005C718D">
        <w:rPr>
          <w:lang w:val="fr-FR"/>
        </w:rPr>
        <w:t xml:space="preserve"> le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TWO</w:t>
      </w:r>
      <w:r w:rsidRPr="005C718D">
        <w:rPr>
          <w:lang w:val="fr-FR"/>
        </w:rPr>
        <w:t xml:space="preserve"> </w:t>
      </w:r>
      <w:r w:rsidR="00AF137C" w:rsidRPr="005C718D">
        <w:rPr>
          <w:lang w:val="fr-FR"/>
        </w:rPr>
        <w:t>a assisté à un exposé intitulé</w:t>
      </w:r>
      <w:r w:rsidRPr="005C718D">
        <w:rPr>
          <w:lang w:val="fr-FR"/>
        </w:rPr>
        <w:t xml:space="preserve"> </w:t>
      </w:r>
      <w:r w:rsidRPr="005C718D">
        <w:rPr>
          <w:rFonts w:ascii="ArialMT" w:hAnsi="ArialMT" w:cs="ArialMT"/>
          <w:lang w:val="fr-FR"/>
        </w:rPr>
        <w:t>“</w:t>
      </w:r>
      <w:r w:rsidRPr="005C718D">
        <w:rPr>
          <w:lang w:val="fr-FR"/>
        </w:rPr>
        <w:t>Classification</w:t>
      </w:r>
      <w:r w:rsidR="0055585E">
        <w:rPr>
          <w:lang w:val="fr-FR"/>
        </w:rPr>
        <w:t> </w:t>
      </w:r>
      <w:r w:rsidRPr="005C718D">
        <w:rPr>
          <w:lang w:val="fr-FR"/>
        </w:rPr>
        <w:t xml:space="preserve">: </w:t>
      </w:r>
      <w:proofErr w:type="spellStart"/>
      <w:r w:rsidRPr="005C718D">
        <w:rPr>
          <w:lang w:val="fr-FR"/>
        </w:rPr>
        <w:t>Tree</w:t>
      </w:r>
      <w:proofErr w:type="spellEnd"/>
      <w:r w:rsidRPr="005C718D">
        <w:rPr>
          <w:lang w:val="fr-FR"/>
        </w:rPr>
        <w:t xml:space="preserve">/Vine versus </w:t>
      </w:r>
      <w:proofErr w:type="spellStart"/>
      <w:r w:rsidRPr="005C718D">
        <w:rPr>
          <w:lang w:val="fr-FR"/>
        </w:rPr>
        <w:t>Shrub</w:t>
      </w:r>
      <w:proofErr w:type="spellEnd"/>
      <w:r w:rsidRPr="005C718D">
        <w:rPr>
          <w:rFonts w:ascii="ArialMT" w:hAnsi="ArialMT" w:cs="ArialMT"/>
          <w:lang w:val="fr-FR"/>
        </w:rPr>
        <w:t xml:space="preserve">” </w:t>
      </w:r>
      <w:r w:rsidR="00AF137C" w:rsidRPr="005C718D">
        <w:rPr>
          <w:rFonts w:ascii="ArialMT" w:hAnsi="ArialMT" w:cs="ArialMT"/>
          <w:lang w:val="fr-FR"/>
        </w:rPr>
        <w:t>(Classification</w:t>
      </w:r>
      <w:r w:rsidR="005C718D">
        <w:rPr>
          <w:rFonts w:ascii="ArialMT" w:hAnsi="ArialMT" w:cs="ArialMT"/>
          <w:lang w:val="fr-FR"/>
        </w:rPr>
        <w:t> :</w:t>
      </w:r>
      <w:r w:rsidR="00AF137C" w:rsidRPr="005C718D">
        <w:rPr>
          <w:rFonts w:ascii="ArialMT" w:hAnsi="ArialMT" w:cs="ArialMT"/>
          <w:lang w:val="fr-FR"/>
        </w:rPr>
        <w:t xml:space="preserve"> arb</w:t>
      </w:r>
      <w:r w:rsidR="00B50AD3" w:rsidRPr="005C718D">
        <w:rPr>
          <w:rFonts w:ascii="ArialMT" w:hAnsi="ArialMT" w:cs="ArialMT"/>
          <w:lang w:val="fr-FR"/>
        </w:rPr>
        <w:t>re et vigne contre arbuste)</w:t>
      </w:r>
      <w:r w:rsidR="00AF137C" w:rsidRPr="005C718D">
        <w:rPr>
          <w:rFonts w:ascii="ArialMT" w:hAnsi="ArialMT" w:cs="ArialMT"/>
          <w:lang w:val="fr-FR"/>
        </w:rPr>
        <w:t xml:space="preserve"> présenté par un</w:t>
      </w:r>
      <w:r w:rsidRPr="005C718D">
        <w:rPr>
          <w:rFonts w:cs="Arial"/>
          <w:lang w:val="fr-FR"/>
        </w:rPr>
        <w:t xml:space="preserve"> expert </w:t>
      </w:r>
      <w:r w:rsidR="00AF137C" w:rsidRPr="005C718D">
        <w:rPr>
          <w:rFonts w:cs="Arial"/>
          <w:lang w:val="fr-FR"/>
        </w:rPr>
        <w:t>de l</w:t>
      </w:r>
      <w:r w:rsidR="005C718D">
        <w:rPr>
          <w:rFonts w:cs="Arial"/>
          <w:lang w:val="fr-FR"/>
        </w:rPr>
        <w:t>’</w:t>
      </w:r>
      <w:r w:rsidRPr="005C718D">
        <w:rPr>
          <w:rFonts w:cs="Arial"/>
          <w:lang w:val="fr-FR"/>
        </w:rPr>
        <w:t>Union</w:t>
      </w:r>
      <w:r w:rsidR="00AF137C" w:rsidRPr="005C718D">
        <w:rPr>
          <w:rFonts w:cs="Arial"/>
          <w:lang w:val="fr-FR"/>
        </w:rPr>
        <w:t xml:space="preserve"> européen</w:t>
      </w:r>
      <w:r w:rsidR="00E64434" w:rsidRPr="005C718D">
        <w:rPr>
          <w:rFonts w:cs="Arial"/>
          <w:lang w:val="fr-FR"/>
        </w:rPr>
        <w:t>ne</w:t>
      </w:r>
      <w:r w:rsidR="00E64434">
        <w:rPr>
          <w:rFonts w:cs="Arial"/>
          <w:lang w:val="fr-FR"/>
        </w:rPr>
        <w:t xml:space="preserve">.  </w:t>
      </w:r>
      <w:r w:rsidR="00E64434" w:rsidRPr="005C718D">
        <w:rPr>
          <w:lang w:val="fr-FR"/>
        </w:rPr>
        <w:t>Le</w:t>
      </w:r>
      <w:r w:rsidR="00AF137C" w:rsidRPr="005C718D">
        <w:rPr>
          <w:lang w:val="fr-FR"/>
        </w:rPr>
        <w:t xml:space="preserve"> texte de</w:t>
      </w:r>
      <w:r w:rsidRPr="005C718D">
        <w:rPr>
          <w:lang w:val="fr-FR"/>
        </w:rPr>
        <w:t xml:space="preserve"> </w:t>
      </w:r>
      <w:r w:rsidR="00300C95" w:rsidRPr="005C718D">
        <w:rPr>
          <w:lang w:val="fr-FR"/>
        </w:rPr>
        <w:t>l</w:t>
      </w:r>
      <w:r w:rsidR="005C718D">
        <w:rPr>
          <w:lang w:val="fr-FR"/>
        </w:rPr>
        <w:t>’</w:t>
      </w:r>
      <w:r w:rsidR="00300C95" w:rsidRPr="005C718D">
        <w:rPr>
          <w:lang w:val="fr-FR"/>
        </w:rPr>
        <w:t xml:space="preserve">exposé </w:t>
      </w:r>
      <w:r w:rsidR="00AF137C" w:rsidRPr="005C718D">
        <w:rPr>
          <w:lang w:val="fr-FR"/>
        </w:rPr>
        <w:t>e</w:t>
      </w:r>
      <w:r w:rsidRPr="005C718D">
        <w:rPr>
          <w:lang w:val="fr-FR"/>
        </w:rPr>
        <w:t>s</w:t>
      </w:r>
      <w:r w:rsidR="00AF137C" w:rsidRPr="005C718D">
        <w:rPr>
          <w:lang w:val="fr-FR"/>
        </w:rPr>
        <w:t>t reproduit dans le</w:t>
      </w:r>
      <w:r w:rsidRPr="005C718D">
        <w:rPr>
          <w:lang w:val="fr-FR"/>
        </w:rPr>
        <w:t xml:space="preserve"> </w:t>
      </w:r>
      <w:r w:rsidR="005C718D" w:rsidRPr="005C718D">
        <w:rPr>
          <w:lang w:val="fr-FR"/>
        </w:rPr>
        <w:t>document</w:t>
      </w:r>
      <w:r w:rsidR="005C718D">
        <w:rPr>
          <w:lang w:val="fr-FR"/>
        </w:rPr>
        <w:t xml:space="preserve"> </w:t>
      </w:r>
      <w:r w:rsidR="005C718D" w:rsidRPr="005C718D">
        <w:rPr>
          <w:lang w:val="fr-FR"/>
        </w:rPr>
        <w:t>TW</w:t>
      </w:r>
      <w:r w:rsidRPr="005C718D">
        <w:rPr>
          <w:lang w:val="fr-FR"/>
        </w:rPr>
        <w:t>O/51/9 “</w:t>
      </w:r>
      <w:proofErr w:type="spellStart"/>
      <w:r w:rsidRPr="005C718D">
        <w:rPr>
          <w:lang w:val="fr-FR"/>
        </w:rPr>
        <w:t>Experiences</w:t>
      </w:r>
      <w:proofErr w:type="spellEnd"/>
      <w:r w:rsidRPr="005C718D">
        <w:rPr>
          <w:lang w:val="fr-FR"/>
        </w:rPr>
        <w:t xml:space="preserve"> </w:t>
      </w:r>
      <w:proofErr w:type="spellStart"/>
      <w:r w:rsidRPr="005C718D">
        <w:rPr>
          <w:lang w:val="fr-FR"/>
        </w:rPr>
        <w:t>with</w:t>
      </w:r>
      <w:proofErr w:type="spellEnd"/>
      <w:r w:rsidRPr="005C718D">
        <w:rPr>
          <w:lang w:val="fr-FR"/>
        </w:rPr>
        <w:t xml:space="preserve"> </w:t>
      </w:r>
      <w:proofErr w:type="spellStart"/>
      <w:r w:rsidRPr="005C718D">
        <w:rPr>
          <w:lang w:val="fr-FR"/>
        </w:rPr>
        <w:t>defining</w:t>
      </w:r>
      <w:proofErr w:type="spellEnd"/>
      <w:r w:rsidRPr="005C718D">
        <w:rPr>
          <w:lang w:val="fr-FR"/>
        </w:rPr>
        <w:t xml:space="preserve"> </w:t>
      </w:r>
      <w:proofErr w:type="spellStart"/>
      <w:r w:rsidRPr="005C718D">
        <w:rPr>
          <w:lang w:val="fr-FR"/>
        </w:rPr>
        <w:t>trees</w:t>
      </w:r>
      <w:proofErr w:type="spellEnd"/>
      <w:r w:rsidRPr="005C718D">
        <w:rPr>
          <w:lang w:val="fr-FR"/>
        </w:rPr>
        <w:t xml:space="preserve">, </w:t>
      </w:r>
      <w:proofErr w:type="spellStart"/>
      <w:r w:rsidRPr="005C718D">
        <w:rPr>
          <w:lang w:val="fr-FR"/>
        </w:rPr>
        <w:t>shrubs</w:t>
      </w:r>
      <w:proofErr w:type="spellEnd"/>
      <w:r w:rsidRPr="005C718D">
        <w:rPr>
          <w:lang w:val="fr-FR"/>
        </w:rPr>
        <w:t xml:space="preserve"> and vines”</w:t>
      </w:r>
      <w:r w:rsidR="00AF137C" w:rsidRPr="005C718D">
        <w:rPr>
          <w:lang w:val="fr-FR"/>
        </w:rPr>
        <w:t xml:space="preserve"> (Données d</w:t>
      </w:r>
      <w:r w:rsidR="005C718D">
        <w:rPr>
          <w:lang w:val="fr-FR"/>
        </w:rPr>
        <w:t>’</w:t>
      </w:r>
      <w:r w:rsidR="00AF137C" w:rsidRPr="005C718D">
        <w:rPr>
          <w:lang w:val="fr-FR"/>
        </w:rPr>
        <w:t>expérience relatives à la définition des arbres, des arbustes et de la vigne)</w:t>
      </w:r>
      <w:r w:rsidRPr="005C718D">
        <w:rPr>
          <w:lang w:val="fr-FR"/>
        </w:rPr>
        <w:t xml:space="preserve"> </w:t>
      </w:r>
      <w:r w:rsidR="00AF137C" w:rsidRPr="005C718D">
        <w:rPr>
          <w:lang w:val="fr-FR"/>
        </w:rPr>
        <w:t xml:space="preserve">(voir les </w:t>
      </w:r>
      <w:r w:rsidR="005C718D" w:rsidRPr="005C718D">
        <w:rPr>
          <w:lang w:val="fr-FR"/>
        </w:rPr>
        <w:t>paragraphes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6</w:t>
      </w:r>
      <w:r w:rsidR="00AF137C" w:rsidRPr="005C718D">
        <w:rPr>
          <w:lang w:val="fr-FR"/>
        </w:rPr>
        <w:t>4 à 68</w:t>
      </w:r>
      <w:r w:rsidRPr="005C718D">
        <w:rPr>
          <w:lang w:val="fr-FR"/>
        </w:rPr>
        <w:t xml:space="preserve"> </w:t>
      </w:r>
      <w:r w:rsidR="00AF137C" w:rsidRPr="005C718D">
        <w:rPr>
          <w:lang w:val="fr-FR"/>
        </w:rPr>
        <w:t>du document TWO/51/12 “Report” (Compte rendu)</w:t>
      </w:r>
      <w:r w:rsidRPr="005C718D">
        <w:rPr>
          <w:lang w:val="fr-FR"/>
        </w:rPr>
        <w:t>).</w:t>
      </w:r>
    </w:p>
    <w:p w:rsidR="0029690D" w:rsidRPr="005C718D" w:rsidRDefault="0029690D" w:rsidP="0029690D">
      <w:pPr>
        <w:rPr>
          <w:lang w:val="fr-FR"/>
        </w:rPr>
      </w:pPr>
    </w:p>
    <w:p w:rsidR="0029690D" w:rsidRPr="005C718D" w:rsidRDefault="0029690D" w:rsidP="0029690D">
      <w:pPr>
        <w:keepNext/>
        <w:autoSpaceDE w:val="0"/>
        <w:autoSpaceDN w:val="0"/>
        <w:adjustRightInd w:val="0"/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="00AF137C" w:rsidRPr="005C718D">
        <w:rPr>
          <w:lang w:val="fr-FR"/>
        </w:rPr>
        <w:tab/>
        <w:t>L</w:t>
      </w:r>
      <w:r w:rsidRPr="005C718D">
        <w:rPr>
          <w:lang w:val="fr-FR"/>
        </w:rPr>
        <w:t xml:space="preserve">e TWO </w:t>
      </w:r>
      <w:r w:rsidR="00AF137C" w:rsidRPr="005C718D">
        <w:rPr>
          <w:lang w:val="fr-FR"/>
        </w:rPr>
        <w:t>a assisté à un exposé intitulé</w:t>
      </w:r>
      <w:r w:rsidRPr="005C718D">
        <w:rPr>
          <w:lang w:val="fr-FR"/>
        </w:rPr>
        <w:t xml:space="preserve"> </w:t>
      </w:r>
      <w:r w:rsidRPr="005C718D">
        <w:rPr>
          <w:rFonts w:ascii="ArialMT" w:hAnsi="ArialMT" w:cs="ArialMT"/>
          <w:lang w:val="fr-FR"/>
        </w:rPr>
        <w:t xml:space="preserve">“Classification of </w:t>
      </w:r>
      <w:proofErr w:type="spellStart"/>
      <w:r w:rsidRPr="005C718D">
        <w:rPr>
          <w:rFonts w:ascii="ArialMT" w:hAnsi="ArialMT" w:cs="ArialMT"/>
          <w:lang w:val="fr-FR"/>
        </w:rPr>
        <w:t>Trees</w:t>
      </w:r>
      <w:proofErr w:type="spellEnd"/>
      <w:r w:rsidRPr="005C718D">
        <w:rPr>
          <w:rFonts w:ascii="ArialMT" w:hAnsi="ArialMT" w:cs="ArialMT"/>
          <w:lang w:val="fr-FR"/>
        </w:rPr>
        <w:t xml:space="preserve"> and Vines in </w:t>
      </w:r>
      <w:proofErr w:type="spellStart"/>
      <w:r w:rsidRPr="005C718D">
        <w:rPr>
          <w:rFonts w:ascii="ArialMT" w:hAnsi="ArialMT" w:cs="ArialMT"/>
          <w:lang w:val="fr-FR"/>
        </w:rPr>
        <w:t>Australia</w:t>
      </w:r>
      <w:proofErr w:type="spellEnd"/>
      <w:r w:rsidRPr="005C718D">
        <w:rPr>
          <w:rFonts w:ascii="ArialMT" w:hAnsi="ArialMT" w:cs="ArialMT"/>
          <w:lang w:val="fr-FR"/>
        </w:rPr>
        <w:t xml:space="preserve">” </w:t>
      </w:r>
      <w:r w:rsidR="00AF137C" w:rsidRPr="005C718D">
        <w:rPr>
          <w:rFonts w:ascii="ArialMT" w:hAnsi="ArialMT" w:cs="ArialMT"/>
          <w:lang w:val="fr-FR"/>
        </w:rPr>
        <w:t>(Classification des arbres et des vignes en Australie) présenté par un</w:t>
      </w:r>
      <w:r w:rsidRPr="005C718D">
        <w:rPr>
          <w:rFonts w:cs="Arial"/>
          <w:lang w:val="fr-FR"/>
        </w:rPr>
        <w:t xml:space="preserve"> expert </w:t>
      </w:r>
      <w:r w:rsidR="00AF137C" w:rsidRPr="005C718D">
        <w:rPr>
          <w:rFonts w:cs="Arial"/>
          <w:lang w:val="fr-FR"/>
        </w:rPr>
        <w:t>d</w:t>
      </w:r>
      <w:r w:rsidR="005C718D">
        <w:rPr>
          <w:rFonts w:cs="Arial"/>
          <w:lang w:val="fr-FR"/>
        </w:rPr>
        <w:t>’</w:t>
      </w:r>
      <w:r w:rsidRPr="005C718D">
        <w:rPr>
          <w:rFonts w:cs="Arial"/>
          <w:lang w:val="fr-FR"/>
        </w:rPr>
        <w:t>Austral</w:t>
      </w:r>
      <w:r w:rsidR="00E64434" w:rsidRPr="005C718D">
        <w:rPr>
          <w:rFonts w:cs="Arial"/>
          <w:lang w:val="fr-FR"/>
        </w:rPr>
        <w:t>ie</w:t>
      </w:r>
      <w:r w:rsidR="00E64434">
        <w:rPr>
          <w:rFonts w:cs="Arial"/>
          <w:lang w:val="fr-FR"/>
        </w:rPr>
        <w:t xml:space="preserve">.  </w:t>
      </w:r>
      <w:r w:rsidR="00E64434" w:rsidRPr="005C718D">
        <w:rPr>
          <w:lang w:val="fr-FR"/>
        </w:rPr>
        <w:t>Le</w:t>
      </w:r>
      <w:r w:rsidR="00AF137C" w:rsidRPr="005C718D">
        <w:rPr>
          <w:lang w:val="fr-FR"/>
        </w:rPr>
        <w:t xml:space="preserve"> texte de l</w:t>
      </w:r>
      <w:r w:rsidR="005C718D">
        <w:rPr>
          <w:lang w:val="fr-FR"/>
        </w:rPr>
        <w:t>’</w:t>
      </w:r>
      <w:r w:rsidR="00AF137C" w:rsidRPr="005C718D">
        <w:rPr>
          <w:lang w:val="fr-FR"/>
        </w:rPr>
        <w:t>exposé est reproduit</w:t>
      </w:r>
      <w:r w:rsidR="00A71173" w:rsidRPr="005C718D">
        <w:rPr>
          <w:lang w:val="fr-FR"/>
        </w:rPr>
        <w:t xml:space="preserve"> dans un additif au</w:t>
      </w:r>
      <w:r w:rsidRPr="005C718D">
        <w:rPr>
          <w:lang w:val="fr-FR"/>
        </w:rPr>
        <w:t xml:space="preserve"> </w:t>
      </w:r>
      <w:r w:rsidR="005C718D" w:rsidRPr="005C718D">
        <w:rPr>
          <w:lang w:val="fr-FR"/>
        </w:rPr>
        <w:t>document</w:t>
      </w:r>
      <w:r w:rsidR="005C718D">
        <w:rPr>
          <w:lang w:val="fr-FR"/>
        </w:rPr>
        <w:t xml:space="preserve"> </w:t>
      </w:r>
      <w:r w:rsidR="005C718D" w:rsidRPr="005C718D">
        <w:rPr>
          <w:lang w:val="fr-FR"/>
        </w:rPr>
        <w:t>TW</w:t>
      </w:r>
      <w:r w:rsidRPr="005C718D">
        <w:rPr>
          <w:lang w:val="fr-FR"/>
        </w:rPr>
        <w:t>O/51/9.</w:t>
      </w:r>
    </w:p>
    <w:p w:rsidR="0029690D" w:rsidRPr="005C718D" w:rsidRDefault="0029690D" w:rsidP="0029690D">
      <w:pPr>
        <w:rPr>
          <w:lang w:val="fr-FR"/>
        </w:rPr>
      </w:pPr>
    </w:p>
    <w:p w:rsidR="005C718D" w:rsidRDefault="0029690D" w:rsidP="0029690D">
      <w:pPr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="00A71173" w:rsidRPr="005C718D">
        <w:rPr>
          <w:lang w:val="fr-FR"/>
        </w:rPr>
        <w:tab/>
        <w:t>L</w:t>
      </w:r>
      <w:r w:rsidRPr="005C718D">
        <w:rPr>
          <w:lang w:val="fr-FR"/>
        </w:rPr>
        <w:t xml:space="preserve">e TWO </w:t>
      </w:r>
      <w:r w:rsidR="00A71173" w:rsidRPr="005C718D">
        <w:rPr>
          <w:lang w:val="fr-FR"/>
        </w:rPr>
        <w:t>a noté qu</w:t>
      </w:r>
      <w:r w:rsidR="005C718D">
        <w:rPr>
          <w:lang w:val="fr-FR"/>
        </w:rPr>
        <w:t>’</w:t>
      </w:r>
      <w:r w:rsidR="00063EC7" w:rsidRPr="005C718D">
        <w:rPr>
          <w:lang w:val="fr-FR"/>
        </w:rPr>
        <w:t>il existait</w:t>
      </w:r>
      <w:r w:rsidR="00A71173" w:rsidRPr="005C718D">
        <w:rPr>
          <w:lang w:val="fr-FR"/>
        </w:rPr>
        <w:t xml:space="preserve"> des interprétations différentes parmi les membres de l</w:t>
      </w:r>
      <w:r w:rsidR="005C718D">
        <w:rPr>
          <w:lang w:val="fr-FR"/>
        </w:rPr>
        <w:t>’</w:t>
      </w:r>
      <w:r w:rsidR="00A71173" w:rsidRPr="005C718D">
        <w:rPr>
          <w:lang w:val="fr-FR"/>
        </w:rPr>
        <w:t xml:space="preserve">UPOV </w:t>
      </w:r>
      <w:r w:rsidR="00063EC7" w:rsidRPr="005C718D">
        <w:rPr>
          <w:lang w:val="fr-FR"/>
        </w:rPr>
        <w:t>en ce qui concerne les</w:t>
      </w:r>
      <w:r w:rsidR="00A71173" w:rsidRPr="005C718D">
        <w:rPr>
          <w:lang w:val="fr-FR"/>
        </w:rPr>
        <w:t xml:space="preserve"> </w:t>
      </w:r>
      <w:r w:rsidR="00063EC7" w:rsidRPr="005C718D">
        <w:rPr>
          <w:lang w:val="fr-FR"/>
        </w:rPr>
        <w:t>notions d</w:t>
      </w:r>
      <w:r w:rsidR="005C718D">
        <w:rPr>
          <w:lang w:val="fr-FR"/>
        </w:rPr>
        <w:t>’</w:t>
      </w:r>
      <w:r w:rsidR="00063EC7" w:rsidRPr="005C718D">
        <w:rPr>
          <w:lang w:val="fr-FR"/>
        </w:rPr>
        <w:t>ar</w:t>
      </w:r>
      <w:r w:rsidR="00300C95" w:rsidRPr="005C718D">
        <w:rPr>
          <w:lang w:val="fr-FR"/>
        </w:rPr>
        <w:t>bre et de vigne au</w:t>
      </w:r>
      <w:r w:rsidR="00063EC7" w:rsidRPr="005C718D">
        <w:rPr>
          <w:lang w:val="fr-FR"/>
        </w:rPr>
        <w:t xml:space="preserve"> </w:t>
      </w:r>
      <w:r w:rsidR="00300C95" w:rsidRPr="005C718D">
        <w:rPr>
          <w:lang w:val="fr-FR"/>
        </w:rPr>
        <w:t xml:space="preserve">titre </w:t>
      </w:r>
      <w:r w:rsidR="00063EC7" w:rsidRPr="005C718D">
        <w:rPr>
          <w:lang w:val="fr-FR"/>
        </w:rPr>
        <w:t>des dispositions relatives à la nouveauté</w:t>
      </w:r>
      <w:r w:rsidRPr="005C718D">
        <w:rPr>
          <w:lang w:val="fr-FR"/>
        </w:rPr>
        <w:t xml:space="preserve"> </w:t>
      </w:r>
      <w:r w:rsidR="00063EC7" w:rsidRPr="005C718D">
        <w:rPr>
          <w:lang w:val="fr-FR"/>
        </w:rPr>
        <w:t>et à la durée de la protection</w:t>
      </w:r>
      <w:r w:rsidRPr="005C718D">
        <w:rPr>
          <w:lang w:val="fr-FR"/>
        </w:rPr>
        <w:t>.</w:t>
      </w:r>
    </w:p>
    <w:p w:rsidR="0029690D" w:rsidRPr="005C718D" w:rsidRDefault="0029690D" w:rsidP="0029690D">
      <w:pPr>
        <w:rPr>
          <w:lang w:val="fr-FR"/>
        </w:rPr>
      </w:pPr>
    </w:p>
    <w:p w:rsidR="0029690D" w:rsidRPr="005C718D" w:rsidRDefault="0029690D" w:rsidP="0029690D">
      <w:pPr>
        <w:rPr>
          <w:lang w:val="fr-FR"/>
        </w:rPr>
      </w:pPr>
      <w:r w:rsidRPr="005C718D">
        <w:rPr>
          <w:lang w:val="fr-FR"/>
        </w:rPr>
        <w:lastRenderedPageBreak/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="00063EC7" w:rsidRPr="005C718D">
        <w:rPr>
          <w:lang w:val="fr-FR"/>
        </w:rPr>
        <w:tab/>
        <w:t>L</w:t>
      </w:r>
      <w:r w:rsidRPr="005C718D">
        <w:rPr>
          <w:lang w:val="fr-FR"/>
        </w:rPr>
        <w:t xml:space="preserve">e TWO </w:t>
      </w:r>
      <w:r w:rsidR="00300C95" w:rsidRPr="005C718D">
        <w:rPr>
          <w:lang w:val="fr-FR"/>
        </w:rPr>
        <w:t>a décidé</w:t>
      </w:r>
      <w:r w:rsidR="00063EC7" w:rsidRPr="005C718D">
        <w:rPr>
          <w:lang w:val="fr-FR"/>
        </w:rPr>
        <w:t xml:space="preserve"> de proposer d</w:t>
      </w:r>
      <w:r w:rsidR="005C718D">
        <w:rPr>
          <w:lang w:val="fr-FR"/>
        </w:rPr>
        <w:t>’</w:t>
      </w:r>
      <w:r w:rsidR="00063EC7" w:rsidRPr="005C718D">
        <w:rPr>
          <w:lang w:val="fr-FR"/>
        </w:rPr>
        <w:t xml:space="preserve">inviter les services à mettre à disposition la liste </w:t>
      </w:r>
      <w:r w:rsidR="00300C95" w:rsidRPr="005C718D">
        <w:rPr>
          <w:lang w:val="fr-FR"/>
        </w:rPr>
        <w:t>des genres et espèces considéré</w:t>
      </w:r>
      <w:r w:rsidR="00063EC7" w:rsidRPr="005C718D">
        <w:rPr>
          <w:lang w:val="fr-FR"/>
        </w:rPr>
        <w:t>s comme des arbres ou de la vigne via</w:t>
      </w:r>
      <w:r w:rsidRPr="005C718D">
        <w:rPr>
          <w:lang w:val="fr-FR"/>
        </w:rPr>
        <w:t xml:space="preserve"> UPOV PRI</w:t>
      </w:r>
      <w:r w:rsidR="00E64434" w:rsidRPr="005C718D">
        <w:rPr>
          <w:lang w:val="fr-FR"/>
        </w:rPr>
        <w:t>SMA</w:t>
      </w:r>
      <w:r w:rsidR="00E64434">
        <w:rPr>
          <w:lang w:val="fr-FR"/>
        </w:rPr>
        <w:t xml:space="preserve">.  </w:t>
      </w:r>
      <w:r w:rsidR="00E64434" w:rsidRPr="005C718D">
        <w:rPr>
          <w:lang w:val="fr-FR"/>
        </w:rPr>
        <w:t>Le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TWO</w:t>
      </w:r>
      <w:r w:rsidR="00063EC7" w:rsidRPr="005C718D">
        <w:rPr>
          <w:lang w:val="fr-FR"/>
        </w:rPr>
        <w:t xml:space="preserve"> </w:t>
      </w:r>
      <w:r w:rsidR="00300C95" w:rsidRPr="005C718D">
        <w:rPr>
          <w:lang w:val="fr-FR"/>
        </w:rPr>
        <w:t xml:space="preserve">a </w:t>
      </w:r>
      <w:r w:rsidR="00063EC7" w:rsidRPr="005C718D">
        <w:rPr>
          <w:lang w:val="fr-FR"/>
        </w:rPr>
        <w:t xml:space="preserve">également </w:t>
      </w:r>
      <w:r w:rsidR="00300C95" w:rsidRPr="005C718D">
        <w:rPr>
          <w:lang w:val="fr-FR"/>
        </w:rPr>
        <w:t xml:space="preserve">décidé </w:t>
      </w:r>
      <w:r w:rsidR="00063EC7" w:rsidRPr="005C718D">
        <w:rPr>
          <w:lang w:val="fr-FR"/>
        </w:rPr>
        <w:t>d</w:t>
      </w:r>
      <w:r w:rsidR="005C718D">
        <w:rPr>
          <w:lang w:val="fr-FR"/>
        </w:rPr>
        <w:t>’</w:t>
      </w:r>
      <w:r w:rsidRPr="005C718D">
        <w:rPr>
          <w:lang w:val="fr-FR"/>
        </w:rPr>
        <w:t>invite</w:t>
      </w:r>
      <w:r w:rsidR="00063EC7" w:rsidRPr="005C718D">
        <w:rPr>
          <w:lang w:val="fr-FR"/>
        </w:rPr>
        <w:t xml:space="preserve">r les services à lui rendre compte </w:t>
      </w:r>
      <w:r w:rsidR="00300C95" w:rsidRPr="005C718D">
        <w:rPr>
          <w:lang w:val="fr-FR"/>
        </w:rPr>
        <w:t>des informations fournies via</w:t>
      </w:r>
      <w:r w:rsidRPr="005C718D">
        <w:rPr>
          <w:lang w:val="fr-FR"/>
        </w:rPr>
        <w:t xml:space="preserve"> UPOV PRISMA</w:t>
      </w:r>
      <w:r w:rsidR="00300C95" w:rsidRPr="005C718D">
        <w:rPr>
          <w:lang w:val="fr-FR"/>
        </w:rPr>
        <w:t xml:space="preserve"> à sa prochaine session</w:t>
      </w:r>
      <w:r w:rsidRPr="005C718D">
        <w:rPr>
          <w:lang w:val="fr-FR"/>
        </w:rPr>
        <w:t>.</w:t>
      </w:r>
    </w:p>
    <w:p w:rsidR="0029690D" w:rsidRPr="005C718D" w:rsidRDefault="0029690D" w:rsidP="0029690D">
      <w:pPr>
        <w:rPr>
          <w:lang w:val="fr-FR"/>
        </w:rPr>
      </w:pPr>
    </w:p>
    <w:p w:rsidR="005C718D" w:rsidRDefault="0029690D" w:rsidP="0029690D">
      <w:pPr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="00063EC7" w:rsidRPr="005C718D">
        <w:rPr>
          <w:lang w:val="fr-FR"/>
        </w:rPr>
        <w:tab/>
        <w:t>L</w:t>
      </w:r>
      <w:r w:rsidRPr="005C718D">
        <w:rPr>
          <w:lang w:val="fr-FR"/>
        </w:rPr>
        <w:t>e TWO a</w:t>
      </w:r>
      <w:r w:rsidR="00063EC7" w:rsidRPr="005C718D">
        <w:rPr>
          <w:lang w:val="fr-FR"/>
        </w:rPr>
        <w:t xml:space="preserve"> estimé que</w:t>
      </w:r>
      <w:r w:rsidR="000C4B82" w:rsidRPr="005C718D">
        <w:rPr>
          <w:lang w:val="fr-FR"/>
        </w:rPr>
        <w:t>, si pour</w:t>
      </w:r>
      <w:r w:rsidRPr="005C718D">
        <w:rPr>
          <w:lang w:val="fr-FR"/>
        </w:rPr>
        <w:t xml:space="preserve"> certain</w:t>
      </w:r>
      <w:r w:rsidR="00063EC7" w:rsidRPr="005C718D">
        <w:rPr>
          <w:lang w:val="fr-FR"/>
        </w:rPr>
        <w:t xml:space="preserve">s genres et espèces il était </w:t>
      </w:r>
      <w:r w:rsidR="000C4B82" w:rsidRPr="005C718D">
        <w:rPr>
          <w:lang w:val="fr-FR"/>
        </w:rPr>
        <w:t>nécessaire</w:t>
      </w:r>
      <w:r w:rsidR="00063EC7" w:rsidRPr="005C718D">
        <w:rPr>
          <w:lang w:val="fr-FR"/>
        </w:rPr>
        <w:t xml:space="preserve"> </w:t>
      </w:r>
      <w:r w:rsidR="000C4B82" w:rsidRPr="005C718D">
        <w:rPr>
          <w:lang w:val="fr-FR"/>
        </w:rPr>
        <w:t>de décide</w:t>
      </w:r>
      <w:r w:rsidR="00063EC7" w:rsidRPr="005C718D">
        <w:rPr>
          <w:lang w:val="fr-FR"/>
        </w:rPr>
        <w:t>r s</w:t>
      </w:r>
      <w:r w:rsidR="000C4B82" w:rsidRPr="005C718D">
        <w:rPr>
          <w:lang w:val="fr-FR"/>
        </w:rPr>
        <w:t>i une variété en particulier devait être considérée comme étant un arbre ou de la vigne, cette décision ne pouvait être généralis</w:t>
      </w:r>
      <w:r w:rsidR="00E64434" w:rsidRPr="005C718D">
        <w:rPr>
          <w:lang w:val="fr-FR"/>
        </w:rPr>
        <w:t>ée</w:t>
      </w:r>
      <w:r w:rsidR="00E64434">
        <w:rPr>
          <w:lang w:val="fr-FR"/>
        </w:rPr>
        <w:t xml:space="preserve">.  </w:t>
      </w:r>
      <w:r w:rsidR="00E64434" w:rsidRPr="005C718D">
        <w:rPr>
          <w:lang w:val="fr-FR"/>
        </w:rPr>
        <w:t>Le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TWO</w:t>
      </w:r>
      <w:r w:rsidRPr="005C718D">
        <w:rPr>
          <w:lang w:val="fr-FR"/>
        </w:rPr>
        <w:t xml:space="preserve"> </w:t>
      </w:r>
      <w:r w:rsidR="00300C95" w:rsidRPr="005C718D">
        <w:rPr>
          <w:lang w:val="fr-FR"/>
        </w:rPr>
        <w:t xml:space="preserve">a décidé </w:t>
      </w:r>
      <w:r w:rsidR="000C4B82" w:rsidRPr="005C718D">
        <w:rPr>
          <w:lang w:val="fr-FR"/>
        </w:rPr>
        <w:t>de demander aux services de fournir les</w:t>
      </w:r>
      <w:r w:rsidRPr="005C718D">
        <w:rPr>
          <w:lang w:val="fr-FR"/>
        </w:rPr>
        <w:t xml:space="preserve"> information</w:t>
      </w:r>
      <w:r w:rsidR="000C4B82" w:rsidRPr="005C718D">
        <w:rPr>
          <w:lang w:val="fr-FR"/>
        </w:rPr>
        <w:t>s sur les genres et espèces qu</w:t>
      </w:r>
      <w:r w:rsidR="005C718D">
        <w:rPr>
          <w:lang w:val="fr-FR"/>
        </w:rPr>
        <w:t>’</w:t>
      </w:r>
      <w:r w:rsidR="000C4B82" w:rsidRPr="005C718D">
        <w:rPr>
          <w:lang w:val="fr-FR"/>
        </w:rPr>
        <w:t>ils souhaitent voir traités au cas par cas</w:t>
      </w:r>
      <w:r w:rsidRPr="005C718D">
        <w:rPr>
          <w:lang w:val="fr-FR"/>
        </w:rPr>
        <w:t>.</w:t>
      </w:r>
    </w:p>
    <w:p w:rsidR="00AA1C00" w:rsidRPr="005C718D" w:rsidRDefault="00AA1C00" w:rsidP="00AA1C00">
      <w:pPr>
        <w:rPr>
          <w:lang w:val="fr-FR"/>
        </w:rPr>
      </w:pPr>
    </w:p>
    <w:p w:rsidR="005C718D" w:rsidRDefault="000C4B82" w:rsidP="00AA1C00">
      <w:pPr>
        <w:pStyle w:val="Heading2"/>
        <w:rPr>
          <w:lang w:val="fr-FR"/>
        </w:rPr>
      </w:pPr>
      <w:bookmarkStart w:id="21" w:name="_Toc22473828"/>
      <w:r w:rsidRPr="005C718D">
        <w:rPr>
          <w:lang w:val="fr-FR"/>
        </w:rPr>
        <w:t>Définition</w:t>
      </w:r>
      <w:r w:rsidR="00387517" w:rsidRPr="005C718D">
        <w:rPr>
          <w:lang w:val="fr-FR"/>
        </w:rPr>
        <w:t xml:space="preserve"> du “cycle de végétation” d</w:t>
      </w:r>
      <w:r w:rsidRPr="005C718D">
        <w:rPr>
          <w:lang w:val="fr-FR"/>
        </w:rPr>
        <w:t>es variétés ornementales</w:t>
      </w:r>
      <w:bookmarkEnd w:id="21"/>
    </w:p>
    <w:p w:rsidR="00AA1C00" w:rsidRPr="005C718D" w:rsidRDefault="00AA1C00" w:rsidP="00AA1C00">
      <w:pPr>
        <w:rPr>
          <w:lang w:val="fr-FR"/>
        </w:rPr>
      </w:pPr>
    </w:p>
    <w:p w:rsidR="00AA1C00" w:rsidRPr="005C718D" w:rsidRDefault="00AA1C00" w:rsidP="00AA1C00">
      <w:pPr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="0054354A" w:rsidRPr="005C718D">
        <w:rPr>
          <w:lang w:val="fr-FR"/>
        </w:rPr>
        <w:tab/>
        <w:t>À sa cinquante</w:t>
      </w:r>
      <w:r w:rsidR="005C718D">
        <w:rPr>
          <w:lang w:val="fr-FR"/>
        </w:rPr>
        <w:t> et unième session</w:t>
      </w:r>
      <w:r w:rsidR="0054354A" w:rsidRPr="005C718D">
        <w:rPr>
          <w:lang w:val="fr-FR"/>
        </w:rPr>
        <w:t xml:space="preserve"> tenue à</w:t>
      </w:r>
      <w:r w:rsidRPr="005C718D">
        <w:rPr>
          <w:lang w:val="fr-FR"/>
        </w:rPr>
        <w:t xml:space="preserve"> </w:t>
      </w:r>
      <w:r w:rsidR="0029690D" w:rsidRPr="005C718D">
        <w:rPr>
          <w:rFonts w:cs="Arial"/>
          <w:lang w:val="fr-FR"/>
        </w:rPr>
        <w:t>Christchurch</w:t>
      </w:r>
      <w:r w:rsidR="0054354A" w:rsidRPr="005C718D">
        <w:rPr>
          <w:rFonts w:cs="Arial"/>
          <w:lang w:val="fr-FR"/>
        </w:rPr>
        <w:t xml:space="preserve"> (Nouvelle</w:t>
      </w:r>
      <w:r w:rsidR="005C718D">
        <w:rPr>
          <w:rFonts w:cs="Arial"/>
          <w:lang w:val="fr-FR"/>
        </w:rPr>
        <w:t>-</w:t>
      </w:r>
      <w:r w:rsidR="0054354A" w:rsidRPr="005C718D">
        <w:rPr>
          <w:rFonts w:cs="Arial"/>
          <w:lang w:val="fr-FR"/>
        </w:rPr>
        <w:t>Zélande) du</w:t>
      </w:r>
      <w:r w:rsidR="0029690D" w:rsidRPr="005C718D">
        <w:rPr>
          <w:rFonts w:cs="Arial"/>
          <w:lang w:val="fr-FR"/>
        </w:rPr>
        <w:t xml:space="preserve"> 18</w:t>
      </w:r>
      <w:r w:rsidR="0054354A" w:rsidRPr="005C718D">
        <w:rPr>
          <w:rFonts w:cs="Arial"/>
          <w:lang w:val="fr-FR"/>
        </w:rPr>
        <w:t xml:space="preserve"> au</w:t>
      </w:r>
      <w:r w:rsidR="0029690D" w:rsidRPr="005C718D">
        <w:rPr>
          <w:rFonts w:cs="Arial"/>
          <w:lang w:val="fr-FR"/>
        </w:rPr>
        <w:t xml:space="preserve"> 22</w:t>
      </w:r>
      <w:r w:rsidR="0054354A" w:rsidRPr="005C718D">
        <w:rPr>
          <w:rFonts w:cs="Arial"/>
          <w:lang w:val="fr-FR"/>
        </w:rPr>
        <w:t> février </w:t>
      </w:r>
      <w:r w:rsidR="0029690D" w:rsidRPr="005C718D">
        <w:rPr>
          <w:rFonts w:cs="Arial"/>
          <w:lang w:val="fr-FR"/>
        </w:rPr>
        <w:t>2019,</w:t>
      </w:r>
      <w:r w:rsidR="005C718D" w:rsidRPr="005C718D">
        <w:rPr>
          <w:rFonts w:cs="Arial"/>
          <w:lang w:val="fr-FR"/>
        </w:rPr>
        <w:t xml:space="preserve"> le</w:t>
      </w:r>
      <w:r w:rsidR="005C718D">
        <w:rPr>
          <w:rFonts w:cs="Arial"/>
          <w:lang w:val="fr-FR"/>
        </w:rPr>
        <w:t> </w:t>
      </w:r>
      <w:r w:rsidR="005C718D" w:rsidRPr="005C718D">
        <w:rPr>
          <w:rFonts w:cs="Arial"/>
          <w:lang w:val="fr-FR"/>
        </w:rPr>
        <w:t>TWO</w:t>
      </w:r>
      <w:r w:rsidR="0054354A" w:rsidRPr="005C718D">
        <w:rPr>
          <w:rFonts w:cs="Arial"/>
          <w:lang w:val="fr-FR"/>
        </w:rPr>
        <w:t xml:space="preserve"> a examiné le</w:t>
      </w:r>
      <w:r w:rsidR="00EC5623" w:rsidRPr="005C718D">
        <w:rPr>
          <w:rFonts w:cs="Arial"/>
          <w:lang w:val="fr-FR"/>
        </w:rPr>
        <w:t xml:space="preserve"> document</w:t>
      </w:r>
      <w:r w:rsidRPr="005C718D">
        <w:rPr>
          <w:lang w:val="fr-FR"/>
        </w:rPr>
        <w:t xml:space="preserve"> TWO/51/10</w:t>
      </w:r>
      <w:r w:rsidR="00EC5623" w:rsidRPr="005C718D">
        <w:rPr>
          <w:lang w:val="fr-FR"/>
        </w:rPr>
        <w:t xml:space="preserve"> intitulé</w:t>
      </w:r>
      <w:r w:rsidRPr="005C718D">
        <w:rPr>
          <w:lang w:val="fr-FR"/>
        </w:rPr>
        <w:t xml:space="preserve"> </w:t>
      </w:r>
      <w:r w:rsidR="0029690D" w:rsidRPr="005C718D">
        <w:rPr>
          <w:lang w:val="fr-FR"/>
        </w:rPr>
        <w:t>“</w:t>
      </w:r>
      <w:proofErr w:type="spellStart"/>
      <w:r w:rsidR="0029690D" w:rsidRPr="005C718D">
        <w:rPr>
          <w:lang w:val="fr-FR"/>
        </w:rPr>
        <w:t>Defining</w:t>
      </w:r>
      <w:proofErr w:type="spellEnd"/>
      <w:r w:rsidR="0029690D" w:rsidRPr="005C718D">
        <w:rPr>
          <w:lang w:val="fr-FR"/>
        </w:rPr>
        <w:t xml:space="preserve"> “</w:t>
      </w:r>
      <w:proofErr w:type="spellStart"/>
      <w:r w:rsidR="0029690D" w:rsidRPr="005C718D">
        <w:rPr>
          <w:lang w:val="fr-FR"/>
        </w:rPr>
        <w:t>growing</w:t>
      </w:r>
      <w:proofErr w:type="spellEnd"/>
      <w:r w:rsidR="0029690D" w:rsidRPr="005C718D">
        <w:rPr>
          <w:lang w:val="fr-FR"/>
        </w:rPr>
        <w:t xml:space="preserve"> cycle” for </w:t>
      </w:r>
      <w:proofErr w:type="spellStart"/>
      <w:r w:rsidR="0029690D" w:rsidRPr="005C718D">
        <w:rPr>
          <w:lang w:val="fr-FR"/>
        </w:rPr>
        <w:t>ornamental</w:t>
      </w:r>
      <w:proofErr w:type="spellEnd"/>
      <w:r w:rsidR="0029690D" w:rsidRPr="005C718D">
        <w:rPr>
          <w:lang w:val="fr-FR"/>
        </w:rPr>
        <w:t xml:space="preserve"> </w:t>
      </w:r>
      <w:proofErr w:type="spellStart"/>
      <w:r w:rsidR="0029690D" w:rsidRPr="005C718D">
        <w:rPr>
          <w:lang w:val="fr-FR"/>
        </w:rPr>
        <w:t>species</w:t>
      </w:r>
      <w:proofErr w:type="spellEnd"/>
      <w:r w:rsidR="0029690D" w:rsidRPr="005C718D">
        <w:rPr>
          <w:lang w:val="fr-FR"/>
        </w:rPr>
        <w:t xml:space="preserve">” </w:t>
      </w:r>
      <w:r w:rsidR="00EC5623" w:rsidRPr="005C718D">
        <w:rPr>
          <w:lang w:val="fr-FR"/>
        </w:rPr>
        <w:t>(Définition du “cycle de végétation”</w:t>
      </w:r>
      <w:r w:rsidR="00387517" w:rsidRPr="005C718D">
        <w:rPr>
          <w:lang w:val="fr-FR"/>
        </w:rPr>
        <w:t xml:space="preserve"> d</w:t>
      </w:r>
      <w:r w:rsidR="00EC5623" w:rsidRPr="005C718D">
        <w:rPr>
          <w:lang w:val="fr-FR"/>
        </w:rPr>
        <w:t xml:space="preserve">es variétés ornementales) </w:t>
      </w:r>
      <w:r w:rsidR="00E6777A" w:rsidRPr="005C718D">
        <w:rPr>
          <w:lang w:val="fr-FR"/>
        </w:rPr>
        <w:t>(</w:t>
      </w:r>
      <w:r w:rsidR="00EC5623" w:rsidRPr="005C718D">
        <w:rPr>
          <w:lang w:val="fr-FR"/>
        </w:rPr>
        <w:t xml:space="preserve">voir les </w:t>
      </w:r>
      <w:r w:rsidR="005C718D" w:rsidRPr="005C718D">
        <w:rPr>
          <w:lang w:val="fr-FR"/>
        </w:rPr>
        <w:t>paragraphes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6</w:t>
      </w:r>
      <w:r w:rsidR="00EC5623" w:rsidRPr="005C718D">
        <w:rPr>
          <w:lang w:val="fr-FR"/>
        </w:rPr>
        <w:t>2 et 63</w:t>
      </w:r>
      <w:r w:rsidR="00E6777A" w:rsidRPr="005C718D">
        <w:rPr>
          <w:lang w:val="fr-FR"/>
        </w:rPr>
        <w:t xml:space="preserve"> </w:t>
      </w:r>
      <w:r w:rsidR="00EC5623" w:rsidRPr="005C718D">
        <w:rPr>
          <w:lang w:val="fr-FR"/>
        </w:rPr>
        <w:t xml:space="preserve">du </w:t>
      </w:r>
      <w:r w:rsidR="005C718D" w:rsidRPr="005C718D">
        <w:rPr>
          <w:lang w:val="fr-FR"/>
        </w:rPr>
        <w:t>document</w:t>
      </w:r>
      <w:r w:rsidR="005C718D">
        <w:rPr>
          <w:lang w:val="fr-FR"/>
        </w:rPr>
        <w:t xml:space="preserve"> </w:t>
      </w:r>
      <w:r w:rsidR="005C718D" w:rsidRPr="005C718D">
        <w:rPr>
          <w:lang w:val="fr-FR"/>
        </w:rPr>
        <w:t>TW</w:t>
      </w:r>
      <w:r w:rsidR="00E6777A" w:rsidRPr="005C718D">
        <w:rPr>
          <w:lang w:val="fr-FR"/>
        </w:rPr>
        <w:t>O/51/12 “Report”</w:t>
      </w:r>
      <w:r w:rsidR="00EC5623" w:rsidRPr="005C718D">
        <w:rPr>
          <w:lang w:val="fr-FR"/>
        </w:rPr>
        <w:t xml:space="preserve"> (Compte rendu)</w:t>
      </w:r>
      <w:r w:rsidRPr="005C718D">
        <w:rPr>
          <w:lang w:val="fr-FR"/>
        </w:rPr>
        <w:t>).</w:t>
      </w:r>
    </w:p>
    <w:p w:rsidR="00AA1C00" w:rsidRPr="005C718D" w:rsidRDefault="00AA1C00" w:rsidP="00AA1C00">
      <w:pPr>
        <w:rPr>
          <w:lang w:val="fr-FR"/>
        </w:rPr>
      </w:pPr>
    </w:p>
    <w:p w:rsidR="005C718D" w:rsidRDefault="00AA1C00" w:rsidP="00AA1C00">
      <w:pPr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="00EC5623" w:rsidRPr="005C718D">
        <w:rPr>
          <w:lang w:val="fr-FR"/>
        </w:rPr>
        <w:tab/>
        <w:t>L</w:t>
      </w:r>
      <w:r w:rsidRPr="005C718D">
        <w:rPr>
          <w:lang w:val="fr-FR"/>
        </w:rPr>
        <w:t xml:space="preserve">e TWO </w:t>
      </w:r>
      <w:r w:rsidR="00EC5623" w:rsidRPr="005C718D">
        <w:rPr>
          <w:lang w:val="fr-FR"/>
        </w:rPr>
        <w:t>a rappelé que le</w:t>
      </w:r>
      <w:r w:rsidR="005C718D">
        <w:rPr>
          <w:lang w:val="fr-FR"/>
        </w:rPr>
        <w:t> TC</w:t>
      </w:r>
      <w:r w:rsidRPr="005C718D">
        <w:rPr>
          <w:lang w:val="fr-FR"/>
        </w:rPr>
        <w:t xml:space="preserve"> </w:t>
      </w:r>
      <w:r w:rsidR="00EC5623" w:rsidRPr="005C718D">
        <w:rPr>
          <w:lang w:val="fr-FR"/>
        </w:rPr>
        <w:t>était convenu d</w:t>
      </w:r>
      <w:r w:rsidR="005C718D">
        <w:rPr>
          <w:lang w:val="fr-FR"/>
        </w:rPr>
        <w:t>’</w:t>
      </w:r>
      <w:r w:rsidR="00EC5623" w:rsidRPr="005C718D">
        <w:rPr>
          <w:lang w:val="fr-FR"/>
        </w:rPr>
        <w:t>ajouter dans les principes directeurs d</w:t>
      </w:r>
      <w:r w:rsidR="005C718D">
        <w:rPr>
          <w:lang w:val="fr-FR"/>
        </w:rPr>
        <w:t>’</w:t>
      </w:r>
      <w:r w:rsidR="00EC5623" w:rsidRPr="005C718D">
        <w:rPr>
          <w:lang w:val="fr-FR"/>
        </w:rPr>
        <w:t>examen</w:t>
      </w:r>
      <w:r w:rsidRPr="005C718D">
        <w:rPr>
          <w:lang w:val="fr-FR"/>
        </w:rPr>
        <w:t xml:space="preserve"> </w:t>
      </w:r>
      <w:r w:rsidR="00EC5623" w:rsidRPr="005C718D">
        <w:rPr>
          <w:lang w:val="fr-FR"/>
        </w:rPr>
        <w:t xml:space="preserve">une </w:t>
      </w:r>
      <w:r w:rsidR="00B86EE2" w:rsidRPr="005C718D">
        <w:rPr>
          <w:lang w:val="fr-FR"/>
        </w:rPr>
        <w:t>règle</w:t>
      </w:r>
      <w:r w:rsidR="00EC5623" w:rsidRPr="005C718D">
        <w:rPr>
          <w:lang w:val="fr-FR"/>
        </w:rPr>
        <w:t xml:space="preserve"> selon laquelle</w:t>
      </w:r>
      <w:r w:rsidRPr="005C718D">
        <w:rPr>
          <w:lang w:val="fr-FR"/>
        </w:rPr>
        <w:t xml:space="preserve"> “</w:t>
      </w:r>
      <w:r w:rsidR="00300C95" w:rsidRPr="005C718D">
        <w:rPr>
          <w:lang w:val="fr-FR"/>
        </w:rPr>
        <w:t>l</w:t>
      </w:r>
      <w:r w:rsidR="005C718D">
        <w:rPr>
          <w:lang w:val="fr-FR"/>
        </w:rPr>
        <w:t>’</w:t>
      </w:r>
      <w:r w:rsidR="00EC5623" w:rsidRPr="005C718D">
        <w:rPr>
          <w:lang w:val="fr-FR"/>
        </w:rPr>
        <w:t>examen d</w:t>
      </w:r>
      <w:r w:rsidR="005C718D">
        <w:rPr>
          <w:lang w:val="fr-FR"/>
        </w:rPr>
        <w:t>’</w:t>
      </w:r>
      <w:r w:rsidR="00EC5623" w:rsidRPr="005C718D">
        <w:rPr>
          <w:lang w:val="fr-FR"/>
        </w:rPr>
        <w:t>une variété peut être achevé quand le service compétent peut déterminer avec certitude le résultat de l</w:t>
      </w:r>
      <w:r w:rsidR="005C718D">
        <w:rPr>
          <w:lang w:val="fr-FR"/>
        </w:rPr>
        <w:t>’</w:t>
      </w:r>
      <w:r w:rsidR="00EC5623" w:rsidRPr="005C718D">
        <w:rPr>
          <w:lang w:val="fr-FR"/>
        </w:rPr>
        <w:t>examen</w:t>
      </w:r>
      <w:r w:rsidRPr="005C718D">
        <w:rPr>
          <w:lang w:val="fr-FR"/>
        </w:rPr>
        <w:t xml:space="preserve">”. </w:t>
      </w:r>
      <w:r w:rsidR="005C718D" w:rsidRPr="005C718D">
        <w:rPr>
          <w:lang w:val="fr-FR"/>
        </w:rPr>
        <w:t xml:space="preserve"> Le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TWO</w:t>
      </w:r>
      <w:r w:rsidRPr="005C718D">
        <w:rPr>
          <w:lang w:val="fr-FR"/>
        </w:rPr>
        <w:t xml:space="preserve"> </w:t>
      </w:r>
      <w:r w:rsidR="00B86EE2" w:rsidRPr="005C718D">
        <w:rPr>
          <w:lang w:val="fr-FR"/>
        </w:rPr>
        <w:t>a estimé qu</w:t>
      </w:r>
      <w:r w:rsidR="005C718D">
        <w:rPr>
          <w:lang w:val="fr-FR"/>
        </w:rPr>
        <w:t>’</w:t>
      </w:r>
      <w:r w:rsidR="00B86EE2" w:rsidRPr="005C718D">
        <w:rPr>
          <w:lang w:val="fr-FR"/>
        </w:rPr>
        <w:t>il n</w:t>
      </w:r>
      <w:r w:rsidR="005C718D">
        <w:rPr>
          <w:lang w:val="fr-FR"/>
        </w:rPr>
        <w:t>’</w:t>
      </w:r>
      <w:r w:rsidR="00B86EE2" w:rsidRPr="005C718D">
        <w:rPr>
          <w:lang w:val="fr-FR"/>
        </w:rPr>
        <w:t>était pas nécessaire d</w:t>
      </w:r>
      <w:r w:rsidR="005C718D">
        <w:rPr>
          <w:lang w:val="fr-FR"/>
        </w:rPr>
        <w:t>’</w:t>
      </w:r>
      <w:r w:rsidR="00B86EE2" w:rsidRPr="005C718D">
        <w:rPr>
          <w:lang w:val="fr-FR"/>
        </w:rPr>
        <w:t>établir une distinction entre</w:t>
      </w:r>
      <w:r w:rsidRPr="005C718D">
        <w:rPr>
          <w:lang w:val="fr-FR"/>
        </w:rPr>
        <w:t xml:space="preserve"> “cycle</w:t>
      </w:r>
      <w:r w:rsidR="00B86EE2" w:rsidRPr="005C718D">
        <w:rPr>
          <w:lang w:val="fr-FR"/>
        </w:rPr>
        <w:t xml:space="preserve"> de végétation</w:t>
      </w:r>
      <w:r w:rsidRPr="005C718D">
        <w:rPr>
          <w:lang w:val="fr-FR"/>
        </w:rPr>
        <w:t xml:space="preserve">” </w:t>
      </w:r>
      <w:r w:rsidR="00B86EE2" w:rsidRPr="005C718D">
        <w:rPr>
          <w:lang w:val="fr-FR"/>
        </w:rPr>
        <w:t>et “</w:t>
      </w:r>
      <w:r w:rsidRPr="005C718D">
        <w:rPr>
          <w:lang w:val="fr-FR"/>
        </w:rPr>
        <w:t>cycle</w:t>
      </w:r>
      <w:r w:rsidR="00B86EE2" w:rsidRPr="005C718D">
        <w:rPr>
          <w:lang w:val="fr-FR"/>
        </w:rPr>
        <w:t xml:space="preserve"> d</w:t>
      </w:r>
      <w:r w:rsidR="005C718D">
        <w:rPr>
          <w:lang w:val="fr-FR"/>
        </w:rPr>
        <w:t>’</w:t>
      </w:r>
      <w:r w:rsidR="00B86EE2" w:rsidRPr="005C718D">
        <w:rPr>
          <w:lang w:val="fr-FR"/>
        </w:rPr>
        <w:t>examen</w:t>
      </w:r>
      <w:r w:rsidRPr="005C718D">
        <w:rPr>
          <w:lang w:val="fr-FR"/>
        </w:rPr>
        <w:t xml:space="preserve">” </w:t>
      </w:r>
      <w:r w:rsidR="00B86EE2" w:rsidRPr="005C718D">
        <w:rPr>
          <w:lang w:val="fr-FR"/>
        </w:rPr>
        <w:t>aux fins de l</w:t>
      </w:r>
      <w:r w:rsidR="005C718D">
        <w:rPr>
          <w:lang w:val="fr-FR"/>
        </w:rPr>
        <w:t>’</w:t>
      </w:r>
      <w:r w:rsidR="00B86EE2" w:rsidRPr="005C718D">
        <w:rPr>
          <w:lang w:val="fr-FR"/>
        </w:rPr>
        <w:t>examen des variétés ornementales à ce stade</w:t>
      </w:r>
      <w:r w:rsidRPr="005C718D">
        <w:rPr>
          <w:lang w:val="fr-FR"/>
        </w:rPr>
        <w:t>.</w:t>
      </w:r>
    </w:p>
    <w:p w:rsidR="00AA1C00" w:rsidRPr="005C718D" w:rsidRDefault="00AA1C00" w:rsidP="00AA1C00">
      <w:pPr>
        <w:rPr>
          <w:lang w:val="fr-FR"/>
        </w:rPr>
      </w:pPr>
    </w:p>
    <w:p w:rsidR="00AA1C00" w:rsidRPr="005C718D" w:rsidRDefault="000C4B82" w:rsidP="00AA1C00">
      <w:pPr>
        <w:pStyle w:val="Heading2"/>
        <w:rPr>
          <w:lang w:val="fr-FR"/>
        </w:rPr>
      </w:pPr>
      <w:bookmarkStart w:id="22" w:name="_Toc22473829"/>
      <w:r w:rsidRPr="005C718D">
        <w:rPr>
          <w:lang w:val="fr-FR"/>
        </w:rPr>
        <w:t>Données d</w:t>
      </w:r>
      <w:r w:rsidR="005C718D">
        <w:rPr>
          <w:lang w:val="fr-FR"/>
        </w:rPr>
        <w:t>’</w:t>
      </w:r>
      <w:r w:rsidRPr="005C718D">
        <w:rPr>
          <w:lang w:val="fr-FR"/>
        </w:rPr>
        <w:t>expérience relatives aux caractères évalués sur la base d</w:t>
      </w:r>
      <w:r w:rsidR="005C718D">
        <w:rPr>
          <w:lang w:val="fr-FR"/>
        </w:rPr>
        <w:t>’</w:t>
      </w:r>
      <w:r w:rsidRPr="005C718D">
        <w:rPr>
          <w:lang w:val="fr-FR"/>
        </w:rPr>
        <w:t>échantillons globaux</w:t>
      </w:r>
      <w:bookmarkEnd w:id="22"/>
    </w:p>
    <w:p w:rsidR="00AA1C00" w:rsidRPr="005C718D" w:rsidRDefault="00AA1C00" w:rsidP="00AA1C00">
      <w:pPr>
        <w:keepNext/>
        <w:rPr>
          <w:lang w:val="fr-FR"/>
        </w:rPr>
      </w:pPr>
    </w:p>
    <w:p w:rsidR="00AA1C00" w:rsidRPr="005C718D" w:rsidRDefault="00AA1C00" w:rsidP="00AA1C00">
      <w:pPr>
        <w:keepNext/>
        <w:autoSpaceDE w:val="0"/>
        <w:autoSpaceDN w:val="0"/>
        <w:adjustRightInd w:val="0"/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Pr="005C718D">
        <w:rPr>
          <w:lang w:val="fr-FR"/>
        </w:rPr>
        <w:tab/>
      </w:r>
      <w:r w:rsidR="00B86EE2" w:rsidRPr="005C718D">
        <w:rPr>
          <w:lang w:val="fr-FR"/>
        </w:rPr>
        <w:t>À sa cinquante</w:t>
      </w:r>
      <w:r w:rsidR="005C718D">
        <w:rPr>
          <w:lang w:val="fr-FR"/>
        </w:rPr>
        <w:t> et unième session</w:t>
      </w:r>
      <w:r w:rsidR="00B86EE2" w:rsidRPr="005C718D">
        <w:rPr>
          <w:lang w:val="fr-FR"/>
        </w:rPr>
        <w:t xml:space="preserve"> tenue à </w:t>
      </w:r>
      <w:r w:rsidR="00B86EE2" w:rsidRPr="005C718D">
        <w:rPr>
          <w:rFonts w:cs="Arial"/>
          <w:lang w:val="fr-FR"/>
        </w:rPr>
        <w:t>Christchurch (Nouvelle</w:t>
      </w:r>
      <w:r w:rsidR="005C718D">
        <w:rPr>
          <w:rFonts w:cs="Arial"/>
          <w:lang w:val="fr-FR"/>
        </w:rPr>
        <w:t>-</w:t>
      </w:r>
      <w:r w:rsidR="00B86EE2" w:rsidRPr="005C718D">
        <w:rPr>
          <w:rFonts w:cs="Arial"/>
          <w:lang w:val="fr-FR"/>
        </w:rPr>
        <w:t>Zélande) du 18 au 22 février 2019,</w:t>
      </w:r>
      <w:r w:rsidR="005C718D" w:rsidRPr="005C718D">
        <w:rPr>
          <w:rFonts w:cs="Arial"/>
          <w:lang w:val="fr-FR"/>
        </w:rPr>
        <w:t xml:space="preserve"> le</w:t>
      </w:r>
      <w:r w:rsidR="005C718D">
        <w:rPr>
          <w:rFonts w:cs="Arial"/>
          <w:lang w:val="fr-FR"/>
        </w:rPr>
        <w:t> </w:t>
      </w:r>
      <w:r w:rsidR="005C718D" w:rsidRPr="005C718D">
        <w:rPr>
          <w:rFonts w:cs="Arial"/>
          <w:lang w:val="fr-FR"/>
        </w:rPr>
        <w:t>TWO</w:t>
      </w:r>
      <w:r w:rsidR="00B86EE2" w:rsidRPr="005C718D">
        <w:rPr>
          <w:rFonts w:cs="Arial"/>
          <w:lang w:val="fr-FR"/>
        </w:rPr>
        <w:t xml:space="preserve"> a assisté à un exposé intitulé</w:t>
      </w:r>
      <w:r w:rsidRPr="005C718D">
        <w:rPr>
          <w:lang w:val="fr-FR"/>
        </w:rPr>
        <w:t xml:space="preserve"> </w:t>
      </w:r>
      <w:r w:rsidRPr="005C718D">
        <w:rPr>
          <w:rFonts w:ascii="ArialMT" w:hAnsi="ArialMT" w:cs="ArialMT"/>
          <w:lang w:val="fr-FR"/>
        </w:rPr>
        <w:t>“</w:t>
      </w:r>
      <w:proofErr w:type="spellStart"/>
      <w:r w:rsidRPr="005C718D">
        <w:rPr>
          <w:rFonts w:cs="Arial"/>
          <w:lang w:val="fr-FR"/>
        </w:rPr>
        <w:t>Experience</w:t>
      </w:r>
      <w:proofErr w:type="spellEnd"/>
      <w:r w:rsidRPr="005C718D">
        <w:rPr>
          <w:rFonts w:cs="Arial"/>
          <w:lang w:val="fr-FR"/>
        </w:rPr>
        <w:t xml:space="preserve"> </w:t>
      </w:r>
      <w:proofErr w:type="spellStart"/>
      <w:r w:rsidRPr="005C718D">
        <w:rPr>
          <w:rFonts w:cs="Arial"/>
          <w:lang w:val="fr-FR"/>
        </w:rPr>
        <w:t>with</w:t>
      </w:r>
      <w:proofErr w:type="spellEnd"/>
      <w:r w:rsidRPr="005C718D">
        <w:rPr>
          <w:rFonts w:cs="Arial"/>
          <w:lang w:val="fr-FR"/>
        </w:rPr>
        <w:t xml:space="preserve"> </w:t>
      </w:r>
      <w:proofErr w:type="spellStart"/>
      <w:r w:rsidRPr="005C718D">
        <w:rPr>
          <w:rFonts w:cs="Arial"/>
          <w:lang w:val="fr-FR"/>
        </w:rPr>
        <w:t>Bulk</w:t>
      </w:r>
      <w:proofErr w:type="spellEnd"/>
      <w:r w:rsidRPr="005C718D">
        <w:rPr>
          <w:rFonts w:cs="Arial"/>
          <w:lang w:val="fr-FR"/>
        </w:rPr>
        <w:t xml:space="preserve"> </w:t>
      </w:r>
      <w:proofErr w:type="spellStart"/>
      <w:r w:rsidRPr="005C718D">
        <w:rPr>
          <w:rFonts w:cs="Arial"/>
          <w:lang w:val="fr-FR"/>
        </w:rPr>
        <w:t>Sampling</w:t>
      </w:r>
      <w:proofErr w:type="spellEnd"/>
      <w:r w:rsidRPr="005C718D">
        <w:rPr>
          <w:rFonts w:ascii="ArialMT" w:hAnsi="ArialMT" w:cs="ArialMT"/>
          <w:lang w:val="fr-FR"/>
        </w:rPr>
        <w:t>”</w:t>
      </w:r>
      <w:r w:rsidR="00B86EE2" w:rsidRPr="005C718D">
        <w:rPr>
          <w:rFonts w:ascii="ArialMT" w:hAnsi="ArialMT" w:cs="ArialMT"/>
          <w:lang w:val="fr-FR"/>
        </w:rPr>
        <w:t xml:space="preserve"> (Données d</w:t>
      </w:r>
      <w:r w:rsidR="005C718D">
        <w:rPr>
          <w:rFonts w:ascii="ArialMT" w:hAnsi="ArialMT" w:cs="ArialMT"/>
          <w:lang w:val="fr-FR"/>
        </w:rPr>
        <w:t>’</w:t>
      </w:r>
      <w:r w:rsidR="00B86EE2" w:rsidRPr="005C718D">
        <w:rPr>
          <w:rFonts w:ascii="ArialMT" w:hAnsi="ArialMT" w:cs="ArialMT"/>
          <w:lang w:val="fr-FR"/>
        </w:rPr>
        <w:t>expérience</w:t>
      </w:r>
      <w:r w:rsidR="00300C95" w:rsidRPr="005C718D">
        <w:rPr>
          <w:rFonts w:ascii="ArialMT" w:hAnsi="ArialMT" w:cs="ArialMT"/>
          <w:lang w:val="fr-FR"/>
        </w:rPr>
        <w:t xml:space="preserve"> avec des échantillons globaux)</w:t>
      </w:r>
      <w:r w:rsidR="00B86EE2" w:rsidRPr="005C718D">
        <w:rPr>
          <w:rFonts w:ascii="ArialMT" w:hAnsi="ArialMT" w:cs="ArialMT"/>
          <w:lang w:val="fr-FR"/>
        </w:rPr>
        <w:t xml:space="preserve"> présenté par un</w:t>
      </w:r>
      <w:r w:rsidRPr="005C718D">
        <w:rPr>
          <w:rFonts w:cs="Arial"/>
          <w:lang w:val="fr-FR"/>
        </w:rPr>
        <w:t xml:space="preserve"> expert </w:t>
      </w:r>
      <w:r w:rsidR="00B86EE2" w:rsidRPr="005C718D">
        <w:rPr>
          <w:rFonts w:cs="Arial"/>
          <w:lang w:val="fr-FR"/>
        </w:rPr>
        <w:t>du Royaume</w:t>
      </w:r>
      <w:r w:rsidR="005C718D">
        <w:rPr>
          <w:rFonts w:cs="Arial"/>
          <w:lang w:val="fr-FR"/>
        </w:rPr>
        <w:t>-</w:t>
      </w:r>
      <w:r w:rsidR="00B86EE2" w:rsidRPr="005C718D">
        <w:rPr>
          <w:rFonts w:cs="Arial"/>
          <w:lang w:val="fr-FR"/>
        </w:rPr>
        <w:t>U</w:t>
      </w:r>
      <w:r w:rsidR="00E64434" w:rsidRPr="005C718D">
        <w:rPr>
          <w:rFonts w:cs="Arial"/>
          <w:lang w:val="fr-FR"/>
        </w:rPr>
        <w:t>ni</w:t>
      </w:r>
      <w:r w:rsidR="00E64434">
        <w:rPr>
          <w:rFonts w:cs="Arial"/>
          <w:lang w:val="fr-FR"/>
        </w:rPr>
        <w:t xml:space="preserve">.  </w:t>
      </w:r>
      <w:r w:rsidR="00E64434" w:rsidRPr="005C718D">
        <w:rPr>
          <w:lang w:val="fr-FR"/>
        </w:rPr>
        <w:t>Le</w:t>
      </w:r>
      <w:r w:rsidR="00B86EE2" w:rsidRPr="005C718D">
        <w:rPr>
          <w:lang w:val="fr-FR"/>
        </w:rPr>
        <w:t xml:space="preserve"> texte de l</w:t>
      </w:r>
      <w:r w:rsidR="005C718D">
        <w:rPr>
          <w:lang w:val="fr-FR"/>
        </w:rPr>
        <w:t>’</w:t>
      </w:r>
      <w:r w:rsidR="00B86EE2" w:rsidRPr="005C718D">
        <w:rPr>
          <w:lang w:val="fr-FR"/>
        </w:rPr>
        <w:t>exposé est reproduit dans le</w:t>
      </w:r>
      <w:r w:rsidRPr="005C718D">
        <w:rPr>
          <w:lang w:val="fr-FR"/>
        </w:rPr>
        <w:t xml:space="preserve"> </w:t>
      </w:r>
      <w:r w:rsidR="005C718D" w:rsidRPr="005C718D">
        <w:rPr>
          <w:lang w:val="fr-FR"/>
        </w:rPr>
        <w:t>document</w:t>
      </w:r>
      <w:r w:rsidR="005C718D">
        <w:rPr>
          <w:lang w:val="fr-FR"/>
        </w:rPr>
        <w:t xml:space="preserve"> </w:t>
      </w:r>
      <w:r w:rsidR="005C718D" w:rsidRPr="005C718D">
        <w:rPr>
          <w:lang w:val="fr-FR"/>
        </w:rPr>
        <w:t>TW</w:t>
      </w:r>
      <w:r w:rsidRPr="005C718D">
        <w:rPr>
          <w:lang w:val="fr-FR"/>
        </w:rPr>
        <w:t>O/51/8</w:t>
      </w:r>
      <w:r w:rsidR="0029690D" w:rsidRPr="005C718D">
        <w:rPr>
          <w:lang w:val="fr-FR"/>
        </w:rPr>
        <w:t xml:space="preserve"> “</w:t>
      </w:r>
      <w:proofErr w:type="spellStart"/>
      <w:r w:rsidR="0029690D" w:rsidRPr="005C718D">
        <w:rPr>
          <w:lang w:val="fr-FR"/>
        </w:rPr>
        <w:t>Experience</w:t>
      </w:r>
      <w:proofErr w:type="spellEnd"/>
      <w:r w:rsidR="0029690D" w:rsidRPr="005C718D">
        <w:rPr>
          <w:lang w:val="fr-FR"/>
        </w:rPr>
        <w:t xml:space="preserve"> </w:t>
      </w:r>
      <w:proofErr w:type="spellStart"/>
      <w:r w:rsidR="0029690D" w:rsidRPr="005C718D">
        <w:rPr>
          <w:lang w:val="fr-FR"/>
        </w:rPr>
        <w:t>with</w:t>
      </w:r>
      <w:proofErr w:type="spellEnd"/>
      <w:r w:rsidR="0029690D" w:rsidRPr="005C718D">
        <w:rPr>
          <w:lang w:val="fr-FR"/>
        </w:rPr>
        <w:t xml:space="preserve"> </w:t>
      </w:r>
      <w:proofErr w:type="spellStart"/>
      <w:r w:rsidR="0029690D" w:rsidRPr="005C718D">
        <w:rPr>
          <w:lang w:val="fr-FR"/>
        </w:rPr>
        <w:t>bulk</w:t>
      </w:r>
      <w:proofErr w:type="spellEnd"/>
      <w:r w:rsidR="0029690D" w:rsidRPr="005C718D">
        <w:rPr>
          <w:lang w:val="fr-FR"/>
        </w:rPr>
        <w:t xml:space="preserve"> </w:t>
      </w:r>
      <w:proofErr w:type="spellStart"/>
      <w:r w:rsidR="0029690D" w:rsidRPr="005C718D">
        <w:rPr>
          <w:lang w:val="fr-FR"/>
        </w:rPr>
        <w:t>sampling</w:t>
      </w:r>
      <w:proofErr w:type="spellEnd"/>
      <w:r w:rsidR="0029690D" w:rsidRPr="005C718D">
        <w:rPr>
          <w:lang w:val="fr-FR"/>
        </w:rPr>
        <w:t>”</w:t>
      </w:r>
      <w:r w:rsidR="00E6777A" w:rsidRPr="005C718D">
        <w:rPr>
          <w:lang w:val="fr-FR"/>
        </w:rPr>
        <w:t xml:space="preserve"> </w:t>
      </w:r>
      <w:r w:rsidR="00B86EE2" w:rsidRPr="005C718D">
        <w:rPr>
          <w:lang w:val="fr-FR"/>
        </w:rPr>
        <w:t>(</w:t>
      </w:r>
      <w:r w:rsidR="00B86EE2" w:rsidRPr="005C718D">
        <w:rPr>
          <w:rFonts w:ascii="ArialMT" w:hAnsi="ArialMT" w:cs="ArialMT"/>
          <w:lang w:val="fr-FR"/>
        </w:rPr>
        <w:t>Données d</w:t>
      </w:r>
      <w:r w:rsidR="005C718D">
        <w:rPr>
          <w:rFonts w:ascii="ArialMT" w:hAnsi="ArialMT" w:cs="ArialMT"/>
          <w:lang w:val="fr-FR"/>
        </w:rPr>
        <w:t>’</w:t>
      </w:r>
      <w:r w:rsidR="00B86EE2" w:rsidRPr="005C718D">
        <w:rPr>
          <w:rFonts w:ascii="ArialMT" w:hAnsi="ArialMT" w:cs="ArialMT"/>
          <w:lang w:val="fr-FR"/>
        </w:rPr>
        <w:t>expérience avec des échantillons globaux</w:t>
      </w:r>
      <w:r w:rsidR="00B86EE2" w:rsidRPr="005C718D">
        <w:rPr>
          <w:lang w:val="fr-FR"/>
        </w:rPr>
        <w:t xml:space="preserve">) (voir le </w:t>
      </w:r>
      <w:r w:rsidR="005C718D" w:rsidRPr="005C718D">
        <w:rPr>
          <w:lang w:val="fr-FR"/>
        </w:rPr>
        <w:t>paragraphe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6</w:t>
      </w:r>
      <w:r w:rsidR="00B86EE2" w:rsidRPr="005C718D">
        <w:rPr>
          <w:lang w:val="fr-FR"/>
        </w:rPr>
        <w:t>9 du</w:t>
      </w:r>
      <w:r w:rsidR="00E6777A" w:rsidRPr="005C718D">
        <w:rPr>
          <w:lang w:val="fr-FR"/>
        </w:rPr>
        <w:t xml:space="preserve"> </w:t>
      </w:r>
      <w:r w:rsidR="005C718D" w:rsidRPr="005C718D">
        <w:rPr>
          <w:lang w:val="fr-FR"/>
        </w:rPr>
        <w:t>document</w:t>
      </w:r>
      <w:r w:rsidR="005C718D">
        <w:rPr>
          <w:lang w:val="fr-FR"/>
        </w:rPr>
        <w:t xml:space="preserve"> </w:t>
      </w:r>
      <w:r w:rsidR="005C718D" w:rsidRPr="005C718D">
        <w:rPr>
          <w:lang w:val="fr-FR"/>
        </w:rPr>
        <w:t>TW</w:t>
      </w:r>
      <w:r w:rsidR="00B86EE2" w:rsidRPr="005C718D">
        <w:rPr>
          <w:lang w:val="fr-FR"/>
        </w:rPr>
        <w:t>O/51/12 “Report” (Compte rendu)</w:t>
      </w:r>
      <w:r w:rsidR="00E6777A" w:rsidRPr="005C718D">
        <w:rPr>
          <w:lang w:val="fr-FR"/>
        </w:rPr>
        <w:t>).</w:t>
      </w:r>
    </w:p>
    <w:p w:rsidR="00AA1C00" w:rsidRPr="005C718D" w:rsidRDefault="00AA1C00" w:rsidP="00AA1C00">
      <w:pPr>
        <w:rPr>
          <w:lang w:val="fr-FR"/>
        </w:rPr>
      </w:pPr>
    </w:p>
    <w:p w:rsidR="00AA1C00" w:rsidRPr="005C718D" w:rsidRDefault="000C4B82" w:rsidP="00AA1C00">
      <w:pPr>
        <w:pStyle w:val="Heading2"/>
        <w:rPr>
          <w:lang w:val="fr-FR"/>
        </w:rPr>
      </w:pPr>
      <w:bookmarkStart w:id="23" w:name="_Toc20505087"/>
      <w:bookmarkStart w:id="24" w:name="_Toc22473830"/>
      <w:r w:rsidRPr="005C718D">
        <w:rPr>
          <w:lang w:val="fr-FR"/>
        </w:rPr>
        <w:t>Données d</w:t>
      </w:r>
      <w:r w:rsidR="005C718D">
        <w:rPr>
          <w:lang w:val="fr-FR"/>
        </w:rPr>
        <w:t>’</w:t>
      </w:r>
      <w:r w:rsidRPr="005C718D">
        <w:rPr>
          <w:lang w:val="fr-FR"/>
        </w:rPr>
        <w:t>expérience relatives au code couleur RHS et à l</w:t>
      </w:r>
      <w:r w:rsidR="005C718D">
        <w:rPr>
          <w:lang w:val="fr-FR"/>
        </w:rPr>
        <w:t>’</w:t>
      </w:r>
      <w:r w:rsidRPr="005C718D">
        <w:rPr>
          <w:lang w:val="fr-FR"/>
        </w:rPr>
        <w:t>ajout éventuel de couleurs à l</w:t>
      </w:r>
      <w:r w:rsidR="005C718D">
        <w:rPr>
          <w:lang w:val="fr-FR"/>
        </w:rPr>
        <w:t>’</w:t>
      </w:r>
      <w:r w:rsidRPr="005C718D">
        <w:rPr>
          <w:lang w:val="fr-FR"/>
        </w:rPr>
        <w:t>avenir</w:t>
      </w:r>
      <w:bookmarkEnd w:id="23"/>
      <w:bookmarkEnd w:id="24"/>
    </w:p>
    <w:p w:rsidR="00AA1C00" w:rsidRPr="005C718D" w:rsidRDefault="00AA1C00" w:rsidP="00AA1C00">
      <w:pPr>
        <w:keepNext/>
        <w:rPr>
          <w:lang w:val="fr-FR"/>
        </w:rPr>
      </w:pPr>
    </w:p>
    <w:p w:rsidR="00AA1C00" w:rsidRPr="005C718D" w:rsidRDefault="00AA1C00" w:rsidP="00AA1C00">
      <w:pPr>
        <w:keepNext/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Pr="005C718D">
        <w:rPr>
          <w:lang w:val="fr-FR"/>
        </w:rPr>
        <w:tab/>
      </w:r>
      <w:r w:rsidR="00B86EE2" w:rsidRPr="005C718D">
        <w:rPr>
          <w:lang w:val="fr-FR"/>
        </w:rPr>
        <w:t>À sa cinquante</w:t>
      </w:r>
      <w:r w:rsidR="005C718D">
        <w:rPr>
          <w:lang w:val="fr-FR"/>
        </w:rPr>
        <w:t> et unième session</w:t>
      </w:r>
      <w:r w:rsidR="00B86EE2" w:rsidRPr="005C718D">
        <w:rPr>
          <w:lang w:val="fr-FR"/>
        </w:rPr>
        <w:t xml:space="preserve"> tenue à </w:t>
      </w:r>
      <w:r w:rsidR="00B86EE2" w:rsidRPr="005C718D">
        <w:rPr>
          <w:rFonts w:cs="Arial"/>
          <w:lang w:val="fr-FR"/>
        </w:rPr>
        <w:t>Christchurch (Nouvelle</w:t>
      </w:r>
      <w:r w:rsidR="005C718D">
        <w:rPr>
          <w:rFonts w:cs="Arial"/>
          <w:lang w:val="fr-FR"/>
        </w:rPr>
        <w:t>-</w:t>
      </w:r>
      <w:r w:rsidR="00B86EE2" w:rsidRPr="005C718D">
        <w:rPr>
          <w:rFonts w:cs="Arial"/>
          <w:lang w:val="fr-FR"/>
        </w:rPr>
        <w:t>Zélande) du 18 au 22 février 2019,</w:t>
      </w:r>
      <w:r w:rsidR="005C718D" w:rsidRPr="005C718D">
        <w:rPr>
          <w:rFonts w:cs="Arial"/>
          <w:lang w:val="fr-FR"/>
        </w:rPr>
        <w:t xml:space="preserve"> le</w:t>
      </w:r>
      <w:r w:rsidR="005C718D">
        <w:rPr>
          <w:rFonts w:cs="Arial"/>
          <w:lang w:val="fr-FR"/>
        </w:rPr>
        <w:t> </w:t>
      </w:r>
      <w:r w:rsidR="005C718D" w:rsidRPr="005C718D">
        <w:rPr>
          <w:rFonts w:cs="Arial"/>
          <w:lang w:val="fr-FR"/>
        </w:rPr>
        <w:t>TWO</w:t>
      </w:r>
      <w:r w:rsidR="00B86EE2" w:rsidRPr="005C718D">
        <w:rPr>
          <w:rFonts w:cs="Arial"/>
          <w:lang w:val="fr-FR"/>
        </w:rPr>
        <w:t xml:space="preserve"> a assisté à un exposé intitulé</w:t>
      </w:r>
      <w:r w:rsidR="00B86EE2" w:rsidRPr="005C718D">
        <w:rPr>
          <w:lang w:val="fr-FR"/>
        </w:rPr>
        <w:t xml:space="preserve"> </w:t>
      </w:r>
      <w:r w:rsidRPr="005C718D">
        <w:rPr>
          <w:lang w:val="fr-FR"/>
        </w:rPr>
        <w:t xml:space="preserve">“Update on possible additions of </w:t>
      </w:r>
      <w:proofErr w:type="spellStart"/>
      <w:r w:rsidRPr="005C718D">
        <w:rPr>
          <w:lang w:val="fr-FR"/>
        </w:rPr>
        <w:t>colors</w:t>
      </w:r>
      <w:proofErr w:type="spellEnd"/>
      <w:r w:rsidRPr="005C718D">
        <w:rPr>
          <w:lang w:val="fr-FR"/>
        </w:rPr>
        <w:t xml:space="preserve"> to future RHS </w:t>
      </w:r>
      <w:proofErr w:type="spellStart"/>
      <w:r w:rsidRPr="005C718D">
        <w:rPr>
          <w:lang w:val="fr-FR"/>
        </w:rPr>
        <w:t>Colour</w:t>
      </w:r>
      <w:proofErr w:type="spellEnd"/>
      <w:r w:rsidRPr="005C718D">
        <w:rPr>
          <w:lang w:val="fr-FR"/>
        </w:rPr>
        <w:t xml:space="preserve"> Chart </w:t>
      </w:r>
      <w:proofErr w:type="spellStart"/>
      <w:r w:rsidRPr="005C718D">
        <w:rPr>
          <w:lang w:val="fr-FR"/>
        </w:rPr>
        <w:t>edition</w:t>
      </w:r>
      <w:proofErr w:type="spellEnd"/>
      <w:r w:rsidRPr="005C718D">
        <w:rPr>
          <w:lang w:val="fr-FR"/>
        </w:rPr>
        <w:t xml:space="preserve">” </w:t>
      </w:r>
      <w:r w:rsidR="00B86EE2" w:rsidRPr="005C718D">
        <w:rPr>
          <w:lang w:val="fr-FR"/>
        </w:rPr>
        <w:t>(</w:t>
      </w:r>
      <w:r w:rsidR="00DE24EA" w:rsidRPr="005C718D">
        <w:rPr>
          <w:lang w:val="fr-FR"/>
        </w:rPr>
        <w:t>Éléments nouveaux concernant</w:t>
      </w:r>
      <w:r w:rsidR="00B86EE2" w:rsidRPr="005C718D">
        <w:rPr>
          <w:lang w:val="fr-FR"/>
        </w:rPr>
        <w:t xml:space="preserve"> l</w:t>
      </w:r>
      <w:r w:rsidR="005C718D">
        <w:rPr>
          <w:lang w:val="fr-FR"/>
        </w:rPr>
        <w:t>’</w:t>
      </w:r>
      <w:r w:rsidR="00B86EE2" w:rsidRPr="005C718D">
        <w:rPr>
          <w:lang w:val="fr-FR"/>
        </w:rPr>
        <w:t xml:space="preserve">ajout </w:t>
      </w:r>
      <w:r w:rsidR="00300C95" w:rsidRPr="005C718D">
        <w:rPr>
          <w:lang w:val="fr-FR"/>
        </w:rPr>
        <w:t>éventuel de couleurs dans</w:t>
      </w:r>
      <w:r w:rsidR="00DE24EA" w:rsidRPr="005C718D">
        <w:rPr>
          <w:lang w:val="fr-FR"/>
        </w:rPr>
        <w:t xml:space="preserve"> la future version du code couleur RHS</w:t>
      </w:r>
      <w:r w:rsidR="00300C95" w:rsidRPr="005C718D">
        <w:rPr>
          <w:lang w:val="fr-FR"/>
        </w:rPr>
        <w:t>)</w:t>
      </w:r>
      <w:r w:rsidR="00B86EE2" w:rsidRPr="005C718D">
        <w:rPr>
          <w:lang w:val="fr-FR"/>
        </w:rPr>
        <w:t xml:space="preserve"> présenté par un</w:t>
      </w:r>
      <w:r w:rsidRPr="005C718D">
        <w:rPr>
          <w:lang w:val="fr-FR"/>
        </w:rPr>
        <w:t xml:space="preserve"> expert </w:t>
      </w:r>
      <w:r w:rsidR="00B86EE2" w:rsidRPr="005C718D">
        <w:rPr>
          <w:lang w:val="fr-FR"/>
        </w:rPr>
        <w:t>du Royaum</w:t>
      </w:r>
      <w:r w:rsidR="00DE24EA" w:rsidRPr="005C718D">
        <w:rPr>
          <w:lang w:val="fr-FR"/>
        </w:rPr>
        <w:t>e</w:t>
      </w:r>
      <w:r w:rsidR="005C718D">
        <w:rPr>
          <w:lang w:val="fr-FR"/>
        </w:rPr>
        <w:t>-</w:t>
      </w:r>
      <w:r w:rsidR="00B86EE2" w:rsidRPr="005C718D">
        <w:rPr>
          <w:lang w:val="fr-FR"/>
        </w:rPr>
        <w:t>U</w:t>
      </w:r>
      <w:r w:rsidR="00E64434" w:rsidRPr="005C718D">
        <w:rPr>
          <w:lang w:val="fr-FR"/>
        </w:rPr>
        <w:t>ni</w:t>
      </w:r>
      <w:r w:rsidR="00E64434">
        <w:rPr>
          <w:lang w:val="fr-FR"/>
        </w:rPr>
        <w:t xml:space="preserve">.  </w:t>
      </w:r>
      <w:r w:rsidR="00E64434" w:rsidRPr="005C718D">
        <w:rPr>
          <w:lang w:val="fr-FR"/>
        </w:rPr>
        <w:t>Le</w:t>
      </w:r>
      <w:r w:rsidR="00B86EE2" w:rsidRPr="005C718D">
        <w:rPr>
          <w:lang w:val="fr-FR"/>
        </w:rPr>
        <w:t xml:space="preserve"> texte de l</w:t>
      </w:r>
      <w:r w:rsidR="005C718D">
        <w:rPr>
          <w:lang w:val="fr-FR"/>
        </w:rPr>
        <w:t>’</w:t>
      </w:r>
      <w:r w:rsidR="00B86EE2" w:rsidRPr="005C718D">
        <w:rPr>
          <w:lang w:val="fr-FR"/>
        </w:rPr>
        <w:t xml:space="preserve">exposé est reproduit dans le </w:t>
      </w:r>
      <w:r w:rsidR="005C718D" w:rsidRPr="005C718D">
        <w:rPr>
          <w:lang w:val="fr-FR"/>
        </w:rPr>
        <w:t>document</w:t>
      </w:r>
      <w:r w:rsidR="005C718D">
        <w:rPr>
          <w:lang w:val="fr-FR"/>
        </w:rPr>
        <w:t xml:space="preserve"> </w:t>
      </w:r>
      <w:r w:rsidR="005C718D" w:rsidRPr="005C718D">
        <w:rPr>
          <w:lang w:val="fr-FR"/>
        </w:rPr>
        <w:t>TW</w:t>
      </w:r>
      <w:r w:rsidRPr="005C718D">
        <w:rPr>
          <w:lang w:val="fr-FR"/>
        </w:rPr>
        <w:t>O/51/4</w:t>
      </w:r>
      <w:r w:rsidR="00B86EE2" w:rsidRPr="005C718D">
        <w:rPr>
          <w:lang w:val="fr-FR"/>
        </w:rPr>
        <w:t xml:space="preserve"> (voir le </w:t>
      </w:r>
      <w:r w:rsidR="005C718D" w:rsidRPr="005C718D">
        <w:rPr>
          <w:lang w:val="fr-FR"/>
        </w:rPr>
        <w:t>paragraphe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7</w:t>
      </w:r>
      <w:r w:rsidR="00B86EE2" w:rsidRPr="005C718D">
        <w:rPr>
          <w:lang w:val="fr-FR"/>
        </w:rPr>
        <w:t>5 du document TWO/51/12 “Report” (Compte rendu)</w:t>
      </w:r>
      <w:r w:rsidR="00E6777A" w:rsidRPr="005C718D">
        <w:rPr>
          <w:lang w:val="fr-FR"/>
        </w:rPr>
        <w:t>).</w:t>
      </w:r>
    </w:p>
    <w:p w:rsidR="00AA1C00" w:rsidRPr="005C718D" w:rsidRDefault="00AA1C00" w:rsidP="00AA1C00">
      <w:pPr>
        <w:rPr>
          <w:lang w:val="fr-FR"/>
        </w:rPr>
      </w:pPr>
    </w:p>
    <w:p w:rsidR="00AA1C00" w:rsidRPr="005C718D" w:rsidRDefault="000C4B82" w:rsidP="00AA1C00">
      <w:pPr>
        <w:pStyle w:val="Heading2"/>
        <w:rPr>
          <w:shd w:val="clear" w:color="auto" w:fill="FFFFFF"/>
          <w:lang w:val="fr-FR"/>
        </w:rPr>
      </w:pPr>
      <w:bookmarkStart w:id="25" w:name="_Toc22473831"/>
      <w:r w:rsidRPr="005C718D">
        <w:rPr>
          <w:shd w:val="clear" w:color="auto" w:fill="FFFFFF"/>
          <w:lang w:val="fr-FR"/>
        </w:rPr>
        <w:t>Données d</w:t>
      </w:r>
      <w:r w:rsidR="005C718D">
        <w:rPr>
          <w:shd w:val="clear" w:color="auto" w:fill="FFFFFF"/>
          <w:lang w:val="fr-FR"/>
        </w:rPr>
        <w:t>’</w:t>
      </w:r>
      <w:r w:rsidRPr="005C718D">
        <w:rPr>
          <w:shd w:val="clear" w:color="auto" w:fill="FFFFFF"/>
          <w:lang w:val="fr-FR"/>
        </w:rPr>
        <w:t xml:space="preserve">expérience relatives aux </w:t>
      </w:r>
      <w:r w:rsidR="00DE24EA" w:rsidRPr="005C718D">
        <w:rPr>
          <w:shd w:val="clear" w:color="auto" w:fill="FFFFFF"/>
          <w:lang w:val="fr-FR"/>
        </w:rPr>
        <w:t xml:space="preserve">bases de </w:t>
      </w:r>
      <w:r w:rsidRPr="005C718D">
        <w:rPr>
          <w:shd w:val="clear" w:color="auto" w:fill="FFFFFF"/>
          <w:lang w:val="fr-FR"/>
        </w:rPr>
        <w:t>données taxonomiques</w:t>
      </w:r>
      <w:bookmarkEnd w:id="25"/>
    </w:p>
    <w:p w:rsidR="00AA1C00" w:rsidRPr="005C718D" w:rsidRDefault="00AA1C00" w:rsidP="00AA1C00">
      <w:pPr>
        <w:keepNext/>
        <w:rPr>
          <w:lang w:val="fr-FR"/>
        </w:rPr>
      </w:pPr>
    </w:p>
    <w:p w:rsidR="00AA1C00" w:rsidRPr="005C718D" w:rsidRDefault="00AA1C00" w:rsidP="00AA1C00">
      <w:pPr>
        <w:keepNext/>
        <w:autoSpaceDE w:val="0"/>
        <w:autoSpaceDN w:val="0"/>
        <w:adjustRightInd w:val="0"/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Pr="005C718D">
        <w:rPr>
          <w:lang w:val="fr-FR"/>
        </w:rPr>
        <w:tab/>
      </w:r>
      <w:r w:rsidR="00DE24EA" w:rsidRPr="005C718D">
        <w:rPr>
          <w:lang w:val="fr-FR"/>
        </w:rPr>
        <w:t>À sa cinquante</w:t>
      </w:r>
      <w:r w:rsidR="005C718D">
        <w:rPr>
          <w:lang w:val="fr-FR"/>
        </w:rPr>
        <w:t> et unième session</w:t>
      </w:r>
      <w:r w:rsidR="00DE24EA" w:rsidRPr="005C718D">
        <w:rPr>
          <w:lang w:val="fr-FR"/>
        </w:rPr>
        <w:t xml:space="preserve"> tenue à </w:t>
      </w:r>
      <w:r w:rsidR="00DE24EA" w:rsidRPr="005C718D">
        <w:rPr>
          <w:rFonts w:cs="Arial"/>
          <w:lang w:val="fr-FR"/>
        </w:rPr>
        <w:t>Christchurch (Nouvelle</w:t>
      </w:r>
      <w:r w:rsidR="005C718D">
        <w:rPr>
          <w:rFonts w:cs="Arial"/>
          <w:lang w:val="fr-FR"/>
        </w:rPr>
        <w:t>-</w:t>
      </w:r>
      <w:r w:rsidR="00DE24EA" w:rsidRPr="005C718D">
        <w:rPr>
          <w:rFonts w:cs="Arial"/>
          <w:lang w:val="fr-FR"/>
        </w:rPr>
        <w:t>Zélande) du 18 au 22 février 2019,</w:t>
      </w:r>
      <w:r w:rsidR="005C718D" w:rsidRPr="005C718D">
        <w:rPr>
          <w:rFonts w:cs="Arial"/>
          <w:lang w:val="fr-FR"/>
        </w:rPr>
        <w:t xml:space="preserve"> le</w:t>
      </w:r>
      <w:r w:rsidR="005C718D">
        <w:rPr>
          <w:rFonts w:cs="Arial"/>
          <w:lang w:val="fr-FR"/>
        </w:rPr>
        <w:t> </w:t>
      </w:r>
      <w:r w:rsidR="005C718D" w:rsidRPr="005C718D">
        <w:rPr>
          <w:rFonts w:cs="Arial"/>
          <w:lang w:val="fr-FR"/>
        </w:rPr>
        <w:t>TWO</w:t>
      </w:r>
      <w:r w:rsidR="00DE24EA" w:rsidRPr="005C718D">
        <w:rPr>
          <w:rFonts w:cs="Arial"/>
          <w:lang w:val="fr-FR"/>
        </w:rPr>
        <w:t xml:space="preserve"> a assisté à un exposé intitulé</w:t>
      </w:r>
      <w:r w:rsidR="00DE24EA" w:rsidRPr="005C718D">
        <w:rPr>
          <w:lang w:val="fr-FR"/>
        </w:rPr>
        <w:t xml:space="preserve"> </w:t>
      </w:r>
      <w:r w:rsidRPr="005C718D">
        <w:rPr>
          <w:rFonts w:ascii="ArialMT" w:hAnsi="ArialMT" w:cs="ArialMT"/>
          <w:lang w:val="fr-FR"/>
        </w:rPr>
        <w:t>“</w:t>
      </w:r>
      <w:proofErr w:type="spellStart"/>
      <w:r w:rsidRPr="005C718D">
        <w:rPr>
          <w:rFonts w:cs="Arial"/>
          <w:lang w:val="fr-FR"/>
        </w:rPr>
        <w:t>Experience</w:t>
      </w:r>
      <w:proofErr w:type="spellEnd"/>
      <w:r w:rsidRPr="005C718D">
        <w:rPr>
          <w:rFonts w:cs="Arial"/>
          <w:lang w:val="fr-FR"/>
        </w:rPr>
        <w:t xml:space="preserve"> </w:t>
      </w:r>
      <w:proofErr w:type="spellStart"/>
      <w:r w:rsidRPr="005C718D">
        <w:rPr>
          <w:rFonts w:cs="Arial"/>
          <w:lang w:val="fr-FR"/>
        </w:rPr>
        <w:t>with</w:t>
      </w:r>
      <w:proofErr w:type="spellEnd"/>
      <w:r w:rsidRPr="005C718D">
        <w:rPr>
          <w:rFonts w:cs="Arial"/>
          <w:lang w:val="fr-FR"/>
        </w:rPr>
        <w:t xml:space="preserve"> </w:t>
      </w:r>
      <w:proofErr w:type="spellStart"/>
      <w:r w:rsidRPr="005C718D">
        <w:rPr>
          <w:rFonts w:cs="Arial"/>
          <w:lang w:val="fr-FR"/>
        </w:rPr>
        <w:t>taxonomic</w:t>
      </w:r>
      <w:proofErr w:type="spellEnd"/>
      <w:r w:rsidRPr="005C718D">
        <w:rPr>
          <w:rFonts w:cs="Arial"/>
          <w:lang w:val="fr-FR"/>
        </w:rPr>
        <w:t xml:space="preserve"> </w:t>
      </w:r>
      <w:proofErr w:type="spellStart"/>
      <w:r w:rsidRPr="005C718D">
        <w:rPr>
          <w:rFonts w:cs="Arial"/>
          <w:lang w:val="fr-FR"/>
        </w:rPr>
        <w:t>databases</w:t>
      </w:r>
      <w:proofErr w:type="spellEnd"/>
      <w:r w:rsidRPr="005C718D">
        <w:rPr>
          <w:rFonts w:ascii="ArialMT" w:hAnsi="ArialMT" w:cs="ArialMT"/>
          <w:lang w:val="fr-FR"/>
        </w:rPr>
        <w:t xml:space="preserve">” </w:t>
      </w:r>
      <w:r w:rsidR="00DE24EA" w:rsidRPr="005C718D">
        <w:rPr>
          <w:rFonts w:ascii="ArialMT" w:hAnsi="ArialMT" w:cs="ArialMT"/>
          <w:lang w:val="fr-FR"/>
        </w:rPr>
        <w:t>(Données d</w:t>
      </w:r>
      <w:r w:rsidR="005C718D">
        <w:rPr>
          <w:rFonts w:ascii="ArialMT" w:hAnsi="ArialMT" w:cs="ArialMT"/>
          <w:lang w:val="fr-FR"/>
        </w:rPr>
        <w:t>’</w:t>
      </w:r>
      <w:r w:rsidR="00DE24EA" w:rsidRPr="005C718D">
        <w:rPr>
          <w:rFonts w:ascii="ArialMT" w:hAnsi="ArialMT" w:cs="ArialMT"/>
          <w:lang w:val="fr-FR"/>
        </w:rPr>
        <w:t xml:space="preserve">expérience relatives aux bases de données taxonomiques) </w:t>
      </w:r>
      <w:r w:rsidR="00DE24EA" w:rsidRPr="005C718D">
        <w:rPr>
          <w:lang w:val="fr-FR"/>
        </w:rPr>
        <w:t>présenté par un expert du Royaume</w:t>
      </w:r>
      <w:r w:rsidR="005C718D">
        <w:rPr>
          <w:lang w:val="fr-FR"/>
        </w:rPr>
        <w:t>-</w:t>
      </w:r>
      <w:r w:rsidR="00DE24EA" w:rsidRPr="005C718D">
        <w:rPr>
          <w:lang w:val="fr-FR"/>
        </w:rPr>
        <w:t>U</w:t>
      </w:r>
      <w:r w:rsidR="00E64434" w:rsidRPr="005C718D">
        <w:rPr>
          <w:lang w:val="fr-FR"/>
        </w:rPr>
        <w:t>ni</w:t>
      </w:r>
      <w:r w:rsidR="00E64434">
        <w:rPr>
          <w:lang w:val="fr-FR"/>
        </w:rPr>
        <w:t xml:space="preserve">.  </w:t>
      </w:r>
      <w:r w:rsidR="00E64434" w:rsidRPr="005C718D">
        <w:rPr>
          <w:lang w:val="fr-FR"/>
        </w:rPr>
        <w:t>Le</w:t>
      </w:r>
      <w:r w:rsidR="00DE24EA" w:rsidRPr="005C718D">
        <w:rPr>
          <w:lang w:val="fr-FR"/>
        </w:rPr>
        <w:t xml:space="preserve"> texte de l</w:t>
      </w:r>
      <w:r w:rsidR="005C718D">
        <w:rPr>
          <w:lang w:val="fr-FR"/>
        </w:rPr>
        <w:t>’</w:t>
      </w:r>
      <w:r w:rsidR="00DE24EA" w:rsidRPr="005C718D">
        <w:rPr>
          <w:lang w:val="fr-FR"/>
        </w:rPr>
        <w:t>exposé est reproduit dans le</w:t>
      </w:r>
      <w:r w:rsidRPr="005C718D">
        <w:rPr>
          <w:lang w:val="fr-FR"/>
        </w:rPr>
        <w:t xml:space="preserve"> </w:t>
      </w:r>
      <w:r w:rsidR="005C718D" w:rsidRPr="005C718D">
        <w:rPr>
          <w:lang w:val="fr-FR"/>
        </w:rPr>
        <w:t>document</w:t>
      </w:r>
      <w:r w:rsidR="005C718D">
        <w:rPr>
          <w:lang w:val="fr-FR"/>
        </w:rPr>
        <w:t xml:space="preserve"> </w:t>
      </w:r>
      <w:r w:rsidR="005C718D" w:rsidRPr="005C718D">
        <w:rPr>
          <w:lang w:val="fr-FR"/>
        </w:rPr>
        <w:t>TW</w:t>
      </w:r>
      <w:r w:rsidRPr="005C718D">
        <w:rPr>
          <w:lang w:val="fr-FR"/>
        </w:rPr>
        <w:t>O/51/5</w:t>
      </w:r>
      <w:r w:rsidR="00E6777A" w:rsidRPr="005C718D">
        <w:rPr>
          <w:lang w:val="fr-FR"/>
        </w:rPr>
        <w:t xml:space="preserve"> (</w:t>
      </w:r>
      <w:r w:rsidR="00DE24EA" w:rsidRPr="005C718D">
        <w:rPr>
          <w:lang w:val="fr-FR"/>
        </w:rPr>
        <w:t>voir les</w:t>
      </w:r>
      <w:r w:rsidR="00E6777A" w:rsidRPr="005C718D">
        <w:rPr>
          <w:lang w:val="fr-FR"/>
        </w:rPr>
        <w:t xml:space="preserve"> </w:t>
      </w:r>
      <w:r w:rsidR="00DE24EA" w:rsidRPr="005C718D">
        <w:rPr>
          <w:lang w:val="fr-FR"/>
        </w:rPr>
        <w:t xml:space="preserve">paragraphes 76 à 78 du </w:t>
      </w:r>
      <w:r w:rsidR="00E6777A" w:rsidRPr="005C718D">
        <w:rPr>
          <w:lang w:val="fr-FR"/>
        </w:rPr>
        <w:t>document TWO/51/12 “Report”</w:t>
      </w:r>
      <w:r w:rsidR="00DE24EA" w:rsidRPr="005C718D">
        <w:rPr>
          <w:lang w:val="fr-FR"/>
        </w:rPr>
        <w:t xml:space="preserve"> (Compte rendu)</w:t>
      </w:r>
      <w:r w:rsidR="00E6777A" w:rsidRPr="005C718D">
        <w:rPr>
          <w:lang w:val="fr-FR"/>
        </w:rPr>
        <w:t>).</w:t>
      </w:r>
    </w:p>
    <w:p w:rsidR="00AA1C00" w:rsidRPr="005C718D" w:rsidRDefault="00AA1C00" w:rsidP="00AA1C00">
      <w:pPr>
        <w:rPr>
          <w:lang w:val="fr-FR"/>
        </w:rPr>
      </w:pPr>
    </w:p>
    <w:p w:rsidR="00AA1C00" w:rsidRPr="005C718D" w:rsidRDefault="00AA1C00" w:rsidP="00AA1C00">
      <w:pPr>
        <w:keepNext/>
        <w:autoSpaceDE w:val="0"/>
        <w:autoSpaceDN w:val="0"/>
        <w:adjustRightInd w:val="0"/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="00DE24EA" w:rsidRPr="005C718D">
        <w:rPr>
          <w:lang w:val="fr-FR"/>
        </w:rPr>
        <w:tab/>
        <w:t>L</w:t>
      </w:r>
      <w:r w:rsidRPr="005C718D">
        <w:rPr>
          <w:lang w:val="fr-FR"/>
        </w:rPr>
        <w:t xml:space="preserve">e TWO </w:t>
      </w:r>
      <w:r w:rsidR="00DE24EA" w:rsidRPr="005C718D">
        <w:rPr>
          <w:lang w:val="fr-FR"/>
        </w:rPr>
        <w:t>a assisté à un exposé intitulé</w:t>
      </w:r>
      <w:r w:rsidRPr="005C718D">
        <w:rPr>
          <w:lang w:val="fr-FR"/>
        </w:rPr>
        <w:t xml:space="preserve"> </w:t>
      </w:r>
      <w:r w:rsidRPr="005C718D">
        <w:rPr>
          <w:rFonts w:ascii="ArialMT" w:hAnsi="ArialMT" w:cs="ArialMT"/>
          <w:lang w:val="fr-FR"/>
        </w:rPr>
        <w:t>“</w:t>
      </w:r>
      <w:proofErr w:type="spellStart"/>
      <w:r w:rsidRPr="005C718D">
        <w:rPr>
          <w:rFonts w:ascii="ArialMT" w:hAnsi="ArialMT" w:cs="ArialMT"/>
          <w:lang w:val="fr-FR"/>
        </w:rPr>
        <w:t>Experience</w:t>
      </w:r>
      <w:proofErr w:type="spellEnd"/>
      <w:r w:rsidRPr="005C718D">
        <w:rPr>
          <w:rFonts w:ascii="ArialMT" w:hAnsi="ArialMT" w:cs="ArialMT"/>
          <w:lang w:val="fr-FR"/>
        </w:rPr>
        <w:t xml:space="preserve"> </w:t>
      </w:r>
      <w:proofErr w:type="spellStart"/>
      <w:r w:rsidRPr="005C718D">
        <w:rPr>
          <w:rFonts w:ascii="ArialMT" w:hAnsi="ArialMT" w:cs="ArialMT"/>
          <w:lang w:val="fr-FR"/>
        </w:rPr>
        <w:t>with</w:t>
      </w:r>
      <w:proofErr w:type="spellEnd"/>
      <w:r w:rsidRPr="005C718D">
        <w:rPr>
          <w:rFonts w:ascii="ArialMT" w:hAnsi="ArialMT" w:cs="ArialMT"/>
          <w:lang w:val="fr-FR"/>
        </w:rPr>
        <w:t xml:space="preserve"> </w:t>
      </w:r>
      <w:proofErr w:type="spellStart"/>
      <w:r w:rsidRPr="005C718D">
        <w:rPr>
          <w:rFonts w:ascii="ArialMT" w:hAnsi="ArialMT" w:cs="ArialMT"/>
          <w:lang w:val="fr-FR"/>
        </w:rPr>
        <w:t>taxonomic</w:t>
      </w:r>
      <w:proofErr w:type="spellEnd"/>
      <w:r w:rsidRPr="005C718D">
        <w:rPr>
          <w:rFonts w:ascii="ArialMT" w:hAnsi="ArialMT" w:cs="ArialMT"/>
          <w:lang w:val="fr-FR"/>
        </w:rPr>
        <w:t xml:space="preserve"> </w:t>
      </w:r>
      <w:proofErr w:type="spellStart"/>
      <w:r w:rsidRPr="005C718D">
        <w:rPr>
          <w:rFonts w:ascii="ArialMT" w:hAnsi="ArialMT" w:cs="ArialMT"/>
          <w:lang w:val="fr-FR"/>
        </w:rPr>
        <w:t>databases</w:t>
      </w:r>
      <w:proofErr w:type="spellEnd"/>
      <w:r w:rsidRPr="005C718D">
        <w:rPr>
          <w:rFonts w:ascii="ArialMT" w:hAnsi="ArialMT" w:cs="ArialMT"/>
          <w:lang w:val="fr-FR"/>
        </w:rPr>
        <w:t xml:space="preserve"> in </w:t>
      </w:r>
      <w:proofErr w:type="spellStart"/>
      <w:r w:rsidRPr="005C718D">
        <w:rPr>
          <w:rFonts w:ascii="ArialMT" w:hAnsi="ArialMT" w:cs="ArialMT"/>
          <w:lang w:val="fr-FR"/>
        </w:rPr>
        <w:t>Australia</w:t>
      </w:r>
      <w:proofErr w:type="spellEnd"/>
      <w:r w:rsidRPr="005C718D">
        <w:rPr>
          <w:rFonts w:ascii="ArialMT" w:hAnsi="ArialMT" w:cs="ArialMT"/>
          <w:lang w:val="fr-FR"/>
        </w:rPr>
        <w:t xml:space="preserve">” </w:t>
      </w:r>
      <w:r w:rsidR="00DE24EA" w:rsidRPr="005C718D">
        <w:rPr>
          <w:rFonts w:ascii="ArialMT" w:hAnsi="ArialMT" w:cs="ArialMT"/>
          <w:lang w:val="fr-FR"/>
        </w:rPr>
        <w:t>(Données d</w:t>
      </w:r>
      <w:r w:rsidR="005C718D">
        <w:rPr>
          <w:rFonts w:ascii="ArialMT" w:hAnsi="ArialMT" w:cs="ArialMT"/>
          <w:lang w:val="fr-FR"/>
        </w:rPr>
        <w:t>’</w:t>
      </w:r>
      <w:r w:rsidR="00DE24EA" w:rsidRPr="005C718D">
        <w:rPr>
          <w:rFonts w:ascii="ArialMT" w:hAnsi="ArialMT" w:cs="ArialMT"/>
          <w:lang w:val="fr-FR"/>
        </w:rPr>
        <w:t>expérience relatives aux bases de données taxonomiques en Australie</w:t>
      </w:r>
      <w:r w:rsidR="008759B7" w:rsidRPr="005C718D">
        <w:rPr>
          <w:rFonts w:ascii="ArialMT" w:hAnsi="ArialMT" w:cs="ArialMT"/>
          <w:lang w:val="fr-FR"/>
        </w:rPr>
        <w:t>)</w:t>
      </w:r>
      <w:r w:rsidR="00DE24EA" w:rsidRPr="005C718D">
        <w:rPr>
          <w:rFonts w:ascii="ArialMT" w:hAnsi="ArialMT" w:cs="ArialMT"/>
          <w:lang w:val="fr-FR"/>
        </w:rPr>
        <w:t xml:space="preserve"> présenté par un</w:t>
      </w:r>
      <w:r w:rsidRPr="005C718D">
        <w:rPr>
          <w:rFonts w:cs="Arial"/>
          <w:lang w:val="fr-FR"/>
        </w:rPr>
        <w:t xml:space="preserve"> expert </w:t>
      </w:r>
      <w:r w:rsidR="00DE24EA" w:rsidRPr="005C718D">
        <w:rPr>
          <w:rFonts w:cs="Arial"/>
          <w:lang w:val="fr-FR"/>
        </w:rPr>
        <w:t>d</w:t>
      </w:r>
      <w:r w:rsidR="005C718D">
        <w:rPr>
          <w:rFonts w:cs="Arial"/>
          <w:lang w:val="fr-FR"/>
        </w:rPr>
        <w:t>’</w:t>
      </w:r>
      <w:r w:rsidR="00DE24EA" w:rsidRPr="005C718D">
        <w:rPr>
          <w:rFonts w:cs="Arial"/>
          <w:lang w:val="fr-FR"/>
        </w:rPr>
        <w:t>Austral</w:t>
      </w:r>
      <w:r w:rsidR="00E64434" w:rsidRPr="005C718D">
        <w:rPr>
          <w:rFonts w:cs="Arial"/>
          <w:lang w:val="fr-FR"/>
        </w:rPr>
        <w:t>ie</w:t>
      </w:r>
      <w:r w:rsidR="00E64434">
        <w:rPr>
          <w:rFonts w:cs="Arial"/>
          <w:lang w:val="fr-FR"/>
        </w:rPr>
        <w:t xml:space="preserve">.  </w:t>
      </w:r>
      <w:r w:rsidR="00E64434" w:rsidRPr="005C718D">
        <w:rPr>
          <w:lang w:val="fr-FR"/>
        </w:rPr>
        <w:t>Le</w:t>
      </w:r>
      <w:r w:rsidR="00DE24EA" w:rsidRPr="005C718D">
        <w:rPr>
          <w:lang w:val="fr-FR"/>
        </w:rPr>
        <w:t xml:space="preserve"> texte de l</w:t>
      </w:r>
      <w:r w:rsidR="005C718D">
        <w:rPr>
          <w:lang w:val="fr-FR"/>
        </w:rPr>
        <w:t>’</w:t>
      </w:r>
      <w:r w:rsidR="00DE24EA" w:rsidRPr="005C718D">
        <w:rPr>
          <w:lang w:val="fr-FR"/>
        </w:rPr>
        <w:t>exposé sera</w:t>
      </w:r>
      <w:r w:rsidR="00DE7DFF">
        <w:rPr>
          <w:lang w:val="fr-FR"/>
        </w:rPr>
        <w:t>it</w:t>
      </w:r>
      <w:bookmarkStart w:id="26" w:name="_GoBack"/>
      <w:bookmarkEnd w:id="26"/>
      <w:r w:rsidR="00DE24EA" w:rsidRPr="005C718D">
        <w:rPr>
          <w:lang w:val="fr-FR"/>
        </w:rPr>
        <w:t xml:space="preserve"> reproduit dans un additif au</w:t>
      </w:r>
      <w:r w:rsidRPr="005C718D">
        <w:rPr>
          <w:lang w:val="fr-FR"/>
        </w:rPr>
        <w:t xml:space="preserve"> </w:t>
      </w:r>
      <w:r w:rsidR="005C718D" w:rsidRPr="005C718D">
        <w:rPr>
          <w:lang w:val="fr-FR"/>
        </w:rPr>
        <w:t>document</w:t>
      </w:r>
      <w:r w:rsidR="005C718D">
        <w:rPr>
          <w:lang w:val="fr-FR"/>
        </w:rPr>
        <w:t xml:space="preserve"> </w:t>
      </w:r>
      <w:r w:rsidR="005C718D" w:rsidRPr="005C718D">
        <w:rPr>
          <w:lang w:val="fr-FR"/>
        </w:rPr>
        <w:t>TW</w:t>
      </w:r>
      <w:r w:rsidRPr="005C718D">
        <w:rPr>
          <w:lang w:val="fr-FR"/>
        </w:rPr>
        <w:t>O/51/5.</w:t>
      </w:r>
    </w:p>
    <w:p w:rsidR="00AA1C00" w:rsidRPr="005C718D" w:rsidRDefault="00AA1C00" w:rsidP="00AA1C00">
      <w:pPr>
        <w:rPr>
          <w:lang w:val="fr-FR"/>
        </w:rPr>
      </w:pPr>
    </w:p>
    <w:p w:rsidR="00AA1C00" w:rsidRPr="005C718D" w:rsidRDefault="00AA1C00" w:rsidP="00AA1C00">
      <w:pPr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="00DE24EA" w:rsidRPr="005C718D">
        <w:rPr>
          <w:lang w:val="fr-FR"/>
        </w:rPr>
        <w:tab/>
        <w:t>L</w:t>
      </w:r>
      <w:r w:rsidRPr="005C718D">
        <w:rPr>
          <w:lang w:val="fr-FR"/>
        </w:rPr>
        <w:t xml:space="preserve">e TWO </w:t>
      </w:r>
      <w:r w:rsidR="00DE24EA" w:rsidRPr="005C718D">
        <w:rPr>
          <w:lang w:val="fr-FR"/>
        </w:rPr>
        <w:t>a pris note de</w:t>
      </w:r>
      <w:r w:rsidRPr="005C718D">
        <w:rPr>
          <w:lang w:val="fr-FR"/>
        </w:rPr>
        <w:t xml:space="preserve"> </w:t>
      </w:r>
      <w:r w:rsidR="00DE24EA" w:rsidRPr="005C718D">
        <w:rPr>
          <w:lang w:val="fr-FR"/>
        </w:rPr>
        <w:t>l</w:t>
      </w:r>
      <w:r w:rsidR="005C718D">
        <w:rPr>
          <w:lang w:val="fr-FR"/>
        </w:rPr>
        <w:t>’</w:t>
      </w:r>
      <w:r w:rsidRPr="005C718D">
        <w:rPr>
          <w:lang w:val="fr-FR"/>
        </w:rPr>
        <w:t xml:space="preserve">importance </w:t>
      </w:r>
      <w:r w:rsidR="00DE24EA" w:rsidRPr="005C718D">
        <w:rPr>
          <w:lang w:val="fr-FR"/>
        </w:rPr>
        <w:t>de la base de données</w:t>
      </w:r>
      <w:r w:rsidR="005C718D" w:rsidRPr="005C718D">
        <w:rPr>
          <w:lang w:val="fr-FR"/>
        </w:rPr>
        <w:t xml:space="preserve"> du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GRI</w:t>
      </w:r>
      <w:r w:rsidRPr="005C718D">
        <w:rPr>
          <w:lang w:val="fr-FR"/>
        </w:rPr>
        <w:t xml:space="preserve">N </w:t>
      </w:r>
      <w:r w:rsidR="00DE24EA" w:rsidRPr="005C718D">
        <w:rPr>
          <w:lang w:val="fr-FR"/>
        </w:rPr>
        <w:t>en tant que</w:t>
      </w:r>
      <w:r w:rsidRPr="005C718D">
        <w:rPr>
          <w:lang w:val="fr-FR"/>
        </w:rPr>
        <w:t xml:space="preserve"> source </w:t>
      </w:r>
      <w:r w:rsidR="00DE24EA" w:rsidRPr="005C718D">
        <w:rPr>
          <w:lang w:val="fr-FR"/>
        </w:rPr>
        <w:t>d</w:t>
      </w:r>
      <w:r w:rsidR="005C718D">
        <w:rPr>
          <w:lang w:val="fr-FR"/>
        </w:rPr>
        <w:t>’</w:t>
      </w:r>
      <w:r w:rsidR="00DE24EA" w:rsidRPr="005C718D">
        <w:rPr>
          <w:lang w:val="fr-FR"/>
        </w:rPr>
        <w:t>informations</w:t>
      </w:r>
      <w:r w:rsidRPr="005C718D">
        <w:rPr>
          <w:lang w:val="fr-FR"/>
        </w:rPr>
        <w:t xml:space="preserve"> </w:t>
      </w:r>
      <w:r w:rsidR="00DE24EA" w:rsidRPr="005C718D">
        <w:rPr>
          <w:lang w:val="fr-FR"/>
        </w:rPr>
        <w:t>taxonomiques pour les membres de</w:t>
      </w:r>
      <w:r w:rsidRPr="005C718D">
        <w:rPr>
          <w:lang w:val="fr-FR"/>
        </w:rPr>
        <w:t xml:space="preserve"> </w:t>
      </w:r>
      <w:r w:rsidR="00DE24EA" w:rsidRPr="005C718D">
        <w:rPr>
          <w:lang w:val="fr-FR"/>
        </w:rPr>
        <w:t>l</w:t>
      </w:r>
      <w:r w:rsidR="005C718D">
        <w:rPr>
          <w:lang w:val="fr-FR"/>
        </w:rPr>
        <w:t>’</w:t>
      </w:r>
      <w:r w:rsidRPr="005C718D">
        <w:rPr>
          <w:lang w:val="fr-FR"/>
        </w:rPr>
        <w:t>UPOV </w:t>
      </w:r>
      <w:r w:rsidR="00DE24EA" w:rsidRPr="005C718D">
        <w:rPr>
          <w:lang w:val="fr-FR"/>
        </w:rPr>
        <w:t>et en tant que source principale d</w:t>
      </w:r>
      <w:r w:rsidR="005C718D">
        <w:rPr>
          <w:lang w:val="fr-FR"/>
        </w:rPr>
        <w:t>’</w:t>
      </w:r>
      <w:r w:rsidR="00DE24EA" w:rsidRPr="005C718D">
        <w:rPr>
          <w:lang w:val="fr-FR"/>
        </w:rPr>
        <w:t>informations taxonomiques pour le système de codes</w:t>
      </w:r>
      <w:r w:rsidRPr="005C718D">
        <w:rPr>
          <w:lang w:val="fr-FR"/>
        </w:rPr>
        <w:t xml:space="preserve"> UPOV.</w:t>
      </w:r>
    </w:p>
    <w:p w:rsidR="00AA1C00" w:rsidRPr="005C718D" w:rsidRDefault="00AA1C00" w:rsidP="00AA1C00">
      <w:pPr>
        <w:rPr>
          <w:lang w:val="fr-FR"/>
        </w:rPr>
      </w:pPr>
    </w:p>
    <w:p w:rsidR="00AA1C00" w:rsidRPr="005C718D" w:rsidRDefault="000C4B82" w:rsidP="00AA1C00">
      <w:pPr>
        <w:pStyle w:val="Heading2"/>
        <w:rPr>
          <w:lang w:val="fr-FR"/>
        </w:rPr>
      </w:pPr>
      <w:bookmarkStart w:id="27" w:name="_Toc22473832"/>
      <w:r w:rsidRPr="005C718D">
        <w:rPr>
          <w:lang w:val="fr-FR"/>
        </w:rPr>
        <w:t>Divergences entre les informations figurant dans le questionnaire technique et le matériel végétal soumis pour examen</w:t>
      </w:r>
      <w:bookmarkEnd w:id="27"/>
    </w:p>
    <w:p w:rsidR="00AA1C00" w:rsidRPr="005C718D" w:rsidRDefault="00AA1C00" w:rsidP="00AA1C00">
      <w:pPr>
        <w:keepNext/>
        <w:rPr>
          <w:lang w:val="fr-FR"/>
        </w:rPr>
      </w:pPr>
    </w:p>
    <w:p w:rsidR="00AA1C00" w:rsidRPr="005C718D" w:rsidRDefault="00AA1C00" w:rsidP="00AA1C00">
      <w:pPr>
        <w:keepNext/>
        <w:autoSpaceDE w:val="0"/>
        <w:autoSpaceDN w:val="0"/>
        <w:adjustRightInd w:val="0"/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Pr="005C718D">
        <w:rPr>
          <w:lang w:val="fr-FR"/>
        </w:rPr>
        <w:tab/>
      </w:r>
      <w:r w:rsidR="00DE24EA" w:rsidRPr="005C718D">
        <w:rPr>
          <w:lang w:val="fr-FR"/>
        </w:rPr>
        <w:t>À sa cinquante</w:t>
      </w:r>
      <w:r w:rsidR="005C718D">
        <w:rPr>
          <w:lang w:val="fr-FR"/>
        </w:rPr>
        <w:t> et unième session</w:t>
      </w:r>
      <w:r w:rsidR="00DE24EA" w:rsidRPr="005C718D">
        <w:rPr>
          <w:lang w:val="fr-FR"/>
        </w:rPr>
        <w:t xml:space="preserve"> tenue à </w:t>
      </w:r>
      <w:r w:rsidR="00DE24EA" w:rsidRPr="005C718D">
        <w:rPr>
          <w:rFonts w:cs="Arial"/>
          <w:lang w:val="fr-FR"/>
        </w:rPr>
        <w:t>Christchurch (Nouvelle</w:t>
      </w:r>
      <w:r w:rsidR="005C718D">
        <w:rPr>
          <w:rFonts w:cs="Arial"/>
          <w:lang w:val="fr-FR"/>
        </w:rPr>
        <w:t>-</w:t>
      </w:r>
      <w:r w:rsidR="00DE24EA" w:rsidRPr="005C718D">
        <w:rPr>
          <w:rFonts w:cs="Arial"/>
          <w:lang w:val="fr-FR"/>
        </w:rPr>
        <w:t>Zélande) du 18 au 22 février 2019,</w:t>
      </w:r>
      <w:r w:rsidR="005C718D" w:rsidRPr="005C718D">
        <w:rPr>
          <w:rFonts w:cs="Arial"/>
          <w:lang w:val="fr-FR"/>
        </w:rPr>
        <w:t xml:space="preserve"> le</w:t>
      </w:r>
      <w:r w:rsidR="005C718D">
        <w:rPr>
          <w:rFonts w:cs="Arial"/>
          <w:lang w:val="fr-FR"/>
        </w:rPr>
        <w:t> </w:t>
      </w:r>
      <w:r w:rsidR="005C718D" w:rsidRPr="005C718D">
        <w:rPr>
          <w:rFonts w:cs="Arial"/>
          <w:lang w:val="fr-FR"/>
        </w:rPr>
        <w:t>TWO</w:t>
      </w:r>
      <w:r w:rsidR="00DE24EA" w:rsidRPr="005C718D">
        <w:rPr>
          <w:rFonts w:cs="Arial"/>
          <w:lang w:val="fr-FR"/>
        </w:rPr>
        <w:t xml:space="preserve"> a assisté à un exposé intitulé</w:t>
      </w:r>
      <w:r w:rsidRPr="005C718D">
        <w:rPr>
          <w:lang w:val="fr-FR"/>
        </w:rPr>
        <w:t xml:space="preserve"> </w:t>
      </w:r>
      <w:r w:rsidRPr="005C718D">
        <w:rPr>
          <w:rFonts w:ascii="ArialMT" w:hAnsi="ArialMT" w:cs="ArialMT"/>
          <w:lang w:val="fr-FR"/>
        </w:rPr>
        <w:t>“</w:t>
      </w:r>
      <w:proofErr w:type="spellStart"/>
      <w:r w:rsidRPr="005C718D">
        <w:rPr>
          <w:rFonts w:ascii="ArialMT" w:hAnsi="ArialMT" w:cs="ArialMT"/>
          <w:lang w:val="fr-FR"/>
        </w:rPr>
        <w:t>Inconsistencies</w:t>
      </w:r>
      <w:proofErr w:type="spellEnd"/>
      <w:r w:rsidRPr="005C718D">
        <w:rPr>
          <w:rFonts w:ascii="ArialMT" w:hAnsi="ArialMT" w:cs="ArialMT"/>
          <w:lang w:val="fr-FR"/>
        </w:rPr>
        <w:t xml:space="preserve"> </w:t>
      </w:r>
      <w:proofErr w:type="spellStart"/>
      <w:r w:rsidRPr="005C718D">
        <w:rPr>
          <w:rFonts w:ascii="ArialMT" w:hAnsi="ArialMT" w:cs="ArialMT"/>
          <w:lang w:val="fr-FR"/>
        </w:rPr>
        <w:t>between</w:t>
      </w:r>
      <w:proofErr w:type="spellEnd"/>
      <w:r w:rsidRPr="005C718D">
        <w:rPr>
          <w:rFonts w:ascii="ArialMT" w:hAnsi="ArialMT" w:cs="ArialMT"/>
          <w:lang w:val="fr-FR"/>
        </w:rPr>
        <w:t xml:space="preserve"> TQ information and plant </w:t>
      </w:r>
      <w:proofErr w:type="spellStart"/>
      <w:r w:rsidRPr="005C718D">
        <w:rPr>
          <w:rFonts w:ascii="ArialMT" w:hAnsi="ArialMT" w:cs="ArialMT"/>
          <w:lang w:val="fr-FR"/>
        </w:rPr>
        <w:t>material</w:t>
      </w:r>
      <w:proofErr w:type="spellEnd"/>
      <w:r w:rsidRPr="005C718D">
        <w:rPr>
          <w:rFonts w:ascii="ArialMT" w:hAnsi="ArialMT" w:cs="ArialMT"/>
          <w:lang w:val="fr-FR"/>
        </w:rPr>
        <w:t xml:space="preserve"> </w:t>
      </w:r>
      <w:proofErr w:type="spellStart"/>
      <w:r w:rsidRPr="005C718D">
        <w:rPr>
          <w:rFonts w:ascii="ArialMT" w:hAnsi="ArialMT" w:cs="ArialMT"/>
          <w:lang w:val="fr-FR"/>
        </w:rPr>
        <w:t>submitted</w:t>
      </w:r>
      <w:proofErr w:type="spellEnd"/>
      <w:r w:rsidRPr="005C718D">
        <w:rPr>
          <w:rFonts w:ascii="ArialMT" w:hAnsi="ArialMT" w:cs="ArialMT"/>
          <w:lang w:val="fr-FR"/>
        </w:rPr>
        <w:t xml:space="preserve"> for DUS trial in the </w:t>
      </w:r>
      <w:proofErr w:type="spellStart"/>
      <w:r w:rsidRPr="005C718D">
        <w:rPr>
          <w:rFonts w:ascii="ArialMT" w:hAnsi="ArialMT" w:cs="ArialMT"/>
          <w:lang w:val="fr-FR"/>
        </w:rPr>
        <w:t>European</w:t>
      </w:r>
      <w:proofErr w:type="spellEnd"/>
      <w:r w:rsidRPr="005C718D">
        <w:rPr>
          <w:rFonts w:ascii="ArialMT" w:hAnsi="ArialMT" w:cs="ArialMT"/>
          <w:lang w:val="fr-FR"/>
        </w:rPr>
        <w:t xml:space="preserve"> Union PBR system”</w:t>
      </w:r>
      <w:r w:rsidR="00DE24EA" w:rsidRPr="005C718D">
        <w:rPr>
          <w:rFonts w:ascii="ArialMT" w:hAnsi="ArialMT" w:cs="ArialMT"/>
          <w:lang w:val="fr-FR"/>
        </w:rPr>
        <w:t xml:space="preserve"> (</w:t>
      </w:r>
      <w:r w:rsidR="00FC4CCF" w:rsidRPr="005C718D">
        <w:rPr>
          <w:rFonts w:ascii="ArialMT" w:hAnsi="ArialMT" w:cs="ArialMT"/>
          <w:lang w:val="fr-FR"/>
        </w:rPr>
        <w:t>Divergences entre les informations figurant dans le questionnaire technique et le matériel végétal soumis pour examen</w:t>
      </w:r>
      <w:r w:rsidR="0055585E">
        <w:rPr>
          <w:rFonts w:ascii="ArialMT" w:hAnsi="ArialMT" w:cs="ArialMT"/>
          <w:lang w:val="fr-FR"/>
        </w:rPr>
        <w:t> </w:t>
      </w:r>
      <w:r w:rsidR="00FC4CCF" w:rsidRPr="005C718D">
        <w:rPr>
          <w:rFonts w:ascii="ArialMT" w:hAnsi="ArialMT" w:cs="ArialMT"/>
          <w:lang w:val="fr-FR"/>
        </w:rPr>
        <w:t xml:space="preserve">DHS dans le système </w:t>
      </w:r>
      <w:r w:rsidR="00FC4CCF" w:rsidRPr="005C718D">
        <w:rPr>
          <w:rFonts w:ascii="ArialMT" w:hAnsi="ArialMT" w:cs="ArialMT"/>
          <w:lang w:val="fr-FR"/>
        </w:rPr>
        <w:lastRenderedPageBreak/>
        <w:t>de protection du droit d</w:t>
      </w:r>
      <w:r w:rsidR="005C718D">
        <w:rPr>
          <w:rFonts w:ascii="ArialMT" w:hAnsi="ArialMT" w:cs="ArialMT"/>
          <w:lang w:val="fr-FR"/>
        </w:rPr>
        <w:t>’</w:t>
      </w:r>
      <w:r w:rsidR="00FC4CCF" w:rsidRPr="005C718D">
        <w:rPr>
          <w:rFonts w:ascii="ArialMT" w:hAnsi="ArialMT" w:cs="ArialMT"/>
          <w:lang w:val="fr-FR"/>
        </w:rPr>
        <w:t>obtenteur de l</w:t>
      </w:r>
      <w:r w:rsidR="005C718D">
        <w:rPr>
          <w:rFonts w:ascii="ArialMT" w:hAnsi="ArialMT" w:cs="ArialMT"/>
          <w:lang w:val="fr-FR"/>
        </w:rPr>
        <w:t>’</w:t>
      </w:r>
      <w:r w:rsidR="00FC4CCF" w:rsidRPr="005C718D">
        <w:rPr>
          <w:rFonts w:ascii="ArialMT" w:hAnsi="ArialMT" w:cs="ArialMT"/>
          <w:lang w:val="fr-FR"/>
        </w:rPr>
        <w:t>Union européenne</w:t>
      </w:r>
      <w:r w:rsidR="0020539A" w:rsidRPr="005C718D">
        <w:rPr>
          <w:rFonts w:ascii="ArialMT" w:hAnsi="ArialMT" w:cs="ArialMT"/>
          <w:lang w:val="fr-FR"/>
        </w:rPr>
        <w:t>)</w:t>
      </w:r>
      <w:r w:rsidR="00DE24EA" w:rsidRPr="005C718D">
        <w:rPr>
          <w:rFonts w:ascii="ArialMT" w:hAnsi="ArialMT" w:cs="ArialMT"/>
          <w:lang w:val="fr-FR"/>
        </w:rPr>
        <w:t xml:space="preserve"> présenté par un</w:t>
      </w:r>
      <w:r w:rsidRPr="005C718D">
        <w:rPr>
          <w:rFonts w:cs="Arial"/>
          <w:lang w:val="fr-FR"/>
        </w:rPr>
        <w:t xml:space="preserve"> expert </w:t>
      </w:r>
      <w:r w:rsidR="00DE24EA" w:rsidRPr="005C718D">
        <w:rPr>
          <w:rFonts w:cs="Arial"/>
          <w:lang w:val="fr-FR"/>
        </w:rPr>
        <w:t>de l</w:t>
      </w:r>
      <w:r w:rsidR="005C718D">
        <w:rPr>
          <w:rFonts w:cs="Arial"/>
          <w:lang w:val="fr-FR"/>
        </w:rPr>
        <w:t>’</w:t>
      </w:r>
      <w:r w:rsidR="00DE24EA" w:rsidRPr="005C718D">
        <w:rPr>
          <w:rFonts w:cs="Arial"/>
          <w:lang w:val="fr-FR"/>
        </w:rPr>
        <w:t>Union européen</w:t>
      </w:r>
      <w:r w:rsidR="00E64434" w:rsidRPr="005C718D">
        <w:rPr>
          <w:rFonts w:cs="Arial"/>
          <w:lang w:val="fr-FR"/>
        </w:rPr>
        <w:t>ne</w:t>
      </w:r>
      <w:r w:rsidR="00E64434">
        <w:rPr>
          <w:rFonts w:cs="Arial"/>
          <w:lang w:val="fr-FR"/>
        </w:rPr>
        <w:t xml:space="preserve">.  </w:t>
      </w:r>
      <w:r w:rsidR="00E64434" w:rsidRPr="005C718D">
        <w:rPr>
          <w:lang w:val="fr-FR"/>
        </w:rPr>
        <w:t>Le</w:t>
      </w:r>
      <w:r w:rsidR="00DE24EA" w:rsidRPr="005C718D">
        <w:rPr>
          <w:lang w:val="fr-FR"/>
        </w:rPr>
        <w:t xml:space="preserve"> texte de l</w:t>
      </w:r>
      <w:r w:rsidR="005C718D">
        <w:rPr>
          <w:lang w:val="fr-FR"/>
        </w:rPr>
        <w:t>’</w:t>
      </w:r>
      <w:r w:rsidR="00DE24EA" w:rsidRPr="005C718D">
        <w:rPr>
          <w:lang w:val="fr-FR"/>
        </w:rPr>
        <w:t>exposé est reproduit dans le</w:t>
      </w:r>
      <w:r w:rsidRPr="005C718D">
        <w:rPr>
          <w:lang w:val="fr-FR"/>
        </w:rPr>
        <w:t xml:space="preserve"> </w:t>
      </w:r>
      <w:r w:rsidR="005C718D" w:rsidRPr="005C718D">
        <w:rPr>
          <w:lang w:val="fr-FR"/>
        </w:rPr>
        <w:t>document</w:t>
      </w:r>
      <w:r w:rsidR="005C718D">
        <w:rPr>
          <w:lang w:val="fr-FR"/>
        </w:rPr>
        <w:t xml:space="preserve"> </w:t>
      </w:r>
      <w:r w:rsidR="005C718D" w:rsidRPr="005C718D">
        <w:rPr>
          <w:lang w:val="fr-FR"/>
        </w:rPr>
        <w:t>TW</w:t>
      </w:r>
      <w:r w:rsidRPr="005C718D">
        <w:rPr>
          <w:lang w:val="fr-FR"/>
        </w:rPr>
        <w:t>O/51/6</w:t>
      </w:r>
      <w:r w:rsidR="00DE24EA" w:rsidRPr="005C718D">
        <w:rPr>
          <w:lang w:val="fr-FR"/>
        </w:rPr>
        <w:t xml:space="preserve"> (voir le </w:t>
      </w:r>
      <w:r w:rsidR="005C718D" w:rsidRPr="005C718D">
        <w:rPr>
          <w:lang w:val="fr-FR"/>
        </w:rPr>
        <w:t>paragraphe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7</w:t>
      </w:r>
      <w:r w:rsidR="00DE24EA" w:rsidRPr="005C718D">
        <w:rPr>
          <w:lang w:val="fr-FR"/>
        </w:rPr>
        <w:t>9 du document TWO/51/12 “Report” (Compte rendu)</w:t>
      </w:r>
      <w:r w:rsidR="00E6777A" w:rsidRPr="005C718D">
        <w:rPr>
          <w:lang w:val="fr-FR"/>
        </w:rPr>
        <w:t>).</w:t>
      </w:r>
    </w:p>
    <w:p w:rsidR="002704BE" w:rsidRPr="005C718D" w:rsidRDefault="002704BE" w:rsidP="002704BE">
      <w:pPr>
        <w:rPr>
          <w:lang w:val="fr-FR"/>
        </w:rPr>
      </w:pPr>
    </w:p>
    <w:p w:rsidR="002704BE" w:rsidRPr="005C718D" w:rsidRDefault="000C4B82" w:rsidP="002704BE">
      <w:pPr>
        <w:pStyle w:val="Heading2"/>
        <w:rPr>
          <w:lang w:val="fr-FR"/>
        </w:rPr>
      </w:pPr>
      <w:bookmarkStart w:id="28" w:name="_Toc22473833"/>
      <w:r w:rsidRPr="005C718D">
        <w:rPr>
          <w:lang w:val="fr-FR"/>
        </w:rPr>
        <w:t>Données d</w:t>
      </w:r>
      <w:r w:rsidR="005C718D">
        <w:rPr>
          <w:lang w:val="fr-FR"/>
        </w:rPr>
        <w:t>’</w:t>
      </w:r>
      <w:r w:rsidRPr="005C718D">
        <w:rPr>
          <w:lang w:val="fr-FR"/>
        </w:rPr>
        <w:t>expérience relatives aux nouveaux types et espèces</w:t>
      </w:r>
      <w:bookmarkEnd w:id="28"/>
    </w:p>
    <w:p w:rsidR="002704BE" w:rsidRPr="005C718D" w:rsidRDefault="002704BE" w:rsidP="002704BE">
      <w:pPr>
        <w:keepNext/>
        <w:rPr>
          <w:lang w:val="fr-FR"/>
        </w:rPr>
      </w:pPr>
    </w:p>
    <w:p w:rsidR="002704BE" w:rsidRPr="005C718D" w:rsidRDefault="002704BE" w:rsidP="002704BE">
      <w:pPr>
        <w:keepNext/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Pr="005C718D">
        <w:rPr>
          <w:lang w:val="fr-FR"/>
        </w:rPr>
        <w:tab/>
      </w:r>
      <w:r w:rsidR="00FC4CCF" w:rsidRPr="005C718D">
        <w:rPr>
          <w:lang w:val="fr-FR"/>
        </w:rPr>
        <w:t>À sa cinquante</w:t>
      </w:r>
      <w:r w:rsidR="005C718D">
        <w:rPr>
          <w:lang w:val="fr-FR"/>
        </w:rPr>
        <w:t> et unième session</w:t>
      </w:r>
      <w:r w:rsidR="00FC4CCF" w:rsidRPr="005C718D">
        <w:rPr>
          <w:lang w:val="fr-FR"/>
        </w:rPr>
        <w:t xml:space="preserve"> tenue à </w:t>
      </w:r>
      <w:r w:rsidR="00FC4CCF" w:rsidRPr="005C718D">
        <w:rPr>
          <w:rFonts w:cs="Arial"/>
          <w:lang w:val="fr-FR"/>
        </w:rPr>
        <w:t>Christchurch (Nouvelle</w:t>
      </w:r>
      <w:r w:rsidR="005C718D">
        <w:rPr>
          <w:rFonts w:cs="Arial"/>
          <w:lang w:val="fr-FR"/>
        </w:rPr>
        <w:t>-</w:t>
      </w:r>
      <w:r w:rsidR="00FC4CCF" w:rsidRPr="005C718D">
        <w:rPr>
          <w:rFonts w:cs="Arial"/>
          <w:lang w:val="fr-FR"/>
        </w:rPr>
        <w:t>Zélande) du 18 au 22 février 2019,</w:t>
      </w:r>
      <w:r w:rsidR="005C718D" w:rsidRPr="005C718D">
        <w:rPr>
          <w:rFonts w:cs="Arial"/>
          <w:lang w:val="fr-FR"/>
        </w:rPr>
        <w:t xml:space="preserve"> le</w:t>
      </w:r>
      <w:r w:rsidR="005C718D">
        <w:rPr>
          <w:rFonts w:cs="Arial"/>
          <w:lang w:val="fr-FR"/>
        </w:rPr>
        <w:t> </w:t>
      </w:r>
      <w:r w:rsidR="005C718D" w:rsidRPr="005C718D">
        <w:rPr>
          <w:rFonts w:cs="Arial"/>
          <w:lang w:val="fr-FR"/>
        </w:rPr>
        <w:t>TWO</w:t>
      </w:r>
      <w:r w:rsidR="00FC4CCF" w:rsidRPr="005C718D">
        <w:rPr>
          <w:rFonts w:cs="Arial"/>
          <w:lang w:val="fr-FR"/>
        </w:rPr>
        <w:t xml:space="preserve"> a assisté à un exposé présenté par un</w:t>
      </w:r>
      <w:r w:rsidRPr="005C718D">
        <w:rPr>
          <w:lang w:val="fr-FR"/>
        </w:rPr>
        <w:t xml:space="preserve"> expert </w:t>
      </w:r>
      <w:r w:rsidR="00FC4CCF" w:rsidRPr="005C718D">
        <w:rPr>
          <w:lang w:val="fr-FR"/>
        </w:rPr>
        <w:t>de Chine, intitulé</w:t>
      </w:r>
      <w:r w:rsidRPr="005C718D">
        <w:rPr>
          <w:lang w:val="fr-FR"/>
        </w:rPr>
        <w:t xml:space="preserve"> “A </w:t>
      </w:r>
      <w:proofErr w:type="spellStart"/>
      <w:r w:rsidRPr="005C718D">
        <w:rPr>
          <w:lang w:val="fr-FR"/>
        </w:rPr>
        <w:t>proposal</w:t>
      </w:r>
      <w:proofErr w:type="spellEnd"/>
      <w:r w:rsidRPr="005C718D">
        <w:rPr>
          <w:lang w:val="fr-FR"/>
        </w:rPr>
        <w:t xml:space="preserve"> for new Test Guidelines </w:t>
      </w:r>
      <w:r w:rsidR="00FC4CCF" w:rsidRPr="005C718D">
        <w:rPr>
          <w:lang w:val="fr-FR"/>
        </w:rPr>
        <w:t>for Magnolia</w:t>
      </w:r>
      <w:r w:rsidRPr="005C718D">
        <w:rPr>
          <w:lang w:val="fr-FR"/>
        </w:rPr>
        <w:t>”</w:t>
      </w:r>
      <w:r w:rsidR="00FC4CCF" w:rsidRPr="005C718D">
        <w:rPr>
          <w:lang w:val="fr-FR"/>
        </w:rPr>
        <w:t xml:space="preserve"> (Proposition de nouveaux principes directeurs d</w:t>
      </w:r>
      <w:r w:rsidR="005C718D">
        <w:rPr>
          <w:lang w:val="fr-FR"/>
        </w:rPr>
        <w:t>’</w:t>
      </w:r>
      <w:r w:rsidR="00FC4CCF" w:rsidRPr="005C718D">
        <w:rPr>
          <w:lang w:val="fr-FR"/>
        </w:rPr>
        <w:t>examen du magnolia),</w:t>
      </w:r>
      <w:r w:rsidRPr="005C718D">
        <w:rPr>
          <w:lang w:val="fr-FR"/>
        </w:rPr>
        <w:t xml:space="preserve"> </w:t>
      </w:r>
      <w:r w:rsidR="00FC4CCF" w:rsidRPr="005C718D">
        <w:rPr>
          <w:lang w:val="fr-FR"/>
        </w:rPr>
        <w:t>dont le texte a été reproduit dans le</w:t>
      </w:r>
      <w:r w:rsidRPr="005C718D">
        <w:rPr>
          <w:lang w:val="fr-FR"/>
        </w:rPr>
        <w:t xml:space="preserve"> document TWO/51/3 “Reports on </w:t>
      </w:r>
      <w:proofErr w:type="spellStart"/>
      <w:r w:rsidRPr="005C718D">
        <w:rPr>
          <w:lang w:val="fr-FR"/>
        </w:rPr>
        <w:t>Developments</w:t>
      </w:r>
      <w:proofErr w:type="spellEnd"/>
      <w:r w:rsidRPr="005C718D">
        <w:rPr>
          <w:lang w:val="fr-FR"/>
        </w:rPr>
        <w:t xml:space="preserve"> in Plant </w:t>
      </w:r>
      <w:proofErr w:type="spellStart"/>
      <w:r w:rsidRPr="005C718D">
        <w:rPr>
          <w:lang w:val="fr-FR"/>
        </w:rPr>
        <w:t>Variety</w:t>
      </w:r>
      <w:proofErr w:type="spellEnd"/>
      <w:r w:rsidRPr="005C718D">
        <w:rPr>
          <w:lang w:val="fr-FR"/>
        </w:rPr>
        <w:t xml:space="preserve"> Protection </w:t>
      </w:r>
      <w:proofErr w:type="spellStart"/>
      <w:r w:rsidRPr="005C718D">
        <w:rPr>
          <w:lang w:val="fr-FR"/>
        </w:rPr>
        <w:t>from</w:t>
      </w:r>
      <w:proofErr w:type="spellEnd"/>
      <w:r w:rsidRPr="005C718D">
        <w:rPr>
          <w:lang w:val="fr-FR"/>
        </w:rPr>
        <w:t xml:space="preserve"> </w:t>
      </w:r>
      <w:proofErr w:type="spellStart"/>
      <w:r w:rsidRPr="005C718D">
        <w:rPr>
          <w:lang w:val="fr-FR"/>
        </w:rPr>
        <w:t>Members</w:t>
      </w:r>
      <w:proofErr w:type="spellEnd"/>
      <w:r w:rsidRPr="005C718D">
        <w:rPr>
          <w:lang w:val="fr-FR"/>
        </w:rPr>
        <w:t xml:space="preserve"> and </w:t>
      </w:r>
      <w:proofErr w:type="spellStart"/>
      <w:r w:rsidRPr="005C718D">
        <w:rPr>
          <w:lang w:val="fr-FR"/>
        </w:rPr>
        <w:t>Observers</w:t>
      </w:r>
      <w:proofErr w:type="spellEnd"/>
      <w:r w:rsidRPr="005C718D">
        <w:rPr>
          <w:lang w:val="fr-FR"/>
        </w:rPr>
        <w:t>”</w:t>
      </w:r>
      <w:r w:rsidR="00FC4CCF" w:rsidRPr="005C718D">
        <w:rPr>
          <w:lang w:val="fr-FR"/>
        </w:rPr>
        <w:t xml:space="preserve"> (Rapports des membres et des </w:t>
      </w:r>
      <w:r w:rsidR="0019163A" w:rsidRPr="005C718D">
        <w:rPr>
          <w:lang w:val="fr-FR"/>
        </w:rPr>
        <w:t xml:space="preserve">membres </w:t>
      </w:r>
      <w:r w:rsidR="00FC4CCF" w:rsidRPr="005C718D">
        <w:rPr>
          <w:lang w:val="fr-FR"/>
        </w:rPr>
        <w:t>observateurs sur l</w:t>
      </w:r>
      <w:r w:rsidR="005C718D">
        <w:rPr>
          <w:lang w:val="fr-FR"/>
        </w:rPr>
        <w:t>’</w:t>
      </w:r>
      <w:r w:rsidR="00FC4CCF" w:rsidRPr="005C718D">
        <w:rPr>
          <w:lang w:val="fr-FR"/>
        </w:rPr>
        <w:t>évolution de la situation en matière de protection des obtentions végétales)</w:t>
      </w:r>
      <w:r w:rsidRPr="005C718D">
        <w:rPr>
          <w:lang w:val="fr-FR"/>
        </w:rPr>
        <w:t xml:space="preserve"> </w:t>
      </w:r>
      <w:r w:rsidR="00E6777A" w:rsidRPr="005C718D">
        <w:rPr>
          <w:lang w:val="fr-FR"/>
        </w:rPr>
        <w:t>(</w:t>
      </w:r>
      <w:r w:rsidR="00FC4CCF" w:rsidRPr="005C718D">
        <w:rPr>
          <w:lang w:val="fr-FR"/>
        </w:rPr>
        <w:t xml:space="preserve">voir le </w:t>
      </w:r>
      <w:r w:rsidR="005C718D" w:rsidRPr="005C718D">
        <w:rPr>
          <w:lang w:val="fr-FR"/>
        </w:rPr>
        <w:t>paragraphe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8</w:t>
      </w:r>
      <w:r w:rsidR="00FC4CCF" w:rsidRPr="005C718D">
        <w:rPr>
          <w:lang w:val="fr-FR"/>
        </w:rPr>
        <w:t>9 du document TWO/51/12 “Report” (Compte rendu)</w:t>
      </w:r>
      <w:r w:rsidR="00E6777A" w:rsidRPr="005C718D">
        <w:rPr>
          <w:lang w:val="fr-FR"/>
        </w:rPr>
        <w:t>).</w:t>
      </w:r>
    </w:p>
    <w:p w:rsidR="009E18D2" w:rsidRPr="005C718D" w:rsidRDefault="009E18D2" w:rsidP="009E18D2">
      <w:pPr>
        <w:keepNext/>
        <w:rPr>
          <w:lang w:val="fr-FR"/>
        </w:rPr>
      </w:pPr>
    </w:p>
    <w:p w:rsidR="009E18D2" w:rsidRPr="005C718D" w:rsidRDefault="009E18D2" w:rsidP="009E18D2">
      <w:pPr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Pr="005C718D">
        <w:rPr>
          <w:lang w:val="fr-FR"/>
        </w:rPr>
        <w:tab/>
      </w:r>
      <w:r w:rsidR="00FC4CCF" w:rsidRPr="005C718D">
        <w:rPr>
          <w:lang w:val="fr-FR"/>
        </w:rPr>
        <w:t>À sa cinquante</w:t>
      </w:r>
      <w:r w:rsidR="005C718D">
        <w:rPr>
          <w:lang w:val="fr-FR"/>
        </w:rPr>
        <w:t>-</w:t>
      </w:r>
      <w:r w:rsidR="00FC4CCF" w:rsidRPr="005C718D">
        <w:rPr>
          <w:lang w:val="fr-FR"/>
        </w:rPr>
        <w:t>trois</w:t>
      </w:r>
      <w:r w:rsidR="005C718D">
        <w:rPr>
          <w:lang w:val="fr-FR"/>
        </w:rPr>
        <w:t>ième session</w:t>
      </w:r>
      <w:r w:rsidR="00FC4CCF" w:rsidRPr="005C718D">
        <w:rPr>
          <w:lang w:val="fr-FR"/>
        </w:rPr>
        <w:t xml:space="preserve"> tenue à Séoul (République de Corée) du 20 au 24 mai 2019,</w:t>
      </w:r>
      <w:r w:rsidR="005C718D" w:rsidRPr="005C718D">
        <w:rPr>
          <w:lang w:val="fr-FR"/>
        </w:rPr>
        <w:t xml:space="preserve"> le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TWV</w:t>
      </w:r>
      <w:r w:rsidR="00FC4CCF" w:rsidRPr="005C718D">
        <w:rPr>
          <w:lang w:val="fr-FR"/>
        </w:rPr>
        <w:t xml:space="preserve"> a assisté à un exposé sur le liseron d</w:t>
      </w:r>
      <w:r w:rsidR="005C718D">
        <w:rPr>
          <w:lang w:val="fr-FR"/>
        </w:rPr>
        <w:t>’</w:t>
      </w:r>
      <w:r w:rsidR="00FC4CCF" w:rsidRPr="005C718D">
        <w:rPr>
          <w:lang w:val="fr-FR"/>
        </w:rPr>
        <w:t>eau</w:t>
      </w:r>
      <w:r w:rsidRPr="005C718D">
        <w:rPr>
          <w:lang w:val="fr-FR"/>
        </w:rPr>
        <w:t xml:space="preserve"> (</w:t>
      </w:r>
      <w:proofErr w:type="spellStart"/>
      <w:r w:rsidRPr="005C718D">
        <w:rPr>
          <w:i/>
          <w:lang w:val="fr-FR"/>
        </w:rPr>
        <w:t>Ipomoea</w:t>
      </w:r>
      <w:proofErr w:type="spellEnd"/>
      <w:r w:rsidRPr="005C718D">
        <w:rPr>
          <w:i/>
          <w:lang w:val="fr-FR"/>
        </w:rPr>
        <w:t xml:space="preserve"> </w:t>
      </w:r>
      <w:proofErr w:type="spellStart"/>
      <w:r w:rsidRPr="005C718D">
        <w:rPr>
          <w:i/>
          <w:lang w:val="fr-FR"/>
        </w:rPr>
        <w:t>aquatica</w:t>
      </w:r>
      <w:proofErr w:type="spellEnd"/>
      <w:r w:rsidRPr="005C718D">
        <w:rPr>
          <w:lang w:val="fr-FR"/>
        </w:rPr>
        <w:t xml:space="preserve">) </w:t>
      </w:r>
      <w:r w:rsidR="00FC4CCF" w:rsidRPr="005C718D">
        <w:rPr>
          <w:lang w:val="fr-FR"/>
        </w:rPr>
        <w:t>présenté par un</w:t>
      </w:r>
      <w:r w:rsidRPr="005C718D">
        <w:rPr>
          <w:lang w:val="fr-FR"/>
        </w:rPr>
        <w:t xml:space="preserve"> expert </w:t>
      </w:r>
      <w:r w:rsidR="00FC4CCF" w:rsidRPr="005C718D">
        <w:rPr>
          <w:lang w:val="fr-FR"/>
        </w:rPr>
        <w:t>de Chi</w:t>
      </w:r>
      <w:r w:rsidR="00E64434" w:rsidRPr="005C718D">
        <w:rPr>
          <w:lang w:val="fr-FR"/>
        </w:rPr>
        <w:t>ne</w:t>
      </w:r>
      <w:r w:rsidR="00E64434">
        <w:rPr>
          <w:lang w:val="fr-FR"/>
        </w:rPr>
        <w:t xml:space="preserve">.  </w:t>
      </w:r>
      <w:r w:rsidR="00E64434" w:rsidRPr="005C718D">
        <w:rPr>
          <w:lang w:val="fr-FR"/>
        </w:rPr>
        <w:t>Le</w:t>
      </w:r>
      <w:r w:rsidR="00FC4CCF" w:rsidRPr="005C718D">
        <w:rPr>
          <w:lang w:val="fr-FR"/>
        </w:rPr>
        <w:t xml:space="preserve"> texte de l</w:t>
      </w:r>
      <w:r w:rsidR="005C718D">
        <w:rPr>
          <w:lang w:val="fr-FR"/>
        </w:rPr>
        <w:t>’</w:t>
      </w:r>
      <w:r w:rsidR="00FC4CCF" w:rsidRPr="005C718D">
        <w:rPr>
          <w:lang w:val="fr-FR"/>
        </w:rPr>
        <w:t>exposé est reproduit dans le</w:t>
      </w:r>
      <w:r w:rsidRPr="005C718D">
        <w:rPr>
          <w:lang w:val="fr-FR"/>
        </w:rPr>
        <w:t xml:space="preserve"> document TWV/53/11 (</w:t>
      </w:r>
      <w:r w:rsidR="00FC4CCF" w:rsidRPr="005C718D">
        <w:rPr>
          <w:lang w:val="fr-FR"/>
        </w:rPr>
        <w:t xml:space="preserve">voir les </w:t>
      </w:r>
      <w:r w:rsidR="005C718D" w:rsidRPr="005C718D">
        <w:rPr>
          <w:lang w:val="fr-FR"/>
        </w:rPr>
        <w:t>paragraphes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6</w:t>
      </w:r>
      <w:r w:rsidR="00FC4CCF" w:rsidRPr="005C718D">
        <w:rPr>
          <w:lang w:val="fr-FR"/>
        </w:rPr>
        <w:t>5 et 66</w:t>
      </w:r>
      <w:r w:rsidRPr="005C718D">
        <w:rPr>
          <w:lang w:val="fr-FR"/>
        </w:rPr>
        <w:t xml:space="preserve"> </w:t>
      </w:r>
      <w:r w:rsidR="00FC4CCF" w:rsidRPr="005C718D">
        <w:rPr>
          <w:lang w:val="fr-FR"/>
        </w:rPr>
        <w:t xml:space="preserve">du </w:t>
      </w:r>
      <w:r w:rsidRPr="005C718D">
        <w:rPr>
          <w:lang w:val="fr-FR"/>
        </w:rPr>
        <w:t xml:space="preserve">document </w:t>
      </w:r>
      <w:r w:rsidR="00FC4CCF" w:rsidRPr="005C718D">
        <w:rPr>
          <w:lang w:val="fr-FR"/>
        </w:rPr>
        <w:t>TWV/53/14</w:t>
      </w:r>
      <w:r w:rsidR="0055585E">
        <w:rPr>
          <w:lang w:val="fr-FR"/>
        </w:rPr>
        <w:t> </w:t>
      </w:r>
      <w:proofErr w:type="spellStart"/>
      <w:r w:rsidR="00FC4CCF" w:rsidRPr="005C718D">
        <w:rPr>
          <w:lang w:val="fr-FR"/>
        </w:rPr>
        <w:t>Rev</w:t>
      </w:r>
      <w:proofErr w:type="spellEnd"/>
      <w:r w:rsidR="00FC4CCF" w:rsidRPr="005C718D">
        <w:rPr>
          <w:lang w:val="fr-FR"/>
        </w:rPr>
        <w:t>. “</w:t>
      </w:r>
      <w:proofErr w:type="spellStart"/>
      <w:r w:rsidR="00FC4CCF" w:rsidRPr="005C718D">
        <w:rPr>
          <w:lang w:val="fr-FR"/>
        </w:rPr>
        <w:t>Revised</w:t>
      </w:r>
      <w:proofErr w:type="spellEnd"/>
      <w:r w:rsidR="00FC4CCF" w:rsidRPr="005C718D">
        <w:rPr>
          <w:lang w:val="fr-FR"/>
        </w:rPr>
        <w:t xml:space="preserve"> Report” (Compte rendu révisé)</w:t>
      </w:r>
      <w:r w:rsidRPr="005C718D">
        <w:rPr>
          <w:lang w:val="fr-FR"/>
        </w:rPr>
        <w:t>).</w:t>
      </w:r>
    </w:p>
    <w:p w:rsidR="009E18D2" w:rsidRPr="005C718D" w:rsidRDefault="009E18D2" w:rsidP="009E18D2">
      <w:pPr>
        <w:rPr>
          <w:lang w:val="fr-FR"/>
        </w:rPr>
      </w:pPr>
    </w:p>
    <w:p w:rsidR="009E18D2" w:rsidRPr="005C718D" w:rsidRDefault="009E18D2" w:rsidP="009E18D2">
      <w:pPr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="00BD4F44" w:rsidRPr="005C718D">
        <w:rPr>
          <w:lang w:val="fr-FR"/>
        </w:rPr>
        <w:tab/>
        <w:t>L</w:t>
      </w:r>
      <w:r w:rsidRPr="005C718D">
        <w:rPr>
          <w:lang w:val="fr-FR"/>
        </w:rPr>
        <w:t xml:space="preserve">e TWV </w:t>
      </w:r>
      <w:r w:rsidR="00EE57AB" w:rsidRPr="005C718D">
        <w:rPr>
          <w:lang w:val="fr-FR"/>
        </w:rPr>
        <w:t>s</w:t>
      </w:r>
      <w:r w:rsidR="005C718D">
        <w:rPr>
          <w:lang w:val="fr-FR"/>
        </w:rPr>
        <w:t>’</w:t>
      </w:r>
      <w:r w:rsidR="00EE57AB" w:rsidRPr="005C718D">
        <w:rPr>
          <w:lang w:val="fr-FR"/>
        </w:rPr>
        <w:t>est félicité du travail réalisé dans l</w:t>
      </w:r>
      <w:r w:rsidR="005C718D">
        <w:rPr>
          <w:lang w:val="fr-FR"/>
        </w:rPr>
        <w:t>’</w:t>
      </w:r>
      <w:r w:rsidR="00EE57AB" w:rsidRPr="005C718D">
        <w:rPr>
          <w:lang w:val="fr-FR"/>
        </w:rPr>
        <w:t>élaboration de principes directeurs d</w:t>
      </w:r>
      <w:r w:rsidR="005C718D">
        <w:rPr>
          <w:lang w:val="fr-FR"/>
        </w:rPr>
        <w:t>’</w:t>
      </w:r>
      <w:r w:rsidR="00EE57AB" w:rsidRPr="005C718D">
        <w:rPr>
          <w:lang w:val="fr-FR"/>
        </w:rPr>
        <w:t>examens pour le liseron d</w:t>
      </w:r>
      <w:r w:rsidR="005C718D">
        <w:rPr>
          <w:lang w:val="fr-FR"/>
        </w:rPr>
        <w:t>’</w:t>
      </w:r>
      <w:r w:rsidR="00EE57AB" w:rsidRPr="005C718D">
        <w:rPr>
          <w:lang w:val="fr-FR"/>
        </w:rPr>
        <w:t>eau</w:t>
      </w:r>
      <w:r w:rsidRPr="005C718D">
        <w:rPr>
          <w:lang w:val="fr-FR"/>
        </w:rPr>
        <w:t xml:space="preserve"> (</w:t>
      </w:r>
      <w:proofErr w:type="spellStart"/>
      <w:r w:rsidRPr="005C718D">
        <w:rPr>
          <w:i/>
          <w:lang w:val="fr-FR"/>
        </w:rPr>
        <w:t>Ipomoea</w:t>
      </w:r>
      <w:proofErr w:type="spellEnd"/>
      <w:r w:rsidRPr="005C718D">
        <w:rPr>
          <w:i/>
          <w:lang w:val="fr-FR"/>
        </w:rPr>
        <w:t> </w:t>
      </w:r>
      <w:proofErr w:type="spellStart"/>
      <w:r w:rsidRPr="005C718D">
        <w:rPr>
          <w:i/>
          <w:lang w:val="fr-FR"/>
        </w:rPr>
        <w:t>aquatica</w:t>
      </w:r>
      <w:proofErr w:type="spellEnd"/>
      <w:r w:rsidRPr="005C718D">
        <w:rPr>
          <w:lang w:val="fr-FR"/>
        </w:rPr>
        <w:t xml:space="preserve">) </w:t>
      </w:r>
      <w:r w:rsidR="00EE57AB" w:rsidRPr="005C718D">
        <w:rPr>
          <w:lang w:val="fr-FR"/>
        </w:rPr>
        <w:t>au niveau national, sur la base des orientations figurant dans le document TGP/7, et a décidé d</w:t>
      </w:r>
      <w:r w:rsidR="005C718D">
        <w:rPr>
          <w:lang w:val="fr-FR"/>
        </w:rPr>
        <w:t>’</w:t>
      </w:r>
      <w:r w:rsidR="00EE57AB" w:rsidRPr="005C718D">
        <w:rPr>
          <w:lang w:val="fr-FR"/>
        </w:rPr>
        <w:t>inviter les</w:t>
      </w:r>
      <w:r w:rsidRPr="005C718D">
        <w:rPr>
          <w:lang w:val="fr-FR"/>
        </w:rPr>
        <w:t xml:space="preserve"> experts </w:t>
      </w:r>
      <w:r w:rsidR="0020539A" w:rsidRPr="005C718D">
        <w:rPr>
          <w:lang w:val="fr-FR"/>
        </w:rPr>
        <w:t>de Chine et</w:t>
      </w:r>
      <w:r w:rsidR="00EE57AB" w:rsidRPr="005C718D">
        <w:rPr>
          <w:lang w:val="fr-FR"/>
        </w:rPr>
        <w:t xml:space="preserve"> </w:t>
      </w:r>
      <w:r w:rsidR="0019163A" w:rsidRPr="005C718D">
        <w:rPr>
          <w:lang w:val="fr-FR"/>
        </w:rPr>
        <w:t xml:space="preserve">de </w:t>
      </w:r>
      <w:r w:rsidR="00EE57AB" w:rsidRPr="005C718D">
        <w:rPr>
          <w:lang w:val="fr-FR"/>
        </w:rPr>
        <w:t>tout autre membre à rendre compte de l</w:t>
      </w:r>
      <w:r w:rsidR="005C718D">
        <w:rPr>
          <w:lang w:val="fr-FR"/>
        </w:rPr>
        <w:t>’</w:t>
      </w:r>
      <w:r w:rsidR="00EE57AB" w:rsidRPr="005C718D">
        <w:rPr>
          <w:lang w:val="fr-FR"/>
        </w:rPr>
        <w:t>évolution du nombre</w:t>
      </w:r>
      <w:r w:rsidRPr="005C718D">
        <w:rPr>
          <w:lang w:val="fr-FR"/>
        </w:rPr>
        <w:t xml:space="preserve"> </w:t>
      </w:r>
      <w:r w:rsidR="00EE57AB" w:rsidRPr="005C718D">
        <w:rPr>
          <w:lang w:val="fr-FR"/>
        </w:rPr>
        <w:t>de demandes et des activités d</w:t>
      </w:r>
      <w:r w:rsidR="005C718D">
        <w:rPr>
          <w:lang w:val="fr-FR"/>
        </w:rPr>
        <w:t>’</w:t>
      </w:r>
      <w:r w:rsidR="00EE57AB" w:rsidRPr="005C718D">
        <w:rPr>
          <w:lang w:val="fr-FR"/>
        </w:rPr>
        <w:t xml:space="preserve">amélioration des plantes afin de pouvoir </w:t>
      </w:r>
      <w:r w:rsidR="0020539A" w:rsidRPr="005C718D">
        <w:rPr>
          <w:lang w:val="fr-FR"/>
        </w:rPr>
        <w:t>examiner la question de</w:t>
      </w:r>
      <w:r w:rsidR="00EE57AB" w:rsidRPr="005C718D">
        <w:rPr>
          <w:lang w:val="fr-FR"/>
        </w:rPr>
        <w:t xml:space="preserve"> l</w:t>
      </w:r>
      <w:r w:rsidR="005C718D">
        <w:rPr>
          <w:lang w:val="fr-FR"/>
        </w:rPr>
        <w:t>’</w:t>
      </w:r>
      <w:r w:rsidR="00EE57AB" w:rsidRPr="005C718D">
        <w:rPr>
          <w:lang w:val="fr-FR"/>
        </w:rPr>
        <w:t>élaboration</w:t>
      </w:r>
      <w:r w:rsidR="0078659E" w:rsidRPr="005C718D">
        <w:rPr>
          <w:lang w:val="fr-FR"/>
        </w:rPr>
        <w:t xml:space="preserve"> future</w:t>
      </w:r>
      <w:r w:rsidR="00EE57AB" w:rsidRPr="005C718D">
        <w:rPr>
          <w:lang w:val="fr-FR"/>
        </w:rPr>
        <w:t xml:space="preserve"> de principes directeurs d</w:t>
      </w:r>
      <w:r w:rsidR="005C718D">
        <w:rPr>
          <w:lang w:val="fr-FR"/>
        </w:rPr>
        <w:t>’</w:t>
      </w:r>
      <w:r w:rsidR="00EE57AB" w:rsidRPr="005C718D">
        <w:rPr>
          <w:lang w:val="fr-FR"/>
        </w:rPr>
        <w:t>examens de</w:t>
      </w:r>
      <w:r w:rsidRPr="005C718D">
        <w:rPr>
          <w:lang w:val="fr-FR"/>
        </w:rPr>
        <w:t xml:space="preserve"> </w:t>
      </w:r>
      <w:r w:rsidR="00EE57AB" w:rsidRPr="005C718D">
        <w:rPr>
          <w:lang w:val="fr-FR"/>
        </w:rPr>
        <w:t>l</w:t>
      </w:r>
      <w:r w:rsidR="005C718D">
        <w:rPr>
          <w:lang w:val="fr-FR"/>
        </w:rPr>
        <w:t>’</w:t>
      </w:r>
      <w:r w:rsidRPr="005C718D">
        <w:rPr>
          <w:lang w:val="fr-FR"/>
        </w:rPr>
        <w:t>UPOV,</w:t>
      </w:r>
      <w:r w:rsidR="00EE57AB" w:rsidRPr="005C718D">
        <w:rPr>
          <w:lang w:val="fr-FR"/>
        </w:rPr>
        <w:t xml:space="preserve"> le cas échéant</w:t>
      </w:r>
      <w:r w:rsidRPr="005C718D">
        <w:rPr>
          <w:lang w:val="fr-FR"/>
        </w:rPr>
        <w:t>.</w:t>
      </w:r>
    </w:p>
    <w:p w:rsidR="009E18D2" w:rsidRPr="005C718D" w:rsidRDefault="009E18D2" w:rsidP="00627A8C">
      <w:pPr>
        <w:jc w:val="left"/>
        <w:rPr>
          <w:lang w:val="fr-FR"/>
        </w:rPr>
      </w:pPr>
    </w:p>
    <w:p w:rsidR="008D1C86" w:rsidRPr="005C718D" w:rsidRDefault="008D1C86" w:rsidP="008D1C86">
      <w:pPr>
        <w:keepNext/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Pr="005C718D">
        <w:rPr>
          <w:lang w:val="fr-FR"/>
        </w:rPr>
        <w:tab/>
      </w:r>
      <w:r w:rsidR="0078659E" w:rsidRPr="005C718D">
        <w:rPr>
          <w:lang w:val="fr-FR"/>
        </w:rPr>
        <w:t>À sa quarante</w:t>
      </w:r>
      <w:r w:rsidR="005C718D">
        <w:rPr>
          <w:lang w:val="fr-FR"/>
        </w:rPr>
        <w:t>-</w:t>
      </w:r>
      <w:r w:rsidR="0078659E" w:rsidRPr="005C718D">
        <w:rPr>
          <w:lang w:val="fr-FR"/>
        </w:rPr>
        <w:t>huit</w:t>
      </w:r>
      <w:r w:rsidR="005C718D">
        <w:rPr>
          <w:lang w:val="fr-FR"/>
        </w:rPr>
        <w:t>ième session</w:t>
      </w:r>
      <w:r w:rsidR="0078659E" w:rsidRPr="005C718D">
        <w:rPr>
          <w:lang w:val="fr-FR"/>
        </w:rPr>
        <w:t xml:space="preserve"> tenue à Montevideo (Uruguay) du 16 au 20 septembre 2019,</w:t>
      </w:r>
      <w:r w:rsidR="005C718D" w:rsidRPr="005C718D">
        <w:rPr>
          <w:lang w:val="fr-FR"/>
        </w:rPr>
        <w:t xml:space="preserve"> le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TWA</w:t>
      </w:r>
      <w:r w:rsidR="0078659E" w:rsidRPr="005C718D">
        <w:rPr>
          <w:lang w:val="fr-FR"/>
        </w:rPr>
        <w:t xml:space="preserve"> a examiné le</w:t>
      </w:r>
      <w:r w:rsidRPr="005C718D">
        <w:rPr>
          <w:lang w:val="fr-FR"/>
        </w:rPr>
        <w:t xml:space="preserve"> document TWA/48/6 </w:t>
      </w:r>
      <w:r w:rsidR="0078659E" w:rsidRPr="005C718D">
        <w:rPr>
          <w:lang w:val="fr-FR"/>
        </w:rPr>
        <w:t>et a assisté à un exposé intitulé</w:t>
      </w:r>
      <w:r w:rsidRPr="005C718D">
        <w:rPr>
          <w:lang w:val="fr-FR"/>
        </w:rPr>
        <w:t xml:space="preserve"> “</w:t>
      </w:r>
      <w:proofErr w:type="spellStart"/>
      <w:r w:rsidRPr="005C718D">
        <w:rPr>
          <w:lang w:val="fr-FR"/>
        </w:rPr>
        <w:t>Experiences</w:t>
      </w:r>
      <w:proofErr w:type="spellEnd"/>
      <w:r w:rsidRPr="005C718D">
        <w:rPr>
          <w:lang w:val="fr-FR"/>
        </w:rPr>
        <w:t xml:space="preserve"> </w:t>
      </w:r>
      <w:proofErr w:type="spellStart"/>
      <w:r w:rsidRPr="005C718D">
        <w:rPr>
          <w:lang w:val="fr-FR"/>
        </w:rPr>
        <w:t>with</w:t>
      </w:r>
      <w:proofErr w:type="spellEnd"/>
      <w:r w:rsidRPr="005C718D">
        <w:rPr>
          <w:lang w:val="fr-FR"/>
        </w:rPr>
        <w:t xml:space="preserve"> new types and </w:t>
      </w:r>
      <w:proofErr w:type="spellStart"/>
      <w:r w:rsidRPr="005C718D">
        <w:rPr>
          <w:lang w:val="fr-FR"/>
        </w:rPr>
        <w:t>species</w:t>
      </w:r>
      <w:proofErr w:type="spellEnd"/>
      <w:r w:rsidRPr="005C718D">
        <w:rPr>
          <w:lang w:val="fr-FR"/>
        </w:rPr>
        <w:t xml:space="preserve"> of agricultural </w:t>
      </w:r>
      <w:proofErr w:type="spellStart"/>
      <w:r w:rsidRPr="005C718D">
        <w:rPr>
          <w:lang w:val="fr-FR"/>
        </w:rPr>
        <w:t>crops</w:t>
      </w:r>
      <w:proofErr w:type="spellEnd"/>
      <w:r w:rsidRPr="005C718D">
        <w:rPr>
          <w:lang w:val="fr-FR"/>
        </w:rPr>
        <w:t xml:space="preserve"> in the </w:t>
      </w:r>
      <w:proofErr w:type="spellStart"/>
      <w:r w:rsidRPr="005C718D">
        <w:rPr>
          <w:lang w:val="fr-FR"/>
        </w:rPr>
        <w:t>Czech</w:t>
      </w:r>
      <w:proofErr w:type="spellEnd"/>
      <w:r w:rsidRPr="005C718D">
        <w:rPr>
          <w:lang w:val="fr-FR"/>
        </w:rPr>
        <w:t xml:space="preserve"> </w:t>
      </w:r>
      <w:proofErr w:type="spellStart"/>
      <w:r w:rsidRPr="005C718D">
        <w:rPr>
          <w:lang w:val="fr-FR"/>
        </w:rPr>
        <w:t>Republic</w:t>
      </w:r>
      <w:proofErr w:type="spellEnd"/>
      <w:r w:rsidRPr="005C718D">
        <w:rPr>
          <w:lang w:val="fr-FR"/>
        </w:rPr>
        <w:t>”</w:t>
      </w:r>
      <w:r w:rsidR="0078659E" w:rsidRPr="005C718D">
        <w:rPr>
          <w:lang w:val="fr-FR"/>
        </w:rPr>
        <w:t xml:space="preserve"> (Données d</w:t>
      </w:r>
      <w:r w:rsidR="005C718D">
        <w:rPr>
          <w:lang w:val="fr-FR"/>
        </w:rPr>
        <w:t>’</w:t>
      </w:r>
      <w:r w:rsidR="0078659E" w:rsidRPr="005C718D">
        <w:rPr>
          <w:lang w:val="fr-FR"/>
        </w:rPr>
        <w:t>expérience relatives aux nouveaux types et espèces de cultures agricoles en République tchèq</w:t>
      </w:r>
      <w:r w:rsidR="00E64434" w:rsidRPr="005C718D">
        <w:rPr>
          <w:lang w:val="fr-FR"/>
        </w:rPr>
        <w:t>ue)</w:t>
      </w:r>
      <w:r w:rsidR="00E64434">
        <w:rPr>
          <w:lang w:val="fr-FR"/>
        </w:rPr>
        <w:t xml:space="preserve">.  </w:t>
      </w:r>
      <w:r w:rsidR="00E64434" w:rsidRPr="005C718D">
        <w:rPr>
          <w:lang w:val="fr-FR"/>
        </w:rPr>
        <w:t>Le</w:t>
      </w:r>
      <w:r w:rsidR="0078659E" w:rsidRPr="005C718D">
        <w:rPr>
          <w:lang w:val="fr-FR"/>
        </w:rPr>
        <w:t xml:space="preserve"> texte de l</w:t>
      </w:r>
      <w:r w:rsidR="005C718D">
        <w:rPr>
          <w:lang w:val="fr-FR"/>
        </w:rPr>
        <w:t>’</w:t>
      </w:r>
      <w:r w:rsidR="0078659E" w:rsidRPr="005C718D">
        <w:rPr>
          <w:lang w:val="fr-FR"/>
        </w:rPr>
        <w:t>exposé est reproduit à l</w:t>
      </w:r>
      <w:r w:rsidR="005C718D">
        <w:rPr>
          <w:lang w:val="fr-FR"/>
        </w:rPr>
        <w:t>’</w:t>
      </w:r>
      <w:r w:rsidR="0078659E" w:rsidRPr="005C718D">
        <w:rPr>
          <w:lang w:val="fr-FR"/>
        </w:rPr>
        <w:t>a</w:t>
      </w:r>
      <w:r w:rsidRPr="005C718D">
        <w:rPr>
          <w:lang w:val="fr-FR"/>
        </w:rPr>
        <w:t>nnex</w:t>
      </w:r>
      <w:r w:rsidR="0078659E" w:rsidRPr="005C718D">
        <w:rPr>
          <w:lang w:val="fr-FR"/>
        </w:rPr>
        <w:t>e</w:t>
      </w:r>
      <w:r w:rsidRPr="005C718D">
        <w:rPr>
          <w:lang w:val="fr-FR"/>
        </w:rPr>
        <w:t xml:space="preserve"> </w:t>
      </w:r>
      <w:r w:rsidR="0078659E" w:rsidRPr="005C718D">
        <w:rPr>
          <w:lang w:val="fr-FR"/>
        </w:rPr>
        <w:t>du</w:t>
      </w:r>
      <w:r w:rsidRPr="005C718D">
        <w:rPr>
          <w:lang w:val="fr-FR"/>
        </w:rPr>
        <w:t xml:space="preserve"> document TWA/48/6</w:t>
      </w:r>
      <w:r w:rsidR="00F343B8" w:rsidRPr="005C718D">
        <w:rPr>
          <w:lang w:val="fr-FR"/>
        </w:rPr>
        <w:t xml:space="preserve"> (</w:t>
      </w:r>
      <w:r w:rsidR="0078659E" w:rsidRPr="005C718D">
        <w:rPr>
          <w:lang w:val="fr-FR"/>
        </w:rPr>
        <w:t xml:space="preserve">voir les </w:t>
      </w:r>
      <w:r w:rsidR="005C718D" w:rsidRPr="005C718D">
        <w:rPr>
          <w:lang w:val="fr-FR"/>
        </w:rPr>
        <w:t>paragraphes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1</w:t>
      </w:r>
      <w:r w:rsidR="0078659E" w:rsidRPr="005C718D">
        <w:rPr>
          <w:lang w:val="fr-FR"/>
        </w:rPr>
        <w:t>21 à 123</w:t>
      </w:r>
      <w:r w:rsidR="00F343B8" w:rsidRPr="005C718D">
        <w:rPr>
          <w:lang w:val="fr-FR"/>
        </w:rPr>
        <w:t xml:space="preserve"> </w:t>
      </w:r>
      <w:r w:rsidR="0078659E" w:rsidRPr="005C718D">
        <w:rPr>
          <w:lang w:val="fr-FR"/>
        </w:rPr>
        <w:t xml:space="preserve">du </w:t>
      </w:r>
      <w:r w:rsidR="00F343B8" w:rsidRPr="005C718D">
        <w:rPr>
          <w:lang w:val="fr-FR"/>
        </w:rPr>
        <w:t>document TWA/48</w:t>
      </w:r>
      <w:r w:rsidR="0078659E" w:rsidRPr="005C718D">
        <w:rPr>
          <w:lang w:val="fr-FR"/>
        </w:rPr>
        <w:t>/9 “Report” (Compte rendu</w:t>
      </w:r>
      <w:r w:rsidR="00F343B8" w:rsidRPr="005C718D">
        <w:rPr>
          <w:lang w:val="fr-FR"/>
        </w:rPr>
        <w:t>)</w:t>
      </w:r>
      <w:r w:rsidR="0020539A" w:rsidRPr="005C718D">
        <w:rPr>
          <w:lang w:val="fr-FR"/>
        </w:rPr>
        <w:t>)</w:t>
      </w:r>
      <w:r w:rsidRPr="005C718D">
        <w:rPr>
          <w:lang w:val="fr-FR"/>
        </w:rPr>
        <w:t>.</w:t>
      </w:r>
    </w:p>
    <w:p w:rsidR="008D1C86" w:rsidRPr="005C718D" w:rsidRDefault="008D1C86" w:rsidP="008D1C86">
      <w:pPr>
        <w:rPr>
          <w:lang w:val="fr-FR"/>
        </w:rPr>
      </w:pPr>
    </w:p>
    <w:p w:rsidR="005C718D" w:rsidRDefault="008D1C86" w:rsidP="008D1C86">
      <w:pPr>
        <w:keepLines/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="0078659E" w:rsidRPr="005C718D">
        <w:rPr>
          <w:lang w:val="fr-FR"/>
        </w:rPr>
        <w:tab/>
        <w:t>L</w:t>
      </w:r>
      <w:r w:rsidRPr="005C718D">
        <w:rPr>
          <w:lang w:val="fr-FR"/>
        </w:rPr>
        <w:t>e TWA</w:t>
      </w:r>
      <w:r w:rsidR="0078659E" w:rsidRPr="005C718D">
        <w:rPr>
          <w:lang w:val="fr-FR"/>
        </w:rPr>
        <w:t xml:space="preserve"> a reconnu que les </w:t>
      </w:r>
      <w:r w:rsidRPr="005C718D">
        <w:rPr>
          <w:lang w:val="fr-FR"/>
        </w:rPr>
        <w:t>information</w:t>
      </w:r>
      <w:r w:rsidR="0078659E" w:rsidRPr="005C718D">
        <w:rPr>
          <w:lang w:val="fr-FR"/>
        </w:rPr>
        <w:t>s fournies par la République tchèque</w:t>
      </w:r>
      <w:r w:rsidRPr="005C718D">
        <w:rPr>
          <w:lang w:val="fr-FR"/>
        </w:rPr>
        <w:t xml:space="preserve"> </w:t>
      </w:r>
      <w:r w:rsidR="0078659E" w:rsidRPr="005C718D">
        <w:rPr>
          <w:lang w:val="fr-FR"/>
        </w:rPr>
        <w:t>en matière de gestion des nouveaux types et espèces constituaient une source d</w:t>
      </w:r>
      <w:r w:rsidR="005C718D">
        <w:rPr>
          <w:lang w:val="fr-FR"/>
        </w:rPr>
        <w:t>’</w:t>
      </w:r>
      <w:r w:rsidR="0078659E" w:rsidRPr="005C718D">
        <w:rPr>
          <w:lang w:val="fr-FR"/>
        </w:rPr>
        <w:t>informations utile</w:t>
      </w:r>
      <w:r w:rsidRPr="005C718D">
        <w:rPr>
          <w:lang w:val="fr-FR"/>
        </w:rPr>
        <w:t xml:space="preserve"> </w:t>
      </w:r>
      <w:r w:rsidR="0078659E" w:rsidRPr="005C718D">
        <w:rPr>
          <w:lang w:val="fr-FR"/>
        </w:rPr>
        <w:t>aux nouveaux membres et aux membres plus expériment</w:t>
      </w:r>
      <w:r w:rsidR="00E64434" w:rsidRPr="005C718D">
        <w:rPr>
          <w:lang w:val="fr-FR"/>
        </w:rPr>
        <w:t>és</w:t>
      </w:r>
      <w:r w:rsidR="00E64434">
        <w:rPr>
          <w:lang w:val="fr-FR"/>
        </w:rPr>
        <w:t xml:space="preserve">.  </w:t>
      </w:r>
      <w:r w:rsidR="00E64434" w:rsidRPr="005C718D">
        <w:rPr>
          <w:lang w:val="fr-FR"/>
        </w:rPr>
        <w:t>Le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TWA</w:t>
      </w:r>
      <w:r w:rsidRPr="005C718D">
        <w:rPr>
          <w:lang w:val="fr-FR"/>
        </w:rPr>
        <w:t xml:space="preserve"> </w:t>
      </w:r>
      <w:r w:rsidR="00D87447" w:rsidRPr="005C718D">
        <w:rPr>
          <w:lang w:val="fr-FR"/>
        </w:rPr>
        <w:t>a pris note des données</w:t>
      </w:r>
      <w:r w:rsidRPr="005C718D">
        <w:rPr>
          <w:lang w:val="fr-FR"/>
        </w:rPr>
        <w:t xml:space="preserve"> </w:t>
      </w:r>
      <w:r w:rsidR="00D87447" w:rsidRPr="005C718D">
        <w:rPr>
          <w:lang w:val="fr-FR"/>
        </w:rPr>
        <w:t>d</w:t>
      </w:r>
      <w:r w:rsidR="005C718D">
        <w:rPr>
          <w:lang w:val="fr-FR"/>
        </w:rPr>
        <w:t>’</w:t>
      </w:r>
      <w:r w:rsidR="00D87447" w:rsidRPr="005C718D">
        <w:rPr>
          <w:lang w:val="fr-FR"/>
        </w:rPr>
        <w:t>expé</w:t>
      </w:r>
      <w:r w:rsidRPr="005C718D">
        <w:rPr>
          <w:lang w:val="fr-FR"/>
        </w:rPr>
        <w:t xml:space="preserve">rience </w:t>
      </w:r>
      <w:r w:rsidR="00D87447" w:rsidRPr="005C718D">
        <w:rPr>
          <w:lang w:val="fr-FR"/>
        </w:rPr>
        <w:t xml:space="preserve">de la République tchèque concernant les </w:t>
      </w:r>
      <w:r w:rsidRPr="005C718D">
        <w:rPr>
          <w:lang w:val="fr-FR"/>
        </w:rPr>
        <w:t>diff</w:t>
      </w:r>
      <w:r w:rsidR="00D87447" w:rsidRPr="005C718D">
        <w:rPr>
          <w:lang w:val="fr-FR"/>
        </w:rPr>
        <w:t>é</w:t>
      </w:r>
      <w:r w:rsidRPr="005C718D">
        <w:rPr>
          <w:lang w:val="fr-FR"/>
        </w:rPr>
        <w:t>rent</w:t>
      </w:r>
      <w:r w:rsidR="00D87447" w:rsidRPr="005C718D">
        <w:rPr>
          <w:lang w:val="fr-FR"/>
        </w:rPr>
        <w:t>s moyens de coopé</w:t>
      </w:r>
      <w:r w:rsidRPr="005C718D">
        <w:rPr>
          <w:lang w:val="fr-FR"/>
        </w:rPr>
        <w:t xml:space="preserve">ration </w:t>
      </w:r>
      <w:r w:rsidR="00D87447" w:rsidRPr="005C718D">
        <w:rPr>
          <w:lang w:val="fr-FR"/>
        </w:rPr>
        <w:t>en matière d</w:t>
      </w:r>
      <w:r w:rsidR="005C718D">
        <w:rPr>
          <w:lang w:val="fr-FR"/>
        </w:rPr>
        <w:t>’</w:t>
      </w:r>
      <w:r w:rsidR="00D87447" w:rsidRPr="005C718D">
        <w:rPr>
          <w:lang w:val="fr-FR"/>
        </w:rPr>
        <w:t>examen</w:t>
      </w:r>
      <w:r w:rsidR="0055585E">
        <w:rPr>
          <w:lang w:val="fr-FR"/>
        </w:rPr>
        <w:t> </w:t>
      </w:r>
      <w:r w:rsidR="00D87447" w:rsidRPr="005C718D">
        <w:rPr>
          <w:lang w:val="fr-FR"/>
        </w:rPr>
        <w:t>DHS</w:t>
      </w:r>
      <w:r w:rsidRPr="005C718D">
        <w:rPr>
          <w:lang w:val="fr-FR"/>
        </w:rPr>
        <w:t xml:space="preserve">, </w:t>
      </w:r>
      <w:r w:rsidR="00D87447" w:rsidRPr="005C718D">
        <w:rPr>
          <w:lang w:val="fr-FR"/>
        </w:rPr>
        <w:t>tels que la reprise des rapports d</w:t>
      </w:r>
      <w:r w:rsidR="005C718D">
        <w:rPr>
          <w:lang w:val="fr-FR"/>
        </w:rPr>
        <w:t>’</w:t>
      </w:r>
      <w:r w:rsidR="00D87447" w:rsidRPr="005C718D">
        <w:rPr>
          <w:lang w:val="fr-FR"/>
        </w:rPr>
        <w:t>examen</w:t>
      </w:r>
      <w:r w:rsidRPr="005C718D">
        <w:rPr>
          <w:lang w:val="fr-FR"/>
        </w:rPr>
        <w:t xml:space="preserve">, </w:t>
      </w:r>
      <w:r w:rsidR="00D87447" w:rsidRPr="005C718D">
        <w:rPr>
          <w:lang w:val="fr-FR"/>
        </w:rPr>
        <w:t>la prise en charge de l</w:t>
      </w:r>
      <w:r w:rsidR="005C718D">
        <w:rPr>
          <w:lang w:val="fr-FR"/>
        </w:rPr>
        <w:t>’</w:t>
      </w:r>
      <w:r w:rsidR="00D87447" w:rsidRPr="005C718D">
        <w:rPr>
          <w:lang w:val="fr-FR"/>
        </w:rPr>
        <w:t>examen par un autre service et la coopé</w:t>
      </w:r>
      <w:r w:rsidRPr="005C718D">
        <w:rPr>
          <w:lang w:val="fr-FR"/>
        </w:rPr>
        <w:t xml:space="preserve">ration </w:t>
      </w:r>
      <w:r w:rsidR="00D87447" w:rsidRPr="005C718D">
        <w:rPr>
          <w:lang w:val="fr-FR"/>
        </w:rPr>
        <w:t>avec les obtenteurs</w:t>
      </w:r>
      <w:r w:rsidRPr="005C718D">
        <w:rPr>
          <w:lang w:val="fr-FR"/>
        </w:rPr>
        <w:t xml:space="preserve">, </w:t>
      </w:r>
      <w:r w:rsidR="00D87447" w:rsidRPr="005C718D">
        <w:rPr>
          <w:lang w:val="fr-FR"/>
        </w:rPr>
        <w:t>de même que la réalisation directe de l</w:t>
      </w:r>
      <w:r w:rsidR="005C718D">
        <w:rPr>
          <w:lang w:val="fr-FR"/>
        </w:rPr>
        <w:t>’</w:t>
      </w:r>
      <w:r w:rsidR="00D87447" w:rsidRPr="005C718D">
        <w:rPr>
          <w:lang w:val="fr-FR"/>
        </w:rPr>
        <w:t>examen</w:t>
      </w:r>
      <w:r w:rsidRPr="005C718D">
        <w:rPr>
          <w:lang w:val="fr-FR"/>
        </w:rPr>
        <w:t>.</w:t>
      </w:r>
    </w:p>
    <w:p w:rsidR="008D1C86" w:rsidRPr="005C718D" w:rsidRDefault="008D1C86" w:rsidP="008D1C86">
      <w:pPr>
        <w:rPr>
          <w:lang w:val="fr-FR"/>
        </w:rPr>
      </w:pPr>
    </w:p>
    <w:p w:rsidR="008D1C86" w:rsidRPr="005C718D" w:rsidRDefault="008D1C86" w:rsidP="008D1C86">
      <w:pPr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="00D87447" w:rsidRPr="005C718D">
        <w:rPr>
          <w:lang w:val="fr-FR"/>
        </w:rPr>
        <w:tab/>
        <w:t>L</w:t>
      </w:r>
      <w:r w:rsidRPr="005C718D">
        <w:rPr>
          <w:lang w:val="fr-FR"/>
        </w:rPr>
        <w:t xml:space="preserve">e TWA </w:t>
      </w:r>
      <w:r w:rsidR="00D87447" w:rsidRPr="005C718D">
        <w:rPr>
          <w:lang w:val="fr-FR"/>
        </w:rPr>
        <w:t>a assisté à un exposé présenté par un</w:t>
      </w:r>
      <w:r w:rsidRPr="005C718D">
        <w:rPr>
          <w:lang w:val="fr-FR"/>
        </w:rPr>
        <w:t xml:space="preserve"> expert </w:t>
      </w:r>
      <w:r w:rsidR="00D87447" w:rsidRPr="005C718D">
        <w:rPr>
          <w:lang w:val="fr-FR"/>
        </w:rPr>
        <w:t>d</w:t>
      </w:r>
      <w:r w:rsidR="005C718D">
        <w:rPr>
          <w:lang w:val="fr-FR"/>
        </w:rPr>
        <w:t>’</w:t>
      </w:r>
      <w:r w:rsidR="00D87447" w:rsidRPr="005C718D">
        <w:rPr>
          <w:lang w:val="fr-FR"/>
        </w:rPr>
        <w:t>Argentine sur les demandes relatives aux cultures ci</w:t>
      </w:r>
      <w:r w:rsidR="005C718D">
        <w:rPr>
          <w:lang w:val="fr-FR"/>
        </w:rPr>
        <w:t>-</w:t>
      </w:r>
      <w:r w:rsidR="00D87447" w:rsidRPr="005C718D">
        <w:rPr>
          <w:lang w:val="fr-FR"/>
        </w:rPr>
        <w:t>après déposées pour la première fois en Argentine</w:t>
      </w:r>
      <w:r w:rsidR="005C718D">
        <w:rPr>
          <w:lang w:val="fr-FR"/>
        </w:rPr>
        <w:t> :</w:t>
      </w:r>
    </w:p>
    <w:p w:rsidR="008D1C86" w:rsidRPr="005C718D" w:rsidRDefault="008D1C86" w:rsidP="008D1C86">
      <w:pPr>
        <w:rPr>
          <w:lang w:val="fr-FR"/>
        </w:rPr>
      </w:pPr>
    </w:p>
    <w:p w:rsidR="005C718D" w:rsidRDefault="008D1C86" w:rsidP="0093731E">
      <w:pPr>
        <w:pStyle w:val="ListParagraph"/>
        <w:numPr>
          <w:ilvl w:val="0"/>
          <w:numId w:val="8"/>
        </w:numPr>
        <w:tabs>
          <w:tab w:val="left" w:pos="3819"/>
        </w:tabs>
        <w:ind w:left="1134" w:hanging="567"/>
        <w:rPr>
          <w:lang w:val="fr-FR"/>
        </w:rPr>
      </w:pPr>
      <w:proofErr w:type="spellStart"/>
      <w:r w:rsidRPr="005C718D">
        <w:rPr>
          <w:i/>
          <w:lang w:val="fr-FR"/>
        </w:rPr>
        <w:t>Brassica</w:t>
      </w:r>
      <w:proofErr w:type="spellEnd"/>
      <w:r w:rsidRPr="005C718D">
        <w:rPr>
          <w:lang w:val="fr-FR"/>
        </w:rPr>
        <w:t xml:space="preserve"> </w:t>
      </w:r>
      <w:proofErr w:type="spellStart"/>
      <w:r w:rsidRPr="005C718D">
        <w:rPr>
          <w:i/>
          <w:lang w:val="fr-FR"/>
        </w:rPr>
        <w:t>rapa</w:t>
      </w:r>
      <w:proofErr w:type="spellEnd"/>
      <w:r w:rsidRPr="005C718D">
        <w:rPr>
          <w:lang w:val="fr-FR"/>
        </w:rPr>
        <w:t xml:space="preserve"> L.</w:t>
      </w:r>
      <w:r w:rsidR="0055585E">
        <w:rPr>
          <w:lang w:val="fr-FR"/>
        </w:rPr>
        <w:t> </w:t>
      </w:r>
      <w:proofErr w:type="spellStart"/>
      <w:r w:rsidRPr="005C718D">
        <w:rPr>
          <w:lang w:val="fr-FR"/>
        </w:rPr>
        <w:t>subsp</w:t>
      </w:r>
      <w:proofErr w:type="spellEnd"/>
      <w:r w:rsidRPr="005C718D">
        <w:rPr>
          <w:lang w:val="fr-FR"/>
        </w:rPr>
        <w:t xml:space="preserve">. </w:t>
      </w:r>
      <w:proofErr w:type="spellStart"/>
      <w:proofErr w:type="gramStart"/>
      <w:r w:rsidRPr="005C718D">
        <w:rPr>
          <w:i/>
          <w:lang w:val="fr-FR"/>
        </w:rPr>
        <w:t>rapa</w:t>
      </w:r>
      <w:proofErr w:type="spellEnd"/>
      <w:proofErr w:type="gramEnd"/>
    </w:p>
    <w:p w:rsidR="005C718D" w:rsidRDefault="008D1C86" w:rsidP="0093731E">
      <w:pPr>
        <w:pStyle w:val="ListParagraph"/>
        <w:numPr>
          <w:ilvl w:val="0"/>
          <w:numId w:val="8"/>
        </w:numPr>
        <w:tabs>
          <w:tab w:val="left" w:pos="3819"/>
        </w:tabs>
        <w:ind w:left="1134" w:hanging="567"/>
        <w:rPr>
          <w:lang w:val="fr-FR"/>
        </w:rPr>
      </w:pPr>
      <w:proofErr w:type="spellStart"/>
      <w:r w:rsidRPr="005C718D">
        <w:rPr>
          <w:i/>
          <w:lang w:val="fr-FR"/>
        </w:rPr>
        <w:t>Ononis</w:t>
      </w:r>
      <w:proofErr w:type="spellEnd"/>
      <w:r w:rsidRPr="005C718D">
        <w:rPr>
          <w:i/>
          <w:lang w:val="fr-FR"/>
        </w:rPr>
        <w:t xml:space="preserve"> </w:t>
      </w:r>
      <w:proofErr w:type="spellStart"/>
      <w:r w:rsidRPr="005C718D">
        <w:rPr>
          <w:i/>
          <w:lang w:val="fr-FR"/>
        </w:rPr>
        <w:t>natrix</w:t>
      </w:r>
      <w:proofErr w:type="spellEnd"/>
      <w:r w:rsidRPr="005C718D">
        <w:rPr>
          <w:lang w:val="fr-FR"/>
        </w:rPr>
        <w:t xml:space="preserve"> L.</w:t>
      </w:r>
    </w:p>
    <w:p w:rsidR="008D1C86" w:rsidRPr="005C718D" w:rsidRDefault="008D1C86" w:rsidP="0093731E">
      <w:pPr>
        <w:pStyle w:val="ListParagraph"/>
        <w:numPr>
          <w:ilvl w:val="0"/>
          <w:numId w:val="8"/>
        </w:numPr>
        <w:ind w:left="1134" w:hanging="567"/>
        <w:rPr>
          <w:lang w:val="fr-FR"/>
        </w:rPr>
      </w:pPr>
      <w:proofErr w:type="spellStart"/>
      <w:r w:rsidRPr="005C718D">
        <w:rPr>
          <w:i/>
          <w:lang w:val="fr-FR"/>
        </w:rPr>
        <w:t>Plantago</w:t>
      </w:r>
      <w:proofErr w:type="spellEnd"/>
      <w:r w:rsidRPr="005C718D">
        <w:rPr>
          <w:i/>
          <w:lang w:val="fr-FR"/>
        </w:rPr>
        <w:t xml:space="preserve"> </w:t>
      </w:r>
      <w:proofErr w:type="spellStart"/>
      <w:r w:rsidRPr="005C718D">
        <w:rPr>
          <w:i/>
          <w:lang w:val="fr-FR"/>
        </w:rPr>
        <w:t>lanceolata</w:t>
      </w:r>
      <w:proofErr w:type="spellEnd"/>
      <w:r w:rsidRPr="005C718D">
        <w:rPr>
          <w:lang w:val="fr-FR"/>
        </w:rPr>
        <w:t xml:space="preserve"> L.</w:t>
      </w:r>
    </w:p>
    <w:p w:rsidR="002F1989" w:rsidRPr="005C718D" w:rsidRDefault="002F1989" w:rsidP="00627A8C">
      <w:pPr>
        <w:jc w:val="left"/>
        <w:rPr>
          <w:lang w:val="fr-FR"/>
        </w:rPr>
      </w:pPr>
    </w:p>
    <w:p w:rsidR="002F1989" w:rsidRPr="005C718D" w:rsidRDefault="002F1989" w:rsidP="00627A8C">
      <w:pPr>
        <w:jc w:val="left"/>
        <w:rPr>
          <w:lang w:val="fr-FR"/>
        </w:rPr>
      </w:pPr>
    </w:p>
    <w:p w:rsidR="00627A8C" w:rsidRPr="005C718D" w:rsidRDefault="000C4B82" w:rsidP="00627A8C">
      <w:pPr>
        <w:pStyle w:val="Heading2"/>
        <w:keepLines/>
        <w:rPr>
          <w:lang w:val="fr-FR"/>
        </w:rPr>
      </w:pPr>
      <w:bookmarkStart w:id="29" w:name="_Toc22473834"/>
      <w:r w:rsidRPr="005C718D">
        <w:rPr>
          <w:lang w:val="fr-FR"/>
        </w:rPr>
        <w:t>Nouvelles questions se posant pour l</w:t>
      </w:r>
      <w:r w:rsidR="005C718D">
        <w:rPr>
          <w:lang w:val="fr-FR"/>
        </w:rPr>
        <w:t>’</w:t>
      </w:r>
      <w:r w:rsidRPr="005C718D">
        <w:rPr>
          <w:lang w:val="fr-FR"/>
        </w:rPr>
        <w:t>examen</w:t>
      </w:r>
      <w:r w:rsidR="0055585E">
        <w:rPr>
          <w:lang w:val="fr-FR"/>
        </w:rPr>
        <w:t> </w:t>
      </w:r>
      <w:r w:rsidRPr="005C718D">
        <w:rPr>
          <w:lang w:val="fr-FR"/>
        </w:rPr>
        <w:t>DHS</w:t>
      </w:r>
      <w:bookmarkEnd w:id="29"/>
    </w:p>
    <w:p w:rsidR="00627A8C" w:rsidRPr="005C718D" w:rsidRDefault="00627A8C" w:rsidP="00627A8C">
      <w:pPr>
        <w:pStyle w:val="Heading2"/>
        <w:keepLines/>
        <w:rPr>
          <w:lang w:val="fr-FR"/>
        </w:rPr>
      </w:pPr>
    </w:p>
    <w:p w:rsidR="00627A8C" w:rsidRPr="005C718D" w:rsidRDefault="00627A8C" w:rsidP="00627A8C">
      <w:pPr>
        <w:keepNext/>
        <w:keepLines/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Pr="005C718D">
        <w:rPr>
          <w:lang w:val="fr-FR"/>
        </w:rPr>
        <w:tab/>
      </w:r>
      <w:r w:rsidR="00283E7C" w:rsidRPr="005C718D">
        <w:rPr>
          <w:lang w:val="fr-FR"/>
        </w:rPr>
        <w:t>À sa cinquante</w:t>
      </w:r>
      <w:r w:rsidR="005C718D">
        <w:rPr>
          <w:lang w:val="fr-FR"/>
        </w:rPr>
        <w:t>-</w:t>
      </w:r>
      <w:r w:rsidR="00283E7C" w:rsidRPr="005C718D">
        <w:rPr>
          <w:lang w:val="fr-FR"/>
        </w:rPr>
        <w:t>trois</w:t>
      </w:r>
      <w:r w:rsidR="005C718D">
        <w:rPr>
          <w:lang w:val="fr-FR"/>
        </w:rPr>
        <w:t>ième session</w:t>
      </w:r>
      <w:r w:rsidR="00283E7C" w:rsidRPr="005C718D">
        <w:rPr>
          <w:lang w:val="fr-FR"/>
        </w:rPr>
        <w:t xml:space="preserve"> tenue à Séoul (République de Corée) du 20 au 24 mai 2019,</w:t>
      </w:r>
      <w:r w:rsidR="005C718D" w:rsidRPr="005C718D">
        <w:rPr>
          <w:lang w:val="fr-FR"/>
        </w:rPr>
        <w:t xml:space="preserve"> le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TWV</w:t>
      </w:r>
      <w:r w:rsidR="00283E7C" w:rsidRPr="005C718D">
        <w:rPr>
          <w:lang w:val="fr-FR"/>
        </w:rPr>
        <w:t xml:space="preserve"> a examiné le rapport verbal du représentant de</w:t>
      </w:r>
      <w:r w:rsidR="009E18D2" w:rsidRPr="005C718D">
        <w:rPr>
          <w:lang w:val="fr-FR"/>
        </w:rPr>
        <w:t xml:space="preserve"> </w:t>
      </w:r>
      <w:proofErr w:type="spellStart"/>
      <w:r w:rsidR="009E18D2" w:rsidRPr="005C718D">
        <w:rPr>
          <w:lang w:val="fr-FR"/>
        </w:rPr>
        <w:t>Crop</w:t>
      </w:r>
      <w:proofErr w:type="spellEnd"/>
      <w:r w:rsidR="009E18D2" w:rsidRPr="005C718D">
        <w:rPr>
          <w:lang w:val="fr-FR"/>
        </w:rPr>
        <w:t xml:space="preserve"> Life International </w:t>
      </w:r>
      <w:r w:rsidR="00283E7C" w:rsidRPr="005C718D">
        <w:rPr>
          <w:lang w:val="fr-FR"/>
        </w:rPr>
        <w:t>sur les débats qui ont eu lieu à la cinquante</w:t>
      </w:r>
      <w:r w:rsidR="005C718D">
        <w:rPr>
          <w:lang w:val="fr-FR"/>
        </w:rPr>
        <w:t>-</w:t>
      </w:r>
      <w:r w:rsidR="00283E7C" w:rsidRPr="005C718D">
        <w:rPr>
          <w:lang w:val="fr-FR"/>
        </w:rPr>
        <w:t>deux</w:t>
      </w:r>
      <w:r w:rsidR="005C718D">
        <w:rPr>
          <w:lang w:val="fr-FR"/>
        </w:rPr>
        <w:t>ième session</w:t>
      </w:r>
      <w:r w:rsidR="005C718D" w:rsidRPr="005C718D">
        <w:rPr>
          <w:lang w:val="fr-FR"/>
        </w:rPr>
        <w:t xml:space="preserve"> du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TWV</w:t>
      </w:r>
      <w:r w:rsidR="00283E7C" w:rsidRPr="005C718D">
        <w:rPr>
          <w:lang w:val="fr-FR"/>
        </w:rPr>
        <w:t>,</w:t>
      </w:r>
      <w:r w:rsidR="0019163A" w:rsidRPr="005C718D">
        <w:rPr>
          <w:lang w:val="fr-FR"/>
        </w:rPr>
        <w:t xml:space="preserve"> intitulés</w:t>
      </w:r>
      <w:r w:rsidRPr="005C718D">
        <w:rPr>
          <w:lang w:val="fr-FR"/>
        </w:rPr>
        <w:t xml:space="preserve"> “Aberrant </w:t>
      </w:r>
      <w:proofErr w:type="spellStart"/>
      <w:r w:rsidRPr="005C718D">
        <w:rPr>
          <w:lang w:val="fr-FR"/>
        </w:rPr>
        <w:t>phenotypes</w:t>
      </w:r>
      <w:proofErr w:type="spellEnd"/>
      <w:r w:rsidRPr="005C718D">
        <w:rPr>
          <w:lang w:val="fr-FR"/>
        </w:rPr>
        <w:t xml:space="preserve"> in </w:t>
      </w:r>
      <w:proofErr w:type="spellStart"/>
      <w:r w:rsidRPr="005C718D">
        <w:rPr>
          <w:i/>
          <w:lang w:val="fr-FR"/>
        </w:rPr>
        <w:t>Brassica</w:t>
      </w:r>
      <w:proofErr w:type="spellEnd"/>
      <w:r w:rsidRPr="005C718D">
        <w:rPr>
          <w:i/>
          <w:lang w:val="fr-FR"/>
        </w:rPr>
        <w:t xml:space="preserve"> </w:t>
      </w:r>
      <w:proofErr w:type="spellStart"/>
      <w:r w:rsidRPr="005C718D">
        <w:rPr>
          <w:i/>
          <w:lang w:val="fr-FR"/>
        </w:rPr>
        <w:t>oleracea</w:t>
      </w:r>
      <w:proofErr w:type="spellEnd"/>
      <w:r w:rsidRPr="005C718D">
        <w:rPr>
          <w:lang w:val="fr-FR"/>
        </w:rPr>
        <w:t xml:space="preserve"> var. </w:t>
      </w:r>
      <w:r w:rsidRPr="005C718D">
        <w:rPr>
          <w:i/>
          <w:lang w:val="fr-FR"/>
        </w:rPr>
        <w:t>botrytis</w:t>
      </w:r>
      <w:r w:rsidRPr="005C718D">
        <w:rPr>
          <w:lang w:val="fr-FR"/>
        </w:rPr>
        <w:t xml:space="preserve">” </w:t>
      </w:r>
      <w:r w:rsidR="005F6777" w:rsidRPr="005C718D">
        <w:rPr>
          <w:lang w:val="fr-FR"/>
        </w:rPr>
        <w:t xml:space="preserve">(Phénotypes aberrants chez </w:t>
      </w:r>
      <w:proofErr w:type="spellStart"/>
      <w:r w:rsidR="005F6777" w:rsidRPr="005C718D">
        <w:rPr>
          <w:i/>
          <w:lang w:val="fr-FR"/>
        </w:rPr>
        <w:t>Brassica</w:t>
      </w:r>
      <w:proofErr w:type="spellEnd"/>
      <w:r w:rsidR="005F6777" w:rsidRPr="005C718D">
        <w:rPr>
          <w:i/>
          <w:lang w:val="fr-FR"/>
        </w:rPr>
        <w:t xml:space="preserve"> </w:t>
      </w:r>
      <w:proofErr w:type="spellStart"/>
      <w:r w:rsidR="005F6777" w:rsidRPr="005C718D">
        <w:rPr>
          <w:i/>
          <w:lang w:val="fr-FR"/>
        </w:rPr>
        <w:t>oleracea</w:t>
      </w:r>
      <w:proofErr w:type="spellEnd"/>
      <w:r w:rsidR="005F6777" w:rsidRPr="005C718D">
        <w:rPr>
          <w:lang w:val="fr-FR"/>
        </w:rPr>
        <w:t xml:space="preserve"> var. </w:t>
      </w:r>
      <w:r w:rsidR="005F6777" w:rsidRPr="005C718D">
        <w:rPr>
          <w:i/>
          <w:lang w:val="fr-FR"/>
        </w:rPr>
        <w:t>botrytis</w:t>
      </w:r>
      <w:r w:rsidR="005F6777" w:rsidRPr="005C718D">
        <w:rPr>
          <w:lang w:val="fr-FR"/>
        </w:rPr>
        <w:t xml:space="preserve">) </w:t>
      </w:r>
      <w:r w:rsidRPr="005C718D">
        <w:rPr>
          <w:lang w:val="fr-FR"/>
        </w:rPr>
        <w:t>(</w:t>
      </w:r>
      <w:r w:rsidR="005F6777" w:rsidRPr="005C718D">
        <w:rPr>
          <w:lang w:val="fr-FR"/>
        </w:rPr>
        <w:t>voir le</w:t>
      </w:r>
      <w:r w:rsidRPr="005C718D">
        <w:rPr>
          <w:lang w:val="fr-FR"/>
        </w:rPr>
        <w:t xml:space="preserve"> </w:t>
      </w:r>
      <w:r w:rsidR="005C718D" w:rsidRPr="005C718D">
        <w:rPr>
          <w:lang w:val="fr-FR"/>
        </w:rPr>
        <w:t>paragraphe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5</w:t>
      </w:r>
      <w:r w:rsidR="005F6777" w:rsidRPr="005C718D">
        <w:rPr>
          <w:lang w:val="fr-FR"/>
        </w:rPr>
        <w:t xml:space="preserve">2 du </w:t>
      </w:r>
      <w:r w:rsidRPr="005C718D">
        <w:rPr>
          <w:lang w:val="fr-FR"/>
        </w:rPr>
        <w:t xml:space="preserve">document TWV/52/20 </w:t>
      </w:r>
      <w:r w:rsidR="005F6777" w:rsidRPr="005C718D">
        <w:rPr>
          <w:lang w:val="fr-FR"/>
        </w:rPr>
        <w:t>“Report</w:t>
      </w:r>
      <w:r w:rsidRPr="005C718D">
        <w:rPr>
          <w:lang w:val="fr-FR"/>
        </w:rPr>
        <w:t>”</w:t>
      </w:r>
      <w:r w:rsidR="005F6777" w:rsidRPr="005C718D">
        <w:rPr>
          <w:lang w:val="fr-FR"/>
        </w:rPr>
        <w:t xml:space="preserve"> (Compte rendu)</w:t>
      </w:r>
      <w:r w:rsidRPr="005C718D">
        <w:rPr>
          <w:lang w:val="fr-FR"/>
        </w:rPr>
        <w:t>)</w:t>
      </w:r>
      <w:r w:rsidR="009E18D2" w:rsidRPr="005C718D">
        <w:rPr>
          <w:lang w:val="fr-FR"/>
        </w:rPr>
        <w:t xml:space="preserve">.  </w:t>
      </w:r>
      <w:r w:rsidR="00E97C60" w:rsidRPr="005C718D">
        <w:rPr>
          <w:lang w:val="fr-FR"/>
        </w:rPr>
        <w:t>Le représentant de</w:t>
      </w:r>
      <w:r w:rsidRPr="005C718D">
        <w:rPr>
          <w:lang w:val="fr-FR"/>
        </w:rPr>
        <w:t xml:space="preserve"> </w:t>
      </w:r>
      <w:proofErr w:type="spellStart"/>
      <w:r w:rsidRPr="005C718D">
        <w:rPr>
          <w:lang w:val="fr-FR"/>
        </w:rPr>
        <w:t>Crop</w:t>
      </w:r>
      <w:proofErr w:type="spellEnd"/>
      <w:r w:rsidRPr="005C718D">
        <w:rPr>
          <w:lang w:val="fr-FR"/>
        </w:rPr>
        <w:t xml:space="preserve"> Life International</w:t>
      </w:r>
      <w:r w:rsidR="00E97C60" w:rsidRPr="005C718D">
        <w:rPr>
          <w:lang w:val="fr-FR"/>
        </w:rPr>
        <w:t xml:space="preserve"> a indiqué</w:t>
      </w:r>
      <w:r w:rsidRPr="005C718D">
        <w:rPr>
          <w:lang w:val="fr-FR"/>
        </w:rPr>
        <w:t xml:space="preserve">, </w:t>
      </w:r>
      <w:r w:rsidR="00E97C60" w:rsidRPr="005C718D">
        <w:rPr>
          <w:lang w:val="fr-FR"/>
        </w:rPr>
        <w:t xml:space="preserve">après </w:t>
      </w:r>
      <w:r w:rsidRPr="005C718D">
        <w:rPr>
          <w:lang w:val="fr-FR"/>
        </w:rPr>
        <w:t xml:space="preserve">consultation </w:t>
      </w:r>
      <w:r w:rsidR="00E97C60" w:rsidRPr="005C718D">
        <w:rPr>
          <w:lang w:val="fr-FR"/>
        </w:rPr>
        <w:t>des membres de</w:t>
      </w:r>
      <w:r w:rsidRPr="005C718D">
        <w:rPr>
          <w:lang w:val="fr-FR"/>
        </w:rPr>
        <w:t xml:space="preserve"> </w:t>
      </w:r>
      <w:proofErr w:type="spellStart"/>
      <w:r w:rsidRPr="005C718D">
        <w:rPr>
          <w:lang w:val="fr-FR"/>
        </w:rPr>
        <w:t>Crop</w:t>
      </w:r>
      <w:proofErr w:type="spellEnd"/>
      <w:r w:rsidRPr="005C718D">
        <w:rPr>
          <w:lang w:val="fr-FR"/>
        </w:rPr>
        <w:t xml:space="preserve"> Life International, </w:t>
      </w:r>
      <w:r w:rsidR="00E97C60" w:rsidRPr="005C718D">
        <w:rPr>
          <w:lang w:val="fr-FR"/>
        </w:rPr>
        <w:t>qu</w:t>
      </w:r>
      <w:r w:rsidR="005C718D">
        <w:rPr>
          <w:lang w:val="fr-FR"/>
        </w:rPr>
        <w:t>’</w:t>
      </w:r>
      <w:r w:rsidR="00E97C60" w:rsidRPr="005C718D">
        <w:rPr>
          <w:lang w:val="fr-FR"/>
        </w:rPr>
        <w:t>il ne s</w:t>
      </w:r>
      <w:r w:rsidR="005C718D">
        <w:rPr>
          <w:lang w:val="fr-FR"/>
        </w:rPr>
        <w:t>’</w:t>
      </w:r>
      <w:r w:rsidR="00E97C60" w:rsidRPr="005C718D">
        <w:rPr>
          <w:lang w:val="fr-FR"/>
        </w:rPr>
        <w:t>agissait pas d</w:t>
      </w:r>
      <w:r w:rsidR="005C718D">
        <w:rPr>
          <w:lang w:val="fr-FR"/>
        </w:rPr>
        <w:t>’</w:t>
      </w:r>
      <w:r w:rsidR="00E97C60" w:rsidRPr="005C718D">
        <w:rPr>
          <w:lang w:val="fr-FR"/>
        </w:rPr>
        <w:t>un problème récurrent et que, pour le moment, cette question n</w:t>
      </w:r>
      <w:r w:rsidR="005C718D">
        <w:rPr>
          <w:lang w:val="fr-FR"/>
        </w:rPr>
        <w:t>’</w:t>
      </w:r>
      <w:r w:rsidR="00E97C60" w:rsidRPr="005C718D">
        <w:rPr>
          <w:lang w:val="fr-FR"/>
        </w:rPr>
        <w:t>était pas préoccupante pour les pro</w:t>
      </w:r>
      <w:r w:rsidR="0019163A" w:rsidRPr="005C718D">
        <w:rPr>
          <w:lang w:val="fr-FR"/>
        </w:rPr>
        <w:t>grammes de sélection végétale de manière généra</w:t>
      </w:r>
      <w:r w:rsidR="00E64434" w:rsidRPr="005C718D">
        <w:rPr>
          <w:lang w:val="fr-FR"/>
        </w:rPr>
        <w:t>le</w:t>
      </w:r>
      <w:r w:rsidR="00E64434">
        <w:rPr>
          <w:lang w:val="fr-FR"/>
        </w:rPr>
        <w:t xml:space="preserve">.  </w:t>
      </w:r>
      <w:r w:rsidR="00E64434" w:rsidRPr="005C718D">
        <w:rPr>
          <w:lang w:val="fr-FR"/>
        </w:rPr>
        <w:t>Le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TWV</w:t>
      </w:r>
      <w:r w:rsidRPr="005C718D">
        <w:rPr>
          <w:lang w:val="fr-FR"/>
        </w:rPr>
        <w:t xml:space="preserve"> a</w:t>
      </w:r>
      <w:r w:rsidR="0020539A" w:rsidRPr="005C718D">
        <w:rPr>
          <w:lang w:val="fr-FR"/>
        </w:rPr>
        <w:t xml:space="preserve"> décidé de</w:t>
      </w:r>
      <w:r w:rsidR="00E97C60" w:rsidRPr="005C718D">
        <w:rPr>
          <w:lang w:val="fr-FR"/>
        </w:rPr>
        <w:t xml:space="preserve"> clore les débats sur cette question et a invité les</w:t>
      </w:r>
      <w:r w:rsidRPr="005C718D">
        <w:rPr>
          <w:lang w:val="fr-FR"/>
        </w:rPr>
        <w:t xml:space="preserve"> experts </w:t>
      </w:r>
      <w:r w:rsidR="00E97C60" w:rsidRPr="005C718D">
        <w:rPr>
          <w:lang w:val="fr-FR"/>
        </w:rPr>
        <w:t xml:space="preserve">de </w:t>
      </w:r>
      <w:r w:rsidRPr="005C718D">
        <w:rPr>
          <w:lang w:val="fr-FR"/>
        </w:rPr>
        <w:t xml:space="preserve">France </w:t>
      </w:r>
      <w:r w:rsidR="0019163A" w:rsidRPr="005C718D">
        <w:rPr>
          <w:lang w:val="fr-FR"/>
        </w:rPr>
        <w:t>et d</w:t>
      </w:r>
      <w:r w:rsidR="00E97C60" w:rsidRPr="005C718D">
        <w:rPr>
          <w:lang w:val="fr-FR"/>
        </w:rPr>
        <w:t xml:space="preserve">es </w:t>
      </w:r>
      <w:r w:rsidR="0019163A" w:rsidRPr="005C718D">
        <w:rPr>
          <w:lang w:val="fr-FR"/>
        </w:rPr>
        <w:t xml:space="preserve">membres </w:t>
      </w:r>
      <w:r w:rsidR="00E97C60" w:rsidRPr="005C718D">
        <w:rPr>
          <w:lang w:val="fr-FR"/>
        </w:rPr>
        <w:t>observateurs à rendre compte de toute évolution</w:t>
      </w:r>
      <w:r w:rsidRPr="005C718D">
        <w:rPr>
          <w:lang w:val="fr-FR"/>
        </w:rPr>
        <w:t xml:space="preserve"> future, </w:t>
      </w:r>
      <w:r w:rsidR="00E97C60" w:rsidRPr="005C718D">
        <w:rPr>
          <w:lang w:val="fr-FR"/>
        </w:rPr>
        <w:t>le cas échéant</w:t>
      </w:r>
      <w:r w:rsidR="00E6777A" w:rsidRPr="005C718D">
        <w:rPr>
          <w:lang w:val="fr-FR"/>
        </w:rPr>
        <w:t xml:space="preserve"> (</w:t>
      </w:r>
      <w:r w:rsidR="00E97C60" w:rsidRPr="005C718D">
        <w:rPr>
          <w:lang w:val="fr-FR"/>
        </w:rPr>
        <w:t xml:space="preserve">voir les </w:t>
      </w:r>
      <w:r w:rsidR="005C718D" w:rsidRPr="005C718D">
        <w:rPr>
          <w:lang w:val="fr-FR"/>
        </w:rPr>
        <w:t>paragraphes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6</w:t>
      </w:r>
      <w:r w:rsidR="00E97C60" w:rsidRPr="005C718D">
        <w:rPr>
          <w:lang w:val="fr-FR"/>
        </w:rPr>
        <w:t>3 et 64 du</w:t>
      </w:r>
      <w:r w:rsidR="00E6777A" w:rsidRPr="005C718D">
        <w:rPr>
          <w:lang w:val="fr-FR"/>
        </w:rPr>
        <w:t xml:space="preserve"> </w:t>
      </w:r>
      <w:r w:rsidR="005C718D" w:rsidRPr="005C718D">
        <w:rPr>
          <w:lang w:val="fr-FR"/>
        </w:rPr>
        <w:t>document</w:t>
      </w:r>
      <w:r w:rsidR="005C718D">
        <w:rPr>
          <w:lang w:val="fr-FR"/>
        </w:rPr>
        <w:t xml:space="preserve"> </w:t>
      </w:r>
      <w:r w:rsidR="005C718D" w:rsidRPr="005C718D">
        <w:rPr>
          <w:lang w:val="fr-FR"/>
        </w:rPr>
        <w:t>TW</w:t>
      </w:r>
      <w:r w:rsidR="00E97C60" w:rsidRPr="005C718D">
        <w:rPr>
          <w:lang w:val="fr-FR"/>
        </w:rPr>
        <w:t>V/53/14</w:t>
      </w:r>
      <w:r w:rsidR="0055585E">
        <w:rPr>
          <w:lang w:val="fr-FR"/>
        </w:rPr>
        <w:t> </w:t>
      </w:r>
      <w:proofErr w:type="spellStart"/>
      <w:r w:rsidR="00E97C60" w:rsidRPr="005C718D">
        <w:rPr>
          <w:lang w:val="fr-FR"/>
        </w:rPr>
        <w:t>Rev</w:t>
      </w:r>
      <w:proofErr w:type="spellEnd"/>
      <w:r w:rsidR="00E97C60" w:rsidRPr="005C718D">
        <w:rPr>
          <w:lang w:val="fr-FR"/>
        </w:rPr>
        <w:t>. “</w:t>
      </w:r>
      <w:proofErr w:type="spellStart"/>
      <w:r w:rsidR="00E97C60" w:rsidRPr="005C718D">
        <w:rPr>
          <w:lang w:val="fr-FR"/>
        </w:rPr>
        <w:t>Revised</w:t>
      </w:r>
      <w:proofErr w:type="spellEnd"/>
      <w:r w:rsidR="00E97C60" w:rsidRPr="005C718D">
        <w:rPr>
          <w:lang w:val="fr-FR"/>
        </w:rPr>
        <w:t xml:space="preserve"> Report” (Compte rendu révisé)</w:t>
      </w:r>
      <w:r w:rsidR="00E6777A" w:rsidRPr="005C718D">
        <w:rPr>
          <w:lang w:val="fr-FR"/>
        </w:rPr>
        <w:t>).</w:t>
      </w:r>
    </w:p>
    <w:p w:rsidR="00627A8C" w:rsidRPr="005C718D" w:rsidRDefault="00627A8C" w:rsidP="00627A8C">
      <w:pPr>
        <w:rPr>
          <w:lang w:val="fr-FR"/>
        </w:rPr>
      </w:pPr>
    </w:p>
    <w:p w:rsidR="00627A8C" w:rsidRPr="005C718D" w:rsidRDefault="00627A8C" w:rsidP="00627A8C">
      <w:pPr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="00E97C60" w:rsidRPr="005C718D">
        <w:rPr>
          <w:lang w:val="fr-FR"/>
        </w:rPr>
        <w:tab/>
        <w:t>L</w:t>
      </w:r>
      <w:r w:rsidRPr="005C718D">
        <w:rPr>
          <w:lang w:val="fr-FR"/>
        </w:rPr>
        <w:t xml:space="preserve">e TWV </w:t>
      </w:r>
      <w:r w:rsidR="00E97C60" w:rsidRPr="005C718D">
        <w:rPr>
          <w:lang w:val="fr-FR"/>
        </w:rPr>
        <w:t>a pris note des observations formulées par un</w:t>
      </w:r>
      <w:r w:rsidRPr="005C718D">
        <w:rPr>
          <w:lang w:val="fr-FR"/>
        </w:rPr>
        <w:t xml:space="preserve"> expert </w:t>
      </w:r>
      <w:r w:rsidR="00E97C60" w:rsidRPr="005C718D">
        <w:rPr>
          <w:lang w:val="fr-FR"/>
        </w:rPr>
        <w:t>des Pays</w:t>
      </w:r>
      <w:r w:rsidR="005C718D">
        <w:rPr>
          <w:lang w:val="fr-FR"/>
        </w:rPr>
        <w:t>-</w:t>
      </w:r>
      <w:r w:rsidR="00E97C60" w:rsidRPr="005C718D">
        <w:rPr>
          <w:lang w:val="fr-FR"/>
        </w:rPr>
        <w:t>Bas sur l</w:t>
      </w:r>
      <w:r w:rsidR="005C718D">
        <w:rPr>
          <w:lang w:val="fr-FR"/>
        </w:rPr>
        <w:t>’</w:t>
      </w:r>
      <w:r w:rsidR="00E97C60" w:rsidRPr="005C718D">
        <w:rPr>
          <w:lang w:val="fr-FR"/>
        </w:rPr>
        <w:t>utilisation croissante</w:t>
      </w:r>
      <w:r w:rsidR="005038A3" w:rsidRPr="005C718D">
        <w:rPr>
          <w:lang w:val="fr-FR"/>
        </w:rPr>
        <w:t xml:space="preserve"> de variétés multipliées par voie végétative appartenant à des espèces se reproduisant normalement par voie sexuée </w:t>
      </w:r>
      <w:r w:rsidRPr="005C718D">
        <w:rPr>
          <w:lang w:val="fr-FR"/>
        </w:rPr>
        <w:t>(</w:t>
      </w:r>
      <w:r w:rsidR="005038A3" w:rsidRPr="005C718D">
        <w:rPr>
          <w:lang w:val="fr-FR"/>
        </w:rPr>
        <w:t>par exemple, le poivr</w:t>
      </w:r>
      <w:r w:rsidR="00E64434" w:rsidRPr="005C718D">
        <w:rPr>
          <w:lang w:val="fr-FR"/>
        </w:rPr>
        <w:t>on)</w:t>
      </w:r>
      <w:r w:rsidR="00E64434">
        <w:rPr>
          <w:lang w:val="fr-FR"/>
        </w:rPr>
        <w:t xml:space="preserve">.  </w:t>
      </w:r>
      <w:r w:rsidR="00E64434" w:rsidRPr="005C718D">
        <w:rPr>
          <w:lang w:val="fr-FR"/>
        </w:rPr>
        <w:t>Le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TWV</w:t>
      </w:r>
      <w:r w:rsidRPr="005C718D">
        <w:rPr>
          <w:lang w:val="fr-FR"/>
        </w:rPr>
        <w:t xml:space="preserve"> </w:t>
      </w:r>
      <w:r w:rsidR="00CA377E" w:rsidRPr="005C718D">
        <w:rPr>
          <w:lang w:val="fr-FR"/>
        </w:rPr>
        <w:t>a rappelé que</w:t>
      </w:r>
      <w:r w:rsidRPr="005C718D">
        <w:rPr>
          <w:lang w:val="fr-FR"/>
        </w:rPr>
        <w:t>,</w:t>
      </w:r>
      <w:r w:rsidR="00CA377E" w:rsidRPr="005C718D">
        <w:rPr>
          <w:lang w:val="fr-FR"/>
        </w:rPr>
        <w:t xml:space="preserve"> à sa cinquant</w:t>
      </w:r>
      <w:r w:rsidR="005C718D">
        <w:rPr>
          <w:lang w:val="fr-FR"/>
        </w:rPr>
        <w:t>ième session</w:t>
      </w:r>
      <w:r w:rsidR="00CA377E" w:rsidRPr="005C718D">
        <w:rPr>
          <w:lang w:val="fr-FR"/>
        </w:rPr>
        <w:t xml:space="preserve"> </w:t>
      </w:r>
      <w:r w:rsidR="00CA377E" w:rsidRPr="005C718D">
        <w:rPr>
          <w:lang w:val="fr-FR"/>
        </w:rPr>
        <w:lastRenderedPageBreak/>
        <w:t xml:space="preserve">tenue à </w:t>
      </w:r>
      <w:r w:rsidRPr="005C718D">
        <w:rPr>
          <w:lang w:val="fr-FR"/>
        </w:rPr>
        <w:t>Brno</w:t>
      </w:r>
      <w:r w:rsidR="00CA377E" w:rsidRPr="005C718D">
        <w:rPr>
          <w:lang w:val="fr-FR"/>
        </w:rPr>
        <w:t xml:space="preserve"> en République tchèque</w:t>
      </w:r>
      <w:r w:rsidRPr="005C718D">
        <w:rPr>
          <w:lang w:val="fr-FR"/>
        </w:rPr>
        <w:t>, i</w:t>
      </w:r>
      <w:r w:rsidR="00CA377E" w:rsidRPr="005C718D">
        <w:rPr>
          <w:lang w:val="fr-FR"/>
        </w:rPr>
        <w:t>l avait assisté à un exposé présenté par un expert des Pays</w:t>
      </w:r>
      <w:r w:rsidR="005C718D">
        <w:rPr>
          <w:lang w:val="fr-FR"/>
        </w:rPr>
        <w:t>-</w:t>
      </w:r>
      <w:r w:rsidR="00CA377E" w:rsidRPr="005C718D">
        <w:rPr>
          <w:lang w:val="fr-FR"/>
        </w:rPr>
        <w:t>Bas sur ce thème (voir le</w:t>
      </w:r>
      <w:r w:rsidRPr="005C718D">
        <w:rPr>
          <w:lang w:val="fr-FR"/>
        </w:rPr>
        <w:t xml:space="preserve"> </w:t>
      </w:r>
      <w:r w:rsidR="005C718D" w:rsidRPr="005C718D">
        <w:rPr>
          <w:lang w:val="fr-FR"/>
        </w:rPr>
        <w:t>paragraphe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5</w:t>
      </w:r>
      <w:r w:rsidR="00CA377E" w:rsidRPr="005C718D">
        <w:rPr>
          <w:lang w:val="fr-FR"/>
        </w:rPr>
        <w:t>7 du document TWV/50/25 “Report” (Compte rendu)</w:t>
      </w:r>
      <w:r w:rsidRPr="005C718D">
        <w:rPr>
          <w:lang w:val="fr-FR"/>
        </w:rPr>
        <w:t xml:space="preserve">). </w:t>
      </w:r>
      <w:r w:rsidR="005C718D" w:rsidRPr="005C718D">
        <w:rPr>
          <w:lang w:val="fr-FR"/>
        </w:rPr>
        <w:t xml:space="preserve"> Le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TWV</w:t>
      </w:r>
      <w:r w:rsidRPr="005C718D">
        <w:rPr>
          <w:lang w:val="fr-FR"/>
        </w:rPr>
        <w:t xml:space="preserve"> </w:t>
      </w:r>
      <w:r w:rsidR="00CA377E" w:rsidRPr="005C718D">
        <w:rPr>
          <w:lang w:val="fr-FR"/>
        </w:rPr>
        <w:t>a invité</w:t>
      </w:r>
      <w:r w:rsidRPr="005C718D">
        <w:rPr>
          <w:lang w:val="fr-FR"/>
        </w:rPr>
        <w:t xml:space="preserve"> </w:t>
      </w:r>
      <w:r w:rsidR="00CA377E" w:rsidRPr="005C718D">
        <w:rPr>
          <w:lang w:val="fr-FR"/>
        </w:rPr>
        <w:t>l</w:t>
      </w:r>
      <w:r w:rsidR="005C718D">
        <w:rPr>
          <w:lang w:val="fr-FR"/>
        </w:rPr>
        <w:t>’</w:t>
      </w:r>
      <w:r w:rsidRPr="005C718D">
        <w:rPr>
          <w:lang w:val="fr-FR"/>
        </w:rPr>
        <w:t>expert</w:t>
      </w:r>
      <w:r w:rsidR="00CA377E" w:rsidRPr="005C718D">
        <w:rPr>
          <w:lang w:val="fr-FR"/>
        </w:rPr>
        <w:t xml:space="preserve"> des Pays</w:t>
      </w:r>
      <w:r w:rsidR="005C718D">
        <w:rPr>
          <w:lang w:val="fr-FR"/>
        </w:rPr>
        <w:t>-</w:t>
      </w:r>
      <w:r w:rsidR="00CA377E" w:rsidRPr="005C718D">
        <w:rPr>
          <w:lang w:val="fr-FR"/>
        </w:rPr>
        <w:t>Bas et d</w:t>
      </w:r>
      <w:r w:rsidR="005C718D">
        <w:rPr>
          <w:lang w:val="fr-FR"/>
        </w:rPr>
        <w:t>’</w:t>
      </w:r>
      <w:r w:rsidR="00CA377E" w:rsidRPr="005C718D">
        <w:rPr>
          <w:lang w:val="fr-FR"/>
        </w:rPr>
        <w:t xml:space="preserve">autres </w:t>
      </w:r>
      <w:r w:rsidRPr="005C718D">
        <w:rPr>
          <w:lang w:val="fr-FR"/>
        </w:rPr>
        <w:t xml:space="preserve">experts </w:t>
      </w:r>
      <w:r w:rsidR="00CA377E" w:rsidRPr="005C718D">
        <w:rPr>
          <w:lang w:val="fr-FR"/>
        </w:rPr>
        <w:t>à rendre compte des faits nouveaux sur cette question</w:t>
      </w:r>
      <w:r w:rsidR="00FA578A" w:rsidRPr="005C718D">
        <w:rPr>
          <w:lang w:val="fr-FR"/>
        </w:rPr>
        <w:t xml:space="preserve"> et plus particulièrement à expliquer les problèmes éventuels</w:t>
      </w:r>
      <w:r w:rsidRPr="005C718D">
        <w:rPr>
          <w:lang w:val="fr-FR"/>
        </w:rPr>
        <w:t xml:space="preserve"> </w:t>
      </w:r>
      <w:r w:rsidR="0019163A" w:rsidRPr="005C718D">
        <w:rPr>
          <w:lang w:val="fr-FR"/>
        </w:rPr>
        <w:t xml:space="preserve">au titre </w:t>
      </w:r>
      <w:r w:rsidR="00FA578A" w:rsidRPr="005C718D">
        <w:rPr>
          <w:lang w:val="fr-FR"/>
        </w:rPr>
        <w:t>de l</w:t>
      </w:r>
      <w:r w:rsidR="005C718D">
        <w:rPr>
          <w:lang w:val="fr-FR"/>
        </w:rPr>
        <w:t>’</w:t>
      </w:r>
      <w:r w:rsidR="00FA578A" w:rsidRPr="005C718D">
        <w:rPr>
          <w:lang w:val="fr-FR"/>
        </w:rPr>
        <w:t>examen</w:t>
      </w:r>
      <w:r w:rsidR="0055585E">
        <w:rPr>
          <w:lang w:val="fr-FR"/>
        </w:rPr>
        <w:t> </w:t>
      </w:r>
      <w:r w:rsidR="00FA578A" w:rsidRPr="005C718D">
        <w:rPr>
          <w:lang w:val="fr-FR"/>
        </w:rPr>
        <w:t>DHS</w:t>
      </w:r>
      <w:r w:rsidRPr="005C718D">
        <w:rPr>
          <w:lang w:val="fr-FR"/>
        </w:rPr>
        <w:t>.</w:t>
      </w:r>
    </w:p>
    <w:p w:rsidR="00472ACF" w:rsidRPr="005C718D" w:rsidRDefault="00472ACF" w:rsidP="00472ACF">
      <w:pPr>
        <w:rPr>
          <w:lang w:val="fr-FR"/>
        </w:rPr>
      </w:pPr>
    </w:p>
    <w:p w:rsidR="005C718D" w:rsidRDefault="000C4B82" w:rsidP="00472ACF">
      <w:pPr>
        <w:pStyle w:val="Heading2"/>
        <w:rPr>
          <w:lang w:val="fr-FR"/>
        </w:rPr>
      </w:pPr>
      <w:bookmarkStart w:id="30" w:name="_Toc22473835"/>
      <w:r w:rsidRPr="005C718D">
        <w:rPr>
          <w:lang w:val="fr-FR"/>
        </w:rPr>
        <w:t>Questions à prendre en considération dans l</w:t>
      </w:r>
      <w:r w:rsidR="005C718D">
        <w:rPr>
          <w:lang w:val="fr-FR"/>
        </w:rPr>
        <w:t>’</w:t>
      </w:r>
      <w:r w:rsidRPr="005C718D">
        <w:rPr>
          <w:lang w:val="fr-FR"/>
        </w:rPr>
        <w:t>examen</w:t>
      </w:r>
      <w:r w:rsidR="0055585E">
        <w:rPr>
          <w:lang w:val="fr-FR"/>
        </w:rPr>
        <w:t> </w:t>
      </w:r>
      <w:r w:rsidRPr="005C718D">
        <w:rPr>
          <w:lang w:val="fr-FR"/>
        </w:rPr>
        <w:t>DHS pour le secteur des fruits</w:t>
      </w:r>
      <w:bookmarkEnd w:id="30"/>
    </w:p>
    <w:p w:rsidR="00472ACF" w:rsidRPr="005C718D" w:rsidRDefault="00472ACF" w:rsidP="00472ACF">
      <w:pPr>
        <w:keepNext/>
        <w:rPr>
          <w:lang w:val="fr-FR"/>
        </w:rPr>
      </w:pPr>
    </w:p>
    <w:p w:rsidR="00472ACF" w:rsidRPr="005C718D" w:rsidRDefault="00472ACF" w:rsidP="00472ACF">
      <w:pPr>
        <w:keepNext/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Pr="005C718D">
        <w:rPr>
          <w:lang w:val="fr-FR"/>
        </w:rPr>
        <w:tab/>
      </w:r>
      <w:r w:rsidR="00FA578A" w:rsidRPr="005C718D">
        <w:rPr>
          <w:lang w:val="fr-FR"/>
        </w:rPr>
        <w:t>À sa cinquant</w:t>
      </w:r>
      <w:r w:rsidR="005C718D">
        <w:rPr>
          <w:lang w:val="fr-FR"/>
        </w:rPr>
        <w:t>ième session</w:t>
      </w:r>
      <w:r w:rsidR="00FA578A" w:rsidRPr="005C718D">
        <w:rPr>
          <w:lang w:val="fr-FR"/>
        </w:rPr>
        <w:t xml:space="preserve"> tenue à Budapest (Hongrie) du 24 au 28 juin 2019,</w:t>
      </w:r>
      <w:r w:rsidR="005C718D" w:rsidRPr="005C718D">
        <w:rPr>
          <w:lang w:val="fr-FR"/>
        </w:rPr>
        <w:t xml:space="preserve"> le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TWF</w:t>
      </w:r>
      <w:r w:rsidR="00FA578A" w:rsidRPr="005C718D">
        <w:rPr>
          <w:lang w:val="fr-FR"/>
        </w:rPr>
        <w:t xml:space="preserve"> a examiné les questions à prendre en considération dans </w:t>
      </w:r>
      <w:r w:rsidR="00BF53A4" w:rsidRPr="005C718D">
        <w:rPr>
          <w:lang w:val="fr-FR"/>
        </w:rPr>
        <w:t xml:space="preserve">le cadre de </w:t>
      </w:r>
      <w:r w:rsidR="00FA578A" w:rsidRPr="005C718D">
        <w:rPr>
          <w:lang w:val="fr-FR"/>
        </w:rPr>
        <w:t>l</w:t>
      </w:r>
      <w:r w:rsidR="005C718D">
        <w:rPr>
          <w:lang w:val="fr-FR"/>
        </w:rPr>
        <w:t>’</w:t>
      </w:r>
      <w:r w:rsidR="00FA578A" w:rsidRPr="005C718D">
        <w:rPr>
          <w:lang w:val="fr-FR"/>
        </w:rPr>
        <w:t>examen</w:t>
      </w:r>
      <w:r w:rsidR="0055585E">
        <w:rPr>
          <w:lang w:val="fr-FR"/>
        </w:rPr>
        <w:t> </w:t>
      </w:r>
      <w:r w:rsidR="00FA578A" w:rsidRPr="005C718D">
        <w:rPr>
          <w:lang w:val="fr-FR"/>
        </w:rPr>
        <w:t>DHS pour le secteur des frui</w:t>
      </w:r>
      <w:r w:rsidR="00E64434" w:rsidRPr="005C718D">
        <w:rPr>
          <w:lang w:val="fr-FR"/>
        </w:rPr>
        <w:t>ts</w:t>
      </w:r>
      <w:r w:rsidR="00E64434">
        <w:rPr>
          <w:lang w:val="fr-FR"/>
        </w:rPr>
        <w:t xml:space="preserve">.  </w:t>
      </w:r>
      <w:r w:rsidR="00E64434" w:rsidRPr="005C718D">
        <w:rPr>
          <w:lang w:val="fr-FR"/>
        </w:rPr>
        <w:t>Au</w:t>
      </w:r>
      <w:r w:rsidR="00BF53A4" w:rsidRPr="005C718D">
        <w:rPr>
          <w:lang w:val="fr-FR"/>
        </w:rPr>
        <w:t>cun exposé n</w:t>
      </w:r>
      <w:r w:rsidR="005C718D">
        <w:rPr>
          <w:lang w:val="fr-FR"/>
        </w:rPr>
        <w:t>’</w:t>
      </w:r>
      <w:r w:rsidR="00BF53A4" w:rsidRPr="005C718D">
        <w:rPr>
          <w:lang w:val="fr-FR"/>
        </w:rPr>
        <w:t>a été préparé</w:t>
      </w:r>
      <w:r w:rsidR="00FA578A" w:rsidRPr="005C718D">
        <w:rPr>
          <w:lang w:val="fr-FR"/>
        </w:rPr>
        <w:t xml:space="preserve"> pour examen à cette</w:t>
      </w:r>
      <w:r w:rsidRPr="005C718D">
        <w:rPr>
          <w:lang w:val="fr-FR"/>
        </w:rPr>
        <w:t xml:space="preserve"> sessi</w:t>
      </w:r>
      <w:r w:rsidR="00E64434" w:rsidRPr="005C718D">
        <w:rPr>
          <w:lang w:val="fr-FR"/>
        </w:rPr>
        <w:t>on</w:t>
      </w:r>
      <w:r w:rsidR="00E64434">
        <w:rPr>
          <w:lang w:val="fr-FR"/>
        </w:rPr>
        <w:t xml:space="preserve">.  </w:t>
      </w:r>
      <w:r w:rsidR="00E64434" w:rsidRPr="005C718D">
        <w:rPr>
          <w:lang w:val="fr-FR"/>
        </w:rPr>
        <w:t>To</w:t>
      </w:r>
      <w:r w:rsidR="00FA578A" w:rsidRPr="005C718D">
        <w:rPr>
          <w:lang w:val="fr-FR"/>
        </w:rPr>
        <w:t>utefois</w:t>
      </w:r>
      <w:r w:rsidRPr="005C718D">
        <w:rPr>
          <w:lang w:val="fr-FR"/>
        </w:rPr>
        <w:t>,</w:t>
      </w:r>
      <w:r w:rsidR="005C718D" w:rsidRPr="005C718D">
        <w:rPr>
          <w:lang w:val="fr-FR"/>
        </w:rPr>
        <w:t xml:space="preserve"> le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TWF</w:t>
      </w:r>
      <w:r w:rsidRPr="005C718D">
        <w:rPr>
          <w:lang w:val="fr-FR"/>
        </w:rPr>
        <w:t xml:space="preserve"> a</w:t>
      </w:r>
      <w:r w:rsidR="00FA578A" w:rsidRPr="005C718D">
        <w:rPr>
          <w:lang w:val="fr-FR"/>
        </w:rPr>
        <w:t xml:space="preserve"> décidé de débattre des questions ci</w:t>
      </w:r>
      <w:r w:rsidR="005C718D">
        <w:rPr>
          <w:lang w:val="fr-FR"/>
        </w:rPr>
        <w:t>-</w:t>
      </w:r>
      <w:r w:rsidR="00FA578A" w:rsidRPr="005C718D">
        <w:rPr>
          <w:lang w:val="fr-FR"/>
        </w:rPr>
        <w:t>après</w:t>
      </w:r>
      <w:r w:rsidRPr="005C718D">
        <w:rPr>
          <w:lang w:val="fr-FR"/>
        </w:rPr>
        <w:t xml:space="preserve">, </w:t>
      </w:r>
      <w:r w:rsidR="00FA578A" w:rsidRPr="005C718D">
        <w:rPr>
          <w:lang w:val="fr-FR"/>
        </w:rPr>
        <w:t>au titre de ce point de l</w:t>
      </w:r>
      <w:r w:rsidR="005C718D">
        <w:rPr>
          <w:lang w:val="fr-FR"/>
        </w:rPr>
        <w:t>’</w:t>
      </w:r>
      <w:r w:rsidR="00FA578A" w:rsidRPr="005C718D">
        <w:rPr>
          <w:lang w:val="fr-FR"/>
        </w:rPr>
        <w:t>ordre du jour, à sa cinquante</w:t>
      </w:r>
      <w:r w:rsidR="005C718D">
        <w:rPr>
          <w:lang w:val="fr-FR"/>
        </w:rPr>
        <w:t> et unième session</w:t>
      </w:r>
      <w:r w:rsidR="00FA578A" w:rsidRPr="005C718D">
        <w:rPr>
          <w:lang w:val="fr-FR"/>
        </w:rPr>
        <w:t xml:space="preserve"> (voir le </w:t>
      </w:r>
      <w:r w:rsidR="005C718D" w:rsidRPr="005C718D">
        <w:rPr>
          <w:lang w:val="fr-FR"/>
        </w:rPr>
        <w:t>paragraphe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5</w:t>
      </w:r>
      <w:r w:rsidR="00FA578A" w:rsidRPr="005C718D">
        <w:rPr>
          <w:lang w:val="fr-FR"/>
        </w:rPr>
        <w:t>0</w:t>
      </w:r>
      <w:r w:rsidR="00E6777A" w:rsidRPr="005C718D">
        <w:rPr>
          <w:lang w:val="fr-FR"/>
        </w:rPr>
        <w:t xml:space="preserve"> </w:t>
      </w:r>
      <w:r w:rsidR="00FA578A" w:rsidRPr="005C718D">
        <w:rPr>
          <w:lang w:val="fr-FR"/>
        </w:rPr>
        <w:t>du document TWF/50/13 “Report” (Compte rendu)</w:t>
      </w:r>
      <w:r w:rsidR="00E6777A" w:rsidRPr="005C718D">
        <w:rPr>
          <w:lang w:val="fr-FR"/>
        </w:rPr>
        <w:t>)</w:t>
      </w:r>
      <w:r w:rsidR="0055585E">
        <w:rPr>
          <w:lang w:val="fr-FR"/>
        </w:rPr>
        <w:t> :</w:t>
      </w:r>
    </w:p>
    <w:p w:rsidR="00472ACF" w:rsidRPr="005C718D" w:rsidRDefault="00472ACF" w:rsidP="00472ACF">
      <w:pPr>
        <w:keepNext/>
        <w:rPr>
          <w:lang w:val="fr-FR"/>
        </w:rPr>
      </w:pPr>
    </w:p>
    <w:p w:rsidR="005C718D" w:rsidRDefault="00472ACF" w:rsidP="0093731E">
      <w:pPr>
        <w:pStyle w:val="ListParagraph"/>
        <w:keepNext/>
        <w:numPr>
          <w:ilvl w:val="0"/>
          <w:numId w:val="5"/>
        </w:numPr>
        <w:ind w:left="1134" w:hanging="567"/>
        <w:rPr>
          <w:lang w:val="fr-FR"/>
        </w:rPr>
      </w:pPr>
      <w:r w:rsidRPr="005C718D">
        <w:rPr>
          <w:lang w:val="fr-FR"/>
        </w:rPr>
        <w:t xml:space="preserve">“Blueberry, new production techniques and </w:t>
      </w:r>
      <w:proofErr w:type="spellStart"/>
      <w:r w:rsidRPr="005C718D">
        <w:rPr>
          <w:lang w:val="fr-FR"/>
        </w:rPr>
        <w:t>its</w:t>
      </w:r>
      <w:proofErr w:type="spellEnd"/>
      <w:r w:rsidRPr="005C718D">
        <w:rPr>
          <w:lang w:val="fr-FR"/>
        </w:rPr>
        <w:t xml:space="preserve"> possible influence on the expression of </w:t>
      </w:r>
      <w:proofErr w:type="spellStart"/>
      <w:r w:rsidRPr="005C718D">
        <w:rPr>
          <w:lang w:val="fr-FR"/>
        </w:rPr>
        <w:t>characteristics</w:t>
      </w:r>
      <w:proofErr w:type="spellEnd"/>
      <w:r w:rsidRPr="005C718D">
        <w:rPr>
          <w:lang w:val="fr-FR"/>
        </w:rPr>
        <w:t>”</w:t>
      </w:r>
      <w:r w:rsidR="00981295" w:rsidRPr="005C718D">
        <w:rPr>
          <w:lang w:val="fr-FR"/>
        </w:rPr>
        <w:t xml:space="preserve"> (Myrtille, nouvelles techniques de production et influence éventuelle sur l</w:t>
      </w:r>
      <w:r w:rsidR="005C718D">
        <w:rPr>
          <w:lang w:val="fr-FR"/>
        </w:rPr>
        <w:t>’</w:t>
      </w:r>
      <w:r w:rsidR="00981295" w:rsidRPr="005C718D">
        <w:rPr>
          <w:lang w:val="fr-FR"/>
        </w:rPr>
        <w:t>expression des caractères)</w:t>
      </w:r>
      <w:r w:rsidRPr="005C718D">
        <w:rPr>
          <w:lang w:val="fr-FR"/>
        </w:rPr>
        <w:t xml:space="preserve">, </w:t>
      </w:r>
      <w:r w:rsidR="00981295" w:rsidRPr="005C718D">
        <w:rPr>
          <w:lang w:val="fr-FR"/>
        </w:rPr>
        <w:t xml:space="preserve">à préparer par des </w:t>
      </w:r>
      <w:r w:rsidRPr="005C718D">
        <w:rPr>
          <w:lang w:val="fr-FR"/>
        </w:rPr>
        <w:t xml:space="preserve">experts </w:t>
      </w:r>
      <w:r w:rsidR="00981295" w:rsidRPr="005C718D">
        <w:rPr>
          <w:lang w:val="fr-FR"/>
        </w:rPr>
        <w:t xml:space="preserve">du </w:t>
      </w:r>
      <w:r w:rsidRPr="005C718D">
        <w:rPr>
          <w:lang w:val="fr-FR"/>
        </w:rPr>
        <w:t xml:space="preserve">Canada </w:t>
      </w:r>
      <w:r w:rsidR="00981295" w:rsidRPr="005C718D">
        <w:rPr>
          <w:lang w:val="fr-FR"/>
        </w:rPr>
        <w:t>et de Nouvelle</w:t>
      </w:r>
      <w:r w:rsidR="005C718D">
        <w:rPr>
          <w:lang w:val="fr-FR"/>
        </w:rPr>
        <w:t>-</w:t>
      </w:r>
      <w:r w:rsidR="00981295" w:rsidRPr="005C718D">
        <w:rPr>
          <w:lang w:val="fr-FR"/>
        </w:rPr>
        <w:t>Zélande,</w:t>
      </w:r>
    </w:p>
    <w:p w:rsidR="00472ACF" w:rsidRPr="005C718D" w:rsidRDefault="00472ACF" w:rsidP="0093731E">
      <w:pPr>
        <w:pStyle w:val="ListParagraph"/>
        <w:keepNext/>
        <w:numPr>
          <w:ilvl w:val="0"/>
          <w:numId w:val="5"/>
        </w:numPr>
        <w:ind w:left="1134" w:hanging="567"/>
        <w:rPr>
          <w:lang w:val="fr-FR"/>
        </w:rPr>
      </w:pPr>
      <w:r w:rsidRPr="005C718D">
        <w:rPr>
          <w:lang w:val="fr-FR"/>
        </w:rPr>
        <w:t>“</w:t>
      </w:r>
      <w:proofErr w:type="spellStart"/>
      <w:r w:rsidRPr="005C718D">
        <w:rPr>
          <w:lang w:val="fr-FR"/>
        </w:rPr>
        <w:t>Raspberry</w:t>
      </w:r>
      <w:proofErr w:type="spellEnd"/>
      <w:r w:rsidRPr="005C718D">
        <w:rPr>
          <w:lang w:val="fr-FR"/>
        </w:rPr>
        <w:t xml:space="preserve"> CPVO </w:t>
      </w:r>
      <w:proofErr w:type="spellStart"/>
      <w:r w:rsidRPr="005C718D">
        <w:rPr>
          <w:lang w:val="fr-FR"/>
        </w:rPr>
        <w:t>project</w:t>
      </w:r>
      <w:proofErr w:type="spellEnd"/>
      <w:r w:rsidRPr="005C718D">
        <w:rPr>
          <w:lang w:val="fr-FR"/>
        </w:rPr>
        <w:t>”</w:t>
      </w:r>
      <w:r w:rsidR="00BF53A4" w:rsidRPr="005C718D">
        <w:rPr>
          <w:lang w:val="fr-FR"/>
        </w:rPr>
        <w:t xml:space="preserve"> (Projet de l</w:t>
      </w:r>
      <w:r w:rsidR="005C718D">
        <w:rPr>
          <w:lang w:val="fr-FR"/>
        </w:rPr>
        <w:t>’</w:t>
      </w:r>
      <w:r w:rsidR="00BF53A4" w:rsidRPr="005C718D">
        <w:rPr>
          <w:lang w:val="fr-FR"/>
        </w:rPr>
        <w:t>OCVV sur le framboisier</w:t>
      </w:r>
      <w:r w:rsidR="00981295" w:rsidRPr="005C718D">
        <w:rPr>
          <w:lang w:val="fr-FR"/>
        </w:rPr>
        <w:t>)</w:t>
      </w:r>
      <w:r w:rsidRPr="005C718D">
        <w:rPr>
          <w:lang w:val="fr-FR"/>
        </w:rPr>
        <w:t>,</w:t>
      </w:r>
      <w:r w:rsidR="000455AD" w:rsidRPr="005C718D">
        <w:rPr>
          <w:lang w:val="fr-FR"/>
        </w:rPr>
        <w:t xml:space="preserve"> à pré</w:t>
      </w:r>
      <w:r w:rsidR="00981295" w:rsidRPr="005C718D">
        <w:rPr>
          <w:lang w:val="fr-FR"/>
        </w:rPr>
        <w:t>parer par un expert d</w:t>
      </w:r>
      <w:r w:rsidR="005C718D">
        <w:rPr>
          <w:lang w:val="fr-FR"/>
        </w:rPr>
        <w:t>’</w:t>
      </w:r>
      <w:r w:rsidR="00981295" w:rsidRPr="005C718D">
        <w:rPr>
          <w:lang w:val="fr-FR"/>
        </w:rPr>
        <w:t>Allemagne,</w:t>
      </w:r>
    </w:p>
    <w:p w:rsidR="00472ACF" w:rsidRPr="005C718D" w:rsidRDefault="00981295" w:rsidP="0093731E">
      <w:pPr>
        <w:pStyle w:val="ListParagraph"/>
        <w:keepNext/>
        <w:numPr>
          <w:ilvl w:val="0"/>
          <w:numId w:val="5"/>
        </w:numPr>
        <w:ind w:left="1134" w:hanging="567"/>
        <w:rPr>
          <w:lang w:val="fr-FR"/>
        </w:rPr>
      </w:pPr>
      <w:r w:rsidRPr="005C718D">
        <w:rPr>
          <w:lang w:val="fr-FR"/>
        </w:rPr>
        <w:t>“</w:t>
      </w:r>
      <w:proofErr w:type="spellStart"/>
      <w:r w:rsidRPr="005C718D">
        <w:rPr>
          <w:lang w:val="fr-FR"/>
        </w:rPr>
        <w:t>Strawberry</w:t>
      </w:r>
      <w:proofErr w:type="spellEnd"/>
      <w:r w:rsidRPr="005C718D">
        <w:rPr>
          <w:lang w:val="fr-FR"/>
        </w:rPr>
        <w:t xml:space="preserve"> ring test” (Test </w:t>
      </w:r>
      <w:r w:rsidR="000455AD" w:rsidRPr="005C718D">
        <w:rPr>
          <w:lang w:val="fr-FR"/>
        </w:rPr>
        <w:t>d</w:t>
      </w:r>
      <w:r w:rsidR="005C718D">
        <w:rPr>
          <w:lang w:val="fr-FR"/>
        </w:rPr>
        <w:t>’</w:t>
      </w:r>
      <w:r w:rsidR="000455AD" w:rsidRPr="005C718D">
        <w:rPr>
          <w:lang w:val="fr-FR"/>
        </w:rPr>
        <w:t>étalonnage du fraisier), à pré</w:t>
      </w:r>
      <w:r w:rsidRPr="005C718D">
        <w:rPr>
          <w:lang w:val="fr-FR"/>
        </w:rPr>
        <w:t xml:space="preserve">parer par un </w:t>
      </w:r>
      <w:r w:rsidR="00472ACF" w:rsidRPr="005C718D">
        <w:rPr>
          <w:lang w:val="fr-FR"/>
        </w:rPr>
        <w:t xml:space="preserve">expert </w:t>
      </w:r>
      <w:r w:rsidRPr="005C718D">
        <w:rPr>
          <w:lang w:val="fr-FR"/>
        </w:rPr>
        <w:t>de</w:t>
      </w:r>
      <w:r w:rsidR="00472ACF" w:rsidRPr="005C718D">
        <w:rPr>
          <w:lang w:val="fr-FR"/>
        </w:rPr>
        <w:t xml:space="preserve"> </w:t>
      </w:r>
      <w:r w:rsidRPr="005C718D">
        <w:rPr>
          <w:lang w:val="fr-FR"/>
        </w:rPr>
        <w:t>l</w:t>
      </w:r>
      <w:r w:rsidR="005C718D">
        <w:rPr>
          <w:lang w:val="fr-FR"/>
        </w:rPr>
        <w:t>’</w:t>
      </w:r>
      <w:r w:rsidR="00472ACF" w:rsidRPr="005C718D">
        <w:rPr>
          <w:lang w:val="fr-FR"/>
        </w:rPr>
        <w:t>Union</w:t>
      </w:r>
      <w:r w:rsidRPr="005C718D">
        <w:rPr>
          <w:lang w:val="fr-FR"/>
        </w:rPr>
        <w:t xml:space="preserve"> européenne,</w:t>
      </w:r>
    </w:p>
    <w:p w:rsidR="00472ACF" w:rsidRPr="005C718D" w:rsidRDefault="00472ACF" w:rsidP="0093731E">
      <w:pPr>
        <w:pStyle w:val="ListParagraph"/>
        <w:keepNext/>
        <w:numPr>
          <w:ilvl w:val="0"/>
          <w:numId w:val="5"/>
        </w:numPr>
        <w:ind w:left="1134" w:hanging="567"/>
        <w:rPr>
          <w:lang w:val="fr-FR"/>
        </w:rPr>
      </w:pPr>
      <w:r w:rsidRPr="005C718D">
        <w:rPr>
          <w:lang w:val="fr-FR"/>
        </w:rPr>
        <w:t xml:space="preserve">“Test on the use of RHS </w:t>
      </w:r>
      <w:proofErr w:type="spellStart"/>
      <w:r w:rsidRPr="005C718D">
        <w:rPr>
          <w:lang w:val="fr-FR"/>
        </w:rPr>
        <w:t>Colour</w:t>
      </w:r>
      <w:proofErr w:type="spellEnd"/>
      <w:r w:rsidRPr="005C718D">
        <w:rPr>
          <w:lang w:val="fr-FR"/>
        </w:rPr>
        <w:t xml:space="preserve"> Chart in </w:t>
      </w:r>
      <w:proofErr w:type="spellStart"/>
      <w:r w:rsidRPr="005C718D">
        <w:rPr>
          <w:lang w:val="fr-FR"/>
        </w:rPr>
        <w:t>apricot</w:t>
      </w:r>
      <w:proofErr w:type="spellEnd"/>
      <w:r w:rsidRPr="005C718D">
        <w:rPr>
          <w:lang w:val="fr-FR"/>
        </w:rPr>
        <w:t xml:space="preserve"> DUS </w:t>
      </w:r>
      <w:proofErr w:type="spellStart"/>
      <w:r w:rsidRPr="005C718D">
        <w:rPr>
          <w:lang w:val="fr-FR"/>
        </w:rPr>
        <w:t>examination</w:t>
      </w:r>
      <w:proofErr w:type="spellEnd"/>
      <w:r w:rsidRPr="005C718D">
        <w:rPr>
          <w:lang w:val="fr-FR"/>
        </w:rPr>
        <w:t xml:space="preserve"> in New </w:t>
      </w:r>
      <w:proofErr w:type="spellStart"/>
      <w:r w:rsidRPr="005C718D">
        <w:rPr>
          <w:lang w:val="fr-FR"/>
        </w:rPr>
        <w:t>Zealand</w:t>
      </w:r>
      <w:proofErr w:type="spellEnd"/>
      <w:r w:rsidRPr="005C718D">
        <w:rPr>
          <w:lang w:val="fr-FR"/>
        </w:rPr>
        <w:t>”</w:t>
      </w:r>
      <w:r w:rsidR="00981295" w:rsidRPr="005C718D">
        <w:rPr>
          <w:lang w:val="fr-FR"/>
        </w:rPr>
        <w:t xml:space="preserve"> (Test sur l</w:t>
      </w:r>
      <w:r w:rsidR="005C718D">
        <w:rPr>
          <w:lang w:val="fr-FR"/>
        </w:rPr>
        <w:t>’</w:t>
      </w:r>
      <w:r w:rsidR="00981295" w:rsidRPr="005C718D">
        <w:rPr>
          <w:lang w:val="fr-FR"/>
        </w:rPr>
        <w:t>utilisation du code couleur RHS dans le cadre de l</w:t>
      </w:r>
      <w:r w:rsidR="005C718D">
        <w:rPr>
          <w:lang w:val="fr-FR"/>
        </w:rPr>
        <w:t>’</w:t>
      </w:r>
      <w:r w:rsidR="00981295" w:rsidRPr="005C718D">
        <w:rPr>
          <w:lang w:val="fr-FR"/>
        </w:rPr>
        <w:t>examen</w:t>
      </w:r>
      <w:r w:rsidR="0055585E">
        <w:rPr>
          <w:lang w:val="fr-FR"/>
        </w:rPr>
        <w:t> </w:t>
      </w:r>
      <w:r w:rsidR="00981295" w:rsidRPr="005C718D">
        <w:rPr>
          <w:lang w:val="fr-FR"/>
        </w:rPr>
        <w:t>DHS de l</w:t>
      </w:r>
      <w:r w:rsidR="005C718D">
        <w:rPr>
          <w:lang w:val="fr-FR"/>
        </w:rPr>
        <w:t>’</w:t>
      </w:r>
      <w:r w:rsidR="00981295" w:rsidRPr="005C718D">
        <w:rPr>
          <w:lang w:val="fr-FR"/>
        </w:rPr>
        <w:t>abricot</w:t>
      </w:r>
      <w:r w:rsidR="00BF53A4" w:rsidRPr="005C718D">
        <w:rPr>
          <w:lang w:val="fr-FR"/>
        </w:rPr>
        <w:t>ier</w:t>
      </w:r>
      <w:r w:rsidR="00981295" w:rsidRPr="005C718D">
        <w:rPr>
          <w:lang w:val="fr-FR"/>
        </w:rPr>
        <w:t xml:space="preserve"> en Nouvelle</w:t>
      </w:r>
      <w:r w:rsidR="005C718D">
        <w:rPr>
          <w:lang w:val="fr-FR"/>
        </w:rPr>
        <w:t>-</w:t>
      </w:r>
      <w:r w:rsidR="00981295" w:rsidRPr="005C718D">
        <w:rPr>
          <w:lang w:val="fr-FR"/>
        </w:rPr>
        <w:t>Zélande), à préparer par</w:t>
      </w:r>
      <w:r w:rsidRPr="005C718D">
        <w:rPr>
          <w:lang w:val="fr-FR"/>
        </w:rPr>
        <w:t xml:space="preserve"> </w:t>
      </w:r>
      <w:r w:rsidR="00981295" w:rsidRPr="005C718D">
        <w:rPr>
          <w:lang w:val="fr-FR"/>
        </w:rPr>
        <w:t>u</w:t>
      </w:r>
      <w:r w:rsidRPr="005C718D">
        <w:rPr>
          <w:lang w:val="fr-FR"/>
        </w:rPr>
        <w:t xml:space="preserve">n expert </w:t>
      </w:r>
      <w:r w:rsidR="00981295" w:rsidRPr="005C718D">
        <w:rPr>
          <w:lang w:val="fr-FR"/>
        </w:rPr>
        <w:t>de Nouvelle</w:t>
      </w:r>
      <w:r w:rsidR="005C718D">
        <w:rPr>
          <w:lang w:val="fr-FR"/>
        </w:rPr>
        <w:t>-</w:t>
      </w:r>
      <w:r w:rsidR="00981295" w:rsidRPr="005C718D">
        <w:rPr>
          <w:lang w:val="fr-FR"/>
        </w:rPr>
        <w:t>Zélande</w:t>
      </w:r>
      <w:r w:rsidRPr="005C718D">
        <w:rPr>
          <w:lang w:val="fr-FR"/>
        </w:rPr>
        <w:t xml:space="preserve"> (</w:t>
      </w:r>
      <w:r w:rsidR="00981295" w:rsidRPr="005C718D">
        <w:rPr>
          <w:lang w:val="fr-FR"/>
        </w:rPr>
        <w:t>voir le</w:t>
      </w:r>
      <w:r w:rsidRPr="005C718D">
        <w:rPr>
          <w:lang w:val="fr-FR"/>
        </w:rPr>
        <w:t xml:space="preserve"> </w:t>
      </w:r>
      <w:r w:rsidR="005C718D" w:rsidRPr="005C718D">
        <w:rPr>
          <w:lang w:val="fr-FR"/>
        </w:rPr>
        <w:t>paragraphe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2</w:t>
      </w:r>
      <w:r w:rsidRPr="005C718D">
        <w:rPr>
          <w:lang w:val="fr-FR"/>
        </w:rPr>
        <w:t xml:space="preserve">4 </w:t>
      </w:r>
      <w:r w:rsidR="00981295" w:rsidRPr="005C718D">
        <w:rPr>
          <w:lang w:val="fr-FR"/>
        </w:rPr>
        <w:t xml:space="preserve">du présent </w:t>
      </w:r>
      <w:r w:rsidR="00BF53A4" w:rsidRPr="005C718D">
        <w:rPr>
          <w:lang w:val="fr-FR"/>
        </w:rPr>
        <w:t>document)</w:t>
      </w:r>
    </w:p>
    <w:p w:rsidR="00F343B8" w:rsidRPr="005C718D" w:rsidRDefault="00F343B8" w:rsidP="0093731E">
      <w:pPr>
        <w:tabs>
          <w:tab w:val="left" w:pos="567"/>
        </w:tabs>
        <w:ind w:left="1134" w:hanging="567"/>
        <w:rPr>
          <w:rFonts w:cs="Arial"/>
          <w:snapToGrid w:val="0"/>
          <w:lang w:val="fr-FR"/>
        </w:rPr>
      </w:pPr>
    </w:p>
    <w:p w:rsidR="00F343B8" w:rsidRPr="005C718D" w:rsidRDefault="000C4B82" w:rsidP="00F343B8">
      <w:pPr>
        <w:pStyle w:val="Heading2"/>
        <w:rPr>
          <w:rFonts w:cs="Arial"/>
          <w:snapToGrid w:val="0"/>
          <w:lang w:val="fr-FR"/>
        </w:rPr>
      </w:pPr>
      <w:bookmarkStart w:id="31" w:name="_Toc22473836"/>
      <w:r w:rsidRPr="005C718D">
        <w:rPr>
          <w:lang w:val="fr-FR"/>
        </w:rPr>
        <w:t>Groupes de discussion chargés d</w:t>
      </w:r>
      <w:r w:rsidR="005C718D">
        <w:rPr>
          <w:lang w:val="fr-FR"/>
        </w:rPr>
        <w:t>’</w:t>
      </w:r>
      <w:r w:rsidRPr="005C718D">
        <w:rPr>
          <w:lang w:val="fr-FR"/>
        </w:rPr>
        <w:t>examiner la question des “no</w:t>
      </w:r>
      <w:r w:rsidR="00387517" w:rsidRPr="005C718D">
        <w:rPr>
          <w:lang w:val="fr-FR"/>
        </w:rPr>
        <w:t xml:space="preserve">uvelles technologies utilisées aux fins de </w:t>
      </w:r>
      <w:r w:rsidRPr="005C718D">
        <w:rPr>
          <w:lang w:val="fr-FR"/>
        </w:rPr>
        <w:t>l</w:t>
      </w:r>
      <w:r w:rsidR="005C718D">
        <w:rPr>
          <w:lang w:val="fr-FR"/>
        </w:rPr>
        <w:t>’</w:t>
      </w:r>
      <w:r w:rsidRPr="005C718D">
        <w:rPr>
          <w:lang w:val="fr-FR"/>
        </w:rPr>
        <w:t>examen</w:t>
      </w:r>
      <w:r w:rsidR="0055585E">
        <w:rPr>
          <w:lang w:val="fr-FR"/>
        </w:rPr>
        <w:t> </w:t>
      </w:r>
      <w:r w:rsidRPr="005C718D">
        <w:rPr>
          <w:lang w:val="fr-FR"/>
        </w:rPr>
        <w:t>DHS”</w:t>
      </w:r>
      <w:bookmarkEnd w:id="31"/>
    </w:p>
    <w:p w:rsidR="00F343B8" w:rsidRPr="005C718D" w:rsidRDefault="00F343B8" w:rsidP="00397D83">
      <w:pPr>
        <w:tabs>
          <w:tab w:val="left" w:pos="567"/>
        </w:tabs>
        <w:rPr>
          <w:rFonts w:cs="Arial"/>
          <w:snapToGrid w:val="0"/>
          <w:lang w:val="fr-FR"/>
        </w:rPr>
      </w:pPr>
    </w:p>
    <w:p w:rsidR="00F343B8" w:rsidRPr="005C718D" w:rsidRDefault="00F343B8" w:rsidP="00F343B8">
      <w:pPr>
        <w:rPr>
          <w:lang w:val="fr-FR"/>
        </w:rPr>
      </w:pPr>
      <w:r w:rsidRPr="005C718D">
        <w:rPr>
          <w:lang w:val="fr-FR"/>
        </w:rPr>
        <w:fldChar w:fldCharType="begin"/>
      </w:r>
      <w:r w:rsidRPr="005C718D">
        <w:rPr>
          <w:lang w:val="fr-FR"/>
        </w:rPr>
        <w:instrText xml:space="preserve"> AUTONUM  </w:instrText>
      </w:r>
      <w:r w:rsidRPr="005C718D">
        <w:rPr>
          <w:lang w:val="fr-FR"/>
        </w:rPr>
        <w:fldChar w:fldCharType="end"/>
      </w:r>
      <w:r w:rsidRPr="005C718D">
        <w:rPr>
          <w:lang w:val="fr-FR"/>
        </w:rPr>
        <w:tab/>
      </w:r>
      <w:r w:rsidR="00981295" w:rsidRPr="005C718D">
        <w:rPr>
          <w:lang w:val="fr-FR"/>
        </w:rPr>
        <w:t>À sa quarante</w:t>
      </w:r>
      <w:r w:rsidR="005C718D">
        <w:rPr>
          <w:lang w:val="fr-FR"/>
        </w:rPr>
        <w:t>-</w:t>
      </w:r>
      <w:r w:rsidR="00981295" w:rsidRPr="005C718D">
        <w:rPr>
          <w:lang w:val="fr-FR"/>
        </w:rPr>
        <w:t>huit</w:t>
      </w:r>
      <w:r w:rsidR="005C718D">
        <w:rPr>
          <w:lang w:val="fr-FR"/>
        </w:rPr>
        <w:t>ième session</w:t>
      </w:r>
      <w:r w:rsidR="00981295" w:rsidRPr="005C718D">
        <w:rPr>
          <w:lang w:val="fr-FR"/>
        </w:rPr>
        <w:t xml:space="preserve"> tenue à Montevideo (Uruguay) du 16 au 20 septembre 2019,</w:t>
      </w:r>
      <w:r w:rsidR="005C718D" w:rsidRPr="005C718D">
        <w:rPr>
          <w:lang w:val="fr-FR"/>
        </w:rPr>
        <w:t xml:space="preserve"> le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TWA</w:t>
      </w:r>
      <w:r w:rsidR="00981295" w:rsidRPr="005C718D">
        <w:rPr>
          <w:lang w:val="fr-FR"/>
        </w:rPr>
        <w:t xml:space="preserve"> a noté que des groupes de</w:t>
      </w:r>
      <w:r w:rsidRPr="005C718D">
        <w:rPr>
          <w:lang w:val="fr-FR"/>
        </w:rPr>
        <w:t xml:space="preserve"> discussion </w:t>
      </w:r>
      <w:r w:rsidR="00981295" w:rsidRPr="005C718D">
        <w:rPr>
          <w:lang w:val="fr-FR"/>
        </w:rPr>
        <w:t>s</w:t>
      </w:r>
      <w:r w:rsidR="005C718D">
        <w:rPr>
          <w:lang w:val="fr-FR"/>
        </w:rPr>
        <w:t>’</w:t>
      </w:r>
      <w:r w:rsidR="00981295" w:rsidRPr="005C718D">
        <w:rPr>
          <w:lang w:val="fr-FR"/>
        </w:rPr>
        <w:t>étaient formés pour débattre des questions relatives à la</w:t>
      </w:r>
      <w:r w:rsidRPr="005C718D">
        <w:rPr>
          <w:lang w:val="fr-FR"/>
        </w:rPr>
        <w:t xml:space="preserve"> “</w:t>
      </w:r>
      <w:r w:rsidR="00981295" w:rsidRPr="005C718D">
        <w:rPr>
          <w:lang w:val="fr-FR"/>
        </w:rPr>
        <w:t>coopé</w:t>
      </w:r>
      <w:r w:rsidRPr="005C718D">
        <w:rPr>
          <w:lang w:val="fr-FR"/>
        </w:rPr>
        <w:t>ration</w:t>
      </w:r>
      <w:r w:rsidR="00981295" w:rsidRPr="005C718D">
        <w:rPr>
          <w:lang w:val="fr-FR"/>
        </w:rPr>
        <w:t xml:space="preserve"> en matière d</w:t>
      </w:r>
      <w:r w:rsidR="005C718D">
        <w:rPr>
          <w:lang w:val="fr-FR"/>
        </w:rPr>
        <w:t>’</w:t>
      </w:r>
      <w:r w:rsidR="00981295" w:rsidRPr="005C718D">
        <w:rPr>
          <w:lang w:val="fr-FR"/>
        </w:rPr>
        <w:t>examen</w:t>
      </w:r>
      <w:r w:rsidR="0055585E">
        <w:rPr>
          <w:lang w:val="fr-FR"/>
        </w:rPr>
        <w:t> </w:t>
      </w:r>
      <w:r w:rsidR="00981295" w:rsidRPr="005C718D">
        <w:rPr>
          <w:lang w:val="fr-FR"/>
        </w:rPr>
        <w:t>DHS</w:t>
      </w:r>
      <w:r w:rsidRPr="005C718D">
        <w:rPr>
          <w:lang w:val="fr-FR"/>
        </w:rPr>
        <w:t xml:space="preserve">” </w:t>
      </w:r>
      <w:r w:rsidR="00981295" w:rsidRPr="005C718D">
        <w:rPr>
          <w:lang w:val="fr-FR"/>
        </w:rPr>
        <w:t>et aux</w:t>
      </w:r>
      <w:r w:rsidRPr="005C718D">
        <w:rPr>
          <w:lang w:val="fr-FR"/>
        </w:rPr>
        <w:t xml:space="preserve"> “</w:t>
      </w:r>
      <w:r w:rsidR="00981295" w:rsidRPr="005C718D">
        <w:rPr>
          <w:lang w:val="fr-FR"/>
        </w:rPr>
        <w:t>techniques moléculaires aux fins de l</w:t>
      </w:r>
      <w:r w:rsidR="005C718D">
        <w:rPr>
          <w:lang w:val="fr-FR"/>
        </w:rPr>
        <w:t>’</w:t>
      </w:r>
      <w:r w:rsidR="00981295" w:rsidRPr="005C718D">
        <w:rPr>
          <w:lang w:val="fr-FR"/>
        </w:rPr>
        <w:t>examen</w:t>
      </w:r>
      <w:r w:rsidR="0055585E">
        <w:rPr>
          <w:lang w:val="fr-FR"/>
        </w:rPr>
        <w:t> </w:t>
      </w:r>
      <w:r w:rsidR="00981295" w:rsidRPr="005C718D">
        <w:rPr>
          <w:lang w:val="fr-FR"/>
        </w:rPr>
        <w:t>DHS</w:t>
      </w:r>
      <w:r w:rsidRPr="005C718D">
        <w:rPr>
          <w:lang w:val="fr-FR"/>
        </w:rPr>
        <w:t xml:space="preserve">” </w:t>
      </w:r>
      <w:r w:rsidR="00981295" w:rsidRPr="005C718D">
        <w:rPr>
          <w:lang w:val="fr-FR"/>
        </w:rPr>
        <w:t>à sa quarante</w:t>
      </w:r>
      <w:r w:rsidR="005C718D">
        <w:rPr>
          <w:lang w:val="fr-FR"/>
        </w:rPr>
        <w:t>-</w:t>
      </w:r>
      <w:r w:rsidR="00981295" w:rsidRPr="005C718D">
        <w:rPr>
          <w:lang w:val="fr-FR"/>
        </w:rPr>
        <w:t>huit</w:t>
      </w:r>
      <w:r w:rsidR="005C718D">
        <w:rPr>
          <w:lang w:val="fr-FR"/>
        </w:rPr>
        <w:t>ième sessi</w:t>
      </w:r>
      <w:r w:rsidR="00E64434">
        <w:rPr>
          <w:lang w:val="fr-FR"/>
        </w:rPr>
        <w:t xml:space="preserve">on.  </w:t>
      </w:r>
      <w:r w:rsidR="00E64434" w:rsidRPr="005C718D">
        <w:rPr>
          <w:lang w:val="fr-FR"/>
        </w:rPr>
        <w:t>Le</w:t>
      </w:r>
      <w:r w:rsidR="005C718D">
        <w:rPr>
          <w:lang w:val="fr-FR"/>
        </w:rPr>
        <w:t> </w:t>
      </w:r>
      <w:r w:rsidR="005C718D" w:rsidRPr="005C718D">
        <w:rPr>
          <w:lang w:val="fr-FR"/>
        </w:rPr>
        <w:t>TWA</w:t>
      </w:r>
      <w:r w:rsidR="00981295" w:rsidRPr="005C718D">
        <w:rPr>
          <w:lang w:val="fr-FR"/>
        </w:rPr>
        <w:t xml:space="preserve"> a estimé que les groupes de discussion</w:t>
      </w:r>
      <w:r w:rsidRPr="005C718D">
        <w:rPr>
          <w:lang w:val="fr-FR"/>
        </w:rPr>
        <w:t xml:space="preserve"> </w:t>
      </w:r>
      <w:r w:rsidR="00D84990" w:rsidRPr="005C718D">
        <w:rPr>
          <w:lang w:val="fr-FR"/>
        </w:rPr>
        <w:t>offraient une occasion unique d</w:t>
      </w:r>
      <w:r w:rsidR="005C718D">
        <w:rPr>
          <w:lang w:val="fr-FR"/>
        </w:rPr>
        <w:t>’</w:t>
      </w:r>
      <w:r w:rsidR="00D84990" w:rsidRPr="005C718D">
        <w:rPr>
          <w:lang w:val="fr-FR"/>
        </w:rPr>
        <w:t>échanger des données</w:t>
      </w:r>
      <w:r w:rsidRPr="005C718D">
        <w:rPr>
          <w:lang w:val="fr-FR"/>
        </w:rPr>
        <w:t xml:space="preserve"> </w:t>
      </w:r>
      <w:r w:rsidR="00D84990" w:rsidRPr="005C718D">
        <w:rPr>
          <w:lang w:val="fr-FR"/>
        </w:rPr>
        <w:t>d</w:t>
      </w:r>
      <w:r w:rsidR="005C718D">
        <w:rPr>
          <w:lang w:val="fr-FR"/>
        </w:rPr>
        <w:t>’</w:t>
      </w:r>
      <w:r w:rsidR="00D84990" w:rsidRPr="005C718D">
        <w:rPr>
          <w:lang w:val="fr-FR"/>
        </w:rPr>
        <w:t xml:space="preserve">expérience entre </w:t>
      </w:r>
      <w:r w:rsidRPr="005C718D">
        <w:rPr>
          <w:lang w:val="fr-FR"/>
        </w:rPr>
        <w:t xml:space="preserve">participants </w:t>
      </w:r>
      <w:r w:rsidR="00D84990" w:rsidRPr="005C718D">
        <w:rPr>
          <w:lang w:val="fr-FR"/>
        </w:rPr>
        <w:t>et a décidé de proposer que des groupes de</w:t>
      </w:r>
      <w:r w:rsidRPr="005C718D">
        <w:rPr>
          <w:lang w:val="fr-FR"/>
        </w:rPr>
        <w:t xml:space="preserve"> discussion </w:t>
      </w:r>
      <w:r w:rsidR="00D84990" w:rsidRPr="005C718D">
        <w:rPr>
          <w:lang w:val="fr-FR"/>
        </w:rPr>
        <w:t>se forment en vue de débattre de la question des</w:t>
      </w:r>
      <w:r w:rsidRPr="005C718D">
        <w:rPr>
          <w:lang w:val="fr-FR"/>
        </w:rPr>
        <w:t xml:space="preserve"> “</w:t>
      </w:r>
      <w:r w:rsidR="00D84990" w:rsidRPr="005C718D">
        <w:rPr>
          <w:lang w:val="fr-FR"/>
        </w:rPr>
        <w:t>nouvelles technologies utilisées aux fins de l</w:t>
      </w:r>
      <w:r w:rsidR="005C718D">
        <w:rPr>
          <w:lang w:val="fr-FR"/>
        </w:rPr>
        <w:t>’</w:t>
      </w:r>
      <w:r w:rsidR="00D84990" w:rsidRPr="005C718D">
        <w:rPr>
          <w:lang w:val="fr-FR"/>
        </w:rPr>
        <w:t>examen</w:t>
      </w:r>
      <w:r w:rsidR="0055585E">
        <w:rPr>
          <w:lang w:val="fr-FR"/>
        </w:rPr>
        <w:t> </w:t>
      </w:r>
      <w:r w:rsidR="00D84990" w:rsidRPr="005C718D">
        <w:rPr>
          <w:lang w:val="fr-FR"/>
        </w:rPr>
        <w:t>DHS</w:t>
      </w:r>
      <w:r w:rsidRPr="005C718D">
        <w:rPr>
          <w:lang w:val="fr-FR"/>
        </w:rPr>
        <w:t xml:space="preserve">” </w:t>
      </w:r>
      <w:r w:rsidR="00D84990" w:rsidRPr="005C718D">
        <w:rPr>
          <w:lang w:val="fr-FR"/>
        </w:rPr>
        <w:t>à sa quarante</w:t>
      </w:r>
      <w:r w:rsidR="005C718D">
        <w:rPr>
          <w:lang w:val="fr-FR"/>
        </w:rPr>
        <w:t>-</w:t>
      </w:r>
      <w:r w:rsidR="00D84990" w:rsidRPr="005C718D">
        <w:rPr>
          <w:lang w:val="fr-FR"/>
        </w:rPr>
        <w:t>neuv</w:t>
      </w:r>
      <w:r w:rsidR="005C718D">
        <w:rPr>
          <w:lang w:val="fr-FR"/>
        </w:rPr>
        <w:t>ième session</w:t>
      </w:r>
      <w:r w:rsidRPr="005C718D">
        <w:rPr>
          <w:lang w:val="fr-FR"/>
        </w:rPr>
        <w:t>.</w:t>
      </w:r>
    </w:p>
    <w:p w:rsidR="00F343B8" w:rsidRPr="005C718D" w:rsidRDefault="00F343B8" w:rsidP="00397D83">
      <w:pPr>
        <w:tabs>
          <w:tab w:val="left" w:pos="567"/>
        </w:tabs>
        <w:rPr>
          <w:rFonts w:cs="Arial"/>
          <w:snapToGrid w:val="0"/>
          <w:lang w:val="fr-FR"/>
        </w:rPr>
      </w:pPr>
    </w:p>
    <w:p w:rsidR="00F343B8" w:rsidRPr="005C718D" w:rsidRDefault="00F343B8" w:rsidP="00397D83">
      <w:pPr>
        <w:tabs>
          <w:tab w:val="left" w:pos="567"/>
        </w:tabs>
        <w:rPr>
          <w:rFonts w:cs="Arial"/>
          <w:snapToGrid w:val="0"/>
          <w:lang w:val="fr-FR"/>
        </w:rPr>
      </w:pPr>
    </w:p>
    <w:p w:rsidR="00601B3C" w:rsidRPr="005C718D" w:rsidRDefault="00601B3C" w:rsidP="00353F13">
      <w:pPr>
        <w:keepNext/>
        <w:keepLines/>
        <w:tabs>
          <w:tab w:val="left" w:pos="567"/>
          <w:tab w:val="left" w:pos="5387"/>
          <w:tab w:val="left" w:pos="5954"/>
        </w:tabs>
        <w:ind w:left="4820"/>
        <w:rPr>
          <w:rFonts w:cs="Arial"/>
          <w:i/>
          <w:snapToGrid w:val="0"/>
          <w:lang w:val="fr-FR"/>
        </w:rPr>
      </w:pPr>
      <w:r w:rsidRPr="005C718D">
        <w:rPr>
          <w:rFonts w:cs="Arial"/>
          <w:i/>
          <w:snapToGrid w:val="0"/>
          <w:lang w:val="fr-FR"/>
        </w:rPr>
        <w:fldChar w:fldCharType="begin"/>
      </w:r>
      <w:r w:rsidRPr="005C718D">
        <w:rPr>
          <w:rFonts w:cs="Arial"/>
          <w:i/>
          <w:snapToGrid w:val="0"/>
          <w:lang w:val="fr-FR"/>
        </w:rPr>
        <w:instrText xml:space="preserve"> AUTONUM  </w:instrText>
      </w:r>
      <w:r w:rsidRPr="005C718D">
        <w:rPr>
          <w:rFonts w:cs="Arial"/>
          <w:i/>
          <w:snapToGrid w:val="0"/>
          <w:lang w:val="fr-FR"/>
        </w:rPr>
        <w:fldChar w:fldCharType="end"/>
      </w:r>
      <w:r w:rsidR="00D84990" w:rsidRPr="005C718D">
        <w:rPr>
          <w:rFonts w:cs="Arial"/>
          <w:i/>
          <w:snapToGrid w:val="0"/>
          <w:lang w:val="fr-FR"/>
        </w:rPr>
        <w:tab/>
        <w:t>L</w:t>
      </w:r>
      <w:r w:rsidRPr="005C718D">
        <w:rPr>
          <w:rFonts w:cs="Arial"/>
          <w:i/>
          <w:snapToGrid w:val="0"/>
          <w:lang w:val="fr-FR"/>
        </w:rPr>
        <w:t>e</w:t>
      </w:r>
      <w:r w:rsidR="005C718D">
        <w:rPr>
          <w:rFonts w:cs="Arial"/>
          <w:i/>
          <w:snapToGrid w:val="0"/>
          <w:lang w:val="fr-FR"/>
        </w:rPr>
        <w:t> TC</w:t>
      </w:r>
      <w:r w:rsidRPr="005C718D">
        <w:rPr>
          <w:rFonts w:cs="Arial"/>
          <w:i/>
          <w:snapToGrid w:val="0"/>
          <w:lang w:val="fr-FR"/>
        </w:rPr>
        <w:t xml:space="preserve"> </w:t>
      </w:r>
      <w:r w:rsidR="00D84990" w:rsidRPr="005C718D">
        <w:rPr>
          <w:rFonts w:cs="Arial"/>
          <w:i/>
          <w:snapToGrid w:val="0"/>
          <w:lang w:val="fr-FR"/>
        </w:rPr>
        <w:t>e</w:t>
      </w:r>
      <w:r w:rsidRPr="005C718D">
        <w:rPr>
          <w:rFonts w:cs="Arial"/>
          <w:i/>
          <w:snapToGrid w:val="0"/>
          <w:lang w:val="fr-FR"/>
        </w:rPr>
        <w:t>s</w:t>
      </w:r>
      <w:r w:rsidR="00D84990" w:rsidRPr="005C718D">
        <w:rPr>
          <w:rFonts w:cs="Arial"/>
          <w:i/>
          <w:snapToGrid w:val="0"/>
          <w:lang w:val="fr-FR"/>
        </w:rPr>
        <w:t>t invité à prendre</w:t>
      </w:r>
      <w:r w:rsidRPr="005C718D">
        <w:rPr>
          <w:rFonts w:cs="Arial"/>
          <w:i/>
          <w:snapToGrid w:val="0"/>
          <w:lang w:val="fr-FR"/>
        </w:rPr>
        <w:t xml:space="preserve"> note </w:t>
      </w:r>
      <w:r w:rsidR="00D84990" w:rsidRPr="005C718D">
        <w:rPr>
          <w:rFonts w:cs="Arial"/>
          <w:i/>
          <w:snapToGrid w:val="0"/>
          <w:lang w:val="fr-FR"/>
        </w:rPr>
        <w:t>des faits nouveaux advenus au sein des groupes de travail techniques concernant les points suivants</w:t>
      </w:r>
      <w:r w:rsidR="005C718D">
        <w:rPr>
          <w:rFonts w:cs="Arial"/>
          <w:i/>
          <w:snapToGrid w:val="0"/>
          <w:lang w:val="fr-FR"/>
        </w:rPr>
        <w:t> :</w:t>
      </w:r>
    </w:p>
    <w:p w:rsidR="00C62CCD" w:rsidRPr="005C718D" w:rsidRDefault="00C62CCD" w:rsidP="00353F13">
      <w:pPr>
        <w:keepNext/>
        <w:keepLines/>
        <w:tabs>
          <w:tab w:val="left" w:pos="567"/>
          <w:tab w:val="left" w:pos="5387"/>
          <w:tab w:val="left" w:pos="5954"/>
        </w:tabs>
        <w:ind w:left="4820"/>
        <w:rPr>
          <w:rFonts w:cs="Arial"/>
          <w:snapToGrid w:val="0"/>
          <w:lang w:val="fr-FR"/>
        </w:rPr>
      </w:pPr>
    </w:p>
    <w:p w:rsidR="00AC5F56" w:rsidRPr="005C718D" w:rsidRDefault="00AC5F56" w:rsidP="00AC5F56">
      <w:pPr>
        <w:tabs>
          <w:tab w:val="left" w:pos="567"/>
          <w:tab w:val="left" w:pos="5387"/>
          <w:tab w:val="left" w:pos="5954"/>
        </w:tabs>
        <w:spacing w:line="276" w:lineRule="auto"/>
        <w:ind w:left="4820" w:firstLine="567"/>
        <w:rPr>
          <w:rFonts w:cs="Arial"/>
          <w:i/>
          <w:snapToGrid w:val="0"/>
          <w:lang w:val="fr-FR"/>
        </w:rPr>
      </w:pPr>
      <w:r w:rsidRPr="005C718D">
        <w:rPr>
          <w:rFonts w:cs="Arial"/>
          <w:i/>
          <w:snapToGrid w:val="0"/>
          <w:lang w:val="fr-FR"/>
        </w:rPr>
        <w:t>i)</w:t>
      </w:r>
      <w:r w:rsidRPr="005C718D">
        <w:rPr>
          <w:rFonts w:cs="Arial"/>
          <w:i/>
          <w:snapToGrid w:val="0"/>
          <w:lang w:val="fr-FR"/>
        </w:rPr>
        <w:tab/>
      </w:r>
      <w:r w:rsidR="00D84990" w:rsidRPr="005C718D">
        <w:rPr>
          <w:rFonts w:cs="Arial"/>
          <w:i/>
          <w:snapToGrid w:val="0"/>
          <w:lang w:val="fr-FR"/>
        </w:rPr>
        <w:t>Utilisation de caractères de résistance aux maladies,</w:t>
      </w:r>
    </w:p>
    <w:p w:rsidR="00AC5F56" w:rsidRPr="005C718D" w:rsidRDefault="00AC5F56" w:rsidP="00AC5F56">
      <w:pPr>
        <w:tabs>
          <w:tab w:val="left" w:pos="567"/>
          <w:tab w:val="left" w:pos="5387"/>
          <w:tab w:val="left" w:pos="5954"/>
        </w:tabs>
        <w:spacing w:line="276" w:lineRule="auto"/>
        <w:ind w:left="4820" w:firstLine="567"/>
        <w:rPr>
          <w:rFonts w:cs="Arial"/>
          <w:i/>
          <w:snapToGrid w:val="0"/>
          <w:lang w:val="fr-FR"/>
        </w:rPr>
      </w:pPr>
      <w:r w:rsidRPr="005C718D">
        <w:rPr>
          <w:rFonts w:cs="Arial"/>
          <w:i/>
          <w:snapToGrid w:val="0"/>
          <w:lang w:val="fr-FR"/>
        </w:rPr>
        <w:t>i</w:t>
      </w:r>
      <w:r w:rsidR="00DC2A56" w:rsidRPr="005C718D">
        <w:rPr>
          <w:rFonts w:cs="Arial"/>
          <w:i/>
          <w:snapToGrid w:val="0"/>
          <w:lang w:val="fr-FR"/>
        </w:rPr>
        <w:t>i</w:t>
      </w:r>
      <w:r w:rsidRPr="005C718D">
        <w:rPr>
          <w:rFonts w:cs="Arial"/>
          <w:i/>
          <w:snapToGrid w:val="0"/>
          <w:lang w:val="fr-FR"/>
        </w:rPr>
        <w:t>)</w:t>
      </w:r>
      <w:r w:rsidRPr="005C718D">
        <w:rPr>
          <w:rFonts w:cs="Arial"/>
          <w:i/>
          <w:snapToGrid w:val="0"/>
          <w:lang w:val="fr-FR"/>
        </w:rPr>
        <w:tab/>
      </w:r>
      <w:r w:rsidR="00D84990" w:rsidRPr="005C718D">
        <w:rPr>
          <w:rFonts w:cs="Arial"/>
          <w:i/>
          <w:snapToGrid w:val="0"/>
          <w:lang w:val="fr-FR"/>
        </w:rPr>
        <w:t xml:space="preserve">Accès au matériel végétal </w:t>
      </w:r>
      <w:r w:rsidR="002520D9" w:rsidRPr="005C718D">
        <w:rPr>
          <w:rFonts w:cs="Arial"/>
          <w:i/>
          <w:snapToGrid w:val="0"/>
          <w:lang w:val="fr-FR"/>
        </w:rPr>
        <w:t>aux fins de</w:t>
      </w:r>
      <w:r w:rsidR="00D84990" w:rsidRPr="005C718D">
        <w:rPr>
          <w:rFonts w:cs="Arial"/>
          <w:i/>
          <w:snapToGrid w:val="0"/>
          <w:lang w:val="fr-FR"/>
        </w:rPr>
        <w:t xml:space="preserve"> la gestion </w:t>
      </w:r>
      <w:r w:rsidR="002520D9" w:rsidRPr="005C718D">
        <w:rPr>
          <w:rFonts w:cs="Arial"/>
          <w:i/>
          <w:snapToGrid w:val="0"/>
          <w:lang w:val="fr-FR"/>
        </w:rPr>
        <w:t>des collections de variétés et de</w:t>
      </w:r>
      <w:r w:rsidR="00D84990" w:rsidRPr="005C718D">
        <w:rPr>
          <w:rFonts w:cs="Arial"/>
          <w:i/>
          <w:snapToGrid w:val="0"/>
          <w:lang w:val="fr-FR"/>
        </w:rPr>
        <w:t xml:space="preserve"> l</w:t>
      </w:r>
      <w:r w:rsidR="005C718D">
        <w:rPr>
          <w:rFonts w:cs="Arial"/>
          <w:i/>
          <w:snapToGrid w:val="0"/>
          <w:lang w:val="fr-FR"/>
        </w:rPr>
        <w:t>’</w:t>
      </w:r>
      <w:r w:rsidR="00D84990" w:rsidRPr="005C718D">
        <w:rPr>
          <w:rFonts w:cs="Arial"/>
          <w:i/>
          <w:snapToGrid w:val="0"/>
          <w:lang w:val="fr-FR"/>
        </w:rPr>
        <w:t>examen</w:t>
      </w:r>
      <w:r w:rsidR="0055585E">
        <w:rPr>
          <w:rFonts w:cs="Arial"/>
          <w:i/>
          <w:snapToGrid w:val="0"/>
          <w:lang w:val="fr-FR"/>
        </w:rPr>
        <w:t> </w:t>
      </w:r>
      <w:r w:rsidR="00D84990" w:rsidRPr="005C718D">
        <w:rPr>
          <w:rFonts w:cs="Arial"/>
          <w:i/>
          <w:snapToGrid w:val="0"/>
          <w:lang w:val="fr-FR"/>
        </w:rPr>
        <w:t>DHS,</w:t>
      </w:r>
    </w:p>
    <w:p w:rsidR="00AC5F56" w:rsidRPr="005C718D" w:rsidRDefault="00DC2A56" w:rsidP="00AC5F56">
      <w:pPr>
        <w:tabs>
          <w:tab w:val="left" w:pos="567"/>
          <w:tab w:val="left" w:pos="5387"/>
          <w:tab w:val="left" w:pos="5954"/>
        </w:tabs>
        <w:spacing w:line="276" w:lineRule="auto"/>
        <w:ind w:left="4820" w:firstLine="567"/>
        <w:rPr>
          <w:rFonts w:cs="Arial"/>
          <w:i/>
          <w:snapToGrid w:val="0"/>
          <w:lang w:val="fr-FR"/>
        </w:rPr>
      </w:pPr>
      <w:r w:rsidRPr="005C718D">
        <w:rPr>
          <w:rFonts w:cs="Arial"/>
          <w:i/>
          <w:snapToGrid w:val="0"/>
          <w:lang w:val="fr-FR"/>
        </w:rPr>
        <w:t>iii</w:t>
      </w:r>
      <w:r w:rsidR="00AC5F56" w:rsidRPr="005C718D">
        <w:rPr>
          <w:rFonts w:cs="Arial"/>
          <w:i/>
          <w:snapToGrid w:val="0"/>
          <w:lang w:val="fr-FR"/>
        </w:rPr>
        <w:t>)</w:t>
      </w:r>
      <w:r w:rsidR="00AC5F56" w:rsidRPr="005C718D">
        <w:rPr>
          <w:rFonts w:cs="Arial"/>
          <w:i/>
          <w:snapToGrid w:val="0"/>
          <w:lang w:val="fr-FR"/>
        </w:rPr>
        <w:tab/>
      </w:r>
      <w:r w:rsidR="00D84990" w:rsidRPr="005C718D">
        <w:rPr>
          <w:rFonts w:cs="Arial"/>
          <w:i/>
          <w:snapToGrid w:val="0"/>
          <w:lang w:val="fr-FR"/>
        </w:rPr>
        <w:t>Examen DHS des variétés mutantes du pommier,</w:t>
      </w:r>
    </w:p>
    <w:p w:rsidR="00AC5F56" w:rsidRPr="005C718D" w:rsidRDefault="00DC2A56" w:rsidP="00AC5F56">
      <w:pPr>
        <w:tabs>
          <w:tab w:val="left" w:pos="567"/>
          <w:tab w:val="left" w:pos="5387"/>
          <w:tab w:val="left" w:pos="5954"/>
        </w:tabs>
        <w:spacing w:line="276" w:lineRule="auto"/>
        <w:ind w:left="4820" w:firstLine="567"/>
        <w:rPr>
          <w:rFonts w:cs="Arial"/>
          <w:i/>
          <w:snapToGrid w:val="0"/>
          <w:lang w:val="fr-FR"/>
        </w:rPr>
      </w:pPr>
      <w:r w:rsidRPr="005C718D">
        <w:rPr>
          <w:rFonts w:cs="Arial"/>
          <w:i/>
          <w:snapToGrid w:val="0"/>
          <w:lang w:val="fr-FR"/>
        </w:rPr>
        <w:t>i</w:t>
      </w:r>
      <w:r w:rsidR="00AC5F56" w:rsidRPr="005C718D">
        <w:rPr>
          <w:rFonts w:cs="Arial"/>
          <w:i/>
          <w:snapToGrid w:val="0"/>
          <w:lang w:val="fr-FR"/>
        </w:rPr>
        <w:t>v)</w:t>
      </w:r>
      <w:r w:rsidR="00AC5F56" w:rsidRPr="005C718D">
        <w:rPr>
          <w:rFonts w:cs="Arial"/>
          <w:i/>
          <w:snapToGrid w:val="0"/>
          <w:lang w:val="fr-FR"/>
        </w:rPr>
        <w:tab/>
      </w:r>
      <w:r w:rsidR="00D84990" w:rsidRPr="005C718D">
        <w:rPr>
          <w:rFonts w:cs="Arial"/>
          <w:i/>
          <w:snapToGrid w:val="0"/>
          <w:lang w:val="fr-FR"/>
        </w:rPr>
        <w:t>Données d</w:t>
      </w:r>
      <w:r w:rsidR="005C718D">
        <w:rPr>
          <w:rFonts w:cs="Arial"/>
          <w:i/>
          <w:snapToGrid w:val="0"/>
          <w:lang w:val="fr-FR"/>
        </w:rPr>
        <w:t>’</w:t>
      </w:r>
      <w:r w:rsidR="00D84990" w:rsidRPr="005C718D">
        <w:rPr>
          <w:rFonts w:cs="Arial"/>
          <w:i/>
          <w:snapToGrid w:val="0"/>
          <w:lang w:val="fr-FR"/>
        </w:rPr>
        <w:t>expérience relatives à la définition des arbres, des arbustes et de la vigne,</w:t>
      </w:r>
    </w:p>
    <w:p w:rsidR="00AC5F56" w:rsidRPr="005C718D" w:rsidRDefault="00AC5F56" w:rsidP="00AC5F56">
      <w:pPr>
        <w:tabs>
          <w:tab w:val="left" w:pos="567"/>
          <w:tab w:val="left" w:pos="5387"/>
          <w:tab w:val="left" w:pos="5954"/>
        </w:tabs>
        <w:spacing w:line="276" w:lineRule="auto"/>
        <w:ind w:left="4820" w:firstLine="567"/>
        <w:rPr>
          <w:rFonts w:cs="Arial"/>
          <w:i/>
          <w:snapToGrid w:val="0"/>
          <w:lang w:val="fr-FR"/>
        </w:rPr>
      </w:pPr>
      <w:r w:rsidRPr="005C718D">
        <w:rPr>
          <w:rFonts w:cs="Arial"/>
          <w:i/>
          <w:snapToGrid w:val="0"/>
          <w:lang w:val="fr-FR"/>
        </w:rPr>
        <w:t>v)</w:t>
      </w:r>
      <w:r w:rsidRPr="005C718D">
        <w:rPr>
          <w:rFonts w:cs="Arial"/>
          <w:i/>
          <w:snapToGrid w:val="0"/>
          <w:lang w:val="fr-FR"/>
        </w:rPr>
        <w:tab/>
      </w:r>
      <w:r w:rsidR="00D84990" w:rsidRPr="005C718D">
        <w:rPr>
          <w:rFonts w:cs="Arial"/>
          <w:i/>
          <w:snapToGrid w:val="0"/>
          <w:lang w:val="fr-FR"/>
        </w:rPr>
        <w:t>Définition du “cycle de végét</w:t>
      </w:r>
      <w:r w:rsidR="00387517" w:rsidRPr="005C718D">
        <w:rPr>
          <w:rFonts w:cs="Arial"/>
          <w:i/>
          <w:snapToGrid w:val="0"/>
          <w:lang w:val="fr-FR"/>
        </w:rPr>
        <w:t>ation” d</w:t>
      </w:r>
      <w:r w:rsidR="00D84990" w:rsidRPr="005C718D">
        <w:rPr>
          <w:rFonts w:cs="Arial"/>
          <w:i/>
          <w:snapToGrid w:val="0"/>
          <w:lang w:val="fr-FR"/>
        </w:rPr>
        <w:t>es variétés ornementales,</w:t>
      </w:r>
    </w:p>
    <w:p w:rsidR="00AC5F56" w:rsidRPr="005C718D" w:rsidRDefault="00AC5F56" w:rsidP="00AC5F56">
      <w:pPr>
        <w:tabs>
          <w:tab w:val="left" w:pos="567"/>
          <w:tab w:val="left" w:pos="5387"/>
          <w:tab w:val="left" w:pos="5954"/>
        </w:tabs>
        <w:spacing w:line="276" w:lineRule="auto"/>
        <w:ind w:left="4820" w:firstLine="567"/>
        <w:rPr>
          <w:rFonts w:cs="Arial"/>
          <w:i/>
          <w:snapToGrid w:val="0"/>
          <w:lang w:val="fr-FR"/>
        </w:rPr>
      </w:pPr>
      <w:r w:rsidRPr="005C718D">
        <w:rPr>
          <w:rFonts w:cs="Arial"/>
          <w:i/>
          <w:snapToGrid w:val="0"/>
          <w:lang w:val="fr-FR"/>
        </w:rPr>
        <w:t>vi)</w:t>
      </w:r>
      <w:r w:rsidRPr="005C718D">
        <w:rPr>
          <w:rFonts w:cs="Arial"/>
          <w:i/>
          <w:snapToGrid w:val="0"/>
          <w:lang w:val="fr-FR"/>
        </w:rPr>
        <w:tab/>
      </w:r>
      <w:r w:rsidR="00D84990" w:rsidRPr="005C718D">
        <w:rPr>
          <w:rFonts w:cs="Arial"/>
          <w:i/>
          <w:snapToGrid w:val="0"/>
          <w:lang w:val="fr-FR"/>
        </w:rPr>
        <w:t>Données d</w:t>
      </w:r>
      <w:r w:rsidR="005C718D">
        <w:rPr>
          <w:rFonts w:cs="Arial"/>
          <w:i/>
          <w:snapToGrid w:val="0"/>
          <w:lang w:val="fr-FR"/>
        </w:rPr>
        <w:t>’</w:t>
      </w:r>
      <w:r w:rsidR="00D84990" w:rsidRPr="005C718D">
        <w:rPr>
          <w:rFonts w:cs="Arial"/>
          <w:i/>
          <w:snapToGrid w:val="0"/>
          <w:lang w:val="fr-FR"/>
        </w:rPr>
        <w:t>expérience relatives aux caractères évalués sur la base d</w:t>
      </w:r>
      <w:r w:rsidR="005C718D">
        <w:rPr>
          <w:rFonts w:cs="Arial"/>
          <w:i/>
          <w:snapToGrid w:val="0"/>
          <w:lang w:val="fr-FR"/>
        </w:rPr>
        <w:t>’</w:t>
      </w:r>
      <w:r w:rsidR="00D84990" w:rsidRPr="005C718D">
        <w:rPr>
          <w:rFonts w:cs="Arial"/>
          <w:i/>
          <w:snapToGrid w:val="0"/>
          <w:lang w:val="fr-FR"/>
        </w:rPr>
        <w:t>échantillons globaux,</w:t>
      </w:r>
    </w:p>
    <w:p w:rsidR="00AC5F56" w:rsidRPr="005C718D" w:rsidRDefault="00DC2A56" w:rsidP="00AC5F56">
      <w:pPr>
        <w:tabs>
          <w:tab w:val="left" w:pos="567"/>
          <w:tab w:val="left" w:pos="5387"/>
          <w:tab w:val="left" w:pos="5954"/>
        </w:tabs>
        <w:spacing w:line="276" w:lineRule="auto"/>
        <w:ind w:left="4820" w:firstLine="567"/>
        <w:rPr>
          <w:rFonts w:cs="Arial"/>
          <w:i/>
          <w:snapToGrid w:val="0"/>
          <w:lang w:val="fr-FR"/>
        </w:rPr>
      </w:pPr>
      <w:r w:rsidRPr="005C718D">
        <w:rPr>
          <w:rFonts w:cs="Arial"/>
          <w:i/>
          <w:snapToGrid w:val="0"/>
          <w:lang w:val="fr-FR"/>
        </w:rPr>
        <w:t>vii</w:t>
      </w:r>
      <w:r w:rsidR="00AC5F56" w:rsidRPr="005C718D">
        <w:rPr>
          <w:rFonts w:cs="Arial"/>
          <w:i/>
          <w:snapToGrid w:val="0"/>
          <w:lang w:val="fr-FR"/>
        </w:rPr>
        <w:t>)</w:t>
      </w:r>
      <w:r w:rsidR="00AC5F56" w:rsidRPr="005C718D">
        <w:rPr>
          <w:rFonts w:cs="Arial"/>
          <w:i/>
          <w:snapToGrid w:val="0"/>
          <w:lang w:val="fr-FR"/>
        </w:rPr>
        <w:tab/>
      </w:r>
      <w:r w:rsidR="00D84990" w:rsidRPr="005C718D">
        <w:rPr>
          <w:rFonts w:cs="Arial"/>
          <w:i/>
          <w:snapToGrid w:val="0"/>
          <w:lang w:val="fr-FR"/>
        </w:rPr>
        <w:t>Données d</w:t>
      </w:r>
      <w:r w:rsidR="005C718D">
        <w:rPr>
          <w:rFonts w:cs="Arial"/>
          <w:i/>
          <w:snapToGrid w:val="0"/>
          <w:lang w:val="fr-FR"/>
        </w:rPr>
        <w:t>’</w:t>
      </w:r>
      <w:r w:rsidR="00D84990" w:rsidRPr="005C718D">
        <w:rPr>
          <w:rFonts w:cs="Arial"/>
          <w:i/>
          <w:snapToGrid w:val="0"/>
          <w:lang w:val="fr-FR"/>
        </w:rPr>
        <w:t>expérience relatives au code couleur RHS et à l</w:t>
      </w:r>
      <w:r w:rsidR="005C718D">
        <w:rPr>
          <w:rFonts w:cs="Arial"/>
          <w:i/>
          <w:snapToGrid w:val="0"/>
          <w:lang w:val="fr-FR"/>
        </w:rPr>
        <w:t>’</w:t>
      </w:r>
      <w:r w:rsidR="00D84990" w:rsidRPr="005C718D">
        <w:rPr>
          <w:rFonts w:cs="Arial"/>
          <w:i/>
          <w:snapToGrid w:val="0"/>
          <w:lang w:val="fr-FR"/>
        </w:rPr>
        <w:t>ajout éventuel de couleurs à l</w:t>
      </w:r>
      <w:r w:rsidR="005C718D">
        <w:rPr>
          <w:rFonts w:cs="Arial"/>
          <w:i/>
          <w:snapToGrid w:val="0"/>
          <w:lang w:val="fr-FR"/>
        </w:rPr>
        <w:t>’</w:t>
      </w:r>
      <w:r w:rsidR="00D84990" w:rsidRPr="005C718D">
        <w:rPr>
          <w:rFonts w:cs="Arial"/>
          <w:i/>
          <w:snapToGrid w:val="0"/>
          <w:lang w:val="fr-FR"/>
        </w:rPr>
        <w:t>avenir,</w:t>
      </w:r>
    </w:p>
    <w:p w:rsidR="00AC5F56" w:rsidRPr="005C718D" w:rsidRDefault="00DC2A56" w:rsidP="00AC5F56">
      <w:pPr>
        <w:tabs>
          <w:tab w:val="left" w:pos="567"/>
          <w:tab w:val="left" w:pos="5387"/>
          <w:tab w:val="left" w:pos="5954"/>
        </w:tabs>
        <w:spacing w:line="276" w:lineRule="auto"/>
        <w:ind w:left="4820" w:firstLine="567"/>
        <w:rPr>
          <w:rFonts w:cs="Arial"/>
          <w:i/>
          <w:snapToGrid w:val="0"/>
          <w:lang w:val="fr-FR"/>
        </w:rPr>
      </w:pPr>
      <w:r w:rsidRPr="005C718D">
        <w:rPr>
          <w:rFonts w:cs="Arial"/>
          <w:i/>
          <w:snapToGrid w:val="0"/>
          <w:lang w:val="fr-FR"/>
        </w:rPr>
        <w:lastRenderedPageBreak/>
        <w:t>viii</w:t>
      </w:r>
      <w:r w:rsidR="00AC5F56" w:rsidRPr="005C718D">
        <w:rPr>
          <w:rFonts w:cs="Arial"/>
          <w:i/>
          <w:snapToGrid w:val="0"/>
          <w:lang w:val="fr-FR"/>
        </w:rPr>
        <w:t>)</w:t>
      </w:r>
      <w:r w:rsidR="00AC5F56" w:rsidRPr="005C718D">
        <w:rPr>
          <w:rFonts w:cs="Arial"/>
          <w:i/>
          <w:snapToGrid w:val="0"/>
          <w:lang w:val="fr-FR"/>
        </w:rPr>
        <w:tab/>
      </w:r>
      <w:r w:rsidR="00D84990" w:rsidRPr="005C718D">
        <w:rPr>
          <w:rFonts w:cs="Arial"/>
          <w:i/>
          <w:snapToGrid w:val="0"/>
          <w:lang w:val="fr-FR"/>
        </w:rPr>
        <w:t>Données d</w:t>
      </w:r>
      <w:r w:rsidR="005C718D">
        <w:rPr>
          <w:rFonts w:cs="Arial"/>
          <w:i/>
          <w:snapToGrid w:val="0"/>
          <w:lang w:val="fr-FR"/>
        </w:rPr>
        <w:t>’</w:t>
      </w:r>
      <w:r w:rsidR="00D84990" w:rsidRPr="005C718D">
        <w:rPr>
          <w:rFonts w:cs="Arial"/>
          <w:i/>
          <w:snapToGrid w:val="0"/>
          <w:lang w:val="fr-FR"/>
        </w:rPr>
        <w:t>expérience relatives aux bases de données taxonomiques,</w:t>
      </w:r>
    </w:p>
    <w:p w:rsidR="00AC5F56" w:rsidRPr="005C718D" w:rsidRDefault="00DC2A56" w:rsidP="00AC5F56">
      <w:pPr>
        <w:tabs>
          <w:tab w:val="left" w:pos="567"/>
          <w:tab w:val="left" w:pos="5387"/>
          <w:tab w:val="left" w:pos="5954"/>
        </w:tabs>
        <w:spacing w:line="276" w:lineRule="auto"/>
        <w:ind w:left="4820" w:firstLine="567"/>
        <w:rPr>
          <w:rFonts w:cs="Arial"/>
          <w:i/>
          <w:snapToGrid w:val="0"/>
          <w:lang w:val="fr-FR"/>
        </w:rPr>
      </w:pPr>
      <w:r w:rsidRPr="005C718D">
        <w:rPr>
          <w:rFonts w:cs="Arial"/>
          <w:i/>
          <w:snapToGrid w:val="0"/>
          <w:lang w:val="fr-FR"/>
        </w:rPr>
        <w:t>i</w:t>
      </w:r>
      <w:r w:rsidR="00AC5F56" w:rsidRPr="005C718D">
        <w:rPr>
          <w:rFonts w:cs="Arial"/>
          <w:i/>
          <w:snapToGrid w:val="0"/>
          <w:lang w:val="fr-FR"/>
        </w:rPr>
        <w:t>x)</w:t>
      </w:r>
      <w:r w:rsidR="00AC5F56" w:rsidRPr="005C718D">
        <w:rPr>
          <w:rFonts w:cs="Arial"/>
          <w:i/>
          <w:snapToGrid w:val="0"/>
          <w:lang w:val="fr-FR"/>
        </w:rPr>
        <w:tab/>
      </w:r>
      <w:r w:rsidR="00D84990" w:rsidRPr="005C718D">
        <w:rPr>
          <w:rFonts w:cs="Arial"/>
          <w:i/>
          <w:snapToGrid w:val="0"/>
          <w:lang w:val="fr-FR"/>
        </w:rPr>
        <w:t>Divergences entre les informations figurant dans le questionnaire technique et le matériel végétal soumis pour examen,</w:t>
      </w:r>
    </w:p>
    <w:p w:rsidR="00AC5F56" w:rsidRPr="005C718D" w:rsidRDefault="00AC5F56" w:rsidP="00AC5F56">
      <w:pPr>
        <w:tabs>
          <w:tab w:val="left" w:pos="567"/>
          <w:tab w:val="left" w:pos="5387"/>
          <w:tab w:val="left" w:pos="5954"/>
        </w:tabs>
        <w:spacing w:line="276" w:lineRule="auto"/>
        <w:ind w:left="4820" w:firstLine="567"/>
        <w:rPr>
          <w:rFonts w:cs="Arial"/>
          <w:i/>
          <w:snapToGrid w:val="0"/>
          <w:lang w:val="fr-FR"/>
        </w:rPr>
      </w:pPr>
      <w:r w:rsidRPr="005C718D">
        <w:rPr>
          <w:rFonts w:cs="Arial"/>
          <w:i/>
          <w:snapToGrid w:val="0"/>
          <w:lang w:val="fr-FR"/>
        </w:rPr>
        <w:t>x)</w:t>
      </w:r>
      <w:r w:rsidRPr="005C718D">
        <w:rPr>
          <w:rFonts w:cs="Arial"/>
          <w:i/>
          <w:snapToGrid w:val="0"/>
          <w:lang w:val="fr-FR"/>
        </w:rPr>
        <w:tab/>
      </w:r>
      <w:r w:rsidR="00D84990" w:rsidRPr="005C718D">
        <w:rPr>
          <w:rFonts w:cs="Arial"/>
          <w:i/>
          <w:snapToGrid w:val="0"/>
          <w:lang w:val="fr-FR"/>
        </w:rPr>
        <w:t>Données d</w:t>
      </w:r>
      <w:r w:rsidR="005C718D">
        <w:rPr>
          <w:rFonts w:cs="Arial"/>
          <w:i/>
          <w:snapToGrid w:val="0"/>
          <w:lang w:val="fr-FR"/>
        </w:rPr>
        <w:t>’</w:t>
      </w:r>
      <w:r w:rsidR="00D84990" w:rsidRPr="005C718D">
        <w:rPr>
          <w:rFonts w:cs="Arial"/>
          <w:i/>
          <w:snapToGrid w:val="0"/>
          <w:lang w:val="fr-FR"/>
        </w:rPr>
        <w:t>expérience relatives aux nouveaux types et espèces,</w:t>
      </w:r>
    </w:p>
    <w:p w:rsidR="005C718D" w:rsidRDefault="00DC2A56" w:rsidP="00AC5F56">
      <w:pPr>
        <w:tabs>
          <w:tab w:val="left" w:pos="567"/>
          <w:tab w:val="left" w:pos="5387"/>
          <w:tab w:val="left" w:pos="5954"/>
        </w:tabs>
        <w:spacing w:line="276" w:lineRule="auto"/>
        <w:ind w:left="4820" w:firstLine="567"/>
        <w:rPr>
          <w:rFonts w:cs="Arial"/>
          <w:i/>
          <w:snapToGrid w:val="0"/>
          <w:lang w:val="fr-FR"/>
        </w:rPr>
      </w:pPr>
      <w:r w:rsidRPr="005C718D">
        <w:rPr>
          <w:rFonts w:cs="Arial"/>
          <w:i/>
          <w:snapToGrid w:val="0"/>
          <w:lang w:val="fr-FR"/>
        </w:rPr>
        <w:t>xi</w:t>
      </w:r>
      <w:r w:rsidR="00AC5F56" w:rsidRPr="005C718D">
        <w:rPr>
          <w:rFonts w:cs="Arial"/>
          <w:i/>
          <w:snapToGrid w:val="0"/>
          <w:lang w:val="fr-FR"/>
        </w:rPr>
        <w:t>)</w:t>
      </w:r>
      <w:r w:rsidR="00AC5F56" w:rsidRPr="005C718D">
        <w:rPr>
          <w:rFonts w:cs="Arial"/>
          <w:i/>
          <w:snapToGrid w:val="0"/>
          <w:lang w:val="fr-FR"/>
        </w:rPr>
        <w:tab/>
      </w:r>
      <w:r w:rsidR="00D84990" w:rsidRPr="005C718D">
        <w:rPr>
          <w:rFonts w:cs="Arial"/>
          <w:i/>
          <w:snapToGrid w:val="0"/>
          <w:lang w:val="fr-FR"/>
        </w:rPr>
        <w:t>Nouvelles questions se posant pour l</w:t>
      </w:r>
      <w:r w:rsidR="005C718D">
        <w:rPr>
          <w:rFonts w:cs="Arial"/>
          <w:i/>
          <w:snapToGrid w:val="0"/>
          <w:lang w:val="fr-FR"/>
        </w:rPr>
        <w:t>’</w:t>
      </w:r>
      <w:r w:rsidR="00D84990" w:rsidRPr="005C718D">
        <w:rPr>
          <w:rFonts w:cs="Arial"/>
          <w:i/>
          <w:snapToGrid w:val="0"/>
          <w:lang w:val="fr-FR"/>
        </w:rPr>
        <w:t>examen</w:t>
      </w:r>
      <w:r w:rsidR="0055585E">
        <w:rPr>
          <w:rFonts w:cs="Arial"/>
          <w:i/>
          <w:snapToGrid w:val="0"/>
          <w:lang w:val="fr-FR"/>
        </w:rPr>
        <w:t> </w:t>
      </w:r>
      <w:r w:rsidR="00D84990" w:rsidRPr="005C718D">
        <w:rPr>
          <w:rFonts w:cs="Arial"/>
          <w:i/>
          <w:snapToGrid w:val="0"/>
          <w:lang w:val="fr-FR"/>
        </w:rPr>
        <w:t>DHS,</w:t>
      </w:r>
    </w:p>
    <w:p w:rsidR="00AC5F56" w:rsidRPr="005C718D" w:rsidRDefault="00AC5F56" w:rsidP="00AC5F56">
      <w:pPr>
        <w:tabs>
          <w:tab w:val="left" w:pos="567"/>
          <w:tab w:val="left" w:pos="5387"/>
          <w:tab w:val="left" w:pos="5954"/>
        </w:tabs>
        <w:spacing w:line="276" w:lineRule="auto"/>
        <w:ind w:left="4820" w:firstLine="567"/>
        <w:rPr>
          <w:rFonts w:cs="Arial"/>
          <w:i/>
          <w:snapToGrid w:val="0"/>
          <w:lang w:val="fr-FR"/>
        </w:rPr>
      </w:pPr>
      <w:r w:rsidRPr="005C718D">
        <w:rPr>
          <w:rFonts w:cs="Arial"/>
          <w:i/>
          <w:snapToGrid w:val="0"/>
          <w:lang w:val="fr-FR"/>
        </w:rPr>
        <w:t>xi</w:t>
      </w:r>
      <w:r w:rsidR="00DC2A56" w:rsidRPr="005C718D">
        <w:rPr>
          <w:rFonts w:cs="Arial"/>
          <w:i/>
          <w:snapToGrid w:val="0"/>
          <w:lang w:val="fr-FR"/>
        </w:rPr>
        <w:t>i</w:t>
      </w:r>
      <w:r w:rsidRPr="005C718D">
        <w:rPr>
          <w:rFonts w:cs="Arial"/>
          <w:i/>
          <w:snapToGrid w:val="0"/>
          <w:lang w:val="fr-FR"/>
        </w:rPr>
        <w:t>)</w:t>
      </w:r>
      <w:r w:rsidRPr="005C718D">
        <w:rPr>
          <w:rFonts w:cs="Arial"/>
          <w:i/>
          <w:snapToGrid w:val="0"/>
          <w:lang w:val="fr-FR"/>
        </w:rPr>
        <w:tab/>
      </w:r>
      <w:r w:rsidR="00D84990" w:rsidRPr="005C718D">
        <w:rPr>
          <w:rFonts w:cs="Arial"/>
          <w:i/>
          <w:snapToGrid w:val="0"/>
          <w:lang w:val="fr-FR"/>
        </w:rPr>
        <w:t>Questions à prendre en considération dans l</w:t>
      </w:r>
      <w:r w:rsidR="005C718D">
        <w:rPr>
          <w:rFonts w:cs="Arial"/>
          <w:i/>
          <w:snapToGrid w:val="0"/>
          <w:lang w:val="fr-FR"/>
        </w:rPr>
        <w:t>’</w:t>
      </w:r>
      <w:r w:rsidR="00D84990" w:rsidRPr="005C718D">
        <w:rPr>
          <w:rFonts w:cs="Arial"/>
          <w:i/>
          <w:snapToGrid w:val="0"/>
          <w:lang w:val="fr-FR"/>
        </w:rPr>
        <w:t>examen</w:t>
      </w:r>
      <w:r w:rsidR="0055585E">
        <w:rPr>
          <w:rFonts w:cs="Arial"/>
          <w:i/>
          <w:snapToGrid w:val="0"/>
          <w:lang w:val="fr-FR"/>
        </w:rPr>
        <w:t> </w:t>
      </w:r>
      <w:r w:rsidR="00D84990" w:rsidRPr="005C718D">
        <w:rPr>
          <w:rFonts w:cs="Arial"/>
          <w:i/>
          <w:snapToGrid w:val="0"/>
          <w:lang w:val="fr-FR"/>
        </w:rPr>
        <w:t>DHS pour le secteur des fruits, et</w:t>
      </w:r>
    </w:p>
    <w:p w:rsidR="00DC2A56" w:rsidRPr="005C718D" w:rsidRDefault="00DC2A56" w:rsidP="00AC5F56">
      <w:pPr>
        <w:tabs>
          <w:tab w:val="left" w:pos="567"/>
          <w:tab w:val="left" w:pos="5387"/>
          <w:tab w:val="left" w:pos="5954"/>
        </w:tabs>
        <w:spacing w:line="276" w:lineRule="auto"/>
        <w:ind w:left="4820" w:firstLine="567"/>
        <w:rPr>
          <w:rFonts w:cs="Arial"/>
          <w:i/>
          <w:snapToGrid w:val="0"/>
          <w:lang w:val="fr-FR"/>
        </w:rPr>
      </w:pPr>
      <w:r w:rsidRPr="005C718D">
        <w:rPr>
          <w:rFonts w:cs="Arial"/>
          <w:i/>
          <w:snapToGrid w:val="0"/>
          <w:lang w:val="fr-FR"/>
        </w:rPr>
        <w:t>xii</w:t>
      </w:r>
      <w:r w:rsidR="00A211E8" w:rsidRPr="005C718D">
        <w:rPr>
          <w:rFonts w:cs="Arial"/>
          <w:i/>
          <w:snapToGrid w:val="0"/>
          <w:lang w:val="fr-FR"/>
        </w:rPr>
        <w:t>i</w:t>
      </w:r>
      <w:r w:rsidRPr="005C718D">
        <w:rPr>
          <w:rFonts w:cs="Arial"/>
          <w:i/>
          <w:snapToGrid w:val="0"/>
          <w:lang w:val="fr-FR"/>
        </w:rPr>
        <w:t>)</w:t>
      </w:r>
      <w:r w:rsidRPr="005C718D">
        <w:rPr>
          <w:rFonts w:cs="Arial"/>
          <w:i/>
          <w:snapToGrid w:val="0"/>
          <w:lang w:val="fr-FR"/>
        </w:rPr>
        <w:tab/>
      </w:r>
      <w:r w:rsidR="00D84990" w:rsidRPr="005C718D">
        <w:rPr>
          <w:rFonts w:cs="Arial"/>
          <w:i/>
          <w:snapToGrid w:val="0"/>
          <w:lang w:val="fr-FR"/>
        </w:rPr>
        <w:t>Groupes de discussion chargés d</w:t>
      </w:r>
      <w:r w:rsidR="005C718D">
        <w:rPr>
          <w:rFonts w:cs="Arial"/>
          <w:i/>
          <w:snapToGrid w:val="0"/>
          <w:lang w:val="fr-FR"/>
        </w:rPr>
        <w:t>’</w:t>
      </w:r>
      <w:r w:rsidR="00D84990" w:rsidRPr="005C718D">
        <w:rPr>
          <w:rFonts w:cs="Arial"/>
          <w:i/>
          <w:snapToGrid w:val="0"/>
          <w:lang w:val="fr-FR"/>
        </w:rPr>
        <w:t>examiner la question des “nouve</w:t>
      </w:r>
      <w:r w:rsidR="00387517" w:rsidRPr="005C718D">
        <w:rPr>
          <w:rFonts w:cs="Arial"/>
          <w:i/>
          <w:snapToGrid w:val="0"/>
          <w:lang w:val="fr-FR"/>
        </w:rPr>
        <w:t>lles technologies utilisées aux fins</w:t>
      </w:r>
      <w:r w:rsidR="00D84990" w:rsidRPr="005C718D">
        <w:rPr>
          <w:rFonts w:cs="Arial"/>
          <w:i/>
          <w:snapToGrid w:val="0"/>
          <w:lang w:val="fr-FR"/>
        </w:rPr>
        <w:t xml:space="preserve"> l</w:t>
      </w:r>
      <w:r w:rsidR="005C718D">
        <w:rPr>
          <w:rFonts w:cs="Arial"/>
          <w:i/>
          <w:snapToGrid w:val="0"/>
          <w:lang w:val="fr-FR"/>
        </w:rPr>
        <w:t>’</w:t>
      </w:r>
      <w:r w:rsidR="00D84990" w:rsidRPr="005C718D">
        <w:rPr>
          <w:rFonts w:cs="Arial"/>
          <w:i/>
          <w:snapToGrid w:val="0"/>
          <w:lang w:val="fr-FR"/>
        </w:rPr>
        <w:t>examen</w:t>
      </w:r>
      <w:r w:rsidR="0055585E">
        <w:rPr>
          <w:rFonts w:cs="Arial"/>
          <w:i/>
          <w:snapToGrid w:val="0"/>
          <w:lang w:val="fr-FR"/>
        </w:rPr>
        <w:t> </w:t>
      </w:r>
      <w:r w:rsidR="00D84990" w:rsidRPr="005C718D">
        <w:rPr>
          <w:rFonts w:cs="Arial"/>
          <w:i/>
          <w:snapToGrid w:val="0"/>
          <w:lang w:val="fr-FR"/>
        </w:rPr>
        <w:t>DHS</w:t>
      </w:r>
      <w:r w:rsidR="00F343B8" w:rsidRPr="005C718D">
        <w:rPr>
          <w:rFonts w:cs="Arial"/>
          <w:i/>
          <w:snapToGrid w:val="0"/>
          <w:lang w:val="fr-FR"/>
        </w:rPr>
        <w:t>”</w:t>
      </w:r>
    </w:p>
    <w:p w:rsidR="00601B3C" w:rsidRPr="005C718D" w:rsidRDefault="00601B3C" w:rsidP="00AC5F56">
      <w:pPr>
        <w:tabs>
          <w:tab w:val="left" w:pos="567"/>
          <w:tab w:val="left" w:pos="5387"/>
          <w:tab w:val="left" w:pos="5954"/>
        </w:tabs>
        <w:ind w:left="4820" w:firstLine="567"/>
        <w:rPr>
          <w:rFonts w:cs="Arial"/>
          <w:snapToGrid w:val="0"/>
          <w:lang w:val="fr-FR"/>
        </w:rPr>
      </w:pPr>
    </w:p>
    <w:p w:rsidR="00601B3C" w:rsidRPr="005C718D" w:rsidRDefault="00601B3C" w:rsidP="00397D83">
      <w:pPr>
        <w:tabs>
          <w:tab w:val="left" w:pos="567"/>
        </w:tabs>
        <w:rPr>
          <w:rFonts w:cs="Arial"/>
          <w:snapToGrid w:val="0"/>
          <w:lang w:val="fr-FR"/>
        </w:rPr>
      </w:pPr>
    </w:p>
    <w:p w:rsidR="0082271C" w:rsidRPr="005C718D" w:rsidRDefault="0082271C" w:rsidP="00397D83">
      <w:pPr>
        <w:tabs>
          <w:tab w:val="left" w:pos="567"/>
        </w:tabs>
        <w:rPr>
          <w:rFonts w:cs="Arial"/>
          <w:snapToGrid w:val="0"/>
          <w:lang w:val="fr-FR"/>
        </w:rPr>
      </w:pPr>
    </w:p>
    <w:p w:rsidR="00671852" w:rsidRPr="005C718D" w:rsidRDefault="00397D83" w:rsidP="00CA71B1">
      <w:pPr>
        <w:jc w:val="right"/>
        <w:rPr>
          <w:lang w:val="fr-FR"/>
        </w:rPr>
      </w:pPr>
      <w:r w:rsidRPr="005C718D">
        <w:rPr>
          <w:snapToGrid w:val="0"/>
          <w:lang w:val="fr-FR"/>
        </w:rPr>
        <w:t>[</w:t>
      </w:r>
      <w:r w:rsidR="00BD4F44" w:rsidRPr="005C718D">
        <w:rPr>
          <w:snapToGrid w:val="0"/>
          <w:lang w:val="fr-FR"/>
        </w:rPr>
        <w:t>Fin du</w:t>
      </w:r>
      <w:r w:rsidR="00CA71B1" w:rsidRPr="005C718D">
        <w:rPr>
          <w:snapToGrid w:val="0"/>
          <w:lang w:val="fr-FR"/>
        </w:rPr>
        <w:t xml:space="preserve"> document]</w:t>
      </w:r>
    </w:p>
    <w:sectPr w:rsidR="00671852" w:rsidRPr="005C718D" w:rsidSect="00CA71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567" w:right="1134" w:bottom="102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8BD" w:rsidRDefault="009138BD" w:rsidP="006655D3">
      <w:r>
        <w:separator/>
      </w:r>
    </w:p>
    <w:p w:rsidR="009138BD" w:rsidRDefault="009138BD" w:rsidP="006655D3"/>
    <w:p w:rsidR="009138BD" w:rsidRDefault="009138BD" w:rsidP="006655D3"/>
  </w:endnote>
  <w:endnote w:type="continuationSeparator" w:id="0">
    <w:p w:rsidR="009138BD" w:rsidRDefault="009138BD" w:rsidP="006655D3">
      <w:r>
        <w:separator/>
      </w:r>
    </w:p>
    <w:p w:rsidR="009138BD" w:rsidRPr="00294751" w:rsidRDefault="009138B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138BD" w:rsidRPr="00294751" w:rsidRDefault="009138BD" w:rsidP="006655D3">
      <w:pPr>
        <w:rPr>
          <w:lang w:val="fr-FR"/>
        </w:rPr>
      </w:pPr>
    </w:p>
    <w:p w:rsidR="009138BD" w:rsidRPr="00294751" w:rsidRDefault="009138BD" w:rsidP="006655D3">
      <w:pPr>
        <w:rPr>
          <w:lang w:val="fr-FR"/>
        </w:rPr>
      </w:pPr>
    </w:p>
  </w:endnote>
  <w:endnote w:type="continuationNotice" w:id="1">
    <w:p w:rsidR="009138BD" w:rsidRPr="00294751" w:rsidRDefault="009138B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138BD" w:rsidRPr="00294751" w:rsidRDefault="009138BD" w:rsidP="006655D3">
      <w:pPr>
        <w:rPr>
          <w:lang w:val="fr-FR"/>
        </w:rPr>
      </w:pPr>
    </w:p>
    <w:p w:rsidR="009138BD" w:rsidRPr="00294751" w:rsidRDefault="009138B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31E" w:rsidRDefault="00937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31E" w:rsidRDefault="009373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31E" w:rsidRDefault="00937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8BD" w:rsidRDefault="009138BD" w:rsidP="006655D3">
      <w:r>
        <w:separator/>
      </w:r>
    </w:p>
  </w:footnote>
  <w:footnote w:type="continuationSeparator" w:id="0">
    <w:p w:rsidR="009138BD" w:rsidRDefault="009138BD" w:rsidP="006655D3">
      <w:r>
        <w:separator/>
      </w:r>
    </w:p>
  </w:footnote>
  <w:footnote w:type="continuationNotice" w:id="1">
    <w:p w:rsidR="009138BD" w:rsidRPr="00AB530F" w:rsidRDefault="009138B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31E" w:rsidRDefault="00937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295" w:rsidRPr="008A3E38" w:rsidRDefault="00981295" w:rsidP="00EB048E">
    <w:pPr>
      <w:pStyle w:val="Header"/>
      <w:rPr>
        <w:rStyle w:val="PageNumber"/>
        <w:lang w:val="fr-CH"/>
      </w:rPr>
    </w:pPr>
    <w:r w:rsidRPr="008A3E38">
      <w:rPr>
        <w:rStyle w:val="PageNumber"/>
        <w:lang w:val="fr-CH"/>
      </w:rPr>
      <w:t>TC/55/3</w:t>
    </w:r>
  </w:p>
  <w:p w:rsidR="00981295" w:rsidRPr="00C62912" w:rsidRDefault="00981295" w:rsidP="00CA71B1">
    <w:pPr>
      <w:pStyle w:val="Header"/>
      <w:rPr>
        <w:lang w:val="fr-CH"/>
      </w:rPr>
    </w:pPr>
    <w:r w:rsidRPr="00C62912">
      <w:rPr>
        <w:lang w:val="fr-CH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62912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E7DFF">
      <w:rPr>
        <w:rStyle w:val="PageNumber"/>
        <w:noProof/>
        <w:lang w:val="fr-CH"/>
      </w:rPr>
      <w:t>9</w:t>
    </w:r>
    <w:r w:rsidRPr="00C5280D">
      <w:rPr>
        <w:rStyle w:val="PageNumber"/>
        <w:lang w:val="en-US"/>
      </w:rPr>
      <w:fldChar w:fldCharType="end"/>
    </w:r>
  </w:p>
  <w:p w:rsidR="00981295" w:rsidRPr="008A3E38" w:rsidRDefault="00981295" w:rsidP="006655D3">
    <w:pPr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31E" w:rsidRPr="0093731E" w:rsidRDefault="0093731E" w:rsidP="00937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50D0"/>
    <w:multiLevelType w:val="hybridMultilevel"/>
    <w:tmpl w:val="0CBE3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FE49CC"/>
    <w:multiLevelType w:val="hybridMultilevel"/>
    <w:tmpl w:val="B730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6DB3"/>
    <w:multiLevelType w:val="hybridMultilevel"/>
    <w:tmpl w:val="5FFCA63E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A0844"/>
    <w:multiLevelType w:val="hybridMultilevel"/>
    <w:tmpl w:val="85908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B2F6E"/>
    <w:multiLevelType w:val="hybridMultilevel"/>
    <w:tmpl w:val="B5D4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F1EA3"/>
    <w:multiLevelType w:val="hybridMultilevel"/>
    <w:tmpl w:val="2F1E0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C79F9"/>
    <w:multiLevelType w:val="hybridMultilevel"/>
    <w:tmpl w:val="4C2C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9342C"/>
    <w:multiLevelType w:val="hybridMultilevel"/>
    <w:tmpl w:val="85D6F85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26"/>
    <w:rsid w:val="000012E3"/>
    <w:rsid w:val="00007749"/>
    <w:rsid w:val="00010CF3"/>
    <w:rsid w:val="00011E27"/>
    <w:rsid w:val="000148BC"/>
    <w:rsid w:val="00024AB8"/>
    <w:rsid w:val="00030854"/>
    <w:rsid w:val="00036028"/>
    <w:rsid w:val="00044642"/>
    <w:rsid w:val="000446B9"/>
    <w:rsid w:val="000455AD"/>
    <w:rsid w:val="00047E21"/>
    <w:rsid w:val="00050E16"/>
    <w:rsid w:val="00052EC7"/>
    <w:rsid w:val="00063EC7"/>
    <w:rsid w:val="00072097"/>
    <w:rsid w:val="00085505"/>
    <w:rsid w:val="000970DC"/>
    <w:rsid w:val="000A276E"/>
    <w:rsid w:val="000B794A"/>
    <w:rsid w:val="000C4B82"/>
    <w:rsid w:val="000C4E25"/>
    <w:rsid w:val="000C7021"/>
    <w:rsid w:val="000D368A"/>
    <w:rsid w:val="000D6BBC"/>
    <w:rsid w:val="000D6D0A"/>
    <w:rsid w:val="000D7780"/>
    <w:rsid w:val="000E636A"/>
    <w:rsid w:val="000E6BA8"/>
    <w:rsid w:val="000F2F11"/>
    <w:rsid w:val="00105929"/>
    <w:rsid w:val="0010755F"/>
    <w:rsid w:val="00110C36"/>
    <w:rsid w:val="001131D5"/>
    <w:rsid w:val="00123756"/>
    <w:rsid w:val="00141DB8"/>
    <w:rsid w:val="00160A4B"/>
    <w:rsid w:val="00166BA4"/>
    <w:rsid w:val="00172084"/>
    <w:rsid w:val="0017474A"/>
    <w:rsid w:val="00174D15"/>
    <w:rsid w:val="001758C6"/>
    <w:rsid w:val="00182B99"/>
    <w:rsid w:val="0019163A"/>
    <w:rsid w:val="001924BB"/>
    <w:rsid w:val="001C44C0"/>
    <w:rsid w:val="001C4EC1"/>
    <w:rsid w:val="0020539A"/>
    <w:rsid w:val="0021332C"/>
    <w:rsid w:val="00213982"/>
    <w:rsid w:val="0024416D"/>
    <w:rsid w:val="00244757"/>
    <w:rsid w:val="002520D9"/>
    <w:rsid w:val="00260E33"/>
    <w:rsid w:val="002641F1"/>
    <w:rsid w:val="002704BE"/>
    <w:rsid w:val="00271911"/>
    <w:rsid w:val="00274A4D"/>
    <w:rsid w:val="002800A0"/>
    <w:rsid w:val="002801B3"/>
    <w:rsid w:val="00281060"/>
    <w:rsid w:val="00283E7C"/>
    <w:rsid w:val="00286591"/>
    <w:rsid w:val="002913E9"/>
    <w:rsid w:val="002940E8"/>
    <w:rsid w:val="00294751"/>
    <w:rsid w:val="0029690D"/>
    <w:rsid w:val="002A6E50"/>
    <w:rsid w:val="002B4298"/>
    <w:rsid w:val="002B6F79"/>
    <w:rsid w:val="002C256A"/>
    <w:rsid w:val="002D60FA"/>
    <w:rsid w:val="002F1989"/>
    <w:rsid w:val="00300C95"/>
    <w:rsid w:val="00304827"/>
    <w:rsid w:val="00305A7F"/>
    <w:rsid w:val="003152FE"/>
    <w:rsid w:val="00327436"/>
    <w:rsid w:val="003401F8"/>
    <w:rsid w:val="00344BD6"/>
    <w:rsid w:val="00353F13"/>
    <w:rsid w:val="00354C71"/>
    <w:rsid w:val="0035528D"/>
    <w:rsid w:val="00361821"/>
    <w:rsid w:val="00361E9E"/>
    <w:rsid w:val="00372799"/>
    <w:rsid w:val="00382278"/>
    <w:rsid w:val="00387517"/>
    <w:rsid w:val="003937C0"/>
    <w:rsid w:val="00397D83"/>
    <w:rsid w:val="003A58AB"/>
    <w:rsid w:val="003B02DB"/>
    <w:rsid w:val="003C52A2"/>
    <w:rsid w:val="003C7FBE"/>
    <w:rsid w:val="003D227C"/>
    <w:rsid w:val="003D2B4D"/>
    <w:rsid w:val="003F093F"/>
    <w:rsid w:val="0043294B"/>
    <w:rsid w:val="00442107"/>
    <w:rsid w:val="004446E1"/>
    <w:rsid w:val="00444A88"/>
    <w:rsid w:val="0045053E"/>
    <w:rsid w:val="00472ACF"/>
    <w:rsid w:val="00474DA4"/>
    <w:rsid w:val="00476B4D"/>
    <w:rsid w:val="004805FA"/>
    <w:rsid w:val="004935D2"/>
    <w:rsid w:val="004B1215"/>
    <w:rsid w:val="004C0F7C"/>
    <w:rsid w:val="004D047D"/>
    <w:rsid w:val="004E4FFE"/>
    <w:rsid w:val="004F1E9E"/>
    <w:rsid w:val="004F305A"/>
    <w:rsid w:val="005038A3"/>
    <w:rsid w:val="00512164"/>
    <w:rsid w:val="00520297"/>
    <w:rsid w:val="005338F9"/>
    <w:rsid w:val="00535F56"/>
    <w:rsid w:val="00540C52"/>
    <w:rsid w:val="0054281C"/>
    <w:rsid w:val="0054354A"/>
    <w:rsid w:val="00544581"/>
    <w:rsid w:val="0055268D"/>
    <w:rsid w:val="00553EB4"/>
    <w:rsid w:val="005550A4"/>
    <w:rsid w:val="0055585E"/>
    <w:rsid w:val="00576BE4"/>
    <w:rsid w:val="00582BA5"/>
    <w:rsid w:val="0059212A"/>
    <w:rsid w:val="00596020"/>
    <w:rsid w:val="005A400A"/>
    <w:rsid w:val="005C718D"/>
    <w:rsid w:val="005D2FE1"/>
    <w:rsid w:val="005F6777"/>
    <w:rsid w:val="005F7B92"/>
    <w:rsid w:val="00601B3C"/>
    <w:rsid w:val="00602B0A"/>
    <w:rsid w:val="00612379"/>
    <w:rsid w:val="006153B6"/>
    <w:rsid w:val="00615429"/>
    <w:rsid w:val="0061555F"/>
    <w:rsid w:val="00627A8C"/>
    <w:rsid w:val="00636CA6"/>
    <w:rsid w:val="00641200"/>
    <w:rsid w:val="00645CA8"/>
    <w:rsid w:val="006655D3"/>
    <w:rsid w:val="00667404"/>
    <w:rsid w:val="00671852"/>
    <w:rsid w:val="006773E5"/>
    <w:rsid w:val="00687EB4"/>
    <w:rsid w:val="00695C56"/>
    <w:rsid w:val="006A5CDE"/>
    <w:rsid w:val="006A644A"/>
    <w:rsid w:val="006A69B6"/>
    <w:rsid w:val="006B17D2"/>
    <w:rsid w:val="006C11EA"/>
    <w:rsid w:val="006C224E"/>
    <w:rsid w:val="006D7435"/>
    <w:rsid w:val="006D780A"/>
    <w:rsid w:val="00701F1E"/>
    <w:rsid w:val="0071271E"/>
    <w:rsid w:val="007131F0"/>
    <w:rsid w:val="00732DEC"/>
    <w:rsid w:val="00735BD5"/>
    <w:rsid w:val="007371B7"/>
    <w:rsid w:val="00744D56"/>
    <w:rsid w:val="00751613"/>
    <w:rsid w:val="007556F6"/>
    <w:rsid w:val="007557F1"/>
    <w:rsid w:val="00755FCE"/>
    <w:rsid w:val="00760EEF"/>
    <w:rsid w:val="00777EE5"/>
    <w:rsid w:val="00784635"/>
    <w:rsid w:val="00784836"/>
    <w:rsid w:val="0078659E"/>
    <w:rsid w:val="00786C46"/>
    <w:rsid w:val="0079023E"/>
    <w:rsid w:val="007A2854"/>
    <w:rsid w:val="007A4840"/>
    <w:rsid w:val="007A5411"/>
    <w:rsid w:val="007A71C1"/>
    <w:rsid w:val="007B7843"/>
    <w:rsid w:val="007C1D92"/>
    <w:rsid w:val="007C4CB9"/>
    <w:rsid w:val="007C6ED5"/>
    <w:rsid w:val="007D0B9D"/>
    <w:rsid w:val="007D19B0"/>
    <w:rsid w:val="007D789B"/>
    <w:rsid w:val="007F498F"/>
    <w:rsid w:val="0080679D"/>
    <w:rsid w:val="008108B0"/>
    <w:rsid w:val="00811B20"/>
    <w:rsid w:val="00816B6A"/>
    <w:rsid w:val="008211B5"/>
    <w:rsid w:val="0082271C"/>
    <w:rsid w:val="0082296E"/>
    <w:rsid w:val="00824099"/>
    <w:rsid w:val="00846D7C"/>
    <w:rsid w:val="00850FD4"/>
    <w:rsid w:val="0085201F"/>
    <w:rsid w:val="00853022"/>
    <w:rsid w:val="00867AC1"/>
    <w:rsid w:val="00872256"/>
    <w:rsid w:val="008753BA"/>
    <w:rsid w:val="008759B7"/>
    <w:rsid w:val="00890DF8"/>
    <w:rsid w:val="00897E98"/>
    <w:rsid w:val="008A01C1"/>
    <w:rsid w:val="008A3E38"/>
    <w:rsid w:val="008A4BCC"/>
    <w:rsid w:val="008A743F"/>
    <w:rsid w:val="008B6E60"/>
    <w:rsid w:val="008C0970"/>
    <w:rsid w:val="008D0BC5"/>
    <w:rsid w:val="008D1C86"/>
    <w:rsid w:val="008D2CF7"/>
    <w:rsid w:val="008D7E86"/>
    <w:rsid w:val="008E40A6"/>
    <w:rsid w:val="008E4F12"/>
    <w:rsid w:val="00900C26"/>
    <w:rsid w:val="0090197F"/>
    <w:rsid w:val="009048CF"/>
    <w:rsid w:val="00906DDC"/>
    <w:rsid w:val="009138BD"/>
    <w:rsid w:val="009250AA"/>
    <w:rsid w:val="00934E09"/>
    <w:rsid w:val="00936253"/>
    <w:rsid w:val="0093731E"/>
    <w:rsid w:val="00940D46"/>
    <w:rsid w:val="00952DD4"/>
    <w:rsid w:val="0096250C"/>
    <w:rsid w:val="00965AE7"/>
    <w:rsid w:val="00970FED"/>
    <w:rsid w:val="00973C53"/>
    <w:rsid w:val="00981295"/>
    <w:rsid w:val="00992D82"/>
    <w:rsid w:val="00995668"/>
    <w:rsid w:val="00997029"/>
    <w:rsid w:val="009977EA"/>
    <w:rsid w:val="009A7339"/>
    <w:rsid w:val="009B440E"/>
    <w:rsid w:val="009B704D"/>
    <w:rsid w:val="009D690D"/>
    <w:rsid w:val="009E18D2"/>
    <w:rsid w:val="009E3EB2"/>
    <w:rsid w:val="009E5D02"/>
    <w:rsid w:val="009E65B6"/>
    <w:rsid w:val="009F5853"/>
    <w:rsid w:val="00A04A26"/>
    <w:rsid w:val="00A14DD7"/>
    <w:rsid w:val="00A211E8"/>
    <w:rsid w:val="00A24C10"/>
    <w:rsid w:val="00A301FF"/>
    <w:rsid w:val="00A336E9"/>
    <w:rsid w:val="00A33B0D"/>
    <w:rsid w:val="00A37C2B"/>
    <w:rsid w:val="00A42AC3"/>
    <w:rsid w:val="00A430CF"/>
    <w:rsid w:val="00A54309"/>
    <w:rsid w:val="00A71173"/>
    <w:rsid w:val="00A930DD"/>
    <w:rsid w:val="00AA0DEF"/>
    <w:rsid w:val="00AA1C00"/>
    <w:rsid w:val="00AB2B93"/>
    <w:rsid w:val="00AB530F"/>
    <w:rsid w:val="00AB7E5B"/>
    <w:rsid w:val="00AC2883"/>
    <w:rsid w:val="00AC5F56"/>
    <w:rsid w:val="00AC709F"/>
    <w:rsid w:val="00AE0EF1"/>
    <w:rsid w:val="00AE2937"/>
    <w:rsid w:val="00AF0EAD"/>
    <w:rsid w:val="00AF137C"/>
    <w:rsid w:val="00AF687F"/>
    <w:rsid w:val="00B0133B"/>
    <w:rsid w:val="00B03A49"/>
    <w:rsid w:val="00B07301"/>
    <w:rsid w:val="00B11F3E"/>
    <w:rsid w:val="00B224DE"/>
    <w:rsid w:val="00B324D4"/>
    <w:rsid w:val="00B417AB"/>
    <w:rsid w:val="00B46575"/>
    <w:rsid w:val="00B50752"/>
    <w:rsid w:val="00B50AD3"/>
    <w:rsid w:val="00B61777"/>
    <w:rsid w:val="00B806C4"/>
    <w:rsid w:val="00B84BBD"/>
    <w:rsid w:val="00B86EE2"/>
    <w:rsid w:val="00B93B4F"/>
    <w:rsid w:val="00B97803"/>
    <w:rsid w:val="00BA43FB"/>
    <w:rsid w:val="00BB4DB2"/>
    <w:rsid w:val="00BC127D"/>
    <w:rsid w:val="00BC1FE6"/>
    <w:rsid w:val="00BC5EB0"/>
    <w:rsid w:val="00BC700C"/>
    <w:rsid w:val="00BD4F44"/>
    <w:rsid w:val="00BF53A4"/>
    <w:rsid w:val="00C061B6"/>
    <w:rsid w:val="00C2446C"/>
    <w:rsid w:val="00C36AE5"/>
    <w:rsid w:val="00C41F17"/>
    <w:rsid w:val="00C504C2"/>
    <w:rsid w:val="00C527FA"/>
    <w:rsid w:val="00C5280D"/>
    <w:rsid w:val="00C53EB3"/>
    <w:rsid w:val="00C5791C"/>
    <w:rsid w:val="00C62CCD"/>
    <w:rsid w:val="00C66290"/>
    <w:rsid w:val="00C72B7A"/>
    <w:rsid w:val="00C763B8"/>
    <w:rsid w:val="00C973F2"/>
    <w:rsid w:val="00CA304C"/>
    <w:rsid w:val="00CA377E"/>
    <w:rsid w:val="00CA71B1"/>
    <w:rsid w:val="00CA774A"/>
    <w:rsid w:val="00CC11B0"/>
    <w:rsid w:val="00CC2841"/>
    <w:rsid w:val="00CF1330"/>
    <w:rsid w:val="00CF7E36"/>
    <w:rsid w:val="00D06819"/>
    <w:rsid w:val="00D10B2E"/>
    <w:rsid w:val="00D3708D"/>
    <w:rsid w:val="00D40426"/>
    <w:rsid w:val="00D44131"/>
    <w:rsid w:val="00D57C96"/>
    <w:rsid w:val="00D57D18"/>
    <w:rsid w:val="00D66782"/>
    <w:rsid w:val="00D7614C"/>
    <w:rsid w:val="00D827B7"/>
    <w:rsid w:val="00D84990"/>
    <w:rsid w:val="00D87447"/>
    <w:rsid w:val="00D909E3"/>
    <w:rsid w:val="00D91203"/>
    <w:rsid w:val="00D95174"/>
    <w:rsid w:val="00DA4973"/>
    <w:rsid w:val="00DA6F36"/>
    <w:rsid w:val="00DB1534"/>
    <w:rsid w:val="00DB2FE8"/>
    <w:rsid w:val="00DB596E"/>
    <w:rsid w:val="00DB7773"/>
    <w:rsid w:val="00DC00EA"/>
    <w:rsid w:val="00DC0EFC"/>
    <w:rsid w:val="00DC2A56"/>
    <w:rsid w:val="00DC3802"/>
    <w:rsid w:val="00DC4949"/>
    <w:rsid w:val="00DE24EA"/>
    <w:rsid w:val="00DE7DFF"/>
    <w:rsid w:val="00E01C16"/>
    <w:rsid w:val="00E07D87"/>
    <w:rsid w:val="00E17C3B"/>
    <w:rsid w:val="00E25A01"/>
    <w:rsid w:val="00E25A70"/>
    <w:rsid w:val="00E30EB4"/>
    <w:rsid w:val="00E32F7E"/>
    <w:rsid w:val="00E47F79"/>
    <w:rsid w:val="00E5267B"/>
    <w:rsid w:val="00E60258"/>
    <w:rsid w:val="00E63C0E"/>
    <w:rsid w:val="00E64434"/>
    <w:rsid w:val="00E6777A"/>
    <w:rsid w:val="00E72D49"/>
    <w:rsid w:val="00E7593C"/>
    <w:rsid w:val="00E7678A"/>
    <w:rsid w:val="00E77198"/>
    <w:rsid w:val="00E86FF6"/>
    <w:rsid w:val="00E91F35"/>
    <w:rsid w:val="00E935F1"/>
    <w:rsid w:val="00E94A81"/>
    <w:rsid w:val="00E97C60"/>
    <w:rsid w:val="00EA1FFB"/>
    <w:rsid w:val="00EB048E"/>
    <w:rsid w:val="00EB4E9C"/>
    <w:rsid w:val="00EC5623"/>
    <w:rsid w:val="00EE34DF"/>
    <w:rsid w:val="00EE57AB"/>
    <w:rsid w:val="00EE62A8"/>
    <w:rsid w:val="00EE755A"/>
    <w:rsid w:val="00EF2F89"/>
    <w:rsid w:val="00F03E98"/>
    <w:rsid w:val="00F06C29"/>
    <w:rsid w:val="00F1237A"/>
    <w:rsid w:val="00F22CBD"/>
    <w:rsid w:val="00F239D2"/>
    <w:rsid w:val="00F272F1"/>
    <w:rsid w:val="00F343B8"/>
    <w:rsid w:val="00F43046"/>
    <w:rsid w:val="00F45372"/>
    <w:rsid w:val="00F52059"/>
    <w:rsid w:val="00F560F7"/>
    <w:rsid w:val="00F6334D"/>
    <w:rsid w:val="00F67A05"/>
    <w:rsid w:val="00FA49AB"/>
    <w:rsid w:val="00FA578A"/>
    <w:rsid w:val="00FC4CCF"/>
    <w:rsid w:val="00FE39C7"/>
    <w:rsid w:val="00FF07D9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0C1A141"/>
  <w15:docId w15:val="{B603EDB1-AA95-436E-A322-32C15F7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6773E5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rsid w:val="00853022"/>
    <w:pPr>
      <w:ind w:left="284" w:right="-1"/>
      <w:contextualSpacing/>
    </w:pPr>
    <w:rPr>
      <w:sz w:val="18"/>
    </w:rPr>
  </w:style>
  <w:style w:type="paragraph" w:styleId="TOC3">
    <w:name w:val="toc 3"/>
    <w:next w:val="Normal"/>
    <w:autoRedefine/>
    <w:uiPriority w:val="39"/>
    <w:rsid w:val="00E47F79"/>
    <w:pPr>
      <w:tabs>
        <w:tab w:val="right" w:leader="dot" w:pos="9639"/>
      </w:tabs>
      <w:spacing w:before="120"/>
      <w:ind w:left="568" w:right="-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D10B2E"/>
    <w:pPr>
      <w:tabs>
        <w:tab w:val="right" w:leader="dot" w:pos="9356"/>
      </w:tabs>
      <w:spacing w:before="60"/>
      <w:ind w:right="-1"/>
      <w:contextualSpacing/>
      <w:jc w:val="left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397D8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66782"/>
    <w:rPr>
      <w:rFonts w:ascii="Arial" w:hAnsi="Arial"/>
      <w:lang w:val="fr-FR"/>
    </w:rPr>
  </w:style>
  <w:style w:type="character" w:customStyle="1" w:styleId="Heading2Char">
    <w:name w:val="Heading 2 Char"/>
    <w:aliases w:val="VARIETY Char,variety Char"/>
    <w:link w:val="Heading2"/>
    <w:locked/>
    <w:rsid w:val="00AA1C00"/>
    <w:rPr>
      <w:rFonts w:ascii="Arial" w:hAnsi="Arial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03A4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0AB19-49B9-4D8A-AD4F-D481C1F2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4935</Words>
  <Characters>27897</Characters>
  <Application>Microsoft Office Word</Application>
  <DocSecurity>0</DocSecurity>
  <Lines>232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TC/55/3</vt:lpstr>
      <vt:lpstr>TC/55/3</vt:lpstr>
    </vt:vector>
  </TitlesOfParts>
  <Company>UPOV</Company>
  <LinksUpToDate>false</LinksUpToDate>
  <CharactersWithSpaces>32767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TC/55/3</dc:title>
  <dc:creator>SANCHEZ VIZCAINO GOMEZ Rosa Maria</dc:creator>
  <cp:lastModifiedBy>MAY Jessica</cp:lastModifiedBy>
  <cp:revision>4</cp:revision>
  <cp:lastPrinted>2016-11-22T15:41:00Z</cp:lastPrinted>
  <dcterms:created xsi:type="dcterms:W3CDTF">2019-10-20T12:20:00Z</dcterms:created>
  <dcterms:modified xsi:type="dcterms:W3CDTF">2019-10-20T12:29:00Z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692cc2cd-9bf1-45b4-ba5d-9e1f1a4dba31</vt:lpwstr>
  </property>
</Properties>
</file>