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B671B" w:rsidRPr="00DB671B" w:rsidTr="00DB671B">
        <w:tc>
          <w:tcPr>
            <w:tcW w:w="6522" w:type="dxa"/>
          </w:tcPr>
          <w:p w:rsidR="00DB671B" w:rsidRPr="00DB671B" w:rsidRDefault="00DB671B" w:rsidP="00DB671B">
            <w:r w:rsidRPr="00DB671B">
              <w:rPr>
                <w:noProof/>
                <w:lang w:val="en-US"/>
              </w:rPr>
              <w:drawing>
                <wp:inline distT="0" distB="0" distL="0" distR="0" wp14:anchorId="610EF714" wp14:editId="1629A830">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B671B" w:rsidRPr="00DB671B" w:rsidRDefault="00DB671B" w:rsidP="00DB671B">
            <w:pPr>
              <w:pStyle w:val="Lettrine"/>
            </w:pPr>
            <w:r w:rsidRPr="00DB671B">
              <w:t>F</w:t>
            </w:r>
          </w:p>
        </w:tc>
      </w:tr>
      <w:tr w:rsidR="00DB671B" w:rsidRPr="00DB671B" w:rsidTr="00DB671B">
        <w:trPr>
          <w:trHeight w:val="219"/>
        </w:trPr>
        <w:tc>
          <w:tcPr>
            <w:tcW w:w="6522" w:type="dxa"/>
          </w:tcPr>
          <w:p w:rsidR="00DB671B" w:rsidRPr="00DB671B" w:rsidRDefault="00DB671B" w:rsidP="00DB671B">
            <w:pPr>
              <w:pStyle w:val="upove"/>
            </w:pPr>
            <w:r w:rsidRPr="00DB671B">
              <w:t>Union internationale pour la protection des obtentions végétales</w:t>
            </w:r>
          </w:p>
        </w:tc>
        <w:tc>
          <w:tcPr>
            <w:tcW w:w="3117" w:type="dxa"/>
          </w:tcPr>
          <w:p w:rsidR="00DB671B" w:rsidRPr="00DB671B" w:rsidRDefault="00DB671B" w:rsidP="00DB671B"/>
        </w:tc>
      </w:tr>
    </w:tbl>
    <w:p w:rsidR="00DB671B" w:rsidRPr="00DB671B" w:rsidRDefault="00DB671B" w:rsidP="00DB671B"/>
    <w:p w:rsidR="00DB671B" w:rsidRPr="00DB671B" w:rsidRDefault="00DB671B" w:rsidP="00DB671B"/>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DB671B" w:rsidRPr="00DB671B" w:rsidTr="00DB671B">
        <w:tc>
          <w:tcPr>
            <w:tcW w:w="6512" w:type="dxa"/>
          </w:tcPr>
          <w:p w:rsidR="00DB671B" w:rsidRPr="001766FA" w:rsidRDefault="00DB671B" w:rsidP="001766FA">
            <w:pPr>
              <w:pStyle w:val="Sessiontc"/>
            </w:pPr>
            <w:r w:rsidRPr="001766FA">
              <w:t>Comité technique</w:t>
            </w:r>
          </w:p>
          <w:p w:rsidR="00DB671B" w:rsidRPr="00DB671B" w:rsidRDefault="00DB671B" w:rsidP="00DB671B">
            <w:pPr>
              <w:pStyle w:val="Sessiontcplacedate"/>
              <w:rPr>
                <w:sz w:val="22"/>
              </w:rPr>
            </w:pPr>
            <w:r w:rsidRPr="00DB671B">
              <w:t>Cinquante-cinquième session</w:t>
            </w:r>
            <w:r w:rsidRPr="00DB671B">
              <w:br/>
              <w:t>Genève, 28 et 29 octobre 2019</w:t>
            </w:r>
          </w:p>
        </w:tc>
        <w:tc>
          <w:tcPr>
            <w:tcW w:w="3127" w:type="dxa"/>
          </w:tcPr>
          <w:p w:rsidR="00DB671B" w:rsidRPr="00DB671B" w:rsidRDefault="00DB671B" w:rsidP="00DB671B">
            <w:pPr>
              <w:pStyle w:val="Doccode"/>
              <w:rPr>
                <w:lang w:val="fr-FR"/>
              </w:rPr>
            </w:pPr>
            <w:r w:rsidRPr="00DB671B">
              <w:rPr>
                <w:lang w:val="fr-FR"/>
              </w:rPr>
              <w:t>TC/55/25</w:t>
            </w:r>
          </w:p>
          <w:p w:rsidR="00DB671B" w:rsidRPr="00DB671B" w:rsidRDefault="00DB671B" w:rsidP="00DB671B">
            <w:pPr>
              <w:pStyle w:val="Docoriginal"/>
            </w:pPr>
            <w:r w:rsidRPr="00DB671B">
              <w:t>Original :</w:t>
            </w:r>
            <w:r w:rsidRPr="00DB671B">
              <w:rPr>
                <w:b w:val="0"/>
                <w:spacing w:val="0"/>
              </w:rPr>
              <w:t xml:space="preserve"> anglais</w:t>
            </w:r>
          </w:p>
          <w:p w:rsidR="00DB671B" w:rsidRPr="00DB671B" w:rsidRDefault="00DB671B" w:rsidP="00DB671B">
            <w:pPr>
              <w:pStyle w:val="Docoriginal"/>
            </w:pPr>
            <w:r w:rsidRPr="00DB671B">
              <w:t>Date :</w:t>
            </w:r>
            <w:r w:rsidRPr="00DB671B">
              <w:rPr>
                <w:b w:val="0"/>
                <w:spacing w:val="0"/>
              </w:rPr>
              <w:t xml:space="preserve"> 29 octobre 2019</w:t>
            </w:r>
          </w:p>
        </w:tc>
      </w:tr>
    </w:tbl>
    <w:p w:rsidR="00DB671B" w:rsidRPr="00DB671B" w:rsidRDefault="00DB671B" w:rsidP="00DB671B">
      <w:pPr>
        <w:pStyle w:val="Titleofdoc0"/>
      </w:pPr>
      <w:bookmarkStart w:id="0" w:name="TitleOfDoc"/>
      <w:bookmarkEnd w:id="0"/>
      <w:r w:rsidRPr="00DB671B">
        <w:t>Compte rendu</w:t>
      </w:r>
    </w:p>
    <w:p w:rsidR="00DB671B" w:rsidRPr="00DB671B" w:rsidRDefault="00DB671B" w:rsidP="00DB671B">
      <w:pPr>
        <w:pStyle w:val="preparedby1"/>
        <w:jc w:val="left"/>
      </w:pPr>
      <w:bookmarkStart w:id="1" w:name="Prepared"/>
      <w:bookmarkEnd w:id="1"/>
      <w:r w:rsidRPr="00DB671B">
        <w:t>adopté par le Comité technique</w:t>
      </w:r>
    </w:p>
    <w:p w:rsidR="00DB671B" w:rsidRPr="00DB671B" w:rsidRDefault="00DB671B" w:rsidP="00DB671B">
      <w:pPr>
        <w:pStyle w:val="Disclaimer"/>
      </w:pPr>
      <w:r w:rsidRPr="00DB671B">
        <w:t>Avertissement : le présent document ne représente pas les principes ou les orientations de l’UPOV</w:t>
      </w:r>
    </w:p>
    <w:p w:rsidR="00D83B31" w:rsidRPr="00DB671B" w:rsidRDefault="00054FE5" w:rsidP="00054FE5">
      <w:r w:rsidRPr="00DB671B">
        <w:fldChar w:fldCharType="begin"/>
      </w:r>
      <w:r w:rsidRPr="00DB671B">
        <w:instrText xml:space="preserve"> AUTONUM  \* Arabic </w:instrText>
      </w:r>
      <w:r w:rsidRPr="00DB671B">
        <w:fldChar w:fldCharType="end"/>
      </w:r>
      <w:r w:rsidRPr="00DB671B">
        <w:tab/>
        <w:t>Le Comité technique (TC) a tenu sa cinquante</w:t>
      </w:r>
      <w:r w:rsidR="005F7AC8" w:rsidRPr="00DB671B">
        <w:t>-</w:t>
      </w:r>
      <w:r w:rsidRPr="00DB671B">
        <w:t>cinqu</w:t>
      </w:r>
      <w:r w:rsidR="005F7AC8" w:rsidRPr="00DB671B">
        <w:t>ième session</w:t>
      </w:r>
      <w:r w:rsidRPr="00DB671B">
        <w:t xml:space="preserve"> à Genève les 28 et 2</w:t>
      </w:r>
      <w:r w:rsidR="005F7AC8" w:rsidRPr="00DB671B">
        <w:t>9 octobre 20</w:t>
      </w:r>
      <w:r w:rsidRPr="00DB671B">
        <w:t>19.  La liste des participants fait l</w:t>
      </w:r>
      <w:r w:rsidR="005F7AC8" w:rsidRPr="00DB671B">
        <w:t>’</w:t>
      </w:r>
      <w:r w:rsidRPr="00DB671B">
        <w:t>objet de l</w:t>
      </w:r>
      <w:r w:rsidR="005F7AC8" w:rsidRPr="00DB671B">
        <w:t>’annexe I</w:t>
      </w:r>
      <w:r w:rsidRPr="00DB671B">
        <w:t xml:space="preserve"> du présent compte rendu.</w:t>
      </w:r>
    </w:p>
    <w:p w:rsidR="00D83B31" w:rsidRPr="00DB671B" w:rsidRDefault="00D83B31" w:rsidP="00054FE5">
      <w:pPr>
        <w:rPr>
          <w:snapToGrid w:val="0"/>
        </w:rPr>
      </w:pPr>
    </w:p>
    <w:p w:rsidR="00D83B31" w:rsidRPr="00DB671B" w:rsidRDefault="00054FE5" w:rsidP="00054FE5">
      <w:r w:rsidRPr="00DB671B">
        <w:fldChar w:fldCharType="begin"/>
      </w:r>
      <w:r w:rsidRPr="00DB671B">
        <w:instrText xml:space="preserve"> AUTONUM  \* Arabic </w:instrText>
      </w:r>
      <w:r w:rsidRPr="00DB671B">
        <w:fldChar w:fldCharType="end"/>
      </w:r>
      <w:r w:rsidRPr="00DB671B">
        <w:tab/>
        <w:t>M.</w:t>
      </w:r>
      <w:r w:rsidR="00E85E8E" w:rsidRPr="00DB671B">
        <w:t> </w:t>
      </w:r>
      <w:r w:rsidRPr="00DB671B">
        <w:t>Kees van Ettekoven (Pays</w:t>
      </w:r>
      <w:r w:rsidR="005F7AC8" w:rsidRPr="00DB671B">
        <w:t>-</w:t>
      </w:r>
      <w:r w:rsidRPr="00DB671B">
        <w:t>Bas), président du</w:t>
      </w:r>
      <w:r w:rsidR="005F7AC8" w:rsidRPr="00DB671B">
        <w:t> TC</w:t>
      </w:r>
      <w:r w:rsidRPr="00DB671B">
        <w:t>, ouvre la session en souhaitant la bienvenue aux participants.</w:t>
      </w:r>
    </w:p>
    <w:p w:rsidR="00D83B31" w:rsidRPr="00DB671B" w:rsidRDefault="00D83B31" w:rsidP="00054FE5">
      <w:pPr>
        <w:rPr>
          <w:snapToGrid w:val="0"/>
        </w:rPr>
      </w:pPr>
    </w:p>
    <w:p w:rsidR="00D83B31" w:rsidRPr="00DB671B" w:rsidRDefault="00054FE5" w:rsidP="00054FE5">
      <w:r w:rsidRPr="00DB671B">
        <w:fldChar w:fldCharType="begin"/>
      </w:r>
      <w:r w:rsidRPr="00DB671B">
        <w:instrText xml:space="preserve"> AUTONUM  </w:instrText>
      </w:r>
      <w:r w:rsidRPr="00DB671B">
        <w:fldChar w:fldCharType="end"/>
      </w:r>
      <w:r w:rsidRPr="00DB671B">
        <w:tab/>
      </w:r>
      <w:r w:rsidR="00097213" w:rsidRPr="00DB671B">
        <w:t>Le Secrétaire général adjoint présente Mme</w:t>
      </w:r>
      <w:r w:rsidR="00E85E8E" w:rsidRPr="00DB671B">
        <w:t> </w:t>
      </w:r>
      <w:r w:rsidR="00097213" w:rsidRPr="00DB671B">
        <w:t>Wen Wen, titulaire d</w:t>
      </w:r>
      <w:r w:rsidR="005F7AC8" w:rsidRPr="00DB671B">
        <w:t>’</w:t>
      </w:r>
      <w:r w:rsidR="00097213" w:rsidRPr="00DB671B">
        <w:t>une bourse d</w:t>
      </w:r>
      <w:r w:rsidR="005F7AC8" w:rsidRPr="00DB671B">
        <w:t>’</w:t>
      </w:r>
      <w:r w:rsidR="00097213" w:rsidRPr="00DB671B">
        <w:t>un an, entrée au service de l</w:t>
      </w:r>
      <w:r w:rsidR="005F7AC8" w:rsidRPr="00DB671B">
        <w:t>’</w:t>
      </w:r>
      <w:r w:rsidR="00097213" w:rsidRPr="00DB671B">
        <w:t xml:space="preserve">UPOV en </w:t>
      </w:r>
      <w:r w:rsidR="005F7AC8" w:rsidRPr="00DB671B">
        <w:t>septembre 20</w:t>
      </w:r>
      <w:r w:rsidR="00097213" w:rsidRPr="00DB671B">
        <w:t>19.  Il indique qu</w:t>
      </w:r>
      <w:r w:rsidR="005F7AC8" w:rsidRPr="00DB671B">
        <w:t>’</w:t>
      </w:r>
      <w:r w:rsidR="00097213" w:rsidRPr="00DB671B">
        <w:t>auparavant, Mme</w:t>
      </w:r>
      <w:r w:rsidR="00E85E8E" w:rsidRPr="00DB671B">
        <w:t> </w:t>
      </w:r>
      <w:r w:rsidR="00097213" w:rsidRPr="00DB671B">
        <w:t>Wen était la directrice adjointe de division auprès du Centre de développement des sciences et des technologies (DCST) du Ministère chinois de l</w:t>
      </w:r>
      <w:r w:rsidR="005F7AC8" w:rsidRPr="00DB671B">
        <w:t>’</w:t>
      </w:r>
      <w:r w:rsidR="00097213" w:rsidRPr="00DB671B">
        <w:t>agriculture et des affaires rurales (Chine).  Il présente également Mme</w:t>
      </w:r>
      <w:r w:rsidR="00A534E0" w:rsidRPr="00DB671B">
        <w:t> Trang Thi Thu Tran</w:t>
      </w:r>
      <w:r w:rsidR="00097213" w:rsidRPr="00DB671B">
        <w:t>, entrée au service de l</w:t>
      </w:r>
      <w:r w:rsidR="005F7AC8" w:rsidRPr="00DB671B">
        <w:t>’</w:t>
      </w:r>
      <w:r w:rsidR="00097213" w:rsidRPr="00DB671B">
        <w:t>UPOV au titre d</w:t>
      </w:r>
      <w:r w:rsidR="005F7AC8" w:rsidRPr="00DB671B">
        <w:t>’</w:t>
      </w:r>
      <w:r w:rsidR="00097213" w:rsidRPr="00DB671B">
        <w:t xml:space="preserve">un contrat de services de prestataires individuels en </w:t>
      </w:r>
      <w:r w:rsidR="005F7AC8" w:rsidRPr="00DB671B">
        <w:t>septembre 20</w:t>
      </w:r>
      <w:r w:rsidR="00097213" w:rsidRPr="00DB671B">
        <w:t>19, en tant qu</w:t>
      </w:r>
      <w:r w:rsidR="005F7AC8" w:rsidRPr="00DB671B">
        <w:t>’</w:t>
      </w:r>
      <w:r w:rsidR="00097213" w:rsidRPr="00DB671B">
        <w:t>administratrice du projet pilote du Forum sur la protection des obtentions végétales en Asie orientale.  Il indique par ailleurs que Mme</w:t>
      </w:r>
      <w:r w:rsidR="00E85E8E" w:rsidRPr="00DB671B">
        <w:t> </w:t>
      </w:r>
      <w:r w:rsidR="00097213" w:rsidRPr="00DB671B">
        <w:t>Sarra Berich, titulaire d</w:t>
      </w:r>
      <w:r w:rsidR="005F7AC8" w:rsidRPr="00DB671B">
        <w:t>’</w:t>
      </w:r>
      <w:r w:rsidR="00097213" w:rsidRPr="00DB671B">
        <w:t>une bourse, est entrée au service de l</w:t>
      </w:r>
      <w:r w:rsidR="005F7AC8" w:rsidRPr="00DB671B">
        <w:t>’</w:t>
      </w:r>
      <w:r w:rsidR="00097213" w:rsidRPr="00DB671B">
        <w:t>UPOV pour 9</w:t>
      </w:r>
      <w:r w:rsidR="00A83A59" w:rsidRPr="00DB671B">
        <w:t> </w:t>
      </w:r>
      <w:r w:rsidR="00097213" w:rsidRPr="00DB671B">
        <w:t xml:space="preserve">mois à compter de </w:t>
      </w:r>
      <w:r w:rsidR="005F7AC8" w:rsidRPr="00DB671B">
        <w:t>mars 20</w:t>
      </w:r>
      <w:r w:rsidR="00097213" w:rsidRPr="00DB671B">
        <w:t>19, pour les projets informatiques.</w:t>
      </w:r>
    </w:p>
    <w:p w:rsidR="00D83B31" w:rsidRPr="00DB671B" w:rsidRDefault="00D83B31" w:rsidP="00054FE5"/>
    <w:p w:rsidR="00D83B31" w:rsidRPr="00DB671B" w:rsidRDefault="00D83B31" w:rsidP="00054FE5"/>
    <w:p w:rsidR="00D83B31" w:rsidRPr="00DB671B" w:rsidRDefault="00054FE5" w:rsidP="00DB671B">
      <w:pPr>
        <w:pStyle w:val="Heading2"/>
        <w:rPr>
          <w:snapToGrid w:val="0"/>
          <w:lang w:val="fr-FR"/>
        </w:rPr>
      </w:pPr>
      <w:r w:rsidRPr="00DB671B">
        <w:rPr>
          <w:snapToGrid w:val="0"/>
          <w:lang w:val="fr-FR"/>
        </w:rPr>
        <w:t>Adoption de l</w:t>
      </w:r>
      <w:r w:rsidR="005F7AC8" w:rsidRPr="00DB671B">
        <w:rPr>
          <w:snapToGrid w:val="0"/>
          <w:lang w:val="fr-FR"/>
        </w:rPr>
        <w:t>’</w:t>
      </w:r>
      <w:r w:rsidRPr="00DB671B">
        <w:rPr>
          <w:snapToGrid w:val="0"/>
          <w:lang w:val="fr-FR"/>
        </w:rPr>
        <w:t>ordre du jour</w:t>
      </w:r>
    </w:p>
    <w:p w:rsidR="00D83B31" w:rsidRPr="00DB671B" w:rsidRDefault="00D83B31" w:rsidP="00054FE5">
      <w:pPr>
        <w:ind w:left="567" w:hanging="567"/>
        <w:rPr>
          <w:rFonts w:cs="Arial"/>
          <w:snapToGrid w:val="0"/>
        </w:rPr>
      </w:pPr>
    </w:p>
    <w:p w:rsidR="00D83B31" w:rsidRPr="00DB671B" w:rsidRDefault="00054FE5" w:rsidP="00054FE5">
      <w:pPr>
        <w:keepNext/>
      </w:pPr>
      <w:r w:rsidRPr="00DB671B">
        <w:fldChar w:fldCharType="begin"/>
      </w:r>
      <w:r w:rsidRPr="00DB671B">
        <w:instrText xml:space="preserve"> AUTONUM  \* Arabic </w:instrText>
      </w:r>
      <w:r w:rsidRPr="00DB671B">
        <w:fldChar w:fldCharType="end"/>
      </w:r>
      <w:r w:rsidRPr="00DB671B">
        <w:tab/>
      </w:r>
      <w:r w:rsidR="00097213" w:rsidRPr="00DB671B">
        <w:t>Le comité adopte l</w:t>
      </w:r>
      <w:r w:rsidR="005F7AC8" w:rsidRPr="00DB671B">
        <w:t>’</w:t>
      </w:r>
      <w:r w:rsidR="00097213" w:rsidRPr="00DB671B">
        <w:t>ordre du jour tel qu</w:t>
      </w:r>
      <w:r w:rsidR="005F7AC8" w:rsidRPr="00DB671B">
        <w:t>’</w:t>
      </w:r>
      <w:r w:rsidR="00097213" w:rsidRPr="00DB671B">
        <w:t xml:space="preserve">il figure dans le </w:t>
      </w:r>
      <w:r w:rsidR="005F7AC8" w:rsidRPr="00DB671B">
        <w:t>document</w:t>
      </w:r>
      <w:r w:rsidR="00A83A59" w:rsidRPr="00DB671B">
        <w:t> </w:t>
      </w:r>
      <w:r w:rsidR="005F7AC8" w:rsidRPr="00DB671B">
        <w:t>TC</w:t>
      </w:r>
      <w:r w:rsidR="00097213" w:rsidRPr="00DB671B">
        <w:t>/55/1</w:t>
      </w:r>
      <w:r w:rsidR="00E85E8E" w:rsidRPr="00DB671B">
        <w:t> </w:t>
      </w:r>
      <w:r w:rsidR="00097213" w:rsidRPr="00DB671B">
        <w:t>Rev. 2.  Il note qu</w:t>
      </w:r>
      <w:r w:rsidR="005F7AC8" w:rsidRPr="00DB671B">
        <w:t>’</w:t>
      </w:r>
      <w:r w:rsidR="00097213" w:rsidRPr="00DB671B">
        <w:t>aucun document n</w:t>
      </w:r>
      <w:r w:rsidR="005F7AC8" w:rsidRPr="00DB671B">
        <w:t>’</w:t>
      </w:r>
      <w:r w:rsidR="00097213" w:rsidRPr="00DB671B">
        <w:t xml:space="preserve">a été reçu pour le débat prévu au titre du </w:t>
      </w:r>
      <w:r w:rsidR="005F7AC8" w:rsidRPr="00DB671B">
        <w:t>point 1</w:t>
      </w:r>
      <w:r w:rsidR="00097213" w:rsidRPr="00DB671B">
        <w:t>5 de l</w:t>
      </w:r>
      <w:r w:rsidR="005F7AC8" w:rsidRPr="00DB671B">
        <w:t>’</w:t>
      </w:r>
      <w:r w:rsidR="00097213" w:rsidRPr="00DB671B">
        <w:t>ordre du jour.</w:t>
      </w:r>
    </w:p>
    <w:p w:rsidR="00D83B31" w:rsidRPr="00DB671B" w:rsidRDefault="00D83B31" w:rsidP="00054FE5">
      <w:pPr>
        <w:keepNext/>
      </w:pPr>
    </w:p>
    <w:p w:rsidR="00D83B31" w:rsidRPr="00DB671B" w:rsidRDefault="00D83B31" w:rsidP="00054FE5">
      <w:pPr>
        <w:keepNext/>
      </w:pPr>
    </w:p>
    <w:p w:rsidR="00D83B31" w:rsidRPr="00DB671B" w:rsidRDefault="00097213" w:rsidP="00054FE5">
      <w:pPr>
        <w:pStyle w:val="Heading2"/>
        <w:rPr>
          <w:lang w:val="fr-FR"/>
        </w:rPr>
      </w:pPr>
      <w:r w:rsidRPr="00DB671B">
        <w:rPr>
          <w:lang w:val="fr-FR"/>
        </w:rPr>
        <w:t>Rapport du Secrétaire général adjoint sur les faits nouveaux intervenus à l</w:t>
      </w:r>
      <w:r w:rsidR="005F7AC8" w:rsidRPr="00DB671B">
        <w:rPr>
          <w:lang w:val="fr-FR"/>
        </w:rPr>
        <w:t>’</w:t>
      </w:r>
      <w:r w:rsidRPr="00DB671B">
        <w:rPr>
          <w:lang w:val="fr-FR"/>
        </w:rPr>
        <w:t>UPOV</w:t>
      </w:r>
    </w:p>
    <w:p w:rsidR="00D83B31" w:rsidRPr="00DB671B" w:rsidRDefault="00D83B31" w:rsidP="00054FE5">
      <w:pPr>
        <w:keepNext/>
      </w:pPr>
    </w:p>
    <w:p w:rsidR="005F7AC8" w:rsidRPr="00DB671B" w:rsidRDefault="00054FE5" w:rsidP="00054FE5">
      <w:r w:rsidRPr="00DB671B">
        <w:fldChar w:fldCharType="begin"/>
      </w:r>
      <w:r w:rsidRPr="00DB671B">
        <w:instrText xml:space="preserve"> AUTONUM  </w:instrText>
      </w:r>
      <w:r w:rsidRPr="00DB671B">
        <w:fldChar w:fldCharType="end"/>
      </w:r>
      <w:r w:rsidRPr="00DB671B">
        <w:tab/>
      </w:r>
      <w:r w:rsidR="00097213" w:rsidRPr="00DB671B">
        <w:t>Le</w:t>
      </w:r>
      <w:r w:rsidR="005F7AC8" w:rsidRPr="00DB671B">
        <w:t> TC</w:t>
      </w:r>
      <w:r w:rsidR="00097213" w:rsidRPr="00DB671B">
        <w:t xml:space="preserve"> suit un exposé présenté par le Bureau de l</w:t>
      </w:r>
      <w:r w:rsidR="005F7AC8" w:rsidRPr="00DB671B">
        <w:t>’</w:t>
      </w:r>
      <w:r w:rsidR="00097213" w:rsidRPr="00DB671B">
        <w:t xml:space="preserve">UPOV, dont une copie sera fournie dans le </w:t>
      </w:r>
      <w:r w:rsidR="005F7AC8" w:rsidRPr="00DB671B">
        <w:t>document</w:t>
      </w:r>
      <w:r w:rsidR="00A83A59" w:rsidRPr="00DB671B">
        <w:t> </w:t>
      </w:r>
      <w:r w:rsidR="005F7AC8" w:rsidRPr="00DB671B">
        <w:t>TC</w:t>
      </w:r>
      <w:r w:rsidR="00097213" w:rsidRPr="00DB671B">
        <w:t>/55/INF/8.</w:t>
      </w:r>
    </w:p>
    <w:p w:rsidR="00D83B31" w:rsidRPr="00DB671B" w:rsidRDefault="00D83B31" w:rsidP="00054FE5">
      <w:pPr>
        <w:jc w:val="left"/>
      </w:pPr>
    </w:p>
    <w:p w:rsidR="00D83B31" w:rsidRPr="00DB671B" w:rsidRDefault="00D83B31" w:rsidP="00054FE5">
      <w:pPr>
        <w:jc w:val="left"/>
      </w:pPr>
    </w:p>
    <w:p w:rsidR="00D83B31" w:rsidRPr="00DB671B" w:rsidRDefault="00054FE5" w:rsidP="00054FE5">
      <w:pPr>
        <w:pStyle w:val="Heading2"/>
        <w:rPr>
          <w:lang w:val="fr-FR"/>
        </w:rPr>
      </w:pPr>
      <w:r w:rsidRPr="00DB671B">
        <w:rPr>
          <w:lang w:val="fr-FR"/>
        </w:rPr>
        <w:t>Rapport sur l</w:t>
      </w:r>
      <w:r w:rsidR="005F7AC8" w:rsidRPr="00DB671B">
        <w:rPr>
          <w:lang w:val="fr-FR"/>
        </w:rPr>
        <w:t>’</w:t>
      </w:r>
      <w:r w:rsidRPr="00DB671B">
        <w:rPr>
          <w:lang w:val="fr-FR"/>
        </w:rPr>
        <w:t>état d</w:t>
      </w:r>
      <w:r w:rsidR="005F7AC8" w:rsidRPr="00DB671B">
        <w:rPr>
          <w:lang w:val="fr-FR"/>
        </w:rPr>
        <w:t>’</w:t>
      </w:r>
      <w:r w:rsidRPr="00DB671B">
        <w:rPr>
          <w:lang w:val="fr-FR"/>
        </w:rPr>
        <w:t>avancement des travaux des groupes de travail techniques et du Groupe de travail sur les techniques biochimiques et moléculaires, notamment les profils d</w:t>
      </w:r>
      <w:r w:rsidR="005F7AC8" w:rsidRPr="00DB671B">
        <w:rPr>
          <w:lang w:val="fr-FR"/>
        </w:rPr>
        <w:t>’</w:t>
      </w:r>
      <w:r w:rsidRPr="00DB671B">
        <w:rPr>
          <w:lang w:val="fr-FR"/>
        </w:rPr>
        <w:t>ADN (BMT)</w:t>
      </w:r>
    </w:p>
    <w:p w:rsidR="00D83B31" w:rsidRPr="00DB671B" w:rsidRDefault="00D83B31" w:rsidP="00054FE5">
      <w:pPr>
        <w:keepNext/>
        <w:jc w:val="left"/>
      </w:pPr>
    </w:p>
    <w:p w:rsidR="00D83B31" w:rsidRPr="00DB671B" w:rsidRDefault="00054FE5" w:rsidP="00054FE5">
      <w:r w:rsidRPr="00DB671B">
        <w:fldChar w:fldCharType="begin"/>
      </w:r>
      <w:r w:rsidRPr="00DB671B">
        <w:instrText xml:space="preserve"> AUTONUM  </w:instrText>
      </w:r>
      <w:r w:rsidRPr="00DB671B">
        <w:fldChar w:fldCharType="end"/>
      </w:r>
      <w:r w:rsidRPr="00DB671B">
        <w:tab/>
      </w:r>
      <w:r w:rsidR="00097213" w:rsidRPr="00DB671B">
        <w:t>Le</w:t>
      </w:r>
      <w:r w:rsidR="005F7AC8" w:rsidRPr="00DB671B">
        <w:t> TC</w:t>
      </w:r>
      <w:r w:rsidR="00097213" w:rsidRPr="00DB671B">
        <w:t xml:space="preserve"> note que, depuis sa cinquante</w:t>
      </w:r>
      <w:r w:rsidR="005F7AC8" w:rsidRPr="00DB671B">
        <w:t>-</w:t>
      </w:r>
      <w:r w:rsidR="00815DAA" w:rsidRPr="00DB671B">
        <w:t>quatrième</w:t>
      </w:r>
      <w:r w:rsidR="005F7AC8" w:rsidRPr="00DB671B">
        <w:t> session</w:t>
      </w:r>
      <w:r w:rsidR="00097213" w:rsidRPr="00DB671B">
        <w:t>, le Groupe de travail technique sur les plantes agricoles (TWA), le Groupe de travail technique sur les systèmes d</w:t>
      </w:r>
      <w:r w:rsidR="005F7AC8" w:rsidRPr="00DB671B">
        <w:t>’</w:t>
      </w:r>
      <w:r w:rsidR="00097213" w:rsidRPr="00DB671B">
        <w:t>automatisation et les programmes d</w:t>
      </w:r>
      <w:r w:rsidR="005F7AC8" w:rsidRPr="00DB671B">
        <w:t>’</w:t>
      </w:r>
      <w:r w:rsidR="00097213" w:rsidRPr="00DB671B">
        <w:t xml:space="preserve">ordinateur (TWC), </w:t>
      </w:r>
      <w:r w:rsidR="00915645" w:rsidRPr="00DB671B">
        <w:t xml:space="preserve">le Groupe de travail technique sur les plantes ornementales et les arbres forestiers (TWO), </w:t>
      </w:r>
      <w:r w:rsidR="00097213" w:rsidRPr="00DB671B">
        <w:t>le Groupe de travail technique sur les plantes potagères (TWV) et le Groupe de travail sur les techniques biochimiques et moléculaires, notamment les profils d</w:t>
      </w:r>
      <w:r w:rsidR="005F7AC8" w:rsidRPr="00DB671B">
        <w:t>’</w:t>
      </w:r>
      <w:r w:rsidR="00097213" w:rsidRPr="00DB671B">
        <w:t>ADN (BMT) ont chacun tenu une session.  Le</w:t>
      </w:r>
      <w:r w:rsidR="005F7AC8" w:rsidRPr="00DB671B">
        <w:t> TC</w:t>
      </w:r>
      <w:r w:rsidR="00097213" w:rsidRPr="00DB671B">
        <w:t xml:space="preserve"> note que, durant la même période, le Groupe de travail technique sur les plantes fruitières (TWF) a tenu deux</w:t>
      </w:r>
      <w:r w:rsidR="00E85E8E" w:rsidRPr="00DB671B">
        <w:t> </w:t>
      </w:r>
      <w:r w:rsidR="00097213" w:rsidRPr="00DB671B">
        <w:t>sessions.</w:t>
      </w:r>
    </w:p>
    <w:p w:rsidR="00D83B31" w:rsidRPr="00DB671B" w:rsidRDefault="00D83B31" w:rsidP="00054FE5"/>
    <w:p w:rsidR="00D83B31" w:rsidRPr="00DB671B" w:rsidRDefault="00054FE5" w:rsidP="00054FE5">
      <w:r w:rsidRPr="00DB671B">
        <w:fldChar w:fldCharType="begin"/>
      </w:r>
      <w:r w:rsidRPr="00DB671B">
        <w:instrText xml:space="preserve"> AUTONUM  </w:instrText>
      </w:r>
      <w:r w:rsidRPr="00DB671B">
        <w:fldChar w:fldCharType="end"/>
      </w:r>
      <w:r w:rsidRPr="00DB671B">
        <w:tab/>
      </w:r>
      <w:r w:rsidR="00097213" w:rsidRPr="00DB671B">
        <w:t>Le</w:t>
      </w:r>
      <w:r w:rsidR="005F7AC8" w:rsidRPr="00DB671B">
        <w:t> TC</w:t>
      </w:r>
      <w:r w:rsidR="00097213" w:rsidRPr="00DB671B">
        <w:t xml:space="preserve"> prend connaissance des rapports verbaux des présidents des groupes concernés sur les travaux</w:t>
      </w:r>
      <w:r w:rsidR="005F7AC8" w:rsidRPr="00DB671B">
        <w:t xml:space="preserve"> du TWA</w:t>
      </w:r>
      <w:r w:rsidR="00097213" w:rsidRPr="00DB671B">
        <w:t>,</w:t>
      </w:r>
      <w:r w:rsidR="005F7AC8" w:rsidRPr="00DB671B">
        <w:t xml:space="preserve"> du TWC</w:t>
      </w:r>
      <w:r w:rsidR="00097213" w:rsidRPr="00DB671B">
        <w:t>,</w:t>
      </w:r>
      <w:r w:rsidR="005F7AC8" w:rsidRPr="00DB671B">
        <w:t xml:space="preserve"> du TWF</w:t>
      </w:r>
      <w:r w:rsidR="00097213" w:rsidRPr="00DB671B">
        <w:t>,</w:t>
      </w:r>
      <w:r w:rsidR="005F7AC8" w:rsidRPr="00DB671B">
        <w:t xml:space="preserve"> du TWO</w:t>
      </w:r>
      <w:r w:rsidR="00097213" w:rsidRPr="00DB671B">
        <w:t>,</w:t>
      </w:r>
      <w:r w:rsidR="005F7AC8" w:rsidRPr="00DB671B">
        <w:t xml:space="preserve"> du TWV</w:t>
      </w:r>
      <w:r w:rsidR="00097213" w:rsidRPr="00DB671B">
        <w:t xml:space="preserve"> et</w:t>
      </w:r>
      <w:r w:rsidR="005F7AC8" w:rsidRPr="00DB671B">
        <w:t xml:space="preserve"> du BMT</w:t>
      </w:r>
      <w:r w:rsidR="00097213" w:rsidRPr="00DB671B">
        <w:t>.  On trouvera ci</w:t>
      </w:r>
      <w:r w:rsidR="005F7AC8" w:rsidRPr="00DB671B">
        <w:t>-</w:t>
      </w:r>
      <w:r w:rsidR="00097213" w:rsidRPr="00DB671B">
        <w:t>après un résumé des travaux des groupes de travail techniques.</w:t>
      </w:r>
    </w:p>
    <w:p w:rsidR="00D83B31" w:rsidRPr="00DB671B" w:rsidRDefault="00D83B31" w:rsidP="00054FE5">
      <w:pPr>
        <w:jc w:val="left"/>
      </w:pPr>
    </w:p>
    <w:p w:rsidR="00D83B31" w:rsidRPr="00DB671B" w:rsidRDefault="00054FE5" w:rsidP="00054FE5">
      <w:pPr>
        <w:pStyle w:val="Heading3"/>
        <w:rPr>
          <w:lang w:val="fr-FR"/>
        </w:rPr>
      </w:pPr>
      <w:r w:rsidRPr="00DB671B">
        <w:rPr>
          <w:lang w:val="fr-FR"/>
        </w:rPr>
        <w:lastRenderedPageBreak/>
        <w:t>Groupe de travail technique pour les plantes agricoles (TWA)</w:t>
      </w:r>
    </w:p>
    <w:p w:rsidR="00D83B31" w:rsidRPr="00DB671B" w:rsidRDefault="00D83B31" w:rsidP="00054FE5">
      <w:pPr>
        <w:keepNext/>
        <w:rPr>
          <w:rFonts w:cs="Arial"/>
        </w:rPr>
      </w:pPr>
    </w:p>
    <w:p w:rsidR="00D83B31" w:rsidRPr="00DB671B" w:rsidRDefault="00097213" w:rsidP="00054FE5">
      <w:pPr>
        <w:keepNext/>
        <w:rPr>
          <w:rFonts w:cs="Arial"/>
        </w:rPr>
      </w:pPr>
      <w:r w:rsidRPr="00DB671B">
        <w:rPr>
          <w:rFonts w:cs="Arial"/>
        </w:rPr>
        <w:t>Rapport présenté par Mme</w:t>
      </w:r>
      <w:r w:rsidR="00E85E8E" w:rsidRPr="00DB671B">
        <w:rPr>
          <w:rFonts w:cs="Arial"/>
        </w:rPr>
        <w:t> </w:t>
      </w:r>
      <w:r w:rsidRPr="00DB671B">
        <w:rPr>
          <w:rFonts w:cs="Arial"/>
        </w:rPr>
        <w:t>Beate Ruecker (Allemagne), au nom de Mme</w:t>
      </w:r>
      <w:r w:rsidR="00E85E8E" w:rsidRPr="00DB671B">
        <w:rPr>
          <w:rFonts w:cs="Arial"/>
        </w:rPr>
        <w:t> </w:t>
      </w:r>
      <w:r w:rsidRPr="00DB671B">
        <w:rPr>
          <w:rFonts w:cs="Arial"/>
        </w:rPr>
        <w:t>Cheryl Turnbull (Royaume</w:t>
      </w:r>
      <w:r w:rsidR="005F7AC8" w:rsidRPr="00DB671B">
        <w:rPr>
          <w:rFonts w:cs="Arial"/>
        </w:rPr>
        <w:t>-</w:t>
      </w:r>
      <w:r w:rsidRPr="00DB671B">
        <w:rPr>
          <w:rFonts w:cs="Arial"/>
        </w:rPr>
        <w:t>Uni), présidente</w:t>
      </w:r>
      <w:r w:rsidR="005F7AC8" w:rsidRPr="00DB671B">
        <w:rPr>
          <w:rFonts w:cs="Arial"/>
        </w:rPr>
        <w:t xml:space="preserve"> du TWA</w:t>
      </w:r>
      <w:r w:rsidRPr="00DB671B">
        <w:rPr>
          <w:rFonts w:cs="Arial"/>
        </w:rPr>
        <w:t>.</w:t>
      </w:r>
    </w:p>
    <w:p w:rsidR="00D83B31" w:rsidRPr="00DB671B" w:rsidRDefault="00D83B31" w:rsidP="00054FE5">
      <w:pPr>
        <w:keepNext/>
        <w:rPr>
          <w:snapToGrid w:val="0"/>
        </w:rPr>
      </w:pPr>
    </w:p>
    <w:p w:rsidR="00D83B31" w:rsidRPr="00DB671B" w:rsidRDefault="00097213" w:rsidP="00054FE5">
      <w:pPr>
        <w:pStyle w:val="Heading4"/>
        <w:rPr>
          <w:snapToGrid w:val="0"/>
        </w:rPr>
      </w:pPr>
      <w:r w:rsidRPr="00DB671B">
        <w:rPr>
          <w:snapToGrid w:val="0"/>
        </w:rPr>
        <w:t>Quarante</w:t>
      </w:r>
      <w:r w:rsidR="005F7AC8" w:rsidRPr="00DB671B">
        <w:rPr>
          <w:snapToGrid w:val="0"/>
        </w:rPr>
        <w:t>-</w:t>
      </w:r>
      <w:r w:rsidRPr="00DB671B">
        <w:rPr>
          <w:snapToGrid w:val="0"/>
        </w:rPr>
        <w:t>huit</w:t>
      </w:r>
      <w:r w:rsidR="005F7AC8" w:rsidRPr="00DB671B">
        <w:rPr>
          <w:snapToGrid w:val="0"/>
        </w:rPr>
        <w:t>ième session du TWA</w:t>
      </w:r>
    </w:p>
    <w:p w:rsidR="00D83B31" w:rsidRPr="00DB671B" w:rsidRDefault="00D83B31" w:rsidP="00097213">
      <w:pPr>
        <w:rPr>
          <w:snapToGrid w:val="0"/>
        </w:rPr>
      </w:pPr>
    </w:p>
    <w:p w:rsidR="00D83B31" w:rsidRPr="00DB671B" w:rsidRDefault="00097213" w:rsidP="00097213">
      <w:pPr>
        <w:rPr>
          <w:snapToGrid w:val="0"/>
        </w:rPr>
      </w:pPr>
      <w:r w:rsidRPr="00DB671B">
        <w:rPr>
          <w:snapToGrid w:val="0"/>
        </w:rPr>
        <w:fldChar w:fldCharType="begin"/>
      </w:r>
      <w:r w:rsidRPr="00DB671B">
        <w:rPr>
          <w:snapToGrid w:val="0"/>
        </w:rPr>
        <w:instrText xml:space="preserve"> AUTONUM  </w:instrText>
      </w:r>
      <w:r w:rsidRPr="00DB671B">
        <w:rPr>
          <w:snapToGrid w:val="0"/>
        </w:rPr>
        <w:fldChar w:fldCharType="end"/>
      </w:r>
      <w:r w:rsidRPr="00DB671B">
        <w:rPr>
          <w:snapToGrid w:val="0"/>
        </w:rPr>
        <w:tab/>
        <w:t>Le TWA a tenu sa quarante</w:t>
      </w:r>
      <w:r w:rsidR="005F7AC8" w:rsidRPr="00DB671B">
        <w:rPr>
          <w:snapToGrid w:val="0"/>
        </w:rPr>
        <w:t>-</w:t>
      </w:r>
      <w:r w:rsidRPr="00DB671B">
        <w:rPr>
          <w:snapToGrid w:val="0"/>
        </w:rPr>
        <w:t>huit</w:t>
      </w:r>
      <w:r w:rsidR="005F7AC8" w:rsidRPr="00DB671B">
        <w:rPr>
          <w:snapToGrid w:val="0"/>
        </w:rPr>
        <w:t>ième session</w:t>
      </w:r>
      <w:r w:rsidRPr="00DB671B">
        <w:rPr>
          <w:snapToGrid w:val="0"/>
        </w:rPr>
        <w:t xml:space="preserve"> à Montevideo (Uruguay) du 16 au 2</w:t>
      </w:r>
      <w:r w:rsidR="005F7AC8" w:rsidRPr="00DB671B">
        <w:rPr>
          <w:snapToGrid w:val="0"/>
        </w:rPr>
        <w:t>0 septembre 20</w:t>
      </w:r>
      <w:r w:rsidRPr="00DB671B">
        <w:rPr>
          <w:snapToGrid w:val="0"/>
        </w:rPr>
        <w:t>19, sous la présidence de Mme</w:t>
      </w:r>
      <w:r w:rsidR="00E85E8E" w:rsidRPr="00DB671B">
        <w:rPr>
          <w:snapToGrid w:val="0"/>
        </w:rPr>
        <w:t> </w:t>
      </w:r>
      <w:r w:rsidRPr="00DB671B">
        <w:rPr>
          <w:snapToGrid w:val="0"/>
        </w:rPr>
        <w:t>Cheryl Turnbull (Royaume</w:t>
      </w:r>
      <w:r w:rsidR="005F7AC8" w:rsidRPr="00DB671B">
        <w:rPr>
          <w:snapToGrid w:val="0"/>
        </w:rPr>
        <w:t>-</w:t>
      </w:r>
      <w:r w:rsidRPr="00DB671B">
        <w:rPr>
          <w:snapToGrid w:val="0"/>
        </w:rPr>
        <w:t>Uni).</w:t>
      </w:r>
      <w:r w:rsidRPr="00DB671B">
        <w:t xml:space="preserve">  </w:t>
      </w:r>
      <w:r w:rsidRPr="00DB671B">
        <w:rPr>
          <w:snapToGrid w:val="0"/>
        </w:rPr>
        <w:t>Le compte rendu de la session fait l</w:t>
      </w:r>
      <w:r w:rsidR="005F7AC8" w:rsidRPr="00DB671B">
        <w:rPr>
          <w:snapToGrid w:val="0"/>
        </w:rPr>
        <w:t>’</w:t>
      </w:r>
      <w:r w:rsidRPr="00DB671B">
        <w:rPr>
          <w:snapToGrid w:val="0"/>
        </w:rPr>
        <w:t>objet du document</w:t>
      </w:r>
      <w:r w:rsidR="00A83A59" w:rsidRPr="00DB671B">
        <w:rPr>
          <w:snapToGrid w:val="0"/>
        </w:rPr>
        <w:t> </w:t>
      </w:r>
      <w:r w:rsidRPr="00DB671B">
        <w:rPr>
          <w:snapToGrid w:val="0"/>
        </w:rPr>
        <w:t>TWA/48/9 “Report”.</w:t>
      </w:r>
    </w:p>
    <w:p w:rsidR="00D83B31" w:rsidRPr="00DB671B" w:rsidRDefault="00D83B31" w:rsidP="00097213">
      <w:pPr>
        <w:rPr>
          <w:snapToGrid w:val="0"/>
        </w:rPr>
      </w:pPr>
    </w:p>
    <w:p w:rsidR="00D83B31" w:rsidRPr="00DB671B" w:rsidRDefault="00097213" w:rsidP="00097213">
      <w:pPr>
        <w:rPr>
          <w:snapToGrid w:val="0"/>
        </w:rPr>
      </w:pPr>
      <w:r w:rsidRPr="00DB671B">
        <w:rPr>
          <w:snapToGrid w:val="0"/>
        </w:rPr>
        <w:fldChar w:fldCharType="begin"/>
      </w:r>
      <w:r w:rsidRPr="00DB671B">
        <w:rPr>
          <w:snapToGrid w:val="0"/>
        </w:rPr>
        <w:instrText xml:space="preserve"> AUTONUM  </w:instrText>
      </w:r>
      <w:r w:rsidRPr="00DB671B">
        <w:rPr>
          <w:snapToGrid w:val="0"/>
        </w:rPr>
        <w:fldChar w:fldCharType="end"/>
      </w:r>
      <w:r w:rsidRPr="00DB671B">
        <w:rPr>
          <w:snapToGrid w:val="0"/>
        </w:rPr>
        <w:tab/>
        <w:t>La session</w:t>
      </w:r>
      <w:r w:rsidR="005F7AC8" w:rsidRPr="00DB671B">
        <w:rPr>
          <w:snapToGrid w:val="0"/>
        </w:rPr>
        <w:t xml:space="preserve"> du TWV</w:t>
      </w:r>
      <w:r w:rsidRPr="00DB671B">
        <w:rPr>
          <w:snapToGrid w:val="0"/>
        </w:rPr>
        <w:t xml:space="preserve"> a réuni 42</w:t>
      </w:r>
      <w:r w:rsidR="00A83A59" w:rsidRPr="00DB671B">
        <w:rPr>
          <w:snapToGrid w:val="0"/>
        </w:rPr>
        <w:t> </w:t>
      </w:r>
      <w:r w:rsidRPr="00DB671B">
        <w:rPr>
          <w:snapToGrid w:val="0"/>
        </w:rPr>
        <w:t>participants représentant 20</w:t>
      </w:r>
      <w:r w:rsidR="00A83A59" w:rsidRPr="00DB671B">
        <w:rPr>
          <w:snapToGrid w:val="0"/>
        </w:rPr>
        <w:t> </w:t>
      </w:r>
      <w:r w:rsidRPr="00DB671B">
        <w:rPr>
          <w:snapToGrid w:val="0"/>
        </w:rPr>
        <w:t>membres de l</w:t>
      </w:r>
      <w:r w:rsidR="005F7AC8" w:rsidRPr="00DB671B">
        <w:rPr>
          <w:snapToGrid w:val="0"/>
        </w:rPr>
        <w:t>’</w:t>
      </w:r>
      <w:r w:rsidRPr="00DB671B">
        <w:rPr>
          <w:snapToGrid w:val="0"/>
        </w:rPr>
        <w:t>Union et quatre</w:t>
      </w:r>
      <w:r w:rsidR="00E85E8E" w:rsidRPr="00DB671B">
        <w:rPr>
          <w:snapToGrid w:val="0"/>
        </w:rPr>
        <w:t> </w:t>
      </w:r>
      <w:r w:rsidRPr="00DB671B">
        <w:rPr>
          <w:snapToGrid w:val="0"/>
        </w:rPr>
        <w:t>organisations ayant le statut d</w:t>
      </w:r>
      <w:r w:rsidR="005F7AC8" w:rsidRPr="00DB671B">
        <w:rPr>
          <w:snapToGrid w:val="0"/>
        </w:rPr>
        <w:t>’</w:t>
      </w:r>
      <w:r w:rsidRPr="00DB671B">
        <w:rPr>
          <w:snapToGrid w:val="0"/>
        </w:rPr>
        <w:t>observateur.</w:t>
      </w:r>
      <w:r w:rsidR="00E85E8E" w:rsidRPr="00DB671B">
        <w:rPr>
          <w:snapToGrid w:val="0"/>
        </w:rPr>
        <w:t xml:space="preserve"> </w:t>
      </w:r>
      <w:r w:rsidRPr="00DB671B">
        <w:t xml:space="preserve"> </w:t>
      </w:r>
      <w:r w:rsidRPr="00DB671B">
        <w:rPr>
          <w:snapToGrid w:val="0"/>
        </w:rPr>
        <w:t>Les éléments autrefois examinés dans le cadre d</w:t>
      </w:r>
      <w:r w:rsidR="005F7AC8" w:rsidRPr="00DB671B">
        <w:rPr>
          <w:snapToGrid w:val="0"/>
        </w:rPr>
        <w:t>’</w:t>
      </w:r>
      <w:r w:rsidRPr="00DB671B">
        <w:rPr>
          <w:snapToGrid w:val="0"/>
        </w:rPr>
        <w:t>un atelier préparatoire distinct ont été inclus pour la première fois dans les discussions tenues au cours de la session.</w:t>
      </w:r>
    </w:p>
    <w:p w:rsidR="00D83B31" w:rsidRPr="00DB671B" w:rsidRDefault="00D83B31" w:rsidP="00097213">
      <w:pPr>
        <w:rPr>
          <w:snapToGrid w:val="0"/>
        </w:rPr>
      </w:pPr>
    </w:p>
    <w:p w:rsidR="005F7AC8" w:rsidRPr="00DB671B" w:rsidRDefault="00097213" w:rsidP="00097213">
      <w:pPr>
        <w:rPr>
          <w:snapToGrid w:val="0"/>
        </w:rPr>
      </w:pPr>
      <w:r w:rsidRPr="00DB671B">
        <w:rPr>
          <w:snapToGrid w:val="0"/>
        </w:rPr>
        <w:fldChar w:fldCharType="begin"/>
      </w:r>
      <w:r w:rsidRPr="00DB671B">
        <w:rPr>
          <w:snapToGrid w:val="0"/>
        </w:rPr>
        <w:instrText xml:space="preserve"> AUTONUM  </w:instrText>
      </w:r>
      <w:r w:rsidRPr="00DB671B">
        <w:rPr>
          <w:snapToGrid w:val="0"/>
        </w:rPr>
        <w:fldChar w:fldCharType="end"/>
      </w:r>
      <w:r w:rsidRPr="00DB671B">
        <w:rPr>
          <w:snapToGrid w:val="0"/>
        </w:rPr>
        <w:tab/>
      </w:r>
      <w:r w:rsidRPr="00DB671B">
        <w:t>M.</w:t>
      </w:r>
      <w:r w:rsidR="00E85E8E" w:rsidRPr="00DB671B">
        <w:rPr>
          <w:snapToGrid w:val="0"/>
        </w:rPr>
        <w:t> </w:t>
      </w:r>
      <w:r w:rsidRPr="00DB671B">
        <w:rPr>
          <w:snapToGrid w:val="0"/>
        </w:rPr>
        <w:t>Pedro</w:t>
      </w:r>
      <w:r w:rsidR="00A83A59" w:rsidRPr="00DB671B">
        <w:rPr>
          <w:snapToGrid w:val="0"/>
        </w:rPr>
        <w:t> </w:t>
      </w:r>
      <w:r w:rsidRPr="00DB671B">
        <w:rPr>
          <w:snapToGrid w:val="0"/>
        </w:rPr>
        <w:t>Queheille, président de l</w:t>
      </w:r>
      <w:r w:rsidR="005F7AC8" w:rsidRPr="00DB671B">
        <w:rPr>
          <w:snapToGrid w:val="0"/>
        </w:rPr>
        <w:t>’</w:t>
      </w:r>
      <w:r w:rsidRPr="00DB671B">
        <w:rPr>
          <w:snapToGrid w:val="0"/>
        </w:rPr>
        <w:t>Institut national des semences (INASE) et M.</w:t>
      </w:r>
      <w:r w:rsidR="00E85E8E" w:rsidRPr="00DB671B">
        <w:rPr>
          <w:snapToGrid w:val="0"/>
        </w:rPr>
        <w:t> </w:t>
      </w:r>
      <w:r w:rsidRPr="00DB671B">
        <w:rPr>
          <w:snapToGrid w:val="0"/>
        </w:rPr>
        <w:t>Daniel</w:t>
      </w:r>
      <w:r w:rsidR="00A83A59" w:rsidRPr="00DB671B">
        <w:rPr>
          <w:snapToGrid w:val="0"/>
        </w:rPr>
        <w:t> </w:t>
      </w:r>
      <w:r w:rsidRPr="00DB671B">
        <w:rPr>
          <w:snapToGrid w:val="0"/>
        </w:rPr>
        <w:t>Bayce, directeur exécutif de l</w:t>
      </w:r>
      <w:r w:rsidR="005F7AC8" w:rsidRPr="00DB671B">
        <w:rPr>
          <w:snapToGrid w:val="0"/>
        </w:rPr>
        <w:t>’</w:t>
      </w:r>
      <w:r w:rsidRPr="00DB671B">
        <w:rPr>
          <w:snapToGrid w:val="0"/>
        </w:rPr>
        <w:t>Institut national des semences (INASE), ont souhaité la bienvenue</w:t>
      </w:r>
      <w:r w:rsidR="005F7AC8" w:rsidRPr="00DB671B">
        <w:rPr>
          <w:snapToGrid w:val="0"/>
        </w:rPr>
        <w:t xml:space="preserve"> au TWA</w:t>
      </w:r>
      <w:r w:rsidRPr="00DB671B">
        <w:rPr>
          <w:snapToGrid w:val="0"/>
        </w:rPr>
        <w:t>.</w:t>
      </w:r>
      <w:r w:rsidRPr="00DB671B">
        <w:t xml:space="preserve"> </w:t>
      </w:r>
      <w:r w:rsidRPr="00DB671B">
        <w:rPr>
          <w:snapToGrid w:val="0"/>
        </w:rPr>
        <w:t xml:space="preserve"> M.</w:t>
      </w:r>
      <w:r w:rsidR="00E85E8E" w:rsidRPr="00DB671B">
        <w:rPr>
          <w:snapToGrid w:val="0"/>
        </w:rPr>
        <w:t> </w:t>
      </w:r>
      <w:r w:rsidRPr="00DB671B">
        <w:rPr>
          <w:snapToGrid w:val="0"/>
        </w:rPr>
        <w:t>Pedro</w:t>
      </w:r>
      <w:r w:rsidR="00A83A59" w:rsidRPr="00DB671B">
        <w:rPr>
          <w:snapToGrid w:val="0"/>
        </w:rPr>
        <w:t> </w:t>
      </w:r>
      <w:r w:rsidRPr="00DB671B">
        <w:rPr>
          <w:snapToGrid w:val="0"/>
        </w:rPr>
        <w:t>Queheille a présenté un exposé sur la protection des obtentions végétales en Uruguay.</w:t>
      </w:r>
    </w:p>
    <w:p w:rsidR="00D83B31" w:rsidRPr="00DB671B" w:rsidRDefault="00D83B31" w:rsidP="00097213">
      <w:pPr>
        <w:rPr>
          <w:snapToGrid w:val="0"/>
        </w:rPr>
      </w:pPr>
    </w:p>
    <w:p w:rsidR="005F7AC8" w:rsidRPr="00DB671B" w:rsidRDefault="00097213" w:rsidP="00097213">
      <w:pPr>
        <w:rPr>
          <w:snapToGrid w:val="0"/>
        </w:rPr>
      </w:pPr>
      <w:r w:rsidRPr="00DB671B">
        <w:rPr>
          <w:snapToGrid w:val="0"/>
        </w:rPr>
        <w:fldChar w:fldCharType="begin"/>
      </w:r>
      <w:r w:rsidRPr="00DB671B">
        <w:rPr>
          <w:snapToGrid w:val="0"/>
        </w:rPr>
        <w:instrText xml:space="preserve"> AUTONUM  </w:instrText>
      </w:r>
      <w:r w:rsidRPr="00DB671B">
        <w:rPr>
          <w:snapToGrid w:val="0"/>
        </w:rPr>
        <w:fldChar w:fldCharType="end"/>
      </w:r>
      <w:r w:rsidRPr="00DB671B">
        <w:rPr>
          <w:snapToGrid w:val="0"/>
        </w:rPr>
        <w:tab/>
        <w:t>Le TWA a adopté l</w:t>
      </w:r>
      <w:r w:rsidR="005F7AC8" w:rsidRPr="00DB671B">
        <w:rPr>
          <w:snapToGrid w:val="0"/>
        </w:rPr>
        <w:t>’</w:t>
      </w:r>
      <w:r w:rsidRPr="00DB671B">
        <w:rPr>
          <w:snapToGrid w:val="0"/>
        </w:rPr>
        <w:t>ordre du jour qui figure dans le document</w:t>
      </w:r>
      <w:r w:rsidR="00A83A59" w:rsidRPr="00DB671B">
        <w:rPr>
          <w:snapToGrid w:val="0"/>
        </w:rPr>
        <w:t> </w:t>
      </w:r>
      <w:r w:rsidRPr="00DB671B">
        <w:rPr>
          <w:snapToGrid w:val="0"/>
        </w:rPr>
        <w:t>TWA/48/1</w:t>
      </w:r>
      <w:r w:rsidR="00E85E8E" w:rsidRPr="00DB671B">
        <w:rPr>
          <w:snapToGrid w:val="0"/>
        </w:rPr>
        <w:t> </w:t>
      </w:r>
      <w:r w:rsidRPr="00DB671B">
        <w:rPr>
          <w:snapToGrid w:val="0"/>
        </w:rPr>
        <w:t>Rev.</w:t>
      </w:r>
    </w:p>
    <w:p w:rsidR="00D83B31" w:rsidRPr="00DB671B" w:rsidRDefault="00D83B31" w:rsidP="00097213">
      <w:pPr>
        <w:rPr>
          <w:snapToGrid w:val="0"/>
        </w:rPr>
      </w:pPr>
    </w:p>
    <w:p w:rsidR="00D83B31" w:rsidRPr="00DB671B" w:rsidRDefault="00097213" w:rsidP="00097213">
      <w:pPr>
        <w:rPr>
          <w:snapToGrid w:val="0"/>
        </w:rPr>
      </w:pPr>
      <w:r w:rsidRPr="00DB671B">
        <w:rPr>
          <w:snapToGrid w:val="0"/>
        </w:rPr>
        <w:fldChar w:fldCharType="begin"/>
      </w:r>
      <w:r w:rsidRPr="00DB671B">
        <w:rPr>
          <w:snapToGrid w:val="0"/>
        </w:rPr>
        <w:instrText xml:space="preserve"> AUTONUM  </w:instrText>
      </w:r>
      <w:r w:rsidRPr="00DB671B">
        <w:rPr>
          <w:snapToGrid w:val="0"/>
        </w:rPr>
        <w:fldChar w:fldCharType="end"/>
      </w:r>
      <w:r w:rsidRPr="00DB671B">
        <w:rPr>
          <w:snapToGrid w:val="0"/>
        </w:rPr>
        <w:tab/>
        <w:t>Le TWA a examiné le document</w:t>
      </w:r>
      <w:r w:rsidR="00A83A59" w:rsidRPr="00DB671B">
        <w:rPr>
          <w:snapToGrid w:val="0"/>
        </w:rPr>
        <w:t> </w:t>
      </w:r>
      <w:r w:rsidRPr="00DB671B">
        <w:rPr>
          <w:snapToGrid w:val="0"/>
        </w:rPr>
        <w:t>TWP/3/9 “Characteristics that only apply to certain varieties” et s</w:t>
      </w:r>
      <w:r w:rsidR="005F7AC8" w:rsidRPr="00DB671B">
        <w:rPr>
          <w:snapToGrid w:val="0"/>
        </w:rPr>
        <w:t>’</w:t>
      </w:r>
      <w:r w:rsidRPr="00DB671B">
        <w:rPr>
          <w:snapToGrid w:val="0"/>
        </w:rPr>
        <w:t>est penché sur les risques potentiels que présentaient les décisions sur la distinction découlant de la méthode proposée.</w:t>
      </w:r>
      <w:r w:rsidRPr="00DB671B">
        <w:t xml:space="preserve"> </w:t>
      </w:r>
      <w:r w:rsidR="00E85E8E" w:rsidRPr="00DB671B">
        <w:rPr>
          <w:snapToGrid w:val="0"/>
        </w:rPr>
        <w:t xml:space="preserve"> </w:t>
      </w:r>
      <w:r w:rsidRPr="00DB671B">
        <w:rPr>
          <w:snapToGrid w:val="0"/>
        </w:rPr>
        <w:t>Il est convenu que le risque était faible, de même que le risque que deux</w:t>
      </w:r>
      <w:r w:rsidR="00E85E8E" w:rsidRPr="00DB671B">
        <w:rPr>
          <w:snapToGrid w:val="0"/>
        </w:rPr>
        <w:t> </w:t>
      </w:r>
      <w:r w:rsidRPr="00DB671B">
        <w:rPr>
          <w:snapToGrid w:val="0"/>
        </w:rPr>
        <w:t>examinateurs prennent des décisions différentes.</w:t>
      </w:r>
      <w:r w:rsidR="00E85E8E" w:rsidRPr="00DB671B">
        <w:rPr>
          <w:snapToGrid w:val="0"/>
        </w:rPr>
        <w:t xml:space="preserve"> </w:t>
      </w:r>
      <w:r w:rsidRPr="00DB671B">
        <w:t xml:space="preserve"> </w:t>
      </w:r>
      <w:r w:rsidRPr="00DB671B">
        <w:rPr>
          <w:snapToGrid w:val="0"/>
        </w:rPr>
        <w:t>Il est également convenu que l</w:t>
      </w:r>
      <w:r w:rsidR="005F7AC8" w:rsidRPr="00DB671B">
        <w:rPr>
          <w:snapToGrid w:val="0"/>
        </w:rPr>
        <w:t>’</w:t>
      </w:r>
      <w:r w:rsidRPr="00DB671B">
        <w:rPr>
          <w:snapToGrid w:val="0"/>
        </w:rPr>
        <w:t>utilisation de la méthode proposée pourrait rendre plus difficile l</w:t>
      </w:r>
      <w:r w:rsidR="005F7AC8" w:rsidRPr="00DB671B">
        <w:rPr>
          <w:snapToGrid w:val="0"/>
        </w:rPr>
        <w:t>’</w:t>
      </w:r>
      <w:r w:rsidRPr="00DB671B">
        <w:rPr>
          <w:snapToGrid w:val="0"/>
        </w:rPr>
        <w:t>exclusion de variétés à des fins de comparaison, mais qu</w:t>
      </w:r>
      <w:r w:rsidR="005F7AC8" w:rsidRPr="00DB671B">
        <w:rPr>
          <w:snapToGrid w:val="0"/>
        </w:rPr>
        <w:t>’</w:t>
      </w:r>
      <w:r w:rsidRPr="00DB671B">
        <w:rPr>
          <w:snapToGrid w:val="0"/>
        </w:rPr>
        <w:t>il était peu probable qu</w:t>
      </w:r>
      <w:r w:rsidR="005F7AC8" w:rsidRPr="00DB671B">
        <w:rPr>
          <w:snapToGrid w:val="0"/>
        </w:rPr>
        <w:t>’</w:t>
      </w:r>
      <w:r w:rsidRPr="00DB671B">
        <w:rPr>
          <w:snapToGrid w:val="0"/>
        </w:rPr>
        <w:t>elle ait un effet significatif.</w:t>
      </w:r>
    </w:p>
    <w:p w:rsidR="00D83B31" w:rsidRPr="00DB671B" w:rsidRDefault="00D83B31" w:rsidP="00097213">
      <w:pPr>
        <w:rPr>
          <w:snapToGrid w:val="0"/>
        </w:rPr>
      </w:pPr>
    </w:p>
    <w:p w:rsidR="00D83B31" w:rsidRPr="00DB671B" w:rsidRDefault="00097213" w:rsidP="00097213">
      <w:pPr>
        <w:rPr>
          <w:snapToGrid w:val="0"/>
        </w:rPr>
      </w:pPr>
      <w:r w:rsidRPr="00DB671B">
        <w:rPr>
          <w:snapToGrid w:val="0"/>
        </w:rPr>
        <w:fldChar w:fldCharType="begin"/>
      </w:r>
      <w:r w:rsidRPr="00DB671B">
        <w:rPr>
          <w:snapToGrid w:val="0"/>
        </w:rPr>
        <w:instrText xml:space="preserve"> AUTONUM  </w:instrText>
      </w:r>
      <w:r w:rsidRPr="00DB671B">
        <w:rPr>
          <w:snapToGrid w:val="0"/>
        </w:rPr>
        <w:fldChar w:fldCharType="end"/>
      </w:r>
      <w:r w:rsidRPr="00DB671B">
        <w:rPr>
          <w:snapToGrid w:val="0"/>
        </w:rPr>
        <w:tab/>
        <w:t>Le TWA a examiné les documents</w:t>
      </w:r>
      <w:r w:rsidR="00A83A59" w:rsidRPr="00DB671B">
        <w:rPr>
          <w:snapToGrid w:val="0"/>
        </w:rPr>
        <w:t> </w:t>
      </w:r>
      <w:r w:rsidRPr="00DB671B">
        <w:rPr>
          <w:snapToGrid w:val="0"/>
        </w:rPr>
        <w:t xml:space="preserve">TWP/3/10 et TWA/48/7 </w:t>
      </w:r>
      <w:r w:rsidR="005F7AC8" w:rsidRPr="00DB671B">
        <w:rPr>
          <w:snapToGrid w:val="0"/>
        </w:rPr>
        <w:t>“D</w:t>
      </w:r>
      <w:r w:rsidRPr="00DB671B">
        <w:rPr>
          <w:snapToGrid w:val="0"/>
        </w:rPr>
        <w:t>ata Processing for the Assessment of Distinctness and for Producing Variety Description</w:t>
      </w:r>
      <w:r w:rsidR="005F7AC8" w:rsidRPr="00DB671B">
        <w:rPr>
          <w:snapToGrid w:val="0"/>
        </w:rPr>
        <w:t>s”</w:t>
      </w:r>
      <w:r w:rsidRPr="00DB671B">
        <w:rPr>
          <w:snapToGrid w:val="0"/>
        </w:rPr>
        <w:t xml:space="preserve"> et a pris note du résumé des méthodes figurant à l</w:t>
      </w:r>
      <w:r w:rsidR="005F7AC8" w:rsidRPr="00DB671B">
        <w:rPr>
          <w:snapToGrid w:val="0"/>
        </w:rPr>
        <w:t>’annexe I</w:t>
      </w:r>
      <w:r w:rsidRPr="00DB671B">
        <w:rPr>
          <w:snapToGrid w:val="0"/>
        </w:rPr>
        <w:t>I du document</w:t>
      </w:r>
      <w:r w:rsidR="00A83A59" w:rsidRPr="00DB671B">
        <w:rPr>
          <w:snapToGrid w:val="0"/>
        </w:rPr>
        <w:t> </w:t>
      </w:r>
      <w:r w:rsidRPr="00DB671B">
        <w:rPr>
          <w:snapToGrid w:val="0"/>
        </w:rPr>
        <w:t>TWP/3/10.  Il est convenu que, à des fins d</w:t>
      </w:r>
      <w:r w:rsidR="005F7AC8" w:rsidRPr="00DB671B">
        <w:rPr>
          <w:snapToGrid w:val="0"/>
        </w:rPr>
        <w:t>’</w:t>
      </w:r>
      <w:r w:rsidRPr="00DB671B">
        <w:rPr>
          <w:snapToGrid w:val="0"/>
        </w:rPr>
        <w:t>orientation, un arbre de décision ou un organigramme pourrait faciliter le choix de la méthode la plus appropriée pour convertir des observations en notes et a suggéré certains éléments à intégrer dans cet outil dans un premier temps.</w:t>
      </w:r>
    </w:p>
    <w:p w:rsidR="00D83B31" w:rsidRPr="00DB671B" w:rsidRDefault="00D83B31" w:rsidP="00097213">
      <w:pPr>
        <w:rPr>
          <w:snapToGrid w:val="0"/>
        </w:rPr>
      </w:pPr>
    </w:p>
    <w:p w:rsidR="00D83B31" w:rsidRPr="00DB671B" w:rsidRDefault="00097213" w:rsidP="00097213">
      <w:pPr>
        <w:rPr>
          <w:snapToGrid w:val="0"/>
        </w:rPr>
      </w:pPr>
      <w:r w:rsidRPr="00DB671B">
        <w:rPr>
          <w:snapToGrid w:val="0"/>
        </w:rPr>
        <w:fldChar w:fldCharType="begin"/>
      </w:r>
      <w:r w:rsidRPr="00DB671B">
        <w:rPr>
          <w:snapToGrid w:val="0"/>
        </w:rPr>
        <w:instrText xml:space="preserve"> AUTONUM  </w:instrText>
      </w:r>
      <w:r w:rsidRPr="00DB671B">
        <w:rPr>
          <w:snapToGrid w:val="0"/>
        </w:rPr>
        <w:fldChar w:fldCharType="end"/>
      </w:r>
      <w:r w:rsidRPr="00DB671B">
        <w:rPr>
          <w:snapToGrid w:val="0"/>
        </w:rPr>
        <w:tab/>
        <w:t>Le TWA a examiné le document</w:t>
      </w:r>
      <w:r w:rsidR="00A83A59" w:rsidRPr="00DB671B">
        <w:rPr>
          <w:snapToGrid w:val="0"/>
        </w:rPr>
        <w:t> </w:t>
      </w:r>
      <w:r w:rsidRPr="00DB671B">
        <w:rPr>
          <w:snapToGrid w:val="0"/>
        </w:rPr>
        <w:t>TWP/3/12 “Characteristic</w:t>
      </w:r>
      <w:r w:rsidR="005F7AC8" w:rsidRPr="00DB671B">
        <w:rPr>
          <w:snapToGrid w:val="0"/>
        </w:rPr>
        <w:t>-</w:t>
      </w:r>
      <w:r w:rsidRPr="00DB671B">
        <w:rPr>
          <w:snapToGrid w:val="0"/>
        </w:rPr>
        <w:t>specific marker with incomplete information on state of expression” et est convenu que le libellé du nouvel exemple proposé nécessitait plus d</w:t>
      </w:r>
      <w:r w:rsidR="005F7AC8" w:rsidRPr="00DB671B">
        <w:rPr>
          <w:snapToGrid w:val="0"/>
        </w:rPr>
        <w:t>’</w:t>
      </w:r>
      <w:r w:rsidRPr="00DB671B">
        <w:rPr>
          <w:snapToGrid w:val="0"/>
        </w:rPr>
        <w:t>éclaircissements.</w:t>
      </w:r>
    </w:p>
    <w:p w:rsidR="00D83B31" w:rsidRPr="00DB671B" w:rsidRDefault="00D83B31" w:rsidP="00097213">
      <w:pPr>
        <w:rPr>
          <w:snapToGrid w:val="0"/>
        </w:rPr>
      </w:pPr>
    </w:p>
    <w:p w:rsidR="00D83B31" w:rsidRPr="00DB671B" w:rsidRDefault="00097213" w:rsidP="00097213">
      <w:pPr>
        <w:rPr>
          <w:snapToGrid w:val="0"/>
        </w:rPr>
      </w:pPr>
      <w:r w:rsidRPr="00DB671B">
        <w:rPr>
          <w:snapToGrid w:val="0"/>
        </w:rPr>
        <w:fldChar w:fldCharType="begin"/>
      </w:r>
      <w:r w:rsidRPr="00DB671B">
        <w:rPr>
          <w:snapToGrid w:val="0"/>
        </w:rPr>
        <w:instrText xml:space="preserve"> AUTONUM  </w:instrText>
      </w:r>
      <w:r w:rsidRPr="00DB671B">
        <w:rPr>
          <w:snapToGrid w:val="0"/>
        </w:rPr>
        <w:fldChar w:fldCharType="end"/>
      </w:r>
      <w:r w:rsidRPr="00DB671B">
        <w:rPr>
          <w:snapToGrid w:val="0"/>
        </w:rPr>
        <w:tab/>
        <w:t>Le TWA a examiné la proposition de révision du document</w:t>
      </w:r>
      <w:r w:rsidR="00A83A59" w:rsidRPr="00DB671B">
        <w:rPr>
          <w:snapToGrid w:val="0"/>
        </w:rPr>
        <w:t> </w:t>
      </w:r>
      <w:r w:rsidRPr="00DB671B">
        <w:rPr>
          <w:snapToGrid w:val="0"/>
        </w:rPr>
        <w:t>TGP/7 tendant à ce que tous les niveaux d</w:t>
      </w:r>
      <w:r w:rsidR="005F7AC8" w:rsidRPr="00DB671B">
        <w:rPr>
          <w:snapToGrid w:val="0"/>
        </w:rPr>
        <w:t>’</w:t>
      </w:r>
      <w:r w:rsidRPr="00DB671B">
        <w:rPr>
          <w:snapToGrid w:val="0"/>
        </w:rPr>
        <w:t>expression des caractères quantitatifs soient présentés dans les principes directeurs d</w:t>
      </w:r>
      <w:r w:rsidR="005F7AC8" w:rsidRPr="00DB671B">
        <w:rPr>
          <w:snapToGrid w:val="0"/>
        </w:rPr>
        <w:t>’</w:t>
      </w:r>
      <w:r w:rsidRPr="00DB671B">
        <w:rPr>
          <w:snapToGrid w:val="0"/>
        </w:rPr>
        <w:t>examen et est convenu qu</w:t>
      </w:r>
      <w:r w:rsidR="005F7AC8" w:rsidRPr="00DB671B">
        <w:rPr>
          <w:snapToGrid w:val="0"/>
        </w:rPr>
        <w:t>’</w:t>
      </w:r>
      <w:r w:rsidRPr="00DB671B">
        <w:rPr>
          <w:snapToGrid w:val="0"/>
        </w:rPr>
        <w:t>il ne serait pas possible de parvenir à une conclusion sur cette question à ce stade.</w:t>
      </w:r>
      <w:r w:rsidRPr="00DB671B">
        <w:t xml:space="preserve"> </w:t>
      </w:r>
      <w:r w:rsidR="00E85E8E" w:rsidRPr="00DB671B">
        <w:rPr>
          <w:snapToGrid w:val="0"/>
        </w:rPr>
        <w:t xml:space="preserve"> </w:t>
      </w:r>
      <w:r w:rsidRPr="00DB671B">
        <w:rPr>
          <w:snapToGrid w:val="0"/>
        </w:rPr>
        <w:t>Il est convenu que cette méthode pouvait être utile pour des examinateurs DHS moins expérimentés ou d</w:t>
      </w:r>
      <w:r w:rsidR="005F7AC8" w:rsidRPr="00DB671B">
        <w:rPr>
          <w:snapToGrid w:val="0"/>
        </w:rPr>
        <w:t>’</w:t>
      </w:r>
      <w:r w:rsidRPr="00DB671B">
        <w:rPr>
          <w:snapToGrid w:val="0"/>
        </w:rPr>
        <w:t>autre</w:t>
      </w:r>
      <w:r w:rsidR="00A83A59" w:rsidRPr="00DB671B">
        <w:rPr>
          <w:snapToGrid w:val="0"/>
        </w:rPr>
        <w:t xml:space="preserve">s </w:t>
      </w:r>
      <w:r w:rsidRPr="00DB671B">
        <w:rPr>
          <w:snapToGrid w:val="0"/>
        </w:rPr>
        <w:t>utilisateurs de principes directeurs d</w:t>
      </w:r>
      <w:r w:rsidR="005F7AC8" w:rsidRPr="00DB671B">
        <w:rPr>
          <w:snapToGrid w:val="0"/>
        </w:rPr>
        <w:t>’</w:t>
      </w:r>
      <w:r w:rsidRPr="00DB671B">
        <w:rPr>
          <w:snapToGrid w:val="0"/>
        </w:rPr>
        <w:t>examen, et aussi que des exposés complets étaient importants en ce qui concerne les applications informatiques.</w:t>
      </w:r>
      <w:r w:rsidRPr="00DB671B">
        <w:t xml:space="preserve"> </w:t>
      </w:r>
      <w:r w:rsidR="00E85E8E" w:rsidRPr="00DB671B">
        <w:rPr>
          <w:snapToGrid w:val="0"/>
        </w:rPr>
        <w:t xml:space="preserve"> </w:t>
      </w:r>
      <w:r w:rsidRPr="00DB671B">
        <w:rPr>
          <w:snapToGrid w:val="0"/>
        </w:rPr>
        <w:t>Il a aussi noté que la présentation de tous les niveaux d</w:t>
      </w:r>
      <w:r w:rsidR="005F7AC8" w:rsidRPr="00DB671B">
        <w:rPr>
          <w:snapToGrid w:val="0"/>
        </w:rPr>
        <w:t>’</w:t>
      </w:r>
      <w:r w:rsidRPr="00DB671B">
        <w:rPr>
          <w:snapToGrid w:val="0"/>
        </w:rPr>
        <w:t>expression pouvait allonger les principes directeurs d</w:t>
      </w:r>
      <w:r w:rsidR="005F7AC8" w:rsidRPr="00DB671B">
        <w:rPr>
          <w:snapToGrid w:val="0"/>
        </w:rPr>
        <w:t>’</w:t>
      </w:r>
      <w:r w:rsidRPr="00DB671B">
        <w:rPr>
          <w:snapToGrid w:val="0"/>
        </w:rPr>
        <w:t>examen et rendre le document moins facile à utiliser sur le terrain.</w:t>
      </w:r>
    </w:p>
    <w:p w:rsidR="00D83B31" w:rsidRPr="00DB671B" w:rsidRDefault="00D83B31" w:rsidP="00097213">
      <w:pPr>
        <w:rPr>
          <w:snapToGrid w:val="0"/>
        </w:rPr>
      </w:pPr>
    </w:p>
    <w:p w:rsidR="00D83B31" w:rsidRPr="00DB671B" w:rsidRDefault="00097213" w:rsidP="00097213">
      <w:pPr>
        <w:rPr>
          <w:snapToGrid w:val="0"/>
        </w:rPr>
      </w:pPr>
      <w:r w:rsidRPr="00DB671B">
        <w:rPr>
          <w:snapToGrid w:val="0"/>
        </w:rPr>
        <w:fldChar w:fldCharType="begin"/>
      </w:r>
      <w:r w:rsidRPr="00DB671B">
        <w:rPr>
          <w:snapToGrid w:val="0"/>
        </w:rPr>
        <w:instrText xml:space="preserve"> AUTONUM  </w:instrText>
      </w:r>
      <w:r w:rsidRPr="00DB671B">
        <w:rPr>
          <w:snapToGrid w:val="0"/>
        </w:rPr>
        <w:fldChar w:fldCharType="end"/>
      </w:r>
      <w:r w:rsidRPr="00DB671B">
        <w:rPr>
          <w:snapToGrid w:val="0"/>
        </w:rPr>
        <w:tab/>
        <w:t>Le TWA a examiné la question de la coopération entre les organisations internationales et, notamment, de l</w:t>
      </w:r>
      <w:r w:rsidR="005F7AC8" w:rsidRPr="00DB671B">
        <w:rPr>
          <w:snapToGrid w:val="0"/>
        </w:rPr>
        <w:t>’</w:t>
      </w:r>
      <w:r w:rsidRPr="00DB671B">
        <w:rPr>
          <w:snapToGrid w:val="0"/>
        </w:rPr>
        <w:t>élaboration d</w:t>
      </w:r>
      <w:r w:rsidR="005F7AC8" w:rsidRPr="00DB671B">
        <w:rPr>
          <w:snapToGrid w:val="0"/>
        </w:rPr>
        <w:t>’</w:t>
      </w:r>
      <w:r w:rsidRPr="00DB671B">
        <w:rPr>
          <w:snapToGrid w:val="0"/>
        </w:rPr>
        <w:t>un inventaire de l</w:t>
      </w:r>
      <w:r w:rsidR="005F7AC8" w:rsidRPr="00DB671B">
        <w:rPr>
          <w:snapToGrid w:val="0"/>
        </w:rPr>
        <w:t>’</w:t>
      </w:r>
      <w:r w:rsidRPr="00DB671B">
        <w:rPr>
          <w:snapToGrid w:val="0"/>
        </w:rPr>
        <w:t>utilisation qui est faite des techniques faisant intervenir des marqueurs moléculaires.</w:t>
      </w:r>
      <w:r w:rsidRPr="00DB671B">
        <w:t xml:space="preserve">  </w:t>
      </w:r>
      <w:r w:rsidRPr="00DB671B">
        <w:rPr>
          <w:snapToGrid w:val="0"/>
        </w:rPr>
        <w:t>Il a reconnu que le terme “validation” dans la question “La technique moléculaire est</w:t>
      </w:r>
      <w:r w:rsidR="005F7AC8" w:rsidRPr="00DB671B">
        <w:rPr>
          <w:snapToGrid w:val="0"/>
        </w:rPr>
        <w:t>-</w:t>
      </w:r>
      <w:r w:rsidRPr="00DB671B">
        <w:rPr>
          <w:snapToGrid w:val="0"/>
        </w:rPr>
        <w:t>elle validée” pouvait prêter à confusion et que la question devrait peut</w:t>
      </w:r>
      <w:r w:rsidR="005F7AC8" w:rsidRPr="00DB671B">
        <w:rPr>
          <w:snapToGrid w:val="0"/>
        </w:rPr>
        <w:t>-</w:t>
      </w:r>
      <w:r w:rsidRPr="00DB671B">
        <w:rPr>
          <w:snapToGrid w:val="0"/>
        </w:rPr>
        <w:t>être être supprimée de l</w:t>
      </w:r>
      <w:r w:rsidR="005F7AC8" w:rsidRPr="00DB671B">
        <w:rPr>
          <w:snapToGrid w:val="0"/>
        </w:rPr>
        <w:t>’</w:t>
      </w:r>
      <w:r w:rsidRPr="00DB671B">
        <w:rPr>
          <w:snapToGrid w:val="0"/>
        </w:rPr>
        <w:t>enquête.</w:t>
      </w:r>
      <w:r w:rsidR="005F7AC8" w:rsidRPr="00DB671B">
        <w:t xml:space="preserve"> </w:t>
      </w:r>
      <w:r w:rsidR="00E85E8E" w:rsidRPr="00DB671B">
        <w:rPr>
          <w:snapToGrid w:val="0"/>
        </w:rPr>
        <w:t xml:space="preserve"> </w:t>
      </w:r>
      <w:r w:rsidR="005F7AC8" w:rsidRPr="00DB671B">
        <w:rPr>
          <w:snapToGrid w:val="0"/>
        </w:rPr>
        <w:t>Le TWA</w:t>
      </w:r>
      <w:r w:rsidRPr="00DB671B">
        <w:rPr>
          <w:snapToGrid w:val="0"/>
        </w:rPr>
        <w:t xml:space="preserve"> est également convenu</w:t>
      </w:r>
      <w:r w:rsidR="00F474E8" w:rsidRPr="00DB671B">
        <w:rPr>
          <w:snapToGrid w:val="0"/>
        </w:rPr>
        <w:t>, pour</w:t>
      </w:r>
      <w:r w:rsidRPr="00DB671B">
        <w:rPr>
          <w:snapToGrid w:val="0"/>
        </w:rPr>
        <w:t xml:space="preserve"> d</w:t>
      </w:r>
      <w:r w:rsidR="005F7AC8" w:rsidRPr="00DB671B">
        <w:rPr>
          <w:snapToGrid w:val="0"/>
        </w:rPr>
        <w:t>’</w:t>
      </w:r>
      <w:r w:rsidRPr="00DB671B">
        <w:rPr>
          <w:snapToGrid w:val="0"/>
        </w:rPr>
        <w:t xml:space="preserve">éviter la répétition des travaux par les personnes interrogées, </w:t>
      </w:r>
      <w:r w:rsidR="00F474E8" w:rsidRPr="00DB671B">
        <w:rPr>
          <w:snapToGrid w:val="0"/>
        </w:rPr>
        <w:t xml:space="preserve">que </w:t>
      </w:r>
      <w:r w:rsidRPr="00DB671B">
        <w:rPr>
          <w:snapToGrid w:val="0"/>
        </w:rPr>
        <w:t>l</w:t>
      </w:r>
      <w:r w:rsidR="005F7AC8" w:rsidRPr="00DB671B">
        <w:rPr>
          <w:snapToGrid w:val="0"/>
        </w:rPr>
        <w:t>’</w:t>
      </w:r>
      <w:r w:rsidRPr="00DB671B">
        <w:rPr>
          <w:snapToGrid w:val="0"/>
        </w:rPr>
        <w:t xml:space="preserve">enquête </w:t>
      </w:r>
      <w:r w:rsidR="006A0CBA" w:rsidRPr="00DB671B">
        <w:rPr>
          <w:snapToGrid w:val="0"/>
        </w:rPr>
        <w:t>devrait être</w:t>
      </w:r>
      <w:r w:rsidRPr="00DB671B">
        <w:rPr>
          <w:snapToGrid w:val="0"/>
        </w:rPr>
        <w:t xml:space="preserve"> menée en coordination avec l</w:t>
      </w:r>
      <w:r w:rsidR="005F7AC8" w:rsidRPr="00DB671B">
        <w:rPr>
          <w:snapToGrid w:val="0"/>
        </w:rPr>
        <w:t>’</w:t>
      </w:r>
      <w:r w:rsidRPr="00DB671B">
        <w:rPr>
          <w:snapToGrid w:val="0"/>
        </w:rPr>
        <w:t>OCDE.</w:t>
      </w:r>
    </w:p>
    <w:p w:rsidR="00D83B31" w:rsidRPr="00DB671B" w:rsidRDefault="00D83B31" w:rsidP="00097213">
      <w:pPr>
        <w:rPr>
          <w:snapToGrid w:val="0"/>
        </w:rPr>
      </w:pPr>
    </w:p>
    <w:p w:rsidR="00D83B31" w:rsidRPr="00DB671B" w:rsidRDefault="00097213" w:rsidP="00097213">
      <w:pPr>
        <w:rPr>
          <w:snapToGrid w:val="0"/>
        </w:rPr>
      </w:pPr>
      <w:r w:rsidRPr="00DB671B">
        <w:rPr>
          <w:snapToGrid w:val="0"/>
        </w:rPr>
        <w:fldChar w:fldCharType="begin"/>
      </w:r>
      <w:r w:rsidRPr="00DB671B">
        <w:rPr>
          <w:snapToGrid w:val="0"/>
        </w:rPr>
        <w:instrText xml:space="preserve"> AUTONUM  </w:instrText>
      </w:r>
      <w:r w:rsidRPr="00DB671B">
        <w:rPr>
          <w:snapToGrid w:val="0"/>
        </w:rPr>
        <w:fldChar w:fldCharType="end"/>
      </w:r>
      <w:r w:rsidRPr="00DB671B">
        <w:rPr>
          <w:snapToGrid w:val="0"/>
        </w:rPr>
        <w:tab/>
        <w:t>Le TWA a créé de petits groupes de discussion pour échanger des informations sur leurs travaux dans le domaine des techniques biochimiques et moléculaires et étudier les domaines de coopération possibles.</w:t>
      </w:r>
      <w:r w:rsidRPr="00DB671B">
        <w:t xml:space="preserve"> </w:t>
      </w:r>
      <w:r w:rsidR="00E85E8E" w:rsidRPr="00DB671B">
        <w:rPr>
          <w:snapToGrid w:val="0"/>
        </w:rPr>
        <w:t xml:space="preserve"> </w:t>
      </w:r>
      <w:r w:rsidRPr="00DB671B">
        <w:rPr>
          <w:snapToGrid w:val="0"/>
        </w:rPr>
        <w:t>Les sessions ont été productives et bien reçues et des synthèses</w:t>
      </w:r>
      <w:r w:rsidR="00184060" w:rsidRPr="00DB671B">
        <w:rPr>
          <w:snapToGrid w:val="0"/>
        </w:rPr>
        <w:t xml:space="preserve"> ont été établies sur l</w:t>
      </w:r>
      <w:r w:rsidRPr="00DB671B">
        <w:rPr>
          <w:snapToGrid w:val="0"/>
        </w:rPr>
        <w:t xml:space="preserve">es plantes et </w:t>
      </w:r>
      <w:r w:rsidR="00184060" w:rsidRPr="00DB671B">
        <w:rPr>
          <w:snapToGrid w:val="0"/>
        </w:rPr>
        <w:t>l</w:t>
      </w:r>
      <w:r w:rsidRPr="00DB671B">
        <w:rPr>
          <w:snapToGrid w:val="0"/>
        </w:rPr>
        <w:t>es services utilisant actuellement (ou prévoyant d</w:t>
      </w:r>
      <w:r w:rsidR="005F7AC8" w:rsidRPr="00DB671B">
        <w:rPr>
          <w:snapToGrid w:val="0"/>
        </w:rPr>
        <w:t>’</w:t>
      </w:r>
      <w:r w:rsidRPr="00DB671B">
        <w:rPr>
          <w:snapToGrid w:val="0"/>
        </w:rPr>
        <w:t>utiliser) des techniques</w:t>
      </w:r>
      <w:r w:rsidR="00184060" w:rsidRPr="00DB671B">
        <w:rPr>
          <w:snapToGrid w:val="0"/>
        </w:rPr>
        <w:t xml:space="preserve"> biochimiques et moléculaires, l</w:t>
      </w:r>
      <w:r w:rsidRPr="00DB671B">
        <w:rPr>
          <w:snapToGrid w:val="0"/>
        </w:rPr>
        <w:t xml:space="preserve">es techniques actuellement utilisées et dans quel but, ainsi que </w:t>
      </w:r>
      <w:r w:rsidR="00184060" w:rsidRPr="00DB671B">
        <w:rPr>
          <w:snapToGrid w:val="0"/>
        </w:rPr>
        <w:t>l</w:t>
      </w:r>
      <w:r w:rsidRPr="00DB671B">
        <w:rPr>
          <w:snapToGrid w:val="0"/>
        </w:rPr>
        <w:t>es domaines de coopération possibles</w:t>
      </w:r>
      <w:r w:rsidR="00184060" w:rsidRPr="00DB671B">
        <w:rPr>
          <w:snapToGrid w:val="0"/>
        </w:rPr>
        <w:t>,</w:t>
      </w:r>
      <w:r w:rsidRPr="00DB671B">
        <w:rPr>
          <w:snapToGrid w:val="0"/>
        </w:rPr>
        <w:t xml:space="preserve"> en vue d</w:t>
      </w:r>
      <w:r w:rsidR="005F7AC8" w:rsidRPr="00DB671B">
        <w:rPr>
          <w:snapToGrid w:val="0"/>
        </w:rPr>
        <w:t>’</w:t>
      </w:r>
      <w:r w:rsidRPr="00DB671B">
        <w:rPr>
          <w:snapToGrid w:val="0"/>
        </w:rPr>
        <w:t>une utilisation ultérieure.</w:t>
      </w:r>
    </w:p>
    <w:p w:rsidR="00D83B31" w:rsidRPr="00DB671B" w:rsidRDefault="00D83B31" w:rsidP="00097213">
      <w:pPr>
        <w:rPr>
          <w:snapToGrid w:val="0"/>
        </w:rPr>
      </w:pPr>
    </w:p>
    <w:p w:rsidR="005F7AC8" w:rsidRPr="00DB671B" w:rsidRDefault="00054FE5" w:rsidP="00097213">
      <w:pPr>
        <w:rPr>
          <w:snapToGrid w:val="0"/>
        </w:rPr>
      </w:pPr>
      <w:r w:rsidRPr="00DB671B">
        <w:rPr>
          <w:snapToGrid w:val="0"/>
        </w:rPr>
        <w:fldChar w:fldCharType="begin"/>
      </w:r>
      <w:r w:rsidRPr="00DB671B">
        <w:rPr>
          <w:snapToGrid w:val="0"/>
        </w:rPr>
        <w:instrText xml:space="preserve"> AUTONUM  </w:instrText>
      </w:r>
      <w:r w:rsidRPr="00DB671B">
        <w:rPr>
          <w:snapToGrid w:val="0"/>
        </w:rPr>
        <w:fldChar w:fldCharType="end"/>
      </w:r>
      <w:r w:rsidRPr="00DB671B">
        <w:rPr>
          <w:snapToGrid w:val="0"/>
        </w:rPr>
        <w:tab/>
      </w:r>
      <w:r w:rsidR="00097213" w:rsidRPr="00DB671B">
        <w:rPr>
          <w:snapToGrid w:val="0"/>
        </w:rPr>
        <w:t>Le TWA a aussi constitué de petits groupes de discussion chargés d</w:t>
      </w:r>
      <w:r w:rsidR="005F7AC8" w:rsidRPr="00DB671B">
        <w:rPr>
          <w:snapToGrid w:val="0"/>
        </w:rPr>
        <w:t>’</w:t>
      </w:r>
      <w:r w:rsidR="00097213" w:rsidRPr="00DB671B">
        <w:rPr>
          <w:snapToGrid w:val="0"/>
        </w:rPr>
        <w:t>examiner les difficultés techniques qui ont empêché la coopération en matière d</w:t>
      </w:r>
      <w:r w:rsidR="005F7AC8" w:rsidRPr="00DB671B">
        <w:rPr>
          <w:snapToGrid w:val="0"/>
        </w:rPr>
        <w:t>’</w:t>
      </w:r>
      <w:r w:rsidR="00097213" w:rsidRPr="00DB671B">
        <w:rPr>
          <w:snapToGrid w:val="0"/>
        </w:rPr>
        <w:t>examen</w:t>
      </w:r>
      <w:r w:rsidR="00E85E8E" w:rsidRPr="00DB671B">
        <w:rPr>
          <w:snapToGrid w:val="0"/>
        </w:rPr>
        <w:t> </w:t>
      </w:r>
      <w:r w:rsidR="00097213" w:rsidRPr="00DB671B">
        <w:rPr>
          <w:snapToGrid w:val="0"/>
        </w:rPr>
        <w:t>DHS et de proposer des solutions pour y remédier.</w:t>
      </w:r>
      <w:r w:rsidR="00097213" w:rsidRPr="00DB671B">
        <w:t xml:space="preserve">  </w:t>
      </w:r>
      <w:r w:rsidR="00097213" w:rsidRPr="00DB671B">
        <w:rPr>
          <w:snapToGrid w:val="0"/>
        </w:rPr>
        <w:lastRenderedPageBreak/>
        <w:t>Des</w:t>
      </w:r>
      <w:r w:rsidR="00B765B2">
        <w:rPr>
          <w:snapToGrid w:val="0"/>
        </w:rPr>
        <w:t> </w:t>
      </w:r>
      <w:r w:rsidR="00097213" w:rsidRPr="00DB671B">
        <w:rPr>
          <w:snapToGrid w:val="0"/>
        </w:rPr>
        <w:t>synthèses de ces discussions ont également été établies.  Ces petits groupes ont été très productifs et le retour d</w:t>
      </w:r>
      <w:r w:rsidR="005F7AC8" w:rsidRPr="00DB671B">
        <w:rPr>
          <w:snapToGrid w:val="0"/>
        </w:rPr>
        <w:t>’</w:t>
      </w:r>
      <w:r w:rsidR="00097213" w:rsidRPr="00DB671B">
        <w:rPr>
          <w:snapToGrid w:val="0"/>
        </w:rPr>
        <w:t>information reçu sur cette méthode de travail a été positif.</w:t>
      </w:r>
    </w:p>
    <w:p w:rsidR="00D83B31" w:rsidRPr="00DB671B" w:rsidRDefault="00D83B31" w:rsidP="00097213">
      <w:pPr>
        <w:rPr>
          <w:snapToGrid w:val="0"/>
        </w:rPr>
      </w:pPr>
    </w:p>
    <w:p w:rsidR="00D83B31" w:rsidRPr="00DB671B" w:rsidRDefault="00097213" w:rsidP="00097213">
      <w:pPr>
        <w:rPr>
          <w:snapToGrid w:val="0"/>
        </w:rPr>
      </w:pPr>
      <w:r w:rsidRPr="00DB671B">
        <w:rPr>
          <w:snapToGrid w:val="0"/>
        </w:rPr>
        <w:fldChar w:fldCharType="begin"/>
      </w:r>
      <w:r w:rsidRPr="00DB671B">
        <w:rPr>
          <w:snapToGrid w:val="0"/>
        </w:rPr>
        <w:instrText xml:space="preserve"> AUTONUM  </w:instrText>
      </w:r>
      <w:r w:rsidRPr="00DB671B">
        <w:rPr>
          <w:snapToGrid w:val="0"/>
        </w:rPr>
        <w:fldChar w:fldCharType="end"/>
      </w:r>
      <w:r w:rsidRPr="00DB671B">
        <w:rPr>
          <w:snapToGrid w:val="0"/>
        </w:rPr>
        <w:tab/>
        <w:t>Le TWA a examiné</w:t>
      </w:r>
      <w:r w:rsidR="005F7AC8" w:rsidRPr="00DB671B">
        <w:rPr>
          <w:snapToGrid w:val="0"/>
        </w:rPr>
        <w:t xml:space="preserve"> le</w:t>
      </w:r>
      <w:r w:rsidR="00B21CEB" w:rsidRPr="00DB671B">
        <w:rPr>
          <w:snapToGrid w:val="0"/>
        </w:rPr>
        <w:t xml:space="preserve"> document</w:t>
      </w:r>
      <w:r w:rsidR="005F7AC8" w:rsidRPr="00DB671B">
        <w:rPr>
          <w:snapToGrid w:val="0"/>
        </w:rPr>
        <w:t> TWP</w:t>
      </w:r>
      <w:r w:rsidRPr="00DB671B">
        <w:rPr>
          <w:snapToGrid w:val="0"/>
        </w:rPr>
        <w:t xml:space="preserve">/3/13 “Differences in notes for the assessment of distinctness” et a noté </w:t>
      </w:r>
      <w:r w:rsidR="00A83A59" w:rsidRPr="00DB671B">
        <w:rPr>
          <w:snapToGrid w:val="0"/>
        </w:rPr>
        <w:t>que</w:t>
      </w:r>
      <w:r w:rsidRPr="00DB671B">
        <w:rPr>
          <w:snapToGrid w:val="0"/>
        </w:rPr>
        <w:t xml:space="preserve"> la méthode GAIA offrait une solution de présélection et qu</w:t>
      </w:r>
      <w:r w:rsidR="005F7AC8" w:rsidRPr="00DB671B">
        <w:rPr>
          <w:snapToGrid w:val="0"/>
        </w:rPr>
        <w:t>’</w:t>
      </w:r>
      <w:r w:rsidRPr="00DB671B">
        <w:rPr>
          <w:snapToGrid w:val="0"/>
        </w:rPr>
        <w:t>elle n</w:t>
      </w:r>
      <w:r w:rsidR="005F7AC8" w:rsidRPr="00DB671B">
        <w:rPr>
          <w:snapToGrid w:val="0"/>
        </w:rPr>
        <w:t>’</w:t>
      </w:r>
      <w:r w:rsidRPr="00DB671B">
        <w:rPr>
          <w:snapToGrid w:val="0"/>
        </w:rPr>
        <w:t>était pas utilisée pour comparer des données dans l</w:t>
      </w:r>
      <w:r w:rsidR="005F7AC8" w:rsidRPr="00DB671B">
        <w:rPr>
          <w:snapToGrid w:val="0"/>
        </w:rPr>
        <w:t>’</w:t>
      </w:r>
      <w:r w:rsidRPr="00DB671B">
        <w:rPr>
          <w:snapToGrid w:val="0"/>
        </w:rPr>
        <w:t>essai en culture.</w:t>
      </w:r>
      <w:r w:rsidRPr="00DB671B">
        <w:t xml:space="preserve">  </w:t>
      </w:r>
      <w:r w:rsidRPr="00DB671B">
        <w:rPr>
          <w:snapToGrid w:val="0"/>
        </w:rPr>
        <w:t>Il est aussi convenu que les explications relatives à certains caractères liés à la forme et à la couleur pouvaient être fournies sous forme de tableau indiquant quels niveaux d</w:t>
      </w:r>
      <w:r w:rsidR="005F7AC8" w:rsidRPr="00DB671B">
        <w:rPr>
          <w:snapToGrid w:val="0"/>
        </w:rPr>
        <w:t>’</w:t>
      </w:r>
      <w:r w:rsidRPr="00DB671B">
        <w:rPr>
          <w:snapToGrid w:val="0"/>
        </w:rPr>
        <w:t>expression pouvaient être considérés comme étant distincts les uns des autres.</w:t>
      </w:r>
    </w:p>
    <w:p w:rsidR="00D83B31" w:rsidRPr="00DB671B" w:rsidRDefault="00D83B31" w:rsidP="00097213">
      <w:pPr>
        <w:rPr>
          <w:snapToGrid w:val="0"/>
        </w:rPr>
      </w:pPr>
    </w:p>
    <w:p w:rsidR="005F7AC8" w:rsidRPr="00DB671B" w:rsidRDefault="00097213" w:rsidP="00097213">
      <w:pPr>
        <w:rPr>
          <w:snapToGrid w:val="0"/>
        </w:rPr>
      </w:pPr>
      <w:r w:rsidRPr="00DB671B">
        <w:rPr>
          <w:snapToGrid w:val="0"/>
        </w:rPr>
        <w:fldChar w:fldCharType="begin"/>
      </w:r>
      <w:r w:rsidRPr="00DB671B">
        <w:rPr>
          <w:snapToGrid w:val="0"/>
        </w:rPr>
        <w:instrText xml:space="preserve"> AUTONUM  </w:instrText>
      </w:r>
      <w:r w:rsidRPr="00DB671B">
        <w:rPr>
          <w:snapToGrid w:val="0"/>
        </w:rPr>
        <w:fldChar w:fldCharType="end"/>
      </w:r>
      <w:r w:rsidRPr="00DB671B">
        <w:rPr>
          <w:snapToGrid w:val="0"/>
        </w:rPr>
        <w:tab/>
        <w:t>Le TWA a suivi un exposé intitulé “Experiences with new types and species of agricultural crops in the Czech Republic” (Données d</w:t>
      </w:r>
      <w:r w:rsidR="005F7AC8" w:rsidRPr="00DB671B">
        <w:rPr>
          <w:snapToGrid w:val="0"/>
        </w:rPr>
        <w:t>’</w:t>
      </w:r>
      <w:r w:rsidRPr="00DB671B">
        <w:rPr>
          <w:snapToGrid w:val="0"/>
        </w:rPr>
        <w:t>expérience relatives aux nouveaux types et espèces de cultures agricoles en République tchèque) (document TWA/48/6) et a reconnu que les informa</w:t>
      </w:r>
      <w:r w:rsidR="00B765B2">
        <w:rPr>
          <w:snapToGrid w:val="0"/>
        </w:rPr>
        <w:t>tions fournies par la République </w:t>
      </w:r>
      <w:r w:rsidRPr="00DB671B">
        <w:rPr>
          <w:snapToGrid w:val="0"/>
        </w:rPr>
        <w:t>tchèque en matière de gestion des nouveaux types et espèces constituaient une source d</w:t>
      </w:r>
      <w:r w:rsidR="005F7AC8" w:rsidRPr="00DB671B">
        <w:rPr>
          <w:snapToGrid w:val="0"/>
        </w:rPr>
        <w:t>’</w:t>
      </w:r>
      <w:r w:rsidRPr="00DB671B">
        <w:rPr>
          <w:snapToGrid w:val="0"/>
        </w:rPr>
        <w:t>informations utile aux nouveaux membres et aux membres plus expérimentés.</w:t>
      </w:r>
      <w:r w:rsidR="005F7AC8" w:rsidRPr="00DB671B">
        <w:t xml:space="preserve"> </w:t>
      </w:r>
      <w:r w:rsidR="00E85E8E" w:rsidRPr="00DB671B">
        <w:rPr>
          <w:snapToGrid w:val="0"/>
        </w:rPr>
        <w:t xml:space="preserve"> </w:t>
      </w:r>
      <w:r w:rsidR="005F7AC8" w:rsidRPr="00DB671B">
        <w:rPr>
          <w:snapToGrid w:val="0"/>
        </w:rPr>
        <w:t>Le TWA</w:t>
      </w:r>
      <w:r w:rsidRPr="00DB671B">
        <w:rPr>
          <w:snapToGrid w:val="0"/>
        </w:rPr>
        <w:t xml:space="preserve"> a pris note des données d</w:t>
      </w:r>
      <w:r w:rsidR="005F7AC8" w:rsidRPr="00DB671B">
        <w:rPr>
          <w:snapToGrid w:val="0"/>
        </w:rPr>
        <w:t>’</w:t>
      </w:r>
      <w:r w:rsidRPr="00DB671B">
        <w:rPr>
          <w:snapToGrid w:val="0"/>
        </w:rPr>
        <w:t>expérience de la République tchèque concernant les différents moyens de coopération en matière d</w:t>
      </w:r>
      <w:r w:rsidR="005F7AC8" w:rsidRPr="00DB671B">
        <w:rPr>
          <w:snapToGrid w:val="0"/>
        </w:rPr>
        <w:t>’</w:t>
      </w:r>
      <w:r w:rsidRPr="00DB671B">
        <w:rPr>
          <w:snapToGrid w:val="0"/>
        </w:rPr>
        <w:t>examen</w:t>
      </w:r>
      <w:r w:rsidR="00E85E8E" w:rsidRPr="00DB671B">
        <w:rPr>
          <w:snapToGrid w:val="0"/>
        </w:rPr>
        <w:t> </w:t>
      </w:r>
      <w:r w:rsidRPr="00DB671B">
        <w:rPr>
          <w:snapToGrid w:val="0"/>
        </w:rPr>
        <w:t>DHS, tels que la reprise des rapports d</w:t>
      </w:r>
      <w:r w:rsidR="005F7AC8" w:rsidRPr="00DB671B">
        <w:rPr>
          <w:snapToGrid w:val="0"/>
        </w:rPr>
        <w:t>’</w:t>
      </w:r>
      <w:r w:rsidRPr="00DB671B">
        <w:rPr>
          <w:snapToGrid w:val="0"/>
        </w:rPr>
        <w:t>examen, la prise en charge de l</w:t>
      </w:r>
      <w:r w:rsidR="005F7AC8" w:rsidRPr="00DB671B">
        <w:rPr>
          <w:snapToGrid w:val="0"/>
        </w:rPr>
        <w:t>’</w:t>
      </w:r>
      <w:r w:rsidRPr="00DB671B">
        <w:rPr>
          <w:snapToGrid w:val="0"/>
        </w:rPr>
        <w:t>examen par un autre service et la coopération avec les obtenteurs, de même que la réalisation directe de l</w:t>
      </w:r>
      <w:r w:rsidR="005F7AC8" w:rsidRPr="00DB671B">
        <w:rPr>
          <w:snapToGrid w:val="0"/>
        </w:rPr>
        <w:t>’</w:t>
      </w:r>
      <w:r w:rsidRPr="00DB671B">
        <w:rPr>
          <w:snapToGrid w:val="0"/>
        </w:rPr>
        <w:t>examen.</w:t>
      </w:r>
    </w:p>
    <w:p w:rsidR="00D83B31" w:rsidRPr="00DB671B" w:rsidRDefault="00D83B31" w:rsidP="00097213">
      <w:pPr>
        <w:rPr>
          <w:snapToGrid w:val="0"/>
        </w:rPr>
      </w:pPr>
    </w:p>
    <w:p w:rsidR="00D83B31" w:rsidRPr="00DB671B" w:rsidRDefault="00097213" w:rsidP="00097213">
      <w:pPr>
        <w:rPr>
          <w:snapToGrid w:val="0"/>
        </w:rPr>
      </w:pPr>
      <w:r w:rsidRPr="00DB671B">
        <w:rPr>
          <w:snapToGrid w:val="0"/>
        </w:rPr>
        <w:fldChar w:fldCharType="begin"/>
      </w:r>
      <w:r w:rsidRPr="00DB671B">
        <w:rPr>
          <w:snapToGrid w:val="0"/>
        </w:rPr>
        <w:instrText xml:space="preserve"> AUTONUM  </w:instrText>
      </w:r>
      <w:r w:rsidRPr="00DB671B">
        <w:rPr>
          <w:snapToGrid w:val="0"/>
        </w:rPr>
        <w:fldChar w:fldCharType="end"/>
      </w:r>
      <w:r w:rsidRPr="00DB671B">
        <w:rPr>
          <w:snapToGrid w:val="0"/>
        </w:rPr>
        <w:tab/>
        <w:t>Le TWA a examiné neuf</w:t>
      </w:r>
      <w:r w:rsidR="00E85E8E" w:rsidRPr="00DB671B">
        <w:rPr>
          <w:snapToGrid w:val="0"/>
        </w:rPr>
        <w:t> </w:t>
      </w:r>
      <w:r w:rsidRPr="00DB671B">
        <w:rPr>
          <w:snapToGrid w:val="0"/>
        </w:rPr>
        <w:t>projets de principes directeurs d</w:t>
      </w:r>
      <w:r w:rsidR="005F7AC8" w:rsidRPr="00DB671B">
        <w:rPr>
          <w:snapToGrid w:val="0"/>
        </w:rPr>
        <w:t>’</w:t>
      </w:r>
      <w:r w:rsidRPr="00DB671B">
        <w:rPr>
          <w:snapToGrid w:val="0"/>
        </w:rPr>
        <w:t>examen et est convenu de soumettre les projets de principes directeurs d</w:t>
      </w:r>
      <w:r w:rsidR="005F7AC8" w:rsidRPr="00DB671B">
        <w:rPr>
          <w:snapToGrid w:val="0"/>
        </w:rPr>
        <w:t>’</w:t>
      </w:r>
      <w:r w:rsidRPr="00DB671B">
        <w:rPr>
          <w:snapToGrid w:val="0"/>
        </w:rPr>
        <w:t xml:space="preserve">examen </w:t>
      </w:r>
      <w:r w:rsidR="0093022C" w:rsidRPr="00DB671B">
        <w:rPr>
          <w:snapToGrid w:val="0"/>
        </w:rPr>
        <w:t>du</w:t>
      </w:r>
      <w:r w:rsidRPr="00DB671B">
        <w:rPr>
          <w:snapToGrid w:val="0"/>
        </w:rPr>
        <w:t xml:space="preserve"> ginseng (Panax ginseng C.A. </w:t>
      </w:r>
      <w:r w:rsidR="00E85E8E" w:rsidRPr="00DB671B">
        <w:rPr>
          <w:snapToGrid w:val="0"/>
        </w:rPr>
        <w:t xml:space="preserve"> </w:t>
      </w:r>
      <w:r w:rsidRPr="00DB671B">
        <w:rPr>
          <w:snapToGrid w:val="0"/>
        </w:rPr>
        <w:t xml:space="preserve">Mey) (révision), </w:t>
      </w:r>
      <w:r w:rsidR="0093022C" w:rsidRPr="00DB671B">
        <w:rPr>
          <w:snapToGrid w:val="0"/>
        </w:rPr>
        <w:t>du</w:t>
      </w:r>
      <w:r w:rsidRPr="00DB671B">
        <w:rPr>
          <w:snapToGrid w:val="0"/>
        </w:rPr>
        <w:t xml:space="preserve"> trèfle violet (Trifolium pratense L.) (révision) et </w:t>
      </w:r>
      <w:r w:rsidR="0093022C" w:rsidRPr="00DB671B">
        <w:rPr>
          <w:snapToGrid w:val="0"/>
        </w:rPr>
        <w:t>du</w:t>
      </w:r>
      <w:r w:rsidRPr="00DB671B">
        <w:rPr>
          <w:snapToGrid w:val="0"/>
        </w:rPr>
        <w:t xml:space="preserve"> t</w:t>
      </w:r>
      <w:r w:rsidRPr="00DB671B">
        <w:rPr>
          <w:bCs/>
          <w:iCs/>
          <w:snapToGrid w:val="0"/>
        </w:rPr>
        <w:t>riticale</w:t>
      </w:r>
      <w:r w:rsidRPr="00DB671B">
        <w:rPr>
          <w:snapToGrid w:val="0"/>
        </w:rPr>
        <w:t xml:space="preserve"> (x</w:t>
      </w:r>
      <w:r w:rsidRPr="00DB671B">
        <w:rPr>
          <w:i/>
          <w:snapToGrid w:val="0"/>
        </w:rPr>
        <w:t>Triticosecale</w:t>
      </w:r>
      <w:r w:rsidRPr="00DB671B">
        <w:rPr>
          <w:snapToGrid w:val="0"/>
        </w:rPr>
        <w:t xml:space="preserve"> Witt.) (révision) au Comité technique pour adoption.</w:t>
      </w:r>
    </w:p>
    <w:p w:rsidR="00D83B31" w:rsidRPr="00DB671B" w:rsidRDefault="00D83B31" w:rsidP="00097213">
      <w:pPr>
        <w:rPr>
          <w:snapToGrid w:val="0"/>
        </w:rPr>
      </w:pPr>
    </w:p>
    <w:p w:rsidR="00D83B31" w:rsidRPr="00DB671B" w:rsidRDefault="00097213" w:rsidP="00097213">
      <w:pPr>
        <w:rPr>
          <w:snapToGrid w:val="0"/>
        </w:rPr>
      </w:pPr>
      <w:r w:rsidRPr="00DB671B">
        <w:rPr>
          <w:snapToGrid w:val="0"/>
        </w:rPr>
        <w:fldChar w:fldCharType="begin"/>
      </w:r>
      <w:r w:rsidRPr="00DB671B">
        <w:rPr>
          <w:snapToGrid w:val="0"/>
        </w:rPr>
        <w:instrText xml:space="preserve"> AUTONUM  </w:instrText>
      </w:r>
      <w:r w:rsidRPr="00DB671B">
        <w:rPr>
          <w:snapToGrid w:val="0"/>
        </w:rPr>
        <w:fldChar w:fldCharType="end"/>
      </w:r>
      <w:r w:rsidRPr="00DB671B">
        <w:rPr>
          <w:snapToGrid w:val="0"/>
        </w:rPr>
        <w:tab/>
        <w:t>Le TWA est convenu d</w:t>
      </w:r>
      <w:r w:rsidR="005F7AC8" w:rsidRPr="00DB671B">
        <w:rPr>
          <w:snapToGrid w:val="0"/>
        </w:rPr>
        <w:t>’</w:t>
      </w:r>
      <w:r w:rsidRPr="00DB671B">
        <w:rPr>
          <w:snapToGrid w:val="0"/>
        </w:rPr>
        <w:t>examiner 10</w:t>
      </w:r>
      <w:r w:rsidR="00A83A59" w:rsidRPr="00DB671B">
        <w:rPr>
          <w:snapToGrid w:val="0"/>
        </w:rPr>
        <w:t> </w:t>
      </w:r>
      <w:r w:rsidRPr="00DB671B">
        <w:rPr>
          <w:snapToGrid w:val="0"/>
        </w:rPr>
        <w:t>principes directeurs d</w:t>
      </w:r>
      <w:r w:rsidR="005F7AC8" w:rsidRPr="00DB671B">
        <w:rPr>
          <w:snapToGrid w:val="0"/>
        </w:rPr>
        <w:t>’</w:t>
      </w:r>
      <w:r w:rsidRPr="00DB671B">
        <w:rPr>
          <w:snapToGrid w:val="0"/>
        </w:rPr>
        <w:t>examen à sa quarante</w:t>
      </w:r>
      <w:r w:rsidR="005F7AC8" w:rsidRPr="00DB671B">
        <w:rPr>
          <w:snapToGrid w:val="0"/>
        </w:rPr>
        <w:t>-</w:t>
      </w:r>
      <w:r w:rsidRPr="00DB671B">
        <w:rPr>
          <w:snapToGrid w:val="0"/>
        </w:rPr>
        <w:t>neuv</w:t>
      </w:r>
      <w:r w:rsidR="005F7AC8" w:rsidRPr="00DB671B">
        <w:rPr>
          <w:snapToGrid w:val="0"/>
        </w:rPr>
        <w:t>ième session</w:t>
      </w:r>
      <w:r w:rsidRPr="00DB671B">
        <w:rPr>
          <w:snapToGrid w:val="0"/>
        </w:rPr>
        <w:t xml:space="preserve"> qui se tiendrait </w:t>
      </w:r>
      <w:r w:rsidR="005F7AC8" w:rsidRPr="00DB671B">
        <w:rPr>
          <w:snapToGrid w:val="0"/>
        </w:rPr>
        <w:t>en 2020</w:t>
      </w:r>
      <w:r w:rsidRPr="00DB671B">
        <w:rPr>
          <w:snapToGrid w:val="0"/>
        </w:rPr>
        <w:t>.</w:t>
      </w:r>
      <w:r w:rsidR="005F7AC8" w:rsidRPr="00DB671B">
        <w:t xml:space="preserve"> </w:t>
      </w:r>
      <w:r w:rsidR="00E85E8E" w:rsidRPr="00DB671B">
        <w:rPr>
          <w:snapToGrid w:val="0"/>
        </w:rPr>
        <w:t xml:space="preserve"> </w:t>
      </w:r>
      <w:r w:rsidR="005F7AC8" w:rsidRPr="00DB671B">
        <w:rPr>
          <w:snapToGrid w:val="0"/>
        </w:rPr>
        <w:t>Le TWA</w:t>
      </w:r>
      <w:r w:rsidRPr="00DB671B">
        <w:rPr>
          <w:snapToGrid w:val="0"/>
        </w:rPr>
        <w:t xml:space="preserve"> est convenu que les principes directeurs </w:t>
      </w:r>
      <w:r w:rsidR="00024FF6" w:rsidRPr="00DB671B">
        <w:rPr>
          <w:snapToGrid w:val="0"/>
        </w:rPr>
        <w:t>du</w:t>
      </w:r>
      <w:r w:rsidRPr="00DB671B">
        <w:rPr>
          <w:snapToGrid w:val="0"/>
        </w:rPr>
        <w:t xml:space="preserve"> riz, </w:t>
      </w:r>
      <w:r w:rsidR="00024FF6" w:rsidRPr="00DB671B">
        <w:rPr>
          <w:snapToGrid w:val="0"/>
        </w:rPr>
        <w:t>du</w:t>
      </w:r>
      <w:r w:rsidRPr="00DB671B">
        <w:rPr>
          <w:snapToGrid w:val="0"/>
        </w:rPr>
        <w:t xml:space="preserve"> soja, </w:t>
      </w:r>
      <w:r w:rsidR="00024FF6" w:rsidRPr="00DB671B">
        <w:rPr>
          <w:snapToGrid w:val="0"/>
        </w:rPr>
        <w:t>du</w:t>
      </w:r>
      <w:r w:rsidRPr="00DB671B">
        <w:rPr>
          <w:snapToGrid w:val="0"/>
        </w:rPr>
        <w:t xml:space="preserve"> théier et </w:t>
      </w:r>
      <w:r w:rsidR="00024FF6" w:rsidRPr="00DB671B">
        <w:rPr>
          <w:snapToGrid w:val="0"/>
        </w:rPr>
        <w:t xml:space="preserve">de </w:t>
      </w:r>
      <w:r w:rsidRPr="00DB671B">
        <w:rPr>
          <w:snapToGrid w:val="0"/>
        </w:rPr>
        <w:t xml:space="preserve">la fléole devraient être signalés par un astérisque </w:t>
      </w:r>
      <w:r w:rsidR="005F7AC8" w:rsidRPr="00DB671B">
        <w:rPr>
          <w:snapToGrid w:val="0"/>
        </w:rPr>
        <w:t>pour 2020</w:t>
      </w:r>
      <w:r w:rsidRPr="00DB671B">
        <w:rPr>
          <w:snapToGrid w:val="0"/>
        </w:rPr>
        <w:t>.</w:t>
      </w:r>
      <w:r w:rsidRPr="00DB671B">
        <w:t xml:space="preserve"> </w:t>
      </w:r>
      <w:r w:rsidR="00E85E8E" w:rsidRPr="00DB671B">
        <w:rPr>
          <w:snapToGrid w:val="0"/>
        </w:rPr>
        <w:t xml:space="preserve"> </w:t>
      </w:r>
      <w:r w:rsidRPr="00DB671B">
        <w:rPr>
          <w:snapToGrid w:val="0"/>
        </w:rPr>
        <w:t xml:space="preserve">De nouvelles discussions sont prévues sur les principes directeurs </w:t>
      </w:r>
      <w:r w:rsidR="00692331" w:rsidRPr="00DB671B">
        <w:rPr>
          <w:snapToGrid w:val="0"/>
        </w:rPr>
        <w:t>de</w:t>
      </w:r>
      <w:r w:rsidRPr="00DB671B">
        <w:rPr>
          <w:snapToGrid w:val="0"/>
        </w:rPr>
        <w:t xml:space="preserve"> la pomme de terre, </w:t>
      </w:r>
      <w:r w:rsidR="00692331" w:rsidRPr="00DB671B">
        <w:rPr>
          <w:snapToGrid w:val="0"/>
        </w:rPr>
        <w:t>du</w:t>
      </w:r>
      <w:r w:rsidRPr="00DB671B">
        <w:rPr>
          <w:snapToGrid w:val="0"/>
        </w:rPr>
        <w:t xml:space="preserve"> colza, </w:t>
      </w:r>
      <w:r w:rsidR="00692331" w:rsidRPr="00DB671B">
        <w:rPr>
          <w:snapToGrid w:val="0"/>
        </w:rPr>
        <w:t xml:space="preserve">de </w:t>
      </w:r>
      <w:r w:rsidRPr="00DB671B">
        <w:rPr>
          <w:snapToGrid w:val="0"/>
        </w:rPr>
        <w:t xml:space="preserve">la canne à sucre, </w:t>
      </w:r>
      <w:r w:rsidR="00692331" w:rsidRPr="00DB671B">
        <w:rPr>
          <w:snapToGrid w:val="0"/>
        </w:rPr>
        <w:t>du</w:t>
      </w:r>
      <w:r w:rsidRPr="00DB671B">
        <w:rPr>
          <w:snapToGrid w:val="0"/>
        </w:rPr>
        <w:t xml:space="preserve"> tournesol et </w:t>
      </w:r>
      <w:r w:rsidR="00692331" w:rsidRPr="00DB671B">
        <w:rPr>
          <w:snapToGrid w:val="0"/>
        </w:rPr>
        <w:t>du</w:t>
      </w:r>
      <w:r w:rsidRPr="00DB671B">
        <w:rPr>
          <w:snapToGrid w:val="0"/>
        </w:rPr>
        <w:t xml:space="preserve"> zoysia.</w:t>
      </w:r>
    </w:p>
    <w:p w:rsidR="00D83B31" w:rsidRPr="00DB671B" w:rsidRDefault="00D83B31" w:rsidP="00097213">
      <w:pPr>
        <w:rPr>
          <w:snapToGrid w:val="0"/>
        </w:rPr>
      </w:pPr>
    </w:p>
    <w:p w:rsidR="00D83B31" w:rsidRPr="00DB671B" w:rsidRDefault="00097213" w:rsidP="00097213">
      <w:pPr>
        <w:rPr>
          <w:snapToGrid w:val="0"/>
        </w:rPr>
      </w:pPr>
      <w:r w:rsidRPr="00DB671B">
        <w:rPr>
          <w:snapToGrid w:val="0"/>
        </w:rPr>
        <w:fldChar w:fldCharType="begin"/>
      </w:r>
      <w:r w:rsidRPr="00DB671B">
        <w:rPr>
          <w:snapToGrid w:val="0"/>
        </w:rPr>
        <w:instrText xml:space="preserve"> AUTONUM  </w:instrText>
      </w:r>
      <w:r w:rsidRPr="00DB671B">
        <w:rPr>
          <w:snapToGrid w:val="0"/>
        </w:rPr>
        <w:fldChar w:fldCharType="end"/>
      </w:r>
      <w:r w:rsidRPr="00DB671B">
        <w:rPr>
          <w:snapToGrid w:val="0"/>
        </w:rPr>
        <w:tab/>
        <w:t>Sur l</w:t>
      </w:r>
      <w:r w:rsidR="005F7AC8" w:rsidRPr="00DB671B">
        <w:rPr>
          <w:snapToGrid w:val="0"/>
        </w:rPr>
        <w:t>’</w:t>
      </w:r>
      <w:r w:rsidRPr="00DB671B">
        <w:rPr>
          <w:snapToGrid w:val="0"/>
        </w:rPr>
        <w:t>invitation du Canada,</w:t>
      </w:r>
      <w:r w:rsidR="005F7AC8" w:rsidRPr="00DB671B">
        <w:rPr>
          <w:snapToGrid w:val="0"/>
        </w:rPr>
        <w:t xml:space="preserve"> le TWA</w:t>
      </w:r>
      <w:r w:rsidRPr="00DB671B">
        <w:rPr>
          <w:snapToGrid w:val="0"/>
        </w:rPr>
        <w:t xml:space="preserve"> est convenu de tenir sa quarante</w:t>
      </w:r>
      <w:r w:rsidR="005F7AC8" w:rsidRPr="00DB671B">
        <w:rPr>
          <w:snapToGrid w:val="0"/>
        </w:rPr>
        <w:t>-</w:t>
      </w:r>
      <w:r w:rsidRPr="00DB671B">
        <w:rPr>
          <w:snapToGrid w:val="0"/>
        </w:rPr>
        <w:t>neuv</w:t>
      </w:r>
      <w:r w:rsidR="005F7AC8" w:rsidRPr="00DB671B">
        <w:rPr>
          <w:snapToGrid w:val="0"/>
        </w:rPr>
        <w:t>ième session</w:t>
      </w:r>
      <w:r w:rsidRPr="00DB671B">
        <w:rPr>
          <w:snapToGrid w:val="0"/>
        </w:rPr>
        <w:t xml:space="preserve"> à Saskatoon (Canada) du 22 au 2</w:t>
      </w:r>
      <w:r w:rsidR="005F7AC8" w:rsidRPr="00DB671B">
        <w:rPr>
          <w:snapToGrid w:val="0"/>
        </w:rPr>
        <w:t>6 juin 20</w:t>
      </w:r>
      <w:r w:rsidRPr="00DB671B">
        <w:rPr>
          <w:snapToGrid w:val="0"/>
        </w:rPr>
        <w:t>20.</w:t>
      </w:r>
    </w:p>
    <w:p w:rsidR="00D83B31" w:rsidRPr="00DB671B" w:rsidRDefault="00D83B31" w:rsidP="00097213">
      <w:pPr>
        <w:rPr>
          <w:snapToGrid w:val="0"/>
        </w:rPr>
      </w:pPr>
    </w:p>
    <w:p w:rsidR="00D83B31" w:rsidRPr="00DB671B" w:rsidRDefault="00097213" w:rsidP="00097213">
      <w:pPr>
        <w:rPr>
          <w:snapToGrid w:val="0"/>
        </w:rPr>
      </w:pPr>
      <w:r w:rsidRPr="00DB671B">
        <w:rPr>
          <w:snapToGrid w:val="0"/>
        </w:rPr>
        <w:fldChar w:fldCharType="begin"/>
      </w:r>
      <w:r w:rsidRPr="00DB671B">
        <w:rPr>
          <w:snapToGrid w:val="0"/>
        </w:rPr>
        <w:instrText xml:space="preserve"> AUTONUM  </w:instrText>
      </w:r>
      <w:r w:rsidRPr="00DB671B">
        <w:rPr>
          <w:snapToGrid w:val="0"/>
        </w:rPr>
        <w:fldChar w:fldCharType="end"/>
      </w:r>
      <w:r w:rsidRPr="00DB671B">
        <w:rPr>
          <w:snapToGrid w:val="0"/>
        </w:rPr>
        <w:tab/>
        <w:t>Le TWA est convenu de proposer au</w:t>
      </w:r>
      <w:r w:rsidR="005F7AC8" w:rsidRPr="00DB671B">
        <w:rPr>
          <w:snapToGrid w:val="0"/>
        </w:rPr>
        <w:t> TC</w:t>
      </w:r>
      <w:r w:rsidRPr="00DB671B">
        <w:rPr>
          <w:snapToGrid w:val="0"/>
        </w:rPr>
        <w:t xml:space="preserve"> de recommander au Conseil d</w:t>
      </w:r>
      <w:r w:rsidR="005F7AC8" w:rsidRPr="00DB671B">
        <w:rPr>
          <w:snapToGrid w:val="0"/>
        </w:rPr>
        <w:t>’</w:t>
      </w:r>
      <w:r w:rsidRPr="00DB671B">
        <w:rPr>
          <w:snapToGrid w:val="0"/>
        </w:rPr>
        <w:t>élire Mme</w:t>
      </w:r>
      <w:r w:rsidR="00E85E8E" w:rsidRPr="00DB671B">
        <w:rPr>
          <w:snapToGrid w:val="0"/>
        </w:rPr>
        <w:t> </w:t>
      </w:r>
      <w:r w:rsidRPr="00DB671B">
        <w:rPr>
          <w:snapToGrid w:val="0"/>
        </w:rPr>
        <w:t>Renée</w:t>
      </w:r>
      <w:r w:rsidR="00A83A59" w:rsidRPr="00DB671B">
        <w:rPr>
          <w:snapToGrid w:val="0"/>
        </w:rPr>
        <w:t> </w:t>
      </w:r>
      <w:r w:rsidRPr="00DB671B">
        <w:rPr>
          <w:snapToGrid w:val="0"/>
        </w:rPr>
        <w:t>Cloutier (Canada) prochaine présidente</w:t>
      </w:r>
      <w:r w:rsidR="005F7AC8" w:rsidRPr="00DB671B">
        <w:rPr>
          <w:snapToGrid w:val="0"/>
        </w:rPr>
        <w:t xml:space="preserve"> du TWA</w:t>
      </w:r>
      <w:r w:rsidRPr="00DB671B">
        <w:rPr>
          <w:snapToGrid w:val="0"/>
        </w:rPr>
        <w:t>.</w:t>
      </w:r>
    </w:p>
    <w:p w:rsidR="00D83B31" w:rsidRPr="00DB671B" w:rsidRDefault="00D83B31" w:rsidP="00097213">
      <w:pPr>
        <w:rPr>
          <w:snapToGrid w:val="0"/>
        </w:rPr>
      </w:pPr>
    </w:p>
    <w:p w:rsidR="005F7AC8" w:rsidRPr="00DB671B" w:rsidRDefault="00054FE5" w:rsidP="00054FE5">
      <w:pPr>
        <w:rPr>
          <w:snapToGrid w:val="0"/>
        </w:rPr>
      </w:pPr>
      <w:r w:rsidRPr="00DB671B">
        <w:rPr>
          <w:snapToGrid w:val="0"/>
        </w:rPr>
        <w:fldChar w:fldCharType="begin"/>
      </w:r>
      <w:r w:rsidRPr="00DB671B">
        <w:rPr>
          <w:snapToGrid w:val="0"/>
        </w:rPr>
        <w:instrText xml:space="preserve"> AUTONUM  </w:instrText>
      </w:r>
      <w:r w:rsidRPr="00DB671B">
        <w:rPr>
          <w:snapToGrid w:val="0"/>
        </w:rPr>
        <w:fldChar w:fldCharType="end"/>
      </w:r>
      <w:r w:rsidRPr="00DB671B">
        <w:rPr>
          <w:snapToGrid w:val="0"/>
        </w:rPr>
        <w:tab/>
        <w:t>Le TWA est convenu d</w:t>
      </w:r>
      <w:r w:rsidR="005F7AC8" w:rsidRPr="00DB671B">
        <w:rPr>
          <w:snapToGrid w:val="0"/>
        </w:rPr>
        <w:t>’</w:t>
      </w:r>
      <w:r w:rsidRPr="00DB671B">
        <w:rPr>
          <w:snapToGrid w:val="0"/>
        </w:rPr>
        <w:t>examiner les points suivants à sa prochaine session.</w:t>
      </w:r>
    </w:p>
    <w:p w:rsidR="00D83B31" w:rsidRPr="00DB671B" w:rsidRDefault="00D83B31" w:rsidP="00054FE5">
      <w:pPr>
        <w:rPr>
          <w:snapToGrid w:val="0"/>
        </w:rPr>
      </w:pPr>
    </w:p>
    <w:p w:rsidR="00D83B31" w:rsidRPr="00DB671B" w:rsidRDefault="00054FE5" w:rsidP="00DB671B">
      <w:pPr>
        <w:tabs>
          <w:tab w:val="left" w:pos="1134"/>
          <w:tab w:val="left" w:pos="1701"/>
        </w:tabs>
        <w:ind w:left="1134" w:hanging="567"/>
        <w:rPr>
          <w:snapToGrid w:val="0"/>
        </w:rPr>
      </w:pPr>
      <w:r w:rsidRPr="00DB671B">
        <w:rPr>
          <w:snapToGrid w:val="0"/>
        </w:rPr>
        <w:t>1.</w:t>
      </w:r>
      <w:r w:rsidR="00DB671B">
        <w:rPr>
          <w:snapToGrid w:val="0"/>
        </w:rPr>
        <w:tab/>
      </w:r>
      <w:r w:rsidRPr="00DB671B">
        <w:rPr>
          <w:snapToGrid w:val="0"/>
        </w:rPr>
        <w:t>Ouverture de la session</w:t>
      </w:r>
    </w:p>
    <w:p w:rsidR="00D83B31" w:rsidRPr="00DB671B" w:rsidRDefault="00054FE5" w:rsidP="00DB671B">
      <w:pPr>
        <w:tabs>
          <w:tab w:val="left" w:pos="1134"/>
          <w:tab w:val="left" w:pos="1701"/>
        </w:tabs>
        <w:ind w:left="1134" w:hanging="567"/>
        <w:rPr>
          <w:snapToGrid w:val="0"/>
        </w:rPr>
      </w:pPr>
      <w:r w:rsidRPr="00DB671B">
        <w:rPr>
          <w:snapToGrid w:val="0"/>
        </w:rPr>
        <w:t>2.</w:t>
      </w:r>
      <w:r w:rsidR="00DB671B">
        <w:rPr>
          <w:snapToGrid w:val="0"/>
        </w:rPr>
        <w:tab/>
      </w:r>
      <w:r w:rsidRPr="00DB671B">
        <w:rPr>
          <w:snapToGrid w:val="0"/>
        </w:rPr>
        <w:t>Adoption de l</w:t>
      </w:r>
      <w:r w:rsidR="005F7AC8" w:rsidRPr="00DB671B">
        <w:rPr>
          <w:snapToGrid w:val="0"/>
        </w:rPr>
        <w:t>’</w:t>
      </w:r>
      <w:r w:rsidRPr="00DB671B">
        <w:rPr>
          <w:snapToGrid w:val="0"/>
        </w:rPr>
        <w:t>ordre du jour</w:t>
      </w:r>
    </w:p>
    <w:p w:rsidR="005F7AC8" w:rsidRPr="00DB671B" w:rsidRDefault="00054FE5" w:rsidP="00DB671B">
      <w:pPr>
        <w:tabs>
          <w:tab w:val="left" w:pos="1134"/>
          <w:tab w:val="left" w:pos="1701"/>
        </w:tabs>
        <w:ind w:left="1134" w:hanging="567"/>
        <w:rPr>
          <w:snapToGrid w:val="0"/>
        </w:rPr>
      </w:pPr>
      <w:r w:rsidRPr="00DB671B">
        <w:rPr>
          <w:snapToGrid w:val="0"/>
        </w:rPr>
        <w:t>3.</w:t>
      </w:r>
      <w:r w:rsidR="00DB671B">
        <w:rPr>
          <w:snapToGrid w:val="0"/>
        </w:rPr>
        <w:tab/>
      </w:r>
      <w:r w:rsidRPr="00DB671B">
        <w:rPr>
          <w:snapToGrid w:val="0"/>
        </w:rPr>
        <w:t>Rapports succincts sur l</w:t>
      </w:r>
      <w:r w:rsidR="005F7AC8" w:rsidRPr="00DB671B">
        <w:rPr>
          <w:snapToGrid w:val="0"/>
        </w:rPr>
        <w:t>’</w:t>
      </w:r>
      <w:r w:rsidRPr="00DB671B">
        <w:rPr>
          <w:snapToGrid w:val="0"/>
        </w:rPr>
        <w:t>évolution de la situation en matière de protection des obtentions végétales</w:t>
      </w:r>
      <w:r w:rsidR="005F7AC8" w:rsidRPr="00DB671B">
        <w:rPr>
          <w:snapToGrid w:val="0"/>
        </w:rPr>
        <w:t> :</w:t>
      </w:r>
    </w:p>
    <w:p w:rsidR="00D83B31" w:rsidRPr="00DB671B" w:rsidRDefault="00054FE5" w:rsidP="00DB671B">
      <w:pPr>
        <w:tabs>
          <w:tab w:val="left" w:pos="1134"/>
          <w:tab w:val="left" w:pos="1701"/>
        </w:tabs>
        <w:ind w:left="1701" w:hanging="567"/>
        <w:rPr>
          <w:snapToGrid w:val="0"/>
        </w:rPr>
      </w:pPr>
      <w:r w:rsidRPr="00DB671B">
        <w:rPr>
          <w:snapToGrid w:val="0"/>
        </w:rPr>
        <w:t>a)</w:t>
      </w:r>
      <w:r w:rsidRPr="00DB671B">
        <w:rPr>
          <w:snapToGrid w:val="0"/>
        </w:rPr>
        <w:tab/>
        <w:t>Rapports des membres et des observateurs (rapports écrits à établir par les membres et observateurs)</w:t>
      </w:r>
    </w:p>
    <w:p w:rsidR="00D83B31" w:rsidRPr="00DB671B" w:rsidRDefault="00054FE5" w:rsidP="00DB671B">
      <w:pPr>
        <w:tabs>
          <w:tab w:val="left" w:pos="1134"/>
          <w:tab w:val="left" w:pos="1701"/>
        </w:tabs>
        <w:ind w:left="1701" w:hanging="567"/>
        <w:rPr>
          <w:snapToGrid w:val="0"/>
        </w:rPr>
      </w:pPr>
      <w:r w:rsidRPr="00DB671B">
        <w:rPr>
          <w:snapToGrid w:val="0"/>
        </w:rPr>
        <w:t>b)</w:t>
      </w:r>
      <w:r w:rsidRPr="00DB671B">
        <w:rPr>
          <w:snapToGrid w:val="0"/>
        </w:rPr>
        <w:tab/>
        <w:t>Rapport sur les faits nouveaux intervenus à l</w:t>
      </w:r>
      <w:r w:rsidR="005F7AC8" w:rsidRPr="00DB671B">
        <w:rPr>
          <w:snapToGrid w:val="0"/>
        </w:rPr>
        <w:t>’</w:t>
      </w:r>
      <w:r w:rsidRPr="00DB671B">
        <w:rPr>
          <w:snapToGrid w:val="0"/>
        </w:rPr>
        <w:t>UPOV (rapport verbal du Bureau de l</w:t>
      </w:r>
      <w:r w:rsidR="005F7AC8" w:rsidRPr="00DB671B">
        <w:rPr>
          <w:snapToGrid w:val="0"/>
        </w:rPr>
        <w:t>’</w:t>
      </w:r>
      <w:r w:rsidRPr="00DB671B">
        <w:rPr>
          <w:snapToGrid w:val="0"/>
        </w:rPr>
        <w:t>Union)</w:t>
      </w:r>
    </w:p>
    <w:p w:rsidR="00D83B31" w:rsidRPr="00DB671B" w:rsidRDefault="00DB671B" w:rsidP="00DB671B">
      <w:pPr>
        <w:tabs>
          <w:tab w:val="left" w:pos="1134"/>
          <w:tab w:val="left" w:pos="1701"/>
        </w:tabs>
        <w:ind w:left="1134" w:hanging="567"/>
        <w:rPr>
          <w:snapToGrid w:val="0"/>
        </w:rPr>
      </w:pPr>
      <w:r>
        <w:rPr>
          <w:snapToGrid w:val="0"/>
        </w:rPr>
        <w:t>4.</w:t>
      </w:r>
      <w:r>
        <w:rPr>
          <w:snapToGrid w:val="0"/>
        </w:rPr>
        <w:tab/>
      </w:r>
      <w:r w:rsidR="00054FE5" w:rsidRPr="00DB671B">
        <w:rPr>
          <w:snapToGrid w:val="0"/>
        </w:rPr>
        <w:t>Techniques moléculaires (document à établir par le Bureau de l</w:t>
      </w:r>
      <w:r w:rsidR="005F7AC8" w:rsidRPr="00DB671B">
        <w:rPr>
          <w:snapToGrid w:val="0"/>
        </w:rPr>
        <w:t>’</w:t>
      </w:r>
      <w:r w:rsidR="00054FE5" w:rsidRPr="00DB671B">
        <w:rPr>
          <w:snapToGrid w:val="0"/>
        </w:rPr>
        <w:t>Union)</w:t>
      </w:r>
    </w:p>
    <w:p w:rsidR="00D83B31" w:rsidRPr="00DB671B" w:rsidRDefault="00054FE5" w:rsidP="00DB671B">
      <w:pPr>
        <w:tabs>
          <w:tab w:val="left" w:pos="1134"/>
          <w:tab w:val="left" w:pos="1701"/>
        </w:tabs>
        <w:ind w:left="1134" w:hanging="567"/>
        <w:rPr>
          <w:snapToGrid w:val="0"/>
        </w:rPr>
      </w:pPr>
      <w:r w:rsidRPr="00DB671B">
        <w:rPr>
          <w:snapToGrid w:val="0"/>
        </w:rPr>
        <w:t>5</w:t>
      </w:r>
      <w:r w:rsidR="00911DE8" w:rsidRPr="00DB671B">
        <w:rPr>
          <w:snapToGrid w:val="0"/>
        </w:rPr>
        <w:t>.</w:t>
      </w:r>
      <w:r w:rsidR="00DB671B">
        <w:rPr>
          <w:snapToGrid w:val="0"/>
        </w:rPr>
        <w:tab/>
      </w:r>
      <w:r w:rsidRPr="00DB671B">
        <w:rPr>
          <w:snapToGrid w:val="0"/>
        </w:rPr>
        <w:t>Rapports sur les faits nouveaux intervenus à l</w:t>
      </w:r>
      <w:r w:rsidR="005F7AC8" w:rsidRPr="00DB671B">
        <w:rPr>
          <w:snapToGrid w:val="0"/>
        </w:rPr>
        <w:t>’</w:t>
      </w:r>
      <w:r w:rsidRPr="00DB671B">
        <w:rPr>
          <w:snapToGrid w:val="0"/>
        </w:rPr>
        <w:t>UPOV (document à établir par le Bureau de l</w:t>
      </w:r>
      <w:r w:rsidR="005F7AC8" w:rsidRPr="00DB671B">
        <w:rPr>
          <w:snapToGrid w:val="0"/>
        </w:rPr>
        <w:t>’</w:t>
      </w:r>
      <w:r w:rsidRPr="00DB671B">
        <w:rPr>
          <w:snapToGrid w:val="0"/>
        </w:rPr>
        <w:t>Union)</w:t>
      </w:r>
    </w:p>
    <w:p w:rsidR="00D83B31" w:rsidRPr="00DB671B" w:rsidRDefault="00054FE5" w:rsidP="00DB671B">
      <w:pPr>
        <w:tabs>
          <w:tab w:val="left" w:pos="1134"/>
          <w:tab w:val="left" w:pos="1701"/>
        </w:tabs>
        <w:ind w:left="1134" w:hanging="567"/>
        <w:rPr>
          <w:snapToGrid w:val="0"/>
        </w:rPr>
      </w:pPr>
      <w:r w:rsidRPr="00DB671B">
        <w:rPr>
          <w:snapToGrid w:val="0"/>
        </w:rPr>
        <w:t>6</w:t>
      </w:r>
      <w:r w:rsidR="00911DE8" w:rsidRPr="00DB671B">
        <w:rPr>
          <w:snapToGrid w:val="0"/>
        </w:rPr>
        <w:t>.</w:t>
      </w:r>
      <w:r w:rsidR="00DB671B">
        <w:rPr>
          <w:snapToGrid w:val="0"/>
        </w:rPr>
        <w:tab/>
      </w:r>
      <w:r w:rsidRPr="00DB671B">
        <w:rPr>
          <w:snapToGrid w:val="0"/>
        </w:rPr>
        <w:t>Exposé sur l</w:t>
      </w:r>
      <w:r w:rsidR="005F7AC8" w:rsidRPr="00DB671B">
        <w:rPr>
          <w:snapToGrid w:val="0"/>
        </w:rPr>
        <w:t>’</w:t>
      </w:r>
      <w:r w:rsidRPr="00DB671B">
        <w:rPr>
          <w:snapToGrid w:val="0"/>
        </w:rPr>
        <w:t>utilisation de techniques moléculaires dans l</w:t>
      </w:r>
      <w:r w:rsidR="005F7AC8" w:rsidRPr="00DB671B">
        <w:rPr>
          <w:snapToGrid w:val="0"/>
        </w:rPr>
        <w:t>’</w:t>
      </w:r>
      <w:r w:rsidRPr="00DB671B">
        <w:rPr>
          <w:snapToGrid w:val="0"/>
        </w:rPr>
        <w:t>examen</w:t>
      </w:r>
      <w:r w:rsidR="00E85E8E" w:rsidRPr="00DB671B">
        <w:rPr>
          <w:snapToGrid w:val="0"/>
        </w:rPr>
        <w:t> </w:t>
      </w:r>
      <w:r w:rsidRPr="00DB671B">
        <w:rPr>
          <w:snapToGrid w:val="0"/>
        </w:rPr>
        <w:t>DHS (exposés sollicités de membres de l</w:t>
      </w:r>
      <w:r w:rsidR="005F7AC8" w:rsidRPr="00DB671B">
        <w:rPr>
          <w:snapToGrid w:val="0"/>
        </w:rPr>
        <w:t>’</w:t>
      </w:r>
      <w:r w:rsidRPr="00DB671B">
        <w:rPr>
          <w:snapToGrid w:val="0"/>
        </w:rPr>
        <w:t>Union)</w:t>
      </w:r>
    </w:p>
    <w:p w:rsidR="00D83B31" w:rsidRPr="00DB671B" w:rsidRDefault="00054FE5" w:rsidP="00DB671B">
      <w:pPr>
        <w:tabs>
          <w:tab w:val="left" w:pos="1134"/>
          <w:tab w:val="left" w:pos="1701"/>
        </w:tabs>
        <w:ind w:left="1134" w:hanging="567"/>
        <w:rPr>
          <w:snapToGrid w:val="0"/>
        </w:rPr>
      </w:pPr>
      <w:r w:rsidRPr="00DB671B">
        <w:rPr>
          <w:snapToGrid w:val="0"/>
        </w:rPr>
        <w:t>7.</w:t>
      </w:r>
      <w:r w:rsidR="00DB671B">
        <w:rPr>
          <w:snapToGrid w:val="0"/>
        </w:rPr>
        <w:tab/>
      </w:r>
      <w:r w:rsidRPr="00DB671B">
        <w:rPr>
          <w:snapToGrid w:val="0"/>
        </w:rPr>
        <w:t>Documents TGP (documents à établir par le Bureau de l</w:t>
      </w:r>
      <w:r w:rsidR="005F7AC8" w:rsidRPr="00DB671B">
        <w:rPr>
          <w:snapToGrid w:val="0"/>
        </w:rPr>
        <w:t>’</w:t>
      </w:r>
      <w:r w:rsidRPr="00DB671B">
        <w:rPr>
          <w:snapToGrid w:val="0"/>
        </w:rPr>
        <w:t>Union)</w:t>
      </w:r>
    </w:p>
    <w:p w:rsidR="00D83B31" w:rsidRPr="00DB671B" w:rsidRDefault="00054FE5" w:rsidP="00DB671B">
      <w:pPr>
        <w:tabs>
          <w:tab w:val="left" w:pos="1134"/>
          <w:tab w:val="left" w:pos="1701"/>
        </w:tabs>
        <w:ind w:left="1134" w:hanging="567"/>
        <w:rPr>
          <w:snapToGrid w:val="0"/>
        </w:rPr>
      </w:pPr>
      <w:r w:rsidRPr="00DB671B">
        <w:rPr>
          <w:snapToGrid w:val="0"/>
        </w:rPr>
        <w:t>8.</w:t>
      </w:r>
      <w:r w:rsidR="00DB671B">
        <w:rPr>
          <w:snapToGrid w:val="0"/>
        </w:rPr>
        <w:tab/>
      </w:r>
      <w:r w:rsidRPr="00DB671B">
        <w:rPr>
          <w:snapToGrid w:val="0"/>
        </w:rPr>
        <w:t>Dénominations variétales (document à établir par le Bureau de l</w:t>
      </w:r>
      <w:r w:rsidR="005F7AC8" w:rsidRPr="00DB671B">
        <w:rPr>
          <w:snapToGrid w:val="0"/>
        </w:rPr>
        <w:t>’</w:t>
      </w:r>
      <w:r w:rsidRPr="00DB671B">
        <w:rPr>
          <w:snapToGrid w:val="0"/>
        </w:rPr>
        <w:t>Union)</w:t>
      </w:r>
    </w:p>
    <w:p w:rsidR="00D83B31" w:rsidRPr="00DB671B" w:rsidRDefault="00054FE5" w:rsidP="00DB671B">
      <w:pPr>
        <w:tabs>
          <w:tab w:val="left" w:pos="1134"/>
          <w:tab w:val="left" w:pos="1701"/>
        </w:tabs>
        <w:ind w:left="1134" w:hanging="567"/>
        <w:rPr>
          <w:snapToGrid w:val="0"/>
        </w:rPr>
      </w:pPr>
      <w:r w:rsidRPr="00DB671B">
        <w:rPr>
          <w:snapToGrid w:val="0"/>
        </w:rPr>
        <w:t>9.</w:t>
      </w:r>
      <w:r w:rsidR="00DB671B">
        <w:rPr>
          <w:snapToGrid w:val="0"/>
        </w:rPr>
        <w:tab/>
      </w:r>
      <w:r w:rsidRPr="00DB671B">
        <w:rPr>
          <w:snapToGrid w:val="0"/>
        </w:rPr>
        <w:t>Informations et bases de données</w:t>
      </w:r>
    </w:p>
    <w:p w:rsidR="00D83B31" w:rsidRPr="00DB671B" w:rsidRDefault="00054FE5" w:rsidP="00DB671B">
      <w:pPr>
        <w:tabs>
          <w:tab w:val="left" w:pos="1134"/>
          <w:tab w:val="left" w:pos="1701"/>
        </w:tabs>
        <w:ind w:left="1701" w:hanging="567"/>
        <w:rPr>
          <w:snapToGrid w:val="0"/>
        </w:rPr>
      </w:pPr>
      <w:r w:rsidRPr="00DB671B">
        <w:rPr>
          <w:snapToGrid w:val="0"/>
        </w:rPr>
        <w:t>a)</w:t>
      </w:r>
      <w:r w:rsidRPr="00DB671B">
        <w:rPr>
          <w:snapToGrid w:val="0"/>
        </w:rPr>
        <w:tab/>
        <w:t>Bases de données d</w:t>
      </w:r>
      <w:r w:rsidR="005F7AC8" w:rsidRPr="00DB671B">
        <w:rPr>
          <w:snapToGrid w:val="0"/>
        </w:rPr>
        <w:t>’</w:t>
      </w:r>
      <w:r w:rsidRPr="00DB671B">
        <w:rPr>
          <w:snapToGrid w:val="0"/>
        </w:rPr>
        <w:t>information de l</w:t>
      </w:r>
      <w:r w:rsidR="005F7AC8" w:rsidRPr="00DB671B">
        <w:rPr>
          <w:snapToGrid w:val="0"/>
        </w:rPr>
        <w:t>’</w:t>
      </w:r>
      <w:r w:rsidRPr="00DB671B">
        <w:rPr>
          <w:snapToGrid w:val="0"/>
        </w:rPr>
        <w:t>UPOV (documents à établir par le Bureau de l</w:t>
      </w:r>
      <w:r w:rsidR="005F7AC8" w:rsidRPr="00DB671B">
        <w:rPr>
          <w:snapToGrid w:val="0"/>
        </w:rPr>
        <w:t>’</w:t>
      </w:r>
      <w:r w:rsidRPr="00DB671B">
        <w:rPr>
          <w:snapToGrid w:val="0"/>
        </w:rPr>
        <w:t>Union)</w:t>
      </w:r>
    </w:p>
    <w:p w:rsidR="00D83B31" w:rsidRPr="00DB671B" w:rsidRDefault="00054FE5" w:rsidP="00DB671B">
      <w:pPr>
        <w:tabs>
          <w:tab w:val="left" w:pos="1134"/>
          <w:tab w:val="left" w:pos="1701"/>
        </w:tabs>
        <w:ind w:left="1701" w:hanging="567"/>
        <w:rPr>
          <w:snapToGrid w:val="0"/>
        </w:rPr>
      </w:pPr>
      <w:r w:rsidRPr="00DB671B">
        <w:rPr>
          <w:snapToGrid w:val="0"/>
        </w:rPr>
        <w:t>b)</w:t>
      </w:r>
      <w:r w:rsidRPr="00DB671B">
        <w:rPr>
          <w:snapToGrid w:val="0"/>
        </w:rPr>
        <w:tab/>
        <w:t>Bases de données sur les descriptions variétales (documents à établir par le Bureau de l</w:t>
      </w:r>
      <w:r w:rsidR="005F7AC8" w:rsidRPr="00DB671B">
        <w:rPr>
          <w:snapToGrid w:val="0"/>
        </w:rPr>
        <w:t>’</w:t>
      </w:r>
      <w:r w:rsidRPr="00DB671B">
        <w:rPr>
          <w:snapToGrid w:val="0"/>
        </w:rPr>
        <w:t>Union)</w:t>
      </w:r>
    </w:p>
    <w:p w:rsidR="00D83B31" w:rsidRPr="00DB671B" w:rsidRDefault="00054FE5" w:rsidP="00DB671B">
      <w:pPr>
        <w:tabs>
          <w:tab w:val="left" w:pos="1134"/>
          <w:tab w:val="left" w:pos="1701"/>
        </w:tabs>
        <w:ind w:left="1701" w:hanging="567"/>
        <w:rPr>
          <w:snapToGrid w:val="0"/>
        </w:rPr>
      </w:pPr>
      <w:r w:rsidRPr="00DB671B">
        <w:rPr>
          <w:snapToGrid w:val="0"/>
        </w:rPr>
        <w:t>c)</w:t>
      </w:r>
      <w:r w:rsidRPr="00DB671B">
        <w:rPr>
          <w:snapToGrid w:val="0"/>
        </w:rPr>
        <w:tab/>
        <w:t>Échange et utilisation de logiciels et d</w:t>
      </w:r>
      <w:r w:rsidR="005F7AC8" w:rsidRPr="00DB671B">
        <w:rPr>
          <w:snapToGrid w:val="0"/>
        </w:rPr>
        <w:t>’</w:t>
      </w:r>
      <w:r w:rsidRPr="00DB671B">
        <w:rPr>
          <w:snapToGrid w:val="0"/>
        </w:rPr>
        <w:t>équipements (document à établir par le Bureau de l</w:t>
      </w:r>
      <w:r w:rsidR="005F7AC8" w:rsidRPr="00DB671B">
        <w:rPr>
          <w:snapToGrid w:val="0"/>
        </w:rPr>
        <w:t>’</w:t>
      </w:r>
      <w:r w:rsidRPr="00DB671B">
        <w:rPr>
          <w:snapToGrid w:val="0"/>
        </w:rPr>
        <w:t>Union)</w:t>
      </w:r>
    </w:p>
    <w:p w:rsidR="00D83B31" w:rsidRPr="00DB671B" w:rsidRDefault="00097213" w:rsidP="00DB671B">
      <w:pPr>
        <w:tabs>
          <w:tab w:val="left" w:pos="1134"/>
          <w:tab w:val="left" w:pos="1701"/>
          <w:tab w:val="left" w:pos="2268"/>
        </w:tabs>
        <w:ind w:left="1701" w:hanging="567"/>
        <w:rPr>
          <w:snapToGrid w:val="0"/>
        </w:rPr>
      </w:pPr>
      <w:r w:rsidRPr="00DB671B">
        <w:rPr>
          <w:snapToGrid w:val="0"/>
        </w:rPr>
        <w:t>d)</w:t>
      </w:r>
      <w:r w:rsidRPr="00DB671B">
        <w:rPr>
          <w:snapToGrid w:val="0"/>
        </w:rPr>
        <w:tab/>
        <w:t>UPOV PRISMA (document à établir par le Bureau de l</w:t>
      </w:r>
      <w:r w:rsidR="005F7AC8" w:rsidRPr="00DB671B">
        <w:rPr>
          <w:snapToGrid w:val="0"/>
        </w:rPr>
        <w:t>’</w:t>
      </w:r>
      <w:r w:rsidRPr="00DB671B">
        <w:rPr>
          <w:snapToGrid w:val="0"/>
        </w:rPr>
        <w:t>Union)</w:t>
      </w:r>
    </w:p>
    <w:p w:rsidR="00D83B31" w:rsidRPr="00DB671B" w:rsidRDefault="00054FE5" w:rsidP="00DB671B">
      <w:pPr>
        <w:tabs>
          <w:tab w:val="left" w:pos="1134"/>
          <w:tab w:val="left" w:pos="1701"/>
        </w:tabs>
        <w:ind w:left="1134" w:hanging="567"/>
        <w:rPr>
          <w:snapToGrid w:val="0"/>
        </w:rPr>
      </w:pPr>
      <w:r w:rsidRPr="00DB671B">
        <w:rPr>
          <w:snapToGrid w:val="0"/>
        </w:rPr>
        <w:t>10.</w:t>
      </w:r>
      <w:r w:rsidR="00DB671B">
        <w:rPr>
          <w:snapToGrid w:val="0"/>
        </w:rPr>
        <w:tab/>
      </w:r>
      <w:r w:rsidRPr="00DB671B">
        <w:rPr>
          <w:snapToGrid w:val="0"/>
        </w:rPr>
        <w:t>Expériences avec de nouveaux types et espèces (rapports verbaux sollicités)</w:t>
      </w:r>
    </w:p>
    <w:p w:rsidR="005F7AC8" w:rsidRPr="00DB671B" w:rsidRDefault="00054FE5" w:rsidP="00DB671B">
      <w:pPr>
        <w:tabs>
          <w:tab w:val="left" w:pos="1134"/>
          <w:tab w:val="left" w:pos="1701"/>
        </w:tabs>
        <w:ind w:left="1134" w:hanging="567"/>
        <w:rPr>
          <w:snapToGrid w:val="0"/>
        </w:rPr>
      </w:pPr>
      <w:r w:rsidRPr="00DB671B">
        <w:rPr>
          <w:snapToGrid w:val="0"/>
        </w:rPr>
        <w:t>11.</w:t>
      </w:r>
      <w:r w:rsidR="00DB671B">
        <w:rPr>
          <w:snapToGrid w:val="0"/>
        </w:rPr>
        <w:tab/>
      </w:r>
      <w:r w:rsidRPr="00DB671B">
        <w:rPr>
          <w:snapToGrid w:val="0"/>
        </w:rPr>
        <w:t>Orientations pour les rédacteurs de principes directeurs d</w:t>
      </w:r>
      <w:r w:rsidR="005F7AC8" w:rsidRPr="00DB671B">
        <w:rPr>
          <w:snapToGrid w:val="0"/>
        </w:rPr>
        <w:t>’</w:t>
      </w:r>
      <w:r w:rsidRPr="00DB671B">
        <w:rPr>
          <w:snapToGrid w:val="0"/>
        </w:rPr>
        <w:t>examen</w:t>
      </w:r>
    </w:p>
    <w:p w:rsidR="00D83B31" w:rsidRPr="00DB671B" w:rsidRDefault="00054FE5" w:rsidP="00DB671B">
      <w:pPr>
        <w:tabs>
          <w:tab w:val="left" w:pos="1134"/>
          <w:tab w:val="left" w:pos="1701"/>
        </w:tabs>
        <w:ind w:left="1134" w:hanging="567"/>
        <w:rPr>
          <w:snapToGrid w:val="0"/>
        </w:rPr>
      </w:pPr>
      <w:r w:rsidRPr="00DB671B">
        <w:rPr>
          <w:snapToGrid w:val="0"/>
        </w:rPr>
        <w:t>12.</w:t>
      </w:r>
      <w:r w:rsidR="00DB671B">
        <w:rPr>
          <w:snapToGrid w:val="0"/>
        </w:rPr>
        <w:tab/>
      </w:r>
      <w:r w:rsidRPr="00DB671B">
        <w:rPr>
          <w:snapToGrid w:val="0"/>
        </w:rPr>
        <w:t>Examen des projets de principes directeurs d</w:t>
      </w:r>
      <w:r w:rsidR="005F7AC8" w:rsidRPr="00DB671B">
        <w:rPr>
          <w:snapToGrid w:val="0"/>
        </w:rPr>
        <w:t>’</w:t>
      </w:r>
      <w:r w:rsidRPr="00DB671B">
        <w:rPr>
          <w:snapToGrid w:val="0"/>
        </w:rPr>
        <w:t>examen (sous</w:t>
      </w:r>
      <w:r w:rsidR="005F7AC8" w:rsidRPr="00DB671B">
        <w:rPr>
          <w:snapToGrid w:val="0"/>
        </w:rPr>
        <w:t>-</w:t>
      </w:r>
      <w:r w:rsidRPr="00DB671B">
        <w:rPr>
          <w:snapToGrid w:val="0"/>
        </w:rPr>
        <w:t>groupes)</w:t>
      </w:r>
    </w:p>
    <w:p w:rsidR="00D83B31" w:rsidRPr="00DB671B" w:rsidRDefault="00054FE5" w:rsidP="00DB671B">
      <w:pPr>
        <w:tabs>
          <w:tab w:val="left" w:pos="1134"/>
          <w:tab w:val="left" w:pos="1701"/>
        </w:tabs>
        <w:ind w:left="1134" w:hanging="567"/>
        <w:rPr>
          <w:snapToGrid w:val="0"/>
        </w:rPr>
      </w:pPr>
      <w:r w:rsidRPr="00DB671B">
        <w:rPr>
          <w:snapToGrid w:val="0"/>
        </w:rPr>
        <w:t>13.</w:t>
      </w:r>
      <w:r w:rsidR="00DB671B">
        <w:rPr>
          <w:snapToGrid w:val="0"/>
        </w:rPr>
        <w:tab/>
      </w:r>
      <w:r w:rsidRPr="00DB671B">
        <w:rPr>
          <w:snapToGrid w:val="0"/>
        </w:rPr>
        <w:t>Recommandations sur les projets de principes directeurs d</w:t>
      </w:r>
      <w:r w:rsidR="005F7AC8" w:rsidRPr="00DB671B">
        <w:rPr>
          <w:snapToGrid w:val="0"/>
        </w:rPr>
        <w:t>’</w:t>
      </w:r>
      <w:r w:rsidRPr="00DB671B">
        <w:rPr>
          <w:snapToGrid w:val="0"/>
        </w:rPr>
        <w:t>examen</w:t>
      </w:r>
    </w:p>
    <w:p w:rsidR="00D83B31" w:rsidRPr="00DB671B" w:rsidRDefault="00515963" w:rsidP="00DB671B">
      <w:pPr>
        <w:tabs>
          <w:tab w:val="left" w:pos="1134"/>
          <w:tab w:val="left" w:pos="1701"/>
        </w:tabs>
        <w:ind w:left="1134" w:hanging="567"/>
        <w:rPr>
          <w:snapToGrid w:val="0"/>
        </w:rPr>
      </w:pPr>
      <w:r w:rsidRPr="00DB671B">
        <w:rPr>
          <w:snapToGrid w:val="0"/>
        </w:rPr>
        <w:t>14.</w:t>
      </w:r>
      <w:r w:rsidR="00DB671B">
        <w:rPr>
          <w:snapToGrid w:val="0"/>
        </w:rPr>
        <w:tab/>
      </w:r>
      <w:r w:rsidR="00097213" w:rsidRPr="00DB671B">
        <w:rPr>
          <w:snapToGrid w:val="0"/>
        </w:rPr>
        <w:t>Nouvelles technologies utilisées aux fins de l</w:t>
      </w:r>
      <w:r w:rsidR="005F7AC8" w:rsidRPr="00DB671B">
        <w:rPr>
          <w:snapToGrid w:val="0"/>
        </w:rPr>
        <w:t>’</w:t>
      </w:r>
      <w:r w:rsidR="00097213" w:rsidRPr="00DB671B">
        <w:rPr>
          <w:snapToGrid w:val="0"/>
        </w:rPr>
        <w:t>examen</w:t>
      </w:r>
      <w:r w:rsidR="00E85E8E" w:rsidRPr="00DB671B">
        <w:rPr>
          <w:snapToGrid w:val="0"/>
        </w:rPr>
        <w:t> </w:t>
      </w:r>
      <w:r w:rsidR="00097213" w:rsidRPr="00DB671B">
        <w:rPr>
          <w:snapToGrid w:val="0"/>
        </w:rPr>
        <w:t>DHS (documents à établir par l</w:t>
      </w:r>
      <w:r w:rsidR="005F7AC8" w:rsidRPr="00DB671B">
        <w:rPr>
          <w:snapToGrid w:val="0"/>
        </w:rPr>
        <w:t>’</w:t>
      </w:r>
      <w:r w:rsidR="00097213" w:rsidRPr="00DB671B">
        <w:rPr>
          <w:snapToGrid w:val="0"/>
        </w:rPr>
        <w:t>Argentine et le Danemark et documents sollicités)</w:t>
      </w:r>
    </w:p>
    <w:p w:rsidR="00D83B31" w:rsidRPr="00DB671B" w:rsidRDefault="00097213" w:rsidP="00DB671B">
      <w:pPr>
        <w:tabs>
          <w:tab w:val="left" w:pos="1134"/>
          <w:tab w:val="left" w:pos="1701"/>
        </w:tabs>
        <w:ind w:left="1134" w:hanging="567"/>
        <w:rPr>
          <w:snapToGrid w:val="0"/>
        </w:rPr>
      </w:pPr>
      <w:r w:rsidRPr="00DB671B">
        <w:rPr>
          <w:snapToGrid w:val="0"/>
        </w:rPr>
        <w:t>15.</w:t>
      </w:r>
      <w:r w:rsidRPr="00DB671B">
        <w:rPr>
          <w:snapToGrid w:val="0"/>
        </w:rPr>
        <w:tab/>
        <w:t>Examen des variétés hybrides (document à établir par le Royaume</w:t>
      </w:r>
      <w:r w:rsidR="005F7AC8" w:rsidRPr="00DB671B">
        <w:rPr>
          <w:snapToGrid w:val="0"/>
        </w:rPr>
        <w:t>-</w:t>
      </w:r>
      <w:r w:rsidRPr="00DB671B">
        <w:rPr>
          <w:snapToGrid w:val="0"/>
        </w:rPr>
        <w:t>Uni et documents sollicités)</w:t>
      </w:r>
    </w:p>
    <w:p w:rsidR="00D83B31" w:rsidRPr="00DB671B" w:rsidRDefault="00054FE5" w:rsidP="00DB671B">
      <w:pPr>
        <w:tabs>
          <w:tab w:val="left" w:pos="1134"/>
          <w:tab w:val="left" w:pos="1701"/>
        </w:tabs>
        <w:ind w:left="1134" w:hanging="567"/>
        <w:rPr>
          <w:snapToGrid w:val="0"/>
        </w:rPr>
      </w:pPr>
      <w:r w:rsidRPr="00DB671B">
        <w:rPr>
          <w:snapToGrid w:val="0"/>
        </w:rPr>
        <w:t>16.</w:t>
      </w:r>
      <w:r w:rsidR="00DB671B">
        <w:rPr>
          <w:snapToGrid w:val="0"/>
        </w:rPr>
        <w:tab/>
      </w:r>
      <w:r w:rsidRPr="00DB671B">
        <w:rPr>
          <w:snapToGrid w:val="0"/>
        </w:rPr>
        <w:t>Date et lieu de la prochaine session</w:t>
      </w:r>
    </w:p>
    <w:p w:rsidR="00D83B31" w:rsidRPr="00DB671B" w:rsidRDefault="00054FE5" w:rsidP="00DB671B">
      <w:pPr>
        <w:tabs>
          <w:tab w:val="left" w:pos="1134"/>
          <w:tab w:val="left" w:pos="1701"/>
        </w:tabs>
        <w:ind w:left="1134" w:hanging="567"/>
        <w:rPr>
          <w:snapToGrid w:val="0"/>
        </w:rPr>
      </w:pPr>
      <w:r w:rsidRPr="00DB671B">
        <w:rPr>
          <w:snapToGrid w:val="0"/>
        </w:rPr>
        <w:t>17.</w:t>
      </w:r>
      <w:r w:rsidR="00DB671B">
        <w:rPr>
          <w:snapToGrid w:val="0"/>
        </w:rPr>
        <w:tab/>
      </w:r>
      <w:r w:rsidRPr="00DB671B">
        <w:rPr>
          <w:snapToGrid w:val="0"/>
        </w:rPr>
        <w:t>Programme futur</w:t>
      </w:r>
    </w:p>
    <w:p w:rsidR="00D83B31" w:rsidRPr="00DB671B" w:rsidRDefault="00054FE5" w:rsidP="00DB671B">
      <w:pPr>
        <w:tabs>
          <w:tab w:val="left" w:pos="1134"/>
          <w:tab w:val="left" w:pos="1701"/>
        </w:tabs>
        <w:ind w:left="1134" w:hanging="567"/>
        <w:rPr>
          <w:snapToGrid w:val="0"/>
        </w:rPr>
      </w:pPr>
      <w:r w:rsidRPr="00DB671B">
        <w:rPr>
          <w:snapToGrid w:val="0"/>
        </w:rPr>
        <w:t>18.</w:t>
      </w:r>
      <w:r w:rsidR="00DB671B">
        <w:tab/>
      </w:r>
      <w:r w:rsidRPr="00DB671B">
        <w:rPr>
          <w:snapToGrid w:val="0"/>
        </w:rPr>
        <w:t>Adoption du compte rendu de la session (selon le temps disponible)</w:t>
      </w:r>
    </w:p>
    <w:p w:rsidR="00D83B31" w:rsidRPr="00DB671B" w:rsidRDefault="00054FE5" w:rsidP="00DB671B">
      <w:pPr>
        <w:tabs>
          <w:tab w:val="left" w:pos="1134"/>
          <w:tab w:val="left" w:pos="1701"/>
        </w:tabs>
        <w:ind w:left="1134" w:hanging="567"/>
        <w:rPr>
          <w:snapToGrid w:val="0"/>
        </w:rPr>
      </w:pPr>
      <w:r w:rsidRPr="00DB671B">
        <w:rPr>
          <w:snapToGrid w:val="0"/>
        </w:rPr>
        <w:t>19.</w:t>
      </w:r>
      <w:r w:rsidR="00DB671B">
        <w:rPr>
          <w:snapToGrid w:val="0"/>
        </w:rPr>
        <w:tab/>
      </w:r>
      <w:r w:rsidRPr="00DB671B">
        <w:rPr>
          <w:snapToGrid w:val="0"/>
        </w:rPr>
        <w:t>Clôture de la session</w:t>
      </w:r>
    </w:p>
    <w:p w:rsidR="00D83B31" w:rsidRPr="00DB671B" w:rsidRDefault="00D83B31" w:rsidP="00054FE5">
      <w:pPr>
        <w:rPr>
          <w:snapToGrid w:val="0"/>
        </w:rPr>
      </w:pPr>
    </w:p>
    <w:p w:rsidR="00D83B31" w:rsidRPr="00DB671B" w:rsidRDefault="00054FE5" w:rsidP="00054FE5">
      <w:pPr>
        <w:rPr>
          <w:snapToGrid w:val="0"/>
        </w:rPr>
      </w:pPr>
      <w:r w:rsidRPr="00DB671B">
        <w:rPr>
          <w:snapToGrid w:val="0"/>
        </w:rPr>
        <w:fldChar w:fldCharType="begin"/>
      </w:r>
      <w:r w:rsidRPr="00DB671B">
        <w:rPr>
          <w:snapToGrid w:val="0"/>
        </w:rPr>
        <w:instrText xml:space="preserve"> AUTONUM  </w:instrText>
      </w:r>
      <w:r w:rsidRPr="00DB671B">
        <w:rPr>
          <w:snapToGrid w:val="0"/>
        </w:rPr>
        <w:fldChar w:fldCharType="end"/>
      </w:r>
      <w:r w:rsidRPr="00DB671B">
        <w:rPr>
          <w:snapToGrid w:val="0"/>
        </w:rPr>
        <w:tab/>
        <w:t>Le TWA a estimé que les groupes de discussion offraient une occasion unique d</w:t>
      </w:r>
      <w:r w:rsidR="005F7AC8" w:rsidRPr="00DB671B">
        <w:rPr>
          <w:snapToGrid w:val="0"/>
        </w:rPr>
        <w:t>’</w:t>
      </w:r>
      <w:r w:rsidRPr="00DB671B">
        <w:rPr>
          <w:snapToGrid w:val="0"/>
        </w:rPr>
        <w:t>échanger des données d</w:t>
      </w:r>
      <w:r w:rsidR="005F7AC8" w:rsidRPr="00DB671B">
        <w:rPr>
          <w:snapToGrid w:val="0"/>
        </w:rPr>
        <w:t>’</w:t>
      </w:r>
      <w:r w:rsidRPr="00DB671B">
        <w:rPr>
          <w:snapToGrid w:val="0"/>
        </w:rPr>
        <w:t>expérience entre participants et a décidé de proposer que des groupes de discussion se forment en vue de débattre de la question des “nouvelles technologies utilisées aux fins de l</w:t>
      </w:r>
      <w:r w:rsidR="005F7AC8" w:rsidRPr="00DB671B">
        <w:rPr>
          <w:snapToGrid w:val="0"/>
        </w:rPr>
        <w:t>’</w:t>
      </w:r>
      <w:r w:rsidRPr="00DB671B">
        <w:rPr>
          <w:snapToGrid w:val="0"/>
        </w:rPr>
        <w:t>examen</w:t>
      </w:r>
      <w:r w:rsidR="00E85E8E" w:rsidRPr="00DB671B">
        <w:rPr>
          <w:snapToGrid w:val="0"/>
        </w:rPr>
        <w:t> </w:t>
      </w:r>
      <w:r w:rsidRPr="00DB671B">
        <w:rPr>
          <w:snapToGrid w:val="0"/>
        </w:rPr>
        <w:t>DHS” (point 12 de l</w:t>
      </w:r>
      <w:r w:rsidR="005F7AC8" w:rsidRPr="00DB671B">
        <w:rPr>
          <w:snapToGrid w:val="0"/>
        </w:rPr>
        <w:t>’</w:t>
      </w:r>
      <w:r w:rsidRPr="00DB671B">
        <w:rPr>
          <w:snapToGrid w:val="0"/>
        </w:rPr>
        <w:t>ordre du jour) à sa quarante</w:t>
      </w:r>
      <w:r w:rsidR="005F7AC8" w:rsidRPr="00DB671B">
        <w:rPr>
          <w:snapToGrid w:val="0"/>
        </w:rPr>
        <w:t>-</w:t>
      </w:r>
      <w:r w:rsidRPr="00DB671B">
        <w:rPr>
          <w:snapToGrid w:val="0"/>
        </w:rPr>
        <w:t>neuv</w:t>
      </w:r>
      <w:r w:rsidR="005F7AC8" w:rsidRPr="00DB671B">
        <w:rPr>
          <w:snapToGrid w:val="0"/>
        </w:rPr>
        <w:t>ième session</w:t>
      </w:r>
      <w:r w:rsidRPr="00DB671B">
        <w:rPr>
          <w:snapToGrid w:val="0"/>
        </w:rPr>
        <w:t>.</w:t>
      </w:r>
    </w:p>
    <w:p w:rsidR="00D83B31" w:rsidRPr="00DB671B" w:rsidRDefault="00D83B31" w:rsidP="00054FE5">
      <w:pPr>
        <w:contextualSpacing/>
        <w:rPr>
          <w:rFonts w:cs="Arial"/>
        </w:rPr>
      </w:pPr>
    </w:p>
    <w:p w:rsidR="00D83B31" w:rsidRPr="00DB671B" w:rsidRDefault="00054FE5" w:rsidP="00054FE5">
      <w:pPr>
        <w:pStyle w:val="Heading3"/>
        <w:rPr>
          <w:lang w:val="fr-FR"/>
        </w:rPr>
      </w:pPr>
      <w:r w:rsidRPr="00DB671B">
        <w:rPr>
          <w:lang w:val="fr-FR"/>
        </w:rPr>
        <w:t>Groupe de travail technique sur les systèmes d</w:t>
      </w:r>
      <w:r w:rsidR="005F7AC8" w:rsidRPr="00DB671B">
        <w:rPr>
          <w:lang w:val="fr-FR"/>
        </w:rPr>
        <w:t>’</w:t>
      </w:r>
      <w:r w:rsidRPr="00DB671B">
        <w:rPr>
          <w:lang w:val="fr-FR"/>
        </w:rPr>
        <w:t>automatisation et les programmes d</w:t>
      </w:r>
      <w:r w:rsidR="005F7AC8" w:rsidRPr="00DB671B">
        <w:rPr>
          <w:lang w:val="fr-FR"/>
        </w:rPr>
        <w:t>’</w:t>
      </w:r>
      <w:r w:rsidRPr="00DB671B">
        <w:rPr>
          <w:lang w:val="fr-FR"/>
        </w:rPr>
        <w:t>ordinateur (TWC)</w:t>
      </w:r>
    </w:p>
    <w:p w:rsidR="00D83B31" w:rsidRPr="00DB671B" w:rsidRDefault="00D83B31" w:rsidP="00054FE5">
      <w:pPr>
        <w:keepNext/>
      </w:pPr>
    </w:p>
    <w:p w:rsidR="00D83B31" w:rsidRPr="00DB671B" w:rsidRDefault="00097213" w:rsidP="00054FE5">
      <w:pPr>
        <w:keepNext/>
      </w:pPr>
      <w:r w:rsidRPr="00DB671B">
        <w:t>Rapport présenté par M.</w:t>
      </w:r>
      <w:r w:rsidR="00E85E8E" w:rsidRPr="00DB671B">
        <w:t> </w:t>
      </w:r>
      <w:r w:rsidRPr="00DB671B">
        <w:t>Kees van Ettekoven (Pays</w:t>
      </w:r>
      <w:r w:rsidR="005F7AC8" w:rsidRPr="00DB671B">
        <w:t>-</w:t>
      </w:r>
      <w:r w:rsidRPr="00DB671B">
        <w:t>Bas), en l</w:t>
      </w:r>
      <w:r w:rsidR="005F7AC8" w:rsidRPr="00DB671B">
        <w:t>’</w:t>
      </w:r>
      <w:r w:rsidRPr="00DB671B">
        <w:t>absence de M.</w:t>
      </w:r>
      <w:r w:rsidR="00E85E8E" w:rsidRPr="00DB671B">
        <w:t> </w:t>
      </w:r>
      <w:r w:rsidRPr="00DB671B">
        <w:t>Christophe</w:t>
      </w:r>
      <w:r w:rsidR="00A83A59" w:rsidRPr="00DB671B">
        <w:t> </w:t>
      </w:r>
      <w:r w:rsidRPr="00DB671B">
        <w:t>Chevalier (France), président</w:t>
      </w:r>
      <w:r w:rsidR="005F7AC8" w:rsidRPr="00DB671B">
        <w:t xml:space="preserve"> du TWC</w:t>
      </w:r>
      <w:r w:rsidRPr="00DB671B">
        <w:t>.</w:t>
      </w:r>
    </w:p>
    <w:p w:rsidR="00D83B31" w:rsidRPr="00DB671B" w:rsidRDefault="00D83B31" w:rsidP="00054FE5">
      <w:pPr>
        <w:keepNext/>
      </w:pPr>
    </w:p>
    <w:p w:rsidR="00D83B31" w:rsidRPr="00DB671B" w:rsidRDefault="00097213" w:rsidP="00054FE5">
      <w:pPr>
        <w:pStyle w:val="Heading4"/>
      </w:pPr>
      <w:r w:rsidRPr="00DB671B">
        <w:t>Trente</w:t>
      </w:r>
      <w:r w:rsidR="005F7AC8" w:rsidRPr="00DB671B">
        <w:t>-</w:t>
      </w:r>
      <w:r w:rsidRPr="00DB671B">
        <w:t>sept</w:t>
      </w:r>
      <w:r w:rsidR="005F7AC8" w:rsidRPr="00DB671B">
        <w:t>ième session du TWC</w:t>
      </w:r>
    </w:p>
    <w:p w:rsidR="00D83B31" w:rsidRPr="00DB671B" w:rsidRDefault="00D83B31" w:rsidP="00054FE5">
      <w:pPr>
        <w:keepNext/>
        <w:rPr>
          <w:snapToGrid w:val="0"/>
        </w:rPr>
      </w:pPr>
    </w:p>
    <w:p w:rsidR="00D83B31" w:rsidRPr="00DB671B" w:rsidRDefault="00054FE5" w:rsidP="00097213">
      <w:r w:rsidRPr="00DB671B">
        <w:rPr>
          <w:snapToGrid w:val="0"/>
        </w:rPr>
        <w:fldChar w:fldCharType="begin"/>
      </w:r>
      <w:r w:rsidRPr="00DB671B">
        <w:rPr>
          <w:snapToGrid w:val="0"/>
        </w:rPr>
        <w:instrText xml:space="preserve"> AUTONUM  </w:instrText>
      </w:r>
      <w:r w:rsidRPr="00DB671B">
        <w:rPr>
          <w:snapToGrid w:val="0"/>
        </w:rPr>
        <w:fldChar w:fldCharType="end"/>
      </w:r>
      <w:r w:rsidRPr="00DB671B">
        <w:rPr>
          <w:snapToGrid w:val="0"/>
        </w:rPr>
        <w:tab/>
      </w:r>
      <w:r w:rsidR="00097213" w:rsidRPr="00DB671B">
        <w:rPr>
          <w:snapToGrid w:val="0"/>
        </w:rPr>
        <w:t>Le TWC a tenu sa trente</w:t>
      </w:r>
      <w:r w:rsidR="005F7AC8" w:rsidRPr="00DB671B">
        <w:rPr>
          <w:snapToGrid w:val="0"/>
        </w:rPr>
        <w:t>-</w:t>
      </w:r>
      <w:r w:rsidR="00097213" w:rsidRPr="00DB671B">
        <w:rPr>
          <w:snapToGrid w:val="0"/>
        </w:rPr>
        <w:t>sept</w:t>
      </w:r>
      <w:r w:rsidR="005F7AC8" w:rsidRPr="00DB671B">
        <w:rPr>
          <w:snapToGrid w:val="0"/>
        </w:rPr>
        <w:t>ième session</w:t>
      </w:r>
      <w:r w:rsidR="00097213" w:rsidRPr="00DB671B">
        <w:rPr>
          <w:snapToGrid w:val="0"/>
        </w:rPr>
        <w:t xml:space="preserve"> à Hangzhou (Chine), du 14 au 1</w:t>
      </w:r>
      <w:r w:rsidR="005F7AC8" w:rsidRPr="00DB671B">
        <w:rPr>
          <w:snapToGrid w:val="0"/>
        </w:rPr>
        <w:t>6 octobre 20</w:t>
      </w:r>
      <w:r w:rsidR="00097213" w:rsidRPr="00DB671B">
        <w:rPr>
          <w:snapToGrid w:val="0"/>
        </w:rPr>
        <w:t>19.</w:t>
      </w:r>
      <w:r w:rsidR="00097213" w:rsidRPr="00DB671B">
        <w:t xml:space="preserve">  En l</w:t>
      </w:r>
      <w:r w:rsidR="005F7AC8" w:rsidRPr="00DB671B">
        <w:t>’</w:t>
      </w:r>
      <w:r w:rsidR="00097213" w:rsidRPr="00DB671B">
        <w:t>absence de M.</w:t>
      </w:r>
      <w:r w:rsidR="00E85E8E" w:rsidRPr="00DB671B">
        <w:t> </w:t>
      </w:r>
      <w:r w:rsidR="00097213" w:rsidRPr="00DB671B">
        <w:t>Christophe</w:t>
      </w:r>
      <w:r w:rsidR="00A83A59" w:rsidRPr="00DB671B">
        <w:t> </w:t>
      </w:r>
      <w:r w:rsidR="00097213" w:rsidRPr="00DB671B">
        <w:t>Chevalier (France), président</w:t>
      </w:r>
      <w:r w:rsidR="005F7AC8" w:rsidRPr="00DB671B">
        <w:t xml:space="preserve"> du TWC</w:t>
      </w:r>
      <w:r w:rsidR="00097213" w:rsidRPr="00DB671B">
        <w:t>, la session a été ouverte et présidée par M.</w:t>
      </w:r>
      <w:r w:rsidR="00E85E8E" w:rsidRPr="00DB671B">
        <w:t> </w:t>
      </w:r>
      <w:r w:rsidR="00097213" w:rsidRPr="00DB671B">
        <w:t>Kees van Ettekoven (Pays</w:t>
      </w:r>
      <w:r w:rsidR="005F7AC8" w:rsidRPr="00DB671B">
        <w:t>-</w:t>
      </w:r>
      <w:r w:rsidR="00097213" w:rsidRPr="00DB671B">
        <w:t>Bas).</w:t>
      </w:r>
    </w:p>
    <w:p w:rsidR="00D83B31" w:rsidRPr="00DB671B" w:rsidRDefault="00D83B31" w:rsidP="00097213"/>
    <w:p w:rsidR="00D83B31" w:rsidRPr="00DB671B" w:rsidRDefault="00097213" w:rsidP="00097213">
      <w:r w:rsidRPr="00DB671B">
        <w:fldChar w:fldCharType="begin"/>
      </w:r>
      <w:r w:rsidRPr="00DB671B">
        <w:instrText xml:space="preserve"> AUTONUM  </w:instrText>
      </w:r>
      <w:r w:rsidRPr="00DB671B">
        <w:fldChar w:fldCharType="end"/>
      </w:r>
      <w:r w:rsidRPr="00DB671B">
        <w:tab/>
        <w:t>M.</w:t>
      </w:r>
      <w:r w:rsidR="00E85E8E" w:rsidRPr="00DB671B">
        <w:t> </w:t>
      </w:r>
      <w:r w:rsidRPr="00DB671B">
        <w:t xml:space="preserve">Hao </w:t>
      </w:r>
      <w:r w:rsidR="00A83A59" w:rsidRPr="00DB671B">
        <w:t>T</w:t>
      </w:r>
      <w:r w:rsidRPr="00DB671B">
        <w:t>ang, directeur de la Division pour l</w:t>
      </w:r>
      <w:r w:rsidR="005F7AC8" w:rsidRPr="00DB671B">
        <w:t>’</w:t>
      </w:r>
      <w:r w:rsidRPr="00DB671B">
        <w:t>examen</w:t>
      </w:r>
      <w:r w:rsidR="00E85E8E" w:rsidRPr="00DB671B">
        <w:t> </w:t>
      </w:r>
      <w:r w:rsidRPr="00DB671B">
        <w:t>DHS, Centre de développement des sciences et technologies, Ministère de l</w:t>
      </w:r>
      <w:r w:rsidR="005F7AC8" w:rsidRPr="00DB671B">
        <w:t>’</w:t>
      </w:r>
      <w:r w:rsidRPr="00DB671B">
        <w:t>agriculture et des affaires rurales (Chine), a souhaité la bienvenue</w:t>
      </w:r>
      <w:r w:rsidR="005F7AC8" w:rsidRPr="00DB671B">
        <w:t xml:space="preserve"> au TWC</w:t>
      </w:r>
      <w:r w:rsidRPr="00DB671B">
        <w:t>.</w:t>
      </w:r>
      <w:r w:rsidR="005F7AC8" w:rsidRPr="00DB671B">
        <w:t xml:space="preserve"> </w:t>
      </w:r>
      <w:r w:rsidR="00E85E8E" w:rsidRPr="00DB671B">
        <w:t xml:space="preserve"> </w:t>
      </w:r>
      <w:r w:rsidR="005F7AC8" w:rsidRPr="00DB671B">
        <w:t>Le TWC</w:t>
      </w:r>
      <w:r w:rsidRPr="00DB671B">
        <w:t xml:space="preserve"> a assisté à un exposé présenté par Mme</w:t>
      </w:r>
      <w:r w:rsidR="00E85E8E" w:rsidRPr="00DB671B">
        <w:t> </w:t>
      </w:r>
      <w:r w:rsidRPr="00DB671B">
        <w:t>Xuhong Yang, vice</w:t>
      </w:r>
      <w:r w:rsidR="005F7AC8" w:rsidRPr="00DB671B">
        <w:t>-</w:t>
      </w:r>
      <w:r w:rsidRPr="00DB671B">
        <w:t>directrice de la Division pour l</w:t>
      </w:r>
      <w:r w:rsidR="005F7AC8" w:rsidRPr="00DB671B">
        <w:t>’</w:t>
      </w:r>
      <w:r w:rsidRPr="00DB671B">
        <w:t>examen</w:t>
      </w:r>
      <w:r w:rsidR="00E85E8E" w:rsidRPr="00DB671B">
        <w:t> </w:t>
      </w:r>
      <w:r w:rsidRPr="00DB671B">
        <w:t>DHS, Centre de développement des sciences et technologies, Ministère de l</w:t>
      </w:r>
      <w:r w:rsidR="005F7AC8" w:rsidRPr="00DB671B">
        <w:t>’</w:t>
      </w:r>
      <w:r w:rsidRPr="00DB671B">
        <w:t>agriculture et des affaires rurales (Chine), sur l</w:t>
      </w:r>
      <w:r w:rsidR="005F7AC8" w:rsidRPr="00DB671B">
        <w:t>’</w:t>
      </w:r>
      <w:r w:rsidRPr="00DB671B">
        <w:t xml:space="preserve">évolution de la situation en matière de protection des obtentions végétales en Chine. </w:t>
      </w:r>
      <w:r w:rsidR="00E85E8E" w:rsidRPr="00DB671B">
        <w:t xml:space="preserve"> </w:t>
      </w:r>
      <w:r w:rsidRPr="00DB671B">
        <w:t>Le compte rendu de la session fait l</w:t>
      </w:r>
      <w:r w:rsidR="005F7AC8" w:rsidRPr="00DB671B">
        <w:t>’</w:t>
      </w:r>
      <w:r w:rsidRPr="00DB671B">
        <w:t>objet du document</w:t>
      </w:r>
      <w:r w:rsidR="00A83A59" w:rsidRPr="00DB671B">
        <w:t> </w:t>
      </w:r>
      <w:r w:rsidRPr="00DB671B">
        <w:t>TWC/37/12 “Report”.</w:t>
      </w:r>
    </w:p>
    <w:p w:rsidR="00D83B31" w:rsidRPr="00DB671B" w:rsidRDefault="00D83B31" w:rsidP="00054FE5"/>
    <w:p w:rsidR="00D83B31" w:rsidRPr="00C174A2" w:rsidRDefault="00054FE5" w:rsidP="00DB671B">
      <w:pPr>
        <w:pStyle w:val="Heading5"/>
        <w:rPr>
          <w:lang w:val="fr-CH"/>
        </w:rPr>
      </w:pPr>
      <w:r w:rsidRPr="00C174A2">
        <w:rPr>
          <w:lang w:val="fr-CH"/>
        </w:rPr>
        <w:t>Méthode de calcul de l</w:t>
      </w:r>
      <w:r w:rsidR="005F7AC8" w:rsidRPr="00C174A2">
        <w:rPr>
          <w:lang w:val="fr-CH"/>
        </w:rPr>
        <w:t>’</w:t>
      </w:r>
      <w:r w:rsidRPr="00C174A2">
        <w:rPr>
          <w:lang w:val="fr-CH"/>
        </w:rPr>
        <w:t>analyse globale de l</w:t>
      </w:r>
      <w:r w:rsidR="005F7AC8" w:rsidRPr="00C174A2">
        <w:rPr>
          <w:lang w:val="fr-CH"/>
        </w:rPr>
        <w:t>’</w:t>
      </w:r>
      <w:r w:rsidRPr="00C174A2">
        <w:rPr>
          <w:lang w:val="fr-CH"/>
        </w:rPr>
        <w:t>homogénéité sur plusieurs années (méthode d</w:t>
      </w:r>
      <w:r w:rsidR="005F7AC8" w:rsidRPr="00C174A2">
        <w:rPr>
          <w:lang w:val="fr-CH"/>
        </w:rPr>
        <w:t>’</w:t>
      </w:r>
      <w:r w:rsidRPr="00C174A2">
        <w:rPr>
          <w:lang w:val="fr-CH"/>
        </w:rPr>
        <w:t>analyse COYU)</w:t>
      </w:r>
    </w:p>
    <w:p w:rsidR="00D83B31" w:rsidRPr="00DB671B" w:rsidRDefault="00D83B31" w:rsidP="00054FE5"/>
    <w:p w:rsidR="00D83B31" w:rsidRPr="00DB671B" w:rsidRDefault="00054FE5" w:rsidP="00054FE5">
      <w:r w:rsidRPr="00DB671B">
        <w:fldChar w:fldCharType="begin"/>
      </w:r>
      <w:r w:rsidRPr="00DB671B">
        <w:instrText xml:space="preserve"> AUTONUM  </w:instrText>
      </w:r>
      <w:r w:rsidRPr="00DB671B">
        <w:fldChar w:fldCharType="end"/>
      </w:r>
      <w:r w:rsidRPr="00DB671B">
        <w:tab/>
        <w:t>Le TWC est convenu d</w:t>
      </w:r>
      <w:r w:rsidR="005F7AC8" w:rsidRPr="00DB671B">
        <w:t>’</w:t>
      </w:r>
      <w:r w:rsidRPr="00DB671B">
        <w:t>inviter des membres qui utilisent des logiciels “R” ou “DUST” à examiner la nouvelle méthode d</w:t>
      </w:r>
      <w:r w:rsidR="005F7AC8" w:rsidRPr="00DB671B">
        <w:t>’</w:t>
      </w:r>
      <w:r w:rsidRPr="00DB671B">
        <w:t>analyse COYU afin de mettre en évidence d</w:t>
      </w:r>
      <w:r w:rsidR="005F7AC8" w:rsidRPr="00DB671B">
        <w:t>’</w:t>
      </w:r>
      <w:r w:rsidRPr="00DB671B">
        <w:t>éventuels points à améliorer.  Il a pris acte de l</w:t>
      </w:r>
      <w:r w:rsidR="005F7AC8" w:rsidRPr="00DB671B">
        <w:t>’</w:t>
      </w:r>
      <w:r w:rsidRPr="00DB671B">
        <w:t>intérêt exprimé par des experts de la Chine, de la Finlande, de la France et du Royaume</w:t>
      </w:r>
      <w:r w:rsidR="005F7AC8" w:rsidRPr="00DB671B">
        <w:t>-</w:t>
      </w:r>
      <w:r w:rsidRPr="00DB671B">
        <w:t>Uni à cet égard.</w:t>
      </w:r>
    </w:p>
    <w:p w:rsidR="00D83B31" w:rsidRPr="00DB671B" w:rsidRDefault="00D83B31" w:rsidP="00054FE5"/>
    <w:p w:rsidR="00D83B31" w:rsidRPr="00DB671B" w:rsidRDefault="00054FE5" w:rsidP="00054FE5">
      <w:r w:rsidRPr="00DB671B">
        <w:fldChar w:fldCharType="begin"/>
      </w:r>
      <w:r w:rsidRPr="00DB671B">
        <w:instrText xml:space="preserve"> AUTONUM  </w:instrText>
      </w:r>
      <w:r w:rsidRPr="00DB671B">
        <w:fldChar w:fldCharType="end"/>
      </w:r>
      <w:r w:rsidRPr="00DB671B">
        <w:tab/>
      </w:r>
      <w:r w:rsidR="00097213" w:rsidRPr="00DB671B">
        <w:t>Le TWC s</w:t>
      </w:r>
      <w:r w:rsidR="005F7AC8" w:rsidRPr="00DB671B">
        <w:t>’</w:t>
      </w:r>
      <w:r w:rsidR="00097213" w:rsidRPr="00DB671B">
        <w:t xml:space="preserve">est penché sur la proposition de révision de la </w:t>
      </w:r>
      <w:r w:rsidR="005F7AC8" w:rsidRPr="00DB671B">
        <w:t>section 9</w:t>
      </w:r>
      <w:r w:rsidR="00097213" w:rsidRPr="00DB671B">
        <w:t xml:space="preserve"> du document</w:t>
      </w:r>
      <w:r w:rsidR="00A83A59" w:rsidRPr="00DB671B">
        <w:t> </w:t>
      </w:r>
      <w:r w:rsidR="00097213" w:rsidRPr="00DB671B">
        <w:t>TGP/8 intitulée “Analyse globale de l</w:t>
      </w:r>
      <w:r w:rsidR="005F7AC8" w:rsidRPr="00DB671B">
        <w:t>’</w:t>
      </w:r>
      <w:r w:rsidR="00097213" w:rsidRPr="00DB671B">
        <w:t>homogénéité sur plusieurs années (méthode d</w:t>
      </w:r>
      <w:r w:rsidR="005F7AC8" w:rsidRPr="00DB671B">
        <w:t>’</w:t>
      </w:r>
      <w:r w:rsidR="00097213" w:rsidRPr="00DB671B">
        <w:t>analyse COYU)”, figurant en annexe du document</w:t>
      </w:r>
      <w:r w:rsidR="00A83A59" w:rsidRPr="00DB671B">
        <w:t> </w:t>
      </w:r>
      <w:r w:rsidR="00097213" w:rsidRPr="00DB671B">
        <w:t xml:space="preserve">TWC/37/7. </w:t>
      </w:r>
      <w:r w:rsidR="005F7AC8" w:rsidRPr="00DB671B">
        <w:t xml:space="preserve"> Le TWC</w:t>
      </w:r>
      <w:r w:rsidR="00097213" w:rsidRPr="00DB671B">
        <w:t xml:space="preserve"> est convenu d</w:t>
      </w:r>
      <w:r w:rsidR="005F7AC8" w:rsidRPr="00DB671B">
        <w:t>’</w:t>
      </w:r>
      <w:r w:rsidR="00097213" w:rsidRPr="00DB671B">
        <w:t>inviter l</w:t>
      </w:r>
      <w:r w:rsidR="005F7AC8" w:rsidRPr="00DB671B">
        <w:t>’</w:t>
      </w:r>
      <w:r w:rsidR="00097213" w:rsidRPr="00DB671B">
        <w:t>expert du Royaume</w:t>
      </w:r>
      <w:r w:rsidR="005F7AC8" w:rsidRPr="00DB671B">
        <w:t>-</w:t>
      </w:r>
      <w:r w:rsidR="00097213" w:rsidRPr="00DB671B">
        <w:t>Uni à préparer une version révisée du projet d</w:t>
      </w:r>
      <w:r w:rsidR="005F7AC8" w:rsidRPr="00DB671B">
        <w:t>’</w:t>
      </w:r>
      <w:r w:rsidR="00097213" w:rsidRPr="00DB671B">
        <w:t>orientation, à lui présenter lors de sa trente</w:t>
      </w:r>
      <w:r w:rsidR="005F7AC8" w:rsidRPr="00DB671B">
        <w:t>-</w:t>
      </w:r>
      <w:r w:rsidR="00097213" w:rsidRPr="00DB671B">
        <w:t>huit</w:t>
      </w:r>
      <w:r w:rsidR="005F7AC8" w:rsidRPr="00DB671B">
        <w:t>ième session</w:t>
      </w:r>
      <w:r w:rsidR="00097213" w:rsidRPr="00DB671B">
        <w:t>.</w:t>
      </w:r>
    </w:p>
    <w:p w:rsidR="00D83B31" w:rsidRPr="00DB671B" w:rsidRDefault="00D83B31" w:rsidP="00054FE5">
      <w:pPr>
        <w:keepNext/>
        <w:rPr>
          <w:rFonts w:eastAsia="MS Mincho"/>
        </w:rPr>
      </w:pPr>
    </w:p>
    <w:p w:rsidR="00D83B31" w:rsidRPr="00C174A2" w:rsidRDefault="00097213" w:rsidP="00DB671B">
      <w:pPr>
        <w:pStyle w:val="Heading5"/>
        <w:rPr>
          <w:snapToGrid w:val="0"/>
          <w:lang w:val="fr-CH"/>
        </w:rPr>
      </w:pPr>
      <w:r w:rsidRPr="00C174A2">
        <w:rPr>
          <w:snapToGrid w:val="0"/>
          <w:lang w:val="fr-CH"/>
        </w:rPr>
        <w:t>Risques associés à l</w:t>
      </w:r>
      <w:r w:rsidR="005F7AC8" w:rsidRPr="00C174A2">
        <w:rPr>
          <w:snapToGrid w:val="0"/>
          <w:lang w:val="fr-CH"/>
        </w:rPr>
        <w:t>’</w:t>
      </w:r>
      <w:r w:rsidRPr="00C174A2">
        <w:rPr>
          <w:snapToGrid w:val="0"/>
          <w:lang w:val="fr-CH"/>
        </w:rPr>
        <w:t>évaluation de l</w:t>
      </w:r>
      <w:r w:rsidR="005F7AC8" w:rsidRPr="00C174A2">
        <w:rPr>
          <w:snapToGrid w:val="0"/>
          <w:lang w:val="fr-CH"/>
        </w:rPr>
        <w:t>’</w:t>
      </w:r>
      <w:r w:rsidRPr="00C174A2">
        <w:rPr>
          <w:snapToGrid w:val="0"/>
          <w:lang w:val="fr-CH"/>
        </w:rPr>
        <w:t>homogénéité au moyen des plantes hors</w:t>
      </w:r>
      <w:r w:rsidR="00E85E8E" w:rsidRPr="00C174A2">
        <w:rPr>
          <w:snapToGrid w:val="0"/>
          <w:lang w:val="fr-CH"/>
        </w:rPr>
        <w:t>-</w:t>
      </w:r>
      <w:r w:rsidRPr="00C174A2">
        <w:rPr>
          <w:snapToGrid w:val="0"/>
          <w:lang w:val="fr-CH"/>
        </w:rPr>
        <w:t>type sur la base de plusieurs cycles de végétation</w:t>
      </w:r>
    </w:p>
    <w:p w:rsidR="00D83B31" w:rsidRPr="00DB671B" w:rsidRDefault="00D83B31" w:rsidP="00054FE5">
      <w:pPr>
        <w:rPr>
          <w:snapToGrid w:val="0"/>
        </w:rPr>
      </w:pPr>
    </w:p>
    <w:p w:rsidR="00D83B31" w:rsidRPr="00DB671B" w:rsidRDefault="00054FE5" w:rsidP="00054FE5">
      <w:r w:rsidRPr="00DB671B">
        <w:fldChar w:fldCharType="begin"/>
      </w:r>
      <w:r w:rsidRPr="00DB671B">
        <w:instrText xml:space="preserve"> AUTONUM  </w:instrText>
      </w:r>
      <w:r w:rsidRPr="00DB671B">
        <w:fldChar w:fldCharType="end"/>
      </w:r>
      <w:r w:rsidRPr="00DB671B">
        <w:tab/>
      </w:r>
      <w:r w:rsidR="00097213" w:rsidRPr="00DB671B">
        <w:t>Le TWC a constaté qu</w:t>
      </w:r>
      <w:r w:rsidR="005F7AC8" w:rsidRPr="00DB671B">
        <w:t>’</w:t>
      </w:r>
      <w:r w:rsidR="00097213" w:rsidRPr="00DB671B">
        <w:t>un logiciel avait été mis au point grâce à Excel pour calculer le nombre de plantes hors</w:t>
      </w:r>
      <w:r w:rsidR="005F7AC8" w:rsidRPr="00DB671B">
        <w:t>-</w:t>
      </w:r>
      <w:r w:rsidR="00097213" w:rsidRPr="00DB671B">
        <w:t>type et de risques associés à l</w:t>
      </w:r>
      <w:r w:rsidR="005F7AC8" w:rsidRPr="00DB671B">
        <w:t>’</w:t>
      </w:r>
      <w:r w:rsidR="00097213" w:rsidRPr="00DB671B">
        <w:t>évaluation de l</w:t>
      </w:r>
      <w:r w:rsidR="005F7AC8" w:rsidRPr="00DB671B">
        <w:t>’</w:t>
      </w:r>
      <w:r w:rsidR="00097213" w:rsidRPr="00DB671B">
        <w:t>homogénéité au moyen des plantes hors</w:t>
      </w:r>
      <w:r w:rsidR="005F7AC8" w:rsidRPr="00DB671B">
        <w:t>-</w:t>
      </w:r>
      <w:r w:rsidR="00097213" w:rsidRPr="00DB671B">
        <w:t>type sur la base de plusieurs cycles de croissance, comme le montre l</w:t>
      </w:r>
      <w:r w:rsidR="005F7AC8" w:rsidRPr="00DB671B">
        <w:t>’annexe I</w:t>
      </w:r>
      <w:r w:rsidR="00097213" w:rsidRPr="00DB671B">
        <w:t>I du document</w:t>
      </w:r>
      <w:r w:rsidR="00A83A59" w:rsidRPr="00DB671B">
        <w:t> </w:t>
      </w:r>
      <w:r w:rsidR="00097213" w:rsidRPr="00DB671B">
        <w:t>TWC/37/5.  Il s</w:t>
      </w:r>
      <w:r w:rsidR="005F7AC8" w:rsidRPr="00DB671B">
        <w:t>’</w:t>
      </w:r>
      <w:r w:rsidR="00097213" w:rsidRPr="00DB671B">
        <w:t>est félicité de l</w:t>
      </w:r>
      <w:r w:rsidR="005F7AC8" w:rsidRPr="00DB671B">
        <w:t>’</w:t>
      </w:r>
      <w:r w:rsidR="00097213" w:rsidRPr="00DB671B">
        <w:t>existence d</w:t>
      </w:r>
      <w:r w:rsidR="005F7AC8" w:rsidRPr="00DB671B">
        <w:t>’</w:t>
      </w:r>
      <w:r w:rsidR="00097213" w:rsidRPr="00DB671B">
        <w:t>un logiciel permettant de déterminer le nombre maximum de plantes hors</w:t>
      </w:r>
      <w:r w:rsidR="005F7AC8" w:rsidRPr="00DB671B">
        <w:t>-</w:t>
      </w:r>
      <w:r w:rsidR="00097213" w:rsidRPr="00DB671B">
        <w:t>type, à la fois lorsque la probabilité d</w:t>
      </w:r>
      <w:r w:rsidR="005F7AC8" w:rsidRPr="00DB671B">
        <w:t>’</w:t>
      </w:r>
      <w:r w:rsidR="00097213" w:rsidRPr="00DB671B">
        <w:t>acceptation s</w:t>
      </w:r>
      <w:r w:rsidR="005F7AC8" w:rsidRPr="00DB671B">
        <w:t>’</w:t>
      </w:r>
      <w:r w:rsidR="00097213" w:rsidRPr="00DB671B">
        <w:t>applique à chaque cycle séparément ou lors de l</w:t>
      </w:r>
      <w:r w:rsidR="005F7AC8" w:rsidRPr="00DB671B">
        <w:t>’</w:t>
      </w:r>
      <w:r w:rsidR="00097213" w:rsidRPr="00DB671B">
        <w:t>examen sur deux</w:t>
      </w:r>
      <w:r w:rsidR="00E85E8E" w:rsidRPr="00DB671B">
        <w:t> </w:t>
      </w:r>
      <w:r w:rsidR="00097213" w:rsidRPr="00DB671B">
        <w:t>cycles.</w:t>
      </w:r>
    </w:p>
    <w:p w:rsidR="00D83B31" w:rsidRPr="00DB671B" w:rsidRDefault="00D83B31" w:rsidP="00054FE5"/>
    <w:p w:rsidR="005F7AC8" w:rsidRPr="00DB671B" w:rsidRDefault="00054FE5" w:rsidP="00054FE5">
      <w:r w:rsidRPr="00DB671B">
        <w:fldChar w:fldCharType="begin"/>
      </w:r>
      <w:r w:rsidRPr="00DB671B">
        <w:instrText xml:space="preserve"> AUTONUM  </w:instrText>
      </w:r>
      <w:r w:rsidRPr="00DB671B">
        <w:fldChar w:fldCharType="end"/>
      </w:r>
      <w:r w:rsidRPr="00DB671B">
        <w:tab/>
        <w:t>Le TWC est convenu de proposer d</w:t>
      </w:r>
      <w:r w:rsidR="005F7AC8" w:rsidRPr="00DB671B">
        <w:t>’</w:t>
      </w:r>
      <w:r w:rsidRPr="00DB671B">
        <w:t>offrir le logiciel au téléchargement sur le site</w:t>
      </w:r>
      <w:r w:rsidR="00E85E8E" w:rsidRPr="00DB671B">
        <w:t> </w:t>
      </w:r>
      <w:r w:rsidRPr="00DB671B">
        <w:t>Web de l</w:t>
      </w:r>
      <w:r w:rsidR="005F7AC8" w:rsidRPr="00DB671B">
        <w:t>’</w:t>
      </w:r>
      <w:r w:rsidRPr="00DB671B">
        <w:t>UPOV.</w:t>
      </w:r>
    </w:p>
    <w:p w:rsidR="00D83B31" w:rsidRPr="00DB671B" w:rsidRDefault="00D83B31" w:rsidP="00054FE5"/>
    <w:p w:rsidR="00D83B31" w:rsidRPr="00C174A2" w:rsidRDefault="00054FE5" w:rsidP="00DB671B">
      <w:pPr>
        <w:pStyle w:val="Heading5"/>
        <w:rPr>
          <w:snapToGrid w:val="0"/>
          <w:lang w:val="fr-CH"/>
        </w:rPr>
      </w:pPr>
      <w:r w:rsidRPr="00C174A2">
        <w:rPr>
          <w:snapToGrid w:val="0"/>
          <w:lang w:val="fr-CH"/>
        </w:rPr>
        <w:t>Expérience en matière d</w:t>
      </w:r>
      <w:r w:rsidR="005F7AC8" w:rsidRPr="00C174A2">
        <w:rPr>
          <w:snapToGrid w:val="0"/>
          <w:lang w:val="fr-CH"/>
        </w:rPr>
        <w:t>’</w:t>
      </w:r>
      <w:r w:rsidRPr="00C174A2">
        <w:rPr>
          <w:snapToGrid w:val="0"/>
          <w:lang w:val="fr-CH"/>
        </w:rPr>
        <w:t>utilisation de deux</w:t>
      </w:r>
      <w:r w:rsidR="00E85E8E" w:rsidRPr="00C174A2">
        <w:rPr>
          <w:snapToGrid w:val="0"/>
          <w:lang w:val="fr-CH"/>
        </w:rPr>
        <w:t> </w:t>
      </w:r>
      <w:r w:rsidRPr="00C174A2">
        <w:rPr>
          <w:snapToGrid w:val="0"/>
          <w:lang w:val="fr-CH"/>
        </w:rPr>
        <w:t>sites sur un an pour les décisions DHS</w:t>
      </w:r>
    </w:p>
    <w:p w:rsidR="00D83B31" w:rsidRPr="00DB671B" w:rsidRDefault="00D83B31" w:rsidP="00054FE5"/>
    <w:p w:rsidR="005F7AC8" w:rsidRPr="00DB671B" w:rsidRDefault="00054FE5" w:rsidP="00054FE5">
      <w:r w:rsidRPr="00DB671B">
        <w:fldChar w:fldCharType="begin"/>
      </w:r>
      <w:r w:rsidRPr="00DB671B">
        <w:instrText xml:space="preserve"> AUTONUM  </w:instrText>
      </w:r>
      <w:r w:rsidRPr="00DB671B">
        <w:fldChar w:fldCharType="end"/>
      </w:r>
      <w:r w:rsidRPr="00DB671B">
        <w:tab/>
        <w:t>Le TWC a rappelé que, lorsque deux</w:t>
      </w:r>
      <w:r w:rsidR="00E85E8E" w:rsidRPr="00DB671B">
        <w:t> </w:t>
      </w:r>
      <w:r w:rsidRPr="00DB671B">
        <w:t>cycles de croissance sont lancés la même année et au même moment, une certaine distance ou une certaine différence des conditions de croissance entre les deux</w:t>
      </w:r>
      <w:r w:rsidR="00E85E8E" w:rsidRPr="00DB671B">
        <w:t> </w:t>
      </w:r>
      <w:r w:rsidRPr="00DB671B">
        <w:t>sites est nécessaire afin de satisfaire aux exigences d</w:t>
      </w:r>
      <w:r w:rsidR="005F7AC8" w:rsidRPr="00DB671B">
        <w:t>’</w:t>
      </w:r>
      <w:r w:rsidRPr="00DB671B">
        <w:t>indépendance.</w:t>
      </w:r>
    </w:p>
    <w:p w:rsidR="00D83B31" w:rsidRPr="00DB671B" w:rsidRDefault="00D83B31" w:rsidP="00054FE5"/>
    <w:p w:rsidR="00D83B31" w:rsidRPr="00C174A2" w:rsidRDefault="00054FE5" w:rsidP="00DB671B">
      <w:pPr>
        <w:pStyle w:val="Heading5"/>
        <w:rPr>
          <w:lang w:val="fr-CH"/>
        </w:rPr>
      </w:pPr>
      <w:r w:rsidRPr="00C174A2">
        <w:rPr>
          <w:lang w:val="fr-CH"/>
        </w:rPr>
        <w:t>Mise au point et innovation des outils d</w:t>
      </w:r>
      <w:r w:rsidR="005F7AC8" w:rsidRPr="00C174A2">
        <w:rPr>
          <w:lang w:val="fr-CH"/>
        </w:rPr>
        <w:t>’</w:t>
      </w:r>
      <w:r w:rsidRPr="00C174A2">
        <w:rPr>
          <w:lang w:val="fr-CH"/>
        </w:rPr>
        <w:t>examen</w:t>
      </w:r>
      <w:r w:rsidR="00E85E8E" w:rsidRPr="00C174A2">
        <w:rPr>
          <w:lang w:val="fr-CH"/>
        </w:rPr>
        <w:t> </w:t>
      </w:r>
      <w:r w:rsidRPr="00C174A2">
        <w:rPr>
          <w:lang w:val="fr-CH"/>
        </w:rPr>
        <w:t>DHS</w:t>
      </w:r>
    </w:p>
    <w:p w:rsidR="00D83B31" w:rsidRPr="00DB671B" w:rsidRDefault="00D83B31" w:rsidP="00054FE5"/>
    <w:p w:rsidR="00D83B31" w:rsidRPr="00DB671B" w:rsidRDefault="00054FE5" w:rsidP="00054FE5">
      <w:r w:rsidRPr="00DB671B">
        <w:fldChar w:fldCharType="begin"/>
      </w:r>
      <w:r w:rsidRPr="00DB671B">
        <w:instrText xml:space="preserve"> AUTONUM  </w:instrText>
      </w:r>
      <w:r w:rsidRPr="00DB671B">
        <w:fldChar w:fldCharType="end"/>
      </w:r>
      <w:r w:rsidRPr="00DB671B">
        <w:tab/>
        <w:t>Le TWC a rappelé que les documents</w:t>
      </w:r>
      <w:r w:rsidR="00A83A59" w:rsidRPr="00DB671B">
        <w:t> </w:t>
      </w:r>
      <w:r w:rsidRPr="00DB671B">
        <w:t>UPOV/INF/16</w:t>
      </w:r>
      <w:r w:rsidR="00A83A59" w:rsidRPr="00DB671B">
        <w:t xml:space="preserve">, </w:t>
      </w:r>
      <w:r w:rsidRPr="00DB671B">
        <w:t>intitulé “Logiciels échangeables”</w:t>
      </w:r>
      <w:r w:rsidR="00A83A59" w:rsidRPr="00DB671B">
        <w:t xml:space="preserve">, </w:t>
      </w:r>
      <w:r w:rsidRPr="00DB671B">
        <w:t>ou UPOV/INF/22</w:t>
      </w:r>
      <w:r w:rsidR="00A83A59" w:rsidRPr="00DB671B">
        <w:t xml:space="preserve">, </w:t>
      </w:r>
      <w:r w:rsidRPr="00DB671B">
        <w:t>intitulé “Logiciels et équipements utilisés par les membres de l</w:t>
      </w:r>
      <w:r w:rsidR="005F7AC8" w:rsidRPr="00DB671B">
        <w:t>’</w:t>
      </w:r>
      <w:r w:rsidRPr="00DB671B">
        <w:t>Union”</w:t>
      </w:r>
      <w:r w:rsidR="00A83A59" w:rsidRPr="00DB671B">
        <w:t xml:space="preserve">, </w:t>
      </w:r>
      <w:r w:rsidRPr="00DB671B">
        <w:t>pourraient, le cas échéant, servir à partager des informations concernant les évolutions dont la Chine a fait état.</w:t>
      </w:r>
    </w:p>
    <w:p w:rsidR="00D83B31" w:rsidRPr="00DB671B" w:rsidRDefault="00D83B31" w:rsidP="00054FE5">
      <w:pPr>
        <w:pStyle w:val="Heading3"/>
        <w:rPr>
          <w:lang w:val="fr-FR"/>
        </w:rPr>
      </w:pPr>
    </w:p>
    <w:p w:rsidR="00D83B31" w:rsidRPr="00C174A2" w:rsidRDefault="00054FE5" w:rsidP="00DB671B">
      <w:pPr>
        <w:pStyle w:val="Heading5"/>
        <w:rPr>
          <w:lang w:val="fr-CH"/>
        </w:rPr>
      </w:pPr>
      <w:r w:rsidRPr="00C174A2">
        <w:rPr>
          <w:lang w:val="fr-CH"/>
        </w:rPr>
        <w:t>Traitement des données aux fins de l</w:t>
      </w:r>
      <w:r w:rsidR="005F7AC8" w:rsidRPr="00C174A2">
        <w:rPr>
          <w:lang w:val="fr-CH"/>
        </w:rPr>
        <w:t>’</w:t>
      </w:r>
      <w:r w:rsidRPr="00C174A2">
        <w:rPr>
          <w:lang w:val="fr-CH"/>
        </w:rPr>
        <w:t>évaluation de la distinction et de l</w:t>
      </w:r>
      <w:r w:rsidR="005F7AC8" w:rsidRPr="00C174A2">
        <w:rPr>
          <w:lang w:val="fr-CH"/>
        </w:rPr>
        <w:t>’</w:t>
      </w:r>
      <w:r w:rsidRPr="00C174A2">
        <w:rPr>
          <w:lang w:val="fr-CH"/>
        </w:rPr>
        <w:t>élaboration de descriptions variétales</w:t>
      </w:r>
    </w:p>
    <w:p w:rsidR="00D83B31" w:rsidRPr="00DB671B" w:rsidRDefault="00D83B31" w:rsidP="00054FE5">
      <w:pPr>
        <w:jc w:val="left"/>
      </w:pPr>
    </w:p>
    <w:p w:rsidR="00D83B31" w:rsidRPr="00DB671B" w:rsidRDefault="00054FE5" w:rsidP="00054FE5">
      <w:pPr>
        <w:keepNext/>
      </w:pPr>
      <w:r w:rsidRPr="00DB671B">
        <w:fldChar w:fldCharType="begin"/>
      </w:r>
      <w:r w:rsidRPr="00DB671B">
        <w:instrText xml:space="preserve"> AUTONUM  </w:instrText>
      </w:r>
      <w:r w:rsidRPr="00DB671B">
        <w:fldChar w:fldCharType="end"/>
      </w:r>
      <w:r w:rsidRPr="00DB671B">
        <w:tab/>
        <w:t>Le TWC a noté que les différentes méthodes décrites dans le document étaient utilisées pour produire des descriptions variétales et ne mentionnaient pas l</w:t>
      </w:r>
      <w:r w:rsidR="005F7AC8" w:rsidRPr="00DB671B">
        <w:t>’</w:t>
      </w:r>
      <w:r w:rsidRPr="00DB671B">
        <w:t xml:space="preserve">évaluation de la distinction.  </w:t>
      </w:r>
      <w:r w:rsidR="005F7AC8" w:rsidRPr="00DB671B">
        <w:t>Le TWC</w:t>
      </w:r>
      <w:r w:rsidRPr="00DB671B">
        <w:t xml:space="preserve"> est convenu de proposer de modifier le titre du document comme suit</w:t>
      </w:r>
      <w:r w:rsidR="005F7AC8" w:rsidRPr="00DB671B">
        <w:t> :</w:t>
      </w:r>
      <w:r w:rsidRPr="00DB671B">
        <w:t xml:space="preserve"> “Traitement des données aux fins </w:t>
      </w:r>
      <w:r w:rsidRPr="00DB671B">
        <w:rPr>
          <w:strike/>
          <w:highlight w:val="lightGray"/>
        </w:rPr>
        <w:t>de l</w:t>
      </w:r>
      <w:r w:rsidR="005F7AC8" w:rsidRPr="00DB671B">
        <w:rPr>
          <w:strike/>
          <w:highlight w:val="lightGray"/>
        </w:rPr>
        <w:t>’</w:t>
      </w:r>
      <w:r w:rsidRPr="00DB671B">
        <w:rPr>
          <w:strike/>
          <w:highlight w:val="lightGray"/>
        </w:rPr>
        <w:t>évaluation de la distinction et</w:t>
      </w:r>
      <w:r w:rsidRPr="00DB671B">
        <w:rPr>
          <w:highlight w:val="lightGray"/>
        </w:rPr>
        <w:t xml:space="preserve"> </w:t>
      </w:r>
      <w:r w:rsidRPr="00DB671B">
        <w:t>de l</w:t>
      </w:r>
      <w:r w:rsidR="005F7AC8" w:rsidRPr="00DB671B">
        <w:t>’</w:t>
      </w:r>
      <w:r w:rsidRPr="00DB671B">
        <w:t xml:space="preserve">élaboration de descriptions variétales </w:t>
      </w:r>
      <w:r w:rsidRPr="00DB671B">
        <w:rPr>
          <w:highlight w:val="lightGray"/>
          <w:u w:val="single"/>
        </w:rPr>
        <w:t>concernant des caractères quantitatifs mesurés</w:t>
      </w:r>
      <w:r w:rsidRPr="00DB671B">
        <w:t>”.</w:t>
      </w:r>
    </w:p>
    <w:p w:rsidR="00D83B31" w:rsidRPr="00DB671B" w:rsidRDefault="00D83B31" w:rsidP="00054FE5"/>
    <w:p w:rsidR="005F7AC8" w:rsidRPr="00DB671B" w:rsidRDefault="00054FE5" w:rsidP="00054FE5">
      <w:r w:rsidRPr="00DB671B">
        <w:fldChar w:fldCharType="begin"/>
      </w:r>
      <w:r w:rsidRPr="00DB671B">
        <w:instrText xml:space="preserve"> AUTONUM  </w:instrText>
      </w:r>
      <w:r w:rsidRPr="00DB671B">
        <w:fldChar w:fldCharType="end"/>
      </w:r>
      <w:r w:rsidRPr="00DB671B">
        <w:tab/>
        <w:t>Le TWC a pris note de la demande du</w:t>
      </w:r>
      <w:r w:rsidR="005F7AC8" w:rsidRPr="00DB671B">
        <w:t> TC</w:t>
      </w:r>
      <w:r w:rsidRPr="00DB671B">
        <w:t xml:space="preserve"> invitant les experts de l</w:t>
      </w:r>
      <w:r w:rsidR="005F7AC8" w:rsidRPr="00DB671B">
        <w:t>’</w:t>
      </w:r>
      <w:r w:rsidRPr="00DB671B">
        <w:t>Allemagne, de la France, du Japon et du Royaume</w:t>
      </w:r>
      <w:r w:rsidR="005F7AC8" w:rsidRPr="00DB671B">
        <w:t>-</w:t>
      </w:r>
      <w:r w:rsidRPr="00DB671B">
        <w:t>Uni à fournir des renseignements sur les circonstances dans lesquelles l</w:t>
      </w:r>
      <w:r w:rsidR="005F7AC8" w:rsidRPr="00DB671B">
        <w:t>’</w:t>
      </w:r>
      <w:r w:rsidRPr="00DB671B">
        <w:t xml:space="preserve">utilisation de leurs méthodes serait appropriée, </w:t>
      </w:r>
      <w:r w:rsidR="005F7AC8" w:rsidRPr="00DB671B">
        <w:t>y compris</w:t>
      </w:r>
      <w:r w:rsidRPr="00DB671B">
        <w:t xml:space="preserve"> sur la méthode de reproduction ou de multiplication de la variété, et sur les autres éléments dont il a été tenu compte lors du choix de la méthode utilisée.</w:t>
      </w:r>
      <w:r w:rsidR="005F7AC8" w:rsidRPr="00DB671B">
        <w:t xml:space="preserve"> </w:t>
      </w:r>
      <w:r w:rsidR="00E85E8E" w:rsidRPr="00DB671B">
        <w:t xml:space="preserve"> </w:t>
      </w:r>
      <w:r w:rsidR="005F7AC8" w:rsidRPr="00DB671B">
        <w:t>Le TWC</w:t>
      </w:r>
      <w:r w:rsidR="00097213" w:rsidRPr="00DB671B">
        <w:t xml:space="preserve"> a noté que les descriptions des méthodes n</w:t>
      </w:r>
      <w:r w:rsidR="005F7AC8" w:rsidRPr="00DB671B">
        <w:t>’</w:t>
      </w:r>
      <w:r w:rsidR="00097213" w:rsidRPr="00DB671B">
        <w:t>étaient pas suffisantes pour permettre leur application ni pour déterminer les situations dans lesquelles leur utilisation serait appropriée et est convenu que les experts de l</w:t>
      </w:r>
      <w:r w:rsidR="005F7AC8" w:rsidRPr="00DB671B">
        <w:t>’</w:t>
      </w:r>
      <w:r w:rsidR="00097213" w:rsidRPr="00DB671B">
        <w:t>Allemagne, de la France, de l</w:t>
      </w:r>
      <w:r w:rsidR="005F7AC8" w:rsidRPr="00DB671B">
        <w:t>’</w:t>
      </w:r>
      <w:r w:rsidR="00097213" w:rsidRPr="00DB671B">
        <w:t>Italie et du Japon devraient être invités à fournir les renseignements demandés par le</w:t>
      </w:r>
      <w:r w:rsidR="005F7AC8" w:rsidRPr="00DB671B">
        <w:t> TC</w:t>
      </w:r>
      <w:r w:rsidR="00097213" w:rsidRPr="00DB671B">
        <w:t xml:space="preserve"> à l</w:t>
      </w:r>
      <w:r w:rsidR="005F7AC8" w:rsidRPr="00DB671B">
        <w:t>’</w:t>
      </w:r>
      <w:r w:rsidR="00097213" w:rsidRPr="00DB671B">
        <w:t>expert du Royaume</w:t>
      </w:r>
      <w:r w:rsidR="005F7AC8" w:rsidRPr="00DB671B">
        <w:t>-</w:t>
      </w:r>
      <w:r w:rsidR="00097213" w:rsidRPr="00DB671B">
        <w:t>Uni.</w:t>
      </w:r>
    </w:p>
    <w:p w:rsidR="00D83B31" w:rsidRPr="00DB671B" w:rsidRDefault="00D83B31" w:rsidP="00054FE5"/>
    <w:p w:rsidR="005F7AC8" w:rsidRPr="00DB671B" w:rsidRDefault="00054FE5" w:rsidP="00054FE5">
      <w:r w:rsidRPr="00DB671B">
        <w:fldChar w:fldCharType="begin"/>
      </w:r>
      <w:r w:rsidRPr="00DB671B">
        <w:instrText xml:space="preserve"> AUTONUM  </w:instrText>
      </w:r>
      <w:r w:rsidRPr="00DB671B">
        <w:fldChar w:fldCharType="end"/>
      </w:r>
      <w:r w:rsidRPr="00DB671B">
        <w:tab/>
        <w:t>Le TWC a examiné la proposition relative à l</w:t>
      </w:r>
      <w:r w:rsidR="005F7AC8" w:rsidRPr="00DB671B">
        <w:t>’</w:t>
      </w:r>
      <w:r w:rsidRPr="00DB671B">
        <w:t>élaboration d</w:t>
      </w:r>
      <w:r w:rsidR="005F7AC8" w:rsidRPr="00DB671B">
        <w:t>’</w:t>
      </w:r>
      <w:r w:rsidRPr="00DB671B">
        <w:t>un arbre de décision sur les exigences et les situations relatives à l</w:t>
      </w:r>
      <w:r w:rsidR="005F7AC8" w:rsidRPr="00DB671B">
        <w:t>’</w:t>
      </w:r>
      <w:r w:rsidRPr="00DB671B">
        <w:t xml:space="preserve">utilisation des différentes méthodes décrites. </w:t>
      </w:r>
      <w:r w:rsidR="005F7AC8" w:rsidRPr="00DB671B">
        <w:t xml:space="preserve"> Le TWC</w:t>
      </w:r>
      <w:r w:rsidRPr="00DB671B">
        <w:t xml:space="preserve"> est convenu d</w:t>
      </w:r>
      <w:r w:rsidR="005F7AC8" w:rsidRPr="00DB671B">
        <w:t>’</w:t>
      </w:r>
      <w:r w:rsidRPr="00DB671B">
        <w:t>inviter les experts de l</w:t>
      </w:r>
      <w:r w:rsidR="005F7AC8" w:rsidRPr="00DB671B">
        <w:t>’</w:t>
      </w:r>
      <w:r w:rsidRPr="00DB671B">
        <w:t>Allemagne, de la France, de l</w:t>
      </w:r>
      <w:r w:rsidR="005F7AC8" w:rsidRPr="00DB671B">
        <w:t>’</w:t>
      </w:r>
      <w:r w:rsidRPr="00DB671B">
        <w:t>Italie, du Japon et du Royaume</w:t>
      </w:r>
      <w:r w:rsidR="005F7AC8" w:rsidRPr="00DB671B">
        <w:t>-</w:t>
      </w:r>
      <w:r w:rsidRPr="00DB671B">
        <w:t>Uni à envisager de fournir les renseignements nécessaires comme point de départ pour décrire les exigences relatives à chaque méthode.</w:t>
      </w:r>
    </w:p>
    <w:p w:rsidR="00D83B31" w:rsidRPr="00DB671B" w:rsidRDefault="00D83B31" w:rsidP="00054FE5"/>
    <w:p w:rsidR="00D83B31" w:rsidRPr="00C174A2" w:rsidRDefault="00054FE5" w:rsidP="00DB671B">
      <w:pPr>
        <w:pStyle w:val="Heading5"/>
        <w:rPr>
          <w:lang w:val="fr-CH"/>
        </w:rPr>
      </w:pPr>
      <w:r w:rsidRPr="00C174A2">
        <w:rPr>
          <w:lang w:val="fr-CH"/>
        </w:rPr>
        <w:t>Orientations pour les rédacteurs de principes directeurs d</w:t>
      </w:r>
      <w:r w:rsidR="005F7AC8" w:rsidRPr="00C174A2">
        <w:rPr>
          <w:lang w:val="fr-CH"/>
        </w:rPr>
        <w:t>’</w:t>
      </w:r>
      <w:r w:rsidRPr="00C174A2">
        <w:rPr>
          <w:lang w:val="fr-CH"/>
        </w:rPr>
        <w:t>examen</w:t>
      </w:r>
    </w:p>
    <w:p w:rsidR="00D83B31" w:rsidRPr="00DB671B" w:rsidRDefault="00D83B31" w:rsidP="00054FE5">
      <w:pPr>
        <w:keepNext/>
      </w:pPr>
    </w:p>
    <w:p w:rsidR="00D83B31" w:rsidRPr="00DB671B" w:rsidRDefault="00054FE5" w:rsidP="00054FE5">
      <w:r w:rsidRPr="00DB671B">
        <w:fldChar w:fldCharType="begin"/>
      </w:r>
      <w:r w:rsidRPr="00DB671B">
        <w:instrText xml:space="preserve"> AUTONUM  </w:instrText>
      </w:r>
      <w:r w:rsidRPr="00DB671B">
        <w:fldChar w:fldCharType="end"/>
      </w:r>
      <w:r w:rsidRPr="00DB671B">
        <w:tab/>
      </w:r>
      <w:r w:rsidR="00097213" w:rsidRPr="00DB671B">
        <w:t>Le TWC a noté que les différents éléments affichés dans le modèle de principe directeur d</w:t>
      </w:r>
      <w:r w:rsidR="005F7AC8" w:rsidRPr="00DB671B">
        <w:t>’</w:t>
      </w:r>
      <w:r w:rsidR="00097213" w:rsidRPr="00DB671B">
        <w:t>examen fondé sur le Web fournissaient des liens vers les notes indicatives ou le texte standard supplémentaire du document</w:t>
      </w:r>
      <w:r w:rsidR="00A83A59" w:rsidRPr="00DB671B">
        <w:t> </w:t>
      </w:r>
      <w:r w:rsidR="00097213" w:rsidRPr="00DB671B">
        <w:t xml:space="preserve">TGP/7. </w:t>
      </w:r>
      <w:r w:rsidR="005F7AC8" w:rsidRPr="00DB671B">
        <w:t xml:space="preserve"> Le TWC</w:t>
      </w:r>
      <w:r w:rsidR="00097213" w:rsidRPr="00DB671B">
        <w:t xml:space="preserve"> est convenu de proposer que des liens vers le texte standard supplémentaire d</w:t>
      </w:r>
      <w:r w:rsidR="005F7AC8" w:rsidRPr="00DB671B">
        <w:t>’</w:t>
      </w:r>
      <w:r w:rsidR="00097213" w:rsidRPr="00DB671B">
        <w:t>autres documents TGP soient également accessibles à partir du modèle de principe directeur d</w:t>
      </w:r>
      <w:r w:rsidR="005F7AC8" w:rsidRPr="00DB671B">
        <w:t>’</w:t>
      </w:r>
      <w:r w:rsidR="00097213" w:rsidRPr="00DB671B">
        <w:t>examen fondé sur le Web.</w:t>
      </w:r>
    </w:p>
    <w:p w:rsidR="00D83B31" w:rsidRPr="00DB671B" w:rsidRDefault="00D83B31" w:rsidP="00054FE5"/>
    <w:p w:rsidR="00D83B31" w:rsidRPr="00C174A2" w:rsidRDefault="00054FE5" w:rsidP="00DB671B">
      <w:pPr>
        <w:pStyle w:val="Heading5"/>
        <w:rPr>
          <w:lang w:val="fr-CH"/>
        </w:rPr>
      </w:pPr>
      <w:r w:rsidRPr="00C174A2">
        <w:rPr>
          <w:lang w:val="fr-CH"/>
        </w:rPr>
        <w:t>Présentation dans les principes directeurs d</w:t>
      </w:r>
      <w:r w:rsidR="005F7AC8" w:rsidRPr="00C174A2">
        <w:rPr>
          <w:lang w:val="fr-CH"/>
        </w:rPr>
        <w:t>’</w:t>
      </w:r>
      <w:r w:rsidRPr="00C174A2">
        <w:rPr>
          <w:lang w:val="fr-CH"/>
        </w:rPr>
        <w:t>examen de notes exhaustives sur les caractères quantitatifs</w:t>
      </w:r>
    </w:p>
    <w:p w:rsidR="00D83B31" w:rsidRPr="00DB671B" w:rsidRDefault="00D83B31" w:rsidP="00054FE5">
      <w:pPr>
        <w:keepNext/>
      </w:pPr>
    </w:p>
    <w:p w:rsidR="005F7AC8" w:rsidRPr="00DB671B" w:rsidRDefault="00054FE5" w:rsidP="00054FE5">
      <w:pPr>
        <w:keepNext/>
      </w:pPr>
      <w:r w:rsidRPr="00DB671B">
        <w:fldChar w:fldCharType="begin"/>
      </w:r>
      <w:r w:rsidRPr="00DB671B">
        <w:instrText xml:space="preserve"> AUTONUM  </w:instrText>
      </w:r>
      <w:r w:rsidRPr="00DB671B">
        <w:fldChar w:fldCharType="end"/>
      </w:r>
      <w:r w:rsidRPr="00DB671B">
        <w:tab/>
        <w:t>Le TWC a fait état de l</w:t>
      </w:r>
      <w:r w:rsidR="005F7AC8" w:rsidRPr="00DB671B">
        <w:t>’</w:t>
      </w:r>
      <w:r w:rsidRPr="00DB671B">
        <w:t>utilité de présenter des notes exhaustives concernant les systèmes de dépôt électronique des demandes et s</w:t>
      </w:r>
      <w:r w:rsidR="005F7AC8" w:rsidRPr="00DB671B">
        <w:t>’</w:t>
      </w:r>
      <w:r w:rsidRPr="00DB671B">
        <w:t>est associé aux remarques</w:t>
      </w:r>
      <w:r w:rsidR="005F7AC8" w:rsidRPr="00DB671B">
        <w:t xml:space="preserve"> du TWO</w:t>
      </w:r>
      <w:r w:rsidRPr="00DB671B">
        <w:t>,</w:t>
      </w:r>
      <w:r w:rsidR="005F7AC8" w:rsidRPr="00DB671B">
        <w:t xml:space="preserve"> du TWV</w:t>
      </w:r>
      <w:r w:rsidRPr="00DB671B">
        <w:t xml:space="preserve"> et</w:t>
      </w:r>
      <w:r w:rsidR="005F7AC8" w:rsidRPr="00DB671B">
        <w:t xml:space="preserve"> du TWF</w:t>
      </w:r>
      <w:r w:rsidRPr="00DB671B">
        <w:t xml:space="preserve"> en précisant que tous les niveaux d</w:t>
      </w:r>
      <w:r w:rsidR="005F7AC8" w:rsidRPr="00DB671B">
        <w:t>’</w:t>
      </w:r>
      <w:r w:rsidRPr="00DB671B">
        <w:t>expression de caractères techniques devraient figurer dans les principes directeurs d</w:t>
      </w:r>
      <w:r w:rsidR="005F7AC8" w:rsidRPr="00DB671B">
        <w:t>’</w:t>
      </w:r>
      <w:r w:rsidRPr="00DB671B">
        <w:t>examen.</w:t>
      </w:r>
    </w:p>
    <w:p w:rsidR="00D83B31" w:rsidRPr="00DB671B" w:rsidRDefault="00D83B31" w:rsidP="00054FE5">
      <w:pPr>
        <w:rPr>
          <w:snapToGrid w:val="0"/>
        </w:rPr>
      </w:pPr>
    </w:p>
    <w:p w:rsidR="00D83B31" w:rsidRPr="00C174A2" w:rsidRDefault="00097213" w:rsidP="00DB671B">
      <w:pPr>
        <w:pStyle w:val="Heading5"/>
        <w:rPr>
          <w:lang w:val="fr-CH"/>
        </w:rPr>
      </w:pPr>
      <w:r w:rsidRPr="00C174A2">
        <w:rPr>
          <w:lang w:val="fr-CH"/>
        </w:rPr>
        <w:t>Session visant à faciliter la coopération en ce qui concerne l</w:t>
      </w:r>
      <w:r w:rsidR="005F7AC8" w:rsidRPr="00C174A2">
        <w:rPr>
          <w:lang w:val="fr-CH"/>
        </w:rPr>
        <w:t>’</w:t>
      </w:r>
      <w:r w:rsidRPr="00C174A2">
        <w:rPr>
          <w:lang w:val="fr-CH"/>
        </w:rPr>
        <w:t>utilisation des techniques moléculaires et la coopération internationale en matière d</w:t>
      </w:r>
      <w:r w:rsidR="005F7AC8" w:rsidRPr="00C174A2">
        <w:rPr>
          <w:lang w:val="fr-CH"/>
        </w:rPr>
        <w:t>’</w:t>
      </w:r>
      <w:r w:rsidRPr="00C174A2">
        <w:rPr>
          <w:lang w:val="fr-CH"/>
        </w:rPr>
        <w:t>examen</w:t>
      </w:r>
      <w:r w:rsidR="00E85E8E" w:rsidRPr="00C174A2">
        <w:rPr>
          <w:lang w:val="fr-CH"/>
        </w:rPr>
        <w:t> </w:t>
      </w:r>
      <w:r w:rsidRPr="00C174A2">
        <w:rPr>
          <w:lang w:val="fr-CH"/>
        </w:rPr>
        <w:t>DHS</w:t>
      </w:r>
    </w:p>
    <w:p w:rsidR="00D83B31" w:rsidRPr="00DB671B" w:rsidRDefault="00D83B31" w:rsidP="00054FE5"/>
    <w:p w:rsidR="00D83B31" w:rsidRPr="00DB671B" w:rsidRDefault="00054FE5" w:rsidP="00054FE5">
      <w:r w:rsidRPr="00DB671B">
        <w:fldChar w:fldCharType="begin"/>
      </w:r>
      <w:r w:rsidRPr="00DB671B">
        <w:instrText xml:space="preserve"> AUTONUM  </w:instrText>
      </w:r>
      <w:r w:rsidRPr="00DB671B">
        <w:fldChar w:fldCharType="end"/>
      </w:r>
      <w:r w:rsidRPr="00DB671B">
        <w:tab/>
      </w:r>
      <w:r w:rsidR="00097213" w:rsidRPr="00DB671B">
        <w:t>Le TWC a créé des groupes de discussion chargés de se pencher sur la question de la coopération en ce qui concerne l</w:t>
      </w:r>
      <w:r w:rsidR="005F7AC8" w:rsidRPr="00DB671B">
        <w:t>’</w:t>
      </w:r>
      <w:r w:rsidR="00097213" w:rsidRPr="00DB671B">
        <w:t>utilisation des techniques moléculaires, ainsi que sur les difficultés techniques qui ont empêché la coopération en matière d</w:t>
      </w:r>
      <w:r w:rsidR="005F7AC8" w:rsidRPr="00DB671B">
        <w:t>’</w:t>
      </w:r>
      <w:r w:rsidR="00097213" w:rsidRPr="00DB671B">
        <w:t>examen</w:t>
      </w:r>
      <w:r w:rsidR="00E85E8E" w:rsidRPr="00DB671B">
        <w:t> </w:t>
      </w:r>
      <w:r w:rsidR="00097213" w:rsidRPr="00DB671B">
        <w:t>DHS, et de proposer des solutions pour y remédier.</w:t>
      </w:r>
    </w:p>
    <w:p w:rsidR="00D83B31" w:rsidRPr="00DB671B" w:rsidRDefault="00D83B31" w:rsidP="00054FE5">
      <w:pPr>
        <w:rPr>
          <w:snapToGrid w:val="0"/>
        </w:rPr>
      </w:pPr>
    </w:p>
    <w:p w:rsidR="00D83B31" w:rsidRPr="00C174A2" w:rsidRDefault="00054FE5" w:rsidP="00DB671B">
      <w:pPr>
        <w:pStyle w:val="Heading5"/>
        <w:rPr>
          <w:lang w:val="fr-CH"/>
        </w:rPr>
      </w:pPr>
      <w:r w:rsidRPr="00C174A2">
        <w:rPr>
          <w:lang w:val="fr-CH"/>
        </w:rPr>
        <w:t>Logiciels, informations et bases de données</w:t>
      </w:r>
    </w:p>
    <w:p w:rsidR="00D83B31" w:rsidRPr="00DB671B" w:rsidRDefault="00D83B31" w:rsidP="00054FE5"/>
    <w:p w:rsidR="005F7AC8" w:rsidRPr="00DB671B" w:rsidRDefault="00054FE5" w:rsidP="00054FE5">
      <w:r w:rsidRPr="00DB671B">
        <w:fldChar w:fldCharType="begin"/>
      </w:r>
      <w:r w:rsidRPr="00DB671B">
        <w:instrText xml:space="preserve"> AUTONUM  </w:instrText>
      </w:r>
      <w:r w:rsidRPr="00DB671B">
        <w:fldChar w:fldCharType="end"/>
      </w:r>
      <w:r w:rsidRPr="00DB671B">
        <w:tab/>
      </w:r>
      <w:r w:rsidR="00097213" w:rsidRPr="00DB671B">
        <w:t>Le TWC a examiné le document</w:t>
      </w:r>
      <w:r w:rsidR="00A83A59" w:rsidRPr="00DB671B">
        <w:t> </w:t>
      </w:r>
      <w:r w:rsidR="00097213" w:rsidRPr="00DB671B">
        <w:t>TWC/37/8 et a assisté à un exposé présenté par un expert de la Chine, intitulé “A statistical analysis Software – DUS Excel”.</w:t>
      </w:r>
    </w:p>
    <w:p w:rsidR="00D83B31" w:rsidRPr="00DB671B" w:rsidRDefault="00D83B31" w:rsidP="00054FE5">
      <w:pPr>
        <w:tabs>
          <w:tab w:val="left" w:pos="1312"/>
        </w:tabs>
      </w:pPr>
    </w:p>
    <w:p w:rsidR="005F7AC8" w:rsidRPr="00DB671B" w:rsidRDefault="00054FE5" w:rsidP="00054FE5">
      <w:r w:rsidRPr="00DB671B">
        <w:fldChar w:fldCharType="begin"/>
      </w:r>
      <w:r w:rsidRPr="00DB671B">
        <w:instrText xml:space="preserve"> AUTONUM  </w:instrText>
      </w:r>
      <w:r w:rsidRPr="00DB671B">
        <w:fldChar w:fldCharType="end"/>
      </w:r>
      <w:r w:rsidRPr="00DB671B">
        <w:tab/>
        <w:t>Le TWC s</w:t>
      </w:r>
      <w:r w:rsidR="005F7AC8" w:rsidRPr="00DB671B">
        <w:t>’</w:t>
      </w:r>
      <w:r w:rsidRPr="00DB671B">
        <w:t xml:space="preserve">est intéressé à la validation du logiciel proposé. </w:t>
      </w:r>
      <w:r w:rsidR="005F7AC8" w:rsidRPr="00DB671B">
        <w:t xml:space="preserve"> Le TWC</w:t>
      </w:r>
      <w:r w:rsidRPr="00DB671B">
        <w:t xml:space="preserve"> a pris acte de l</w:t>
      </w:r>
      <w:r w:rsidR="005F7AC8" w:rsidRPr="00DB671B">
        <w:t>’</w:t>
      </w:r>
      <w:r w:rsidRPr="00DB671B">
        <w:t>offre du Royaume</w:t>
      </w:r>
      <w:r w:rsidR="00B765B2">
        <w:noBreakHyphen/>
      </w:r>
      <w:r w:rsidRPr="00DB671B">
        <w:t>Uni de fournir à la Chine, à la France et au Kenya une série de données communes pour comparer les résultats obtenus grâce aux processus COYD et COYU en recourant à différents logiciels.</w:t>
      </w:r>
    </w:p>
    <w:p w:rsidR="00D83B31" w:rsidRPr="00DB671B" w:rsidRDefault="00D83B31" w:rsidP="00054FE5">
      <w:pPr>
        <w:tabs>
          <w:tab w:val="left" w:pos="1312"/>
        </w:tabs>
      </w:pPr>
    </w:p>
    <w:p w:rsidR="00D83B31" w:rsidRPr="00DB671B" w:rsidRDefault="00054FE5" w:rsidP="00054FE5">
      <w:r w:rsidRPr="00DB671B">
        <w:fldChar w:fldCharType="begin"/>
      </w:r>
      <w:r w:rsidRPr="00DB671B">
        <w:instrText xml:space="preserve"> AUTONUM  </w:instrText>
      </w:r>
      <w:r w:rsidRPr="00DB671B">
        <w:fldChar w:fldCharType="end"/>
      </w:r>
      <w:r w:rsidRPr="00DB671B">
        <w:tab/>
        <w:t>Le TWC a pris note de la proposition de la Chine tendant à mettre le logiciel à la disposition des autres membres de l</w:t>
      </w:r>
      <w:r w:rsidR="005F7AC8" w:rsidRPr="00DB671B">
        <w:t>’</w:t>
      </w:r>
      <w:r w:rsidRPr="00DB671B">
        <w:t xml:space="preserve">UPOV.  </w:t>
      </w:r>
      <w:r w:rsidR="005F7AC8" w:rsidRPr="00DB671B">
        <w:t>Le TWC</w:t>
      </w:r>
      <w:r w:rsidRPr="00DB671B">
        <w:t xml:space="preserve"> a constaté que l</w:t>
      </w:r>
      <w:r w:rsidR="005F7AC8" w:rsidRPr="00DB671B">
        <w:t>’</w:t>
      </w:r>
      <w:r w:rsidRPr="00DB671B">
        <w:t>interface utilisateur était disponible en chinois et en anglais, tandis que le manuel de l</w:t>
      </w:r>
      <w:r w:rsidR="005F7AC8" w:rsidRPr="00DB671B">
        <w:t>’</w:t>
      </w:r>
      <w:r w:rsidRPr="00DB671B">
        <w:t>utilisateur ne l</w:t>
      </w:r>
      <w:r w:rsidR="005F7AC8" w:rsidRPr="00DB671B">
        <w:t>’</w:t>
      </w:r>
      <w:r w:rsidRPr="00DB671B">
        <w:t>était qu</w:t>
      </w:r>
      <w:r w:rsidR="005F7AC8" w:rsidRPr="00DB671B">
        <w:t>’</w:t>
      </w:r>
      <w:r w:rsidRPr="00DB671B">
        <w:t xml:space="preserve">en chinois.  </w:t>
      </w:r>
      <w:r w:rsidR="005F7AC8" w:rsidRPr="00DB671B">
        <w:t>Le TWC</w:t>
      </w:r>
      <w:r w:rsidRPr="00DB671B">
        <w:t xml:space="preserve"> a pris acte de la proposition des États</w:t>
      </w:r>
      <w:r w:rsidR="00B765B2">
        <w:noBreakHyphen/>
      </w:r>
      <w:r w:rsidRPr="00DB671B">
        <w:t>Unis d</w:t>
      </w:r>
      <w:r w:rsidR="005F7AC8" w:rsidRPr="00DB671B">
        <w:t>’</w:t>
      </w:r>
      <w:r w:rsidRPr="00DB671B">
        <w:t>Amérique de traduire une brève description du système afin de juger de l</w:t>
      </w:r>
      <w:r w:rsidR="005F7AC8" w:rsidRPr="00DB671B">
        <w:t>’</w:t>
      </w:r>
      <w:r w:rsidRPr="00DB671B">
        <w:t>intérêt de traduire le manuel de l</w:t>
      </w:r>
      <w:r w:rsidR="005F7AC8" w:rsidRPr="00DB671B">
        <w:t>’</w:t>
      </w:r>
      <w:r w:rsidRPr="00DB671B">
        <w:t>utilisateur dans son intégralité.</w:t>
      </w:r>
    </w:p>
    <w:p w:rsidR="00D83B31" w:rsidRPr="00DB671B" w:rsidRDefault="00D83B31" w:rsidP="00054FE5"/>
    <w:p w:rsidR="005F7AC8" w:rsidRPr="00C174A2" w:rsidRDefault="00054FE5" w:rsidP="00DB671B">
      <w:pPr>
        <w:pStyle w:val="Heading5"/>
        <w:rPr>
          <w:lang w:val="fr-CH"/>
        </w:rPr>
      </w:pPr>
      <w:r w:rsidRPr="00C174A2">
        <w:rPr>
          <w:lang w:val="fr-CH"/>
        </w:rPr>
        <w:t>Date et lieu de la prochaine session</w:t>
      </w:r>
    </w:p>
    <w:p w:rsidR="00D83B31" w:rsidRPr="00DB671B" w:rsidRDefault="00D83B31" w:rsidP="00054FE5">
      <w:pPr>
        <w:keepNext/>
        <w:rPr>
          <w:rFonts w:cs="Arial"/>
        </w:rPr>
      </w:pPr>
    </w:p>
    <w:p w:rsidR="00D83B31" w:rsidRPr="00DB671B" w:rsidRDefault="00054FE5" w:rsidP="00054FE5">
      <w:pPr>
        <w:keepNext/>
      </w:pPr>
      <w:r w:rsidRPr="00DB671B">
        <w:fldChar w:fldCharType="begin"/>
      </w:r>
      <w:r w:rsidRPr="00DB671B">
        <w:instrText xml:space="preserve"> AUTONUM  </w:instrText>
      </w:r>
      <w:r w:rsidRPr="00DB671B">
        <w:fldChar w:fldCharType="end"/>
      </w:r>
      <w:r w:rsidRPr="00DB671B">
        <w:tab/>
      </w:r>
      <w:r w:rsidR="00097213" w:rsidRPr="00DB671B">
        <w:t>Sur l</w:t>
      </w:r>
      <w:r w:rsidR="005F7AC8" w:rsidRPr="00DB671B">
        <w:t>’</w:t>
      </w:r>
      <w:r w:rsidR="00097213" w:rsidRPr="00DB671B">
        <w:t>invitation des États</w:t>
      </w:r>
      <w:r w:rsidR="005F7AC8" w:rsidRPr="00DB671B">
        <w:t>-</w:t>
      </w:r>
      <w:r w:rsidR="00097213" w:rsidRPr="00DB671B">
        <w:t>Unis d</w:t>
      </w:r>
      <w:r w:rsidR="005F7AC8" w:rsidRPr="00DB671B">
        <w:t>’</w:t>
      </w:r>
      <w:r w:rsidR="00097213" w:rsidRPr="00DB671B">
        <w:t>Amérique,</w:t>
      </w:r>
      <w:r w:rsidR="005F7AC8" w:rsidRPr="00DB671B">
        <w:t xml:space="preserve"> le TWC</w:t>
      </w:r>
      <w:r w:rsidR="00097213" w:rsidRPr="00DB671B">
        <w:t xml:space="preserve"> est convenu de tenir sa trente</w:t>
      </w:r>
      <w:r w:rsidR="005F7AC8" w:rsidRPr="00DB671B">
        <w:t>-</w:t>
      </w:r>
      <w:r w:rsidR="00097213" w:rsidRPr="00DB671B">
        <w:t>huit</w:t>
      </w:r>
      <w:r w:rsidR="005F7AC8" w:rsidRPr="00DB671B">
        <w:t>ième session</w:t>
      </w:r>
      <w:r w:rsidR="00097213" w:rsidRPr="00DB671B">
        <w:t xml:space="preserve"> à Alexandria, en Virginie, en même temps que la session</w:t>
      </w:r>
      <w:r w:rsidR="005F7AC8" w:rsidRPr="00DB671B">
        <w:t xml:space="preserve"> du BMT</w:t>
      </w:r>
      <w:r w:rsidR="00097213" w:rsidRPr="00DB671B">
        <w:t>, durant la semaine du 21 au 2</w:t>
      </w:r>
      <w:r w:rsidR="005F7AC8" w:rsidRPr="00DB671B">
        <w:t>5 septembre 20</w:t>
      </w:r>
      <w:r w:rsidR="00097213" w:rsidRPr="00DB671B">
        <w:t>20.</w:t>
      </w:r>
    </w:p>
    <w:p w:rsidR="00D83B31" w:rsidRPr="00DB671B" w:rsidRDefault="00D83B31" w:rsidP="00054FE5">
      <w:pPr>
        <w:rPr>
          <w:rFonts w:cs="Arial"/>
        </w:rPr>
      </w:pPr>
    </w:p>
    <w:p w:rsidR="00D83B31" w:rsidRPr="001766FA" w:rsidRDefault="00054FE5" w:rsidP="00DB671B">
      <w:pPr>
        <w:pStyle w:val="Heading5"/>
        <w:rPr>
          <w:lang w:val="fr-CH"/>
        </w:rPr>
      </w:pPr>
      <w:r w:rsidRPr="001766FA">
        <w:rPr>
          <w:lang w:val="fr-CH"/>
        </w:rPr>
        <w:t>Programme futur</w:t>
      </w:r>
    </w:p>
    <w:p w:rsidR="00D83B31" w:rsidRPr="00DB671B" w:rsidRDefault="00D83B31" w:rsidP="00054FE5">
      <w:pPr>
        <w:keepNext/>
        <w:rPr>
          <w:snapToGrid w:val="0"/>
        </w:rPr>
      </w:pPr>
    </w:p>
    <w:p w:rsidR="005F7AC8" w:rsidRPr="00DB671B" w:rsidRDefault="00054FE5" w:rsidP="00097213">
      <w:pPr>
        <w:rPr>
          <w:rFonts w:cs="Arial"/>
        </w:rPr>
      </w:pPr>
      <w:r w:rsidRPr="00DB671B">
        <w:fldChar w:fldCharType="begin"/>
      </w:r>
      <w:r w:rsidRPr="00DB671B">
        <w:instrText xml:space="preserve"> AUTONUM  </w:instrText>
      </w:r>
      <w:r w:rsidRPr="00DB671B">
        <w:fldChar w:fldCharType="end"/>
      </w:r>
      <w:r w:rsidRPr="00DB671B">
        <w:tab/>
      </w:r>
      <w:r w:rsidR="00097213" w:rsidRPr="00DB671B">
        <w:t>Le TWC s</w:t>
      </w:r>
      <w:r w:rsidR="005F7AC8" w:rsidRPr="00DB671B">
        <w:t>’</w:t>
      </w:r>
      <w:r w:rsidR="00097213" w:rsidRPr="00DB671B">
        <w:t>est penché sur la question de l</w:t>
      </w:r>
      <w:r w:rsidR="005F7AC8" w:rsidRPr="00DB671B">
        <w:t>’</w:t>
      </w:r>
      <w:r w:rsidR="00097213" w:rsidRPr="00DB671B">
        <w:t>organisation des réunions</w:t>
      </w:r>
      <w:r w:rsidR="005F7AC8" w:rsidRPr="00DB671B">
        <w:t xml:space="preserve"> du TWC</w:t>
      </w:r>
      <w:r w:rsidR="00097213" w:rsidRPr="00DB671B">
        <w:t xml:space="preserve"> et</w:t>
      </w:r>
      <w:r w:rsidR="005F7AC8" w:rsidRPr="00DB671B">
        <w:t xml:space="preserve"> du BMT</w:t>
      </w:r>
      <w:r w:rsidR="00097213" w:rsidRPr="00DB671B">
        <w:t xml:space="preserve"> la même semaine. </w:t>
      </w:r>
      <w:r w:rsidR="005F7AC8" w:rsidRPr="00DB671B">
        <w:t xml:space="preserve"> </w:t>
      </w:r>
      <w:r w:rsidR="005F7AC8" w:rsidRPr="00DB671B">
        <w:rPr>
          <w:rFonts w:cs="Arial"/>
        </w:rPr>
        <w:t>Le TWC</w:t>
      </w:r>
      <w:r w:rsidR="00097213" w:rsidRPr="00DB671B">
        <w:rPr>
          <w:rFonts w:cs="Arial"/>
        </w:rPr>
        <w:t xml:space="preserve"> a indiqué que le contenu des réunions</w:t>
      </w:r>
      <w:r w:rsidR="005F7AC8" w:rsidRPr="00DB671B">
        <w:rPr>
          <w:rFonts w:cs="Arial"/>
        </w:rPr>
        <w:t xml:space="preserve"> du TWC</w:t>
      </w:r>
      <w:r w:rsidR="00097213" w:rsidRPr="00DB671B">
        <w:rPr>
          <w:rFonts w:cs="Arial"/>
        </w:rPr>
        <w:t xml:space="preserve"> et</w:t>
      </w:r>
      <w:r w:rsidR="005F7AC8" w:rsidRPr="00DB671B">
        <w:rPr>
          <w:rFonts w:cs="Arial"/>
        </w:rPr>
        <w:t xml:space="preserve"> du BMT</w:t>
      </w:r>
      <w:r w:rsidR="00097213" w:rsidRPr="00DB671B">
        <w:rPr>
          <w:rFonts w:cs="Arial"/>
        </w:rPr>
        <w:t xml:space="preserve"> était identique et est convenu que l</w:t>
      </w:r>
      <w:r w:rsidR="005F7AC8" w:rsidRPr="00DB671B">
        <w:rPr>
          <w:rFonts w:cs="Arial"/>
        </w:rPr>
        <w:t>’</w:t>
      </w:r>
      <w:r w:rsidR="00097213" w:rsidRPr="00DB671B">
        <w:rPr>
          <w:rFonts w:cs="Arial"/>
        </w:rPr>
        <w:t>ouverture et l</w:t>
      </w:r>
      <w:r w:rsidR="005F7AC8" w:rsidRPr="00DB671B">
        <w:rPr>
          <w:rFonts w:cs="Arial"/>
        </w:rPr>
        <w:t>’</w:t>
      </w:r>
      <w:r w:rsidR="00097213" w:rsidRPr="00DB671B">
        <w:rPr>
          <w:rFonts w:cs="Arial"/>
        </w:rPr>
        <w:t>introduction seraient communes aux deux</w:t>
      </w:r>
      <w:r w:rsidR="00E85E8E" w:rsidRPr="00DB671B">
        <w:rPr>
          <w:rFonts w:cs="Arial"/>
        </w:rPr>
        <w:t> </w:t>
      </w:r>
      <w:r w:rsidR="00097213" w:rsidRPr="00DB671B">
        <w:rPr>
          <w:rFonts w:cs="Arial"/>
        </w:rPr>
        <w:t>réunions et auraient lieu en même temps.</w:t>
      </w:r>
    </w:p>
    <w:p w:rsidR="00D83B31" w:rsidRPr="00DB671B" w:rsidRDefault="00D83B31" w:rsidP="00097213">
      <w:pPr>
        <w:rPr>
          <w:rFonts w:cs="Arial"/>
        </w:rPr>
      </w:pPr>
    </w:p>
    <w:p w:rsidR="005F7AC8" w:rsidRPr="00DB671B" w:rsidRDefault="00097213" w:rsidP="00097213">
      <w:pPr>
        <w:rPr>
          <w:rFonts w:cs="Arial"/>
        </w:rPr>
      </w:pPr>
      <w:r w:rsidRPr="00DB671B">
        <w:fldChar w:fldCharType="begin"/>
      </w:r>
      <w:r w:rsidRPr="00DB671B">
        <w:instrText xml:space="preserve"> AUTONUM  </w:instrText>
      </w:r>
      <w:r w:rsidRPr="00DB671B">
        <w:fldChar w:fldCharType="end"/>
      </w:r>
      <w:r w:rsidRPr="00DB671B">
        <w:tab/>
        <w:t>Le TWC est convenu que les points de l</w:t>
      </w:r>
      <w:r w:rsidR="005F7AC8" w:rsidRPr="00DB671B">
        <w:t>’</w:t>
      </w:r>
      <w:r w:rsidRPr="00DB671B">
        <w:t>ordre du jour à examiner à la trente</w:t>
      </w:r>
      <w:r w:rsidR="005F7AC8" w:rsidRPr="00DB671B">
        <w:t>-</w:t>
      </w:r>
      <w:r w:rsidRPr="00DB671B">
        <w:t>huit</w:t>
      </w:r>
      <w:r w:rsidR="005F7AC8" w:rsidRPr="00DB671B">
        <w:t>ième session</w:t>
      </w:r>
      <w:r w:rsidRPr="00DB671B">
        <w:t xml:space="preserve"> devaient être des points pertinents pour le groupe et que tous les autres points devaient être présentés pour information uniquement. </w:t>
      </w:r>
      <w:r w:rsidR="005F7AC8" w:rsidRPr="00DB671B">
        <w:t xml:space="preserve"> </w:t>
      </w:r>
      <w:r w:rsidR="005F7AC8" w:rsidRPr="00DB671B">
        <w:rPr>
          <w:rFonts w:cs="Arial"/>
        </w:rPr>
        <w:t>Le TWC</w:t>
      </w:r>
      <w:r w:rsidRPr="00DB671B">
        <w:rPr>
          <w:rFonts w:cs="Arial"/>
        </w:rPr>
        <w:t xml:space="preserve"> est convenu que les points de l</w:t>
      </w:r>
      <w:r w:rsidR="005F7AC8" w:rsidRPr="00DB671B">
        <w:rPr>
          <w:rFonts w:cs="Arial"/>
        </w:rPr>
        <w:t>’</w:t>
      </w:r>
      <w:r w:rsidRPr="00DB671B">
        <w:rPr>
          <w:rFonts w:cs="Arial"/>
        </w:rPr>
        <w:t>ordre du jour devraient être regroupés par thème sur différents jours et que les participants devraient être informés à l</w:t>
      </w:r>
      <w:r w:rsidR="005F7AC8" w:rsidRPr="00DB671B">
        <w:rPr>
          <w:rFonts w:cs="Arial"/>
        </w:rPr>
        <w:t>’</w:t>
      </w:r>
      <w:r w:rsidRPr="00DB671B">
        <w:rPr>
          <w:rFonts w:cs="Arial"/>
        </w:rPr>
        <w:t>avance du déroulement des discussions.</w:t>
      </w:r>
    </w:p>
    <w:p w:rsidR="00D83B31" w:rsidRPr="00DB671B" w:rsidRDefault="00D83B31" w:rsidP="00097213">
      <w:pPr>
        <w:rPr>
          <w:rFonts w:cs="Arial"/>
        </w:rPr>
      </w:pPr>
    </w:p>
    <w:p w:rsidR="005F7AC8" w:rsidRPr="00DB671B" w:rsidRDefault="00097213" w:rsidP="00097213">
      <w:pPr>
        <w:rPr>
          <w:rFonts w:cs="Arial"/>
        </w:rPr>
      </w:pPr>
      <w:r w:rsidRPr="00DB671B">
        <w:fldChar w:fldCharType="begin"/>
      </w:r>
      <w:r w:rsidRPr="00DB671B">
        <w:instrText xml:space="preserve"> AUTONUM  </w:instrText>
      </w:r>
      <w:r w:rsidRPr="00DB671B">
        <w:fldChar w:fldCharType="end"/>
      </w:r>
      <w:r w:rsidRPr="00DB671B">
        <w:tab/>
        <w:t>Le TWC a estimé que les propositions ci</w:t>
      </w:r>
      <w:r w:rsidR="005F7AC8" w:rsidRPr="00DB671B">
        <w:t>-</w:t>
      </w:r>
      <w:r w:rsidRPr="00DB671B">
        <w:t>dessus permettraient de dégager du temps durant la réunion pour l</w:t>
      </w:r>
      <w:r w:rsidR="005F7AC8" w:rsidRPr="00DB671B">
        <w:t>’</w:t>
      </w:r>
      <w:r w:rsidRPr="00DB671B">
        <w:t>organisation d</w:t>
      </w:r>
      <w:r w:rsidR="005F7AC8" w:rsidRPr="00DB671B">
        <w:t>’</w:t>
      </w:r>
      <w:r w:rsidRPr="00DB671B">
        <w:t>une visite technique.</w:t>
      </w:r>
    </w:p>
    <w:p w:rsidR="00D83B31" w:rsidRPr="00DB671B" w:rsidRDefault="00D83B31" w:rsidP="00054FE5">
      <w:pPr>
        <w:keepNext/>
        <w:rPr>
          <w:snapToGrid w:val="0"/>
        </w:rPr>
      </w:pPr>
    </w:p>
    <w:p w:rsidR="00D83B31" w:rsidRPr="00DB671B" w:rsidRDefault="00054FE5" w:rsidP="00054FE5">
      <w:pPr>
        <w:keepNext/>
        <w:rPr>
          <w:rFonts w:cs="Arial"/>
        </w:rPr>
      </w:pPr>
      <w:r w:rsidRPr="00DB671B">
        <w:fldChar w:fldCharType="begin"/>
      </w:r>
      <w:r w:rsidRPr="00DB671B">
        <w:instrText xml:space="preserve"> AUTONUM  </w:instrText>
      </w:r>
      <w:r w:rsidRPr="00DB671B">
        <w:fldChar w:fldCharType="end"/>
      </w:r>
      <w:r w:rsidRPr="00DB671B">
        <w:tab/>
        <w:t>Le TW</w:t>
      </w:r>
      <w:r w:rsidR="00B765B2">
        <w:t>C</w:t>
      </w:r>
      <w:r w:rsidRPr="00DB671B">
        <w:t xml:space="preserve"> a proposé d</w:t>
      </w:r>
      <w:r w:rsidR="005F7AC8" w:rsidRPr="00DB671B">
        <w:t>’</w:t>
      </w:r>
      <w:r w:rsidRPr="00DB671B">
        <w:t>examiner les points suivants à sa session suivante</w:t>
      </w:r>
      <w:r w:rsidR="005F7AC8" w:rsidRPr="00DB671B">
        <w:t> :</w:t>
      </w:r>
    </w:p>
    <w:p w:rsidR="00D83B31" w:rsidRPr="00DB671B" w:rsidRDefault="00D83B31" w:rsidP="00054FE5">
      <w:pPr>
        <w:jc w:val="right"/>
      </w:pPr>
    </w:p>
    <w:p w:rsidR="00D83B31" w:rsidRPr="00DB671B" w:rsidRDefault="00054FE5" w:rsidP="00DB671B">
      <w:pPr>
        <w:numPr>
          <w:ilvl w:val="0"/>
          <w:numId w:val="30"/>
        </w:numPr>
        <w:ind w:left="1134" w:hanging="567"/>
        <w:contextualSpacing/>
      </w:pPr>
      <w:r w:rsidRPr="00DB671B">
        <w:t>Ouverture de la session</w:t>
      </w:r>
    </w:p>
    <w:p w:rsidR="00D83B31" w:rsidRPr="00DB671B" w:rsidRDefault="00054FE5" w:rsidP="00DB671B">
      <w:pPr>
        <w:numPr>
          <w:ilvl w:val="0"/>
          <w:numId w:val="30"/>
        </w:numPr>
        <w:ind w:left="1134" w:hanging="567"/>
        <w:contextualSpacing/>
      </w:pPr>
      <w:r w:rsidRPr="00DB671B">
        <w:t>Adoption de l</w:t>
      </w:r>
      <w:r w:rsidR="005F7AC8" w:rsidRPr="00DB671B">
        <w:t>’</w:t>
      </w:r>
      <w:r w:rsidRPr="00DB671B">
        <w:t>ordre du jour</w:t>
      </w:r>
    </w:p>
    <w:p w:rsidR="005F7AC8" w:rsidRPr="00DB671B" w:rsidRDefault="00054FE5" w:rsidP="00DB671B">
      <w:pPr>
        <w:numPr>
          <w:ilvl w:val="0"/>
          <w:numId w:val="30"/>
        </w:numPr>
        <w:ind w:left="1134" w:hanging="567"/>
        <w:contextualSpacing/>
      </w:pPr>
      <w:r w:rsidRPr="00DB671B">
        <w:t>Rapports succincts sur l</w:t>
      </w:r>
      <w:r w:rsidR="005F7AC8" w:rsidRPr="00DB671B">
        <w:t>’</w:t>
      </w:r>
      <w:r w:rsidRPr="00DB671B">
        <w:t>évolution de la situation en matière de protection des obtentions végétales</w:t>
      </w:r>
    </w:p>
    <w:p w:rsidR="00D83B31" w:rsidRPr="00DB671B" w:rsidRDefault="00054FE5" w:rsidP="00DB671B">
      <w:pPr>
        <w:ind w:left="1701" w:hanging="567"/>
        <w:rPr>
          <w:rFonts w:cs="Arial"/>
        </w:rPr>
      </w:pPr>
      <w:r w:rsidRPr="00DB671B">
        <w:rPr>
          <w:rFonts w:cs="Arial"/>
        </w:rPr>
        <w:t>a)</w:t>
      </w:r>
      <w:r w:rsidRPr="00DB671B">
        <w:rPr>
          <w:rFonts w:cs="Arial"/>
        </w:rPr>
        <w:tab/>
        <w:t>Rapports des membres et des observateurs (rapports écrits à établir par les membres et observateurs)</w:t>
      </w:r>
    </w:p>
    <w:p w:rsidR="00D83B31" w:rsidRPr="00DB671B" w:rsidRDefault="00054FE5" w:rsidP="00DB671B">
      <w:pPr>
        <w:ind w:left="1701" w:hanging="567"/>
      </w:pPr>
      <w:r w:rsidRPr="00DB671B">
        <w:t>b)</w:t>
      </w:r>
      <w:r w:rsidRPr="00DB671B">
        <w:tab/>
        <w:t>Rapports sur les faits nouveaux intervenus à l</w:t>
      </w:r>
      <w:r w:rsidR="005F7AC8" w:rsidRPr="00DB671B">
        <w:t>’</w:t>
      </w:r>
      <w:r w:rsidRPr="00DB671B">
        <w:t>UPOV (rapport verbal du Bureau de l</w:t>
      </w:r>
      <w:r w:rsidR="005F7AC8" w:rsidRPr="00DB671B">
        <w:t>’</w:t>
      </w:r>
      <w:r w:rsidRPr="00DB671B">
        <w:t>Union)</w:t>
      </w:r>
    </w:p>
    <w:p w:rsidR="00D83B31" w:rsidRPr="00DB671B" w:rsidRDefault="00097213" w:rsidP="00DB671B">
      <w:pPr>
        <w:numPr>
          <w:ilvl w:val="0"/>
          <w:numId w:val="30"/>
        </w:numPr>
        <w:ind w:left="1134" w:hanging="567"/>
        <w:contextualSpacing/>
        <w:rPr>
          <w:bCs/>
        </w:rPr>
      </w:pPr>
      <w:r w:rsidRPr="00DB671B">
        <w:rPr>
          <w:bCs/>
        </w:rPr>
        <w:t>Méthodes statistiques (documents sollicités)</w:t>
      </w:r>
    </w:p>
    <w:p w:rsidR="005F7AC8" w:rsidRPr="00DB671B" w:rsidRDefault="00097213" w:rsidP="00DB671B">
      <w:pPr>
        <w:ind w:left="2268" w:hanging="567"/>
      </w:pPr>
      <w:r w:rsidRPr="00DB671B">
        <w:t>Document</w:t>
      </w:r>
      <w:r w:rsidR="00A83A59" w:rsidRPr="00DB671B">
        <w:t> </w:t>
      </w:r>
      <w:r w:rsidRPr="00DB671B">
        <w:t>TGP/8</w:t>
      </w:r>
    </w:p>
    <w:p w:rsidR="00D83B31" w:rsidRPr="00DB671B" w:rsidRDefault="00097213" w:rsidP="00DB671B">
      <w:pPr>
        <w:numPr>
          <w:ilvl w:val="2"/>
          <w:numId w:val="30"/>
        </w:numPr>
        <w:ind w:left="2268" w:hanging="567"/>
        <w:contextualSpacing/>
      </w:pPr>
      <w:r w:rsidRPr="00DB671B">
        <w:t>Restructuration du document</w:t>
      </w:r>
      <w:r w:rsidR="00A83A59" w:rsidRPr="00DB671B">
        <w:t> </w:t>
      </w:r>
      <w:r w:rsidRPr="00DB671B">
        <w:t>TGP/8 (document à établir par la Chine)</w:t>
      </w:r>
    </w:p>
    <w:p w:rsidR="00D83B31" w:rsidRPr="00DB671B" w:rsidRDefault="00097213" w:rsidP="00DB671B">
      <w:pPr>
        <w:numPr>
          <w:ilvl w:val="2"/>
          <w:numId w:val="30"/>
        </w:numPr>
        <w:ind w:left="2268" w:hanging="567"/>
        <w:contextualSpacing/>
      </w:pPr>
      <w:r w:rsidRPr="00DB671B">
        <w:t>Interaction entre le génotype et l</w:t>
      </w:r>
      <w:r w:rsidR="005F7AC8" w:rsidRPr="00DB671B">
        <w:t>’</w:t>
      </w:r>
      <w:r w:rsidRPr="00DB671B">
        <w:t>environnement (document à établir par la Finlande et l</w:t>
      </w:r>
      <w:r w:rsidR="005F7AC8" w:rsidRPr="00DB671B">
        <w:t>’</w:t>
      </w:r>
      <w:r w:rsidRPr="00DB671B">
        <w:t>Italie)</w:t>
      </w:r>
    </w:p>
    <w:p w:rsidR="00D83B31" w:rsidRPr="00DB671B" w:rsidRDefault="00097213" w:rsidP="00DB671B">
      <w:pPr>
        <w:numPr>
          <w:ilvl w:val="2"/>
          <w:numId w:val="30"/>
        </w:numPr>
        <w:ind w:left="2268" w:hanging="567"/>
        <w:contextualSpacing/>
      </w:pPr>
      <w:r w:rsidRPr="00DB671B">
        <w:t>Analyse globale de l</w:t>
      </w:r>
      <w:r w:rsidR="005F7AC8" w:rsidRPr="00DB671B">
        <w:t>’</w:t>
      </w:r>
      <w:r w:rsidRPr="00DB671B">
        <w:t>homogénéité sur plusieurs années (méthode d</w:t>
      </w:r>
      <w:r w:rsidR="005F7AC8" w:rsidRPr="00DB671B">
        <w:t>’</w:t>
      </w:r>
      <w:r w:rsidRPr="00DB671B">
        <w:t>analyse COYU) (document à établir par le Royaume</w:t>
      </w:r>
      <w:r w:rsidR="005F7AC8" w:rsidRPr="00DB671B">
        <w:t>-</w:t>
      </w:r>
      <w:r w:rsidRPr="00DB671B">
        <w:t>Uni)</w:t>
      </w:r>
    </w:p>
    <w:p w:rsidR="00D83B31" w:rsidRPr="00DB671B" w:rsidRDefault="00097213" w:rsidP="00DB671B">
      <w:pPr>
        <w:ind w:left="1701" w:hanging="567"/>
      </w:pPr>
      <w:r w:rsidRPr="00DB671B">
        <w:t>Document</w:t>
      </w:r>
      <w:r w:rsidR="00A83A59" w:rsidRPr="00DB671B">
        <w:t> </w:t>
      </w:r>
      <w:r w:rsidRPr="00DB671B">
        <w:t>TGP/10</w:t>
      </w:r>
    </w:p>
    <w:p w:rsidR="00D83B31" w:rsidRPr="00DB671B" w:rsidRDefault="00097213" w:rsidP="00DB671B">
      <w:pPr>
        <w:pStyle w:val="ListParagraph"/>
        <w:numPr>
          <w:ilvl w:val="2"/>
          <w:numId w:val="30"/>
        </w:numPr>
        <w:ind w:left="2268" w:hanging="567"/>
      </w:pPr>
      <w:r w:rsidRPr="00DB671B">
        <w:t>Traitement des données aux fins de l</w:t>
      </w:r>
      <w:r w:rsidR="005F7AC8" w:rsidRPr="00DB671B">
        <w:t>’</w:t>
      </w:r>
      <w:r w:rsidRPr="00DB671B">
        <w:t>établissement de descriptions variétales (document à établir par le Royaume</w:t>
      </w:r>
      <w:r w:rsidR="005F7AC8" w:rsidRPr="00DB671B">
        <w:t>-</w:t>
      </w:r>
      <w:r w:rsidRPr="00DB671B">
        <w:t>Uni)</w:t>
      </w:r>
    </w:p>
    <w:p w:rsidR="00D83B31" w:rsidRPr="00DB671B" w:rsidRDefault="00097213" w:rsidP="00DB671B">
      <w:pPr>
        <w:numPr>
          <w:ilvl w:val="0"/>
          <w:numId w:val="30"/>
        </w:numPr>
        <w:ind w:left="1134" w:hanging="567"/>
        <w:contextualSpacing/>
        <w:rPr>
          <w:bCs/>
        </w:rPr>
      </w:pPr>
      <w:r w:rsidRPr="00DB671B">
        <w:rPr>
          <w:bCs/>
        </w:rPr>
        <w:t>Logiciels, informations et bases de données (documents sollicités)</w:t>
      </w:r>
    </w:p>
    <w:p w:rsidR="00D83B31" w:rsidRPr="00DB671B" w:rsidRDefault="00054FE5" w:rsidP="00DB671B">
      <w:pPr>
        <w:ind w:left="1701" w:hanging="567"/>
        <w:rPr>
          <w:rFonts w:cs="Arial"/>
        </w:rPr>
      </w:pPr>
      <w:r w:rsidRPr="00DB671B">
        <w:rPr>
          <w:rFonts w:cs="Arial"/>
        </w:rPr>
        <w:t>a)</w:t>
      </w:r>
      <w:r w:rsidRPr="00DB671B">
        <w:rPr>
          <w:rFonts w:cs="Arial"/>
        </w:rPr>
        <w:tab/>
        <w:t>Bases de données d</w:t>
      </w:r>
      <w:r w:rsidR="005F7AC8" w:rsidRPr="00DB671B">
        <w:rPr>
          <w:rFonts w:cs="Arial"/>
        </w:rPr>
        <w:t>’</w:t>
      </w:r>
      <w:r w:rsidRPr="00DB671B">
        <w:rPr>
          <w:rFonts w:cs="Arial"/>
        </w:rPr>
        <w:t>information de l</w:t>
      </w:r>
      <w:r w:rsidR="005F7AC8" w:rsidRPr="00DB671B">
        <w:rPr>
          <w:rFonts w:cs="Arial"/>
        </w:rPr>
        <w:t>’</w:t>
      </w:r>
      <w:r w:rsidRPr="00DB671B">
        <w:rPr>
          <w:rFonts w:cs="Arial"/>
        </w:rPr>
        <w:t>UPOV (document à établir par le Bureau de l</w:t>
      </w:r>
      <w:r w:rsidR="005F7AC8" w:rsidRPr="00DB671B">
        <w:rPr>
          <w:rFonts w:cs="Arial"/>
        </w:rPr>
        <w:t>’</w:t>
      </w:r>
      <w:r w:rsidRPr="00DB671B">
        <w:rPr>
          <w:rFonts w:cs="Arial"/>
        </w:rPr>
        <w:t>Union)</w:t>
      </w:r>
    </w:p>
    <w:p w:rsidR="00D83B31" w:rsidRPr="00DB671B" w:rsidRDefault="00054FE5" w:rsidP="00DB671B">
      <w:pPr>
        <w:ind w:left="1701" w:hanging="567"/>
        <w:rPr>
          <w:rFonts w:cs="Arial"/>
        </w:rPr>
      </w:pPr>
      <w:r w:rsidRPr="00DB671B">
        <w:rPr>
          <w:rFonts w:cs="Arial"/>
        </w:rPr>
        <w:t>b)</w:t>
      </w:r>
      <w:r w:rsidRPr="00DB671B">
        <w:rPr>
          <w:rFonts w:cs="Arial"/>
        </w:rPr>
        <w:tab/>
        <w:t>Bases de données sur les descriptions variétales (document à établir par le Bureau de l</w:t>
      </w:r>
      <w:r w:rsidR="005F7AC8" w:rsidRPr="00DB671B">
        <w:rPr>
          <w:rFonts w:cs="Arial"/>
        </w:rPr>
        <w:t>’</w:t>
      </w:r>
      <w:r w:rsidRPr="00DB671B">
        <w:rPr>
          <w:rFonts w:cs="Arial"/>
        </w:rPr>
        <w:t>Union et documents sollicités)</w:t>
      </w:r>
    </w:p>
    <w:p w:rsidR="00D83B31" w:rsidRPr="00DB671B" w:rsidRDefault="00054FE5" w:rsidP="00DB671B">
      <w:pPr>
        <w:ind w:left="1701" w:hanging="567"/>
        <w:rPr>
          <w:rFonts w:cs="Arial"/>
        </w:rPr>
      </w:pPr>
      <w:r w:rsidRPr="00DB671B">
        <w:rPr>
          <w:rFonts w:cs="Arial"/>
        </w:rPr>
        <w:t>c)</w:t>
      </w:r>
      <w:r w:rsidRPr="00DB671B">
        <w:rPr>
          <w:rFonts w:cs="Arial"/>
        </w:rPr>
        <w:tab/>
        <w:t>Échange et utilisation de logiciels et d</w:t>
      </w:r>
      <w:r w:rsidR="005F7AC8" w:rsidRPr="00DB671B">
        <w:rPr>
          <w:rFonts w:cs="Arial"/>
        </w:rPr>
        <w:t>’</w:t>
      </w:r>
      <w:r w:rsidRPr="00DB671B">
        <w:rPr>
          <w:rFonts w:cs="Arial"/>
        </w:rPr>
        <w:t>équipements (document à établir par le Bureau de l</w:t>
      </w:r>
      <w:r w:rsidR="005F7AC8" w:rsidRPr="00DB671B">
        <w:rPr>
          <w:rFonts w:cs="Arial"/>
        </w:rPr>
        <w:t>’</w:t>
      </w:r>
      <w:r w:rsidRPr="00DB671B">
        <w:rPr>
          <w:rFonts w:cs="Arial"/>
        </w:rPr>
        <w:t>Union)</w:t>
      </w:r>
    </w:p>
    <w:p w:rsidR="00D83B31" w:rsidRPr="00DB671B" w:rsidRDefault="00097213" w:rsidP="00DB671B">
      <w:pPr>
        <w:ind w:left="1701" w:hanging="567"/>
        <w:rPr>
          <w:rFonts w:cs="Arial"/>
        </w:rPr>
      </w:pPr>
      <w:r w:rsidRPr="00DB671B">
        <w:rPr>
          <w:rFonts w:cs="Arial"/>
        </w:rPr>
        <w:t>d)</w:t>
      </w:r>
      <w:r w:rsidRPr="00DB671B">
        <w:rPr>
          <w:rFonts w:cs="Arial"/>
        </w:rPr>
        <w:tab/>
        <w:t>UPOV PRISMA (document à établir par le Bureau de l</w:t>
      </w:r>
      <w:r w:rsidR="005F7AC8" w:rsidRPr="00DB671B">
        <w:rPr>
          <w:rFonts w:cs="Arial"/>
        </w:rPr>
        <w:t>’</w:t>
      </w:r>
      <w:r w:rsidRPr="00DB671B">
        <w:rPr>
          <w:rFonts w:cs="Arial"/>
        </w:rPr>
        <w:t>Union)</w:t>
      </w:r>
    </w:p>
    <w:p w:rsidR="00D83B31" w:rsidRPr="00DB671B" w:rsidRDefault="00097213" w:rsidP="00DB671B">
      <w:pPr>
        <w:ind w:left="1701" w:hanging="567"/>
        <w:rPr>
          <w:rFonts w:cs="Arial"/>
        </w:rPr>
      </w:pPr>
      <w:r w:rsidRPr="00DB671B">
        <w:rPr>
          <w:rFonts w:cs="Arial"/>
        </w:rPr>
        <w:t>e)</w:t>
      </w:r>
      <w:r w:rsidRPr="00DB671B">
        <w:rPr>
          <w:rFonts w:cs="Arial"/>
        </w:rPr>
        <w:tab/>
        <w:t>Excel DHS (document à établir par la Chine)</w:t>
      </w:r>
    </w:p>
    <w:p w:rsidR="00D83B31" w:rsidRPr="00DB671B" w:rsidRDefault="00097213" w:rsidP="00DB671B">
      <w:pPr>
        <w:ind w:left="1701" w:hanging="567"/>
        <w:rPr>
          <w:rFonts w:cs="Arial"/>
        </w:rPr>
      </w:pPr>
      <w:r w:rsidRPr="00DB671B">
        <w:rPr>
          <w:rFonts w:cs="Arial"/>
        </w:rPr>
        <w:t>f)</w:t>
      </w:r>
      <w:r w:rsidRPr="00DB671B">
        <w:rPr>
          <w:rFonts w:cs="Arial"/>
        </w:rPr>
        <w:tab/>
        <w:t>Validation de logiciel (document à établir par le Royaume</w:t>
      </w:r>
      <w:r w:rsidR="005F7AC8" w:rsidRPr="00DB671B">
        <w:rPr>
          <w:rFonts w:cs="Arial"/>
        </w:rPr>
        <w:t>-</w:t>
      </w:r>
      <w:r w:rsidRPr="00DB671B">
        <w:rPr>
          <w:rFonts w:cs="Arial"/>
        </w:rPr>
        <w:t>Uni)</w:t>
      </w:r>
    </w:p>
    <w:p w:rsidR="00D83B31" w:rsidRPr="00DB671B" w:rsidRDefault="00097213" w:rsidP="00DB671B">
      <w:pPr>
        <w:numPr>
          <w:ilvl w:val="0"/>
          <w:numId w:val="30"/>
        </w:numPr>
        <w:ind w:left="1134" w:hanging="567"/>
        <w:contextualSpacing/>
      </w:pPr>
      <w:r w:rsidRPr="00DB671B">
        <w:t>Techniques moléculaires et bio</w:t>
      </w:r>
      <w:r w:rsidR="00A83A59" w:rsidRPr="00DB671B">
        <w:t>-i</w:t>
      </w:r>
      <w:r w:rsidRPr="00DB671B">
        <w:t>nformatique (document à établir par le Bureau de l</w:t>
      </w:r>
      <w:r w:rsidR="005F7AC8" w:rsidRPr="00DB671B">
        <w:t>’</w:t>
      </w:r>
      <w:r w:rsidRPr="00DB671B">
        <w:t>Union et documents sollicités)</w:t>
      </w:r>
    </w:p>
    <w:p w:rsidR="00D83B31" w:rsidRPr="00DB671B" w:rsidRDefault="00097213" w:rsidP="00DB671B">
      <w:pPr>
        <w:ind w:left="2268" w:hanging="567"/>
        <w:contextualSpacing/>
      </w:pPr>
      <w:r w:rsidRPr="00DB671B">
        <w:t>Révision du document</w:t>
      </w:r>
      <w:r w:rsidR="00A83A59" w:rsidRPr="00DB671B">
        <w:t> </w:t>
      </w:r>
      <w:r w:rsidRPr="00DB671B">
        <w:t>TGP/15 (document à établir par le Bureau de l</w:t>
      </w:r>
      <w:r w:rsidR="005F7AC8" w:rsidRPr="00DB671B">
        <w:t>’</w:t>
      </w:r>
      <w:r w:rsidRPr="00DB671B">
        <w:t>Union)</w:t>
      </w:r>
    </w:p>
    <w:p w:rsidR="00D83B31" w:rsidRPr="00DB671B" w:rsidRDefault="00097213" w:rsidP="00DB671B">
      <w:pPr>
        <w:numPr>
          <w:ilvl w:val="0"/>
          <w:numId w:val="30"/>
        </w:numPr>
        <w:ind w:left="1134" w:hanging="567"/>
        <w:contextualSpacing/>
      </w:pPr>
      <w:r w:rsidRPr="00DB671B">
        <w:rPr>
          <w:bCs/>
          <w:snapToGrid w:val="0"/>
        </w:rPr>
        <w:t>Établissement de phénotypes et analyse d</w:t>
      </w:r>
      <w:r w:rsidR="005F7AC8" w:rsidRPr="00DB671B">
        <w:rPr>
          <w:bCs/>
          <w:snapToGrid w:val="0"/>
        </w:rPr>
        <w:t>’</w:t>
      </w:r>
      <w:r w:rsidRPr="00DB671B">
        <w:rPr>
          <w:bCs/>
          <w:snapToGrid w:val="0"/>
        </w:rPr>
        <w:t>images</w:t>
      </w:r>
      <w:r w:rsidRPr="00DB671B">
        <w:rPr>
          <w:snapToGrid w:val="0"/>
        </w:rPr>
        <w:t xml:space="preserve"> (documents sollicités)</w:t>
      </w:r>
    </w:p>
    <w:p w:rsidR="00D83B31" w:rsidRPr="00DB671B" w:rsidRDefault="00097213" w:rsidP="00DB671B">
      <w:pPr>
        <w:numPr>
          <w:ilvl w:val="0"/>
          <w:numId w:val="30"/>
        </w:numPr>
        <w:ind w:left="1134" w:hanging="567"/>
        <w:contextualSpacing/>
      </w:pPr>
      <w:r w:rsidRPr="00DB671B">
        <w:rPr>
          <w:bCs/>
        </w:rPr>
        <w:t>Outils et méthodes pour l</w:t>
      </w:r>
      <w:r w:rsidR="005F7AC8" w:rsidRPr="00DB671B">
        <w:rPr>
          <w:bCs/>
        </w:rPr>
        <w:t>’</w:t>
      </w:r>
      <w:r w:rsidRPr="00DB671B">
        <w:rPr>
          <w:bCs/>
        </w:rPr>
        <w:t>examen</w:t>
      </w:r>
      <w:r w:rsidR="00E85E8E" w:rsidRPr="00DB671B">
        <w:rPr>
          <w:bCs/>
        </w:rPr>
        <w:t> </w:t>
      </w:r>
      <w:r w:rsidRPr="00DB671B">
        <w:rPr>
          <w:bCs/>
        </w:rPr>
        <w:t>DHS</w:t>
      </w:r>
      <w:r w:rsidRPr="00DB671B">
        <w:t xml:space="preserve"> (documents sollicités)</w:t>
      </w:r>
    </w:p>
    <w:p w:rsidR="00D83B31" w:rsidRPr="00DB671B" w:rsidRDefault="00054FE5" w:rsidP="00DB671B">
      <w:pPr>
        <w:numPr>
          <w:ilvl w:val="0"/>
          <w:numId w:val="30"/>
        </w:numPr>
        <w:ind w:left="1134" w:hanging="567"/>
        <w:contextualSpacing/>
      </w:pPr>
      <w:r w:rsidRPr="00DB671B">
        <w:t>Date et lieu de la prochaine session</w:t>
      </w:r>
    </w:p>
    <w:p w:rsidR="00D83B31" w:rsidRPr="00DB671B" w:rsidRDefault="00054FE5" w:rsidP="00DB671B">
      <w:pPr>
        <w:numPr>
          <w:ilvl w:val="0"/>
          <w:numId w:val="30"/>
        </w:numPr>
        <w:ind w:left="1134" w:hanging="567"/>
        <w:contextualSpacing/>
      </w:pPr>
      <w:r w:rsidRPr="00DB671B">
        <w:t>Programme futur</w:t>
      </w:r>
    </w:p>
    <w:p w:rsidR="00D83B31" w:rsidRPr="00DB671B" w:rsidRDefault="00054FE5" w:rsidP="00DB671B">
      <w:pPr>
        <w:numPr>
          <w:ilvl w:val="0"/>
          <w:numId w:val="30"/>
        </w:numPr>
        <w:ind w:left="1134" w:hanging="567"/>
        <w:contextualSpacing/>
      </w:pPr>
      <w:r w:rsidRPr="00DB671B">
        <w:t>Adoption du compte rendu de la session (selon le temps disponible)</w:t>
      </w:r>
    </w:p>
    <w:p w:rsidR="00D83B31" w:rsidRPr="00DB671B" w:rsidRDefault="00054FE5" w:rsidP="00DB671B">
      <w:pPr>
        <w:numPr>
          <w:ilvl w:val="0"/>
          <w:numId w:val="30"/>
        </w:numPr>
        <w:ind w:left="1134" w:hanging="567"/>
        <w:contextualSpacing/>
      </w:pPr>
      <w:r w:rsidRPr="00DB671B">
        <w:t>Clôture de la session</w:t>
      </w:r>
    </w:p>
    <w:p w:rsidR="00D83B31" w:rsidRPr="00DB671B" w:rsidRDefault="00D83B31" w:rsidP="00054FE5">
      <w:pPr>
        <w:rPr>
          <w:snapToGrid w:val="0"/>
        </w:rPr>
      </w:pPr>
    </w:p>
    <w:p w:rsidR="00D83B31" w:rsidRPr="00DB671B" w:rsidRDefault="00054FE5" w:rsidP="00054FE5">
      <w:pPr>
        <w:pStyle w:val="Heading3"/>
        <w:rPr>
          <w:lang w:val="fr-FR"/>
        </w:rPr>
      </w:pPr>
      <w:r w:rsidRPr="00DB671B">
        <w:rPr>
          <w:lang w:val="fr-FR"/>
        </w:rPr>
        <w:t>Groupe de travail technique sur les plantes fruitières (TWF)</w:t>
      </w:r>
    </w:p>
    <w:p w:rsidR="00D83B31" w:rsidRPr="00DB671B" w:rsidRDefault="00D83B31" w:rsidP="00054FE5">
      <w:pPr>
        <w:keepNext/>
      </w:pPr>
    </w:p>
    <w:p w:rsidR="00D83B31" w:rsidRPr="00DB671B" w:rsidRDefault="00054FE5" w:rsidP="00054FE5">
      <w:pPr>
        <w:keepNext/>
      </w:pPr>
      <w:r w:rsidRPr="00DB671B">
        <w:t>Rapport établi par M.</w:t>
      </w:r>
      <w:r w:rsidR="00E85E8E" w:rsidRPr="00DB671B">
        <w:t> </w:t>
      </w:r>
      <w:r w:rsidRPr="00DB671B">
        <w:t>Jean Maison (Union européenne), président</w:t>
      </w:r>
      <w:r w:rsidR="005F7AC8" w:rsidRPr="00DB671B">
        <w:t xml:space="preserve"> du TWF</w:t>
      </w:r>
    </w:p>
    <w:p w:rsidR="00D83B31" w:rsidRPr="00DB671B" w:rsidRDefault="00D83B31" w:rsidP="00054FE5">
      <w:pPr>
        <w:keepNext/>
      </w:pPr>
    </w:p>
    <w:p w:rsidR="00D83B31" w:rsidRPr="00DB671B" w:rsidRDefault="00097213" w:rsidP="00054FE5">
      <w:pPr>
        <w:pStyle w:val="Heading4"/>
      </w:pPr>
      <w:r w:rsidRPr="00DB671B">
        <w:t>Quarante</w:t>
      </w:r>
      <w:r w:rsidR="005F7AC8" w:rsidRPr="00DB671B">
        <w:t>-</w:t>
      </w:r>
      <w:r w:rsidRPr="00DB671B">
        <w:t>neuv</w:t>
      </w:r>
      <w:r w:rsidR="005F7AC8" w:rsidRPr="00DB671B">
        <w:t>ième session du TWF</w:t>
      </w:r>
    </w:p>
    <w:p w:rsidR="00D83B31" w:rsidRPr="00DB671B" w:rsidRDefault="00D83B31" w:rsidP="00054FE5"/>
    <w:p w:rsidR="00D83B31" w:rsidRPr="00DB671B" w:rsidRDefault="00054FE5" w:rsidP="00054FE5">
      <w:pPr>
        <w:rPr>
          <w:bCs/>
        </w:rPr>
      </w:pPr>
      <w:r w:rsidRPr="00DB671B">
        <w:fldChar w:fldCharType="begin"/>
      </w:r>
      <w:r w:rsidRPr="00DB671B">
        <w:instrText xml:space="preserve"> AUTONUM  </w:instrText>
      </w:r>
      <w:r w:rsidRPr="00DB671B">
        <w:fldChar w:fldCharType="end"/>
      </w:r>
      <w:r w:rsidRPr="00DB671B">
        <w:tab/>
      </w:r>
      <w:r w:rsidRPr="00DB671B">
        <w:tab/>
      </w:r>
      <w:r w:rsidR="00097213" w:rsidRPr="00DB671B">
        <w:t>Le Groupe de travail technique sur les plantes fruitières (TWF) a tenu sa quarante</w:t>
      </w:r>
      <w:r w:rsidR="00870CFA">
        <w:noBreakHyphen/>
      </w:r>
      <w:r w:rsidR="00097213" w:rsidRPr="00DB671B">
        <w:t>neuv</w:t>
      </w:r>
      <w:r w:rsidR="005F7AC8" w:rsidRPr="00DB671B">
        <w:t>ième session</w:t>
      </w:r>
      <w:r w:rsidR="00097213" w:rsidRPr="00DB671B">
        <w:t xml:space="preserve"> à Santiago du Chili (Chili), du 19 au 2</w:t>
      </w:r>
      <w:r w:rsidR="005F7AC8" w:rsidRPr="00DB671B">
        <w:t>3 novembre 20</w:t>
      </w:r>
      <w:r w:rsidR="00097213" w:rsidRPr="00DB671B">
        <w:t>18, sous la direction de M.</w:t>
      </w:r>
      <w:r w:rsidR="00E85E8E" w:rsidRPr="00DB671B">
        <w:t> </w:t>
      </w:r>
      <w:r w:rsidR="00097213" w:rsidRPr="00DB671B">
        <w:t>Jean Maison (Union européenne).</w:t>
      </w:r>
    </w:p>
    <w:p w:rsidR="00D83B31" w:rsidRPr="00DB671B" w:rsidRDefault="00D83B31" w:rsidP="00054FE5"/>
    <w:p w:rsidR="005F7AC8" w:rsidRPr="00DB671B" w:rsidRDefault="00054FE5" w:rsidP="00054FE5">
      <w:r w:rsidRPr="00DB671B">
        <w:fldChar w:fldCharType="begin"/>
      </w:r>
      <w:r w:rsidRPr="00DB671B">
        <w:instrText xml:space="preserve"> AUTONUM  </w:instrText>
      </w:r>
      <w:r w:rsidRPr="00DB671B">
        <w:fldChar w:fldCharType="end"/>
      </w:r>
      <w:r w:rsidRPr="00DB671B">
        <w:tab/>
        <w:t>La session</w:t>
      </w:r>
      <w:r w:rsidR="005F7AC8" w:rsidRPr="00DB671B">
        <w:t xml:space="preserve"> du TWF</w:t>
      </w:r>
      <w:r w:rsidRPr="00DB671B">
        <w:t xml:space="preserve"> a réuni 40</w:t>
      </w:r>
      <w:r w:rsidR="00A83A59" w:rsidRPr="00DB671B">
        <w:t> </w:t>
      </w:r>
      <w:r w:rsidRPr="00DB671B">
        <w:t>participants représentant 18</w:t>
      </w:r>
      <w:r w:rsidR="00A83A59" w:rsidRPr="00DB671B">
        <w:t> </w:t>
      </w:r>
      <w:r w:rsidRPr="00DB671B">
        <w:t>membres de l</w:t>
      </w:r>
      <w:r w:rsidR="005F7AC8" w:rsidRPr="00DB671B">
        <w:t>’</w:t>
      </w:r>
      <w:r w:rsidRPr="00DB671B">
        <w:t>Union et une organisation ayant le statut d</w:t>
      </w:r>
      <w:r w:rsidR="005F7AC8" w:rsidRPr="00DB671B">
        <w:t>’</w:t>
      </w:r>
      <w:r w:rsidRPr="00DB671B">
        <w:t>observateur.</w:t>
      </w:r>
    </w:p>
    <w:p w:rsidR="00D83B31" w:rsidRPr="00DB671B" w:rsidRDefault="00D83B31" w:rsidP="00054FE5"/>
    <w:p w:rsidR="005F7AC8" w:rsidRPr="00DB671B" w:rsidRDefault="00054FE5" w:rsidP="00097213">
      <w:r w:rsidRPr="00DB671B">
        <w:fldChar w:fldCharType="begin"/>
      </w:r>
      <w:r w:rsidRPr="00DB671B">
        <w:instrText xml:space="preserve"> AUTONUM  </w:instrText>
      </w:r>
      <w:r w:rsidRPr="00DB671B">
        <w:fldChar w:fldCharType="end"/>
      </w:r>
      <w:r w:rsidRPr="00DB671B">
        <w:tab/>
      </w:r>
      <w:r w:rsidR="00097213" w:rsidRPr="00DB671B">
        <w:t>M.</w:t>
      </w:r>
      <w:r w:rsidR="00E85E8E" w:rsidRPr="00DB671B">
        <w:t> </w:t>
      </w:r>
      <w:r w:rsidR="00097213" w:rsidRPr="00DB671B">
        <w:t>Guillermo Federico Aparicio Muñoz, chef de la Division des semences auprès du Servicio Agrícola y Ganadero (SAG), Ministère de l</w:t>
      </w:r>
      <w:r w:rsidR="005F7AC8" w:rsidRPr="00DB671B">
        <w:t>’</w:t>
      </w:r>
      <w:r w:rsidR="00097213" w:rsidRPr="00DB671B">
        <w:t>agriculture, a accueilli</w:t>
      </w:r>
      <w:r w:rsidR="005F7AC8" w:rsidRPr="00DB671B">
        <w:t xml:space="preserve"> le TWF</w:t>
      </w:r>
      <w:r w:rsidR="00097213" w:rsidRPr="00DB671B">
        <w:t xml:space="preserve"> et a présenté un exposé sur la protection des obtentions végétales au Chili.</w:t>
      </w:r>
    </w:p>
    <w:p w:rsidR="00D83B31" w:rsidRPr="00DB671B" w:rsidRDefault="00D83B31" w:rsidP="00097213"/>
    <w:p w:rsidR="005F7AC8" w:rsidRPr="00DB671B" w:rsidRDefault="00097213" w:rsidP="00097213">
      <w:r w:rsidRPr="00DB671B">
        <w:rPr>
          <w:bCs/>
        </w:rPr>
        <w:fldChar w:fldCharType="begin"/>
      </w:r>
      <w:r w:rsidRPr="00DB671B">
        <w:rPr>
          <w:bCs/>
        </w:rPr>
        <w:instrText xml:space="preserve"> AUTONUM  </w:instrText>
      </w:r>
      <w:r w:rsidRPr="00DB671B">
        <w:rPr>
          <w:bCs/>
        </w:rPr>
        <w:fldChar w:fldCharType="end"/>
      </w:r>
      <w:r w:rsidRPr="00DB671B">
        <w:rPr>
          <w:bCs/>
        </w:rPr>
        <w:tab/>
        <w:t>En ce qui concerne les discussions sur les documents TGP,</w:t>
      </w:r>
      <w:r w:rsidR="005F7AC8" w:rsidRPr="00DB671B">
        <w:rPr>
          <w:bCs/>
        </w:rPr>
        <w:t xml:space="preserve"> le TWF</w:t>
      </w:r>
      <w:r w:rsidRPr="00DB671B">
        <w:rPr>
          <w:bCs/>
        </w:rPr>
        <w:t>, qui était à l</w:t>
      </w:r>
      <w:r w:rsidR="005F7AC8" w:rsidRPr="00DB671B">
        <w:rPr>
          <w:bCs/>
        </w:rPr>
        <w:t>’</w:t>
      </w:r>
      <w:r w:rsidRPr="00DB671B">
        <w:rPr>
          <w:bCs/>
        </w:rPr>
        <w:t>origine de la proposition, a noté que le</w:t>
      </w:r>
      <w:r w:rsidR="005F7AC8" w:rsidRPr="00DB671B">
        <w:rPr>
          <w:bCs/>
        </w:rPr>
        <w:t> TC</w:t>
      </w:r>
      <w:r w:rsidRPr="00DB671B">
        <w:rPr>
          <w:bCs/>
        </w:rPr>
        <w:t xml:space="preserve"> était convenu d</w:t>
      </w:r>
      <w:r w:rsidR="005F7AC8" w:rsidRPr="00DB671B">
        <w:rPr>
          <w:bCs/>
        </w:rPr>
        <w:t>’</w:t>
      </w:r>
      <w:r w:rsidRPr="00DB671B">
        <w:rPr>
          <w:bCs/>
        </w:rPr>
        <w:t>inclure la phrase ci</w:t>
      </w:r>
      <w:r w:rsidR="005F7AC8" w:rsidRPr="00DB671B">
        <w:rPr>
          <w:bCs/>
        </w:rPr>
        <w:t>-</w:t>
      </w:r>
      <w:r w:rsidRPr="00DB671B">
        <w:rPr>
          <w:bCs/>
        </w:rPr>
        <w:t>après comme texte standard dans les principes directeurs d</w:t>
      </w:r>
      <w:r w:rsidR="005F7AC8" w:rsidRPr="00DB671B">
        <w:rPr>
          <w:bCs/>
        </w:rPr>
        <w:t>’</w:t>
      </w:r>
      <w:r w:rsidRPr="00DB671B">
        <w:rPr>
          <w:bCs/>
        </w:rPr>
        <w:t>examen</w:t>
      </w:r>
      <w:r w:rsidR="005F7AC8" w:rsidRPr="00DB671B">
        <w:rPr>
          <w:bCs/>
        </w:rPr>
        <w:t> :</w:t>
      </w:r>
    </w:p>
    <w:p w:rsidR="00D83B31" w:rsidRPr="00DB671B" w:rsidRDefault="00D83B31" w:rsidP="00054FE5"/>
    <w:p w:rsidR="00D83B31" w:rsidRPr="00DB671B" w:rsidRDefault="00054FE5" w:rsidP="00054FE5">
      <w:pPr>
        <w:ind w:left="567" w:right="567"/>
        <w:rPr>
          <w:sz w:val="18"/>
          <w:u w:val="single"/>
        </w:rPr>
      </w:pPr>
      <w:r w:rsidRPr="00DB671B">
        <w:rPr>
          <w:sz w:val="18"/>
          <w:highlight w:val="lightGray"/>
          <w:u w:val="single"/>
        </w:rPr>
        <w:t>“L</w:t>
      </w:r>
      <w:r w:rsidR="005F7AC8" w:rsidRPr="00DB671B">
        <w:rPr>
          <w:sz w:val="18"/>
          <w:highlight w:val="lightGray"/>
          <w:u w:val="single"/>
        </w:rPr>
        <w:t>’</w:t>
      </w:r>
      <w:r w:rsidRPr="00DB671B">
        <w:rPr>
          <w:sz w:val="18"/>
          <w:highlight w:val="lightGray"/>
          <w:u w:val="single"/>
        </w:rPr>
        <w:t>examen d</w:t>
      </w:r>
      <w:r w:rsidR="005F7AC8" w:rsidRPr="00DB671B">
        <w:rPr>
          <w:sz w:val="18"/>
          <w:highlight w:val="lightGray"/>
          <w:u w:val="single"/>
        </w:rPr>
        <w:t>’</w:t>
      </w:r>
      <w:r w:rsidRPr="00DB671B">
        <w:rPr>
          <w:sz w:val="18"/>
          <w:highlight w:val="lightGray"/>
          <w:u w:val="single"/>
        </w:rPr>
        <w:t>une variété peut être achevé plus tôt ou plus tard dès lors qu</w:t>
      </w:r>
      <w:r w:rsidR="005F7AC8" w:rsidRPr="00DB671B">
        <w:rPr>
          <w:sz w:val="18"/>
          <w:highlight w:val="lightGray"/>
          <w:u w:val="single"/>
        </w:rPr>
        <w:t>’</w:t>
      </w:r>
      <w:r w:rsidRPr="00DB671B">
        <w:rPr>
          <w:sz w:val="18"/>
          <w:highlight w:val="lightGray"/>
          <w:u w:val="single"/>
        </w:rPr>
        <w:t>un service compétent peut déterminer avec certitude le résultat de l</w:t>
      </w:r>
      <w:r w:rsidR="005F7AC8" w:rsidRPr="00DB671B">
        <w:rPr>
          <w:sz w:val="18"/>
          <w:highlight w:val="lightGray"/>
          <w:u w:val="single"/>
        </w:rPr>
        <w:t>’</w:t>
      </w:r>
      <w:r w:rsidRPr="00DB671B">
        <w:rPr>
          <w:sz w:val="18"/>
          <w:highlight w:val="lightGray"/>
          <w:u w:val="single"/>
        </w:rPr>
        <w:t>examen.”</w:t>
      </w:r>
    </w:p>
    <w:p w:rsidR="00D83B31" w:rsidRPr="00DB671B" w:rsidRDefault="00D83B31" w:rsidP="00054FE5">
      <w:pPr>
        <w:rPr>
          <w:bCs/>
        </w:rPr>
      </w:pPr>
    </w:p>
    <w:p w:rsidR="005F7AC8" w:rsidRPr="00DB671B" w:rsidRDefault="00054FE5" w:rsidP="00097213">
      <w:r w:rsidRPr="00DB671B">
        <w:rPr>
          <w:bCs/>
        </w:rPr>
        <w:fldChar w:fldCharType="begin"/>
      </w:r>
      <w:r w:rsidRPr="00DB671B">
        <w:rPr>
          <w:bCs/>
        </w:rPr>
        <w:instrText xml:space="preserve"> AUTONUM  </w:instrText>
      </w:r>
      <w:r w:rsidRPr="00DB671B">
        <w:rPr>
          <w:bCs/>
        </w:rPr>
        <w:fldChar w:fldCharType="end"/>
      </w:r>
      <w:r w:rsidRPr="00DB671B">
        <w:rPr>
          <w:bCs/>
        </w:rPr>
        <w:tab/>
      </w:r>
      <w:r w:rsidR="00097213" w:rsidRPr="00DB671B">
        <w:rPr>
          <w:bCs/>
        </w:rPr>
        <w:t>Le TWF a assisté à un exposé présenté par l</w:t>
      </w:r>
      <w:r w:rsidR="005F7AC8" w:rsidRPr="00DB671B">
        <w:rPr>
          <w:bCs/>
        </w:rPr>
        <w:t>’</w:t>
      </w:r>
      <w:r w:rsidR="00097213" w:rsidRPr="00DB671B">
        <w:rPr>
          <w:bCs/>
        </w:rPr>
        <w:t>Union européenne sur les essais DHS des variétés mutantes d</w:t>
      </w:r>
      <w:r w:rsidR="00860342" w:rsidRPr="00DB671B">
        <w:rPr>
          <w:bCs/>
        </w:rPr>
        <w:t>u</w:t>
      </w:r>
      <w:r w:rsidR="00097213" w:rsidRPr="00DB671B">
        <w:rPr>
          <w:bCs/>
        </w:rPr>
        <w:t xml:space="preserve"> pommier et est convenu que, dans le cas de l</w:t>
      </w:r>
      <w:r w:rsidR="005F7AC8" w:rsidRPr="00DB671B">
        <w:rPr>
          <w:bCs/>
        </w:rPr>
        <w:t>’</w:t>
      </w:r>
      <w:r w:rsidR="00097213" w:rsidRPr="00DB671B">
        <w:rPr>
          <w:bCs/>
        </w:rPr>
        <w:t>examen</w:t>
      </w:r>
      <w:r w:rsidR="00E85E8E" w:rsidRPr="00DB671B">
        <w:rPr>
          <w:bCs/>
        </w:rPr>
        <w:t> </w:t>
      </w:r>
      <w:r w:rsidR="00097213" w:rsidRPr="00DB671B">
        <w:rPr>
          <w:bCs/>
        </w:rPr>
        <w:t>DHS de variétés mutantes du pommier, l</w:t>
      </w:r>
      <w:r w:rsidR="005F7AC8" w:rsidRPr="00DB671B">
        <w:rPr>
          <w:bCs/>
        </w:rPr>
        <w:t>’</w:t>
      </w:r>
      <w:r w:rsidR="00097213" w:rsidRPr="00DB671B">
        <w:rPr>
          <w:bCs/>
        </w:rPr>
        <w:t>échange d</w:t>
      </w:r>
      <w:r w:rsidR="005F7AC8" w:rsidRPr="00DB671B">
        <w:rPr>
          <w:bCs/>
        </w:rPr>
        <w:t>’</w:t>
      </w:r>
      <w:r w:rsidR="00097213" w:rsidRPr="00DB671B">
        <w:rPr>
          <w:bCs/>
        </w:rPr>
        <w:t>informations entre les services DHS était important pour faire en sorte que les autorités soient informées de toutes les variétés similaires potentiellement existantes.</w:t>
      </w:r>
      <w:r w:rsidR="005F7AC8" w:rsidRPr="00DB671B">
        <w:t xml:space="preserve"> </w:t>
      </w:r>
      <w:r w:rsidR="00E85E8E" w:rsidRPr="00DB671B">
        <w:rPr>
          <w:bCs/>
        </w:rPr>
        <w:t xml:space="preserve"> </w:t>
      </w:r>
      <w:r w:rsidR="005F7AC8" w:rsidRPr="00DB671B">
        <w:t>Le TWF</w:t>
      </w:r>
      <w:r w:rsidR="00097213" w:rsidRPr="00DB671B">
        <w:t xml:space="preserve"> est convenu que le projet sur ce thème, axé sur certains groupes de mutations, devait donc se poursuivre, et que tous les memb</w:t>
      </w:r>
      <w:r w:rsidR="00A83A59" w:rsidRPr="00DB671B">
        <w:t>re</w:t>
      </w:r>
      <w:r w:rsidR="00097213" w:rsidRPr="00DB671B">
        <w:t>s impliqués dans l</w:t>
      </w:r>
      <w:r w:rsidR="005F7AC8" w:rsidRPr="00DB671B">
        <w:t>’</w:t>
      </w:r>
      <w:r w:rsidR="00097213" w:rsidRPr="00DB671B">
        <w:t>examen</w:t>
      </w:r>
      <w:r w:rsidR="00E85E8E" w:rsidRPr="00DB671B">
        <w:t> </w:t>
      </w:r>
      <w:r w:rsidR="00097213" w:rsidRPr="00DB671B">
        <w:t>DHS du pommier devaient être encouragés à contribuer à cet échange d</w:t>
      </w:r>
      <w:r w:rsidR="005F7AC8" w:rsidRPr="00DB671B">
        <w:t>’</w:t>
      </w:r>
      <w:r w:rsidR="00097213" w:rsidRPr="00DB671B">
        <w:t>informations.</w:t>
      </w:r>
    </w:p>
    <w:p w:rsidR="00D83B31" w:rsidRPr="00DB671B" w:rsidRDefault="00D83B31" w:rsidP="00097213"/>
    <w:p w:rsidR="005F7AC8" w:rsidRPr="00DB671B" w:rsidRDefault="00097213" w:rsidP="00097213">
      <w:r w:rsidRPr="00DB671B">
        <w:fldChar w:fldCharType="begin"/>
      </w:r>
      <w:r w:rsidRPr="00DB671B">
        <w:instrText xml:space="preserve"> AUTONUM  </w:instrText>
      </w:r>
      <w:r w:rsidRPr="00DB671B">
        <w:fldChar w:fldCharType="end"/>
      </w:r>
      <w:r w:rsidRPr="00DB671B">
        <w:tab/>
        <w:t>Le TWF a été informé du résultat de l</w:t>
      </w:r>
      <w:r w:rsidR="005F7AC8" w:rsidRPr="00DB671B">
        <w:t>’</w:t>
      </w:r>
      <w:r w:rsidRPr="00DB671B">
        <w:t>enquête sur les méthodes utilisées pour se procurer du matériel végétal auprès des obtenteurs et prendre des décisions sur les variétés dont l</w:t>
      </w:r>
      <w:r w:rsidR="005F7AC8" w:rsidRPr="00DB671B">
        <w:t>’</w:t>
      </w:r>
      <w:r w:rsidRPr="00DB671B">
        <w:t xml:space="preserve">existence est notoirement connue. </w:t>
      </w:r>
      <w:r w:rsidR="00E85E8E" w:rsidRPr="00DB671B">
        <w:t xml:space="preserve"> </w:t>
      </w:r>
      <w:r w:rsidRPr="00DB671B">
        <w:rPr>
          <w:bCs/>
        </w:rPr>
        <w:t>Il a indiqué qu</w:t>
      </w:r>
      <w:r w:rsidR="005F7AC8" w:rsidRPr="00DB671B">
        <w:rPr>
          <w:bCs/>
        </w:rPr>
        <w:t>’</w:t>
      </w:r>
      <w:r w:rsidRPr="00DB671B">
        <w:rPr>
          <w:bCs/>
        </w:rPr>
        <w:t>il était essentiel aux fins de l</w:t>
      </w:r>
      <w:r w:rsidR="005F7AC8" w:rsidRPr="00DB671B">
        <w:rPr>
          <w:bCs/>
        </w:rPr>
        <w:t>’</w:t>
      </w:r>
      <w:r w:rsidRPr="00DB671B">
        <w:rPr>
          <w:bCs/>
        </w:rPr>
        <w:t>examen</w:t>
      </w:r>
      <w:r w:rsidR="00E85E8E" w:rsidRPr="00DB671B">
        <w:rPr>
          <w:bCs/>
        </w:rPr>
        <w:t> </w:t>
      </w:r>
      <w:r w:rsidRPr="00DB671B">
        <w:rPr>
          <w:bCs/>
        </w:rPr>
        <w:t>DHS d</w:t>
      </w:r>
      <w:r w:rsidR="005F7AC8" w:rsidRPr="00DB671B">
        <w:rPr>
          <w:bCs/>
        </w:rPr>
        <w:t>’</w:t>
      </w:r>
      <w:r w:rsidRPr="00DB671B">
        <w:rPr>
          <w:bCs/>
        </w:rPr>
        <w:t>obtenir du matériel végétal et qu</w:t>
      </w:r>
      <w:r w:rsidR="005F7AC8" w:rsidRPr="00DB671B">
        <w:rPr>
          <w:bCs/>
        </w:rPr>
        <w:t>’</w:t>
      </w:r>
      <w:r w:rsidRPr="00DB671B">
        <w:rPr>
          <w:bCs/>
        </w:rPr>
        <w:t>il serait intéressant d</w:t>
      </w:r>
      <w:r w:rsidR="005F7AC8" w:rsidRPr="00DB671B">
        <w:rPr>
          <w:bCs/>
        </w:rPr>
        <w:t>’</w:t>
      </w:r>
      <w:r w:rsidRPr="00DB671B">
        <w:rPr>
          <w:bCs/>
        </w:rPr>
        <w:t>examiner plus avant les défis auxquels sont confrontés les services chargés de l</w:t>
      </w:r>
      <w:r w:rsidR="005F7AC8" w:rsidRPr="00DB671B">
        <w:rPr>
          <w:bCs/>
        </w:rPr>
        <w:t>’</w:t>
      </w:r>
      <w:r w:rsidRPr="00DB671B">
        <w:rPr>
          <w:bCs/>
        </w:rPr>
        <w:t>examen</w:t>
      </w:r>
      <w:r w:rsidR="00E85E8E" w:rsidRPr="00DB671B">
        <w:rPr>
          <w:bCs/>
        </w:rPr>
        <w:t> </w:t>
      </w:r>
      <w:r w:rsidRPr="00DB671B">
        <w:rPr>
          <w:bCs/>
        </w:rPr>
        <w:t>DHS dans le secteur des plantes fruitières dans le cadre d</w:t>
      </w:r>
      <w:r w:rsidR="005F7AC8" w:rsidRPr="00DB671B">
        <w:rPr>
          <w:bCs/>
        </w:rPr>
        <w:t>’</w:t>
      </w:r>
      <w:r w:rsidRPr="00DB671B">
        <w:rPr>
          <w:bCs/>
        </w:rPr>
        <w:t>un point spécifique de l</w:t>
      </w:r>
      <w:r w:rsidR="005F7AC8" w:rsidRPr="00DB671B">
        <w:rPr>
          <w:bCs/>
        </w:rPr>
        <w:t>’</w:t>
      </w:r>
      <w:r w:rsidRPr="00DB671B">
        <w:rPr>
          <w:bCs/>
        </w:rPr>
        <w:t>ordre du jour à sa prochaine session.</w:t>
      </w:r>
    </w:p>
    <w:p w:rsidR="00D83B31" w:rsidRPr="00DB671B" w:rsidRDefault="00D83B31" w:rsidP="00097213"/>
    <w:p w:rsidR="00D83B31" w:rsidRPr="00DB671B" w:rsidRDefault="00097213" w:rsidP="00097213">
      <w:r w:rsidRPr="00DB671B">
        <w:rPr>
          <w:bCs/>
        </w:rPr>
        <w:fldChar w:fldCharType="begin"/>
      </w:r>
      <w:r w:rsidRPr="00DB671B">
        <w:rPr>
          <w:bCs/>
        </w:rPr>
        <w:instrText xml:space="preserve"> AUTONUM  </w:instrText>
      </w:r>
      <w:r w:rsidRPr="00DB671B">
        <w:rPr>
          <w:bCs/>
        </w:rPr>
        <w:fldChar w:fldCharType="end"/>
      </w:r>
      <w:r w:rsidRPr="00DB671B">
        <w:rPr>
          <w:bCs/>
        </w:rPr>
        <w:tab/>
        <w:t>Le TWF a examiné les questions en suspens concernant les projets de principes directeurs d</w:t>
      </w:r>
      <w:r w:rsidR="005F7AC8" w:rsidRPr="00DB671B">
        <w:rPr>
          <w:bCs/>
        </w:rPr>
        <w:t>’</w:t>
      </w:r>
      <w:r w:rsidRPr="00DB671B">
        <w:rPr>
          <w:bCs/>
        </w:rPr>
        <w:t xml:space="preserve">examen </w:t>
      </w:r>
      <w:r w:rsidR="00E91356" w:rsidRPr="00DB671B">
        <w:rPr>
          <w:bCs/>
        </w:rPr>
        <w:t>du</w:t>
      </w:r>
      <w:r w:rsidRPr="00DB671B">
        <w:rPr>
          <w:bCs/>
        </w:rPr>
        <w:t xml:space="preserve"> noyer, comme recommandé par le</w:t>
      </w:r>
      <w:r w:rsidR="005F7AC8" w:rsidRPr="00DB671B">
        <w:rPr>
          <w:bCs/>
        </w:rPr>
        <w:t> TC-EDC</w:t>
      </w:r>
      <w:r w:rsidRPr="00DB671B">
        <w:rPr>
          <w:bCs/>
        </w:rPr>
        <w:t>.  Il est convenu de soumettre les révisions ou révisions partielles des principes directeurs d</w:t>
      </w:r>
      <w:r w:rsidR="005F7AC8" w:rsidRPr="00DB671B">
        <w:rPr>
          <w:bCs/>
        </w:rPr>
        <w:t>’</w:t>
      </w:r>
      <w:r w:rsidRPr="00DB671B">
        <w:rPr>
          <w:bCs/>
        </w:rPr>
        <w:t>examen ci</w:t>
      </w:r>
      <w:r w:rsidR="005F7AC8" w:rsidRPr="00DB671B">
        <w:rPr>
          <w:bCs/>
        </w:rPr>
        <w:t>-</w:t>
      </w:r>
      <w:r w:rsidRPr="00DB671B">
        <w:rPr>
          <w:bCs/>
        </w:rPr>
        <w:t>après au</w:t>
      </w:r>
      <w:r w:rsidR="005F7AC8" w:rsidRPr="00DB671B">
        <w:rPr>
          <w:bCs/>
        </w:rPr>
        <w:t> TC</w:t>
      </w:r>
      <w:r w:rsidRPr="00DB671B">
        <w:rPr>
          <w:bCs/>
        </w:rPr>
        <w:t xml:space="preserve"> pour adoption</w:t>
      </w:r>
      <w:r w:rsidR="005F7AC8" w:rsidRPr="00DB671B">
        <w:rPr>
          <w:bCs/>
        </w:rPr>
        <w:t> :</w:t>
      </w:r>
      <w:r w:rsidRPr="00DB671B">
        <w:rPr>
          <w:bCs/>
        </w:rPr>
        <w:t xml:space="preserve"> amandier, myrtille, cocotier, ki</w:t>
      </w:r>
      <w:r w:rsidR="00E91356" w:rsidRPr="00DB671B">
        <w:rPr>
          <w:bCs/>
        </w:rPr>
        <w:t>w</w:t>
      </w:r>
      <w:r w:rsidRPr="00DB671B">
        <w:rPr>
          <w:bCs/>
        </w:rPr>
        <w:t>i et macadamia.</w:t>
      </w:r>
      <w:r w:rsidRPr="00DB671B">
        <w:t xml:space="preserve"> </w:t>
      </w:r>
      <w:r w:rsidR="00E85E8E" w:rsidRPr="00DB671B">
        <w:rPr>
          <w:bCs/>
        </w:rPr>
        <w:t xml:space="preserve"> </w:t>
      </w:r>
      <w:r w:rsidRPr="00DB671B">
        <w:rPr>
          <w:bCs/>
        </w:rPr>
        <w:t>Il a en outre examiné les projets de principes directeurs d</w:t>
      </w:r>
      <w:r w:rsidR="005F7AC8" w:rsidRPr="00DB671B">
        <w:rPr>
          <w:bCs/>
        </w:rPr>
        <w:t>’</w:t>
      </w:r>
      <w:r w:rsidRPr="00DB671B">
        <w:rPr>
          <w:bCs/>
        </w:rPr>
        <w:t xml:space="preserve">examen </w:t>
      </w:r>
      <w:r w:rsidR="003E298C" w:rsidRPr="00DB671B">
        <w:rPr>
          <w:bCs/>
        </w:rPr>
        <w:t>du</w:t>
      </w:r>
      <w:r w:rsidRPr="00DB671B">
        <w:rPr>
          <w:bCs/>
        </w:rPr>
        <w:t xml:space="preserve"> pommier, </w:t>
      </w:r>
      <w:r w:rsidR="003E298C" w:rsidRPr="00DB671B">
        <w:rPr>
          <w:bCs/>
        </w:rPr>
        <w:t xml:space="preserve">de </w:t>
      </w:r>
      <w:r w:rsidRPr="00DB671B">
        <w:rPr>
          <w:bCs/>
        </w:rPr>
        <w:t>l</w:t>
      </w:r>
      <w:r w:rsidR="005F7AC8" w:rsidRPr="00DB671B">
        <w:rPr>
          <w:bCs/>
        </w:rPr>
        <w:t>’</w:t>
      </w:r>
      <w:r w:rsidRPr="00DB671B">
        <w:rPr>
          <w:bCs/>
        </w:rPr>
        <w:t xml:space="preserve">abricotier, </w:t>
      </w:r>
      <w:r w:rsidR="003E298C" w:rsidRPr="00DB671B">
        <w:rPr>
          <w:bCs/>
        </w:rPr>
        <w:t xml:space="preserve">de </w:t>
      </w:r>
      <w:r w:rsidRPr="00DB671B">
        <w:rPr>
          <w:bCs/>
        </w:rPr>
        <w:t>l</w:t>
      </w:r>
      <w:r w:rsidR="005F7AC8" w:rsidRPr="00DB671B">
        <w:rPr>
          <w:bCs/>
        </w:rPr>
        <w:t>’</w:t>
      </w:r>
      <w:r w:rsidRPr="00DB671B">
        <w:rPr>
          <w:bCs/>
        </w:rPr>
        <w:t xml:space="preserve">arganier et </w:t>
      </w:r>
      <w:r w:rsidR="003E298C" w:rsidRPr="00DB671B">
        <w:rPr>
          <w:bCs/>
        </w:rPr>
        <w:t xml:space="preserve">de </w:t>
      </w:r>
      <w:r w:rsidRPr="00DB671B">
        <w:rPr>
          <w:bCs/>
        </w:rPr>
        <w:t>la vigne.</w:t>
      </w:r>
    </w:p>
    <w:p w:rsidR="00D83B31" w:rsidRPr="00DB671B" w:rsidRDefault="00D83B31" w:rsidP="00097213"/>
    <w:p w:rsidR="00D83B31" w:rsidRPr="00DB671B" w:rsidRDefault="00097213" w:rsidP="00097213">
      <w:r w:rsidRPr="00DB671B">
        <w:fldChar w:fldCharType="begin"/>
      </w:r>
      <w:r w:rsidRPr="00DB671B">
        <w:instrText xml:space="preserve"> AUTONUM  </w:instrText>
      </w:r>
      <w:r w:rsidRPr="00DB671B">
        <w:fldChar w:fldCharType="end"/>
      </w:r>
      <w:r w:rsidRPr="00DB671B">
        <w:tab/>
        <w:t>Sur l</w:t>
      </w:r>
      <w:r w:rsidR="005F7AC8" w:rsidRPr="00DB671B">
        <w:t>’</w:t>
      </w:r>
      <w:r w:rsidRPr="00DB671B">
        <w:t>invitation de la Hongrie et de l</w:t>
      </w:r>
      <w:r w:rsidR="005F7AC8" w:rsidRPr="00DB671B">
        <w:t>’</w:t>
      </w:r>
      <w:r w:rsidRPr="00DB671B">
        <w:t>Union européenne,</w:t>
      </w:r>
      <w:r w:rsidR="005F7AC8" w:rsidRPr="00DB671B">
        <w:t xml:space="preserve"> le TWF</w:t>
      </w:r>
      <w:r w:rsidRPr="00DB671B">
        <w:t xml:space="preserve"> est convenu de tenir sa cinquant</w:t>
      </w:r>
      <w:r w:rsidR="005F7AC8" w:rsidRPr="00DB671B">
        <w:t>ième session</w:t>
      </w:r>
      <w:r w:rsidRPr="00DB671B">
        <w:t xml:space="preserve"> à Budapest (Hongrie) du 24 au 2</w:t>
      </w:r>
      <w:r w:rsidR="005F7AC8" w:rsidRPr="00DB671B">
        <w:t>8 juin 20</w:t>
      </w:r>
      <w:r w:rsidRPr="00DB671B">
        <w:t>19.</w:t>
      </w:r>
    </w:p>
    <w:p w:rsidR="00D83B31" w:rsidRPr="00DB671B" w:rsidRDefault="00D83B31" w:rsidP="00097213"/>
    <w:p w:rsidR="00D83B31" w:rsidRPr="00DB671B" w:rsidRDefault="00097213" w:rsidP="00097213">
      <w:r w:rsidRPr="00DB671B">
        <w:rPr>
          <w:bCs/>
        </w:rPr>
        <w:fldChar w:fldCharType="begin"/>
      </w:r>
      <w:r w:rsidRPr="00DB671B">
        <w:rPr>
          <w:bCs/>
        </w:rPr>
        <w:instrText xml:space="preserve"> AUTONUM  </w:instrText>
      </w:r>
      <w:r w:rsidRPr="00DB671B">
        <w:rPr>
          <w:bCs/>
        </w:rPr>
        <w:fldChar w:fldCharType="end"/>
      </w:r>
      <w:r w:rsidRPr="00DB671B">
        <w:rPr>
          <w:bCs/>
        </w:rPr>
        <w:tab/>
        <w:t>Le TWF a visité le centre de recherché expérimentale de l</w:t>
      </w:r>
      <w:r w:rsidR="005F7AC8" w:rsidRPr="00DB671B">
        <w:rPr>
          <w:bCs/>
        </w:rPr>
        <w:t>’</w:t>
      </w:r>
      <w:r w:rsidRPr="00DB671B">
        <w:rPr>
          <w:bCs/>
        </w:rPr>
        <w:t>“Universidad de Chile” et les programmes de s</w:t>
      </w:r>
      <w:r w:rsidR="00A83A59" w:rsidRPr="00DB671B">
        <w:rPr>
          <w:bCs/>
        </w:rPr>
        <w:t>é</w:t>
      </w:r>
      <w:r w:rsidRPr="00DB671B">
        <w:rPr>
          <w:bCs/>
        </w:rPr>
        <w:t>lection pour le nectarinier, le pêcher, le prunier et l</w:t>
      </w:r>
      <w:r w:rsidR="005F7AC8" w:rsidRPr="00DB671B">
        <w:rPr>
          <w:bCs/>
        </w:rPr>
        <w:t>’</w:t>
      </w:r>
      <w:r w:rsidRPr="00DB671B">
        <w:rPr>
          <w:bCs/>
        </w:rPr>
        <w:t xml:space="preserve">amandier. </w:t>
      </w:r>
      <w:r w:rsidR="005F7AC8" w:rsidRPr="00DB671B">
        <w:rPr>
          <w:bCs/>
        </w:rPr>
        <w:t xml:space="preserve"> Le TWF</w:t>
      </w:r>
      <w:r w:rsidRPr="00DB671B">
        <w:rPr>
          <w:bCs/>
        </w:rPr>
        <w:t xml:space="preserve"> a aussi visité le centre de recherche de l</w:t>
      </w:r>
      <w:r w:rsidR="005F7AC8" w:rsidRPr="00DB671B">
        <w:rPr>
          <w:bCs/>
        </w:rPr>
        <w:t>’</w:t>
      </w:r>
      <w:r w:rsidRPr="00DB671B">
        <w:rPr>
          <w:bCs/>
          <w:i/>
          <w:iCs/>
        </w:rPr>
        <w:t>Universidad Católica de Chile</w:t>
      </w:r>
      <w:r w:rsidRPr="00DB671B">
        <w:rPr>
          <w:bCs/>
        </w:rPr>
        <w:t xml:space="preserve"> et pris connaissance des expériences menées par des obtenteurs de cerisier doux.</w:t>
      </w:r>
    </w:p>
    <w:p w:rsidR="00D83B31" w:rsidRPr="00DB671B" w:rsidRDefault="00D83B31" w:rsidP="00054FE5">
      <w:pPr>
        <w:keepNext/>
      </w:pPr>
    </w:p>
    <w:p w:rsidR="00D83B31" w:rsidRPr="00DB671B" w:rsidRDefault="00097213" w:rsidP="00054FE5">
      <w:pPr>
        <w:pStyle w:val="Heading4"/>
      </w:pPr>
      <w:r w:rsidRPr="00DB671B">
        <w:t>Cinquant</w:t>
      </w:r>
      <w:r w:rsidR="005F7AC8" w:rsidRPr="00DB671B">
        <w:t>ième session du TWF</w:t>
      </w:r>
    </w:p>
    <w:p w:rsidR="00D83B31" w:rsidRPr="00DB671B" w:rsidRDefault="00D83B31" w:rsidP="00054FE5"/>
    <w:p w:rsidR="00D83B31" w:rsidRPr="00DB671B" w:rsidRDefault="00054FE5" w:rsidP="00054FE5">
      <w:pPr>
        <w:rPr>
          <w:bCs/>
        </w:rPr>
      </w:pPr>
      <w:r w:rsidRPr="00DB671B">
        <w:fldChar w:fldCharType="begin"/>
      </w:r>
      <w:r w:rsidRPr="00DB671B">
        <w:instrText xml:space="preserve"> AUTONUM  </w:instrText>
      </w:r>
      <w:r w:rsidRPr="00DB671B">
        <w:fldChar w:fldCharType="end"/>
      </w:r>
      <w:r w:rsidRPr="00DB671B">
        <w:tab/>
      </w:r>
      <w:r w:rsidR="00097213" w:rsidRPr="00DB671B">
        <w:t>Le Groupe de travail technique sur les plantes fruitières (TWF) a tenu sa cinquant</w:t>
      </w:r>
      <w:r w:rsidR="005F7AC8" w:rsidRPr="00DB671B">
        <w:t>ième session</w:t>
      </w:r>
      <w:r w:rsidR="00097213" w:rsidRPr="00DB671B">
        <w:t xml:space="preserve"> à Budapest (Hongrie) du 24 au 2</w:t>
      </w:r>
      <w:r w:rsidR="005F7AC8" w:rsidRPr="00DB671B">
        <w:t>8 juin 20</w:t>
      </w:r>
      <w:r w:rsidR="00097213" w:rsidRPr="00DB671B">
        <w:t xml:space="preserve">19. </w:t>
      </w:r>
      <w:r w:rsidR="00E85E8E" w:rsidRPr="00DB671B">
        <w:t xml:space="preserve"> </w:t>
      </w:r>
      <w:r w:rsidR="00097213" w:rsidRPr="00DB671B">
        <w:rPr>
          <w:bCs/>
        </w:rPr>
        <w:t>La session a été présidée par M.</w:t>
      </w:r>
      <w:r w:rsidR="00E85E8E" w:rsidRPr="00DB671B">
        <w:rPr>
          <w:bCs/>
        </w:rPr>
        <w:t> </w:t>
      </w:r>
      <w:r w:rsidR="00870CFA">
        <w:rPr>
          <w:bCs/>
        </w:rPr>
        <w:t>Jean Maison (Union </w:t>
      </w:r>
      <w:r w:rsidR="00097213" w:rsidRPr="00DB671B">
        <w:rPr>
          <w:bCs/>
        </w:rPr>
        <w:t>européenne), président</w:t>
      </w:r>
      <w:r w:rsidR="005F7AC8" w:rsidRPr="00DB671B">
        <w:rPr>
          <w:bCs/>
        </w:rPr>
        <w:t xml:space="preserve"> du TWF</w:t>
      </w:r>
      <w:r w:rsidR="00097213" w:rsidRPr="00DB671B">
        <w:rPr>
          <w:bCs/>
        </w:rPr>
        <w:t>.</w:t>
      </w:r>
    </w:p>
    <w:p w:rsidR="00D83B31" w:rsidRPr="00DB671B" w:rsidRDefault="00D83B31" w:rsidP="00054FE5"/>
    <w:p w:rsidR="005F7AC8" w:rsidRPr="00DB671B" w:rsidRDefault="00054FE5" w:rsidP="00054FE5">
      <w:r w:rsidRPr="00DB671B">
        <w:fldChar w:fldCharType="begin"/>
      </w:r>
      <w:r w:rsidRPr="00DB671B">
        <w:instrText xml:space="preserve"> AUTONUM  </w:instrText>
      </w:r>
      <w:r w:rsidRPr="00DB671B">
        <w:fldChar w:fldCharType="end"/>
      </w:r>
      <w:r w:rsidRPr="00DB671B">
        <w:tab/>
        <w:t>La session</w:t>
      </w:r>
      <w:r w:rsidR="005F7AC8" w:rsidRPr="00DB671B">
        <w:t xml:space="preserve"> du TWF</w:t>
      </w:r>
      <w:r w:rsidRPr="00DB671B">
        <w:t xml:space="preserve"> a réuni 60</w:t>
      </w:r>
      <w:r w:rsidR="00A83A59" w:rsidRPr="00DB671B">
        <w:t> </w:t>
      </w:r>
      <w:r w:rsidRPr="00DB671B">
        <w:t>participants représentant 19</w:t>
      </w:r>
      <w:r w:rsidR="00A83A59" w:rsidRPr="00DB671B">
        <w:t> </w:t>
      </w:r>
      <w:r w:rsidRPr="00DB671B">
        <w:t>membres de l</w:t>
      </w:r>
      <w:r w:rsidR="005F7AC8" w:rsidRPr="00DB671B">
        <w:t>’</w:t>
      </w:r>
      <w:r w:rsidRPr="00DB671B">
        <w:t>Union et une organisation ayant le statut d</w:t>
      </w:r>
      <w:r w:rsidR="005F7AC8" w:rsidRPr="00DB671B">
        <w:t>’</w:t>
      </w:r>
      <w:r w:rsidRPr="00DB671B">
        <w:t>observateur.</w:t>
      </w:r>
    </w:p>
    <w:p w:rsidR="00D83B31" w:rsidRPr="00DB671B" w:rsidRDefault="00D83B31" w:rsidP="00054FE5"/>
    <w:p w:rsidR="00D83B31" w:rsidRPr="00DB671B" w:rsidRDefault="00054FE5" w:rsidP="00097213">
      <w:pPr>
        <w:rPr>
          <w:bCs/>
        </w:rPr>
      </w:pPr>
      <w:r w:rsidRPr="00DB671B">
        <w:rPr>
          <w:bCs/>
        </w:rPr>
        <w:fldChar w:fldCharType="begin"/>
      </w:r>
      <w:r w:rsidRPr="00DB671B">
        <w:rPr>
          <w:bCs/>
        </w:rPr>
        <w:instrText xml:space="preserve"> AUTONUM  </w:instrText>
      </w:r>
      <w:r w:rsidRPr="00DB671B">
        <w:rPr>
          <w:bCs/>
        </w:rPr>
        <w:fldChar w:fldCharType="end"/>
      </w:r>
      <w:r w:rsidRPr="00DB671B">
        <w:rPr>
          <w:bCs/>
        </w:rPr>
        <w:tab/>
      </w:r>
      <w:r w:rsidR="00097213" w:rsidRPr="00DB671B">
        <w:t>M.</w:t>
      </w:r>
      <w:r w:rsidR="00E85E8E" w:rsidRPr="00DB671B">
        <w:rPr>
          <w:bCs/>
        </w:rPr>
        <w:t> </w:t>
      </w:r>
      <w:r w:rsidR="00097213" w:rsidRPr="00DB671B">
        <w:rPr>
          <w:bCs/>
        </w:rPr>
        <w:t xml:space="preserve">Tamás Tarpataki, </w:t>
      </w:r>
      <w:r w:rsidR="00A83A59" w:rsidRPr="00DB671B">
        <w:rPr>
          <w:bCs/>
        </w:rPr>
        <w:t>v</w:t>
      </w:r>
      <w:r w:rsidR="00097213" w:rsidRPr="00DB671B">
        <w:rPr>
          <w:bCs/>
        </w:rPr>
        <w:t>ice</w:t>
      </w:r>
      <w:r w:rsidR="005F7AC8" w:rsidRPr="00DB671B">
        <w:rPr>
          <w:bCs/>
        </w:rPr>
        <w:t>-</w:t>
      </w:r>
      <w:r w:rsidR="00097213" w:rsidRPr="00DB671B">
        <w:rPr>
          <w:bCs/>
        </w:rPr>
        <w:t>secrétaire d</w:t>
      </w:r>
      <w:r w:rsidR="005F7AC8" w:rsidRPr="00DB671B">
        <w:rPr>
          <w:bCs/>
        </w:rPr>
        <w:t>’</w:t>
      </w:r>
      <w:r w:rsidR="00097213" w:rsidRPr="00DB671B">
        <w:rPr>
          <w:bCs/>
        </w:rPr>
        <w:t>État pour les marchés agricoles auprès du Ministère de l</w:t>
      </w:r>
      <w:r w:rsidR="005F7AC8" w:rsidRPr="00DB671B">
        <w:rPr>
          <w:bCs/>
        </w:rPr>
        <w:t>’</w:t>
      </w:r>
      <w:r w:rsidR="00097213" w:rsidRPr="00DB671B">
        <w:rPr>
          <w:bCs/>
        </w:rPr>
        <w:t>agriculture, a souhaité la bienvenue</w:t>
      </w:r>
      <w:r w:rsidR="005F7AC8" w:rsidRPr="00DB671B">
        <w:rPr>
          <w:bCs/>
        </w:rPr>
        <w:t xml:space="preserve"> au TWF</w:t>
      </w:r>
      <w:r w:rsidR="00097213" w:rsidRPr="00DB671B">
        <w:rPr>
          <w:bCs/>
        </w:rPr>
        <w:t>.</w:t>
      </w:r>
      <w:r w:rsidR="00097213" w:rsidRPr="00DB671B">
        <w:t xml:space="preserve"> </w:t>
      </w:r>
      <w:r w:rsidR="00E85E8E" w:rsidRPr="00DB671B">
        <w:rPr>
          <w:bCs/>
        </w:rPr>
        <w:t xml:space="preserve"> </w:t>
      </w:r>
      <w:r w:rsidR="00097213" w:rsidRPr="00DB671B">
        <w:t>M.</w:t>
      </w:r>
      <w:r w:rsidR="00E85E8E" w:rsidRPr="00DB671B">
        <w:rPr>
          <w:bCs/>
        </w:rPr>
        <w:t> </w:t>
      </w:r>
      <w:r w:rsidR="00097213" w:rsidRPr="00DB671B">
        <w:t>Tarpataki a présenté un exposé sur le secteur agricole en Hongrie et sur le Centre national de recherche et d</w:t>
      </w:r>
      <w:r w:rsidR="005F7AC8" w:rsidRPr="00DB671B">
        <w:t>’</w:t>
      </w:r>
      <w:r w:rsidR="00097213" w:rsidRPr="00DB671B">
        <w:t>innovation agricoles (NARIC FRI).</w:t>
      </w:r>
    </w:p>
    <w:p w:rsidR="00D83B31" w:rsidRPr="00DB671B" w:rsidRDefault="00D83B31" w:rsidP="00097213"/>
    <w:p w:rsidR="00D83B31" w:rsidRPr="00DB671B" w:rsidRDefault="00097213" w:rsidP="00097213">
      <w:r w:rsidRPr="00DB671B">
        <w:rPr>
          <w:bCs/>
        </w:rPr>
        <w:fldChar w:fldCharType="begin"/>
      </w:r>
      <w:r w:rsidRPr="00DB671B">
        <w:rPr>
          <w:bCs/>
        </w:rPr>
        <w:instrText xml:space="preserve"> AUTONUM  </w:instrText>
      </w:r>
      <w:r w:rsidRPr="00DB671B">
        <w:rPr>
          <w:bCs/>
        </w:rPr>
        <w:fldChar w:fldCharType="end"/>
      </w:r>
      <w:r w:rsidRPr="00DB671B">
        <w:rPr>
          <w:bCs/>
        </w:rPr>
        <w:tab/>
        <w:t>En ce qui concerne les documents TGP,</w:t>
      </w:r>
      <w:r w:rsidR="005F7AC8" w:rsidRPr="00DB671B">
        <w:rPr>
          <w:bCs/>
        </w:rPr>
        <w:t xml:space="preserve"> le TWF</w:t>
      </w:r>
      <w:r w:rsidRPr="00DB671B">
        <w:rPr>
          <w:bCs/>
        </w:rPr>
        <w:t xml:space="preserve"> s</w:t>
      </w:r>
      <w:r w:rsidR="005F7AC8" w:rsidRPr="00DB671B">
        <w:rPr>
          <w:bCs/>
        </w:rPr>
        <w:t>’</w:t>
      </w:r>
      <w:r w:rsidRPr="00DB671B">
        <w:rPr>
          <w:bCs/>
        </w:rPr>
        <w:t>est félicité de la possibil</w:t>
      </w:r>
      <w:r w:rsidR="00A83A59" w:rsidRPr="00DB671B">
        <w:rPr>
          <w:bCs/>
        </w:rPr>
        <w:t>it</w:t>
      </w:r>
      <w:r w:rsidRPr="00DB671B">
        <w:rPr>
          <w:bCs/>
        </w:rPr>
        <w:t>é de réviser la procédure de révision partielle des principes directeurs d</w:t>
      </w:r>
      <w:r w:rsidR="005F7AC8" w:rsidRPr="00DB671B">
        <w:rPr>
          <w:bCs/>
        </w:rPr>
        <w:t>’</w:t>
      </w:r>
      <w:r w:rsidRPr="00DB671B">
        <w:rPr>
          <w:bCs/>
        </w:rPr>
        <w:t>examen et que les experts aient la possibilité de présenter de nouvelles propositions durant l</w:t>
      </w:r>
      <w:r w:rsidR="005F7AC8" w:rsidRPr="00DB671B">
        <w:rPr>
          <w:bCs/>
        </w:rPr>
        <w:t>’</w:t>
      </w:r>
      <w:r w:rsidRPr="00DB671B">
        <w:rPr>
          <w:bCs/>
        </w:rPr>
        <w:t>année.</w:t>
      </w:r>
      <w:r w:rsidRPr="00DB671B">
        <w:t xml:space="preserve"> </w:t>
      </w:r>
      <w:r w:rsidR="00E85E8E" w:rsidRPr="00DB671B">
        <w:rPr>
          <w:bCs/>
        </w:rPr>
        <w:t xml:space="preserve"> </w:t>
      </w:r>
      <w:r w:rsidRPr="00DB671B">
        <w:t xml:space="preserve">Il a donné des précisions sur les situations </w:t>
      </w:r>
      <w:r w:rsidR="00C4676A" w:rsidRPr="00DB671B">
        <w:t>dans lesquelles</w:t>
      </w:r>
      <w:r w:rsidRPr="00DB671B">
        <w:t xml:space="preserve"> cette procédure accélérée s</w:t>
      </w:r>
      <w:r w:rsidR="005F7AC8" w:rsidRPr="00DB671B">
        <w:t>’</w:t>
      </w:r>
      <w:r w:rsidRPr="00DB671B">
        <w:t>appliquerait.</w:t>
      </w:r>
    </w:p>
    <w:p w:rsidR="00D83B31" w:rsidRPr="00DB671B" w:rsidRDefault="00D83B31" w:rsidP="00097213"/>
    <w:p w:rsidR="005F7AC8" w:rsidRDefault="00097213" w:rsidP="00097213">
      <w:pPr>
        <w:rPr>
          <w:bCs/>
        </w:rPr>
      </w:pPr>
      <w:r w:rsidRPr="00DB671B">
        <w:rPr>
          <w:bCs/>
        </w:rPr>
        <w:fldChar w:fldCharType="begin"/>
      </w:r>
      <w:r w:rsidRPr="00DB671B">
        <w:rPr>
          <w:bCs/>
        </w:rPr>
        <w:instrText xml:space="preserve"> AUTONUM  </w:instrText>
      </w:r>
      <w:r w:rsidRPr="00DB671B">
        <w:rPr>
          <w:bCs/>
        </w:rPr>
        <w:fldChar w:fldCharType="end"/>
      </w:r>
      <w:r w:rsidRPr="00DB671B">
        <w:rPr>
          <w:bCs/>
        </w:rPr>
        <w:tab/>
        <w:t>Le TWF a examiné la question de l</w:t>
      </w:r>
      <w:r w:rsidR="005F7AC8" w:rsidRPr="00DB671B">
        <w:rPr>
          <w:bCs/>
        </w:rPr>
        <w:t>’</w:t>
      </w:r>
      <w:r w:rsidRPr="00DB671B">
        <w:rPr>
          <w:bCs/>
        </w:rPr>
        <w:t>accès au matériel végétal aux fins de la gestion des collections de variétés et de l</w:t>
      </w:r>
      <w:r w:rsidR="005F7AC8" w:rsidRPr="00DB671B">
        <w:rPr>
          <w:bCs/>
        </w:rPr>
        <w:t>’</w:t>
      </w:r>
      <w:r w:rsidRPr="00DB671B">
        <w:rPr>
          <w:bCs/>
        </w:rPr>
        <w:t>examen</w:t>
      </w:r>
      <w:r w:rsidR="00E85E8E" w:rsidRPr="00DB671B">
        <w:rPr>
          <w:bCs/>
        </w:rPr>
        <w:t> </w:t>
      </w:r>
      <w:r w:rsidRPr="00DB671B">
        <w:rPr>
          <w:bCs/>
        </w:rPr>
        <w:t>DHS sur la base des exposés ci</w:t>
      </w:r>
      <w:r w:rsidR="005F7AC8" w:rsidRPr="00DB671B">
        <w:rPr>
          <w:bCs/>
        </w:rPr>
        <w:t>-</w:t>
      </w:r>
      <w:r w:rsidRPr="00DB671B">
        <w:rPr>
          <w:bCs/>
        </w:rPr>
        <w:t>après</w:t>
      </w:r>
      <w:r w:rsidR="005F7AC8" w:rsidRPr="00DB671B">
        <w:rPr>
          <w:bCs/>
        </w:rPr>
        <w:t> :</w:t>
      </w:r>
    </w:p>
    <w:p w:rsidR="00DB671B" w:rsidRPr="00DB671B" w:rsidRDefault="00DB671B" w:rsidP="00097213"/>
    <w:p w:rsidR="005F7AC8" w:rsidRPr="00DB671B" w:rsidRDefault="00097213" w:rsidP="00870CFA">
      <w:pPr>
        <w:numPr>
          <w:ilvl w:val="0"/>
          <w:numId w:val="37"/>
        </w:numPr>
        <w:ind w:left="993" w:hanging="426"/>
      </w:pPr>
      <w:r w:rsidRPr="00DB671B">
        <w:t>“Canada</w:t>
      </w:r>
      <w:r w:rsidR="005F7AC8" w:rsidRPr="00DB671B">
        <w:t>’</w:t>
      </w:r>
      <w:r w:rsidRPr="00DB671B">
        <w:t>s experience in accessing plant material for DUS testing” (Données d</w:t>
      </w:r>
      <w:r w:rsidR="005F7AC8" w:rsidRPr="00DB671B">
        <w:t>’</w:t>
      </w:r>
      <w:r w:rsidRPr="00DB671B">
        <w:t>expérience du Canada en matière d</w:t>
      </w:r>
      <w:r w:rsidR="005F7AC8" w:rsidRPr="00DB671B">
        <w:t>’</w:t>
      </w:r>
      <w:r w:rsidRPr="00DB671B">
        <w:t>accès au matériel végétal aux fins de l</w:t>
      </w:r>
      <w:r w:rsidR="005F7AC8" w:rsidRPr="00DB671B">
        <w:t>’</w:t>
      </w:r>
      <w:r w:rsidRPr="00DB671B">
        <w:t>examen</w:t>
      </w:r>
      <w:r w:rsidR="00E85E8E" w:rsidRPr="00DB671B">
        <w:t> </w:t>
      </w:r>
      <w:r w:rsidRPr="00DB671B">
        <w:t>DHS)</w:t>
      </w:r>
    </w:p>
    <w:p w:rsidR="00D83B31" w:rsidRPr="00DB671B" w:rsidRDefault="00097213" w:rsidP="00870CFA">
      <w:pPr>
        <w:numPr>
          <w:ilvl w:val="0"/>
          <w:numId w:val="37"/>
        </w:numPr>
        <w:ind w:left="993" w:hanging="426"/>
      </w:pPr>
      <w:r w:rsidRPr="00DB671B">
        <w:t>“China</w:t>
      </w:r>
      <w:r w:rsidR="005F7AC8" w:rsidRPr="00DB671B">
        <w:t>’</w:t>
      </w:r>
      <w:r w:rsidRPr="00DB671B">
        <w:t>s practice in accessing to plant materials for variety collection management and DUS test” (Pratiques de la Chine en matière d</w:t>
      </w:r>
      <w:r w:rsidR="005F7AC8" w:rsidRPr="00DB671B">
        <w:t>’</w:t>
      </w:r>
      <w:r w:rsidRPr="00DB671B">
        <w:t>accès au matériel végétal aux fins de la gestion des collections de variétés et de l</w:t>
      </w:r>
      <w:r w:rsidR="005F7AC8" w:rsidRPr="00DB671B">
        <w:t>’</w:t>
      </w:r>
      <w:r w:rsidRPr="00DB671B">
        <w:t>examen</w:t>
      </w:r>
      <w:r w:rsidR="00E85E8E" w:rsidRPr="00DB671B">
        <w:t> </w:t>
      </w:r>
      <w:r w:rsidRPr="00DB671B">
        <w:t>DHS)</w:t>
      </w:r>
    </w:p>
    <w:p w:rsidR="00D83B31" w:rsidRPr="00DB671B" w:rsidRDefault="00097213" w:rsidP="00870CFA">
      <w:pPr>
        <w:numPr>
          <w:ilvl w:val="0"/>
          <w:numId w:val="37"/>
        </w:numPr>
        <w:ind w:left="993" w:hanging="426"/>
      </w:pPr>
      <w:r w:rsidRPr="00DB671B">
        <w:t>“Access to plant material for variety testing purposes</w:t>
      </w:r>
      <w:r w:rsidR="005F7AC8" w:rsidRPr="00DB671B">
        <w:t> :</w:t>
      </w:r>
      <w:r w:rsidRPr="00DB671B">
        <w:t xml:space="preserve"> Status quo, problems and possible solutions” (Accès au matériel végétal aux fins de l</w:t>
      </w:r>
      <w:r w:rsidR="005F7AC8" w:rsidRPr="00DB671B">
        <w:t>’</w:t>
      </w:r>
      <w:r w:rsidRPr="00DB671B">
        <w:t>examen de la variété</w:t>
      </w:r>
      <w:r w:rsidR="005F7AC8" w:rsidRPr="00DB671B">
        <w:t> :</w:t>
      </w:r>
      <w:r w:rsidRPr="00DB671B">
        <w:t xml:space="preserve"> status quo, problèmes et solutions possibles) présenté par un expert d</w:t>
      </w:r>
      <w:r w:rsidR="005F7AC8" w:rsidRPr="00DB671B">
        <w:t>’</w:t>
      </w:r>
      <w:r w:rsidRPr="00DB671B">
        <w:t>Italie.</w:t>
      </w:r>
    </w:p>
    <w:p w:rsidR="00D83B31" w:rsidRPr="00DB671B" w:rsidRDefault="00D83B31" w:rsidP="00097213"/>
    <w:p w:rsidR="00D83B31" w:rsidRPr="00DB671B" w:rsidRDefault="00054FE5" w:rsidP="00054FE5">
      <w:r w:rsidRPr="00DB671B">
        <w:fldChar w:fldCharType="begin"/>
      </w:r>
      <w:r w:rsidRPr="00DB671B">
        <w:instrText xml:space="preserve"> AUTONUM  </w:instrText>
      </w:r>
      <w:r w:rsidRPr="00DB671B">
        <w:fldChar w:fldCharType="end"/>
      </w:r>
      <w:r w:rsidRPr="00DB671B">
        <w:tab/>
        <w:t>Le TWF s</w:t>
      </w:r>
      <w:r w:rsidR="005F7AC8" w:rsidRPr="00DB671B">
        <w:t>’</w:t>
      </w:r>
      <w:r w:rsidRPr="00DB671B">
        <w:t>est accordé à reconnaître que les obtenteurs constituaient une source importante d</w:t>
      </w:r>
      <w:r w:rsidR="005F7AC8" w:rsidRPr="00DB671B">
        <w:t>’</w:t>
      </w:r>
      <w:r w:rsidRPr="00DB671B">
        <w:t>informations et de matériel végétal vivant et qu</w:t>
      </w:r>
      <w:r w:rsidR="005F7AC8" w:rsidRPr="00DB671B">
        <w:t>’</w:t>
      </w:r>
      <w:r w:rsidRPr="00DB671B">
        <w:t>il était dans l</w:t>
      </w:r>
      <w:r w:rsidR="005F7AC8" w:rsidRPr="00DB671B">
        <w:t>’</w:t>
      </w:r>
      <w:r w:rsidRPr="00DB671B">
        <w:t>intérêt des obtenteurs de coopérer à la création et au maintien des collections de variétés.</w:t>
      </w:r>
      <w:r w:rsidR="005F7AC8" w:rsidRPr="00DB671B">
        <w:t xml:space="preserve"> </w:t>
      </w:r>
      <w:r w:rsidR="00E85E8E" w:rsidRPr="00DB671B">
        <w:t xml:space="preserve"> </w:t>
      </w:r>
      <w:r w:rsidR="005F7AC8" w:rsidRPr="00DB671B">
        <w:t>Le TWF</w:t>
      </w:r>
      <w:r w:rsidRPr="00DB671B">
        <w:t xml:space="preserve"> a pris note des observations formulées par un représentant de</w:t>
      </w:r>
      <w:r w:rsidR="005F7AC8" w:rsidRPr="00DB671B">
        <w:t xml:space="preserve"> la CIO</w:t>
      </w:r>
      <w:r w:rsidRPr="00DB671B">
        <w:t>PORA sur la nécessité de protéger les intérêts des obtenteurs lorsque ceux</w:t>
      </w:r>
      <w:r w:rsidR="005F7AC8" w:rsidRPr="00DB671B">
        <w:t>-</w:t>
      </w:r>
      <w:r w:rsidRPr="00DB671B">
        <w:t xml:space="preserve">ci fournissent du matériel végétal. </w:t>
      </w:r>
      <w:r w:rsidR="00E85E8E" w:rsidRPr="00DB671B">
        <w:t xml:space="preserve"> </w:t>
      </w:r>
      <w:r w:rsidR="00097213" w:rsidRPr="00DB671B">
        <w:t>Les débats ont également porté sur le risque perçu par les obtenteurs lorsque les services d</w:t>
      </w:r>
      <w:r w:rsidR="005F7AC8" w:rsidRPr="00DB671B">
        <w:t>’</w:t>
      </w:r>
      <w:r w:rsidR="00097213" w:rsidRPr="00DB671B">
        <w:t>examen opèrent des activités de sélection et sur les moyens de garantir que les collections de matériel vivant ne seront pas utilisées à des fins de sélection.</w:t>
      </w:r>
      <w:r w:rsidR="005F7AC8" w:rsidRPr="00DB671B">
        <w:t xml:space="preserve"> </w:t>
      </w:r>
      <w:r w:rsidR="00E85E8E" w:rsidRPr="00DB671B">
        <w:t xml:space="preserve"> </w:t>
      </w:r>
      <w:r w:rsidR="005F7AC8" w:rsidRPr="00DB671B">
        <w:t>Le TWF</w:t>
      </w:r>
      <w:r w:rsidRPr="00DB671B">
        <w:t xml:space="preserve"> a souligné la nécessité d</w:t>
      </w:r>
      <w:r w:rsidR="005F7AC8" w:rsidRPr="00DB671B">
        <w:t>’</w:t>
      </w:r>
      <w:r w:rsidRPr="00DB671B">
        <w:t>atteindre un niveau de confiance élevé entre les services de protection des obtentions végétales et les obtenteurs afin d</w:t>
      </w:r>
      <w:r w:rsidR="005F7AC8" w:rsidRPr="00DB671B">
        <w:t>’</w:t>
      </w:r>
      <w:r w:rsidRPr="00DB671B">
        <w:t>assurer une coopération fructueuse.</w:t>
      </w:r>
      <w:r w:rsidR="005F7AC8" w:rsidRPr="00DB671B">
        <w:t xml:space="preserve"> </w:t>
      </w:r>
      <w:r w:rsidR="00E85E8E" w:rsidRPr="00DB671B">
        <w:t xml:space="preserve"> </w:t>
      </w:r>
      <w:r w:rsidR="005F7AC8" w:rsidRPr="00DB671B">
        <w:t>Le TWF</w:t>
      </w:r>
      <w:r w:rsidRPr="00DB671B">
        <w:t xml:space="preserve"> a noté que l</w:t>
      </w:r>
      <w:r w:rsidR="005F7AC8" w:rsidRPr="00DB671B">
        <w:t>’</w:t>
      </w:r>
      <w:r w:rsidRPr="00DB671B">
        <w:t>Union européenne avait adopté des règles relatives à l</w:t>
      </w:r>
      <w:r w:rsidR="005F7AC8" w:rsidRPr="00DB671B">
        <w:t>’</w:t>
      </w:r>
      <w:r w:rsidRPr="00DB671B">
        <w:t>utilisation du matériel végétal fourni aux fins de l</w:t>
      </w:r>
      <w:r w:rsidR="005F7AC8" w:rsidRPr="00DB671B">
        <w:t>’</w:t>
      </w:r>
      <w:r w:rsidRPr="00DB671B">
        <w:t>examen</w:t>
      </w:r>
      <w:r w:rsidR="00E85E8E" w:rsidRPr="00DB671B">
        <w:t> </w:t>
      </w:r>
      <w:r w:rsidRPr="00DB671B">
        <w:t>DHS.</w:t>
      </w:r>
    </w:p>
    <w:p w:rsidR="00D83B31" w:rsidRPr="00DB671B" w:rsidRDefault="00D83B31" w:rsidP="00054FE5"/>
    <w:p w:rsidR="00D83B31" w:rsidRPr="00DB671B" w:rsidRDefault="00054FE5" w:rsidP="00054FE5">
      <w:r w:rsidRPr="00DB671B">
        <w:fldChar w:fldCharType="begin"/>
      </w:r>
      <w:r w:rsidRPr="00DB671B">
        <w:instrText xml:space="preserve"> AUTONUM  </w:instrText>
      </w:r>
      <w:r w:rsidRPr="00DB671B">
        <w:fldChar w:fldCharType="end"/>
      </w:r>
      <w:r w:rsidRPr="00DB671B">
        <w:tab/>
        <w:t>Le TWF a décidé de continuer les débats à sa prochaine session et a invité l</w:t>
      </w:r>
      <w:r w:rsidR="005F7AC8" w:rsidRPr="00DB671B">
        <w:t>’</w:t>
      </w:r>
      <w:r w:rsidRPr="00DB671B">
        <w:t>expert d</w:t>
      </w:r>
      <w:r w:rsidR="005F7AC8" w:rsidRPr="00DB671B">
        <w:t>’</w:t>
      </w:r>
      <w:r w:rsidRPr="00DB671B">
        <w:t>Italie à élaborer un document recensant les problèmes soulevés par les services de protection des obtentions végétales et les obtenteurs, ainsi qu</w:t>
      </w:r>
      <w:r w:rsidR="005F7AC8" w:rsidRPr="00DB671B">
        <w:t>’</w:t>
      </w:r>
      <w:r w:rsidRPr="00DB671B">
        <w:t>à émettre des propositions quant à la manière d</w:t>
      </w:r>
      <w:r w:rsidR="005F7AC8" w:rsidRPr="00DB671B">
        <w:t>’</w:t>
      </w:r>
      <w:r w:rsidRPr="00DB671B">
        <w:t>aborder ces problèmes au sein de l</w:t>
      </w:r>
      <w:r w:rsidR="005F7AC8" w:rsidRPr="00DB671B">
        <w:t>’</w:t>
      </w:r>
      <w:r w:rsidRPr="00DB671B">
        <w:t>UPOV.</w:t>
      </w:r>
    </w:p>
    <w:p w:rsidR="00D83B31" w:rsidRPr="00DB671B" w:rsidRDefault="00D83B31" w:rsidP="00054FE5">
      <w:pPr>
        <w:rPr>
          <w:bCs/>
        </w:rPr>
      </w:pPr>
    </w:p>
    <w:p w:rsidR="005F7AC8" w:rsidRPr="00DB671B" w:rsidRDefault="00054FE5" w:rsidP="00097213">
      <w:r w:rsidRPr="00DB671B">
        <w:fldChar w:fldCharType="begin"/>
      </w:r>
      <w:r w:rsidRPr="00DB671B">
        <w:instrText xml:space="preserve"> AUTONUM  </w:instrText>
      </w:r>
      <w:r w:rsidRPr="00DB671B">
        <w:fldChar w:fldCharType="end"/>
      </w:r>
      <w:r w:rsidRPr="00DB671B">
        <w:tab/>
      </w:r>
      <w:r w:rsidR="00097213" w:rsidRPr="00DB671B">
        <w:t>Le TWF a été informé par l</w:t>
      </w:r>
      <w:r w:rsidR="005F7AC8" w:rsidRPr="00DB671B">
        <w:t>’</w:t>
      </w:r>
      <w:r w:rsidR="00097213" w:rsidRPr="00DB671B">
        <w:t>Union européenne des faits nouveaux concernant les essais DHS relatifs aux variétés mutantes de pommiers et a noté que, sans une collection de variétés appropriée aux fins de l</w:t>
      </w:r>
      <w:r w:rsidR="005F7AC8" w:rsidRPr="00DB671B">
        <w:t>’</w:t>
      </w:r>
      <w:r w:rsidR="00097213" w:rsidRPr="00DB671B">
        <w:t>examen</w:t>
      </w:r>
      <w:r w:rsidR="00E85E8E" w:rsidRPr="00DB671B">
        <w:t> </w:t>
      </w:r>
      <w:r w:rsidR="00097213" w:rsidRPr="00DB671B">
        <w:t>DHS, l</w:t>
      </w:r>
      <w:r w:rsidR="005F7AC8" w:rsidRPr="00DB671B">
        <w:t>’</w:t>
      </w:r>
      <w:r w:rsidR="00097213" w:rsidRPr="00DB671B">
        <w:t>exactitude du rapport DHS pouvait être compromise, entravant ainsi la coopération et l</w:t>
      </w:r>
      <w:r w:rsidR="005F7AC8" w:rsidRPr="00DB671B">
        <w:t>’</w:t>
      </w:r>
      <w:r w:rsidR="00097213" w:rsidRPr="00DB671B">
        <w:t>échange de rapports DHS relatifs aux variétés mutantes du pommier entre les services de protection des obtentions végétales.</w:t>
      </w:r>
    </w:p>
    <w:p w:rsidR="00D83B31" w:rsidRPr="00DB671B" w:rsidRDefault="00D83B31" w:rsidP="00097213"/>
    <w:p w:rsidR="005F7AC8" w:rsidRPr="00DB671B" w:rsidRDefault="00097213" w:rsidP="00097213">
      <w:r w:rsidRPr="00DB671B">
        <w:rPr>
          <w:bCs/>
        </w:rPr>
        <w:fldChar w:fldCharType="begin"/>
      </w:r>
      <w:r w:rsidRPr="00DB671B">
        <w:rPr>
          <w:bCs/>
        </w:rPr>
        <w:instrText xml:space="preserve"> AUTONUM  </w:instrText>
      </w:r>
      <w:r w:rsidRPr="00DB671B">
        <w:rPr>
          <w:bCs/>
        </w:rPr>
        <w:fldChar w:fldCharType="end"/>
      </w:r>
      <w:r w:rsidRPr="00DB671B">
        <w:rPr>
          <w:bCs/>
        </w:rPr>
        <w:tab/>
        <w:t>Le TWF a tenu une session visant à faciliter la coopération en ce qui concerne l</w:t>
      </w:r>
      <w:r w:rsidR="005F7AC8" w:rsidRPr="00DB671B">
        <w:rPr>
          <w:bCs/>
        </w:rPr>
        <w:t>’</w:t>
      </w:r>
      <w:r w:rsidRPr="00DB671B">
        <w:rPr>
          <w:bCs/>
        </w:rPr>
        <w:t>utilisation des techniques moléculaires et une autre session sur la coopération en matière d</w:t>
      </w:r>
      <w:r w:rsidR="005F7AC8" w:rsidRPr="00DB671B">
        <w:rPr>
          <w:bCs/>
        </w:rPr>
        <w:t>’</w:t>
      </w:r>
      <w:r w:rsidRPr="00DB671B">
        <w:rPr>
          <w:bCs/>
        </w:rPr>
        <w:t>examen.</w:t>
      </w:r>
    </w:p>
    <w:p w:rsidR="00D83B31" w:rsidRPr="00DB671B" w:rsidRDefault="00D83B31" w:rsidP="00097213"/>
    <w:p w:rsidR="00D83B31" w:rsidRDefault="00097213" w:rsidP="00097213">
      <w:pPr>
        <w:keepNext/>
        <w:rPr>
          <w:bCs/>
        </w:rPr>
      </w:pPr>
      <w:r w:rsidRPr="00DB671B">
        <w:rPr>
          <w:bCs/>
        </w:rPr>
        <w:fldChar w:fldCharType="begin"/>
      </w:r>
      <w:r w:rsidRPr="00DB671B">
        <w:rPr>
          <w:bCs/>
        </w:rPr>
        <w:instrText xml:space="preserve"> AUTONUM  </w:instrText>
      </w:r>
      <w:r w:rsidRPr="00DB671B">
        <w:rPr>
          <w:bCs/>
        </w:rPr>
        <w:fldChar w:fldCharType="end"/>
      </w:r>
      <w:r w:rsidRPr="00DB671B">
        <w:rPr>
          <w:bCs/>
        </w:rPr>
        <w:tab/>
        <w:t>Le TWF est convenu notamment d</w:t>
      </w:r>
      <w:r w:rsidR="005F7AC8" w:rsidRPr="00DB671B">
        <w:rPr>
          <w:bCs/>
        </w:rPr>
        <w:t>’</w:t>
      </w:r>
      <w:r w:rsidRPr="00DB671B">
        <w:rPr>
          <w:bCs/>
        </w:rPr>
        <w:t>examiner les questions ci</w:t>
      </w:r>
      <w:r w:rsidR="005F7AC8" w:rsidRPr="00DB671B">
        <w:rPr>
          <w:bCs/>
        </w:rPr>
        <w:t>-</w:t>
      </w:r>
      <w:r w:rsidRPr="00DB671B">
        <w:rPr>
          <w:bCs/>
        </w:rPr>
        <w:t>après à sa prochaine session</w:t>
      </w:r>
      <w:r w:rsidR="005F7AC8" w:rsidRPr="00DB671B">
        <w:rPr>
          <w:bCs/>
        </w:rPr>
        <w:t> :</w:t>
      </w:r>
    </w:p>
    <w:p w:rsidR="00DB671B" w:rsidRPr="00DB671B" w:rsidRDefault="00DB671B" w:rsidP="00097213">
      <w:pPr>
        <w:keepNext/>
        <w:rPr>
          <w:bCs/>
        </w:rPr>
      </w:pPr>
    </w:p>
    <w:p w:rsidR="00D83B31" w:rsidRPr="00DB671B" w:rsidRDefault="00097213" w:rsidP="00DB671B">
      <w:pPr>
        <w:numPr>
          <w:ilvl w:val="0"/>
          <w:numId w:val="21"/>
        </w:numPr>
        <w:ind w:left="1134" w:hanging="567"/>
      </w:pPr>
      <w:r w:rsidRPr="00DB671B">
        <w:t>Accès au matériel végétal aux fins de la gestion des collections de variétés et de l</w:t>
      </w:r>
      <w:r w:rsidR="005F7AC8" w:rsidRPr="00DB671B">
        <w:t>’</w:t>
      </w:r>
      <w:r w:rsidRPr="00DB671B">
        <w:t>examen</w:t>
      </w:r>
      <w:r w:rsidR="00E85E8E" w:rsidRPr="00DB671B">
        <w:t> </w:t>
      </w:r>
      <w:r w:rsidRPr="00DB671B">
        <w:t>DHS (document à établir par l</w:t>
      </w:r>
      <w:r w:rsidR="005F7AC8" w:rsidRPr="00DB671B">
        <w:t>’</w:t>
      </w:r>
      <w:r w:rsidRPr="00DB671B">
        <w:t>Italie)</w:t>
      </w:r>
    </w:p>
    <w:p w:rsidR="00D83B31" w:rsidRPr="00DB671B" w:rsidRDefault="00097213" w:rsidP="00DB671B">
      <w:pPr>
        <w:numPr>
          <w:ilvl w:val="0"/>
          <w:numId w:val="21"/>
        </w:numPr>
        <w:ind w:left="1134" w:hanging="567"/>
      </w:pPr>
      <w:r w:rsidRPr="00DB671B">
        <w:t>Examen DHS des variétés mutantes du pommier (document à établir par l</w:t>
      </w:r>
      <w:r w:rsidR="005F7AC8" w:rsidRPr="00DB671B">
        <w:t>’</w:t>
      </w:r>
      <w:r w:rsidRPr="00DB671B">
        <w:t>Union européenne)</w:t>
      </w:r>
    </w:p>
    <w:p w:rsidR="00D83B31" w:rsidRPr="00DB671B" w:rsidRDefault="00D83B31" w:rsidP="00097213"/>
    <w:p w:rsidR="00D83B31" w:rsidRPr="00DB671B" w:rsidRDefault="00097213" w:rsidP="00097213">
      <w:pPr>
        <w:rPr>
          <w:bCs/>
        </w:rPr>
      </w:pPr>
      <w:r w:rsidRPr="00DB671B">
        <w:rPr>
          <w:bCs/>
        </w:rPr>
        <w:fldChar w:fldCharType="begin"/>
      </w:r>
      <w:r w:rsidRPr="00DB671B">
        <w:rPr>
          <w:bCs/>
        </w:rPr>
        <w:instrText xml:space="preserve"> AUTONUM  </w:instrText>
      </w:r>
      <w:r w:rsidRPr="00DB671B">
        <w:rPr>
          <w:bCs/>
        </w:rPr>
        <w:fldChar w:fldCharType="end"/>
      </w:r>
      <w:r w:rsidRPr="00DB671B">
        <w:rPr>
          <w:bCs/>
        </w:rPr>
        <w:tab/>
        <w:t>Le TWF a examiné les questions en suspens concernant les projets de principes directeurs d</w:t>
      </w:r>
      <w:r w:rsidR="005F7AC8" w:rsidRPr="00DB671B">
        <w:rPr>
          <w:bCs/>
        </w:rPr>
        <w:t>’</w:t>
      </w:r>
      <w:r w:rsidRPr="00DB671B">
        <w:rPr>
          <w:bCs/>
        </w:rPr>
        <w:t>examen du ma</w:t>
      </w:r>
      <w:r w:rsidR="00A83A59" w:rsidRPr="00DB671B">
        <w:rPr>
          <w:bCs/>
        </w:rPr>
        <w:t>c</w:t>
      </w:r>
      <w:r w:rsidRPr="00DB671B">
        <w:rPr>
          <w:bCs/>
        </w:rPr>
        <w:t>adamia et du noyer, comme recommandé par le</w:t>
      </w:r>
      <w:r w:rsidR="005F7AC8" w:rsidRPr="00DB671B">
        <w:rPr>
          <w:bCs/>
        </w:rPr>
        <w:t> TC</w:t>
      </w:r>
      <w:r w:rsidRPr="00DB671B">
        <w:rPr>
          <w:bCs/>
        </w:rPr>
        <w:t>.  Il est convenu que la révision partielle des principes directeurs de l</w:t>
      </w:r>
      <w:r w:rsidR="005F7AC8" w:rsidRPr="00DB671B">
        <w:rPr>
          <w:bCs/>
        </w:rPr>
        <w:t>’</w:t>
      </w:r>
      <w:r w:rsidRPr="00DB671B">
        <w:rPr>
          <w:bCs/>
        </w:rPr>
        <w:t>oranger et du pamplemoussier devrait êre soumise au</w:t>
      </w:r>
      <w:r w:rsidR="005F7AC8" w:rsidRPr="00DB671B">
        <w:rPr>
          <w:bCs/>
        </w:rPr>
        <w:t> TC</w:t>
      </w:r>
      <w:r w:rsidRPr="00DB671B">
        <w:rPr>
          <w:bCs/>
        </w:rPr>
        <w:t xml:space="preserve"> pour adoption.</w:t>
      </w:r>
      <w:r w:rsidRPr="00DB671B">
        <w:t xml:space="preserve"> </w:t>
      </w:r>
      <w:r w:rsidR="00E85E8E" w:rsidRPr="00DB671B">
        <w:rPr>
          <w:bCs/>
        </w:rPr>
        <w:t xml:space="preserve"> </w:t>
      </w:r>
      <w:r w:rsidRPr="00DB671B">
        <w:rPr>
          <w:bCs/>
        </w:rPr>
        <w:t>Il a également examiné le projet de principes directeurs d</w:t>
      </w:r>
      <w:r w:rsidR="005F7AC8" w:rsidRPr="00DB671B">
        <w:rPr>
          <w:bCs/>
        </w:rPr>
        <w:t>’</w:t>
      </w:r>
      <w:r w:rsidRPr="00DB671B">
        <w:rPr>
          <w:bCs/>
        </w:rPr>
        <w:t>examen du pommier, de l</w:t>
      </w:r>
      <w:r w:rsidR="005F7AC8" w:rsidRPr="00DB671B">
        <w:rPr>
          <w:bCs/>
        </w:rPr>
        <w:t>’</w:t>
      </w:r>
      <w:r w:rsidRPr="00DB671B">
        <w:rPr>
          <w:bCs/>
        </w:rPr>
        <w:t>abricotier, de l</w:t>
      </w:r>
      <w:r w:rsidR="005F7AC8" w:rsidRPr="00DB671B">
        <w:rPr>
          <w:bCs/>
        </w:rPr>
        <w:t>’</w:t>
      </w:r>
      <w:r w:rsidRPr="00DB671B">
        <w:rPr>
          <w:bCs/>
        </w:rPr>
        <w:t>arganier, de la vigne, du mûrier, du pistachie</w:t>
      </w:r>
      <w:r w:rsidR="00A83A59" w:rsidRPr="00DB671B">
        <w:rPr>
          <w:bCs/>
        </w:rPr>
        <w:t>r,</w:t>
      </w:r>
      <w:r w:rsidRPr="00DB671B">
        <w:rPr>
          <w:bCs/>
        </w:rPr>
        <w:t xml:space="preserve"> du fraisier et du cerisier doux.</w:t>
      </w:r>
    </w:p>
    <w:p w:rsidR="00D83B31" w:rsidRPr="00DB671B" w:rsidRDefault="00D83B31" w:rsidP="00054FE5"/>
    <w:p w:rsidR="00D83B31" w:rsidRPr="00DB671B" w:rsidRDefault="00054FE5" w:rsidP="00097213">
      <w:r w:rsidRPr="00DB671B">
        <w:fldChar w:fldCharType="begin"/>
      </w:r>
      <w:r w:rsidRPr="00DB671B">
        <w:instrText xml:space="preserve"> AUTONUM  </w:instrText>
      </w:r>
      <w:r w:rsidRPr="00DB671B">
        <w:fldChar w:fldCharType="end"/>
      </w:r>
      <w:r w:rsidRPr="00DB671B">
        <w:tab/>
      </w:r>
      <w:r w:rsidR="00097213" w:rsidRPr="00DB671B">
        <w:t>Le TWF est convenu d</w:t>
      </w:r>
      <w:r w:rsidR="005F7AC8" w:rsidRPr="00DB671B">
        <w:t>’</w:t>
      </w:r>
      <w:r w:rsidR="00097213" w:rsidRPr="00DB671B">
        <w:t>examiner 17</w:t>
      </w:r>
      <w:r w:rsidR="00A83A59" w:rsidRPr="00DB671B">
        <w:t> </w:t>
      </w:r>
      <w:r w:rsidR="00097213" w:rsidRPr="00DB671B">
        <w:t>principes directeurs d</w:t>
      </w:r>
      <w:r w:rsidR="005F7AC8" w:rsidRPr="00DB671B">
        <w:t>’</w:t>
      </w:r>
      <w:r w:rsidR="00097213" w:rsidRPr="00DB671B">
        <w:t>examen à sa cinquante</w:t>
      </w:r>
      <w:r w:rsidR="005F7AC8" w:rsidRPr="00DB671B">
        <w:t> et unième session</w:t>
      </w:r>
      <w:r w:rsidR="00097213" w:rsidRPr="00DB671B">
        <w:t>.</w:t>
      </w:r>
    </w:p>
    <w:p w:rsidR="00D83B31" w:rsidRPr="00DB671B" w:rsidRDefault="00D83B31" w:rsidP="00097213"/>
    <w:p w:rsidR="00D83B31" w:rsidRPr="00DB671B" w:rsidRDefault="00097213" w:rsidP="00097213">
      <w:r w:rsidRPr="00DB671B">
        <w:fldChar w:fldCharType="begin"/>
      </w:r>
      <w:r w:rsidRPr="00DB671B">
        <w:instrText xml:space="preserve"> AUTONUM  </w:instrText>
      </w:r>
      <w:r w:rsidRPr="00DB671B">
        <w:fldChar w:fldCharType="end"/>
      </w:r>
      <w:r w:rsidRPr="00DB671B">
        <w:tab/>
        <w:t>Sur l</w:t>
      </w:r>
      <w:r w:rsidR="005F7AC8" w:rsidRPr="00DB671B">
        <w:t>’</w:t>
      </w:r>
      <w:r w:rsidRPr="00DB671B">
        <w:t>invitation de la France,</w:t>
      </w:r>
      <w:r w:rsidR="005F7AC8" w:rsidRPr="00DB671B">
        <w:t xml:space="preserve"> le TWF</w:t>
      </w:r>
      <w:r w:rsidRPr="00DB671B">
        <w:t xml:space="preserve"> est convenu de tenir sa cinquante</w:t>
      </w:r>
      <w:r w:rsidR="005F7AC8" w:rsidRPr="00DB671B">
        <w:t> et unième session</w:t>
      </w:r>
      <w:r w:rsidRPr="00DB671B">
        <w:t xml:space="preserve"> à Nîmes (France) du 6 au 1</w:t>
      </w:r>
      <w:r w:rsidR="005F7AC8" w:rsidRPr="00DB671B">
        <w:t>0 juillet 20</w:t>
      </w:r>
      <w:r w:rsidRPr="00DB671B">
        <w:t>20.</w:t>
      </w:r>
    </w:p>
    <w:p w:rsidR="00D83B31" w:rsidRPr="00DB671B" w:rsidRDefault="00D83B31" w:rsidP="00054FE5">
      <w:pPr>
        <w:rPr>
          <w:bCs/>
        </w:rPr>
      </w:pPr>
    </w:p>
    <w:p w:rsidR="00D83B31" w:rsidRPr="00DB671B" w:rsidRDefault="00054FE5" w:rsidP="00054FE5">
      <w:r w:rsidRPr="00DB671B">
        <w:fldChar w:fldCharType="begin"/>
      </w:r>
      <w:r w:rsidRPr="00DB671B">
        <w:instrText xml:space="preserve"> AUTONUM  </w:instrText>
      </w:r>
      <w:r w:rsidRPr="00DB671B">
        <w:fldChar w:fldCharType="end"/>
      </w:r>
      <w:r w:rsidRPr="00DB671B">
        <w:tab/>
        <w:t>Le TWF a proposé d</w:t>
      </w:r>
      <w:r w:rsidR="005F7AC8" w:rsidRPr="00DB671B">
        <w:t>’</w:t>
      </w:r>
      <w:r w:rsidRPr="00DB671B">
        <w:t>examiner les points suivants à sa session suivante</w:t>
      </w:r>
      <w:r w:rsidR="005F7AC8" w:rsidRPr="00DB671B">
        <w:t> :</w:t>
      </w:r>
    </w:p>
    <w:p w:rsidR="00D83B31" w:rsidRPr="00DB671B" w:rsidRDefault="00D83B31" w:rsidP="00054FE5"/>
    <w:p w:rsidR="00D83B31" w:rsidRPr="00DB671B" w:rsidRDefault="00054FE5" w:rsidP="00054FE5">
      <w:pPr>
        <w:numPr>
          <w:ilvl w:val="0"/>
          <w:numId w:val="23"/>
        </w:numPr>
      </w:pPr>
      <w:r w:rsidRPr="00DB671B">
        <w:t>Ouverture de la session</w:t>
      </w:r>
    </w:p>
    <w:p w:rsidR="00D83B31" w:rsidRPr="00DB671B" w:rsidRDefault="00054FE5" w:rsidP="00054FE5">
      <w:pPr>
        <w:numPr>
          <w:ilvl w:val="0"/>
          <w:numId w:val="23"/>
        </w:numPr>
      </w:pPr>
      <w:r w:rsidRPr="00DB671B">
        <w:t>Adoption de l</w:t>
      </w:r>
      <w:r w:rsidR="005F7AC8" w:rsidRPr="00DB671B">
        <w:t>’</w:t>
      </w:r>
      <w:r w:rsidRPr="00DB671B">
        <w:t>ordre du jour</w:t>
      </w:r>
    </w:p>
    <w:p w:rsidR="00D83B31" w:rsidRPr="00DB671B" w:rsidRDefault="00054FE5" w:rsidP="00054FE5">
      <w:pPr>
        <w:numPr>
          <w:ilvl w:val="0"/>
          <w:numId w:val="23"/>
        </w:numPr>
      </w:pPr>
      <w:r w:rsidRPr="00DB671B">
        <w:t>Rapports succincts sur l</w:t>
      </w:r>
      <w:r w:rsidR="005F7AC8" w:rsidRPr="00DB671B">
        <w:t>’</w:t>
      </w:r>
      <w:r w:rsidRPr="00DB671B">
        <w:t>évolution de la situation en matière de protection des obtentions végétales</w:t>
      </w:r>
    </w:p>
    <w:p w:rsidR="00D83B31" w:rsidRPr="00DB671B" w:rsidRDefault="00054FE5" w:rsidP="00054FE5">
      <w:pPr>
        <w:tabs>
          <w:tab w:val="left" w:pos="1701"/>
        </w:tabs>
        <w:ind w:left="1701" w:hanging="567"/>
      </w:pPr>
      <w:r w:rsidRPr="00DB671B">
        <w:t>a)</w:t>
      </w:r>
      <w:r w:rsidRPr="00DB671B">
        <w:tab/>
        <w:t>Rapports des membres et des observateurs (rapports écrits à établir par les membres et observateurs)</w:t>
      </w:r>
    </w:p>
    <w:p w:rsidR="00D83B31" w:rsidRPr="00DB671B" w:rsidRDefault="00054FE5" w:rsidP="00054FE5">
      <w:pPr>
        <w:tabs>
          <w:tab w:val="left" w:pos="1701"/>
        </w:tabs>
        <w:ind w:left="1701" w:hanging="567"/>
      </w:pPr>
      <w:r w:rsidRPr="00DB671B">
        <w:t>b)</w:t>
      </w:r>
      <w:r w:rsidRPr="00DB671B">
        <w:tab/>
        <w:t>Rapports sur les faits nouveaux intervenus à l</w:t>
      </w:r>
      <w:r w:rsidR="005F7AC8" w:rsidRPr="00DB671B">
        <w:t>’</w:t>
      </w:r>
      <w:r w:rsidRPr="00DB671B">
        <w:t>UPOV (rapport verbal du Bureau de l</w:t>
      </w:r>
      <w:r w:rsidR="005F7AC8" w:rsidRPr="00DB671B">
        <w:t>’</w:t>
      </w:r>
      <w:r w:rsidRPr="00DB671B">
        <w:t>Union)</w:t>
      </w:r>
    </w:p>
    <w:p w:rsidR="00D83B31" w:rsidRPr="00DB671B" w:rsidRDefault="00054FE5" w:rsidP="00054FE5">
      <w:pPr>
        <w:numPr>
          <w:ilvl w:val="0"/>
          <w:numId w:val="23"/>
        </w:numPr>
      </w:pPr>
      <w:r w:rsidRPr="00DB671B">
        <w:t>Techniques moléculaires (document à établir par le Bureau de l</w:t>
      </w:r>
      <w:r w:rsidR="005F7AC8" w:rsidRPr="00DB671B">
        <w:t>’</w:t>
      </w:r>
      <w:r w:rsidRPr="00DB671B">
        <w:t>Union)</w:t>
      </w:r>
    </w:p>
    <w:p w:rsidR="00D83B31" w:rsidRPr="00DB671B" w:rsidRDefault="00054FE5" w:rsidP="00054FE5">
      <w:pPr>
        <w:numPr>
          <w:ilvl w:val="0"/>
          <w:numId w:val="22"/>
        </w:numPr>
        <w:ind w:left="1701" w:hanging="567"/>
      </w:pPr>
      <w:r w:rsidRPr="00DB671B">
        <w:t>Rapports sur les faits nouveaux intervenus à l</w:t>
      </w:r>
      <w:r w:rsidR="005F7AC8" w:rsidRPr="00DB671B">
        <w:t>’</w:t>
      </w:r>
      <w:r w:rsidRPr="00DB671B">
        <w:t>UPOV (document à établir par le Bureau de l</w:t>
      </w:r>
      <w:r w:rsidR="005F7AC8" w:rsidRPr="00DB671B">
        <w:t>’</w:t>
      </w:r>
      <w:r w:rsidRPr="00DB671B">
        <w:t>Union)</w:t>
      </w:r>
    </w:p>
    <w:p w:rsidR="00D83B31" w:rsidRPr="00DB671B" w:rsidRDefault="00054FE5" w:rsidP="00054FE5">
      <w:pPr>
        <w:numPr>
          <w:ilvl w:val="0"/>
          <w:numId w:val="22"/>
        </w:numPr>
        <w:ind w:left="1701" w:hanging="567"/>
      </w:pPr>
      <w:r w:rsidRPr="00DB671B">
        <w:t>Exposé sur l</w:t>
      </w:r>
      <w:r w:rsidR="005F7AC8" w:rsidRPr="00DB671B">
        <w:t>’</w:t>
      </w:r>
      <w:r w:rsidRPr="00DB671B">
        <w:t>utilisation de techniques moléculaires dans l</w:t>
      </w:r>
      <w:r w:rsidR="005F7AC8" w:rsidRPr="00DB671B">
        <w:t>’</w:t>
      </w:r>
      <w:r w:rsidRPr="00DB671B">
        <w:t>examen</w:t>
      </w:r>
      <w:r w:rsidR="00E85E8E" w:rsidRPr="00DB671B">
        <w:t> </w:t>
      </w:r>
      <w:r w:rsidRPr="00DB671B">
        <w:t>DHS (exposés sollicités de membres de l</w:t>
      </w:r>
      <w:r w:rsidR="005F7AC8" w:rsidRPr="00DB671B">
        <w:t>’</w:t>
      </w:r>
      <w:r w:rsidRPr="00DB671B">
        <w:t>Union)</w:t>
      </w:r>
    </w:p>
    <w:p w:rsidR="00D83B31" w:rsidRPr="00DB671B" w:rsidRDefault="00054FE5" w:rsidP="00054FE5">
      <w:pPr>
        <w:numPr>
          <w:ilvl w:val="0"/>
          <w:numId w:val="23"/>
        </w:numPr>
      </w:pPr>
      <w:r w:rsidRPr="00DB671B">
        <w:t>Documents TGP (documents à établir par le Bureau de l</w:t>
      </w:r>
      <w:r w:rsidR="005F7AC8" w:rsidRPr="00DB671B">
        <w:t>’</w:t>
      </w:r>
      <w:r w:rsidRPr="00DB671B">
        <w:t>Union)</w:t>
      </w:r>
    </w:p>
    <w:p w:rsidR="00D83B31" w:rsidRPr="00DB671B" w:rsidRDefault="00054FE5" w:rsidP="00054FE5">
      <w:pPr>
        <w:numPr>
          <w:ilvl w:val="0"/>
          <w:numId w:val="23"/>
        </w:numPr>
      </w:pPr>
      <w:r w:rsidRPr="00DB671B">
        <w:t>Dénominations variétales (document à établir par le Bureau de l</w:t>
      </w:r>
      <w:r w:rsidR="005F7AC8" w:rsidRPr="00DB671B">
        <w:t>’</w:t>
      </w:r>
      <w:r w:rsidRPr="00DB671B">
        <w:t>Union)</w:t>
      </w:r>
    </w:p>
    <w:p w:rsidR="00D83B31" w:rsidRPr="00DB671B" w:rsidRDefault="00054FE5" w:rsidP="00054FE5">
      <w:pPr>
        <w:numPr>
          <w:ilvl w:val="0"/>
          <w:numId w:val="23"/>
        </w:numPr>
      </w:pPr>
      <w:r w:rsidRPr="00DB671B">
        <w:t>Informations et bases de données</w:t>
      </w:r>
    </w:p>
    <w:p w:rsidR="00D83B31" w:rsidRPr="00DB671B" w:rsidRDefault="00054FE5" w:rsidP="00054FE5">
      <w:pPr>
        <w:ind w:left="1701" w:hanging="567"/>
      </w:pPr>
      <w:r w:rsidRPr="00DB671B">
        <w:t>a)</w:t>
      </w:r>
      <w:r w:rsidRPr="00DB671B">
        <w:tab/>
        <w:t>Bases de données d</w:t>
      </w:r>
      <w:r w:rsidR="005F7AC8" w:rsidRPr="00DB671B">
        <w:t>’</w:t>
      </w:r>
      <w:r w:rsidRPr="00DB671B">
        <w:t>information de l</w:t>
      </w:r>
      <w:r w:rsidR="005F7AC8" w:rsidRPr="00DB671B">
        <w:t>’</w:t>
      </w:r>
      <w:r w:rsidRPr="00DB671B">
        <w:t>UPOV (documents à établir par le Bureau de l</w:t>
      </w:r>
      <w:r w:rsidR="005F7AC8" w:rsidRPr="00DB671B">
        <w:t>’</w:t>
      </w:r>
      <w:r w:rsidRPr="00DB671B">
        <w:t>Union)</w:t>
      </w:r>
    </w:p>
    <w:p w:rsidR="005F7AC8" w:rsidRPr="00DB671B" w:rsidRDefault="00054FE5" w:rsidP="00054FE5">
      <w:pPr>
        <w:ind w:left="1701" w:hanging="567"/>
      </w:pPr>
      <w:r w:rsidRPr="00DB671B">
        <w:t>b)</w:t>
      </w:r>
      <w:r w:rsidRPr="00DB671B">
        <w:tab/>
        <w:t>Bases de données sur les descriptions variétales (documents à établir par le Bureau de l</w:t>
      </w:r>
      <w:r w:rsidR="005F7AC8" w:rsidRPr="00DB671B">
        <w:t>’</w:t>
      </w:r>
      <w:r w:rsidRPr="00DB671B">
        <w:t>Union)</w:t>
      </w:r>
    </w:p>
    <w:p w:rsidR="00D83B31" w:rsidRPr="00DB671B" w:rsidRDefault="00054FE5" w:rsidP="00054FE5">
      <w:pPr>
        <w:ind w:left="1701" w:hanging="567"/>
      </w:pPr>
      <w:r w:rsidRPr="00DB671B">
        <w:t>c)</w:t>
      </w:r>
      <w:r w:rsidRPr="00DB671B">
        <w:tab/>
        <w:t>Échange et utilisation de logiciels et d</w:t>
      </w:r>
      <w:r w:rsidR="005F7AC8" w:rsidRPr="00DB671B">
        <w:t>’</w:t>
      </w:r>
      <w:r w:rsidRPr="00DB671B">
        <w:t>équipements (document à établir par le Bureau de l</w:t>
      </w:r>
      <w:r w:rsidR="005F7AC8" w:rsidRPr="00DB671B">
        <w:t>’</w:t>
      </w:r>
      <w:r w:rsidRPr="00DB671B">
        <w:t>Union)</w:t>
      </w:r>
    </w:p>
    <w:p w:rsidR="00D83B31" w:rsidRPr="00DB671B" w:rsidRDefault="00097213" w:rsidP="00097213">
      <w:pPr>
        <w:ind w:left="1701" w:hanging="567"/>
      </w:pPr>
      <w:r w:rsidRPr="00DB671B">
        <w:t>d)</w:t>
      </w:r>
      <w:r w:rsidRPr="00DB671B">
        <w:tab/>
        <w:t>UPOV PRISMA (document à établir par le Bureau de l</w:t>
      </w:r>
      <w:r w:rsidR="005F7AC8" w:rsidRPr="00DB671B">
        <w:t>’</w:t>
      </w:r>
      <w:r w:rsidRPr="00DB671B">
        <w:t>Union)</w:t>
      </w:r>
    </w:p>
    <w:p w:rsidR="00D83B31" w:rsidRPr="00DB671B" w:rsidRDefault="00097213" w:rsidP="00097213">
      <w:pPr>
        <w:numPr>
          <w:ilvl w:val="0"/>
          <w:numId w:val="23"/>
        </w:numPr>
      </w:pPr>
      <w:r w:rsidRPr="00DB671B">
        <w:t>Expériences avec de nouveaux types et espèces (rapports verbaux sollicités)</w:t>
      </w:r>
    </w:p>
    <w:p w:rsidR="00D83B31" w:rsidRPr="00DB671B" w:rsidRDefault="00097213" w:rsidP="00097213">
      <w:pPr>
        <w:numPr>
          <w:ilvl w:val="0"/>
          <w:numId w:val="23"/>
        </w:numPr>
      </w:pPr>
      <w:r w:rsidRPr="00DB671B">
        <w:t>Accès au matériel végétal aux fins de la gestion des collections de variétés et de l</w:t>
      </w:r>
      <w:r w:rsidR="005F7AC8" w:rsidRPr="00DB671B">
        <w:t>’</w:t>
      </w:r>
      <w:r w:rsidRPr="00DB671B">
        <w:t>examen</w:t>
      </w:r>
      <w:r w:rsidR="00E85E8E" w:rsidRPr="00DB671B">
        <w:t> </w:t>
      </w:r>
      <w:r w:rsidRPr="00DB671B">
        <w:t>DHS (document à établir par l</w:t>
      </w:r>
      <w:r w:rsidR="005F7AC8" w:rsidRPr="00DB671B">
        <w:t>’</w:t>
      </w:r>
      <w:r w:rsidRPr="00DB671B">
        <w:t>Italie)</w:t>
      </w:r>
    </w:p>
    <w:p w:rsidR="00D83B31" w:rsidRPr="00DB671B" w:rsidRDefault="00097213" w:rsidP="00097213">
      <w:pPr>
        <w:numPr>
          <w:ilvl w:val="0"/>
          <w:numId w:val="23"/>
        </w:numPr>
      </w:pPr>
      <w:r w:rsidRPr="00DB671B">
        <w:t>Examen DHS des variétés mutantes du pommier (document à établir par l</w:t>
      </w:r>
      <w:r w:rsidR="005F7AC8" w:rsidRPr="00DB671B">
        <w:t>’</w:t>
      </w:r>
      <w:r w:rsidRPr="00DB671B">
        <w:t>Union européenne)</w:t>
      </w:r>
    </w:p>
    <w:p w:rsidR="00D83B31" w:rsidRPr="00DB671B" w:rsidRDefault="00097213" w:rsidP="00097213">
      <w:pPr>
        <w:numPr>
          <w:ilvl w:val="0"/>
          <w:numId w:val="23"/>
        </w:numPr>
      </w:pPr>
      <w:r w:rsidRPr="00DB671B">
        <w:t>Questions à prendre en considération dans l</w:t>
      </w:r>
      <w:r w:rsidR="005F7AC8" w:rsidRPr="00DB671B">
        <w:t>’</w:t>
      </w:r>
      <w:r w:rsidRPr="00DB671B">
        <w:t>examen</w:t>
      </w:r>
      <w:r w:rsidR="00E85E8E" w:rsidRPr="00DB671B">
        <w:t> </w:t>
      </w:r>
      <w:r w:rsidRPr="00DB671B">
        <w:t>DHS pour le secteur des fruits (exposés sollicités de membres et d</w:t>
      </w:r>
      <w:r w:rsidR="005F7AC8" w:rsidRPr="00DB671B">
        <w:t>’</w:t>
      </w:r>
      <w:r w:rsidRPr="00DB671B">
        <w:t>observateurs)</w:t>
      </w:r>
    </w:p>
    <w:p w:rsidR="00D83B31" w:rsidRPr="00DB671B" w:rsidRDefault="00097213" w:rsidP="00097213">
      <w:pPr>
        <w:numPr>
          <w:ilvl w:val="0"/>
          <w:numId w:val="23"/>
        </w:numPr>
      </w:pPr>
      <w:r w:rsidRPr="00DB671B">
        <w:t>Orientations pour les rédacteurs de principes directeurs d</w:t>
      </w:r>
      <w:r w:rsidR="005F7AC8" w:rsidRPr="00DB671B">
        <w:t>’</w:t>
      </w:r>
      <w:r w:rsidRPr="00DB671B">
        <w:t>examen</w:t>
      </w:r>
    </w:p>
    <w:p w:rsidR="00D83B31" w:rsidRPr="00DB671B" w:rsidRDefault="00097213" w:rsidP="00097213">
      <w:pPr>
        <w:numPr>
          <w:ilvl w:val="0"/>
          <w:numId w:val="23"/>
        </w:numPr>
      </w:pPr>
      <w:r w:rsidRPr="00DB671B">
        <w:t>Questions en suspens concernant les principes directeurs d</w:t>
      </w:r>
      <w:r w:rsidR="005F7AC8" w:rsidRPr="00DB671B">
        <w:t>’</w:t>
      </w:r>
      <w:r w:rsidRPr="00DB671B">
        <w:t>examen soumis au Comité technique pour adoption (le cas échéant)</w:t>
      </w:r>
    </w:p>
    <w:p w:rsidR="00D83B31" w:rsidRPr="00DB671B" w:rsidRDefault="00054FE5" w:rsidP="00054FE5">
      <w:pPr>
        <w:numPr>
          <w:ilvl w:val="0"/>
          <w:numId w:val="23"/>
        </w:numPr>
      </w:pPr>
      <w:r w:rsidRPr="00DB671B">
        <w:t>Examen des projets de principes directeurs d</w:t>
      </w:r>
      <w:r w:rsidR="005F7AC8" w:rsidRPr="00DB671B">
        <w:t>’</w:t>
      </w:r>
      <w:r w:rsidRPr="00DB671B">
        <w:t>examen (sous</w:t>
      </w:r>
      <w:r w:rsidR="005F7AC8" w:rsidRPr="00DB671B">
        <w:t>-</w:t>
      </w:r>
      <w:r w:rsidRPr="00DB671B">
        <w:t>groupes)</w:t>
      </w:r>
    </w:p>
    <w:p w:rsidR="00D83B31" w:rsidRPr="00DB671B" w:rsidRDefault="00054FE5" w:rsidP="00054FE5">
      <w:pPr>
        <w:numPr>
          <w:ilvl w:val="0"/>
          <w:numId w:val="23"/>
        </w:numPr>
      </w:pPr>
      <w:r w:rsidRPr="00DB671B">
        <w:t>Recommandations concernant les projets de principes directeurs d</w:t>
      </w:r>
      <w:r w:rsidR="005F7AC8" w:rsidRPr="00DB671B">
        <w:t>’</w:t>
      </w:r>
      <w:r w:rsidRPr="00DB671B">
        <w:t>examen</w:t>
      </w:r>
    </w:p>
    <w:p w:rsidR="00D83B31" w:rsidRPr="00DB671B" w:rsidRDefault="00054FE5" w:rsidP="00054FE5">
      <w:pPr>
        <w:numPr>
          <w:ilvl w:val="0"/>
          <w:numId w:val="23"/>
        </w:numPr>
      </w:pPr>
      <w:r w:rsidRPr="00DB671B">
        <w:t>Date et lieu de la prochaine session</w:t>
      </w:r>
    </w:p>
    <w:p w:rsidR="00D83B31" w:rsidRPr="00DB671B" w:rsidRDefault="00054FE5" w:rsidP="00054FE5">
      <w:pPr>
        <w:numPr>
          <w:ilvl w:val="0"/>
          <w:numId w:val="23"/>
        </w:numPr>
      </w:pPr>
      <w:r w:rsidRPr="00DB671B">
        <w:t>Programme futur</w:t>
      </w:r>
    </w:p>
    <w:p w:rsidR="00D83B31" w:rsidRPr="00DB671B" w:rsidRDefault="00054FE5" w:rsidP="00054FE5">
      <w:pPr>
        <w:numPr>
          <w:ilvl w:val="0"/>
          <w:numId w:val="23"/>
        </w:numPr>
      </w:pPr>
      <w:r w:rsidRPr="00DB671B">
        <w:t>Adoption du compte rendu de la session (selon le temps disponible)</w:t>
      </w:r>
    </w:p>
    <w:p w:rsidR="00D83B31" w:rsidRPr="00DB671B" w:rsidRDefault="00054FE5" w:rsidP="00054FE5">
      <w:pPr>
        <w:numPr>
          <w:ilvl w:val="0"/>
          <w:numId w:val="23"/>
        </w:numPr>
      </w:pPr>
      <w:r w:rsidRPr="00DB671B">
        <w:t>Clôture de la session</w:t>
      </w:r>
    </w:p>
    <w:p w:rsidR="00D83B31" w:rsidRPr="00DB671B" w:rsidRDefault="00D83B31" w:rsidP="00054FE5">
      <w:pPr>
        <w:rPr>
          <w:bCs/>
        </w:rPr>
      </w:pPr>
    </w:p>
    <w:p w:rsidR="00D83B31" w:rsidRPr="00DB671B" w:rsidRDefault="00054FE5" w:rsidP="00097213">
      <w:r w:rsidRPr="00DB671B">
        <w:rPr>
          <w:bCs/>
        </w:rPr>
        <w:fldChar w:fldCharType="begin"/>
      </w:r>
      <w:r w:rsidRPr="00DB671B">
        <w:rPr>
          <w:bCs/>
        </w:rPr>
        <w:instrText xml:space="preserve"> AUTONUM  </w:instrText>
      </w:r>
      <w:r w:rsidRPr="00DB671B">
        <w:rPr>
          <w:bCs/>
        </w:rPr>
        <w:fldChar w:fldCharType="end"/>
      </w:r>
      <w:r w:rsidRPr="00DB671B">
        <w:rPr>
          <w:bCs/>
        </w:rPr>
        <w:tab/>
      </w:r>
      <w:r w:rsidR="00097213" w:rsidRPr="00DB671B">
        <w:rPr>
          <w:bCs/>
        </w:rPr>
        <w:t>Le TWF a visi</w:t>
      </w:r>
      <w:r w:rsidR="00A83A59" w:rsidRPr="00DB671B">
        <w:rPr>
          <w:bCs/>
        </w:rPr>
        <w:t>té</w:t>
      </w:r>
      <w:r w:rsidR="00097213" w:rsidRPr="00DB671B">
        <w:rPr>
          <w:bCs/>
        </w:rPr>
        <w:t xml:space="preserve"> la station d</w:t>
      </w:r>
      <w:r w:rsidR="005F7AC8" w:rsidRPr="00DB671B">
        <w:rPr>
          <w:bCs/>
        </w:rPr>
        <w:t>’</w:t>
      </w:r>
      <w:r w:rsidR="00097213" w:rsidRPr="00DB671B">
        <w:rPr>
          <w:bCs/>
        </w:rPr>
        <w:t>examen</w:t>
      </w:r>
      <w:r w:rsidR="005F7AC8" w:rsidRPr="00DB671B">
        <w:rPr>
          <w:bCs/>
        </w:rPr>
        <w:t xml:space="preserve"> du NÉB</w:t>
      </w:r>
      <w:r w:rsidR="00097213" w:rsidRPr="00DB671B">
        <w:rPr>
          <w:bCs/>
        </w:rPr>
        <w:t>IH à Pölöske, en transdanubie occidentale, ainsi que l</w:t>
      </w:r>
      <w:r w:rsidR="005F7AC8" w:rsidRPr="00DB671B">
        <w:rPr>
          <w:bCs/>
        </w:rPr>
        <w:t>’</w:t>
      </w:r>
      <w:r w:rsidR="00097213" w:rsidRPr="00DB671B">
        <w:rPr>
          <w:bCs/>
        </w:rPr>
        <w:t xml:space="preserve">institut de recherche en viticulture et </w:t>
      </w:r>
      <w:r w:rsidR="00A83A59" w:rsidRPr="00DB671B">
        <w:rPr>
          <w:bCs/>
        </w:rPr>
        <w:t>œ</w:t>
      </w:r>
      <w:r w:rsidR="00097213" w:rsidRPr="00DB671B">
        <w:rPr>
          <w:bCs/>
        </w:rPr>
        <w:t>nologie de Badacsony, un des 16</w:t>
      </w:r>
      <w:r w:rsidR="00A83A59" w:rsidRPr="00DB671B">
        <w:rPr>
          <w:bCs/>
        </w:rPr>
        <w:t> </w:t>
      </w:r>
      <w:r w:rsidR="00097213" w:rsidRPr="00DB671B">
        <w:rPr>
          <w:bCs/>
        </w:rPr>
        <w:t>instituts du Centre national de recherche et d</w:t>
      </w:r>
      <w:r w:rsidR="005F7AC8" w:rsidRPr="00DB671B">
        <w:rPr>
          <w:bCs/>
        </w:rPr>
        <w:t>’</w:t>
      </w:r>
      <w:r w:rsidR="00097213" w:rsidRPr="00DB671B">
        <w:rPr>
          <w:bCs/>
        </w:rPr>
        <w:t>innovation agricoles (NARIC).</w:t>
      </w:r>
    </w:p>
    <w:p w:rsidR="00D83B31" w:rsidRPr="00DB671B" w:rsidRDefault="00D83B31" w:rsidP="00097213"/>
    <w:p w:rsidR="00D83B31" w:rsidRPr="00DB671B" w:rsidRDefault="00097213" w:rsidP="00097213">
      <w:r w:rsidRPr="00DB671B">
        <w:fldChar w:fldCharType="begin"/>
      </w:r>
      <w:r w:rsidRPr="00DB671B">
        <w:instrText xml:space="preserve"> AUTONUM  </w:instrText>
      </w:r>
      <w:r w:rsidRPr="00DB671B">
        <w:fldChar w:fldCharType="end"/>
      </w:r>
      <w:r w:rsidRPr="00DB671B">
        <w:tab/>
        <w:t>Le TWF est convenu de proposer au</w:t>
      </w:r>
      <w:r w:rsidR="005F7AC8" w:rsidRPr="00DB671B">
        <w:t> TC</w:t>
      </w:r>
      <w:r w:rsidRPr="00DB671B">
        <w:t xml:space="preserve"> qu</w:t>
      </w:r>
      <w:r w:rsidR="005F7AC8" w:rsidRPr="00DB671B">
        <w:t>’</w:t>
      </w:r>
      <w:r w:rsidRPr="00DB671B">
        <w:t>il recommande au Conseil d</w:t>
      </w:r>
      <w:r w:rsidR="005F7AC8" w:rsidRPr="00DB671B">
        <w:t>’</w:t>
      </w:r>
      <w:r w:rsidRPr="00DB671B">
        <w:t>élire M.</w:t>
      </w:r>
      <w:r w:rsidR="00E85E8E" w:rsidRPr="00DB671B">
        <w:t> </w:t>
      </w:r>
      <w:r w:rsidRPr="00DB671B">
        <w:t>Christopher</w:t>
      </w:r>
      <w:r w:rsidR="00A83A59" w:rsidRPr="00DB671B">
        <w:t> </w:t>
      </w:r>
      <w:r w:rsidRPr="00DB671B">
        <w:t>Barnaby (Nouvelle</w:t>
      </w:r>
      <w:r w:rsidR="005F7AC8" w:rsidRPr="00DB671B">
        <w:t>-</w:t>
      </w:r>
      <w:r w:rsidRPr="00DB671B">
        <w:t>Zélande) prochain président</w:t>
      </w:r>
      <w:r w:rsidR="005F7AC8" w:rsidRPr="00DB671B">
        <w:t xml:space="preserve"> du TWF</w:t>
      </w:r>
      <w:r w:rsidRPr="00DB671B">
        <w:t>.</w:t>
      </w:r>
    </w:p>
    <w:p w:rsidR="00D83B31" w:rsidRPr="00DB671B" w:rsidRDefault="00D83B31" w:rsidP="00097213"/>
    <w:p w:rsidR="00D83B31" w:rsidRPr="00DB671B" w:rsidRDefault="00054FE5" w:rsidP="00054FE5">
      <w:pPr>
        <w:pStyle w:val="Heading3"/>
        <w:rPr>
          <w:lang w:val="fr-FR"/>
        </w:rPr>
      </w:pPr>
      <w:r w:rsidRPr="00DB671B">
        <w:rPr>
          <w:lang w:val="fr-FR"/>
        </w:rPr>
        <w:t>Groupe de travail technique sur les plantes ornementales et les arbres forestiers (TWO)</w:t>
      </w:r>
    </w:p>
    <w:p w:rsidR="00D83B31" w:rsidRPr="00DB671B" w:rsidRDefault="00D83B31" w:rsidP="00054FE5">
      <w:pPr>
        <w:keepNext/>
        <w:contextualSpacing/>
        <w:rPr>
          <w:rFonts w:cs="Arial"/>
        </w:rPr>
      </w:pPr>
    </w:p>
    <w:p w:rsidR="005F7AC8" w:rsidRPr="00DB671B" w:rsidRDefault="0094495A" w:rsidP="00054FE5">
      <w:pPr>
        <w:keepNext/>
        <w:contextualSpacing/>
        <w:rPr>
          <w:rFonts w:cs="Arial"/>
        </w:rPr>
      </w:pPr>
      <w:r w:rsidRPr="00DB671B">
        <w:rPr>
          <w:rFonts w:cs="Arial"/>
        </w:rPr>
        <w:t>Rapport présenté par M.</w:t>
      </w:r>
      <w:r w:rsidR="00E85E8E" w:rsidRPr="00DB671B">
        <w:rPr>
          <w:rFonts w:cs="Arial"/>
        </w:rPr>
        <w:t> </w:t>
      </w:r>
      <w:r w:rsidRPr="00DB671B">
        <w:rPr>
          <w:rFonts w:cs="Arial"/>
        </w:rPr>
        <w:t>Nik Hulse (Australie), en l</w:t>
      </w:r>
      <w:r w:rsidR="005F7AC8" w:rsidRPr="00DB671B">
        <w:rPr>
          <w:rFonts w:cs="Arial"/>
        </w:rPr>
        <w:t>’</w:t>
      </w:r>
      <w:r w:rsidRPr="00DB671B">
        <w:rPr>
          <w:rFonts w:cs="Arial"/>
        </w:rPr>
        <w:t>absence de M.</w:t>
      </w:r>
      <w:r w:rsidR="00E85E8E" w:rsidRPr="00DB671B">
        <w:rPr>
          <w:rFonts w:cs="Arial"/>
        </w:rPr>
        <w:t> </w:t>
      </w:r>
      <w:r w:rsidRPr="00DB671B">
        <w:rPr>
          <w:rFonts w:cs="Arial"/>
        </w:rPr>
        <w:t>Henk de Greef (Pays</w:t>
      </w:r>
      <w:r w:rsidR="005F7AC8" w:rsidRPr="00DB671B">
        <w:rPr>
          <w:rFonts w:cs="Arial"/>
        </w:rPr>
        <w:t>-</w:t>
      </w:r>
      <w:r w:rsidRPr="00DB671B">
        <w:rPr>
          <w:rFonts w:cs="Arial"/>
        </w:rPr>
        <w:t>Bas), président</w:t>
      </w:r>
      <w:r w:rsidR="005F7AC8" w:rsidRPr="00DB671B">
        <w:rPr>
          <w:rFonts w:cs="Arial"/>
        </w:rPr>
        <w:t xml:space="preserve"> du TWO</w:t>
      </w:r>
      <w:r w:rsidRPr="00DB671B">
        <w:rPr>
          <w:rFonts w:cs="Arial"/>
        </w:rPr>
        <w:t>.</w:t>
      </w:r>
    </w:p>
    <w:p w:rsidR="00D83B31" w:rsidRPr="00DB671B" w:rsidRDefault="00D83B31" w:rsidP="00054FE5">
      <w:pPr>
        <w:keepNext/>
        <w:contextualSpacing/>
        <w:rPr>
          <w:rFonts w:cs="Arial"/>
        </w:rPr>
      </w:pPr>
    </w:p>
    <w:p w:rsidR="00D83B31" w:rsidRPr="00DB671B" w:rsidRDefault="0094495A" w:rsidP="00054FE5">
      <w:pPr>
        <w:pStyle w:val="Heading4"/>
      </w:pPr>
      <w:r w:rsidRPr="00DB671B">
        <w:t>Cinquante</w:t>
      </w:r>
      <w:r w:rsidR="005F7AC8" w:rsidRPr="00DB671B">
        <w:t> et unième session du TWO</w:t>
      </w:r>
    </w:p>
    <w:p w:rsidR="00D83B31" w:rsidRPr="00DB671B" w:rsidRDefault="00D83B31" w:rsidP="00054FE5">
      <w:pPr>
        <w:keepNext/>
        <w:contextualSpacing/>
        <w:rPr>
          <w:rFonts w:cs="Arial"/>
        </w:rPr>
      </w:pPr>
    </w:p>
    <w:p w:rsidR="005F7AC8" w:rsidRPr="00DB671B" w:rsidRDefault="00054FE5" w:rsidP="0094495A">
      <w:pPr>
        <w:rPr>
          <w:rFonts w:cs="Arial"/>
        </w:rPr>
      </w:pPr>
      <w:r w:rsidRPr="00DB671B">
        <w:rPr>
          <w:rFonts w:cs="Arial"/>
        </w:rPr>
        <w:fldChar w:fldCharType="begin"/>
      </w:r>
      <w:r w:rsidRPr="00DB671B">
        <w:rPr>
          <w:rFonts w:cs="Arial"/>
        </w:rPr>
        <w:instrText xml:space="preserve"> AUTONUM  </w:instrText>
      </w:r>
      <w:r w:rsidRPr="00DB671B">
        <w:rPr>
          <w:rFonts w:cs="Arial"/>
        </w:rPr>
        <w:fldChar w:fldCharType="end"/>
      </w:r>
      <w:r w:rsidRPr="00DB671B">
        <w:rPr>
          <w:rFonts w:cs="Arial"/>
        </w:rPr>
        <w:tab/>
      </w:r>
      <w:r w:rsidR="0094495A" w:rsidRPr="00DB671B">
        <w:rPr>
          <w:rFonts w:cs="Arial"/>
        </w:rPr>
        <w:t>Le TWO a tenu sa cinquante</w:t>
      </w:r>
      <w:r w:rsidR="005F7AC8" w:rsidRPr="00DB671B">
        <w:rPr>
          <w:rFonts w:cs="Arial"/>
        </w:rPr>
        <w:t> et unième session</w:t>
      </w:r>
      <w:r w:rsidR="0094495A" w:rsidRPr="00DB671B">
        <w:rPr>
          <w:rFonts w:cs="Arial"/>
        </w:rPr>
        <w:t xml:space="preserve"> à Christchurch (Nouvelle</w:t>
      </w:r>
      <w:r w:rsidR="005F7AC8" w:rsidRPr="00DB671B">
        <w:rPr>
          <w:rFonts w:cs="Arial"/>
        </w:rPr>
        <w:t>-</w:t>
      </w:r>
      <w:r w:rsidR="0094495A" w:rsidRPr="00DB671B">
        <w:rPr>
          <w:rFonts w:cs="Arial"/>
        </w:rPr>
        <w:t>Zélande) du 18 au 2</w:t>
      </w:r>
      <w:r w:rsidR="005F7AC8" w:rsidRPr="00DB671B">
        <w:rPr>
          <w:rFonts w:cs="Arial"/>
        </w:rPr>
        <w:t>2 février 20</w:t>
      </w:r>
      <w:r w:rsidR="0094495A" w:rsidRPr="00DB671B">
        <w:rPr>
          <w:rFonts w:cs="Arial"/>
        </w:rPr>
        <w:t>19.</w:t>
      </w:r>
      <w:r w:rsidR="0094495A" w:rsidRPr="00DB671B">
        <w:t xml:space="preserve">  </w:t>
      </w:r>
      <w:r w:rsidR="0094495A" w:rsidRPr="00DB671B">
        <w:rPr>
          <w:rFonts w:cs="Arial"/>
        </w:rPr>
        <w:t>En l</w:t>
      </w:r>
      <w:r w:rsidR="005F7AC8" w:rsidRPr="00DB671B">
        <w:rPr>
          <w:rFonts w:cs="Arial"/>
        </w:rPr>
        <w:t>’</w:t>
      </w:r>
      <w:r w:rsidR="0094495A" w:rsidRPr="00DB671B">
        <w:rPr>
          <w:rFonts w:cs="Arial"/>
        </w:rPr>
        <w:t>absence de M.</w:t>
      </w:r>
      <w:r w:rsidR="00E85E8E" w:rsidRPr="00DB671B">
        <w:rPr>
          <w:rFonts w:cs="Arial"/>
        </w:rPr>
        <w:t> </w:t>
      </w:r>
      <w:r w:rsidR="0094495A" w:rsidRPr="00DB671B">
        <w:rPr>
          <w:rFonts w:cs="Arial"/>
        </w:rPr>
        <w:t>Henk the Greef (Pays</w:t>
      </w:r>
      <w:r w:rsidR="005F7AC8" w:rsidRPr="00DB671B">
        <w:rPr>
          <w:rFonts w:cs="Arial"/>
        </w:rPr>
        <w:t>-</w:t>
      </w:r>
      <w:r w:rsidR="0094495A" w:rsidRPr="00DB671B">
        <w:rPr>
          <w:rFonts w:cs="Arial"/>
        </w:rPr>
        <w:t>Bas), président</w:t>
      </w:r>
      <w:r w:rsidR="005F7AC8" w:rsidRPr="00DB671B">
        <w:rPr>
          <w:rFonts w:cs="Arial"/>
        </w:rPr>
        <w:t xml:space="preserve"> du TWO</w:t>
      </w:r>
      <w:r w:rsidR="0094495A" w:rsidRPr="00DB671B">
        <w:rPr>
          <w:rFonts w:cs="Arial"/>
        </w:rPr>
        <w:t>, la session a été présidée par M.</w:t>
      </w:r>
      <w:r w:rsidR="00E85E8E" w:rsidRPr="00DB671B">
        <w:rPr>
          <w:rFonts w:cs="Arial"/>
        </w:rPr>
        <w:t> </w:t>
      </w:r>
      <w:r w:rsidR="0094495A" w:rsidRPr="00DB671B">
        <w:rPr>
          <w:rFonts w:cs="Arial"/>
        </w:rPr>
        <w:t>Nik Hulse (Australie).</w:t>
      </w:r>
      <w:r w:rsidR="0094495A" w:rsidRPr="00DB671B">
        <w:t xml:space="preserve">  </w:t>
      </w:r>
      <w:r w:rsidR="0094495A" w:rsidRPr="00DB671B">
        <w:rPr>
          <w:rFonts w:cs="Arial"/>
        </w:rPr>
        <w:t>Le compte rendu de cette session figure dans le document</w:t>
      </w:r>
      <w:r w:rsidR="00A83A59" w:rsidRPr="00DB671B">
        <w:rPr>
          <w:rFonts w:cs="Arial"/>
        </w:rPr>
        <w:t> </w:t>
      </w:r>
      <w:r w:rsidR="0094495A" w:rsidRPr="00DB671B">
        <w:rPr>
          <w:rFonts w:cs="Arial"/>
        </w:rPr>
        <w:t>TWO/51/12 “Compte rendu”.</w:t>
      </w:r>
    </w:p>
    <w:p w:rsidR="00D83B31" w:rsidRPr="00DB671B" w:rsidRDefault="00D83B31" w:rsidP="0094495A">
      <w:pPr>
        <w:rPr>
          <w:rFonts w:cs="Arial"/>
        </w:rPr>
      </w:pPr>
    </w:p>
    <w:p w:rsidR="005F7AC8" w:rsidRPr="00DB671B" w:rsidRDefault="0094495A" w:rsidP="0094495A">
      <w:pPr>
        <w:rPr>
          <w:rFonts w:cs="Arial"/>
        </w:rPr>
      </w:pPr>
      <w:r w:rsidRPr="00DB671B">
        <w:rPr>
          <w:rFonts w:cs="Arial"/>
        </w:rPr>
        <w:fldChar w:fldCharType="begin"/>
      </w:r>
      <w:r w:rsidRPr="00DB671B">
        <w:rPr>
          <w:rFonts w:cs="Arial"/>
        </w:rPr>
        <w:instrText xml:space="preserve"> AUTONUM  </w:instrText>
      </w:r>
      <w:r w:rsidRPr="00DB671B">
        <w:rPr>
          <w:rFonts w:cs="Arial"/>
        </w:rPr>
        <w:fldChar w:fldCharType="end"/>
      </w:r>
      <w:r w:rsidRPr="00DB671B">
        <w:rPr>
          <w:rFonts w:cs="Arial"/>
        </w:rPr>
        <w:tab/>
        <w:t>La session a réuni 28</w:t>
      </w:r>
      <w:r w:rsidR="00A83A59" w:rsidRPr="00DB671B">
        <w:rPr>
          <w:rFonts w:cs="Arial"/>
        </w:rPr>
        <w:t> </w:t>
      </w:r>
      <w:r w:rsidRPr="00DB671B">
        <w:rPr>
          <w:rFonts w:cs="Arial"/>
        </w:rPr>
        <w:t>participants représentant 12</w:t>
      </w:r>
      <w:r w:rsidR="00A83A59" w:rsidRPr="00DB671B">
        <w:rPr>
          <w:rFonts w:cs="Arial"/>
        </w:rPr>
        <w:t> </w:t>
      </w:r>
      <w:r w:rsidRPr="00DB671B">
        <w:rPr>
          <w:rFonts w:cs="Arial"/>
        </w:rPr>
        <w:t>membres de l</w:t>
      </w:r>
      <w:r w:rsidR="005F7AC8" w:rsidRPr="00DB671B">
        <w:rPr>
          <w:rFonts w:cs="Arial"/>
        </w:rPr>
        <w:t>’</w:t>
      </w:r>
      <w:r w:rsidRPr="00DB671B">
        <w:rPr>
          <w:rFonts w:cs="Arial"/>
        </w:rPr>
        <w:t>Union, un État ayant le statut d</w:t>
      </w:r>
      <w:r w:rsidR="005F7AC8" w:rsidRPr="00DB671B">
        <w:rPr>
          <w:rFonts w:cs="Arial"/>
        </w:rPr>
        <w:t>’</w:t>
      </w:r>
      <w:r w:rsidRPr="00DB671B">
        <w:rPr>
          <w:rFonts w:cs="Arial"/>
        </w:rPr>
        <w:t>observateur et une organisation ayant le statut d</w:t>
      </w:r>
      <w:r w:rsidR="005F7AC8" w:rsidRPr="00DB671B">
        <w:rPr>
          <w:rFonts w:cs="Arial"/>
        </w:rPr>
        <w:t>’</w:t>
      </w:r>
      <w:r w:rsidRPr="00DB671B">
        <w:rPr>
          <w:rFonts w:cs="Arial"/>
        </w:rPr>
        <w:t>observateur.</w:t>
      </w:r>
      <w:r w:rsidRPr="00DB671B">
        <w:t xml:space="preserve">  </w:t>
      </w:r>
      <w:r w:rsidRPr="00DB671B">
        <w:rPr>
          <w:rFonts w:cs="Arial"/>
        </w:rPr>
        <w:t>Un atelier préparatoire a eu lieu durant l</w:t>
      </w:r>
      <w:r w:rsidR="005F7AC8" w:rsidRPr="00DB671B">
        <w:rPr>
          <w:rFonts w:cs="Arial"/>
        </w:rPr>
        <w:t>’</w:t>
      </w:r>
      <w:r w:rsidRPr="00DB671B">
        <w:rPr>
          <w:rFonts w:cs="Arial"/>
        </w:rPr>
        <w:t>après</w:t>
      </w:r>
      <w:r w:rsidR="008C5485">
        <w:rPr>
          <w:rFonts w:cs="Arial"/>
        </w:rPr>
        <w:noBreakHyphen/>
      </w:r>
      <w:r w:rsidRPr="00DB671B">
        <w:rPr>
          <w:rFonts w:cs="Arial"/>
        </w:rPr>
        <w:t>midi du 1</w:t>
      </w:r>
      <w:r w:rsidR="005F7AC8" w:rsidRPr="00DB671B">
        <w:rPr>
          <w:rFonts w:cs="Arial"/>
        </w:rPr>
        <w:t>7 juillet 20</w:t>
      </w:r>
      <w:r w:rsidRPr="00DB671B">
        <w:rPr>
          <w:rFonts w:cs="Arial"/>
        </w:rPr>
        <w:t>19 et a réuni 18</w:t>
      </w:r>
      <w:r w:rsidR="00A83A59" w:rsidRPr="00DB671B">
        <w:rPr>
          <w:rFonts w:cs="Arial"/>
        </w:rPr>
        <w:t> </w:t>
      </w:r>
      <w:r w:rsidRPr="00DB671B">
        <w:rPr>
          <w:rFonts w:cs="Arial"/>
        </w:rPr>
        <w:t>participants représentant 10</w:t>
      </w:r>
      <w:r w:rsidR="00A83A59" w:rsidRPr="00DB671B">
        <w:rPr>
          <w:rFonts w:cs="Arial"/>
        </w:rPr>
        <w:t> </w:t>
      </w:r>
      <w:r w:rsidRPr="00DB671B">
        <w:rPr>
          <w:rFonts w:cs="Arial"/>
        </w:rPr>
        <w:t>membres de l</w:t>
      </w:r>
      <w:r w:rsidR="005F7AC8" w:rsidRPr="00DB671B">
        <w:rPr>
          <w:rFonts w:cs="Arial"/>
        </w:rPr>
        <w:t>’</w:t>
      </w:r>
      <w:r w:rsidRPr="00DB671B">
        <w:rPr>
          <w:rFonts w:cs="Arial"/>
        </w:rPr>
        <w:t>Union et une organisation ayant le statut d</w:t>
      </w:r>
      <w:r w:rsidR="005F7AC8" w:rsidRPr="00DB671B">
        <w:rPr>
          <w:rFonts w:cs="Arial"/>
        </w:rPr>
        <w:t>’</w:t>
      </w:r>
      <w:r w:rsidRPr="00DB671B">
        <w:rPr>
          <w:rFonts w:cs="Arial"/>
        </w:rPr>
        <w:t>observateur.</w:t>
      </w:r>
    </w:p>
    <w:p w:rsidR="00D83B31" w:rsidRPr="00DB671B" w:rsidRDefault="00D83B31" w:rsidP="00054FE5">
      <w:pPr>
        <w:rPr>
          <w:rFonts w:cstheme="minorBidi"/>
          <w:szCs w:val="22"/>
        </w:rPr>
      </w:pPr>
    </w:p>
    <w:p w:rsidR="005F7AC8" w:rsidRPr="00DB671B" w:rsidRDefault="00054FE5" w:rsidP="0094495A">
      <w:pPr>
        <w:tabs>
          <w:tab w:val="left" w:pos="630"/>
        </w:tabs>
        <w:rPr>
          <w:rFonts w:cs="Arial"/>
        </w:rPr>
      </w:pPr>
      <w:r w:rsidRPr="00DB671B">
        <w:rPr>
          <w:rFonts w:cs="Arial"/>
        </w:rPr>
        <w:fldChar w:fldCharType="begin"/>
      </w:r>
      <w:r w:rsidRPr="00DB671B">
        <w:rPr>
          <w:rFonts w:cs="Arial"/>
        </w:rPr>
        <w:instrText xml:space="preserve"> AUTONUM  </w:instrText>
      </w:r>
      <w:r w:rsidRPr="00DB671B">
        <w:rPr>
          <w:rFonts w:cs="Arial"/>
        </w:rPr>
        <w:fldChar w:fldCharType="end"/>
      </w:r>
      <w:r w:rsidRPr="00DB671B">
        <w:rPr>
          <w:rFonts w:cs="Arial"/>
        </w:rPr>
        <w:tab/>
      </w:r>
      <w:r w:rsidR="0094495A" w:rsidRPr="00DB671B">
        <w:t>M.</w:t>
      </w:r>
      <w:r w:rsidR="00E85E8E" w:rsidRPr="00DB671B">
        <w:rPr>
          <w:rFonts w:cs="Arial"/>
        </w:rPr>
        <w:t> </w:t>
      </w:r>
      <w:r w:rsidR="0094495A" w:rsidRPr="00DB671B">
        <w:rPr>
          <w:rFonts w:cs="Arial"/>
        </w:rPr>
        <w:t>Simon</w:t>
      </w:r>
      <w:r w:rsidR="00A83A59" w:rsidRPr="00DB671B">
        <w:rPr>
          <w:rFonts w:cs="Arial"/>
        </w:rPr>
        <w:t> </w:t>
      </w:r>
      <w:r w:rsidR="00DE375B" w:rsidRPr="00DB671B">
        <w:rPr>
          <w:rFonts w:cs="Arial"/>
        </w:rPr>
        <w:t>Gallagher, directeur national de l’</w:t>
      </w:r>
      <w:r w:rsidR="0094495A" w:rsidRPr="00DB671B">
        <w:rPr>
          <w:rFonts w:cs="Arial"/>
        </w:rPr>
        <w:t>Office de la propriété intellectuelle de la Nouvelle</w:t>
      </w:r>
      <w:r w:rsidR="005F7AC8" w:rsidRPr="00DB671B">
        <w:rPr>
          <w:rFonts w:cs="Arial"/>
        </w:rPr>
        <w:t>-</w:t>
      </w:r>
      <w:r w:rsidR="0094495A" w:rsidRPr="00DB671B">
        <w:rPr>
          <w:rFonts w:cs="Arial"/>
        </w:rPr>
        <w:t>Zélande (IPONZ), a souhaité la bienvenue</w:t>
      </w:r>
      <w:r w:rsidR="005F7AC8" w:rsidRPr="00DB671B">
        <w:rPr>
          <w:rFonts w:cs="Arial"/>
        </w:rPr>
        <w:t xml:space="preserve"> au TWO</w:t>
      </w:r>
      <w:r w:rsidR="0094495A" w:rsidRPr="00DB671B">
        <w:rPr>
          <w:rFonts w:cs="Arial"/>
        </w:rPr>
        <w:t>.</w:t>
      </w:r>
      <w:r w:rsidR="0094495A" w:rsidRPr="00DB671B">
        <w:t xml:space="preserve"> </w:t>
      </w:r>
      <w:r w:rsidR="005F7AC8" w:rsidRPr="00DB671B">
        <w:t xml:space="preserve"> </w:t>
      </w:r>
      <w:r w:rsidR="005F7AC8" w:rsidRPr="00DB671B">
        <w:rPr>
          <w:rFonts w:cs="Arial"/>
        </w:rPr>
        <w:t>Le TWO</w:t>
      </w:r>
      <w:r w:rsidR="0094495A" w:rsidRPr="00DB671B">
        <w:rPr>
          <w:rFonts w:cs="Arial"/>
        </w:rPr>
        <w:t xml:space="preserve"> a assisté à un exposé présenté par M.</w:t>
      </w:r>
      <w:r w:rsidR="00E85E8E" w:rsidRPr="00DB671B">
        <w:rPr>
          <w:rFonts w:cs="Arial"/>
        </w:rPr>
        <w:t> </w:t>
      </w:r>
      <w:r w:rsidR="0094495A" w:rsidRPr="00DB671B">
        <w:rPr>
          <w:rFonts w:cs="Arial"/>
        </w:rPr>
        <w:t>Chris Barnaby, commissaire adjoint/examinateur principal pour les droits d</w:t>
      </w:r>
      <w:r w:rsidR="005F7AC8" w:rsidRPr="00DB671B">
        <w:rPr>
          <w:rFonts w:cs="Arial"/>
        </w:rPr>
        <w:t>’</w:t>
      </w:r>
      <w:r w:rsidR="0094495A" w:rsidRPr="00DB671B">
        <w:rPr>
          <w:rFonts w:cs="Arial"/>
        </w:rPr>
        <w:t>obtenteurs, Bureau des droits d</w:t>
      </w:r>
      <w:r w:rsidR="005F7AC8" w:rsidRPr="00DB671B">
        <w:rPr>
          <w:rFonts w:cs="Arial"/>
        </w:rPr>
        <w:t>’</w:t>
      </w:r>
      <w:r w:rsidR="0094495A" w:rsidRPr="00DB671B">
        <w:rPr>
          <w:rFonts w:cs="Arial"/>
        </w:rPr>
        <w:t>obtention, IPONZ, sur les droits d</w:t>
      </w:r>
      <w:r w:rsidR="005F7AC8" w:rsidRPr="00DB671B">
        <w:rPr>
          <w:rFonts w:cs="Arial"/>
        </w:rPr>
        <w:t>’</w:t>
      </w:r>
      <w:r w:rsidR="0094495A" w:rsidRPr="00DB671B">
        <w:rPr>
          <w:rFonts w:cs="Arial"/>
        </w:rPr>
        <w:t>obtenteur en Nouvelle</w:t>
      </w:r>
      <w:r w:rsidR="005F7AC8" w:rsidRPr="00DB671B">
        <w:rPr>
          <w:rFonts w:cs="Arial"/>
        </w:rPr>
        <w:t>-</w:t>
      </w:r>
      <w:r w:rsidR="0094495A" w:rsidRPr="00DB671B">
        <w:rPr>
          <w:rFonts w:cs="Arial"/>
        </w:rPr>
        <w:t>Zélande.</w:t>
      </w:r>
    </w:p>
    <w:p w:rsidR="00D83B31" w:rsidRPr="00DB671B" w:rsidRDefault="00D83B31" w:rsidP="0094495A"/>
    <w:p w:rsidR="00D83B31" w:rsidRPr="00DB671B" w:rsidRDefault="0094495A" w:rsidP="0094495A">
      <w:pPr>
        <w:tabs>
          <w:tab w:val="left" w:pos="630"/>
        </w:tabs>
        <w:rPr>
          <w:snapToGrid w:val="0"/>
        </w:rPr>
      </w:pPr>
      <w:r w:rsidRPr="00DB671B">
        <w:rPr>
          <w:rFonts w:cs="Arial"/>
          <w:snapToGrid w:val="0"/>
        </w:rPr>
        <w:fldChar w:fldCharType="begin"/>
      </w:r>
      <w:r w:rsidRPr="00DB671B">
        <w:rPr>
          <w:rFonts w:cs="Arial"/>
          <w:snapToGrid w:val="0"/>
        </w:rPr>
        <w:instrText xml:space="preserve"> AUTONUM  </w:instrText>
      </w:r>
      <w:r w:rsidRPr="00DB671B">
        <w:rPr>
          <w:rFonts w:cs="Arial"/>
          <w:snapToGrid w:val="0"/>
        </w:rPr>
        <w:fldChar w:fldCharType="end"/>
      </w:r>
      <w:r w:rsidRPr="00DB671B">
        <w:rPr>
          <w:rFonts w:cs="Arial"/>
          <w:snapToGrid w:val="0"/>
        </w:rPr>
        <w:tab/>
        <w:t>Le TWO a examiné la proposition de révision du document</w:t>
      </w:r>
      <w:r w:rsidR="00A83A59" w:rsidRPr="00DB671B">
        <w:rPr>
          <w:rFonts w:cs="Arial"/>
          <w:snapToGrid w:val="0"/>
        </w:rPr>
        <w:t> </w:t>
      </w:r>
      <w:r w:rsidRPr="00DB671B">
        <w:rPr>
          <w:rFonts w:cs="Arial"/>
          <w:snapToGrid w:val="0"/>
        </w:rPr>
        <w:t>TGP/7 “Élaboration des principes directeurs d</w:t>
      </w:r>
      <w:r w:rsidR="005F7AC8" w:rsidRPr="00DB671B">
        <w:rPr>
          <w:rFonts w:cs="Arial"/>
          <w:snapToGrid w:val="0"/>
        </w:rPr>
        <w:t>’</w:t>
      </w:r>
      <w:r w:rsidRPr="00DB671B">
        <w:rPr>
          <w:rFonts w:cs="Arial"/>
          <w:snapToGrid w:val="0"/>
        </w:rPr>
        <w:t>examen” et est convenu que tous les niveaux d</w:t>
      </w:r>
      <w:r w:rsidR="005F7AC8" w:rsidRPr="00DB671B">
        <w:rPr>
          <w:rFonts w:cs="Arial"/>
          <w:snapToGrid w:val="0"/>
        </w:rPr>
        <w:t>’</w:t>
      </w:r>
      <w:r w:rsidRPr="00DB671B">
        <w:rPr>
          <w:rFonts w:cs="Arial"/>
          <w:snapToGrid w:val="0"/>
        </w:rPr>
        <w:t>expression des caractères quantitatifs devraient figurer dans les principes directeurs d</w:t>
      </w:r>
      <w:r w:rsidR="005F7AC8" w:rsidRPr="00DB671B">
        <w:rPr>
          <w:rFonts w:cs="Arial"/>
          <w:snapToGrid w:val="0"/>
        </w:rPr>
        <w:t>’</w:t>
      </w:r>
      <w:r w:rsidRPr="00DB671B">
        <w:rPr>
          <w:rFonts w:cs="Arial"/>
          <w:snapToGrid w:val="0"/>
        </w:rPr>
        <w:t>examen.</w:t>
      </w:r>
    </w:p>
    <w:p w:rsidR="00D83B31" w:rsidRPr="00DB671B" w:rsidRDefault="00D83B31" w:rsidP="00054FE5"/>
    <w:p w:rsidR="00D83B31" w:rsidRPr="00DB671B" w:rsidRDefault="00054FE5" w:rsidP="00054FE5">
      <w:pPr>
        <w:keepLines/>
        <w:rPr>
          <w:rFonts w:cs="Arial"/>
          <w:snapToGrid w:val="0"/>
        </w:rPr>
      </w:pPr>
      <w:r w:rsidRPr="00DB671B">
        <w:rPr>
          <w:rFonts w:cs="Arial"/>
          <w:snapToGrid w:val="0"/>
        </w:rPr>
        <w:fldChar w:fldCharType="begin"/>
      </w:r>
      <w:r w:rsidRPr="00DB671B">
        <w:rPr>
          <w:rFonts w:cs="Arial"/>
          <w:snapToGrid w:val="0"/>
        </w:rPr>
        <w:instrText xml:space="preserve"> AUTONUM  </w:instrText>
      </w:r>
      <w:r w:rsidRPr="00DB671B">
        <w:rPr>
          <w:rFonts w:cs="Arial"/>
          <w:snapToGrid w:val="0"/>
        </w:rPr>
        <w:fldChar w:fldCharType="end"/>
      </w:r>
      <w:r w:rsidRPr="00DB671B">
        <w:rPr>
          <w:rFonts w:cs="Arial"/>
          <w:snapToGrid w:val="0"/>
        </w:rPr>
        <w:tab/>
        <w:t>Le TWO a rappelé que les orientations figurant dans le document</w:t>
      </w:r>
      <w:r w:rsidR="00A83A59" w:rsidRPr="00DB671B">
        <w:rPr>
          <w:rFonts w:cs="Arial"/>
          <w:snapToGrid w:val="0"/>
        </w:rPr>
        <w:t> </w:t>
      </w:r>
      <w:r w:rsidRPr="00DB671B">
        <w:rPr>
          <w:rFonts w:cs="Arial"/>
          <w:snapToGrid w:val="0"/>
        </w:rPr>
        <w:t>TGP/7 exigeaient des caractères quantitatifs avec une échelle “1 à 9” afin d</w:t>
      </w:r>
      <w:r w:rsidR="005F7AC8" w:rsidRPr="00DB671B">
        <w:rPr>
          <w:rFonts w:cs="Arial"/>
          <w:snapToGrid w:val="0"/>
        </w:rPr>
        <w:t>’</w:t>
      </w:r>
      <w:r w:rsidRPr="00DB671B">
        <w:rPr>
          <w:rFonts w:cs="Arial"/>
          <w:snapToGrid w:val="0"/>
        </w:rPr>
        <w:t>indiquer des exemples pour trois</w:t>
      </w:r>
      <w:r w:rsidR="00E85E8E" w:rsidRPr="00DB671B">
        <w:rPr>
          <w:rFonts w:cs="Arial"/>
          <w:snapToGrid w:val="0"/>
        </w:rPr>
        <w:t> </w:t>
      </w:r>
      <w:r w:rsidRPr="00DB671B">
        <w:rPr>
          <w:rFonts w:cs="Arial"/>
          <w:snapToGrid w:val="0"/>
        </w:rPr>
        <w:t>niveaux d</w:t>
      </w:r>
      <w:r w:rsidR="005F7AC8" w:rsidRPr="00DB671B">
        <w:rPr>
          <w:rFonts w:cs="Arial"/>
          <w:snapToGrid w:val="0"/>
        </w:rPr>
        <w:t>’</w:t>
      </w:r>
      <w:r w:rsidRPr="00DB671B">
        <w:rPr>
          <w:rFonts w:cs="Arial"/>
          <w:snapToGrid w:val="0"/>
        </w:rPr>
        <w:t>expression au moins et des échelles “1</w:t>
      </w:r>
      <w:r w:rsidR="005F7AC8" w:rsidRPr="00DB671B">
        <w:rPr>
          <w:rFonts w:cs="Arial"/>
          <w:snapToGrid w:val="0"/>
        </w:rPr>
        <w:t>-</w:t>
      </w:r>
      <w:r w:rsidRPr="00DB671B">
        <w:rPr>
          <w:rFonts w:cs="Arial"/>
          <w:snapToGrid w:val="0"/>
        </w:rPr>
        <w:t>5” / “1</w:t>
      </w:r>
      <w:r w:rsidR="005F7AC8" w:rsidRPr="00DB671B">
        <w:rPr>
          <w:rFonts w:cs="Arial"/>
          <w:snapToGrid w:val="0"/>
        </w:rPr>
        <w:t>-</w:t>
      </w:r>
      <w:r w:rsidRPr="00DB671B">
        <w:rPr>
          <w:rFonts w:cs="Arial"/>
          <w:snapToGrid w:val="0"/>
        </w:rPr>
        <w:t>4” / “1</w:t>
      </w:r>
      <w:r w:rsidR="005F7AC8" w:rsidRPr="00DB671B">
        <w:rPr>
          <w:rFonts w:cs="Arial"/>
          <w:snapToGrid w:val="0"/>
        </w:rPr>
        <w:t>-</w:t>
      </w:r>
      <w:r w:rsidRPr="00DB671B">
        <w:rPr>
          <w:rFonts w:cs="Arial"/>
          <w:snapToGrid w:val="0"/>
        </w:rPr>
        <w:t>3” pour au moins deux</w:t>
      </w:r>
      <w:r w:rsidR="00E85E8E" w:rsidRPr="00DB671B">
        <w:rPr>
          <w:rFonts w:cs="Arial"/>
          <w:snapToGrid w:val="0"/>
        </w:rPr>
        <w:t> </w:t>
      </w:r>
      <w:r w:rsidRPr="00DB671B">
        <w:rPr>
          <w:rFonts w:cs="Arial"/>
          <w:snapToGrid w:val="0"/>
        </w:rPr>
        <w:t>niveaux d</w:t>
      </w:r>
      <w:r w:rsidR="005F7AC8" w:rsidRPr="00DB671B">
        <w:rPr>
          <w:rFonts w:cs="Arial"/>
          <w:snapToGrid w:val="0"/>
        </w:rPr>
        <w:t>’</w:t>
      </w:r>
      <w:r w:rsidRPr="00DB671B">
        <w:rPr>
          <w:rFonts w:cs="Arial"/>
          <w:snapToGrid w:val="0"/>
        </w:rPr>
        <w:t xml:space="preserve">expression. </w:t>
      </w:r>
      <w:r w:rsidR="005F7AC8" w:rsidRPr="00DB671B">
        <w:rPr>
          <w:rFonts w:cs="Arial"/>
          <w:snapToGrid w:val="0"/>
        </w:rPr>
        <w:t xml:space="preserve"> Le TWO</w:t>
      </w:r>
      <w:r w:rsidRPr="00DB671B">
        <w:rPr>
          <w:rFonts w:cs="Arial"/>
          <w:snapToGrid w:val="0"/>
        </w:rPr>
        <w:t xml:space="preserve"> a approuvé la proposition relative à la présentation de tous les niveaux d</w:t>
      </w:r>
      <w:r w:rsidR="005F7AC8" w:rsidRPr="00DB671B">
        <w:rPr>
          <w:rFonts w:cs="Arial"/>
          <w:snapToGrid w:val="0"/>
        </w:rPr>
        <w:t>’</w:t>
      </w:r>
      <w:r w:rsidRPr="00DB671B">
        <w:rPr>
          <w:rFonts w:cs="Arial"/>
          <w:snapToGrid w:val="0"/>
        </w:rPr>
        <w:t>expression des caractères quantitatifs dans les principes directeurs d</w:t>
      </w:r>
      <w:r w:rsidR="005F7AC8" w:rsidRPr="00DB671B">
        <w:rPr>
          <w:rFonts w:cs="Arial"/>
          <w:snapToGrid w:val="0"/>
        </w:rPr>
        <w:t>’</w:t>
      </w:r>
      <w:r w:rsidRPr="00DB671B">
        <w:rPr>
          <w:rFonts w:cs="Arial"/>
          <w:snapToGrid w:val="0"/>
        </w:rPr>
        <w:t>examen et ils sont convenus que cela ne modifierait pas le nombre minimal d</w:t>
      </w:r>
      <w:r w:rsidR="005F7AC8" w:rsidRPr="00DB671B">
        <w:rPr>
          <w:rFonts w:cs="Arial"/>
          <w:snapToGrid w:val="0"/>
        </w:rPr>
        <w:t>’</w:t>
      </w:r>
      <w:r w:rsidRPr="00DB671B">
        <w:rPr>
          <w:rFonts w:cs="Arial"/>
          <w:snapToGrid w:val="0"/>
        </w:rPr>
        <w:t>exemples requis dans le document</w:t>
      </w:r>
      <w:r w:rsidR="00A83A59" w:rsidRPr="00DB671B">
        <w:rPr>
          <w:rFonts w:cs="Arial"/>
          <w:snapToGrid w:val="0"/>
        </w:rPr>
        <w:t> </w:t>
      </w:r>
      <w:r w:rsidRPr="00DB671B">
        <w:rPr>
          <w:rFonts w:cs="Arial"/>
          <w:snapToGrid w:val="0"/>
        </w:rPr>
        <w:t>TGP/7.</w:t>
      </w:r>
    </w:p>
    <w:p w:rsidR="00D83B31" w:rsidRPr="00DB671B" w:rsidRDefault="00D83B31" w:rsidP="00054FE5">
      <w:pPr>
        <w:keepLines/>
        <w:rPr>
          <w:rFonts w:eastAsia="SimSun" w:cs="Arial"/>
          <w:lang w:eastAsia="zh-CN"/>
        </w:rPr>
      </w:pPr>
    </w:p>
    <w:p w:rsidR="00D83B31" w:rsidRPr="00DB671B" w:rsidRDefault="00054FE5" w:rsidP="00054FE5">
      <w:pPr>
        <w:rPr>
          <w:rFonts w:eastAsia="SimSun" w:cs="Arial"/>
          <w:lang w:eastAsia="zh-CN"/>
        </w:rPr>
      </w:pPr>
      <w:r w:rsidRPr="00DB671B">
        <w:rPr>
          <w:rFonts w:eastAsia="SimSun" w:cs="Arial"/>
          <w:lang w:eastAsia="zh-CN"/>
        </w:rPr>
        <w:fldChar w:fldCharType="begin"/>
      </w:r>
      <w:r w:rsidRPr="00DB671B">
        <w:rPr>
          <w:rFonts w:eastAsia="SimSun" w:cs="Arial"/>
          <w:lang w:eastAsia="zh-CN"/>
        </w:rPr>
        <w:instrText xml:space="preserve"> AUTONUM  </w:instrText>
      </w:r>
      <w:r w:rsidRPr="00DB671B">
        <w:rPr>
          <w:rFonts w:eastAsia="SimSun" w:cs="Arial"/>
          <w:lang w:eastAsia="zh-CN"/>
        </w:rPr>
        <w:fldChar w:fldCharType="end"/>
      </w:r>
      <w:r w:rsidRPr="00DB671B">
        <w:rPr>
          <w:rFonts w:eastAsia="SimSun" w:cs="Arial"/>
          <w:lang w:eastAsia="zh-CN"/>
        </w:rPr>
        <w:tab/>
      </w:r>
      <w:r w:rsidR="0094495A" w:rsidRPr="00DB671B">
        <w:rPr>
          <w:rFonts w:eastAsia="SimSun" w:cs="Arial"/>
          <w:lang w:eastAsia="zh-CN"/>
        </w:rPr>
        <w:t>Le TWO a examiné le document</w:t>
      </w:r>
      <w:r w:rsidR="00A83A59" w:rsidRPr="00DB671B">
        <w:rPr>
          <w:rFonts w:eastAsia="SimSun" w:cs="Arial"/>
          <w:lang w:eastAsia="zh-CN"/>
        </w:rPr>
        <w:t> </w:t>
      </w:r>
      <w:r w:rsidR="0094495A" w:rsidRPr="00DB671B">
        <w:rPr>
          <w:rFonts w:eastAsia="SimSun" w:cs="Arial"/>
          <w:lang w:eastAsia="zh-CN"/>
        </w:rPr>
        <w:t>TWP/3/9 “Characteristics which only apply to certain varieties” et la demande concernant la fourniture d</w:t>
      </w:r>
      <w:r w:rsidR="005F7AC8" w:rsidRPr="00DB671B">
        <w:rPr>
          <w:rFonts w:eastAsia="SimSun" w:cs="Arial"/>
          <w:lang w:eastAsia="zh-CN"/>
        </w:rPr>
        <w:t>’</w:t>
      </w:r>
      <w:r w:rsidR="0094495A" w:rsidRPr="00DB671B">
        <w:rPr>
          <w:rFonts w:eastAsia="SimSun" w:cs="Arial"/>
          <w:lang w:eastAsia="zh-CN"/>
        </w:rPr>
        <w:t>exemples de caractères quantitatif et pseudo</w:t>
      </w:r>
      <w:r w:rsidR="005F7AC8" w:rsidRPr="00DB671B">
        <w:rPr>
          <w:rFonts w:eastAsia="SimSun" w:cs="Arial"/>
          <w:lang w:eastAsia="zh-CN"/>
        </w:rPr>
        <w:t>-</w:t>
      </w:r>
      <w:r w:rsidR="0094495A" w:rsidRPr="00DB671B">
        <w:rPr>
          <w:rFonts w:eastAsia="SimSun" w:cs="Arial"/>
          <w:lang w:eastAsia="zh-CN"/>
        </w:rPr>
        <w:t>qualitatif qui expliquent comment la méthode peut être utilisée d</w:t>
      </w:r>
      <w:r w:rsidR="005F7AC8" w:rsidRPr="00DB671B">
        <w:rPr>
          <w:rFonts w:eastAsia="SimSun" w:cs="Arial"/>
          <w:lang w:eastAsia="zh-CN"/>
        </w:rPr>
        <w:t>’</w:t>
      </w:r>
      <w:r w:rsidR="0094495A" w:rsidRPr="00DB671B">
        <w:rPr>
          <w:rFonts w:eastAsia="SimSun" w:cs="Arial"/>
          <w:lang w:eastAsia="zh-CN"/>
        </w:rPr>
        <w:t>une manière qui ne présente pas de risque pour les décisions sur la distinction.</w:t>
      </w:r>
    </w:p>
    <w:p w:rsidR="00D83B31" w:rsidRPr="00DB671B" w:rsidRDefault="00D83B31" w:rsidP="00054FE5">
      <w:pPr>
        <w:rPr>
          <w:rFonts w:cs="Arial"/>
        </w:rPr>
      </w:pPr>
    </w:p>
    <w:p w:rsidR="00D83B31" w:rsidRPr="00DB671B" w:rsidRDefault="00054FE5" w:rsidP="00054FE5">
      <w:pPr>
        <w:rPr>
          <w:rFonts w:cs="Arial"/>
        </w:rPr>
      </w:pPr>
      <w:r w:rsidRPr="00DB671B">
        <w:rPr>
          <w:rFonts w:cs="Arial"/>
          <w:snapToGrid w:val="0"/>
        </w:rPr>
        <w:fldChar w:fldCharType="begin"/>
      </w:r>
      <w:r w:rsidRPr="00DB671B">
        <w:rPr>
          <w:rFonts w:cs="Arial"/>
          <w:snapToGrid w:val="0"/>
        </w:rPr>
        <w:instrText xml:space="preserve"> AUTONUM  </w:instrText>
      </w:r>
      <w:r w:rsidRPr="00DB671B">
        <w:rPr>
          <w:rFonts w:cs="Arial"/>
          <w:snapToGrid w:val="0"/>
        </w:rPr>
        <w:fldChar w:fldCharType="end"/>
      </w:r>
      <w:r w:rsidRPr="00DB671B">
        <w:rPr>
          <w:rFonts w:cs="Arial"/>
          <w:snapToGrid w:val="0"/>
        </w:rPr>
        <w:tab/>
        <w:t>Le TWO est convenu que lorsqu</w:t>
      </w:r>
      <w:r w:rsidR="005F7AC8" w:rsidRPr="00DB671B">
        <w:rPr>
          <w:rFonts w:cs="Arial"/>
          <w:snapToGrid w:val="0"/>
        </w:rPr>
        <w:t>’</w:t>
      </w:r>
      <w:r w:rsidRPr="00DB671B">
        <w:rPr>
          <w:rFonts w:cs="Arial"/>
          <w:snapToGrid w:val="0"/>
        </w:rPr>
        <w:t>une structure était “absente ou très faible” sur une partie de la plante, l</w:t>
      </w:r>
      <w:r w:rsidR="005F7AC8" w:rsidRPr="00DB671B">
        <w:rPr>
          <w:rFonts w:cs="Arial"/>
          <w:snapToGrid w:val="0"/>
        </w:rPr>
        <w:t>’</w:t>
      </w:r>
      <w:r w:rsidRPr="00DB671B">
        <w:rPr>
          <w:rFonts w:cs="Arial"/>
          <w:snapToGrid w:val="0"/>
        </w:rPr>
        <w:t>observation d</w:t>
      </w:r>
      <w:r w:rsidR="005F7AC8" w:rsidRPr="00DB671B">
        <w:rPr>
          <w:rFonts w:cs="Arial"/>
          <w:snapToGrid w:val="0"/>
        </w:rPr>
        <w:t>’</w:t>
      </w:r>
      <w:r w:rsidRPr="00DB671B">
        <w:rPr>
          <w:rFonts w:cs="Arial"/>
          <w:snapToGrid w:val="0"/>
        </w:rPr>
        <w:t>autres caractères sur cette structure pouvait être difficile ou irréalisable.  Par exemple, il serait difficile d</w:t>
      </w:r>
      <w:r w:rsidR="005F7AC8" w:rsidRPr="00DB671B">
        <w:rPr>
          <w:rFonts w:cs="Arial"/>
          <w:snapToGrid w:val="0"/>
        </w:rPr>
        <w:t>’</w:t>
      </w:r>
      <w:r w:rsidRPr="00DB671B">
        <w:rPr>
          <w:rFonts w:cs="Arial"/>
          <w:snapToGrid w:val="0"/>
        </w:rPr>
        <w:t>observer le caractère “couleur de la pilosité” sur une partie de la plante avec “pilosité</w:t>
      </w:r>
      <w:r w:rsidR="005F7AC8" w:rsidRPr="00DB671B">
        <w:rPr>
          <w:rFonts w:cs="Arial"/>
          <w:snapToGrid w:val="0"/>
        </w:rPr>
        <w:t> :</w:t>
      </w:r>
      <w:r w:rsidRPr="00DB671B">
        <w:rPr>
          <w:rFonts w:cs="Arial"/>
          <w:snapToGrid w:val="0"/>
        </w:rPr>
        <w:t xml:space="preserve"> absente ou très faible”.</w:t>
      </w:r>
    </w:p>
    <w:p w:rsidR="00D83B31" w:rsidRPr="00DB671B" w:rsidRDefault="00D83B31" w:rsidP="00054FE5"/>
    <w:p w:rsidR="00D83B31" w:rsidRPr="00DB671B" w:rsidRDefault="00054FE5" w:rsidP="00054FE5">
      <w:r w:rsidRPr="00DB671B">
        <w:rPr>
          <w:rFonts w:cs="Arial"/>
        </w:rPr>
        <w:fldChar w:fldCharType="begin"/>
      </w:r>
      <w:r w:rsidRPr="00DB671B">
        <w:rPr>
          <w:rFonts w:cs="Arial"/>
        </w:rPr>
        <w:instrText xml:space="preserve"> AUTONUM  </w:instrText>
      </w:r>
      <w:r w:rsidRPr="00DB671B">
        <w:rPr>
          <w:rFonts w:cs="Arial"/>
        </w:rPr>
        <w:fldChar w:fldCharType="end"/>
      </w:r>
      <w:r w:rsidRPr="00DB671B">
        <w:rPr>
          <w:rFonts w:cs="Arial"/>
        </w:rPr>
        <w:tab/>
        <w:t>Le TWO est convenu que le caractère pseudo</w:t>
      </w:r>
      <w:r w:rsidR="005F7AC8" w:rsidRPr="00DB671B">
        <w:rPr>
          <w:rFonts w:cs="Arial"/>
        </w:rPr>
        <w:t>-</w:t>
      </w:r>
      <w:r w:rsidRPr="00DB671B">
        <w:rPr>
          <w:rFonts w:cs="Arial"/>
        </w:rPr>
        <w:t>qualitatif ci</w:t>
      </w:r>
      <w:r w:rsidR="005F7AC8" w:rsidRPr="00DB671B">
        <w:rPr>
          <w:rFonts w:cs="Arial"/>
        </w:rPr>
        <w:t>-</w:t>
      </w:r>
      <w:r w:rsidRPr="00DB671B">
        <w:rPr>
          <w:rFonts w:cs="Arial"/>
        </w:rPr>
        <w:t>après tiré des principes directeurs d</w:t>
      </w:r>
      <w:r w:rsidR="005F7AC8" w:rsidRPr="00DB671B">
        <w:rPr>
          <w:rFonts w:cs="Arial"/>
        </w:rPr>
        <w:t>’</w:t>
      </w:r>
      <w:r w:rsidRPr="00DB671B">
        <w:rPr>
          <w:rFonts w:cs="Arial"/>
        </w:rPr>
        <w:t>examen du dahlia (TG/226/1) offrait un bon exemple pour expliquer comment la méthode pouvait être utilisée d</w:t>
      </w:r>
      <w:r w:rsidR="005F7AC8" w:rsidRPr="00DB671B">
        <w:rPr>
          <w:rFonts w:cs="Arial"/>
        </w:rPr>
        <w:t>’</w:t>
      </w:r>
      <w:r w:rsidRPr="00DB671B">
        <w:rPr>
          <w:rFonts w:cs="Arial"/>
        </w:rPr>
        <w:t>une manière qui ne présente pas de risque pour les décisions sur la distinction.</w:t>
      </w:r>
    </w:p>
    <w:p w:rsidR="00D83B31" w:rsidRPr="00DB671B" w:rsidRDefault="00D83B31" w:rsidP="00054FE5"/>
    <w:p w:rsidR="00D83B31" w:rsidRPr="00DB671B" w:rsidRDefault="0094495A" w:rsidP="0094495A">
      <w:pPr>
        <w:ind w:left="709"/>
        <w:rPr>
          <w:rFonts w:eastAsiaTheme="minorEastAsia"/>
          <w:snapToGrid w:val="0"/>
          <w:lang w:eastAsia="ja-JP"/>
        </w:rPr>
      </w:pPr>
      <w:r w:rsidRPr="00DB671B">
        <w:rPr>
          <w:rFonts w:eastAsiaTheme="minorEastAsia"/>
          <w:snapToGrid w:val="0"/>
          <w:lang w:eastAsia="ja-JP"/>
        </w:rPr>
        <w:t>(PQ) Capitule</w:t>
      </w:r>
      <w:r w:rsidR="005F7AC8" w:rsidRPr="00DB671B">
        <w:rPr>
          <w:rFonts w:eastAsiaTheme="minorEastAsia"/>
          <w:snapToGrid w:val="0"/>
          <w:lang w:eastAsia="ja-JP"/>
        </w:rPr>
        <w:t> :</w:t>
      </w:r>
      <w:r w:rsidRPr="00DB671B">
        <w:rPr>
          <w:rFonts w:eastAsiaTheme="minorEastAsia"/>
          <w:snapToGrid w:val="0"/>
          <w:lang w:eastAsia="ja-JP"/>
        </w:rPr>
        <w:t xml:space="preserve"> type</w:t>
      </w:r>
      <w:r w:rsidR="005F7AC8" w:rsidRPr="00DB671B">
        <w:rPr>
          <w:rFonts w:eastAsiaTheme="minorEastAsia"/>
          <w:snapToGrid w:val="0"/>
          <w:lang w:eastAsia="ja-JP"/>
        </w:rPr>
        <w:t> :</w:t>
      </w:r>
      <w:r w:rsidRPr="00DB671B">
        <w:rPr>
          <w:rFonts w:eastAsiaTheme="minorEastAsia"/>
          <w:snapToGrid w:val="0"/>
          <w:lang w:eastAsia="ja-JP"/>
        </w:rPr>
        <w:t xml:space="preserve"> simple (1); </w:t>
      </w:r>
      <w:r w:rsidR="00E85E8E" w:rsidRPr="00DB671B">
        <w:rPr>
          <w:rFonts w:eastAsiaTheme="minorEastAsia"/>
          <w:snapToGrid w:val="0"/>
          <w:lang w:eastAsia="ja-JP"/>
        </w:rPr>
        <w:t xml:space="preserve"> </w:t>
      </w:r>
      <w:r w:rsidRPr="00DB671B">
        <w:rPr>
          <w:rFonts w:eastAsiaTheme="minorEastAsia"/>
          <w:snapToGrid w:val="0"/>
          <w:lang w:eastAsia="ja-JP"/>
        </w:rPr>
        <w:t>semi</w:t>
      </w:r>
      <w:r w:rsidR="005F7AC8" w:rsidRPr="00DB671B">
        <w:rPr>
          <w:rFonts w:eastAsiaTheme="minorEastAsia"/>
          <w:snapToGrid w:val="0"/>
          <w:lang w:eastAsia="ja-JP"/>
        </w:rPr>
        <w:t>-</w:t>
      </w:r>
      <w:r w:rsidRPr="00DB671B">
        <w:rPr>
          <w:rFonts w:eastAsiaTheme="minorEastAsia"/>
          <w:snapToGrid w:val="0"/>
          <w:lang w:eastAsia="ja-JP"/>
        </w:rPr>
        <w:t xml:space="preserve">double (2); </w:t>
      </w:r>
      <w:r w:rsidR="00E85E8E" w:rsidRPr="00DB671B">
        <w:rPr>
          <w:rFonts w:eastAsiaTheme="minorEastAsia"/>
          <w:snapToGrid w:val="0"/>
          <w:lang w:eastAsia="ja-JP"/>
        </w:rPr>
        <w:t xml:space="preserve"> </w:t>
      </w:r>
      <w:r w:rsidRPr="00DB671B">
        <w:rPr>
          <w:rFonts w:eastAsiaTheme="minorEastAsia"/>
          <w:snapToGrid w:val="0"/>
          <w:lang w:eastAsia="ja-JP"/>
        </w:rPr>
        <w:t>double à œil de marguerite (3);</w:t>
      </w:r>
      <w:r w:rsidR="00E85E8E" w:rsidRPr="00DB671B">
        <w:rPr>
          <w:rFonts w:eastAsiaTheme="minorEastAsia"/>
          <w:snapToGrid w:val="0"/>
          <w:lang w:eastAsia="ja-JP"/>
        </w:rPr>
        <w:t xml:space="preserve"> </w:t>
      </w:r>
      <w:r w:rsidRPr="00DB671B">
        <w:rPr>
          <w:rFonts w:eastAsiaTheme="minorEastAsia"/>
          <w:snapToGrid w:val="0"/>
          <w:lang w:eastAsia="ja-JP"/>
        </w:rPr>
        <w:t xml:space="preserve"> double (4)</w:t>
      </w:r>
    </w:p>
    <w:p w:rsidR="00D83B31" w:rsidRPr="00DB671B" w:rsidRDefault="00D83B31" w:rsidP="00054FE5">
      <w:pPr>
        <w:rPr>
          <w:rFonts w:cs="Arial"/>
        </w:rPr>
      </w:pPr>
    </w:p>
    <w:p w:rsidR="00D83B31" w:rsidRPr="00DB671B" w:rsidRDefault="00054FE5" w:rsidP="0094495A">
      <w:pPr>
        <w:rPr>
          <w:snapToGrid w:val="0"/>
        </w:rPr>
      </w:pPr>
      <w:r w:rsidRPr="00DB671B">
        <w:rPr>
          <w:rFonts w:cs="Arial"/>
        </w:rPr>
        <w:fldChar w:fldCharType="begin"/>
      </w:r>
      <w:r w:rsidRPr="00DB671B">
        <w:rPr>
          <w:rFonts w:cs="Arial"/>
        </w:rPr>
        <w:instrText xml:space="preserve"> AUTONUM  </w:instrText>
      </w:r>
      <w:r w:rsidRPr="00DB671B">
        <w:rPr>
          <w:rFonts w:cs="Arial"/>
        </w:rPr>
        <w:fldChar w:fldCharType="end"/>
      </w:r>
      <w:r w:rsidRPr="00DB671B">
        <w:rPr>
          <w:rFonts w:cs="Arial"/>
        </w:rPr>
        <w:tab/>
      </w:r>
      <w:r w:rsidR="0094495A" w:rsidRPr="00DB671B">
        <w:rPr>
          <w:rFonts w:cs="Arial"/>
        </w:rPr>
        <w:t>Le TWO est convenu que l</w:t>
      </w:r>
      <w:r w:rsidR="005F7AC8" w:rsidRPr="00DB671B">
        <w:rPr>
          <w:rFonts w:cs="Arial"/>
        </w:rPr>
        <w:t>’</w:t>
      </w:r>
      <w:r w:rsidR="0094495A" w:rsidRPr="00DB671B">
        <w:rPr>
          <w:rFonts w:cs="Arial"/>
        </w:rPr>
        <w:t>en</w:t>
      </w:r>
      <w:r w:rsidR="005F7AC8" w:rsidRPr="00DB671B">
        <w:rPr>
          <w:rFonts w:cs="Arial"/>
        </w:rPr>
        <w:t>-</w:t>
      </w:r>
      <w:r w:rsidR="0094495A" w:rsidRPr="00DB671B">
        <w:rPr>
          <w:rFonts w:cs="Arial"/>
        </w:rPr>
        <w:t>tête du caractère devrait, de préférence, contenir l</w:t>
      </w:r>
      <w:r w:rsidR="005F7AC8" w:rsidRPr="00DB671B">
        <w:rPr>
          <w:rFonts w:cs="Arial"/>
        </w:rPr>
        <w:t>’</w:t>
      </w:r>
      <w:r w:rsidR="0094495A" w:rsidRPr="00DB671B">
        <w:rPr>
          <w:rFonts w:cs="Arial"/>
        </w:rPr>
        <w:t>exclusion et, selon que de besoin, une explication dans les principes directeurs d</w:t>
      </w:r>
      <w:r w:rsidR="005F7AC8" w:rsidRPr="00DB671B">
        <w:rPr>
          <w:rFonts w:cs="Arial"/>
        </w:rPr>
        <w:t>’</w:t>
      </w:r>
      <w:r w:rsidR="0094495A" w:rsidRPr="00DB671B">
        <w:rPr>
          <w:rFonts w:cs="Arial"/>
        </w:rPr>
        <w:t>examen.</w:t>
      </w:r>
    </w:p>
    <w:p w:rsidR="00D83B31" w:rsidRPr="00DB671B" w:rsidRDefault="00D83B31" w:rsidP="0094495A">
      <w:pPr>
        <w:rPr>
          <w:snapToGrid w:val="0"/>
        </w:rPr>
      </w:pPr>
    </w:p>
    <w:p w:rsidR="00D83B31" w:rsidRPr="001766FA" w:rsidRDefault="0094495A" w:rsidP="0094495A">
      <w:pPr>
        <w:rPr>
          <w:snapToGrid w:val="0"/>
          <w:lang w:val="en-US"/>
        </w:rPr>
      </w:pPr>
      <w:r w:rsidRPr="00DB671B">
        <w:rPr>
          <w:snapToGrid w:val="0"/>
        </w:rPr>
        <w:fldChar w:fldCharType="begin"/>
      </w:r>
      <w:r w:rsidRPr="001766FA">
        <w:rPr>
          <w:snapToGrid w:val="0"/>
          <w:lang w:val="en-US"/>
        </w:rPr>
        <w:instrText xml:space="preserve"> AUTONUM  </w:instrText>
      </w:r>
      <w:r w:rsidRPr="00DB671B">
        <w:rPr>
          <w:snapToGrid w:val="0"/>
        </w:rPr>
        <w:fldChar w:fldCharType="end"/>
      </w:r>
      <w:r w:rsidRPr="001766FA">
        <w:rPr>
          <w:snapToGrid w:val="0"/>
          <w:lang w:val="en-US"/>
        </w:rPr>
        <w:tab/>
        <w:t>Le TWO a examiné le document</w:t>
      </w:r>
      <w:r w:rsidR="00A83A59" w:rsidRPr="001766FA">
        <w:rPr>
          <w:snapToGrid w:val="0"/>
          <w:lang w:val="en-US"/>
        </w:rPr>
        <w:t> </w:t>
      </w:r>
      <w:r w:rsidRPr="001766FA">
        <w:rPr>
          <w:snapToGrid w:val="0"/>
          <w:lang w:val="en-US"/>
        </w:rPr>
        <w:t>TWP/3/11 “Color names for the RHS Colour Chart”.</w:t>
      </w:r>
    </w:p>
    <w:p w:rsidR="00D83B31" w:rsidRPr="001766FA" w:rsidRDefault="00D83B31" w:rsidP="0094495A">
      <w:pPr>
        <w:rPr>
          <w:rFonts w:cs="Arial"/>
          <w:lang w:val="en-US"/>
        </w:rPr>
      </w:pPr>
    </w:p>
    <w:p w:rsidR="00D83B31" w:rsidRPr="00DB671B" w:rsidRDefault="0094495A" w:rsidP="0094495A">
      <w:pPr>
        <w:rPr>
          <w:rFonts w:cs="Arial"/>
        </w:rPr>
      </w:pPr>
      <w:r w:rsidRPr="00DB671B">
        <w:rPr>
          <w:rFonts w:cs="Arial"/>
        </w:rPr>
        <w:fldChar w:fldCharType="begin"/>
      </w:r>
      <w:r w:rsidRPr="00DB671B">
        <w:rPr>
          <w:rFonts w:cs="Arial"/>
        </w:rPr>
        <w:instrText xml:space="preserve"> AUTONUM  </w:instrText>
      </w:r>
      <w:r w:rsidRPr="00DB671B">
        <w:rPr>
          <w:rFonts w:cs="Arial"/>
        </w:rPr>
        <w:fldChar w:fldCharType="end"/>
      </w:r>
      <w:r w:rsidRPr="00DB671B">
        <w:rPr>
          <w:rFonts w:cs="Arial"/>
        </w:rPr>
        <w:tab/>
        <w:t>Le TWO a examiné la proposition de révision de la liste des groupes de couleur UPOV contenue dans le document</w:t>
      </w:r>
      <w:r w:rsidR="00A83A59" w:rsidRPr="00DB671B">
        <w:rPr>
          <w:rFonts w:cs="Arial"/>
        </w:rPr>
        <w:t> </w:t>
      </w:r>
      <w:r w:rsidRPr="00DB671B">
        <w:rPr>
          <w:rFonts w:cs="Arial"/>
        </w:rPr>
        <w:t>TGP/14 “Glossaire de termes utilisés dans les documents de l</w:t>
      </w:r>
      <w:r w:rsidR="005F7AC8" w:rsidRPr="00DB671B">
        <w:rPr>
          <w:rFonts w:cs="Arial"/>
        </w:rPr>
        <w:t>’</w:t>
      </w:r>
      <w:r w:rsidRPr="00DB671B">
        <w:rPr>
          <w:rFonts w:cs="Arial"/>
        </w:rPr>
        <w:t>UPOV” sur la base des groupes de couleur figurant à l</w:t>
      </w:r>
      <w:r w:rsidR="005F7AC8" w:rsidRPr="00DB671B">
        <w:rPr>
          <w:rFonts w:cs="Arial"/>
        </w:rPr>
        <w:t>’annexe I</w:t>
      </w:r>
      <w:r w:rsidRPr="00DB671B">
        <w:rPr>
          <w:rFonts w:cs="Arial"/>
        </w:rPr>
        <w:t xml:space="preserve"> du document document</w:t>
      </w:r>
      <w:r w:rsidR="00A83A59" w:rsidRPr="00DB671B">
        <w:rPr>
          <w:rFonts w:cs="Arial"/>
        </w:rPr>
        <w:t> </w:t>
      </w:r>
      <w:r w:rsidRPr="00DB671B">
        <w:rPr>
          <w:rFonts w:cs="Arial"/>
        </w:rPr>
        <w:t xml:space="preserve">TWP/3/11. </w:t>
      </w:r>
      <w:r w:rsidR="005F7AC8" w:rsidRPr="00DB671B">
        <w:rPr>
          <w:rFonts w:cs="Arial"/>
        </w:rPr>
        <w:t xml:space="preserve"> Le TWO</w:t>
      </w:r>
      <w:r w:rsidRPr="00DB671B">
        <w:rPr>
          <w:rFonts w:cs="Arial"/>
        </w:rPr>
        <w:t xml:space="preserve"> est convenu de proposer l</w:t>
      </w:r>
      <w:r w:rsidR="005F7AC8" w:rsidRPr="00DB671B">
        <w:rPr>
          <w:rFonts w:cs="Arial"/>
        </w:rPr>
        <w:t>’</w:t>
      </w:r>
      <w:r w:rsidRPr="00DB671B">
        <w:rPr>
          <w:rFonts w:cs="Arial"/>
        </w:rPr>
        <w:t>introduction de la nouvelle liste des groupes de couleur UPOV établie sur la base de la sixième édition du code RHS des couleurs dans le document</w:t>
      </w:r>
      <w:r w:rsidR="00A83A59" w:rsidRPr="00DB671B">
        <w:rPr>
          <w:rFonts w:cs="Arial"/>
        </w:rPr>
        <w:t> </w:t>
      </w:r>
      <w:r w:rsidRPr="00DB671B">
        <w:rPr>
          <w:rFonts w:cs="Arial"/>
        </w:rPr>
        <w:t>TGP/14.</w:t>
      </w:r>
    </w:p>
    <w:p w:rsidR="00D83B31" w:rsidRPr="00DB671B" w:rsidRDefault="00D83B31" w:rsidP="0094495A">
      <w:pPr>
        <w:rPr>
          <w:rFonts w:cs="Arial"/>
        </w:rPr>
      </w:pPr>
    </w:p>
    <w:p w:rsidR="00D83B31" w:rsidRPr="00DB671B" w:rsidRDefault="00054FE5" w:rsidP="00054FE5">
      <w:pPr>
        <w:rPr>
          <w:rFonts w:cs="Arial"/>
        </w:rPr>
      </w:pPr>
      <w:r w:rsidRPr="00DB671B">
        <w:rPr>
          <w:rFonts w:cs="Arial"/>
        </w:rPr>
        <w:fldChar w:fldCharType="begin"/>
      </w:r>
      <w:r w:rsidRPr="00DB671B">
        <w:rPr>
          <w:rFonts w:cs="Arial"/>
        </w:rPr>
        <w:instrText xml:space="preserve"> AUTONUM  </w:instrText>
      </w:r>
      <w:r w:rsidRPr="00DB671B">
        <w:rPr>
          <w:rFonts w:cs="Arial"/>
        </w:rPr>
        <w:fldChar w:fldCharType="end"/>
      </w:r>
      <w:r w:rsidRPr="00DB671B">
        <w:rPr>
          <w:rFonts w:cs="Arial"/>
        </w:rPr>
        <w:tab/>
        <w:t>Le TWO a examiné la proposition de révision du document</w:t>
      </w:r>
      <w:r w:rsidR="00A83A59" w:rsidRPr="00DB671B">
        <w:rPr>
          <w:rFonts w:cs="Arial"/>
        </w:rPr>
        <w:t> </w:t>
      </w:r>
      <w:r w:rsidRPr="00DB671B">
        <w:rPr>
          <w:rFonts w:cs="Arial"/>
        </w:rPr>
        <w:t xml:space="preserve">TGP/14, </w:t>
      </w:r>
      <w:r w:rsidR="005F7AC8" w:rsidRPr="00DB671B">
        <w:rPr>
          <w:rFonts w:cs="Arial"/>
        </w:rPr>
        <w:t>section 2</w:t>
      </w:r>
      <w:r w:rsidRPr="00DB671B">
        <w:rPr>
          <w:rFonts w:cs="Arial"/>
        </w:rPr>
        <w:t>, sous</w:t>
      </w:r>
      <w:r w:rsidR="005F7AC8" w:rsidRPr="00DB671B">
        <w:rPr>
          <w:rFonts w:cs="Arial"/>
        </w:rPr>
        <w:t>-section 3</w:t>
      </w:r>
      <w:r w:rsidRPr="00DB671B">
        <w:rPr>
          <w:rFonts w:cs="Arial"/>
        </w:rPr>
        <w:t xml:space="preserve"> “Couleur” et annexe de la sous</w:t>
      </w:r>
      <w:r w:rsidR="005F7AC8" w:rsidRPr="00DB671B">
        <w:rPr>
          <w:rFonts w:cs="Arial"/>
        </w:rPr>
        <w:t>-section 3</w:t>
      </w:r>
      <w:r w:rsidRPr="00DB671B">
        <w:rPr>
          <w:rFonts w:cs="Arial"/>
        </w:rPr>
        <w:t xml:space="preserve"> “Noms de couleur pour le code RHS des couleurs”, pour prendre en considération l</w:t>
      </w:r>
      <w:r w:rsidR="005F7AC8" w:rsidRPr="00DB671B">
        <w:rPr>
          <w:rFonts w:cs="Arial"/>
        </w:rPr>
        <w:t>’</w:t>
      </w:r>
      <w:r w:rsidRPr="00DB671B">
        <w:rPr>
          <w:rFonts w:cs="Arial"/>
        </w:rPr>
        <w:t>introduction de la liste révisée des groupes de couleur UPOV.</w:t>
      </w:r>
      <w:r w:rsidRPr="00DB671B">
        <w:t xml:space="preserve"> </w:t>
      </w:r>
      <w:r w:rsidR="005F7AC8" w:rsidRPr="00DB671B">
        <w:t xml:space="preserve"> </w:t>
      </w:r>
      <w:r w:rsidR="005F7AC8" w:rsidRPr="00DB671B">
        <w:rPr>
          <w:rFonts w:cs="Arial"/>
        </w:rPr>
        <w:t>Le TWO</w:t>
      </w:r>
      <w:r w:rsidRPr="00DB671B">
        <w:rPr>
          <w:rFonts w:cs="Arial"/>
        </w:rPr>
        <w:t xml:space="preserve"> est convenu que le document</w:t>
      </w:r>
      <w:r w:rsidR="00A83A59" w:rsidRPr="00DB671B">
        <w:rPr>
          <w:rFonts w:cs="Arial"/>
        </w:rPr>
        <w:t> </w:t>
      </w:r>
      <w:r w:rsidRPr="00DB671B">
        <w:rPr>
          <w:rFonts w:cs="Arial"/>
        </w:rPr>
        <w:t>TGP/14 devrait être révisé pour prendre en considération l</w:t>
      </w:r>
      <w:r w:rsidR="005F7AC8" w:rsidRPr="00DB671B">
        <w:rPr>
          <w:rFonts w:cs="Arial"/>
        </w:rPr>
        <w:t>’</w:t>
      </w:r>
      <w:r w:rsidRPr="00DB671B">
        <w:rPr>
          <w:rFonts w:cs="Arial"/>
        </w:rPr>
        <w:t>introduction de la nouvelle liste des groupes de couleur UPOV établie sur la base de la proposition figurant à l</w:t>
      </w:r>
      <w:r w:rsidR="005F7AC8" w:rsidRPr="00DB671B">
        <w:rPr>
          <w:rFonts w:cs="Arial"/>
        </w:rPr>
        <w:t>’annexe I</w:t>
      </w:r>
      <w:r w:rsidRPr="00DB671B">
        <w:rPr>
          <w:rFonts w:cs="Arial"/>
        </w:rPr>
        <w:t>I du document</w:t>
      </w:r>
      <w:r w:rsidR="00A83A59" w:rsidRPr="00DB671B">
        <w:rPr>
          <w:rFonts w:cs="Arial"/>
        </w:rPr>
        <w:t> </w:t>
      </w:r>
      <w:r w:rsidRPr="00DB671B">
        <w:rPr>
          <w:rFonts w:cs="Arial"/>
        </w:rPr>
        <w:t>TWP/3/11.</w:t>
      </w:r>
    </w:p>
    <w:p w:rsidR="00D83B31" w:rsidRPr="00DB671B" w:rsidRDefault="00D83B31" w:rsidP="00054FE5">
      <w:pPr>
        <w:rPr>
          <w:rFonts w:cs="Arial"/>
        </w:rPr>
      </w:pPr>
    </w:p>
    <w:p w:rsidR="00D83B31" w:rsidRPr="00DB671B" w:rsidRDefault="00054FE5" w:rsidP="0094495A">
      <w:pPr>
        <w:rPr>
          <w:rFonts w:cs="Arial"/>
        </w:rPr>
      </w:pPr>
      <w:r w:rsidRPr="00DB671B">
        <w:rPr>
          <w:rFonts w:cs="Arial"/>
        </w:rPr>
        <w:fldChar w:fldCharType="begin"/>
      </w:r>
      <w:r w:rsidRPr="00DB671B">
        <w:rPr>
          <w:rFonts w:cs="Arial"/>
        </w:rPr>
        <w:instrText xml:space="preserve"> AUTONUM  </w:instrText>
      </w:r>
      <w:r w:rsidRPr="00DB671B">
        <w:rPr>
          <w:rFonts w:cs="Arial"/>
        </w:rPr>
        <w:fldChar w:fldCharType="end"/>
      </w:r>
      <w:r w:rsidRPr="00DB671B">
        <w:rPr>
          <w:rFonts w:cs="Arial"/>
        </w:rPr>
        <w:tab/>
      </w:r>
      <w:r w:rsidR="0094495A" w:rsidRPr="00DB671B">
        <w:rPr>
          <w:rFonts w:cs="Arial"/>
        </w:rPr>
        <w:t>Le TWO a assisté à des exposés présentés par l</w:t>
      </w:r>
      <w:r w:rsidR="005F7AC8" w:rsidRPr="00DB671B">
        <w:rPr>
          <w:rFonts w:cs="Arial"/>
        </w:rPr>
        <w:t>’</w:t>
      </w:r>
      <w:r w:rsidR="0094495A" w:rsidRPr="00DB671B">
        <w:rPr>
          <w:rFonts w:cs="Arial"/>
        </w:rPr>
        <w:t>Australie et par l</w:t>
      </w:r>
      <w:r w:rsidR="005F7AC8" w:rsidRPr="00DB671B">
        <w:rPr>
          <w:rFonts w:cs="Arial"/>
        </w:rPr>
        <w:t>’</w:t>
      </w:r>
      <w:r w:rsidR="0094495A" w:rsidRPr="00DB671B">
        <w:rPr>
          <w:rFonts w:cs="Arial"/>
        </w:rPr>
        <w:t>Union européenne sur les données d</w:t>
      </w:r>
      <w:r w:rsidR="005F7AC8" w:rsidRPr="00DB671B">
        <w:rPr>
          <w:rFonts w:cs="Arial"/>
        </w:rPr>
        <w:t>’</w:t>
      </w:r>
      <w:r w:rsidR="0094495A" w:rsidRPr="00DB671B">
        <w:rPr>
          <w:rFonts w:cs="Arial"/>
        </w:rPr>
        <w:t>expérience relatives à la définition des arbres, des arbustes et de la vigne.</w:t>
      </w:r>
      <w:r w:rsidR="0094495A" w:rsidRPr="00DB671B">
        <w:t xml:space="preserve"> </w:t>
      </w:r>
      <w:r w:rsidR="00E85E8E" w:rsidRPr="00DB671B">
        <w:rPr>
          <w:rFonts w:cs="Arial"/>
        </w:rPr>
        <w:t xml:space="preserve"> </w:t>
      </w:r>
      <w:r w:rsidR="0094495A" w:rsidRPr="00DB671B">
        <w:rPr>
          <w:rFonts w:cs="Arial"/>
        </w:rPr>
        <w:t>Il est convenu de proposer d</w:t>
      </w:r>
      <w:r w:rsidR="005F7AC8" w:rsidRPr="00DB671B">
        <w:rPr>
          <w:rFonts w:cs="Arial"/>
        </w:rPr>
        <w:t>’</w:t>
      </w:r>
      <w:r w:rsidR="0094495A" w:rsidRPr="00DB671B">
        <w:rPr>
          <w:rFonts w:cs="Arial"/>
        </w:rPr>
        <w:t>inviter les services à mettre à disposition la liste des genres et espèces considérés comme des arbres et de la vigne par l</w:t>
      </w:r>
      <w:r w:rsidR="005F7AC8" w:rsidRPr="00DB671B">
        <w:rPr>
          <w:rFonts w:cs="Arial"/>
        </w:rPr>
        <w:t>’</w:t>
      </w:r>
      <w:r w:rsidR="0094495A" w:rsidRPr="00DB671B">
        <w:rPr>
          <w:rFonts w:cs="Arial"/>
        </w:rPr>
        <w:t>intermédiaire d</w:t>
      </w:r>
      <w:r w:rsidR="005F7AC8" w:rsidRPr="00DB671B">
        <w:rPr>
          <w:rFonts w:cs="Arial"/>
        </w:rPr>
        <w:t>’</w:t>
      </w:r>
      <w:r w:rsidR="0094495A" w:rsidRPr="00DB671B">
        <w:rPr>
          <w:rFonts w:cs="Arial"/>
        </w:rPr>
        <w:t>UPOV PRISMA et à rendre compte</w:t>
      </w:r>
      <w:r w:rsidR="005F7AC8" w:rsidRPr="00DB671B">
        <w:rPr>
          <w:rFonts w:cs="Arial"/>
        </w:rPr>
        <w:t xml:space="preserve"> au TWO</w:t>
      </w:r>
      <w:r w:rsidR="0094495A" w:rsidRPr="00DB671B">
        <w:rPr>
          <w:rFonts w:cs="Arial"/>
        </w:rPr>
        <w:t>, à sa prochaine session, des informations transmises.</w:t>
      </w:r>
    </w:p>
    <w:p w:rsidR="00D83B31" w:rsidRPr="00DB671B" w:rsidRDefault="00D83B31" w:rsidP="00054FE5">
      <w:pPr>
        <w:rPr>
          <w:rFonts w:cs="Arial"/>
        </w:rPr>
      </w:pPr>
    </w:p>
    <w:p w:rsidR="005F7AC8" w:rsidRPr="00DB671B" w:rsidRDefault="00054FE5" w:rsidP="00054FE5">
      <w:pPr>
        <w:rPr>
          <w:rFonts w:cs="Arial"/>
        </w:rPr>
      </w:pPr>
      <w:r w:rsidRPr="00DB671B">
        <w:rPr>
          <w:rFonts w:cs="Arial"/>
        </w:rPr>
        <w:fldChar w:fldCharType="begin"/>
      </w:r>
      <w:r w:rsidRPr="00DB671B">
        <w:rPr>
          <w:rFonts w:cs="Arial"/>
        </w:rPr>
        <w:instrText xml:space="preserve"> AUTONUM  </w:instrText>
      </w:r>
      <w:r w:rsidRPr="00DB671B">
        <w:rPr>
          <w:rFonts w:cs="Arial"/>
        </w:rPr>
        <w:fldChar w:fldCharType="end"/>
      </w:r>
      <w:r w:rsidRPr="00DB671B">
        <w:rPr>
          <w:rFonts w:cs="Arial"/>
        </w:rPr>
        <w:tab/>
        <w:t>Le TWO est convenu que, pour certains genres et espèces, une décision sur la question de savoir si une variété devrait être considérée comme un arbre ou une vigne ne pouvait pas être généralisée.</w:t>
      </w:r>
      <w:r w:rsidRPr="00DB671B">
        <w:t xml:space="preserve">  Il est convenu de demander aux services de fournir des informations sur les genres et espèces qui selon eux devraient être traités au cas par cas.</w:t>
      </w:r>
    </w:p>
    <w:p w:rsidR="00D83B31" w:rsidRPr="00DB671B" w:rsidRDefault="00D83B31" w:rsidP="00054FE5">
      <w:pPr>
        <w:rPr>
          <w:rFonts w:cs="Arial"/>
        </w:rPr>
      </w:pPr>
    </w:p>
    <w:p w:rsidR="00D83B31" w:rsidRPr="00DB671B" w:rsidRDefault="00054FE5" w:rsidP="0094495A">
      <w:pPr>
        <w:rPr>
          <w:rFonts w:cs="Arial"/>
        </w:rPr>
      </w:pPr>
      <w:r w:rsidRPr="00DB671B">
        <w:rPr>
          <w:rFonts w:cs="Arial"/>
        </w:rPr>
        <w:fldChar w:fldCharType="begin"/>
      </w:r>
      <w:r w:rsidRPr="00DB671B">
        <w:rPr>
          <w:rFonts w:cs="Arial"/>
        </w:rPr>
        <w:instrText xml:space="preserve"> AUTONUM  </w:instrText>
      </w:r>
      <w:r w:rsidRPr="00DB671B">
        <w:rPr>
          <w:rFonts w:cs="Arial"/>
        </w:rPr>
        <w:fldChar w:fldCharType="end"/>
      </w:r>
      <w:r w:rsidRPr="00DB671B">
        <w:rPr>
          <w:rFonts w:cs="Arial"/>
        </w:rPr>
        <w:tab/>
      </w:r>
      <w:r w:rsidR="0094495A" w:rsidRPr="00DB671B">
        <w:rPr>
          <w:rFonts w:cs="Arial"/>
        </w:rPr>
        <w:t>Le TWO est convenu de soumettre sept</w:t>
      </w:r>
      <w:r w:rsidR="00E85E8E" w:rsidRPr="00DB671B">
        <w:rPr>
          <w:rFonts w:cs="Arial"/>
        </w:rPr>
        <w:t> </w:t>
      </w:r>
      <w:r w:rsidR="0094495A" w:rsidRPr="00DB671B">
        <w:rPr>
          <w:rFonts w:cs="Arial"/>
        </w:rPr>
        <w:t>projets de principes directeurs d</w:t>
      </w:r>
      <w:r w:rsidR="005F7AC8" w:rsidRPr="00DB671B">
        <w:rPr>
          <w:rFonts w:cs="Arial"/>
        </w:rPr>
        <w:t>’</w:t>
      </w:r>
      <w:r w:rsidR="0094495A" w:rsidRPr="00DB671B">
        <w:rPr>
          <w:rFonts w:cs="Arial"/>
        </w:rPr>
        <w:t>examen au Comité technique pour adoption</w:t>
      </w:r>
      <w:r w:rsidR="005F7AC8" w:rsidRPr="00DB671B">
        <w:rPr>
          <w:rFonts w:cs="Arial"/>
        </w:rPr>
        <w:t> :</w:t>
      </w:r>
      <w:r w:rsidR="0094495A" w:rsidRPr="00DB671B">
        <w:rPr>
          <w:rFonts w:cs="Arial"/>
        </w:rPr>
        <w:t xml:space="preserve"> alstroemère;  calendula;  coreopsis;  gazania;  anigozanthos (révision);  phalaenopsis (révision</w:t>
      </w:r>
      <w:r w:rsidR="008C5485">
        <w:rPr>
          <w:rFonts w:cs="Arial"/>
        </w:rPr>
        <w:t> </w:t>
      </w:r>
      <w:r w:rsidR="0094495A" w:rsidRPr="00DB671B">
        <w:rPr>
          <w:rFonts w:cs="Arial"/>
        </w:rPr>
        <w:t>partielle);  et pourpier (révision).</w:t>
      </w:r>
      <w:r w:rsidR="0094495A" w:rsidRPr="00DB671B">
        <w:t xml:space="preserve">  </w:t>
      </w:r>
      <w:r w:rsidR="0094495A" w:rsidRPr="00DB671B">
        <w:rPr>
          <w:rFonts w:cs="Arial"/>
        </w:rPr>
        <w:t>À sa cinquante</w:t>
      </w:r>
      <w:r w:rsidR="005F7AC8" w:rsidRPr="00DB671B">
        <w:rPr>
          <w:rFonts w:cs="Arial"/>
        </w:rPr>
        <w:t>-</w:t>
      </w:r>
      <w:r w:rsidR="0094495A" w:rsidRPr="00DB671B">
        <w:rPr>
          <w:rFonts w:cs="Arial"/>
        </w:rPr>
        <w:t>deux</w:t>
      </w:r>
      <w:r w:rsidR="005F7AC8" w:rsidRPr="00DB671B">
        <w:rPr>
          <w:rFonts w:cs="Arial"/>
        </w:rPr>
        <w:t>ième session</w:t>
      </w:r>
      <w:r w:rsidR="0094495A" w:rsidRPr="00DB671B">
        <w:rPr>
          <w:rFonts w:cs="Arial"/>
        </w:rPr>
        <w:t xml:space="preserve"> qui se tiendra </w:t>
      </w:r>
      <w:r w:rsidR="005F7AC8" w:rsidRPr="00DB671B">
        <w:rPr>
          <w:rFonts w:cs="Arial"/>
        </w:rPr>
        <w:t>en 2020</w:t>
      </w:r>
      <w:r w:rsidR="0094495A" w:rsidRPr="00DB671B">
        <w:rPr>
          <w:rFonts w:cs="Arial"/>
        </w:rPr>
        <w:t>,</w:t>
      </w:r>
      <w:r w:rsidR="005F7AC8" w:rsidRPr="00DB671B">
        <w:rPr>
          <w:rFonts w:cs="Arial"/>
        </w:rPr>
        <w:t xml:space="preserve"> le TWO</w:t>
      </w:r>
      <w:r w:rsidR="0094495A" w:rsidRPr="00DB671B">
        <w:rPr>
          <w:rFonts w:cs="Arial"/>
        </w:rPr>
        <w:t xml:space="preserve"> a prévu d</w:t>
      </w:r>
      <w:r w:rsidR="005F7AC8" w:rsidRPr="00DB671B">
        <w:rPr>
          <w:rFonts w:cs="Arial"/>
        </w:rPr>
        <w:t>’</w:t>
      </w:r>
      <w:r w:rsidR="0094495A" w:rsidRPr="00DB671B">
        <w:rPr>
          <w:rFonts w:cs="Arial"/>
        </w:rPr>
        <w:t>examiner 11</w:t>
      </w:r>
      <w:r w:rsidR="00A83A59" w:rsidRPr="00DB671B">
        <w:rPr>
          <w:rFonts w:cs="Arial"/>
        </w:rPr>
        <w:t> </w:t>
      </w:r>
      <w:r w:rsidR="0094495A" w:rsidRPr="00DB671B">
        <w:rPr>
          <w:rFonts w:cs="Arial"/>
        </w:rPr>
        <w:t>principes directeurs d</w:t>
      </w:r>
      <w:r w:rsidR="005F7AC8" w:rsidRPr="00DB671B">
        <w:rPr>
          <w:rFonts w:cs="Arial"/>
        </w:rPr>
        <w:t>’</w:t>
      </w:r>
      <w:r w:rsidR="0094495A" w:rsidRPr="00DB671B">
        <w:rPr>
          <w:rFonts w:cs="Arial"/>
        </w:rPr>
        <w:t>examen.</w:t>
      </w:r>
    </w:p>
    <w:p w:rsidR="005F7AC8" w:rsidRPr="00DB671B" w:rsidRDefault="005F7AC8" w:rsidP="00054FE5">
      <w:pPr>
        <w:rPr>
          <w:rFonts w:cs="Arial"/>
        </w:rPr>
      </w:pPr>
    </w:p>
    <w:p w:rsidR="00D83B31" w:rsidRPr="00DB671B" w:rsidRDefault="00054FE5" w:rsidP="0094495A">
      <w:pPr>
        <w:rPr>
          <w:rFonts w:cs="Arial"/>
        </w:rPr>
      </w:pPr>
      <w:r w:rsidRPr="00DB671B">
        <w:rPr>
          <w:rFonts w:cs="Arial"/>
        </w:rPr>
        <w:fldChar w:fldCharType="begin"/>
      </w:r>
      <w:r w:rsidRPr="00DB671B">
        <w:rPr>
          <w:rFonts w:cs="Arial"/>
        </w:rPr>
        <w:instrText xml:space="preserve"> AUTONUM  </w:instrText>
      </w:r>
      <w:r w:rsidRPr="00DB671B">
        <w:rPr>
          <w:rFonts w:cs="Arial"/>
        </w:rPr>
        <w:fldChar w:fldCharType="end"/>
      </w:r>
      <w:r w:rsidRPr="00DB671B">
        <w:rPr>
          <w:rFonts w:cs="Arial"/>
        </w:rPr>
        <w:tab/>
      </w:r>
      <w:r w:rsidR="0094495A" w:rsidRPr="00DB671B">
        <w:rPr>
          <w:rFonts w:cs="Arial"/>
        </w:rPr>
        <w:t>Sur l</w:t>
      </w:r>
      <w:r w:rsidR="005F7AC8" w:rsidRPr="00DB671B">
        <w:rPr>
          <w:rFonts w:cs="Arial"/>
        </w:rPr>
        <w:t>’</w:t>
      </w:r>
      <w:r w:rsidR="0094495A" w:rsidRPr="00DB671B">
        <w:rPr>
          <w:rFonts w:cs="Arial"/>
        </w:rPr>
        <w:t>invitation des Pays</w:t>
      </w:r>
      <w:r w:rsidR="005F7AC8" w:rsidRPr="00DB671B">
        <w:rPr>
          <w:rFonts w:cs="Arial"/>
        </w:rPr>
        <w:t>-</w:t>
      </w:r>
      <w:r w:rsidR="0094495A" w:rsidRPr="00DB671B">
        <w:rPr>
          <w:rFonts w:cs="Arial"/>
        </w:rPr>
        <w:t>Bas,</w:t>
      </w:r>
      <w:r w:rsidR="005F7AC8" w:rsidRPr="00DB671B">
        <w:rPr>
          <w:rFonts w:cs="Arial"/>
        </w:rPr>
        <w:t xml:space="preserve"> le TWO</w:t>
      </w:r>
      <w:r w:rsidR="0094495A" w:rsidRPr="00DB671B">
        <w:rPr>
          <w:rFonts w:cs="Arial"/>
        </w:rPr>
        <w:t xml:space="preserve"> est convenu de tenir sa cinquante</w:t>
      </w:r>
      <w:r w:rsidR="005F7AC8" w:rsidRPr="00DB671B">
        <w:rPr>
          <w:rFonts w:cs="Arial"/>
        </w:rPr>
        <w:t>-</w:t>
      </w:r>
      <w:r w:rsidR="0094495A" w:rsidRPr="00DB671B">
        <w:rPr>
          <w:rFonts w:cs="Arial"/>
        </w:rPr>
        <w:t>deux</w:t>
      </w:r>
      <w:r w:rsidR="005F7AC8" w:rsidRPr="00DB671B">
        <w:rPr>
          <w:rFonts w:cs="Arial"/>
        </w:rPr>
        <w:t>ième session</w:t>
      </w:r>
      <w:r w:rsidR="0094495A" w:rsidRPr="00DB671B">
        <w:rPr>
          <w:rFonts w:cs="Arial"/>
        </w:rPr>
        <w:t xml:space="preserve"> à Roelofarendsveen (Pays</w:t>
      </w:r>
      <w:r w:rsidR="005F7AC8" w:rsidRPr="00DB671B">
        <w:rPr>
          <w:rFonts w:cs="Arial"/>
        </w:rPr>
        <w:t>-</w:t>
      </w:r>
      <w:r w:rsidR="0094495A" w:rsidRPr="00DB671B">
        <w:rPr>
          <w:rFonts w:cs="Arial"/>
        </w:rPr>
        <w:t>Bas) du 8 au 1</w:t>
      </w:r>
      <w:r w:rsidR="005F7AC8" w:rsidRPr="00DB671B">
        <w:rPr>
          <w:rFonts w:cs="Arial"/>
        </w:rPr>
        <w:t>2 juin 20</w:t>
      </w:r>
      <w:r w:rsidR="0094495A" w:rsidRPr="00DB671B">
        <w:rPr>
          <w:rFonts w:cs="Arial"/>
        </w:rPr>
        <w:t>20.</w:t>
      </w:r>
    </w:p>
    <w:p w:rsidR="00D83B31" w:rsidRPr="00DB671B" w:rsidRDefault="00D83B31" w:rsidP="00054FE5">
      <w:pPr>
        <w:rPr>
          <w:rFonts w:cs="Arial"/>
        </w:rPr>
      </w:pPr>
    </w:p>
    <w:p w:rsidR="00D83B31" w:rsidRPr="00DB671B" w:rsidRDefault="00054FE5" w:rsidP="00054FE5">
      <w:pPr>
        <w:keepNext/>
      </w:pPr>
      <w:r w:rsidRPr="00DB671B">
        <w:rPr>
          <w:rFonts w:cs="Arial"/>
        </w:rPr>
        <w:fldChar w:fldCharType="begin"/>
      </w:r>
      <w:r w:rsidRPr="00DB671B">
        <w:rPr>
          <w:rFonts w:cs="Arial"/>
        </w:rPr>
        <w:instrText xml:space="preserve"> AUTONUM  </w:instrText>
      </w:r>
      <w:r w:rsidRPr="00DB671B">
        <w:rPr>
          <w:rFonts w:cs="Arial"/>
        </w:rPr>
        <w:fldChar w:fldCharType="end"/>
      </w:r>
      <w:r w:rsidRPr="00DB671B">
        <w:rPr>
          <w:rFonts w:cs="Arial"/>
        </w:rPr>
        <w:tab/>
        <w:t>Le TWO est convenu d</w:t>
      </w:r>
      <w:r w:rsidR="005F7AC8" w:rsidRPr="00DB671B">
        <w:rPr>
          <w:rFonts w:cs="Arial"/>
        </w:rPr>
        <w:t>’</w:t>
      </w:r>
      <w:r w:rsidRPr="00DB671B">
        <w:rPr>
          <w:rFonts w:cs="Arial"/>
        </w:rPr>
        <w:t>examiner les points suivants à sa session suivante</w:t>
      </w:r>
      <w:r w:rsidR="005F7AC8" w:rsidRPr="00DB671B">
        <w:rPr>
          <w:rFonts w:cs="Arial"/>
        </w:rPr>
        <w:t> :</w:t>
      </w:r>
    </w:p>
    <w:p w:rsidR="00D83B31" w:rsidRPr="00DB671B" w:rsidRDefault="00D83B31" w:rsidP="00054FE5">
      <w:pPr>
        <w:ind w:left="567"/>
      </w:pPr>
    </w:p>
    <w:p w:rsidR="00D83B31" w:rsidRPr="00DB671B" w:rsidRDefault="00054FE5" w:rsidP="00054FE5">
      <w:pPr>
        <w:tabs>
          <w:tab w:val="left" w:pos="1134"/>
          <w:tab w:val="left" w:pos="1701"/>
        </w:tabs>
        <w:ind w:left="567"/>
      </w:pPr>
      <w:r w:rsidRPr="00DB671B">
        <w:t>1.</w:t>
      </w:r>
      <w:r w:rsidRPr="00DB671B">
        <w:tab/>
        <w:t>Ouverture de la session</w:t>
      </w:r>
    </w:p>
    <w:p w:rsidR="00D83B31" w:rsidRPr="00DB671B" w:rsidRDefault="00054FE5" w:rsidP="00054FE5">
      <w:pPr>
        <w:tabs>
          <w:tab w:val="left" w:pos="1134"/>
          <w:tab w:val="left" w:pos="1701"/>
        </w:tabs>
        <w:ind w:left="567"/>
      </w:pPr>
      <w:r w:rsidRPr="00DB671B">
        <w:t>2.</w:t>
      </w:r>
      <w:r w:rsidRPr="00DB671B">
        <w:tab/>
        <w:t>Adoption de l</w:t>
      </w:r>
      <w:r w:rsidR="005F7AC8" w:rsidRPr="00DB671B">
        <w:t>’</w:t>
      </w:r>
      <w:r w:rsidRPr="00DB671B">
        <w:t>ordre du jour</w:t>
      </w:r>
    </w:p>
    <w:p w:rsidR="00D83B31" w:rsidRPr="00DB671B" w:rsidRDefault="00054FE5" w:rsidP="00054FE5">
      <w:pPr>
        <w:tabs>
          <w:tab w:val="left" w:pos="1134"/>
          <w:tab w:val="left" w:pos="1701"/>
        </w:tabs>
        <w:ind w:left="567"/>
      </w:pPr>
      <w:r w:rsidRPr="00DB671B">
        <w:t>3.</w:t>
      </w:r>
      <w:r w:rsidRPr="00DB671B">
        <w:tab/>
        <w:t>Rapports succincts sur l</w:t>
      </w:r>
      <w:r w:rsidR="005F7AC8" w:rsidRPr="00DB671B">
        <w:t>’</w:t>
      </w:r>
      <w:r w:rsidRPr="00DB671B">
        <w:t>évolution de la situation en matière de protection des obtentions végétales</w:t>
      </w:r>
      <w:r w:rsidR="005F7AC8" w:rsidRPr="00DB671B">
        <w:t> :</w:t>
      </w:r>
    </w:p>
    <w:p w:rsidR="00D83B31" w:rsidRPr="00DB671B" w:rsidRDefault="00054FE5" w:rsidP="00054FE5">
      <w:pPr>
        <w:tabs>
          <w:tab w:val="left" w:pos="1134"/>
          <w:tab w:val="left" w:pos="1701"/>
        </w:tabs>
        <w:ind w:left="1701" w:hanging="567"/>
      </w:pPr>
      <w:r w:rsidRPr="00DB671B">
        <w:t>a)</w:t>
      </w:r>
      <w:r w:rsidRPr="00DB671B">
        <w:tab/>
        <w:t>Rapports des membres et des observateurs (rapports écrits à établir par les membres et observateurs)</w:t>
      </w:r>
    </w:p>
    <w:p w:rsidR="00D83B31" w:rsidRPr="00DB671B" w:rsidRDefault="0094495A" w:rsidP="0094495A">
      <w:pPr>
        <w:tabs>
          <w:tab w:val="left" w:pos="1134"/>
          <w:tab w:val="left" w:pos="1701"/>
        </w:tabs>
        <w:ind w:left="1701" w:hanging="567"/>
      </w:pPr>
      <w:r w:rsidRPr="00DB671B">
        <w:t>b)</w:t>
      </w:r>
      <w:r w:rsidRPr="00DB671B">
        <w:tab/>
        <w:t>Rapport sur les faits nouveaux intervenus à l</w:t>
      </w:r>
      <w:r w:rsidR="005F7AC8" w:rsidRPr="00DB671B">
        <w:t>’</w:t>
      </w:r>
      <w:r w:rsidRPr="00DB671B">
        <w:t>UPOV (document à établir par le Bureau de l</w:t>
      </w:r>
      <w:r w:rsidR="005F7AC8" w:rsidRPr="00DB671B">
        <w:t>’</w:t>
      </w:r>
      <w:r w:rsidRPr="00DB671B">
        <w:t>Union)</w:t>
      </w:r>
    </w:p>
    <w:p w:rsidR="00D83B31" w:rsidRPr="00DB671B" w:rsidRDefault="00054FE5" w:rsidP="00054FE5">
      <w:pPr>
        <w:tabs>
          <w:tab w:val="left" w:pos="1134"/>
          <w:tab w:val="left" w:pos="1701"/>
        </w:tabs>
        <w:ind w:left="567"/>
        <w:rPr>
          <w:rFonts w:cs="Arial"/>
        </w:rPr>
      </w:pPr>
      <w:r w:rsidRPr="00DB671B">
        <w:rPr>
          <w:rFonts w:cs="Arial"/>
        </w:rPr>
        <w:t>4.</w:t>
      </w:r>
      <w:r w:rsidRPr="00DB671B">
        <w:rPr>
          <w:rFonts w:cs="Arial"/>
        </w:rPr>
        <w:tab/>
        <w:t>Documents TGP (documents à établir par le Bureau de l</w:t>
      </w:r>
      <w:r w:rsidR="005F7AC8" w:rsidRPr="00DB671B">
        <w:rPr>
          <w:rFonts w:cs="Arial"/>
        </w:rPr>
        <w:t>’</w:t>
      </w:r>
      <w:r w:rsidRPr="00DB671B">
        <w:rPr>
          <w:rFonts w:cs="Arial"/>
        </w:rPr>
        <w:t>Union)</w:t>
      </w:r>
    </w:p>
    <w:p w:rsidR="00D83B31" w:rsidRPr="00DB671B" w:rsidRDefault="00054FE5" w:rsidP="00054FE5">
      <w:pPr>
        <w:tabs>
          <w:tab w:val="left" w:pos="1134"/>
          <w:tab w:val="left" w:pos="1701"/>
        </w:tabs>
        <w:ind w:left="567"/>
      </w:pPr>
      <w:r w:rsidRPr="00DB671B">
        <w:t>5.</w:t>
      </w:r>
      <w:r w:rsidRPr="00DB671B">
        <w:tab/>
        <w:t>Techniques moléculaires (document à établir par le Bureau de l</w:t>
      </w:r>
      <w:r w:rsidR="005F7AC8" w:rsidRPr="00DB671B">
        <w:t>’</w:t>
      </w:r>
      <w:r w:rsidRPr="00DB671B">
        <w:t>Union)</w:t>
      </w:r>
    </w:p>
    <w:p w:rsidR="00D83B31" w:rsidRPr="00DB671B" w:rsidRDefault="00054FE5" w:rsidP="00054FE5">
      <w:pPr>
        <w:tabs>
          <w:tab w:val="left" w:pos="1134"/>
          <w:tab w:val="left" w:pos="1701"/>
        </w:tabs>
        <w:ind w:left="567"/>
      </w:pPr>
      <w:r w:rsidRPr="00DB671B">
        <w:t>6.</w:t>
      </w:r>
      <w:r w:rsidRPr="00DB671B">
        <w:tab/>
        <w:t>Dénominations variétales (document à établir par le Bureau de l</w:t>
      </w:r>
      <w:r w:rsidR="005F7AC8" w:rsidRPr="00DB671B">
        <w:t>’</w:t>
      </w:r>
      <w:r w:rsidRPr="00DB671B">
        <w:t>Union)</w:t>
      </w:r>
    </w:p>
    <w:p w:rsidR="00D83B31" w:rsidRPr="00DB671B" w:rsidRDefault="00054FE5" w:rsidP="00054FE5">
      <w:pPr>
        <w:tabs>
          <w:tab w:val="left" w:pos="1134"/>
          <w:tab w:val="left" w:pos="1701"/>
        </w:tabs>
        <w:ind w:left="567"/>
      </w:pPr>
      <w:r w:rsidRPr="00DB671B">
        <w:t>7.</w:t>
      </w:r>
      <w:r w:rsidRPr="00DB671B">
        <w:tab/>
        <w:t>Bases de données d</w:t>
      </w:r>
      <w:r w:rsidR="005F7AC8" w:rsidRPr="00DB671B">
        <w:t>’</w:t>
      </w:r>
      <w:r w:rsidRPr="00DB671B">
        <w:t>information</w:t>
      </w:r>
    </w:p>
    <w:p w:rsidR="00D83B31" w:rsidRPr="00DB671B" w:rsidRDefault="00054FE5" w:rsidP="00054FE5">
      <w:pPr>
        <w:tabs>
          <w:tab w:val="left" w:pos="1134"/>
          <w:tab w:val="left" w:pos="1701"/>
        </w:tabs>
        <w:ind w:left="1701" w:hanging="567"/>
        <w:rPr>
          <w:rFonts w:cs="Arial"/>
        </w:rPr>
      </w:pPr>
      <w:r w:rsidRPr="00DB671B">
        <w:rPr>
          <w:rFonts w:cs="Arial"/>
        </w:rPr>
        <w:t>a)</w:t>
      </w:r>
      <w:r w:rsidRPr="00DB671B">
        <w:rPr>
          <w:rFonts w:cs="Arial"/>
        </w:rPr>
        <w:tab/>
        <w:t>Bases de données d</w:t>
      </w:r>
      <w:r w:rsidR="005F7AC8" w:rsidRPr="00DB671B">
        <w:rPr>
          <w:rFonts w:cs="Arial"/>
        </w:rPr>
        <w:t>’</w:t>
      </w:r>
      <w:r w:rsidRPr="00DB671B">
        <w:rPr>
          <w:rFonts w:cs="Arial"/>
        </w:rPr>
        <w:t>information de l</w:t>
      </w:r>
      <w:r w:rsidR="005F7AC8" w:rsidRPr="00DB671B">
        <w:rPr>
          <w:rFonts w:cs="Arial"/>
        </w:rPr>
        <w:t>’</w:t>
      </w:r>
      <w:r w:rsidRPr="00DB671B">
        <w:rPr>
          <w:rFonts w:cs="Arial"/>
        </w:rPr>
        <w:t>UPOV (document à établir par le Bureau de l</w:t>
      </w:r>
      <w:r w:rsidR="005F7AC8" w:rsidRPr="00DB671B">
        <w:rPr>
          <w:rFonts w:cs="Arial"/>
        </w:rPr>
        <w:t>’</w:t>
      </w:r>
      <w:r w:rsidRPr="00DB671B">
        <w:rPr>
          <w:rFonts w:cs="Arial"/>
        </w:rPr>
        <w:t>Union)</w:t>
      </w:r>
    </w:p>
    <w:p w:rsidR="005F7AC8" w:rsidRPr="00DB671B" w:rsidRDefault="00054FE5" w:rsidP="00054FE5">
      <w:pPr>
        <w:tabs>
          <w:tab w:val="left" w:pos="1134"/>
          <w:tab w:val="left" w:pos="1701"/>
        </w:tabs>
        <w:ind w:left="1701" w:hanging="567"/>
        <w:rPr>
          <w:rFonts w:cs="Arial"/>
        </w:rPr>
      </w:pPr>
      <w:r w:rsidRPr="00DB671B">
        <w:rPr>
          <w:rFonts w:cs="Arial"/>
        </w:rPr>
        <w:t>b)</w:t>
      </w:r>
      <w:r w:rsidRPr="00DB671B">
        <w:rPr>
          <w:rFonts w:cs="Arial"/>
        </w:rPr>
        <w:tab/>
        <w:t>Bases de données sur les descriptions variétales (document à établir par le Bureau de l</w:t>
      </w:r>
      <w:r w:rsidR="005F7AC8" w:rsidRPr="00DB671B">
        <w:rPr>
          <w:rFonts w:cs="Arial"/>
        </w:rPr>
        <w:t>’</w:t>
      </w:r>
      <w:r w:rsidRPr="00DB671B">
        <w:rPr>
          <w:rFonts w:cs="Arial"/>
        </w:rPr>
        <w:t>Union et documents sollicités)</w:t>
      </w:r>
    </w:p>
    <w:p w:rsidR="00D83B31" w:rsidRPr="00DB671B" w:rsidRDefault="00054FE5" w:rsidP="00054FE5">
      <w:pPr>
        <w:tabs>
          <w:tab w:val="left" w:pos="1134"/>
          <w:tab w:val="left" w:pos="1701"/>
        </w:tabs>
        <w:ind w:left="1701" w:hanging="567"/>
        <w:rPr>
          <w:rFonts w:cs="Arial"/>
        </w:rPr>
      </w:pPr>
      <w:r w:rsidRPr="00DB671B">
        <w:rPr>
          <w:rFonts w:cs="Arial"/>
        </w:rPr>
        <w:t>c)</w:t>
      </w:r>
      <w:r w:rsidRPr="00DB671B">
        <w:rPr>
          <w:rFonts w:cs="Arial"/>
        </w:rPr>
        <w:tab/>
        <w:t>Échange et utilisation de logiciels et d</w:t>
      </w:r>
      <w:r w:rsidR="005F7AC8" w:rsidRPr="00DB671B">
        <w:rPr>
          <w:rFonts w:cs="Arial"/>
        </w:rPr>
        <w:t>’</w:t>
      </w:r>
      <w:r w:rsidRPr="00DB671B">
        <w:rPr>
          <w:rFonts w:cs="Arial"/>
        </w:rPr>
        <w:t>équipements (document à établir par le Bureau de l</w:t>
      </w:r>
      <w:r w:rsidR="005F7AC8" w:rsidRPr="00DB671B">
        <w:rPr>
          <w:rFonts w:cs="Arial"/>
        </w:rPr>
        <w:t>’</w:t>
      </w:r>
      <w:r w:rsidRPr="00DB671B">
        <w:rPr>
          <w:rFonts w:cs="Arial"/>
        </w:rPr>
        <w:t>Union)</w:t>
      </w:r>
    </w:p>
    <w:p w:rsidR="00D83B31" w:rsidRPr="00DB671B" w:rsidRDefault="0094495A" w:rsidP="0094495A">
      <w:pPr>
        <w:tabs>
          <w:tab w:val="left" w:pos="1134"/>
          <w:tab w:val="left" w:pos="1701"/>
        </w:tabs>
        <w:ind w:left="1701" w:hanging="567"/>
        <w:rPr>
          <w:rFonts w:cs="Arial"/>
        </w:rPr>
      </w:pPr>
      <w:r w:rsidRPr="00DB671B">
        <w:rPr>
          <w:rFonts w:cs="Arial"/>
        </w:rPr>
        <w:t>d)</w:t>
      </w:r>
      <w:r w:rsidRPr="00DB671B">
        <w:rPr>
          <w:rFonts w:cs="Arial"/>
        </w:rPr>
        <w:tab/>
        <w:t>UPOV PRISMA (document à établir par le Bureau de l</w:t>
      </w:r>
      <w:r w:rsidR="005F7AC8" w:rsidRPr="00DB671B">
        <w:rPr>
          <w:rFonts w:cs="Arial"/>
        </w:rPr>
        <w:t>’</w:t>
      </w:r>
      <w:r w:rsidRPr="00DB671B">
        <w:rPr>
          <w:rFonts w:cs="Arial"/>
        </w:rPr>
        <w:t>Union et rapports sollicités sur la fourniture d</w:t>
      </w:r>
      <w:r w:rsidR="005F7AC8" w:rsidRPr="00DB671B">
        <w:rPr>
          <w:rFonts w:cs="Arial"/>
        </w:rPr>
        <w:t>’</w:t>
      </w:r>
      <w:r w:rsidRPr="00DB671B">
        <w:rPr>
          <w:rFonts w:cs="Arial"/>
        </w:rPr>
        <w:t>informations sur les arbres et la vigne pour UPOV PRISMA)</w:t>
      </w:r>
    </w:p>
    <w:p w:rsidR="00D83B31" w:rsidRPr="00DB671B" w:rsidRDefault="0094495A" w:rsidP="0094495A">
      <w:pPr>
        <w:tabs>
          <w:tab w:val="left" w:pos="1134"/>
          <w:tab w:val="left" w:pos="1701"/>
        </w:tabs>
        <w:ind w:left="1134" w:hanging="567"/>
        <w:rPr>
          <w:rFonts w:cs="Arial"/>
        </w:rPr>
      </w:pPr>
      <w:r w:rsidRPr="00DB671B">
        <w:rPr>
          <w:rFonts w:cs="Arial"/>
        </w:rPr>
        <w:t>8.</w:t>
      </w:r>
      <w:r w:rsidRPr="00DB671B">
        <w:rPr>
          <w:rFonts w:cs="Arial"/>
        </w:rPr>
        <w:tab/>
        <w:t>Écarts minimaux entre les variétés ornementales de reproduction asexuée (document à établir par l</w:t>
      </w:r>
      <w:r w:rsidR="005F7AC8" w:rsidRPr="00DB671B">
        <w:rPr>
          <w:rFonts w:cs="Arial"/>
        </w:rPr>
        <w:t>’</w:t>
      </w:r>
      <w:r w:rsidRPr="00DB671B">
        <w:rPr>
          <w:rFonts w:cs="Arial"/>
        </w:rPr>
        <w:t>Union européenne et</w:t>
      </w:r>
      <w:r w:rsidR="005F7AC8" w:rsidRPr="00DB671B">
        <w:rPr>
          <w:rFonts w:cs="Arial"/>
        </w:rPr>
        <w:t xml:space="preserve"> la CIO</w:t>
      </w:r>
      <w:r w:rsidRPr="00DB671B">
        <w:rPr>
          <w:rFonts w:cs="Arial"/>
        </w:rPr>
        <w:t>PORA et documents sollicités)</w:t>
      </w:r>
    </w:p>
    <w:p w:rsidR="00D83B31" w:rsidRPr="00DB671B" w:rsidRDefault="0094495A" w:rsidP="0094495A">
      <w:pPr>
        <w:tabs>
          <w:tab w:val="left" w:pos="1134"/>
          <w:tab w:val="left" w:pos="1701"/>
        </w:tabs>
        <w:ind w:left="567"/>
      </w:pPr>
      <w:r w:rsidRPr="00DB671B">
        <w:t>9.</w:t>
      </w:r>
      <w:r w:rsidRPr="00DB671B">
        <w:tab/>
        <w:t>Nouvelles questions se posant pour l</w:t>
      </w:r>
      <w:r w:rsidR="005F7AC8" w:rsidRPr="00DB671B">
        <w:t>’</w:t>
      </w:r>
      <w:r w:rsidRPr="00DB671B">
        <w:t>examen</w:t>
      </w:r>
      <w:r w:rsidR="00E85E8E" w:rsidRPr="00DB671B">
        <w:t> </w:t>
      </w:r>
      <w:r w:rsidRPr="00DB671B">
        <w:t>DHS (documents sollicités)</w:t>
      </w:r>
    </w:p>
    <w:p w:rsidR="00D83B31" w:rsidRPr="00DB671B" w:rsidRDefault="00054FE5" w:rsidP="00054FE5">
      <w:pPr>
        <w:tabs>
          <w:tab w:val="left" w:pos="1134"/>
          <w:tab w:val="left" w:pos="1701"/>
        </w:tabs>
        <w:ind w:left="1170" w:hanging="603"/>
      </w:pPr>
      <w:r w:rsidRPr="00DB671B">
        <w:t>10.</w:t>
      </w:r>
      <w:r w:rsidRPr="00DB671B">
        <w:tab/>
        <w:t>Rapport sur les procédures judiciaires mettant en jeu des questions techniques (documents sollicités)</w:t>
      </w:r>
    </w:p>
    <w:p w:rsidR="005F7AC8" w:rsidRPr="00DB671B" w:rsidRDefault="00054FE5" w:rsidP="00054FE5">
      <w:pPr>
        <w:tabs>
          <w:tab w:val="left" w:pos="1134"/>
          <w:tab w:val="left" w:pos="1701"/>
        </w:tabs>
        <w:ind w:left="567"/>
      </w:pPr>
      <w:r w:rsidRPr="00DB671B">
        <w:t>11.</w:t>
      </w:r>
      <w:r w:rsidRPr="00DB671B">
        <w:tab/>
        <w:t>Expériences avec de nouveaux types et espèces (rapports verbaux sollicités)</w:t>
      </w:r>
    </w:p>
    <w:p w:rsidR="005F7AC8" w:rsidRPr="00DB671B" w:rsidRDefault="00054FE5" w:rsidP="00054FE5">
      <w:pPr>
        <w:tabs>
          <w:tab w:val="left" w:pos="1134"/>
          <w:tab w:val="left" w:pos="1701"/>
        </w:tabs>
        <w:ind w:left="567"/>
      </w:pPr>
      <w:r w:rsidRPr="00DB671B">
        <w:t>12.</w:t>
      </w:r>
      <w:r w:rsidRPr="00DB671B">
        <w:tab/>
        <w:t>Questions en suspens concernant les principes directeurs d</w:t>
      </w:r>
      <w:r w:rsidR="005F7AC8" w:rsidRPr="00DB671B">
        <w:t>’</w:t>
      </w:r>
      <w:r w:rsidRPr="00DB671B">
        <w:t>examen adoptés par le Comité technique (le cas échéant)</w:t>
      </w:r>
    </w:p>
    <w:p w:rsidR="00D83B31" w:rsidRPr="00DB671B" w:rsidRDefault="00054FE5" w:rsidP="00054FE5">
      <w:pPr>
        <w:tabs>
          <w:tab w:val="left" w:pos="1134"/>
          <w:tab w:val="left" w:pos="1701"/>
        </w:tabs>
        <w:ind w:left="567"/>
      </w:pPr>
      <w:r w:rsidRPr="00DB671B">
        <w:t>13.</w:t>
      </w:r>
      <w:r w:rsidRPr="00DB671B">
        <w:tab/>
        <w:t>Examen des projets de principes directeurs d</w:t>
      </w:r>
      <w:r w:rsidR="005F7AC8" w:rsidRPr="00DB671B">
        <w:t>’</w:t>
      </w:r>
      <w:r w:rsidRPr="00DB671B">
        <w:t>examen (sous</w:t>
      </w:r>
      <w:r w:rsidR="005F7AC8" w:rsidRPr="00DB671B">
        <w:t>-</w:t>
      </w:r>
      <w:r w:rsidRPr="00DB671B">
        <w:t>groupes)</w:t>
      </w:r>
    </w:p>
    <w:p w:rsidR="00D83B31" w:rsidRPr="00DB671B" w:rsidRDefault="00054FE5" w:rsidP="00054FE5">
      <w:pPr>
        <w:tabs>
          <w:tab w:val="left" w:pos="1134"/>
          <w:tab w:val="left" w:pos="1701"/>
        </w:tabs>
        <w:ind w:left="567"/>
      </w:pPr>
      <w:r w:rsidRPr="00DB671B">
        <w:t>14.</w:t>
      </w:r>
      <w:r w:rsidRPr="00DB671B">
        <w:tab/>
        <w:t>Recommandations sur les projets de principes directeurs d</w:t>
      </w:r>
      <w:r w:rsidR="005F7AC8" w:rsidRPr="00DB671B">
        <w:t>’</w:t>
      </w:r>
      <w:r w:rsidRPr="00DB671B">
        <w:t>examen</w:t>
      </w:r>
    </w:p>
    <w:p w:rsidR="005F7AC8" w:rsidRPr="00DB671B" w:rsidRDefault="00054FE5" w:rsidP="00054FE5">
      <w:pPr>
        <w:tabs>
          <w:tab w:val="left" w:pos="1134"/>
          <w:tab w:val="left" w:pos="1701"/>
        </w:tabs>
        <w:ind w:left="567"/>
      </w:pPr>
      <w:r w:rsidRPr="00DB671B">
        <w:t>15.</w:t>
      </w:r>
      <w:r w:rsidRPr="00DB671B">
        <w:tab/>
        <w:t>Orientations pour les rédacteurs de principes directeurs d</w:t>
      </w:r>
      <w:r w:rsidR="005F7AC8" w:rsidRPr="00DB671B">
        <w:t>’</w:t>
      </w:r>
      <w:r w:rsidRPr="00DB671B">
        <w:t>examen</w:t>
      </w:r>
    </w:p>
    <w:p w:rsidR="00D83B31" w:rsidRPr="00DB671B" w:rsidRDefault="00054FE5" w:rsidP="00054FE5">
      <w:pPr>
        <w:tabs>
          <w:tab w:val="left" w:pos="1134"/>
          <w:tab w:val="left" w:pos="1701"/>
        </w:tabs>
        <w:ind w:left="567"/>
      </w:pPr>
      <w:r w:rsidRPr="00DB671B">
        <w:t>16.</w:t>
      </w:r>
      <w:r w:rsidRPr="00DB671B">
        <w:tab/>
        <w:t>Date et lieu de la prochaine session</w:t>
      </w:r>
    </w:p>
    <w:p w:rsidR="00D83B31" w:rsidRPr="00DB671B" w:rsidRDefault="00054FE5" w:rsidP="00054FE5">
      <w:pPr>
        <w:tabs>
          <w:tab w:val="left" w:pos="1134"/>
          <w:tab w:val="left" w:pos="1701"/>
        </w:tabs>
        <w:ind w:left="567"/>
      </w:pPr>
      <w:r w:rsidRPr="00DB671B">
        <w:t>17.</w:t>
      </w:r>
      <w:r w:rsidRPr="00DB671B">
        <w:tab/>
        <w:t>Programme futur</w:t>
      </w:r>
    </w:p>
    <w:p w:rsidR="00D83B31" w:rsidRPr="00DB671B" w:rsidRDefault="00054FE5" w:rsidP="00054FE5">
      <w:pPr>
        <w:tabs>
          <w:tab w:val="left" w:pos="1134"/>
          <w:tab w:val="left" w:pos="1701"/>
        </w:tabs>
        <w:ind w:left="567"/>
      </w:pPr>
      <w:r w:rsidRPr="00DB671B">
        <w:t>18.</w:t>
      </w:r>
      <w:r w:rsidRPr="00DB671B">
        <w:tab/>
        <w:t>Adoption du compte rendu de la session (selon le temps disponible)</w:t>
      </w:r>
    </w:p>
    <w:p w:rsidR="00D83B31" w:rsidRPr="00DB671B" w:rsidRDefault="008C5485" w:rsidP="00054FE5">
      <w:pPr>
        <w:tabs>
          <w:tab w:val="left" w:pos="1134"/>
          <w:tab w:val="left" w:pos="1701"/>
        </w:tabs>
        <w:ind w:left="567"/>
      </w:pPr>
      <w:r>
        <w:t>19.</w:t>
      </w:r>
      <w:r>
        <w:tab/>
      </w:r>
      <w:r w:rsidR="00054FE5" w:rsidRPr="00DB671B">
        <w:t>Clôture de la session</w:t>
      </w:r>
    </w:p>
    <w:p w:rsidR="00D83B31" w:rsidRPr="00DB671B" w:rsidRDefault="00D83B31" w:rsidP="00054FE5">
      <w:pPr>
        <w:rPr>
          <w:rFonts w:cs="Arial"/>
        </w:rPr>
      </w:pPr>
    </w:p>
    <w:p w:rsidR="005F7AC8" w:rsidRPr="00DB671B" w:rsidRDefault="00054FE5" w:rsidP="0094495A">
      <w:pPr>
        <w:rPr>
          <w:shd w:val="clear" w:color="auto" w:fill="FFFFFF"/>
        </w:rPr>
      </w:pPr>
      <w:r w:rsidRPr="00DB671B">
        <w:rPr>
          <w:shd w:val="clear" w:color="auto" w:fill="FFFFFF"/>
        </w:rPr>
        <w:fldChar w:fldCharType="begin"/>
      </w:r>
      <w:r w:rsidRPr="00DB671B">
        <w:rPr>
          <w:shd w:val="clear" w:color="auto" w:fill="FFFFFF"/>
        </w:rPr>
        <w:instrText xml:space="preserve"> AUTONUM  </w:instrText>
      </w:r>
      <w:r w:rsidRPr="00DB671B">
        <w:rPr>
          <w:shd w:val="clear" w:color="auto" w:fill="FFFFFF"/>
        </w:rPr>
        <w:fldChar w:fldCharType="end"/>
      </w:r>
      <w:r w:rsidRPr="00DB671B">
        <w:rPr>
          <w:shd w:val="clear" w:color="auto" w:fill="FFFFFF"/>
        </w:rPr>
        <w:tab/>
      </w:r>
      <w:r w:rsidR="0094495A" w:rsidRPr="00DB671B">
        <w:rPr>
          <w:shd w:val="clear" w:color="auto" w:fill="FFFFFF"/>
        </w:rPr>
        <w:t>Dans l</w:t>
      </w:r>
      <w:r w:rsidR="005F7AC8" w:rsidRPr="00DB671B">
        <w:rPr>
          <w:shd w:val="clear" w:color="auto" w:fill="FFFFFF"/>
        </w:rPr>
        <w:t>’</w:t>
      </w:r>
      <w:r w:rsidR="0094495A" w:rsidRPr="00DB671B">
        <w:rPr>
          <w:shd w:val="clear" w:color="auto" w:fill="FFFFFF"/>
        </w:rPr>
        <w:t>après</w:t>
      </w:r>
      <w:r w:rsidR="005F7AC8" w:rsidRPr="00DB671B">
        <w:rPr>
          <w:shd w:val="clear" w:color="auto" w:fill="FFFFFF"/>
        </w:rPr>
        <w:t>-</w:t>
      </w:r>
      <w:r w:rsidR="0094495A" w:rsidRPr="00DB671B">
        <w:rPr>
          <w:shd w:val="clear" w:color="auto" w:fill="FFFFFF"/>
        </w:rPr>
        <w:t>midi du mercredi 2</w:t>
      </w:r>
      <w:r w:rsidR="005F7AC8" w:rsidRPr="00DB671B">
        <w:rPr>
          <w:shd w:val="clear" w:color="auto" w:fill="FFFFFF"/>
        </w:rPr>
        <w:t>0 février 20</w:t>
      </w:r>
      <w:r w:rsidR="0094495A" w:rsidRPr="00DB671B">
        <w:rPr>
          <w:shd w:val="clear" w:color="auto" w:fill="FFFFFF"/>
        </w:rPr>
        <w:t>19,</w:t>
      </w:r>
      <w:r w:rsidR="005F7AC8" w:rsidRPr="00DB671B">
        <w:rPr>
          <w:shd w:val="clear" w:color="auto" w:fill="FFFFFF"/>
        </w:rPr>
        <w:t xml:space="preserve"> le TWO</w:t>
      </w:r>
      <w:r w:rsidR="0094495A" w:rsidRPr="00DB671B">
        <w:rPr>
          <w:shd w:val="clear" w:color="auto" w:fill="FFFFFF"/>
        </w:rPr>
        <w:t xml:space="preserve"> a visité les jardins Broadfield en Nouvelle</w:t>
      </w:r>
      <w:r w:rsidR="0047431E">
        <w:rPr>
          <w:shd w:val="clear" w:color="auto" w:fill="FFFFFF"/>
        </w:rPr>
        <w:noBreakHyphen/>
      </w:r>
      <w:r w:rsidR="0094495A" w:rsidRPr="00DB671B">
        <w:rPr>
          <w:shd w:val="clear" w:color="auto" w:fill="FFFFFF"/>
        </w:rPr>
        <w:t xml:space="preserve">Zélande, à proximité de Rolleston, pour observer des espèces autochtones de plantes ornementales, </w:t>
      </w:r>
      <w:r w:rsidR="005F7AC8" w:rsidRPr="00DB671B">
        <w:rPr>
          <w:shd w:val="clear" w:color="auto" w:fill="FFFFFF"/>
        </w:rPr>
        <w:t>y compris :</w:t>
      </w:r>
      <w:r w:rsidR="0094495A" w:rsidRPr="00DB671B">
        <w:rPr>
          <w:shd w:val="clear" w:color="auto" w:fill="FFFFFF"/>
        </w:rPr>
        <w:t xml:space="preserve"> agathis, clianthus, neopanax et pseudopanax.</w:t>
      </w:r>
      <w:r w:rsidR="005F7AC8" w:rsidRPr="00DB671B">
        <w:rPr>
          <w:shd w:val="clear" w:color="auto" w:fill="FFFFFF"/>
        </w:rPr>
        <w:t xml:space="preserve"> </w:t>
      </w:r>
      <w:r w:rsidR="00E85E8E" w:rsidRPr="00DB671B">
        <w:rPr>
          <w:shd w:val="clear" w:color="auto" w:fill="FFFFFF"/>
        </w:rPr>
        <w:t xml:space="preserve"> </w:t>
      </w:r>
      <w:r w:rsidR="005F7AC8" w:rsidRPr="00DB671B">
        <w:rPr>
          <w:shd w:val="clear" w:color="auto" w:fill="FFFFFF"/>
        </w:rPr>
        <w:t>Le TWO</w:t>
      </w:r>
      <w:r w:rsidR="0094495A" w:rsidRPr="00DB671B">
        <w:rPr>
          <w:shd w:val="clear" w:color="auto" w:fill="FFFFFF"/>
        </w:rPr>
        <w:t xml:space="preserve"> a également visité le Manaaki Whenua Landcare Research, au Canterbury Agriculture and Science Centre Lincoln (CASC) et les essais DHS pour le géranium, le daphné et le leucothoe. </w:t>
      </w:r>
      <w:r w:rsidR="005F7AC8" w:rsidRPr="00DB671B">
        <w:rPr>
          <w:shd w:val="clear" w:color="auto" w:fill="FFFFFF"/>
        </w:rPr>
        <w:t xml:space="preserve"> Le TWO</w:t>
      </w:r>
      <w:r w:rsidR="0094495A" w:rsidRPr="00DB671B">
        <w:rPr>
          <w:shd w:val="clear" w:color="auto" w:fill="FFFFFF"/>
        </w:rPr>
        <w:t xml:space="preserve"> a visité les collections de variétés pour la cordyline, la véronique, le zantedeschia et le lin de Nouvelle</w:t>
      </w:r>
      <w:r w:rsidR="005F7AC8" w:rsidRPr="00DB671B">
        <w:rPr>
          <w:shd w:val="clear" w:color="auto" w:fill="FFFFFF"/>
        </w:rPr>
        <w:t>-</w:t>
      </w:r>
      <w:r w:rsidR="0094495A" w:rsidRPr="00DB671B">
        <w:rPr>
          <w:shd w:val="clear" w:color="auto" w:fill="FFFFFF"/>
        </w:rPr>
        <w:t>Zélande.</w:t>
      </w:r>
    </w:p>
    <w:p w:rsidR="00D83B31" w:rsidRPr="00DB671B" w:rsidRDefault="00D83B31" w:rsidP="0094495A">
      <w:pPr>
        <w:rPr>
          <w:shd w:val="clear" w:color="auto" w:fill="FFFFFF"/>
        </w:rPr>
      </w:pPr>
    </w:p>
    <w:p w:rsidR="00D83B31" w:rsidRPr="00DB671B" w:rsidRDefault="0094495A" w:rsidP="0094495A">
      <w:pPr>
        <w:rPr>
          <w:shd w:val="clear" w:color="auto" w:fill="FFFFFF"/>
        </w:rPr>
      </w:pPr>
      <w:r w:rsidRPr="00DB671B">
        <w:rPr>
          <w:shd w:val="clear" w:color="auto" w:fill="FFFFFF"/>
        </w:rPr>
        <w:fldChar w:fldCharType="begin"/>
      </w:r>
      <w:r w:rsidRPr="00DB671B">
        <w:rPr>
          <w:shd w:val="clear" w:color="auto" w:fill="FFFFFF"/>
        </w:rPr>
        <w:instrText xml:space="preserve"> AUTONUM  </w:instrText>
      </w:r>
      <w:r w:rsidRPr="00DB671B">
        <w:rPr>
          <w:shd w:val="clear" w:color="auto" w:fill="FFFFFF"/>
        </w:rPr>
        <w:fldChar w:fldCharType="end"/>
      </w:r>
      <w:r w:rsidRPr="00DB671B">
        <w:rPr>
          <w:shd w:val="clear" w:color="auto" w:fill="FFFFFF"/>
        </w:rPr>
        <w:tab/>
        <w:t xml:space="preserve">Le TWO va </w:t>
      </w:r>
      <w:r w:rsidR="004E4D88" w:rsidRPr="00DB671B">
        <w:rPr>
          <w:shd w:val="clear" w:color="auto" w:fill="FFFFFF"/>
        </w:rPr>
        <w:t>élire</w:t>
      </w:r>
      <w:r w:rsidRPr="00DB671B">
        <w:rPr>
          <w:shd w:val="clear" w:color="auto" w:fill="FFFFFF"/>
        </w:rPr>
        <w:t xml:space="preserve"> son prochain président à sa cinquante</w:t>
      </w:r>
      <w:r w:rsidR="005F7AC8" w:rsidRPr="00DB671B">
        <w:rPr>
          <w:shd w:val="clear" w:color="auto" w:fill="FFFFFF"/>
        </w:rPr>
        <w:t>-</w:t>
      </w:r>
      <w:r w:rsidRPr="00DB671B">
        <w:rPr>
          <w:shd w:val="clear" w:color="auto" w:fill="FFFFFF"/>
        </w:rPr>
        <w:t>deux</w:t>
      </w:r>
      <w:r w:rsidR="005F7AC8" w:rsidRPr="00DB671B">
        <w:rPr>
          <w:shd w:val="clear" w:color="auto" w:fill="FFFFFF"/>
        </w:rPr>
        <w:t>ième session</w:t>
      </w:r>
      <w:r w:rsidRPr="00DB671B">
        <w:rPr>
          <w:shd w:val="clear" w:color="auto" w:fill="FFFFFF"/>
        </w:rPr>
        <w:t xml:space="preserve"> qui se tiendra à Roelofarendsveen (Pays</w:t>
      </w:r>
      <w:r w:rsidR="005F7AC8" w:rsidRPr="00DB671B">
        <w:rPr>
          <w:shd w:val="clear" w:color="auto" w:fill="FFFFFF"/>
        </w:rPr>
        <w:t>-</w:t>
      </w:r>
      <w:r w:rsidRPr="00DB671B">
        <w:rPr>
          <w:shd w:val="clear" w:color="auto" w:fill="FFFFFF"/>
        </w:rPr>
        <w:t>Bas) du 8 au 1</w:t>
      </w:r>
      <w:r w:rsidR="005F7AC8" w:rsidRPr="00DB671B">
        <w:rPr>
          <w:shd w:val="clear" w:color="auto" w:fill="FFFFFF"/>
        </w:rPr>
        <w:t>2 juin 20</w:t>
      </w:r>
      <w:r w:rsidRPr="00DB671B">
        <w:rPr>
          <w:shd w:val="clear" w:color="auto" w:fill="FFFFFF"/>
        </w:rPr>
        <w:t>20.</w:t>
      </w:r>
    </w:p>
    <w:p w:rsidR="00D83B31" w:rsidRDefault="00D83B31" w:rsidP="00054FE5">
      <w:pPr>
        <w:rPr>
          <w:rFonts w:cs="Arial"/>
        </w:rPr>
      </w:pPr>
    </w:p>
    <w:p w:rsidR="00D83B31" w:rsidRPr="00DB671B" w:rsidRDefault="00054FE5" w:rsidP="00054FE5">
      <w:pPr>
        <w:pStyle w:val="Heading3"/>
        <w:rPr>
          <w:lang w:val="fr-FR"/>
        </w:rPr>
      </w:pPr>
      <w:r w:rsidRPr="00DB671B">
        <w:rPr>
          <w:lang w:val="fr-FR"/>
        </w:rPr>
        <w:t>Groupe de travail technique sur les plantes potagères (TWV)</w:t>
      </w:r>
    </w:p>
    <w:p w:rsidR="00D83B31" w:rsidRPr="00DB671B" w:rsidRDefault="00D83B31" w:rsidP="00054FE5">
      <w:pPr>
        <w:keepNext/>
        <w:rPr>
          <w:rFonts w:cs="Arial"/>
        </w:rPr>
      </w:pPr>
    </w:p>
    <w:p w:rsidR="00D83B31" w:rsidRPr="00DB671B" w:rsidRDefault="00054FE5" w:rsidP="00054FE5">
      <w:pPr>
        <w:keepNext/>
        <w:rPr>
          <w:rFonts w:cs="Arial"/>
        </w:rPr>
      </w:pPr>
      <w:r w:rsidRPr="00DB671B">
        <w:rPr>
          <w:rFonts w:cs="Arial"/>
        </w:rPr>
        <w:t>Rapport établi par Mme</w:t>
      </w:r>
      <w:r w:rsidR="00E85E8E" w:rsidRPr="00DB671B">
        <w:rPr>
          <w:rFonts w:cs="Arial"/>
        </w:rPr>
        <w:t> </w:t>
      </w:r>
      <w:r w:rsidRPr="00DB671B">
        <w:rPr>
          <w:rFonts w:cs="Arial"/>
        </w:rPr>
        <w:t>Romana Bravi (Italie), présidente</w:t>
      </w:r>
      <w:r w:rsidR="005F7AC8" w:rsidRPr="00DB671B">
        <w:rPr>
          <w:rFonts w:cs="Arial"/>
        </w:rPr>
        <w:t xml:space="preserve"> du TWV</w:t>
      </w:r>
      <w:r w:rsidR="0003537A" w:rsidRPr="00DB671B">
        <w:rPr>
          <w:rFonts w:cs="Arial"/>
        </w:rPr>
        <w:t>.</w:t>
      </w:r>
    </w:p>
    <w:p w:rsidR="00D83B31" w:rsidRPr="00DB671B" w:rsidRDefault="00D83B31" w:rsidP="00054FE5">
      <w:pPr>
        <w:keepNext/>
        <w:rPr>
          <w:rFonts w:cs="Arial"/>
        </w:rPr>
      </w:pPr>
    </w:p>
    <w:p w:rsidR="00D83B31" w:rsidRPr="00DB671B" w:rsidRDefault="001672D2" w:rsidP="00054FE5">
      <w:pPr>
        <w:pStyle w:val="Heading4"/>
      </w:pPr>
      <w:r w:rsidRPr="00DB671B">
        <w:t>Cinquante</w:t>
      </w:r>
      <w:r w:rsidR="005F7AC8" w:rsidRPr="00DB671B">
        <w:t>-</w:t>
      </w:r>
      <w:r w:rsidRPr="00DB671B">
        <w:t>trois</w:t>
      </w:r>
      <w:r w:rsidR="005F7AC8" w:rsidRPr="00DB671B">
        <w:t>ième session du TWV</w:t>
      </w:r>
    </w:p>
    <w:p w:rsidR="00D83B31" w:rsidRPr="00DB671B" w:rsidRDefault="00D83B31" w:rsidP="00054FE5">
      <w:pPr>
        <w:keepNext/>
        <w:rPr>
          <w:rFonts w:cs="Arial"/>
        </w:rPr>
      </w:pPr>
    </w:p>
    <w:p w:rsidR="00D83B31" w:rsidRPr="00DB671B" w:rsidRDefault="00054FE5" w:rsidP="00054FE5">
      <w:pPr>
        <w:rPr>
          <w:rFonts w:cs="Arial"/>
        </w:rPr>
      </w:pPr>
      <w:r w:rsidRPr="00DB671B">
        <w:rPr>
          <w:rFonts w:cs="Arial"/>
        </w:rPr>
        <w:fldChar w:fldCharType="begin"/>
      </w:r>
      <w:r w:rsidRPr="00DB671B">
        <w:rPr>
          <w:rFonts w:cs="Arial"/>
        </w:rPr>
        <w:instrText xml:space="preserve"> AUTONUM  </w:instrText>
      </w:r>
      <w:r w:rsidRPr="00DB671B">
        <w:rPr>
          <w:rFonts w:cs="Arial"/>
        </w:rPr>
        <w:fldChar w:fldCharType="end"/>
      </w:r>
      <w:r w:rsidRPr="00DB671B">
        <w:rPr>
          <w:rFonts w:cs="Arial"/>
        </w:rPr>
        <w:tab/>
      </w:r>
      <w:r w:rsidR="001672D2" w:rsidRPr="00DB671B">
        <w:rPr>
          <w:rFonts w:cs="Arial"/>
        </w:rPr>
        <w:t xml:space="preserve">Le Groupe de travail technique sur les plantes potagères </w:t>
      </w:r>
      <w:r w:rsidRPr="00DB671B">
        <w:rPr>
          <w:rFonts w:cs="Arial"/>
        </w:rPr>
        <w:t xml:space="preserve">(TWV) </w:t>
      </w:r>
      <w:r w:rsidR="001672D2" w:rsidRPr="00DB671B">
        <w:rPr>
          <w:rFonts w:cs="Arial"/>
        </w:rPr>
        <w:t>a tenu sa cinquante</w:t>
      </w:r>
      <w:r w:rsidR="005F7AC8" w:rsidRPr="00DB671B">
        <w:rPr>
          <w:rFonts w:cs="Arial"/>
        </w:rPr>
        <w:t>-</w:t>
      </w:r>
      <w:r w:rsidR="001672D2" w:rsidRPr="00DB671B">
        <w:rPr>
          <w:rFonts w:cs="Arial"/>
        </w:rPr>
        <w:t>trois</w:t>
      </w:r>
      <w:r w:rsidR="005F7AC8" w:rsidRPr="00DB671B">
        <w:rPr>
          <w:rFonts w:cs="Arial"/>
        </w:rPr>
        <w:t>ième session</w:t>
      </w:r>
      <w:r w:rsidR="001672D2" w:rsidRPr="00DB671B">
        <w:rPr>
          <w:rFonts w:cs="Arial"/>
        </w:rPr>
        <w:t xml:space="preserve"> à Séoul (République de Corée) du 20 au 2</w:t>
      </w:r>
      <w:r w:rsidR="005F7AC8" w:rsidRPr="00DB671B">
        <w:rPr>
          <w:rFonts w:cs="Arial"/>
        </w:rPr>
        <w:t>4 mai 20</w:t>
      </w:r>
      <w:r w:rsidR="001672D2" w:rsidRPr="00DB671B">
        <w:rPr>
          <w:rFonts w:cs="Arial"/>
        </w:rPr>
        <w:t>19</w:t>
      </w:r>
      <w:r w:rsidRPr="00DB671B">
        <w:rPr>
          <w:rFonts w:cs="Arial"/>
        </w:rPr>
        <w:t>.  La session</w:t>
      </w:r>
      <w:r w:rsidR="005F7AC8" w:rsidRPr="00DB671B">
        <w:rPr>
          <w:rFonts w:cs="Arial"/>
        </w:rPr>
        <w:t xml:space="preserve"> du TWV</w:t>
      </w:r>
      <w:r w:rsidRPr="00DB671B">
        <w:rPr>
          <w:rFonts w:cs="Arial"/>
        </w:rPr>
        <w:t xml:space="preserve"> a réuni 58</w:t>
      </w:r>
      <w:r w:rsidR="00A83A59" w:rsidRPr="00DB671B">
        <w:rPr>
          <w:rFonts w:cs="Arial"/>
        </w:rPr>
        <w:t> </w:t>
      </w:r>
      <w:r w:rsidRPr="00DB671B">
        <w:rPr>
          <w:rFonts w:cs="Arial"/>
        </w:rPr>
        <w:t>participants représentant 15</w:t>
      </w:r>
      <w:r w:rsidR="00A83A59" w:rsidRPr="00DB671B">
        <w:rPr>
          <w:rFonts w:cs="Arial"/>
        </w:rPr>
        <w:t> </w:t>
      </w:r>
      <w:r w:rsidRPr="00DB671B">
        <w:rPr>
          <w:rFonts w:cs="Arial"/>
        </w:rPr>
        <w:t>membres de l</w:t>
      </w:r>
      <w:r w:rsidR="005F7AC8" w:rsidRPr="00DB671B">
        <w:rPr>
          <w:rFonts w:cs="Arial"/>
        </w:rPr>
        <w:t>’</w:t>
      </w:r>
      <w:r w:rsidRPr="00DB671B">
        <w:rPr>
          <w:rFonts w:cs="Arial"/>
        </w:rPr>
        <w:t>Union et 3</w:t>
      </w:r>
      <w:r w:rsidR="00A83A59" w:rsidRPr="00DB671B">
        <w:rPr>
          <w:rFonts w:cs="Arial"/>
        </w:rPr>
        <w:t> </w:t>
      </w:r>
      <w:r w:rsidRPr="00DB671B">
        <w:rPr>
          <w:rFonts w:cs="Arial"/>
        </w:rPr>
        <w:t>organisations ayant le statut d</w:t>
      </w:r>
      <w:r w:rsidR="005F7AC8" w:rsidRPr="00DB671B">
        <w:rPr>
          <w:rFonts w:cs="Arial"/>
        </w:rPr>
        <w:t>’</w:t>
      </w:r>
      <w:r w:rsidRPr="00DB671B">
        <w:rPr>
          <w:rFonts w:cs="Arial"/>
        </w:rPr>
        <w:t>observateur.</w:t>
      </w:r>
    </w:p>
    <w:p w:rsidR="00D83B31" w:rsidRPr="00DB671B" w:rsidRDefault="00D83B31" w:rsidP="00054FE5">
      <w:pPr>
        <w:rPr>
          <w:rFonts w:cs="Arial"/>
        </w:rPr>
      </w:pPr>
    </w:p>
    <w:p w:rsidR="005F7AC8" w:rsidRPr="00DB671B" w:rsidRDefault="00054FE5" w:rsidP="00854B6C">
      <w:pPr>
        <w:rPr>
          <w:rFonts w:cs="Arial"/>
        </w:rPr>
      </w:pPr>
      <w:r w:rsidRPr="00DB671B">
        <w:rPr>
          <w:rFonts w:cs="Arial"/>
        </w:rPr>
        <w:fldChar w:fldCharType="begin"/>
      </w:r>
      <w:r w:rsidRPr="00DB671B">
        <w:rPr>
          <w:rFonts w:cs="Arial"/>
        </w:rPr>
        <w:instrText xml:space="preserve"> AUTONUM  </w:instrText>
      </w:r>
      <w:r w:rsidRPr="00DB671B">
        <w:rPr>
          <w:rFonts w:cs="Arial"/>
        </w:rPr>
        <w:fldChar w:fldCharType="end"/>
      </w:r>
      <w:r w:rsidRPr="00DB671B">
        <w:rPr>
          <w:rFonts w:cs="Arial"/>
        </w:rPr>
        <w:tab/>
      </w:r>
      <w:r w:rsidR="001672D2" w:rsidRPr="00DB671B">
        <w:rPr>
          <w:rFonts w:cs="Arial"/>
        </w:rPr>
        <w:t>Mme</w:t>
      </w:r>
      <w:r w:rsidR="00E85E8E" w:rsidRPr="00DB671B">
        <w:rPr>
          <w:rFonts w:cs="Arial"/>
        </w:rPr>
        <w:t> </w:t>
      </w:r>
      <w:r w:rsidR="001672D2" w:rsidRPr="00DB671B">
        <w:rPr>
          <w:rFonts w:cs="Arial"/>
        </w:rPr>
        <w:t>Romana Bravi (Italie), présidente</w:t>
      </w:r>
      <w:r w:rsidR="005F7AC8" w:rsidRPr="00DB671B">
        <w:rPr>
          <w:rFonts w:cs="Arial"/>
        </w:rPr>
        <w:t xml:space="preserve"> du TWV</w:t>
      </w:r>
      <w:r w:rsidR="001672D2" w:rsidRPr="00DB671B">
        <w:rPr>
          <w:rFonts w:cs="Arial"/>
        </w:rPr>
        <w:t>, a ouvert la session</w:t>
      </w:r>
      <w:r w:rsidR="005F092C" w:rsidRPr="00DB671B">
        <w:rPr>
          <w:rFonts w:cs="Arial"/>
        </w:rPr>
        <w:t xml:space="preserve"> en </w:t>
      </w:r>
      <w:r w:rsidR="001672D2" w:rsidRPr="00DB671B">
        <w:rPr>
          <w:rFonts w:cs="Arial"/>
        </w:rPr>
        <w:t>souhait</w:t>
      </w:r>
      <w:r w:rsidR="005F092C" w:rsidRPr="00DB671B">
        <w:rPr>
          <w:rFonts w:cs="Arial"/>
        </w:rPr>
        <w:t>ant</w:t>
      </w:r>
      <w:r w:rsidR="001672D2" w:rsidRPr="00DB671B">
        <w:rPr>
          <w:rFonts w:cs="Arial"/>
        </w:rPr>
        <w:t xml:space="preserve"> la bienvenue aux participants et </w:t>
      </w:r>
      <w:r w:rsidR="005F092C" w:rsidRPr="00DB671B">
        <w:rPr>
          <w:rFonts w:cs="Arial"/>
        </w:rPr>
        <w:t>en</w:t>
      </w:r>
      <w:r w:rsidR="001672D2" w:rsidRPr="00DB671B">
        <w:rPr>
          <w:rFonts w:cs="Arial"/>
        </w:rPr>
        <w:t xml:space="preserve"> remerc</w:t>
      </w:r>
      <w:r w:rsidR="005F092C" w:rsidRPr="00DB671B">
        <w:rPr>
          <w:rFonts w:cs="Arial"/>
        </w:rPr>
        <w:t>iant</w:t>
      </w:r>
      <w:r w:rsidR="001672D2" w:rsidRPr="00DB671B">
        <w:rPr>
          <w:rFonts w:cs="Arial"/>
        </w:rPr>
        <w:t xml:space="preserve"> la République de Corée d</w:t>
      </w:r>
      <w:r w:rsidR="005F7AC8" w:rsidRPr="00DB671B">
        <w:rPr>
          <w:rFonts w:cs="Arial"/>
        </w:rPr>
        <w:t>’</w:t>
      </w:r>
      <w:r w:rsidR="001672D2" w:rsidRPr="00DB671B">
        <w:rPr>
          <w:rFonts w:cs="Arial"/>
        </w:rPr>
        <w:t>avoir accueilli la session</w:t>
      </w:r>
      <w:r w:rsidR="005F7AC8" w:rsidRPr="00DB671B">
        <w:rPr>
          <w:rFonts w:cs="Arial"/>
        </w:rPr>
        <w:t xml:space="preserve"> du TWV</w:t>
      </w:r>
      <w:r w:rsidR="001672D2" w:rsidRPr="00DB671B">
        <w:rPr>
          <w:rFonts w:cs="Arial"/>
        </w:rPr>
        <w:t>.</w:t>
      </w:r>
      <w:r w:rsidRPr="00DB671B">
        <w:t xml:space="preserve">  </w:t>
      </w:r>
      <w:r w:rsidR="001672D2" w:rsidRPr="00DB671B">
        <w:rPr>
          <w:rFonts w:cs="Arial"/>
        </w:rPr>
        <w:t>M.</w:t>
      </w:r>
      <w:r w:rsidR="00E85E8E" w:rsidRPr="00DB671B">
        <w:rPr>
          <w:rFonts w:cs="Arial"/>
        </w:rPr>
        <w:t> </w:t>
      </w:r>
      <w:r w:rsidR="001672D2" w:rsidRPr="00DB671B">
        <w:rPr>
          <w:rFonts w:cs="Arial"/>
        </w:rPr>
        <w:t xml:space="preserve">Choi Byungkook, </w:t>
      </w:r>
      <w:r w:rsidR="002821F1" w:rsidRPr="00DB671B">
        <w:rPr>
          <w:rFonts w:cs="Arial"/>
        </w:rPr>
        <w:t>d</w:t>
      </w:r>
      <w:r w:rsidR="00E85E8E" w:rsidRPr="00DB671B">
        <w:rPr>
          <w:rFonts w:cs="Arial"/>
        </w:rPr>
        <w:t>irecteur</w:t>
      </w:r>
      <w:r w:rsidR="001672D2" w:rsidRPr="00DB671B">
        <w:rPr>
          <w:rFonts w:cs="Arial"/>
        </w:rPr>
        <w:t xml:space="preserve"> général de la Division du développement et de la coopération internationale auprès du Ministère de l</w:t>
      </w:r>
      <w:r w:rsidR="005F7AC8" w:rsidRPr="00DB671B">
        <w:rPr>
          <w:rFonts w:cs="Arial"/>
        </w:rPr>
        <w:t>’</w:t>
      </w:r>
      <w:r w:rsidR="001672D2" w:rsidRPr="00DB671B">
        <w:rPr>
          <w:rFonts w:cs="Arial"/>
        </w:rPr>
        <w:t>agriculture, de l</w:t>
      </w:r>
      <w:r w:rsidR="005F7AC8" w:rsidRPr="00DB671B">
        <w:rPr>
          <w:rFonts w:cs="Arial"/>
        </w:rPr>
        <w:t>’</w:t>
      </w:r>
      <w:r w:rsidR="001672D2" w:rsidRPr="00DB671B">
        <w:rPr>
          <w:rFonts w:cs="Arial"/>
        </w:rPr>
        <w:t>alimentation et des affaires rurales (MAFRA)</w:t>
      </w:r>
      <w:r w:rsidR="002821F1" w:rsidRPr="00DB671B">
        <w:rPr>
          <w:rFonts w:cs="Arial"/>
        </w:rPr>
        <w:t>,</w:t>
      </w:r>
      <w:r w:rsidR="001672D2" w:rsidRPr="00DB671B">
        <w:rPr>
          <w:rFonts w:cs="Arial"/>
        </w:rPr>
        <w:t xml:space="preserve"> a souhaité la bienvenue</w:t>
      </w:r>
      <w:r w:rsidR="005F7AC8" w:rsidRPr="00DB671B">
        <w:rPr>
          <w:rFonts w:cs="Arial"/>
        </w:rPr>
        <w:t xml:space="preserve"> au TWV</w:t>
      </w:r>
      <w:r w:rsidR="001672D2" w:rsidRPr="00DB671B">
        <w:rPr>
          <w:rFonts w:cs="Arial"/>
        </w:rPr>
        <w:t>.</w:t>
      </w:r>
      <w:r w:rsidRPr="00DB671B">
        <w:t xml:space="preserve"> </w:t>
      </w:r>
      <w:r w:rsidR="005F7AC8" w:rsidRPr="00DB671B">
        <w:t xml:space="preserve"> </w:t>
      </w:r>
      <w:r w:rsidR="005F7AC8" w:rsidRPr="00DB671B">
        <w:rPr>
          <w:rFonts w:cs="Arial"/>
        </w:rPr>
        <w:t>Le TWV</w:t>
      </w:r>
      <w:r w:rsidR="001672D2" w:rsidRPr="00DB671B">
        <w:rPr>
          <w:rFonts w:cs="Arial"/>
        </w:rPr>
        <w:t xml:space="preserve"> a assisté à un exposé sur la protection des obtentions végétales et l</w:t>
      </w:r>
      <w:r w:rsidR="005F7AC8" w:rsidRPr="00DB671B">
        <w:rPr>
          <w:rFonts w:cs="Arial"/>
        </w:rPr>
        <w:t>’</w:t>
      </w:r>
      <w:r w:rsidR="001672D2" w:rsidRPr="00DB671B">
        <w:rPr>
          <w:rFonts w:cs="Arial"/>
        </w:rPr>
        <w:t>industrie semencière en République de Corée, présenté par M.</w:t>
      </w:r>
      <w:r w:rsidR="00E85E8E" w:rsidRPr="00DB671B">
        <w:rPr>
          <w:rFonts w:cs="Arial"/>
        </w:rPr>
        <w:t> </w:t>
      </w:r>
      <w:r w:rsidR="001672D2" w:rsidRPr="00DB671B">
        <w:rPr>
          <w:rFonts w:cs="Arial"/>
        </w:rPr>
        <w:t>Pang Munjin, directeur de la Division chargée de la protection des obtentions végétales auprès du Service coréen des semences et des variétés (KSVS).</w:t>
      </w:r>
      <w:r w:rsidRPr="00DB671B">
        <w:t xml:space="preserve"> </w:t>
      </w:r>
      <w:r w:rsidR="005F7AC8" w:rsidRPr="00DB671B">
        <w:t xml:space="preserve"> </w:t>
      </w:r>
      <w:r w:rsidR="005F7AC8" w:rsidRPr="00DB671B">
        <w:rPr>
          <w:rFonts w:cs="Arial"/>
        </w:rPr>
        <w:t>Le TWV</w:t>
      </w:r>
      <w:r w:rsidR="00854B6C" w:rsidRPr="00DB671B">
        <w:rPr>
          <w:rFonts w:cs="Arial"/>
        </w:rPr>
        <w:t xml:space="preserve"> a examiné les thèmes principaux ci</w:t>
      </w:r>
      <w:r w:rsidR="005F7AC8" w:rsidRPr="00DB671B">
        <w:rPr>
          <w:rFonts w:cs="Arial"/>
        </w:rPr>
        <w:t>-</w:t>
      </w:r>
      <w:r w:rsidR="00854B6C" w:rsidRPr="00DB671B">
        <w:rPr>
          <w:rFonts w:cs="Arial"/>
        </w:rPr>
        <w:t>après</w:t>
      </w:r>
      <w:r w:rsidR="005F7AC8" w:rsidRPr="00DB671B">
        <w:rPr>
          <w:rFonts w:cs="Arial"/>
        </w:rPr>
        <w:t> :</w:t>
      </w:r>
    </w:p>
    <w:p w:rsidR="00D83B31" w:rsidRPr="00DB671B" w:rsidRDefault="00D83B31" w:rsidP="00054FE5">
      <w:pPr>
        <w:rPr>
          <w:rFonts w:cs="Arial"/>
        </w:rPr>
      </w:pPr>
    </w:p>
    <w:p w:rsidR="00D83B31" w:rsidRPr="001766FA" w:rsidRDefault="00854B6C" w:rsidP="00DB671B">
      <w:pPr>
        <w:pStyle w:val="Heading5"/>
        <w:rPr>
          <w:lang w:val="fr-CH"/>
        </w:rPr>
      </w:pPr>
      <w:r w:rsidRPr="001766FA">
        <w:rPr>
          <w:lang w:val="fr-CH"/>
        </w:rPr>
        <w:t>Caractères applicables à certaines variétés seulement</w:t>
      </w:r>
      <w:r w:rsidR="0040182B" w:rsidRPr="001766FA">
        <w:rPr>
          <w:lang w:val="fr-CH"/>
        </w:rPr>
        <w:t xml:space="preserve"> (TWP/3/9)</w:t>
      </w:r>
    </w:p>
    <w:p w:rsidR="00D83B31" w:rsidRPr="00DB671B" w:rsidRDefault="00D83B31" w:rsidP="00054FE5">
      <w:pPr>
        <w:rPr>
          <w:rFonts w:cs="Arial"/>
          <w:u w:val="single"/>
        </w:rPr>
      </w:pPr>
    </w:p>
    <w:p w:rsidR="00D83B31" w:rsidRPr="00DB671B" w:rsidRDefault="00054FE5" w:rsidP="00054FE5">
      <w:pPr>
        <w:rPr>
          <w:rFonts w:cs="Arial"/>
        </w:rPr>
      </w:pPr>
      <w:r w:rsidRPr="00DB671B">
        <w:rPr>
          <w:rFonts w:cs="Arial"/>
        </w:rPr>
        <w:fldChar w:fldCharType="begin"/>
      </w:r>
      <w:r w:rsidRPr="00DB671B">
        <w:rPr>
          <w:rFonts w:cs="Arial"/>
        </w:rPr>
        <w:instrText xml:space="preserve"> AUTONUM  </w:instrText>
      </w:r>
      <w:r w:rsidRPr="00DB671B">
        <w:rPr>
          <w:rFonts w:cs="Arial"/>
        </w:rPr>
        <w:fldChar w:fldCharType="end"/>
      </w:r>
      <w:r w:rsidRPr="00DB671B">
        <w:rPr>
          <w:rFonts w:cs="Arial"/>
        </w:rPr>
        <w:tab/>
        <w:t>Le TWV a examiné la demande concernant la fourniture d</w:t>
      </w:r>
      <w:r w:rsidR="005F7AC8" w:rsidRPr="00DB671B">
        <w:rPr>
          <w:rFonts w:cs="Arial"/>
        </w:rPr>
        <w:t>’</w:t>
      </w:r>
      <w:r w:rsidRPr="00DB671B">
        <w:rPr>
          <w:rFonts w:cs="Arial"/>
        </w:rPr>
        <w:t>exemples de cas inadaptés pour démontrer les risques pour les décisions sur la distinction de l</w:t>
      </w:r>
      <w:r w:rsidR="005F7AC8" w:rsidRPr="00DB671B">
        <w:rPr>
          <w:rFonts w:cs="Arial"/>
        </w:rPr>
        <w:t>’</w:t>
      </w:r>
      <w:r w:rsidRPr="00DB671B">
        <w:rPr>
          <w:rFonts w:cs="Arial"/>
        </w:rPr>
        <w:t>exclusion de variétés de l</w:t>
      </w:r>
      <w:r w:rsidR="005F7AC8" w:rsidRPr="00DB671B">
        <w:rPr>
          <w:rFonts w:cs="Arial"/>
        </w:rPr>
        <w:t>’</w:t>
      </w:r>
      <w:r w:rsidRPr="00DB671B">
        <w:rPr>
          <w:rFonts w:cs="Arial"/>
        </w:rPr>
        <w:t>observation sur la base d</w:t>
      </w:r>
      <w:r w:rsidR="005F7AC8" w:rsidRPr="00DB671B">
        <w:rPr>
          <w:rFonts w:cs="Arial"/>
        </w:rPr>
        <w:t>’</w:t>
      </w:r>
      <w:r w:rsidRPr="00DB671B">
        <w:rPr>
          <w:rFonts w:cs="Arial"/>
        </w:rPr>
        <w:t>un caractère quantitatif ou pseudo</w:t>
      </w:r>
      <w:r w:rsidR="005F7AC8" w:rsidRPr="00DB671B">
        <w:rPr>
          <w:rFonts w:cs="Arial"/>
        </w:rPr>
        <w:t>-</w:t>
      </w:r>
      <w:r w:rsidRPr="00DB671B">
        <w:rPr>
          <w:rFonts w:cs="Arial"/>
        </w:rPr>
        <w:t>qualitatif précédent.</w:t>
      </w:r>
    </w:p>
    <w:p w:rsidR="00D83B31" w:rsidRPr="00DB671B" w:rsidRDefault="00D83B31" w:rsidP="00054FE5">
      <w:pPr>
        <w:rPr>
          <w:rFonts w:cs="Arial"/>
        </w:rPr>
      </w:pPr>
    </w:p>
    <w:p w:rsidR="00D83B31" w:rsidRPr="00DB671B" w:rsidRDefault="00054FE5" w:rsidP="00054FE5">
      <w:pPr>
        <w:rPr>
          <w:rFonts w:cs="Arial"/>
        </w:rPr>
      </w:pPr>
      <w:r w:rsidRPr="00DB671B">
        <w:rPr>
          <w:rFonts w:cs="Arial"/>
        </w:rPr>
        <w:fldChar w:fldCharType="begin"/>
      </w:r>
      <w:r w:rsidRPr="00DB671B">
        <w:rPr>
          <w:rFonts w:cs="Arial"/>
        </w:rPr>
        <w:instrText xml:space="preserve"> AUTONUM  </w:instrText>
      </w:r>
      <w:r w:rsidRPr="00DB671B">
        <w:rPr>
          <w:rFonts w:cs="Arial"/>
        </w:rPr>
        <w:fldChar w:fldCharType="end"/>
      </w:r>
      <w:r w:rsidRPr="00DB671B">
        <w:rPr>
          <w:rFonts w:cs="Arial"/>
        </w:rPr>
        <w:tab/>
        <w:t>Le TWV est convenu que lorsqu</w:t>
      </w:r>
      <w:r w:rsidR="005F7AC8" w:rsidRPr="00DB671B">
        <w:rPr>
          <w:rFonts w:cs="Arial"/>
        </w:rPr>
        <w:t>’</w:t>
      </w:r>
      <w:r w:rsidRPr="00DB671B">
        <w:rPr>
          <w:rFonts w:cs="Arial"/>
        </w:rPr>
        <w:t>une structure était “absente ou faible” sur une partie de la plante, l</w:t>
      </w:r>
      <w:r w:rsidR="005F7AC8" w:rsidRPr="00DB671B">
        <w:rPr>
          <w:rFonts w:cs="Arial"/>
        </w:rPr>
        <w:t>’</w:t>
      </w:r>
      <w:r w:rsidRPr="00DB671B">
        <w:rPr>
          <w:rFonts w:cs="Arial"/>
        </w:rPr>
        <w:t>observation d</w:t>
      </w:r>
      <w:r w:rsidR="005F7AC8" w:rsidRPr="00DB671B">
        <w:rPr>
          <w:rFonts w:cs="Arial"/>
        </w:rPr>
        <w:t>’</w:t>
      </w:r>
      <w:r w:rsidRPr="00DB671B">
        <w:rPr>
          <w:rFonts w:cs="Arial"/>
        </w:rPr>
        <w:t>autres caractères sur cette structure pouvait être difficile.  Par exemple, dans les principes directeurs de la laitue (TG 13/11), le caractère</w:t>
      </w:r>
      <w:r w:rsidR="00A83A59" w:rsidRPr="00DB671B">
        <w:rPr>
          <w:rFonts w:cs="Arial"/>
        </w:rPr>
        <w:t> </w:t>
      </w:r>
      <w:r w:rsidRPr="00DB671B">
        <w:rPr>
          <w:rFonts w:cs="Arial"/>
        </w:rPr>
        <w:t>3</w:t>
      </w:r>
      <w:r w:rsidR="005F7AC8" w:rsidRPr="00DB671B">
        <w:rPr>
          <w:rFonts w:cs="Arial"/>
        </w:rPr>
        <w:t> :</w:t>
      </w:r>
      <w:r w:rsidRPr="00DB671B">
        <w:rPr>
          <w:rFonts w:cs="Arial"/>
        </w:rPr>
        <w:t xml:space="preserve"> “Plante</w:t>
      </w:r>
      <w:r w:rsidR="005F7AC8" w:rsidRPr="00DB671B">
        <w:rPr>
          <w:rFonts w:cs="Arial"/>
        </w:rPr>
        <w:t> :</w:t>
      </w:r>
      <w:r w:rsidRPr="00DB671B">
        <w:rPr>
          <w:rFonts w:cs="Arial"/>
        </w:rPr>
        <w:t xml:space="preserve"> degré du chevauchement de la partie supérieure des feuilles”, portant l</w:t>
      </w:r>
      <w:r w:rsidR="005F7AC8" w:rsidRPr="00DB671B">
        <w:rPr>
          <w:rFonts w:cs="Arial"/>
        </w:rPr>
        <w:t>’</w:t>
      </w:r>
      <w:r w:rsidRPr="00DB671B">
        <w:rPr>
          <w:rFonts w:cs="Arial"/>
        </w:rPr>
        <w:t>indication QN, indiquait 1) “nul ou faible, 2) moyen, 3) fort”.  Toutefois,</w:t>
      </w:r>
      <w:r w:rsidR="005F7AC8" w:rsidRPr="00DB671B">
        <w:rPr>
          <w:rFonts w:cs="Arial"/>
        </w:rPr>
        <w:t xml:space="preserve"> le TWV</w:t>
      </w:r>
      <w:r w:rsidRPr="00DB671B">
        <w:rPr>
          <w:rFonts w:cs="Arial"/>
        </w:rPr>
        <w:t xml:space="preserve"> est convenu que si l</w:t>
      </w:r>
      <w:r w:rsidR="005F7AC8" w:rsidRPr="00DB671B">
        <w:rPr>
          <w:rFonts w:cs="Arial"/>
        </w:rPr>
        <w:t>’</w:t>
      </w:r>
      <w:r w:rsidRPr="00DB671B">
        <w:rPr>
          <w:rFonts w:cs="Arial"/>
        </w:rPr>
        <w:t xml:space="preserve">on tenait compte du tableau fourni au </w:t>
      </w:r>
      <w:r w:rsidR="005F7AC8" w:rsidRPr="00DB671B">
        <w:rPr>
          <w:rFonts w:cs="Arial"/>
        </w:rPr>
        <w:t>chapitre 5</w:t>
      </w:r>
      <w:r w:rsidRPr="00DB671B">
        <w:rPr>
          <w:rFonts w:cs="Arial"/>
        </w:rPr>
        <w:t>.3 des principes directeurs d</w:t>
      </w:r>
      <w:r w:rsidR="005F7AC8" w:rsidRPr="00DB671B">
        <w:rPr>
          <w:rFonts w:cs="Arial"/>
        </w:rPr>
        <w:t>’</w:t>
      </w:r>
      <w:r w:rsidRPr="00DB671B">
        <w:rPr>
          <w:rFonts w:cs="Arial"/>
        </w:rPr>
        <w:t>examen, il était possible de réduire le risque pour les décisions sur la distinction et encourageait donc l</w:t>
      </w:r>
      <w:r w:rsidR="005F7AC8" w:rsidRPr="00DB671B">
        <w:rPr>
          <w:rFonts w:cs="Arial"/>
        </w:rPr>
        <w:t>’</w:t>
      </w:r>
      <w:r w:rsidRPr="00DB671B">
        <w:rPr>
          <w:rFonts w:cs="Arial"/>
        </w:rPr>
        <w:t>utilisation de ces tableaux selon que de besoin.</w:t>
      </w:r>
    </w:p>
    <w:p w:rsidR="00D83B31" w:rsidRPr="00DB671B" w:rsidRDefault="00D83B31" w:rsidP="00054FE5">
      <w:pPr>
        <w:rPr>
          <w:rFonts w:cs="Arial"/>
        </w:rPr>
      </w:pPr>
    </w:p>
    <w:p w:rsidR="00D83B31" w:rsidRPr="00DB671B" w:rsidRDefault="00054FE5" w:rsidP="00054FE5">
      <w:pPr>
        <w:rPr>
          <w:rFonts w:cs="Arial"/>
        </w:rPr>
      </w:pPr>
      <w:r w:rsidRPr="00DB671B">
        <w:rPr>
          <w:rFonts w:cs="Arial"/>
        </w:rPr>
        <w:fldChar w:fldCharType="begin"/>
      </w:r>
      <w:r w:rsidRPr="00DB671B">
        <w:rPr>
          <w:rFonts w:cs="Arial"/>
        </w:rPr>
        <w:instrText xml:space="preserve"> AUTONUM  </w:instrText>
      </w:r>
      <w:r w:rsidRPr="00DB671B">
        <w:rPr>
          <w:rFonts w:cs="Arial"/>
        </w:rPr>
        <w:fldChar w:fldCharType="end"/>
      </w:r>
      <w:r w:rsidRPr="00DB671B">
        <w:rPr>
          <w:rFonts w:cs="Arial"/>
        </w:rPr>
        <w:tab/>
        <w:t>Le TWV est convenu que le caractère pseudo</w:t>
      </w:r>
      <w:r w:rsidR="005F7AC8" w:rsidRPr="00DB671B">
        <w:rPr>
          <w:rFonts w:cs="Arial"/>
        </w:rPr>
        <w:t>-</w:t>
      </w:r>
      <w:r w:rsidRPr="00DB671B">
        <w:rPr>
          <w:rFonts w:cs="Arial"/>
        </w:rPr>
        <w:t>qualitatif ci</w:t>
      </w:r>
      <w:r w:rsidR="005F7AC8" w:rsidRPr="00DB671B">
        <w:rPr>
          <w:rFonts w:cs="Arial"/>
        </w:rPr>
        <w:t>-</w:t>
      </w:r>
      <w:r w:rsidRPr="00DB671B">
        <w:rPr>
          <w:rFonts w:cs="Arial"/>
        </w:rPr>
        <w:t>après tiré des principes directeurs d</w:t>
      </w:r>
      <w:r w:rsidR="005F7AC8" w:rsidRPr="00DB671B">
        <w:rPr>
          <w:rFonts w:cs="Arial"/>
        </w:rPr>
        <w:t>’</w:t>
      </w:r>
      <w:r w:rsidRPr="00DB671B">
        <w:rPr>
          <w:rFonts w:cs="Arial"/>
        </w:rPr>
        <w:t>examen de la chicorée à feuilles (TG/154/4) offrait un bon exemple pour expliquer comment la méthode pouvait être utilisée d</w:t>
      </w:r>
      <w:r w:rsidR="005F7AC8" w:rsidRPr="00DB671B">
        <w:rPr>
          <w:rFonts w:cs="Arial"/>
        </w:rPr>
        <w:t>’</w:t>
      </w:r>
      <w:r w:rsidRPr="00DB671B">
        <w:rPr>
          <w:rFonts w:cs="Arial"/>
        </w:rPr>
        <w:t>une manière qui ne présente pas de risque pour les décisions sur la distinction.</w:t>
      </w:r>
    </w:p>
    <w:p w:rsidR="00D83B31" w:rsidRPr="00DB671B" w:rsidRDefault="00D83B31" w:rsidP="00054FE5">
      <w:pPr>
        <w:rPr>
          <w:rFonts w:cs="Arial"/>
        </w:rPr>
      </w:pPr>
    </w:p>
    <w:p w:rsidR="00D83B31" w:rsidRPr="00DB671B" w:rsidRDefault="00054FE5" w:rsidP="00054FE5">
      <w:pPr>
        <w:tabs>
          <w:tab w:val="left" w:pos="1134"/>
        </w:tabs>
        <w:ind w:left="567"/>
        <w:rPr>
          <w:rFonts w:cs="Arial"/>
        </w:rPr>
      </w:pPr>
      <w:r w:rsidRPr="00DB671B">
        <w:rPr>
          <w:rFonts w:cs="Arial"/>
        </w:rPr>
        <w:t>Caractère 16</w:t>
      </w:r>
      <w:r w:rsidR="005F7AC8" w:rsidRPr="00DB671B">
        <w:rPr>
          <w:rFonts w:cs="Arial"/>
        </w:rPr>
        <w:t> :</w:t>
      </w:r>
      <w:r w:rsidRPr="00DB671B">
        <w:rPr>
          <w:rFonts w:cs="Arial"/>
        </w:rPr>
        <w:t xml:space="preserve"> “Plante</w:t>
      </w:r>
      <w:r w:rsidR="005F7AC8" w:rsidRPr="00DB671B">
        <w:rPr>
          <w:rFonts w:cs="Arial"/>
        </w:rPr>
        <w:t> :</w:t>
      </w:r>
      <w:r w:rsidRPr="00DB671B">
        <w:rPr>
          <w:rFonts w:cs="Arial"/>
        </w:rPr>
        <w:t xml:space="preserve"> formation d</w:t>
      </w:r>
      <w:r w:rsidR="005F7AC8" w:rsidRPr="00DB671B">
        <w:rPr>
          <w:rFonts w:cs="Arial"/>
        </w:rPr>
        <w:t>’</w:t>
      </w:r>
      <w:r w:rsidRPr="00DB671B">
        <w:rPr>
          <w:rFonts w:cs="Arial"/>
        </w:rPr>
        <w:t>une pomme</w:t>
      </w:r>
      <w:r w:rsidR="005F7AC8" w:rsidRPr="00DB671B">
        <w:rPr>
          <w:rFonts w:cs="Arial"/>
        </w:rPr>
        <w:t> :</w:t>
      </w:r>
      <w:r w:rsidRPr="00DB671B">
        <w:rPr>
          <w:rFonts w:cs="Arial"/>
        </w:rPr>
        <w:t xml:space="preserve"> absente (1); </w:t>
      </w:r>
      <w:r w:rsidR="00E85E8E" w:rsidRPr="00DB671B">
        <w:rPr>
          <w:rFonts w:cs="Arial"/>
        </w:rPr>
        <w:t xml:space="preserve"> </w:t>
      </w:r>
      <w:r w:rsidRPr="00DB671B">
        <w:rPr>
          <w:rFonts w:cs="Arial"/>
        </w:rPr>
        <w:t>ouverte (2);</w:t>
      </w:r>
      <w:r w:rsidR="00E85E8E" w:rsidRPr="00DB671B">
        <w:rPr>
          <w:rFonts w:cs="Arial"/>
        </w:rPr>
        <w:t xml:space="preserve"> </w:t>
      </w:r>
      <w:r w:rsidRPr="00DB671B">
        <w:rPr>
          <w:rFonts w:cs="Arial"/>
        </w:rPr>
        <w:t xml:space="preserve"> fermée (3)”</w:t>
      </w:r>
    </w:p>
    <w:p w:rsidR="005F7AC8" w:rsidRPr="00DB671B" w:rsidRDefault="00854B6C" w:rsidP="00854B6C">
      <w:pPr>
        <w:tabs>
          <w:tab w:val="left" w:pos="1134"/>
        </w:tabs>
        <w:ind w:left="567"/>
        <w:rPr>
          <w:rFonts w:cs="Arial"/>
        </w:rPr>
      </w:pPr>
      <w:r w:rsidRPr="00DB671B">
        <w:rPr>
          <w:rFonts w:cs="Arial"/>
        </w:rPr>
        <w:t>Caractère</w:t>
      </w:r>
      <w:r w:rsidR="00D1404E" w:rsidRPr="00DB671B">
        <w:rPr>
          <w:rFonts w:cs="Arial"/>
        </w:rPr>
        <w:t xml:space="preserve"> </w:t>
      </w:r>
      <w:r w:rsidRPr="00DB671B">
        <w:rPr>
          <w:rFonts w:cs="Arial"/>
        </w:rPr>
        <w:t>17</w:t>
      </w:r>
      <w:r w:rsidR="005F7AC8" w:rsidRPr="00DB671B">
        <w:rPr>
          <w:rFonts w:cs="Arial"/>
        </w:rPr>
        <w:t> :</w:t>
      </w:r>
      <w:r w:rsidRPr="00DB671B">
        <w:rPr>
          <w:rFonts w:cs="Arial"/>
        </w:rPr>
        <w:t xml:space="preserve"> “Seulement pour les variétés qui forment une pomme</w:t>
      </w:r>
      <w:r w:rsidR="00E85E8E" w:rsidRPr="00DB671B">
        <w:rPr>
          <w:rFonts w:cs="Arial"/>
        </w:rPr>
        <w:t>…</w:t>
      </w:r>
      <w:r w:rsidRPr="00DB671B">
        <w:rPr>
          <w:rFonts w:cs="Arial"/>
        </w:rPr>
        <w:t>”</w:t>
      </w:r>
    </w:p>
    <w:p w:rsidR="00D83B31" w:rsidRPr="00DB671B" w:rsidRDefault="00D83B31" w:rsidP="00054FE5">
      <w:pPr>
        <w:rPr>
          <w:rFonts w:cs="Arial"/>
          <w:u w:val="single"/>
        </w:rPr>
      </w:pPr>
    </w:p>
    <w:p w:rsidR="00D83B31" w:rsidRPr="001766FA" w:rsidRDefault="00854B6C" w:rsidP="00DB671B">
      <w:pPr>
        <w:pStyle w:val="Heading5"/>
        <w:rPr>
          <w:lang w:val="fr-CH"/>
        </w:rPr>
      </w:pPr>
      <w:r w:rsidRPr="001766FA">
        <w:rPr>
          <w:lang w:val="fr-CH"/>
        </w:rPr>
        <w:t>TGP/15</w:t>
      </w:r>
      <w:r w:rsidR="005F7AC8" w:rsidRPr="001766FA">
        <w:rPr>
          <w:lang w:val="fr-CH"/>
        </w:rPr>
        <w:t> :</w:t>
      </w:r>
      <w:r w:rsidRPr="001766FA">
        <w:rPr>
          <w:lang w:val="fr-CH"/>
        </w:rPr>
        <w:t xml:space="preserve"> “Conseils en ce qui concerne l</w:t>
      </w:r>
      <w:r w:rsidR="005F7AC8" w:rsidRPr="001766FA">
        <w:rPr>
          <w:lang w:val="fr-CH"/>
        </w:rPr>
        <w:t>’</w:t>
      </w:r>
      <w:r w:rsidRPr="001766FA">
        <w:rPr>
          <w:lang w:val="fr-CH"/>
        </w:rPr>
        <w:t>utilisation des marqueurs biochimiques et moléculaires dans l</w:t>
      </w:r>
      <w:r w:rsidR="005F7AC8" w:rsidRPr="001766FA">
        <w:rPr>
          <w:lang w:val="fr-CH"/>
        </w:rPr>
        <w:t>’</w:t>
      </w:r>
      <w:r w:rsidRPr="001766FA">
        <w:rPr>
          <w:lang w:val="fr-CH"/>
        </w:rPr>
        <w:t>examen de la distinction, de l</w:t>
      </w:r>
      <w:r w:rsidR="005F7AC8" w:rsidRPr="001766FA">
        <w:rPr>
          <w:lang w:val="fr-CH"/>
        </w:rPr>
        <w:t>’</w:t>
      </w:r>
      <w:r w:rsidRPr="001766FA">
        <w:rPr>
          <w:lang w:val="fr-CH"/>
        </w:rPr>
        <w:t>homogénéité et de la stabilité (DHS)”</w:t>
      </w:r>
      <w:r w:rsidR="005F7AC8" w:rsidRPr="001766FA">
        <w:rPr>
          <w:lang w:val="fr-CH"/>
        </w:rPr>
        <w:t> :</w:t>
      </w:r>
      <w:r w:rsidRPr="001766FA">
        <w:rPr>
          <w:lang w:val="fr-CH"/>
        </w:rPr>
        <w:t xml:space="preserve"> Nouvel exemple</w:t>
      </w:r>
      <w:r w:rsidR="005F7AC8" w:rsidRPr="001766FA">
        <w:rPr>
          <w:lang w:val="fr-CH"/>
        </w:rPr>
        <w:t> :</w:t>
      </w:r>
      <w:r w:rsidRPr="001766FA">
        <w:rPr>
          <w:lang w:val="fr-CH"/>
        </w:rPr>
        <w:t xml:space="preserve"> marqueur propre aux caractères contenant des informations incomplètes sur le niveau d</w:t>
      </w:r>
      <w:r w:rsidR="005F7AC8" w:rsidRPr="001766FA">
        <w:rPr>
          <w:lang w:val="fr-CH"/>
        </w:rPr>
        <w:t>’</w:t>
      </w:r>
      <w:r w:rsidRPr="001766FA">
        <w:rPr>
          <w:lang w:val="fr-CH"/>
        </w:rPr>
        <w:t>expression</w:t>
      </w:r>
    </w:p>
    <w:p w:rsidR="00D83B31" w:rsidRPr="00DB671B" w:rsidRDefault="00D83B31" w:rsidP="00054FE5">
      <w:pPr>
        <w:rPr>
          <w:rFonts w:cs="Arial"/>
        </w:rPr>
      </w:pPr>
    </w:p>
    <w:p w:rsidR="00D83B31" w:rsidRPr="00DB671B" w:rsidRDefault="00054FE5" w:rsidP="00854B6C">
      <w:pPr>
        <w:rPr>
          <w:rFonts w:cs="Arial"/>
        </w:rPr>
      </w:pPr>
      <w:r w:rsidRPr="00DB671B">
        <w:rPr>
          <w:rFonts w:cs="Arial"/>
        </w:rPr>
        <w:fldChar w:fldCharType="begin"/>
      </w:r>
      <w:r w:rsidRPr="00DB671B">
        <w:rPr>
          <w:rFonts w:cs="Arial"/>
        </w:rPr>
        <w:instrText xml:space="preserve"> AUTONUM  </w:instrText>
      </w:r>
      <w:r w:rsidRPr="00DB671B">
        <w:rPr>
          <w:rFonts w:cs="Arial"/>
        </w:rPr>
        <w:fldChar w:fldCharType="end"/>
      </w:r>
      <w:r w:rsidRPr="00DB671B">
        <w:rPr>
          <w:rFonts w:cs="Arial"/>
        </w:rPr>
        <w:tab/>
      </w:r>
      <w:r w:rsidR="00854B6C" w:rsidRPr="00DB671B">
        <w:rPr>
          <w:rFonts w:cs="Arial"/>
        </w:rPr>
        <w:t>Le TW</w:t>
      </w:r>
      <w:r w:rsidR="0047431E">
        <w:rPr>
          <w:rFonts w:cs="Arial"/>
        </w:rPr>
        <w:t>V</w:t>
      </w:r>
      <w:r w:rsidR="00854B6C" w:rsidRPr="00DB671B">
        <w:rPr>
          <w:rFonts w:cs="Arial"/>
        </w:rPr>
        <w:t xml:space="preserve"> a approuvé la proposition concernant un nouvel exemple à inclure dans le document</w:t>
      </w:r>
      <w:r w:rsidR="00A83A59" w:rsidRPr="00DB671B">
        <w:rPr>
          <w:rFonts w:cs="Arial"/>
        </w:rPr>
        <w:t> </w:t>
      </w:r>
      <w:r w:rsidR="00854B6C" w:rsidRPr="00DB671B">
        <w:rPr>
          <w:rFonts w:cs="Arial"/>
        </w:rPr>
        <w:t>TGP/15 afin d</w:t>
      </w:r>
      <w:r w:rsidR="005F7AC8" w:rsidRPr="00DB671B">
        <w:rPr>
          <w:rFonts w:cs="Arial"/>
        </w:rPr>
        <w:t>’</w:t>
      </w:r>
      <w:r w:rsidR="00854B6C" w:rsidRPr="00DB671B">
        <w:rPr>
          <w:rFonts w:cs="Arial"/>
        </w:rPr>
        <w:t>illustrer le cas où le marqueur propre aux caractères ne fournit pas toutes les informations sur le niveau d</w:t>
      </w:r>
      <w:r w:rsidR="005F7AC8" w:rsidRPr="00DB671B">
        <w:rPr>
          <w:rFonts w:cs="Arial"/>
        </w:rPr>
        <w:t>’</w:t>
      </w:r>
      <w:r w:rsidR="00854B6C" w:rsidRPr="00DB671B">
        <w:rPr>
          <w:rFonts w:cs="Arial"/>
        </w:rPr>
        <w:t>expression d</w:t>
      </w:r>
      <w:r w:rsidR="005F7AC8" w:rsidRPr="00DB671B">
        <w:rPr>
          <w:rFonts w:cs="Arial"/>
        </w:rPr>
        <w:t>’</w:t>
      </w:r>
      <w:r w:rsidR="00854B6C" w:rsidRPr="00DB671B">
        <w:rPr>
          <w:rFonts w:cs="Arial"/>
        </w:rPr>
        <w:t>un caractère, comme indiqué dans l</w:t>
      </w:r>
      <w:r w:rsidR="005F7AC8" w:rsidRPr="00DB671B">
        <w:rPr>
          <w:rFonts w:cs="Arial"/>
        </w:rPr>
        <w:t>’</w:t>
      </w:r>
      <w:r w:rsidR="00854B6C" w:rsidRPr="00DB671B">
        <w:rPr>
          <w:rFonts w:cs="Arial"/>
        </w:rPr>
        <w:t>annexe du document</w:t>
      </w:r>
      <w:r w:rsidR="00A83A59" w:rsidRPr="00DB671B">
        <w:rPr>
          <w:rFonts w:cs="Arial"/>
        </w:rPr>
        <w:t> </w:t>
      </w:r>
      <w:r w:rsidR="00854B6C" w:rsidRPr="00DB671B">
        <w:rPr>
          <w:rFonts w:cs="Arial"/>
        </w:rPr>
        <w:t>TWP/3/12.</w:t>
      </w:r>
    </w:p>
    <w:p w:rsidR="00D83B31" w:rsidRPr="00DB671B" w:rsidRDefault="00D83B31" w:rsidP="00054FE5">
      <w:pPr>
        <w:rPr>
          <w:rFonts w:cs="Arial"/>
        </w:rPr>
      </w:pPr>
    </w:p>
    <w:p w:rsidR="00D83B31" w:rsidRPr="00DB671B" w:rsidRDefault="00054FE5" w:rsidP="00854B6C">
      <w:pPr>
        <w:rPr>
          <w:rFonts w:cs="Arial"/>
        </w:rPr>
      </w:pPr>
      <w:r w:rsidRPr="00DB671B">
        <w:rPr>
          <w:rFonts w:cs="Arial"/>
        </w:rPr>
        <w:fldChar w:fldCharType="begin"/>
      </w:r>
      <w:r w:rsidRPr="00DB671B">
        <w:rPr>
          <w:rFonts w:cs="Arial"/>
        </w:rPr>
        <w:instrText xml:space="preserve"> AUTONUM  </w:instrText>
      </w:r>
      <w:r w:rsidRPr="00DB671B">
        <w:rPr>
          <w:rFonts w:cs="Arial"/>
        </w:rPr>
        <w:fldChar w:fldCharType="end"/>
      </w:r>
      <w:r w:rsidRPr="00DB671B">
        <w:rPr>
          <w:rFonts w:cs="Arial"/>
        </w:rPr>
        <w:tab/>
      </w:r>
      <w:r w:rsidR="00854B6C" w:rsidRPr="00DB671B">
        <w:rPr>
          <w:rFonts w:cs="Arial"/>
        </w:rPr>
        <w:t>Le TWV est convenu qu</w:t>
      </w:r>
      <w:r w:rsidR="005F7AC8" w:rsidRPr="00DB671B">
        <w:rPr>
          <w:rFonts w:cs="Arial"/>
        </w:rPr>
        <w:t>’</w:t>
      </w:r>
      <w:r w:rsidR="00854B6C" w:rsidRPr="00DB671B">
        <w:rPr>
          <w:rFonts w:cs="Arial"/>
        </w:rPr>
        <w:t>une nouvelle phrase devait être ajoutée dans le document</w:t>
      </w:r>
      <w:r w:rsidR="00A83A59" w:rsidRPr="00DB671B">
        <w:rPr>
          <w:rFonts w:cs="Arial"/>
        </w:rPr>
        <w:t> </w:t>
      </w:r>
      <w:r w:rsidR="00854B6C" w:rsidRPr="00DB671B">
        <w:rPr>
          <w:rFonts w:cs="Arial"/>
        </w:rPr>
        <w:t>TGP/15 afin de préciser que, si le demandeur affirme dans le questionnaire technique qu</w:t>
      </w:r>
      <w:r w:rsidR="005F7AC8" w:rsidRPr="00DB671B">
        <w:rPr>
          <w:rFonts w:cs="Arial"/>
        </w:rPr>
        <w:t>’</w:t>
      </w:r>
      <w:r w:rsidR="00854B6C" w:rsidRPr="00DB671B">
        <w:rPr>
          <w:rFonts w:cs="Arial"/>
        </w:rPr>
        <w:t>une variété est résistante mais que le test avec marqueurs se révèle négatif, un essai biologique doit être effectué et s</w:t>
      </w:r>
      <w:r w:rsidR="005F7AC8" w:rsidRPr="00DB671B">
        <w:rPr>
          <w:rFonts w:cs="Arial"/>
        </w:rPr>
        <w:t>’</w:t>
      </w:r>
      <w:r w:rsidR="00854B6C" w:rsidRPr="00DB671B">
        <w:rPr>
          <w:rFonts w:cs="Arial"/>
        </w:rPr>
        <w:t>avérer concluant.</w:t>
      </w:r>
    </w:p>
    <w:p w:rsidR="00D83B31" w:rsidRPr="00DB671B" w:rsidRDefault="00D83B31" w:rsidP="00054FE5">
      <w:pPr>
        <w:rPr>
          <w:rFonts w:cs="Arial"/>
        </w:rPr>
      </w:pPr>
    </w:p>
    <w:p w:rsidR="00D83B31" w:rsidRPr="001766FA" w:rsidRDefault="00854B6C" w:rsidP="00DB671B">
      <w:pPr>
        <w:pStyle w:val="Heading5"/>
        <w:rPr>
          <w:lang w:val="fr-CH"/>
        </w:rPr>
      </w:pPr>
      <w:r w:rsidRPr="001766FA">
        <w:rPr>
          <w:lang w:val="fr-CH"/>
        </w:rPr>
        <w:t>TGP/7</w:t>
      </w:r>
      <w:r w:rsidR="005F7AC8" w:rsidRPr="001766FA">
        <w:rPr>
          <w:lang w:val="fr-CH"/>
        </w:rPr>
        <w:t> :</w:t>
      </w:r>
      <w:r w:rsidRPr="001766FA">
        <w:rPr>
          <w:lang w:val="fr-CH"/>
        </w:rPr>
        <w:t xml:space="preserve"> Élaboration des principes directeurs d</w:t>
      </w:r>
      <w:r w:rsidR="005F7AC8" w:rsidRPr="001766FA">
        <w:rPr>
          <w:lang w:val="fr-CH"/>
        </w:rPr>
        <w:t>’</w:t>
      </w:r>
      <w:r w:rsidRPr="001766FA">
        <w:rPr>
          <w:lang w:val="fr-CH"/>
        </w:rPr>
        <w:t>examen</w:t>
      </w:r>
      <w:r w:rsidR="005F7AC8" w:rsidRPr="001766FA">
        <w:rPr>
          <w:lang w:val="fr-CH"/>
        </w:rPr>
        <w:t xml:space="preserve"> – </w:t>
      </w:r>
      <w:r w:rsidRPr="001766FA">
        <w:rPr>
          <w:lang w:val="fr-CH"/>
        </w:rPr>
        <w:t>Procédure de révision partielle des principes directeurs d</w:t>
      </w:r>
      <w:r w:rsidR="005F7AC8" w:rsidRPr="001766FA">
        <w:rPr>
          <w:lang w:val="fr-CH"/>
        </w:rPr>
        <w:t>’</w:t>
      </w:r>
      <w:r w:rsidRPr="001766FA">
        <w:rPr>
          <w:lang w:val="fr-CH"/>
        </w:rPr>
        <w:t>examen de l</w:t>
      </w:r>
      <w:r w:rsidR="005F7AC8" w:rsidRPr="001766FA">
        <w:rPr>
          <w:lang w:val="fr-CH"/>
        </w:rPr>
        <w:t>’</w:t>
      </w:r>
      <w:r w:rsidRPr="001766FA">
        <w:rPr>
          <w:lang w:val="fr-CH"/>
        </w:rPr>
        <w:t>UPOV</w:t>
      </w:r>
    </w:p>
    <w:p w:rsidR="00D83B31" w:rsidRPr="00DB671B" w:rsidRDefault="00D83B31" w:rsidP="00054FE5">
      <w:pPr>
        <w:rPr>
          <w:rFonts w:cs="Arial"/>
          <w:u w:val="single"/>
        </w:rPr>
      </w:pPr>
    </w:p>
    <w:p w:rsidR="00D83B31" w:rsidRPr="00DB671B" w:rsidRDefault="00854B6C" w:rsidP="00854B6C">
      <w:pPr>
        <w:rPr>
          <w:rFonts w:cs="Arial"/>
        </w:rPr>
      </w:pPr>
      <w:r w:rsidRPr="00DB671B">
        <w:rPr>
          <w:rFonts w:cs="Arial"/>
        </w:rPr>
        <w:t>Le TWV s</w:t>
      </w:r>
      <w:r w:rsidR="005F7AC8" w:rsidRPr="00DB671B">
        <w:rPr>
          <w:rFonts w:cs="Arial"/>
        </w:rPr>
        <w:t>’</w:t>
      </w:r>
      <w:r w:rsidRPr="00DB671B">
        <w:rPr>
          <w:rFonts w:cs="Arial"/>
        </w:rPr>
        <w:t>est félicité de la possibilité de disposer d</w:t>
      </w:r>
      <w:r w:rsidR="005F7AC8" w:rsidRPr="00DB671B">
        <w:rPr>
          <w:rFonts w:cs="Arial"/>
        </w:rPr>
        <w:t>’</w:t>
      </w:r>
      <w:r w:rsidRPr="00DB671B">
        <w:rPr>
          <w:rFonts w:cs="Arial"/>
        </w:rPr>
        <w:t>une procédure accélérée pour la révision partielle des principes directeurs d</w:t>
      </w:r>
      <w:r w:rsidR="005F7AC8" w:rsidRPr="00DB671B">
        <w:rPr>
          <w:rFonts w:cs="Arial"/>
        </w:rPr>
        <w:t>’</w:t>
      </w:r>
      <w:r w:rsidRPr="00DB671B">
        <w:rPr>
          <w:rFonts w:cs="Arial"/>
        </w:rPr>
        <w:t>examen, offrant la possibilité aux experts de faire des propositions durant l</w:t>
      </w:r>
      <w:r w:rsidR="005F7AC8" w:rsidRPr="00DB671B">
        <w:rPr>
          <w:rFonts w:cs="Arial"/>
        </w:rPr>
        <w:t>’</w:t>
      </w:r>
      <w:r w:rsidRPr="00DB671B">
        <w:rPr>
          <w:rFonts w:cs="Arial"/>
        </w:rPr>
        <w:t>année, en respectant le délai convenu pour établir et diffuser le document dans les temps avant la session, afin de laisser aux membres de l</w:t>
      </w:r>
      <w:r w:rsidR="005F7AC8" w:rsidRPr="00DB671B">
        <w:rPr>
          <w:rFonts w:cs="Arial"/>
        </w:rPr>
        <w:t>’</w:t>
      </w:r>
      <w:r w:rsidRPr="00DB671B">
        <w:rPr>
          <w:rFonts w:cs="Arial"/>
        </w:rPr>
        <w:t>Union suffisamment de temps pour les examiner.</w:t>
      </w:r>
    </w:p>
    <w:p w:rsidR="00D83B31" w:rsidRPr="00DB671B" w:rsidRDefault="00D83B31" w:rsidP="00054FE5">
      <w:pPr>
        <w:rPr>
          <w:rFonts w:cs="Arial"/>
          <w:u w:val="single"/>
        </w:rPr>
      </w:pPr>
    </w:p>
    <w:p w:rsidR="00D83B31" w:rsidRPr="001766FA" w:rsidRDefault="00854B6C" w:rsidP="00DB671B">
      <w:pPr>
        <w:pStyle w:val="Heading5"/>
        <w:rPr>
          <w:lang w:val="fr-CH"/>
        </w:rPr>
      </w:pPr>
      <w:r w:rsidRPr="001766FA">
        <w:rPr>
          <w:lang w:val="fr-CH"/>
        </w:rPr>
        <w:t>Techniques moléculaires</w:t>
      </w:r>
      <w:r w:rsidR="005F7AC8" w:rsidRPr="001766FA">
        <w:rPr>
          <w:lang w:val="fr-CH"/>
        </w:rPr>
        <w:t xml:space="preserve"> – </w:t>
      </w:r>
      <w:r w:rsidRPr="001766FA">
        <w:rPr>
          <w:lang w:val="fr-CH"/>
        </w:rPr>
        <w:t>TWP/3/7</w:t>
      </w:r>
    </w:p>
    <w:p w:rsidR="00D83B31" w:rsidRPr="00DB671B" w:rsidRDefault="00D83B31" w:rsidP="00054FE5">
      <w:pPr>
        <w:rPr>
          <w:rFonts w:cs="Arial"/>
        </w:rPr>
      </w:pPr>
    </w:p>
    <w:p w:rsidR="00D83B31" w:rsidRPr="00DB671B" w:rsidRDefault="00054FE5" w:rsidP="00CE48A2">
      <w:pPr>
        <w:rPr>
          <w:rFonts w:cs="Arial"/>
        </w:rPr>
      </w:pPr>
      <w:r w:rsidRPr="00DB671B">
        <w:rPr>
          <w:rFonts w:cs="Arial"/>
        </w:rPr>
        <w:fldChar w:fldCharType="begin"/>
      </w:r>
      <w:r w:rsidRPr="00DB671B">
        <w:rPr>
          <w:rFonts w:cs="Arial"/>
        </w:rPr>
        <w:instrText xml:space="preserve"> AUTONUM  </w:instrText>
      </w:r>
      <w:r w:rsidRPr="00DB671B">
        <w:rPr>
          <w:rFonts w:cs="Arial"/>
        </w:rPr>
        <w:fldChar w:fldCharType="end"/>
      </w:r>
      <w:r w:rsidRPr="00DB671B">
        <w:rPr>
          <w:rFonts w:cs="Arial"/>
        </w:rPr>
        <w:tab/>
      </w:r>
      <w:r w:rsidR="00CE48A2" w:rsidRPr="00DB671B">
        <w:rPr>
          <w:rFonts w:cs="Arial"/>
        </w:rPr>
        <w:t>Le TWV a proposé d</w:t>
      </w:r>
      <w:r w:rsidR="005F7AC8" w:rsidRPr="00DB671B">
        <w:rPr>
          <w:rFonts w:cs="Arial"/>
        </w:rPr>
        <w:t>’</w:t>
      </w:r>
      <w:r w:rsidR="00CE48A2" w:rsidRPr="00DB671B">
        <w:rPr>
          <w:rFonts w:cs="Arial"/>
        </w:rPr>
        <w:t>inviter</w:t>
      </w:r>
      <w:r w:rsidR="005F7AC8" w:rsidRPr="00DB671B">
        <w:rPr>
          <w:rFonts w:cs="Arial"/>
        </w:rPr>
        <w:t xml:space="preserve"> le BMT</w:t>
      </w:r>
      <w:r w:rsidR="00CE48A2" w:rsidRPr="00DB671B">
        <w:rPr>
          <w:rFonts w:cs="Arial"/>
        </w:rPr>
        <w:t xml:space="preserve"> à élaborer des orientations sur les éléments à inclure dans un protocole d</w:t>
      </w:r>
      <w:r w:rsidR="005F7AC8" w:rsidRPr="00DB671B">
        <w:rPr>
          <w:rFonts w:cs="Arial"/>
        </w:rPr>
        <w:t>’</w:t>
      </w:r>
      <w:r w:rsidR="00CE48A2" w:rsidRPr="00DB671B">
        <w:rPr>
          <w:rFonts w:cs="Arial"/>
        </w:rPr>
        <w:t>essai sur les marqueurs d</w:t>
      </w:r>
      <w:r w:rsidR="005F7AC8" w:rsidRPr="00DB671B">
        <w:rPr>
          <w:rFonts w:cs="Arial"/>
        </w:rPr>
        <w:t>’</w:t>
      </w:r>
      <w:r w:rsidR="00CE48A2" w:rsidRPr="00DB671B">
        <w:rPr>
          <w:rFonts w:cs="Arial"/>
        </w:rPr>
        <w:t>ADN pour un caractère particulier.</w:t>
      </w:r>
    </w:p>
    <w:p w:rsidR="00D83B31" w:rsidRPr="00DB671B" w:rsidRDefault="00D83B31" w:rsidP="00054FE5">
      <w:pPr>
        <w:rPr>
          <w:rFonts w:cs="Arial"/>
        </w:rPr>
      </w:pPr>
    </w:p>
    <w:p w:rsidR="00D83B31" w:rsidRPr="001766FA" w:rsidRDefault="00054FE5" w:rsidP="00DB671B">
      <w:pPr>
        <w:pStyle w:val="Heading5"/>
        <w:rPr>
          <w:lang w:val="fr-CH"/>
        </w:rPr>
      </w:pPr>
      <w:r w:rsidRPr="001766FA">
        <w:rPr>
          <w:lang w:val="fr-CH"/>
        </w:rPr>
        <w:t>Coopération entre organisations internationales</w:t>
      </w:r>
    </w:p>
    <w:p w:rsidR="00D83B31" w:rsidRPr="00DB671B" w:rsidRDefault="00D83B31" w:rsidP="00054FE5">
      <w:pPr>
        <w:keepNext/>
        <w:rPr>
          <w:rFonts w:cs="Arial"/>
        </w:rPr>
      </w:pPr>
    </w:p>
    <w:p w:rsidR="00D83B31" w:rsidRPr="00DB671B" w:rsidRDefault="00054FE5" w:rsidP="00977006">
      <w:pPr>
        <w:keepNext/>
        <w:rPr>
          <w:rFonts w:cs="Arial"/>
        </w:rPr>
      </w:pPr>
      <w:r w:rsidRPr="00DB671B">
        <w:rPr>
          <w:rFonts w:cs="Arial"/>
        </w:rPr>
        <w:fldChar w:fldCharType="begin"/>
      </w:r>
      <w:r w:rsidRPr="00DB671B">
        <w:rPr>
          <w:rFonts w:cs="Arial"/>
        </w:rPr>
        <w:instrText xml:space="preserve"> AUTONUM  </w:instrText>
      </w:r>
      <w:r w:rsidRPr="00DB671B">
        <w:rPr>
          <w:rFonts w:cs="Arial"/>
        </w:rPr>
        <w:fldChar w:fldCharType="end"/>
      </w:r>
      <w:r w:rsidRPr="00DB671B">
        <w:rPr>
          <w:rFonts w:cs="Arial"/>
        </w:rPr>
        <w:tab/>
      </w:r>
      <w:r w:rsidR="00977006" w:rsidRPr="00DB671B">
        <w:rPr>
          <w:rFonts w:cs="Arial"/>
        </w:rPr>
        <w:t>Le TWV a approuvé l</w:t>
      </w:r>
      <w:r w:rsidR="005F7AC8" w:rsidRPr="00DB671B">
        <w:rPr>
          <w:rFonts w:cs="Arial"/>
        </w:rPr>
        <w:t>’</w:t>
      </w:r>
      <w:r w:rsidR="00977006" w:rsidRPr="00DB671B">
        <w:rPr>
          <w:rFonts w:cs="Arial"/>
        </w:rPr>
        <w:t>inventaire, par plante, de l</w:t>
      </w:r>
      <w:r w:rsidR="005F7AC8" w:rsidRPr="00DB671B">
        <w:rPr>
          <w:rFonts w:cs="Arial"/>
        </w:rPr>
        <w:t>’</w:t>
      </w:r>
      <w:r w:rsidR="00977006" w:rsidRPr="00DB671B">
        <w:rPr>
          <w:rFonts w:cs="Arial"/>
        </w:rPr>
        <w:t>utilisation des techniques faisant intervenir des marqueurs moléculaires, avec les ajouts ci</w:t>
      </w:r>
      <w:r w:rsidR="005F7AC8" w:rsidRPr="00DB671B">
        <w:rPr>
          <w:rFonts w:cs="Arial"/>
        </w:rPr>
        <w:t>-</w:t>
      </w:r>
      <w:r w:rsidR="00977006" w:rsidRPr="00DB671B">
        <w:rPr>
          <w:rFonts w:cs="Arial"/>
        </w:rPr>
        <w:t>après pour tenir compte de la situation des techniques (déjà utilisées ou en cours d</w:t>
      </w:r>
      <w:r w:rsidR="005F7AC8" w:rsidRPr="00DB671B">
        <w:rPr>
          <w:rFonts w:cs="Arial"/>
        </w:rPr>
        <w:t>’</w:t>
      </w:r>
      <w:r w:rsidR="00977006" w:rsidRPr="00DB671B">
        <w:rPr>
          <w:rFonts w:cs="Arial"/>
        </w:rPr>
        <w:t>élaboration) faisant intervenir des marqueurs moléculaires</w:t>
      </w:r>
    </w:p>
    <w:p w:rsidR="00D83B31" w:rsidRPr="00DB671B" w:rsidRDefault="00D83B31" w:rsidP="00054FE5">
      <w:pPr>
        <w:rPr>
          <w:rFonts w:cs="Arial"/>
        </w:rPr>
      </w:pPr>
    </w:p>
    <w:p w:rsidR="00D83B31" w:rsidRPr="00DB671B" w:rsidRDefault="00054FE5" w:rsidP="0047431E">
      <w:pPr>
        <w:pStyle w:val="ListParagraph"/>
        <w:keepNext/>
        <w:numPr>
          <w:ilvl w:val="0"/>
          <w:numId w:val="27"/>
        </w:numPr>
        <w:spacing w:after="160" w:line="259" w:lineRule="auto"/>
        <w:ind w:left="1134" w:hanging="567"/>
        <w:jc w:val="left"/>
        <w:rPr>
          <w:rFonts w:cs="Arial"/>
          <w:i/>
        </w:rPr>
      </w:pPr>
      <w:r w:rsidRPr="00DB671B">
        <w:rPr>
          <w:rFonts w:cs="Arial"/>
          <w:i/>
        </w:rPr>
        <w:t>Situation (techniques déjà utilisées ou en cours d</w:t>
      </w:r>
      <w:r w:rsidR="005F7AC8" w:rsidRPr="00DB671B">
        <w:rPr>
          <w:rFonts w:cs="Arial"/>
          <w:i/>
        </w:rPr>
        <w:t>’</w:t>
      </w:r>
      <w:r w:rsidRPr="00DB671B">
        <w:rPr>
          <w:rFonts w:cs="Arial"/>
          <w:i/>
        </w:rPr>
        <w:t>élaboration)</w:t>
      </w:r>
    </w:p>
    <w:p w:rsidR="00D83B31" w:rsidRPr="00DB671B" w:rsidRDefault="00A22CA4" w:rsidP="0047431E">
      <w:pPr>
        <w:pStyle w:val="ListParagraph"/>
        <w:keepNext/>
        <w:numPr>
          <w:ilvl w:val="0"/>
          <w:numId w:val="27"/>
        </w:numPr>
        <w:spacing w:after="160" w:line="259" w:lineRule="auto"/>
        <w:ind w:left="1134" w:hanging="567"/>
        <w:jc w:val="left"/>
        <w:rPr>
          <w:rFonts w:cs="Arial"/>
          <w:i/>
        </w:rPr>
      </w:pPr>
      <w:r w:rsidRPr="00DB671B">
        <w:rPr>
          <w:rFonts w:cs="Arial"/>
          <w:i/>
        </w:rPr>
        <w:t>Plantes pour lesquelles la technique faisant intervenir des marqueurs moléculaires est utilisée et caractère concerné (en cas d</w:t>
      </w:r>
      <w:r w:rsidR="005F7AC8" w:rsidRPr="00DB671B">
        <w:rPr>
          <w:rFonts w:cs="Arial"/>
          <w:i/>
        </w:rPr>
        <w:t>’</w:t>
      </w:r>
      <w:r w:rsidRPr="00DB671B">
        <w:rPr>
          <w:rFonts w:cs="Arial"/>
          <w:i/>
        </w:rPr>
        <w:t>utilisation) [noms botaniques et codes UPOV à indiquer]</w:t>
      </w:r>
    </w:p>
    <w:p w:rsidR="00D83B31" w:rsidRPr="001766FA" w:rsidRDefault="00054FE5" w:rsidP="00DB671B">
      <w:pPr>
        <w:pStyle w:val="Heading5"/>
        <w:rPr>
          <w:lang w:val="fr-CH"/>
        </w:rPr>
      </w:pPr>
      <w:r w:rsidRPr="001766FA">
        <w:rPr>
          <w:lang w:val="fr-CH"/>
        </w:rPr>
        <w:t>Utilisation de caractères de résistance aux maladies</w:t>
      </w:r>
    </w:p>
    <w:p w:rsidR="00D83B31" w:rsidRPr="00DB671B" w:rsidRDefault="00D83B31" w:rsidP="00054FE5">
      <w:pPr>
        <w:rPr>
          <w:rFonts w:cs="Arial"/>
          <w:u w:val="single"/>
        </w:rPr>
      </w:pPr>
    </w:p>
    <w:p w:rsidR="00D83B31" w:rsidRPr="00DB671B" w:rsidRDefault="00054FE5" w:rsidP="00A22CA4">
      <w:pPr>
        <w:rPr>
          <w:rFonts w:cs="Arial"/>
        </w:rPr>
      </w:pPr>
      <w:r w:rsidRPr="00DB671B">
        <w:rPr>
          <w:rFonts w:cs="Arial"/>
        </w:rPr>
        <w:fldChar w:fldCharType="begin"/>
      </w:r>
      <w:r w:rsidRPr="00DB671B">
        <w:rPr>
          <w:rFonts w:cs="Arial"/>
        </w:rPr>
        <w:instrText xml:space="preserve"> AUTONUM  </w:instrText>
      </w:r>
      <w:r w:rsidRPr="00DB671B">
        <w:rPr>
          <w:rFonts w:cs="Arial"/>
        </w:rPr>
        <w:fldChar w:fldCharType="end"/>
      </w:r>
      <w:r w:rsidRPr="00DB671B">
        <w:rPr>
          <w:rFonts w:cs="Arial"/>
        </w:rPr>
        <w:tab/>
      </w:r>
      <w:r w:rsidR="00A22CA4" w:rsidRPr="00DB671B">
        <w:rPr>
          <w:rFonts w:cs="Arial"/>
        </w:rPr>
        <w:t>Le TWV a suivi les exposés ci</w:t>
      </w:r>
      <w:r w:rsidR="005F7AC8" w:rsidRPr="00DB671B">
        <w:rPr>
          <w:rFonts w:cs="Arial"/>
        </w:rPr>
        <w:t>-</w:t>
      </w:r>
      <w:r w:rsidR="00A22CA4" w:rsidRPr="00DB671B">
        <w:rPr>
          <w:rFonts w:cs="Arial"/>
        </w:rPr>
        <w:t>après</w:t>
      </w:r>
      <w:r w:rsidR="005F7AC8" w:rsidRPr="00DB671B">
        <w:rPr>
          <w:rFonts w:cs="Arial"/>
        </w:rPr>
        <w:t> :</w:t>
      </w:r>
    </w:p>
    <w:p w:rsidR="00D83B31" w:rsidRPr="00DB671B" w:rsidRDefault="00D83B31" w:rsidP="00054FE5">
      <w:pPr>
        <w:keepNext/>
        <w:rPr>
          <w:rFonts w:cs="Arial"/>
        </w:rPr>
      </w:pPr>
    </w:p>
    <w:p w:rsidR="00D83B31" w:rsidRPr="00DB671B" w:rsidRDefault="00054FE5" w:rsidP="00054FE5">
      <w:pPr>
        <w:numPr>
          <w:ilvl w:val="0"/>
          <w:numId w:val="28"/>
        </w:numPr>
        <w:tabs>
          <w:tab w:val="left" w:pos="1701"/>
        </w:tabs>
        <w:ind w:left="1134" w:hanging="567"/>
        <w:contextualSpacing/>
      </w:pPr>
      <w:r w:rsidRPr="00DB671B">
        <w:t>“Use of disease resistance characteristics” (Utilisation de caractères de résistance aux maladies), présenté par un expert de l</w:t>
      </w:r>
      <w:r w:rsidR="005F7AC8" w:rsidRPr="00DB671B">
        <w:t>’</w:t>
      </w:r>
      <w:r w:rsidRPr="00DB671B">
        <w:t>Union européenne.</w:t>
      </w:r>
    </w:p>
    <w:p w:rsidR="00D83B31" w:rsidRPr="00DB671B" w:rsidRDefault="00054FE5" w:rsidP="00054FE5">
      <w:pPr>
        <w:numPr>
          <w:ilvl w:val="0"/>
          <w:numId w:val="28"/>
        </w:numPr>
        <w:tabs>
          <w:tab w:val="left" w:pos="1701"/>
        </w:tabs>
        <w:ind w:left="1134" w:hanging="567"/>
        <w:contextualSpacing/>
        <w:rPr>
          <w:rFonts w:eastAsia="MS Mincho" w:cs="Arial"/>
        </w:rPr>
      </w:pPr>
      <w:r w:rsidRPr="001766FA">
        <w:rPr>
          <w:rFonts w:eastAsia="MS Mincho" w:cs="Arial"/>
          <w:lang w:val="en-US"/>
        </w:rPr>
        <w:t xml:space="preserve">“Evaluation of disease resistance in vegetable varieties according to UPOV standards.  </w:t>
      </w:r>
      <w:r w:rsidRPr="00DB671B">
        <w:rPr>
          <w:rFonts w:eastAsia="MS Mincho" w:cs="Arial"/>
        </w:rPr>
        <w:t>A focus on the Italian activities” (Évaluation de la résistance des variétés végétales aux maladies selon les normes de l</w:t>
      </w:r>
      <w:r w:rsidR="005F7AC8" w:rsidRPr="00DB671B">
        <w:rPr>
          <w:rFonts w:eastAsia="MS Mincho" w:cs="Arial"/>
        </w:rPr>
        <w:t>’</w:t>
      </w:r>
      <w:r w:rsidRPr="00DB671B">
        <w:rPr>
          <w:rFonts w:eastAsia="MS Mincho" w:cs="Arial"/>
        </w:rPr>
        <w:t>UPOV.</w:t>
      </w:r>
      <w:r w:rsidR="00E85E8E" w:rsidRPr="00DB671B">
        <w:rPr>
          <w:rFonts w:eastAsia="MS Mincho" w:cs="Arial"/>
        </w:rPr>
        <w:t xml:space="preserve"> </w:t>
      </w:r>
      <w:r w:rsidRPr="00DB671B">
        <w:rPr>
          <w:rFonts w:eastAsia="MS Mincho" w:cs="Arial"/>
        </w:rPr>
        <w:t xml:space="preserve"> Les recherches menées en Italie), présenté par un expert d</w:t>
      </w:r>
      <w:r w:rsidR="005F7AC8" w:rsidRPr="00DB671B">
        <w:rPr>
          <w:rFonts w:eastAsia="MS Mincho" w:cs="Arial"/>
        </w:rPr>
        <w:t>’</w:t>
      </w:r>
      <w:r w:rsidRPr="00DB671B">
        <w:rPr>
          <w:rFonts w:eastAsia="MS Mincho" w:cs="Arial"/>
        </w:rPr>
        <w:t>Italie.</w:t>
      </w:r>
    </w:p>
    <w:p w:rsidR="00D83B31" w:rsidRPr="00DB671B" w:rsidRDefault="00054FE5" w:rsidP="00054FE5">
      <w:pPr>
        <w:numPr>
          <w:ilvl w:val="0"/>
          <w:numId w:val="28"/>
        </w:numPr>
        <w:tabs>
          <w:tab w:val="left" w:pos="1701"/>
        </w:tabs>
        <w:ind w:left="1134" w:hanging="567"/>
        <w:contextualSpacing/>
        <w:rPr>
          <w:rFonts w:eastAsia="MS Mincho" w:cs="Arial"/>
        </w:rPr>
      </w:pPr>
      <w:r w:rsidRPr="00DB671B">
        <w:rPr>
          <w:rFonts w:eastAsia="MS Mincho" w:cs="Arial"/>
        </w:rPr>
        <w:t>“Disease resistance in DUS” (La résistance aux maladies dans le cadre de l</w:t>
      </w:r>
      <w:r w:rsidR="005F7AC8" w:rsidRPr="00DB671B">
        <w:rPr>
          <w:rFonts w:eastAsia="MS Mincho" w:cs="Arial"/>
        </w:rPr>
        <w:t>’</w:t>
      </w:r>
      <w:r w:rsidRPr="00DB671B">
        <w:rPr>
          <w:rFonts w:eastAsia="MS Mincho" w:cs="Arial"/>
        </w:rPr>
        <w:t>examen</w:t>
      </w:r>
      <w:r w:rsidR="00E85E8E" w:rsidRPr="00DB671B">
        <w:rPr>
          <w:rFonts w:eastAsia="MS Mincho" w:cs="Arial"/>
        </w:rPr>
        <w:t> </w:t>
      </w:r>
      <w:r w:rsidRPr="00DB671B">
        <w:rPr>
          <w:rFonts w:eastAsia="MS Mincho" w:cs="Arial"/>
        </w:rPr>
        <w:t>DHS), présenté par des experts de France et des Pays</w:t>
      </w:r>
      <w:r w:rsidR="005F7AC8" w:rsidRPr="00DB671B">
        <w:rPr>
          <w:rFonts w:eastAsia="MS Mincho" w:cs="Arial"/>
        </w:rPr>
        <w:t>-</w:t>
      </w:r>
      <w:r w:rsidRPr="00DB671B">
        <w:rPr>
          <w:rFonts w:eastAsia="MS Mincho" w:cs="Arial"/>
        </w:rPr>
        <w:t>Bas.</w:t>
      </w:r>
    </w:p>
    <w:p w:rsidR="00D83B31" w:rsidRPr="00DB671B" w:rsidRDefault="00054FE5" w:rsidP="00054FE5">
      <w:pPr>
        <w:numPr>
          <w:ilvl w:val="0"/>
          <w:numId w:val="28"/>
        </w:numPr>
        <w:tabs>
          <w:tab w:val="left" w:pos="1701"/>
        </w:tabs>
        <w:ind w:left="1134" w:hanging="567"/>
        <w:contextualSpacing/>
        <w:rPr>
          <w:rFonts w:eastAsia="MS Mincho" w:cs="Arial"/>
        </w:rPr>
      </w:pPr>
      <w:r w:rsidRPr="00DB671B">
        <w:rPr>
          <w:rFonts w:eastAsia="MS Mincho" w:cs="Arial"/>
        </w:rPr>
        <w:t>“Harmonization of resistance tests to diseases for DUS testing</w:t>
      </w:r>
      <w:r w:rsidR="005F7AC8" w:rsidRPr="00DB671B">
        <w:rPr>
          <w:rFonts w:eastAsia="MS Mincho" w:cs="Arial"/>
        </w:rPr>
        <w:t> :</w:t>
      </w:r>
      <w:r w:rsidRPr="00DB671B">
        <w:rPr>
          <w:rFonts w:eastAsia="MS Mincho" w:cs="Arial"/>
        </w:rPr>
        <w:t xml:space="preserve"> Harmores 3” (Harmonisation des essais de résistance aux maladies aux fins de l</w:t>
      </w:r>
      <w:r w:rsidR="005F7AC8" w:rsidRPr="00DB671B">
        <w:rPr>
          <w:rFonts w:eastAsia="MS Mincho" w:cs="Arial"/>
        </w:rPr>
        <w:t>’</w:t>
      </w:r>
      <w:r w:rsidRPr="00DB671B">
        <w:rPr>
          <w:rFonts w:eastAsia="MS Mincho" w:cs="Arial"/>
        </w:rPr>
        <w:t>examen</w:t>
      </w:r>
      <w:r w:rsidR="00E85E8E" w:rsidRPr="00DB671B">
        <w:rPr>
          <w:rFonts w:eastAsia="MS Mincho" w:cs="Arial"/>
        </w:rPr>
        <w:t> </w:t>
      </w:r>
      <w:r w:rsidRPr="00DB671B">
        <w:rPr>
          <w:rFonts w:eastAsia="MS Mincho" w:cs="Arial"/>
        </w:rPr>
        <w:t>DHS</w:t>
      </w:r>
      <w:r w:rsidR="005F7AC8" w:rsidRPr="00DB671B">
        <w:rPr>
          <w:rFonts w:eastAsia="MS Mincho" w:cs="Arial"/>
        </w:rPr>
        <w:t> :</w:t>
      </w:r>
      <w:r w:rsidRPr="00DB671B">
        <w:rPr>
          <w:rFonts w:eastAsia="MS Mincho" w:cs="Arial"/>
        </w:rPr>
        <w:t xml:space="preserve"> Harmores 3), présenté par un expert de France (au nom du groupe de travail).</w:t>
      </w:r>
    </w:p>
    <w:p w:rsidR="00D83B31" w:rsidRPr="00DB671B" w:rsidRDefault="00054FE5" w:rsidP="00054FE5">
      <w:pPr>
        <w:numPr>
          <w:ilvl w:val="0"/>
          <w:numId w:val="28"/>
        </w:numPr>
        <w:tabs>
          <w:tab w:val="left" w:pos="1701"/>
        </w:tabs>
        <w:ind w:left="1134" w:hanging="567"/>
        <w:contextualSpacing/>
        <w:rPr>
          <w:rFonts w:eastAsia="MS Mincho" w:cs="Arial"/>
          <w:snapToGrid w:val="0"/>
        </w:rPr>
      </w:pPr>
      <w:r w:rsidRPr="001766FA">
        <w:rPr>
          <w:rFonts w:eastAsia="MS Mincho" w:cs="Arial"/>
          <w:snapToGrid w:val="0"/>
          <w:lang w:val="en-US"/>
        </w:rPr>
        <w:t>“Disease resistance in vegetables</w:t>
      </w:r>
      <w:r w:rsidR="005F7AC8" w:rsidRPr="001766FA">
        <w:rPr>
          <w:rFonts w:eastAsia="MS Mincho" w:cs="Arial"/>
          <w:snapToGrid w:val="0"/>
          <w:lang w:val="en-US"/>
        </w:rPr>
        <w:t> :</w:t>
      </w:r>
      <w:r w:rsidRPr="001766FA">
        <w:rPr>
          <w:rFonts w:eastAsia="MS Mincho" w:cs="Arial"/>
          <w:snapToGrid w:val="0"/>
          <w:lang w:val="en-US"/>
        </w:rPr>
        <w:t xml:space="preserve"> What does the European industry do in terms of claims?” </w:t>
      </w:r>
      <w:r w:rsidRPr="00DB671B">
        <w:rPr>
          <w:rFonts w:eastAsia="MS Mincho" w:cs="Arial"/>
          <w:snapToGrid w:val="0"/>
        </w:rPr>
        <w:t>(La résistance des variétés végétales aux maladies</w:t>
      </w:r>
      <w:r w:rsidR="005F7AC8" w:rsidRPr="00DB671B">
        <w:rPr>
          <w:rFonts w:eastAsia="MS Mincho" w:cs="Arial"/>
          <w:snapToGrid w:val="0"/>
        </w:rPr>
        <w:t> :</w:t>
      </w:r>
      <w:r w:rsidRPr="00DB671B">
        <w:rPr>
          <w:rFonts w:eastAsia="MS Mincho" w:cs="Arial"/>
          <w:snapToGrid w:val="0"/>
        </w:rPr>
        <w:t xml:space="preserve"> que fait l</w:t>
      </w:r>
      <w:r w:rsidR="005F7AC8" w:rsidRPr="00DB671B">
        <w:rPr>
          <w:rFonts w:eastAsia="MS Mincho" w:cs="Arial"/>
          <w:snapToGrid w:val="0"/>
        </w:rPr>
        <w:t>’</w:t>
      </w:r>
      <w:r w:rsidRPr="00DB671B">
        <w:rPr>
          <w:rFonts w:eastAsia="MS Mincho" w:cs="Arial"/>
          <w:snapToGrid w:val="0"/>
        </w:rPr>
        <w:t>industrie européenne en matière de réclamation?), présenté par un expert de l</w:t>
      </w:r>
      <w:r w:rsidR="005F7AC8" w:rsidRPr="00DB671B">
        <w:rPr>
          <w:rFonts w:eastAsia="MS Mincho" w:cs="Arial"/>
          <w:snapToGrid w:val="0"/>
        </w:rPr>
        <w:t>’</w:t>
      </w:r>
      <w:r w:rsidRPr="00DB671B">
        <w:rPr>
          <w:rFonts w:eastAsia="MS Mincho" w:cs="Arial"/>
          <w:snapToGrid w:val="0"/>
        </w:rPr>
        <w:t>European Seed</w:t>
      </w:r>
      <w:r w:rsidR="00A83A59" w:rsidRPr="00DB671B">
        <w:rPr>
          <w:rFonts w:eastAsia="MS Mincho" w:cs="Arial"/>
          <w:snapToGrid w:val="0"/>
        </w:rPr>
        <w:t> </w:t>
      </w:r>
      <w:r w:rsidRPr="00DB671B">
        <w:rPr>
          <w:rFonts w:eastAsia="MS Mincho" w:cs="Arial"/>
          <w:snapToGrid w:val="0"/>
        </w:rPr>
        <w:t>Association (ESA).</w:t>
      </w:r>
    </w:p>
    <w:p w:rsidR="00D83B31" w:rsidRPr="00DB671B" w:rsidRDefault="00054FE5" w:rsidP="00054FE5">
      <w:pPr>
        <w:keepNext/>
        <w:numPr>
          <w:ilvl w:val="0"/>
          <w:numId w:val="28"/>
        </w:numPr>
        <w:tabs>
          <w:tab w:val="left" w:pos="1701"/>
        </w:tabs>
        <w:ind w:left="1134" w:hanging="567"/>
        <w:contextualSpacing/>
        <w:rPr>
          <w:rFonts w:eastAsia="MS Mincho" w:cs="Arial"/>
        </w:rPr>
      </w:pPr>
      <w:r w:rsidRPr="00DB671B">
        <w:rPr>
          <w:rFonts w:eastAsia="MS Mincho" w:cs="Arial"/>
        </w:rPr>
        <w:t>“ISF Working Group Disease resistance terminology” (Travaux menés par le groupe de travail de l</w:t>
      </w:r>
      <w:r w:rsidR="005F7AC8" w:rsidRPr="00DB671B">
        <w:rPr>
          <w:rFonts w:eastAsia="MS Mincho" w:cs="Arial"/>
        </w:rPr>
        <w:t>’</w:t>
      </w:r>
      <w:r w:rsidRPr="00DB671B">
        <w:rPr>
          <w:rFonts w:eastAsia="MS Mincho" w:cs="Arial"/>
        </w:rPr>
        <w:t>ISF sur la terminologie de la résistance aux maladies), présenté par un expert de l</w:t>
      </w:r>
      <w:r w:rsidR="005F7AC8" w:rsidRPr="00DB671B">
        <w:rPr>
          <w:rFonts w:eastAsia="MS Mincho" w:cs="Arial"/>
        </w:rPr>
        <w:t>’</w:t>
      </w:r>
      <w:r w:rsidR="00CF2FFB">
        <w:rPr>
          <w:rFonts w:eastAsia="MS Mincho" w:cs="Arial"/>
        </w:rPr>
        <w:t>International </w:t>
      </w:r>
      <w:r w:rsidRPr="00DB671B">
        <w:rPr>
          <w:rFonts w:eastAsia="MS Mincho" w:cs="Arial"/>
        </w:rPr>
        <w:t>Seed Federation (ISF).</w:t>
      </w:r>
    </w:p>
    <w:p w:rsidR="00D83B31" w:rsidRPr="00DB671B" w:rsidRDefault="00D83B31" w:rsidP="00054FE5">
      <w:pPr>
        <w:rPr>
          <w:rFonts w:cs="Arial"/>
        </w:rPr>
      </w:pPr>
    </w:p>
    <w:p w:rsidR="00D83B31" w:rsidRPr="00DB671B" w:rsidRDefault="00054FE5" w:rsidP="00054FE5">
      <w:pPr>
        <w:rPr>
          <w:rFonts w:cs="Arial"/>
        </w:rPr>
      </w:pPr>
      <w:r w:rsidRPr="00DB671B">
        <w:rPr>
          <w:rFonts w:cs="Arial"/>
        </w:rPr>
        <w:fldChar w:fldCharType="begin"/>
      </w:r>
      <w:r w:rsidRPr="00DB671B">
        <w:rPr>
          <w:rFonts w:cs="Arial"/>
        </w:rPr>
        <w:instrText xml:space="preserve"> AUTONUM  </w:instrText>
      </w:r>
      <w:r w:rsidRPr="00DB671B">
        <w:rPr>
          <w:rFonts w:cs="Arial"/>
        </w:rPr>
        <w:fldChar w:fldCharType="end"/>
      </w:r>
      <w:r w:rsidRPr="00DB671B">
        <w:rPr>
          <w:rFonts w:cs="Arial"/>
        </w:rPr>
        <w:tab/>
        <w:t>Le TWV a estimé que les orientations figurant actuellement dans les documents de l</w:t>
      </w:r>
      <w:r w:rsidR="005F7AC8" w:rsidRPr="00DB671B">
        <w:rPr>
          <w:rFonts w:cs="Arial"/>
        </w:rPr>
        <w:t>’</w:t>
      </w:r>
      <w:r w:rsidRPr="00DB671B">
        <w:rPr>
          <w:rFonts w:cs="Arial"/>
        </w:rPr>
        <w:t>UPOV relatifs à l</w:t>
      </w:r>
      <w:r w:rsidR="005F7AC8" w:rsidRPr="00DB671B">
        <w:rPr>
          <w:rFonts w:cs="Arial"/>
        </w:rPr>
        <w:t>’</w:t>
      </w:r>
      <w:r w:rsidRPr="00DB671B">
        <w:rPr>
          <w:rFonts w:cs="Arial"/>
        </w:rPr>
        <w:t>utilisation des caractères de résistance aux maladies dans les principes directeurs d</w:t>
      </w:r>
      <w:r w:rsidR="005F7AC8" w:rsidRPr="00DB671B">
        <w:rPr>
          <w:rFonts w:cs="Arial"/>
        </w:rPr>
        <w:t>’</w:t>
      </w:r>
      <w:r w:rsidRPr="00DB671B">
        <w:rPr>
          <w:rFonts w:cs="Arial"/>
        </w:rPr>
        <w:t>examen et aux fins de l</w:t>
      </w:r>
      <w:r w:rsidR="005F7AC8" w:rsidRPr="00DB671B">
        <w:rPr>
          <w:rFonts w:cs="Arial"/>
        </w:rPr>
        <w:t>’</w:t>
      </w:r>
      <w:r w:rsidRPr="00DB671B">
        <w:rPr>
          <w:rFonts w:cs="Arial"/>
        </w:rPr>
        <w:t>examen</w:t>
      </w:r>
      <w:r w:rsidR="00E85E8E" w:rsidRPr="00DB671B">
        <w:rPr>
          <w:rFonts w:cs="Arial"/>
        </w:rPr>
        <w:t> </w:t>
      </w:r>
      <w:r w:rsidRPr="00DB671B">
        <w:rPr>
          <w:rFonts w:cs="Arial"/>
        </w:rPr>
        <w:t>DHS étaient suffisamment claires et détaillées en l</w:t>
      </w:r>
      <w:r w:rsidR="005F7AC8" w:rsidRPr="00DB671B">
        <w:rPr>
          <w:rFonts w:cs="Arial"/>
        </w:rPr>
        <w:t>’</w:t>
      </w:r>
      <w:r w:rsidRPr="00DB671B">
        <w:rPr>
          <w:rFonts w:cs="Arial"/>
        </w:rPr>
        <w:t xml:space="preserve">état actuel des choses. </w:t>
      </w:r>
      <w:r w:rsidR="005F7AC8" w:rsidRPr="00DB671B">
        <w:rPr>
          <w:rFonts w:cs="Arial"/>
        </w:rPr>
        <w:t xml:space="preserve"> Le TWV</w:t>
      </w:r>
      <w:r w:rsidRPr="00DB671B">
        <w:rPr>
          <w:rFonts w:cs="Arial"/>
        </w:rPr>
        <w:t xml:space="preserve"> a noté que, en matière de caractères de résistance aux maladies, plus de trois</w:t>
      </w:r>
      <w:r w:rsidR="00E85E8E" w:rsidRPr="00DB671B">
        <w:rPr>
          <w:rFonts w:cs="Arial"/>
        </w:rPr>
        <w:t> </w:t>
      </w:r>
      <w:r w:rsidRPr="00DB671B">
        <w:rPr>
          <w:rFonts w:cs="Arial"/>
        </w:rPr>
        <w:t>états pouvaient être utilisés avec un type d</w:t>
      </w:r>
      <w:r w:rsidR="005F7AC8" w:rsidRPr="00DB671B">
        <w:rPr>
          <w:rFonts w:cs="Arial"/>
        </w:rPr>
        <w:t>’</w:t>
      </w:r>
      <w:r w:rsidRPr="00DB671B">
        <w:rPr>
          <w:rFonts w:cs="Arial"/>
        </w:rPr>
        <w:t>expression QN.</w:t>
      </w:r>
    </w:p>
    <w:p w:rsidR="00D83B31" w:rsidRPr="00DB671B" w:rsidRDefault="00D83B31" w:rsidP="00054FE5">
      <w:pPr>
        <w:rPr>
          <w:rFonts w:cs="Arial"/>
        </w:rPr>
      </w:pPr>
    </w:p>
    <w:p w:rsidR="005F7AC8" w:rsidRPr="00DB671B" w:rsidRDefault="00054FE5" w:rsidP="00054FE5">
      <w:pPr>
        <w:rPr>
          <w:rFonts w:cs="Arial"/>
        </w:rPr>
      </w:pPr>
      <w:r w:rsidRPr="00DB671B">
        <w:rPr>
          <w:rFonts w:cs="Arial"/>
        </w:rPr>
        <w:fldChar w:fldCharType="begin"/>
      </w:r>
      <w:r w:rsidRPr="00DB671B">
        <w:rPr>
          <w:rFonts w:cs="Arial"/>
        </w:rPr>
        <w:instrText xml:space="preserve"> AUTONUM  </w:instrText>
      </w:r>
      <w:r w:rsidRPr="00DB671B">
        <w:rPr>
          <w:rFonts w:cs="Arial"/>
        </w:rPr>
        <w:fldChar w:fldCharType="end"/>
      </w:r>
      <w:r w:rsidRPr="00DB671B">
        <w:rPr>
          <w:rFonts w:cs="Arial"/>
        </w:rPr>
        <w:tab/>
        <w:t>Le TWV s</w:t>
      </w:r>
      <w:r w:rsidR="005F7AC8" w:rsidRPr="00DB671B">
        <w:rPr>
          <w:rFonts w:cs="Arial"/>
        </w:rPr>
        <w:t>’</w:t>
      </w:r>
      <w:r w:rsidRPr="00DB671B">
        <w:rPr>
          <w:rFonts w:cs="Arial"/>
        </w:rPr>
        <w:t>est accordé à reconnaître que la résistance aux maladies était un objectif fondamental en matière de sélection et que la coopération entre toutes les parties prenantes assurerait l</w:t>
      </w:r>
      <w:r w:rsidR="005F7AC8" w:rsidRPr="00DB671B">
        <w:rPr>
          <w:rFonts w:cs="Arial"/>
        </w:rPr>
        <w:t>’</w:t>
      </w:r>
      <w:r w:rsidRPr="00DB671B">
        <w:rPr>
          <w:rFonts w:cs="Arial"/>
        </w:rPr>
        <w:t>élaboration de principes directeurs d</w:t>
      </w:r>
      <w:r w:rsidR="005F7AC8" w:rsidRPr="00DB671B">
        <w:rPr>
          <w:rFonts w:cs="Arial"/>
        </w:rPr>
        <w:t>’</w:t>
      </w:r>
      <w:r w:rsidRPr="00DB671B">
        <w:rPr>
          <w:rFonts w:cs="Arial"/>
        </w:rPr>
        <w:t>examen et d</w:t>
      </w:r>
      <w:r w:rsidR="005F7AC8" w:rsidRPr="00DB671B">
        <w:rPr>
          <w:rFonts w:cs="Arial"/>
        </w:rPr>
        <w:t>’</w:t>
      </w:r>
      <w:r w:rsidRPr="00DB671B">
        <w:rPr>
          <w:rFonts w:cs="Arial"/>
        </w:rPr>
        <w:t>examens DHS conformes aux attentes des utilisateurs du système.</w:t>
      </w:r>
    </w:p>
    <w:p w:rsidR="00D83B31" w:rsidRPr="00DB671B" w:rsidRDefault="00D83B31" w:rsidP="00054FE5">
      <w:pPr>
        <w:rPr>
          <w:rFonts w:cs="Arial"/>
        </w:rPr>
      </w:pPr>
    </w:p>
    <w:p w:rsidR="00D83B31" w:rsidRPr="00DB671B" w:rsidRDefault="00054FE5" w:rsidP="00054FE5">
      <w:pPr>
        <w:rPr>
          <w:rFonts w:cs="Arial"/>
        </w:rPr>
      </w:pPr>
      <w:r w:rsidRPr="00DB671B">
        <w:rPr>
          <w:rFonts w:cs="Arial"/>
        </w:rPr>
        <w:fldChar w:fldCharType="begin"/>
      </w:r>
      <w:r w:rsidRPr="00DB671B">
        <w:rPr>
          <w:rFonts w:cs="Arial"/>
        </w:rPr>
        <w:instrText xml:space="preserve"> AUTONUM  </w:instrText>
      </w:r>
      <w:r w:rsidRPr="00DB671B">
        <w:rPr>
          <w:rFonts w:cs="Arial"/>
        </w:rPr>
        <w:fldChar w:fldCharType="end"/>
      </w:r>
      <w:r w:rsidRPr="00DB671B">
        <w:rPr>
          <w:rFonts w:cs="Arial"/>
        </w:rPr>
        <w:tab/>
        <w:t>Le TWV a reconnu que les caractères de résistance aux maladies étaient importants pour l</w:t>
      </w:r>
      <w:r w:rsidR="005F7AC8" w:rsidRPr="00DB671B">
        <w:rPr>
          <w:rFonts w:cs="Arial"/>
        </w:rPr>
        <w:t>’</w:t>
      </w:r>
      <w:r w:rsidRPr="00DB671B">
        <w:rPr>
          <w:rFonts w:cs="Arial"/>
        </w:rPr>
        <w:t>examen</w:t>
      </w:r>
      <w:r w:rsidR="00E85E8E" w:rsidRPr="00DB671B">
        <w:rPr>
          <w:rFonts w:cs="Arial"/>
        </w:rPr>
        <w:t> </w:t>
      </w:r>
      <w:r w:rsidRPr="00DB671B">
        <w:rPr>
          <w:rFonts w:cs="Arial"/>
        </w:rPr>
        <w:t>DHS, en particulier en ce qui concerne la distinction, le regroupement et les descriptions de la variété.</w:t>
      </w:r>
      <w:r w:rsidR="005F7AC8" w:rsidRPr="00DB671B">
        <w:t xml:space="preserve"> </w:t>
      </w:r>
      <w:r w:rsidR="00E85E8E" w:rsidRPr="00DB671B">
        <w:rPr>
          <w:rFonts w:cs="Arial"/>
        </w:rPr>
        <w:t xml:space="preserve"> </w:t>
      </w:r>
      <w:r w:rsidR="005F7AC8" w:rsidRPr="00DB671B">
        <w:rPr>
          <w:rFonts w:cs="Arial"/>
        </w:rPr>
        <w:t>Le TWV</w:t>
      </w:r>
      <w:r w:rsidRPr="00DB671B">
        <w:rPr>
          <w:rFonts w:cs="Arial"/>
        </w:rPr>
        <w:t xml:space="preserve"> a donc estimé qu</w:t>
      </w:r>
      <w:r w:rsidR="005F7AC8" w:rsidRPr="00DB671B">
        <w:rPr>
          <w:rFonts w:cs="Arial"/>
        </w:rPr>
        <w:t>’</w:t>
      </w:r>
      <w:r w:rsidRPr="00DB671B">
        <w:rPr>
          <w:rFonts w:cs="Arial"/>
        </w:rPr>
        <w:t>il relevait de la responsabilité</w:t>
      </w:r>
      <w:r w:rsidR="005F7AC8" w:rsidRPr="00DB671B">
        <w:rPr>
          <w:rFonts w:cs="Arial"/>
        </w:rPr>
        <w:t xml:space="preserve"> des TWP</w:t>
      </w:r>
      <w:r w:rsidRPr="00DB671B">
        <w:rPr>
          <w:rFonts w:cs="Arial"/>
        </w:rPr>
        <w:t xml:space="preserve"> de mettre à jour leurs principes directeurs d</w:t>
      </w:r>
      <w:r w:rsidR="005F7AC8" w:rsidRPr="00DB671B">
        <w:rPr>
          <w:rFonts w:cs="Arial"/>
        </w:rPr>
        <w:t>’</w:t>
      </w:r>
      <w:r w:rsidRPr="00DB671B">
        <w:rPr>
          <w:rFonts w:cs="Arial"/>
        </w:rPr>
        <w:t>examen le cas échéant et de prendre le temps nécessaire à l</w:t>
      </w:r>
      <w:r w:rsidR="005F7AC8" w:rsidRPr="00DB671B">
        <w:rPr>
          <w:rFonts w:cs="Arial"/>
        </w:rPr>
        <w:t>’</w:t>
      </w:r>
      <w:r w:rsidRPr="00DB671B">
        <w:rPr>
          <w:rFonts w:cs="Arial"/>
        </w:rPr>
        <w:t>ajout ou à l</w:t>
      </w:r>
      <w:r w:rsidR="005F7AC8" w:rsidRPr="00DB671B">
        <w:rPr>
          <w:rFonts w:cs="Arial"/>
        </w:rPr>
        <w:t>’</w:t>
      </w:r>
      <w:r w:rsidRPr="00DB671B">
        <w:rPr>
          <w:rFonts w:cs="Arial"/>
        </w:rPr>
        <w:t>actualisation des caractères à l</w:t>
      </w:r>
      <w:r w:rsidR="005F7AC8" w:rsidRPr="00DB671B">
        <w:rPr>
          <w:rFonts w:cs="Arial"/>
        </w:rPr>
        <w:t>’</w:t>
      </w:r>
      <w:r w:rsidRPr="00DB671B">
        <w:rPr>
          <w:rFonts w:cs="Arial"/>
        </w:rPr>
        <w:t>aide d</w:t>
      </w:r>
      <w:r w:rsidR="005F7AC8" w:rsidRPr="00DB671B">
        <w:rPr>
          <w:rFonts w:cs="Arial"/>
        </w:rPr>
        <w:t>’</w:t>
      </w:r>
      <w:r w:rsidRPr="00DB671B">
        <w:rPr>
          <w:rFonts w:cs="Arial"/>
        </w:rPr>
        <w:t>une méthodologie approuvée en matière d</w:t>
      </w:r>
      <w:r w:rsidR="005F7AC8" w:rsidRPr="00DB671B">
        <w:rPr>
          <w:rFonts w:cs="Arial"/>
        </w:rPr>
        <w:t>’</w:t>
      </w:r>
      <w:r w:rsidRPr="00DB671B">
        <w:rPr>
          <w:rFonts w:cs="Arial"/>
        </w:rPr>
        <w:t>évaluation des caractères (par exemple, le type d</w:t>
      </w:r>
      <w:r w:rsidR="005F7AC8" w:rsidRPr="00DB671B">
        <w:rPr>
          <w:rFonts w:cs="Arial"/>
        </w:rPr>
        <w:t>’</w:t>
      </w:r>
      <w:r w:rsidRPr="00DB671B">
        <w:rPr>
          <w:rFonts w:cs="Arial"/>
        </w:rPr>
        <w:t>expression QN/QL et la terminologie communément admise) et de protocole d</w:t>
      </w:r>
      <w:r w:rsidR="005F7AC8" w:rsidRPr="00DB671B">
        <w:rPr>
          <w:rFonts w:cs="Arial"/>
        </w:rPr>
        <w:t>’</w:t>
      </w:r>
      <w:r w:rsidRPr="00DB671B">
        <w:rPr>
          <w:rFonts w:cs="Arial"/>
        </w:rPr>
        <w:t>essai thérapeutique validé à suivre.</w:t>
      </w:r>
      <w:r w:rsidRPr="00DB671B">
        <w:t xml:space="preserve"> </w:t>
      </w:r>
      <w:r w:rsidR="00E85E8E" w:rsidRPr="00DB671B">
        <w:rPr>
          <w:rFonts w:cs="Arial"/>
        </w:rPr>
        <w:t xml:space="preserve"> </w:t>
      </w:r>
      <w:r w:rsidRPr="00DB671B">
        <w:rPr>
          <w:rFonts w:cs="Arial"/>
        </w:rPr>
        <w:t>Afin d</w:t>
      </w:r>
      <w:r w:rsidR="005F7AC8" w:rsidRPr="00DB671B">
        <w:rPr>
          <w:rFonts w:cs="Arial"/>
        </w:rPr>
        <w:t>’</w:t>
      </w:r>
      <w:r w:rsidRPr="00DB671B">
        <w:rPr>
          <w:rFonts w:cs="Arial"/>
        </w:rPr>
        <w:t>atteindre cet objectif,</w:t>
      </w:r>
      <w:r w:rsidR="005F7AC8" w:rsidRPr="00DB671B">
        <w:rPr>
          <w:rFonts w:cs="Arial"/>
        </w:rPr>
        <w:t xml:space="preserve"> le TWV</w:t>
      </w:r>
      <w:r w:rsidRPr="00DB671B">
        <w:rPr>
          <w:rFonts w:cs="Arial"/>
        </w:rPr>
        <w:t xml:space="preserve"> a décidé que toutes les parties prenantes (soit les experts de l</w:t>
      </w:r>
      <w:r w:rsidR="005F7AC8" w:rsidRPr="00DB671B">
        <w:rPr>
          <w:rFonts w:cs="Arial"/>
        </w:rPr>
        <w:t>’</w:t>
      </w:r>
      <w:r w:rsidRPr="00DB671B">
        <w:rPr>
          <w:rFonts w:cs="Arial"/>
        </w:rPr>
        <w:t>examen</w:t>
      </w:r>
      <w:r w:rsidR="00E85E8E" w:rsidRPr="00DB671B">
        <w:rPr>
          <w:rFonts w:cs="Arial"/>
        </w:rPr>
        <w:t> </w:t>
      </w:r>
      <w:r w:rsidRPr="00DB671B">
        <w:rPr>
          <w:rFonts w:cs="Arial"/>
        </w:rPr>
        <w:t>DHS, les pathologistes et les obtenteurs) devaient être consultées et impliquées et que suffisamment de temps devait être accordé pour garantir que tous les services chargés de l</w:t>
      </w:r>
      <w:r w:rsidR="005F7AC8" w:rsidRPr="00DB671B">
        <w:rPr>
          <w:rFonts w:cs="Arial"/>
        </w:rPr>
        <w:t>’</w:t>
      </w:r>
      <w:r w:rsidRPr="00DB671B">
        <w:rPr>
          <w:rFonts w:cs="Arial"/>
        </w:rPr>
        <w:t>examen</w:t>
      </w:r>
      <w:r w:rsidR="00E85E8E" w:rsidRPr="00DB671B">
        <w:rPr>
          <w:rFonts w:cs="Arial"/>
        </w:rPr>
        <w:t> </w:t>
      </w:r>
      <w:r w:rsidRPr="00DB671B">
        <w:rPr>
          <w:rFonts w:cs="Arial"/>
        </w:rPr>
        <w:t>DHS donnent leur accord avant d</w:t>
      </w:r>
      <w:r w:rsidR="005F7AC8" w:rsidRPr="00DB671B">
        <w:rPr>
          <w:rFonts w:cs="Arial"/>
        </w:rPr>
        <w:t>’</w:t>
      </w:r>
      <w:r w:rsidRPr="00DB671B">
        <w:rPr>
          <w:rFonts w:cs="Arial"/>
        </w:rPr>
        <w:t>ajouter de nouveaux caractères de résistance aux maladies ou un nouveau protocole d</w:t>
      </w:r>
      <w:r w:rsidR="005F7AC8" w:rsidRPr="00DB671B">
        <w:rPr>
          <w:rFonts w:cs="Arial"/>
        </w:rPr>
        <w:t>’</w:t>
      </w:r>
      <w:r w:rsidRPr="00DB671B">
        <w:rPr>
          <w:rFonts w:cs="Arial"/>
        </w:rPr>
        <w:t>essai thérapeutique.</w:t>
      </w:r>
    </w:p>
    <w:p w:rsidR="00D83B31" w:rsidRPr="00DB671B" w:rsidRDefault="00D83B31" w:rsidP="00054FE5">
      <w:pPr>
        <w:rPr>
          <w:rFonts w:cs="Arial"/>
        </w:rPr>
      </w:pPr>
    </w:p>
    <w:p w:rsidR="00D83B31" w:rsidRPr="001766FA" w:rsidRDefault="00054FE5" w:rsidP="00DB671B">
      <w:pPr>
        <w:pStyle w:val="Heading5"/>
        <w:rPr>
          <w:lang w:val="fr-CH"/>
        </w:rPr>
      </w:pPr>
      <w:r w:rsidRPr="001766FA">
        <w:rPr>
          <w:lang w:val="fr-CH"/>
        </w:rPr>
        <w:t>Nouvelles questions se posant pour l</w:t>
      </w:r>
      <w:r w:rsidR="005F7AC8" w:rsidRPr="001766FA">
        <w:rPr>
          <w:lang w:val="fr-CH"/>
        </w:rPr>
        <w:t>’</w:t>
      </w:r>
      <w:r w:rsidRPr="001766FA">
        <w:rPr>
          <w:lang w:val="fr-CH"/>
        </w:rPr>
        <w:t>examen</w:t>
      </w:r>
      <w:r w:rsidR="00E85E8E" w:rsidRPr="001766FA">
        <w:rPr>
          <w:lang w:val="fr-CH"/>
        </w:rPr>
        <w:t> </w:t>
      </w:r>
      <w:r w:rsidRPr="001766FA">
        <w:rPr>
          <w:lang w:val="fr-CH"/>
        </w:rPr>
        <w:t>DHS</w:t>
      </w:r>
    </w:p>
    <w:p w:rsidR="00D83B31" w:rsidRPr="00DB671B" w:rsidRDefault="00D83B31" w:rsidP="00054FE5">
      <w:pPr>
        <w:keepNext/>
        <w:keepLines/>
        <w:outlineLvl w:val="1"/>
        <w:rPr>
          <w:rFonts w:cs="Arial"/>
          <w:u w:val="single"/>
        </w:rPr>
      </w:pPr>
    </w:p>
    <w:p w:rsidR="00D83B31" w:rsidRPr="00DB671B" w:rsidRDefault="00054FE5" w:rsidP="00A22CA4">
      <w:pPr>
        <w:keepNext/>
        <w:keepLines/>
        <w:rPr>
          <w:rFonts w:cs="Arial"/>
        </w:rPr>
      </w:pPr>
      <w:r w:rsidRPr="00DB671B">
        <w:rPr>
          <w:rFonts w:cs="Arial"/>
        </w:rPr>
        <w:fldChar w:fldCharType="begin"/>
      </w:r>
      <w:r w:rsidRPr="00DB671B">
        <w:rPr>
          <w:rFonts w:cs="Arial"/>
        </w:rPr>
        <w:instrText xml:space="preserve"> AUTONUM  </w:instrText>
      </w:r>
      <w:r w:rsidRPr="00DB671B">
        <w:rPr>
          <w:rFonts w:cs="Arial"/>
        </w:rPr>
        <w:fldChar w:fldCharType="end"/>
      </w:r>
      <w:r w:rsidRPr="00DB671B">
        <w:rPr>
          <w:rFonts w:cs="Arial"/>
        </w:rPr>
        <w:tab/>
      </w:r>
      <w:r w:rsidR="00A22CA4" w:rsidRPr="00DB671B">
        <w:rPr>
          <w:rFonts w:cs="Arial"/>
        </w:rPr>
        <w:t>En ce qui concerne les discussions tenues à la cinquante</w:t>
      </w:r>
      <w:r w:rsidR="005F7AC8" w:rsidRPr="00DB671B">
        <w:rPr>
          <w:rFonts w:cs="Arial"/>
        </w:rPr>
        <w:t>-</w:t>
      </w:r>
      <w:r w:rsidR="00A22CA4" w:rsidRPr="00DB671B">
        <w:rPr>
          <w:rFonts w:cs="Arial"/>
        </w:rPr>
        <w:t>deux</w:t>
      </w:r>
      <w:r w:rsidR="005F7AC8" w:rsidRPr="00DB671B">
        <w:rPr>
          <w:rFonts w:cs="Arial"/>
        </w:rPr>
        <w:t>ième session du TWV</w:t>
      </w:r>
      <w:r w:rsidR="00A22CA4" w:rsidRPr="00DB671B">
        <w:rPr>
          <w:rFonts w:cs="Arial"/>
        </w:rPr>
        <w:t xml:space="preserve"> sur le thème “Aberrant phenotypes in </w:t>
      </w:r>
      <w:r w:rsidR="00A22CA4" w:rsidRPr="00790564">
        <w:rPr>
          <w:rFonts w:cs="Arial"/>
          <w:i/>
        </w:rPr>
        <w:t>Brassica oleracea var.</w:t>
      </w:r>
      <w:r w:rsidR="00E85E8E" w:rsidRPr="00790564">
        <w:rPr>
          <w:rFonts w:cs="Arial"/>
          <w:i/>
        </w:rPr>
        <w:t xml:space="preserve"> </w:t>
      </w:r>
      <w:r w:rsidR="00A22CA4" w:rsidRPr="00790564">
        <w:rPr>
          <w:rFonts w:cs="Arial"/>
          <w:i/>
        </w:rPr>
        <w:t>botrytis</w:t>
      </w:r>
      <w:r w:rsidR="00A22CA4" w:rsidRPr="00DB671B">
        <w:rPr>
          <w:rFonts w:cs="Arial"/>
        </w:rPr>
        <w:t>”, le représentant de Crop Life International a indiqué, après consultation des membres de Crop Life International, qu</w:t>
      </w:r>
      <w:r w:rsidR="005F7AC8" w:rsidRPr="00DB671B">
        <w:rPr>
          <w:rFonts w:cs="Arial"/>
        </w:rPr>
        <w:t>’</w:t>
      </w:r>
      <w:r w:rsidR="00A22CA4" w:rsidRPr="00DB671B">
        <w:rPr>
          <w:rFonts w:cs="Arial"/>
        </w:rPr>
        <w:t>il ne s</w:t>
      </w:r>
      <w:r w:rsidR="005F7AC8" w:rsidRPr="00DB671B">
        <w:rPr>
          <w:rFonts w:cs="Arial"/>
        </w:rPr>
        <w:t>’</w:t>
      </w:r>
      <w:r w:rsidR="00A22CA4" w:rsidRPr="00DB671B">
        <w:rPr>
          <w:rFonts w:cs="Arial"/>
        </w:rPr>
        <w:t>agissait pas d</w:t>
      </w:r>
      <w:r w:rsidR="005F7AC8" w:rsidRPr="00DB671B">
        <w:rPr>
          <w:rFonts w:cs="Arial"/>
        </w:rPr>
        <w:t>’</w:t>
      </w:r>
      <w:r w:rsidR="00A22CA4" w:rsidRPr="00DB671B">
        <w:rPr>
          <w:rFonts w:cs="Arial"/>
        </w:rPr>
        <w:t>un problème récurrent et que, pour le moment, cette question n</w:t>
      </w:r>
      <w:r w:rsidR="005F7AC8" w:rsidRPr="00DB671B">
        <w:rPr>
          <w:rFonts w:cs="Arial"/>
        </w:rPr>
        <w:t>’</w:t>
      </w:r>
      <w:r w:rsidR="00A22CA4" w:rsidRPr="00DB671B">
        <w:rPr>
          <w:rFonts w:cs="Arial"/>
        </w:rPr>
        <w:t>était pas préoccupante pour les programmes de sélection végétale de manière générale.</w:t>
      </w:r>
      <w:r w:rsidR="005F7AC8" w:rsidRPr="00DB671B">
        <w:t xml:space="preserve"> </w:t>
      </w:r>
      <w:r w:rsidR="00E85E8E" w:rsidRPr="00DB671B">
        <w:rPr>
          <w:rFonts w:cs="Arial"/>
        </w:rPr>
        <w:t xml:space="preserve"> </w:t>
      </w:r>
      <w:r w:rsidR="005F7AC8" w:rsidRPr="00DB671B">
        <w:rPr>
          <w:rFonts w:cs="Arial"/>
        </w:rPr>
        <w:t>Le TWV</w:t>
      </w:r>
      <w:r w:rsidR="00A22CA4" w:rsidRPr="00DB671B">
        <w:rPr>
          <w:rFonts w:cs="Arial"/>
        </w:rPr>
        <w:t xml:space="preserve"> a décidé de clore les débats sur cette question et a invité les experts de France et des membres observateurs à rendre compte de toute évolution future, le cas échéant.</w:t>
      </w:r>
    </w:p>
    <w:p w:rsidR="00D83B31" w:rsidRPr="00DB671B" w:rsidRDefault="00D83B31" w:rsidP="00054FE5">
      <w:pPr>
        <w:rPr>
          <w:rFonts w:cs="Arial"/>
        </w:rPr>
      </w:pPr>
    </w:p>
    <w:p w:rsidR="00D83B31" w:rsidRPr="00DB671B" w:rsidRDefault="00054FE5" w:rsidP="00054FE5">
      <w:pPr>
        <w:rPr>
          <w:rFonts w:cs="Arial"/>
        </w:rPr>
      </w:pPr>
      <w:r w:rsidRPr="00DB671B">
        <w:rPr>
          <w:rFonts w:cs="Arial"/>
        </w:rPr>
        <w:fldChar w:fldCharType="begin"/>
      </w:r>
      <w:r w:rsidRPr="00DB671B">
        <w:rPr>
          <w:rFonts w:cs="Arial"/>
        </w:rPr>
        <w:instrText xml:space="preserve"> AUTONUM  </w:instrText>
      </w:r>
      <w:r w:rsidRPr="00DB671B">
        <w:rPr>
          <w:rFonts w:cs="Arial"/>
        </w:rPr>
        <w:fldChar w:fldCharType="end"/>
      </w:r>
      <w:r w:rsidRPr="00DB671B">
        <w:rPr>
          <w:rFonts w:cs="Arial"/>
        </w:rPr>
        <w:tab/>
        <w:t>Le TWV a pris note des observations formulées par un expert des Pays</w:t>
      </w:r>
      <w:r w:rsidR="005F7AC8" w:rsidRPr="00DB671B">
        <w:rPr>
          <w:rFonts w:cs="Arial"/>
        </w:rPr>
        <w:t>-</w:t>
      </w:r>
      <w:r w:rsidRPr="00DB671B">
        <w:rPr>
          <w:rFonts w:cs="Arial"/>
        </w:rPr>
        <w:t>Bas sur l</w:t>
      </w:r>
      <w:r w:rsidR="005F7AC8" w:rsidRPr="00DB671B">
        <w:rPr>
          <w:rFonts w:cs="Arial"/>
        </w:rPr>
        <w:t>’</w:t>
      </w:r>
      <w:r w:rsidRPr="00DB671B">
        <w:rPr>
          <w:rFonts w:cs="Arial"/>
        </w:rPr>
        <w:t>utilisation croissante de variétés multipliées par voie végétative appartenant à des espèces se reproduisant normalement par voie sexuée (par exemple, le poivron).</w:t>
      </w:r>
      <w:r w:rsidR="005F7AC8" w:rsidRPr="00DB671B">
        <w:t xml:space="preserve"> </w:t>
      </w:r>
      <w:r w:rsidR="00E85E8E" w:rsidRPr="00DB671B">
        <w:rPr>
          <w:rFonts w:cs="Arial"/>
        </w:rPr>
        <w:t xml:space="preserve"> </w:t>
      </w:r>
      <w:r w:rsidR="005F7AC8" w:rsidRPr="00DB671B">
        <w:rPr>
          <w:rFonts w:cs="Arial"/>
        </w:rPr>
        <w:t>Le TWV</w:t>
      </w:r>
      <w:r w:rsidRPr="00DB671B">
        <w:rPr>
          <w:rFonts w:cs="Arial"/>
        </w:rPr>
        <w:t xml:space="preserve"> a invité l</w:t>
      </w:r>
      <w:r w:rsidR="005F7AC8" w:rsidRPr="00DB671B">
        <w:rPr>
          <w:rFonts w:cs="Arial"/>
        </w:rPr>
        <w:t>’</w:t>
      </w:r>
      <w:r w:rsidRPr="00DB671B">
        <w:rPr>
          <w:rFonts w:cs="Arial"/>
        </w:rPr>
        <w:t>expert des Pays</w:t>
      </w:r>
      <w:r w:rsidR="005F7AC8" w:rsidRPr="00DB671B">
        <w:rPr>
          <w:rFonts w:cs="Arial"/>
        </w:rPr>
        <w:t>-</w:t>
      </w:r>
      <w:r w:rsidRPr="00DB671B">
        <w:rPr>
          <w:rFonts w:cs="Arial"/>
        </w:rPr>
        <w:t>Bas et d</w:t>
      </w:r>
      <w:r w:rsidR="005F7AC8" w:rsidRPr="00DB671B">
        <w:rPr>
          <w:rFonts w:cs="Arial"/>
        </w:rPr>
        <w:t>’</w:t>
      </w:r>
      <w:r w:rsidRPr="00DB671B">
        <w:rPr>
          <w:rFonts w:cs="Arial"/>
        </w:rPr>
        <w:t>autres experts à rendre compte des faits nouveaux sur cette question et plus particulièrement à expliquer les problèmes éventuels au titre de l</w:t>
      </w:r>
      <w:r w:rsidR="005F7AC8" w:rsidRPr="00DB671B">
        <w:rPr>
          <w:rFonts w:cs="Arial"/>
        </w:rPr>
        <w:t>’</w:t>
      </w:r>
      <w:r w:rsidRPr="00DB671B">
        <w:rPr>
          <w:rFonts w:cs="Arial"/>
        </w:rPr>
        <w:t>examen</w:t>
      </w:r>
      <w:r w:rsidR="00E85E8E" w:rsidRPr="00DB671B">
        <w:rPr>
          <w:rFonts w:cs="Arial"/>
        </w:rPr>
        <w:t> </w:t>
      </w:r>
      <w:r w:rsidRPr="00DB671B">
        <w:rPr>
          <w:rFonts w:cs="Arial"/>
        </w:rPr>
        <w:t>DHS.</w:t>
      </w:r>
    </w:p>
    <w:p w:rsidR="00D83B31" w:rsidRPr="00DB671B" w:rsidRDefault="00D83B31" w:rsidP="00054FE5">
      <w:pPr>
        <w:rPr>
          <w:rFonts w:cs="Arial"/>
        </w:rPr>
      </w:pPr>
    </w:p>
    <w:p w:rsidR="00D83B31" w:rsidRPr="001766FA" w:rsidRDefault="00054FE5" w:rsidP="00DB671B">
      <w:pPr>
        <w:pStyle w:val="Heading5"/>
        <w:rPr>
          <w:lang w:val="fr-CH"/>
        </w:rPr>
      </w:pPr>
      <w:r w:rsidRPr="001766FA">
        <w:rPr>
          <w:lang w:val="fr-CH"/>
        </w:rPr>
        <w:t>Expériences en matière de nouveaux types et espèces</w:t>
      </w:r>
    </w:p>
    <w:p w:rsidR="00D83B31" w:rsidRPr="00DB671B" w:rsidRDefault="00D83B31" w:rsidP="00054FE5">
      <w:pPr>
        <w:keepNext/>
        <w:rPr>
          <w:rFonts w:cs="Arial"/>
        </w:rPr>
      </w:pPr>
    </w:p>
    <w:p w:rsidR="00D83B31" w:rsidRPr="00DB671B" w:rsidRDefault="00054FE5" w:rsidP="00A22CA4">
      <w:pPr>
        <w:rPr>
          <w:rFonts w:cs="Arial"/>
        </w:rPr>
      </w:pPr>
      <w:r w:rsidRPr="00DB671B">
        <w:rPr>
          <w:rFonts w:cs="Arial"/>
        </w:rPr>
        <w:fldChar w:fldCharType="begin"/>
      </w:r>
      <w:r w:rsidRPr="00DB671B">
        <w:rPr>
          <w:rFonts w:cs="Arial"/>
        </w:rPr>
        <w:instrText xml:space="preserve"> AUTONUM  </w:instrText>
      </w:r>
      <w:r w:rsidRPr="00DB671B">
        <w:rPr>
          <w:rFonts w:cs="Arial"/>
        </w:rPr>
        <w:fldChar w:fldCharType="end"/>
      </w:r>
      <w:r w:rsidRPr="00DB671B">
        <w:rPr>
          <w:rFonts w:cs="Arial"/>
        </w:rPr>
        <w:tab/>
      </w:r>
      <w:r w:rsidR="00A22CA4" w:rsidRPr="00DB671B">
        <w:rPr>
          <w:rFonts w:cs="Arial"/>
        </w:rPr>
        <w:t>Le TWV a suivi un exposé sur le travail réalisé dans l</w:t>
      </w:r>
      <w:r w:rsidR="005F7AC8" w:rsidRPr="00DB671B">
        <w:rPr>
          <w:rFonts w:cs="Arial"/>
        </w:rPr>
        <w:t>’</w:t>
      </w:r>
      <w:r w:rsidR="00A22CA4" w:rsidRPr="00DB671B">
        <w:rPr>
          <w:rFonts w:cs="Arial"/>
        </w:rPr>
        <w:t>élaboration de principes directeurs d</w:t>
      </w:r>
      <w:r w:rsidR="005F7AC8" w:rsidRPr="00DB671B">
        <w:rPr>
          <w:rFonts w:cs="Arial"/>
        </w:rPr>
        <w:t>’</w:t>
      </w:r>
      <w:r w:rsidR="00A22CA4" w:rsidRPr="00DB671B">
        <w:rPr>
          <w:rFonts w:cs="Arial"/>
        </w:rPr>
        <w:t>examen pour le liseron d</w:t>
      </w:r>
      <w:r w:rsidR="005F7AC8" w:rsidRPr="00DB671B">
        <w:rPr>
          <w:rFonts w:cs="Arial"/>
        </w:rPr>
        <w:t>’</w:t>
      </w:r>
      <w:r w:rsidR="00A22CA4" w:rsidRPr="00DB671B">
        <w:rPr>
          <w:rFonts w:cs="Arial"/>
        </w:rPr>
        <w:t>eau (Ipomoea aquatica) au niveau national, présenté par un expert de la Chine.</w:t>
      </w:r>
      <w:r w:rsidR="005F7AC8" w:rsidRPr="00DB671B">
        <w:t xml:space="preserve"> </w:t>
      </w:r>
      <w:r w:rsidR="00E85E8E" w:rsidRPr="00DB671B">
        <w:rPr>
          <w:rFonts w:cs="Arial"/>
        </w:rPr>
        <w:t xml:space="preserve"> </w:t>
      </w:r>
      <w:r w:rsidR="005F7AC8" w:rsidRPr="00DB671B">
        <w:rPr>
          <w:rFonts w:cs="Arial"/>
        </w:rPr>
        <w:t>Le TWV</w:t>
      </w:r>
      <w:r w:rsidR="00A22CA4" w:rsidRPr="00DB671B">
        <w:rPr>
          <w:rFonts w:cs="Arial"/>
        </w:rPr>
        <w:t xml:space="preserve"> est convenu d</w:t>
      </w:r>
      <w:r w:rsidR="005F7AC8" w:rsidRPr="00DB671B">
        <w:rPr>
          <w:rFonts w:cs="Arial"/>
        </w:rPr>
        <w:t>’</w:t>
      </w:r>
      <w:r w:rsidR="00A22CA4" w:rsidRPr="00DB671B">
        <w:rPr>
          <w:rFonts w:cs="Arial"/>
        </w:rPr>
        <w:t>inviter les experts de Chine et de tout autre membre à rendre compte de l</w:t>
      </w:r>
      <w:r w:rsidR="005F7AC8" w:rsidRPr="00DB671B">
        <w:rPr>
          <w:rFonts w:cs="Arial"/>
        </w:rPr>
        <w:t>’</w:t>
      </w:r>
      <w:r w:rsidR="00A22CA4" w:rsidRPr="00DB671B">
        <w:rPr>
          <w:rFonts w:cs="Arial"/>
        </w:rPr>
        <w:t>évolution du nombre de demandes et des activités d</w:t>
      </w:r>
      <w:r w:rsidR="005F7AC8" w:rsidRPr="00DB671B">
        <w:rPr>
          <w:rFonts w:cs="Arial"/>
        </w:rPr>
        <w:t>’</w:t>
      </w:r>
      <w:r w:rsidR="00A22CA4" w:rsidRPr="00DB671B">
        <w:rPr>
          <w:rFonts w:cs="Arial"/>
        </w:rPr>
        <w:t>amélioration des plantes afin de pouvoir examiner la question de l</w:t>
      </w:r>
      <w:r w:rsidR="005F7AC8" w:rsidRPr="00DB671B">
        <w:rPr>
          <w:rFonts w:cs="Arial"/>
        </w:rPr>
        <w:t>’</w:t>
      </w:r>
      <w:r w:rsidR="00A22CA4" w:rsidRPr="00DB671B">
        <w:rPr>
          <w:rFonts w:cs="Arial"/>
        </w:rPr>
        <w:t>élaboration future de principes directeurs d</w:t>
      </w:r>
      <w:r w:rsidR="005F7AC8" w:rsidRPr="00DB671B">
        <w:rPr>
          <w:rFonts w:cs="Arial"/>
        </w:rPr>
        <w:t>’</w:t>
      </w:r>
      <w:r w:rsidR="00A22CA4" w:rsidRPr="00DB671B">
        <w:rPr>
          <w:rFonts w:cs="Arial"/>
        </w:rPr>
        <w:t>examens de l</w:t>
      </w:r>
      <w:r w:rsidR="005F7AC8" w:rsidRPr="00DB671B">
        <w:rPr>
          <w:rFonts w:cs="Arial"/>
        </w:rPr>
        <w:t>’</w:t>
      </w:r>
      <w:r w:rsidR="00A22CA4" w:rsidRPr="00DB671B">
        <w:rPr>
          <w:rFonts w:cs="Arial"/>
        </w:rPr>
        <w:t>UPOV, le cas échéant.</w:t>
      </w:r>
    </w:p>
    <w:p w:rsidR="00D83B31" w:rsidRPr="00DB671B" w:rsidRDefault="00D83B31" w:rsidP="00054FE5">
      <w:pPr>
        <w:rPr>
          <w:rFonts w:cs="Arial"/>
        </w:rPr>
      </w:pPr>
    </w:p>
    <w:p w:rsidR="005F7AC8" w:rsidRPr="001766FA" w:rsidRDefault="00054FE5" w:rsidP="00DB671B">
      <w:pPr>
        <w:pStyle w:val="Heading5"/>
        <w:rPr>
          <w:lang w:val="fr-CH"/>
        </w:rPr>
      </w:pPr>
      <w:r w:rsidRPr="001766FA">
        <w:rPr>
          <w:lang w:val="fr-CH"/>
        </w:rPr>
        <w:t>Coopération en matière d</w:t>
      </w:r>
      <w:r w:rsidR="005F7AC8" w:rsidRPr="001766FA">
        <w:rPr>
          <w:lang w:val="fr-CH"/>
        </w:rPr>
        <w:t>’</w:t>
      </w:r>
      <w:r w:rsidRPr="001766FA">
        <w:rPr>
          <w:lang w:val="fr-CH"/>
        </w:rPr>
        <w:t>examen</w:t>
      </w:r>
    </w:p>
    <w:p w:rsidR="00D83B31" w:rsidRPr="00DB671B" w:rsidRDefault="00D83B31" w:rsidP="00054FE5">
      <w:pPr>
        <w:rPr>
          <w:rFonts w:cs="Arial"/>
        </w:rPr>
      </w:pPr>
    </w:p>
    <w:p w:rsidR="00D83B31" w:rsidRPr="00DB671B" w:rsidRDefault="00054FE5" w:rsidP="00054FE5">
      <w:pPr>
        <w:rPr>
          <w:rFonts w:cs="Arial"/>
        </w:rPr>
      </w:pPr>
      <w:r w:rsidRPr="00DB671B">
        <w:rPr>
          <w:rFonts w:cs="Arial"/>
        </w:rPr>
        <w:fldChar w:fldCharType="begin"/>
      </w:r>
      <w:r w:rsidRPr="00DB671B">
        <w:rPr>
          <w:rFonts w:cs="Arial"/>
        </w:rPr>
        <w:instrText xml:space="preserve"> AUTONUM  </w:instrText>
      </w:r>
      <w:r w:rsidRPr="00DB671B">
        <w:rPr>
          <w:rFonts w:cs="Arial"/>
        </w:rPr>
        <w:fldChar w:fldCharType="end"/>
      </w:r>
      <w:r w:rsidRPr="00DB671B">
        <w:rPr>
          <w:rFonts w:cs="Arial"/>
        </w:rPr>
        <w:tab/>
        <w:t>Le TWV a constitué des groupes de discussion chargés de se pencher sur les difficultés techniques qui ont empêché la coopération en matière d</w:t>
      </w:r>
      <w:r w:rsidR="005F7AC8" w:rsidRPr="00DB671B">
        <w:rPr>
          <w:rFonts w:cs="Arial"/>
        </w:rPr>
        <w:t>’</w:t>
      </w:r>
      <w:r w:rsidRPr="00DB671B">
        <w:rPr>
          <w:rFonts w:cs="Arial"/>
        </w:rPr>
        <w:t>examen</w:t>
      </w:r>
      <w:r w:rsidR="00E85E8E" w:rsidRPr="00DB671B">
        <w:rPr>
          <w:rFonts w:cs="Arial"/>
        </w:rPr>
        <w:t> </w:t>
      </w:r>
      <w:r w:rsidRPr="00DB671B">
        <w:rPr>
          <w:rFonts w:cs="Arial"/>
        </w:rPr>
        <w:t>DHS et de proposer des solutions pour y remédier.</w:t>
      </w:r>
    </w:p>
    <w:p w:rsidR="00D83B31" w:rsidRPr="00DB671B" w:rsidRDefault="00D83B31" w:rsidP="00054FE5">
      <w:pPr>
        <w:rPr>
          <w:rFonts w:cs="Arial"/>
        </w:rPr>
      </w:pPr>
    </w:p>
    <w:p w:rsidR="005F7AC8" w:rsidRPr="001766FA" w:rsidRDefault="00054FE5" w:rsidP="00DB671B">
      <w:pPr>
        <w:pStyle w:val="Heading5"/>
        <w:rPr>
          <w:lang w:val="fr-CH"/>
        </w:rPr>
      </w:pPr>
      <w:r w:rsidRPr="001766FA">
        <w:rPr>
          <w:lang w:val="fr-CH"/>
        </w:rPr>
        <w:t>Dénomination variétale</w:t>
      </w:r>
    </w:p>
    <w:p w:rsidR="00D83B31" w:rsidRPr="00DB671B" w:rsidRDefault="00D83B31" w:rsidP="00054FE5">
      <w:pPr>
        <w:rPr>
          <w:rFonts w:cs="Arial"/>
        </w:rPr>
      </w:pPr>
    </w:p>
    <w:p w:rsidR="00D83B31" w:rsidRPr="00DB671B" w:rsidRDefault="00054FE5" w:rsidP="00A22CA4">
      <w:pPr>
        <w:rPr>
          <w:rFonts w:cs="Arial"/>
        </w:rPr>
      </w:pPr>
      <w:r w:rsidRPr="00DB671B">
        <w:rPr>
          <w:rFonts w:cs="Arial"/>
        </w:rPr>
        <w:fldChar w:fldCharType="begin"/>
      </w:r>
      <w:r w:rsidRPr="00DB671B">
        <w:rPr>
          <w:rFonts w:cs="Arial"/>
        </w:rPr>
        <w:instrText xml:space="preserve"> AUTONUM  </w:instrText>
      </w:r>
      <w:r w:rsidRPr="00DB671B">
        <w:rPr>
          <w:rFonts w:cs="Arial"/>
        </w:rPr>
        <w:fldChar w:fldCharType="end"/>
      </w:r>
      <w:r w:rsidRPr="00DB671B">
        <w:rPr>
          <w:rFonts w:cs="Arial"/>
        </w:rPr>
        <w:tab/>
      </w:r>
      <w:r w:rsidR="00A22CA4" w:rsidRPr="00DB671B">
        <w:rPr>
          <w:rFonts w:cs="Arial"/>
        </w:rPr>
        <w:t xml:space="preserve">Le TWV a approuvé la proposition de révision de la </w:t>
      </w:r>
      <w:r w:rsidR="005F7AC8" w:rsidRPr="00DB671B">
        <w:rPr>
          <w:rFonts w:cs="Arial"/>
        </w:rPr>
        <w:t>classe 2</w:t>
      </w:r>
      <w:r w:rsidR="00A22CA4" w:rsidRPr="00DB671B">
        <w:rPr>
          <w:rFonts w:cs="Arial"/>
        </w:rPr>
        <w:t>05 qui figure dans le document</w:t>
      </w:r>
      <w:r w:rsidR="00A83A59" w:rsidRPr="00DB671B">
        <w:rPr>
          <w:rFonts w:cs="Arial"/>
        </w:rPr>
        <w:t> </w:t>
      </w:r>
      <w:r w:rsidR="00A22CA4" w:rsidRPr="00DB671B">
        <w:rPr>
          <w:rFonts w:cs="Arial"/>
        </w:rPr>
        <w:t xml:space="preserve">TWP/3/6 “Variety Denominations”, tendant à diviser la </w:t>
      </w:r>
      <w:r w:rsidR="005F7AC8" w:rsidRPr="00DB671B">
        <w:rPr>
          <w:rFonts w:cs="Arial"/>
        </w:rPr>
        <w:t>classe 2</w:t>
      </w:r>
      <w:r w:rsidR="00A22CA4" w:rsidRPr="00DB671B">
        <w:rPr>
          <w:rFonts w:cs="Arial"/>
        </w:rPr>
        <w:t>05 actuelle (Cichorium et Lactuca</w:t>
      </w:r>
      <w:r w:rsidR="00401974" w:rsidRPr="00DB671B">
        <w:rPr>
          <w:rFonts w:cs="Arial"/>
        </w:rPr>
        <w:t>)</w:t>
      </w:r>
      <w:r w:rsidR="00A22CA4" w:rsidRPr="00DB671B">
        <w:rPr>
          <w:rFonts w:cs="Arial"/>
        </w:rPr>
        <w:t xml:space="preserve"> en deux</w:t>
      </w:r>
      <w:r w:rsidR="00E85E8E" w:rsidRPr="00DB671B">
        <w:rPr>
          <w:rFonts w:cs="Arial"/>
        </w:rPr>
        <w:t> </w:t>
      </w:r>
      <w:r w:rsidR="00A22CA4" w:rsidRPr="00DB671B">
        <w:rPr>
          <w:rFonts w:cs="Arial"/>
        </w:rPr>
        <w:t>nouvelles classes</w:t>
      </w:r>
      <w:r w:rsidR="005F7AC8" w:rsidRPr="00DB671B">
        <w:rPr>
          <w:rFonts w:cs="Arial"/>
        </w:rPr>
        <w:t> :</w:t>
      </w:r>
    </w:p>
    <w:p w:rsidR="00D83B31" w:rsidRPr="00DB671B" w:rsidRDefault="00D83B31" w:rsidP="00054FE5">
      <w:pPr>
        <w:ind w:left="1134" w:hanging="567"/>
        <w:rPr>
          <w:rFonts w:cs="Arial"/>
        </w:rPr>
      </w:pPr>
    </w:p>
    <w:p w:rsidR="00D83B31" w:rsidRPr="00DB671B" w:rsidRDefault="00054FE5" w:rsidP="00054FE5">
      <w:pPr>
        <w:ind w:left="1134" w:hanging="567"/>
        <w:rPr>
          <w:rFonts w:cs="Arial"/>
        </w:rPr>
      </w:pPr>
      <w:r w:rsidRPr="00DB671B">
        <w:rPr>
          <w:rFonts w:cs="Arial"/>
        </w:rPr>
        <w:t>•</w:t>
      </w:r>
      <w:r w:rsidRPr="00DB671B">
        <w:rPr>
          <w:rFonts w:cs="Arial"/>
        </w:rPr>
        <w:tab/>
        <w:t>Classe</w:t>
      </w:r>
      <w:r w:rsidR="005F7AC8" w:rsidRPr="00DB671B">
        <w:rPr>
          <w:rFonts w:cs="Arial"/>
        </w:rPr>
        <w:t> :</w:t>
      </w:r>
      <w:r w:rsidRPr="00DB671B">
        <w:rPr>
          <w:rFonts w:cs="Arial"/>
        </w:rPr>
        <w:t xml:space="preserve"> </w:t>
      </w:r>
      <w:r w:rsidRPr="00DB671B">
        <w:rPr>
          <w:rFonts w:cs="Arial"/>
          <w:i/>
        </w:rPr>
        <w:t>Lactuca – Cichorium endivia</w:t>
      </w:r>
      <w:r w:rsidRPr="00DB671B">
        <w:rPr>
          <w:rFonts w:cs="Arial"/>
        </w:rPr>
        <w:t xml:space="preserve"> (frisée et scarole), </w:t>
      </w:r>
      <w:r w:rsidRPr="00DB671B">
        <w:rPr>
          <w:rFonts w:cs="Arial"/>
          <w:i/>
        </w:rPr>
        <w:t xml:space="preserve">Cichorium intybus var. foliosum </w:t>
      </w:r>
      <w:r w:rsidRPr="00DB671B">
        <w:rPr>
          <w:rFonts w:cs="Arial"/>
        </w:rPr>
        <w:t>(endive/witloof et chicorées italiennes)</w:t>
      </w:r>
    </w:p>
    <w:p w:rsidR="00D83B31" w:rsidRPr="00DB671B" w:rsidRDefault="00054FE5" w:rsidP="00054FE5">
      <w:pPr>
        <w:ind w:left="1134" w:hanging="567"/>
        <w:rPr>
          <w:rFonts w:cs="Arial"/>
        </w:rPr>
      </w:pPr>
      <w:r w:rsidRPr="00DB671B">
        <w:rPr>
          <w:rFonts w:cs="Arial"/>
        </w:rPr>
        <w:t>•</w:t>
      </w:r>
      <w:r w:rsidRPr="00DB671B">
        <w:rPr>
          <w:rFonts w:cs="Arial"/>
        </w:rPr>
        <w:tab/>
        <w:t>Classe</w:t>
      </w:r>
      <w:r w:rsidR="005F7AC8" w:rsidRPr="00DB671B">
        <w:rPr>
          <w:rFonts w:cs="Arial"/>
        </w:rPr>
        <w:t> :</w:t>
      </w:r>
      <w:r w:rsidRPr="00DB671B">
        <w:rPr>
          <w:rFonts w:cs="Arial"/>
        </w:rPr>
        <w:t xml:space="preserve"> </w:t>
      </w:r>
      <w:r w:rsidRPr="00DB671B">
        <w:rPr>
          <w:rFonts w:cs="Arial"/>
          <w:i/>
        </w:rPr>
        <w:t xml:space="preserve">Cichorium </w:t>
      </w:r>
      <w:r w:rsidRPr="00790564">
        <w:rPr>
          <w:rFonts w:cs="Arial"/>
          <w:i/>
        </w:rPr>
        <w:t>intybus var.</w:t>
      </w:r>
      <w:r w:rsidR="00E85E8E" w:rsidRPr="00790564">
        <w:rPr>
          <w:rFonts w:cs="Arial"/>
          <w:i/>
        </w:rPr>
        <w:t xml:space="preserve"> </w:t>
      </w:r>
      <w:r w:rsidRPr="00790564">
        <w:rPr>
          <w:rFonts w:cs="Arial"/>
          <w:i/>
        </w:rPr>
        <w:t>sativum</w:t>
      </w:r>
      <w:r w:rsidRPr="00DB671B">
        <w:rPr>
          <w:rFonts w:cs="Arial"/>
          <w:i/>
        </w:rPr>
        <w:t xml:space="preserve"> </w:t>
      </w:r>
      <w:r w:rsidRPr="00DB671B">
        <w:rPr>
          <w:rFonts w:cs="Arial"/>
        </w:rPr>
        <w:t>(chicorée industrielle)</w:t>
      </w:r>
    </w:p>
    <w:p w:rsidR="00D83B31" w:rsidRPr="00DB671B" w:rsidRDefault="00D83B31" w:rsidP="00054FE5">
      <w:pPr>
        <w:rPr>
          <w:rFonts w:cs="Arial"/>
        </w:rPr>
      </w:pPr>
    </w:p>
    <w:p w:rsidR="00D83B31" w:rsidRPr="001766FA" w:rsidRDefault="00A22CA4" w:rsidP="00DB671B">
      <w:pPr>
        <w:pStyle w:val="Heading5"/>
        <w:rPr>
          <w:lang w:val="fr-CH"/>
        </w:rPr>
      </w:pPr>
      <w:r w:rsidRPr="001766FA">
        <w:rPr>
          <w:lang w:val="fr-CH"/>
        </w:rPr>
        <w:t>Discussions et recommandations concernant les projets de principes directeurs</w:t>
      </w:r>
      <w:r w:rsidR="00D80E9E" w:rsidRPr="001766FA">
        <w:rPr>
          <w:lang w:val="fr-CH"/>
        </w:rPr>
        <w:t xml:space="preserve"> d’examen</w:t>
      </w:r>
    </w:p>
    <w:p w:rsidR="00D83B31" w:rsidRPr="00DB671B" w:rsidRDefault="00D83B31" w:rsidP="00054FE5"/>
    <w:p w:rsidR="005F7AC8" w:rsidRPr="00DB671B" w:rsidRDefault="00054FE5" w:rsidP="00D83B31">
      <w:pPr>
        <w:rPr>
          <w:rFonts w:cs="Arial"/>
        </w:rPr>
      </w:pPr>
      <w:r w:rsidRPr="00DB671B">
        <w:rPr>
          <w:rFonts w:cs="Arial"/>
        </w:rPr>
        <w:fldChar w:fldCharType="begin"/>
      </w:r>
      <w:r w:rsidRPr="00DB671B">
        <w:rPr>
          <w:rFonts w:cs="Arial"/>
        </w:rPr>
        <w:instrText xml:space="preserve"> AUTONUM  </w:instrText>
      </w:r>
      <w:r w:rsidRPr="00DB671B">
        <w:rPr>
          <w:rFonts w:cs="Arial"/>
        </w:rPr>
        <w:fldChar w:fldCharType="end"/>
      </w:r>
      <w:r w:rsidRPr="00DB671B">
        <w:rPr>
          <w:rFonts w:cs="Arial"/>
        </w:rPr>
        <w:tab/>
      </w:r>
      <w:r w:rsidR="00A22CA4" w:rsidRPr="00DB671B">
        <w:rPr>
          <w:rFonts w:cs="Arial"/>
        </w:rPr>
        <w:t>Les sous</w:t>
      </w:r>
      <w:r w:rsidR="005F7AC8" w:rsidRPr="00DB671B">
        <w:rPr>
          <w:rFonts w:cs="Arial"/>
        </w:rPr>
        <w:t>-</w:t>
      </w:r>
      <w:r w:rsidR="00A22CA4" w:rsidRPr="00DB671B">
        <w:rPr>
          <w:rFonts w:cs="Arial"/>
        </w:rPr>
        <w:t>groupes ont examiné les principes directeurs d</w:t>
      </w:r>
      <w:r w:rsidR="005F7AC8" w:rsidRPr="00DB671B">
        <w:rPr>
          <w:rFonts w:cs="Arial"/>
        </w:rPr>
        <w:t>’</w:t>
      </w:r>
      <w:r w:rsidR="00A22CA4" w:rsidRPr="00DB671B">
        <w:rPr>
          <w:rFonts w:cs="Arial"/>
        </w:rPr>
        <w:t xml:space="preserve">examen du pois chiche, du fenouil, du chou, du melon, du poivron, de la courge, de la </w:t>
      </w:r>
      <w:r w:rsidR="00D83B31" w:rsidRPr="00DB671B">
        <w:rPr>
          <w:rFonts w:cs="Arial"/>
        </w:rPr>
        <w:t>bette à cardes</w:t>
      </w:r>
      <w:r w:rsidR="00A22CA4" w:rsidRPr="00DB671B">
        <w:rPr>
          <w:rFonts w:cs="Arial"/>
        </w:rPr>
        <w:t>, du navet, de la tomate et du porte</w:t>
      </w:r>
      <w:r w:rsidR="005F7AC8" w:rsidRPr="00DB671B">
        <w:rPr>
          <w:rFonts w:cs="Arial"/>
        </w:rPr>
        <w:t>-</w:t>
      </w:r>
      <w:r w:rsidR="00A22CA4" w:rsidRPr="00DB671B">
        <w:rPr>
          <w:rFonts w:cs="Arial"/>
        </w:rPr>
        <w:t>greffe de tomate.</w:t>
      </w:r>
      <w:r w:rsidRPr="00DB671B">
        <w:t xml:space="preserve"> </w:t>
      </w:r>
      <w:r w:rsidR="005F7AC8" w:rsidRPr="00DB671B">
        <w:t xml:space="preserve"> </w:t>
      </w:r>
      <w:r w:rsidR="005F7AC8" w:rsidRPr="00DB671B">
        <w:rPr>
          <w:rFonts w:cs="Arial"/>
        </w:rPr>
        <w:t>Le TWV</w:t>
      </w:r>
      <w:r w:rsidR="00D83B31" w:rsidRPr="00DB671B">
        <w:rPr>
          <w:rFonts w:cs="Arial"/>
        </w:rPr>
        <w:t xml:space="preserve"> est convenu que les projets de principes directeurs d</w:t>
      </w:r>
      <w:r w:rsidR="005F7AC8" w:rsidRPr="00DB671B">
        <w:rPr>
          <w:rFonts w:cs="Arial"/>
        </w:rPr>
        <w:t>’</w:t>
      </w:r>
      <w:r w:rsidR="00D83B31" w:rsidRPr="00DB671B">
        <w:rPr>
          <w:rFonts w:cs="Arial"/>
        </w:rPr>
        <w:t>examen ci</w:t>
      </w:r>
      <w:r w:rsidR="005F7AC8" w:rsidRPr="00DB671B">
        <w:rPr>
          <w:rFonts w:cs="Arial"/>
        </w:rPr>
        <w:t>-</w:t>
      </w:r>
      <w:r w:rsidR="00D83B31" w:rsidRPr="00DB671B">
        <w:rPr>
          <w:rFonts w:cs="Arial"/>
        </w:rPr>
        <w:t>après devraient être soumis au</w:t>
      </w:r>
      <w:r w:rsidR="005F7AC8" w:rsidRPr="00DB671B">
        <w:rPr>
          <w:rFonts w:cs="Arial"/>
        </w:rPr>
        <w:t> TC</w:t>
      </w:r>
      <w:r w:rsidR="00D83B31" w:rsidRPr="00DB671B">
        <w:rPr>
          <w:rFonts w:cs="Arial"/>
        </w:rPr>
        <w:t xml:space="preserve"> pour adoption à sa cinquante</w:t>
      </w:r>
      <w:r w:rsidR="005F7AC8" w:rsidRPr="00DB671B">
        <w:rPr>
          <w:rFonts w:cs="Arial"/>
        </w:rPr>
        <w:t>-</w:t>
      </w:r>
      <w:r w:rsidR="00D83B31" w:rsidRPr="00DB671B">
        <w:rPr>
          <w:rFonts w:cs="Arial"/>
        </w:rPr>
        <w:t>cinqu</w:t>
      </w:r>
      <w:r w:rsidR="005F7AC8" w:rsidRPr="00DB671B">
        <w:rPr>
          <w:rFonts w:cs="Arial"/>
        </w:rPr>
        <w:t>ième session :</w:t>
      </w:r>
      <w:r w:rsidR="00D83B31" w:rsidRPr="00DB671B">
        <w:rPr>
          <w:rFonts w:cs="Arial"/>
        </w:rPr>
        <w:t xml:space="preserve"> fenouil, melon, bette à cardes, tomate et porte</w:t>
      </w:r>
      <w:r w:rsidR="005F7AC8" w:rsidRPr="00DB671B">
        <w:rPr>
          <w:rFonts w:cs="Arial"/>
        </w:rPr>
        <w:t>-</w:t>
      </w:r>
      <w:r w:rsidR="00D83B31" w:rsidRPr="00DB671B">
        <w:rPr>
          <w:rFonts w:cs="Arial"/>
        </w:rPr>
        <w:t>greffe de tomate.</w:t>
      </w:r>
      <w:r w:rsidRPr="00DB671B">
        <w:t xml:space="preserve"> </w:t>
      </w:r>
      <w:r w:rsidR="005F7AC8" w:rsidRPr="00DB671B">
        <w:t xml:space="preserve"> </w:t>
      </w:r>
      <w:r w:rsidR="005F7AC8" w:rsidRPr="00DB671B">
        <w:rPr>
          <w:rFonts w:cs="Arial"/>
        </w:rPr>
        <w:t>Le TWV</w:t>
      </w:r>
      <w:r w:rsidR="00D83B31" w:rsidRPr="00DB671B">
        <w:rPr>
          <w:rFonts w:cs="Arial"/>
        </w:rPr>
        <w:t xml:space="preserve"> est convenu d</w:t>
      </w:r>
      <w:r w:rsidR="005F7AC8" w:rsidRPr="00DB671B">
        <w:rPr>
          <w:rFonts w:cs="Arial"/>
        </w:rPr>
        <w:t>’</w:t>
      </w:r>
      <w:r w:rsidR="00D83B31" w:rsidRPr="00DB671B">
        <w:rPr>
          <w:rFonts w:cs="Arial"/>
        </w:rPr>
        <w:t>examiner les projets de principes directeurs d</w:t>
      </w:r>
      <w:r w:rsidR="005F7AC8" w:rsidRPr="00DB671B">
        <w:rPr>
          <w:rFonts w:cs="Arial"/>
        </w:rPr>
        <w:t>’</w:t>
      </w:r>
      <w:r w:rsidR="00D83B31" w:rsidRPr="00DB671B">
        <w:rPr>
          <w:rFonts w:cs="Arial"/>
        </w:rPr>
        <w:t>examen ci</w:t>
      </w:r>
      <w:r w:rsidR="005F7AC8" w:rsidRPr="00DB671B">
        <w:rPr>
          <w:rFonts w:cs="Arial"/>
        </w:rPr>
        <w:t>-</w:t>
      </w:r>
      <w:r w:rsidR="00D83B31" w:rsidRPr="00DB671B">
        <w:rPr>
          <w:rFonts w:cs="Arial"/>
        </w:rPr>
        <w:t>après à sa cinquante</w:t>
      </w:r>
      <w:r w:rsidR="005F7AC8" w:rsidRPr="00DB671B">
        <w:rPr>
          <w:rFonts w:cs="Arial"/>
        </w:rPr>
        <w:t>-</w:t>
      </w:r>
      <w:r w:rsidR="00D83B31" w:rsidRPr="00DB671B">
        <w:rPr>
          <w:rFonts w:cs="Arial"/>
        </w:rPr>
        <w:t>quatr</w:t>
      </w:r>
      <w:r w:rsidR="005F7AC8" w:rsidRPr="00DB671B">
        <w:rPr>
          <w:rFonts w:cs="Arial"/>
        </w:rPr>
        <w:t>ième session :</w:t>
      </w:r>
      <w:r w:rsidR="00D83B31" w:rsidRPr="00DB671B">
        <w:rPr>
          <w:rFonts w:cs="Arial"/>
        </w:rPr>
        <w:t xml:space="preserve"> pois chiche, chou chinois, aubergine, chou, poivron, courge (révision partielle), tomate (révision partielle), porte</w:t>
      </w:r>
      <w:r w:rsidR="005F7AC8" w:rsidRPr="00DB671B">
        <w:rPr>
          <w:rFonts w:cs="Arial"/>
        </w:rPr>
        <w:t>-</w:t>
      </w:r>
      <w:r w:rsidR="00D83B31" w:rsidRPr="00DB671B">
        <w:rPr>
          <w:rFonts w:cs="Arial"/>
        </w:rPr>
        <w:t>greffe de tomate (révision partielle) et navet.</w:t>
      </w:r>
    </w:p>
    <w:p w:rsidR="00D83B31" w:rsidRPr="00DB671B" w:rsidRDefault="00D83B31" w:rsidP="00054FE5">
      <w:pPr>
        <w:rPr>
          <w:rFonts w:cs="Arial"/>
        </w:rPr>
      </w:pPr>
    </w:p>
    <w:p w:rsidR="00D83B31" w:rsidRPr="001766FA" w:rsidRDefault="00054FE5" w:rsidP="00DB671B">
      <w:pPr>
        <w:pStyle w:val="Heading5"/>
        <w:rPr>
          <w:lang w:val="fr-CH"/>
        </w:rPr>
      </w:pPr>
      <w:r w:rsidRPr="001766FA">
        <w:rPr>
          <w:lang w:val="fr-CH"/>
        </w:rPr>
        <w:t>Président</w:t>
      </w:r>
    </w:p>
    <w:p w:rsidR="00D83B31" w:rsidRPr="00DB671B" w:rsidRDefault="00D83B31" w:rsidP="00054FE5"/>
    <w:p w:rsidR="00D83B31" w:rsidRPr="00DB671B" w:rsidRDefault="00054FE5" w:rsidP="00D83B31">
      <w:pPr>
        <w:rPr>
          <w:rFonts w:cs="Arial"/>
        </w:rPr>
      </w:pPr>
      <w:r w:rsidRPr="00DB671B">
        <w:rPr>
          <w:rFonts w:cs="Arial"/>
        </w:rPr>
        <w:fldChar w:fldCharType="begin"/>
      </w:r>
      <w:r w:rsidRPr="00DB671B">
        <w:rPr>
          <w:rFonts w:cs="Arial"/>
        </w:rPr>
        <w:instrText xml:space="preserve"> AUTONUM  </w:instrText>
      </w:r>
      <w:r w:rsidRPr="00DB671B">
        <w:rPr>
          <w:rFonts w:cs="Arial"/>
        </w:rPr>
        <w:fldChar w:fldCharType="end"/>
      </w:r>
      <w:r w:rsidRPr="00DB671B">
        <w:rPr>
          <w:rFonts w:cs="Arial"/>
        </w:rPr>
        <w:tab/>
      </w:r>
      <w:r w:rsidR="00D83B31" w:rsidRPr="00DB671B">
        <w:rPr>
          <w:rFonts w:cs="Arial"/>
        </w:rPr>
        <w:t>Le TWV est convenu de proposer au</w:t>
      </w:r>
      <w:r w:rsidR="005F7AC8" w:rsidRPr="00DB671B">
        <w:rPr>
          <w:rFonts w:cs="Arial"/>
        </w:rPr>
        <w:t> TC</w:t>
      </w:r>
      <w:r w:rsidR="00D83B31" w:rsidRPr="00DB671B">
        <w:rPr>
          <w:rFonts w:cs="Arial"/>
        </w:rPr>
        <w:t xml:space="preserve"> de recommander au Conseil d</w:t>
      </w:r>
      <w:r w:rsidR="005F7AC8" w:rsidRPr="00DB671B">
        <w:rPr>
          <w:rFonts w:cs="Arial"/>
        </w:rPr>
        <w:t>’</w:t>
      </w:r>
      <w:r w:rsidR="00D83B31" w:rsidRPr="00DB671B">
        <w:rPr>
          <w:rFonts w:cs="Arial"/>
        </w:rPr>
        <w:t>élire Mme</w:t>
      </w:r>
      <w:r w:rsidR="00E85E8E" w:rsidRPr="00DB671B">
        <w:rPr>
          <w:rFonts w:cs="Arial"/>
        </w:rPr>
        <w:t> </w:t>
      </w:r>
      <w:r w:rsidR="00D83B31" w:rsidRPr="00DB671B">
        <w:rPr>
          <w:rFonts w:cs="Arial"/>
        </w:rPr>
        <w:t>Marian van Leeuwen (Pays</w:t>
      </w:r>
      <w:r w:rsidR="005F7AC8" w:rsidRPr="00DB671B">
        <w:rPr>
          <w:rFonts w:cs="Arial"/>
        </w:rPr>
        <w:t>-</w:t>
      </w:r>
      <w:r w:rsidR="00D83B31" w:rsidRPr="00DB671B">
        <w:rPr>
          <w:rFonts w:cs="Arial"/>
        </w:rPr>
        <w:t>Bas) prochaine présidente</w:t>
      </w:r>
      <w:r w:rsidR="005F7AC8" w:rsidRPr="00DB671B">
        <w:rPr>
          <w:rFonts w:cs="Arial"/>
        </w:rPr>
        <w:t xml:space="preserve"> du TWV</w:t>
      </w:r>
      <w:r w:rsidR="00D83B31" w:rsidRPr="00DB671B">
        <w:rPr>
          <w:rFonts w:cs="Arial"/>
        </w:rPr>
        <w:t>.</w:t>
      </w:r>
    </w:p>
    <w:p w:rsidR="00D83B31" w:rsidRPr="00DB671B" w:rsidRDefault="00D83B31" w:rsidP="00054FE5">
      <w:pPr>
        <w:rPr>
          <w:rFonts w:cs="Arial"/>
        </w:rPr>
      </w:pPr>
    </w:p>
    <w:p w:rsidR="005F7AC8" w:rsidRPr="001766FA" w:rsidRDefault="00054FE5" w:rsidP="00DB671B">
      <w:pPr>
        <w:pStyle w:val="Heading5"/>
        <w:rPr>
          <w:lang w:val="fr-CH"/>
        </w:rPr>
      </w:pPr>
      <w:r w:rsidRPr="001766FA">
        <w:rPr>
          <w:lang w:val="fr-CH"/>
        </w:rPr>
        <w:t>Date et lieu de la prochaine session</w:t>
      </w:r>
    </w:p>
    <w:p w:rsidR="00D83B31" w:rsidRPr="00DB671B" w:rsidRDefault="00D83B31" w:rsidP="00054FE5"/>
    <w:p w:rsidR="00D83B31" w:rsidRPr="00DB671B" w:rsidRDefault="00054FE5" w:rsidP="00D83B31">
      <w:pPr>
        <w:rPr>
          <w:rFonts w:cs="Arial"/>
        </w:rPr>
      </w:pPr>
      <w:r w:rsidRPr="00DB671B">
        <w:rPr>
          <w:rFonts w:cs="Arial"/>
        </w:rPr>
        <w:fldChar w:fldCharType="begin"/>
      </w:r>
      <w:r w:rsidRPr="00DB671B">
        <w:rPr>
          <w:rFonts w:cs="Arial"/>
        </w:rPr>
        <w:instrText xml:space="preserve"> AUTONUM  </w:instrText>
      </w:r>
      <w:r w:rsidRPr="00DB671B">
        <w:rPr>
          <w:rFonts w:cs="Arial"/>
        </w:rPr>
        <w:fldChar w:fldCharType="end"/>
      </w:r>
      <w:r w:rsidRPr="00DB671B">
        <w:rPr>
          <w:rFonts w:cs="Arial"/>
        </w:rPr>
        <w:tab/>
      </w:r>
      <w:r w:rsidR="00D83B31" w:rsidRPr="00DB671B">
        <w:rPr>
          <w:rFonts w:cs="Arial"/>
        </w:rPr>
        <w:t>Sur l</w:t>
      </w:r>
      <w:r w:rsidR="005F7AC8" w:rsidRPr="00DB671B">
        <w:rPr>
          <w:rFonts w:cs="Arial"/>
        </w:rPr>
        <w:t>’</w:t>
      </w:r>
      <w:r w:rsidR="00D83B31" w:rsidRPr="00DB671B">
        <w:rPr>
          <w:rFonts w:cs="Arial"/>
        </w:rPr>
        <w:t>invitation du Brésil,</w:t>
      </w:r>
      <w:r w:rsidR="005F7AC8" w:rsidRPr="00DB671B">
        <w:rPr>
          <w:rFonts w:cs="Arial"/>
        </w:rPr>
        <w:t xml:space="preserve"> le TWV</w:t>
      </w:r>
      <w:r w:rsidR="00D83B31" w:rsidRPr="00DB671B">
        <w:rPr>
          <w:rFonts w:cs="Arial"/>
        </w:rPr>
        <w:t xml:space="preserve"> est convenu de tenir sa cinquante</w:t>
      </w:r>
      <w:r w:rsidR="005F7AC8" w:rsidRPr="00DB671B">
        <w:rPr>
          <w:rFonts w:cs="Arial"/>
        </w:rPr>
        <w:t>-</w:t>
      </w:r>
      <w:r w:rsidR="00D83B31" w:rsidRPr="00DB671B">
        <w:rPr>
          <w:rFonts w:cs="Arial"/>
        </w:rPr>
        <w:t>quatr</w:t>
      </w:r>
      <w:r w:rsidR="005F7AC8" w:rsidRPr="00DB671B">
        <w:rPr>
          <w:rFonts w:cs="Arial"/>
        </w:rPr>
        <w:t>ième session</w:t>
      </w:r>
      <w:r w:rsidR="00D83B31" w:rsidRPr="00DB671B">
        <w:rPr>
          <w:rFonts w:cs="Arial"/>
        </w:rPr>
        <w:t xml:space="preserve"> à Brasilia (Brésil) du 11 au 1</w:t>
      </w:r>
      <w:r w:rsidR="005F7AC8" w:rsidRPr="00DB671B">
        <w:rPr>
          <w:rFonts w:cs="Arial"/>
        </w:rPr>
        <w:t>5 mai 20</w:t>
      </w:r>
      <w:r w:rsidR="00D83B31" w:rsidRPr="00DB671B">
        <w:rPr>
          <w:rFonts w:cs="Arial"/>
        </w:rPr>
        <w:t>20.</w:t>
      </w:r>
    </w:p>
    <w:p w:rsidR="00D83B31" w:rsidRPr="00DB671B" w:rsidRDefault="00D83B31" w:rsidP="00054FE5">
      <w:pPr>
        <w:rPr>
          <w:rFonts w:cs="Arial"/>
        </w:rPr>
      </w:pPr>
    </w:p>
    <w:p w:rsidR="00D83B31" w:rsidRPr="001766FA" w:rsidRDefault="00D83B31" w:rsidP="00DB671B">
      <w:pPr>
        <w:pStyle w:val="Heading5"/>
        <w:rPr>
          <w:lang w:val="fr-CH"/>
        </w:rPr>
      </w:pPr>
      <w:r w:rsidRPr="001766FA">
        <w:rPr>
          <w:lang w:val="fr-CH"/>
        </w:rPr>
        <w:t>Points de l</w:t>
      </w:r>
      <w:r w:rsidR="005F7AC8" w:rsidRPr="001766FA">
        <w:rPr>
          <w:lang w:val="fr-CH"/>
        </w:rPr>
        <w:t>’</w:t>
      </w:r>
      <w:r w:rsidRPr="001766FA">
        <w:rPr>
          <w:lang w:val="fr-CH"/>
        </w:rPr>
        <w:t>ordre du jour de la prochaine session</w:t>
      </w:r>
    </w:p>
    <w:p w:rsidR="00D83B31" w:rsidRPr="00DB671B" w:rsidRDefault="00D83B31" w:rsidP="00054FE5"/>
    <w:p w:rsidR="00D83B31" w:rsidRPr="00DB671B" w:rsidRDefault="00054FE5" w:rsidP="00054FE5">
      <w:pPr>
        <w:rPr>
          <w:rFonts w:cs="Arial"/>
        </w:rPr>
      </w:pPr>
      <w:r w:rsidRPr="00DB671B">
        <w:rPr>
          <w:rFonts w:cs="Arial"/>
        </w:rPr>
        <w:fldChar w:fldCharType="begin"/>
      </w:r>
      <w:r w:rsidRPr="00DB671B">
        <w:rPr>
          <w:rFonts w:cs="Arial"/>
        </w:rPr>
        <w:instrText xml:space="preserve"> AUTONUM  </w:instrText>
      </w:r>
      <w:r w:rsidRPr="00DB671B">
        <w:rPr>
          <w:rFonts w:cs="Arial"/>
        </w:rPr>
        <w:fldChar w:fldCharType="end"/>
      </w:r>
      <w:r w:rsidRPr="00DB671B">
        <w:rPr>
          <w:rFonts w:cs="Arial"/>
        </w:rPr>
        <w:tab/>
        <w:t>Le TWV a proposé d</w:t>
      </w:r>
      <w:r w:rsidR="005F7AC8" w:rsidRPr="00DB671B">
        <w:rPr>
          <w:rFonts w:cs="Arial"/>
        </w:rPr>
        <w:t>’</w:t>
      </w:r>
      <w:r w:rsidRPr="00DB671B">
        <w:rPr>
          <w:rFonts w:cs="Arial"/>
        </w:rPr>
        <w:t>examiner les points suivants à sa session suivante</w:t>
      </w:r>
      <w:r w:rsidR="005F7AC8" w:rsidRPr="00DB671B">
        <w:rPr>
          <w:rFonts w:cs="Arial"/>
        </w:rPr>
        <w:t> :</w:t>
      </w:r>
    </w:p>
    <w:p w:rsidR="00D83B31" w:rsidRPr="00DB671B" w:rsidRDefault="00D83B31" w:rsidP="00054FE5">
      <w:pPr>
        <w:rPr>
          <w:rFonts w:cs="Arial"/>
        </w:rPr>
      </w:pPr>
    </w:p>
    <w:p w:rsidR="00D83B31" w:rsidRPr="00DB671B" w:rsidRDefault="00054FE5" w:rsidP="00054FE5">
      <w:pPr>
        <w:numPr>
          <w:ilvl w:val="0"/>
          <w:numId w:val="24"/>
        </w:numPr>
        <w:tabs>
          <w:tab w:val="clear" w:pos="360"/>
          <w:tab w:val="num" w:pos="1134"/>
          <w:tab w:val="left" w:pos="1701"/>
        </w:tabs>
        <w:ind w:left="1134" w:hanging="567"/>
        <w:jc w:val="left"/>
        <w:rPr>
          <w:rFonts w:cs="Arial"/>
        </w:rPr>
      </w:pPr>
      <w:r w:rsidRPr="00DB671B">
        <w:rPr>
          <w:rFonts w:cs="Arial"/>
        </w:rPr>
        <w:t>Ouverture de la session</w:t>
      </w:r>
    </w:p>
    <w:p w:rsidR="00D83B31" w:rsidRPr="00DB671B" w:rsidRDefault="00054FE5" w:rsidP="00054FE5">
      <w:pPr>
        <w:numPr>
          <w:ilvl w:val="0"/>
          <w:numId w:val="24"/>
        </w:numPr>
        <w:tabs>
          <w:tab w:val="clear" w:pos="360"/>
          <w:tab w:val="num" w:pos="1134"/>
          <w:tab w:val="left" w:pos="1701"/>
        </w:tabs>
        <w:ind w:left="1134" w:hanging="567"/>
        <w:jc w:val="left"/>
        <w:rPr>
          <w:rFonts w:cs="Arial"/>
        </w:rPr>
      </w:pPr>
      <w:r w:rsidRPr="00DB671B">
        <w:rPr>
          <w:rFonts w:cs="Arial"/>
        </w:rPr>
        <w:t>Adoption de l</w:t>
      </w:r>
      <w:r w:rsidR="005F7AC8" w:rsidRPr="00DB671B">
        <w:rPr>
          <w:rFonts w:cs="Arial"/>
        </w:rPr>
        <w:t>’</w:t>
      </w:r>
      <w:r w:rsidRPr="00DB671B">
        <w:rPr>
          <w:rFonts w:cs="Arial"/>
        </w:rPr>
        <w:t>ordre du jour</w:t>
      </w:r>
    </w:p>
    <w:p w:rsidR="00D83B31" w:rsidRPr="00DB671B" w:rsidRDefault="00054FE5" w:rsidP="00054FE5">
      <w:pPr>
        <w:numPr>
          <w:ilvl w:val="0"/>
          <w:numId w:val="24"/>
        </w:numPr>
        <w:tabs>
          <w:tab w:val="clear" w:pos="360"/>
          <w:tab w:val="num" w:pos="1134"/>
          <w:tab w:val="left" w:pos="1701"/>
        </w:tabs>
        <w:ind w:left="1134" w:hanging="567"/>
        <w:jc w:val="left"/>
        <w:rPr>
          <w:rFonts w:cs="Arial"/>
        </w:rPr>
      </w:pPr>
      <w:r w:rsidRPr="00DB671B">
        <w:rPr>
          <w:rFonts w:cs="Arial"/>
        </w:rPr>
        <w:t>Rapports succincts sur l</w:t>
      </w:r>
      <w:r w:rsidR="005F7AC8" w:rsidRPr="00DB671B">
        <w:rPr>
          <w:rFonts w:cs="Arial"/>
        </w:rPr>
        <w:t>’</w:t>
      </w:r>
      <w:r w:rsidRPr="00DB671B">
        <w:rPr>
          <w:rFonts w:cs="Arial"/>
        </w:rPr>
        <w:t>évolution de la situation en matière de protection des obtentions végétales</w:t>
      </w:r>
    </w:p>
    <w:p w:rsidR="005F7AC8" w:rsidRPr="00DB671B" w:rsidRDefault="00054FE5" w:rsidP="00054FE5">
      <w:pPr>
        <w:numPr>
          <w:ilvl w:val="0"/>
          <w:numId w:val="25"/>
        </w:numPr>
        <w:tabs>
          <w:tab w:val="left" w:pos="1701"/>
        </w:tabs>
        <w:ind w:left="1701" w:hanging="567"/>
        <w:jc w:val="left"/>
        <w:rPr>
          <w:rFonts w:cs="Arial"/>
        </w:rPr>
      </w:pPr>
      <w:r w:rsidRPr="00DB671B">
        <w:rPr>
          <w:rFonts w:cs="Arial"/>
        </w:rPr>
        <w:t>Rapports des membres et des observateurs</w:t>
      </w:r>
    </w:p>
    <w:p w:rsidR="00D83B31" w:rsidRPr="00DB671B" w:rsidRDefault="00054FE5" w:rsidP="00054FE5">
      <w:pPr>
        <w:numPr>
          <w:ilvl w:val="0"/>
          <w:numId w:val="25"/>
        </w:numPr>
        <w:tabs>
          <w:tab w:val="left" w:pos="1701"/>
        </w:tabs>
        <w:ind w:left="1701" w:hanging="567"/>
        <w:jc w:val="left"/>
        <w:rPr>
          <w:rFonts w:cs="Arial"/>
        </w:rPr>
      </w:pPr>
      <w:r w:rsidRPr="00DB671B">
        <w:rPr>
          <w:rFonts w:cs="Arial"/>
        </w:rPr>
        <w:t>Rapports sur les faits nouveaux intervenus à l</w:t>
      </w:r>
      <w:r w:rsidR="005F7AC8" w:rsidRPr="00DB671B">
        <w:rPr>
          <w:rFonts w:cs="Arial"/>
        </w:rPr>
        <w:t>’</w:t>
      </w:r>
      <w:r w:rsidRPr="00DB671B">
        <w:rPr>
          <w:rFonts w:cs="Arial"/>
        </w:rPr>
        <w:t>UPOV (rapport verbal du Bureau de l</w:t>
      </w:r>
      <w:r w:rsidR="005F7AC8" w:rsidRPr="00DB671B">
        <w:rPr>
          <w:rFonts w:cs="Arial"/>
        </w:rPr>
        <w:t>’</w:t>
      </w:r>
      <w:r w:rsidRPr="00DB671B">
        <w:rPr>
          <w:rFonts w:cs="Arial"/>
        </w:rPr>
        <w:t>Union)</w:t>
      </w:r>
    </w:p>
    <w:p w:rsidR="005F7AC8" w:rsidRPr="00DB671B" w:rsidRDefault="00054FE5" w:rsidP="00054FE5">
      <w:pPr>
        <w:numPr>
          <w:ilvl w:val="0"/>
          <w:numId w:val="24"/>
        </w:numPr>
        <w:tabs>
          <w:tab w:val="left" w:pos="1701"/>
        </w:tabs>
        <w:ind w:left="1134" w:hanging="567"/>
        <w:jc w:val="left"/>
        <w:rPr>
          <w:rFonts w:cs="Arial"/>
        </w:rPr>
      </w:pPr>
      <w:r w:rsidRPr="00DB671B">
        <w:rPr>
          <w:rFonts w:cs="Arial"/>
        </w:rPr>
        <w:t>Techniques moléculaires</w:t>
      </w:r>
    </w:p>
    <w:p w:rsidR="00D83B31" w:rsidRPr="00DB671B" w:rsidRDefault="00054FE5" w:rsidP="00054FE5">
      <w:pPr>
        <w:numPr>
          <w:ilvl w:val="0"/>
          <w:numId w:val="26"/>
        </w:numPr>
        <w:tabs>
          <w:tab w:val="left" w:pos="1701"/>
        </w:tabs>
        <w:ind w:left="1701" w:hanging="567"/>
        <w:jc w:val="left"/>
        <w:rPr>
          <w:rFonts w:cs="Arial"/>
        </w:rPr>
      </w:pPr>
      <w:r w:rsidRPr="00DB671B">
        <w:rPr>
          <w:rFonts w:cs="Arial"/>
        </w:rPr>
        <w:t>Rapports sur les faits nouveaux intervenus à l</w:t>
      </w:r>
      <w:r w:rsidR="005F7AC8" w:rsidRPr="00DB671B">
        <w:rPr>
          <w:rFonts w:cs="Arial"/>
        </w:rPr>
        <w:t>’</w:t>
      </w:r>
      <w:r w:rsidRPr="00DB671B">
        <w:rPr>
          <w:rFonts w:cs="Arial"/>
        </w:rPr>
        <w:t>UPOV (document à établir par le Bureau de l</w:t>
      </w:r>
      <w:r w:rsidR="005F7AC8" w:rsidRPr="00DB671B">
        <w:rPr>
          <w:rFonts w:cs="Arial"/>
        </w:rPr>
        <w:t>’</w:t>
      </w:r>
      <w:r w:rsidRPr="00DB671B">
        <w:rPr>
          <w:rFonts w:cs="Arial"/>
        </w:rPr>
        <w:t>Union)</w:t>
      </w:r>
    </w:p>
    <w:p w:rsidR="00D83B31" w:rsidRPr="00DB671B" w:rsidRDefault="00054FE5" w:rsidP="00054FE5">
      <w:pPr>
        <w:numPr>
          <w:ilvl w:val="0"/>
          <w:numId w:val="26"/>
        </w:numPr>
        <w:tabs>
          <w:tab w:val="left" w:pos="1701"/>
        </w:tabs>
        <w:ind w:left="1701" w:hanging="567"/>
        <w:jc w:val="left"/>
        <w:rPr>
          <w:rFonts w:cs="Arial"/>
        </w:rPr>
      </w:pPr>
      <w:r w:rsidRPr="00DB671B">
        <w:rPr>
          <w:rFonts w:cs="Arial"/>
        </w:rPr>
        <w:t>Exposé sur l</w:t>
      </w:r>
      <w:r w:rsidR="005F7AC8" w:rsidRPr="00DB671B">
        <w:rPr>
          <w:rFonts w:cs="Arial"/>
        </w:rPr>
        <w:t>’</w:t>
      </w:r>
      <w:r w:rsidRPr="00DB671B">
        <w:rPr>
          <w:rFonts w:cs="Arial"/>
        </w:rPr>
        <w:t>utilisation de techniques moléculaires dans l</w:t>
      </w:r>
      <w:r w:rsidR="005F7AC8" w:rsidRPr="00DB671B">
        <w:rPr>
          <w:rFonts w:cs="Arial"/>
        </w:rPr>
        <w:t>’</w:t>
      </w:r>
      <w:r w:rsidRPr="00DB671B">
        <w:rPr>
          <w:rFonts w:cs="Arial"/>
        </w:rPr>
        <w:t>examen</w:t>
      </w:r>
      <w:r w:rsidR="00E85E8E" w:rsidRPr="00DB671B">
        <w:rPr>
          <w:rFonts w:cs="Arial"/>
        </w:rPr>
        <w:t> </w:t>
      </w:r>
      <w:r w:rsidRPr="00DB671B">
        <w:rPr>
          <w:rFonts w:cs="Arial"/>
        </w:rPr>
        <w:t>DHS (exposés sollicités de membres de l</w:t>
      </w:r>
      <w:r w:rsidR="005F7AC8" w:rsidRPr="00DB671B">
        <w:rPr>
          <w:rFonts w:cs="Arial"/>
        </w:rPr>
        <w:t>’</w:t>
      </w:r>
      <w:r w:rsidRPr="00DB671B">
        <w:rPr>
          <w:rFonts w:cs="Arial"/>
        </w:rPr>
        <w:t>Union)</w:t>
      </w:r>
    </w:p>
    <w:p w:rsidR="005F7AC8" w:rsidRPr="00DB671B" w:rsidRDefault="00054FE5" w:rsidP="00054FE5">
      <w:pPr>
        <w:numPr>
          <w:ilvl w:val="0"/>
          <w:numId w:val="24"/>
        </w:numPr>
        <w:tabs>
          <w:tab w:val="left" w:pos="1701"/>
        </w:tabs>
        <w:ind w:left="1134" w:hanging="567"/>
        <w:jc w:val="left"/>
        <w:rPr>
          <w:rFonts w:cs="Arial"/>
        </w:rPr>
      </w:pPr>
      <w:r w:rsidRPr="00DB671B">
        <w:rPr>
          <w:rFonts w:cs="Arial"/>
        </w:rPr>
        <w:t>Documents TGP</w:t>
      </w:r>
    </w:p>
    <w:p w:rsidR="00D83B31" w:rsidRPr="00DB671B" w:rsidRDefault="00054FE5" w:rsidP="00054FE5">
      <w:pPr>
        <w:numPr>
          <w:ilvl w:val="0"/>
          <w:numId w:val="24"/>
        </w:numPr>
        <w:tabs>
          <w:tab w:val="left" w:pos="1701"/>
        </w:tabs>
        <w:ind w:left="1134" w:hanging="567"/>
        <w:jc w:val="left"/>
        <w:rPr>
          <w:rFonts w:cs="Arial"/>
        </w:rPr>
      </w:pPr>
      <w:r w:rsidRPr="00DB671B">
        <w:rPr>
          <w:rFonts w:cs="Arial"/>
        </w:rPr>
        <w:t>Dénominations variétales (document à établir par le Bureau de l</w:t>
      </w:r>
      <w:r w:rsidR="005F7AC8" w:rsidRPr="00DB671B">
        <w:rPr>
          <w:rFonts w:cs="Arial"/>
        </w:rPr>
        <w:t>’</w:t>
      </w:r>
      <w:r w:rsidRPr="00DB671B">
        <w:rPr>
          <w:rFonts w:cs="Arial"/>
        </w:rPr>
        <w:t>Union)</w:t>
      </w:r>
    </w:p>
    <w:p w:rsidR="00D83B31" w:rsidRPr="00DB671B" w:rsidRDefault="00054FE5" w:rsidP="00054FE5">
      <w:pPr>
        <w:numPr>
          <w:ilvl w:val="0"/>
          <w:numId w:val="24"/>
        </w:numPr>
        <w:tabs>
          <w:tab w:val="left" w:pos="1701"/>
        </w:tabs>
        <w:ind w:left="1134" w:hanging="567"/>
        <w:jc w:val="left"/>
        <w:rPr>
          <w:rFonts w:cs="Arial"/>
        </w:rPr>
      </w:pPr>
      <w:r w:rsidRPr="00DB671B">
        <w:rPr>
          <w:rFonts w:cs="Arial"/>
        </w:rPr>
        <w:t>Informations et bases de données</w:t>
      </w:r>
    </w:p>
    <w:p w:rsidR="00D83B31" w:rsidRPr="00DB671B" w:rsidRDefault="00054FE5" w:rsidP="00054FE5">
      <w:pPr>
        <w:tabs>
          <w:tab w:val="left" w:pos="1701"/>
        </w:tabs>
        <w:ind w:left="1701" w:hanging="567"/>
        <w:rPr>
          <w:rFonts w:cs="Arial"/>
        </w:rPr>
      </w:pPr>
      <w:r w:rsidRPr="00DB671B">
        <w:rPr>
          <w:rFonts w:cs="Arial"/>
        </w:rPr>
        <w:t>a)</w:t>
      </w:r>
      <w:r w:rsidRPr="00DB671B">
        <w:rPr>
          <w:rFonts w:cs="Arial"/>
        </w:rPr>
        <w:tab/>
        <w:t>Bases de données d</w:t>
      </w:r>
      <w:r w:rsidR="005F7AC8" w:rsidRPr="00DB671B">
        <w:rPr>
          <w:rFonts w:cs="Arial"/>
        </w:rPr>
        <w:t>’</w:t>
      </w:r>
      <w:r w:rsidRPr="00DB671B">
        <w:rPr>
          <w:rFonts w:cs="Arial"/>
        </w:rPr>
        <w:t>information de l</w:t>
      </w:r>
      <w:r w:rsidR="005F7AC8" w:rsidRPr="00DB671B">
        <w:rPr>
          <w:rFonts w:cs="Arial"/>
        </w:rPr>
        <w:t>’</w:t>
      </w:r>
      <w:r w:rsidRPr="00DB671B">
        <w:rPr>
          <w:rFonts w:cs="Arial"/>
        </w:rPr>
        <w:t>UPOV (document à établir par le Bureau de l</w:t>
      </w:r>
      <w:r w:rsidR="005F7AC8" w:rsidRPr="00DB671B">
        <w:rPr>
          <w:rFonts w:cs="Arial"/>
        </w:rPr>
        <w:t>’</w:t>
      </w:r>
      <w:r w:rsidRPr="00DB671B">
        <w:rPr>
          <w:rFonts w:cs="Arial"/>
        </w:rPr>
        <w:t>Union)</w:t>
      </w:r>
    </w:p>
    <w:p w:rsidR="00D83B31" w:rsidRPr="00DB671B" w:rsidRDefault="00054FE5" w:rsidP="00054FE5">
      <w:pPr>
        <w:tabs>
          <w:tab w:val="left" w:pos="1701"/>
        </w:tabs>
        <w:ind w:left="1701" w:hanging="567"/>
        <w:rPr>
          <w:rFonts w:cs="Arial"/>
        </w:rPr>
      </w:pPr>
      <w:r w:rsidRPr="00DB671B">
        <w:rPr>
          <w:rFonts w:cs="Arial"/>
        </w:rPr>
        <w:t>b)</w:t>
      </w:r>
      <w:r w:rsidRPr="00DB671B">
        <w:rPr>
          <w:rFonts w:cs="Arial"/>
        </w:rPr>
        <w:tab/>
        <w:t>Bases de données sur les descriptions variétales (document à établir par le Bureau de l</w:t>
      </w:r>
      <w:r w:rsidR="005F7AC8" w:rsidRPr="00DB671B">
        <w:rPr>
          <w:rFonts w:cs="Arial"/>
        </w:rPr>
        <w:t>’</w:t>
      </w:r>
      <w:r w:rsidRPr="00DB671B">
        <w:rPr>
          <w:rFonts w:cs="Arial"/>
        </w:rPr>
        <w:t>Union et documents sollicités)</w:t>
      </w:r>
    </w:p>
    <w:p w:rsidR="00D83B31" w:rsidRPr="00DB671B" w:rsidRDefault="00054FE5" w:rsidP="00054FE5">
      <w:pPr>
        <w:tabs>
          <w:tab w:val="left" w:pos="1701"/>
        </w:tabs>
        <w:ind w:left="1701" w:hanging="567"/>
        <w:rPr>
          <w:rFonts w:cs="Arial"/>
        </w:rPr>
      </w:pPr>
      <w:r w:rsidRPr="00DB671B">
        <w:rPr>
          <w:rFonts w:cs="Arial"/>
        </w:rPr>
        <w:t>c)</w:t>
      </w:r>
      <w:r w:rsidRPr="00DB671B">
        <w:rPr>
          <w:rFonts w:cs="Arial"/>
        </w:rPr>
        <w:tab/>
        <w:t>Échange et utilisation de logiciels et d</w:t>
      </w:r>
      <w:r w:rsidR="005F7AC8" w:rsidRPr="00DB671B">
        <w:rPr>
          <w:rFonts w:cs="Arial"/>
        </w:rPr>
        <w:t>’</w:t>
      </w:r>
      <w:r w:rsidRPr="00DB671B">
        <w:rPr>
          <w:rFonts w:cs="Arial"/>
        </w:rPr>
        <w:t>équipements (document à établir par le Bureau de l</w:t>
      </w:r>
      <w:r w:rsidR="005F7AC8" w:rsidRPr="00DB671B">
        <w:rPr>
          <w:rFonts w:cs="Arial"/>
        </w:rPr>
        <w:t>’</w:t>
      </w:r>
      <w:r w:rsidRPr="00DB671B">
        <w:rPr>
          <w:rFonts w:cs="Arial"/>
        </w:rPr>
        <w:t>Union)</w:t>
      </w:r>
    </w:p>
    <w:p w:rsidR="00D83B31" w:rsidRPr="00DB671B" w:rsidRDefault="00054FE5" w:rsidP="00054FE5">
      <w:pPr>
        <w:tabs>
          <w:tab w:val="left" w:pos="1701"/>
        </w:tabs>
        <w:ind w:left="1701" w:hanging="567"/>
        <w:rPr>
          <w:rFonts w:cs="Arial"/>
        </w:rPr>
      </w:pPr>
      <w:r w:rsidRPr="00DB671B">
        <w:rPr>
          <w:rFonts w:cs="Arial"/>
        </w:rPr>
        <w:t>d)</w:t>
      </w:r>
      <w:r w:rsidR="00D83B31" w:rsidRPr="00DB671B">
        <w:rPr>
          <w:rFonts w:cs="Arial"/>
        </w:rPr>
        <w:tab/>
      </w:r>
      <w:r w:rsidRPr="00DB671B">
        <w:rPr>
          <w:rFonts w:cs="Arial"/>
        </w:rPr>
        <w:t xml:space="preserve">UPOV PRISMA (document </w:t>
      </w:r>
      <w:r w:rsidR="00D83B31" w:rsidRPr="00DB671B">
        <w:rPr>
          <w:rFonts w:cs="Arial"/>
        </w:rPr>
        <w:t>à établir par le Bureau de l</w:t>
      </w:r>
      <w:r w:rsidR="005F7AC8" w:rsidRPr="00DB671B">
        <w:rPr>
          <w:rFonts w:cs="Arial"/>
        </w:rPr>
        <w:t>’</w:t>
      </w:r>
      <w:r w:rsidR="00D83B31" w:rsidRPr="00DB671B">
        <w:rPr>
          <w:rFonts w:cs="Arial"/>
        </w:rPr>
        <w:t>Union</w:t>
      </w:r>
      <w:r w:rsidRPr="00DB671B">
        <w:rPr>
          <w:rFonts w:cs="Arial"/>
        </w:rPr>
        <w:t>)</w:t>
      </w:r>
    </w:p>
    <w:p w:rsidR="00D83B31" w:rsidRPr="00DB671B" w:rsidRDefault="00054FE5" w:rsidP="00054FE5">
      <w:pPr>
        <w:numPr>
          <w:ilvl w:val="0"/>
          <w:numId w:val="24"/>
        </w:numPr>
        <w:tabs>
          <w:tab w:val="left" w:pos="1701"/>
        </w:tabs>
        <w:ind w:left="1134" w:hanging="567"/>
        <w:jc w:val="left"/>
        <w:rPr>
          <w:rFonts w:cs="Arial"/>
        </w:rPr>
      </w:pPr>
      <w:r w:rsidRPr="00DB671B">
        <w:rPr>
          <w:rFonts w:cs="Arial"/>
        </w:rPr>
        <w:t>Expériences avec de nouveaux types et espèces (rapports verbaux sollicités)</w:t>
      </w:r>
    </w:p>
    <w:p w:rsidR="00D83B31" w:rsidRPr="00DB671B" w:rsidRDefault="00054FE5" w:rsidP="00054FE5">
      <w:pPr>
        <w:numPr>
          <w:ilvl w:val="0"/>
          <w:numId w:val="24"/>
        </w:numPr>
        <w:tabs>
          <w:tab w:val="left" w:pos="1701"/>
        </w:tabs>
        <w:ind w:left="1134" w:hanging="567"/>
        <w:jc w:val="left"/>
        <w:rPr>
          <w:rFonts w:cs="Arial"/>
        </w:rPr>
      </w:pPr>
      <w:r w:rsidRPr="00DB671B">
        <w:rPr>
          <w:rFonts w:cs="Arial"/>
        </w:rPr>
        <w:t>Nouvelles questions se posant pour l</w:t>
      </w:r>
      <w:r w:rsidR="005F7AC8" w:rsidRPr="00DB671B">
        <w:rPr>
          <w:rFonts w:cs="Arial"/>
        </w:rPr>
        <w:t>’</w:t>
      </w:r>
      <w:r w:rsidRPr="00DB671B">
        <w:rPr>
          <w:rFonts w:cs="Arial"/>
        </w:rPr>
        <w:t>examen</w:t>
      </w:r>
      <w:r w:rsidR="00E85E8E" w:rsidRPr="00DB671B">
        <w:rPr>
          <w:rFonts w:cs="Arial"/>
        </w:rPr>
        <w:t> </w:t>
      </w:r>
      <w:r w:rsidRPr="00DB671B">
        <w:rPr>
          <w:rFonts w:cs="Arial"/>
        </w:rPr>
        <w:t>DHS (exposés sollicités de membres de l</w:t>
      </w:r>
      <w:r w:rsidR="005F7AC8" w:rsidRPr="00DB671B">
        <w:rPr>
          <w:rFonts w:cs="Arial"/>
        </w:rPr>
        <w:t>’</w:t>
      </w:r>
      <w:r w:rsidRPr="00DB671B">
        <w:rPr>
          <w:rFonts w:cs="Arial"/>
        </w:rPr>
        <w:t>Union)</w:t>
      </w:r>
    </w:p>
    <w:p w:rsidR="00D83B31" w:rsidRPr="00DB671B" w:rsidRDefault="00D83B31" w:rsidP="00D83B31">
      <w:pPr>
        <w:numPr>
          <w:ilvl w:val="0"/>
          <w:numId w:val="24"/>
        </w:numPr>
        <w:tabs>
          <w:tab w:val="left" w:pos="1701"/>
        </w:tabs>
        <w:ind w:left="1134" w:hanging="567"/>
        <w:jc w:val="left"/>
        <w:rPr>
          <w:rFonts w:cs="Arial"/>
        </w:rPr>
      </w:pPr>
      <w:r w:rsidRPr="00DB671B">
        <w:rPr>
          <w:rFonts w:cs="Arial"/>
        </w:rPr>
        <w:t>Utilisation de caractères de résistance aux maladies (exposés sollicités des membres de l</w:t>
      </w:r>
      <w:r w:rsidR="005F7AC8" w:rsidRPr="00DB671B">
        <w:rPr>
          <w:rFonts w:cs="Arial"/>
        </w:rPr>
        <w:t>’</w:t>
      </w:r>
      <w:r w:rsidRPr="00DB671B">
        <w:rPr>
          <w:rFonts w:cs="Arial"/>
        </w:rPr>
        <w:t>Union et des observateur</w:t>
      </w:r>
      <w:r w:rsidR="00A83A59" w:rsidRPr="00DB671B">
        <w:rPr>
          <w:rFonts w:cs="Arial"/>
        </w:rPr>
        <w:t>s)</w:t>
      </w:r>
    </w:p>
    <w:p w:rsidR="00D83B31" w:rsidRPr="00DB671B" w:rsidRDefault="00D83B31" w:rsidP="00D83B31">
      <w:pPr>
        <w:numPr>
          <w:ilvl w:val="0"/>
          <w:numId w:val="24"/>
        </w:numPr>
        <w:tabs>
          <w:tab w:val="left" w:pos="1701"/>
        </w:tabs>
        <w:ind w:left="1134" w:hanging="567"/>
        <w:jc w:val="left"/>
        <w:rPr>
          <w:rFonts w:cs="Arial"/>
        </w:rPr>
      </w:pPr>
      <w:r w:rsidRPr="00DB671B">
        <w:rPr>
          <w:rFonts w:cs="Arial"/>
        </w:rPr>
        <w:t>Questions en suspens concernant les principes directeurs d</w:t>
      </w:r>
      <w:r w:rsidR="005F7AC8" w:rsidRPr="00DB671B">
        <w:rPr>
          <w:rFonts w:cs="Arial"/>
        </w:rPr>
        <w:t>’</w:t>
      </w:r>
      <w:r w:rsidRPr="00DB671B">
        <w:rPr>
          <w:rFonts w:cs="Arial"/>
        </w:rPr>
        <w:t>examen soumis au Comité technique pour adoption (le cas échéant)</w:t>
      </w:r>
    </w:p>
    <w:p w:rsidR="00D83B31" w:rsidRPr="00DB671B" w:rsidRDefault="00054FE5" w:rsidP="00054FE5">
      <w:pPr>
        <w:numPr>
          <w:ilvl w:val="0"/>
          <w:numId w:val="24"/>
        </w:numPr>
        <w:tabs>
          <w:tab w:val="left" w:pos="1701"/>
        </w:tabs>
        <w:ind w:left="1134" w:hanging="567"/>
        <w:jc w:val="left"/>
        <w:rPr>
          <w:rFonts w:cs="Arial"/>
        </w:rPr>
      </w:pPr>
      <w:r w:rsidRPr="00DB671B">
        <w:rPr>
          <w:rFonts w:cs="Arial"/>
        </w:rPr>
        <w:t>Examen des projets de principes directeurs d</w:t>
      </w:r>
      <w:r w:rsidR="005F7AC8" w:rsidRPr="00DB671B">
        <w:rPr>
          <w:rFonts w:cs="Arial"/>
        </w:rPr>
        <w:t>’</w:t>
      </w:r>
      <w:r w:rsidRPr="00DB671B">
        <w:rPr>
          <w:rFonts w:cs="Arial"/>
        </w:rPr>
        <w:t>examen (sous</w:t>
      </w:r>
      <w:r w:rsidR="005F7AC8" w:rsidRPr="00DB671B">
        <w:rPr>
          <w:rFonts w:cs="Arial"/>
        </w:rPr>
        <w:t>-</w:t>
      </w:r>
      <w:r w:rsidRPr="00DB671B">
        <w:rPr>
          <w:rFonts w:cs="Arial"/>
        </w:rPr>
        <w:t>groupes)</w:t>
      </w:r>
    </w:p>
    <w:p w:rsidR="00D83B31" w:rsidRPr="00DB671B" w:rsidRDefault="00054FE5" w:rsidP="00054FE5">
      <w:pPr>
        <w:numPr>
          <w:ilvl w:val="0"/>
          <w:numId w:val="24"/>
        </w:numPr>
        <w:tabs>
          <w:tab w:val="left" w:pos="1701"/>
        </w:tabs>
        <w:ind w:left="1134" w:hanging="567"/>
        <w:jc w:val="left"/>
        <w:rPr>
          <w:rFonts w:cs="Arial"/>
        </w:rPr>
      </w:pPr>
      <w:r w:rsidRPr="00DB671B">
        <w:rPr>
          <w:rFonts w:cs="Arial"/>
        </w:rPr>
        <w:t>Recommandations concernant les projets de principes directeurs d</w:t>
      </w:r>
      <w:r w:rsidR="005F7AC8" w:rsidRPr="00DB671B">
        <w:rPr>
          <w:rFonts w:cs="Arial"/>
        </w:rPr>
        <w:t>’</w:t>
      </w:r>
      <w:r w:rsidRPr="00DB671B">
        <w:rPr>
          <w:rFonts w:cs="Arial"/>
        </w:rPr>
        <w:t>examen</w:t>
      </w:r>
    </w:p>
    <w:p w:rsidR="00D83B31" w:rsidRPr="00DB671B" w:rsidRDefault="00054FE5" w:rsidP="00054FE5">
      <w:pPr>
        <w:numPr>
          <w:ilvl w:val="0"/>
          <w:numId w:val="24"/>
        </w:numPr>
        <w:tabs>
          <w:tab w:val="left" w:pos="1701"/>
        </w:tabs>
        <w:ind w:left="1134" w:hanging="567"/>
        <w:jc w:val="left"/>
        <w:rPr>
          <w:rFonts w:cs="Arial"/>
        </w:rPr>
      </w:pPr>
      <w:r w:rsidRPr="00DB671B">
        <w:rPr>
          <w:rFonts w:cs="Arial"/>
        </w:rPr>
        <w:t>Orientations pour les rédacteurs de principes directeurs d</w:t>
      </w:r>
      <w:r w:rsidR="005F7AC8" w:rsidRPr="00DB671B">
        <w:rPr>
          <w:rFonts w:cs="Arial"/>
        </w:rPr>
        <w:t>’</w:t>
      </w:r>
      <w:r w:rsidRPr="00DB671B">
        <w:rPr>
          <w:rFonts w:cs="Arial"/>
        </w:rPr>
        <w:t>examen</w:t>
      </w:r>
    </w:p>
    <w:p w:rsidR="00D83B31" w:rsidRPr="00DB671B" w:rsidRDefault="00054FE5" w:rsidP="00054FE5">
      <w:pPr>
        <w:numPr>
          <w:ilvl w:val="0"/>
          <w:numId w:val="24"/>
        </w:numPr>
        <w:tabs>
          <w:tab w:val="left" w:pos="1701"/>
        </w:tabs>
        <w:ind w:left="1134" w:hanging="567"/>
        <w:jc w:val="left"/>
        <w:rPr>
          <w:rFonts w:cs="Arial"/>
        </w:rPr>
      </w:pPr>
      <w:r w:rsidRPr="00DB671B">
        <w:rPr>
          <w:rFonts w:cs="Arial"/>
        </w:rPr>
        <w:t>Date et lieu de la prochaine session</w:t>
      </w:r>
    </w:p>
    <w:p w:rsidR="00D83B31" w:rsidRPr="00DB671B" w:rsidRDefault="00054FE5" w:rsidP="00054FE5">
      <w:pPr>
        <w:numPr>
          <w:ilvl w:val="0"/>
          <w:numId w:val="24"/>
        </w:numPr>
        <w:tabs>
          <w:tab w:val="left" w:pos="1701"/>
        </w:tabs>
        <w:ind w:left="1134" w:hanging="567"/>
        <w:jc w:val="left"/>
        <w:rPr>
          <w:rFonts w:cs="Arial"/>
        </w:rPr>
      </w:pPr>
      <w:r w:rsidRPr="00DB671B">
        <w:rPr>
          <w:rFonts w:cs="Arial"/>
        </w:rPr>
        <w:t>Programme futur</w:t>
      </w:r>
    </w:p>
    <w:p w:rsidR="00D83B31" w:rsidRPr="00DB671B" w:rsidRDefault="00054FE5" w:rsidP="00054FE5">
      <w:pPr>
        <w:numPr>
          <w:ilvl w:val="0"/>
          <w:numId w:val="24"/>
        </w:numPr>
        <w:tabs>
          <w:tab w:val="left" w:pos="1701"/>
        </w:tabs>
        <w:ind w:left="1134" w:hanging="567"/>
        <w:jc w:val="left"/>
        <w:rPr>
          <w:rFonts w:cs="Arial"/>
        </w:rPr>
      </w:pPr>
      <w:r w:rsidRPr="00DB671B">
        <w:rPr>
          <w:rFonts w:cs="Arial"/>
        </w:rPr>
        <w:t>Compte rendu de la session (selon le temps disponible)</w:t>
      </w:r>
    </w:p>
    <w:p w:rsidR="00D83B31" w:rsidRPr="00DB671B" w:rsidRDefault="00054FE5" w:rsidP="00054FE5">
      <w:pPr>
        <w:numPr>
          <w:ilvl w:val="0"/>
          <w:numId w:val="24"/>
        </w:numPr>
        <w:tabs>
          <w:tab w:val="left" w:pos="1701"/>
        </w:tabs>
        <w:ind w:left="1134" w:hanging="567"/>
        <w:jc w:val="left"/>
        <w:rPr>
          <w:rFonts w:cs="Arial"/>
        </w:rPr>
      </w:pPr>
      <w:r w:rsidRPr="00DB671B">
        <w:rPr>
          <w:rFonts w:cs="Arial"/>
        </w:rPr>
        <w:t>Clôture de la session</w:t>
      </w:r>
    </w:p>
    <w:p w:rsidR="00D83B31" w:rsidRPr="00DB671B" w:rsidRDefault="00D83B31" w:rsidP="00804DB7"/>
    <w:p w:rsidR="00850B27" w:rsidRPr="00DB671B" w:rsidRDefault="00850B27" w:rsidP="00DB671B">
      <w:pPr>
        <w:pStyle w:val="Heading3"/>
        <w:rPr>
          <w:lang w:val="fr-FR"/>
        </w:rPr>
      </w:pPr>
      <w:r w:rsidRPr="00DB671B">
        <w:rPr>
          <w:lang w:val="fr-FR"/>
        </w:rPr>
        <w:t>Groupe de travail sur les techniques biochimiques et moléculaires, notamment les profils d’ADN</w:t>
      </w:r>
    </w:p>
    <w:p w:rsidR="00850B27" w:rsidRPr="00DB671B" w:rsidRDefault="00850B27" w:rsidP="00DB671B">
      <w:pPr>
        <w:keepNext/>
      </w:pPr>
    </w:p>
    <w:p w:rsidR="00850B27" w:rsidRPr="00DB671B" w:rsidRDefault="00850B27" w:rsidP="00DB671B">
      <w:pPr>
        <w:keepNext/>
      </w:pPr>
      <w:r w:rsidRPr="00DB671B">
        <w:t>Rapport établi par M. Nik Hulse (Australie), président du BMT</w:t>
      </w:r>
    </w:p>
    <w:p w:rsidR="00850B27" w:rsidRPr="00DB671B" w:rsidRDefault="00850B27" w:rsidP="00DB671B">
      <w:pPr>
        <w:keepNext/>
      </w:pPr>
    </w:p>
    <w:p w:rsidR="00850B27" w:rsidRPr="00DB671B" w:rsidRDefault="00850B27" w:rsidP="00DB671B">
      <w:pPr>
        <w:pStyle w:val="Heading4"/>
      </w:pPr>
      <w:r w:rsidRPr="00DB671B">
        <w:t>Dix-huitième session du BMT</w:t>
      </w:r>
    </w:p>
    <w:p w:rsidR="00850B27" w:rsidRPr="00DB671B" w:rsidRDefault="00850B27" w:rsidP="00DB671B"/>
    <w:p w:rsidR="00850B27" w:rsidRPr="00DB671B" w:rsidRDefault="00850B27" w:rsidP="00DB671B">
      <w:pPr>
        <w:rPr>
          <w:rFonts w:cs="Arial"/>
        </w:rPr>
      </w:pPr>
      <w:r w:rsidRPr="00DB671B">
        <w:rPr>
          <w:rFonts w:cs="Arial"/>
        </w:rPr>
        <w:fldChar w:fldCharType="begin"/>
      </w:r>
      <w:r w:rsidRPr="00DB671B">
        <w:rPr>
          <w:rFonts w:cs="Arial"/>
        </w:rPr>
        <w:instrText xml:space="preserve"> AUTONUM  </w:instrText>
      </w:r>
      <w:r w:rsidRPr="00DB671B">
        <w:rPr>
          <w:rFonts w:cs="Arial"/>
        </w:rPr>
        <w:fldChar w:fldCharType="end"/>
      </w:r>
      <w:r w:rsidRPr="00DB671B">
        <w:rPr>
          <w:rFonts w:cs="Arial"/>
        </w:rPr>
        <w:tab/>
        <w:t>Le BMT tient sa dix-huitième session à Hangzhou (Chine), du 16 au 18 octobre 2019.  La session est ouverte par M. Nik Hulse (Australie), président du BMT.  M. Jianmeng Li, directeur de la division des semences et de l’innovation du Ministère de l’agriculture et des affaires rurales de la Chine, souhaite la bienvenue aux membres du BMT.  Ces derniers suivent un exposé, intitulé “Utilisation des techniques moléculaires dans l’examen DHS et l’application du droit d’obtenteur en Chine”, présenté par M. Ruixi Han, examinateur principal à la Division de l’examen DHS, Centre de développement des sciences et technologies, Ministère de l’agriculture et des affaires rurales de la Chine.</w:t>
      </w:r>
    </w:p>
    <w:p w:rsidR="00850B27" w:rsidRPr="00DB671B" w:rsidRDefault="00850B27" w:rsidP="00DB671B">
      <w:pPr>
        <w:rPr>
          <w:rFonts w:cs="Arial"/>
        </w:rPr>
      </w:pPr>
    </w:p>
    <w:p w:rsidR="00850B27" w:rsidRPr="00DB671B" w:rsidRDefault="00850B27" w:rsidP="00DB671B">
      <w:pPr>
        <w:rPr>
          <w:rFonts w:cs="Arial"/>
        </w:rPr>
      </w:pPr>
      <w:r w:rsidRPr="00DB671B">
        <w:rPr>
          <w:rFonts w:cs="Arial"/>
        </w:rPr>
        <w:fldChar w:fldCharType="begin"/>
      </w:r>
      <w:r w:rsidRPr="00DB671B">
        <w:rPr>
          <w:rFonts w:cs="Arial"/>
        </w:rPr>
        <w:instrText xml:space="preserve"> AUTONUM  </w:instrText>
      </w:r>
      <w:r w:rsidRPr="00DB671B">
        <w:rPr>
          <w:rFonts w:cs="Arial"/>
        </w:rPr>
        <w:fldChar w:fldCharType="end"/>
      </w:r>
      <w:r w:rsidRPr="00DB671B">
        <w:rPr>
          <w:rFonts w:cs="Arial"/>
        </w:rPr>
        <w:tab/>
        <w:t>Aucun atelier préparatoire n’est organisé avant la session du BMT.  À la place, des exposés sur les questions préparatoires sont présentés pendant la session, juste avant l’annonce des points de l’ordre du jour pertinents.  La session du BMT réunit 65 participants représentant 18 membres de l’Union et sept organisations ayant le statut d’observateur.</w:t>
      </w:r>
    </w:p>
    <w:p w:rsidR="00850B27" w:rsidRPr="00DB671B" w:rsidRDefault="00850B27" w:rsidP="00DB671B">
      <w:pPr>
        <w:rPr>
          <w:rFonts w:cs="Arial"/>
        </w:rPr>
      </w:pPr>
    </w:p>
    <w:p w:rsidR="00850B27" w:rsidRPr="00DB671B" w:rsidRDefault="00850B27" w:rsidP="00DB671B">
      <w:pPr>
        <w:rPr>
          <w:rFonts w:cs="Arial"/>
        </w:rPr>
      </w:pPr>
      <w:r w:rsidRPr="00DB671B">
        <w:rPr>
          <w:rFonts w:cs="Arial"/>
        </w:rPr>
        <w:fldChar w:fldCharType="begin"/>
      </w:r>
      <w:r w:rsidRPr="00DB671B">
        <w:rPr>
          <w:rFonts w:cs="Arial"/>
        </w:rPr>
        <w:instrText xml:space="preserve"> AUTONUM  </w:instrText>
      </w:r>
      <w:r w:rsidRPr="00DB671B">
        <w:rPr>
          <w:rFonts w:cs="Arial"/>
        </w:rPr>
        <w:fldChar w:fldCharType="end"/>
      </w:r>
      <w:r w:rsidRPr="00DB671B">
        <w:rPr>
          <w:rFonts w:cs="Arial"/>
        </w:rPr>
        <w:tab/>
        <w:t>Les membres du BMT prennent note d’un rapport sur l’élaboration d’un logiciel de choix des marqueurs à partir de l’algorithme du “voyageur de commerce”.  Le BMT invite les membres à essayer le logiciel et à lui rendre compte de leur expérience à sa dix-neuvième session.</w:t>
      </w:r>
    </w:p>
    <w:p w:rsidR="00850B27" w:rsidRPr="00DB671B" w:rsidRDefault="00850B27" w:rsidP="00DB671B">
      <w:pPr>
        <w:rPr>
          <w:rFonts w:cs="Arial"/>
        </w:rPr>
      </w:pPr>
    </w:p>
    <w:p w:rsidR="00850B27" w:rsidRDefault="00850B27" w:rsidP="00DB671B">
      <w:pPr>
        <w:rPr>
          <w:rFonts w:cs="Arial"/>
        </w:rPr>
      </w:pPr>
      <w:r w:rsidRPr="00DB671B">
        <w:rPr>
          <w:rFonts w:cs="Arial"/>
        </w:rPr>
        <w:fldChar w:fldCharType="begin"/>
      </w:r>
      <w:r w:rsidRPr="00DB671B">
        <w:rPr>
          <w:rFonts w:cs="Arial"/>
        </w:rPr>
        <w:instrText xml:space="preserve"> AUTONUM  </w:instrText>
      </w:r>
      <w:r w:rsidRPr="00DB671B">
        <w:rPr>
          <w:rFonts w:cs="Arial"/>
        </w:rPr>
        <w:fldChar w:fldCharType="end"/>
      </w:r>
      <w:r w:rsidRPr="00DB671B">
        <w:rPr>
          <w:rFonts w:cs="Arial"/>
        </w:rPr>
        <w:tab/>
        <w:t>Le BMT suit les exposés ci-après sur l’utilisation de techniques moléculaires pour l’identification des variétés :</w:t>
      </w:r>
    </w:p>
    <w:p w:rsidR="00DB671B" w:rsidRPr="00DB671B" w:rsidRDefault="00DB671B" w:rsidP="00DB671B">
      <w:pPr>
        <w:rPr>
          <w:rFonts w:cs="Arial"/>
        </w:rPr>
      </w:pPr>
    </w:p>
    <w:p w:rsidR="00850B27" w:rsidRPr="00DB671B" w:rsidRDefault="00850B27" w:rsidP="00DB671B">
      <w:pPr>
        <w:pStyle w:val="ListParagraph"/>
        <w:numPr>
          <w:ilvl w:val="0"/>
          <w:numId w:val="29"/>
        </w:numPr>
        <w:spacing w:after="160" w:line="259" w:lineRule="auto"/>
        <w:ind w:left="1134" w:hanging="567"/>
        <w:jc w:val="left"/>
        <w:rPr>
          <w:rFonts w:cs="Arial"/>
        </w:rPr>
      </w:pPr>
      <w:r w:rsidRPr="00DB671B">
        <w:rPr>
          <w:rFonts w:cs="Arial"/>
        </w:rPr>
        <w:t>“Utilisation des marqueurs SSR et SNP dans l’identification des variétés de maïs”</w:t>
      </w:r>
    </w:p>
    <w:p w:rsidR="00850B27" w:rsidRPr="00DB671B" w:rsidRDefault="00850B27" w:rsidP="00DB671B">
      <w:pPr>
        <w:pStyle w:val="ListParagraph"/>
        <w:numPr>
          <w:ilvl w:val="0"/>
          <w:numId w:val="29"/>
        </w:numPr>
        <w:spacing w:after="160" w:line="259" w:lineRule="auto"/>
        <w:ind w:left="1134" w:hanging="567"/>
        <w:jc w:val="left"/>
        <w:rPr>
          <w:rFonts w:cs="Arial"/>
        </w:rPr>
      </w:pPr>
      <w:r w:rsidRPr="00DB671B">
        <w:rPr>
          <w:rFonts w:cs="Arial"/>
        </w:rPr>
        <w:t>“Applications des marqueurs MNP dans la protection des variétés végétales”</w:t>
      </w:r>
    </w:p>
    <w:p w:rsidR="00850B27" w:rsidRPr="00DB671B" w:rsidRDefault="00850B27" w:rsidP="00DB671B">
      <w:pPr>
        <w:pStyle w:val="ListParagraph"/>
        <w:numPr>
          <w:ilvl w:val="0"/>
          <w:numId w:val="29"/>
        </w:numPr>
        <w:spacing w:after="160" w:line="259" w:lineRule="auto"/>
        <w:ind w:left="1134" w:hanging="567"/>
        <w:jc w:val="left"/>
        <w:rPr>
          <w:rFonts w:cs="Arial"/>
        </w:rPr>
      </w:pPr>
      <w:r w:rsidRPr="00DB671B">
        <w:rPr>
          <w:rFonts w:cs="Arial"/>
        </w:rPr>
        <w:t>“Analyse des associations de marqueurs SSR et de caractéristiques agronomiques dans le soja”</w:t>
      </w:r>
    </w:p>
    <w:p w:rsidR="00850B27" w:rsidRDefault="00850B27" w:rsidP="00DB671B">
      <w:pPr>
        <w:rPr>
          <w:rFonts w:cs="Arial"/>
        </w:rPr>
      </w:pPr>
      <w:r w:rsidRPr="00DB671B">
        <w:rPr>
          <w:rFonts w:cs="Arial"/>
        </w:rPr>
        <w:fldChar w:fldCharType="begin"/>
      </w:r>
      <w:r w:rsidRPr="00DB671B">
        <w:rPr>
          <w:rFonts w:cs="Arial"/>
        </w:rPr>
        <w:instrText xml:space="preserve"> AUTONUM  </w:instrText>
      </w:r>
      <w:r w:rsidRPr="00DB671B">
        <w:rPr>
          <w:rFonts w:cs="Arial"/>
        </w:rPr>
        <w:fldChar w:fldCharType="end"/>
      </w:r>
      <w:r w:rsidRPr="00DB671B">
        <w:rPr>
          <w:rFonts w:cs="Arial"/>
        </w:rPr>
        <w:tab/>
        <w:t>Le BMT suit les exposés ci-après sur l’utilisation des techniques moléculaires en matière d’examen DHS :</w:t>
      </w:r>
    </w:p>
    <w:p w:rsidR="00DB671B" w:rsidRPr="00DB671B" w:rsidRDefault="00DB671B" w:rsidP="00DB671B">
      <w:pPr>
        <w:rPr>
          <w:rFonts w:cs="Arial"/>
        </w:rPr>
      </w:pPr>
    </w:p>
    <w:p w:rsidR="00850B27" w:rsidRPr="00DB671B" w:rsidRDefault="00850B27" w:rsidP="00DB671B">
      <w:pPr>
        <w:ind w:left="1134" w:hanging="567"/>
        <w:rPr>
          <w:rFonts w:cs="Arial"/>
        </w:rPr>
      </w:pPr>
      <w:r w:rsidRPr="00DB671B">
        <w:rPr>
          <w:rFonts w:cs="Arial"/>
        </w:rPr>
        <w:t>•</w:t>
      </w:r>
      <w:r w:rsidRPr="00DB671B">
        <w:rPr>
          <w:rFonts w:cs="Arial"/>
        </w:rPr>
        <w:tab/>
        <w:t>“Faciliter l’examen de la distinction, de l’homogénéité et de la stabilité des variétés de soja : élaboration et validation des marqueurs moléculaires et des méthodologies d’échantillonnage de variétés”</w:t>
      </w:r>
    </w:p>
    <w:p w:rsidR="00850B27" w:rsidRPr="00DB671B" w:rsidRDefault="00850B27" w:rsidP="00DB671B">
      <w:pPr>
        <w:ind w:left="1134" w:hanging="567"/>
        <w:rPr>
          <w:rFonts w:cs="Arial"/>
        </w:rPr>
      </w:pPr>
      <w:r w:rsidRPr="00DB671B">
        <w:rPr>
          <w:rFonts w:cs="Arial"/>
        </w:rPr>
        <w:t>•</w:t>
      </w:r>
      <w:r w:rsidRPr="00DB671B">
        <w:rPr>
          <w:rFonts w:cs="Arial"/>
        </w:rPr>
        <w:tab/>
        <w:t>“Faciliter l’examen de la distinction, de l’homogénéité et de la stabilité des variétés de soja : établissement de critères d’utilisation des données relatives aux polymorphismes nucléotidiques simples”</w:t>
      </w:r>
    </w:p>
    <w:p w:rsidR="00850B27" w:rsidRPr="00DB671B" w:rsidRDefault="00850B27" w:rsidP="00DB671B">
      <w:pPr>
        <w:ind w:left="1134" w:hanging="567"/>
        <w:rPr>
          <w:rFonts w:cs="Arial"/>
        </w:rPr>
      </w:pPr>
      <w:r w:rsidRPr="00DB671B">
        <w:rPr>
          <w:rFonts w:cs="Arial"/>
        </w:rPr>
        <w:t>•</w:t>
      </w:r>
      <w:r w:rsidRPr="00DB671B">
        <w:rPr>
          <w:rFonts w:cs="Arial"/>
        </w:rPr>
        <w:tab/>
        <w:t>“Nouvelle génération d’examens de la variété visant à améliorer la culture des terres agricoles européennes (InnoVar)”</w:t>
      </w:r>
    </w:p>
    <w:p w:rsidR="00850B27" w:rsidRPr="00DB671B" w:rsidRDefault="00850B27" w:rsidP="00DB671B">
      <w:pPr>
        <w:ind w:left="1134" w:hanging="567"/>
        <w:rPr>
          <w:rFonts w:cs="Arial"/>
        </w:rPr>
      </w:pPr>
      <w:r w:rsidRPr="00DB671B">
        <w:rPr>
          <w:rFonts w:cs="Arial"/>
        </w:rPr>
        <w:t>•</w:t>
      </w:r>
      <w:r w:rsidRPr="00DB671B">
        <w:rPr>
          <w:rFonts w:cs="Arial"/>
        </w:rPr>
        <w:tab/>
        <w:t>“Rapport de l’OCVV sur l’IMODDUS : faits nouveaux (INVITE) et dernières informations sur les projets de recherche-développement”</w:t>
      </w:r>
    </w:p>
    <w:p w:rsidR="00850B27" w:rsidRPr="00DB671B" w:rsidRDefault="00850B27" w:rsidP="00DB671B">
      <w:pPr>
        <w:ind w:left="1134" w:hanging="567"/>
        <w:rPr>
          <w:rFonts w:cs="Arial"/>
        </w:rPr>
      </w:pPr>
      <w:r w:rsidRPr="00DB671B">
        <w:rPr>
          <w:rFonts w:cs="Arial"/>
        </w:rPr>
        <w:t>•</w:t>
      </w:r>
      <w:r w:rsidRPr="00DB671B">
        <w:rPr>
          <w:rFonts w:cs="Arial"/>
        </w:rPr>
        <w:tab/>
        <w:t>“Système d’identification simple fondé sur les marqueurs SSR pour la patate douce”</w:t>
      </w:r>
    </w:p>
    <w:p w:rsidR="00850B27" w:rsidRPr="00DB671B" w:rsidRDefault="00850B27" w:rsidP="00DB671B">
      <w:pPr>
        <w:ind w:left="1134" w:hanging="567"/>
        <w:rPr>
          <w:rFonts w:cs="Arial"/>
        </w:rPr>
      </w:pPr>
      <w:r w:rsidRPr="00DB671B">
        <w:rPr>
          <w:rFonts w:cs="Arial"/>
        </w:rPr>
        <w:t>•</w:t>
      </w:r>
      <w:r w:rsidRPr="00DB671B">
        <w:rPr>
          <w:rFonts w:cs="Arial"/>
        </w:rPr>
        <w:tab/>
        <w:t>“Utilisation de marqueurs moléculaires aux fins de la protection et de l’identification variétale : état de la technique en Argentine”</w:t>
      </w:r>
    </w:p>
    <w:p w:rsidR="00850B27" w:rsidRPr="00DB671B" w:rsidRDefault="00850B27" w:rsidP="00DB671B">
      <w:pPr>
        <w:ind w:left="1134" w:hanging="567"/>
        <w:rPr>
          <w:rFonts w:cs="Arial"/>
        </w:rPr>
      </w:pPr>
      <w:r w:rsidRPr="00DB671B">
        <w:rPr>
          <w:rFonts w:cs="Arial"/>
        </w:rPr>
        <w:t>•</w:t>
      </w:r>
      <w:r w:rsidRPr="00DB671B">
        <w:rPr>
          <w:rFonts w:cs="Arial"/>
        </w:rPr>
        <w:tab/>
        <w:t>“Quelles sont les informations essentielles aux ‛marqueurs moléculaires propres aux caractères’ dans les principes directeurs d’examen?”</w:t>
      </w:r>
    </w:p>
    <w:p w:rsidR="00850B27" w:rsidRPr="00DB671B" w:rsidRDefault="00850B27" w:rsidP="00DB671B">
      <w:pPr>
        <w:rPr>
          <w:rFonts w:cs="Arial"/>
        </w:rPr>
      </w:pPr>
    </w:p>
    <w:p w:rsidR="00850B27" w:rsidRPr="00DB671B" w:rsidRDefault="00850B27" w:rsidP="00DB671B">
      <w:pPr>
        <w:rPr>
          <w:rFonts w:cs="Arial"/>
        </w:rPr>
      </w:pPr>
      <w:r w:rsidRPr="00DB671B">
        <w:rPr>
          <w:rFonts w:cs="Arial"/>
        </w:rPr>
        <w:fldChar w:fldCharType="begin"/>
      </w:r>
      <w:r w:rsidRPr="00DB671B">
        <w:rPr>
          <w:rFonts w:cs="Arial"/>
        </w:rPr>
        <w:instrText xml:space="preserve"> AUTONUM  </w:instrText>
      </w:r>
      <w:r w:rsidRPr="00DB671B">
        <w:rPr>
          <w:rFonts w:cs="Arial"/>
        </w:rPr>
        <w:fldChar w:fldCharType="end"/>
      </w:r>
      <w:r w:rsidRPr="00DB671B">
        <w:rPr>
          <w:rFonts w:cs="Arial"/>
        </w:rPr>
        <w:tab/>
        <w:t>Le BMT examine la coopération entre les organisations internationales et convient que les éléments pertinents tirés du Partenariat mondial sur les semences et la réponse à la question fréquemment posée sur l’utilisation des techniques moléculaires constitueraient une base utile pour l’élaboration d’un document commun présentant les particularités des systèmes de l’OCDE, de l’UPOV et de l’ISTA.</w:t>
      </w:r>
    </w:p>
    <w:p w:rsidR="00850B27" w:rsidRPr="00DB671B" w:rsidRDefault="00850B27" w:rsidP="00DB671B">
      <w:pPr>
        <w:rPr>
          <w:rFonts w:cs="Arial"/>
        </w:rPr>
      </w:pPr>
    </w:p>
    <w:p w:rsidR="00850B27" w:rsidRPr="00DB671B" w:rsidRDefault="00850B27" w:rsidP="00DB671B">
      <w:pPr>
        <w:rPr>
          <w:rFonts w:cs="Arial"/>
        </w:rPr>
      </w:pPr>
      <w:r w:rsidRPr="00DB671B">
        <w:rPr>
          <w:rFonts w:cs="Arial"/>
        </w:rPr>
        <w:fldChar w:fldCharType="begin"/>
      </w:r>
      <w:r w:rsidRPr="00DB671B">
        <w:rPr>
          <w:rFonts w:cs="Arial"/>
        </w:rPr>
        <w:instrText xml:space="preserve"> AUTONUM  </w:instrText>
      </w:r>
      <w:r w:rsidRPr="00DB671B">
        <w:rPr>
          <w:rFonts w:cs="Arial"/>
        </w:rPr>
        <w:fldChar w:fldCharType="end"/>
      </w:r>
      <w:r w:rsidRPr="00DB671B">
        <w:rPr>
          <w:rFonts w:cs="Arial"/>
        </w:rPr>
        <w:tab/>
        <w:t>Le BMT examine l’établissement d’un inventaire, par plante, de l’utilisation qui est faite des techniques faisant intervenir des marqueurs moléculaires, il convient des éléments devant figurer dans un questionnaire et décide que cette enquête devra être structurée.</w:t>
      </w:r>
    </w:p>
    <w:p w:rsidR="00850B27" w:rsidRPr="00DB671B" w:rsidRDefault="00850B27" w:rsidP="00DB671B">
      <w:pPr>
        <w:rPr>
          <w:rFonts w:cs="Arial"/>
        </w:rPr>
      </w:pPr>
    </w:p>
    <w:p w:rsidR="00850B27" w:rsidRPr="00DB671B" w:rsidRDefault="00850B27" w:rsidP="00DB671B">
      <w:pPr>
        <w:rPr>
          <w:rFonts w:cs="Arial"/>
        </w:rPr>
      </w:pPr>
      <w:r w:rsidRPr="00DB671B">
        <w:rPr>
          <w:rFonts w:cs="Arial"/>
        </w:rPr>
        <w:fldChar w:fldCharType="begin"/>
      </w:r>
      <w:r w:rsidRPr="00DB671B">
        <w:rPr>
          <w:rFonts w:cs="Arial"/>
        </w:rPr>
        <w:instrText xml:space="preserve"> AUTONUM  </w:instrText>
      </w:r>
      <w:r w:rsidRPr="00DB671B">
        <w:rPr>
          <w:rFonts w:cs="Arial"/>
        </w:rPr>
        <w:fldChar w:fldCharType="end"/>
      </w:r>
      <w:r w:rsidRPr="00DB671B">
        <w:rPr>
          <w:rFonts w:cs="Arial"/>
        </w:rPr>
        <w:tab/>
        <w:t>Le BMT convient qu’une enquête devrait être menée à titre d’essai avant d’inviter les membres à répondre au questionnaire.</w:t>
      </w:r>
    </w:p>
    <w:p w:rsidR="00850B27" w:rsidRPr="00DB671B" w:rsidRDefault="00850B27" w:rsidP="00DB671B">
      <w:pPr>
        <w:rPr>
          <w:rFonts w:cs="Arial"/>
        </w:rPr>
      </w:pPr>
    </w:p>
    <w:p w:rsidR="00850B27" w:rsidRDefault="00850B27" w:rsidP="00DB671B">
      <w:pPr>
        <w:rPr>
          <w:rFonts w:cs="Arial"/>
        </w:rPr>
      </w:pPr>
      <w:r w:rsidRPr="00DB671B">
        <w:rPr>
          <w:rFonts w:cs="Arial"/>
        </w:rPr>
        <w:fldChar w:fldCharType="begin"/>
      </w:r>
      <w:r w:rsidRPr="00DB671B">
        <w:rPr>
          <w:rFonts w:cs="Arial"/>
        </w:rPr>
        <w:instrText xml:space="preserve"> AUTONUM  </w:instrText>
      </w:r>
      <w:r w:rsidRPr="00DB671B">
        <w:rPr>
          <w:rFonts w:cs="Arial"/>
        </w:rPr>
        <w:fldChar w:fldCharType="end"/>
      </w:r>
      <w:r w:rsidRPr="00DB671B">
        <w:rPr>
          <w:rFonts w:cs="Arial"/>
        </w:rPr>
        <w:tab/>
        <w:t>Le BMT suit les exposés ci-après sur la coopération avec l’OCDE et l’ISTA dans le domaine des techniques moléculaires :</w:t>
      </w:r>
    </w:p>
    <w:p w:rsidR="00DB671B" w:rsidRPr="00DB671B" w:rsidRDefault="00DB671B" w:rsidP="00DB671B">
      <w:pPr>
        <w:rPr>
          <w:rFonts w:cs="Arial"/>
        </w:rPr>
      </w:pPr>
    </w:p>
    <w:p w:rsidR="00850B27" w:rsidRPr="00DB671B" w:rsidRDefault="00850B27" w:rsidP="00DB671B">
      <w:pPr>
        <w:ind w:left="1134" w:hanging="567"/>
        <w:rPr>
          <w:rFonts w:cs="Arial"/>
        </w:rPr>
      </w:pPr>
      <w:r w:rsidRPr="00DB671B">
        <w:rPr>
          <w:rFonts w:cs="Arial"/>
        </w:rPr>
        <w:t>•</w:t>
      </w:r>
      <w:r w:rsidRPr="00DB671B">
        <w:rPr>
          <w:rFonts w:cs="Arial"/>
        </w:rPr>
        <w:tab/>
        <w:t>“Méthodes horizontales d’analyse moléculaire de biomarqueurs” (Organisation internationale de normalisation – ISO)</w:t>
      </w:r>
    </w:p>
    <w:p w:rsidR="00850B27" w:rsidRPr="00DB671B" w:rsidRDefault="00850B27" w:rsidP="00DB671B">
      <w:pPr>
        <w:ind w:left="1134" w:hanging="567"/>
        <w:rPr>
          <w:rFonts w:cs="Arial"/>
        </w:rPr>
      </w:pPr>
      <w:r w:rsidRPr="00DB671B">
        <w:rPr>
          <w:rFonts w:cs="Arial"/>
        </w:rPr>
        <w:t>•</w:t>
      </w:r>
      <w:r w:rsidRPr="00DB671B">
        <w:rPr>
          <w:rFonts w:cs="Arial"/>
        </w:rPr>
        <w:tab/>
        <w:t>“Systèmes des semences de l’OCDE : un système international de certification variétale des semences”</w:t>
      </w:r>
    </w:p>
    <w:p w:rsidR="00850B27" w:rsidRPr="00DB671B" w:rsidRDefault="00850B27" w:rsidP="00DB671B">
      <w:pPr>
        <w:ind w:left="1134" w:hanging="567"/>
        <w:rPr>
          <w:rFonts w:cs="Arial"/>
        </w:rPr>
      </w:pPr>
      <w:r w:rsidRPr="00DB671B">
        <w:rPr>
          <w:rFonts w:cs="Arial"/>
        </w:rPr>
        <w:t>•</w:t>
      </w:r>
      <w:r w:rsidRPr="00DB671B">
        <w:rPr>
          <w:rFonts w:cs="Arial"/>
        </w:rPr>
        <w:tab/>
        <w:t>“Association internationale d’essais de semences”</w:t>
      </w:r>
    </w:p>
    <w:p w:rsidR="00850B27" w:rsidRPr="00DB671B" w:rsidRDefault="00850B27" w:rsidP="00DB671B">
      <w:pPr>
        <w:ind w:left="851" w:hanging="284"/>
        <w:rPr>
          <w:rFonts w:cs="Arial"/>
        </w:rPr>
      </w:pPr>
    </w:p>
    <w:p w:rsidR="00850B27" w:rsidRPr="00DB671B" w:rsidRDefault="00850B27" w:rsidP="00DB671B">
      <w:pPr>
        <w:rPr>
          <w:rFonts w:cs="Arial"/>
        </w:rPr>
      </w:pPr>
      <w:r w:rsidRPr="00DB671B">
        <w:rPr>
          <w:rFonts w:cs="Arial"/>
        </w:rPr>
        <w:fldChar w:fldCharType="begin"/>
      </w:r>
      <w:r w:rsidRPr="00DB671B">
        <w:rPr>
          <w:rFonts w:cs="Arial"/>
        </w:rPr>
        <w:instrText xml:space="preserve"> AUTONUM  </w:instrText>
      </w:r>
      <w:r w:rsidRPr="00DB671B">
        <w:rPr>
          <w:rFonts w:cs="Arial"/>
        </w:rPr>
        <w:fldChar w:fldCharType="end"/>
      </w:r>
      <w:r w:rsidRPr="00DB671B">
        <w:rPr>
          <w:rFonts w:cs="Arial"/>
        </w:rPr>
        <w:tab/>
        <w:t>Le BMT suit un exposé présenté par l’Union européenne sur l’“accès à la documentation de référence et aux données des services d’examen de l’UE”.  Il constitue ensuite des groupes de discussion afin que les participants puissent échanger des informations sur leurs travaux et étudier les domaines de coopération possibles.</w:t>
      </w:r>
    </w:p>
    <w:p w:rsidR="00850B27" w:rsidRPr="00DB671B" w:rsidRDefault="00850B27" w:rsidP="00DB671B">
      <w:pPr>
        <w:rPr>
          <w:rFonts w:cs="Arial"/>
        </w:rPr>
      </w:pPr>
    </w:p>
    <w:p w:rsidR="00850B27" w:rsidRPr="001766FA" w:rsidRDefault="00850B27" w:rsidP="00DB671B">
      <w:pPr>
        <w:pStyle w:val="Heading5"/>
        <w:rPr>
          <w:lang w:val="fr-CH"/>
        </w:rPr>
      </w:pPr>
      <w:r w:rsidRPr="001766FA">
        <w:rPr>
          <w:lang w:val="fr-CH"/>
        </w:rPr>
        <w:t>Examen du document UPOV/INF/17 “Directives concernant les profils d’ADN : choix des marqueurs moléculaires et construction d’une base de données y relative (‛Directives BMT’)”</w:t>
      </w:r>
    </w:p>
    <w:p w:rsidR="00850B27" w:rsidRPr="00DB671B" w:rsidRDefault="00850B27" w:rsidP="00DB671B">
      <w:pPr>
        <w:rPr>
          <w:rFonts w:cs="Arial"/>
        </w:rPr>
      </w:pPr>
    </w:p>
    <w:p w:rsidR="00850B27" w:rsidRDefault="00850B27" w:rsidP="00DB671B">
      <w:pPr>
        <w:rPr>
          <w:rFonts w:cs="Arial"/>
        </w:rPr>
      </w:pPr>
      <w:r w:rsidRPr="00DB671B">
        <w:rPr>
          <w:rFonts w:cs="Arial"/>
        </w:rPr>
        <w:fldChar w:fldCharType="begin"/>
      </w:r>
      <w:r w:rsidRPr="00DB671B">
        <w:rPr>
          <w:rFonts w:cs="Arial"/>
        </w:rPr>
        <w:instrText xml:space="preserve"> AUTONUM  </w:instrText>
      </w:r>
      <w:r w:rsidRPr="00DB671B">
        <w:rPr>
          <w:rFonts w:cs="Arial"/>
        </w:rPr>
        <w:fldChar w:fldCharType="end"/>
      </w:r>
      <w:r w:rsidRPr="00DB671B">
        <w:rPr>
          <w:rFonts w:cs="Arial"/>
        </w:rPr>
        <w:tab/>
        <w:t>En particulier, il est convenu d’ajouter du texte dans la section B pour expliquer les critères applicables aux fins de l’établissement du profil d’ADN d’une variété végétale.  On distingue cinq phases :</w:t>
      </w:r>
    </w:p>
    <w:p w:rsidR="00DB671B" w:rsidRPr="00DB671B" w:rsidRDefault="00DB671B" w:rsidP="00DB671B">
      <w:pPr>
        <w:rPr>
          <w:rFonts w:cs="Arial"/>
        </w:rPr>
      </w:pPr>
    </w:p>
    <w:p w:rsidR="00850B27" w:rsidRPr="00DB671B" w:rsidRDefault="00850B27" w:rsidP="00DB671B">
      <w:pPr>
        <w:ind w:left="1134" w:hanging="567"/>
        <w:rPr>
          <w:rFonts w:cs="Arial"/>
        </w:rPr>
      </w:pPr>
      <w:r w:rsidRPr="00DB671B">
        <w:rPr>
          <w:rFonts w:cs="Arial"/>
        </w:rPr>
        <w:t>•</w:t>
      </w:r>
      <w:r w:rsidRPr="00DB671B">
        <w:rPr>
          <w:rFonts w:cs="Arial"/>
        </w:rPr>
        <w:tab/>
        <w:t>Sélection des marqueurs moléculaires</w:t>
      </w:r>
    </w:p>
    <w:p w:rsidR="00850B27" w:rsidRPr="00DB671B" w:rsidRDefault="00850B27" w:rsidP="00DB671B">
      <w:pPr>
        <w:ind w:left="1134" w:hanging="567"/>
        <w:rPr>
          <w:rFonts w:cs="Arial"/>
        </w:rPr>
      </w:pPr>
      <w:r w:rsidRPr="00DB671B">
        <w:rPr>
          <w:rFonts w:cs="Arial"/>
        </w:rPr>
        <w:t>•</w:t>
      </w:r>
      <w:r w:rsidRPr="00DB671B">
        <w:rPr>
          <w:rFonts w:cs="Arial"/>
        </w:rPr>
        <w:tab/>
        <w:t>Sélection de la méthode de détection</w:t>
      </w:r>
    </w:p>
    <w:p w:rsidR="00850B27" w:rsidRPr="00DB671B" w:rsidRDefault="00850B27" w:rsidP="00DB671B">
      <w:pPr>
        <w:ind w:left="1134" w:hanging="567"/>
        <w:rPr>
          <w:rFonts w:cs="Arial"/>
        </w:rPr>
      </w:pPr>
      <w:r w:rsidRPr="00DB671B">
        <w:rPr>
          <w:rFonts w:cs="Arial"/>
        </w:rPr>
        <w:t>•</w:t>
      </w:r>
      <w:r w:rsidRPr="00DB671B">
        <w:rPr>
          <w:rFonts w:cs="Arial"/>
        </w:rPr>
        <w:tab/>
        <w:t>Validation et harmonisation de la méthode de détection</w:t>
      </w:r>
    </w:p>
    <w:p w:rsidR="00850B27" w:rsidRPr="00DB671B" w:rsidRDefault="00850B27" w:rsidP="00DB671B">
      <w:pPr>
        <w:ind w:left="1134" w:hanging="567"/>
        <w:rPr>
          <w:rFonts w:cs="Arial"/>
        </w:rPr>
      </w:pPr>
      <w:r w:rsidRPr="00DB671B">
        <w:rPr>
          <w:rFonts w:cs="Arial"/>
        </w:rPr>
        <w:t>•</w:t>
      </w:r>
      <w:r w:rsidRPr="00DB671B">
        <w:rPr>
          <w:rFonts w:cs="Arial"/>
        </w:rPr>
        <w:tab/>
        <w:t>Construction de la base de données</w:t>
      </w:r>
    </w:p>
    <w:p w:rsidR="00850B27" w:rsidRPr="00DB671B" w:rsidRDefault="00850B27" w:rsidP="00DB671B">
      <w:pPr>
        <w:ind w:left="1134" w:hanging="567"/>
        <w:rPr>
          <w:rFonts w:cs="Arial"/>
        </w:rPr>
      </w:pPr>
      <w:r w:rsidRPr="00DB671B">
        <w:rPr>
          <w:rFonts w:cs="Arial"/>
        </w:rPr>
        <w:t>•</w:t>
      </w:r>
      <w:r w:rsidRPr="00DB671B">
        <w:rPr>
          <w:rFonts w:cs="Arial"/>
        </w:rPr>
        <w:tab/>
        <w:t>Échanges de données</w:t>
      </w:r>
    </w:p>
    <w:p w:rsidR="00850B27" w:rsidRPr="00DB671B" w:rsidRDefault="00850B27" w:rsidP="00DB671B">
      <w:pPr>
        <w:ind w:left="851" w:hanging="284"/>
        <w:rPr>
          <w:rFonts w:cs="Arial"/>
        </w:rPr>
      </w:pPr>
    </w:p>
    <w:p w:rsidR="00850B27" w:rsidRPr="00DB671B" w:rsidRDefault="00850B27" w:rsidP="00DB671B">
      <w:pPr>
        <w:rPr>
          <w:rFonts w:cs="Arial"/>
        </w:rPr>
      </w:pPr>
      <w:r w:rsidRPr="00DB671B">
        <w:rPr>
          <w:rFonts w:cs="Arial"/>
        </w:rPr>
        <w:fldChar w:fldCharType="begin"/>
      </w:r>
      <w:r w:rsidRPr="00DB671B">
        <w:rPr>
          <w:rFonts w:cs="Arial"/>
        </w:rPr>
        <w:instrText xml:space="preserve"> AUTONUM  </w:instrText>
      </w:r>
      <w:r w:rsidRPr="00DB671B">
        <w:rPr>
          <w:rFonts w:cs="Arial"/>
        </w:rPr>
        <w:fldChar w:fldCharType="end"/>
      </w:r>
      <w:r w:rsidRPr="00DB671B">
        <w:rPr>
          <w:rFonts w:cs="Arial"/>
        </w:rPr>
        <w:tab/>
        <w:t>Le BMT convient que les “échanges de données” doivent être précisés et décide de supprimer la section 1.</w:t>
      </w:r>
    </w:p>
    <w:p w:rsidR="00850B27" w:rsidRPr="00DB671B" w:rsidRDefault="00850B27" w:rsidP="00DB671B">
      <w:pPr>
        <w:rPr>
          <w:rFonts w:cs="Arial"/>
        </w:rPr>
      </w:pPr>
    </w:p>
    <w:p w:rsidR="00850B27" w:rsidRDefault="00850B27" w:rsidP="00DB671B">
      <w:pPr>
        <w:rPr>
          <w:rFonts w:cs="Arial"/>
        </w:rPr>
      </w:pPr>
      <w:r w:rsidRPr="00DB671B">
        <w:rPr>
          <w:rFonts w:cs="Arial"/>
        </w:rPr>
        <w:fldChar w:fldCharType="begin"/>
      </w:r>
      <w:r w:rsidRPr="00DB671B">
        <w:rPr>
          <w:rFonts w:cs="Arial"/>
        </w:rPr>
        <w:instrText xml:space="preserve"> AUTONUM  </w:instrText>
      </w:r>
      <w:r w:rsidRPr="00DB671B">
        <w:rPr>
          <w:rFonts w:cs="Arial"/>
        </w:rPr>
        <w:fldChar w:fldCharType="end"/>
      </w:r>
      <w:r w:rsidRPr="00DB671B">
        <w:rPr>
          <w:rFonts w:cs="Arial"/>
        </w:rPr>
        <w:tab/>
        <w:t>Le BMT convient de supprimer les sections suivantes :</w:t>
      </w:r>
    </w:p>
    <w:p w:rsidR="00DB671B" w:rsidRPr="00DB671B" w:rsidRDefault="00DB671B" w:rsidP="00DB671B">
      <w:pPr>
        <w:rPr>
          <w:rFonts w:cs="Arial"/>
        </w:rPr>
      </w:pPr>
    </w:p>
    <w:p w:rsidR="00850B27" w:rsidRPr="00DB671B" w:rsidRDefault="00850B27" w:rsidP="00DB671B">
      <w:pPr>
        <w:ind w:left="1134" w:hanging="567"/>
        <w:rPr>
          <w:rFonts w:cs="Arial"/>
        </w:rPr>
      </w:pPr>
      <w:r w:rsidRPr="00DB671B">
        <w:rPr>
          <w:rFonts w:cs="Arial"/>
        </w:rPr>
        <w:t>•</w:t>
      </w:r>
      <w:r w:rsidRPr="00DB671B">
        <w:rPr>
          <w:rFonts w:cs="Arial"/>
        </w:rPr>
        <w:tab/>
        <w:t>Section 2.2</w:t>
      </w:r>
      <w:r w:rsidRPr="00DB671B">
        <w:rPr>
          <w:rFonts w:cs="Arial"/>
        </w:rPr>
        <w:tab/>
        <w:t>Critères applicables à des types spécifiques de marqueurs moléculaires</w:t>
      </w:r>
    </w:p>
    <w:p w:rsidR="00850B27" w:rsidRPr="00DB671B" w:rsidRDefault="004056F8" w:rsidP="00DB671B">
      <w:pPr>
        <w:ind w:left="1134" w:hanging="567"/>
        <w:rPr>
          <w:rFonts w:cs="Arial"/>
        </w:rPr>
      </w:pPr>
      <w:r>
        <w:rPr>
          <w:rFonts w:cs="Arial"/>
        </w:rPr>
        <w:t>•</w:t>
      </w:r>
      <w:r>
        <w:rPr>
          <w:rFonts w:cs="Arial"/>
        </w:rPr>
        <w:tab/>
        <w:t>Section 5</w:t>
      </w:r>
      <w:r>
        <w:rPr>
          <w:rFonts w:cs="Arial"/>
        </w:rPr>
        <w:tab/>
      </w:r>
      <w:r w:rsidR="00850B27" w:rsidRPr="00DB671B">
        <w:rPr>
          <w:rFonts w:cs="Arial"/>
        </w:rPr>
        <w:t>Normalisation des protocoles analytiques</w:t>
      </w:r>
    </w:p>
    <w:p w:rsidR="00850B27" w:rsidRPr="00DB671B" w:rsidRDefault="00850B27" w:rsidP="00DB671B">
      <w:pPr>
        <w:ind w:left="1134" w:hanging="567"/>
        <w:rPr>
          <w:rFonts w:cs="Arial"/>
        </w:rPr>
      </w:pPr>
      <w:r w:rsidRPr="00DB671B">
        <w:rPr>
          <w:rFonts w:cs="Arial"/>
        </w:rPr>
        <w:t>•</w:t>
      </w:r>
      <w:r w:rsidRPr="00DB671B">
        <w:rPr>
          <w:rFonts w:cs="Arial"/>
        </w:rPr>
        <w:tab/>
        <w:t>Sections 6.4, 6.5, 6.6, 6.7 et 6.8</w:t>
      </w:r>
    </w:p>
    <w:p w:rsidR="00850B27" w:rsidRPr="00DB671B" w:rsidRDefault="00850B27" w:rsidP="00DB671B">
      <w:pPr>
        <w:ind w:left="851" w:hanging="284"/>
        <w:rPr>
          <w:rFonts w:cs="Arial"/>
        </w:rPr>
      </w:pPr>
    </w:p>
    <w:p w:rsidR="00850B27" w:rsidRDefault="00850B27" w:rsidP="00DB671B">
      <w:pPr>
        <w:rPr>
          <w:rFonts w:cs="Arial"/>
        </w:rPr>
      </w:pPr>
      <w:r w:rsidRPr="00DB671B">
        <w:rPr>
          <w:rFonts w:cs="Arial"/>
        </w:rPr>
        <w:fldChar w:fldCharType="begin"/>
      </w:r>
      <w:r w:rsidRPr="00DB671B">
        <w:rPr>
          <w:rFonts w:cs="Arial"/>
        </w:rPr>
        <w:instrText xml:space="preserve"> AUTONUM  </w:instrText>
      </w:r>
      <w:r w:rsidRPr="00DB671B">
        <w:rPr>
          <w:rFonts w:cs="Arial"/>
        </w:rPr>
        <w:fldChar w:fldCharType="end"/>
      </w:r>
      <w:r w:rsidRPr="00DB671B">
        <w:rPr>
          <w:rFonts w:cs="Arial"/>
        </w:rPr>
        <w:tab/>
        <w:t>Le BMT convient de supprimer la section 2.2 “Critères applicables à certains types de marqueurs moléculaires” et d’ajouter les nouvelles sections suivantes :</w:t>
      </w:r>
    </w:p>
    <w:p w:rsidR="00DB671B" w:rsidRPr="00DB671B" w:rsidRDefault="00DB671B" w:rsidP="00DB671B">
      <w:pPr>
        <w:rPr>
          <w:rFonts w:cs="Arial"/>
        </w:rPr>
      </w:pPr>
    </w:p>
    <w:p w:rsidR="00850B27" w:rsidRPr="00DB671B" w:rsidRDefault="00850B27" w:rsidP="00DB671B">
      <w:pPr>
        <w:tabs>
          <w:tab w:val="left" w:pos="1134"/>
        </w:tabs>
        <w:ind w:left="3402" w:hanging="2835"/>
        <w:rPr>
          <w:rFonts w:cs="Arial"/>
        </w:rPr>
      </w:pPr>
      <w:r w:rsidRPr="00DB671B">
        <w:rPr>
          <w:rFonts w:cs="Arial"/>
        </w:rPr>
        <w:t>•</w:t>
      </w:r>
      <w:r w:rsidRPr="00DB671B">
        <w:rPr>
          <w:rFonts w:cs="Arial"/>
        </w:rPr>
        <w:tab/>
        <w:t>Nouvelle section 1.2</w:t>
      </w:r>
      <w:r w:rsidRPr="00DB671B">
        <w:rPr>
          <w:rFonts w:cs="Arial"/>
        </w:rPr>
        <w:tab/>
        <w:t>Marqueurs moléculaires – considérations relatives aux performances</w:t>
      </w:r>
    </w:p>
    <w:p w:rsidR="00850B27" w:rsidRPr="00DB671B" w:rsidRDefault="00850B27" w:rsidP="00DB671B">
      <w:pPr>
        <w:tabs>
          <w:tab w:val="left" w:pos="1134"/>
        </w:tabs>
        <w:ind w:left="3402" w:hanging="2835"/>
        <w:rPr>
          <w:rFonts w:cs="Arial"/>
        </w:rPr>
      </w:pPr>
      <w:r w:rsidRPr="00DB671B">
        <w:rPr>
          <w:rFonts w:cs="Arial"/>
        </w:rPr>
        <w:t>•</w:t>
      </w:r>
      <w:r w:rsidRPr="00DB671B">
        <w:rPr>
          <w:rFonts w:cs="Arial"/>
        </w:rPr>
        <w:tab/>
        <w:t>Nouvelle section 2.1</w:t>
      </w:r>
      <w:r w:rsidRPr="00DB671B">
        <w:rPr>
          <w:rFonts w:cs="Arial"/>
        </w:rPr>
        <w:tab/>
        <w:t>Méthodes relatives aux profils d’ADN – critères généraux</w:t>
      </w:r>
    </w:p>
    <w:p w:rsidR="00850B27" w:rsidRPr="00DB671B" w:rsidRDefault="00850B27" w:rsidP="00DB671B">
      <w:pPr>
        <w:tabs>
          <w:tab w:val="left" w:pos="1134"/>
        </w:tabs>
        <w:ind w:left="3402" w:hanging="2835"/>
        <w:rPr>
          <w:rFonts w:cs="Arial"/>
        </w:rPr>
      </w:pPr>
      <w:r w:rsidRPr="00DB671B">
        <w:rPr>
          <w:rFonts w:cs="Arial"/>
        </w:rPr>
        <w:t>•</w:t>
      </w:r>
      <w:r w:rsidRPr="00DB671B">
        <w:rPr>
          <w:rFonts w:cs="Arial"/>
        </w:rPr>
        <w:tab/>
        <w:t>Nouvelle section 3</w:t>
      </w:r>
      <w:r w:rsidRPr="00DB671B">
        <w:rPr>
          <w:rFonts w:cs="Arial"/>
        </w:rPr>
        <w:tab/>
        <w:t>Validation et harmonisation d’un ensemble de marqueurs et d’une méthode de détection</w:t>
      </w:r>
    </w:p>
    <w:p w:rsidR="00850B27" w:rsidRPr="00DB671B" w:rsidRDefault="00850B27" w:rsidP="00DB671B">
      <w:pPr>
        <w:tabs>
          <w:tab w:val="left" w:pos="1134"/>
        </w:tabs>
        <w:ind w:left="3402" w:hanging="2835"/>
        <w:rPr>
          <w:rFonts w:cs="Arial"/>
        </w:rPr>
      </w:pPr>
      <w:r w:rsidRPr="00DB671B">
        <w:rPr>
          <w:rFonts w:cs="Arial"/>
        </w:rPr>
        <w:t>•</w:t>
      </w:r>
      <w:r w:rsidRPr="00DB671B">
        <w:rPr>
          <w:rFonts w:cs="Arial"/>
        </w:rPr>
        <w:tab/>
        <w:t>Nouvelle section 4</w:t>
      </w:r>
      <w:r w:rsidRPr="00DB671B">
        <w:rPr>
          <w:rFonts w:cs="Arial"/>
        </w:rPr>
        <w:tab/>
        <w:t>Construction d’une base de données propre à une plante</w:t>
      </w:r>
    </w:p>
    <w:p w:rsidR="00850B27" w:rsidRPr="00DB671B" w:rsidRDefault="00850B27" w:rsidP="00DB671B">
      <w:pPr>
        <w:tabs>
          <w:tab w:val="left" w:pos="1134"/>
        </w:tabs>
        <w:ind w:left="3402" w:hanging="2835"/>
        <w:rPr>
          <w:rFonts w:cs="Arial"/>
        </w:rPr>
      </w:pPr>
      <w:r w:rsidRPr="00DB671B">
        <w:rPr>
          <w:rFonts w:cs="Arial"/>
        </w:rPr>
        <w:t>•</w:t>
      </w:r>
      <w:r w:rsidRPr="00DB671B">
        <w:rPr>
          <w:rFonts w:cs="Arial"/>
        </w:rPr>
        <w:tab/>
        <w:t>Nouvelle section 5</w:t>
      </w:r>
      <w:r w:rsidRPr="00DB671B">
        <w:rPr>
          <w:rFonts w:cs="Arial"/>
        </w:rPr>
        <w:tab/>
        <w:t>Échanges de données</w:t>
      </w:r>
    </w:p>
    <w:p w:rsidR="00850B27" w:rsidRPr="00DB671B" w:rsidRDefault="00850B27" w:rsidP="00DB671B">
      <w:pPr>
        <w:rPr>
          <w:rFonts w:cs="Arial"/>
        </w:rPr>
      </w:pPr>
    </w:p>
    <w:p w:rsidR="00850B27" w:rsidRPr="00DB671B" w:rsidRDefault="00850B27" w:rsidP="00DB671B">
      <w:pPr>
        <w:rPr>
          <w:rFonts w:cs="Arial"/>
        </w:rPr>
      </w:pPr>
      <w:r w:rsidRPr="00DB671B">
        <w:rPr>
          <w:rFonts w:cs="Arial"/>
        </w:rPr>
        <w:fldChar w:fldCharType="begin"/>
      </w:r>
      <w:r w:rsidRPr="00DB671B">
        <w:rPr>
          <w:rFonts w:cs="Arial"/>
        </w:rPr>
        <w:instrText xml:space="preserve"> AUTONUM  </w:instrText>
      </w:r>
      <w:r w:rsidRPr="00DB671B">
        <w:rPr>
          <w:rFonts w:cs="Arial"/>
        </w:rPr>
        <w:fldChar w:fldCharType="end"/>
      </w:r>
      <w:r w:rsidRPr="00DB671B">
        <w:rPr>
          <w:rFonts w:cs="Arial"/>
        </w:rPr>
        <w:tab/>
        <w:t>Le BMT convient de supprimer le glossaire.</w:t>
      </w:r>
    </w:p>
    <w:p w:rsidR="00850B27" w:rsidRPr="00DB671B" w:rsidRDefault="00850B27" w:rsidP="00DB671B">
      <w:pPr>
        <w:rPr>
          <w:rFonts w:cs="Arial"/>
        </w:rPr>
      </w:pPr>
    </w:p>
    <w:p w:rsidR="00850B27" w:rsidRDefault="00850B27" w:rsidP="00DB671B">
      <w:pPr>
        <w:rPr>
          <w:rFonts w:cs="Arial"/>
        </w:rPr>
      </w:pPr>
      <w:r w:rsidRPr="00DB671B">
        <w:rPr>
          <w:rFonts w:cs="Arial"/>
        </w:rPr>
        <w:fldChar w:fldCharType="begin"/>
      </w:r>
      <w:r w:rsidRPr="00DB671B">
        <w:rPr>
          <w:rFonts w:cs="Arial"/>
        </w:rPr>
        <w:instrText xml:space="preserve"> AUTONUM  </w:instrText>
      </w:r>
      <w:r w:rsidRPr="00DB671B">
        <w:rPr>
          <w:rFonts w:cs="Arial"/>
        </w:rPr>
        <w:fldChar w:fldCharType="end"/>
      </w:r>
      <w:r w:rsidRPr="00DB671B">
        <w:rPr>
          <w:rFonts w:cs="Arial"/>
        </w:rPr>
        <w:tab/>
        <w:t>Le BMT convient d’ajouter une nouvelle section C “Liste des sigles et acronymes” avec les entrées suivantes :</w:t>
      </w:r>
    </w:p>
    <w:p w:rsidR="00DB671B" w:rsidRPr="00DB671B" w:rsidRDefault="00DB671B" w:rsidP="00DB671B">
      <w:pPr>
        <w:rPr>
          <w:rFonts w:cs="Arial"/>
        </w:rPr>
      </w:pPr>
    </w:p>
    <w:p w:rsidR="00850B27" w:rsidRPr="001766FA" w:rsidRDefault="00850B27" w:rsidP="00DB671B">
      <w:pPr>
        <w:ind w:left="1134" w:hanging="567"/>
        <w:rPr>
          <w:rFonts w:cs="Arial"/>
          <w:lang w:val="en-US"/>
        </w:rPr>
      </w:pPr>
      <w:r w:rsidRPr="001766FA">
        <w:rPr>
          <w:rFonts w:cs="Arial"/>
          <w:lang w:val="en-US"/>
        </w:rPr>
        <w:t>•</w:t>
      </w:r>
      <w:r w:rsidRPr="001766FA">
        <w:rPr>
          <w:rFonts w:cs="Arial"/>
          <w:lang w:val="en-US"/>
        </w:rPr>
        <w:tab/>
        <w:t>BAM</w:t>
      </w:r>
      <w:r w:rsidRPr="001766FA">
        <w:rPr>
          <w:rFonts w:cs="Arial"/>
          <w:lang w:val="en-US"/>
        </w:rPr>
        <w:tab/>
      </w:r>
      <w:r w:rsidRPr="001766FA">
        <w:rPr>
          <w:rFonts w:cs="Arial"/>
          <w:lang w:val="en-US"/>
        </w:rPr>
        <w:tab/>
        <w:t>Binary Alignment Map</w:t>
      </w:r>
    </w:p>
    <w:p w:rsidR="00850B27" w:rsidRPr="001766FA" w:rsidRDefault="00850B27" w:rsidP="00DB671B">
      <w:pPr>
        <w:ind w:left="1134" w:hanging="567"/>
        <w:rPr>
          <w:rFonts w:cs="Arial"/>
          <w:lang w:val="en-US"/>
        </w:rPr>
      </w:pPr>
      <w:r w:rsidRPr="001766FA">
        <w:rPr>
          <w:rFonts w:cs="Arial"/>
          <w:lang w:val="en-US"/>
        </w:rPr>
        <w:t>•</w:t>
      </w:r>
      <w:r w:rsidRPr="001766FA">
        <w:rPr>
          <w:rFonts w:cs="Arial"/>
          <w:lang w:val="en-US"/>
        </w:rPr>
        <w:tab/>
        <w:t>BCF</w:t>
      </w:r>
      <w:r w:rsidRPr="001766FA">
        <w:rPr>
          <w:rFonts w:cs="Arial"/>
          <w:lang w:val="en-US"/>
        </w:rPr>
        <w:tab/>
      </w:r>
      <w:r w:rsidRPr="001766FA">
        <w:rPr>
          <w:rFonts w:cs="Arial"/>
          <w:lang w:val="en-US"/>
        </w:rPr>
        <w:tab/>
        <w:t>Binary Call Format</w:t>
      </w:r>
    </w:p>
    <w:p w:rsidR="00850B27" w:rsidRPr="001766FA" w:rsidRDefault="00850B27" w:rsidP="00DB671B">
      <w:pPr>
        <w:ind w:left="1134" w:hanging="567"/>
        <w:rPr>
          <w:rFonts w:cs="Arial"/>
          <w:lang w:val="en-US"/>
        </w:rPr>
      </w:pPr>
      <w:r w:rsidRPr="001766FA">
        <w:rPr>
          <w:rFonts w:cs="Arial"/>
          <w:lang w:val="en-US"/>
        </w:rPr>
        <w:t>•</w:t>
      </w:r>
      <w:r w:rsidRPr="001766FA">
        <w:rPr>
          <w:rFonts w:cs="Arial"/>
          <w:lang w:val="en-US"/>
        </w:rPr>
        <w:tab/>
        <w:t>CRAM</w:t>
      </w:r>
      <w:r w:rsidRPr="001766FA">
        <w:rPr>
          <w:rFonts w:cs="Arial"/>
          <w:lang w:val="en-US"/>
        </w:rPr>
        <w:tab/>
        <w:t>Compressed Reference-oriented Alignment Map</w:t>
      </w:r>
    </w:p>
    <w:p w:rsidR="00850B27" w:rsidRPr="001766FA" w:rsidRDefault="00850B27" w:rsidP="00DB671B">
      <w:pPr>
        <w:ind w:left="1134" w:hanging="567"/>
        <w:rPr>
          <w:rFonts w:cs="Arial"/>
          <w:lang w:val="en-US"/>
        </w:rPr>
      </w:pPr>
      <w:r w:rsidRPr="001766FA">
        <w:rPr>
          <w:rFonts w:cs="Arial"/>
          <w:lang w:val="en-US"/>
        </w:rPr>
        <w:t>•</w:t>
      </w:r>
      <w:r w:rsidRPr="001766FA">
        <w:rPr>
          <w:rFonts w:cs="Arial"/>
          <w:lang w:val="en-US"/>
        </w:rPr>
        <w:tab/>
        <w:t>MNP</w:t>
      </w:r>
      <w:r w:rsidRPr="001766FA">
        <w:rPr>
          <w:rFonts w:cs="Arial"/>
          <w:lang w:val="en-US"/>
        </w:rPr>
        <w:tab/>
      </w:r>
      <w:r w:rsidRPr="001766FA">
        <w:rPr>
          <w:rFonts w:cs="Arial"/>
          <w:lang w:val="en-US"/>
        </w:rPr>
        <w:tab/>
        <w:t>Multiple Nucleotide Polymorphism</w:t>
      </w:r>
    </w:p>
    <w:p w:rsidR="00850B27" w:rsidRPr="001766FA" w:rsidRDefault="00850B27" w:rsidP="00DB671B">
      <w:pPr>
        <w:ind w:left="1134" w:hanging="567"/>
        <w:rPr>
          <w:rFonts w:cs="Arial"/>
          <w:lang w:val="en-US"/>
        </w:rPr>
      </w:pPr>
      <w:r w:rsidRPr="001766FA">
        <w:rPr>
          <w:rFonts w:cs="Arial"/>
          <w:lang w:val="en-US"/>
        </w:rPr>
        <w:t>•</w:t>
      </w:r>
      <w:r w:rsidRPr="001766FA">
        <w:rPr>
          <w:rFonts w:cs="Arial"/>
          <w:lang w:val="en-US"/>
        </w:rPr>
        <w:tab/>
        <w:t>NIL</w:t>
      </w:r>
      <w:r w:rsidRPr="001766FA">
        <w:rPr>
          <w:rFonts w:cs="Arial"/>
          <w:lang w:val="en-US"/>
        </w:rPr>
        <w:tab/>
      </w:r>
      <w:r w:rsidRPr="001766FA">
        <w:rPr>
          <w:rFonts w:cs="Arial"/>
          <w:lang w:val="en-US"/>
        </w:rPr>
        <w:tab/>
        <w:t>Near Isogenic Line</w:t>
      </w:r>
    </w:p>
    <w:p w:rsidR="00850B27" w:rsidRPr="001766FA" w:rsidRDefault="00850B27" w:rsidP="00DB671B">
      <w:pPr>
        <w:ind w:left="1134" w:hanging="567"/>
        <w:rPr>
          <w:rFonts w:cs="Arial"/>
          <w:lang w:val="en-US"/>
        </w:rPr>
      </w:pPr>
      <w:r w:rsidRPr="001766FA">
        <w:rPr>
          <w:rFonts w:cs="Arial"/>
          <w:lang w:val="en-US"/>
        </w:rPr>
        <w:t>•</w:t>
      </w:r>
      <w:r w:rsidRPr="001766FA">
        <w:rPr>
          <w:rFonts w:cs="Arial"/>
          <w:lang w:val="en-US"/>
        </w:rPr>
        <w:tab/>
        <w:t>RIL</w:t>
      </w:r>
      <w:r w:rsidRPr="001766FA">
        <w:rPr>
          <w:rFonts w:cs="Arial"/>
          <w:lang w:val="en-US"/>
        </w:rPr>
        <w:tab/>
      </w:r>
      <w:r w:rsidRPr="001766FA">
        <w:rPr>
          <w:rFonts w:cs="Arial"/>
          <w:lang w:val="en-US"/>
        </w:rPr>
        <w:tab/>
        <w:t>Recombinant Inbred Line</w:t>
      </w:r>
    </w:p>
    <w:p w:rsidR="00850B27" w:rsidRPr="001766FA" w:rsidRDefault="00850B27" w:rsidP="00DB671B">
      <w:pPr>
        <w:ind w:left="1134" w:hanging="567"/>
        <w:rPr>
          <w:rFonts w:cs="Arial"/>
          <w:lang w:val="en-US"/>
        </w:rPr>
      </w:pPr>
      <w:r w:rsidRPr="001766FA">
        <w:rPr>
          <w:rFonts w:cs="Arial"/>
          <w:lang w:val="en-US"/>
        </w:rPr>
        <w:t>•</w:t>
      </w:r>
      <w:r w:rsidRPr="001766FA">
        <w:rPr>
          <w:rFonts w:cs="Arial"/>
          <w:lang w:val="en-US"/>
        </w:rPr>
        <w:tab/>
        <w:t>SAM</w:t>
      </w:r>
      <w:r w:rsidRPr="001766FA">
        <w:rPr>
          <w:rFonts w:cs="Arial"/>
          <w:lang w:val="en-US"/>
        </w:rPr>
        <w:tab/>
      </w:r>
      <w:r w:rsidRPr="001766FA">
        <w:rPr>
          <w:rFonts w:cs="Arial"/>
          <w:lang w:val="en-US"/>
        </w:rPr>
        <w:tab/>
        <w:t>Sequence Alignment Map</w:t>
      </w:r>
    </w:p>
    <w:p w:rsidR="00850B27" w:rsidRPr="001766FA" w:rsidRDefault="00850B27" w:rsidP="00DB671B">
      <w:pPr>
        <w:ind w:left="1134" w:hanging="567"/>
        <w:rPr>
          <w:rFonts w:cs="Arial"/>
          <w:lang w:val="en-US"/>
        </w:rPr>
      </w:pPr>
      <w:r w:rsidRPr="001766FA">
        <w:rPr>
          <w:rFonts w:cs="Arial"/>
          <w:lang w:val="en-US"/>
        </w:rPr>
        <w:t>•</w:t>
      </w:r>
      <w:r w:rsidRPr="001766FA">
        <w:rPr>
          <w:rFonts w:cs="Arial"/>
          <w:lang w:val="en-US"/>
        </w:rPr>
        <w:tab/>
        <w:t>SNP</w:t>
      </w:r>
      <w:r w:rsidRPr="001766FA">
        <w:rPr>
          <w:rFonts w:cs="Arial"/>
          <w:lang w:val="en-US"/>
        </w:rPr>
        <w:tab/>
      </w:r>
      <w:r w:rsidRPr="001766FA">
        <w:rPr>
          <w:rFonts w:cs="Arial"/>
          <w:lang w:val="en-US"/>
        </w:rPr>
        <w:tab/>
        <w:t>Single Nucleotide Polymorphism</w:t>
      </w:r>
    </w:p>
    <w:p w:rsidR="00850B27" w:rsidRPr="001766FA" w:rsidRDefault="00850B27" w:rsidP="00DB671B">
      <w:pPr>
        <w:ind w:left="1134" w:hanging="567"/>
        <w:rPr>
          <w:rFonts w:cs="Arial"/>
          <w:lang w:val="en-US"/>
        </w:rPr>
      </w:pPr>
      <w:r w:rsidRPr="001766FA">
        <w:rPr>
          <w:rFonts w:cs="Arial"/>
          <w:lang w:val="en-US"/>
        </w:rPr>
        <w:t>•</w:t>
      </w:r>
      <w:r w:rsidRPr="001766FA">
        <w:rPr>
          <w:rFonts w:cs="Arial"/>
          <w:lang w:val="en-US"/>
        </w:rPr>
        <w:tab/>
        <w:t>TIFF</w:t>
      </w:r>
      <w:r w:rsidRPr="001766FA">
        <w:rPr>
          <w:rFonts w:cs="Arial"/>
          <w:lang w:val="en-US"/>
        </w:rPr>
        <w:tab/>
      </w:r>
      <w:r w:rsidRPr="001766FA">
        <w:rPr>
          <w:rFonts w:cs="Arial"/>
          <w:lang w:val="en-US"/>
        </w:rPr>
        <w:tab/>
        <w:t>Tagged Image File Format</w:t>
      </w:r>
    </w:p>
    <w:p w:rsidR="00850B27" w:rsidRPr="00BC76D0" w:rsidRDefault="00850B27" w:rsidP="00DB671B">
      <w:pPr>
        <w:ind w:left="1134" w:hanging="567"/>
        <w:rPr>
          <w:rFonts w:cs="Arial"/>
          <w:lang w:val="fr-CH"/>
        </w:rPr>
      </w:pPr>
      <w:r w:rsidRPr="00BC76D0">
        <w:rPr>
          <w:rFonts w:cs="Arial"/>
          <w:lang w:val="fr-CH"/>
        </w:rPr>
        <w:t>•</w:t>
      </w:r>
      <w:r w:rsidRPr="00BC76D0">
        <w:rPr>
          <w:rFonts w:cs="Arial"/>
          <w:lang w:val="fr-CH"/>
        </w:rPr>
        <w:tab/>
        <w:t>VCF</w:t>
      </w:r>
      <w:r w:rsidRPr="00BC76D0">
        <w:rPr>
          <w:rFonts w:cs="Arial"/>
          <w:lang w:val="fr-CH"/>
        </w:rPr>
        <w:tab/>
      </w:r>
      <w:r w:rsidRPr="00BC76D0">
        <w:rPr>
          <w:rFonts w:cs="Arial"/>
          <w:lang w:val="fr-CH"/>
        </w:rPr>
        <w:tab/>
        <w:t>Variant Call Format</w:t>
      </w:r>
    </w:p>
    <w:p w:rsidR="00850B27" w:rsidRPr="00BC76D0" w:rsidRDefault="00850B27" w:rsidP="00DB671B">
      <w:pPr>
        <w:rPr>
          <w:rFonts w:cs="Arial"/>
          <w:lang w:val="fr-CH"/>
        </w:rPr>
      </w:pPr>
    </w:p>
    <w:p w:rsidR="00850B27" w:rsidRPr="00DB671B" w:rsidRDefault="00850B27" w:rsidP="00DB671B">
      <w:pPr>
        <w:rPr>
          <w:rFonts w:cs="Arial"/>
        </w:rPr>
      </w:pPr>
      <w:r w:rsidRPr="00DB671B">
        <w:rPr>
          <w:rFonts w:cs="Arial"/>
        </w:rPr>
        <w:fldChar w:fldCharType="begin"/>
      </w:r>
      <w:r w:rsidRPr="00DB671B">
        <w:rPr>
          <w:rFonts w:cs="Arial"/>
        </w:rPr>
        <w:instrText xml:space="preserve"> AUTONUM  </w:instrText>
      </w:r>
      <w:r w:rsidRPr="00DB671B">
        <w:rPr>
          <w:rFonts w:cs="Arial"/>
        </w:rPr>
        <w:fldChar w:fldCharType="end"/>
      </w:r>
      <w:r w:rsidRPr="00DB671B">
        <w:rPr>
          <w:rFonts w:cs="Arial"/>
        </w:rPr>
        <w:tab/>
        <w:t>Le BMT convient de proposer au TC que la France, les Pays-Bas et l’Union européenne établissent un nouveau projet du document UPOV/INF/17 pour examen à la dix-neuvième session du BMT.</w:t>
      </w:r>
    </w:p>
    <w:p w:rsidR="00850B27" w:rsidRPr="00DB671B" w:rsidRDefault="00850B27" w:rsidP="00DB671B">
      <w:pPr>
        <w:rPr>
          <w:rFonts w:cs="Arial"/>
        </w:rPr>
      </w:pPr>
    </w:p>
    <w:bookmarkStart w:id="2" w:name="_Hlk22740387"/>
    <w:p w:rsidR="00850B27" w:rsidRPr="00DB671B" w:rsidRDefault="00850B27" w:rsidP="00DB671B">
      <w:pPr>
        <w:rPr>
          <w:rFonts w:cs="Arial"/>
        </w:rPr>
      </w:pPr>
      <w:r w:rsidRPr="00DB671B">
        <w:rPr>
          <w:rFonts w:cs="Arial"/>
        </w:rPr>
        <w:fldChar w:fldCharType="begin"/>
      </w:r>
      <w:r w:rsidRPr="00DB671B">
        <w:rPr>
          <w:rFonts w:cs="Arial"/>
        </w:rPr>
        <w:instrText xml:space="preserve"> AUTONUM  </w:instrText>
      </w:r>
      <w:r w:rsidRPr="00DB671B">
        <w:rPr>
          <w:rFonts w:cs="Arial"/>
        </w:rPr>
        <w:fldChar w:fldCharType="end"/>
      </w:r>
      <w:r w:rsidRPr="00DB671B">
        <w:rPr>
          <w:rFonts w:cs="Arial"/>
        </w:rPr>
        <w:tab/>
        <w:t>Sur invitation des États-Unis d’Amérique, le BMT décide de tenir sa dix-neuvième session à Alexandria (Virginie) avec le TWC, durant la semaine du 21 septembre 2020.</w:t>
      </w:r>
    </w:p>
    <w:p w:rsidR="00850B27" w:rsidRPr="00DB671B" w:rsidRDefault="00850B27" w:rsidP="00DB671B">
      <w:pPr>
        <w:rPr>
          <w:rFonts w:cs="Arial"/>
        </w:rPr>
      </w:pPr>
    </w:p>
    <w:p w:rsidR="00850B27" w:rsidRPr="00DB671B" w:rsidRDefault="00850B27" w:rsidP="00DB671B">
      <w:pPr>
        <w:rPr>
          <w:rFonts w:cs="Arial"/>
        </w:rPr>
      </w:pPr>
      <w:r w:rsidRPr="00DB671B">
        <w:rPr>
          <w:rFonts w:cs="Arial"/>
        </w:rPr>
        <w:fldChar w:fldCharType="begin"/>
      </w:r>
      <w:r w:rsidRPr="00DB671B">
        <w:rPr>
          <w:rFonts w:cs="Arial"/>
        </w:rPr>
        <w:instrText xml:space="preserve"> AUTONUM  </w:instrText>
      </w:r>
      <w:r w:rsidRPr="00DB671B">
        <w:rPr>
          <w:rFonts w:cs="Arial"/>
        </w:rPr>
        <w:fldChar w:fldCharType="end"/>
      </w:r>
      <w:r w:rsidRPr="00DB671B">
        <w:rPr>
          <w:rFonts w:cs="Arial"/>
        </w:rPr>
        <w:tab/>
        <w:t>Le BMT convient avec le TWC qu’il est nécessaire d’éviter la répétition de contenu et qu’il devrait y avoir une ouverture de session et des introductions.  Il est également considéré qu’il devrait alors être possible de dégager suffisamment de temps pour une visite technique.</w:t>
      </w:r>
    </w:p>
    <w:p w:rsidR="00850B27" w:rsidRPr="00DB671B" w:rsidRDefault="00850B27" w:rsidP="00DB671B">
      <w:pPr>
        <w:rPr>
          <w:rFonts w:cs="Arial"/>
        </w:rPr>
      </w:pPr>
    </w:p>
    <w:bookmarkEnd w:id="2"/>
    <w:p w:rsidR="00850B27" w:rsidRPr="00DB671B" w:rsidRDefault="00850B27" w:rsidP="00DB671B">
      <w:pPr>
        <w:keepNext/>
        <w:rPr>
          <w:rFonts w:cs="Arial"/>
        </w:rPr>
      </w:pPr>
      <w:r w:rsidRPr="00DB671B">
        <w:rPr>
          <w:rFonts w:cs="Arial"/>
        </w:rPr>
        <w:fldChar w:fldCharType="begin"/>
      </w:r>
      <w:r w:rsidRPr="00DB671B">
        <w:rPr>
          <w:rFonts w:cs="Arial"/>
        </w:rPr>
        <w:instrText xml:space="preserve"> AUTONUM  </w:instrText>
      </w:r>
      <w:r w:rsidRPr="00DB671B">
        <w:rPr>
          <w:rFonts w:cs="Arial"/>
        </w:rPr>
        <w:fldChar w:fldCharType="end"/>
      </w:r>
      <w:r w:rsidRPr="00DB671B">
        <w:rPr>
          <w:rFonts w:cs="Arial"/>
        </w:rPr>
        <w:tab/>
        <w:t>Lors de sa dix-neuvième session, le BMT prévoit de traiter les points suivants :</w:t>
      </w:r>
    </w:p>
    <w:p w:rsidR="00850B27" w:rsidRPr="00DB671B" w:rsidRDefault="00850B27" w:rsidP="00DB671B">
      <w:pPr>
        <w:keepNext/>
        <w:rPr>
          <w:rFonts w:cs="Arial"/>
        </w:rPr>
      </w:pPr>
    </w:p>
    <w:p w:rsidR="00850B27" w:rsidRPr="00DB671B" w:rsidRDefault="00850B27" w:rsidP="00DB671B">
      <w:pPr>
        <w:tabs>
          <w:tab w:val="left" w:pos="1134"/>
        </w:tabs>
        <w:ind w:left="1134" w:hanging="567"/>
        <w:rPr>
          <w:rFonts w:cs="Arial"/>
        </w:rPr>
      </w:pPr>
      <w:r w:rsidRPr="00DB671B">
        <w:rPr>
          <w:rFonts w:cs="Arial"/>
        </w:rPr>
        <w:t>1.</w:t>
      </w:r>
      <w:r w:rsidRPr="00DB671B">
        <w:rPr>
          <w:rFonts w:cs="Arial"/>
        </w:rPr>
        <w:tab/>
        <w:t>Ouverture de la session</w:t>
      </w:r>
    </w:p>
    <w:p w:rsidR="00850B27" w:rsidRPr="00DB671B" w:rsidRDefault="00850B27" w:rsidP="00DB671B">
      <w:pPr>
        <w:tabs>
          <w:tab w:val="left" w:pos="1134"/>
        </w:tabs>
        <w:ind w:left="1134" w:hanging="567"/>
        <w:rPr>
          <w:rFonts w:cs="Arial"/>
        </w:rPr>
      </w:pPr>
      <w:r w:rsidRPr="00DB671B">
        <w:rPr>
          <w:rFonts w:cs="Arial"/>
        </w:rPr>
        <w:t>2.</w:t>
      </w:r>
      <w:r w:rsidRPr="00DB671B">
        <w:rPr>
          <w:rFonts w:cs="Arial"/>
        </w:rPr>
        <w:tab/>
        <w:t>Adoption de l’ordre du jour</w:t>
      </w:r>
    </w:p>
    <w:p w:rsidR="00850B27" w:rsidRPr="00DB671B" w:rsidRDefault="00850B27" w:rsidP="00DB671B">
      <w:pPr>
        <w:tabs>
          <w:tab w:val="left" w:pos="1134"/>
        </w:tabs>
        <w:ind w:left="1134" w:hanging="567"/>
        <w:rPr>
          <w:rFonts w:cs="Arial"/>
        </w:rPr>
      </w:pPr>
      <w:r w:rsidRPr="00DB671B">
        <w:rPr>
          <w:rFonts w:cs="Arial"/>
        </w:rPr>
        <w:t>3.</w:t>
      </w:r>
      <w:r w:rsidRPr="00DB671B">
        <w:rPr>
          <w:rFonts w:cs="Arial"/>
        </w:rPr>
        <w:tab/>
        <w:t>Rapports sur les faits nouveaux survenus à l’UPOV en matière de techniques biochimiques et moléculaires (document à établir par le Bureau de l’Union)</w:t>
      </w:r>
    </w:p>
    <w:p w:rsidR="00850B27" w:rsidRPr="00DB671B" w:rsidRDefault="00850B27" w:rsidP="00DB671B">
      <w:pPr>
        <w:tabs>
          <w:tab w:val="left" w:pos="1134"/>
        </w:tabs>
        <w:ind w:left="1134" w:hanging="567"/>
        <w:rPr>
          <w:rFonts w:cs="Arial"/>
        </w:rPr>
      </w:pPr>
      <w:r w:rsidRPr="00DB671B">
        <w:rPr>
          <w:rFonts w:cs="Arial"/>
        </w:rPr>
        <w:t>4.</w:t>
      </w:r>
      <w:r w:rsidRPr="00DB671B">
        <w:rPr>
          <w:rFonts w:cs="Arial"/>
        </w:rPr>
        <w:tab/>
        <w:t>Exposés succincts sur les faits nouveaux survenus en matière de techniques biochimiques et moléculaires, présentés par des experts de l’examen DHS, des spécialistes en techniques biochimiques et moléculaires, des obtenteurs et les organisations internationales concernées (rapports verbaux de participants)</w:t>
      </w:r>
    </w:p>
    <w:p w:rsidR="00850B27" w:rsidRPr="00DB671B" w:rsidRDefault="00850B27" w:rsidP="00DB671B">
      <w:pPr>
        <w:tabs>
          <w:tab w:val="left" w:pos="1134"/>
        </w:tabs>
        <w:ind w:left="1134" w:hanging="567"/>
        <w:rPr>
          <w:rFonts w:cs="Arial"/>
        </w:rPr>
      </w:pPr>
      <w:r w:rsidRPr="00DB671B">
        <w:rPr>
          <w:rFonts w:cs="Arial"/>
        </w:rPr>
        <w:t>5.</w:t>
      </w:r>
      <w:r w:rsidRPr="00DB671B">
        <w:rPr>
          <w:rFonts w:cs="Arial"/>
        </w:rPr>
        <w:tab/>
        <w:t>Compte rendu des travaux sur l’utilisation des techniques moléculaires dans le cadre de l’examen DHS (documents sollicités)</w:t>
      </w:r>
    </w:p>
    <w:p w:rsidR="00850B27" w:rsidRPr="00DB671B" w:rsidRDefault="00850B27" w:rsidP="00DB671B">
      <w:pPr>
        <w:tabs>
          <w:tab w:val="left" w:pos="1134"/>
        </w:tabs>
        <w:ind w:left="1134" w:hanging="567"/>
        <w:rPr>
          <w:rFonts w:cs="Arial"/>
        </w:rPr>
      </w:pPr>
      <w:r w:rsidRPr="00DB671B">
        <w:rPr>
          <w:rFonts w:cs="Arial"/>
        </w:rPr>
        <w:t>6.</w:t>
      </w:r>
      <w:r w:rsidRPr="00DB671B">
        <w:rPr>
          <w:rFonts w:cs="Arial"/>
        </w:rPr>
        <w:tab/>
        <w:t>Coopération entre organisations internationales (document à établir par le Bureau de l’Union)</w:t>
      </w:r>
    </w:p>
    <w:p w:rsidR="00850B27" w:rsidRPr="00DB671B" w:rsidRDefault="00850B27" w:rsidP="00DB671B">
      <w:pPr>
        <w:tabs>
          <w:tab w:val="left" w:pos="1134"/>
        </w:tabs>
        <w:ind w:left="1134" w:hanging="567"/>
        <w:rPr>
          <w:rFonts w:cs="Arial"/>
        </w:rPr>
      </w:pPr>
      <w:r w:rsidRPr="00DB671B">
        <w:rPr>
          <w:rFonts w:cs="Arial"/>
        </w:rPr>
        <w:t>7.</w:t>
      </w:r>
      <w:r w:rsidRPr="00DB671B">
        <w:rPr>
          <w:rFonts w:cs="Arial"/>
        </w:rPr>
        <w:tab/>
        <w:t>Bases de données sur les descriptions variétales, notamment les bases de données contenant des données moléculaires (documents sollicités)</w:t>
      </w:r>
    </w:p>
    <w:p w:rsidR="00850B27" w:rsidRPr="00DB671B" w:rsidRDefault="00850B27" w:rsidP="00DB671B">
      <w:pPr>
        <w:tabs>
          <w:tab w:val="left" w:pos="1134"/>
        </w:tabs>
        <w:ind w:left="1134" w:hanging="567"/>
        <w:rPr>
          <w:rFonts w:cs="Arial"/>
        </w:rPr>
      </w:pPr>
      <w:r w:rsidRPr="00DB671B">
        <w:rPr>
          <w:rFonts w:cs="Arial"/>
        </w:rPr>
        <w:t>8.</w:t>
      </w:r>
      <w:r w:rsidRPr="00DB671B">
        <w:rPr>
          <w:rFonts w:cs="Arial"/>
        </w:rPr>
        <w:tab/>
        <w:t>Méthodes d’analyse des données moléculaires, gestion des bases de données et échange de données et de matériel (documents sollicités)</w:t>
      </w:r>
    </w:p>
    <w:p w:rsidR="00850B27" w:rsidRPr="00DB671B" w:rsidRDefault="00850B27" w:rsidP="00DB671B">
      <w:pPr>
        <w:tabs>
          <w:tab w:val="left" w:pos="1134"/>
        </w:tabs>
        <w:ind w:left="1134" w:hanging="567"/>
        <w:rPr>
          <w:rFonts w:cs="Arial"/>
        </w:rPr>
      </w:pPr>
      <w:r w:rsidRPr="00DB671B">
        <w:rPr>
          <w:rFonts w:cs="Arial"/>
        </w:rPr>
        <w:t>9.</w:t>
      </w:r>
      <w:r w:rsidRPr="00DB671B">
        <w:rPr>
          <w:rFonts w:cs="Arial"/>
        </w:rPr>
        <w:tab/>
        <w:t>Utilisation des techniques moléculaires pour l’examen de variétés essentiellement dérivées</w:t>
      </w:r>
      <w:r w:rsidRPr="00DB671B">
        <w:rPr>
          <w:rStyle w:val="FootnoteReference"/>
          <w:rFonts w:cs="Arial"/>
        </w:rPr>
        <w:footnoteReference w:id="1"/>
      </w:r>
      <w:r w:rsidRPr="00DB671B">
        <w:rPr>
          <w:rFonts w:cs="Arial"/>
        </w:rPr>
        <w:t xml:space="preserve"> (documents sollicités)</w:t>
      </w:r>
    </w:p>
    <w:p w:rsidR="00850B27" w:rsidRPr="00DB671B" w:rsidRDefault="00850B27" w:rsidP="00DB671B">
      <w:pPr>
        <w:tabs>
          <w:tab w:val="left" w:pos="1134"/>
        </w:tabs>
        <w:ind w:left="1134" w:hanging="567"/>
        <w:rPr>
          <w:rFonts w:cs="Arial"/>
        </w:rPr>
      </w:pPr>
      <w:r w:rsidRPr="00DB671B">
        <w:rPr>
          <w:rFonts w:cs="Arial"/>
        </w:rPr>
        <w:t>10.</w:t>
      </w:r>
      <w:r w:rsidRPr="00DB671B">
        <w:rPr>
          <w:rFonts w:cs="Arial"/>
        </w:rPr>
        <w:tab/>
        <w:t>Utilisation des techniques moléculaires pour l’identification des variétés</w:t>
      </w:r>
      <w:r w:rsidRPr="00DB671B">
        <w:rPr>
          <w:rFonts w:cs="Arial"/>
          <w:vertAlign w:val="superscript"/>
        </w:rPr>
        <w:t>1</w:t>
      </w:r>
      <w:r w:rsidRPr="00DB671B">
        <w:rPr>
          <w:rFonts w:cs="Arial"/>
        </w:rPr>
        <w:t xml:space="preserve"> (documents sollicités)</w:t>
      </w:r>
    </w:p>
    <w:p w:rsidR="00850B27" w:rsidRPr="00DB671B" w:rsidRDefault="00850B27" w:rsidP="00DB671B">
      <w:pPr>
        <w:tabs>
          <w:tab w:val="left" w:pos="1134"/>
        </w:tabs>
        <w:ind w:left="1134" w:hanging="567"/>
        <w:rPr>
          <w:rFonts w:cs="Arial"/>
        </w:rPr>
      </w:pPr>
      <w:r w:rsidRPr="00DB671B">
        <w:rPr>
          <w:rFonts w:cs="Arial"/>
        </w:rPr>
        <w:t>11.</w:t>
      </w:r>
      <w:r w:rsidRPr="00DB671B">
        <w:rPr>
          <w:rFonts w:cs="Arial"/>
        </w:rPr>
        <w:tab/>
        <w:t>Confidentialité, titularité et accès en matière de données moléculaires</w:t>
      </w:r>
      <w:r w:rsidRPr="00DB671B">
        <w:rPr>
          <w:rFonts w:cs="Arial"/>
          <w:vertAlign w:val="superscript"/>
        </w:rPr>
        <w:t>1</w:t>
      </w:r>
      <w:r w:rsidRPr="00DB671B">
        <w:rPr>
          <w:rFonts w:cs="Arial"/>
        </w:rPr>
        <w:t xml:space="preserve"> (documents sollicités)</w:t>
      </w:r>
    </w:p>
    <w:p w:rsidR="00850B27" w:rsidRPr="00DB671B" w:rsidRDefault="00850B27" w:rsidP="00DB671B">
      <w:pPr>
        <w:tabs>
          <w:tab w:val="left" w:pos="1134"/>
        </w:tabs>
        <w:ind w:left="1134" w:hanging="567"/>
        <w:rPr>
          <w:rFonts w:cs="Arial"/>
        </w:rPr>
      </w:pPr>
      <w:r w:rsidRPr="00DB671B">
        <w:rPr>
          <w:rFonts w:cs="Arial"/>
        </w:rPr>
        <w:t>12.</w:t>
      </w:r>
      <w:r w:rsidRPr="00DB671B">
        <w:rPr>
          <w:rFonts w:cs="Arial"/>
        </w:rPr>
        <w:tab/>
        <w:t>Examen du document UPOV/INF/17 “Directives concernant les profils d’ADN : choix des marqueurs moléculaires et construction d’une base de données y relative”</w:t>
      </w:r>
    </w:p>
    <w:p w:rsidR="00850B27" w:rsidRPr="00DB671B" w:rsidRDefault="00850B27" w:rsidP="00DB671B">
      <w:pPr>
        <w:tabs>
          <w:tab w:val="left" w:pos="1134"/>
        </w:tabs>
        <w:ind w:left="1134" w:hanging="567"/>
        <w:rPr>
          <w:rFonts w:cs="Arial"/>
        </w:rPr>
      </w:pPr>
      <w:r w:rsidRPr="00DB671B">
        <w:rPr>
          <w:rFonts w:cs="Arial"/>
        </w:rPr>
        <w:t>13.</w:t>
      </w:r>
      <w:r w:rsidRPr="00DB671B">
        <w:rPr>
          <w:rFonts w:cs="Arial"/>
        </w:rPr>
        <w:tab/>
        <w:t>Séance visant à faciliter la coopération</w:t>
      </w:r>
    </w:p>
    <w:p w:rsidR="00850B27" w:rsidRPr="00DB671B" w:rsidRDefault="00850B27" w:rsidP="00DB671B">
      <w:pPr>
        <w:tabs>
          <w:tab w:val="left" w:pos="1134"/>
        </w:tabs>
        <w:ind w:left="1134" w:hanging="567"/>
        <w:rPr>
          <w:rFonts w:cs="Arial"/>
        </w:rPr>
      </w:pPr>
      <w:r w:rsidRPr="00DB671B">
        <w:rPr>
          <w:rFonts w:cs="Arial"/>
        </w:rPr>
        <w:t>14.</w:t>
      </w:r>
      <w:r w:rsidRPr="00DB671B">
        <w:rPr>
          <w:rFonts w:cs="Arial"/>
        </w:rPr>
        <w:tab/>
        <w:t>Date et lieu de la prochaine session</w:t>
      </w:r>
    </w:p>
    <w:p w:rsidR="00850B27" w:rsidRPr="00DB671B" w:rsidRDefault="00850B27" w:rsidP="00DB671B">
      <w:pPr>
        <w:tabs>
          <w:tab w:val="left" w:pos="1134"/>
        </w:tabs>
        <w:ind w:left="1134" w:hanging="567"/>
        <w:rPr>
          <w:rFonts w:cs="Arial"/>
        </w:rPr>
      </w:pPr>
      <w:r w:rsidRPr="00DB671B">
        <w:rPr>
          <w:rFonts w:cs="Arial"/>
        </w:rPr>
        <w:t>15.</w:t>
      </w:r>
      <w:r w:rsidRPr="00DB671B">
        <w:rPr>
          <w:rFonts w:cs="Arial"/>
        </w:rPr>
        <w:tab/>
        <w:t>Programme futur</w:t>
      </w:r>
    </w:p>
    <w:p w:rsidR="00850B27" w:rsidRPr="00DB671B" w:rsidRDefault="00850B27" w:rsidP="00DB671B">
      <w:pPr>
        <w:tabs>
          <w:tab w:val="left" w:pos="1134"/>
        </w:tabs>
        <w:ind w:left="1134" w:hanging="567"/>
        <w:rPr>
          <w:rFonts w:cs="Arial"/>
        </w:rPr>
      </w:pPr>
      <w:r w:rsidRPr="00DB671B">
        <w:rPr>
          <w:rFonts w:cs="Arial"/>
        </w:rPr>
        <w:t>16.</w:t>
      </w:r>
      <w:r w:rsidRPr="00DB671B">
        <w:rPr>
          <w:rFonts w:cs="Arial"/>
        </w:rPr>
        <w:tab/>
        <w:t>Compte rendu de la session (selon le temps disponible)</w:t>
      </w:r>
    </w:p>
    <w:p w:rsidR="00850B27" w:rsidRPr="00DB671B" w:rsidRDefault="00850B27" w:rsidP="00DB671B">
      <w:pPr>
        <w:tabs>
          <w:tab w:val="left" w:pos="1134"/>
        </w:tabs>
        <w:ind w:left="1134" w:hanging="567"/>
        <w:rPr>
          <w:rFonts w:cs="Arial"/>
        </w:rPr>
      </w:pPr>
      <w:r w:rsidRPr="00DB671B">
        <w:rPr>
          <w:rFonts w:cs="Arial"/>
        </w:rPr>
        <w:t>17.</w:t>
      </w:r>
      <w:r w:rsidRPr="00DB671B">
        <w:rPr>
          <w:rFonts w:cs="Arial"/>
        </w:rPr>
        <w:tab/>
        <w:t>Clôture de la session</w:t>
      </w:r>
    </w:p>
    <w:p w:rsidR="00850B27" w:rsidRPr="00DB671B" w:rsidRDefault="00850B27" w:rsidP="00DB671B">
      <w:pPr>
        <w:rPr>
          <w:rFonts w:cs="Arial"/>
        </w:rPr>
      </w:pPr>
    </w:p>
    <w:p w:rsidR="00850B27" w:rsidRPr="00DB671B" w:rsidRDefault="00850B27" w:rsidP="00DB671B"/>
    <w:p w:rsidR="00850B27" w:rsidRPr="00DB671B" w:rsidRDefault="00850B27" w:rsidP="00DB671B">
      <w:pPr>
        <w:pStyle w:val="Heading2"/>
        <w:keepLines/>
        <w:rPr>
          <w:lang w:val="fr-FR"/>
        </w:rPr>
      </w:pPr>
      <w:r w:rsidRPr="00DB671B">
        <w:rPr>
          <w:lang w:val="fr-FR"/>
        </w:rPr>
        <w:t>Programme de travail des TWP et du BMT en 2020</w:t>
      </w:r>
    </w:p>
    <w:p w:rsidR="00850B27" w:rsidRPr="00DB671B" w:rsidRDefault="00850B27" w:rsidP="00DB671B">
      <w:pPr>
        <w:keepNext/>
        <w:keepLines/>
      </w:pPr>
    </w:p>
    <w:p w:rsidR="00850B27" w:rsidRPr="00DB671B" w:rsidRDefault="00850B27" w:rsidP="00DB671B">
      <w:pPr>
        <w:keepNext/>
        <w:keepLines/>
      </w:pPr>
      <w:r w:rsidRPr="00DB671B">
        <w:fldChar w:fldCharType="begin"/>
      </w:r>
      <w:r w:rsidRPr="00DB671B">
        <w:instrText xml:space="preserve"> AUTONUM  </w:instrText>
      </w:r>
      <w:r w:rsidRPr="00DB671B">
        <w:fldChar w:fldCharType="end"/>
      </w:r>
      <w:r w:rsidRPr="00DB671B">
        <w:tab/>
        <w:t>Le TC approuve le programme de travail pour les sessions des TWP et du BMT en 2020, qui figure dans les comptes rendus respectifs sur les sessions et dans les rapports des présidents.  Il convient que les programmes de travail devraient être proposés pour approbation par le Conseil à sa session prévue le 1</w:t>
      </w:r>
      <w:r w:rsidRPr="00DB671B">
        <w:rPr>
          <w:vertAlign w:val="superscript"/>
        </w:rPr>
        <w:t>er</w:t>
      </w:r>
      <w:r w:rsidRPr="00DB671B">
        <w:t> novembre 2019.</w:t>
      </w:r>
    </w:p>
    <w:p w:rsidR="00850B27" w:rsidRPr="00DB671B" w:rsidRDefault="00850B27" w:rsidP="00DB671B"/>
    <w:p w:rsidR="00850B27" w:rsidRPr="00DB671B" w:rsidRDefault="00850B27" w:rsidP="00DB671B">
      <w:pPr>
        <w:pStyle w:val="Heading3"/>
        <w:rPr>
          <w:lang w:val="fr-FR"/>
        </w:rPr>
      </w:pPr>
      <w:r w:rsidRPr="00DB671B">
        <w:rPr>
          <w:lang w:val="fr-FR"/>
        </w:rPr>
        <w:t>Organisation des travaux du TWC et du BMT</w:t>
      </w:r>
    </w:p>
    <w:p w:rsidR="00850B27" w:rsidRPr="00DB671B" w:rsidRDefault="00850B27" w:rsidP="00DB671B"/>
    <w:p w:rsidR="00850B27" w:rsidRPr="00DB671B" w:rsidRDefault="00850B27" w:rsidP="00DB671B">
      <w:r w:rsidRPr="00DB671B">
        <w:fldChar w:fldCharType="begin"/>
      </w:r>
      <w:r w:rsidRPr="00DB671B">
        <w:instrText xml:space="preserve"> AUTONUM  </w:instrText>
      </w:r>
      <w:r w:rsidRPr="00DB671B">
        <w:fldChar w:fldCharType="end"/>
      </w:r>
      <w:r w:rsidRPr="00DB671B">
        <w:tab/>
        <w:t>Le TC examine les résultats de l’organisation la même semaine des sessions du TWC et du BMT.</w:t>
      </w:r>
    </w:p>
    <w:p w:rsidR="00850B27" w:rsidRPr="00DB671B" w:rsidRDefault="00850B27" w:rsidP="00DB671B">
      <w:pPr>
        <w:rPr>
          <w:rFonts w:cs="Arial"/>
        </w:rPr>
      </w:pPr>
    </w:p>
    <w:p w:rsidR="00850B27" w:rsidRPr="00DB671B" w:rsidRDefault="00850B27" w:rsidP="00DB671B">
      <w:r w:rsidRPr="00DB671B">
        <w:fldChar w:fldCharType="begin"/>
      </w:r>
      <w:r w:rsidRPr="00DB671B">
        <w:instrText xml:space="preserve"> AUTONUM  </w:instrText>
      </w:r>
      <w:r w:rsidRPr="00DB671B">
        <w:fldChar w:fldCharType="end"/>
      </w:r>
      <w:r w:rsidRPr="00DB671B">
        <w:tab/>
        <w:t xml:space="preserve">Le TC prend note des rapports du TWC et du BMT sur la répétition du contenu présenté aux réunions des deux groupes de travail et note que le TWC et le BMT sont convenus qu’il faudrait une seule ouverture de session et des introductions pour les deux réunions se tenant en même temps.  </w:t>
      </w:r>
      <w:r w:rsidRPr="00DB671B">
        <w:rPr>
          <w:rFonts w:cs="Arial"/>
        </w:rPr>
        <w:t>Il note en outre qu’il est difficile pour l’hôte des sessions conjointes d’organiser deux cérémonies d’ouverture et deux réceptions.</w:t>
      </w:r>
    </w:p>
    <w:p w:rsidR="00850B27" w:rsidRPr="00DB671B" w:rsidRDefault="00850B27" w:rsidP="00DB671B">
      <w:pPr>
        <w:rPr>
          <w:rFonts w:cs="Arial"/>
        </w:rPr>
      </w:pPr>
    </w:p>
    <w:p w:rsidR="00850B27" w:rsidRPr="00DB671B" w:rsidRDefault="00850B27" w:rsidP="00DB671B">
      <w:pPr>
        <w:rPr>
          <w:rFonts w:cs="Arial"/>
        </w:rPr>
      </w:pPr>
      <w:r w:rsidRPr="00DB671B">
        <w:rPr>
          <w:rFonts w:cs="Arial"/>
        </w:rPr>
        <w:fldChar w:fldCharType="begin"/>
      </w:r>
      <w:r w:rsidRPr="00DB671B">
        <w:rPr>
          <w:rFonts w:cs="Arial"/>
        </w:rPr>
        <w:instrText xml:space="preserve"> AUTONUM  </w:instrText>
      </w:r>
      <w:r w:rsidRPr="00DB671B">
        <w:rPr>
          <w:rFonts w:cs="Arial"/>
        </w:rPr>
        <w:fldChar w:fldCharType="end"/>
      </w:r>
      <w:r w:rsidRPr="00DB671B">
        <w:rPr>
          <w:rFonts w:cs="Arial"/>
        </w:rPr>
        <w:tab/>
        <w:t>Le TC prend note des observations et des propositions du TWC et du BMT sur l’organisation des sessions la même semaine et convient d’inviter le Bureau de l’UPOV à élaborer un projet de mandat pour un éventuel organe unique qui engloberait les travaux du TWC et du BMT pour examen par le TWC et le BMT et ferait rapport aux autres TWP, à leurs sessions en 2020.  Le mandat éventuel serait ensuite examiné par le TC, compte tenu des observations du TWC et du BMT, à sa cinquante-sixième session.</w:t>
      </w:r>
    </w:p>
    <w:p w:rsidR="00850B27" w:rsidRPr="00DB671B" w:rsidRDefault="00850B27" w:rsidP="00DB671B"/>
    <w:p w:rsidR="00850B27" w:rsidRPr="00DB671B" w:rsidRDefault="00850B27" w:rsidP="00DB671B"/>
    <w:p w:rsidR="00850B27" w:rsidRPr="00DB671B" w:rsidRDefault="00850B27" w:rsidP="00DB671B">
      <w:pPr>
        <w:pStyle w:val="Heading2"/>
        <w:keepLines/>
        <w:rPr>
          <w:snapToGrid w:val="0"/>
          <w:lang w:val="fr-FR"/>
        </w:rPr>
      </w:pPr>
      <w:r w:rsidRPr="00DB671B">
        <w:rPr>
          <w:snapToGrid w:val="0"/>
          <w:lang w:val="fr-FR"/>
        </w:rPr>
        <w:t>Questions découlant des travaux des groupes de travail techniques</w:t>
      </w:r>
    </w:p>
    <w:p w:rsidR="00850B27" w:rsidRPr="00DB671B" w:rsidRDefault="00850B27" w:rsidP="00DB671B">
      <w:pPr>
        <w:keepNext/>
        <w:keepLines/>
        <w:ind w:left="567" w:hanging="567"/>
        <w:jc w:val="left"/>
        <w:rPr>
          <w:rFonts w:cs="Arial"/>
          <w:snapToGrid w:val="0"/>
        </w:rPr>
      </w:pPr>
    </w:p>
    <w:p w:rsidR="00850B27" w:rsidRPr="00DB671B" w:rsidRDefault="00850B27" w:rsidP="00DB671B">
      <w:pPr>
        <w:keepNext/>
        <w:keepLines/>
        <w:ind w:left="567" w:hanging="567"/>
        <w:jc w:val="left"/>
        <w:rPr>
          <w:rFonts w:cs="Arial"/>
        </w:rPr>
      </w:pPr>
      <w:r w:rsidRPr="00DB671B">
        <w:rPr>
          <w:rFonts w:cs="Arial"/>
          <w:snapToGrid w:val="0"/>
        </w:rPr>
        <w:fldChar w:fldCharType="begin"/>
      </w:r>
      <w:r w:rsidRPr="00DB671B">
        <w:rPr>
          <w:rFonts w:cs="Arial"/>
          <w:snapToGrid w:val="0"/>
        </w:rPr>
        <w:instrText xml:space="preserve"> AUTONUM  </w:instrText>
      </w:r>
      <w:r w:rsidRPr="00DB671B">
        <w:rPr>
          <w:rFonts w:cs="Arial"/>
          <w:snapToGrid w:val="0"/>
        </w:rPr>
        <w:fldChar w:fldCharType="end"/>
      </w:r>
      <w:r w:rsidRPr="00DB671B">
        <w:rPr>
          <w:rFonts w:cs="Arial"/>
          <w:snapToGrid w:val="0"/>
        </w:rPr>
        <w:tab/>
        <w:t>Le TC examine les documents TC/55/3 et TC/55/3 Add.</w:t>
      </w:r>
    </w:p>
    <w:p w:rsidR="00850B27" w:rsidRPr="00DB671B" w:rsidRDefault="00850B27" w:rsidP="00DB671B">
      <w:pPr>
        <w:keepNext/>
        <w:keepLines/>
        <w:ind w:left="567" w:hanging="567"/>
        <w:jc w:val="left"/>
        <w:rPr>
          <w:rFonts w:cs="Arial"/>
        </w:rPr>
      </w:pPr>
    </w:p>
    <w:p w:rsidR="00850B27" w:rsidRPr="00DB671B" w:rsidRDefault="00850B27" w:rsidP="00DB671B">
      <w:pPr>
        <w:ind w:left="567" w:hanging="567"/>
        <w:jc w:val="left"/>
      </w:pPr>
      <w:r w:rsidRPr="00DB671B">
        <w:fldChar w:fldCharType="begin"/>
      </w:r>
      <w:r w:rsidRPr="00DB671B">
        <w:instrText xml:space="preserve"> AUTONUM  </w:instrText>
      </w:r>
      <w:r w:rsidRPr="00DB671B">
        <w:fldChar w:fldCharType="end"/>
      </w:r>
      <w:r w:rsidRPr="00DB671B">
        <w:tab/>
        <w:t>Le TC prend note des faits nouveaux survenus au sein des groupes de travail techniques concernant les points suivants :</w:t>
      </w:r>
    </w:p>
    <w:p w:rsidR="00850B27" w:rsidRPr="00DB671B" w:rsidRDefault="00850B27" w:rsidP="00DB671B">
      <w:pPr>
        <w:ind w:left="567" w:hanging="567"/>
        <w:jc w:val="left"/>
      </w:pPr>
    </w:p>
    <w:p w:rsidR="00850B27" w:rsidRPr="00DB671B" w:rsidRDefault="00850B27" w:rsidP="00DB671B">
      <w:pPr>
        <w:ind w:left="1134" w:hanging="567"/>
        <w:jc w:val="left"/>
      </w:pPr>
      <w:r w:rsidRPr="00DB671B">
        <w:t>i)</w:t>
      </w:r>
      <w:r w:rsidRPr="00DB671B">
        <w:tab/>
        <w:t>Utilisation des caractères de résistance à la maladie;</w:t>
      </w:r>
    </w:p>
    <w:p w:rsidR="00850B27" w:rsidRPr="00DB671B" w:rsidRDefault="00850B27" w:rsidP="00DB671B">
      <w:pPr>
        <w:ind w:left="1134" w:hanging="567"/>
        <w:jc w:val="left"/>
      </w:pPr>
      <w:r w:rsidRPr="00DB671B">
        <w:t>ii)</w:t>
      </w:r>
      <w:r w:rsidRPr="00DB671B">
        <w:tab/>
        <w:t>Accès au matériel végétal aux fins de la gestion des collections de variétés et de l’examen DHS;</w:t>
      </w:r>
    </w:p>
    <w:p w:rsidR="00850B27" w:rsidRPr="00DB671B" w:rsidRDefault="00850B27" w:rsidP="00DB671B">
      <w:pPr>
        <w:ind w:left="1134" w:hanging="567"/>
        <w:jc w:val="left"/>
      </w:pPr>
      <w:r w:rsidRPr="00DB671B">
        <w:t>iii)</w:t>
      </w:r>
      <w:r w:rsidRPr="00DB671B">
        <w:tab/>
        <w:t>Examen DHS des variétés mutantes du pommier;</w:t>
      </w:r>
    </w:p>
    <w:p w:rsidR="00850B27" w:rsidRPr="00DB671B" w:rsidRDefault="00850B27" w:rsidP="00DB671B">
      <w:pPr>
        <w:ind w:left="1134" w:hanging="567"/>
        <w:jc w:val="left"/>
      </w:pPr>
      <w:r w:rsidRPr="00DB671B">
        <w:t>iv)</w:t>
      </w:r>
      <w:r w:rsidRPr="00DB671B">
        <w:tab/>
        <w:t>Données d’expérience relatives à la définition des arbres, des arbustes et de la vigne;</w:t>
      </w:r>
    </w:p>
    <w:p w:rsidR="00850B27" w:rsidRPr="00DB671B" w:rsidRDefault="00850B27" w:rsidP="00DB671B">
      <w:pPr>
        <w:ind w:left="1134" w:hanging="567"/>
        <w:jc w:val="left"/>
      </w:pPr>
      <w:r w:rsidRPr="00DB671B">
        <w:t>v)</w:t>
      </w:r>
      <w:r w:rsidRPr="00DB671B">
        <w:tab/>
        <w:t>Définition du “cycle de végétation” des variétés ornementales;</w:t>
      </w:r>
    </w:p>
    <w:p w:rsidR="00850B27" w:rsidRPr="00DB671B" w:rsidRDefault="00850B27" w:rsidP="00DB671B">
      <w:pPr>
        <w:ind w:left="1134" w:hanging="567"/>
        <w:jc w:val="left"/>
      </w:pPr>
      <w:r w:rsidRPr="00DB671B">
        <w:t>vi)</w:t>
      </w:r>
      <w:r w:rsidRPr="00DB671B">
        <w:tab/>
        <w:t>Données d’expérience relatives aux caractères évalués sur la base d’échantillons globaux;</w:t>
      </w:r>
    </w:p>
    <w:p w:rsidR="00850B27" w:rsidRPr="00DB671B" w:rsidRDefault="00850B27" w:rsidP="00DB671B">
      <w:pPr>
        <w:ind w:left="1134" w:hanging="567"/>
        <w:jc w:val="left"/>
      </w:pPr>
      <w:r w:rsidRPr="00DB671B">
        <w:t>vii)</w:t>
      </w:r>
      <w:r w:rsidRPr="00DB671B">
        <w:tab/>
        <w:t>Expérience en matière d’utilisation du code de couleurs RHS et ajout éventuel de couleurs à l’avenir;</w:t>
      </w:r>
    </w:p>
    <w:p w:rsidR="00850B27" w:rsidRPr="00DB671B" w:rsidRDefault="00850B27" w:rsidP="00DB671B">
      <w:pPr>
        <w:ind w:left="1134" w:hanging="567"/>
        <w:jc w:val="left"/>
      </w:pPr>
      <w:r w:rsidRPr="00DB671B">
        <w:t>viii)</w:t>
      </w:r>
      <w:r w:rsidRPr="00DB671B">
        <w:tab/>
        <w:t>Données d’expérience relatives aux bases de données taxonomiques;</w:t>
      </w:r>
    </w:p>
    <w:p w:rsidR="00850B27" w:rsidRPr="00DB671B" w:rsidRDefault="00850B27" w:rsidP="00DB671B">
      <w:pPr>
        <w:ind w:left="1134" w:hanging="567"/>
        <w:jc w:val="left"/>
      </w:pPr>
      <w:r w:rsidRPr="00DB671B">
        <w:t>ix)</w:t>
      </w:r>
      <w:r w:rsidRPr="00DB671B">
        <w:tab/>
        <w:t>Divergences entre les informations figurant dans le questionnaire technique et le matériel végétal soumis pour examen;</w:t>
      </w:r>
    </w:p>
    <w:p w:rsidR="00850B27" w:rsidRPr="00DB671B" w:rsidRDefault="00850B27" w:rsidP="00DB671B">
      <w:pPr>
        <w:ind w:left="1134" w:hanging="567"/>
        <w:jc w:val="left"/>
      </w:pPr>
      <w:r w:rsidRPr="00DB671B">
        <w:t>x)</w:t>
      </w:r>
      <w:r w:rsidRPr="00DB671B">
        <w:tab/>
        <w:t>Données d’expérience sur de nouveaux types et de nouvelles espèces;</w:t>
      </w:r>
    </w:p>
    <w:p w:rsidR="00850B27" w:rsidRPr="00DB671B" w:rsidRDefault="00850B27" w:rsidP="00DB671B">
      <w:pPr>
        <w:ind w:left="1134" w:hanging="567"/>
        <w:jc w:val="left"/>
      </w:pPr>
      <w:r w:rsidRPr="00DB671B">
        <w:t>xi)</w:t>
      </w:r>
      <w:r w:rsidRPr="00DB671B">
        <w:tab/>
        <w:t>Nouvelles questions se posant pour l’examen DHS;</w:t>
      </w:r>
    </w:p>
    <w:p w:rsidR="00850B27" w:rsidRPr="00DB671B" w:rsidRDefault="00850B27" w:rsidP="00DB671B">
      <w:pPr>
        <w:ind w:left="1134" w:hanging="567"/>
        <w:jc w:val="left"/>
      </w:pPr>
      <w:r w:rsidRPr="00DB671B">
        <w:t>xii)</w:t>
      </w:r>
      <w:r w:rsidRPr="00DB671B">
        <w:tab/>
        <w:t>Questions à prendre en considération dans l’examen DHS pour le secteur des fruits;</w:t>
      </w:r>
    </w:p>
    <w:p w:rsidR="00850B27" w:rsidRPr="00DB671B" w:rsidRDefault="00850B27" w:rsidP="00DB671B">
      <w:pPr>
        <w:ind w:left="1134" w:hanging="567"/>
        <w:jc w:val="left"/>
      </w:pPr>
      <w:r w:rsidRPr="00DB671B">
        <w:t>xiii)</w:t>
      </w:r>
      <w:r w:rsidRPr="00DB671B">
        <w:tab/>
        <w:t>Groupes de discussion chargés d’examiner la question des “nouvelles technologies utilisées aux fins l’examen DHS”;</w:t>
      </w:r>
    </w:p>
    <w:p w:rsidR="00850B27" w:rsidRPr="00DB671B" w:rsidRDefault="00850B27" w:rsidP="00DB671B">
      <w:pPr>
        <w:ind w:left="1134" w:hanging="567"/>
      </w:pPr>
      <w:r w:rsidRPr="00DB671B">
        <w:t>xiv)</w:t>
      </w:r>
      <w:r w:rsidRPr="00DB671B">
        <w:tab/>
        <w:t>Évaluation de l’homogénéité d’après les plantes hors-type;</w:t>
      </w:r>
    </w:p>
    <w:p w:rsidR="00850B27" w:rsidRPr="00DB671B" w:rsidRDefault="00850B27" w:rsidP="00DB671B">
      <w:pPr>
        <w:ind w:left="1134" w:hanging="567"/>
      </w:pPr>
      <w:r w:rsidRPr="00DB671B">
        <w:t>xv)</w:t>
      </w:r>
      <w:r w:rsidRPr="00DB671B">
        <w:tab/>
        <w:t>Expérience en matière d’utilisation de deux sites sur un an pour les décisions au titre de l’examen DHS;</w:t>
      </w:r>
    </w:p>
    <w:p w:rsidR="00850B27" w:rsidRPr="00DB671B" w:rsidRDefault="00850B27" w:rsidP="00DB671B">
      <w:pPr>
        <w:ind w:left="1134" w:hanging="567"/>
      </w:pPr>
      <w:r w:rsidRPr="00DB671B">
        <w:t>xvi)</w:t>
      </w:r>
      <w:r w:rsidRPr="00DB671B">
        <w:tab/>
        <w:t>Mise au point et innovation des outils d’examen DHS;</w:t>
      </w:r>
    </w:p>
    <w:p w:rsidR="00850B27" w:rsidRPr="00DB671B" w:rsidRDefault="00850B27" w:rsidP="00DB671B">
      <w:pPr>
        <w:ind w:left="1134" w:hanging="567"/>
      </w:pPr>
      <w:r w:rsidRPr="00DB671B">
        <w:t>xvii)</w:t>
      </w:r>
      <w:r w:rsidRPr="00DB671B">
        <w:tab/>
        <w:t>Services Web fournis par l’UPOV;</w:t>
      </w:r>
    </w:p>
    <w:p w:rsidR="00850B27" w:rsidRPr="00DB671B" w:rsidRDefault="00850B27" w:rsidP="00DB671B">
      <w:pPr>
        <w:ind w:left="1134" w:hanging="567"/>
      </w:pPr>
      <w:r w:rsidRPr="00DB671B">
        <w:t>xviii)</w:t>
      </w:r>
      <w:r w:rsidRPr="00DB671B">
        <w:tab/>
        <w:t>Logiciel d’analyse statistique – Excel DHS;  et</w:t>
      </w:r>
    </w:p>
    <w:p w:rsidR="00850B27" w:rsidRPr="00DB671B" w:rsidRDefault="00850B27" w:rsidP="00DB671B">
      <w:pPr>
        <w:ind w:left="1134" w:hanging="567"/>
      </w:pPr>
      <w:r w:rsidRPr="00DB671B">
        <w:t>xix)</w:t>
      </w:r>
      <w:r w:rsidRPr="00DB671B">
        <w:tab/>
        <w:t>Construction d’une base de données à partir des données relatives aux marqueurs moléculaires pour la gestion des collections de variétés.</w:t>
      </w:r>
    </w:p>
    <w:p w:rsidR="00850B27" w:rsidRPr="00DB671B" w:rsidRDefault="00850B27" w:rsidP="00DB671B">
      <w:pPr>
        <w:ind w:left="1134" w:hanging="567"/>
      </w:pPr>
    </w:p>
    <w:p w:rsidR="00850B27" w:rsidRPr="00DB671B" w:rsidRDefault="00850B27" w:rsidP="00DB671B"/>
    <w:p w:rsidR="00850B27" w:rsidRPr="00DB671B" w:rsidRDefault="00850B27" w:rsidP="00DD0D32">
      <w:pPr>
        <w:pStyle w:val="Heading2"/>
        <w:rPr>
          <w:lang w:val="fr-FR"/>
        </w:rPr>
      </w:pPr>
      <w:r w:rsidRPr="00DB671B">
        <w:rPr>
          <w:lang w:val="fr-FR"/>
        </w:rPr>
        <w:t>Documents TGP</w:t>
      </w:r>
    </w:p>
    <w:p w:rsidR="00850B27" w:rsidRPr="00DB671B" w:rsidRDefault="00850B27" w:rsidP="00DD0D32">
      <w:pPr>
        <w:keepNext/>
      </w:pPr>
    </w:p>
    <w:p w:rsidR="00850B27" w:rsidRPr="00DB671B" w:rsidRDefault="00850B27" w:rsidP="00DD0D32">
      <w:pPr>
        <w:keepNext/>
      </w:pPr>
      <w:r w:rsidRPr="00DB671B">
        <w:fldChar w:fldCharType="begin"/>
      </w:r>
      <w:r w:rsidRPr="00DB671B">
        <w:instrText xml:space="preserve"> AUTONUM  </w:instrText>
      </w:r>
      <w:r w:rsidRPr="00DB671B">
        <w:fldChar w:fldCharType="end"/>
      </w:r>
      <w:r w:rsidRPr="00DB671B">
        <w:tab/>
        <w:t>Le TC examine les documents TC/55/4 et TC/55/4 Add.</w:t>
      </w:r>
    </w:p>
    <w:p w:rsidR="00850B27" w:rsidRPr="00DB671B" w:rsidRDefault="00850B27" w:rsidP="00DD0D32">
      <w:pPr>
        <w:keepNext/>
      </w:pPr>
    </w:p>
    <w:p w:rsidR="00850B27" w:rsidRPr="00DB671B" w:rsidRDefault="00850B27" w:rsidP="00DD0D32">
      <w:pPr>
        <w:pStyle w:val="Heading3"/>
        <w:rPr>
          <w:lang w:val="fr-FR"/>
        </w:rPr>
      </w:pPr>
      <w:r w:rsidRPr="00DB671B">
        <w:rPr>
          <w:lang w:val="fr-FR"/>
        </w:rPr>
        <w:t>Questions pour adoption par le Conseil en 2019</w:t>
      </w:r>
    </w:p>
    <w:p w:rsidR="00850B27" w:rsidRPr="00DB671B" w:rsidRDefault="00850B27" w:rsidP="00DB671B">
      <w:pPr>
        <w:keepNext/>
      </w:pPr>
    </w:p>
    <w:p w:rsidR="00850B27" w:rsidRPr="00DB671B" w:rsidRDefault="00850B27" w:rsidP="00DB671B">
      <w:pPr>
        <w:keepNext/>
      </w:pPr>
      <w:r w:rsidRPr="00DB671B">
        <w:fldChar w:fldCharType="begin"/>
      </w:r>
      <w:r w:rsidRPr="00DB671B">
        <w:instrText xml:space="preserve"> AUTONUM  </w:instrText>
      </w:r>
      <w:r w:rsidRPr="00DB671B">
        <w:fldChar w:fldCharType="end"/>
      </w:r>
      <w:r w:rsidRPr="00DB671B">
        <w:tab/>
        <w:t>Le TC prend note des versions révisées des documents TGP ci-après, qui devraient être soumises au Conseil pour adoption à sa cinquante-troisième session ordinaire, sous réserve de l’approbation du CAJ à sa soixante-seizième session.</w:t>
      </w:r>
    </w:p>
    <w:p w:rsidR="00850B27" w:rsidRPr="00DB671B" w:rsidRDefault="00850B27" w:rsidP="00DB671B">
      <w:pPr>
        <w:keepNext/>
      </w:pPr>
    </w:p>
    <w:p w:rsidR="00850B27" w:rsidRPr="00DB671B" w:rsidRDefault="00850B27" w:rsidP="009530CF">
      <w:pPr>
        <w:pStyle w:val="ListParagraph"/>
        <w:numPr>
          <w:ilvl w:val="0"/>
          <w:numId w:val="19"/>
        </w:numPr>
        <w:ind w:left="851" w:hanging="425"/>
      </w:pPr>
      <w:r w:rsidRPr="00DB671B">
        <w:t>Document TGP/7 “Élaboration des principes directeurs d’examen” (document TGP/7/7), sur la base du document TGP/7/7 Draft 1 Rev.</w:t>
      </w:r>
    </w:p>
    <w:p w:rsidR="00850B27" w:rsidRPr="00DB671B" w:rsidRDefault="00850B27" w:rsidP="009530CF">
      <w:pPr>
        <w:pStyle w:val="ListParagraph"/>
        <w:ind w:left="851" w:hanging="425"/>
      </w:pPr>
    </w:p>
    <w:p w:rsidR="00850B27" w:rsidRPr="00DB671B" w:rsidRDefault="00850B27" w:rsidP="009530CF">
      <w:pPr>
        <w:pStyle w:val="ListParagraph"/>
        <w:numPr>
          <w:ilvl w:val="0"/>
          <w:numId w:val="19"/>
        </w:numPr>
        <w:ind w:left="851" w:hanging="425"/>
      </w:pPr>
      <w:r w:rsidRPr="00DB671B">
        <w:t>Document TGP/8 “Protocole d’essai et techniques utilisés dans l’examen de la distinction, de l’homogénéité et de la stabilité” (document TGP/8/3), sur la base du document TGP/8/4 Draft 1.</w:t>
      </w:r>
    </w:p>
    <w:p w:rsidR="00850B27" w:rsidRPr="00DB671B" w:rsidRDefault="00850B27" w:rsidP="009530CF">
      <w:pPr>
        <w:ind w:left="851" w:hanging="425"/>
      </w:pPr>
    </w:p>
    <w:p w:rsidR="00850B27" w:rsidRPr="00DB671B" w:rsidRDefault="00850B27" w:rsidP="009530CF">
      <w:pPr>
        <w:pStyle w:val="ListParagraph"/>
        <w:numPr>
          <w:ilvl w:val="0"/>
          <w:numId w:val="19"/>
        </w:numPr>
        <w:ind w:left="851" w:hanging="425"/>
      </w:pPr>
      <w:r w:rsidRPr="00DB671B">
        <w:t>Document TGP/10 “Examen de l’homogénéité” (document TGP/10/1), sur la base du document TGP/10/2 Draft 1.</w:t>
      </w:r>
    </w:p>
    <w:p w:rsidR="00850B27" w:rsidRPr="00DB671B" w:rsidRDefault="00850B27" w:rsidP="009530CF">
      <w:pPr>
        <w:ind w:left="851" w:hanging="425"/>
      </w:pPr>
    </w:p>
    <w:p w:rsidR="00850B27" w:rsidRPr="00DB671B" w:rsidRDefault="00850B27" w:rsidP="009530CF">
      <w:pPr>
        <w:pStyle w:val="ListParagraph"/>
        <w:numPr>
          <w:ilvl w:val="0"/>
          <w:numId w:val="19"/>
        </w:numPr>
        <w:ind w:left="851" w:hanging="425"/>
      </w:pPr>
      <w:r w:rsidRPr="00DB671B">
        <w:t>Document TGP/14 “Glossaire de termes utilisés dans les</w:t>
      </w:r>
      <w:r w:rsidR="008C0EF8">
        <w:t xml:space="preserve"> documents de l’UPOV” (document </w:t>
      </w:r>
      <w:r w:rsidRPr="00DB671B">
        <w:t>TGP/14/3), sur la base du document TGP/14/4 Draft 1.</w:t>
      </w:r>
    </w:p>
    <w:p w:rsidR="00850B27" w:rsidRPr="00DB671B" w:rsidRDefault="00850B27" w:rsidP="009530CF">
      <w:pPr>
        <w:ind w:left="851" w:hanging="425"/>
      </w:pPr>
    </w:p>
    <w:p w:rsidR="00850B27" w:rsidRPr="00DB671B" w:rsidRDefault="00850B27" w:rsidP="009530CF">
      <w:pPr>
        <w:pStyle w:val="ListParagraph"/>
        <w:numPr>
          <w:ilvl w:val="0"/>
          <w:numId w:val="19"/>
        </w:numPr>
        <w:ind w:left="851" w:hanging="425"/>
      </w:pPr>
      <w:r w:rsidRPr="00DB671B">
        <w:t>Document TGP/15 “Conseils en ce qui concerne l’utilisation des marqueurs biochimiques et moléculaires dans l’examen de la distinction, de l’homogénéité et de la stabilité (DHS)” (document TGP/15/1), sur la base du document TGP/15/2 Draft 2.</w:t>
      </w:r>
    </w:p>
    <w:p w:rsidR="00850B27" w:rsidRPr="00DB671B" w:rsidRDefault="00850B27" w:rsidP="00DB671B"/>
    <w:p w:rsidR="00850B27" w:rsidRPr="00DB671B" w:rsidRDefault="00850B27" w:rsidP="00DB671B">
      <w:r w:rsidRPr="00DB671B">
        <w:fldChar w:fldCharType="begin"/>
      </w:r>
      <w:r w:rsidRPr="00DB671B">
        <w:instrText xml:space="preserve"> AUTONUM  </w:instrText>
      </w:r>
      <w:r w:rsidRPr="00DB671B">
        <w:fldChar w:fldCharType="end"/>
      </w:r>
      <w:r w:rsidRPr="00DB671B">
        <w:tab/>
        <w:t>Le TC note que, parallèlement à l’adoption des documents TGP révisés, le Conseil sera invité à adopter une version révisée du document TGP/0 “Liste des documents TGP et date de la version la plus récente de ces documents” (document TGP/0/10), sur la base du document TGP/0/11 Draft 1.</w:t>
      </w:r>
    </w:p>
    <w:p w:rsidR="00850B27" w:rsidRPr="00DB671B" w:rsidRDefault="00850B27" w:rsidP="00DB671B"/>
    <w:p w:rsidR="00850B27" w:rsidRPr="00DB671B" w:rsidRDefault="00850B27" w:rsidP="00DB671B">
      <w:pPr>
        <w:pStyle w:val="Heading3"/>
        <w:rPr>
          <w:lang w:val="fr-FR"/>
        </w:rPr>
      </w:pPr>
      <w:r w:rsidRPr="00DB671B">
        <w:rPr>
          <w:lang w:val="fr-FR"/>
        </w:rPr>
        <w:t>Éventuelles futures révisions des documents TGP</w:t>
      </w:r>
    </w:p>
    <w:p w:rsidR="00850B27" w:rsidRPr="00DB671B" w:rsidRDefault="00850B27" w:rsidP="00DB671B">
      <w:pPr>
        <w:keepNext/>
      </w:pPr>
    </w:p>
    <w:p w:rsidR="00850B27" w:rsidRPr="00DB671B" w:rsidRDefault="00850B27" w:rsidP="00DB671B">
      <w:pPr>
        <w:pStyle w:val="Heading4"/>
      </w:pPr>
      <w:r w:rsidRPr="00DB671B">
        <w:t>TGP/7 : Élaboration des principes directeurs d’examen</w:t>
      </w:r>
    </w:p>
    <w:p w:rsidR="00850B27" w:rsidRPr="00DB671B" w:rsidRDefault="00850B27" w:rsidP="00DB671B">
      <w:pPr>
        <w:keepNext/>
      </w:pPr>
    </w:p>
    <w:p w:rsidR="00850B27" w:rsidRPr="001766FA" w:rsidRDefault="00850B27" w:rsidP="00DB671B">
      <w:pPr>
        <w:pStyle w:val="Heading5"/>
        <w:rPr>
          <w:lang w:val="fr-CH"/>
        </w:rPr>
      </w:pPr>
      <w:r w:rsidRPr="001766FA">
        <w:rPr>
          <w:lang w:val="fr-CH"/>
        </w:rPr>
        <w:t>Caractères applicables à certaines variétés seulement</w:t>
      </w:r>
    </w:p>
    <w:p w:rsidR="00850B27" w:rsidRPr="00DB671B" w:rsidRDefault="00850B27" w:rsidP="00DB671B">
      <w:pPr>
        <w:keepNext/>
      </w:pPr>
    </w:p>
    <w:p w:rsidR="00850B27" w:rsidRPr="00DB671B" w:rsidRDefault="00850B27" w:rsidP="00DB671B">
      <w:pPr>
        <w:keepNext/>
      </w:pPr>
      <w:r w:rsidRPr="00DB671B">
        <w:fldChar w:fldCharType="begin"/>
      </w:r>
      <w:r w:rsidRPr="00DB671B">
        <w:instrText xml:space="preserve"> AUTONUM  </w:instrText>
      </w:r>
      <w:r w:rsidRPr="00DB671B">
        <w:fldChar w:fldCharType="end"/>
      </w:r>
      <w:r w:rsidRPr="00DB671B">
        <w:tab/>
        <w:t>Le TC examine les documents TC/55/12 et TC/55/12 Add.</w:t>
      </w:r>
    </w:p>
    <w:p w:rsidR="00850B27" w:rsidRPr="00DB671B" w:rsidRDefault="00850B27" w:rsidP="00DB671B"/>
    <w:p w:rsidR="00850B27" w:rsidRPr="00DB671B" w:rsidRDefault="00850B27" w:rsidP="00DB671B">
      <w:r w:rsidRPr="00DB671B">
        <w:fldChar w:fldCharType="begin"/>
      </w:r>
      <w:r w:rsidRPr="00DB671B">
        <w:instrText xml:space="preserve"> AUTONUM  </w:instrText>
      </w:r>
      <w:r w:rsidRPr="00DB671B">
        <w:fldChar w:fldCharType="end"/>
      </w:r>
      <w:r w:rsidRPr="00DB671B">
        <w:tab/>
        <w:t>Le TC examine la proposition de modifier comme suit les conseils figurant dans la note indicative 18 (GN 18) du document TGP/7 afin de permettre l’exclusion d’un caractère de l’observation sur la base du niveau d’expression d’un caractère pseudo-qualitatif ou quantitatif précédent.</w:t>
      </w:r>
    </w:p>
    <w:p w:rsidR="00850B27" w:rsidRPr="00DB671B" w:rsidRDefault="00850B27" w:rsidP="00DB671B"/>
    <w:p w:rsidR="00850B27" w:rsidRPr="00DB671B" w:rsidRDefault="00850B27" w:rsidP="00DB671B">
      <w:r w:rsidRPr="00DB671B">
        <w:fldChar w:fldCharType="begin"/>
      </w:r>
      <w:r w:rsidRPr="00DB671B">
        <w:instrText xml:space="preserve"> AUTONUM  </w:instrText>
      </w:r>
      <w:r w:rsidRPr="00DB671B">
        <w:fldChar w:fldCharType="end"/>
      </w:r>
      <w:r w:rsidRPr="00DB671B">
        <w:tab/>
        <w:t>Le TC examine les exemples de caractères quantitatif et pseudo-qualitatif fournis par les TWP à leurs sessions tenues en 2019 pour expliquer comment la méthode peut être utilisée sans incidence sur les décisions relatives à la distinction.</w:t>
      </w:r>
    </w:p>
    <w:p w:rsidR="00850B27" w:rsidRPr="00DB671B" w:rsidRDefault="00850B27" w:rsidP="00DB671B"/>
    <w:p w:rsidR="00850B27" w:rsidRPr="00DB671B" w:rsidRDefault="00850B27" w:rsidP="00DB671B">
      <w:pPr>
        <w:keepLines/>
      </w:pPr>
      <w:r w:rsidRPr="00DB671B">
        <w:fldChar w:fldCharType="begin"/>
      </w:r>
      <w:r w:rsidRPr="00DB671B">
        <w:instrText xml:space="preserve"> AUTONUM  </w:instrText>
      </w:r>
      <w:r w:rsidRPr="00DB671B">
        <w:fldChar w:fldCharType="end"/>
      </w:r>
      <w:r w:rsidRPr="00DB671B">
        <w:tab/>
        <w:t>Le TC convient de modifier comme suit les orientations figurant dans la note indicative 18 (GN 18) du document TGP/7 :</w:t>
      </w:r>
    </w:p>
    <w:p w:rsidR="00850B27" w:rsidRPr="00DB671B" w:rsidRDefault="00850B27" w:rsidP="00DB671B"/>
    <w:p w:rsidR="00850B27" w:rsidRPr="00DB671B" w:rsidRDefault="00850B27" w:rsidP="00DB671B">
      <w:pPr>
        <w:ind w:left="567" w:right="565"/>
        <w:rPr>
          <w:rFonts w:cs="Arial"/>
          <w:bCs/>
          <w:i/>
          <w:snapToGrid w:val="0"/>
          <w:sz w:val="18"/>
        </w:rPr>
      </w:pPr>
      <w:r w:rsidRPr="00DB671B">
        <w:rPr>
          <w:rFonts w:cs="Arial"/>
          <w:bCs/>
          <w:snapToGrid w:val="0"/>
          <w:sz w:val="18"/>
        </w:rPr>
        <w:t>“</w:t>
      </w:r>
      <w:r w:rsidRPr="00DB671B">
        <w:rPr>
          <w:rFonts w:cs="Arial"/>
          <w:bCs/>
          <w:i/>
          <w:snapToGrid w:val="0"/>
          <w:sz w:val="18"/>
        </w:rPr>
        <w:t>3.</w:t>
      </w:r>
      <w:r w:rsidRPr="00DB671B">
        <w:rPr>
          <w:i/>
          <w:sz w:val="18"/>
        </w:rPr>
        <w:t xml:space="preserve"> </w:t>
      </w:r>
      <w:r w:rsidRPr="00DB671B">
        <w:rPr>
          <w:rFonts w:cs="Arial"/>
          <w:bCs/>
          <w:i/>
          <w:snapToGrid w:val="0"/>
          <w:sz w:val="18"/>
        </w:rPr>
        <w:t xml:space="preserve"> Caractères applicables à certaines variétés seulement</w:t>
      </w:r>
    </w:p>
    <w:p w:rsidR="00850B27" w:rsidRPr="00DB671B" w:rsidRDefault="00850B27" w:rsidP="00DB671B">
      <w:pPr>
        <w:ind w:left="567" w:right="565"/>
        <w:rPr>
          <w:rFonts w:cs="Arial"/>
          <w:bCs/>
          <w:snapToGrid w:val="0"/>
          <w:sz w:val="18"/>
        </w:rPr>
      </w:pPr>
    </w:p>
    <w:p w:rsidR="00850B27" w:rsidRPr="00DB671B" w:rsidRDefault="00850B27" w:rsidP="00DB671B">
      <w:pPr>
        <w:ind w:left="567" w:right="565"/>
        <w:rPr>
          <w:rFonts w:cs="Arial"/>
          <w:bCs/>
          <w:snapToGrid w:val="0"/>
          <w:sz w:val="18"/>
        </w:rPr>
      </w:pPr>
      <w:r w:rsidRPr="00DB671B">
        <w:rPr>
          <w:rFonts w:cs="Arial"/>
          <w:bCs/>
          <w:snapToGrid w:val="0"/>
          <w:sz w:val="18"/>
        </w:rPr>
        <w:t>“Dans certains cas, le niveau d’expression d’un caractère qualitatif précédent fait qu’un caractère donné ne s’applique pas à un caractère ultérieur;  par exemple, il ne serait pas possible de décrire la forme des lobes des feuilles d’une variété dont les feuilles ne possèdent pas de lobes.</w:t>
      </w:r>
    </w:p>
    <w:p w:rsidR="00850B27" w:rsidRPr="00DB671B" w:rsidRDefault="00850B27" w:rsidP="00DB671B">
      <w:pPr>
        <w:ind w:left="567" w:right="565"/>
        <w:rPr>
          <w:rFonts w:cs="Arial"/>
          <w:bCs/>
          <w:snapToGrid w:val="0"/>
          <w:sz w:val="18"/>
          <w:szCs w:val="18"/>
          <w:highlight w:val="lightGray"/>
          <w:u w:val="single"/>
        </w:rPr>
      </w:pPr>
    </w:p>
    <w:p w:rsidR="00850B27" w:rsidRPr="00DB671B" w:rsidRDefault="00DB671B" w:rsidP="00DB671B">
      <w:pPr>
        <w:ind w:left="567" w:right="565"/>
        <w:rPr>
          <w:rFonts w:cs="Arial"/>
          <w:bCs/>
          <w:snapToGrid w:val="0"/>
          <w:sz w:val="18"/>
        </w:rPr>
      </w:pPr>
      <w:r>
        <w:rPr>
          <w:rFonts w:cs="Arial"/>
          <w:bCs/>
          <w:snapToGrid w:val="0"/>
          <w:sz w:val="18"/>
        </w:rPr>
        <w:t>“</w:t>
      </w:r>
      <w:r w:rsidR="00850B27" w:rsidRPr="00DB671B">
        <w:rPr>
          <w:rFonts w:cs="Arial"/>
          <w:bCs/>
          <w:snapToGrid w:val="0"/>
          <w:sz w:val="18"/>
        </w:rPr>
        <w:t>Dans les cas où ce n’est pas évident, ou lorsque les caractères sont séparés dans le tableau des caractères, la désignation du caractère suivant est précédée d’une mention soulignée des types de variétés auxquels elle s’applique, sur la base du caractère précédent.</w:t>
      </w:r>
    </w:p>
    <w:p w:rsidR="00850B27" w:rsidRPr="00DB671B" w:rsidRDefault="00850B27" w:rsidP="00DB671B">
      <w:pPr>
        <w:ind w:left="567" w:right="565"/>
        <w:rPr>
          <w:rFonts w:cs="Arial"/>
          <w:bCs/>
          <w:snapToGrid w:val="0"/>
          <w:sz w:val="18"/>
        </w:rPr>
      </w:pPr>
    </w:p>
    <w:p w:rsidR="00850B27" w:rsidRPr="00DB671B" w:rsidRDefault="00850B27" w:rsidP="00DB671B">
      <w:pPr>
        <w:ind w:left="567" w:right="565"/>
        <w:rPr>
          <w:sz w:val="18"/>
          <w:szCs w:val="18"/>
        </w:rPr>
      </w:pPr>
      <w:r w:rsidRPr="00DB671B">
        <w:rPr>
          <w:sz w:val="18"/>
          <w:szCs w:val="18"/>
        </w:rPr>
        <w:t>“Les exemples ci-après expliquent comment la méthode peut être utilisée pour les caractères qualitatifs (QL), pseudo-qualitatifs (PQ) et quantitatifs (QN) :</w:t>
      </w:r>
    </w:p>
    <w:p w:rsidR="00850B27" w:rsidRPr="00DB671B" w:rsidRDefault="00850B27" w:rsidP="00DB671B">
      <w:pPr>
        <w:ind w:left="567" w:right="565"/>
        <w:rPr>
          <w:rFonts w:cs="Arial"/>
          <w:bCs/>
          <w:snapToGrid w:val="0"/>
          <w:sz w:val="18"/>
        </w:rPr>
      </w:pPr>
    </w:p>
    <w:p w:rsidR="00850B27" w:rsidRPr="00DB671B" w:rsidRDefault="00850B27" w:rsidP="00DB671B">
      <w:pPr>
        <w:ind w:left="1134" w:right="565"/>
        <w:rPr>
          <w:rFonts w:cs="Arial"/>
          <w:bCs/>
          <w:snapToGrid w:val="0"/>
          <w:sz w:val="18"/>
        </w:rPr>
      </w:pPr>
      <w:r w:rsidRPr="00DB671B">
        <w:rPr>
          <w:rFonts w:cs="Arial"/>
          <w:bCs/>
          <w:snapToGrid w:val="0"/>
          <w:sz w:val="18"/>
        </w:rPr>
        <w:t>(QL) Fleur : type : simple (1);  double (2)</w:t>
      </w:r>
    </w:p>
    <w:p w:rsidR="00850B27" w:rsidRPr="00DB671B" w:rsidRDefault="00850B27" w:rsidP="00DB671B">
      <w:pPr>
        <w:ind w:left="1134" w:right="565"/>
        <w:rPr>
          <w:rFonts w:cs="Arial"/>
          <w:bCs/>
          <w:snapToGrid w:val="0"/>
          <w:sz w:val="18"/>
        </w:rPr>
      </w:pPr>
      <w:r w:rsidRPr="00DB671B">
        <w:rPr>
          <w:rFonts w:cs="Arial"/>
          <w:bCs/>
          <w:snapToGrid w:val="0"/>
          <w:sz w:val="18"/>
        </w:rPr>
        <w:t xml:space="preserve">(PQ) </w:t>
      </w:r>
      <w:r w:rsidRPr="00DB671B">
        <w:rPr>
          <w:rFonts w:cs="Arial"/>
          <w:bCs/>
          <w:snapToGrid w:val="0"/>
          <w:sz w:val="18"/>
          <w:u w:val="single"/>
        </w:rPr>
        <w:t>Variétés à type de fleur simple seulement</w:t>
      </w:r>
      <w:r w:rsidRPr="00DB671B">
        <w:rPr>
          <w:rFonts w:cs="Arial"/>
          <w:bCs/>
          <w:snapToGrid w:val="0"/>
          <w:sz w:val="18"/>
        </w:rPr>
        <w:t> : Fleur : forme</w:t>
      </w:r>
    </w:p>
    <w:p w:rsidR="00850B27" w:rsidRPr="00DB671B" w:rsidRDefault="00850B27" w:rsidP="00DB671B">
      <w:pPr>
        <w:ind w:left="567" w:right="565"/>
        <w:rPr>
          <w:rFonts w:cs="Arial"/>
          <w:bCs/>
          <w:snapToGrid w:val="0"/>
          <w:sz w:val="18"/>
          <w:szCs w:val="18"/>
        </w:rPr>
      </w:pPr>
    </w:p>
    <w:p w:rsidR="00850B27" w:rsidRPr="00DB671B" w:rsidRDefault="00850B27" w:rsidP="00DB671B">
      <w:pPr>
        <w:keepNext/>
        <w:keepLines/>
        <w:ind w:left="1560" w:right="567" w:hanging="426"/>
        <w:rPr>
          <w:snapToGrid w:val="0"/>
          <w:sz w:val="18"/>
        </w:rPr>
      </w:pPr>
      <w:r w:rsidRPr="00DB671B">
        <w:rPr>
          <w:snapToGrid w:val="0"/>
          <w:sz w:val="18"/>
        </w:rPr>
        <w:t>(PQ) Capitule : type : simple (1);  semi-double (2);  double à œil de marguerite (3);  double (4)</w:t>
      </w:r>
    </w:p>
    <w:p w:rsidR="00850B27" w:rsidRPr="00DB671B" w:rsidRDefault="00850B27" w:rsidP="00DB671B">
      <w:pPr>
        <w:keepNext/>
        <w:keepLines/>
        <w:ind w:left="1560" w:right="567" w:hanging="426"/>
        <w:rPr>
          <w:snapToGrid w:val="0"/>
          <w:sz w:val="18"/>
          <w:u w:val="single"/>
        </w:rPr>
      </w:pPr>
      <w:r w:rsidRPr="00DB671B">
        <w:rPr>
          <w:snapToGrid w:val="0"/>
          <w:sz w:val="18"/>
        </w:rPr>
        <w:t xml:space="preserve">(QN) </w:t>
      </w:r>
      <w:r w:rsidRPr="00DB671B">
        <w:rPr>
          <w:snapToGrid w:val="0"/>
          <w:sz w:val="18"/>
          <w:u w:val="single"/>
        </w:rPr>
        <w:t>Variété à type de capitule double à œil de marguerite ou double seulement</w:t>
      </w:r>
      <w:r w:rsidRPr="00DB671B">
        <w:rPr>
          <w:snapToGrid w:val="0"/>
          <w:sz w:val="18"/>
        </w:rPr>
        <w:t> : Capitule : hauteur : court (3);  moyen (5);  haut (7)</w:t>
      </w:r>
    </w:p>
    <w:p w:rsidR="00850B27" w:rsidRPr="00DB671B" w:rsidRDefault="00850B27" w:rsidP="00DB671B">
      <w:pPr>
        <w:ind w:left="1560" w:right="567" w:hanging="426"/>
        <w:rPr>
          <w:sz w:val="18"/>
        </w:rPr>
      </w:pPr>
    </w:p>
    <w:p w:rsidR="00850B27" w:rsidRPr="00DB671B" w:rsidRDefault="00850B27" w:rsidP="00DB671B">
      <w:pPr>
        <w:keepNext/>
        <w:ind w:left="1560" w:right="567" w:hanging="426"/>
        <w:rPr>
          <w:sz w:val="18"/>
        </w:rPr>
      </w:pPr>
      <w:r w:rsidRPr="00DB671B">
        <w:rPr>
          <w:sz w:val="18"/>
        </w:rPr>
        <w:t>(PQ) Plante : formation d’une pomme : absente (1);  ouverte (2);  fermée (3)</w:t>
      </w:r>
    </w:p>
    <w:p w:rsidR="00850B27" w:rsidRPr="00DB671B" w:rsidRDefault="00850B27" w:rsidP="00DB671B">
      <w:pPr>
        <w:keepNext/>
        <w:ind w:left="1560" w:right="567" w:hanging="426"/>
        <w:rPr>
          <w:sz w:val="18"/>
        </w:rPr>
      </w:pPr>
      <w:r w:rsidRPr="00DB671B">
        <w:rPr>
          <w:sz w:val="18"/>
        </w:rPr>
        <w:t xml:space="preserve">(QN) </w:t>
      </w:r>
      <w:r w:rsidRPr="00DB671B">
        <w:rPr>
          <w:sz w:val="18"/>
          <w:u w:val="single"/>
        </w:rPr>
        <w:t>Variétés avec formation d’une pomme ouverte ou fermée seulement</w:t>
      </w:r>
      <w:r w:rsidRPr="00DB671B">
        <w:rPr>
          <w:sz w:val="18"/>
        </w:rPr>
        <w:t> : Époque de formation de la pomme : très précoce (1);  précoce (3);  moyenne (5);  tardive (7);  très tardive (9)</w:t>
      </w:r>
    </w:p>
    <w:p w:rsidR="00850B27" w:rsidRPr="00DB671B" w:rsidRDefault="00850B27" w:rsidP="00DB671B">
      <w:pPr>
        <w:ind w:left="1560" w:hanging="426"/>
        <w:rPr>
          <w:i/>
          <w:sz w:val="18"/>
        </w:rPr>
      </w:pPr>
    </w:p>
    <w:p w:rsidR="00850B27" w:rsidRPr="00DB671B" w:rsidRDefault="00850B27" w:rsidP="00DB671B">
      <w:pPr>
        <w:ind w:left="1560" w:hanging="426"/>
        <w:rPr>
          <w:snapToGrid w:val="0"/>
          <w:sz w:val="18"/>
        </w:rPr>
      </w:pPr>
      <w:r w:rsidRPr="00DB671B">
        <w:rPr>
          <w:snapToGrid w:val="0"/>
          <w:sz w:val="18"/>
        </w:rPr>
        <w:t>(QN) Pilosité : absente ou très faible (1)</w:t>
      </w:r>
    </w:p>
    <w:p w:rsidR="00850B27" w:rsidRPr="00DB671B" w:rsidRDefault="00850B27" w:rsidP="00DB671B">
      <w:pPr>
        <w:ind w:left="1560" w:hanging="426"/>
        <w:rPr>
          <w:snapToGrid w:val="0"/>
          <w:sz w:val="18"/>
        </w:rPr>
      </w:pPr>
      <w:r w:rsidRPr="00DB671B">
        <w:rPr>
          <w:snapToGrid w:val="0"/>
          <w:sz w:val="18"/>
        </w:rPr>
        <w:t xml:space="preserve">(PQ) </w:t>
      </w:r>
      <w:r w:rsidRPr="00DB671B">
        <w:rPr>
          <w:snapToGrid w:val="0"/>
          <w:sz w:val="18"/>
          <w:u w:val="single"/>
        </w:rPr>
        <w:t>Variétés avec pilosité autre qu’absente ou très faible seulement</w:t>
      </w:r>
      <w:r w:rsidR="0067134D">
        <w:rPr>
          <w:snapToGrid w:val="0"/>
          <w:sz w:val="18"/>
          <w:u w:val="single"/>
        </w:rPr>
        <w:t xml:space="preserve"> (1)</w:t>
      </w:r>
      <w:r w:rsidRPr="00DB671B">
        <w:rPr>
          <w:snapToGrid w:val="0"/>
          <w:sz w:val="18"/>
        </w:rPr>
        <w:t> : Pilosité : couleur</w:t>
      </w:r>
    </w:p>
    <w:p w:rsidR="00850B27" w:rsidRPr="00DB671B" w:rsidRDefault="00850B27" w:rsidP="00DB671B">
      <w:pPr>
        <w:ind w:left="567"/>
        <w:rPr>
          <w:rFonts w:cs="Arial"/>
          <w:bCs/>
          <w:snapToGrid w:val="0"/>
          <w:sz w:val="18"/>
          <w:szCs w:val="18"/>
        </w:rPr>
      </w:pPr>
    </w:p>
    <w:p w:rsidR="00850B27" w:rsidRPr="00DB671B" w:rsidRDefault="00850B27" w:rsidP="00DB671B">
      <w:pPr>
        <w:ind w:left="567" w:right="567"/>
        <w:rPr>
          <w:sz w:val="18"/>
        </w:rPr>
      </w:pPr>
      <w:r w:rsidRPr="00DB671B">
        <w:rPr>
          <w:sz w:val="18"/>
        </w:rPr>
        <w:t>“L’exclusion des caractères de l’observation sur la base d’un caractère pseudo-qualitatif (PQ) ou quantitatif (QN) précédent dans certaines circonstances doit être appliquée avec prudence, compte tenu des conséquences pour l’examen de la distinction.”</w:t>
      </w:r>
    </w:p>
    <w:p w:rsidR="00850B27" w:rsidRPr="00DB671B" w:rsidRDefault="00850B27" w:rsidP="00DB671B"/>
    <w:p w:rsidR="00850B27" w:rsidRPr="00DB671B" w:rsidRDefault="00850B27" w:rsidP="00DB671B">
      <w:pPr>
        <w:pStyle w:val="Heading4"/>
      </w:pPr>
      <w:r w:rsidRPr="00DB671B">
        <w:t>TGP/8 : Protocole d’essai et techniques utilisés dans l’examen de la distinction, de l’homogénéité et de la stabilité</w:t>
      </w:r>
    </w:p>
    <w:p w:rsidR="00850B27" w:rsidRPr="00DB671B" w:rsidRDefault="00850B27" w:rsidP="00DB671B">
      <w:pPr>
        <w:keepNext/>
      </w:pPr>
    </w:p>
    <w:p w:rsidR="00850B27" w:rsidRPr="001766FA" w:rsidRDefault="00850B27" w:rsidP="00DB671B">
      <w:pPr>
        <w:pStyle w:val="Heading5"/>
        <w:rPr>
          <w:lang w:val="fr-CH"/>
        </w:rPr>
      </w:pPr>
      <w:r w:rsidRPr="001766FA">
        <w:rPr>
          <w:lang w:val="fr-CH"/>
        </w:rPr>
        <w:t>Traitement des données aux fins de l’évaluation de la distinction et de l’élaboration de descriptions variétales</w:t>
      </w:r>
    </w:p>
    <w:p w:rsidR="00850B27" w:rsidRPr="00DB671B" w:rsidRDefault="00850B27" w:rsidP="00DB671B">
      <w:pPr>
        <w:keepNext/>
      </w:pPr>
    </w:p>
    <w:p w:rsidR="00850B27" w:rsidRPr="00DB671B" w:rsidRDefault="00850B27" w:rsidP="00DB671B">
      <w:pPr>
        <w:keepNext/>
      </w:pPr>
      <w:r w:rsidRPr="00DB671B">
        <w:fldChar w:fldCharType="begin"/>
      </w:r>
      <w:r w:rsidRPr="00DB671B">
        <w:instrText xml:space="preserve"> AUTONUM  </w:instrText>
      </w:r>
      <w:r w:rsidRPr="00DB671B">
        <w:fldChar w:fldCharType="end"/>
      </w:r>
      <w:r w:rsidRPr="00DB671B">
        <w:tab/>
        <w:t>Le TC examine les documents TC/55/13 et TC/55/13 Add.</w:t>
      </w:r>
    </w:p>
    <w:p w:rsidR="00850B27" w:rsidRPr="00DB671B" w:rsidRDefault="00850B27" w:rsidP="00DB671B"/>
    <w:p w:rsidR="00850B27" w:rsidRPr="00DB671B" w:rsidRDefault="00850B27" w:rsidP="00DB671B">
      <w:pPr>
        <w:keepNext/>
      </w:pPr>
      <w:r w:rsidRPr="00DB671B">
        <w:fldChar w:fldCharType="begin"/>
      </w:r>
      <w:r w:rsidRPr="00DB671B">
        <w:instrText xml:space="preserve"> AUTONUM  </w:instrText>
      </w:r>
      <w:r w:rsidRPr="00DB671B">
        <w:fldChar w:fldCharType="end"/>
      </w:r>
      <w:r w:rsidRPr="00DB671B">
        <w:tab/>
        <w:t>Le TC convient avec le TWC que le titre du document devrait être modifié comme suit : “Traitement des données aux fins de l’élaboration de descriptions variétales concernant des caractères quantitatifs mesurés”.</w:t>
      </w:r>
    </w:p>
    <w:p w:rsidR="00850B27" w:rsidRPr="00DB671B" w:rsidRDefault="00850B27" w:rsidP="00DB671B"/>
    <w:p w:rsidR="00850B27" w:rsidRPr="00DB671B" w:rsidRDefault="00850B27" w:rsidP="00DB671B">
      <w:r w:rsidRPr="00DB671B">
        <w:fldChar w:fldCharType="begin"/>
      </w:r>
      <w:r w:rsidRPr="00DB671B">
        <w:instrText xml:space="preserve"> AUTONUM  </w:instrText>
      </w:r>
      <w:r w:rsidRPr="00DB671B">
        <w:fldChar w:fldCharType="end"/>
      </w:r>
      <w:r w:rsidRPr="00DB671B">
        <w:tab/>
        <w:t>Le TC convient avec le TWC que les descriptions des méthodes ne sont pas suffisamment précises pour permettre leur application, ni pour déterminer les situations dans lesquelles leur utilisation serait appropriée.</w:t>
      </w:r>
    </w:p>
    <w:p w:rsidR="00850B27" w:rsidRPr="00DB671B" w:rsidRDefault="00850B27" w:rsidP="00DB671B"/>
    <w:p w:rsidR="00850B27" w:rsidRPr="00DB671B" w:rsidRDefault="00850B27" w:rsidP="00DB671B">
      <w:r w:rsidRPr="00DB671B">
        <w:fldChar w:fldCharType="begin"/>
      </w:r>
      <w:r w:rsidRPr="00DB671B">
        <w:instrText xml:space="preserve"> AUTONUM  </w:instrText>
      </w:r>
      <w:r w:rsidRPr="00DB671B">
        <w:fldChar w:fldCharType="end"/>
      </w:r>
      <w:r w:rsidRPr="00DB671B">
        <w:tab/>
        <w:t>Le TC convient avec le TWC d’inviter les experts de l’Allemagne, de la France, de l’Italie, du Japon et du Royaume-Uni à fournir les renseignements ci-après comme point de départ pour décrire les exigences relatives à chaque méthode, lorsque cela se justifie :</w:t>
      </w:r>
    </w:p>
    <w:p w:rsidR="00850B27" w:rsidRPr="00DB671B" w:rsidRDefault="00850B27" w:rsidP="00DB671B"/>
    <w:p w:rsidR="00850B27" w:rsidRPr="00DB671B" w:rsidRDefault="00850B27" w:rsidP="00DB671B">
      <w:pPr>
        <w:pStyle w:val="ListParagraph"/>
        <w:numPr>
          <w:ilvl w:val="0"/>
          <w:numId w:val="18"/>
        </w:numPr>
        <w:ind w:left="1134" w:hanging="567"/>
      </w:pPr>
      <w:r w:rsidRPr="00DB671B">
        <w:t>Pays</w:t>
      </w:r>
    </w:p>
    <w:p w:rsidR="00850B27" w:rsidRPr="00DB671B" w:rsidRDefault="00850B27" w:rsidP="00DB671B">
      <w:pPr>
        <w:pStyle w:val="ListParagraph"/>
        <w:numPr>
          <w:ilvl w:val="0"/>
          <w:numId w:val="18"/>
        </w:numPr>
        <w:ind w:left="1134" w:hanging="567"/>
      </w:pPr>
      <w:r w:rsidRPr="00DB671B">
        <w:t>Méthode</w:t>
      </w:r>
    </w:p>
    <w:p w:rsidR="00850B27" w:rsidRPr="00DB671B" w:rsidRDefault="00850B27" w:rsidP="00DB671B">
      <w:pPr>
        <w:pStyle w:val="ListParagraph"/>
        <w:numPr>
          <w:ilvl w:val="0"/>
          <w:numId w:val="18"/>
        </w:numPr>
        <w:ind w:left="1134" w:hanging="567"/>
      </w:pPr>
      <w:r w:rsidRPr="00DB671B">
        <w:t>Une série complète de variétés indiquées à titre d’exemple est-elle exigée?  [“oui”, “non” ou “ne s’applique pas”]</w:t>
      </w:r>
    </w:p>
    <w:p w:rsidR="00850B27" w:rsidRPr="00DB671B" w:rsidRDefault="00850B27" w:rsidP="00DB671B">
      <w:pPr>
        <w:pStyle w:val="ListParagraph"/>
        <w:numPr>
          <w:ilvl w:val="0"/>
          <w:numId w:val="18"/>
        </w:numPr>
        <w:ind w:left="1134" w:hanging="567"/>
      </w:pPr>
      <w:r w:rsidRPr="00DB671B">
        <w:t>Une série partielle de variétés indiquées à titre d’exemple est-elle exigée?  [“oui”, “non” ou “ne s’applique pas”]</w:t>
      </w:r>
    </w:p>
    <w:p w:rsidR="00850B27" w:rsidRPr="00DB671B" w:rsidRDefault="00850B27" w:rsidP="00DB671B">
      <w:pPr>
        <w:pStyle w:val="ListParagraph"/>
        <w:numPr>
          <w:ilvl w:val="0"/>
          <w:numId w:val="18"/>
        </w:numPr>
        <w:ind w:left="1134" w:hanging="567"/>
      </w:pPr>
      <w:r w:rsidRPr="00DB671B">
        <w:t>Degré de liberté variétés/années &gt; 15?  [“oui”, “non” ou “ne s’applique pas”]</w:t>
      </w:r>
    </w:p>
    <w:p w:rsidR="00850B27" w:rsidRPr="00DB671B" w:rsidRDefault="00850B27" w:rsidP="00DB671B">
      <w:pPr>
        <w:pStyle w:val="ListParagraph"/>
        <w:numPr>
          <w:ilvl w:val="0"/>
          <w:numId w:val="18"/>
        </w:numPr>
        <w:ind w:left="1134" w:hanging="567"/>
      </w:pPr>
      <w:r w:rsidRPr="00DB671B">
        <w:t>Des variétés standard sont-elles exigées?  [“oui”, “non” ou “ne s’applique pas”]</w:t>
      </w:r>
    </w:p>
    <w:p w:rsidR="00850B27" w:rsidRPr="00DB671B" w:rsidRDefault="00850B27" w:rsidP="00DB671B">
      <w:pPr>
        <w:pStyle w:val="ListParagraph"/>
        <w:numPr>
          <w:ilvl w:val="0"/>
          <w:numId w:val="18"/>
        </w:numPr>
        <w:ind w:left="1134" w:hanging="567"/>
      </w:pPr>
      <w:r w:rsidRPr="00DB671B">
        <w:t>L’avis d’un phytotechnicien est-il exigé?  [“oui”, “non” ou “ne s’applique pas”]</w:t>
      </w:r>
    </w:p>
    <w:p w:rsidR="00850B27" w:rsidRPr="00DB671B" w:rsidRDefault="00850B27" w:rsidP="00DB671B">
      <w:pPr>
        <w:pStyle w:val="ListParagraph"/>
        <w:numPr>
          <w:ilvl w:val="0"/>
          <w:numId w:val="18"/>
        </w:numPr>
        <w:ind w:left="1134" w:hanging="567"/>
      </w:pPr>
      <w:r w:rsidRPr="00DB671B">
        <w:t>La gamme complète d’expressions dans le cadre d’un essai en culture est-elle exigée?  [“oui”, “non” ou “ne s’applique pas”]</w:t>
      </w:r>
    </w:p>
    <w:p w:rsidR="00850B27" w:rsidRPr="00DB671B" w:rsidRDefault="00850B27" w:rsidP="00DB671B">
      <w:pPr>
        <w:pStyle w:val="ListParagraph"/>
        <w:numPr>
          <w:ilvl w:val="0"/>
          <w:numId w:val="18"/>
        </w:numPr>
        <w:ind w:left="1134" w:hanging="567"/>
      </w:pPr>
      <w:r w:rsidRPr="00DB671B">
        <w:t>La méthode peut-elle être utilisée dans le cadre d’une mise en essai cyclique?  [“oui”, “non” ou “ne s’applique pas”]</w:t>
      </w:r>
    </w:p>
    <w:p w:rsidR="00850B27" w:rsidRPr="00DB671B" w:rsidRDefault="00850B27" w:rsidP="00DB671B">
      <w:pPr>
        <w:pStyle w:val="ListParagraph"/>
        <w:numPr>
          <w:ilvl w:val="0"/>
          <w:numId w:val="18"/>
        </w:numPr>
        <w:ind w:left="1134" w:hanging="567"/>
      </w:pPr>
      <w:r w:rsidRPr="00DB671B">
        <w:t>Une gamme continue d’expressions est-elle exigée?  [“oui”, “non” ou “ne s’applique pas”]</w:t>
      </w:r>
    </w:p>
    <w:p w:rsidR="00850B27" w:rsidRPr="00DB671B" w:rsidRDefault="00850B27" w:rsidP="00DB671B"/>
    <w:p w:rsidR="00850B27" w:rsidRPr="00DB671B" w:rsidRDefault="00850B27" w:rsidP="00DB671B">
      <w:r w:rsidRPr="00DB671B">
        <w:fldChar w:fldCharType="begin"/>
      </w:r>
      <w:r w:rsidRPr="00DB671B">
        <w:instrText xml:space="preserve"> AUTONUM  </w:instrText>
      </w:r>
      <w:r w:rsidRPr="00DB671B">
        <w:fldChar w:fldCharType="end"/>
      </w:r>
      <w:r w:rsidRPr="00DB671B">
        <w:tab/>
        <w:t>Le TC convient avec le TWC que d’autres critères ou exigences peuvent être ajoutés par les experts fournissant les renseignements, si nécessaire.</w:t>
      </w:r>
    </w:p>
    <w:p w:rsidR="00850B27" w:rsidRPr="00DB671B" w:rsidRDefault="00850B27" w:rsidP="00DB671B"/>
    <w:p w:rsidR="00850B27" w:rsidRPr="00DB671B" w:rsidRDefault="00850B27" w:rsidP="00DB671B">
      <w:r w:rsidRPr="00DB671B">
        <w:fldChar w:fldCharType="begin"/>
      </w:r>
      <w:r w:rsidRPr="00DB671B">
        <w:instrText xml:space="preserve"> AUTONUM  </w:instrText>
      </w:r>
      <w:r w:rsidRPr="00DB671B">
        <w:fldChar w:fldCharType="end"/>
      </w:r>
      <w:r w:rsidRPr="00DB671B">
        <w:tab/>
        <w:t>Le TC convient avec le TWC d’inviter les experts de l’Allemagne, de la France, de l’Italie et du Japon à fournir les renseignements demandés par le TC à l’expert du Royaume-Uni.</w:t>
      </w:r>
    </w:p>
    <w:p w:rsidR="00850B27" w:rsidRPr="00DB671B" w:rsidRDefault="00850B27" w:rsidP="00DB671B"/>
    <w:p w:rsidR="00850B27" w:rsidRPr="001766FA" w:rsidRDefault="00850B27" w:rsidP="00DB671B">
      <w:pPr>
        <w:pStyle w:val="Heading5"/>
        <w:rPr>
          <w:rFonts w:eastAsia="MS Mincho"/>
          <w:lang w:val="fr-CH"/>
        </w:rPr>
      </w:pPr>
      <w:r w:rsidRPr="001766FA">
        <w:rPr>
          <w:rFonts w:eastAsia="MS Mincho"/>
          <w:lang w:val="fr-CH"/>
        </w:rPr>
        <w:t>Analyse globale de l’homogénéité sur plusieurs années (COYU)</w:t>
      </w:r>
    </w:p>
    <w:p w:rsidR="00850B27" w:rsidRPr="00DB671B" w:rsidRDefault="00850B27" w:rsidP="00DB671B">
      <w:pPr>
        <w:keepNext/>
        <w:rPr>
          <w:rFonts w:eastAsia="MS Mincho"/>
        </w:rPr>
      </w:pPr>
    </w:p>
    <w:p w:rsidR="00850B27" w:rsidRPr="00DB671B" w:rsidRDefault="00850B27" w:rsidP="00DB671B">
      <w:pPr>
        <w:keepNext/>
        <w:rPr>
          <w:rFonts w:eastAsia="MS Mincho"/>
        </w:rPr>
      </w:pPr>
      <w:r w:rsidRPr="00DB671B">
        <w:rPr>
          <w:rFonts w:eastAsia="MS Mincho"/>
        </w:rPr>
        <w:fldChar w:fldCharType="begin"/>
      </w:r>
      <w:r w:rsidRPr="00DB671B">
        <w:rPr>
          <w:rFonts w:eastAsia="MS Mincho"/>
        </w:rPr>
        <w:instrText xml:space="preserve"> AUTONUM  </w:instrText>
      </w:r>
      <w:r w:rsidRPr="00DB671B">
        <w:rPr>
          <w:rFonts w:eastAsia="MS Mincho"/>
        </w:rPr>
        <w:fldChar w:fldCharType="end"/>
      </w:r>
      <w:r w:rsidRPr="00DB671B">
        <w:rPr>
          <w:rFonts w:eastAsia="MS Mincho"/>
        </w:rPr>
        <w:tab/>
        <w:t>Le TC examine les documents TC/55/4 et TC/55/4 Add.</w:t>
      </w:r>
    </w:p>
    <w:p w:rsidR="00850B27" w:rsidRPr="00DB671B" w:rsidRDefault="00850B27" w:rsidP="00DB671B">
      <w:pPr>
        <w:rPr>
          <w:rFonts w:eastAsia="MS Mincho"/>
        </w:rPr>
      </w:pPr>
    </w:p>
    <w:p w:rsidR="00260E55" w:rsidRDefault="00850B27" w:rsidP="00260E55">
      <w:pPr>
        <w:rPr>
          <w:rFonts w:eastAsia="MS Mincho"/>
        </w:rPr>
      </w:pPr>
      <w:r w:rsidRPr="00DB671B">
        <w:rPr>
          <w:rFonts w:eastAsia="MS Mincho"/>
        </w:rPr>
        <w:fldChar w:fldCharType="begin"/>
      </w:r>
      <w:r w:rsidRPr="00DB671B">
        <w:rPr>
          <w:rFonts w:eastAsia="MS Mincho"/>
        </w:rPr>
        <w:instrText xml:space="preserve"> AUTONUM  </w:instrText>
      </w:r>
      <w:r w:rsidRPr="00DB671B">
        <w:rPr>
          <w:rFonts w:eastAsia="MS Mincho"/>
        </w:rPr>
        <w:fldChar w:fldCharType="end"/>
      </w:r>
      <w:r w:rsidRPr="00DB671B">
        <w:rPr>
          <w:rFonts w:eastAsia="MS Mincho"/>
        </w:rPr>
        <w:tab/>
        <w:t>Le TC note que le TWC, à sa trente-septième session, a examiné un projet de section visant à remplacer le texte du document TGP/8 concernant la méthode d’analyse COYU, comme indiqué dans le document TC/55/4 Add.  Il note que le TWC a invité l’expert du Royaume-Uni à établir une version révisée du projet de conseils, pour examen à sa trente-huitième session.</w:t>
      </w:r>
    </w:p>
    <w:p w:rsidR="007D0198" w:rsidRDefault="007D0198" w:rsidP="00260E55"/>
    <w:p w:rsidR="00850B27" w:rsidRPr="00DB671B" w:rsidRDefault="00850B27" w:rsidP="00DB671B">
      <w:r w:rsidRPr="00DB671B">
        <w:fldChar w:fldCharType="begin"/>
      </w:r>
      <w:r w:rsidRPr="00DB671B">
        <w:instrText xml:space="preserve"> AUTONUM  </w:instrText>
      </w:r>
      <w:r w:rsidRPr="00DB671B">
        <w:fldChar w:fldCharType="end"/>
      </w:r>
      <w:r w:rsidRPr="00DB671B">
        <w:tab/>
        <w:t>Le TC note que le TWC a invité les membres qui utilisent des logiciels “R” ou “DUST” à examiner la nouvelle méthode d’analyse COYU afin de mettre en évidence d’éventuels points à améliorer.</w:t>
      </w:r>
    </w:p>
    <w:p w:rsidR="00850B27" w:rsidRPr="00DB671B" w:rsidRDefault="00850B27" w:rsidP="00DB671B"/>
    <w:p w:rsidR="00850B27" w:rsidRPr="00DB671B" w:rsidRDefault="00850B27" w:rsidP="00DB671B">
      <w:pPr>
        <w:pStyle w:val="Heading4"/>
      </w:pPr>
      <w:r w:rsidRPr="00DB671B">
        <w:t>TGP/14 : Glossaire de termes utilisés dans les documents de l’UPOV</w:t>
      </w:r>
    </w:p>
    <w:p w:rsidR="00850B27" w:rsidRPr="00DB671B" w:rsidRDefault="00850B27" w:rsidP="00DB671B">
      <w:pPr>
        <w:keepNext/>
      </w:pPr>
    </w:p>
    <w:p w:rsidR="00850B27" w:rsidRPr="001766FA" w:rsidRDefault="00850B27" w:rsidP="00DB671B">
      <w:pPr>
        <w:pStyle w:val="Heading5"/>
        <w:rPr>
          <w:lang w:val="fr-CH"/>
        </w:rPr>
      </w:pPr>
      <w:r w:rsidRPr="001766FA">
        <w:rPr>
          <w:lang w:val="fr-CH"/>
        </w:rPr>
        <w:t>Noms de couleur pour le code RHS des couleurs</w:t>
      </w:r>
    </w:p>
    <w:p w:rsidR="00850B27" w:rsidRPr="00DB671B" w:rsidRDefault="00850B27" w:rsidP="00DB671B">
      <w:pPr>
        <w:keepNext/>
      </w:pPr>
    </w:p>
    <w:p w:rsidR="00850B27" w:rsidRPr="00DB671B" w:rsidRDefault="00850B27" w:rsidP="00DB671B">
      <w:pPr>
        <w:keepNext/>
        <w:rPr>
          <w:rFonts w:cs="Arial"/>
        </w:rPr>
      </w:pPr>
      <w:r w:rsidRPr="00DB671B">
        <w:fldChar w:fldCharType="begin"/>
      </w:r>
      <w:r w:rsidRPr="00DB671B">
        <w:instrText xml:space="preserve"> AUTONUM  </w:instrText>
      </w:r>
      <w:r w:rsidRPr="00DB671B">
        <w:fldChar w:fldCharType="end"/>
      </w:r>
      <w:r w:rsidRPr="00DB671B">
        <w:tab/>
        <w:t>Le TC examine le document TC/55/14.</w:t>
      </w:r>
    </w:p>
    <w:p w:rsidR="00850B27" w:rsidRPr="00DB671B" w:rsidRDefault="00850B27" w:rsidP="00DB671B">
      <w:pPr>
        <w:rPr>
          <w:rFonts w:cs="Arial"/>
        </w:rPr>
      </w:pPr>
    </w:p>
    <w:p w:rsidR="00850B27" w:rsidRPr="00DB671B" w:rsidRDefault="00850B27" w:rsidP="00DB671B">
      <w:pPr>
        <w:rPr>
          <w:rFonts w:cs="Arial"/>
        </w:rPr>
      </w:pPr>
      <w:r w:rsidRPr="00DB671B">
        <w:rPr>
          <w:rFonts w:cs="Arial"/>
        </w:rPr>
        <w:fldChar w:fldCharType="begin"/>
      </w:r>
      <w:r w:rsidRPr="00DB671B">
        <w:rPr>
          <w:rFonts w:cs="Arial"/>
        </w:rPr>
        <w:instrText xml:space="preserve"> AUTONUM  </w:instrText>
      </w:r>
      <w:r w:rsidRPr="00DB671B">
        <w:rPr>
          <w:rFonts w:cs="Arial"/>
        </w:rPr>
        <w:fldChar w:fldCharType="end"/>
      </w:r>
      <w:r w:rsidRPr="00DB671B">
        <w:rPr>
          <w:rFonts w:cs="Arial"/>
        </w:rPr>
        <w:tab/>
        <w:t>Le TC décide de réviser la liste des groupes de couleurs de l’UPOV contenue dans le document TGP/14 “Glossaire de termes utilisés dans les documents de l’UPOV” sur la base des groupes de couleurs figurant à l’annexe I du document TC/55/14.</w:t>
      </w:r>
    </w:p>
    <w:p w:rsidR="00850B27" w:rsidRPr="00DB671B" w:rsidRDefault="00850B27" w:rsidP="00DB671B"/>
    <w:p w:rsidR="00850B27" w:rsidRPr="00DB671B" w:rsidRDefault="00850B27" w:rsidP="00DB671B">
      <w:r w:rsidRPr="00DB671B">
        <w:rPr>
          <w:rFonts w:cs="Arial"/>
        </w:rPr>
        <w:fldChar w:fldCharType="begin"/>
      </w:r>
      <w:r w:rsidRPr="00DB671B">
        <w:rPr>
          <w:rFonts w:cs="Arial"/>
        </w:rPr>
        <w:instrText xml:space="preserve"> AUTONUM  </w:instrText>
      </w:r>
      <w:r w:rsidRPr="00DB671B">
        <w:rPr>
          <w:rFonts w:cs="Arial"/>
        </w:rPr>
        <w:fldChar w:fldCharType="end"/>
      </w:r>
      <w:r w:rsidRPr="00DB671B">
        <w:rPr>
          <w:rFonts w:cs="Arial"/>
        </w:rPr>
        <w:tab/>
        <w:t>Le TC décide de réviser le document TGP/14 : section 2 : sous-section 3 : “Couleur” et l’annexe de la sous-section 3 : “Noms de couleur pour le code RHS des couleurs” afin de prendre en considération l’introduction de la liste révisée des groupes de couleurs de l’UPOV, comme indiqué à l’annexe II du document TC/55/14.</w:t>
      </w:r>
    </w:p>
    <w:p w:rsidR="00850B27" w:rsidRPr="00DB671B" w:rsidRDefault="00850B27" w:rsidP="00DB671B"/>
    <w:p w:rsidR="00850B27" w:rsidRPr="00DB671B" w:rsidRDefault="00850B27" w:rsidP="00DB671B">
      <w:r w:rsidRPr="00DB671B">
        <w:fldChar w:fldCharType="begin"/>
      </w:r>
      <w:r w:rsidRPr="00DB671B">
        <w:instrText xml:space="preserve"> AUTONUM  </w:instrText>
      </w:r>
      <w:r w:rsidRPr="00DB671B">
        <w:fldChar w:fldCharType="end"/>
      </w:r>
      <w:r w:rsidRPr="00DB671B">
        <w:tab/>
        <w:t>Le TC note que le TWF a invité un expert de la Nouvelle-Zélande à présenter, à sa cinquante et unième session qui se tiendra en 2020, un exposé sur l’utilisation du code RHS des couleurs dans l’examen DHS pour l’abricotier.</w:t>
      </w:r>
    </w:p>
    <w:p w:rsidR="00850B27" w:rsidRPr="00DB671B" w:rsidRDefault="00850B27" w:rsidP="00DB671B"/>
    <w:p w:rsidR="00850B27" w:rsidRPr="00DB671B" w:rsidRDefault="00850B27" w:rsidP="00DB671B">
      <w:pPr>
        <w:pStyle w:val="Heading4"/>
      </w:pPr>
      <w:r w:rsidRPr="00DB671B">
        <w:t>Document TGP/15 “Conseils en ce qui concerne l’utilisation des marqueurs biochimiques et moléculaires dans l’examen de la distinction, de l’homogénéité et de la stabilité (DHS)”</w:t>
      </w:r>
    </w:p>
    <w:p w:rsidR="00850B27" w:rsidRPr="00DB671B" w:rsidRDefault="00850B27" w:rsidP="00DB671B">
      <w:pPr>
        <w:keepNext/>
      </w:pPr>
    </w:p>
    <w:p w:rsidR="00850B27" w:rsidRPr="001766FA" w:rsidRDefault="00850B27" w:rsidP="00DB671B">
      <w:pPr>
        <w:pStyle w:val="Heading5"/>
        <w:rPr>
          <w:lang w:val="fr-CH"/>
        </w:rPr>
      </w:pPr>
      <w:r w:rsidRPr="001766FA">
        <w:rPr>
          <w:lang w:val="fr-CH"/>
        </w:rPr>
        <w:t>Nouvel exemple : marqueur propre aux caractères contenant des informations incomplètes sur le niveau d’expression</w:t>
      </w:r>
    </w:p>
    <w:p w:rsidR="00850B27" w:rsidRPr="00DB671B" w:rsidRDefault="00850B27" w:rsidP="00DB671B">
      <w:pPr>
        <w:keepNext/>
      </w:pPr>
    </w:p>
    <w:p w:rsidR="00850B27" w:rsidRPr="00DB671B" w:rsidRDefault="00850B27" w:rsidP="00DB671B">
      <w:pPr>
        <w:keepNext/>
      </w:pPr>
      <w:r w:rsidRPr="00DB671B">
        <w:fldChar w:fldCharType="begin"/>
      </w:r>
      <w:r w:rsidRPr="00DB671B">
        <w:instrText xml:space="preserve"> AUTONUM  </w:instrText>
      </w:r>
      <w:r w:rsidRPr="00DB671B">
        <w:fldChar w:fldCharType="end"/>
      </w:r>
      <w:r w:rsidRPr="00DB671B">
        <w:tab/>
        <w:t>Le TC examine les documents TC/55/15, TC/55/15 Add. et TC/55/15 Add. 2.</w:t>
      </w:r>
    </w:p>
    <w:p w:rsidR="00850B27" w:rsidRPr="00DB671B" w:rsidRDefault="00850B27" w:rsidP="00DB671B"/>
    <w:p w:rsidR="00850B27" w:rsidRPr="00DB671B" w:rsidRDefault="00850B27" w:rsidP="00DB671B">
      <w:r w:rsidRPr="00DB671B">
        <w:rPr>
          <w:rFonts w:cs="Arial"/>
        </w:rPr>
        <w:fldChar w:fldCharType="begin"/>
      </w:r>
      <w:r w:rsidRPr="00DB671B">
        <w:rPr>
          <w:rFonts w:cs="Arial"/>
        </w:rPr>
        <w:instrText xml:space="preserve"> AUTONUM  </w:instrText>
      </w:r>
      <w:r w:rsidRPr="00DB671B">
        <w:rPr>
          <w:rFonts w:cs="Arial"/>
        </w:rPr>
        <w:fldChar w:fldCharType="end"/>
      </w:r>
      <w:r w:rsidRPr="00DB671B">
        <w:rPr>
          <w:rFonts w:cs="Arial"/>
        </w:rPr>
        <w:tab/>
        <w:t>Le TC examine la proposition relative à un exemple à inclure dans le document TGP/15 afin d’illustrer le cas où le marqueur propre aux caractères ne fournit pas toutes les informations sur le niveau d’expression d’un caractère, comme indiqué à l’annexe du document TC/55/15, compte tenu des observations formulées par les TWP et le BMT.</w:t>
      </w:r>
    </w:p>
    <w:p w:rsidR="00850B27" w:rsidRPr="00DB671B" w:rsidRDefault="00850B27" w:rsidP="00DB671B"/>
    <w:p w:rsidR="00850B27" w:rsidRPr="00DB671B" w:rsidRDefault="00850B27" w:rsidP="00DB671B">
      <w:r w:rsidRPr="00DB671B">
        <w:fldChar w:fldCharType="begin"/>
      </w:r>
      <w:r w:rsidRPr="00DB671B">
        <w:instrText xml:space="preserve"> AUTONUM  </w:instrText>
      </w:r>
      <w:r w:rsidRPr="00DB671B">
        <w:fldChar w:fldCharType="end"/>
      </w:r>
      <w:r w:rsidRPr="00DB671B">
        <w:tab/>
        <w:t>Le TC décide que l’exemple ci-après devrait être inclus dans le document TGP/15, tel que modifié par le TC-EDC :</w:t>
      </w:r>
    </w:p>
    <w:p w:rsidR="00850B27" w:rsidRPr="00DB671B" w:rsidRDefault="00850B27" w:rsidP="00DB671B">
      <w:pPr>
        <w:ind w:left="567" w:right="567"/>
        <w:rPr>
          <w:sz w:val="18"/>
        </w:rPr>
      </w:pPr>
    </w:p>
    <w:p w:rsidR="00850B27" w:rsidRPr="00DB671B" w:rsidRDefault="00850B27" w:rsidP="00DB671B">
      <w:pPr>
        <w:spacing w:after="160" w:line="259" w:lineRule="auto"/>
        <w:ind w:left="567" w:right="567"/>
        <w:jc w:val="center"/>
        <w:rPr>
          <w:rFonts w:eastAsia="Calibri" w:cs="Arial"/>
          <w:sz w:val="18"/>
        </w:rPr>
      </w:pPr>
      <w:r w:rsidRPr="00DB671B">
        <w:rPr>
          <w:rFonts w:eastAsia="Calibri" w:cs="Arial"/>
          <w:sz w:val="18"/>
        </w:rPr>
        <w:t>“EXEMPLE 2 : MARQUEUR PROPRE AUX CARACTÈRES CONTENANT DES INFORMATIONS INCOMPLÈTES SUR LE NIVEAU D’EXPRESSION CONCERNANT LA RÉSISTANCE À LA MALADIE DE LA TOMATE</w:t>
      </w:r>
    </w:p>
    <w:p w:rsidR="00850B27" w:rsidRPr="00DB671B" w:rsidRDefault="00850B27" w:rsidP="00DB671B">
      <w:pPr>
        <w:spacing w:after="160" w:line="259" w:lineRule="auto"/>
        <w:ind w:left="567" w:right="567"/>
        <w:jc w:val="center"/>
        <w:rPr>
          <w:rFonts w:eastAsia="Calibri" w:cs="Arial"/>
          <w:i/>
          <w:iCs/>
          <w:sz w:val="18"/>
        </w:rPr>
      </w:pPr>
      <w:r w:rsidRPr="00DB671B">
        <w:rPr>
          <w:rFonts w:eastAsia="Calibri" w:cs="Arial"/>
          <w:i/>
          <w:iCs/>
          <w:sz w:val="18"/>
        </w:rPr>
        <w:t>établi par des experts des Pays-Bas</w:t>
      </w:r>
    </w:p>
    <w:p w:rsidR="00850B27" w:rsidRPr="00DB671B" w:rsidRDefault="00850B27" w:rsidP="00DB671B">
      <w:pPr>
        <w:autoSpaceDE w:val="0"/>
        <w:autoSpaceDN w:val="0"/>
        <w:adjustRightInd w:val="0"/>
        <w:ind w:left="567" w:right="567"/>
        <w:rPr>
          <w:rFonts w:eastAsia="Calibri" w:cs="Arial"/>
          <w:sz w:val="18"/>
        </w:rPr>
      </w:pPr>
    </w:p>
    <w:p w:rsidR="00850B27" w:rsidRPr="00DB671B" w:rsidRDefault="00850B27" w:rsidP="00DB671B">
      <w:pPr>
        <w:autoSpaceDE w:val="0"/>
        <w:autoSpaceDN w:val="0"/>
        <w:adjustRightInd w:val="0"/>
        <w:ind w:left="567" w:right="567"/>
        <w:rPr>
          <w:rFonts w:eastAsia="Calibri" w:cs="Arial"/>
          <w:sz w:val="18"/>
        </w:rPr>
      </w:pPr>
      <w:r w:rsidRPr="00DB671B">
        <w:rPr>
          <w:rFonts w:eastAsia="Calibri" w:cs="Arial"/>
          <w:sz w:val="18"/>
        </w:rPr>
        <w:t>“Exemple</w:t>
      </w:r>
    </w:p>
    <w:p w:rsidR="00850B27" w:rsidRPr="00DB671B" w:rsidRDefault="00850B27" w:rsidP="00DB671B">
      <w:pPr>
        <w:autoSpaceDE w:val="0"/>
        <w:autoSpaceDN w:val="0"/>
        <w:adjustRightInd w:val="0"/>
        <w:ind w:left="567" w:right="567"/>
        <w:rPr>
          <w:rFonts w:eastAsia="Calibri" w:cs="Arial"/>
          <w:sz w:val="18"/>
        </w:rPr>
      </w:pPr>
    </w:p>
    <w:p w:rsidR="00850B27" w:rsidRPr="00DB671B" w:rsidRDefault="00850B27" w:rsidP="00DB671B">
      <w:pPr>
        <w:autoSpaceDE w:val="0"/>
        <w:autoSpaceDN w:val="0"/>
        <w:adjustRightInd w:val="0"/>
        <w:ind w:left="567" w:right="567"/>
        <w:rPr>
          <w:rFonts w:eastAsia="Calibri" w:cs="Arial"/>
          <w:sz w:val="18"/>
          <w:szCs w:val="18"/>
        </w:rPr>
      </w:pPr>
      <w:r w:rsidRPr="00DB671B">
        <w:rPr>
          <w:rFonts w:eastAsia="Calibri" w:cs="Arial"/>
          <w:sz w:val="18"/>
          <w:szCs w:val="18"/>
        </w:rPr>
        <w:t>“1.</w:t>
      </w:r>
      <w:r w:rsidRPr="00DB671B">
        <w:rPr>
          <w:rFonts w:eastAsia="Calibri" w:cs="Arial"/>
          <w:sz w:val="18"/>
          <w:szCs w:val="18"/>
        </w:rPr>
        <w:tab/>
        <w:t>La résistance de la tomate à la souche 0 du virus de la mosaïque de la tomate (ToMV) est conférée par la présence de l’allèle </w:t>
      </w:r>
      <w:r w:rsidRPr="00DB671B">
        <w:rPr>
          <w:rFonts w:eastAsia="Calibri" w:cs="Arial"/>
          <w:i/>
          <w:sz w:val="18"/>
          <w:szCs w:val="18"/>
        </w:rPr>
        <w:t xml:space="preserve">Tm1 </w:t>
      </w:r>
      <w:r w:rsidRPr="00DB671B">
        <w:rPr>
          <w:rFonts w:eastAsia="Calibri" w:cs="Arial"/>
          <w:sz w:val="18"/>
          <w:szCs w:val="18"/>
        </w:rPr>
        <w:t>du gène Tm1 ou les allèles </w:t>
      </w:r>
      <w:r w:rsidRPr="00DB671B">
        <w:rPr>
          <w:rFonts w:eastAsia="Calibri" w:cs="Arial"/>
          <w:i/>
          <w:sz w:val="18"/>
          <w:szCs w:val="18"/>
        </w:rPr>
        <w:t xml:space="preserve">Tm2 </w:t>
      </w:r>
      <w:r w:rsidRPr="00DB671B">
        <w:rPr>
          <w:rFonts w:eastAsia="Calibri" w:cs="Arial"/>
          <w:sz w:val="18"/>
          <w:szCs w:val="18"/>
        </w:rPr>
        <w:t xml:space="preserve">ou </w:t>
      </w:r>
      <w:r w:rsidRPr="00DB671B">
        <w:rPr>
          <w:rFonts w:eastAsia="Calibri" w:cs="Arial"/>
          <w:i/>
          <w:sz w:val="18"/>
          <w:szCs w:val="18"/>
        </w:rPr>
        <w:t>Tm2</w:t>
      </w:r>
      <w:r w:rsidRPr="00DB671B">
        <w:rPr>
          <w:rFonts w:eastAsia="Calibri" w:cs="Arial"/>
          <w:i/>
          <w:sz w:val="18"/>
          <w:szCs w:val="18"/>
          <w:vertAlign w:val="superscript"/>
        </w:rPr>
        <w:t>2</w:t>
      </w:r>
      <w:r w:rsidRPr="00DB671B">
        <w:rPr>
          <w:rFonts w:eastAsia="Calibri" w:cs="Arial"/>
          <w:i/>
          <w:sz w:val="18"/>
          <w:szCs w:val="18"/>
        </w:rPr>
        <w:t xml:space="preserve"> </w:t>
      </w:r>
      <w:r w:rsidRPr="00DB671B">
        <w:rPr>
          <w:rFonts w:eastAsia="Calibri" w:cs="Arial"/>
          <w:sz w:val="18"/>
          <w:szCs w:val="18"/>
        </w:rPr>
        <w:t>du gène Tm2.</w:t>
      </w:r>
    </w:p>
    <w:p w:rsidR="00850B27" w:rsidRPr="00DB671B" w:rsidRDefault="00850B27" w:rsidP="00DB671B">
      <w:pPr>
        <w:autoSpaceDE w:val="0"/>
        <w:autoSpaceDN w:val="0"/>
        <w:adjustRightInd w:val="0"/>
        <w:ind w:left="567" w:right="567"/>
        <w:rPr>
          <w:rFonts w:eastAsia="Calibri" w:cs="Arial"/>
          <w:sz w:val="18"/>
          <w:szCs w:val="18"/>
        </w:rPr>
      </w:pPr>
    </w:p>
    <w:p w:rsidR="00850B27" w:rsidRPr="00DB671B" w:rsidRDefault="00850B27" w:rsidP="00DB671B">
      <w:pPr>
        <w:autoSpaceDE w:val="0"/>
        <w:autoSpaceDN w:val="0"/>
        <w:adjustRightInd w:val="0"/>
        <w:ind w:left="567" w:right="567"/>
        <w:rPr>
          <w:rFonts w:eastAsia="Calibri" w:cs="Arial"/>
          <w:sz w:val="18"/>
        </w:rPr>
      </w:pPr>
      <w:r w:rsidRPr="00DB671B">
        <w:rPr>
          <w:rFonts w:eastAsia="Calibri" w:cs="Arial"/>
          <w:sz w:val="18"/>
        </w:rPr>
        <w:t>“2.</w:t>
      </w:r>
      <w:r w:rsidRPr="00DB671B">
        <w:rPr>
          <w:rFonts w:eastAsia="Calibri" w:cs="Arial"/>
          <w:sz w:val="18"/>
        </w:rPr>
        <w:tab/>
        <w:t>Un marqueur unique identifie la présence des allèles </w:t>
      </w:r>
      <w:r w:rsidRPr="00DB671B">
        <w:rPr>
          <w:rFonts w:eastAsia="Calibri" w:cs="Arial"/>
          <w:i/>
          <w:sz w:val="18"/>
        </w:rPr>
        <w:t xml:space="preserve">Tm2 </w:t>
      </w:r>
      <w:r w:rsidRPr="00DB671B">
        <w:rPr>
          <w:rFonts w:eastAsia="Calibri" w:cs="Arial"/>
          <w:sz w:val="18"/>
        </w:rPr>
        <w:t xml:space="preserve">et </w:t>
      </w:r>
      <w:r w:rsidRPr="00DB671B">
        <w:rPr>
          <w:rFonts w:eastAsia="Calibri" w:cs="Arial"/>
          <w:i/>
          <w:sz w:val="18"/>
        </w:rPr>
        <w:t>Tm2</w:t>
      </w:r>
      <w:r w:rsidRPr="00DB671B">
        <w:rPr>
          <w:rFonts w:eastAsia="Calibri" w:cs="Arial"/>
          <w:i/>
          <w:sz w:val="18"/>
          <w:vertAlign w:val="superscript"/>
        </w:rPr>
        <w:t>2</w:t>
      </w:r>
      <w:r w:rsidRPr="00DB671B">
        <w:rPr>
          <w:rFonts w:eastAsia="Calibri" w:cs="Arial"/>
          <w:i/>
          <w:sz w:val="18"/>
        </w:rPr>
        <w:t xml:space="preserve"> </w:t>
      </w:r>
      <w:r w:rsidRPr="00DB671B">
        <w:rPr>
          <w:rFonts w:eastAsia="Calibri" w:cs="Arial"/>
          <w:sz w:val="18"/>
        </w:rPr>
        <w:t>résistants et de l’allèle </w:t>
      </w:r>
      <w:r w:rsidRPr="00DB671B">
        <w:rPr>
          <w:rFonts w:eastAsia="Calibri" w:cs="Arial"/>
          <w:i/>
          <w:sz w:val="18"/>
        </w:rPr>
        <w:t xml:space="preserve">tm2 </w:t>
      </w:r>
      <w:r w:rsidRPr="00DB671B">
        <w:rPr>
          <w:rFonts w:eastAsia="Calibri" w:cs="Arial"/>
          <w:sz w:val="18"/>
        </w:rPr>
        <w:t>sensible.  Le marqueur Tm2/2</w:t>
      </w:r>
      <w:r w:rsidRPr="00DB671B">
        <w:rPr>
          <w:rFonts w:eastAsia="Calibri" w:cs="Arial"/>
          <w:sz w:val="18"/>
          <w:vertAlign w:val="superscript"/>
        </w:rPr>
        <w:t>2</w:t>
      </w:r>
      <w:r w:rsidRPr="00DB671B">
        <w:rPr>
          <w:rFonts w:eastAsia="Calibri" w:cs="Arial"/>
          <w:sz w:val="18"/>
        </w:rPr>
        <w:t xml:space="preserve"> se situe dans la séquence codante de la protéine.</w:t>
      </w:r>
    </w:p>
    <w:p w:rsidR="00850B27" w:rsidRPr="00DB671B" w:rsidRDefault="00850B27" w:rsidP="00DB671B">
      <w:pPr>
        <w:autoSpaceDE w:val="0"/>
        <w:autoSpaceDN w:val="0"/>
        <w:adjustRightInd w:val="0"/>
        <w:ind w:left="567" w:right="567"/>
        <w:rPr>
          <w:rFonts w:eastAsia="Calibri" w:cs="Arial"/>
          <w:sz w:val="18"/>
        </w:rPr>
      </w:pPr>
    </w:p>
    <w:p w:rsidR="00850B27" w:rsidRPr="00DB671B" w:rsidRDefault="00850B27" w:rsidP="00DB671B">
      <w:pPr>
        <w:autoSpaceDE w:val="0"/>
        <w:autoSpaceDN w:val="0"/>
        <w:adjustRightInd w:val="0"/>
        <w:ind w:left="567" w:right="567"/>
        <w:rPr>
          <w:rFonts w:eastAsia="Calibri" w:cs="Arial"/>
          <w:sz w:val="18"/>
        </w:rPr>
      </w:pPr>
      <w:r w:rsidRPr="00DB671B">
        <w:rPr>
          <w:rFonts w:eastAsia="Calibri" w:cs="Arial"/>
          <w:sz w:val="18"/>
        </w:rPr>
        <w:t>“3.</w:t>
      </w:r>
      <w:r w:rsidRPr="00DB671B">
        <w:rPr>
          <w:rFonts w:eastAsia="Calibri" w:cs="Arial"/>
          <w:sz w:val="18"/>
        </w:rPr>
        <w:tab/>
        <w:t>Une variété sera résistante à la souche 0 du ToMV si l’allèle de résistance </w:t>
      </w:r>
      <w:r w:rsidRPr="00DB671B">
        <w:rPr>
          <w:rFonts w:eastAsia="Calibri" w:cs="Arial"/>
          <w:i/>
          <w:sz w:val="18"/>
        </w:rPr>
        <w:t>Tm2</w:t>
      </w:r>
      <w:r w:rsidRPr="00DB671B">
        <w:rPr>
          <w:rFonts w:eastAsia="Calibri" w:cs="Arial"/>
          <w:sz w:val="18"/>
        </w:rPr>
        <w:t xml:space="preserve"> ou </w:t>
      </w:r>
      <w:r w:rsidRPr="00DB671B">
        <w:rPr>
          <w:rFonts w:eastAsia="Calibri" w:cs="Arial"/>
          <w:i/>
          <w:sz w:val="18"/>
        </w:rPr>
        <w:t>Tm2</w:t>
      </w:r>
      <w:r w:rsidRPr="00DB671B">
        <w:rPr>
          <w:rFonts w:eastAsia="Calibri" w:cs="Arial"/>
          <w:i/>
          <w:sz w:val="18"/>
          <w:vertAlign w:val="superscript"/>
        </w:rPr>
        <w:t>2</w:t>
      </w:r>
      <w:r w:rsidRPr="00DB671B">
        <w:rPr>
          <w:rFonts w:eastAsia="Calibri" w:cs="Arial"/>
          <w:sz w:val="18"/>
        </w:rPr>
        <w:t xml:space="preserve"> est présent.</w:t>
      </w:r>
    </w:p>
    <w:p w:rsidR="00850B27" w:rsidRPr="00DB671B" w:rsidRDefault="00850B27" w:rsidP="00DB671B">
      <w:pPr>
        <w:autoSpaceDE w:val="0"/>
        <w:autoSpaceDN w:val="0"/>
        <w:adjustRightInd w:val="0"/>
        <w:ind w:left="567" w:right="567"/>
        <w:rPr>
          <w:rFonts w:eastAsia="Calibri" w:cs="Arial"/>
          <w:sz w:val="18"/>
        </w:rPr>
      </w:pPr>
    </w:p>
    <w:p w:rsidR="00850B27" w:rsidRPr="00DB671B" w:rsidRDefault="00850B27" w:rsidP="00DB671B">
      <w:pPr>
        <w:autoSpaceDE w:val="0"/>
        <w:autoSpaceDN w:val="0"/>
        <w:adjustRightInd w:val="0"/>
        <w:ind w:left="567" w:right="567"/>
        <w:rPr>
          <w:rFonts w:eastAsia="Calibri" w:cs="Arial"/>
          <w:sz w:val="18"/>
        </w:rPr>
      </w:pPr>
      <w:r w:rsidRPr="00DB671B">
        <w:rPr>
          <w:rFonts w:eastAsia="Calibri" w:cs="Arial"/>
          <w:sz w:val="18"/>
        </w:rPr>
        <w:t xml:space="preserve">“4.  </w:t>
      </w:r>
      <w:r w:rsidRPr="00DB671B">
        <w:rPr>
          <w:rFonts w:eastAsia="Calibri" w:cs="Arial"/>
          <w:sz w:val="18"/>
        </w:rPr>
        <w:tab/>
        <w:t>Une variété avec l’allèle homozygote </w:t>
      </w:r>
      <w:r w:rsidRPr="00DB671B">
        <w:rPr>
          <w:rFonts w:eastAsia="Calibri" w:cs="Arial"/>
          <w:i/>
          <w:sz w:val="18"/>
        </w:rPr>
        <w:t>tm2</w:t>
      </w:r>
      <w:r w:rsidRPr="00DB671B">
        <w:rPr>
          <w:rFonts w:eastAsia="Calibri" w:cs="Arial"/>
          <w:sz w:val="18"/>
        </w:rPr>
        <w:t xml:space="preserve"> sera sensible à la souche 0 du ToMV à moins que la résistance ne soit codée par l’allèle de résistance </w:t>
      </w:r>
      <w:r w:rsidRPr="00DB671B">
        <w:rPr>
          <w:rFonts w:eastAsia="Calibri" w:cs="Arial"/>
          <w:i/>
          <w:sz w:val="18"/>
        </w:rPr>
        <w:t>Tm1</w:t>
      </w:r>
      <w:r w:rsidRPr="00DB671B">
        <w:rPr>
          <w:rFonts w:eastAsia="Calibri" w:cs="Arial"/>
          <w:sz w:val="18"/>
        </w:rPr>
        <w:t>.  Dans ce cas, la résistance à la souche 0 du ToMV ne peut pas être déterminée par un test avec marqueurs d’ADN car il n’y a pas de marqueur fiable pour le gène Tm1.</w:t>
      </w:r>
    </w:p>
    <w:p w:rsidR="00850B27" w:rsidRPr="00DB671B" w:rsidRDefault="00850B27" w:rsidP="00DB671B">
      <w:pPr>
        <w:autoSpaceDE w:val="0"/>
        <w:autoSpaceDN w:val="0"/>
        <w:adjustRightInd w:val="0"/>
        <w:ind w:left="567" w:right="567"/>
        <w:rPr>
          <w:rFonts w:eastAsia="Calibri" w:cs="Arial"/>
          <w:sz w:val="18"/>
        </w:rPr>
      </w:pPr>
    </w:p>
    <w:p w:rsidR="00850B27" w:rsidRPr="00DB671B" w:rsidRDefault="00850B27" w:rsidP="00DB671B">
      <w:pPr>
        <w:autoSpaceDE w:val="0"/>
        <w:autoSpaceDN w:val="0"/>
        <w:adjustRightInd w:val="0"/>
        <w:ind w:left="567" w:right="567"/>
        <w:rPr>
          <w:rFonts w:eastAsia="Calibri" w:cs="Arial"/>
          <w:sz w:val="18"/>
        </w:rPr>
      </w:pPr>
    </w:p>
    <w:p w:rsidR="00850B27" w:rsidRPr="00DB671B" w:rsidRDefault="00850B27" w:rsidP="00DB671B">
      <w:pPr>
        <w:keepNext/>
        <w:autoSpaceDE w:val="0"/>
        <w:autoSpaceDN w:val="0"/>
        <w:adjustRightInd w:val="0"/>
        <w:ind w:left="567" w:right="567"/>
        <w:rPr>
          <w:rFonts w:eastAsia="Calibri" w:cs="Arial"/>
          <w:sz w:val="18"/>
        </w:rPr>
      </w:pPr>
      <w:r w:rsidRPr="00DB671B">
        <w:rPr>
          <w:rFonts w:eastAsia="Calibri" w:cs="Arial"/>
          <w:sz w:val="18"/>
        </w:rPr>
        <w:t>“Tableau 1 : Présentation synthétique de la résistance au virus de la mosaïque de la tomate et des allèles de résistance :</w:t>
      </w:r>
    </w:p>
    <w:p w:rsidR="00850B27" w:rsidRPr="00DB671B" w:rsidRDefault="00850B27" w:rsidP="00DB671B">
      <w:pPr>
        <w:keepNext/>
        <w:autoSpaceDE w:val="0"/>
        <w:autoSpaceDN w:val="0"/>
        <w:adjustRightInd w:val="0"/>
        <w:ind w:left="567" w:right="567"/>
        <w:rPr>
          <w:rFonts w:eastAsia="Calibri" w:cs="Arial"/>
          <w:sz w:val="18"/>
          <w:szCs w:val="19"/>
        </w:rPr>
      </w:pPr>
    </w:p>
    <w:tbl>
      <w:tblPr>
        <w:tblStyle w:val="TableGrid"/>
        <w:tblW w:w="8505" w:type="dxa"/>
        <w:tblInd w:w="562" w:type="dxa"/>
        <w:tblLayout w:type="fixed"/>
        <w:tblLook w:val="04A0" w:firstRow="1" w:lastRow="0" w:firstColumn="1" w:lastColumn="0" w:noHBand="0" w:noVBand="1"/>
      </w:tblPr>
      <w:tblGrid>
        <w:gridCol w:w="1701"/>
        <w:gridCol w:w="1985"/>
        <w:gridCol w:w="2977"/>
        <w:gridCol w:w="1842"/>
      </w:tblGrid>
      <w:tr w:rsidR="00DB671B" w:rsidRPr="00DB671B" w:rsidTr="00DB671B">
        <w:tc>
          <w:tcPr>
            <w:tcW w:w="1701" w:type="dxa"/>
            <w:vAlign w:val="center"/>
          </w:tcPr>
          <w:p w:rsidR="00850B27" w:rsidRPr="00DB671B" w:rsidRDefault="00850B27" w:rsidP="00DB671B">
            <w:pPr>
              <w:keepNext/>
              <w:autoSpaceDE w:val="0"/>
              <w:autoSpaceDN w:val="0"/>
              <w:adjustRightInd w:val="0"/>
              <w:ind w:left="180"/>
              <w:jc w:val="left"/>
              <w:rPr>
                <w:rFonts w:cs="Arial"/>
                <w:sz w:val="18"/>
                <w:szCs w:val="19"/>
              </w:rPr>
            </w:pPr>
            <w:r w:rsidRPr="00DB671B">
              <w:rPr>
                <w:rFonts w:cs="Arial"/>
                <w:sz w:val="18"/>
                <w:szCs w:val="19"/>
              </w:rPr>
              <w:t>Données génétiques</w:t>
            </w:r>
          </w:p>
        </w:tc>
        <w:tc>
          <w:tcPr>
            <w:tcW w:w="1985" w:type="dxa"/>
            <w:vAlign w:val="center"/>
          </w:tcPr>
          <w:p w:rsidR="00850B27" w:rsidRPr="00DB671B" w:rsidRDefault="00850B27" w:rsidP="00DB671B">
            <w:pPr>
              <w:keepNext/>
              <w:autoSpaceDE w:val="0"/>
              <w:autoSpaceDN w:val="0"/>
              <w:adjustRightInd w:val="0"/>
              <w:ind w:left="36" w:right="34"/>
              <w:jc w:val="left"/>
              <w:rPr>
                <w:rFonts w:cs="Arial"/>
                <w:i/>
                <w:sz w:val="18"/>
                <w:szCs w:val="19"/>
              </w:rPr>
            </w:pPr>
            <w:r w:rsidRPr="00DB671B">
              <w:rPr>
                <w:rFonts w:cs="Arial"/>
                <w:i/>
                <w:sz w:val="18"/>
                <w:szCs w:val="19"/>
              </w:rPr>
              <w:t>tm2/tm2</w:t>
            </w:r>
          </w:p>
          <w:p w:rsidR="00850B27" w:rsidRPr="00DB671B" w:rsidRDefault="00850B27" w:rsidP="00DB671B">
            <w:pPr>
              <w:keepNext/>
              <w:autoSpaceDE w:val="0"/>
              <w:autoSpaceDN w:val="0"/>
              <w:adjustRightInd w:val="0"/>
              <w:ind w:left="36" w:right="34"/>
              <w:jc w:val="left"/>
              <w:rPr>
                <w:rFonts w:cs="Arial"/>
                <w:sz w:val="18"/>
                <w:szCs w:val="19"/>
              </w:rPr>
            </w:pPr>
          </w:p>
          <w:p w:rsidR="00850B27" w:rsidRPr="00DB671B" w:rsidRDefault="00850B27" w:rsidP="00DB671B">
            <w:pPr>
              <w:keepNext/>
              <w:autoSpaceDE w:val="0"/>
              <w:autoSpaceDN w:val="0"/>
              <w:adjustRightInd w:val="0"/>
              <w:ind w:left="36" w:right="34"/>
              <w:jc w:val="left"/>
              <w:rPr>
                <w:rFonts w:cs="Arial"/>
                <w:sz w:val="18"/>
                <w:szCs w:val="19"/>
              </w:rPr>
            </w:pPr>
            <w:r w:rsidRPr="00DB671B">
              <w:rPr>
                <w:rFonts w:cs="Arial"/>
                <w:sz w:val="18"/>
                <w:szCs w:val="19"/>
              </w:rPr>
              <w:t>et</w:t>
            </w:r>
          </w:p>
          <w:p w:rsidR="00850B27" w:rsidRPr="00DB671B" w:rsidRDefault="00850B27" w:rsidP="00DB671B">
            <w:pPr>
              <w:keepNext/>
              <w:autoSpaceDE w:val="0"/>
              <w:autoSpaceDN w:val="0"/>
              <w:adjustRightInd w:val="0"/>
              <w:ind w:left="36" w:right="34"/>
              <w:jc w:val="left"/>
              <w:rPr>
                <w:rFonts w:cs="Arial"/>
                <w:sz w:val="18"/>
                <w:szCs w:val="19"/>
              </w:rPr>
            </w:pPr>
          </w:p>
          <w:p w:rsidR="00850B27" w:rsidRPr="00DB671B" w:rsidRDefault="00850B27" w:rsidP="00DB671B">
            <w:pPr>
              <w:keepNext/>
              <w:autoSpaceDE w:val="0"/>
              <w:autoSpaceDN w:val="0"/>
              <w:adjustRightInd w:val="0"/>
              <w:ind w:left="36" w:right="34"/>
              <w:jc w:val="left"/>
              <w:rPr>
                <w:rFonts w:cs="Arial"/>
                <w:i/>
                <w:sz w:val="18"/>
                <w:szCs w:val="19"/>
              </w:rPr>
            </w:pPr>
            <w:r w:rsidRPr="00DB671B">
              <w:rPr>
                <w:rFonts w:cs="Arial"/>
                <w:i/>
                <w:sz w:val="18"/>
                <w:szCs w:val="19"/>
              </w:rPr>
              <w:t>tm1/tm1</w:t>
            </w:r>
          </w:p>
          <w:p w:rsidR="00850B27" w:rsidRPr="00DB671B" w:rsidRDefault="00850B27" w:rsidP="00DB671B">
            <w:pPr>
              <w:keepNext/>
              <w:autoSpaceDE w:val="0"/>
              <w:autoSpaceDN w:val="0"/>
              <w:adjustRightInd w:val="0"/>
              <w:ind w:left="36" w:right="34"/>
              <w:jc w:val="left"/>
              <w:rPr>
                <w:rFonts w:cs="Arial"/>
                <w:sz w:val="18"/>
                <w:szCs w:val="19"/>
              </w:rPr>
            </w:pPr>
          </w:p>
        </w:tc>
        <w:tc>
          <w:tcPr>
            <w:tcW w:w="2977" w:type="dxa"/>
            <w:vAlign w:val="center"/>
          </w:tcPr>
          <w:p w:rsidR="00850B27" w:rsidRPr="00DB671B" w:rsidRDefault="00850B27" w:rsidP="00DB671B">
            <w:pPr>
              <w:keepNext/>
              <w:autoSpaceDE w:val="0"/>
              <w:autoSpaceDN w:val="0"/>
              <w:adjustRightInd w:val="0"/>
              <w:ind w:left="36"/>
              <w:jc w:val="left"/>
              <w:rPr>
                <w:rFonts w:cs="Arial"/>
                <w:sz w:val="18"/>
                <w:szCs w:val="19"/>
              </w:rPr>
            </w:pPr>
            <w:r w:rsidRPr="00DB671B">
              <w:rPr>
                <w:rFonts w:cs="Arial"/>
                <w:i/>
                <w:sz w:val="18"/>
                <w:szCs w:val="19"/>
              </w:rPr>
              <w:t>Tm2/Tm2 ou Tm2</w:t>
            </w:r>
            <w:r w:rsidRPr="00DB671B">
              <w:rPr>
                <w:rFonts w:cs="Arial"/>
                <w:i/>
                <w:sz w:val="18"/>
                <w:szCs w:val="19"/>
                <w:vertAlign w:val="superscript"/>
              </w:rPr>
              <w:t>2</w:t>
            </w:r>
            <w:r w:rsidRPr="00DB671B">
              <w:rPr>
                <w:rFonts w:cs="Arial"/>
                <w:i/>
                <w:sz w:val="18"/>
                <w:szCs w:val="19"/>
              </w:rPr>
              <w:t>/Tm2</w:t>
            </w:r>
            <w:r w:rsidRPr="00DB671B">
              <w:rPr>
                <w:rFonts w:cs="Arial"/>
                <w:i/>
                <w:sz w:val="18"/>
                <w:szCs w:val="19"/>
                <w:vertAlign w:val="superscript"/>
              </w:rPr>
              <w:t>2</w:t>
            </w:r>
            <w:r w:rsidRPr="00DB671B">
              <w:rPr>
                <w:rFonts w:cs="Arial"/>
                <w:sz w:val="18"/>
                <w:szCs w:val="19"/>
              </w:rPr>
              <w:t xml:space="preserve"> ou </w:t>
            </w:r>
            <w:r w:rsidRPr="00DB671B">
              <w:rPr>
                <w:rFonts w:cs="Arial"/>
                <w:i/>
                <w:sz w:val="18"/>
                <w:szCs w:val="19"/>
              </w:rPr>
              <w:t>Tm2</w:t>
            </w:r>
            <w:r w:rsidRPr="00DB671B">
              <w:rPr>
                <w:rFonts w:cs="Arial"/>
                <w:i/>
                <w:sz w:val="18"/>
                <w:szCs w:val="19"/>
                <w:vertAlign w:val="superscript"/>
              </w:rPr>
              <w:t>2</w:t>
            </w:r>
            <w:r w:rsidRPr="00DB671B">
              <w:rPr>
                <w:rFonts w:cs="Arial"/>
                <w:i/>
                <w:sz w:val="18"/>
                <w:szCs w:val="19"/>
              </w:rPr>
              <w:t>/Tm2</w:t>
            </w:r>
            <w:r w:rsidRPr="00DB671B">
              <w:rPr>
                <w:rFonts w:cs="Arial"/>
                <w:sz w:val="18"/>
                <w:szCs w:val="19"/>
              </w:rPr>
              <w:t xml:space="preserve"> ou</w:t>
            </w:r>
          </w:p>
          <w:p w:rsidR="00850B27" w:rsidRPr="00DB671B" w:rsidRDefault="00850B27" w:rsidP="00DB671B">
            <w:pPr>
              <w:keepNext/>
              <w:autoSpaceDE w:val="0"/>
              <w:autoSpaceDN w:val="0"/>
              <w:adjustRightInd w:val="0"/>
              <w:ind w:left="36"/>
              <w:jc w:val="left"/>
              <w:rPr>
                <w:rFonts w:cs="Arial"/>
                <w:i/>
                <w:sz w:val="18"/>
                <w:szCs w:val="19"/>
              </w:rPr>
            </w:pPr>
            <w:r w:rsidRPr="00DB671B">
              <w:rPr>
                <w:rFonts w:cs="Arial"/>
                <w:i/>
                <w:sz w:val="18"/>
                <w:szCs w:val="19"/>
              </w:rPr>
              <w:t>Tm2/tm2 ou Tm2</w:t>
            </w:r>
            <w:r w:rsidRPr="00DB671B">
              <w:rPr>
                <w:rFonts w:cs="Arial"/>
                <w:i/>
                <w:sz w:val="18"/>
                <w:szCs w:val="19"/>
                <w:vertAlign w:val="superscript"/>
              </w:rPr>
              <w:t>2</w:t>
            </w:r>
            <w:r w:rsidRPr="00DB671B">
              <w:rPr>
                <w:rFonts w:cs="Arial"/>
                <w:i/>
                <w:sz w:val="18"/>
                <w:szCs w:val="19"/>
              </w:rPr>
              <w:t>/tm2</w:t>
            </w:r>
          </w:p>
          <w:p w:rsidR="00850B27" w:rsidRPr="00DB671B" w:rsidRDefault="00850B27" w:rsidP="00DB671B">
            <w:pPr>
              <w:keepNext/>
              <w:autoSpaceDE w:val="0"/>
              <w:autoSpaceDN w:val="0"/>
              <w:adjustRightInd w:val="0"/>
              <w:ind w:left="36"/>
              <w:jc w:val="left"/>
              <w:rPr>
                <w:rFonts w:cs="Arial"/>
                <w:sz w:val="18"/>
                <w:szCs w:val="19"/>
              </w:rPr>
            </w:pPr>
          </w:p>
          <w:p w:rsidR="00850B27" w:rsidRPr="00DB671B" w:rsidRDefault="00850B27" w:rsidP="00DB671B">
            <w:pPr>
              <w:keepNext/>
              <w:autoSpaceDE w:val="0"/>
              <w:autoSpaceDN w:val="0"/>
              <w:adjustRightInd w:val="0"/>
              <w:ind w:left="36"/>
              <w:jc w:val="left"/>
              <w:rPr>
                <w:rFonts w:cs="Arial"/>
                <w:sz w:val="18"/>
                <w:szCs w:val="19"/>
              </w:rPr>
            </w:pPr>
            <w:r w:rsidRPr="00DB671B">
              <w:rPr>
                <w:rFonts w:cs="Arial"/>
                <w:sz w:val="18"/>
                <w:szCs w:val="19"/>
              </w:rPr>
              <w:t>et</w:t>
            </w:r>
          </w:p>
          <w:p w:rsidR="00850B27" w:rsidRPr="00DB671B" w:rsidRDefault="00850B27" w:rsidP="00DB671B">
            <w:pPr>
              <w:keepNext/>
              <w:autoSpaceDE w:val="0"/>
              <w:autoSpaceDN w:val="0"/>
              <w:adjustRightInd w:val="0"/>
              <w:ind w:left="36"/>
              <w:jc w:val="left"/>
              <w:rPr>
                <w:rFonts w:cs="Arial"/>
                <w:sz w:val="18"/>
                <w:szCs w:val="19"/>
              </w:rPr>
            </w:pPr>
          </w:p>
          <w:p w:rsidR="00850B27" w:rsidRPr="00DB671B" w:rsidRDefault="00850B27" w:rsidP="00DB671B">
            <w:pPr>
              <w:keepNext/>
              <w:autoSpaceDE w:val="0"/>
              <w:autoSpaceDN w:val="0"/>
              <w:adjustRightInd w:val="0"/>
              <w:spacing w:before="60"/>
              <w:ind w:left="36"/>
              <w:jc w:val="left"/>
              <w:rPr>
                <w:rFonts w:cs="Arial"/>
                <w:sz w:val="18"/>
                <w:szCs w:val="19"/>
              </w:rPr>
            </w:pPr>
            <w:r w:rsidRPr="00DB671B">
              <w:rPr>
                <w:rFonts w:cs="Arial"/>
                <w:i/>
                <w:sz w:val="18"/>
                <w:szCs w:val="19"/>
              </w:rPr>
              <w:t>Tm1/Tm1</w:t>
            </w:r>
            <w:r w:rsidRPr="00DB671B">
              <w:rPr>
                <w:rFonts w:cs="Arial"/>
                <w:sz w:val="18"/>
                <w:szCs w:val="19"/>
              </w:rPr>
              <w:t xml:space="preserve"> ou </w:t>
            </w:r>
            <w:r w:rsidRPr="00DB671B">
              <w:rPr>
                <w:rFonts w:cs="Arial"/>
                <w:i/>
                <w:sz w:val="18"/>
                <w:szCs w:val="19"/>
              </w:rPr>
              <w:t>Tm1/tm1</w:t>
            </w:r>
            <w:r w:rsidRPr="00DB671B">
              <w:rPr>
                <w:rFonts w:cs="Arial"/>
                <w:sz w:val="18"/>
                <w:szCs w:val="19"/>
              </w:rPr>
              <w:t xml:space="preserve"> ou </w:t>
            </w:r>
            <w:r w:rsidRPr="00DB671B">
              <w:rPr>
                <w:rFonts w:cs="Arial"/>
                <w:i/>
                <w:sz w:val="18"/>
                <w:szCs w:val="19"/>
              </w:rPr>
              <w:t>tm1/tm1</w:t>
            </w:r>
          </w:p>
        </w:tc>
        <w:tc>
          <w:tcPr>
            <w:tcW w:w="1842" w:type="dxa"/>
            <w:vAlign w:val="center"/>
          </w:tcPr>
          <w:p w:rsidR="00850B27" w:rsidRPr="00DB671B" w:rsidRDefault="00850B27" w:rsidP="00DB671B">
            <w:pPr>
              <w:keepNext/>
              <w:autoSpaceDE w:val="0"/>
              <w:autoSpaceDN w:val="0"/>
              <w:adjustRightInd w:val="0"/>
              <w:ind w:left="20" w:right="-108"/>
              <w:jc w:val="left"/>
              <w:rPr>
                <w:rFonts w:cs="Arial"/>
                <w:i/>
                <w:sz w:val="18"/>
                <w:szCs w:val="19"/>
              </w:rPr>
            </w:pPr>
            <w:r w:rsidRPr="00DB671B">
              <w:rPr>
                <w:rFonts w:cs="Arial"/>
                <w:i/>
                <w:sz w:val="18"/>
                <w:szCs w:val="19"/>
              </w:rPr>
              <w:t>tm2/tm2</w:t>
            </w:r>
          </w:p>
          <w:p w:rsidR="00850B27" w:rsidRPr="00DB671B" w:rsidRDefault="00850B27" w:rsidP="00DB671B">
            <w:pPr>
              <w:keepNext/>
              <w:autoSpaceDE w:val="0"/>
              <w:autoSpaceDN w:val="0"/>
              <w:adjustRightInd w:val="0"/>
              <w:ind w:left="20" w:right="-108"/>
              <w:jc w:val="left"/>
              <w:rPr>
                <w:rFonts w:cs="Arial"/>
                <w:sz w:val="18"/>
                <w:szCs w:val="19"/>
              </w:rPr>
            </w:pPr>
          </w:p>
          <w:p w:rsidR="00850B27" w:rsidRPr="00DB671B" w:rsidRDefault="00850B27" w:rsidP="00DB671B">
            <w:pPr>
              <w:keepNext/>
              <w:autoSpaceDE w:val="0"/>
              <w:autoSpaceDN w:val="0"/>
              <w:adjustRightInd w:val="0"/>
              <w:ind w:left="20" w:right="-108"/>
              <w:jc w:val="left"/>
              <w:rPr>
                <w:rFonts w:cs="Arial"/>
                <w:sz w:val="18"/>
                <w:szCs w:val="19"/>
              </w:rPr>
            </w:pPr>
            <w:r w:rsidRPr="00DB671B">
              <w:rPr>
                <w:rFonts w:cs="Arial"/>
                <w:sz w:val="18"/>
                <w:szCs w:val="19"/>
              </w:rPr>
              <w:t>et</w:t>
            </w:r>
          </w:p>
          <w:p w:rsidR="00850B27" w:rsidRPr="00DB671B" w:rsidRDefault="00850B27" w:rsidP="00DB671B">
            <w:pPr>
              <w:keepNext/>
              <w:autoSpaceDE w:val="0"/>
              <w:autoSpaceDN w:val="0"/>
              <w:adjustRightInd w:val="0"/>
              <w:ind w:left="20" w:right="-108"/>
              <w:jc w:val="left"/>
              <w:rPr>
                <w:rFonts w:cs="Arial"/>
                <w:sz w:val="18"/>
                <w:szCs w:val="19"/>
              </w:rPr>
            </w:pPr>
          </w:p>
          <w:p w:rsidR="00850B27" w:rsidRPr="00DB671B" w:rsidRDefault="00850B27" w:rsidP="00DB671B">
            <w:pPr>
              <w:keepNext/>
              <w:autoSpaceDE w:val="0"/>
              <w:autoSpaceDN w:val="0"/>
              <w:adjustRightInd w:val="0"/>
              <w:ind w:left="20" w:right="-108"/>
              <w:jc w:val="left"/>
              <w:rPr>
                <w:rFonts w:cs="Arial"/>
                <w:i/>
                <w:sz w:val="18"/>
                <w:szCs w:val="19"/>
              </w:rPr>
            </w:pPr>
            <w:r w:rsidRPr="00DB671B">
              <w:rPr>
                <w:rFonts w:cs="Arial"/>
                <w:i/>
                <w:sz w:val="18"/>
                <w:szCs w:val="19"/>
              </w:rPr>
              <w:t>Tm1/Tm1</w:t>
            </w:r>
            <w:r w:rsidRPr="00DB671B">
              <w:rPr>
                <w:rFonts w:cs="Arial"/>
                <w:sz w:val="18"/>
                <w:szCs w:val="19"/>
              </w:rPr>
              <w:t xml:space="preserve"> ou </w:t>
            </w:r>
            <w:r w:rsidRPr="00DB671B">
              <w:rPr>
                <w:rFonts w:cs="Arial"/>
                <w:i/>
                <w:sz w:val="18"/>
                <w:szCs w:val="19"/>
              </w:rPr>
              <w:t xml:space="preserve">Tm1/tm1 </w:t>
            </w:r>
          </w:p>
        </w:tc>
      </w:tr>
      <w:tr w:rsidR="00DB671B" w:rsidRPr="00DB671B" w:rsidTr="00DB671B">
        <w:trPr>
          <w:trHeight w:val="606"/>
        </w:trPr>
        <w:tc>
          <w:tcPr>
            <w:tcW w:w="1701" w:type="dxa"/>
            <w:vAlign w:val="center"/>
          </w:tcPr>
          <w:p w:rsidR="00850B27" w:rsidRPr="00DB671B" w:rsidRDefault="00850B27" w:rsidP="00DB671B">
            <w:pPr>
              <w:autoSpaceDE w:val="0"/>
              <w:autoSpaceDN w:val="0"/>
              <w:adjustRightInd w:val="0"/>
              <w:ind w:left="180"/>
              <w:jc w:val="left"/>
              <w:rPr>
                <w:rFonts w:cs="Arial"/>
                <w:sz w:val="18"/>
                <w:szCs w:val="19"/>
              </w:rPr>
            </w:pPr>
            <w:r w:rsidRPr="00DB671B">
              <w:rPr>
                <w:rFonts w:cs="Arial"/>
                <w:sz w:val="18"/>
                <w:szCs w:val="19"/>
              </w:rPr>
              <w:t>Marqueur</w:t>
            </w:r>
            <w:r w:rsidRPr="00DB671B">
              <w:rPr>
                <w:rFonts w:cs="Arial"/>
                <w:i/>
                <w:sz w:val="18"/>
                <w:szCs w:val="19"/>
              </w:rPr>
              <w:t> Tm2/2</w:t>
            </w:r>
            <w:r w:rsidRPr="00DB671B">
              <w:rPr>
                <w:rFonts w:cs="Arial"/>
                <w:i/>
                <w:sz w:val="18"/>
                <w:szCs w:val="19"/>
                <w:vertAlign w:val="superscript"/>
              </w:rPr>
              <w:t>2</w:t>
            </w:r>
          </w:p>
        </w:tc>
        <w:tc>
          <w:tcPr>
            <w:tcW w:w="1985" w:type="dxa"/>
            <w:vAlign w:val="center"/>
          </w:tcPr>
          <w:p w:rsidR="00850B27" w:rsidRPr="00DB671B" w:rsidRDefault="00850B27" w:rsidP="00DB671B">
            <w:pPr>
              <w:autoSpaceDE w:val="0"/>
              <w:autoSpaceDN w:val="0"/>
              <w:adjustRightInd w:val="0"/>
              <w:ind w:left="36" w:right="34"/>
              <w:jc w:val="left"/>
              <w:rPr>
                <w:rFonts w:cs="Arial"/>
                <w:sz w:val="18"/>
                <w:szCs w:val="19"/>
              </w:rPr>
            </w:pPr>
            <w:r w:rsidRPr="00DB671B">
              <w:rPr>
                <w:rFonts w:cs="Arial"/>
                <w:sz w:val="18"/>
                <w:szCs w:val="19"/>
              </w:rPr>
              <w:t>allèle de sensibilité</w:t>
            </w:r>
          </w:p>
        </w:tc>
        <w:tc>
          <w:tcPr>
            <w:tcW w:w="2977" w:type="dxa"/>
            <w:vAlign w:val="center"/>
          </w:tcPr>
          <w:p w:rsidR="00850B27" w:rsidRPr="00DB671B" w:rsidRDefault="00850B27" w:rsidP="00DB671B">
            <w:pPr>
              <w:autoSpaceDE w:val="0"/>
              <w:autoSpaceDN w:val="0"/>
              <w:adjustRightInd w:val="0"/>
              <w:ind w:left="36"/>
              <w:jc w:val="left"/>
              <w:rPr>
                <w:rFonts w:cs="Arial"/>
                <w:sz w:val="18"/>
                <w:szCs w:val="19"/>
              </w:rPr>
            </w:pPr>
            <w:r w:rsidRPr="00DB671B">
              <w:rPr>
                <w:rFonts w:cs="Arial"/>
                <w:sz w:val="18"/>
                <w:szCs w:val="19"/>
              </w:rPr>
              <w:t>allèle de résistance</w:t>
            </w:r>
          </w:p>
        </w:tc>
        <w:tc>
          <w:tcPr>
            <w:tcW w:w="1842" w:type="dxa"/>
            <w:vAlign w:val="center"/>
          </w:tcPr>
          <w:p w:rsidR="00850B27" w:rsidRPr="00DB671B" w:rsidRDefault="00850B27" w:rsidP="00DB671B">
            <w:pPr>
              <w:autoSpaceDE w:val="0"/>
              <w:autoSpaceDN w:val="0"/>
              <w:adjustRightInd w:val="0"/>
              <w:ind w:left="20" w:right="-108"/>
              <w:jc w:val="left"/>
              <w:rPr>
                <w:rFonts w:cs="Arial"/>
                <w:sz w:val="18"/>
                <w:szCs w:val="19"/>
              </w:rPr>
            </w:pPr>
            <w:r w:rsidRPr="00DB671B">
              <w:rPr>
                <w:rFonts w:cs="Arial"/>
                <w:sz w:val="18"/>
                <w:szCs w:val="19"/>
              </w:rPr>
              <w:t>allèle de sensibilité</w:t>
            </w:r>
          </w:p>
        </w:tc>
      </w:tr>
      <w:tr w:rsidR="00850B27" w:rsidRPr="00DB671B" w:rsidTr="00DB671B">
        <w:trPr>
          <w:trHeight w:val="558"/>
        </w:trPr>
        <w:tc>
          <w:tcPr>
            <w:tcW w:w="1701" w:type="dxa"/>
            <w:vAlign w:val="center"/>
          </w:tcPr>
          <w:p w:rsidR="00850B27" w:rsidRPr="00DB671B" w:rsidRDefault="00850B27" w:rsidP="00DB671B">
            <w:pPr>
              <w:autoSpaceDE w:val="0"/>
              <w:autoSpaceDN w:val="0"/>
              <w:adjustRightInd w:val="0"/>
              <w:spacing w:before="120" w:after="120"/>
              <w:ind w:left="180"/>
              <w:jc w:val="left"/>
              <w:rPr>
                <w:rFonts w:cs="Arial"/>
                <w:sz w:val="18"/>
                <w:szCs w:val="19"/>
              </w:rPr>
            </w:pPr>
            <w:r w:rsidRPr="00DB671B">
              <w:rPr>
                <w:rFonts w:cs="Arial"/>
                <w:sz w:val="18"/>
                <w:szCs w:val="19"/>
              </w:rPr>
              <w:t>Résistance à la souche 0 du virus ToMV</w:t>
            </w:r>
          </w:p>
        </w:tc>
        <w:tc>
          <w:tcPr>
            <w:tcW w:w="1985" w:type="dxa"/>
            <w:vAlign w:val="center"/>
          </w:tcPr>
          <w:p w:rsidR="00850B27" w:rsidRPr="00DB671B" w:rsidRDefault="00850B27" w:rsidP="00DB671B">
            <w:pPr>
              <w:autoSpaceDE w:val="0"/>
              <w:autoSpaceDN w:val="0"/>
              <w:adjustRightInd w:val="0"/>
              <w:ind w:left="36" w:right="34"/>
              <w:jc w:val="left"/>
              <w:rPr>
                <w:rFonts w:cs="Arial"/>
                <w:sz w:val="18"/>
                <w:szCs w:val="19"/>
              </w:rPr>
            </w:pPr>
            <w:r w:rsidRPr="00DB671B">
              <w:rPr>
                <w:rFonts w:cs="Arial"/>
                <w:sz w:val="18"/>
                <w:szCs w:val="19"/>
              </w:rPr>
              <w:t>nulle</w:t>
            </w:r>
          </w:p>
        </w:tc>
        <w:tc>
          <w:tcPr>
            <w:tcW w:w="2977" w:type="dxa"/>
            <w:vAlign w:val="center"/>
          </w:tcPr>
          <w:p w:rsidR="00850B27" w:rsidRPr="00DB671B" w:rsidRDefault="00850B27" w:rsidP="00DB671B">
            <w:pPr>
              <w:autoSpaceDE w:val="0"/>
              <w:autoSpaceDN w:val="0"/>
              <w:adjustRightInd w:val="0"/>
              <w:ind w:left="36"/>
              <w:jc w:val="left"/>
              <w:rPr>
                <w:rFonts w:cs="Arial"/>
                <w:sz w:val="18"/>
                <w:szCs w:val="19"/>
              </w:rPr>
            </w:pPr>
            <w:r w:rsidRPr="00DB671B">
              <w:rPr>
                <w:rFonts w:cs="Arial"/>
                <w:sz w:val="18"/>
                <w:szCs w:val="19"/>
              </w:rPr>
              <w:t>présente</w:t>
            </w:r>
          </w:p>
        </w:tc>
        <w:tc>
          <w:tcPr>
            <w:tcW w:w="1842" w:type="dxa"/>
            <w:vAlign w:val="center"/>
          </w:tcPr>
          <w:p w:rsidR="00850B27" w:rsidRPr="00DB671B" w:rsidRDefault="00850B27" w:rsidP="00DB671B">
            <w:pPr>
              <w:autoSpaceDE w:val="0"/>
              <w:autoSpaceDN w:val="0"/>
              <w:adjustRightInd w:val="0"/>
              <w:ind w:left="20" w:right="-108"/>
              <w:jc w:val="left"/>
              <w:rPr>
                <w:rFonts w:cs="Arial"/>
                <w:sz w:val="18"/>
                <w:szCs w:val="19"/>
              </w:rPr>
            </w:pPr>
            <w:r w:rsidRPr="00DB671B">
              <w:rPr>
                <w:rFonts w:cs="Arial"/>
                <w:sz w:val="18"/>
                <w:szCs w:val="19"/>
              </w:rPr>
              <w:t>présente</w:t>
            </w:r>
          </w:p>
        </w:tc>
      </w:tr>
    </w:tbl>
    <w:p w:rsidR="00850B27" w:rsidRPr="00DB671B" w:rsidRDefault="00850B27" w:rsidP="00DB671B">
      <w:pPr>
        <w:autoSpaceDE w:val="0"/>
        <w:autoSpaceDN w:val="0"/>
        <w:adjustRightInd w:val="0"/>
        <w:ind w:left="567" w:right="567"/>
        <w:rPr>
          <w:rFonts w:eastAsia="Calibri" w:cs="Arial"/>
          <w:sz w:val="18"/>
        </w:rPr>
      </w:pPr>
    </w:p>
    <w:p w:rsidR="00850B27" w:rsidRPr="00DB671B" w:rsidRDefault="00850B27" w:rsidP="00DB671B">
      <w:pPr>
        <w:autoSpaceDE w:val="0"/>
        <w:autoSpaceDN w:val="0"/>
        <w:adjustRightInd w:val="0"/>
        <w:ind w:left="567" w:right="567"/>
        <w:rPr>
          <w:rFonts w:eastAsia="Calibri" w:cs="Arial"/>
          <w:sz w:val="18"/>
        </w:rPr>
      </w:pPr>
      <w:r w:rsidRPr="00DB671B">
        <w:rPr>
          <w:rFonts w:eastAsia="Calibri" w:cs="Arial"/>
          <w:sz w:val="18"/>
        </w:rPr>
        <w:t>“5.</w:t>
      </w:r>
      <w:r w:rsidRPr="00DB671B">
        <w:rPr>
          <w:rFonts w:eastAsia="Calibri" w:cs="Arial"/>
          <w:sz w:val="18"/>
        </w:rPr>
        <w:tab/>
        <w:t>Si une variété est censée être résistante à la souche 0 du virus de la mosaïque de la tomate, le test avec marqueurs d’ADN peut être effectué.  Dans les cas où la résistance est fondée sur la présence de l’allèle </w:t>
      </w:r>
      <w:r w:rsidRPr="00DB671B">
        <w:rPr>
          <w:rFonts w:eastAsia="Calibri" w:cs="Arial"/>
          <w:i/>
          <w:sz w:val="18"/>
        </w:rPr>
        <w:t>Tm2</w:t>
      </w:r>
      <w:r w:rsidRPr="00DB671B">
        <w:rPr>
          <w:rFonts w:eastAsia="Calibri" w:cs="Arial"/>
          <w:sz w:val="18"/>
        </w:rPr>
        <w:t xml:space="preserve"> ou </w:t>
      </w:r>
      <w:r w:rsidRPr="00DB671B">
        <w:rPr>
          <w:rFonts w:eastAsia="Calibri" w:cs="Arial"/>
          <w:i/>
          <w:sz w:val="18"/>
        </w:rPr>
        <w:t>Tm2</w:t>
      </w:r>
      <w:r w:rsidRPr="00DB671B">
        <w:rPr>
          <w:rFonts w:eastAsia="Calibri" w:cs="Arial"/>
          <w:i/>
          <w:sz w:val="18"/>
          <w:vertAlign w:val="superscript"/>
        </w:rPr>
        <w:t>2</w:t>
      </w:r>
      <w:r w:rsidRPr="00DB671B">
        <w:rPr>
          <w:rFonts w:eastAsia="Calibri" w:cs="Arial"/>
          <w:sz w:val="18"/>
        </w:rPr>
        <w:t>, le test avec marqueurs d’ADN pourrait remplacer l’essai biologique traditionnel.</w:t>
      </w:r>
    </w:p>
    <w:p w:rsidR="00850B27" w:rsidRPr="00DB671B" w:rsidRDefault="00850B27" w:rsidP="00DB671B">
      <w:pPr>
        <w:autoSpaceDE w:val="0"/>
        <w:autoSpaceDN w:val="0"/>
        <w:adjustRightInd w:val="0"/>
        <w:ind w:left="567" w:right="567"/>
        <w:rPr>
          <w:rFonts w:eastAsia="Calibri" w:cs="Arial"/>
          <w:sz w:val="18"/>
        </w:rPr>
      </w:pPr>
    </w:p>
    <w:p w:rsidR="00850B27" w:rsidRPr="00DB671B" w:rsidRDefault="00850B27" w:rsidP="00DB671B">
      <w:pPr>
        <w:autoSpaceDE w:val="0"/>
        <w:autoSpaceDN w:val="0"/>
        <w:adjustRightInd w:val="0"/>
        <w:ind w:left="567" w:right="567"/>
        <w:rPr>
          <w:rFonts w:eastAsia="Calibri" w:cs="Arial"/>
          <w:sz w:val="18"/>
        </w:rPr>
      </w:pPr>
      <w:r w:rsidRPr="00DB671B">
        <w:rPr>
          <w:rFonts w:eastAsia="Calibri" w:cs="Arial"/>
          <w:sz w:val="18"/>
        </w:rPr>
        <w:t>“6.</w:t>
      </w:r>
      <w:r w:rsidRPr="00DB671B">
        <w:rPr>
          <w:rFonts w:eastAsia="Calibri" w:cs="Arial"/>
          <w:sz w:val="18"/>
        </w:rPr>
        <w:tab/>
        <w:t>Si le test avec marqueurs d’ADN ne confirme pas la résistance ou si la variété est censée être sensible, un essai biologique doit être effectué.”</w:t>
      </w:r>
    </w:p>
    <w:p w:rsidR="00850B27" w:rsidRPr="00DB671B" w:rsidRDefault="00850B27" w:rsidP="00DB671B"/>
    <w:p w:rsidR="00850B27" w:rsidRPr="00DB671B" w:rsidRDefault="00850B27" w:rsidP="00DB671B">
      <w:r w:rsidRPr="00DB671B">
        <w:fldChar w:fldCharType="begin"/>
      </w:r>
      <w:r w:rsidRPr="00DB671B">
        <w:instrText xml:space="preserve"> AUTONUM  </w:instrText>
      </w:r>
      <w:r w:rsidRPr="00DB671B">
        <w:fldChar w:fldCharType="end"/>
      </w:r>
      <w:r w:rsidRPr="00DB671B">
        <w:tab/>
        <w:t>Le TC note que le nouvel exemple “Marqueur propre aux caractères contenant des informations incomplètes sur le niveau d’expression” deviendrait un deuxième exemple de modèle des “Marqueurs moléculaires propres aux caractères” dans le document TGP/15.</w:t>
      </w:r>
    </w:p>
    <w:p w:rsidR="00850B27" w:rsidRPr="00DB671B" w:rsidRDefault="00850B27" w:rsidP="00DB671B"/>
    <w:p w:rsidR="00850B27" w:rsidRPr="00DB671B" w:rsidRDefault="00850B27" w:rsidP="00DB671B">
      <w:r w:rsidRPr="00DB671B">
        <w:fldChar w:fldCharType="begin"/>
      </w:r>
      <w:r w:rsidRPr="00DB671B">
        <w:instrText xml:space="preserve"> AUTONUM  </w:instrText>
      </w:r>
      <w:r w:rsidRPr="00DB671B">
        <w:fldChar w:fldCharType="end"/>
      </w:r>
      <w:r w:rsidRPr="00DB671B">
        <w:tab/>
        <w:t>Le TC convient que le modèle “Sélection génétique de variétés voisines pour le premier cycle de végétation” devrait être présenté dans le document TGP/15 comme un deuxième exemple de modèle de “Combinaison de distances phénotypiques et moléculaires pour gérer des collections de variétés”.  Il estime qu’il convient de revoir la terminologie relative aux différents “Modèles” dans le document.</w:t>
      </w:r>
    </w:p>
    <w:p w:rsidR="00850B27" w:rsidRPr="00DB671B" w:rsidRDefault="00850B27" w:rsidP="00DB671B"/>
    <w:p w:rsidR="00850B27" w:rsidRPr="00DB671B" w:rsidRDefault="00850B27" w:rsidP="00DB671B">
      <w:pPr>
        <w:pStyle w:val="Heading3"/>
        <w:rPr>
          <w:lang w:val="fr-FR"/>
        </w:rPr>
      </w:pPr>
      <w:r w:rsidRPr="00DB671B">
        <w:rPr>
          <w:lang w:val="fr-FR"/>
        </w:rPr>
        <w:t>Nouvelles propositions de révision des documents TGP</w:t>
      </w:r>
    </w:p>
    <w:p w:rsidR="00850B27" w:rsidRPr="00DB671B" w:rsidRDefault="00850B27" w:rsidP="00DB671B">
      <w:pPr>
        <w:keepNext/>
      </w:pPr>
    </w:p>
    <w:p w:rsidR="00850B27" w:rsidRPr="00DB671B" w:rsidRDefault="00850B27" w:rsidP="00DB671B">
      <w:pPr>
        <w:pStyle w:val="Heading4"/>
      </w:pPr>
      <w:r w:rsidRPr="00DB671B">
        <w:t>TGP/7 : Élaboration des principes directeurs d’examen</w:t>
      </w:r>
    </w:p>
    <w:p w:rsidR="00850B27" w:rsidRPr="00DB671B" w:rsidRDefault="00850B27" w:rsidP="00DB671B">
      <w:pPr>
        <w:keepNext/>
      </w:pPr>
    </w:p>
    <w:p w:rsidR="00850B27" w:rsidRPr="001766FA" w:rsidRDefault="00850B27" w:rsidP="00DB671B">
      <w:pPr>
        <w:pStyle w:val="Heading5"/>
        <w:rPr>
          <w:rFonts w:eastAsia="MS Mincho"/>
          <w:lang w:val="fr-CH"/>
        </w:rPr>
      </w:pPr>
      <w:r w:rsidRPr="001766FA">
        <w:rPr>
          <w:rFonts w:eastAsia="MS Mincho"/>
          <w:lang w:val="fr-CH"/>
        </w:rPr>
        <w:t>Procédure de révision partielle des principes directeurs d’examen de l’UPOV</w:t>
      </w:r>
    </w:p>
    <w:p w:rsidR="00850B27" w:rsidRPr="00DB671B" w:rsidRDefault="00850B27" w:rsidP="00DB671B">
      <w:pPr>
        <w:keepNext/>
      </w:pPr>
    </w:p>
    <w:p w:rsidR="00850B27" w:rsidRPr="00DB671B" w:rsidRDefault="00850B27" w:rsidP="00DB671B">
      <w:r w:rsidRPr="00DB671B">
        <w:rPr>
          <w:rFonts w:cs="Arial"/>
        </w:rPr>
        <w:fldChar w:fldCharType="begin"/>
      </w:r>
      <w:r w:rsidRPr="00DB671B">
        <w:rPr>
          <w:rFonts w:cs="Arial"/>
        </w:rPr>
        <w:instrText xml:space="preserve"> AUTONUM  </w:instrText>
      </w:r>
      <w:r w:rsidRPr="00DB671B">
        <w:rPr>
          <w:rFonts w:cs="Arial"/>
        </w:rPr>
        <w:fldChar w:fldCharType="end"/>
      </w:r>
      <w:r w:rsidRPr="00DB671B">
        <w:rPr>
          <w:rFonts w:cs="Arial"/>
        </w:rPr>
        <w:tab/>
        <w:t>Le TC examine s’il y a lieu de réviser la procédure de révision partielle des principes directeurs d’examen, sur la base des informations fournies par le TWF.</w:t>
      </w:r>
    </w:p>
    <w:p w:rsidR="00850B27" w:rsidRPr="00DB671B" w:rsidRDefault="00850B27" w:rsidP="00DB671B"/>
    <w:p w:rsidR="00850B27" w:rsidRPr="00DB671B" w:rsidRDefault="00850B27" w:rsidP="00DB671B">
      <w:r w:rsidRPr="00DB671B">
        <w:fldChar w:fldCharType="begin"/>
      </w:r>
      <w:r w:rsidRPr="00DB671B">
        <w:instrText xml:space="preserve"> AUTONUM  </w:instrText>
      </w:r>
      <w:r w:rsidRPr="00DB671B">
        <w:fldChar w:fldCharType="end"/>
      </w:r>
      <w:r w:rsidRPr="00DB671B">
        <w:tab/>
        <w:t>Le TC prend note des circonstances ci-après proposées par le TWF pour permettre aux experts de faire de nouvelles propositions de révision partielle des principes directeurs d’examen au cours de l’année :</w:t>
      </w:r>
    </w:p>
    <w:p w:rsidR="00850B27" w:rsidRPr="00DB671B" w:rsidRDefault="00850B27" w:rsidP="00DB671B"/>
    <w:p w:rsidR="00850B27" w:rsidRPr="00DB671B" w:rsidRDefault="00850B27" w:rsidP="00DB671B">
      <w:pPr>
        <w:pStyle w:val="ListParagraph"/>
        <w:numPr>
          <w:ilvl w:val="0"/>
          <w:numId w:val="34"/>
        </w:numPr>
      </w:pPr>
      <w:r w:rsidRPr="00DB671B">
        <w:t>Propositions de suppression d’un caractère</w:t>
      </w:r>
    </w:p>
    <w:p w:rsidR="00850B27" w:rsidRPr="00DB671B" w:rsidRDefault="00850B27" w:rsidP="00DB671B">
      <w:pPr>
        <w:pStyle w:val="ListParagraph"/>
        <w:numPr>
          <w:ilvl w:val="0"/>
          <w:numId w:val="34"/>
        </w:numPr>
      </w:pPr>
      <w:r w:rsidRPr="00DB671B">
        <w:t>Propositions d’ajout d’un nouveau niveau d’expression ou d’une nouvelle illustration</w:t>
      </w:r>
    </w:p>
    <w:p w:rsidR="00850B27" w:rsidRPr="00DB671B" w:rsidRDefault="00850B27" w:rsidP="00DB671B">
      <w:pPr>
        <w:pStyle w:val="ListParagraph"/>
        <w:numPr>
          <w:ilvl w:val="0"/>
          <w:numId w:val="34"/>
        </w:numPr>
      </w:pPr>
      <w:r w:rsidRPr="00DB671B">
        <w:t>Propositions d’ajout de nouveaux exemples</w:t>
      </w:r>
    </w:p>
    <w:p w:rsidR="00850B27" w:rsidRPr="00DB671B" w:rsidRDefault="00850B27" w:rsidP="00DB671B"/>
    <w:p w:rsidR="00850B27" w:rsidRPr="00DB671B" w:rsidRDefault="00850B27" w:rsidP="00DB671B">
      <w:r w:rsidRPr="00DB671B">
        <w:fldChar w:fldCharType="begin"/>
      </w:r>
      <w:r w:rsidRPr="00DB671B">
        <w:instrText xml:space="preserve"> AUTONUM  </w:instrText>
      </w:r>
      <w:r w:rsidRPr="00DB671B">
        <w:fldChar w:fldCharType="end"/>
      </w:r>
      <w:r w:rsidRPr="00DB671B">
        <w:tab/>
        <w:t>Le TC prend note des circonstances ci-après proposées par le TWF lorsqu’une procédure accélérée ne devrait pas s’appliquer :</w:t>
      </w:r>
    </w:p>
    <w:p w:rsidR="00850B27" w:rsidRPr="00DB671B" w:rsidRDefault="00850B27" w:rsidP="00DB671B"/>
    <w:p w:rsidR="00850B27" w:rsidRPr="00DB671B" w:rsidRDefault="00850B27" w:rsidP="00DB671B">
      <w:pPr>
        <w:pStyle w:val="ListParagraph"/>
        <w:numPr>
          <w:ilvl w:val="0"/>
          <w:numId w:val="35"/>
        </w:numPr>
      </w:pPr>
      <w:r w:rsidRPr="00DB671B">
        <w:t>Propositions de groupement des caractères</w:t>
      </w:r>
    </w:p>
    <w:p w:rsidR="00850B27" w:rsidRPr="00DB671B" w:rsidRDefault="00850B27" w:rsidP="00DB671B">
      <w:pPr>
        <w:pStyle w:val="ListParagraph"/>
        <w:numPr>
          <w:ilvl w:val="0"/>
          <w:numId w:val="35"/>
        </w:numPr>
      </w:pPr>
      <w:r w:rsidRPr="00DB671B">
        <w:t>Propositions d’ajout de nouveaux caractères</w:t>
      </w:r>
    </w:p>
    <w:p w:rsidR="00850B27" w:rsidRPr="00DB671B" w:rsidRDefault="00850B27" w:rsidP="00DB671B"/>
    <w:p w:rsidR="00850B27" w:rsidRPr="00DB671B" w:rsidRDefault="00850B27" w:rsidP="00DB671B">
      <w:r w:rsidRPr="00DB671B">
        <w:fldChar w:fldCharType="begin"/>
      </w:r>
      <w:r w:rsidRPr="00DB671B">
        <w:instrText xml:space="preserve"> AUTONUM  </w:instrText>
      </w:r>
      <w:r w:rsidRPr="00DB671B">
        <w:fldChar w:fldCharType="end"/>
      </w:r>
      <w:r w:rsidRPr="00DB671B">
        <w:tab/>
        <w:t>Le TC rappelle que, si une procédure accélérée devait être acceptée, les propositions de révision partielle des principes directeurs d’examen devraient être publiées au moins deux mois avant la session afin de laisser aux membres suffisamment de temps pour les examiner.  Il note que le Bureau de l’UPOV aura également besoin de plus de temps pour préparer les documents avant leur publication en ligne.</w:t>
      </w:r>
    </w:p>
    <w:p w:rsidR="00850B27" w:rsidRPr="00DB671B" w:rsidRDefault="00850B27" w:rsidP="00DB671B"/>
    <w:p w:rsidR="00850B27" w:rsidRPr="00DB671B" w:rsidRDefault="00850B27" w:rsidP="00DB671B">
      <w:r w:rsidRPr="00DB671B">
        <w:fldChar w:fldCharType="begin"/>
      </w:r>
      <w:r w:rsidRPr="00DB671B">
        <w:instrText xml:space="preserve"> AUTONUM  </w:instrText>
      </w:r>
      <w:r w:rsidRPr="00DB671B">
        <w:fldChar w:fldCharType="end"/>
      </w:r>
      <w:r w:rsidRPr="00DB671B">
        <w:tab/>
        <w:t>Le TC rappelle que des révisions partielles des principes directeurs d’examen peuvent être proposées aux sessions des TWP ou du TC, offrant ainsi au moins deux occasions par an de proposer des révisions partielles.</w:t>
      </w:r>
    </w:p>
    <w:p w:rsidR="00850B27" w:rsidRPr="00DB671B" w:rsidRDefault="00850B27" w:rsidP="00DB671B"/>
    <w:p w:rsidR="00850B27" w:rsidRPr="00DB671B" w:rsidRDefault="00850B27" w:rsidP="00DB671B">
      <w:r w:rsidRPr="00DB671B">
        <w:fldChar w:fldCharType="begin"/>
      </w:r>
      <w:r w:rsidRPr="00DB671B">
        <w:instrText xml:space="preserve"> AUTONUM  </w:instrText>
      </w:r>
      <w:r w:rsidRPr="00DB671B">
        <w:fldChar w:fldCharType="end"/>
      </w:r>
      <w:r w:rsidRPr="00DB671B">
        <w:tab/>
        <w:t>Le TC note que des mises à jour fréquentes des principes directeurs d’examen pourraient nuire à l’harmonisation internationale et demande au TWF de s’interroger une nouvelle fois sur la pertinence d’une nouvelle procédure.  Il décide que, si le TWF estime qu’une procédure accélérée est justifiée, celle-ci ne doit être appliquée que dans des cas exceptionnels.</w:t>
      </w:r>
    </w:p>
    <w:p w:rsidR="00850B27" w:rsidRPr="00DB671B" w:rsidRDefault="00850B27" w:rsidP="00DB671B"/>
    <w:p w:rsidR="00850B27" w:rsidRPr="001766FA" w:rsidRDefault="00850B27" w:rsidP="00DB671B">
      <w:pPr>
        <w:pStyle w:val="Heading5"/>
        <w:rPr>
          <w:lang w:val="fr-CH"/>
        </w:rPr>
      </w:pPr>
      <w:r w:rsidRPr="001766FA">
        <w:rPr>
          <w:lang w:val="fr-CH"/>
        </w:rPr>
        <w:t>Présentation dans les principes directeurs d’examen de notes exhaustives sur les caractères quantitatifs</w:t>
      </w:r>
    </w:p>
    <w:p w:rsidR="00850B27" w:rsidRPr="00DB671B" w:rsidRDefault="00850B27" w:rsidP="00DB671B">
      <w:pPr>
        <w:keepNext/>
      </w:pPr>
    </w:p>
    <w:p w:rsidR="00850B27" w:rsidRPr="00DB671B" w:rsidRDefault="00850B27" w:rsidP="00DB671B">
      <w:pPr>
        <w:keepNext/>
      </w:pPr>
      <w:r w:rsidRPr="00DB671B">
        <w:rPr>
          <w:rFonts w:cs="Arial"/>
        </w:rPr>
        <w:fldChar w:fldCharType="begin"/>
      </w:r>
      <w:r w:rsidRPr="00DB671B">
        <w:rPr>
          <w:rFonts w:cs="Arial"/>
        </w:rPr>
        <w:instrText xml:space="preserve"> AUTONUM  </w:instrText>
      </w:r>
      <w:r w:rsidRPr="00DB671B">
        <w:rPr>
          <w:rFonts w:cs="Arial"/>
        </w:rPr>
        <w:fldChar w:fldCharType="end"/>
      </w:r>
      <w:r w:rsidRPr="00DB671B">
        <w:rPr>
          <w:rFonts w:cs="Arial"/>
        </w:rPr>
        <w:tab/>
        <w:t>Le TC souscrit à la proposition de révision du document TGP/7 relative à la présentation de tous les niveaux d’expression concernant des caractères quantitatifs dans les principes directeurs d’examen.</w:t>
      </w:r>
    </w:p>
    <w:p w:rsidR="00850B27" w:rsidRPr="00DB671B" w:rsidRDefault="00850B27" w:rsidP="00DB671B">
      <w:pPr>
        <w:keepNext/>
      </w:pPr>
    </w:p>
    <w:p w:rsidR="00850B27" w:rsidRPr="001766FA" w:rsidRDefault="00850B27" w:rsidP="00DB671B">
      <w:pPr>
        <w:pStyle w:val="Heading5"/>
        <w:rPr>
          <w:lang w:val="fr-CH"/>
        </w:rPr>
      </w:pPr>
      <w:r w:rsidRPr="001766FA">
        <w:rPr>
          <w:lang w:val="fr-CH"/>
        </w:rPr>
        <w:t>Liens dans les principes directeurs d’examen vers les conseils pertinents figurant dans les documents TGP</w:t>
      </w:r>
    </w:p>
    <w:p w:rsidR="00850B27" w:rsidRPr="00DB671B" w:rsidRDefault="00850B27" w:rsidP="00DB671B"/>
    <w:p w:rsidR="00850B27" w:rsidRPr="00DB671B" w:rsidRDefault="00850B27" w:rsidP="00DB671B">
      <w:r w:rsidRPr="00DB671B">
        <w:fldChar w:fldCharType="begin"/>
      </w:r>
      <w:r w:rsidRPr="00DB671B">
        <w:instrText xml:space="preserve"> AUTONUM  </w:instrText>
      </w:r>
      <w:r w:rsidRPr="00DB671B">
        <w:fldChar w:fldCharType="end"/>
      </w:r>
      <w:r w:rsidRPr="00DB671B">
        <w:tab/>
        <w:t>Le TC prend note de la proposition faite par le TWC, à sa trente-septième session, d’indiquer les conseils pertinents contenus dans les documents TGP pour lesquels des liens pourraient figurer dans les principes directeurs d’examen, et il convient d’inviter les TWP, à leurs sessions en 2020, à proposer des liens qui pourraient être indiqués.</w:t>
      </w:r>
    </w:p>
    <w:p w:rsidR="00850B27" w:rsidRPr="00DB671B" w:rsidRDefault="00850B27" w:rsidP="00DB671B"/>
    <w:p w:rsidR="00850B27" w:rsidRPr="00DB671B" w:rsidRDefault="00850B27" w:rsidP="00DB671B">
      <w:r w:rsidRPr="00DB671B">
        <w:fldChar w:fldCharType="begin"/>
      </w:r>
      <w:r w:rsidRPr="00DB671B">
        <w:instrText xml:space="preserve"> AUTONUM  </w:instrText>
      </w:r>
      <w:r w:rsidRPr="00DB671B">
        <w:fldChar w:fldCharType="end"/>
      </w:r>
      <w:r w:rsidRPr="00DB671B">
        <w:tab/>
        <w:t>Le TC convient qu’il devra être rendu compte au TC, à sa cinquante-sixième session, des conseils pertinents de l’UPOV identifiés par les TWP, pour inclusion éventuelle dans le modèle de principes directeurs d’examen lors d’une révision ultérieure du document TGP/7.</w:t>
      </w:r>
    </w:p>
    <w:p w:rsidR="00850B27" w:rsidRPr="00DB671B" w:rsidRDefault="00850B27" w:rsidP="00DB671B"/>
    <w:p w:rsidR="00850B27" w:rsidRPr="00DB671B" w:rsidRDefault="00850B27" w:rsidP="00DB671B">
      <w:pPr>
        <w:pStyle w:val="Heading4"/>
      </w:pPr>
      <w:r w:rsidRPr="00DB671B">
        <w:t>TGP/12 : Conseils en ce qui concerne certains caractères physiologiques</w:t>
      </w:r>
    </w:p>
    <w:p w:rsidR="00850B27" w:rsidRPr="00DB671B" w:rsidRDefault="00850B27" w:rsidP="00DB671B">
      <w:pPr>
        <w:keepNext/>
        <w:keepLines/>
      </w:pPr>
    </w:p>
    <w:p w:rsidR="00850B27" w:rsidRPr="00DB671B" w:rsidRDefault="00850B27" w:rsidP="00DB671B">
      <w:pPr>
        <w:keepNext/>
      </w:pPr>
      <w:r w:rsidRPr="00DB671B">
        <w:fldChar w:fldCharType="begin"/>
      </w:r>
      <w:r w:rsidRPr="00DB671B">
        <w:instrText xml:space="preserve"> AUTONUM  </w:instrText>
      </w:r>
      <w:r w:rsidRPr="00DB671B">
        <w:fldChar w:fldCharType="end"/>
      </w:r>
      <w:r w:rsidRPr="00DB671B">
        <w:tab/>
        <w:t>Le TC note que le TWV, à sa cinquante-troisième session, est convenu que les orientations figurant dans les documents UPOV concernant l’utilisation des caractères de résistance aux maladies étaient claires et suffisantes pour le moment, comme indiqué au paragraphe 65 du document TC/55/4.  Il convient qu’aucune autre mesure n’est requise à ce stade.</w:t>
      </w:r>
    </w:p>
    <w:p w:rsidR="00850B27" w:rsidRPr="00DB671B" w:rsidRDefault="00850B27" w:rsidP="00DB671B"/>
    <w:p w:rsidR="00850B27" w:rsidRPr="00DB671B" w:rsidRDefault="00850B27" w:rsidP="00DB671B">
      <w:pPr>
        <w:pStyle w:val="Heading3"/>
        <w:rPr>
          <w:lang w:val="fr-FR"/>
        </w:rPr>
      </w:pPr>
      <w:r w:rsidRPr="00DB671B">
        <w:rPr>
          <w:lang w:val="fr-FR"/>
        </w:rPr>
        <w:t>Programme d’élaboration des documents TGP</w:t>
      </w:r>
    </w:p>
    <w:p w:rsidR="00850B27" w:rsidRPr="00DB671B" w:rsidRDefault="00850B27" w:rsidP="00DB671B">
      <w:pPr>
        <w:keepNext/>
      </w:pPr>
    </w:p>
    <w:p w:rsidR="00850B27" w:rsidRPr="00DB671B" w:rsidRDefault="00850B27" w:rsidP="00DB671B">
      <w:pPr>
        <w:keepNext/>
      </w:pPr>
      <w:r w:rsidRPr="00DB671B">
        <w:fldChar w:fldCharType="begin"/>
      </w:r>
      <w:r w:rsidRPr="00DB671B">
        <w:instrText xml:space="preserve"> AUTONUM  </w:instrText>
      </w:r>
      <w:r w:rsidRPr="00DB671B">
        <w:fldChar w:fldCharType="end"/>
      </w:r>
      <w:r w:rsidRPr="00DB671B">
        <w:tab/>
        <w:t>Le TC donne son aval au programme d’élaboration des documents TGP, tel qu’il figure à l’annexe IV du document TC/55/4, sous réserve de ses conclusions à cette session.</w:t>
      </w:r>
    </w:p>
    <w:p w:rsidR="00850B27" w:rsidRPr="00DB671B" w:rsidRDefault="00850B27" w:rsidP="00DB671B"/>
    <w:p w:rsidR="00850B27" w:rsidRPr="00DB671B" w:rsidRDefault="00850B27" w:rsidP="00DB671B">
      <w:r w:rsidRPr="00DB671B">
        <w:fldChar w:fldCharType="begin"/>
      </w:r>
      <w:r w:rsidRPr="00DB671B">
        <w:instrText xml:space="preserve"> AUTONUM  </w:instrText>
      </w:r>
      <w:r w:rsidRPr="00DB671B">
        <w:fldChar w:fldCharType="end"/>
      </w:r>
      <w:r w:rsidRPr="00DB671B">
        <w:tab/>
        <w:t>Le TC décide d’étendre la portée du document “Documents TGP” à l’ensemble des documents d’information pertinents qui seront présentés lors de ses futures sessions.</w:t>
      </w:r>
    </w:p>
    <w:p w:rsidR="00850B27" w:rsidRPr="00DB671B" w:rsidRDefault="00850B27" w:rsidP="00DB671B"/>
    <w:p w:rsidR="00850B27" w:rsidRPr="00DB671B" w:rsidRDefault="00850B27" w:rsidP="00DB671B"/>
    <w:p w:rsidR="00850B27" w:rsidRPr="00DB671B" w:rsidRDefault="00850B27" w:rsidP="00DB671B">
      <w:pPr>
        <w:pStyle w:val="Heading2"/>
        <w:rPr>
          <w:lang w:val="fr-FR"/>
        </w:rPr>
      </w:pPr>
      <w:r w:rsidRPr="00DB671B">
        <w:rPr>
          <w:lang w:val="fr-FR"/>
        </w:rPr>
        <w:t>Techniques moléculaires</w:t>
      </w:r>
    </w:p>
    <w:p w:rsidR="00850B27" w:rsidRPr="00DB671B" w:rsidRDefault="00850B27" w:rsidP="00DB671B">
      <w:pPr>
        <w:keepNext/>
      </w:pPr>
    </w:p>
    <w:p w:rsidR="00850B27" w:rsidRPr="00DB671B" w:rsidRDefault="00850B27" w:rsidP="00DB671B">
      <w:pPr>
        <w:keepNext/>
      </w:pPr>
      <w:r w:rsidRPr="00DB671B">
        <w:fldChar w:fldCharType="begin"/>
      </w:r>
      <w:r w:rsidRPr="00DB671B">
        <w:instrText xml:space="preserve"> AUTONUM  </w:instrText>
      </w:r>
      <w:r w:rsidRPr="00DB671B">
        <w:fldChar w:fldCharType="end"/>
      </w:r>
      <w:r w:rsidRPr="00DB671B">
        <w:tab/>
        <w:t>Le TC examine les documents TC/55/7, TC/55/7 Add. et TC/55/7 Add. 2.</w:t>
      </w:r>
    </w:p>
    <w:p w:rsidR="00850B27" w:rsidRPr="00DB671B" w:rsidRDefault="00850B27" w:rsidP="00DB671B"/>
    <w:p w:rsidR="00850B27" w:rsidRPr="00DB671B" w:rsidRDefault="00850B27" w:rsidP="00DB671B">
      <w:pPr>
        <w:pStyle w:val="Heading3"/>
        <w:rPr>
          <w:lang w:val="fr-FR"/>
        </w:rPr>
      </w:pPr>
      <w:r w:rsidRPr="00DB671B">
        <w:rPr>
          <w:lang w:val="fr-FR"/>
        </w:rPr>
        <w:t>Examen du document UPOV/INF/17 “Directives concernant les profils d’ADN : choix des marqueurs moléculaires et construction d’une base de données y relative (‛Directives BMT</w:t>
      </w:r>
      <w:r w:rsidRPr="00DB671B">
        <w:rPr>
          <w:rFonts w:cs="Arial"/>
          <w:lang w:val="fr-FR"/>
        </w:rPr>
        <w:t>’</w:t>
      </w:r>
      <w:r w:rsidRPr="00DB671B">
        <w:rPr>
          <w:lang w:val="fr-FR"/>
        </w:rPr>
        <w:t>)”</w:t>
      </w:r>
    </w:p>
    <w:p w:rsidR="00850B27" w:rsidRPr="00DB671B" w:rsidRDefault="00850B27" w:rsidP="00DB671B">
      <w:pPr>
        <w:keepNext/>
      </w:pPr>
    </w:p>
    <w:p w:rsidR="00850B27" w:rsidRPr="00DB671B" w:rsidRDefault="00850B27" w:rsidP="00DB671B">
      <w:pPr>
        <w:keepNext/>
      </w:pPr>
      <w:r w:rsidRPr="00DB671B">
        <w:fldChar w:fldCharType="begin"/>
      </w:r>
      <w:r w:rsidRPr="00DB671B">
        <w:instrText xml:space="preserve"> AUTONUM  </w:instrText>
      </w:r>
      <w:r w:rsidRPr="00DB671B">
        <w:fldChar w:fldCharType="end"/>
      </w:r>
      <w:r w:rsidRPr="00DB671B">
        <w:tab/>
        <w:t>Le TC note que le BMT, à sa dix-huitième session, a examiné le document UPOV/INF/17/2 Draft 2 “Directives concernant les profils d’ADN : choix des marqueurs moléculaires et construction d’une base de données y relative (‛Directives BMT</w:t>
      </w:r>
      <w:r w:rsidRPr="00DB671B">
        <w:rPr>
          <w:rFonts w:cs="Arial"/>
        </w:rPr>
        <w:t>’</w:t>
      </w:r>
      <w:r w:rsidRPr="00DB671B">
        <w:t>)”, comme indiqué au paragraphe 7 du document TC/55/7.</w:t>
      </w:r>
    </w:p>
    <w:p w:rsidR="00850B27" w:rsidRPr="00DB671B" w:rsidRDefault="00850B27" w:rsidP="00DB671B"/>
    <w:p w:rsidR="00850B27" w:rsidRPr="00DB671B" w:rsidRDefault="00850B27" w:rsidP="00DB671B">
      <w:r w:rsidRPr="00DB671B">
        <w:fldChar w:fldCharType="begin"/>
      </w:r>
      <w:r w:rsidRPr="00DB671B">
        <w:instrText xml:space="preserve"> AUTONUM  </w:instrText>
      </w:r>
      <w:r w:rsidRPr="00DB671B">
        <w:fldChar w:fldCharType="end"/>
      </w:r>
      <w:r w:rsidRPr="00DB671B">
        <w:tab/>
        <w:t>Le TC note que le BMT a été informé, à sa dix-huitième session, de la proposition du TWV concernant l’élaboration d’orientations sur les éléments à inclure dans un protocole d’essai sur les marqueurs d’ADN pour un caractère particulier dans le document UPOV/INF/17, comme indiqué au paragraphe 9 du document TC/55/7.</w:t>
      </w:r>
    </w:p>
    <w:p w:rsidR="00850B27" w:rsidRPr="00DB671B" w:rsidRDefault="00850B27" w:rsidP="00DB671B"/>
    <w:p w:rsidR="00850B27" w:rsidRPr="00DB671B" w:rsidRDefault="00850B27" w:rsidP="00DB671B">
      <w:r w:rsidRPr="00DB671B">
        <w:fldChar w:fldCharType="begin"/>
      </w:r>
      <w:r w:rsidRPr="00DB671B">
        <w:instrText xml:space="preserve"> AUTONUM  </w:instrText>
      </w:r>
      <w:r w:rsidRPr="00DB671B">
        <w:fldChar w:fldCharType="end"/>
      </w:r>
      <w:r w:rsidRPr="00DB671B">
        <w:tab/>
        <w:t>Le TC approuve la proposition présentée par le BMT, à sa dix-huitième session, de demander à la France, aux Pays-Bas et à l’Union européenne d’établir un nouveau projet de document UPOV/INF/17 “Directives concernant les profils d’ADN : choix des marqueurs moléculaires et construction d’une base de données y relative (‛Directives BMT</w:t>
      </w:r>
      <w:r w:rsidRPr="00DB671B">
        <w:rPr>
          <w:rFonts w:cs="Arial"/>
        </w:rPr>
        <w:t>’</w:t>
      </w:r>
      <w:r w:rsidRPr="00DB671B">
        <w:t>)” (document UPOV/INF/17/</w:t>
      </w:r>
      <w:r w:rsidR="00D35021">
        <w:t>2 Draft 3) pour examen à la dix</w:t>
      </w:r>
      <w:r w:rsidR="00D35021">
        <w:noBreakHyphen/>
      </w:r>
      <w:r w:rsidRPr="00DB671B">
        <w:t>neuvième session du BMT.</w:t>
      </w:r>
    </w:p>
    <w:p w:rsidR="00850B27" w:rsidRPr="00DB671B" w:rsidRDefault="00850B27" w:rsidP="00DB671B"/>
    <w:p w:rsidR="00850B27" w:rsidRPr="00DB671B" w:rsidRDefault="00850B27" w:rsidP="00DB671B">
      <w:pPr>
        <w:pStyle w:val="Heading3"/>
        <w:rPr>
          <w:lang w:val="fr-FR"/>
        </w:rPr>
      </w:pPr>
      <w:r w:rsidRPr="00DB671B">
        <w:rPr>
          <w:lang w:val="fr-FR"/>
        </w:rPr>
        <w:t>Coopération entre organisations internationales</w:t>
      </w:r>
    </w:p>
    <w:p w:rsidR="00850B27" w:rsidRPr="00DB671B" w:rsidRDefault="00850B27" w:rsidP="00DB671B">
      <w:pPr>
        <w:keepNext/>
      </w:pPr>
    </w:p>
    <w:p w:rsidR="00850B27" w:rsidRPr="00DB671B" w:rsidRDefault="00850B27" w:rsidP="00DB671B">
      <w:pPr>
        <w:pStyle w:val="Heading4"/>
      </w:pPr>
      <w:r w:rsidRPr="00DB671B">
        <w:t>Document commun présentant les particularités des systèmes de l’OCDE, de l’UPOV et de l’ISTA</w:t>
      </w:r>
    </w:p>
    <w:p w:rsidR="00850B27" w:rsidRPr="00DB671B" w:rsidRDefault="00850B27" w:rsidP="00DB671B">
      <w:pPr>
        <w:keepNext/>
      </w:pPr>
    </w:p>
    <w:p w:rsidR="00850B27" w:rsidRPr="00DB671B" w:rsidRDefault="00850B27" w:rsidP="00DB671B">
      <w:pPr>
        <w:keepNext/>
      </w:pPr>
      <w:r w:rsidRPr="00DB671B">
        <w:fldChar w:fldCharType="begin"/>
      </w:r>
      <w:r w:rsidRPr="00DB671B">
        <w:instrText xml:space="preserve"> AUTONUM  </w:instrText>
      </w:r>
      <w:r w:rsidRPr="00DB671B">
        <w:fldChar w:fldCharType="end"/>
      </w:r>
      <w:r w:rsidRPr="00DB671B">
        <w:tab/>
        <w:t>Le TC convient avec le BMT, à sa dix-huitième session, que les éléments pertinents tirés du Partenariat mondial sur les semences et la réponse à la question fréquemment posée sur l’utilisation des techniques moléculaires dans le cadre de l’examen DHS constitueraient une base appropriée à partir de laquelle le Bureau international pourrait, en concertation avec l’OCDE, élaborer un projet de document commun présentant les particularités des systèmes de l’OCDE, de l’UPOV et de l’ISTA.</w:t>
      </w:r>
    </w:p>
    <w:p w:rsidR="00850B27" w:rsidRPr="00DB671B" w:rsidRDefault="00850B27" w:rsidP="00DB671B"/>
    <w:p w:rsidR="00850B27" w:rsidRPr="00DB671B" w:rsidRDefault="00850B27" w:rsidP="00DB671B">
      <w:pPr>
        <w:pStyle w:val="Heading4"/>
      </w:pPr>
      <w:r w:rsidRPr="00DB671B">
        <w:t>Inventaire, par plante, de l’utilisation des techniques faisant intervenir des marqueurs moléculaires</w:t>
      </w:r>
    </w:p>
    <w:p w:rsidR="00850B27" w:rsidRPr="00DB671B" w:rsidRDefault="00850B27" w:rsidP="00DB671B">
      <w:pPr>
        <w:keepNext/>
      </w:pPr>
    </w:p>
    <w:p w:rsidR="00850B27" w:rsidRPr="00DB671B" w:rsidRDefault="00850B27" w:rsidP="00DB671B">
      <w:pPr>
        <w:keepNext/>
      </w:pPr>
      <w:r w:rsidRPr="00DB671B">
        <w:fldChar w:fldCharType="begin"/>
      </w:r>
      <w:r w:rsidRPr="00DB671B">
        <w:instrText xml:space="preserve"> AUTONUM  </w:instrText>
      </w:r>
      <w:r w:rsidRPr="00DB671B">
        <w:fldChar w:fldCharType="end"/>
      </w:r>
      <w:r w:rsidRPr="00DB671B">
        <w:tab/>
        <w:t>Le TC examine la possibilité d’établir un inventaire, par plante, de l’utilisation qui est faite des techniques faisant intervenir des marqueurs moléculaires, en vue de l’élaboration d’un document commun à l’OCDE, à l’UPOV et à l’ISTA contenant ces informations, dans un format semblable à celui du document UPOV/INF/16 “Logiciels échangeables”.</w:t>
      </w:r>
    </w:p>
    <w:p w:rsidR="00850B27" w:rsidRPr="00DB671B" w:rsidRDefault="00850B27" w:rsidP="00DB671B">
      <w:pPr>
        <w:keepNext/>
      </w:pPr>
    </w:p>
    <w:p w:rsidR="00850B27" w:rsidRPr="00DB671B" w:rsidRDefault="00850B27" w:rsidP="00DB671B">
      <w:pPr>
        <w:keepNext/>
      </w:pPr>
      <w:r w:rsidRPr="00DB671B">
        <w:fldChar w:fldCharType="begin"/>
      </w:r>
      <w:r w:rsidRPr="00DB671B">
        <w:instrText xml:space="preserve"> AUTONUM  </w:instrText>
      </w:r>
      <w:r w:rsidRPr="00DB671B">
        <w:fldChar w:fldCharType="end"/>
      </w:r>
      <w:r w:rsidRPr="00DB671B">
        <w:tab/>
        <w:t>Le TC approuve les éléments ci-après relatifs à l’inventaire :</w:t>
      </w:r>
    </w:p>
    <w:p w:rsidR="00850B27" w:rsidRPr="00DB671B" w:rsidRDefault="00850B27" w:rsidP="00DB671B"/>
    <w:p w:rsidR="00850B27" w:rsidRPr="00DB671B" w:rsidRDefault="00850B27" w:rsidP="00260E55">
      <w:pPr>
        <w:pStyle w:val="ListParagraph"/>
        <w:numPr>
          <w:ilvl w:val="0"/>
          <w:numId w:val="31"/>
        </w:numPr>
        <w:ind w:left="1134" w:hanging="567"/>
      </w:pPr>
      <w:r w:rsidRPr="00DB671B">
        <w:t>Pays ou organisation intergouvernementale utilisant des techniques faisant intervenir des marqueurs moléculaires</w:t>
      </w:r>
    </w:p>
    <w:p w:rsidR="00850B27" w:rsidRPr="00DB671B" w:rsidRDefault="00850B27" w:rsidP="00260E55">
      <w:pPr>
        <w:pStyle w:val="ListParagraph"/>
        <w:numPr>
          <w:ilvl w:val="0"/>
          <w:numId w:val="31"/>
        </w:numPr>
        <w:ind w:left="1134" w:hanging="567"/>
      </w:pPr>
      <w:r w:rsidRPr="00DB671B">
        <w:t>Question de savoir si l’administration utilise des techniques faisant intervenir des marqueurs moléculaires</w:t>
      </w:r>
    </w:p>
    <w:p w:rsidR="00850B27" w:rsidRPr="00DB671B" w:rsidRDefault="00850B27" w:rsidP="00260E55">
      <w:pPr>
        <w:pStyle w:val="ListParagraph"/>
        <w:numPr>
          <w:ilvl w:val="0"/>
          <w:numId w:val="31"/>
        </w:numPr>
        <w:ind w:left="1134" w:hanging="567"/>
      </w:pPr>
      <w:r w:rsidRPr="00DB671B">
        <w:t>Source [nom de l’administration] et coordonnées [adresse électronique]</w:t>
      </w:r>
    </w:p>
    <w:p w:rsidR="00850B27" w:rsidRPr="00DB671B" w:rsidRDefault="00850B27" w:rsidP="00260E55">
      <w:pPr>
        <w:pStyle w:val="ListParagraph"/>
        <w:numPr>
          <w:ilvl w:val="0"/>
          <w:numId w:val="31"/>
        </w:numPr>
        <w:ind w:left="1134" w:hanging="567"/>
      </w:pPr>
      <w:r w:rsidRPr="00DB671B">
        <w:t>Type de technique faisant intervenir des marqueurs moléculaires [AFLP, analyse de fragments par électrophorèse capillaire, MNP, RAPD-STS, SSR, SNP, Taqman, séquençage du génome entier, autre technique (préciser)] [plusieurs réponses possibles]</w:t>
      </w:r>
    </w:p>
    <w:p w:rsidR="00850B27" w:rsidRPr="00DB671B" w:rsidRDefault="00850B27" w:rsidP="00260E55">
      <w:pPr>
        <w:pStyle w:val="ListParagraph"/>
        <w:numPr>
          <w:ilvl w:val="0"/>
          <w:numId w:val="31"/>
        </w:numPr>
        <w:ind w:left="1134" w:hanging="567"/>
      </w:pPr>
      <w:r w:rsidRPr="00DB671B">
        <w:t>Source des marqueurs moléculaires et coordonnées [adresse électronique]</w:t>
      </w:r>
    </w:p>
    <w:p w:rsidR="00850B27" w:rsidRPr="00DB671B" w:rsidRDefault="00850B27" w:rsidP="00260E55">
      <w:pPr>
        <w:pStyle w:val="ListParagraph"/>
        <w:numPr>
          <w:ilvl w:val="0"/>
          <w:numId w:val="31"/>
        </w:numPr>
        <w:ind w:left="1134" w:hanging="567"/>
      </w:pPr>
      <w:r w:rsidRPr="00DB671B">
        <w:t>Disponibilité des marqueurs [publiquement disponibles ou marqueurs exclusifs]</w:t>
      </w:r>
    </w:p>
    <w:p w:rsidR="00850B27" w:rsidRPr="00DB671B" w:rsidRDefault="00850B27" w:rsidP="00260E55">
      <w:pPr>
        <w:pStyle w:val="ListParagraph"/>
        <w:numPr>
          <w:ilvl w:val="0"/>
          <w:numId w:val="31"/>
        </w:numPr>
        <w:ind w:left="1134" w:hanging="567"/>
      </w:pPr>
      <w:r w:rsidRPr="00DB671B">
        <w:t>Situation (déjà utilisées ou en cours d’élaboration)</w:t>
      </w:r>
    </w:p>
    <w:p w:rsidR="00850B27" w:rsidRPr="00DB671B" w:rsidRDefault="00850B27" w:rsidP="00260E55">
      <w:pPr>
        <w:pStyle w:val="ListParagraph"/>
        <w:numPr>
          <w:ilvl w:val="0"/>
          <w:numId w:val="31"/>
        </w:numPr>
        <w:ind w:left="1134" w:hanging="567"/>
      </w:pPr>
      <w:r w:rsidRPr="00DB671B">
        <w:t>Plantes pour lesquelles la technique faisant intervenir des marqueurs moléculaires est utilisée et caractère concerné [noms botaniques et codes UPOV à indiquer]</w:t>
      </w:r>
    </w:p>
    <w:p w:rsidR="00850B27" w:rsidRPr="00DB671B" w:rsidRDefault="00850B27" w:rsidP="00260E55">
      <w:pPr>
        <w:pStyle w:val="ListParagraph"/>
        <w:numPr>
          <w:ilvl w:val="0"/>
          <w:numId w:val="31"/>
        </w:numPr>
        <w:ind w:left="1134" w:hanging="567"/>
      </w:pPr>
      <w:r w:rsidRPr="00DB671B">
        <w:t>Objet de l’utilisation de la technique moléculaire [modèle de l’UPOV “Marqueurs moléculaires propres aux caractères”, modèle de l’UPOV “Combinaison de distances phénotypiques et moléculaires pour gérer des collections de variétés”, pureté, identité, vérification de la conformité du matériel végétal avec une variété protégée pour l’exercice du droit d’obtenteur, vérification de l’hybridité]</w:t>
      </w:r>
    </w:p>
    <w:p w:rsidR="00850B27" w:rsidRPr="00DB671B" w:rsidRDefault="00850B27" w:rsidP="00260E55">
      <w:pPr>
        <w:pStyle w:val="ListParagraph"/>
        <w:numPr>
          <w:ilvl w:val="0"/>
          <w:numId w:val="31"/>
        </w:numPr>
        <w:ind w:left="1134" w:hanging="567"/>
      </w:pPr>
      <w:r w:rsidRPr="00DB671B">
        <w:t>Question de savoir si la technique faisant intervenir des marqueurs moléculaires a été utilisée dans le cadre de la certification des semences au cours des deux dernières années [certification nationale, certification de l’OCDE] [pertinent pour les systèmes des semences de l’OCDE]</w:t>
      </w:r>
    </w:p>
    <w:p w:rsidR="00850B27" w:rsidRPr="00DB671B" w:rsidRDefault="00850B27" w:rsidP="00260E55">
      <w:pPr>
        <w:pStyle w:val="ListParagraph"/>
        <w:numPr>
          <w:ilvl w:val="0"/>
          <w:numId w:val="31"/>
        </w:numPr>
        <w:ind w:left="1134" w:hanging="567"/>
      </w:pPr>
      <w:r w:rsidRPr="00DB671B">
        <w:t>Nombre de fois où l’administration a utilisé la technique faisant intervenir des marqueurs moléculaires au cours des deux dernières années [routine, occasionnel] [par exemple, 1 à 5 fois, 6 à 20 fois, 21 à 100 fois, plus de 100 fois]</w:t>
      </w:r>
    </w:p>
    <w:p w:rsidR="00850B27" w:rsidRPr="00DB671B" w:rsidRDefault="00850B27" w:rsidP="00260E55">
      <w:pPr>
        <w:pStyle w:val="ListParagraph"/>
        <w:numPr>
          <w:ilvl w:val="0"/>
          <w:numId w:val="31"/>
        </w:numPr>
        <w:ind w:left="1134" w:hanging="567"/>
      </w:pPr>
      <w:r w:rsidRPr="00DB671B">
        <w:t>Question de savoir si la technique faisant intervenir des marqueurs moléculaires est prévue ou non par [les principes directeurs d’examen de l’UPOV, les documents TGP de l’UPOV, d’autres documents de l’UPOV (veuillez préciser)]</w:t>
      </w:r>
    </w:p>
    <w:p w:rsidR="00850B27" w:rsidRPr="00DB671B" w:rsidRDefault="00850B27" w:rsidP="00260E55">
      <w:pPr>
        <w:pStyle w:val="ListParagraph"/>
        <w:numPr>
          <w:ilvl w:val="0"/>
          <w:numId w:val="31"/>
        </w:numPr>
        <w:ind w:left="1134" w:hanging="567"/>
      </w:pPr>
      <w:r w:rsidRPr="00DB671B">
        <w:t>Question de savoir si la technique des marqueurs moléculaires est validée/reconnue/autorisée ou non [si oui, indiquer une organisation ou une administration particulière]</w:t>
      </w:r>
    </w:p>
    <w:p w:rsidR="00850B27" w:rsidRPr="00DB671B" w:rsidRDefault="00850B27" w:rsidP="00260E55">
      <w:pPr>
        <w:pStyle w:val="ListParagraph"/>
        <w:numPr>
          <w:ilvl w:val="0"/>
          <w:numId w:val="31"/>
        </w:numPr>
        <w:ind w:left="1134" w:hanging="567"/>
      </w:pPr>
      <w:r w:rsidRPr="00DB671B">
        <w:t>[pertinent pour les systèmes des semences de l’OCDE]</w:t>
      </w:r>
    </w:p>
    <w:p w:rsidR="00850B27" w:rsidRPr="00DB671B" w:rsidRDefault="00850B27" w:rsidP="00260E55">
      <w:pPr>
        <w:pStyle w:val="ListParagraph"/>
        <w:numPr>
          <w:ilvl w:val="0"/>
          <w:numId w:val="31"/>
        </w:numPr>
        <w:ind w:left="1134" w:hanging="567"/>
      </w:pPr>
      <w:r w:rsidRPr="00DB671B">
        <w:t>Question de savoir si l’administration a créé des bases de données avec les informations tirées de la technique faisant intervenir des marqueurs moléculaires</w:t>
      </w:r>
    </w:p>
    <w:p w:rsidR="00850B27" w:rsidRPr="00DB671B" w:rsidRDefault="00850B27" w:rsidP="00260E55">
      <w:pPr>
        <w:ind w:left="1134" w:hanging="567"/>
        <w:rPr>
          <w:highlight w:val="yellow"/>
        </w:rPr>
      </w:pPr>
    </w:p>
    <w:p w:rsidR="00850B27" w:rsidRPr="00DB671B" w:rsidRDefault="00850B27" w:rsidP="00DB671B">
      <w:r w:rsidRPr="00DB671B">
        <w:fldChar w:fldCharType="begin"/>
      </w:r>
      <w:r w:rsidRPr="00DB671B">
        <w:instrText xml:space="preserve"> AUTONUM  </w:instrText>
      </w:r>
      <w:r w:rsidRPr="00DB671B">
        <w:fldChar w:fldCharType="end"/>
      </w:r>
      <w:r w:rsidRPr="00DB671B">
        <w:tab/>
        <w:t>Le TC convient que la “Question de savoir si la technique faisant intervenir des marqueurs moléculaires est validée ou non” devrait être modifiée comme suit : “Question de savoir si la technique faisant intervenir des marqueurs moléculaires est validée/reconnue/autorisée ou non”.</w:t>
      </w:r>
    </w:p>
    <w:p w:rsidR="00850B27" w:rsidRPr="00DB671B" w:rsidRDefault="00850B27" w:rsidP="00DB671B"/>
    <w:p w:rsidR="00850B27" w:rsidRPr="00DB671B" w:rsidRDefault="00850B27" w:rsidP="00DB671B">
      <w:r w:rsidRPr="00DB671B">
        <w:fldChar w:fldCharType="begin"/>
      </w:r>
      <w:r w:rsidRPr="00DB671B">
        <w:instrText xml:space="preserve"> AUTONUM  </w:instrText>
      </w:r>
      <w:r w:rsidRPr="00DB671B">
        <w:fldChar w:fldCharType="end"/>
      </w:r>
      <w:r w:rsidRPr="00DB671B">
        <w:tab/>
        <w:t>Le TC décide de diffuser une circulaire pour inviter les membres de l’Union à répondre à un questionnaire afin de dresser un inventaire, par plante, de l’utilisation des techniques faisant intervenir des marqueurs moléculaires, en concertation avec l’OCDE.</w:t>
      </w:r>
    </w:p>
    <w:p w:rsidR="00850B27" w:rsidRPr="00DB671B" w:rsidRDefault="00850B27" w:rsidP="00DB671B"/>
    <w:p w:rsidR="00850B27" w:rsidRPr="00DB671B" w:rsidRDefault="00850B27" w:rsidP="00260E55">
      <w:pPr>
        <w:keepNext/>
      </w:pPr>
      <w:r w:rsidRPr="00DB671B">
        <w:fldChar w:fldCharType="begin"/>
      </w:r>
      <w:r w:rsidRPr="00DB671B">
        <w:instrText xml:space="preserve"> AUTONUM  </w:instrText>
      </w:r>
      <w:r w:rsidRPr="00DB671B">
        <w:fldChar w:fldCharType="end"/>
      </w:r>
      <w:r w:rsidRPr="00DB671B">
        <w:tab/>
        <w:t>Le TC convient avec le BMT que le questionnaire devrait présenter les réponses de façon structurée, de sorte que les résultats puissent être comparés dans la mesure du possible.</w:t>
      </w:r>
    </w:p>
    <w:p w:rsidR="00850B27" w:rsidRPr="00DB671B" w:rsidRDefault="00850B27" w:rsidP="00DB671B"/>
    <w:p w:rsidR="00850B27" w:rsidRPr="00DB671B" w:rsidRDefault="00850B27" w:rsidP="00DB671B">
      <w:r w:rsidRPr="00DB671B">
        <w:fldChar w:fldCharType="begin"/>
      </w:r>
      <w:r w:rsidRPr="00DB671B">
        <w:instrText xml:space="preserve"> AUTONUM  </w:instrText>
      </w:r>
      <w:r w:rsidRPr="00DB671B">
        <w:fldChar w:fldCharType="end"/>
      </w:r>
      <w:r w:rsidRPr="00DB671B">
        <w:tab/>
        <w:t>Le TC convient que le Bureau de l’Union devrait mener une enquête t</w:t>
      </w:r>
      <w:r w:rsidR="00D35021">
        <w:t>est avec les experts du Royaume</w:t>
      </w:r>
      <w:r w:rsidR="00D35021">
        <w:noBreakHyphen/>
      </w:r>
      <w:r w:rsidRPr="00DB671B">
        <w:t>Uni.</w:t>
      </w:r>
    </w:p>
    <w:p w:rsidR="00850B27" w:rsidRPr="00DB671B" w:rsidRDefault="00850B27" w:rsidP="00DB671B"/>
    <w:p w:rsidR="00850B27" w:rsidRPr="00DB671B" w:rsidRDefault="00850B27" w:rsidP="00DB671B">
      <w:pPr>
        <w:pStyle w:val="Heading4"/>
      </w:pPr>
      <w:r w:rsidRPr="00DB671B">
        <w:t>Listes d’initiatives conjointes possibles avec l’OCDE et l’ISTA dans le domaine des techniques moléculaires</w:t>
      </w:r>
    </w:p>
    <w:p w:rsidR="00850B27" w:rsidRPr="00DB671B" w:rsidRDefault="00850B27" w:rsidP="00DB671B">
      <w:pPr>
        <w:keepNext/>
      </w:pPr>
    </w:p>
    <w:p w:rsidR="00850B27" w:rsidRPr="00DB671B" w:rsidRDefault="00850B27" w:rsidP="00DB671B">
      <w:pPr>
        <w:keepNext/>
      </w:pPr>
      <w:r w:rsidRPr="00DB671B">
        <w:fldChar w:fldCharType="begin"/>
      </w:r>
      <w:r w:rsidRPr="00DB671B">
        <w:instrText xml:space="preserve"> AUTONUM  </w:instrText>
      </w:r>
      <w:r w:rsidRPr="00DB671B">
        <w:fldChar w:fldCharType="end"/>
      </w:r>
      <w:r w:rsidRPr="00DB671B">
        <w:tab/>
        <w:t>Le TC examine les initiatives conjointes possibles avec l’OCDE et l’ISTA dans le domaine des techniques moléculaires et approuve la proposition faite par le BMT, à sa dix-huitième session, de renouveler l’expérience des ateliers conjoints dans l’avenir.</w:t>
      </w:r>
    </w:p>
    <w:p w:rsidR="00850B27" w:rsidRPr="00DB671B" w:rsidRDefault="00850B27" w:rsidP="00DB671B">
      <w:pPr>
        <w:keepNext/>
      </w:pPr>
    </w:p>
    <w:p w:rsidR="00850B27" w:rsidRPr="00DB671B" w:rsidRDefault="00850B27" w:rsidP="00DB671B">
      <w:pPr>
        <w:keepNext/>
      </w:pPr>
      <w:r w:rsidRPr="00DB671B">
        <w:fldChar w:fldCharType="begin"/>
      </w:r>
      <w:r w:rsidRPr="00DB671B">
        <w:instrText xml:space="preserve"> AUTONUM  </w:instrText>
      </w:r>
      <w:r w:rsidRPr="00DB671B">
        <w:fldChar w:fldCharType="end"/>
      </w:r>
      <w:r w:rsidRPr="00DB671B">
        <w:tab/>
        <w:t>Le TC convient avec le BMT de proposer une initiative conjointe dans laquelle chaque organisation informerait les autres organisations de l’utilisation, dans ses travaux, de techniques faisant intervenir des marqueurs moléculaires.</w:t>
      </w:r>
    </w:p>
    <w:p w:rsidR="00850B27" w:rsidRPr="00DB671B" w:rsidRDefault="00850B27" w:rsidP="00DB671B"/>
    <w:p w:rsidR="00850B27" w:rsidRPr="00DB671B" w:rsidRDefault="00850B27" w:rsidP="00DB671B">
      <w:r w:rsidRPr="00DB671B">
        <w:fldChar w:fldCharType="begin"/>
      </w:r>
      <w:r w:rsidRPr="00DB671B">
        <w:instrText xml:space="preserve"> AUTONUM  </w:instrText>
      </w:r>
      <w:r w:rsidRPr="00DB671B">
        <w:fldChar w:fldCharType="end"/>
      </w:r>
      <w:r w:rsidRPr="00DB671B">
        <w:tab/>
        <w:t>Le TC note qu’il n’y a aucune définition des techniques biochimiques et moléculaires à l’UPOV.  Il convient que les informations tirées de l’enquête sur les techniques pourraient aider à clarifier les techniques considérées comme biochimiques ou moléculaires.</w:t>
      </w:r>
    </w:p>
    <w:p w:rsidR="00850B27" w:rsidRPr="00DB671B" w:rsidRDefault="00850B27" w:rsidP="00DB671B"/>
    <w:p w:rsidR="00850B27" w:rsidRPr="00DB671B" w:rsidRDefault="00850B27" w:rsidP="00DB671B">
      <w:pPr>
        <w:pStyle w:val="Heading3"/>
        <w:rPr>
          <w:lang w:val="fr-FR"/>
        </w:rPr>
      </w:pPr>
      <w:r w:rsidRPr="00DB671B">
        <w:rPr>
          <w:lang w:val="fr-FR"/>
        </w:rPr>
        <w:t>Réunion destinée à favoriser la coopération dans l’utilisation des techniques moléculaires</w:t>
      </w:r>
    </w:p>
    <w:p w:rsidR="00850B27" w:rsidRPr="00DB671B" w:rsidRDefault="00850B27" w:rsidP="00DB671B"/>
    <w:p w:rsidR="00850B27" w:rsidRPr="00DB671B" w:rsidRDefault="00850B27" w:rsidP="00DB671B">
      <w:pPr>
        <w:rPr>
          <w:lang w:eastAsia="ja-JP"/>
        </w:rPr>
      </w:pPr>
      <w:r w:rsidRPr="00DB671B">
        <w:rPr>
          <w:lang w:eastAsia="ja-JP"/>
        </w:rPr>
        <w:fldChar w:fldCharType="begin"/>
      </w:r>
      <w:r w:rsidRPr="00DB671B">
        <w:rPr>
          <w:lang w:eastAsia="ja-JP"/>
        </w:rPr>
        <w:instrText xml:space="preserve"> AUTONUM  </w:instrText>
      </w:r>
      <w:r w:rsidRPr="00DB671B">
        <w:rPr>
          <w:lang w:eastAsia="ja-JP"/>
        </w:rPr>
        <w:fldChar w:fldCharType="end"/>
      </w:r>
      <w:r w:rsidRPr="00DB671B">
        <w:rPr>
          <w:lang w:eastAsia="ja-JP"/>
        </w:rPr>
        <w:tab/>
        <w:t xml:space="preserve">Le TC note que les TWP et le BMT, à leurs sessions de 2019, ont constitué des groupes de discussion afin que les participants puissent échanger des informations sur leurs travaux concernant les techniques biochimiques et moléculaires et étudier les domaines de coopération possibles.  </w:t>
      </w:r>
      <w:r w:rsidRPr="00DB671B">
        <w:t>Il prend note des résultats des délibérations des TWP, indiqués aux paragraphes 32 à 35 du document TC/55/7, qui ont été communiqués au BMT à sa dix-huitième session.</w:t>
      </w:r>
    </w:p>
    <w:p w:rsidR="00850B27" w:rsidRPr="00DB671B" w:rsidRDefault="00850B27" w:rsidP="00DB671B"/>
    <w:p w:rsidR="00850B27" w:rsidRPr="00DB671B" w:rsidRDefault="00850B27" w:rsidP="00DB671B">
      <w:pPr>
        <w:pStyle w:val="Heading4"/>
      </w:pPr>
      <w:r w:rsidRPr="00DB671B">
        <w:t>Faits nouveaux survenus au sein des groupes de travail techniques et du Groupe de travail sur les techniques biochimiques et moléculaires, notamment les profils d’ADN, en 2019</w:t>
      </w:r>
    </w:p>
    <w:p w:rsidR="00850B27" w:rsidRPr="00DB671B" w:rsidRDefault="00850B27" w:rsidP="00DB671B"/>
    <w:p w:rsidR="00850B27" w:rsidRPr="00DB671B" w:rsidRDefault="00850B27" w:rsidP="00DB671B">
      <w:r w:rsidRPr="00DB671B">
        <w:fldChar w:fldCharType="begin"/>
      </w:r>
      <w:r w:rsidRPr="00DB671B">
        <w:instrText xml:space="preserve"> AUTONUM  </w:instrText>
      </w:r>
      <w:r w:rsidRPr="00DB671B">
        <w:fldChar w:fldCharType="end"/>
      </w:r>
      <w:r w:rsidRPr="00DB671B">
        <w:tab/>
        <w:t>Le TC note que le BMT, à sa dix-huitième session, a été invité à élaborer des propositions relatives aux prochaines étapes concernant les domaines de coopération possibles dans l’utilisation des techniques moléculaires, comme indiqué au paragraphe 38 du document TC/55/7.</w:t>
      </w:r>
    </w:p>
    <w:p w:rsidR="00850B27" w:rsidRPr="00DB671B" w:rsidRDefault="00850B27" w:rsidP="00DB671B"/>
    <w:p w:rsidR="00850B27" w:rsidRPr="00DB671B" w:rsidRDefault="00850B27" w:rsidP="00DB671B">
      <w:r w:rsidRPr="00DB671B">
        <w:fldChar w:fldCharType="begin"/>
      </w:r>
      <w:r w:rsidRPr="00DB671B">
        <w:instrText xml:space="preserve"> AUTONUM  </w:instrText>
      </w:r>
      <w:r w:rsidRPr="00DB671B">
        <w:fldChar w:fldCharType="end"/>
      </w:r>
      <w:r w:rsidRPr="00DB671B">
        <w:tab/>
        <w:t>Le TC prend note des résultats des délibérations du BMT sur les questions relatives à la coopération entre les partenaires et les prestataires de services, notamment la confidentialité, l’accès aux données et au matériel :</w:t>
      </w:r>
    </w:p>
    <w:p w:rsidR="00850B27" w:rsidRPr="00DB671B" w:rsidRDefault="00850B27" w:rsidP="00DB671B">
      <w:pPr>
        <w:ind w:left="720"/>
        <w:contextualSpacing/>
        <w:rPr>
          <w:rFonts w:eastAsia="Calibri" w:cs="Arial"/>
        </w:rPr>
      </w:pPr>
    </w:p>
    <w:p w:rsidR="00850B27" w:rsidRPr="00DB671B" w:rsidRDefault="00850B27" w:rsidP="00DB671B">
      <w:pPr>
        <w:numPr>
          <w:ilvl w:val="0"/>
          <w:numId w:val="32"/>
        </w:numPr>
        <w:spacing w:line="276" w:lineRule="auto"/>
        <w:ind w:left="1134" w:hanging="567"/>
        <w:contextualSpacing/>
        <w:rPr>
          <w:rFonts w:eastAsia="Calibri" w:cs="Arial"/>
        </w:rPr>
      </w:pPr>
      <w:r w:rsidRPr="00DB671B">
        <w:rPr>
          <w:rFonts w:eastAsia="Calibri" w:cs="Arial"/>
        </w:rPr>
        <w:t>Les données relatives à l’empreinte d’ADN devraient être traitées de manière confidentielle;</w:t>
      </w:r>
    </w:p>
    <w:p w:rsidR="00850B27" w:rsidRPr="00DB671B" w:rsidRDefault="00850B27" w:rsidP="00DB671B">
      <w:pPr>
        <w:numPr>
          <w:ilvl w:val="0"/>
          <w:numId w:val="32"/>
        </w:numPr>
        <w:spacing w:line="276" w:lineRule="auto"/>
        <w:ind w:left="1134" w:hanging="567"/>
        <w:contextualSpacing/>
        <w:rPr>
          <w:rFonts w:eastAsia="Calibri" w:cs="Arial"/>
        </w:rPr>
      </w:pPr>
      <w:r w:rsidRPr="00DB671B">
        <w:rPr>
          <w:rFonts w:eastAsia="Calibri" w:cs="Arial"/>
        </w:rPr>
        <w:t>Les données relatives à l’identification des variétés utilisant un nombre restreint de marqueurs SNP pourraient être mises à la disposition du public;</w:t>
      </w:r>
    </w:p>
    <w:p w:rsidR="00850B27" w:rsidRPr="00DB671B" w:rsidRDefault="00850B27" w:rsidP="00DB671B">
      <w:pPr>
        <w:numPr>
          <w:ilvl w:val="0"/>
          <w:numId w:val="32"/>
        </w:numPr>
        <w:spacing w:line="276" w:lineRule="auto"/>
        <w:ind w:left="1134" w:hanging="567"/>
        <w:contextualSpacing/>
        <w:rPr>
          <w:rFonts w:eastAsia="Calibri" w:cs="Arial"/>
        </w:rPr>
      </w:pPr>
      <w:r w:rsidRPr="00DB671B">
        <w:rPr>
          <w:rFonts w:eastAsia="Calibri" w:cs="Arial"/>
        </w:rPr>
        <w:t>L’obtenteur devrait donner son consentement avant que des informations relatives à l’ADN soient partagées;</w:t>
      </w:r>
    </w:p>
    <w:p w:rsidR="00850B27" w:rsidRPr="00DB671B" w:rsidRDefault="00850B27" w:rsidP="00DB671B">
      <w:pPr>
        <w:numPr>
          <w:ilvl w:val="0"/>
          <w:numId w:val="32"/>
        </w:numPr>
        <w:spacing w:line="276" w:lineRule="auto"/>
        <w:ind w:left="1134" w:hanging="567"/>
        <w:contextualSpacing/>
        <w:rPr>
          <w:rFonts w:eastAsia="Calibri" w:cs="Arial"/>
        </w:rPr>
      </w:pPr>
      <w:r w:rsidRPr="00DB671B">
        <w:rPr>
          <w:rFonts w:eastAsia="Calibri" w:cs="Arial"/>
        </w:rPr>
        <w:t>Les obtenteurs devraient être informés de la publication de l’identification de variétés au moyen de marqueurs SNP;</w:t>
      </w:r>
    </w:p>
    <w:p w:rsidR="00850B27" w:rsidRPr="00DB671B" w:rsidRDefault="00850B27" w:rsidP="00DB671B">
      <w:pPr>
        <w:pStyle w:val="ListParagraph"/>
        <w:numPr>
          <w:ilvl w:val="0"/>
          <w:numId w:val="32"/>
        </w:numPr>
        <w:spacing w:line="276" w:lineRule="auto"/>
        <w:ind w:left="1134" w:hanging="567"/>
        <w:rPr>
          <w:rFonts w:eastAsia="Calibri" w:cs="Arial"/>
        </w:rPr>
      </w:pPr>
      <w:r w:rsidRPr="00DB671B">
        <w:rPr>
          <w:rFonts w:eastAsia="Calibri" w:cs="Arial"/>
        </w:rPr>
        <w:t>Les informations relatives à la lignée parentale devraient être traitées de manière confidentielle.</w:t>
      </w:r>
    </w:p>
    <w:p w:rsidR="00850B27" w:rsidRPr="00DB671B" w:rsidRDefault="00850B27" w:rsidP="00DB671B">
      <w:pPr>
        <w:pStyle w:val="ListParagraph"/>
        <w:numPr>
          <w:ilvl w:val="0"/>
          <w:numId w:val="32"/>
        </w:numPr>
        <w:spacing w:line="276" w:lineRule="auto"/>
        <w:ind w:left="1134" w:hanging="567"/>
      </w:pPr>
      <w:r w:rsidRPr="00DB671B">
        <w:t>Invitation adressée aux obtenteurs, aux organisations observatrices et aux autres participants concernant la présentation d’exposés sur les questions relatives à la propriété à l’occasion de la journée des obtenteurs, durant la dix-neuvième session du BMT;</w:t>
      </w:r>
    </w:p>
    <w:p w:rsidR="00850B27" w:rsidRPr="00DB671B" w:rsidRDefault="00850B27" w:rsidP="00DB671B">
      <w:pPr>
        <w:pStyle w:val="ListParagraph"/>
        <w:numPr>
          <w:ilvl w:val="0"/>
          <w:numId w:val="32"/>
        </w:numPr>
        <w:spacing w:line="276" w:lineRule="auto"/>
        <w:ind w:left="1134" w:hanging="567"/>
      </w:pPr>
      <w:r w:rsidRPr="00DB671B">
        <w:t>Proposition d’élaboration d’un modèle d’accord avec les obtenteurs concernant l’utilisation des données moléculaires.  Ce modèle devrait inclure une exigence relative à la description de l’utilisation prévue des données;</w:t>
      </w:r>
    </w:p>
    <w:p w:rsidR="00850B27" w:rsidRPr="00DB671B" w:rsidRDefault="00850B27" w:rsidP="00DB671B">
      <w:pPr>
        <w:pStyle w:val="ListParagraph"/>
        <w:numPr>
          <w:ilvl w:val="0"/>
          <w:numId w:val="32"/>
        </w:numPr>
        <w:spacing w:line="276" w:lineRule="auto"/>
        <w:ind w:left="1134" w:hanging="567"/>
      </w:pPr>
      <w:r w:rsidRPr="00DB671B">
        <w:rPr>
          <w:rFonts w:cs="Arial"/>
        </w:rPr>
        <w:t>Noter que la Nouvelle-Zélande a fait connaître sa position sur la mise à disposition et l’utilisation du matériel végétal, y compris les données moléculaires.  Par exemple, les données moléculaires seraient fournies uniquement sur autorisation de l’obtenteur.</w:t>
      </w:r>
    </w:p>
    <w:p w:rsidR="00850B27" w:rsidRPr="00DB671B" w:rsidRDefault="00850B27" w:rsidP="00DB671B"/>
    <w:p w:rsidR="00850B27" w:rsidRPr="00DB671B" w:rsidRDefault="00850B27" w:rsidP="00DB671B">
      <w:r w:rsidRPr="00DB671B">
        <w:fldChar w:fldCharType="begin"/>
      </w:r>
      <w:r w:rsidRPr="00DB671B">
        <w:instrText xml:space="preserve"> AUTONUM  </w:instrText>
      </w:r>
      <w:r w:rsidRPr="00DB671B">
        <w:fldChar w:fldCharType="end"/>
      </w:r>
      <w:r w:rsidRPr="00DB671B">
        <w:tab/>
        <w:t>Le TC convient avec le BMT d’inviter les obtenteurs, les organisations observatrices et les autres participants à présenter des exposés sur les questions relatives à la propriété à l’occasion de la journée des obtenteurs, durant la dix-neuvième session du BMT.</w:t>
      </w:r>
    </w:p>
    <w:p w:rsidR="00850B27" w:rsidRPr="00DB671B" w:rsidRDefault="00850B27" w:rsidP="00DB671B"/>
    <w:p w:rsidR="00850B27" w:rsidRPr="00DB671B" w:rsidRDefault="00850B27" w:rsidP="00DB671B">
      <w:r w:rsidRPr="00DB671B">
        <w:fldChar w:fldCharType="begin"/>
      </w:r>
      <w:r w:rsidRPr="00DB671B">
        <w:instrText xml:space="preserve"> AUTONUM  </w:instrText>
      </w:r>
      <w:r w:rsidRPr="00DB671B">
        <w:fldChar w:fldCharType="end"/>
      </w:r>
      <w:r w:rsidRPr="00DB671B">
        <w:tab/>
        <w:t>Le TC rappelle que la section 1 “Accord administratif type pour la coopération internationale en matière d’examen des variétés” du document TGP/5 contient des orientations en matière de confidentialité des informations moléculaires.</w:t>
      </w:r>
    </w:p>
    <w:p w:rsidR="00850B27" w:rsidRPr="00DB671B" w:rsidRDefault="00850B27" w:rsidP="00DB671B"/>
    <w:p w:rsidR="00850B27" w:rsidRPr="00DB671B" w:rsidRDefault="00850B27" w:rsidP="00DB671B">
      <w:pPr>
        <w:pStyle w:val="Heading2"/>
        <w:rPr>
          <w:lang w:val="fr-FR"/>
        </w:rPr>
      </w:pPr>
      <w:r w:rsidRPr="00DB671B">
        <w:rPr>
          <w:lang w:val="fr-FR"/>
        </w:rPr>
        <w:t>Coopération internationale en matière d’examen</w:t>
      </w:r>
    </w:p>
    <w:p w:rsidR="00850B27" w:rsidRPr="00DB671B" w:rsidRDefault="00850B27" w:rsidP="00DB671B">
      <w:pPr>
        <w:keepNext/>
      </w:pPr>
    </w:p>
    <w:p w:rsidR="00850B27" w:rsidRPr="00DB671B" w:rsidRDefault="00850B27" w:rsidP="00DB671B">
      <w:pPr>
        <w:keepNext/>
      </w:pPr>
      <w:r w:rsidRPr="00DB671B">
        <w:fldChar w:fldCharType="begin"/>
      </w:r>
      <w:r w:rsidRPr="00DB671B">
        <w:instrText xml:space="preserve"> AUTONUM  </w:instrText>
      </w:r>
      <w:r w:rsidRPr="00DB671B">
        <w:fldChar w:fldCharType="end"/>
      </w:r>
      <w:r w:rsidRPr="00DB671B">
        <w:tab/>
        <w:t>Le TC examine les documents TC/55/10 et TC/55/10 Add.</w:t>
      </w:r>
    </w:p>
    <w:p w:rsidR="00850B27" w:rsidRPr="00DB671B" w:rsidRDefault="00850B27" w:rsidP="00DB671B"/>
    <w:p w:rsidR="00850B27" w:rsidRPr="00DB671B" w:rsidRDefault="00850B27" w:rsidP="00DB671B">
      <w:pPr>
        <w:pStyle w:val="Heading3"/>
        <w:rPr>
          <w:lang w:val="fr-FR"/>
        </w:rPr>
      </w:pPr>
      <w:r w:rsidRPr="00DB671B">
        <w:rPr>
          <w:lang w:val="fr-FR"/>
        </w:rPr>
        <w:t>Personnes à contacter pour les questions concernant la coopération internationale en matière d’examen DHS</w:t>
      </w:r>
    </w:p>
    <w:p w:rsidR="00850B27" w:rsidRPr="00DB671B" w:rsidRDefault="00850B27" w:rsidP="00DB671B">
      <w:pPr>
        <w:keepNext/>
      </w:pPr>
    </w:p>
    <w:p w:rsidR="00850B27" w:rsidRPr="00DB671B" w:rsidRDefault="00850B27" w:rsidP="00DB671B">
      <w:r w:rsidRPr="00DB671B">
        <w:fldChar w:fldCharType="begin"/>
      </w:r>
      <w:r w:rsidRPr="00DB671B">
        <w:instrText xml:space="preserve"> AUTONUM  </w:instrText>
      </w:r>
      <w:r w:rsidRPr="00DB671B">
        <w:fldChar w:fldCharType="end"/>
      </w:r>
      <w:r w:rsidRPr="00DB671B">
        <w:tab/>
        <w:t>Le TC prend note de la liste des personnes à contacter pour les questions concernant la coopération internationale en matière d’examen DHS qui figure à l’annexe du TC/55/10 et qui sera mise à disposition sur le site Web de l’UPOV après sa refonte.</w:t>
      </w:r>
    </w:p>
    <w:p w:rsidR="00850B27" w:rsidRPr="00DB671B" w:rsidRDefault="00850B27" w:rsidP="00DB671B"/>
    <w:p w:rsidR="00850B27" w:rsidRPr="00DB671B" w:rsidRDefault="00850B27" w:rsidP="00DB671B">
      <w:r w:rsidRPr="00DB671B">
        <w:fldChar w:fldCharType="begin"/>
      </w:r>
      <w:r w:rsidRPr="00DB671B">
        <w:instrText xml:space="preserve"> AUTONUM  </w:instrText>
      </w:r>
      <w:r w:rsidRPr="00DB671B">
        <w:fldChar w:fldCharType="end"/>
      </w:r>
      <w:r w:rsidRPr="00DB671B">
        <w:tab/>
        <w:t>Le TC note qu’il sera demandé chaque année aux membres de l’UPOV de mettre à jour les coordonnées des personnes à contacter pour les questions concernant la coopération internationale en matière d’examen DHS, au moment où ils seront invités à fournir des informations pour le document TC/[xx]/4 “Liste des genres et espèces pour lesquels les services ont une expérience pratique en matière d’examen de la distinction, de l’homogénéité et de la stabilité”.</w:t>
      </w:r>
    </w:p>
    <w:p w:rsidR="00850B27" w:rsidRPr="00DB671B" w:rsidRDefault="00850B27" w:rsidP="00DB671B"/>
    <w:p w:rsidR="00850B27" w:rsidRPr="00DB671B" w:rsidRDefault="00850B27" w:rsidP="00DB671B">
      <w:pPr>
        <w:pStyle w:val="Heading3"/>
        <w:rPr>
          <w:lang w:val="fr-FR"/>
        </w:rPr>
      </w:pPr>
      <w:r w:rsidRPr="00DB671B">
        <w:rPr>
          <w:lang w:val="fr-FR"/>
        </w:rPr>
        <w:t>Informations sur les possibilités de coopération internationale</w:t>
      </w:r>
    </w:p>
    <w:p w:rsidR="00850B27" w:rsidRPr="00DB671B" w:rsidRDefault="00850B27" w:rsidP="00DB671B">
      <w:pPr>
        <w:keepNext/>
      </w:pPr>
    </w:p>
    <w:p w:rsidR="00850B27" w:rsidRPr="00DB671B" w:rsidRDefault="00850B27" w:rsidP="00DB671B">
      <w:pPr>
        <w:keepNext/>
      </w:pPr>
      <w:r w:rsidRPr="00DB671B">
        <w:fldChar w:fldCharType="begin"/>
      </w:r>
      <w:r w:rsidRPr="00DB671B">
        <w:instrText xml:space="preserve"> AUTONUM  </w:instrText>
      </w:r>
      <w:r w:rsidRPr="00DB671B">
        <w:fldChar w:fldCharType="end"/>
      </w:r>
      <w:r w:rsidRPr="00DB671B">
        <w:tab/>
        <w:t>Le TC note que le thème de la coopération internationale en matière d’examen DHS, assorti d’explications sur les possibilités de coopération qui existent entre les membres de l’UPOV, a été présenté aux TWP à leurs sessions de 2019.</w:t>
      </w:r>
    </w:p>
    <w:p w:rsidR="00850B27" w:rsidRPr="00DB671B" w:rsidRDefault="00850B27" w:rsidP="00DB671B"/>
    <w:p w:rsidR="00850B27" w:rsidRPr="00DB671B" w:rsidRDefault="00850B27" w:rsidP="00DB671B">
      <w:pPr>
        <w:pStyle w:val="Heading3"/>
        <w:rPr>
          <w:lang w:val="fr-FR"/>
        </w:rPr>
      </w:pPr>
      <w:r w:rsidRPr="00DB671B">
        <w:rPr>
          <w:lang w:val="fr-FR"/>
        </w:rPr>
        <w:t>Difficultés techniques empêchant la coopération technique</w:t>
      </w:r>
    </w:p>
    <w:p w:rsidR="00850B27" w:rsidRPr="00DB671B" w:rsidRDefault="00850B27" w:rsidP="00DB671B">
      <w:pPr>
        <w:keepNext/>
      </w:pPr>
    </w:p>
    <w:p w:rsidR="00850B27" w:rsidRPr="00DB671B" w:rsidRDefault="00850B27" w:rsidP="00DB671B">
      <w:pPr>
        <w:keepNext/>
      </w:pPr>
      <w:r w:rsidRPr="00DB671B">
        <w:fldChar w:fldCharType="begin"/>
      </w:r>
      <w:r w:rsidRPr="00DB671B">
        <w:instrText xml:space="preserve"> AUTONUM  </w:instrText>
      </w:r>
      <w:r w:rsidRPr="00DB671B">
        <w:fldChar w:fldCharType="end"/>
      </w:r>
      <w:r w:rsidRPr="00DB671B">
        <w:tab/>
        <w:t>Le TC note que les TWP, à leurs sessions de 2019, ont constitué des groupes de discussion chargés d’examiner les difficultés techniques ayant empêché la coopération en matière d’examen DHS et de proposer des solutions pour y remédier.</w:t>
      </w:r>
    </w:p>
    <w:p w:rsidR="00850B27" w:rsidRPr="00DB671B" w:rsidRDefault="00850B27" w:rsidP="00DB671B"/>
    <w:p w:rsidR="00850B27" w:rsidRPr="00DB671B" w:rsidRDefault="00850B27" w:rsidP="00DB671B">
      <w:pPr>
        <w:rPr>
          <w:snapToGrid w:val="0"/>
        </w:rPr>
      </w:pPr>
      <w:r w:rsidRPr="00DB671B">
        <w:fldChar w:fldCharType="begin"/>
      </w:r>
      <w:r w:rsidRPr="00DB671B">
        <w:instrText xml:space="preserve"> AUTONUM  </w:instrText>
      </w:r>
      <w:r w:rsidRPr="00DB671B">
        <w:fldChar w:fldCharType="end"/>
      </w:r>
      <w:r w:rsidRPr="00DB671B">
        <w:tab/>
        <w:t>Le TC examine les résultats des délibérations du TWO, du TWV, du TWF, du TWA et du TWC à leurs sessions de 2019, comme indiqué aux paragraphes 19 à 26 du document TC/55/10, et les solutions proposées pour remédier aux difficultés techniques soulevées, présentées aux paragraphes 27 et 28.</w:t>
      </w:r>
    </w:p>
    <w:p w:rsidR="00850B27" w:rsidRPr="00DB671B" w:rsidRDefault="00850B27" w:rsidP="00DB671B"/>
    <w:p w:rsidR="00850B27" w:rsidRPr="00DB671B" w:rsidRDefault="00850B27" w:rsidP="00DB671B">
      <w:r w:rsidRPr="00DB671B">
        <w:fldChar w:fldCharType="begin"/>
      </w:r>
      <w:r w:rsidRPr="00DB671B">
        <w:instrText xml:space="preserve"> AUTONUM  </w:instrText>
      </w:r>
      <w:r w:rsidRPr="00DB671B">
        <w:fldChar w:fldCharType="end"/>
      </w:r>
      <w:r w:rsidRPr="00DB671B">
        <w:tab/>
        <w:t>Le TC convient d’inviter le Bureau de l’UPOV à élaborer un plan cohérent, fondé sur les solutions proposées ci-après pour répondre aux préoccupations exprimées par les TWP et proposer des moyens pour évaluer les incidences :</w:t>
      </w:r>
    </w:p>
    <w:p w:rsidR="00850B27" w:rsidRPr="00DB671B" w:rsidRDefault="00850B27" w:rsidP="00DB671B">
      <w:pPr>
        <w:keepNext/>
      </w:pPr>
    </w:p>
    <w:p w:rsidR="00850B27" w:rsidRPr="00DB671B" w:rsidRDefault="00850B27" w:rsidP="00260E55">
      <w:pPr>
        <w:pStyle w:val="ListParagraph"/>
        <w:numPr>
          <w:ilvl w:val="0"/>
          <w:numId w:val="13"/>
        </w:numPr>
        <w:spacing w:after="200"/>
        <w:ind w:left="1134" w:hanging="567"/>
      </w:pPr>
      <w:r w:rsidRPr="00DB671B">
        <w:t>Base de données GENIE : expérience pratique et coopération en matière d’examen</w:t>
      </w:r>
    </w:p>
    <w:p w:rsidR="00850B27" w:rsidRPr="00DB671B" w:rsidRDefault="00850B27" w:rsidP="00260E55">
      <w:pPr>
        <w:pStyle w:val="ListParagraph"/>
        <w:numPr>
          <w:ilvl w:val="0"/>
          <w:numId w:val="13"/>
        </w:numPr>
        <w:spacing w:after="200"/>
        <w:ind w:left="1134" w:hanging="567"/>
      </w:pPr>
      <w:r w:rsidRPr="00DB671B">
        <w:t>Publication sur le site Web de l’UPOV d’une liste de personnes à contacter aux fins de l’examen DHS (voir les paragraphes 6 à 11)</w:t>
      </w:r>
    </w:p>
    <w:p w:rsidR="00DC4A52" w:rsidRDefault="00850B27" w:rsidP="00260E55">
      <w:pPr>
        <w:pStyle w:val="ListParagraph"/>
        <w:numPr>
          <w:ilvl w:val="0"/>
          <w:numId w:val="13"/>
        </w:numPr>
        <w:spacing w:after="200"/>
        <w:ind w:left="1134" w:hanging="567"/>
      </w:pPr>
      <w:r w:rsidRPr="00DB671B">
        <w:t>Base de données PLUTO : créer une fonction permettant de chercher les rapports d’examen DHS</w:t>
      </w:r>
    </w:p>
    <w:p w:rsidR="00850B27" w:rsidRPr="00DB671B" w:rsidRDefault="00850B27" w:rsidP="00260E55">
      <w:pPr>
        <w:pStyle w:val="ListParagraph"/>
        <w:numPr>
          <w:ilvl w:val="0"/>
          <w:numId w:val="13"/>
        </w:numPr>
        <w:spacing w:after="200"/>
        <w:ind w:left="1134" w:hanging="567"/>
      </w:pPr>
      <w:r w:rsidRPr="00DB671B">
        <w:tab/>
        <w:t>Outil multilingue en ligne permettant de demander les rapports d’examen DHS</w:t>
      </w:r>
      <w:r w:rsidRPr="00DB671B">
        <w:tab/>
      </w:r>
    </w:p>
    <w:p w:rsidR="00DC4A52" w:rsidRDefault="00850B27" w:rsidP="00260E55">
      <w:pPr>
        <w:pStyle w:val="ListParagraph"/>
        <w:numPr>
          <w:ilvl w:val="0"/>
          <w:numId w:val="13"/>
        </w:numPr>
        <w:spacing w:after="200"/>
        <w:ind w:left="1134" w:hanging="567"/>
      </w:pPr>
      <w:r w:rsidRPr="00DB671B">
        <w:t>Sessions des TWP : encourager la présentation d’exposés sur les procédures d’examen DHS</w:t>
      </w:r>
    </w:p>
    <w:p w:rsidR="00850B27" w:rsidRPr="00DB671B" w:rsidRDefault="00850B27" w:rsidP="00260E55">
      <w:pPr>
        <w:pStyle w:val="ListParagraph"/>
        <w:numPr>
          <w:ilvl w:val="0"/>
          <w:numId w:val="13"/>
        </w:numPr>
        <w:spacing w:after="200"/>
        <w:ind w:left="1134" w:hanging="567"/>
      </w:pPr>
      <w:r w:rsidRPr="00DB671B">
        <w:tab/>
        <w:t>Modifier la section 6 du document TGP/5 afin que soient indiquées les variétés prises en considération dans l’examen (pas uniquement les variétés similaires)</w:t>
      </w:r>
    </w:p>
    <w:p w:rsidR="00850B27" w:rsidRPr="00DB671B" w:rsidRDefault="00850B27" w:rsidP="00260E55">
      <w:pPr>
        <w:pStyle w:val="ListParagraph"/>
        <w:numPr>
          <w:ilvl w:val="0"/>
          <w:numId w:val="13"/>
        </w:numPr>
        <w:spacing w:after="200"/>
        <w:ind w:left="1134" w:hanging="567"/>
      </w:pPr>
      <w:r w:rsidRPr="00DB671B">
        <w:t>Modifier la section 6 du document TGP/5 afin que les données sur les observations réalisées sur le terrain soient fournies avec le rapport d’examen DHS pour chaque variété</w:t>
      </w:r>
      <w:r w:rsidRPr="00DB671B">
        <w:tab/>
      </w:r>
    </w:p>
    <w:p w:rsidR="00850B27" w:rsidRPr="00DB671B" w:rsidRDefault="00850B27" w:rsidP="00260E55">
      <w:pPr>
        <w:pStyle w:val="ListParagraph"/>
        <w:numPr>
          <w:ilvl w:val="0"/>
          <w:numId w:val="13"/>
        </w:numPr>
        <w:spacing w:after="200"/>
        <w:ind w:left="1134" w:hanging="567"/>
      </w:pPr>
      <w:r w:rsidRPr="00DB671B">
        <w:t>Traduire dans d’autres langues pertinentes l’accord administratif type pour la coopération internationale en matière d’examen des variétés (section 1 du document TGP/5)</w:t>
      </w:r>
      <w:r w:rsidRPr="00DB671B">
        <w:tab/>
      </w:r>
    </w:p>
    <w:p w:rsidR="00850B27" w:rsidRPr="00DB671B" w:rsidRDefault="00850B27" w:rsidP="00260E55">
      <w:pPr>
        <w:pStyle w:val="ListParagraph"/>
        <w:numPr>
          <w:ilvl w:val="0"/>
          <w:numId w:val="13"/>
        </w:numPr>
        <w:spacing w:after="200"/>
        <w:ind w:left="1134" w:hanging="567"/>
      </w:pPr>
      <w:r w:rsidRPr="00DB671B">
        <w:t>Créer une base de données commune renfermant des informations morphologiques et moléculaires pour certaines plantes et espèces</w:t>
      </w:r>
    </w:p>
    <w:p w:rsidR="00850B27" w:rsidRPr="00DB671B" w:rsidRDefault="00850B27" w:rsidP="00260E55">
      <w:pPr>
        <w:pStyle w:val="ListParagraph"/>
        <w:numPr>
          <w:ilvl w:val="0"/>
          <w:numId w:val="13"/>
        </w:numPr>
        <w:spacing w:after="200"/>
        <w:ind w:left="1134" w:hanging="567"/>
      </w:pPr>
      <w:r w:rsidRPr="00DB671B">
        <w:t>Publier les procédures d’assurance qualité concernant l’examen des variétés</w:t>
      </w:r>
      <w:r w:rsidRPr="00DB671B">
        <w:tab/>
      </w:r>
    </w:p>
    <w:p w:rsidR="00850B27" w:rsidRPr="00DB671B" w:rsidRDefault="00850B27" w:rsidP="00260E55">
      <w:pPr>
        <w:pStyle w:val="ListParagraph"/>
        <w:numPr>
          <w:ilvl w:val="0"/>
          <w:numId w:val="13"/>
        </w:numPr>
        <w:ind w:left="1134" w:hanging="567"/>
      </w:pPr>
      <w:r w:rsidRPr="00DB671B">
        <w:t>Réaliser un sondage afin de connaître la façon dont les membres de l’UPOV utilisent les principes directeurs d’examen de l’UPOV</w:t>
      </w:r>
    </w:p>
    <w:p w:rsidR="00850B27" w:rsidRPr="00DB671B" w:rsidRDefault="00850B27" w:rsidP="00DB671B"/>
    <w:p w:rsidR="00850B27" w:rsidRPr="00DB671B" w:rsidRDefault="00850B27" w:rsidP="00DB671B">
      <w:r w:rsidRPr="00DB671B">
        <w:fldChar w:fldCharType="begin"/>
      </w:r>
      <w:r w:rsidRPr="00DB671B">
        <w:instrText xml:space="preserve"> AUTONUM  </w:instrText>
      </w:r>
      <w:r w:rsidRPr="00DB671B">
        <w:fldChar w:fldCharType="end"/>
      </w:r>
      <w:r w:rsidRPr="00DB671B">
        <w:tab/>
        <w:t>Le TC convient de rendre compte au CAJ des questions politiques ou juridiques connexes présentées aux paragraphes 27 et 28 du document TC/55/10.</w:t>
      </w:r>
    </w:p>
    <w:p w:rsidR="00850B27" w:rsidRPr="00DB671B" w:rsidRDefault="00850B27" w:rsidP="00DB671B"/>
    <w:p w:rsidR="00850B27" w:rsidRPr="00DB671B" w:rsidRDefault="00850B27" w:rsidP="00DB671B">
      <w:r w:rsidRPr="00DB671B">
        <w:fldChar w:fldCharType="begin"/>
      </w:r>
      <w:r w:rsidRPr="00DB671B">
        <w:instrText xml:space="preserve"> AUTONUM  </w:instrText>
      </w:r>
      <w:r w:rsidRPr="00DB671B">
        <w:fldChar w:fldCharType="end"/>
      </w:r>
      <w:r w:rsidRPr="00DB671B">
        <w:tab/>
        <w:t>Le TC note que les sessions des TWP pourraient être l’occasion pour les experts de renforcer la collaboration et l’échange d’informations et convient que les sessions des TWP devraient être utilisées pour intensifier la coopération entre membres.</w:t>
      </w:r>
    </w:p>
    <w:p w:rsidR="00850B27" w:rsidRPr="00DB671B" w:rsidRDefault="00850B27" w:rsidP="00DB671B"/>
    <w:p w:rsidR="00850B27" w:rsidRPr="00DB671B" w:rsidRDefault="00850B27" w:rsidP="00DB671B"/>
    <w:p w:rsidR="00850B27" w:rsidRPr="00DB671B" w:rsidRDefault="00850B27" w:rsidP="00DB671B">
      <w:pPr>
        <w:pStyle w:val="Heading2"/>
        <w:rPr>
          <w:lang w:val="fr-FR"/>
        </w:rPr>
      </w:pPr>
      <w:r w:rsidRPr="00DB671B">
        <w:rPr>
          <w:lang w:val="fr-FR"/>
        </w:rPr>
        <w:t>Bases de données d’information de l’UPOV</w:t>
      </w:r>
    </w:p>
    <w:p w:rsidR="00850B27" w:rsidRPr="00DB671B" w:rsidRDefault="00850B27" w:rsidP="00DB671B">
      <w:pPr>
        <w:keepNext/>
      </w:pPr>
    </w:p>
    <w:p w:rsidR="00850B27" w:rsidRPr="00DB671B" w:rsidRDefault="00850B27" w:rsidP="00DB671B">
      <w:pPr>
        <w:keepNext/>
        <w:jc w:val="left"/>
        <w:rPr>
          <w:snapToGrid w:val="0"/>
          <w:u w:val="single"/>
        </w:rPr>
      </w:pPr>
      <w:r w:rsidRPr="00DB671B">
        <w:fldChar w:fldCharType="begin"/>
      </w:r>
      <w:r w:rsidRPr="00DB671B">
        <w:instrText xml:space="preserve"> AUTONUM  </w:instrText>
      </w:r>
      <w:r w:rsidRPr="00DB671B">
        <w:fldChar w:fldCharType="end"/>
      </w:r>
      <w:r w:rsidRPr="00DB671B">
        <w:tab/>
        <w:t>Le TC examine les documents TC/55/5 et TC/55/5 Add.</w:t>
      </w:r>
    </w:p>
    <w:p w:rsidR="00850B27" w:rsidRPr="00DB671B" w:rsidRDefault="00850B27" w:rsidP="00DB671B"/>
    <w:p w:rsidR="00850B27" w:rsidRPr="00DB671B" w:rsidRDefault="00850B27" w:rsidP="00DB671B">
      <w:pPr>
        <w:pStyle w:val="Heading3"/>
        <w:rPr>
          <w:lang w:val="fr-FR"/>
        </w:rPr>
      </w:pPr>
      <w:r w:rsidRPr="00DB671B">
        <w:rPr>
          <w:lang w:val="fr-FR"/>
        </w:rPr>
        <w:t>Modifications du “Guide relatif au système de codes UPOV”</w:t>
      </w:r>
    </w:p>
    <w:p w:rsidR="00850B27" w:rsidRPr="00DB671B" w:rsidRDefault="00850B27" w:rsidP="00DB671B">
      <w:pPr>
        <w:keepNext/>
        <w:jc w:val="left"/>
      </w:pPr>
    </w:p>
    <w:p w:rsidR="00850B27" w:rsidRPr="00DB671B" w:rsidRDefault="00850B27" w:rsidP="00DB671B">
      <w:pPr>
        <w:keepNext/>
      </w:pPr>
      <w:r w:rsidRPr="00DB671B">
        <w:fldChar w:fldCharType="begin"/>
      </w:r>
      <w:r w:rsidRPr="00DB671B">
        <w:instrText xml:space="preserve"> AUTONUM  </w:instrText>
      </w:r>
      <w:r w:rsidRPr="00DB671B">
        <w:fldChar w:fldCharType="end"/>
      </w:r>
      <w:r w:rsidRPr="00DB671B">
        <w:tab/>
        <w:t xml:space="preserve">Le TC examine les propositions de modification du “Guide relatif au système de codes UPOV” visant à rendre compte de la création d’exceptions pour les codes UPOV pour le maïs éclaté, le maïs sucré et </w:t>
      </w:r>
      <w:r w:rsidR="00DC4A52">
        <w:rPr>
          <w:i/>
        </w:rPr>
        <w:t>Brassica </w:t>
      </w:r>
      <w:r w:rsidRPr="00DC4A52">
        <w:rPr>
          <w:i/>
        </w:rPr>
        <w:t>oleracea</w:t>
      </w:r>
      <w:r w:rsidRPr="00DB671B">
        <w:t>, figurant à l’annexe I du document TC/55/5.</w:t>
      </w:r>
    </w:p>
    <w:p w:rsidR="00850B27" w:rsidRPr="00DB671B" w:rsidRDefault="00850B27" w:rsidP="00DB671B">
      <w:pPr>
        <w:pStyle w:val="DecisionParagraphs"/>
        <w:rPr>
          <w:highlight w:val="yellow"/>
        </w:rPr>
      </w:pPr>
    </w:p>
    <w:p w:rsidR="00850B27" w:rsidRPr="00DB671B" w:rsidRDefault="00850B27" w:rsidP="00DB671B">
      <w:r w:rsidRPr="00DB671B">
        <w:fldChar w:fldCharType="begin"/>
      </w:r>
      <w:r w:rsidRPr="00DB671B">
        <w:instrText xml:space="preserve"> AUTONUM  </w:instrText>
      </w:r>
      <w:r w:rsidRPr="00DB671B">
        <w:fldChar w:fldCharType="end"/>
      </w:r>
      <w:r w:rsidRPr="00DB671B">
        <w:tab/>
        <w:t>Le TC rappelle que le système de codes UPOV a pour principal but de résoudre le problème des synonymes pour les taxons végétaux et qu’il devrait être fondé sur des critères taxonomiques, compte tenu également du fait que le système de codes UPOV est utilisé par d’autres organisations internationales, comme l’ISTA.</w:t>
      </w:r>
    </w:p>
    <w:p w:rsidR="00850B27" w:rsidRPr="00DB671B" w:rsidRDefault="00850B27" w:rsidP="00DB671B"/>
    <w:p w:rsidR="00850B27" w:rsidRPr="00DB671B" w:rsidRDefault="00850B27" w:rsidP="00DB671B">
      <w:r w:rsidRPr="00DB671B">
        <w:fldChar w:fldCharType="begin"/>
      </w:r>
      <w:r w:rsidRPr="00DB671B">
        <w:instrText xml:space="preserve"> AUTONUM  </w:instrText>
      </w:r>
      <w:r w:rsidRPr="00DB671B">
        <w:fldChar w:fldCharType="end"/>
      </w:r>
      <w:r w:rsidRPr="00DB671B">
        <w:tab/>
        <w:t>Le TC convient que les propositions d’exceptions au “Guide relatif aux systèmes de codes UPOV” ne correspondent pas au Germplasm Resources Information Network (GRIN).  Il décide que les codes UPOV devraient continuer de suivre la taxonomie du GRIN autant que possible.</w:t>
      </w:r>
    </w:p>
    <w:p w:rsidR="00850B27" w:rsidRPr="00DB671B" w:rsidRDefault="00850B27" w:rsidP="00DB671B"/>
    <w:p w:rsidR="00850B27" w:rsidRPr="00DB671B" w:rsidRDefault="00850B27" w:rsidP="00DB671B">
      <w:r w:rsidRPr="00DB671B">
        <w:fldChar w:fldCharType="begin"/>
      </w:r>
      <w:r w:rsidRPr="00DB671B">
        <w:instrText xml:space="preserve"> AUTONUM  </w:instrText>
      </w:r>
      <w:r w:rsidRPr="00DB671B">
        <w:fldChar w:fldCharType="end"/>
      </w:r>
      <w:r w:rsidRPr="00DB671B">
        <w:tab/>
        <w:t>Le TC convient de reporter la modification du “Guide relatif au système de codes UPOV” et d’examiner des solutions de remplacement permettant aux codes UPOV de fournir des informations utiles sur les groupes de variétés ou les types de variété aux fins de l’examen DHS.  Il décide d’inviter le Bureau de l’Union à élaborer un document contenant des propositions, pour examen à sa cinquante-sixième session.</w:t>
      </w:r>
    </w:p>
    <w:p w:rsidR="00850B27" w:rsidRPr="00DB671B" w:rsidRDefault="00850B27">
      <w:pPr>
        <w:jc w:val="left"/>
      </w:pPr>
    </w:p>
    <w:p w:rsidR="00850B27" w:rsidRPr="00DB671B" w:rsidRDefault="00850B27" w:rsidP="00DB671B">
      <w:pPr>
        <w:pStyle w:val="Heading3"/>
        <w:keepLines/>
        <w:rPr>
          <w:lang w:val="fr-FR"/>
        </w:rPr>
      </w:pPr>
      <w:r w:rsidRPr="00DB671B">
        <w:rPr>
          <w:lang w:val="fr-FR"/>
        </w:rPr>
        <w:t>Modification des codes UPOV</w:t>
      </w:r>
    </w:p>
    <w:p w:rsidR="00850B27" w:rsidRPr="00DB671B" w:rsidRDefault="00850B27" w:rsidP="00DB671B">
      <w:pPr>
        <w:keepNext/>
        <w:keepLines/>
      </w:pPr>
    </w:p>
    <w:p w:rsidR="00850B27" w:rsidRPr="00DB671B" w:rsidRDefault="00850B27" w:rsidP="00DB671B">
      <w:pPr>
        <w:pStyle w:val="Heading4"/>
        <w:keepLines/>
      </w:pPr>
      <w:r w:rsidRPr="00DB671B">
        <w:t>Propositions de modification des codes UPOV</w:t>
      </w:r>
    </w:p>
    <w:p w:rsidR="00850B27" w:rsidRPr="00DB671B" w:rsidRDefault="00850B27" w:rsidP="00DB671B">
      <w:pPr>
        <w:keepNext/>
        <w:keepLines/>
        <w:jc w:val="left"/>
      </w:pPr>
    </w:p>
    <w:p w:rsidR="00850B27" w:rsidRPr="00DB671B" w:rsidRDefault="00850B27" w:rsidP="00DB671B">
      <w:pPr>
        <w:keepNext/>
        <w:keepLines/>
      </w:pPr>
      <w:r w:rsidRPr="00DB671B">
        <w:fldChar w:fldCharType="begin"/>
      </w:r>
      <w:r w:rsidRPr="00DB671B">
        <w:instrText xml:space="preserve"> AUTONUM  </w:instrText>
      </w:r>
      <w:r w:rsidRPr="00DB671B">
        <w:fldChar w:fldCharType="end"/>
      </w:r>
      <w:r w:rsidRPr="00DB671B">
        <w:tab/>
        <w:t>Le TC convient de modifier les codes UPOV suivants, comme indiqué aux paragraphes 18 à 62 du document TC/55/5 et aux paragraphes 4, 8 et 12 du document TC/55/5 Add.  :</w:t>
      </w:r>
    </w:p>
    <w:p w:rsidR="00850B27" w:rsidRPr="00DB671B" w:rsidRDefault="00850B27" w:rsidP="00DB671B">
      <w:pPr>
        <w:rPr>
          <w:rFonts w:eastAsiaTheme="minorEastAsia"/>
          <w:lang w:eastAsia="ja-JP"/>
        </w:rPr>
      </w:pPr>
    </w:p>
    <w:p w:rsidR="00260E55" w:rsidRDefault="00260E55" w:rsidP="00DB671B">
      <w:pPr>
        <w:pStyle w:val="ListParagraph"/>
        <w:numPr>
          <w:ilvl w:val="0"/>
          <w:numId w:val="33"/>
        </w:numPr>
        <w:jc w:val="left"/>
        <w:rPr>
          <w:rFonts w:eastAsiaTheme="minorEastAsia"/>
          <w:snapToGrid w:val="0"/>
        </w:rPr>
        <w:sectPr w:rsidR="00260E55" w:rsidSect="00DB671B">
          <w:headerReference w:type="even" r:id="rId9"/>
          <w:headerReference w:type="default" r:id="rId10"/>
          <w:pgSz w:w="11907" w:h="16840" w:code="9"/>
          <w:pgMar w:top="510" w:right="1134" w:bottom="1134" w:left="1134" w:header="510" w:footer="680" w:gutter="0"/>
          <w:cols w:space="720"/>
          <w:titlePg/>
          <w:docGrid w:linePitch="299"/>
        </w:sectPr>
      </w:pPr>
    </w:p>
    <w:p w:rsidR="00850B27" w:rsidRPr="00DB671B" w:rsidRDefault="00850B27" w:rsidP="00DB671B">
      <w:pPr>
        <w:pStyle w:val="ListParagraph"/>
        <w:numPr>
          <w:ilvl w:val="0"/>
          <w:numId w:val="33"/>
        </w:numPr>
        <w:jc w:val="left"/>
        <w:rPr>
          <w:rFonts w:eastAsiaTheme="minorEastAsia"/>
          <w:snapToGrid w:val="0"/>
        </w:rPr>
      </w:pPr>
      <w:r w:rsidRPr="00DB671B">
        <w:rPr>
          <w:rFonts w:eastAsiaTheme="minorEastAsia"/>
          <w:snapToGrid w:val="0"/>
        </w:rPr>
        <w:t>ASCOC, ASNEO, NEOFI et NEOFI_FAL</w:t>
      </w:r>
    </w:p>
    <w:p w:rsidR="00850B27" w:rsidRPr="00DB671B" w:rsidRDefault="00850B27" w:rsidP="00DB671B">
      <w:pPr>
        <w:pStyle w:val="ListParagraph"/>
        <w:numPr>
          <w:ilvl w:val="0"/>
          <w:numId w:val="33"/>
        </w:numPr>
        <w:jc w:val="left"/>
      </w:pPr>
      <w:r w:rsidRPr="00DB671B">
        <w:rPr>
          <w:rFonts w:eastAsiaTheme="minorEastAsia"/>
        </w:rPr>
        <w:t>BERBE</w:t>
      </w:r>
      <w:r w:rsidRPr="00DB671B">
        <w:rPr>
          <w:rFonts w:eastAsiaTheme="minorEastAsia" w:cs="Arial"/>
          <w:snapToGrid w:val="0"/>
        </w:rPr>
        <w:t>_REP</w:t>
      </w:r>
    </w:p>
    <w:p w:rsidR="00850B27" w:rsidRPr="00DB671B" w:rsidRDefault="00850B27" w:rsidP="00DB671B">
      <w:pPr>
        <w:pStyle w:val="ListParagraph"/>
        <w:numPr>
          <w:ilvl w:val="0"/>
          <w:numId w:val="33"/>
        </w:numPr>
        <w:jc w:val="left"/>
        <w:rPr>
          <w:snapToGrid w:val="0"/>
        </w:rPr>
      </w:pPr>
      <w:r w:rsidRPr="00DB671B">
        <w:rPr>
          <w:snapToGrid w:val="0"/>
        </w:rPr>
        <w:t>CITRU_LIT</w:t>
      </w:r>
    </w:p>
    <w:p w:rsidR="00850B27" w:rsidRPr="00DB671B" w:rsidRDefault="00850B27" w:rsidP="00DB671B">
      <w:pPr>
        <w:pStyle w:val="ListParagraph"/>
        <w:numPr>
          <w:ilvl w:val="0"/>
          <w:numId w:val="33"/>
        </w:numPr>
        <w:jc w:val="left"/>
        <w:rPr>
          <w:rFonts w:cs="Arial"/>
        </w:rPr>
      </w:pPr>
      <w:r w:rsidRPr="00DB671B">
        <w:rPr>
          <w:rFonts w:cs="Arial"/>
        </w:rPr>
        <w:t>CRTNT et CRTNT_CAL</w:t>
      </w:r>
    </w:p>
    <w:p w:rsidR="00850B27" w:rsidRPr="00DB671B" w:rsidRDefault="00850B27" w:rsidP="00DB671B">
      <w:pPr>
        <w:pStyle w:val="ListParagraph"/>
        <w:numPr>
          <w:ilvl w:val="0"/>
          <w:numId w:val="33"/>
        </w:numPr>
        <w:jc w:val="left"/>
      </w:pPr>
      <w:r w:rsidRPr="00DB671B">
        <w:t>ECSED et ECSED_EMO</w:t>
      </w:r>
    </w:p>
    <w:p w:rsidR="00850B27" w:rsidRPr="00DB671B" w:rsidRDefault="00850B27" w:rsidP="00DB671B">
      <w:pPr>
        <w:pStyle w:val="ListParagraph"/>
        <w:numPr>
          <w:ilvl w:val="0"/>
          <w:numId w:val="33"/>
        </w:numPr>
        <w:jc w:val="left"/>
        <w:rPr>
          <w:rFonts w:cs="Arial"/>
        </w:rPr>
      </w:pPr>
      <w:r w:rsidRPr="00DB671B">
        <w:rPr>
          <w:rFonts w:cs="Arial"/>
        </w:rPr>
        <w:t>ECHIN_CHA</w:t>
      </w:r>
    </w:p>
    <w:p w:rsidR="00850B27" w:rsidRPr="00DB671B" w:rsidRDefault="00850B27" w:rsidP="00DB671B">
      <w:pPr>
        <w:pStyle w:val="ListParagraph"/>
        <w:numPr>
          <w:ilvl w:val="0"/>
          <w:numId w:val="33"/>
        </w:numPr>
        <w:jc w:val="left"/>
      </w:pPr>
      <w:r w:rsidRPr="00DB671B">
        <w:rPr>
          <w:snapToGrid w:val="0"/>
        </w:rPr>
        <w:t>EPICH_FES</w:t>
      </w:r>
    </w:p>
    <w:p w:rsidR="00850B27" w:rsidRPr="00DB671B" w:rsidRDefault="00850B27" w:rsidP="00DB671B">
      <w:pPr>
        <w:pStyle w:val="ListParagraph"/>
        <w:numPr>
          <w:ilvl w:val="0"/>
          <w:numId w:val="33"/>
        </w:numPr>
        <w:jc w:val="left"/>
        <w:rPr>
          <w:snapToGrid w:val="0"/>
        </w:rPr>
      </w:pPr>
      <w:r w:rsidRPr="00DB671B">
        <w:rPr>
          <w:snapToGrid w:val="0"/>
        </w:rPr>
        <w:t>EUTRE</w:t>
      </w:r>
    </w:p>
    <w:p w:rsidR="00850B27" w:rsidRPr="00DB671B" w:rsidRDefault="00850B27" w:rsidP="00DB671B">
      <w:pPr>
        <w:pStyle w:val="ListParagraph"/>
        <w:numPr>
          <w:ilvl w:val="0"/>
          <w:numId w:val="33"/>
        </w:numPr>
        <w:jc w:val="left"/>
        <w:rPr>
          <w:snapToGrid w:val="0"/>
        </w:rPr>
      </w:pPr>
      <w:r w:rsidRPr="00DB671B">
        <w:rPr>
          <w:snapToGrid w:val="0"/>
        </w:rPr>
        <w:t>EUTRE_JAP</w:t>
      </w:r>
    </w:p>
    <w:p w:rsidR="00850B27" w:rsidRPr="00DB671B" w:rsidRDefault="00850B27" w:rsidP="00DB671B">
      <w:pPr>
        <w:pStyle w:val="ListParagraph"/>
        <w:numPr>
          <w:ilvl w:val="0"/>
          <w:numId w:val="33"/>
        </w:numPr>
        <w:jc w:val="left"/>
        <w:rPr>
          <w:rFonts w:cs="Arial"/>
        </w:rPr>
      </w:pPr>
      <w:r w:rsidRPr="00DB671B">
        <w:rPr>
          <w:rFonts w:cs="Arial"/>
        </w:rPr>
        <w:t>ISOPL, DGISO, ISOPL_CAN et DGISO_PCA</w:t>
      </w:r>
    </w:p>
    <w:p w:rsidR="00850B27" w:rsidRPr="00DB671B" w:rsidRDefault="00850B27" w:rsidP="00DB671B">
      <w:pPr>
        <w:pStyle w:val="ListParagraph"/>
        <w:numPr>
          <w:ilvl w:val="0"/>
          <w:numId w:val="33"/>
        </w:numPr>
        <w:jc w:val="left"/>
        <w:rPr>
          <w:rFonts w:cs="Arial"/>
        </w:rPr>
      </w:pPr>
      <w:r w:rsidRPr="00DB671B">
        <w:rPr>
          <w:rFonts w:cs="Arial"/>
        </w:rPr>
        <w:t>HAWOR_FAS, HAWOR_LIM, HAWOR_LFA et HAWOR_MAR</w:t>
      </w:r>
    </w:p>
    <w:p w:rsidR="00850B27" w:rsidRPr="00DB671B" w:rsidRDefault="00850B27" w:rsidP="00DB671B">
      <w:pPr>
        <w:pStyle w:val="ListParagraph"/>
        <w:numPr>
          <w:ilvl w:val="0"/>
          <w:numId w:val="33"/>
        </w:numPr>
        <w:jc w:val="left"/>
        <w:rPr>
          <w:rFonts w:eastAsiaTheme="minorEastAsia"/>
          <w:snapToGrid w:val="0"/>
        </w:rPr>
      </w:pPr>
      <w:r w:rsidRPr="00DB671B">
        <w:rPr>
          <w:rFonts w:eastAsiaTheme="minorEastAsia"/>
          <w:snapToGrid w:val="0"/>
        </w:rPr>
        <w:t>HAWOT_FAS</w:t>
      </w:r>
    </w:p>
    <w:p w:rsidR="00850B27" w:rsidRPr="00DB671B" w:rsidRDefault="00850B27" w:rsidP="00DB671B">
      <w:pPr>
        <w:pStyle w:val="ListParagraph"/>
        <w:numPr>
          <w:ilvl w:val="0"/>
          <w:numId w:val="33"/>
        </w:numPr>
        <w:jc w:val="left"/>
        <w:rPr>
          <w:rFonts w:eastAsiaTheme="minorEastAsia"/>
          <w:snapToGrid w:val="0"/>
        </w:rPr>
      </w:pPr>
      <w:r w:rsidRPr="00DB671B">
        <w:rPr>
          <w:rFonts w:eastAsiaTheme="minorEastAsia"/>
          <w:snapToGrid w:val="0"/>
        </w:rPr>
        <w:t>HAWOT_LIM</w:t>
      </w:r>
    </w:p>
    <w:p w:rsidR="00850B27" w:rsidRPr="00DB671B" w:rsidRDefault="00850B27" w:rsidP="00DB671B">
      <w:pPr>
        <w:pStyle w:val="ListParagraph"/>
        <w:numPr>
          <w:ilvl w:val="0"/>
          <w:numId w:val="33"/>
        </w:numPr>
        <w:jc w:val="left"/>
        <w:rPr>
          <w:rFonts w:eastAsiaTheme="minorEastAsia"/>
          <w:snapToGrid w:val="0"/>
        </w:rPr>
      </w:pPr>
      <w:r w:rsidRPr="00DB671B">
        <w:rPr>
          <w:rFonts w:eastAsiaTheme="minorEastAsia"/>
          <w:snapToGrid w:val="0"/>
        </w:rPr>
        <w:t>HAWOT_LFA</w:t>
      </w:r>
    </w:p>
    <w:p w:rsidR="00850B27" w:rsidRPr="00DB671B" w:rsidRDefault="00850B27" w:rsidP="00DB671B">
      <w:pPr>
        <w:pStyle w:val="ListParagraph"/>
        <w:numPr>
          <w:ilvl w:val="0"/>
          <w:numId w:val="33"/>
        </w:numPr>
        <w:jc w:val="left"/>
      </w:pPr>
      <w:r w:rsidRPr="00DB671B">
        <w:t>HELLE_FNI</w:t>
      </w:r>
    </w:p>
    <w:p w:rsidR="00850B27" w:rsidRPr="00DB671B" w:rsidRDefault="00850B27" w:rsidP="00DB671B">
      <w:pPr>
        <w:pStyle w:val="ListParagraph"/>
        <w:numPr>
          <w:ilvl w:val="0"/>
          <w:numId w:val="33"/>
        </w:numPr>
        <w:jc w:val="left"/>
        <w:rPr>
          <w:snapToGrid w:val="0"/>
        </w:rPr>
      </w:pPr>
      <w:r w:rsidRPr="00DB671B">
        <w:rPr>
          <w:snapToGrid w:val="0"/>
        </w:rPr>
        <w:t>HOMLC et HOMLC_PLA</w:t>
      </w:r>
    </w:p>
    <w:p w:rsidR="00850B27" w:rsidRPr="00DB671B" w:rsidRDefault="00850B27" w:rsidP="00DB671B">
      <w:pPr>
        <w:pStyle w:val="ListParagraph"/>
        <w:numPr>
          <w:ilvl w:val="0"/>
          <w:numId w:val="33"/>
        </w:numPr>
        <w:jc w:val="left"/>
        <w:rPr>
          <w:snapToGrid w:val="0"/>
        </w:rPr>
      </w:pPr>
      <w:r w:rsidRPr="00DB671B">
        <w:t>LAVN</w:t>
      </w:r>
      <w:r w:rsidRPr="00DB671B">
        <w:rPr>
          <w:rFonts w:cs="Arial"/>
        </w:rPr>
        <w:t>_XAL</w:t>
      </w:r>
    </w:p>
    <w:p w:rsidR="00850B27" w:rsidRPr="00DB671B" w:rsidRDefault="00850B27" w:rsidP="00DB671B">
      <w:pPr>
        <w:pStyle w:val="ListParagraph"/>
        <w:numPr>
          <w:ilvl w:val="0"/>
          <w:numId w:val="33"/>
        </w:numPr>
        <w:jc w:val="left"/>
      </w:pPr>
      <w:r w:rsidRPr="00DB671B">
        <w:t>LOBIV et LOBIV_SIL</w:t>
      </w:r>
    </w:p>
    <w:p w:rsidR="00850B27" w:rsidRPr="00DB671B" w:rsidRDefault="00850B27" w:rsidP="00DB671B">
      <w:pPr>
        <w:pStyle w:val="ListParagraph"/>
        <w:numPr>
          <w:ilvl w:val="0"/>
          <w:numId w:val="33"/>
        </w:numPr>
        <w:jc w:val="left"/>
        <w:rPr>
          <w:snapToGrid w:val="0"/>
        </w:rPr>
      </w:pPr>
      <w:r w:rsidRPr="00DB671B">
        <w:rPr>
          <w:snapToGrid w:val="0"/>
        </w:rPr>
        <w:t>MAHON, MAHON_ACA, MAHON_AQU, MAHON_BEA, MAHON_JAP, MAHON_LOM, MAHON_PUM et MAHON_REP</w:t>
      </w:r>
    </w:p>
    <w:p w:rsidR="00850B27" w:rsidRPr="00DB671B" w:rsidRDefault="00850B27" w:rsidP="00DB671B">
      <w:pPr>
        <w:pStyle w:val="ListParagraph"/>
        <w:numPr>
          <w:ilvl w:val="0"/>
          <w:numId w:val="33"/>
        </w:numPr>
        <w:jc w:val="left"/>
        <w:rPr>
          <w:snapToGrid w:val="0"/>
        </w:rPr>
      </w:pPr>
      <w:r w:rsidRPr="00DB671B">
        <w:rPr>
          <w:snapToGrid w:val="0"/>
        </w:rPr>
        <w:t>MUEHL_PLA</w:t>
      </w:r>
    </w:p>
    <w:p w:rsidR="00850B27" w:rsidRPr="00DB671B" w:rsidRDefault="00850B27" w:rsidP="00DB671B">
      <w:pPr>
        <w:pStyle w:val="ListParagraph"/>
        <w:numPr>
          <w:ilvl w:val="0"/>
          <w:numId w:val="33"/>
        </w:numPr>
        <w:jc w:val="left"/>
      </w:pPr>
      <w:r w:rsidRPr="00DB671B">
        <w:t>NEOTY_LOL</w:t>
      </w:r>
    </w:p>
    <w:p w:rsidR="00850B27" w:rsidRPr="00DB671B" w:rsidRDefault="00850B27" w:rsidP="00DB671B">
      <w:pPr>
        <w:pStyle w:val="ListParagraph"/>
        <w:numPr>
          <w:ilvl w:val="0"/>
          <w:numId w:val="33"/>
        </w:numPr>
        <w:jc w:val="left"/>
      </w:pPr>
      <w:r w:rsidRPr="00DB671B">
        <w:t>SENEC_BIC, SENEC_CIN, SENEC_CHE, SENEC_CON, SENEC_CRU, SENEC_FIC, SENEC_HER, SENEC_JAC, SENEC_LAX et SENEC_TAL</w:t>
      </w:r>
    </w:p>
    <w:p w:rsidR="00850B27" w:rsidRPr="00DB671B" w:rsidRDefault="00850B27" w:rsidP="00DB671B">
      <w:pPr>
        <w:pStyle w:val="ListParagraph"/>
        <w:numPr>
          <w:ilvl w:val="0"/>
          <w:numId w:val="33"/>
        </w:numPr>
        <w:jc w:val="left"/>
        <w:rPr>
          <w:rFonts w:eastAsiaTheme="minorEastAsia"/>
          <w:snapToGrid w:val="0"/>
        </w:rPr>
      </w:pPr>
      <w:bookmarkStart w:id="3" w:name="_Toc16687088"/>
      <w:r w:rsidRPr="00DB671B">
        <w:rPr>
          <w:rFonts w:eastAsiaTheme="minorEastAsia"/>
          <w:snapToGrid w:val="0"/>
        </w:rPr>
        <w:t>VANDA_FAL</w:t>
      </w:r>
    </w:p>
    <w:p w:rsidR="00850B27" w:rsidRPr="00DB671B" w:rsidRDefault="00850B27" w:rsidP="00DB671B">
      <w:pPr>
        <w:pStyle w:val="ListParagraph"/>
        <w:numPr>
          <w:ilvl w:val="0"/>
          <w:numId w:val="33"/>
        </w:numPr>
        <w:jc w:val="left"/>
        <w:rPr>
          <w:snapToGrid w:val="0"/>
        </w:rPr>
      </w:pPr>
      <w:r w:rsidRPr="00DB671B">
        <w:rPr>
          <w:snapToGrid w:val="0"/>
        </w:rPr>
        <w:t>WASAB et WASAB_JAP</w:t>
      </w:r>
    </w:p>
    <w:p w:rsidR="00260E55" w:rsidRDefault="00260E55" w:rsidP="00DB671B">
      <w:pPr>
        <w:sectPr w:rsidR="00260E55" w:rsidSect="00260E55">
          <w:type w:val="continuous"/>
          <w:pgSz w:w="11907" w:h="16840" w:code="9"/>
          <w:pgMar w:top="510" w:right="1134" w:bottom="1134" w:left="1134" w:header="510" w:footer="680" w:gutter="0"/>
          <w:cols w:num="2" w:space="720"/>
          <w:titlePg/>
          <w:docGrid w:linePitch="299"/>
        </w:sectPr>
      </w:pPr>
    </w:p>
    <w:p w:rsidR="00850B27" w:rsidRPr="00DB671B" w:rsidRDefault="00850B27" w:rsidP="00DB671B"/>
    <w:bookmarkEnd w:id="3"/>
    <w:p w:rsidR="00850B27" w:rsidRPr="00DB671B" w:rsidRDefault="00850B27" w:rsidP="00DB671B">
      <w:pPr>
        <w:pStyle w:val="Heading4"/>
      </w:pPr>
      <w:r w:rsidRPr="00DB671B">
        <w:t>Mise en application des modifications des codes UPOV</w:t>
      </w:r>
    </w:p>
    <w:p w:rsidR="00850B27" w:rsidRPr="00DB671B" w:rsidRDefault="00850B27" w:rsidP="00DB671B"/>
    <w:p w:rsidR="00850B27" w:rsidRPr="00DB671B" w:rsidRDefault="00850B27" w:rsidP="00DB671B">
      <w:r w:rsidRPr="00DB671B">
        <w:fldChar w:fldCharType="begin"/>
      </w:r>
      <w:r w:rsidRPr="00DB671B">
        <w:instrText xml:space="preserve"> AUTONUM  </w:instrText>
      </w:r>
      <w:r w:rsidRPr="00DB671B">
        <w:fldChar w:fldCharType="end"/>
      </w:r>
      <w:r w:rsidRPr="00DB671B">
        <w:tab/>
        <w:t>Le TC note que les membres de l’Union et les contributeurs de la base de données PLUTO seraient informés à l’avance des modifications apportées aux codes UPOV et de leur date au moyen d’une circulaire, comme indiqué au paragraphe 64 du document TC/55/5.</w:t>
      </w:r>
    </w:p>
    <w:p w:rsidR="00850B27" w:rsidRPr="00DB671B" w:rsidRDefault="00850B27" w:rsidP="00DB671B"/>
    <w:p w:rsidR="00850B27" w:rsidRPr="00DB671B" w:rsidRDefault="00850B27" w:rsidP="00DB671B">
      <w:r w:rsidRPr="00DB671B">
        <w:fldChar w:fldCharType="begin"/>
      </w:r>
      <w:r w:rsidRPr="00DB671B">
        <w:instrText xml:space="preserve"> AUTONUM  </w:instrText>
      </w:r>
      <w:r w:rsidRPr="00DB671B">
        <w:fldChar w:fldCharType="end"/>
      </w:r>
      <w:r w:rsidRPr="00DB671B">
        <w:tab/>
        <w:t>Le TC note qu’il sera demandé aux contributeurs de la base de données PLUTO d’utiliser les codes UPOV modifiés lorsqu’ils soumettront leurs données relatives aux variétés végétales au Bureau de l’Union, comme indiqué au paragraphe 64 du document TC/55/5.</w:t>
      </w:r>
    </w:p>
    <w:p w:rsidR="00850B27" w:rsidRPr="00DB671B" w:rsidRDefault="00850B27" w:rsidP="00DB671B"/>
    <w:p w:rsidR="00850B27" w:rsidRPr="00DB671B" w:rsidRDefault="00850B27" w:rsidP="00DB671B">
      <w:pPr>
        <w:pStyle w:val="Heading3"/>
        <w:rPr>
          <w:lang w:val="fr-FR"/>
        </w:rPr>
      </w:pPr>
      <w:r w:rsidRPr="00DB671B">
        <w:rPr>
          <w:lang w:val="fr-FR"/>
        </w:rPr>
        <w:t>Base de données PLUTO</w:t>
      </w:r>
    </w:p>
    <w:p w:rsidR="00850B27" w:rsidRPr="00DB671B" w:rsidRDefault="00850B27" w:rsidP="00DB671B">
      <w:pPr>
        <w:keepNext/>
        <w:jc w:val="left"/>
      </w:pPr>
    </w:p>
    <w:p w:rsidR="00850B27" w:rsidRPr="00DB671B" w:rsidRDefault="00850B27" w:rsidP="00DB671B">
      <w:pPr>
        <w:pStyle w:val="Heading4"/>
      </w:pPr>
      <w:r w:rsidRPr="00DB671B">
        <w:t>Programme d’améliorations de la base de données PLUTO</w:t>
      </w:r>
    </w:p>
    <w:p w:rsidR="00850B27" w:rsidRPr="00DB671B" w:rsidRDefault="00850B27" w:rsidP="00DB671B">
      <w:pPr>
        <w:keepNext/>
        <w:jc w:val="left"/>
      </w:pPr>
    </w:p>
    <w:p w:rsidR="00850B27" w:rsidRPr="00DB671B" w:rsidRDefault="00850B27" w:rsidP="00DB671B">
      <w:pPr>
        <w:keepNext/>
      </w:pPr>
      <w:r w:rsidRPr="00DB671B">
        <w:fldChar w:fldCharType="begin"/>
      </w:r>
      <w:r w:rsidRPr="00DB671B">
        <w:instrText xml:space="preserve"> AUTONUM  </w:instrText>
      </w:r>
      <w:r w:rsidRPr="00DB671B">
        <w:fldChar w:fldCharType="end"/>
      </w:r>
      <w:r w:rsidRPr="00DB671B">
        <w:tab/>
        <w:t>Le TC souscrit à la proposition de révision de la section 3.1.3 du “Programme d’améliorations de la base de données PLUTO” visant à rendre compte de l’adoption comme jeu de caractères acceptables de celui de la norme ISO/CEI 8859 1: 1998, comme suit :</w:t>
      </w:r>
    </w:p>
    <w:p w:rsidR="00850B27" w:rsidRPr="00DB671B" w:rsidRDefault="00850B27" w:rsidP="00DB671B"/>
    <w:p w:rsidR="00850B27" w:rsidRPr="005126D4" w:rsidRDefault="00850B27" w:rsidP="00DB671B">
      <w:pPr>
        <w:ind w:left="567" w:right="567"/>
        <w:rPr>
          <w:sz w:val="18"/>
        </w:rPr>
      </w:pPr>
      <w:r w:rsidRPr="005126D4">
        <w:rPr>
          <w:sz w:val="18"/>
        </w:rPr>
        <w:t>“3.1.3</w:t>
      </w:r>
      <w:r w:rsidRPr="005126D4">
        <w:rPr>
          <w:sz w:val="18"/>
        </w:rPr>
        <w:tab/>
        <w:t>Sous réserve des dispositions de la section 3.1.4, le jeu de caractères des données est le jeu de caractères ASCII [Code standard américain pour l’échange d’informations] étendu, tel qu’il est défini dans la norme ISO/CEI [Organisation internationale de normalisation/Commission électrotechnique internationale] 8859</w:t>
      </w:r>
      <w:r w:rsidR="0067134D" w:rsidRPr="005126D4">
        <w:rPr>
          <w:sz w:val="18"/>
        </w:rPr>
        <w:t xml:space="preserve"> </w:t>
      </w:r>
      <w:r w:rsidRPr="005126D4">
        <w:rPr>
          <w:sz w:val="18"/>
        </w:rPr>
        <w:t>1: 1998</w:t>
      </w:r>
      <w:r w:rsidR="0067134D" w:rsidRPr="005126D4">
        <w:rPr>
          <w:sz w:val="18"/>
        </w:rPr>
        <w:t>.</w:t>
      </w:r>
      <w:r w:rsidRPr="005126D4">
        <w:rPr>
          <w:sz w:val="18"/>
        </w:rPr>
        <w:t>”</w:t>
      </w:r>
    </w:p>
    <w:p w:rsidR="00850B27" w:rsidRPr="00DB671B" w:rsidRDefault="00850B27" w:rsidP="00DB671B"/>
    <w:p w:rsidR="00850B27" w:rsidRPr="00DB671B" w:rsidRDefault="00850B27" w:rsidP="00DB671B">
      <w:r w:rsidRPr="00DB671B">
        <w:fldChar w:fldCharType="begin"/>
      </w:r>
      <w:r w:rsidRPr="00DB671B">
        <w:instrText xml:space="preserve"> AUTONUM  </w:instrText>
      </w:r>
      <w:r w:rsidRPr="00DB671B">
        <w:fldChar w:fldCharType="end"/>
      </w:r>
      <w:r w:rsidRPr="00DB671B">
        <w:tab/>
        <w:t>Le TC note que le CAJ, à sa soixante-seizième session, examinera la proposition de révision de la section 3.1.3 du “Programme d’améliorations de la base de données PLUTO”, en tenant compte des observations formulées par le TC à sa cinquante-cinquième session.</w:t>
      </w:r>
    </w:p>
    <w:p w:rsidR="00850B27" w:rsidRPr="00DB671B" w:rsidRDefault="00850B27" w:rsidP="00DB671B"/>
    <w:p w:rsidR="00850B27" w:rsidRPr="00DB671B" w:rsidRDefault="00850B27" w:rsidP="00DB671B">
      <w:pPr>
        <w:pStyle w:val="Heading3"/>
        <w:rPr>
          <w:lang w:val="fr-FR"/>
        </w:rPr>
      </w:pPr>
      <w:r w:rsidRPr="00DB671B">
        <w:rPr>
          <w:lang w:val="fr-FR"/>
        </w:rPr>
        <w:t>Demande du Comité de la nomenclature de l’ISTA</w:t>
      </w:r>
    </w:p>
    <w:p w:rsidR="00850B27" w:rsidRPr="00DB671B" w:rsidRDefault="00850B27" w:rsidP="00DB671B">
      <w:pPr>
        <w:keepNext/>
      </w:pPr>
    </w:p>
    <w:p w:rsidR="00850B27" w:rsidRPr="00DB671B" w:rsidRDefault="00850B27" w:rsidP="00DB671B">
      <w:pPr>
        <w:keepNext/>
        <w:rPr>
          <w:rFonts w:cs="Arial"/>
        </w:rPr>
      </w:pPr>
      <w:r w:rsidRPr="00DB671B">
        <w:fldChar w:fldCharType="begin"/>
      </w:r>
      <w:r w:rsidRPr="00DB671B">
        <w:instrText xml:space="preserve"> AUTONUM  </w:instrText>
      </w:r>
      <w:r w:rsidRPr="00DB671B">
        <w:fldChar w:fldCharType="end"/>
      </w:r>
      <w:r w:rsidRPr="00DB671B">
        <w:tab/>
        <w:t>Le TC note que le Bureau de l’Union a reçu une requête du Comité de la nomenclature de l’Association internationale d’essais de semences (ISTA) relative à la fourniture de codes UPOV pour tous les noms botaniques figurant sur la liste stabilisée des noms botaniques de plantes de l’ISTA, comme indiqué au paragraphe 2 du document TC/55/5 Add.  Le 3 octobre 2019, le Bureau de l’Union a fourni au Comité de la nomenclature de l’ISTA une liste de codes UPOV couvrant tous les noms botaniques de la liste stabilisée de l’ISTA.</w:t>
      </w:r>
    </w:p>
    <w:p w:rsidR="00850B27" w:rsidRPr="00DB671B" w:rsidRDefault="00850B27" w:rsidP="00DB671B"/>
    <w:p w:rsidR="00850B27" w:rsidRPr="00DB671B" w:rsidRDefault="00850B27" w:rsidP="00804DB7"/>
    <w:p w:rsidR="00850B27" w:rsidRPr="00DB671B" w:rsidRDefault="00850B27" w:rsidP="00DB671B">
      <w:pPr>
        <w:pStyle w:val="Heading2"/>
        <w:rPr>
          <w:lang w:val="fr-FR"/>
        </w:rPr>
      </w:pPr>
      <w:r w:rsidRPr="00DB671B">
        <w:rPr>
          <w:lang w:val="fr-FR"/>
        </w:rPr>
        <w:t>Échange et utilisation de logiciels et d’équipements</w:t>
      </w:r>
    </w:p>
    <w:p w:rsidR="00850B27" w:rsidRPr="00DB671B" w:rsidRDefault="00850B27" w:rsidP="00DB671B">
      <w:pPr>
        <w:keepNext/>
      </w:pPr>
    </w:p>
    <w:p w:rsidR="00850B27" w:rsidRPr="00DB671B" w:rsidRDefault="00850B27" w:rsidP="00DB671B">
      <w:pPr>
        <w:keepNext/>
      </w:pPr>
      <w:r w:rsidRPr="00DB671B">
        <w:fldChar w:fldCharType="begin"/>
      </w:r>
      <w:r w:rsidRPr="00DB671B">
        <w:instrText xml:space="preserve"> AUTONUM  </w:instrText>
      </w:r>
      <w:r w:rsidRPr="00DB671B">
        <w:fldChar w:fldCharType="end"/>
      </w:r>
      <w:r w:rsidRPr="00DB671B">
        <w:tab/>
        <w:t>Le TC examine le document TC/55/6.</w:t>
      </w:r>
    </w:p>
    <w:p w:rsidR="00850B27" w:rsidRPr="00DB671B" w:rsidRDefault="00850B27" w:rsidP="00DB671B"/>
    <w:p w:rsidR="00850B27" w:rsidRPr="00DB671B" w:rsidRDefault="00850B27" w:rsidP="00DB671B">
      <w:pPr>
        <w:pStyle w:val="Heading3"/>
        <w:rPr>
          <w:lang w:val="fr-FR"/>
        </w:rPr>
      </w:pPr>
      <w:r w:rsidRPr="00DB671B">
        <w:rPr>
          <w:lang w:val="fr-FR"/>
        </w:rPr>
        <w:t>Document UPOV/INF/16 “Logiciels échangeables”</w:t>
      </w:r>
    </w:p>
    <w:p w:rsidR="00850B27" w:rsidRPr="00DB671B" w:rsidRDefault="00850B27" w:rsidP="00DB671B">
      <w:pPr>
        <w:keepNext/>
      </w:pPr>
    </w:p>
    <w:p w:rsidR="00850B27" w:rsidRPr="00DB671B" w:rsidRDefault="00850B27" w:rsidP="00DB671B">
      <w:pPr>
        <w:keepNext/>
      </w:pPr>
      <w:r w:rsidRPr="00DB671B">
        <w:fldChar w:fldCharType="begin"/>
      </w:r>
      <w:r w:rsidRPr="00DB671B">
        <w:instrText xml:space="preserve"> AUTONUM  </w:instrText>
      </w:r>
      <w:r w:rsidRPr="00DB671B">
        <w:fldChar w:fldCharType="end"/>
      </w:r>
      <w:r w:rsidRPr="00DB671B">
        <w:tab/>
        <w:t xml:space="preserve">Le TC note que le Conseil, à sa cinquante-deuxième session ordinaire tenue à Genève le 2 novembre 2018, a adopté le document UPOV/INF/16/8 “Logiciels échangeables”. </w:t>
      </w:r>
    </w:p>
    <w:p w:rsidR="00850B27" w:rsidRPr="00DB671B" w:rsidRDefault="00850B27" w:rsidP="00DB671B"/>
    <w:p w:rsidR="00850B27" w:rsidRPr="00DB671B" w:rsidRDefault="00850B27" w:rsidP="00DB671B">
      <w:r w:rsidRPr="00DB671B">
        <w:fldChar w:fldCharType="begin"/>
      </w:r>
      <w:r w:rsidRPr="00DB671B">
        <w:instrText xml:space="preserve"> AUTONUM  </w:instrText>
      </w:r>
      <w:r w:rsidRPr="00DB671B">
        <w:fldChar w:fldCharType="end"/>
      </w:r>
      <w:r w:rsidRPr="00DB671B">
        <w:tab/>
        <w:t>Le TC note qu’aucun renseignement nouveau n’a été reçu des membres de l’Union en réponse à la circulaire E-19/045 les invitant à donner ou à actualiser les renseignements sur l’utilisation des logiciels mentionnés dans le document UPOV/INF/16/8.</w:t>
      </w:r>
    </w:p>
    <w:p w:rsidR="00850B27" w:rsidRPr="00DB671B" w:rsidRDefault="00850B27" w:rsidP="00DB671B"/>
    <w:p w:rsidR="00850B27" w:rsidRPr="00DB671B" w:rsidRDefault="00850B27" w:rsidP="00DB671B">
      <w:pPr>
        <w:pStyle w:val="Heading3"/>
        <w:rPr>
          <w:lang w:val="fr-FR"/>
        </w:rPr>
      </w:pPr>
      <w:r w:rsidRPr="00DB671B">
        <w:rPr>
          <w:lang w:val="fr-FR"/>
        </w:rPr>
        <w:t>Document UPOV/INF/22 “Logiciels et équipements utilisés par les membres de l’Union”</w:t>
      </w:r>
    </w:p>
    <w:p w:rsidR="00850B27" w:rsidRPr="00DB671B" w:rsidRDefault="00850B27" w:rsidP="00DB671B">
      <w:pPr>
        <w:keepNext/>
      </w:pPr>
    </w:p>
    <w:p w:rsidR="00850B27" w:rsidRPr="00DB671B" w:rsidRDefault="00850B27" w:rsidP="00DB671B">
      <w:pPr>
        <w:keepNext/>
      </w:pPr>
      <w:r w:rsidRPr="00DB671B">
        <w:fldChar w:fldCharType="begin"/>
      </w:r>
      <w:r w:rsidRPr="00DB671B">
        <w:instrText xml:space="preserve"> AUTONUM  </w:instrText>
      </w:r>
      <w:r w:rsidRPr="00DB671B">
        <w:fldChar w:fldCharType="end"/>
      </w:r>
      <w:r w:rsidRPr="00DB671B">
        <w:tab/>
        <w:t>Le TC examine le document UPOV/INF/22/6 Draft 1 et convient de proposer la révision du document UPOV/INF/22 sur cette base.</w:t>
      </w:r>
    </w:p>
    <w:p w:rsidR="00850B27" w:rsidRPr="00DB671B" w:rsidRDefault="00850B27" w:rsidP="00DB671B"/>
    <w:p w:rsidR="00850B27" w:rsidRPr="00DB671B" w:rsidRDefault="00850B27" w:rsidP="00DB671B">
      <w:r w:rsidRPr="00DB671B">
        <w:fldChar w:fldCharType="begin"/>
      </w:r>
      <w:r w:rsidRPr="00DB671B">
        <w:instrText xml:space="preserve"> AUTONUM  </w:instrText>
      </w:r>
      <w:r w:rsidRPr="00DB671B">
        <w:fldChar w:fldCharType="end"/>
      </w:r>
      <w:r w:rsidRPr="00DB671B">
        <w:tab/>
        <w:t>Le TC note que les propositions formulées par le TC à sa cinquante-cinquième session, au sujet de la révision du document UPOV/INF/22, seraient communiquées au CAJ à sa soixante-seizième session prévue à Genève le 30 octobre 2019 et que, sous réserve de l’accord du CAJ, un projet de document UPOV/INF/22/6 serait présenté pour adoption par le Conseil à sa cinquante-troisième session ordinaire prévue à Genève le 1</w:t>
      </w:r>
      <w:r w:rsidRPr="00DB671B">
        <w:rPr>
          <w:vertAlign w:val="superscript"/>
        </w:rPr>
        <w:t>er</w:t>
      </w:r>
      <w:r w:rsidRPr="00DB671B">
        <w:t> novembre 2019.</w:t>
      </w:r>
    </w:p>
    <w:p w:rsidR="00850B27" w:rsidRPr="00DB671B" w:rsidRDefault="00850B27" w:rsidP="00DB671B"/>
    <w:p w:rsidR="00850B27" w:rsidRPr="00DB671B" w:rsidRDefault="00850B27" w:rsidP="00DB671B">
      <w:pPr>
        <w:pStyle w:val="Heading3"/>
        <w:rPr>
          <w:lang w:val="fr-FR"/>
        </w:rPr>
      </w:pPr>
      <w:r w:rsidRPr="00DB671B">
        <w:rPr>
          <w:lang w:val="fr-FR"/>
        </w:rPr>
        <w:t>Publication des documents UPOV/INF/16 “Logiciels échangeables” et UPOV/INF/22 “Logiciels et équipements utilisés par les membres de l’Union” sous une forme se prêtant à des recherches</w:t>
      </w:r>
    </w:p>
    <w:p w:rsidR="00850B27" w:rsidRPr="00DB671B" w:rsidRDefault="00850B27" w:rsidP="00DB671B">
      <w:pPr>
        <w:keepNext/>
      </w:pPr>
    </w:p>
    <w:p w:rsidR="00850B27" w:rsidRPr="00DB671B" w:rsidRDefault="00850B27" w:rsidP="00DB671B">
      <w:pPr>
        <w:keepNext/>
      </w:pPr>
      <w:r w:rsidRPr="00DB671B">
        <w:fldChar w:fldCharType="begin"/>
      </w:r>
      <w:r w:rsidRPr="00DB671B">
        <w:instrText xml:space="preserve"> AUTONUM  </w:instrText>
      </w:r>
      <w:r w:rsidRPr="00DB671B">
        <w:fldChar w:fldCharType="end"/>
      </w:r>
      <w:r w:rsidRPr="00DB671B">
        <w:tab/>
        <w:t>Le TC note que les informations contenues dans les documents UPOV/INF/16 et UPOV/INF/22 seraient</w:t>
      </w:r>
      <w:r w:rsidR="006B1E80">
        <w:t xml:space="preserve"> </w:t>
      </w:r>
      <w:r w:rsidRPr="00DB671B">
        <w:t>publiées sous une forme se prêtant à des recherches sur le site Web de l’UPOV après la mise en place du nouveau site Web.</w:t>
      </w:r>
    </w:p>
    <w:p w:rsidR="00850B27" w:rsidRPr="00DB671B" w:rsidRDefault="00850B27" w:rsidP="00DB671B"/>
    <w:p w:rsidR="00850B27" w:rsidRPr="00DB671B" w:rsidRDefault="00850B27" w:rsidP="00DB671B"/>
    <w:p w:rsidR="00850B27" w:rsidRPr="00DB671B" w:rsidRDefault="00850B27" w:rsidP="00DB671B">
      <w:pPr>
        <w:pStyle w:val="Heading2"/>
        <w:rPr>
          <w:snapToGrid w:val="0"/>
          <w:lang w:val="fr-FR"/>
        </w:rPr>
      </w:pPr>
      <w:r w:rsidRPr="00DB671B">
        <w:rPr>
          <w:snapToGrid w:val="0"/>
          <w:lang w:val="fr-FR"/>
        </w:rPr>
        <w:t>Ateliers préparatoires</w:t>
      </w:r>
    </w:p>
    <w:p w:rsidR="00850B27" w:rsidRPr="00DB671B" w:rsidRDefault="00850B27" w:rsidP="00DB671B">
      <w:pPr>
        <w:keepNext/>
      </w:pPr>
    </w:p>
    <w:p w:rsidR="00850B27" w:rsidRPr="00DB671B" w:rsidRDefault="00850B27" w:rsidP="00DB671B">
      <w:pPr>
        <w:keepNext/>
      </w:pPr>
      <w:r w:rsidRPr="00DB671B">
        <w:fldChar w:fldCharType="begin"/>
      </w:r>
      <w:r w:rsidRPr="00DB671B">
        <w:instrText xml:space="preserve"> AUTONUM  </w:instrText>
      </w:r>
      <w:r w:rsidRPr="00DB671B">
        <w:fldChar w:fldCharType="end"/>
      </w:r>
      <w:r w:rsidRPr="00DB671B">
        <w:tab/>
        <w:t>Le TC examine le document TC/55/9.</w:t>
      </w:r>
    </w:p>
    <w:p w:rsidR="00850B27" w:rsidRPr="00DB671B" w:rsidRDefault="00850B27" w:rsidP="00DB671B">
      <w:pPr>
        <w:keepNext/>
      </w:pPr>
    </w:p>
    <w:p w:rsidR="00850B27" w:rsidRPr="00DB671B" w:rsidRDefault="00850B27" w:rsidP="00DB671B">
      <w:r w:rsidRPr="00DB671B">
        <w:fldChar w:fldCharType="begin"/>
      </w:r>
      <w:r w:rsidRPr="00DB671B">
        <w:instrText xml:space="preserve"> AUTONUM  </w:instrText>
      </w:r>
      <w:r w:rsidRPr="00DB671B">
        <w:fldChar w:fldCharType="end"/>
      </w:r>
      <w:r w:rsidRPr="00DB671B">
        <w:tab/>
        <w:t>Le TC prend note du compte rendu de l’atelier préparatoire tenu par le TWO en 2019.</w:t>
      </w:r>
    </w:p>
    <w:p w:rsidR="00850B27" w:rsidRPr="00DB671B" w:rsidRDefault="00850B27" w:rsidP="00DB671B"/>
    <w:p w:rsidR="00850B27" w:rsidRPr="00DB671B" w:rsidRDefault="00850B27" w:rsidP="00DB671B">
      <w:r w:rsidRPr="00DB671B">
        <w:fldChar w:fldCharType="begin"/>
      </w:r>
      <w:r w:rsidRPr="00DB671B">
        <w:instrText xml:space="preserve"> AUTONUM  </w:instrText>
      </w:r>
      <w:r w:rsidRPr="00DB671B">
        <w:fldChar w:fldCharType="end"/>
      </w:r>
      <w:r w:rsidRPr="00DB671B">
        <w:tab/>
        <w:t>Le TC note que les éléments à examiner lors des ateliers préparatoires du TWA, du TWC, du TWF,</w:t>
      </w:r>
      <w:r w:rsidR="001424CD">
        <w:t xml:space="preserve"> </w:t>
      </w:r>
      <w:r w:rsidRPr="00DB671B">
        <w:t>du TWV et du BMT ont été présentés comme une introduction aux points de l’ordre du jour</w:t>
      </w:r>
      <w:r w:rsidR="001424CD">
        <w:t xml:space="preserve"> </w:t>
      </w:r>
      <w:r w:rsidRPr="00DB671B">
        <w:t>correspondants durant le déroulement normal des sessions.</w:t>
      </w:r>
    </w:p>
    <w:p w:rsidR="00850B27" w:rsidRPr="00DB671B" w:rsidRDefault="00850B27" w:rsidP="00DB671B"/>
    <w:p w:rsidR="00850B27" w:rsidRPr="00DB671B" w:rsidRDefault="00850B27" w:rsidP="00DB671B">
      <w:r w:rsidRPr="00DB671B">
        <w:fldChar w:fldCharType="begin"/>
      </w:r>
      <w:r w:rsidRPr="00DB671B">
        <w:instrText xml:space="preserve"> AUTONUM  </w:instrText>
      </w:r>
      <w:r w:rsidRPr="00DB671B">
        <w:fldChar w:fldCharType="end"/>
      </w:r>
      <w:r w:rsidRPr="00DB671B">
        <w:tab/>
        <w:t>Le TC rappelle que les ateliers préparatoires sont l’occasion pour les participants locaux de suivre une formation et convient que les hôtes des groupes de travail techniques devraient pouvoir décider s’ils souhaitent ou non organiser un atelier préparatoire avant la session du TWP.</w:t>
      </w:r>
    </w:p>
    <w:p w:rsidR="00850B27" w:rsidRPr="00DB671B" w:rsidRDefault="00850B27" w:rsidP="00DB671B"/>
    <w:p w:rsidR="00850B27" w:rsidRPr="00DB671B" w:rsidRDefault="00850B27" w:rsidP="00DB671B">
      <w:r w:rsidRPr="00DB671B">
        <w:fldChar w:fldCharType="begin"/>
      </w:r>
      <w:r w:rsidRPr="00DB671B">
        <w:instrText xml:space="preserve"> AUTONUM  </w:instrText>
      </w:r>
      <w:r w:rsidRPr="00DB671B">
        <w:fldChar w:fldCharType="end"/>
      </w:r>
      <w:r w:rsidRPr="00DB671B">
        <w:tab/>
        <w:t>Le TC convient que les TWP devraient être invités à envisager la possibilité d’organiser des ateliers préparatoires lorsqu’ils examinent la date et le lieu de leurs futures sessions.</w:t>
      </w:r>
    </w:p>
    <w:p w:rsidR="00850B27" w:rsidRPr="00DB671B" w:rsidRDefault="00850B27" w:rsidP="00DB671B"/>
    <w:p w:rsidR="00850B27" w:rsidRPr="00DB671B" w:rsidRDefault="00850B27" w:rsidP="00DB671B">
      <w:r w:rsidRPr="00DB671B">
        <w:fldChar w:fldCharType="begin"/>
      </w:r>
      <w:r w:rsidRPr="00DB671B">
        <w:instrText xml:space="preserve"> AUTONUM  </w:instrText>
      </w:r>
      <w:r w:rsidRPr="00DB671B">
        <w:fldChar w:fldCharType="end"/>
      </w:r>
      <w:r w:rsidRPr="00DB671B">
        <w:tab/>
        <w:t>Le TC convient que le Bureau de l’Union devrait examiner la possibilité d’enregistrer un webinaire de sorte qu’une partie du contenu de l’atelier préparatoire soit disponible en ligne à des fins d’enseignement à distance.</w:t>
      </w:r>
    </w:p>
    <w:p w:rsidR="00850B27" w:rsidRPr="00DB671B" w:rsidRDefault="00850B27" w:rsidP="00DB671B"/>
    <w:p w:rsidR="00850B27" w:rsidRPr="00DB671B" w:rsidRDefault="00850B27" w:rsidP="00DB671B">
      <w:pPr>
        <w:rPr>
          <w:rFonts w:cs="Arial"/>
        </w:rPr>
      </w:pPr>
      <w:r w:rsidRPr="00DB671B">
        <w:fldChar w:fldCharType="begin"/>
      </w:r>
      <w:r w:rsidRPr="00DB671B">
        <w:instrText xml:space="preserve"> AUTONUM  </w:instrText>
      </w:r>
      <w:r w:rsidRPr="00DB671B">
        <w:fldChar w:fldCharType="end"/>
      </w:r>
      <w:r w:rsidRPr="00DB671B">
        <w:tab/>
        <w:t>Le TC convient que les éléments ci-après soient présentés comme une introduction aux points de l’ordre du jour correspondants durant le déroulement normal des sessions du TWA, du TWF, du TWO et du TWV en 2020 :</w:t>
      </w:r>
      <w:r w:rsidRPr="00DB671B">
        <w:rPr>
          <w:rFonts w:cs="Arial"/>
        </w:rPr>
        <w:t xml:space="preserve"> </w:t>
      </w:r>
    </w:p>
    <w:p w:rsidR="00850B27" w:rsidRPr="00DB671B" w:rsidRDefault="00850B27" w:rsidP="00DB671B">
      <w:pPr>
        <w:rPr>
          <w:rFonts w:cs="Arial"/>
        </w:rPr>
      </w:pPr>
    </w:p>
    <w:p w:rsidR="00850B27" w:rsidRPr="00DB671B" w:rsidRDefault="00850B27" w:rsidP="00DB671B">
      <w:pPr>
        <w:numPr>
          <w:ilvl w:val="0"/>
          <w:numId w:val="11"/>
        </w:numPr>
        <w:spacing w:line="276" w:lineRule="auto"/>
        <w:rPr>
          <w:rFonts w:cs="Arial"/>
        </w:rPr>
      </w:pPr>
      <w:r w:rsidRPr="00DB671B">
        <w:rPr>
          <w:rFonts w:cs="Arial"/>
        </w:rPr>
        <w:t>Présentation de l’UPOV et du rôle des groupes de travail techniques (TWP)</w:t>
      </w:r>
    </w:p>
    <w:p w:rsidR="00850B27" w:rsidRPr="00DB671B" w:rsidRDefault="00850B27" w:rsidP="00DB671B">
      <w:pPr>
        <w:numPr>
          <w:ilvl w:val="0"/>
          <w:numId w:val="11"/>
        </w:numPr>
        <w:spacing w:line="276" w:lineRule="auto"/>
        <w:rPr>
          <w:rFonts w:cs="Arial"/>
        </w:rPr>
      </w:pPr>
      <w:r w:rsidRPr="00DB671B">
        <w:rPr>
          <w:rFonts w:cs="Arial"/>
        </w:rPr>
        <w:t>Aperçu de l’introduction générale (document TG/1/3 et des documents TGP)</w:t>
      </w:r>
    </w:p>
    <w:p w:rsidR="00850B27" w:rsidRPr="00DB671B" w:rsidRDefault="00850B27" w:rsidP="00DB671B">
      <w:pPr>
        <w:numPr>
          <w:ilvl w:val="0"/>
          <w:numId w:val="8"/>
        </w:numPr>
        <w:spacing w:line="276" w:lineRule="auto"/>
        <w:rPr>
          <w:rFonts w:cs="Arial"/>
        </w:rPr>
      </w:pPr>
      <w:r w:rsidRPr="00DB671B">
        <w:rPr>
          <w:rFonts w:cs="Arial"/>
        </w:rPr>
        <w:t>Les caractères comme base de l’examen DHS et sélection des caractères</w:t>
      </w:r>
    </w:p>
    <w:p w:rsidR="00850B27" w:rsidRPr="00DB671B" w:rsidRDefault="00850B27" w:rsidP="00DB671B">
      <w:pPr>
        <w:numPr>
          <w:ilvl w:val="0"/>
          <w:numId w:val="11"/>
        </w:numPr>
        <w:spacing w:line="276" w:lineRule="auto"/>
        <w:rPr>
          <w:rFonts w:cs="Arial"/>
        </w:rPr>
      </w:pPr>
      <w:r w:rsidRPr="00DB671B">
        <w:rPr>
          <w:rFonts w:cs="Arial"/>
        </w:rPr>
        <w:t xml:space="preserve">Conseils pour l’élaboration des principes directeurs d’examen (document TGP/7) </w:t>
      </w:r>
    </w:p>
    <w:p w:rsidR="00850B27" w:rsidRPr="00DB671B" w:rsidRDefault="00850B27" w:rsidP="00DB671B">
      <w:pPr>
        <w:numPr>
          <w:ilvl w:val="0"/>
          <w:numId w:val="12"/>
        </w:numPr>
        <w:spacing w:line="276" w:lineRule="auto"/>
        <w:rPr>
          <w:rFonts w:cs="Arial"/>
        </w:rPr>
      </w:pPr>
      <w:r w:rsidRPr="00DB671B">
        <w:rPr>
          <w:rFonts w:cs="Arial"/>
        </w:rPr>
        <w:t>Objet des principes directeurs d’examen, matériel requis et méthode d’examen;</w:t>
      </w:r>
    </w:p>
    <w:p w:rsidR="00850B27" w:rsidRPr="00DB671B" w:rsidRDefault="00850B27" w:rsidP="00DB671B">
      <w:pPr>
        <w:numPr>
          <w:ilvl w:val="0"/>
          <w:numId w:val="12"/>
        </w:numPr>
        <w:spacing w:line="276" w:lineRule="auto"/>
        <w:rPr>
          <w:rFonts w:cs="Arial"/>
        </w:rPr>
      </w:pPr>
      <w:r w:rsidRPr="00DB671B">
        <w:rPr>
          <w:rFonts w:cs="Arial"/>
        </w:rPr>
        <w:t>Méthode d’observation (MS, MG, VS, VG);</w:t>
      </w:r>
    </w:p>
    <w:p w:rsidR="00850B27" w:rsidRPr="00DB671B" w:rsidRDefault="00850B27" w:rsidP="00DB671B">
      <w:pPr>
        <w:numPr>
          <w:ilvl w:val="0"/>
          <w:numId w:val="12"/>
        </w:numPr>
        <w:tabs>
          <w:tab w:val="left" w:pos="567"/>
          <w:tab w:val="left" w:pos="1134"/>
          <w:tab w:val="left" w:pos="2268"/>
          <w:tab w:val="left" w:pos="2835"/>
          <w:tab w:val="left" w:pos="3402"/>
          <w:tab w:val="left" w:pos="3969"/>
          <w:tab w:val="left" w:pos="4536"/>
          <w:tab w:val="center" w:pos="5386"/>
        </w:tabs>
        <w:spacing w:line="276" w:lineRule="auto"/>
        <w:rPr>
          <w:rFonts w:cs="Arial"/>
        </w:rPr>
      </w:pPr>
      <w:r w:rsidRPr="00DB671B">
        <w:rPr>
          <w:rFonts w:cs="Arial"/>
        </w:rPr>
        <w:t>Types d’expression (QL, PQ, QN), notes et distinction;</w:t>
      </w:r>
    </w:p>
    <w:p w:rsidR="00850B27" w:rsidRPr="00DB671B" w:rsidRDefault="00850B27" w:rsidP="00DB671B">
      <w:pPr>
        <w:numPr>
          <w:ilvl w:val="0"/>
          <w:numId w:val="12"/>
        </w:numPr>
        <w:spacing w:line="276" w:lineRule="auto"/>
        <w:rPr>
          <w:rFonts w:cs="Arial"/>
        </w:rPr>
      </w:pPr>
      <w:r w:rsidRPr="00DB671B">
        <w:rPr>
          <w:rFonts w:cs="Arial"/>
        </w:rPr>
        <w:t>Caractères de forme et de couleur;</w:t>
      </w:r>
    </w:p>
    <w:p w:rsidR="00850B27" w:rsidRPr="00DB671B" w:rsidRDefault="00850B27" w:rsidP="00DB671B">
      <w:pPr>
        <w:numPr>
          <w:ilvl w:val="0"/>
          <w:numId w:val="12"/>
        </w:numPr>
        <w:spacing w:line="276" w:lineRule="auto"/>
        <w:rPr>
          <w:rFonts w:cs="Arial"/>
        </w:rPr>
      </w:pPr>
      <w:r w:rsidRPr="00DB671B">
        <w:rPr>
          <w:rFonts w:cs="Arial"/>
        </w:rPr>
        <w:t>Variétés indiquées à titre d’exemple</w:t>
      </w:r>
    </w:p>
    <w:p w:rsidR="00850B27" w:rsidRPr="00DB671B" w:rsidRDefault="00850B27" w:rsidP="00DB671B">
      <w:pPr>
        <w:numPr>
          <w:ilvl w:val="0"/>
          <w:numId w:val="12"/>
        </w:numPr>
        <w:spacing w:line="276" w:lineRule="auto"/>
        <w:rPr>
          <w:rFonts w:cs="Arial"/>
        </w:rPr>
      </w:pPr>
      <w:r w:rsidRPr="00DB671B">
        <w:rPr>
          <w:rFonts w:cs="Arial"/>
        </w:rPr>
        <w:t>Processus d’élaboration des principes directeurs d’examen, y compris modèle de principes directeurs d’examen fondé sur le Web;  texte standard supplémentaire;  et notes indicatives.</w:t>
      </w:r>
    </w:p>
    <w:p w:rsidR="00850B27" w:rsidRPr="00DB671B" w:rsidRDefault="00850B27" w:rsidP="00DB671B">
      <w:pPr>
        <w:numPr>
          <w:ilvl w:val="0"/>
          <w:numId w:val="11"/>
        </w:numPr>
        <w:spacing w:line="276" w:lineRule="auto"/>
        <w:rPr>
          <w:rFonts w:cs="Arial"/>
        </w:rPr>
      </w:pPr>
      <w:r w:rsidRPr="00DB671B">
        <w:rPr>
          <w:rFonts w:cs="Arial"/>
        </w:rPr>
        <w:t>Procédure d’adoption des principes directeurs d’examen par correspondance</w:t>
      </w:r>
    </w:p>
    <w:p w:rsidR="00850B27" w:rsidRPr="00DB671B" w:rsidRDefault="00850B27" w:rsidP="00DB671B">
      <w:pPr>
        <w:numPr>
          <w:ilvl w:val="0"/>
          <w:numId w:val="11"/>
        </w:numPr>
        <w:spacing w:line="276" w:lineRule="auto"/>
        <w:rPr>
          <w:rFonts w:cs="Arial"/>
        </w:rPr>
      </w:pPr>
      <w:r w:rsidRPr="00DB671B">
        <w:rPr>
          <w:rFonts w:cs="Arial"/>
        </w:rPr>
        <w:t>Rôle de l’expert principal qui rédige les principes directeurs d’examen et informations sur sa participation en qualité d’expert intéressé</w:t>
      </w:r>
    </w:p>
    <w:p w:rsidR="00850B27" w:rsidRPr="00DB671B" w:rsidRDefault="00850B27" w:rsidP="00DB671B">
      <w:pPr>
        <w:numPr>
          <w:ilvl w:val="0"/>
          <w:numId w:val="11"/>
        </w:numPr>
        <w:spacing w:line="276" w:lineRule="auto"/>
        <w:rPr>
          <w:rFonts w:cs="Arial"/>
        </w:rPr>
      </w:pPr>
      <w:r w:rsidRPr="00DB671B">
        <w:rPr>
          <w:rFonts w:cs="Arial"/>
        </w:rPr>
        <w:t>Possibilités de coopération internationale en matière d’examen DHS</w:t>
      </w:r>
    </w:p>
    <w:p w:rsidR="00850B27" w:rsidRPr="00DB671B" w:rsidRDefault="00850B27" w:rsidP="00DB671B">
      <w:pPr>
        <w:numPr>
          <w:ilvl w:val="0"/>
          <w:numId w:val="11"/>
        </w:numPr>
        <w:spacing w:line="276" w:lineRule="auto"/>
        <w:rPr>
          <w:rFonts w:cs="Arial"/>
        </w:rPr>
      </w:pPr>
      <w:r w:rsidRPr="00DB671B">
        <w:rPr>
          <w:rFonts w:cs="Arial"/>
        </w:rPr>
        <w:t>Ordre du jour de la session du TWP</w:t>
      </w:r>
    </w:p>
    <w:p w:rsidR="00850B27" w:rsidRPr="00DB671B" w:rsidRDefault="00850B27" w:rsidP="00DB671B">
      <w:pPr>
        <w:numPr>
          <w:ilvl w:val="0"/>
          <w:numId w:val="11"/>
        </w:numPr>
        <w:spacing w:line="276" w:lineRule="auto"/>
        <w:rPr>
          <w:rFonts w:cs="Arial"/>
        </w:rPr>
      </w:pPr>
      <w:r w:rsidRPr="00DB671B">
        <w:rPr>
          <w:rFonts w:cs="Arial"/>
        </w:rPr>
        <w:t>Réactions des participants</w:t>
      </w:r>
    </w:p>
    <w:p w:rsidR="00850B27" w:rsidRPr="00DB671B" w:rsidRDefault="00850B27" w:rsidP="00DB671B">
      <w:pPr>
        <w:rPr>
          <w:rFonts w:cs="Arial"/>
          <w:highlight w:val="yellow"/>
        </w:rPr>
      </w:pPr>
    </w:p>
    <w:p w:rsidR="00850B27" w:rsidRPr="00DB671B" w:rsidRDefault="00850B27" w:rsidP="00DB671B">
      <w:pPr>
        <w:keepNext/>
        <w:keepLines/>
        <w:rPr>
          <w:rFonts w:cs="Arial"/>
        </w:rPr>
      </w:pPr>
      <w:r w:rsidRPr="00DB671B">
        <w:rPr>
          <w:rFonts w:cs="Arial"/>
        </w:rPr>
        <w:fldChar w:fldCharType="begin"/>
      </w:r>
      <w:r w:rsidRPr="00DB671B">
        <w:rPr>
          <w:rFonts w:cs="Arial"/>
        </w:rPr>
        <w:instrText xml:space="preserve"> AUTONUM  </w:instrText>
      </w:r>
      <w:r w:rsidRPr="00DB671B">
        <w:rPr>
          <w:rFonts w:cs="Arial"/>
        </w:rPr>
        <w:fldChar w:fldCharType="end"/>
      </w:r>
      <w:r w:rsidRPr="00DB671B">
        <w:rPr>
          <w:rFonts w:cs="Arial"/>
        </w:rPr>
        <w:tab/>
        <w:t>Le TC convient que les éléments ci-après soient présentés comme une introduction aux points de l’ordre du jour correspondants au cours du déroulement normal des sessions du TWC et du BMT en 2020 :</w:t>
      </w:r>
    </w:p>
    <w:p w:rsidR="00850B27" w:rsidRPr="00DB671B" w:rsidRDefault="00850B27" w:rsidP="00DB671B">
      <w:pPr>
        <w:keepNext/>
        <w:keepLines/>
        <w:rPr>
          <w:rFonts w:cs="Arial"/>
        </w:rPr>
      </w:pPr>
    </w:p>
    <w:p w:rsidR="00850B27" w:rsidRPr="00DB671B" w:rsidRDefault="00850B27" w:rsidP="00DB671B">
      <w:pPr>
        <w:keepNext/>
        <w:keepLines/>
        <w:numPr>
          <w:ilvl w:val="0"/>
          <w:numId w:val="9"/>
        </w:numPr>
        <w:spacing w:line="276" w:lineRule="auto"/>
        <w:rPr>
          <w:rFonts w:cs="Arial"/>
        </w:rPr>
      </w:pPr>
      <w:r w:rsidRPr="00DB671B">
        <w:rPr>
          <w:rFonts w:cs="Arial"/>
        </w:rPr>
        <w:t>Présentation de l’UPOV et du rôle des groupes de travail techniques (TWP) et du BMT</w:t>
      </w:r>
    </w:p>
    <w:p w:rsidR="00850B27" w:rsidRPr="00DB671B" w:rsidRDefault="00850B27" w:rsidP="00DB671B">
      <w:pPr>
        <w:keepNext/>
        <w:keepLines/>
        <w:numPr>
          <w:ilvl w:val="0"/>
          <w:numId w:val="9"/>
        </w:numPr>
        <w:spacing w:line="276" w:lineRule="auto"/>
        <w:ind w:left="1134" w:hanging="567"/>
        <w:rPr>
          <w:rFonts w:cs="Arial"/>
        </w:rPr>
      </w:pPr>
      <w:r w:rsidRPr="00DB671B">
        <w:rPr>
          <w:rFonts w:cs="Arial"/>
        </w:rPr>
        <w:t>Aperçu de l’introduction générale (document TG/1/3 et des documents TGP)</w:t>
      </w:r>
    </w:p>
    <w:p w:rsidR="00850B27" w:rsidRPr="00DB671B" w:rsidRDefault="00850B27" w:rsidP="00DB671B">
      <w:pPr>
        <w:keepNext/>
        <w:keepLines/>
        <w:numPr>
          <w:ilvl w:val="0"/>
          <w:numId w:val="9"/>
        </w:numPr>
        <w:spacing w:line="276" w:lineRule="auto"/>
        <w:ind w:left="1134" w:hanging="567"/>
        <w:rPr>
          <w:rFonts w:cs="Arial"/>
        </w:rPr>
      </w:pPr>
      <w:r w:rsidRPr="00DB671B">
        <w:rPr>
          <w:rFonts w:cs="Arial"/>
        </w:rPr>
        <w:t>Aperçu des essais DHS et des principes directeurs d’examen</w:t>
      </w:r>
    </w:p>
    <w:p w:rsidR="00850B27" w:rsidRPr="00DB671B" w:rsidRDefault="00850B27" w:rsidP="00DB671B">
      <w:pPr>
        <w:keepNext/>
        <w:keepLines/>
        <w:numPr>
          <w:ilvl w:val="0"/>
          <w:numId w:val="9"/>
        </w:numPr>
        <w:spacing w:line="276" w:lineRule="auto"/>
        <w:ind w:left="1134" w:hanging="567"/>
        <w:rPr>
          <w:rFonts w:cs="Arial"/>
        </w:rPr>
      </w:pPr>
      <w:r w:rsidRPr="00DB671B">
        <w:rPr>
          <w:rFonts w:cs="Arial"/>
        </w:rPr>
        <w:t>Ressources en ligne de l’UPOV</w:t>
      </w:r>
    </w:p>
    <w:p w:rsidR="00850B27" w:rsidRPr="00DB671B" w:rsidRDefault="00850B27" w:rsidP="00DB671B">
      <w:pPr>
        <w:numPr>
          <w:ilvl w:val="2"/>
          <w:numId w:val="10"/>
        </w:numPr>
        <w:spacing w:line="276" w:lineRule="auto"/>
        <w:ind w:left="1701" w:hanging="567"/>
        <w:rPr>
          <w:rFonts w:cs="Arial"/>
        </w:rPr>
      </w:pPr>
      <w:r w:rsidRPr="00DB671B">
        <w:rPr>
          <w:rFonts w:cs="Arial"/>
        </w:rPr>
        <w:t>Législations des membres de l’UPOV : UPOV Lex, base de données GENIE</w:t>
      </w:r>
    </w:p>
    <w:p w:rsidR="00850B27" w:rsidRPr="00DB671B" w:rsidRDefault="00850B27" w:rsidP="00DB671B">
      <w:pPr>
        <w:numPr>
          <w:ilvl w:val="2"/>
          <w:numId w:val="10"/>
        </w:numPr>
        <w:spacing w:line="276" w:lineRule="auto"/>
        <w:ind w:left="1701" w:hanging="567"/>
        <w:rPr>
          <w:rFonts w:cs="Arial"/>
          <w:spacing w:val="-2"/>
        </w:rPr>
      </w:pPr>
      <w:r w:rsidRPr="00DB671B">
        <w:rPr>
          <w:rFonts w:cs="Arial"/>
          <w:spacing w:val="-2"/>
        </w:rPr>
        <w:t>Demandes de droit d’obtenteur : l’outil de demande de droit d’obtenteur UPOV PRISMA</w:t>
      </w:r>
    </w:p>
    <w:p w:rsidR="00850B27" w:rsidRPr="00DB671B" w:rsidRDefault="00850B27" w:rsidP="00DB671B">
      <w:pPr>
        <w:numPr>
          <w:ilvl w:val="2"/>
          <w:numId w:val="10"/>
        </w:numPr>
        <w:spacing w:line="276" w:lineRule="auto"/>
        <w:ind w:left="1701" w:hanging="567"/>
        <w:rPr>
          <w:rFonts w:cs="Arial"/>
          <w:spacing w:val="-2"/>
        </w:rPr>
      </w:pPr>
      <w:r w:rsidRPr="00DB671B">
        <w:rPr>
          <w:rFonts w:cs="Arial"/>
          <w:spacing w:val="-2"/>
        </w:rPr>
        <w:t>Examen DHS : base de données GENIE, modèle de principes directeurs d’examen fondé sur le Web, Code UPOV</w:t>
      </w:r>
    </w:p>
    <w:p w:rsidR="00850B27" w:rsidRPr="00DB671B" w:rsidRDefault="00850B27" w:rsidP="00DB671B">
      <w:pPr>
        <w:numPr>
          <w:ilvl w:val="2"/>
          <w:numId w:val="10"/>
        </w:numPr>
        <w:spacing w:line="276" w:lineRule="auto"/>
        <w:ind w:left="1701" w:hanging="567"/>
        <w:rPr>
          <w:rFonts w:cs="Arial"/>
          <w:spacing w:val="-2"/>
        </w:rPr>
      </w:pPr>
      <w:r w:rsidRPr="00DB671B">
        <w:rPr>
          <w:rFonts w:cs="Arial"/>
          <w:spacing w:val="-2"/>
        </w:rPr>
        <w:t>Dénomination variétale/nouveauté : base de données PLUTO</w:t>
      </w:r>
    </w:p>
    <w:p w:rsidR="00850B27" w:rsidRPr="00DB671B" w:rsidRDefault="00850B27" w:rsidP="00DB671B">
      <w:pPr>
        <w:keepNext/>
        <w:numPr>
          <w:ilvl w:val="0"/>
          <w:numId w:val="9"/>
        </w:numPr>
        <w:spacing w:line="276" w:lineRule="auto"/>
        <w:rPr>
          <w:rFonts w:cs="Arial"/>
        </w:rPr>
      </w:pPr>
      <w:r w:rsidRPr="00DB671B">
        <w:rPr>
          <w:rFonts w:cs="Arial"/>
        </w:rPr>
        <w:t>Situation à l’UPOV concernant l’utilisation éventuelle de techniques moléculaires dans l’examen DHS</w:t>
      </w:r>
    </w:p>
    <w:p w:rsidR="00850B27" w:rsidRPr="00DB671B" w:rsidRDefault="00850B27" w:rsidP="00DB671B">
      <w:pPr>
        <w:keepNext/>
        <w:numPr>
          <w:ilvl w:val="0"/>
          <w:numId w:val="9"/>
        </w:numPr>
        <w:spacing w:line="276" w:lineRule="auto"/>
        <w:rPr>
          <w:rFonts w:cs="Arial"/>
        </w:rPr>
      </w:pPr>
      <w:r w:rsidRPr="00DB671B">
        <w:rPr>
          <w:rFonts w:cs="Arial"/>
        </w:rPr>
        <w:t>La notion de variétés essentiellement dérivées</w:t>
      </w:r>
    </w:p>
    <w:p w:rsidR="00850B27" w:rsidRPr="00DB671B" w:rsidRDefault="00850B27" w:rsidP="00DB671B">
      <w:pPr>
        <w:keepNext/>
        <w:numPr>
          <w:ilvl w:val="0"/>
          <w:numId w:val="9"/>
        </w:numPr>
        <w:spacing w:line="276" w:lineRule="auto"/>
        <w:rPr>
          <w:rFonts w:cs="Arial"/>
        </w:rPr>
      </w:pPr>
      <w:r w:rsidRPr="00DB671B">
        <w:rPr>
          <w:rFonts w:cs="Arial"/>
        </w:rPr>
        <w:t>Le rôle de l’UPOV dans l’identification des variétés</w:t>
      </w:r>
    </w:p>
    <w:p w:rsidR="00850B27" w:rsidRPr="00DB671B" w:rsidRDefault="00850B27" w:rsidP="00DB671B">
      <w:pPr>
        <w:keepNext/>
        <w:numPr>
          <w:ilvl w:val="0"/>
          <w:numId w:val="9"/>
        </w:numPr>
        <w:spacing w:line="276" w:lineRule="auto"/>
      </w:pPr>
      <w:r w:rsidRPr="00DB671B">
        <w:t>Ordre du jour des sessions du TWC et du BMT</w:t>
      </w:r>
    </w:p>
    <w:p w:rsidR="00850B27" w:rsidRPr="00DB671B" w:rsidRDefault="00850B27" w:rsidP="00DB671B"/>
    <w:p w:rsidR="00850B27" w:rsidRPr="00DB671B" w:rsidRDefault="00850B27" w:rsidP="00DB671B"/>
    <w:p w:rsidR="00850B27" w:rsidRPr="00DB671B" w:rsidRDefault="00850B27" w:rsidP="00DB671B">
      <w:pPr>
        <w:pStyle w:val="Heading2"/>
        <w:rPr>
          <w:lang w:val="fr-FR"/>
        </w:rPr>
      </w:pPr>
      <w:r w:rsidRPr="00DB671B">
        <w:rPr>
          <w:lang w:val="fr-FR"/>
        </w:rPr>
        <w:t>Questions concernant les descriptions variétales</w:t>
      </w:r>
    </w:p>
    <w:p w:rsidR="00850B27" w:rsidRPr="00DB671B" w:rsidRDefault="00850B27" w:rsidP="00DB671B">
      <w:pPr>
        <w:keepNext/>
      </w:pPr>
    </w:p>
    <w:p w:rsidR="00850B27" w:rsidRPr="00DB671B" w:rsidRDefault="00850B27" w:rsidP="00DB671B">
      <w:pPr>
        <w:keepNext/>
      </w:pPr>
      <w:r w:rsidRPr="00DB671B">
        <w:fldChar w:fldCharType="begin"/>
      </w:r>
      <w:r w:rsidRPr="00DB671B">
        <w:instrText xml:space="preserve"> AUTONUM  </w:instrText>
      </w:r>
      <w:r w:rsidRPr="00DB671B">
        <w:fldChar w:fldCharType="end"/>
      </w:r>
      <w:r w:rsidRPr="00DB671B">
        <w:tab/>
        <w:t>Le TC examine le document TC/55/11.</w:t>
      </w:r>
    </w:p>
    <w:p w:rsidR="00850B27" w:rsidRPr="00DB671B" w:rsidRDefault="00850B27" w:rsidP="00DB671B"/>
    <w:p w:rsidR="00850B27" w:rsidRPr="00DB671B" w:rsidRDefault="00850B27" w:rsidP="00DB671B">
      <w:r w:rsidRPr="00DB671B">
        <w:fldChar w:fldCharType="begin"/>
      </w:r>
      <w:r w:rsidRPr="00DB671B">
        <w:instrText xml:space="preserve"> AUTONUM  </w:instrText>
      </w:r>
      <w:r w:rsidRPr="00DB671B">
        <w:fldChar w:fldCharType="end"/>
      </w:r>
      <w:r w:rsidRPr="00DB671B">
        <w:tab/>
        <w:t>Le TC convient de proposer la révision du document TGP/5 : Section 6 “Rapport UPOV d’examen technique et Formulaire UPOV de description variétale”, sur la base de la proposition figurant dans l’annexe du document TC/55/11.</w:t>
      </w:r>
    </w:p>
    <w:p w:rsidR="00850B27" w:rsidRPr="00DB671B" w:rsidRDefault="00850B27" w:rsidP="00DB671B"/>
    <w:p w:rsidR="00850B27" w:rsidRPr="00DB671B" w:rsidRDefault="00850B27" w:rsidP="00DB671B"/>
    <w:p w:rsidR="00850B27" w:rsidRPr="00DB671B" w:rsidRDefault="00850B27" w:rsidP="00DB671B">
      <w:pPr>
        <w:pStyle w:val="Heading2"/>
        <w:rPr>
          <w:lang w:val="fr-FR"/>
        </w:rPr>
      </w:pPr>
      <w:r w:rsidRPr="00DB671B">
        <w:rPr>
          <w:lang w:val="fr-FR"/>
        </w:rPr>
        <w:t>Renforcement de la participation des nouveaux membres de l’Union aux travaux du TC et des TWP</w:t>
      </w:r>
    </w:p>
    <w:p w:rsidR="00850B27" w:rsidRPr="00DB671B" w:rsidRDefault="00850B27" w:rsidP="00DB671B">
      <w:pPr>
        <w:keepNext/>
      </w:pPr>
    </w:p>
    <w:p w:rsidR="00850B27" w:rsidRPr="00DB671B" w:rsidRDefault="00850B27" w:rsidP="00DB671B">
      <w:pPr>
        <w:keepNext/>
      </w:pPr>
      <w:r w:rsidRPr="00DB671B">
        <w:fldChar w:fldCharType="begin"/>
      </w:r>
      <w:r w:rsidRPr="00DB671B">
        <w:instrText xml:space="preserve"> AUTONUM  </w:instrText>
      </w:r>
      <w:r w:rsidRPr="00DB671B">
        <w:fldChar w:fldCharType="end"/>
      </w:r>
      <w:r w:rsidRPr="00DB671B">
        <w:tab/>
        <w:t>Le TC examine le document TC/55/24.</w:t>
      </w:r>
    </w:p>
    <w:p w:rsidR="00850B27" w:rsidRPr="00DB671B" w:rsidRDefault="00850B27" w:rsidP="00DB671B">
      <w:pPr>
        <w:pStyle w:val="ListParagraph"/>
        <w:ind w:left="0"/>
        <w:rPr>
          <w:rFonts w:eastAsiaTheme="minorEastAsia" w:cs="Arial"/>
          <w:snapToGrid w:val="0"/>
          <w:lang w:eastAsia="ja-JP"/>
        </w:rPr>
      </w:pPr>
    </w:p>
    <w:p w:rsidR="00850B27" w:rsidRPr="00DB671B" w:rsidRDefault="00850B27" w:rsidP="00DB671B">
      <w:pPr>
        <w:pStyle w:val="Heading3"/>
        <w:rPr>
          <w:rFonts w:eastAsiaTheme="minorEastAsia" w:cs="Arial"/>
          <w:lang w:val="fr-FR" w:eastAsia="ja-JP"/>
        </w:rPr>
      </w:pPr>
      <w:r w:rsidRPr="00DB671B">
        <w:rPr>
          <w:rFonts w:eastAsiaTheme="minorEastAsia" w:cs="Arial"/>
          <w:lang w:val="fr-FR" w:eastAsia="ja-JP"/>
        </w:rPr>
        <w:t>Courriers d’invitation</w:t>
      </w:r>
    </w:p>
    <w:p w:rsidR="00850B27" w:rsidRPr="00DB671B" w:rsidRDefault="00850B27" w:rsidP="00DB671B">
      <w:pPr>
        <w:pStyle w:val="ListParagraph"/>
        <w:ind w:left="0"/>
        <w:rPr>
          <w:rFonts w:eastAsiaTheme="minorEastAsia" w:cs="Arial"/>
          <w:snapToGrid w:val="0"/>
          <w:lang w:eastAsia="ja-JP"/>
        </w:rPr>
      </w:pPr>
    </w:p>
    <w:p w:rsidR="00850B27" w:rsidRPr="00DB671B" w:rsidRDefault="00850B27" w:rsidP="00DB671B">
      <w:pPr>
        <w:pStyle w:val="ListParagraph"/>
        <w:ind w:left="0"/>
        <w:rPr>
          <w:rFonts w:eastAsiaTheme="minorEastAsia" w:cs="Arial"/>
          <w:snapToGrid w:val="0"/>
          <w:lang w:eastAsia="ja-JP"/>
        </w:rPr>
      </w:pPr>
      <w:r w:rsidRPr="00DB671B">
        <w:rPr>
          <w:rFonts w:eastAsiaTheme="minorEastAsia" w:cs="Arial"/>
          <w:snapToGrid w:val="0"/>
          <w:lang w:eastAsia="ja-JP"/>
        </w:rPr>
        <w:fldChar w:fldCharType="begin"/>
      </w:r>
      <w:r w:rsidRPr="00DB671B">
        <w:rPr>
          <w:rFonts w:eastAsiaTheme="minorEastAsia" w:cs="Arial"/>
          <w:snapToGrid w:val="0"/>
          <w:lang w:eastAsia="ja-JP"/>
        </w:rPr>
        <w:instrText xml:space="preserve"> AUTONUM  </w:instrText>
      </w:r>
      <w:r w:rsidRPr="00DB671B">
        <w:rPr>
          <w:rFonts w:eastAsiaTheme="minorEastAsia" w:cs="Arial"/>
          <w:snapToGrid w:val="0"/>
          <w:lang w:eastAsia="ja-JP"/>
        </w:rPr>
        <w:fldChar w:fldCharType="end"/>
      </w:r>
      <w:r w:rsidRPr="00DB671B">
        <w:rPr>
          <w:rFonts w:eastAsiaTheme="minorEastAsia" w:cs="Arial"/>
          <w:snapToGrid w:val="0"/>
          <w:lang w:eastAsia="ja-JP"/>
        </w:rPr>
        <w:tab/>
        <w:t xml:space="preserve">Le TC convient que les courriers d’invitation aux réunions des TWP devraient être envoyés plus tôt que les trois mois prévus actuellement et que la “Note d’orientation pour les hôtes des TWP” devrait indiquer un délai d’au moins six mois.  </w:t>
      </w:r>
    </w:p>
    <w:p w:rsidR="00850B27" w:rsidRPr="00DB671B" w:rsidRDefault="00850B27" w:rsidP="00DB671B"/>
    <w:p w:rsidR="00850B27" w:rsidRPr="00DB671B" w:rsidRDefault="00850B27" w:rsidP="00DB671B">
      <w:r w:rsidRPr="00DB671B">
        <w:fldChar w:fldCharType="begin"/>
      </w:r>
      <w:r w:rsidRPr="00DB671B">
        <w:instrText xml:space="preserve"> AUTONUM  </w:instrText>
      </w:r>
      <w:r w:rsidRPr="00DB671B">
        <w:fldChar w:fldCharType="end"/>
      </w:r>
      <w:r w:rsidRPr="00DB671B">
        <w:tab/>
        <w:t>Le TC convient d’inviter le Bureau de l’Union à rédiger une brève description du rôle essentiel des travaux des TWP, qui accompagnera les courriers d’invitation aux sessions des TWP.</w:t>
      </w:r>
    </w:p>
    <w:p w:rsidR="00850B27" w:rsidRPr="00DB671B" w:rsidRDefault="00850B27" w:rsidP="00DB671B"/>
    <w:p w:rsidR="00850B27" w:rsidRPr="00DB671B" w:rsidRDefault="00850B27" w:rsidP="00DB671B">
      <w:pPr>
        <w:pStyle w:val="Heading3"/>
        <w:rPr>
          <w:lang w:val="fr-FR"/>
        </w:rPr>
      </w:pPr>
      <w:r w:rsidRPr="00DB671B">
        <w:rPr>
          <w:lang w:val="fr-FR"/>
        </w:rPr>
        <w:t>Organisation d’un séminaire à Genève</w:t>
      </w:r>
    </w:p>
    <w:p w:rsidR="00850B27" w:rsidRPr="00DB671B" w:rsidRDefault="00850B27" w:rsidP="00DB671B">
      <w:pPr>
        <w:keepNext/>
      </w:pPr>
    </w:p>
    <w:p w:rsidR="00850B27" w:rsidRPr="00DB671B" w:rsidRDefault="00850B27" w:rsidP="00DB671B">
      <w:pPr>
        <w:keepNext/>
      </w:pPr>
      <w:r w:rsidRPr="00DB671B">
        <w:fldChar w:fldCharType="begin"/>
      </w:r>
      <w:r w:rsidRPr="00DB671B">
        <w:instrText xml:space="preserve"> AUTONUM  </w:instrText>
      </w:r>
      <w:r w:rsidRPr="00DB671B">
        <w:fldChar w:fldCharType="end"/>
      </w:r>
      <w:r w:rsidRPr="00DB671B">
        <w:tab/>
        <w:t xml:space="preserve">Le TC étudie la possibilité d’organiser un séminaire pour faire connaître l’importance des activités techniques menées à l’UPOV et convient d’examiner plus avant le but de ce séminaire et le public visé avant d’approfondir cette idée.  </w:t>
      </w:r>
    </w:p>
    <w:p w:rsidR="00850B27" w:rsidRPr="00DB671B" w:rsidRDefault="00850B27" w:rsidP="00DB671B"/>
    <w:p w:rsidR="00850B27" w:rsidRPr="00DB671B" w:rsidRDefault="00850B27" w:rsidP="00DB671B">
      <w:pPr>
        <w:pStyle w:val="Heading3"/>
        <w:rPr>
          <w:lang w:val="fr-FR"/>
        </w:rPr>
      </w:pPr>
      <w:r w:rsidRPr="00DB671B">
        <w:rPr>
          <w:lang w:val="fr-FR"/>
        </w:rPr>
        <w:t>Participation aux réunions du TC et des TWP par voie électronique</w:t>
      </w:r>
    </w:p>
    <w:p w:rsidR="00850B27" w:rsidRPr="00DB671B" w:rsidRDefault="00850B27" w:rsidP="00DB671B">
      <w:pPr>
        <w:keepNext/>
      </w:pPr>
    </w:p>
    <w:p w:rsidR="00850B27" w:rsidRPr="00DB671B" w:rsidRDefault="00850B27" w:rsidP="00DB671B">
      <w:pPr>
        <w:keepNext/>
      </w:pPr>
      <w:r w:rsidRPr="00DB671B">
        <w:fldChar w:fldCharType="begin"/>
      </w:r>
      <w:r w:rsidRPr="00DB671B">
        <w:instrText xml:space="preserve"> AUTONUM  </w:instrText>
      </w:r>
      <w:r w:rsidRPr="00DB671B">
        <w:fldChar w:fldCharType="end"/>
      </w:r>
      <w:r w:rsidRPr="00DB671B">
        <w:tab/>
        <w:t xml:space="preserve">Le TC note que les invitations aux réunions de 2019 des TWP invitaient les destinataires à indiquer les sujets auxquels ils souhaiteraient participer par voie électronique.  </w:t>
      </w:r>
    </w:p>
    <w:p w:rsidR="00850B27" w:rsidRPr="00DB671B" w:rsidRDefault="00850B27" w:rsidP="00DB671B"/>
    <w:p w:rsidR="00850B27" w:rsidRPr="00DB671B" w:rsidRDefault="00850B27" w:rsidP="00DB671B"/>
    <w:p w:rsidR="00850B27" w:rsidRPr="00DB671B" w:rsidRDefault="00850B27" w:rsidP="00DB671B">
      <w:pPr>
        <w:pStyle w:val="Heading2"/>
        <w:rPr>
          <w:lang w:val="fr-FR"/>
        </w:rPr>
      </w:pPr>
      <w:r w:rsidRPr="00DB671B">
        <w:rPr>
          <w:lang w:val="fr-FR"/>
        </w:rPr>
        <w:t>Dénominations variétales</w:t>
      </w:r>
    </w:p>
    <w:p w:rsidR="00850B27" w:rsidRPr="00DB671B" w:rsidRDefault="00850B27" w:rsidP="00DB671B">
      <w:pPr>
        <w:keepNext/>
      </w:pPr>
    </w:p>
    <w:p w:rsidR="00850B27" w:rsidRPr="00DB671B" w:rsidRDefault="00850B27" w:rsidP="00DB671B">
      <w:pPr>
        <w:keepNext/>
      </w:pPr>
      <w:r w:rsidRPr="00DB671B">
        <w:fldChar w:fldCharType="begin"/>
      </w:r>
      <w:r w:rsidRPr="00DB671B">
        <w:instrText xml:space="preserve"> AUTONUM  </w:instrText>
      </w:r>
      <w:r w:rsidRPr="00DB671B">
        <w:fldChar w:fldCharType="end"/>
      </w:r>
      <w:r w:rsidRPr="00DB671B">
        <w:tab/>
        <w:t>Le TC examine les documents TC/55/8 et TC/55/8 Add.</w:t>
      </w:r>
    </w:p>
    <w:p w:rsidR="00850B27" w:rsidRPr="00DB671B" w:rsidRDefault="00850B27" w:rsidP="00DB671B"/>
    <w:p w:rsidR="00850B27" w:rsidRPr="00DB671B" w:rsidRDefault="00850B27" w:rsidP="00DB671B">
      <w:pPr>
        <w:rPr>
          <w:rFonts w:eastAsiaTheme="minorEastAsia"/>
          <w:snapToGrid w:val="0"/>
          <w:highlight w:val="yellow"/>
          <w:lang w:eastAsia="ja-JP"/>
        </w:rPr>
      </w:pPr>
      <w:r w:rsidRPr="00DB671B">
        <w:fldChar w:fldCharType="begin"/>
      </w:r>
      <w:r w:rsidRPr="00DB671B">
        <w:instrText xml:space="preserve"> AUTONUM  </w:instrText>
      </w:r>
      <w:r w:rsidRPr="00DB671B">
        <w:fldChar w:fldCharType="end"/>
      </w:r>
      <w:r w:rsidRPr="00DB671B">
        <w:tab/>
        <w:t>Le TC prend note des observations formulées par les TWP et approuve la proposition de révision de la liste des classes dans le document UPOV/INF/12/5, comme suit :</w:t>
      </w:r>
    </w:p>
    <w:p w:rsidR="00850B27" w:rsidRPr="00DB671B" w:rsidRDefault="00850B27" w:rsidP="00DB671B"/>
    <w:p w:rsidR="00850B27" w:rsidRPr="00DB671B" w:rsidRDefault="00850B27" w:rsidP="00DB671B">
      <w:pPr>
        <w:numPr>
          <w:ilvl w:val="0"/>
          <w:numId w:val="14"/>
        </w:numPr>
        <w:ind w:left="1134" w:hanging="567"/>
        <w:contextualSpacing/>
      </w:pPr>
      <w:r w:rsidRPr="00DB671B">
        <w:t>Proposition de division de la classe 205 actuelle (</w:t>
      </w:r>
      <w:r w:rsidRPr="00DB671B">
        <w:rPr>
          <w:i/>
        </w:rPr>
        <w:t>Cichorium et Lactuca</w:t>
      </w:r>
      <w:r w:rsidRPr="00DB671B">
        <w:t>) en deux nouvelles classes :</w:t>
      </w:r>
    </w:p>
    <w:p w:rsidR="00850B27" w:rsidRPr="00DB671B" w:rsidRDefault="00850B27" w:rsidP="00DB671B">
      <w:pPr>
        <w:ind w:left="1134" w:hanging="567"/>
      </w:pPr>
      <w:r w:rsidRPr="00DB671B">
        <w:t>•</w:t>
      </w:r>
      <w:r w:rsidRPr="00DB671B">
        <w:tab/>
        <w:t xml:space="preserve">Classe : Lactuca – </w:t>
      </w:r>
      <w:r w:rsidRPr="00DB671B">
        <w:rPr>
          <w:i/>
        </w:rPr>
        <w:t>Cichorium endivia</w:t>
      </w:r>
      <w:r w:rsidRPr="00DB671B">
        <w:t xml:space="preserve"> (frisée et scarole), </w:t>
      </w:r>
      <w:r w:rsidRPr="00DB671B">
        <w:rPr>
          <w:i/>
        </w:rPr>
        <w:t>Cichorium intybus</w:t>
      </w:r>
      <w:r w:rsidRPr="00DB671B">
        <w:t xml:space="preserve"> var. (endive/witloof et chicorées italiennes)</w:t>
      </w:r>
    </w:p>
    <w:p w:rsidR="00850B27" w:rsidRPr="00DB671B" w:rsidRDefault="00850B27" w:rsidP="00DB671B">
      <w:pPr>
        <w:ind w:left="1134" w:hanging="567"/>
      </w:pPr>
      <w:r w:rsidRPr="00DB671B">
        <w:t>•</w:t>
      </w:r>
      <w:r w:rsidRPr="00DB671B">
        <w:tab/>
        <w:t xml:space="preserve">Classe : </w:t>
      </w:r>
      <w:r w:rsidRPr="00DB671B">
        <w:rPr>
          <w:i/>
        </w:rPr>
        <w:t>Cichorium intybus</w:t>
      </w:r>
      <w:r w:rsidRPr="00DB671B">
        <w:t xml:space="preserve"> var. </w:t>
      </w:r>
      <w:r w:rsidRPr="00DB671B">
        <w:rPr>
          <w:i/>
        </w:rPr>
        <w:t xml:space="preserve">sativum </w:t>
      </w:r>
      <w:r w:rsidRPr="00DB671B">
        <w:t>(chicorée industrielle)</w:t>
      </w:r>
    </w:p>
    <w:p w:rsidR="00850B27" w:rsidRPr="00DB671B" w:rsidRDefault="00850B27" w:rsidP="00DB671B">
      <w:pPr>
        <w:ind w:left="1134" w:hanging="567"/>
      </w:pPr>
    </w:p>
    <w:p w:rsidR="00850B27" w:rsidRPr="00DB671B" w:rsidRDefault="00850B27" w:rsidP="00DB671B">
      <w:pPr>
        <w:ind w:left="1134" w:hanging="567"/>
        <w:jc w:val="left"/>
      </w:pPr>
      <w:r w:rsidRPr="00DB671B">
        <w:t>b)</w:t>
      </w:r>
      <w:r w:rsidRPr="00DB671B">
        <w:tab/>
        <w:t>Proposition d’ajout du genre</w:t>
      </w:r>
      <w:r w:rsidRPr="00DB671B">
        <w:rPr>
          <w:i/>
        </w:rPr>
        <w:t xml:space="preserve"> Epichloe</w:t>
      </w:r>
      <w:r w:rsidRPr="00DB671B">
        <w:t xml:space="preserve"> (anciennement </w:t>
      </w:r>
      <w:r w:rsidRPr="00DB671B">
        <w:rPr>
          <w:i/>
        </w:rPr>
        <w:t>Neotyphodium</w:t>
      </w:r>
      <w:r w:rsidRPr="00DB671B">
        <w:t>) à la classe 203 (</w:t>
      </w:r>
      <w:r w:rsidRPr="00DB671B">
        <w:rPr>
          <w:i/>
        </w:rPr>
        <w:t xml:space="preserve">Agrostis, Dactylis, Festuca, Festulolium, Lolium, Phalaris, Phleum </w:t>
      </w:r>
      <w:r w:rsidRPr="00DB671B">
        <w:t xml:space="preserve">et </w:t>
      </w:r>
      <w:r w:rsidRPr="00DB671B">
        <w:rPr>
          <w:i/>
        </w:rPr>
        <w:t>Poa</w:t>
      </w:r>
      <w:r w:rsidRPr="00DB671B">
        <w:t>)</w:t>
      </w:r>
    </w:p>
    <w:p w:rsidR="00850B27" w:rsidRPr="00DB671B" w:rsidRDefault="00850B27" w:rsidP="00DB671B"/>
    <w:p w:rsidR="00850B27" w:rsidRPr="00DB671B" w:rsidRDefault="00850B27" w:rsidP="00DB671B"/>
    <w:p w:rsidR="00850B27" w:rsidRPr="00DB671B" w:rsidRDefault="00850B27" w:rsidP="00DB671B">
      <w:pPr>
        <w:pStyle w:val="Heading2"/>
        <w:rPr>
          <w:lang w:val="fr-FR"/>
        </w:rPr>
      </w:pPr>
      <w:r w:rsidRPr="00DB671B">
        <w:rPr>
          <w:lang w:val="fr-FR"/>
        </w:rPr>
        <w:t>Principes directeurs d’examen</w:t>
      </w:r>
    </w:p>
    <w:p w:rsidR="00850B27" w:rsidRPr="00DB671B" w:rsidRDefault="00850B27" w:rsidP="00DB671B">
      <w:pPr>
        <w:keepNext/>
      </w:pPr>
    </w:p>
    <w:p w:rsidR="00850B27" w:rsidRPr="00DB671B" w:rsidRDefault="00850B27" w:rsidP="00DB671B">
      <w:pPr>
        <w:keepNext/>
        <w:ind w:left="567" w:hanging="567"/>
      </w:pPr>
      <w:r w:rsidRPr="00DB671B">
        <w:fldChar w:fldCharType="begin"/>
      </w:r>
      <w:r w:rsidRPr="00DB671B">
        <w:instrText xml:space="preserve"> AUTONUM  </w:instrText>
      </w:r>
      <w:r w:rsidRPr="00DB671B">
        <w:fldChar w:fldCharType="end"/>
      </w:r>
      <w:r w:rsidRPr="00DB671B">
        <w:tab/>
        <w:t xml:space="preserve">Le TC examine le document TC/55/2. </w:t>
      </w:r>
    </w:p>
    <w:p w:rsidR="00850B27" w:rsidRPr="00DB671B" w:rsidRDefault="00850B27" w:rsidP="00DB671B">
      <w:pPr>
        <w:keepNext/>
        <w:ind w:left="567" w:hanging="567"/>
        <w:rPr>
          <w:rFonts w:cs="Arial"/>
          <w:snapToGrid w:val="0"/>
        </w:rPr>
      </w:pPr>
    </w:p>
    <w:p w:rsidR="00850B27" w:rsidRPr="00DB671B" w:rsidRDefault="00850B27" w:rsidP="00DB671B">
      <w:pPr>
        <w:pStyle w:val="Heading3"/>
        <w:rPr>
          <w:lang w:val="fr-FR"/>
        </w:rPr>
      </w:pPr>
      <w:r w:rsidRPr="00DB671B">
        <w:rPr>
          <w:lang w:val="fr-FR"/>
        </w:rPr>
        <w:t xml:space="preserve">Principes directeurs d’examen adoptés par correspondance </w:t>
      </w:r>
    </w:p>
    <w:p w:rsidR="00850B27" w:rsidRPr="00DB671B" w:rsidRDefault="00850B27" w:rsidP="00DB671B">
      <w:pPr>
        <w:keepNext/>
        <w:ind w:left="567" w:hanging="567"/>
        <w:rPr>
          <w:rFonts w:cs="Arial"/>
          <w:snapToGrid w:val="0"/>
        </w:rPr>
      </w:pPr>
    </w:p>
    <w:p w:rsidR="00850B27" w:rsidRPr="00DB671B" w:rsidRDefault="00850B27" w:rsidP="00DB671B">
      <w:pPr>
        <w:keepNext/>
      </w:pPr>
      <w:r w:rsidRPr="00DB671B">
        <w:rPr>
          <w:rFonts w:cs="Arial"/>
          <w:snapToGrid w:val="0"/>
        </w:rPr>
        <w:fldChar w:fldCharType="begin"/>
      </w:r>
      <w:r w:rsidRPr="00DB671B">
        <w:rPr>
          <w:rFonts w:cs="Arial"/>
          <w:snapToGrid w:val="0"/>
        </w:rPr>
        <w:instrText xml:space="preserve"> AUTONUM  </w:instrText>
      </w:r>
      <w:r w:rsidRPr="00DB671B">
        <w:rPr>
          <w:rFonts w:cs="Arial"/>
          <w:snapToGrid w:val="0"/>
        </w:rPr>
        <w:fldChar w:fldCharType="end"/>
      </w:r>
      <w:r w:rsidRPr="00DB671B">
        <w:rPr>
          <w:rFonts w:cs="Arial"/>
          <w:snapToGrid w:val="0"/>
        </w:rPr>
        <w:tab/>
        <w:t>Le TC note qu’un principe directeur d’examen révisé et que six principes directeurs d’examen partiellement révisés pour la conduite de l’examen de la distinction, de l’homogénéité et de la stabilité, indiqués dans le tableau ci-dessous, ont été adoptés par correspondance sur la base des modifications figurant dans l’annexe II du présent document et des modifications rédactionnelles recommandées par le TC-EDC :</w:t>
      </w:r>
      <w:r w:rsidRPr="00DB671B">
        <w:t xml:space="preserve"> </w:t>
      </w:r>
    </w:p>
    <w:p w:rsidR="00850B27" w:rsidRPr="00DB671B" w:rsidRDefault="00850B27" w:rsidP="00DB671B"/>
    <w:tbl>
      <w:tblPr>
        <w:tblW w:w="10275" w:type="dxa"/>
        <w:tblInd w:w="-142" w:type="dxa"/>
        <w:tblLayout w:type="fixed"/>
        <w:tblCellMar>
          <w:top w:w="28" w:type="dxa"/>
          <w:left w:w="57" w:type="dxa"/>
          <w:bottom w:w="28" w:type="dxa"/>
          <w:right w:w="57" w:type="dxa"/>
        </w:tblCellMar>
        <w:tblLook w:val="0020" w:firstRow="1" w:lastRow="0" w:firstColumn="0" w:lastColumn="0" w:noHBand="0" w:noVBand="0"/>
      </w:tblPr>
      <w:tblGrid>
        <w:gridCol w:w="590"/>
        <w:gridCol w:w="590"/>
        <w:gridCol w:w="1866"/>
        <w:gridCol w:w="1382"/>
        <w:gridCol w:w="1382"/>
        <w:gridCol w:w="1382"/>
        <w:gridCol w:w="1382"/>
        <w:gridCol w:w="1701"/>
      </w:tblGrid>
      <w:tr w:rsidR="00DB671B" w:rsidRPr="00DB671B" w:rsidTr="00DB671B">
        <w:trPr>
          <w:trHeight w:val="1050"/>
          <w:tblHeader/>
        </w:trPr>
        <w:tc>
          <w:tcPr>
            <w:tcW w:w="590" w:type="dxa"/>
            <w:tcBorders>
              <w:top w:val="single" w:sz="4" w:space="0" w:color="auto"/>
              <w:bottom w:val="single" w:sz="4" w:space="0" w:color="auto"/>
            </w:tcBorders>
            <w:shd w:val="clear" w:color="auto" w:fill="D9D9D9"/>
            <w:vAlign w:val="center"/>
          </w:tcPr>
          <w:p w:rsidR="00850B27" w:rsidRPr="00DB671B" w:rsidRDefault="00850B27" w:rsidP="00DB671B">
            <w:pPr>
              <w:keepNext/>
              <w:jc w:val="left"/>
              <w:rPr>
                <w:rFonts w:eastAsia="MS Mincho" w:cs="Arial"/>
                <w:bCs/>
                <w:sz w:val="16"/>
                <w:szCs w:val="16"/>
                <w:lang w:eastAsia="ja-JP"/>
              </w:rPr>
            </w:pPr>
            <w:r w:rsidRPr="00DB671B">
              <w:rPr>
                <w:rFonts w:eastAsia="MS Mincho" w:cs="Arial"/>
                <w:bCs/>
                <w:sz w:val="16"/>
                <w:szCs w:val="16"/>
                <w:lang w:eastAsia="ja-JP"/>
              </w:rPr>
              <w:t>**</w:t>
            </w:r>
          </w:p>
        </w:tc>
        <w:tc>
          <w:tcPr>
            <w:tcW w:w="590" w:type="dxa"/>
            <w:tcBorders>
              <w:top w:val="single" w:sz="4" w:space="0" w:color="auto"/>
              <w:bottom w:val="single" w:sz="4" w:space="0" w:color="auto"/>
            </w:tcBorders>
            <w:shd w:val="clear" w:color="auto" w:fill="D9D9D9"/>
            <w:vAlign w:val="center"/>
          </w:tcPr>
          <w:p w:rsidR="00850B27" w:rsidRPr="00DB671B" w:rsidRDefault="00850B27" w:rsidP="00DB671B">
            <w:pPr>
              <w:keepNext/>
              <w:jc w:val="left"/>
              <w:rPr>
                <w:rFonts w:eastAsia="MS Mincho" w:cs="Arial"/>
                <w:bCs/>
                <w:sz w:val="16"/>
                <w:szCs w:val="16"/>
                <w:lang w:eastAsia="ja-JP"/>
              </w:rPr>
            </w:pPr>
            <w:r w:rsidRPr="00DB671B">
              <w:rPr>
                <w:rFonts w:eastAsia="MS Mincho" w:cs="Arial"/>
                <w:bCs/>
                <w:sz w:val="16"/>
                <w:szCs w:val="16"/>
                <w:lang w:eastAsia="ja-JP"/>
              </w:rPr>
              <w:t>TWP</w:t>
            </w:r>
          </w:p>
        </w:tc>
        <w:tc>
          <w:tcPr>
            <w:tcW w:w="1866" w:type="dxa"/>
            <w:tcBorders>
              <w:top w:val="single" w:sz="4" w:space="0" w:color="auto"/>
              <w:bottom w:val="single" w:sz="4" w:space="0" w:color="auto"/>
            </w:tcBorders>
            <w:shd w:val="clear" w:color="auto" w:fill="D9D9D9"/>
            <w:vAlign w:val="center"/>
          </w:tcPr>
          <w:p w:rsidR="00850B27" w:rsidRPr="00DB671B" w:rsidRDefault="00850B27" w:rsidP="00DB671B">
            <w:pPr>
              <w:keepNext/>
              <w:ind w:left="-36"/>
              <w:jc w:val="left"/>
              <w:rPr>
                <w:rFonts w:eastAsia="MS Mincho" w:cs="Arial"/>
                <w:bCs/>
                <w:sz w:val="16"/>
                <w:szCs w:val="16"/>
                <w:lang w:eastAsia="ja-JP"/>
              </w:rPr>
            </w:pPr>
            <w:r w:rsidRPr="00DB671B">
              <w:rPr>
                <w:rFonts w:eastAsia="MS Mincho" w:cs="Arial"/>
                <w:bCs/>
                <w:sz w:val="16"/>
                <w:szCs w:val="16"/>
                <w:lang w:eastAsia="ja-JP"/>
              </w:rPr>
              <w:t xml:space="preserve">Document No. </w:t>
            </w:r>
            <w:r w:rsidRPr="00DB671B">
              <w:rPr>
                <w:rFonts w:eastAsia="MS Mincho" w:cs="Arial"/>
                <w:bCs/>
                <w:sz w:val="16"/>
                <w:szCs w:val="16"/>
                <w:lang w:eastAsia="ja-JP"/>
              </w:rPr>
              <w:br/>
              <w:t xml:space="preserve">No. du document </w:t>
            </w:r>
            <w:r w:rsidRPr="00DB671B">
              <w:rPr>
                <w:rFonts w:eastAsia="MS Mincho" w:cs="Arial"/>
                <w:bCs/>
                <w:sz w:val="16"/>
                <w:szCs w:val="16"/>
                <w:lang w:eastAsia="ja-JP"/>
              </w:rPr>
              <w:br/>
              <w:t xml:space="preserve">Dokument-Nr. </w:t>
            </w:r>
            <w:r w:rsidRPr="00DB671B">
              <w:rPr>
                <w:rFonts w:eastAsia="MS Mincho" w:cs="Arial"/>
                <w:bCs/>
                <w:sz w:val="16"/>
                <w:szCs w:val="16"/>
                <w:lang w:eastAsia="ja-JP"/>
              </w:rPr>
              <w:br/>
              <w:t>No del documento</w:t>
            </w:r>
          </w:p>
        </w:tc>
        <w:tc>
          <w:tcPr>
            <w:tcW w:w="1382" w:type="dxa"/>
            <w:tcBorders>
              <w:top w:val="single" w:sz="4" w:space="0" w:color="auto"/>
              <w:bottom w:val="single" w:sz="4" w:space="0" w:color="auto"/>
            </w:tcBorders>
            <w:shd w:val="clear" w:color="auto" w:fill="D9D9D9"/>
            <w:vAlign w:val="center"/>
          </w:tcPr>
          <w:p w:rsidR="00850B27" w:rsidRPr="00DB671B" w:rsidRDefault="00850B27" w:rsidP="00DB671B">
            <w:pPr>
              <w:keepNext/>
              <w:jc w:val="left"/>
              <w:rPr>
                <w:rFonts w:eastAsia="MS Mincho" w:cs="Arial"/>
                <w:bCs/>
                <w:sz w:val="16"/>
                <w:szCs w:val="16"/>
                <w:lang w:eastAsia="ja-JP"/>
              </w:rPr>
            </w:pPr>
            <w:r w:rsidRPr="00DB671B">
              <w:rPr>
                <w:rFonts w:eastAsia="MS Mincho" w:cs="Arial"/>
                <w:bCs/>
                <w:sz w:val="16"/>
                <w:szCs w:val="16"/>
                <w:lang w:eastAsia="ja-JP"/>
              </w:rPr>
              <w:t>English</w:t>
            </w:r>
          </w:p>
        </w:tc>
        <w:tc>
          <w:tcPr>
            <w:tcW w:w="1382" w:type="dxa"/>
            <w:tcBorders>
              <w:top w:val="single" w:sz="4" w:space="0" w:color="auto"/>
              <w:bottom w:val="single" w:sz="4" w:space="0" w:color="auto"/>
            </w:tcBorders>
            <w:shd w:val="clear" w:color="auto" w:fill="D9D9D9"/>
            <w:vAlign w:val="center"/>
          </w:tcPr>
          <w:p w:rsidR="00850B27" w:rsidRPr="00DB671B" w:rsidRDefault="00850B27" w:rsidP="00DB671B">
            <w:pPr>
              <w:keepNext/>
              <w:jc w:val="left"/>
              <w:rPr>
                <w:rFonts w:eastAsia="MS Mincho" w:cs="Arial"/>
                <w:sz w:val="16"/>
                <w:szCs w:val="16"/>
                <w:lang w:eastAsia="ja-JP"/>
              </w:rPr>
            </w:pPr>
            <w:r w:rsidRPr="00DB671B">
              <w:rPr>
                <w:rFonts w:eastAsia="MS Mincho" w:cs="Arial"/>
                <w:sz w:val="16"/>
                <w:szCs w:val="16"/>
                <w:lang w:eastAsia="ja-JP"/>
              </w:rPr>
              <w:t>Français</w:t>
            </w:r>
          </w:p>
        </w:tc>
        <w:tc>
          <w:tcPr>
            <w:tcW w:w="1382" w:type="dxa"/>
            <w:tcBorders>
              <w:top w:val="single" w:sz="4" w:space="0" w:color="auto"/>
              <w:bottom w:val="single" w:sz="4" w:space="0" w:color="auto"/>
            </w:tcBorders>
            <w:shd w:val="clear" w:color="auto" w:fill="D9D9D9"/>
            <w:vAlign w:val="center"/>
          </w:tcPr>
          <w:p w:rsidR="00850B27" w:rsidRPr="00DB671B" w:rsidRDefault="00850B27" w:rsidP="00DB671B">
            <w:pPr>
              <w:keepNext/>
              <w:jc w:val="left"/>
              <w:rPr>
                <w:rFonts w:eastAsia="MS Mincho" w:cs="Arial"/>
                <w:sz w:val="16"/>
                <w:szCs w:val="16"/>
                <w:lang w:eastAsia="ja-JP"/>
              </w:rPr>
            </w:pPr>
            <w:r w:rsidRPr="00DB671B">
              <w:rPr>
                <w:rFonts w:eastAsia="MS Mincho" w:cs="Arial"/>
                <w:sz w:val="16"/>
                <w:szCs w:val="16"/>
                <w:lang w:eastAsia="ja-JP"/>
              </w:rPr>
              <w:t>Deutsch</w:t>
            </w:r>
          </w:p>
        </w:tc>
        <w:tc>
          <w:tcPr>
            <w:tcW w:w="1382" w:type="dxa"/>
            <w:tcBorders>
              <w:top w:val="single" w:sz="4" w:space="0" w:color="auto"/>
              <w:bottom w:val="single" w:sz="4" w:space="0" w:color="auto"/>
            </w:tcBorders>
            <w:shd w:val="clear" w:color="auto" w:fill="D9D9D9"/>
            <w:vAlign w:val="center"/>
          </w:tcPr>
          <w:p w:rsidR="00850B27" w:rsidRPr="00DB671B" w:rsidRDefault="00850B27" w:rsidP="00DB671B">
            <w:pPr>
              <w:keepNext/>
              <w:jc w:val="left"/>
              <w:rPr>
                <w:rFonts w:eastAsia="MS Mincho" w:cs="Arial"/>
                <w:sz w:val="16"/>
                <w:szCs w:val="16"/>
                <w:lang w:eastAsia="ja-JP"/>
              </w:rPr>
            </w:pPr>
            <w:r w:rsidRPr="00DB671B">
              <w:rPr>
                <w:rFonts w:eastAsia="MS Mincho" w:cs="Arial"/>
                <w:sz w:val="16"/>
                <w:szCs w:val="16"/>
                <w:lang w:eastAsia="ja-JP"/>
              </w:rPr>
              <w:t>Español</w:t>
            </w:r>
          </w:p>
        </w:tc>
        <w:tc>
          <w:tcPr>
            <w:tcW w:w="1701" w:type="dxa"/>
            <w:tcBorders>
              <w:top w:val="single" w:sz="4" w:space="0" w:color="auto"/>
              <w:bottom w:val="single" w:sz="4" w:space="0" w:color="auto"/>
            </w:tcBorders>
            <w:shd w:val="clear" w:color="auto" w:fill="D9D9D9"/>
            <w:vAlign w:val="center"/>
          </w:tcPr>
          <w:p w:rsidR="00850B27" w:rsidRPr="00DB671B" w:rsidRDefault="00850B27" w:rsidP="00DB671B">
            <w:pPr>
              <w:keepNext/>
              <w:jc w:val="left"/>
              <w:rPr>
                <w:rFonts w:eastAsia="MS Mincho" w:cs="Arial"/>
                <w:sz w:val="16"/>
                <w:szCs w:val="16"/>
                <w:lang w:eastAsia="ja-JP"/>
              </w:rPr>
            </w:pPr>
            <w:r w:rsidRPr="00DB671B">
              <w:rPr>
                <w:rFonts w:eastAsia="MS Mincho" w:cs="Arial"/>
                <w:sz w:val="16"/>
                <w:szCs w:val="16"/>
                <w:lang w:eastAsia="ja-JP"/>
              </w:rPr>
              <w:t>Botanical name</w:t>
            </w:r>
          </w:p>
        </w:tc>
      </w:tr>
      <w:tr w:rsidR="00DB671B" w:rsidRPr="00DB671B" w:rsidTr="00DB671B">
        <w:tc>
          <w:tcPr>
            <w:tcW w:w="10275" w:type="dxa"/>
            <w:gridSpan w:val="8"/>
            <w:tcBorders>
              <w:top w:val="single" w:sz="4" w:space="0" w:color="auto"/>
              <w:left w:val="single" w:sz="4" w:space="0" w:color="auto"/>
              <w:bottom w:val="single" w:sz="4" w:space="0" w:color="auto"/>
              <w:right w:val="single" w:sz="4" w:space="0" w:color="auto"/>
            </w:tcBorders>
          </w:tcPr>
          <w:p w:rsidR="00850B27" w:rsidRPr="00DB671B" w:rsidRDefault="00850B27" w:rsidP="00DB671B">
            <w:pPr>
              <w:spacing w:before="60" w:after="120"/>
              <w:ind w:left="-36"/>
              <w:jc w:val="left"/>
              <w:rPr>
                <w:rFonts w:cs="Arial"/>
                <w:sz w:val="16"/>
                <w:szCs w:val="16"/>
                <w:u w:val="single"/>
              </w:rPr>
            </w:pPr>
            <w:r w:rsidRPr="00DB671B">
              <w:rPr>
                <w:rFonts w:cs="Arial"/>
                <w:bCs/>
                <w:sz w:val="16"/>
                <w:szCs w:val="16"/>
                <w:u w:val="single"/>
              </w:rPr>
              <w:t xml:space="preserve">REVISIONS OF ADOPTED TEST GUIDELINES / </w:t>
            </w:r>
            <w:r w:rsidRPr="00DB671B">
              <w:rPr>
                <w:rFonts w:cs="Arial"/>
                <w:sz w:val="16"/>
                <w:szCs w:val="16"/>
                <w:u w:val="single"/>
              </w:rPr>
              <w:t xml:space="preserve">RÉVISIONS DE PRINCIPES DIRECTEURS D’EXAMEN ADOPTÉS / </w:t>
            </w:r>
            <w:r w:rsidRPr="00DB671B">
              <w:rPr>
                <w:rFonts w:cs="Arial"/>
                <w:sz w:val="16"/>
                <w:szCs w:val="16"/>
                <w:u w:val="single"/>
              </w:rPr>
              <w:br/>
              <w:t>REVISIONEN ANGENOMMENER PRÜFUNGSRICHTLINIEN / REVISIONES DE DIRECTRICES DE EXAMEN ADOPTADAS</w:t>
            </w:r>
          </w:p>
        </w:tc>
      </w:tr>
      <w:tr w:rsidR="00DB671B" w:rsidRPr="00DB671B" w:rsidTr="00DB671B">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rsidR="00850B27" w:rsidRPr="00DB671B" w:rsidRDefault="00850B27" w:rsidP="00DB671B">
            <w:pPr>
              <w:rPr>
                <w:rFonts w:cs="Arial"/>
                <w:sz w:val="16"/>
              </w:rPr>
            </w:pPr>
            <w:r w:rsidRPr="00DB671B">
              <w:rPr>
                <w:rFonts w:cs="Arial"/>
                <w:sz w:val="16"/>
              </w:rPr>
              <w:t>AU</w:t>
            </w:r>
          </w:p>
        </w:tc>
        <w:tc>
          <w:tcPr>
            <w:tcW w:w="590" w:type="dxa"/>
            <w:tcBorders>
              <w:top w:val="single" w:sz="4" w:space="0" w:color="auto"/>
              <w:left w:val="nil"/>
              <w:bottom w:val="single" w:sz="4" w:space="0" w:color="auto"/>
              <w:right w:val="single" w:sz="4" w:space="0" w:color="auto"/>
            </w:tcBorders>
            <w:shd w:val="clear" w:color="auto" w:fill="auto"/>
          </w:tcPr>
          <w:p w:rsidR="00850B27" w:rsidRPr="00DB671B" w:rsidRDefault="00850B27" w:rsidP="00DB671B">
            <w:pPr>
              <w:rPr>
                <w:rFonts w:cs="Arial"/>
                <w:sz w:val="16"/>
              </w:rPr>
            </w:pPr>
            <w:r w:rsidRPr="00DB671B">
              <w:rPr>
                <w:rFonts w:cs="Arial"/>
                <w:sz w:val="16"/>
              </w:rPr>
              <w:t>TWF</w:t>
            </w:r>
          </w:p>
        </w:tc>
        <w:tc>
          <w:tcPr>
            <w:tcW w:w="1866" w:type="dxa"/>
            <w:tcBorders>
              <w:top w:val="single" w:sz="4" w:space="0" w:color="auto"/>
              <w:left w:val="nil"/>
              <w:bottom w:val="single" w:sz="4" w:space="0" w:color="auto"/>
              <w:right w:val="single" w:sz="4" w:space="0" w:color="auto"/>
            </w:tcBorders>
            <w:shd w:val="clear" w:color="auto" w:fill="auto"/>
          </w:tcPr>
          <w:p w:rsidR="00850B27" w:rsidRPr="00DB671B" w:rsidRDefault="00850B27" w:rsidP="00DB671B">
            <w:pPr>
              <w:ind w:left="-36"/>
              <w:rPr>
                <w:rFonts w:cs="Arial"/>
                <w:sz w:val="16"/>
              </w:rPr>
            </w:pPr>
            <w:r w:rsidRPr="00DB671B">
              <w:rPr>
                <w:rFonts w:cs="Arial"/>
                <w:sz w:val="16"/>
              </w:rPr>
              <w:t>TG/137/5</w:t>
            </w:r>
          </w:p>
        </w:tc>
        <w:tc>
          <w:tcPr>
            <w:tcW w:w="1382" w:type="dxa"/>
            <w:tcBorders>
              <w:top w:val="single" w:sz="4" w:space="0" w:color="auto"/>
              <w:left w:val="nil"/>
              <w:bottom w:val="single" w:sz="4" w:space="0" w:color="auto"/>
              <w:right w:val="single" w:sz="4" w:space="0" w:color="auto"/>
            </w:tcBorders>
            <w:shd w:val="clear" w:color="auto" w:fill="auto"/>
          </w:tcPr>
          <w:p w:rsidR="00850B27" w:rsidRPr="00DB671B" w:rsidRDefault="00850B27" w:rsidP="00DB671B">
            <w:pPr>
              <w:jc w:val="left"/>
              <w:rPr>
                <w:rFonts w:cs="Arial"/>
                <w:sz w:val="16"/>
              </w:rPr>
            </w:pPr>
            <w:r w:rsidRPr="00DB671B">
              <w:rPr>
                <w:rFonts w:cs="Arial"/>
                <w:sz w:val="16"/>
              </w:rPr>
              <w:t>Blueberry</w:t>
            </w:r>
          </w:p>
        </w:tc>
        <w:tc>
          <w:tcPr>
            <w:tcW w:w="1382" w:type="dxa"/>
            <w:tcBorders>
              <w:top w:val="single" w:sz="4" w:space="0" w:color="auto"/>
              <w:left w:val="nil"/>
              <w:bottom w:val="single" w:sz="4" w:space="0" w:color="auto"/>
              <w:right w:val="single" w:sz="4" w:space="0" w:color="auto"/>
            </w:tcBorders>
            <w:shd w:val="clear" w:color="auto" w:fill="auto"/>
          </w:tcPr>
          <w:p w:rsidR="00850B27" w:rsidRPr="00DB671B" w:rsidRDefault="00850B27" w:rsidP="00DB671B">
            <w:pPr>
              <w:jc w:val="left"/>
              <w:rPr>
                <w:rFonts w:cs="Arial"/>
                <w:sz w:val="16"/>
              </w:rPr>
            </w:pPr>
            <w:r w:rsidRPr="00DB671B">
              <w:rPr>
                <w:rFonts w:cs="Arial"/>
                <w:sz w:val="16"/>
              </w:rPr>
              <w:t>Myrtille</w:t>
            </w:r>
          </w:p>
        </w:tc>
        <w:tc>
          <w:tcPr>
            <w:tcW w:w="1382" w:type="dxa"/>
            <w:tcBorders>
              <w:top w:val="single" w:sz="4" w:space="0" w:color="auto"/>
              <w:left w:val="nil"/>
              <w:bottom w:val="single" w:sz="4" w:space="0" w:color="auto"/>
              <w:right w:val="single" w:sz="4" w:space="0" w:color="auto"/>
            </w:tcBorders>
            <w:shd w:val="clear" w:color="auto" w:fill="auto"/>
          </w:tcPr>
          <w:p w:rsidR="00850B27" w:rsidRPr="00DB671B" w:rsidRDefault="00850B27" w:rsidP="00DB671B">
            <w:pPr>
              <w:jc w:val="left"/>
              <w:rPr>
                <w:rFonts w:cs="Arial"/>
                <w:sz w:val="16"/>
              </w:rPr>
            </w:pPr>
            <w:r w:rsidRPr="00DB671B">
              <w:rPr>
                <w:rFonts w:cs="Arial"/>
                <w:sz w:val="16"/>
              </w:rPr>
              <w:t>Heidelbeere</w:t>
            </w:r>
          </w:p>
        </w:tc>
        <w:tc>
          <w:tcPr>
            <w:tcW w:w="1382" w:type="dxa"/>
            <w:tcBorders>
              <w:top w:val="single" w:sz="4" w:space="0" w:color="auto"/>
              <w:left w:val="nil"/>
              <w:bottom w:val="single" w:sz="4" w:space="0" w:color="auto"/>
              <w:right w:val="single" w:sz="4" w:space="0" w:color="auto"/>
            </w:tcBorders>
            <w:shd w:val="clear" w:color="auto" w:fill="auto"/>
          </w:tcPr>
          <w:p w:rsidR="00850B27" w:rsidRPr="00DB671B" w:rsidRDefault="00850B27" w:rsidP="00DB671B">
            <w:pPr>
              <w:jc w:val="left"/>
              <w:rPr>
                <w:rFonts w:cs="Arial"/>
                <w:sz w:val="16"/>
              </w:rPr>
            </w:pPr>
            <w:r w:rsidRPr="00DB671B">
              <w:rPr>
                <w:rFonts w:cs="Arial"/>
                <w:sz w:val="16"/>
              </w:rPr>
              <w:t>Arándano americano</w:t>
            </w:r>
          </w:p>
        </w:tc>
        <w:tc>
          <w:tcPr>
            <w:tcW w:w="1701" w:type="dxa"/>
            <w:tcBorders>
              <w:top w:val="single" w:sz="4" w:space="0" w:color="auto"/>
              <w:left w:val="nil"/>
              <w:bottom w:val="single" w:sz="4" w:space="0" w:color="auto"/>
              <w:right w:val="single" w:sz="4" w:space="0" w:color="auto"/>
            </w:tcBorders>
            <w:shd w:val="clear" w:color="auto" w:fill="auto"/>
          </w:tcPr>
          <w:p w:rsidR="00850B27" w:rsidRPr="00DB671B" w:rsidRDefault="00850B27" w:rsidP="00DB671B">
            <w:pPr>
              <w:jc w:val="left"/>
              <w:rPr>
                <w:rFonts w:cs="Arial"/>
                <w:sz w:val="16"/>
              </w:rPr>
            </w:pPr>
            <w:r w:rsidRPr="00DB671B">
              <w:rPr>
                <w:rFonts w:eastAsia="Arial" w:cs="Arial"/>
                <w:iCs/>
                <w:sz w:val="16"/>
                <w:szCs w:val="16"/>
              </w:rPr>
              <w:t>Vaccinium angustifolium</w:t>
            </w:r>
            <w:r w:rsidRPr="00DB671B">
              <w:rPr>
                <w:rFonts w:eastAsia="Arial" w:cs="Arial"/>
                <w:sz w:val="16"/>
                <w:szCs w:val="16"/>
              </w:rPr>
              <w:t xml:space="preserve"> x </w:t>
            </w:r>
            <w:r w:rsidRPr="00DB671B">
              <w:rPr>
                <w:rFonts w:eastAsia="Arial" w:cs="Arial"/>
                <w:iCs/>
                <w:sz w:val="16"/>
                <w:szCs w:val="16"/>
              </w:rPr>
              <w:t>V. myrsinites</w:t>
            </w:r>
            <w:r w:rsidRPr="00DB671B">
              <w:rPr>
                <w:rFonts w:eastAsia="Arial" w:cs="Arial"/>
                <w:sz w:val="16"/>
                <w:szCs w:val="16"/>
              </w:rPr>
              <w:t xml:space="preserve"> x </w:t>
            </w:r>
            <w:r w:rsidRPr="00DB671B">
              <w:rPr>
                <w:rFonts w:eastAsia="Arial" w:cs="Arial"/>
                <w:iCs/>
                <w:sz w:val="16"/>
                <w:szCs w:val="16"/>
              </w:rPr>
              <w:t>V. corymbosum</w:t>
            </w:r>
            <w:r w:rsidRPr="00DB671B">
              <w:rPr>
                <w:rFonts w:eastAsia="Arial" w:cs="Arial"/>
                <w:sz w:val="16"/>
                <w:szCs w:val="16"/>
              </w:rPr>
              <w:t xml:space="preserve">; </w:t>
            </w:r>
            <w:r w:rsidRPr="00DB671B">
              <w:rPr>
                <w:rFonts w:eastAsia="Arial" w:cs="Arial"/>
                <w:iCs/>
                <w:sz w:val="16"/>
                <w:szCs w:val="16"/>
              </w:rPr>
              <w:t>V. angustifolium</w:t>
            </w:r>
            <w:r w:rsidRPr="00DB671B">
              <w:rPr>
                <w:rFonts w:eastAsia="Arial" w:cs="Arial"/>
                <w:sz w:val="16"/>
                <w:szCs w:val="16"/>
              </w:rPr>
              <w:t xml:space="preserve"> Aiton; </w:t>
            </w:r>
            <w:r w:rsidRPr="00DB671B">
              <w:rPr>
                <w:rFonts w:eastAsia="Arial" w:cs="Arial"/>
                <w:sz w:val="16"/>
                <w:szCs w:val="16"/>
              </w:rPr>
              <w:br/>
              <w:t xml:space="preserve">Hybrids between </w:t>
            </w:r>
            <w:r w:rsidRPr="00DB671B">
              <w:rPr>
                <w:rFonts w:eastAsia="Arial" w:cs="Arial"/>
                <w:iCs/>
                <w:sz w:val="16"/>
                <w:szCs w:val="16"/>
              </w:rPr>
              <w:t>V. corymbosum</w:t>
            </w:r>
            <w:r w:rsidRPr="00DB671B">
              <w:rPr>
                <w:rFonts w:eastAsia="Arial" w:cs="Arial"/>
                <w:sz w:val="16"/>
                <w:szCs w:val="16"/>
              </w:rPr>
              <w:t xml:space="preserve"> and </w:t>
            </w:r>
            <w:r w:rsidRPr="00DB671B">
              <w:rPr>
                <w:rFonts w:eastAsia="Arial" w:cs="Arial"/>
                <w:iCs/>
                <w:sz w:val="16"/>
                <w:szCs w:val="16"/>
              </w:rPr>
              <w:t>V. angustifolium</w:t>
            </w:r>
            <w:r w:rsidRPr="00DB671B">
              <w:rPr>
                <w:rFonts w:eastAsia="Arial" w:cs="Arial"/>
                <w:sz w:val="16"/>
                <w:szCs w:val="16"/>
              </w:rPr>
              <w:t>;</w:t>
            </w:r>
            <w:r w:rsidRPr="00DB671B">
              <w:rPr>
                <w:rFonts w:eastAsia="Arial" w:cs="Arial"/>
                <w:sz w:val="16"/>
                <w:szCs w:val="16"/>
              </w:rPr>
              <w:br/>
            </w:r>
            <w:r w:rsidRPr="00DB671B">
              <w:rPr>
                <w:rFonts w:eastAsia="Arial" w:cs="Arial"/>
                <w:iCs/>
                <w:sz w:val="16"/>
                <w:szCs w:val="16"/>
              </w:rPr>
              <w:t>V. corymbosum</w:t>
            </w:r>
            <w:r w:rsidRPr="00DB671B">
              <w:rPr>
                <w:rFonts w:eastAsia="Arial" w:cs="Arial"/>
                <w:sz w:val="16"/>
                <w:szCs w:val="16"/>
              </w:rPr>
              <w:t xml:space="preserve"> x </w:t>
            </w:r>
            <w:r w:rsidRPr="00DB671B">
              <w:rPr>
                <w:rFonts w:eastAsia="Arial" w:cs="Arial"/>
                <w:iCs/>
                <w:sz w:val="16"/>
                <w:szCs w:val="16"/>
              </w:rPr>
              <w:t>V. angustifolium</w:t>
            </w:r>
            <w:r w:rsidRPr="00DB671B">
              <w:rPr>
                <w:rFonts w:eastAsia="Arial" w:cs="Arial"/>
                <w:sz w:val="16"/>
                <w:szCs w:val="16"/>
              </w:rPr>
              <w:t xml:space="preserve"> x </w:t>
            </w:r>
            <w:r w:rsidRPr="00DB671B">
              <w:rPr>
                <w:rFonts w:eastAsia="Arial" w:cs="Arial"/>
                <w:iCs/>
                <w:sz w:val="16"/>
                <w:szCs w:val="16"/>
              </w:rPr>
              <w:t>V. virgatum</w:t>
            </w:r>
            <w:r w:rsidRPr="00DB671B">
              <w:rPr>
                <w:rFonts w:eastAsia="Arial" w:cs="Arial"/>
                <w:sz w:val="16"/>
                <w:szCs w:val="16"/>
              </w:rPr>
              <w:t>;</w:t>
            </w:r>
            <w:r w:rsidRPr="00DB671B">
              <w:rPr>
                <w:rFonts w:eastAsia="Arial" w:cs="Arial"/>
                <w:sz w:val="16"/>
                <w:szCs w:val="16"/>
              </w:rPr>
              <w:br/>
            </w:r>
            <w:r w:rsidRPr="00DB671B">
              <w:rPr>
                <w:rFonts w:eastAsia="Arial" w:cs="Arial"/>
                <w:iCs/>
                <w:sz w:val="16"/>
                <w:szCs w:val="16"/>
              </w:rPr>
              <w:t>V. corymbosum</w:t>
            </w:r>
            <w:r w:rsidRPr="00DB671B">
              <w:rPr>
                <w:rFonts w:eastAsia="Arial" w:cs="Arial"/>
                <w:sz w:val="16"/>
                <w:szCs w:val="16"/>
              </w:rPr>
              <w:t xml:space="preserve"> L.;</w:t>
            </w:r>
            <w:r w:rsidRPr="00DB671B">
              <w:rPr>
                <w:rFonts w:eastAsia="Arial" w:cs="Arial"/>
                <w:sz w:val="16"/>
                <w:szCs w:val="16"/>
              </w:rPr>
              <w:br/>
            </w:r>
            <w:r w:rsidRPr="00DB671B">
              <w:rPr>
                <w:rFonts w:eastAsia="Arial" w:cs="Arial"/>
                <w:iCs/>
                <w:sz w:val="16"/>
                <w:szCs w:val="16"/>
              </w:rPr>
              <w:t>V. formosum</w:t>
            </w:r>
            <w:r w:rsidRPr="00DB671B">
              <w:rPr>
                <w:rFonts w:eastAsia="Arial" w:cs="Arial"/>
                <w:sz w:val="16"/>
                <w:szCs w:val="16"/>
              </w:rPr>
              <w:t xml:space="preserve"> Andrews;</w:t>
            </w:r>
            <w:r w:rsidRPr="00DB671B">
              <w:rPr>
                <w:rFonts w:eastAsia="Arial" w:cs="Arial"/>
                <w:sz w:val="16"/>
                <w:szCs w:val="16"/>
              </w:rPr>
              <w:br/>
            </w:r>
            <w:r w:rsidRPr="00DB671B">
              <w:rPr>
                <w:rFonts w:eastAsia="Arial" w:cs="Arial"/>
                <w:iCs/>
                <w:sz w:val="16"/>
                <w:szCs w:val="16"/>
              </w:rPr>
              <w:t>V. myrtilloides</w:t>
            </w:r>
            <w:r w:rsidRPr="00DB671B">
              <w:rPr>
                <w:rFonts w:eastAsia="Arial" w:cs="Arial"/>
                <w:sz w:val="16"/>
                <w:szCs w:val="16"/>
              </w:rPr>
              <w:t xml:space="preserve"> Michx.;</w:t>
            </w:r>
            <w:r w:rsidRPr="00DB671B">
              <w:rPr>
                <w:rFonts w:eastAsia="Arial" w:cs="Arial"/>
                <w:sz w:val="16"/>
                <w:szCs w:val="16"/>
              </w:rPr>
              <w:br/>
            </w:r>
            <w:r w:rsidRPr="00DB671B">
              <w:rPr>
                <w:rFonts w:eastAsia="Arial" w:cs="Arial"/>
                <w:iCs/>
                <w:sz w:val="16"/>
                <w:szCs w:val="16"/>
              </w:rPr>
              <w:t>V. myrtillus</w:t>
            </w:r>
            <w:r w:rsidRPr="00DB671B">
              <w:rPr>
                <w:rFonts w:eastAsia="Arial" w:cs="Arial"/>
                <w:sz w:val="16"/>
                <w:szCs w:val="16"/>
              </w:rPr>
              <w:t xml:space="preserve"> L.; </w:t>
            </w:r>
            <w:r w:rsidRPr="00DB671B">
              <w:rPr>
                <w:rFonts w:eastAsia="Arial" w:cs="Arial"/>
                <w:sz w:val="16"/>
                <w:szCs w:val="16"/>
              </w:rPr>
              <w:br/>
            </w:r>
            <w:r w:rsidRPr="00DB671B">
              <w:rPr>
                <w:rFonts w:eastAsia="Arial" w:cs="Arial"/>
                <w:iCs/>
                <w:sz w:val="16"/>
                <w:szCs w:val="16"/>
              </w:rPr>
              <w:t>V. simulatum</w:t>
            </w:r>
            <w:r w:rsidRPr="00DB671B">
              <w:rPr>
                <w:rFonts w:eastAsia="Arial" w:cs="Arial"/>
                <w:sz w:val="16"/>
                <w:szCs w:val="16"/>
              </w:rPr>
              <w:t xml:space="preserve"> Small; </w:t>
            </w:r>
            <w:r w:rsidRPr="00DB671B">
              <w:rPr>
                <w:rFonts w:eastAsia="Arial" w:cs="Arial"/>
                <w:sz w:val="16"/>
                <w:szCs w:val="16"/>
              </w:rPr>
              <w:br/>
            </w:r>
            <w:r w:rsidRPr="00DB671B">
              <w:rPr>
                <w:rFonts w:eastAsia="Arial" w:cs="Arial"/>
                <w:iCs/>
                <w:sz w:val="16"/>
                <w:szCs w:val="16"/>
              </w:rPr>
              <w:t>V. virgatum</w:t>
            </w:r>
            <w:r w:rsidRPr="00DB671B">
              <w:rPr>
                <w:rFonts w:eastAsia="Arial" w:cs="Arial"/>
                <w:sz w:val="16"/>
                <w:szCs w:val="16"/>
              </w:rPr>
              <w:t xml:space="preserve"> Aiton</w:t>
            </w:r>
          </w:p>
        </w:tc>
      </w:tr>
      <w:tr w:rsidR="00DB671B" w:rsidRPr="00DB671B" w:rsidTr="00DB671B">
        <w:tc>
          <w:tcPr>
            <w:tcW w:w="10275" w:type="dxa"/>
            <w:gridSpan w:val="8"/>
            <w:tcBorders>
              <w:top w:val="single" w:sz="4" w:space="0" w:color="auto"/>
              <w:left w:val="single" w:sz="4" w:space="0" w:color="auto"/>
              <w:bottom w:val="single" w:sz="4" w:space="0" w:color="auto"/>
              <w:right w:val="single" w:sz="4" w:space="0" w:color="auto"/>
            </w:tcBorders>
          </w:tcPr>
          <w:p w:rsidR="00850B27" w:rsidRPr="00DB671B" w:rsidRDefault="00850B27" w:rsidP="00DB671B">
            <w:pPr>
              <w:keepNext/>
              <w:spacing w:before="60" w:after="120"/>
              <w:ind w:left="-36"/>
              <w:jc w:val="left"/>
              <w:rPr>
                <w:rFonts w:cs="Arial"/>
                <w:sz w:val="16"/>
                <w:szCs w:val="16"/>
                <w:u w:val="single"/>
              </w:rPr>
            </w:pPr>
            <w:r w:rsidRPr="00DB671B">
              <w:rPr>
                <w:rFonts w:cs="Arial"/>
                <w:bCs/>
                <w:sz w:val="16"/>
                <w:szCs w:val="16"/>
                <w:u w:val="single"/>
              </w:rPr>
              <w:t xml:space="preserve">PARTIAL REVISIONS OF ADOPTED TEST GUIDELINES / </w:t>
            </w:r>
            <w:r w:rsidRPr="00DB671B">
              <w:rPr>
                <w:rFonts w:cs="Arial"/>
                <w:sz w:val="16"/>
                <w:szCs w:val="16"/>
                <w:u w:val="single"/>
              </w:rPr>
              <w:t>RÉVISIONS PARTIELLES DE PRINCIPES DIRECTEURS D’EXAMEN ADOPTÉS / TEILREVISIONEN ANGENOMMENER PRÜFUNGSRICHTLINIEN / REVISIONES PARCIALES DE DIRECTRICES DE EXAMEN ADOPTADAS</w:t>
            </w:r>
          </w:p>
        </w:tc>
      </w:tr>
      <w:tr w:rsidR="00DB671B" w:rsidRPr="00DB671B" w:rsidTr="00DB671B">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rsidR="00850B27" w:rsidRPr="00DB671B" w:rsidRDefault="00850B27" w:rsidP="00DB671B">
            <w:pPr>
              <w:keepNext/>
              <w:jc w:val="left"/>
              <w:rPr>
                <w:rFonts w:cs="Arial"/>
                <w:sz w:val="16"/>
              </w:rPr>
            </w:pPr>
            <w:r w:rsidRPr="00DB671B">
              <w:rPr>
                <w:rFonts w:cs="Arial"/>
                <w:sz w:val="16"/>
              </w:rPr>
              <w:t>FR</w:t>
            </w:r>
          </w:p>
        </w:tc>
        <w:tc>
          <w:tcPr>
            <w:tcW w:w="590" w:type="dxa"/>
            <w:tcBorders>
              <w:top w:val="single" w:sz="4" w:space="0" w:color="auto"/>
              <w:left w:val="nil"/>
              <w:bottom w:val="single" w:sz="4" w:space="0" w:color="auto"/>
              <w:right w:val="single" w:sz="4" w:space="0" w:color="auto"/>
            </w:tcBorders>
            <w:shd w:val="clear" w:color="auto" w:fill="auto"/>
          </w:tcPr>
          <w:p w:rsidR="00850B27" w:rsidRPr="00DB671B" w:rsidRDefault="00850B27" w:rsidP="00DB671B">
            <w:pPr>
              <w:keepNext/>
              <w:jc w:val="left"/>
              <w:rPr>
                <w:rFonts w:cs="Arial"/>
                <w:sz w:val="16"/>
              </w:rPr>
            </w:pPr>
            <w:r w:rsidRPr="00DB671B">
              <w:rPr>
                <w:rFonts w:cs="Arial"/>
                <w:sz w:val="16"/>
              </w:rPr>
              <w:t>TWV</w:t>
            </w:r>
          </w:p>
        </w:tc>
        <w:tc>
          <w:tcPr>
            <w:tcW w:w="1866" w:type="dxa"/>
            <w:tcBorders>
              <w:top w:val="single" w:sz="4" w:space="0" w:color="auto"/>
              <w:left w:val="nil"/>
              <w:bottom w:val="single" w:sz="4" w:space="0" w:color="auto"/>
              <w:right w:val="single" w:sz="4" w:space="0" w:color="auto"/>
            </w:tcBorders>
            <w:shd w:val="clear" w:color="auto" w:fill="auto"/>
          </w:tcPr>
          <w:p w:rsidR="00850B27" w:rsidRPr="00DB671B" w:rsidRDefault="00850B27" w:rsidP="00DB671B">
            <w:pPr>
              <w:jc w:val="left"/>
              <w:rPr>
                <w:rFonts w:cs="Arial"/>
                <w:sz w:val="16"/>
              </w:rPr>
            </w:pPr>
            <w:r w:rsidRPr="00DB671B">
              <w:rPr>
                <w:rFonts w:cs="Arial"/>
                <w:sz w:val="16"/>
              </w:rPr>
              <w:t>TG/7/10 Rev. 2</w:t>
            </w:r>
          </w:p>
        </w:tc>
        <w:tc>
          <w:tcPr>
            <w:tcW w:w="1382" w:type="dxa"/>
            <w:tcBorders>
              <w:top w:val="single" w:sz="4" w:space="0" w:color="auto"/>
              <w:left w:val="single" w:sz="4" w:space="0" w:color="auto"/>
              <w:bottom w:val="single" w:sz="4" w:space="0" w:color="auto"/>
              <w:right w:val="single" w:sz="4" w:space="0" w:color="auto"/>
            </w:tcBorders>
            <w:shd w:val="clear" w:color="auto" w:fill="auto"/>
          </w:tcPr>
          <w:p w:rsidR="00850B27" w:rsidRPr="00DB671B" w:rsidRDefault="00850B27" w:rsidP="00DB671B">
            <w:pPr>
              <w:jc w:val="left"/>
              <w:rPr>
                <w:rFonts w:cs="Arial"/>
                <w:sz w:val="16"/>
                <w:szCs w:val="16"/>
              </w:rPr>
            </w:pPr>
            <w:r w:rsidRPr="00DB671B">
              <w:rPr>
                <w:rFonts w:cs="Arial"/>
                <w:sz w:val="16"/>
                <w:szCs w:val="16"/>
              </w:rPr>
              <w:t>Pea</w:t>
            </w:r>
          </w:p>
        </w:tc>
        <w:tc>
          <w:tcPr>
            <w:tcW w:w="1382" w:type="dxa"/>
            <w:tcBorders>
              <w:top w:val="single" w:sz="4" w:space="0" w:color="auto"/>
              <w:left w:val="nil"/>
              <w:bottom w:val="single" w:sz="4" w:space="0" w:color="auto"/>
              <w:right w:val="single" w:sz="4" w:space="0" w:color="auto"/>
            </w:tcBorders>
            <w:shd w:val="clear" w:color="auto" w:fill="auto"/>
          </w:tcPr>
          <w:p w:rsidR="00850B27" w:rsidRPr="00DB671B" w:rsidRDefault="00850B27" w:rsidP="00DB671B">
            <w:pPr>
              <w:jc w:val="left"/>
              <w:rPr>
                <w:rFonts w:cs="Arial"/>
                <w:sz w:val="16"/>
                <w:szCs w:val="16"/>
              </w:rPr>
            </w:pPr>
            <w:r w:rsidRPr="00DB671B">
              <w:rPr>
                <w:rFonts w:cs="Arial"/>
                <w:sz w:val="16"/>
                <w:szCs w:val="16"/>
              </w:rPr>
              <w:t>Pois</w:t>
            </w:r>
          </w:p>
        </w:tc>
        <w:tc>
          <w:tcPr>
            <w:tcW w:w="1382" w:type="dxa"/>
            <w:tcBorders>
              <w:top w:val="single" w:sz="4" w:space="0" w:color="auto"/>
              <w:left w:val="nil"/>
              <w:bottom w:val="single" w:sz="4" w:space="0" w:color="auto"/>
              <w:right w:val="single" w:sz="4" w:space="0" w:color="auto"/>
            </w:tcBorders>
            <w:shd w:val="clear" w:color="auto" w:fill="auto"/>
          </w:tcPr>
          <w:p w:rsidR="00850B27" w:rsidRPr="00DB671B" w:rsidRDefault="00850B27" w:rsidP="00DB671B">
            <w:pPr>
              <w:jc w:val="left"/>
              <w:rPr>
                <w:rFonts w:cs="Arial"/>
                <w:sz w:val="16"/>
                <w:szCs w:val="16"/>
              </w:rPr>
            </w:pPr>
            <w:r w:rsidRPr="00DB671B">
              <w:rPr>
                <w:rFonts w:cs="Arial"/>
                <w:sz w:val="16"/>
                <w:szCs w:val="16"/>
              </w:rPr>
              <w:t>Erbse</w:t>
            </w:r>
          </w:p>
        </w:tc>
        <w:tc>
          <w:tcPr>
            <w:tcW w:w="1382" w:type="dxa"/>
            <w:tcBorders>
              <w:top w:val="single" w:sz="4" w:space="0" w:color="auto"/>
              <w:left w:val="nil"/>
              <w:bottom w:val="single" w:sz="4" w:space="0" w:color="auto"/>
              <w:right w:val="single" w:sz="4" w:space="0" w:color="auto"/>
            </w:tcBorders>
            <w:shd w:val="clear" w:color="auto" w:fill="auto"/>
          </w:tcPr>
          <w:p w:rsidR="00850B27" w:rsidRPr="00DB671B" w:rsidRDefault="00850B27" w:rsidP="00DB671B">
            <w:pPr>
              <w:jc w:val="left"/>
              <w:rPr>
                <w:rFonts w:cs="Arial"/>
                <w:sz w:val="16"/>
                <w:szCs w:val="16"/>
              </w:rPr>
            </w:pPr>
            <w:r w:rsidRPr="00DB671B">
              <w:rPr>
                <w:rFonts w:cs="Arial"/>
                <w:sz w:val="16"/>
                <w:szCs w:val="16"/>
              </w:rPr>
              <w:t>Guisante, Arveja</w:t>
            </w:r>
          </w:p>
        </w:tc>
        <w:tc>
          <w:tcPr>
            <w:tcW w:w="1701" w:type="dxa"/>
            <w:tcBorders>
              <w:top w:val="single" w:sz="4" w:space="0" w:color="auto"/>
              <w:left w:val="nil"/>
              <w:bottom w:val="single" w:sz="4" w:space="0" w:color="auto"/>
              <w:right w:val="single" w:sz="4" w:space="0" w:color="auto"/>
            </w:tcBorders>
            <w:shd w:val="clear" w:color="auto" w:fill="auto"/>
          </w:tcPr>
          <w:p w:rsidR="00850B27" w:rsidRPr="00DB671B" w:rsidRDefault="00850B27" w:rsidP="00DB671B">
            <w:pPr>
              <w:jc w:val="left"/>
              <w:rPr>
                <w:rFonts w:cs="Arial"/>
                <w:sz w:val="16"/>
                <w:szCs w:val="16"/>
              </w:rPr>
            </w:pPr>
            <w:r w:rsidRPr="00DB671B">
              <w:rPr>
                <w:rFonts w:cs="Arial"/>
                <w:sz w:val="16"/>
                <w:szCs w:val="16"/>
              </w:rPr>
              <w:t>Pisum sativum L,</w:t>
            </w:r>
          </w:p>
          <w:p w:rsidR="00850B27" w:rsidRPr="00DB671B" w:rsidRDefault="00850B27" w:rsidP="00DB671B">
            <w:pPr>
              <w:jc w:val="left"/>
              <w:rPr>
                <w:rFonts w:cs="Arial"/>
                <w:sz w:val="16"/>
                <w:szCs w:val="16"/>
              </w:rPr>
            </w:pPr>
            <w:r w:rsidRPr="00DB671B">
              <w:rPr>
                <w:rFonts w:cs="Arial"/>
                <w:sz w:val="16"/>
                <w:szCs w:val="16"/>
              </w:rPr>
              <w:t>Pisum arvense L.</w:t>
            </w:r>
          </w:p>
        </w:tc>
      </w:tr>
      <w:tr w:rsidR="00DB671B" w:rsidRPr="00DB671B" w:rsidTr="00DB671B">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rsidR="00850B27" w:rsidRPr="00DB671B" w:rsidRDefault="00850B27" w:rsidP="00DB671B">
            <w:pPr>
              <w:keepNext/>
              <w:jc w:val="left"/>
              <w:rPr>
                <w:rFonts w:cs="Arial"/>
                <w:sz w:val="16"/>
              </w:rPr>
            </w:pPr>
            <w:r w:rsidRPr="00DB671B">
              <w:rPr>
                <w:rFonts w:cs="Arial"/>
                <w:sz w:val="16"/>
              </w:rPr>
              <w:t>NL</w:t>
            </w:r>
          </w:p>
        </w:tc>
        <w:tc>
          <w:tcPr>
            <w:tcW w:w="590" w:type="dxa"/>
            <w:tcBorders>
              <w:top w:val="single" w:sz="4" w:space="0" w:color="auto"/>
              <w:left w:val="nil"/>
              <w:bottom w:val="single" w:sz="4" w:space="0" w:color="auto"/>
              <w:right w:val="single" w:sz="4" w:space="0" w:color="auto"/>
            </w:tcBorders>
            <w:shd w:val="clear" w:color="auto" w:fill="auto"/>
          </w:tcPr>
          <w:p w:rsidR="00850B27" w:rsidRPr="00DB671B" w:rsidRDefault="00850B27" w:rsidP="00DB671B">
            <w:pPr>
              <w:keepNext/>
              <w:jc w:val="left"/>
            </w:pPr>
            <w:r w:rsidRPr="00DB671B">
              <w:rPr>
                <w:rFonts w:cs="Arial"/>
                <w:sz w:val="16"/>
              </w:rPr>
              <w:t>TWV</w:t>
            </w:r>
          </w:p>
        </w:tc>
        <w:tc>
          <w:tcPr>
            <w:tcW w:w="1866" w:type="dxa"/>
            <w:tcBorders>
              <w:top w:val="single" w:sz="4" w:space="0" w:color="auto"/>
              <w:left w:val="nil"/>
              <w:bottom w:val="single" w:sz="4" w:space="0" w:color="auto"/>
              <w:right w:val="single" w:sz="4" w:space="0" w:color="auto"/>
            </w:tcBorders>
            <w:shd w:val="clear" w:color="auto" w:fill="auto"/>
          </w:tcPr>
          <w:p w:rsidR="00850B27" w:rsidRPr="00DB671B" w:rsidRDefault="00850B27" w:rsidP="00DB671B">
            <w:pPr>
              <w:jc w:val="left"/>
              <w:rPr>
                <w:rFonts w:cs="Arial"/>
                <w:sz w:val="16"/>
              </w:rPr>
            </w:pPr>
            <w:r w:rsidRPr="00DB671B">
              <w:rPr>
                <w:rFonts w:cs="Arial"/>
                <w:sz w:val="16"/>
              </w:rPr>
              <w:t>TG/13/11 Rev.</w:t>
            </w:r>
          </w:p>
        </w:tc>
        <w:tc>
          <w:tcPr>
            <w:tcW w:w="1382" w:type="dxa"/>
            <w:tcBorders>
              <w:top w:val="single" w:sz="4" w:space="0" w:color="auto"/>
              <w:left w:val="single" w:sz="4" w:space="0" w:color="auto"/>
              <w:bottom w:val="single" w:sz="4" w:space="0" w:color="auto"/>
              <w:right w:val="single" w:sz="4" w:space="0" w:color="auto"/>
            </w:tcBorders>
            <w:shd w:val="clear" w:color="auto" w:fill="auto"/>
          </w:tcPr>
          <w:p w:rsidR="00850B27" w:rsidRPr="00DB671B" w:rsidRDefault="00850B27" w:rsidP="00DB671B">
            <w:pPr>
              <w:jc w:val="left"/>
              <w:rPr>
                <w:rFonts w:cs="Arial"/>
                <w:sz w:val="16"/>
                <w:szCs w:val="16"/>
              </w:rPr>
            </w:pPr>
            <w:r w:rsidRPr="00DB671B">
              <w:rPr>
                <w:rFonts w:cs="Arial"/>
                <w:sz w:val="16"/>
                <w:szCs w:val="16"/>
              </w:rPr>
              <w:t>Lettuce</w:t>
            </w:r>
          </w:p>
        </w:tc>
        <w:tc>
          <w:tcPr>
            <w:tcW w:w="1382" w:type="dxa"/>
            <w:tcBorders>
              <w:top w:val="single" w:sz="4" w:space="0" w:color="auto"/>
              <w:left w:val="nil"/>
              <w:bottom w:val="single" w:sz="4" w:space="0" w:color="auto"/>
              <w:right w:val="single" w:sz="4" w:space="0" w:color="auto"/>
            </w:tcBorders>
            <w:shd w:val="clear" w:color="auto" w:fill="auto"/>
          </w:tcPr>
          <w:p w:rsidR="00850B27" w:rsidRPr="00DB671B" w:rsidRDefault="00850B27" w:rsidP="00DB671B">
            <w:pPr>
              <w:jc w:val="left"/>
              <w:rPr>
                <w:rFonts w:cs="Arial"/>
                <w:sz w:val="16"/>
                <w:szCs w:val="16"/>
              </w:rPr>
            </w:pPr>
            <w:r w:rsidRPr="00DB671B">
              <w:rPr>
                <w:rFonts w:cs="Arial"/>
                <w:sz w:val="16"/>
                <w:szCs w:val="16"/>
              </w:rPr>
              <w:t>Laitue</w:t>
            </w:r>
          </w:p>
        </w:tc>
        <w:tc>
          <w:tcPr>
            <w:tcW w:w="1382" w:type="dxa"/>
            <w:tcBorders>
              <w:top w:val="single" w:sz="4" w:space="0" w:color="auto"/>
              <w:left w:val="nil"/>
              <w:bottom w:val="single" w:sz="4" w:space="0" w:color="auto"/>
              <w:right w:val="single" w:sz="4" w:space="0" w:color="auto"/>
            </w:tcBorders>
            <w:shd w:val="clear" w:color="auto" w:fill="auto"/>
          </w:tcPr>
          <w:p w:rsidR="00850B27" w:rsidRPr="00DB671B" w:rsidRDefault="00850B27" w:rsidP="00DB671B">
            <w:pPr>
              <w:jc w:val="left"/>
              <w:rPr>
                <w:rFonts w:cs="Arial"/>
                <w:sz w:val="16"/>
                <w:szCs w:val="16"/>
              </w:rPr>
            </w:pPr>
            <w:r w:rsidRPr="00DB671B">
              <w:rPr>
                <w:rFonts w:cs="Arial"/>
                <w:sz w:val="16"/>
                <w:szCs w:val="16"/>
              </w:rPr>
              <w:t>Salat</w:t>
            </w:r>
          </w:p>
        </w:tc>
        <w:tc>
          <w:tcPr>
            <w:tcW w:w="1382" w:type="dxa"/>
            <w:tcBorders>
              <w:top w:val="single" w:sz="4" w:space="0" w:color="auto"/>
              <w:left w:val="nil"/>
              <w:bottom w:val="single" w:sz="4" w:space="0" w:color="auto"/>
              <w:right w:val="single" w:sz="4" w:space="0" w:color="auto"/>
            </w:tcBorders>
            <w:shd w:val="clear" w:color="auto" w:fill="auto"/>
          </w:tcPr>
          <w:p w:rsidR="00850B27" w:rsidRPr="00DB671B" w:rsidRDefault="00850B27" w:rsidP="00DB671B">
            <w:pPr>
              <w:jc w:val="left"/>
              <w:rPr>
                <w:rFonts w:cs="Arial"/>
                <w:sz w:val="16"/>
                <w:szCs w:val="16"/>
              </w:rPr>
            </w:pPr>
            <w:r w:rsidRPr="00DB671B">
              <w:rPr>
                <w:rFonts w:cs="Arial"/>
                <w:sz w:val="16"/>
                <w:szCs w:val="16"/>
              </w:rPr>
              <w:t>Lechuga</w:t>
            </w:r>
          </w:p>
        </w:tc>
        <w:tc>
          <w:tcPr>
            <w:tcW w:w="1701" w:type="dxa"/>
            <w:tcBorders>
              <w:top w:val="single" w:sz="4" w:space="0" w:color="auto"/>
              <w:left w:val="nil"/>
              <w:bottom w:val="single" w:sz="4" w:space="0" w:color="auto"/>
              <w:right w:val="single" w:sz="4" w:space="0" w:color="auto"/>
            </w:tcBorders>
            <w:shd w:val="clear" w:color="auto" w:fill="auto"/>
          </w:tcPr>
          <w:p w:rsidR="00850B27" w:rsidRPr="00DB671B" w:rsidRDefault="00850B27" w:rsidP="00DB671B">
            <w:pPr>
              <w:jc w:val="left"/>
              <w:rPr>
                <w:rFonts w:cs="Arial"/>
                <w:sz w:val="16"/>
                <w:szCs w:val="16"/>
              </w:rPr>
            </w:pPr>
            <w:r w:rsidRPr="00DB671B">
              <w:rPr>
                <w:rFonts w:cs="Arial"/>
                <w:sz w:val="16"/>
                <w:szCs w:val="18"/>
                <w:shd w:val="clear" w:color="auto" w:fill="FFFFFF"/>
              </w:rPr>
              <w:t>Lactuca sativa L.</w:t>
            </w:r>
          </w:p>
        </w:tc>
      </w:tr>
      <w:tr w:rsidR="00DB671B" w:rsidRPr="00DB671B" w:rsidTr="00DB671B">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rsidR="00850B27" w:rsidRPr="00DB671B" w:rsidRDefault="00850B27" w:rsidP="00DB671B">
            <w:pPr>
              <w:keepNext/>
              <w:jc w:val="left"/>
              <w:rPr>
                <w:rFonts w:cs="Arial"/>
                <w:sz w:val="16"/>
              </w:rPr>
            </w:pPr>
            <w:r w:rsidRPr="00DB671B">
              <w:rPr>
                <w:rFonts w:cs="Arial"/>
                <w:sz w:val="16"/>
              </w:rPr>
              <w:t>NL</w:t>
            </w:r>
          </w:p>
        </w:tc>
        <w:tc>
          <w:tcPr>
            <w:tcW w:w="590" w:type="dxa"/>
            <w:tcBorders>
              <w:top w:val="single" w:sz="4" w:space="0" w:color="auto"/>
              <w:left w:val="nil"/>
              <w:bottom w:val="single" w:sz="4" w:space="0" w:color="auto"/>
              <w:right w:val="single" w:sz="4" w:space="0" w:color="auto"/>
            </w:tcBorders>
            <w:shd w:val="clear" w:color="auto" w:fill="auto"/>
          </w:tcPr>
          <w:p w:rsidR="00850B27" w:rsidRPr="00DB671B" w:rsidRDefault="00850B27" w:rsidP="00DB671B">
            <w:pPr>
              <w:keepNext/>
              <w:jc w:val="left"/>
            </w:pPr>
            <w:r w:rsidRPr="00DB671B">
              <w:rPr>
                <w:rFonts w:cs="Arial"/>
                <w:sz w:val="16"/>
              </w:rPr>
              <w:t>TWV</w:t>
            </w:r>
          </w:p>
        </w:tc>
        <w:tc>
          <w:tcPr>
            <w:tcW w:w="1866" w:type="dxa"/>
            <w:tcBorders>
              <w:top w:val="single" w:sz="4" w:space="0" w:color="auto"/>
              <w:left w:val="nil"/>
              <w:bottom w:val="single" w:sz="4" w:space="0" w:color="auto"/>
              <w:right w:val="single" w:sz="4" w:space="0" w:color="auto"/>
            </w:tcBorders>
            <w:shd w:val="clear" w:color="auto" w:fill="auto"/>
          </w:tcPr>
          <w:p w:rsidR="00850B27" w:rsidRPr="00DB671B" w:rsidRDefault="00850B27" w:rsidP="00DB671B">
            <w:pPr>
              <w:jc w:val="left"/>
              <w:rPr>
                <w:rFonts w:cs="Arial"/>
                <w:sz w:val="16"/>
              </w:rPr>
            </w:pPr>
            <w:r w:rsidRPr="00DB671B">
              <w:rPr>
                <w:rFonts w:cs="Arial"/>
                <w:sz w:val="16"/>
              </w:rPr>
              <w:t>TG/55/7 Rev. 6</w:t>
            </w:r>
          </w:p>
        </w:tc>
        <w:tc>
          <w:tcPr>
            <w:tcW w:w="1382" w:type="dxa"/>
            <w:tcBorders>
              <w:top w:val="single" w:sz="4" w:space="0" w:color="auto"/>
              <w:left w:val="single" w:sz="4" w:space="0" w:color="auto"/>
              <w:bottom w:val="single" w:sz="4" w:space="0" w:color="auto"/>
              <w:right w:val="single" w:sz="4" w:space="0" w:color="auto"/>
            </w:tcBorders>
            <w:shd w:val="clear" w:color="auto" w:fill="auto"/>
          </w:tcPr>
          <w:p w:rsidR="00850B27" w:rsidRPr="00DB671B" w:rsidRDefault="00850B27" w:rsidP="00DB671B">
            <w:pPr>
              <w:jc w:val="left"/>
              <w:rPr>
                <w:rFonts w:cs="Arial"/>
                <w:sz w:val="16"/>
                <w:szCs w:val="16"/>
              </w:rPr>
            </w:pPr>
            <w:r w:rsidRPr="00DB671B">
              <w:rPr>
                <w:rFonts w:cs="Arial"/>
                <w:sz w:val="16"/>
                <w:szCs w:val="16"/>
              </w:rPr>
              <w:t>Spinach</w:t>
            </w:r>
          </w:p>
        </w:tc>
        <w:tc>
          <w:tcPr>
            <w:tcW w:w="1382" w:type="dxa"/>
            <w:tcBorders>
              <w:top w:val="single" w:sz="4" w:space="0" w:color="auto"/>
              <w:left w:val="nil"/>
              <w:bottom w:val="single" w:sz="4" w:space="0" w:color="auto"/>
              <w:right w:val="single" w:sz="4" w:space="0" w:color="auto"/>
            </w:tcBorders>
            <w:shd w:val="clear" w:color="auto" w:fill="auto"/>
          </w:tcPr>
          <w:p w:rsidR="00850B27" w:rsidRPr="00DB671B" w:rsidRDefault="00850B27" w:rsidP="00DB671B">
            <w:pPr>
              <w:jc w:val="left"/>
              <w:rPr>
                <w:rFonts w:cs="Arial"/>
                <w:sz w:val="16"/>
                <w:szCs w:val="16"/>
              </w:rPr>
            </w:pPr>
            <w:r w:rsidRPr="00DB671B">
              <w:rPr>
                <w:rFonts w:cs="Arial"/>
                <w:sz w:val="16"/>
                <w:szCs w:val="16"/>
              </w:rPr>
              <w:t>Épinard</w:t>
            </w:r>
          </w:p>
        </w:tc>
        <w:tc>
          <w:tcPr>
            <w:tcW w:w="1382" w:type="dxa"/>
            <w:tcBorders>
              <w:top w:val="single" w:sz="4" w:space="0" w:color="auto"/>
              <w:left w:val="nil"/>
              <w:bottom w:val="single" w:sz="4" w:space="0" w:color="auto"/>
              <w:right w:val="single" w:sz="4" w:space="0" w:color="auto"/>
            </w:tcBorders>
            <w:shd w:val="clear" w:color="auto" w:fill="auto"/>
          </w:tcPr>
          <w:p w:rsidR="00850B27" w:rsidRPr="00DB671B" w:rsidRDefault="00850B27" w:rsidP="00DB671B">
            <w:pPr>
              <w:jc w:val="left"/>
              <w:rPr>
                <w:rFonts w:cs="Arial"/>
                <w:sz w:val="16"/>
                <w:szCs w:val="16"/>
              </w:rPr>
            </w:pPr>
            <w:r w:rsidRPr="00DB671B">
              <w:rPr>
                <w:rFonts w:cs="Arial"/>
                <w:sz w:val="16"/>
                <w:szCs w:val="16"/>
              </w:rPr>
              <w:t>Spinat</w:t>
            </w:r>
          </w:p>
        </w:tc>
        <w:tc>
          <w:tcPr>
            <w:tcW w:w="1382" w:type="dxa"/>
            <w:tcBorders>
              <w:top w:val="single" w:sz="4" w:space="0" w:color="auto"/>
              <w:left w:val="nil"/>
              <w:bottom w:val="single" w:sz="4" w:space="0" w:color="auto"/>
              <w:right w:val="single" w:sz="4" w:space="0" w:color="auto"/>
            </w:tcBorders>
            <w:shd w:val="clear" w:color="auto" w:fill="auto"/>
          </w:tcPr>
          <w:p w:rsidR="00850B27" w:rsidRPr="00DB671B" w:rsidRDefault="00850B27" w:rsidP="00DB671B">
            <w:pPr>
              <w:jc w:val="left"/>
              <w:rPr>
                <w:rFonts w:cs="Arial"/>
                <w:sz w:val="16"/>
                <w:szCs w:val="16"/>
              </w:rPr>
            </w:pPr>
            <w:r w:rsidRPr="00DB671B">
              <w:rPr>
                <w:rFonts w:cs="Arial"/>
                <w:sz w:val="16"/>
                <w:szCs w:val="16"/>
              </w:rPr>
              <w:t>Espinaca</w:t>
            </w:r>
          </w:p>
        </w:tc>
        <w:tc>
          <w:tcPr>
            <w:tcW w:w="1701" w:type="dxa"/>
            <w:tcBorders>
              <w:top w:val="single" w:sz="4" w:space="0" w:color="auto"/>
              <w:left w:val="nil"/>
              <w:bottom w:val="single" w:sz="4" w:space="0" w:color="auto"/>
              <w:right w:val="single" w:sz="4" w:space="0" w:color="auto"/>
            </w:tcBorders>
            <w:shd w:val="clear" w:color="auto" w:fill="auto"/>
          </w:tcPr>
          <w:p w:rsidR="00850B27" w:rsidRPr="00DB671B" w:rsidRDefault="00850B27" w:rsidP="00DB671B">
            <w:pPr>
              <w:jc w:val="left"/>
              <w:rPr>
                <w:rFonts w:cs="Arial"/>
                <w:sz w:val="16"/>
                <w:szCs w:val="16"/>
              </w:rPr>
            </w:pPr>
            <w:r w:rsidRPr="00DB671B">
              <w:rPr>
                <w:rFonts w:cs="Arial"/>
                <w:sz w:val="16"/>
                <w:szCs w:val="16"/>
              </w:rPr>
              <w:t>Spinacia oleracea L.</w:t>
            </w:r>
          </w:p>
        </w:tc>
      </w:tr>
      <w:tr w:rsidR="00DB671B" w:rsidRPr="00DB671B" w:rsidTr="00DB671B">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rsidR="00850B27" w:rsidRPr="00DB671B" w:rsidRDefault="00850B27" w:rsidP="00DB671B">
            <w:pPr>
              <w:jc w:val="left"/>
              <w:rPr>
                <w:rFonts w:cs="Arial"/>
                <w:sz w:val="16"/>
              </w:rPr>
            </w:pPr>
            <w:r w:rsidRPr="00DB671B">
              <w:rPr>
                <w:rFonts w:cs="Arial"/>
                <w:sz w:val="16"/>
              </w:rPr>
              <w:t>ES</w:t>
            </w:r>
          </w:p>
        </w:tc>
        <w:tc>
          <w:tcPr>
            <w:tcW w:w="590" w:type="dxa"/>
            <w:tcBorders>
              <w:top w:val="single" w:sz="4" w:space="0" w:color="auto"/>
              <w:left w:val="nil"/>
              <w:bottom w:val="single" w:sz="4" w:space="0" w:color="auto"/>
              <w:right w:val="single" w:sz="4" w:space="0" w:color="auto"/>
            </w:tcBorders>
            <w:shd w:val="clear" w:color="auto" w:fill="auto"/>
          </w:tcPr>
          <w:p w:rsidR="00850B27" w:rsidRPr="00DB671B" w:rsidRDefault="00850B27" w:rsidP="00DB671B">
            <w:pPr>
              <w:jc w:val="left"/>
              <w:rPr>
                <w:rFonts w:cs="Arial"/>
                <w:sz w:val="16"/>
              </w:rPr>
            </w:pPr>
            <w:r w:rsidRPr="00DB671B">
              <w:rPr>
                <w:rFonts w:cs="Arial"/>
                <w:sz w:val="16"/>
              </w:rPr>
              <w:t>TWF</w:t>
            </w:r>
          </w:p>
        </w:tc>
        <w:tc>
          <w:tcPr>
            <w:tcW w:w="1866" w:type="dxa"/>
            <w:tcBorders>
              <w:top w:val="single" w:sz="4" w:space="0" w:color="auto"/>
              <w:left w:val="nil"/>
              <w:bottom w:val="single" w:sz="4" w:space="0" w:color="auto"/>
              <w:right w:val="single" w:sz="4" w:space="0" w:color="auto"/>
            </w:tcBorders>
            <w:shd w:val="clear" w:color="auto" w:fill="auto"/>
          </w:tcPr>
          <w:p w:rsidR="00850B27" w:rsidRPr="00DB671B" w:rsidRDefault="00850B27" w:rsidP="00DB671B">
            <w:pPr>
              <w:jc w:val="left"/>
              <w:rPr>
                <w:rFonts w:cs="Arial"/>
                <w:sz w:val="16"/>
              </w:rPr>
            </w:pPr>
            <w:r w:rsidRPr="00DB671B">
              <w:rPr>
                <w:rFonts w:cs="Arial"/>
                <w:sz w:val="16"/>
              </w:rPr>
              <w:t>TG/56/4 Corr. Rev.</w:t>
            </w:r>
          </w:p>
        </w:tc>
        <w:tc>
          <w:tcPr>
            <w:tcW w:w="1382" w:type="dxa"/>
            <w:tcBorders>
              <w:top w:val="single" w:sz="4" w:space="0" w:color="auto"/>
              <w:left w:val="single" w:sz="4" w:space="0" w:color="auto"/>
              <w:bottom w:val="single" w:sz="4" w:space="0" w:color="auto"/>
              <w:right w:val="single" w:sz="4" w:space="0" w:color="auto"/>
            </w:tcBorders>
            <w:shd w:val="clear" w:color="auto" w:fill="auto"/>
          </w:tcPr>
          <w:p w:rsidR="00850B27" w:rsidRPr="00DB671B" w:rsidRDefault="00850B27" w:rsidP="00DB671B">
            <w:pPr>
              <w:jc w:val="left"/>
              <w:rPr>
                <w:rFonts w:cs="Arial"/>
                <w:sz w:val="16"/>
                <w:szCs w:val="16"/>
              </w:rPr>
            </w:pPr>
            <w:r w:rsidRPr="00DB671B">
              <w:rPr>
                <w:rFonts w:cs="Arial"/>
                <w:sz w:val="16"/>
                <w:szCs w:val="16"/>
              </w:rPr>
              <w:t>Almond</w:t>
            </w:r>
          </w:p>
        </w:tc>
        <w:tc>
          <w:tcPr>
            <w:tcW w:w="1382" w:type="dxa"/>
            <w:tcBorders>
              <w:top w:val="single" w:sz="4" w:space="0" w:color="auto"/>
              <w:left w:val="nil"/>
              <w:bottom w:val="single" w:sz="4" w:space="0" w:color="auto"/>
              <w:right w:val="single" w:sz="4" w:space="0" w:color="auto"/>
            </w:tcBorders>
            <w:shd w:val="clear" w:color="auto" w:fill="auto"/>
          </w:tcPr>
          <w:p w:rsidR="00850B27" w:rsidRPr="00DB671B" w:rsidRDefault="00850B27" w:rsidP="00DB671B">
            <w:pPr>
              <w:jc w:val="left"/>
              <w:rPr>
                <w:rFonts w:cs="Arial"/>
                <w:sz w:val="16"/>
                <w:szCs w:val="16"/>
              </w:rPr>
            </w:pPr>
            <w:r w:rsidRPr="00DB671B">
              <w:rPr>
                <w:rFonts w:cs="Arial"/>
                <w:sz w:val="16"/>
                <w:szCs w:val="16"/>
              </w:rPr>
              <w:t>Amandier</w:t>
            </w:r>
          </w:p>
        </w:tc>
        <w:tc>
          <w:tcPr>
            <w:tcW w:w="1382" w:type="dxa"/>
            <w:tcBorders>
              <w:top w:val="single" w:sz="4" w:space="0" w:color="auto"/>
              <w:left w:val="nil"/>
              <w:bottom w:val="single" w:sz="4" w:space="0" w:color="auto"/>
              <w:right w:val="single" w:sz="4" w:space="0" w:color="auto"/>
            </w:tcBorders>
            <w:shd w:val="clear" w:color="auto" w:fill="auto"/>
          </w:tcPr>
          <w:p w:rsidR="00850B27" w:rsidRPr="00DB671B" w:rsidRDefault="00850B27" w:rsidP="00DB671B">
            <w:pPr>
              <w:jc w:val="left"/>
              <w:rPr>
                <w:rFonts w:cs="Arial"/>
                <w:sz w:val="16"/>
                <w:szCs w:val="16"/>
              </w:rPr>
            </w:pPr>
            <w:r w:rsidRPr="00DB671B">
              <w:rPr>
                <w:rFonts w:cs="Arial"/>
                <w:sz w:val="16"/>
                <w:szCs w:val="16"/>
              </w:rPr>
              <w:t>Mandel</w:t>
            </w:r>
          </w:p>
        </w:tc>
        <w:tc>
          <w:tcPr>
            <w:tcW w:w="1382" w:type="dxa"/>
            <w:tcBorders>
              <w:top w:val="single" w:sz="4" w:space="0" w:color="auto"/>
              <w:left w:val="nil"/>
              <w:bottom w:val="single" w:sz="4" w:space="0" w:color="auto"/>
              <w:right w:val="single" w:sz="4" w:space="0" w:color="auto"/>
            </w:tcBorders>
            <w:shd w:val="clear" w:color="auto" w:fill="auto"/>
          </w:tcPr>
          <w:p w:rsidR="00850B27" w:rsidRPr="00DB671B" w:rsidRDefault="00850B27" w:rsidP="00DB671B">
            <w:pPr>
              <w:jc w:val="left"/>
              <w:rPr>
                <w:rFonts w:cs="Arial"/>
                <w:sz w:val="16"/>
                <w:szCs w:val="16"/>
              </w:rPr>
            </w:pPr>
            <w:r w:rsidRPr="00DB671B">
              <w:rPr>
                <w:rFonts w:cs="Arial"/>
                <w:sz w:val="16"/>
                <w:szCs w:val="16"/>
              </w:rPr>
              <w:t xml:space="preserve">Almendro </w:t>
            </w:r>
          </w:p>
        </w:tc>
        <w:tc>
          <w:tcPr>
            <w:tcW w:w="1701" w:type="dxa"/>
            <w:tcBorders>
              <w:top w:val="single" w:sz="4" w:space="0" w:color="auto"/>
              <w:left w:val="nil"/>
              <w:bottom w:val="single" w:sz="4" w:space="0" w:color="auto"/>
              <w:right w:val="single" w:sz="4" w:space="0" w:color="auto"/>
            </w:tcBorders>
            <w:shd w:val="clear" w:color="auto" w:fill="auto"/>
          </w:tcPr>
          <w:p w:rsidR="00850B27" w:rsidRPr="00DB671B" w:rsidRDefault="00850B27" w:rsidP="00DB671B">
            <w:pPr>
              <w:jc w:val="left"/>
              <w:rPr>
                <w:rFonts w:cs="Arial"/>
                <w:sz w:val="16"/>
                <w:szCs w:val="16"/>
              </w:rPr>
            </w:pPr>
            <w:r w:rsidRPr="00DB671B">
              <w:rPr>
                <w:rFonts w:cs="Arial"/>
                <w:sz w:val="16"/>
                <w:szCs w:val="16"/>
              </w:rPr>
              <w:t>Prunus dulcis (Mill.) D.A.Webb, Prunus amygdalus (L.)</w:t>
            </w:r>
          </w:p>
        </w:tc>
      </w:tr>
      <w:tr w:rsidR="00DB671B" w:rsidRPr="00DB671B" w:rsidTr="00DB671B">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rsidR="00850B27" w:rsidRPr="00DB671B" w:rsidRDefault="00850B27" w:rsidP="00DB671B">
            <w:pPr>
              <w:jc w:val="left"/>
              <w:rPr>
                <w:rFonts w:cs="Arial"/>
                <w:sz w:val="16"/>
              </w:rPr>
            </w:pPr>
            <w:r w:rsidRPr="00DB671B">
              <w:rPr>
                <w:rFonts w:cs="Arial"/>
                <w:sz w:val="16"/>
              </w:rPr>
              <w:t>NZ</w:t>
            </w:r>
          </w:p>
        </w:tc>
        <w:tc>
          <w:tcPr>
            <w:tcW w:w="590" w:type="dxa"/>
            <w:tcBorders>
              <w:top w:val="single" w:sz="4" w:space="0" w:color="auto"/>
              <w:left w:val="nil"/>
              <w:bottom w:val="single" w:sz="4" w:space="0" w:color="auto"/>
              <w:right w:val="single" w:sz="4" w:space="0" w:color="auto"/>
            </w:tcBorders>
            <w:shd w:val="clear" w:color="auto" w:fill="auto"/>
          </w:tcPr>
          <w:p w:rsidR="00850B27" w:rsidRPr="00DB671B" w:rsidRDefault="00850B27" w:rsidP="00DB671B">
            <w:pPr>
              <w:jc w:val="left"/>
              <w:rPr>
                <w:rFonts w:cs="Arial"/>
                <w:sz w:val="16"/>
              </w:rPr>
            </w:pPr>
            <w:r w:rsidRPr="00DB671B">
              <w:rPr>
                <w:rFonts w:cs="Arial"/>
                <w:sz w:val="16"/>
              </w:rPr>
              <w:t>TWF</w:t>
            </w:r>
          </w:p>
        </w:tc>
        <w:tc>
          <w:tcPr>
            <w:tcW w:w="1866" w:type="dxa"/>
            <w:tcBorders>
              <w:top w:val="single" w:sz="4" w:space="0" w:color="auto"/>
              <w:left w:val="nil"/>
              <w:bottom w:val="single" w:sz="4" w:space="0" w:color="auto"/>
              <w:right w:val="single" w:sz="4" w:space="0" w:color="auto"/>
            </w:tcBorders>
            <w:shd w:val="clear" w:color="auto" w:fill="auto"/>
          </w:tcPr>
          <w:p w:rsidR="00850B27" w:rsidRPr="00DB671B" w:rsidRDefault="00850B27" w:rsidP="00DB671B">
            <w:pPr>
              <w:jc w:val="left"/>
              <w:rPr>
                <w:rFonts w:cs="Arial"/>
                <w:sz w:val="16"/>
              </w:rPr>
            </w:pPr>
            <w:r w:rsidRPr="00DB671B">
              <w:rPr>
                <w:rFonts w:cs="Arial"/>
                <w:sz w:val="16"/>
              </w:rPr>
              <w:t>TG/98/7 Rev.</w:t>
            </w:r>
          </w:p>
        </w:tc>
        <w:tc>
          <w:tcPr>
            <w:tcW w:w="1382" w:type="dxa"/>
            <w:tcBorders>
              <w:top w:val="single" w:sz="4" w:space="0" w:color="auto"/>
              <w:left w:val="single" w:sz="4" w:space="0" w:color="auto"/>
              <w:bottom w:val="single" w:sz="4" w:space="0" w:color="auto"/>
              <w:right w:val="single" w:sz="4" w:space="0" w:color="auto"/>
            </w:tcBorders>
            <w:shd w:val="clear" w:color="auto" w:fill="auto"/>
          </w:tcPr>
          <w:p w:rsidR="00850B27" w:rsidRPr="00DB671B" w:rsidRDefault="00850B27" w:rsidP="00DB671B">
            <w:pPr>
              <w:jc w:val="left"/>
              <w:rPr>
                <w:rFonts w:cs="Arial"/>
                <w:sz w:val="16"/>
                <w:szCs w:val="16"/>
              </w:rPr>
            </w:pPr>
            <w:r w:rsidRPr="00DB671B">
              <w:rPr>
                <w:rFonts w:cs="Arial"/>
                <w:sz w:val="16"/>
                <w:szCs w:val="16"/>
              </w:rPr>
              <w:t>Actinidia, K</w:t>
            </w:r>
            <w:r w:rsidRPr="00DB671B">
              <w:rPr>
                <w:sz w:val="16"/>
              </w:rPr>
              <w:t>iwifruit</w:t>
            </w:r>
          </w:p>
        </w:tc>
        <w:tc>
          <w:tcPr>
            <w:tcW w:w="1382" w:type="dxa"/>
            <w:tcBorders>
              <w:top w:val="single" w:sz="4" w:space="0" w:color="auto"/>
              <w:left w:val="nil"/>
              <w:bottom w:val="single" w:sz="4" w:space="0" w:color="auto"/>
              <w:right w:val="single" w:sz="4" w:space="0" w:color="auto"/>
            </w:tcBorders>
            <w:shd w:val="clear" w:color="auto" w:fill="auto"/>
          </w:tcPr>
          <w:p w:rsidR="00850B27" w:rsidRPr="00DB671B" w:rsidRDefault="00850B27" w:rsidP="00DB671B">
            <w:pPr>
              <w:jc w:val="left"/>
              <w:rPr>
                <w:rFonts w:cs="Arial"/>
                <w:sz w:val="16"/>
                <w:szCs w:val="16"/>
              </w:rPr>
            </w:pPr>
            <w:r w:rsidRPr="00DB671B">
              <w:rPr>
                <w:rFonts w:cs="Arial"/>
                <w:sz w:val="16"/>
                <w:szCs w:val="16"/>
              </w:rPr>
              <w:t xml:space="preserve">Actinidia </w:t>
            </w:r>
          </w:p>
        </w:tc>
        <w:tc>
          <w:tcPr>
            <w:tcW w:w="1382" w:type="dxa"/>
            <w:tcBorders>
              <w:top w:val="single" w:sz="4" w:space="0" w:color="auto"/>
              <w:left w:val="nil"/>
              <w:bottom w:val="single" w:sz="4" w:space="0" w:color="auto"/>
              <w:right w:val="single" w:sz="4" w:space="0" w:color="auto"/>
            </w:tcBorders>
            <w:shd w:val="clear" w:color="auto" w:fill="auto"/>
          </w:tcPr>
          <w:p w:rsidR="00850B27" w:rsidRPr="00DB671B" w:rsidRDefault="00850B27" w:rsidP="00DB671B">
            <w:pPr>
              <w:jc w:val="left"/>
              <w:rPr>
                <w:rFonts w:cs="Arial"/>
                <w:sz w:val="16"/>
                <w:szCs w:val="16"/>
              </w:rPr>
            </w:pPr>
            <w:r w:rsidRPr="00DB671B">
              <w:rPr>
                <w:rFonts w:cs="Arial"/>
                <w:sz w:val="16"/>
                <w:szCs w:val="16"/>
              </w:rPr>
              <w:t xml:space="preserve">Actinidia </w:t>
            </w:r>
          </w:p>
        </w:tc>
        <w:tc>
          <w:tcPr>
            <w:tcW w:w="1382" w:type="dxa"/>
            <w:tcBorders>
              <w:top w:val="single" w:sz="4" w:space="0" w:color="auto"/>
              <w:left w:val="nil"/>
              <w:bottom w:val="single" w:sz="4" w:space="0" w:color="auto"/>
              <w:right w:val="single" w:sz="4" w:space="0" w:color="auto"/>
            </w:tcBorders>
            <w:shd w:val="clear" w:color="auto" w:fill="auto"/>
          </w:tcPr>
          <w:p w:rsidR="00850B27" w:rsidRPr="00DB671B" w:rsidRDefault="00850B27" w:rsidP="00DB671B">
            <w:pPr>
              <w:jc w:val="left"/>
              <w:rPr>
                <w:rFonts w:cs="Arial"/>
                <w:sz w:val="16"/>
                <w:szCs w:val="16"/>
              </w:rPr>
            </w:pPr>
            <w:r w:rsidRPr="00DB671B">
              <w:rPr>
                <w:rFonts w:cs="Arial"/>
                <w:sz w:val="16"/>
                <w:szCs w:val="16"/>
              </w:rPr>
              <w:t xml:space="preserve">Actinidia </w:t>
            </w:r>
          </w:p>
        </w:tc>
        <w:tc>
          <w:tcPr>
            <w:tcW w:w="1701" w:type="dxa"/>
            <w:tcBorders>
              <w:top w:val="single" w:sz="4" w:space="0" w:color="auto"/>
              <w:left w:val="nil"/>
              <w:bottom w:val="single" w:sz="4" w:space="0" w:color="auto"/>
              <w:right w:val="single" w:sz="4" w:space="0" w:color="auto"/>
            </w:tcBorders>
            <w:shd w:val="clear" w:color="auto" w:fill="auto"/>
          </w:tcPr>
          <w:p w:rsidR="00850B27" w:rsidRPr="00DB671B" w:rsidRDefault="00850B27" w:rsidP="00DB671B">
            <w:pPr>
              <w:jc w:val="left"/>
              <w:rPr>
                <w:rFonts w:cs="Arial"/>
                <w:sz w:val="16"/>
                <w:szCs w:val="16"/>
              </w:rPr>
            </w:pPr>
            <w:r w:rsidRPr="00DB671B">
              <w:rPr>
                <w:rFonts w:cs="Arial"/>
                <w:sz w:val="16"/>
                <w:szCs w:val="16"/>
              </w:rPr>
              <w:t>Actinidia Lindl.</w:t>
            </w:r>
          </w:p>
        </w:tc>
      </w:tr>
      <w:tr w:rsidR="00DB671B" w:rsidRPr="00DB671B" w:rsidTr="00DB671B">
        <w:tblPrEx>
          <w:tblLook w:val="0000" w:firstRow="0" w:lastRow="0" w:firstColumn="0" w:lastColumn="0" w:noHBand="0" w:noVBand="0"/>
        </w:tblPrEx>
        <w:tc>
          <w:tcPr>
            <w:tcW w:w="590" w:type="dxa"/>
            <w:tcBorders>
              <w:top w:val="single" w:sz="4" w:space="0" w:color="auto"/>
              <w:left w:val="single" w:sz="4" w:space="0" w:color="auto"/>
              <w:bottom w:val="single" w:sz="4" w:space="0" w:color="auto"/>
              <w:right w:val="single" w:sz="4" w:space="0" w:color="auto"/>
            </w:tcBorders>
          </w:tcPr>
          <w:p w:rsidR="00850B27" w:rsidRPr="00DB671B" w:rsidRDefault="00850B27" w:rsidP="00DB671B">
            <w:pPr>
              <w:jc w:val="left"/>
              <w:rPr>
                <w:rFonts w:cs="Arial"/>
                <w:sz w:val="16"/>
              </w:rPr>
            </w:pPr>
            <w:r w:rsidRPr="00DB671B">
              <w:rPr>
                <w:rFonts w:cs="Arial"/>
                <w:sz w:val="16"/>
              </w:rPr>
              <w:t>BR</w:t>
            </w:r>
          </w:p>
        </w:tc>
        <w:tc>
          <w:tcPr>
            <w:tcW w:w="590" w:type="dxa"/>
            <w:tcBorders>
              <w:top w:val="single" w:sz="4" w:space="0" w:color="auto"/>
              <w:left w:val="nil"/>
              <w:bottom w:val="single" w:sz="4" w:space="0" w:color="auto"/>
              <w:right w:val="single" w:sz="4" w:space="0" w:color="auto"/>
            </w:tcBorders>
            <w:shd w:val="clear" w:color="auto" w:fill="auto"/>
          </w:tcPr>
          <w:p w:rsidR="00850B27" w:rsidRPr="00DB671B" w:rsidRDefault="00850B27" w:rsidP="00DB671B">
            <w:pPr>
              <w:jc w:val="left"/>
              <w:rPr>
                <w:rFonts w:cs="Arial"/>
                <w:sz w:val="16"/>
              </w:rPr>
            </w:pPr>
            <w:r w:rsidRPr="00DB671B">
              <w:rPr>
                <w:rFonts w:cs="Arial"/>
                <w:sz w:val="16"/>
              </w:rPr>
              <w:t>TWF</w:t>
            </w:r>
          </w:p>
        </w:tc>
        <w:tc>
          <w:tcPr>
            <w:tcW w:w="1866" w:type="dxa"/>
            <w:tcBorders>
              <w:top w:val="single" w:sz="4" w:space="0" w:color="auto"/>
              <w:left w:val="nil"/>
              <w:bottom w:val="single" w:sz="4" w:space="0" w:color="auto"/>
              <w:right w:val="single" w:sz="4" w:space="0" w:color="auto"/>
            </w:tcBorders>
            <w:shd w:val="clear" w:color="auto" w:fill="auto"/>
          </w:tcPr>
          <w:p w:rsidR="00850B27" w:rsidRPr="00DB671B" w:rsidRDefault="00850B27" w:rsidP="00DB671B">
            <w:pPr>
              <w:jc w:val="left"/>
              <w:rPr>
                <w:rFonts w:cs="Arial"/>
                <w:sz w:val="16"/>
              </w:rPr>
            </w:pPr>
            <w:r w:rsidRPr="00DB671B">
              <w:rPr>
                <w:rFonts w:cs="Arial"/>
                <w:sz w:val="16"/>
              </w:rPr>
              <w:t>TG/314/1 Rev.</w:t>
            </w:r>
          </w:p>
        </w:tc>
        <w:tc>
          <w:tcPr>
            <w:tcW w:w="1382" w:type="dxa"/>
            <w:tcBorders>
              <w:top w:val="single" w:sz="4" w:space="0" w:color="auto"/>
              <w:left w:val="single" w:sz="4" w:space="0" w:color="auto"/>
              <w:bottom w:val="single" w:sz="4" w:space="0" w:color="auto"/>
              <w:right w:val="single" w:sz="4" w:space="0" w:color="auto"/>
            </w:tcBorders>
            <w:shd w:val="clear" w:color="auto" w:fill="auto"/>
          </w:tcPr>
          <w:p w:rsidR="00850B27" w:rsidRPr="00DB671B" w:rsidRDefault="00850B27" w:rsidP="00DB671B">
            <w:pPr>
              <w:jc w:val="left"/>
              <w:rPr>
                <w:rFonts w:cs="Arial"/>
                <w:sz w:val="16"/>
                <w:szCs w:val="16"/>
              </w:rPr>
            </w:pPr>
            <w:r w:rsidRPr="00DB671B">
              <w:rPr>
                <w:rFonts w:cs="Arial"/>
                <w:sz w:val="16"/>
                <w:szCs w:val="16"/>
              </w:rPr>
              <w:t>Coconut</w:t>
            </w:r>
          </w:p>
        </w:tc>
        <w:tc>
          <w:tcPr>
            <w:tcW w:w="1382" w:type="dxa"/>
            <w:tcBorders>
              <w:top w:val="single" w:sz="4" w:space="0" w:color="auto"/>
              <w:left w:val="nil"/>
              <w:bottom w:val="single" w:sz="4" w:space="0" w:color="auto"/>
              <w:right w:val="single" w:sz="4" w:space="0" w:color="auto"/>
            </w:tcBorders>
            <w:shd w:val="clear" w:color="auto" w:fill="auto"/>
          </w:tcPr>
          <w:p w:rsidR="00850B27" w:rsidRPr="00DB671B" w:rsidRDefault="00850B27" w:rsidP="00DB671B">
            <w:pPr>
              <w:jc w:val="left"/>
              <w:rPr>
                <w:rFonts w:cs="Arial"/>
                <w:sz w:val="16"/>
                <w:szCs w:val="16"/>
              </w:rPr>
            </w:pPr>
            <w:r w:rsidRPr="00DB671B">
              <w:rPr>
                <w:rFonts w:cs="Arial"/>
                <w:sz w:val="16"/>
                <w:szCs w:val="16"/>
              </w:rPr>
              <w:t>Cocotier</w:t>
            </w:r>
          </w:p>
        </w:tc>
        <w:tc>
          <w:tcPr>
            <w:tcW w:w="1382" w:type="dxa"/>
            <w:tcBorders>
              <w:top w:val="single" w:sz="4" w:space="0" w:color="auto"/>
              <w:left w:val="nil"/>
              <w:bottom w:val="single" w:sz="4" w:space="0" w:color="auto"/>
              <w:right w:val="single" w:sz="4" w:space="0" w:color="auto"/>
            </w:tcBorders>
            <w:shd w:val="clear" w:color="auto" w:fill="auto"/>
          </w:tcPr>
          <w:p w:rsidR="00850B27" w:rsidRPr="00DB671B" w:rsidRDefault="00850B27" w:rsidP="00DB671B">
            <w:pPr>
              <w:jc w:val="left"/>
              <w:rPr>
                <w:rFonts w:cs="Arial"/>
                <w:sz w:val="16"/>
                <w:szCs w:val="16"/>
              </w:rPr>
            </w:pPr>
            <w:r w:rsidRPr="00DB671B">
              <w:rPr>
                <w:rFonts w:cs="Arial"/>
                <w:sz w:val="16"/>
                <w:szCs w:val="16"/>
              </w:rPr>
              <w:t>Kokosnuß</w:t>
            </w:r>
          </w:p>
        </w:tc>
        <w:tc>
          <w:tcPr>
            <w:tcW w:w="1382" w:type="dxa"/>
            <w:tcBorders>
              <w:top w:val="single" w:sz="4" w:space="0" w:color="auto"/>
              <w:left w:val="nil"/>
              <w:bottom w:val="single" w:sz="4" w:space="0" w:color="auto"/>
              <w:right w:val="single" w:sz="4" w:space="0" w:color="auto"/>
            </w:tcBorders>
            <w:shd w:val="clear" w:color="auto" w:fill="auto"/>
          </w:tcPr>
          <w:p w:rsidR="00850B27" w:rsidRPr="00DB671B" w:rsidRDefault="00850B27" w:rsidP="00DB671B">
            <w:pPr>
              <w:jc w:val="left"/>
              <w:rPr>
                <w:rFonts w:cs="Arial"/>
                <w:sz w:val="16"/>
                <w:szCs w:val="16"/>
              </w:rPr>
            </w:pPr>
            <w:r w:rsidRPr="00DB671B">
              <w:rPr>
                <w:rFonts w:cs="Arial"/>
                <w:sz w:val="16"/>
                <w:szCs w:val="16"/>
              </w:rPr>
              <w:t>Cocotero</w:t>
            </w:r>
          </w:p>
        </w:tc>
        <w:tc>
          <w:tcPr>
            <w:tcW w:w="1701" w:type="dxa"/>
            <w:tcBorders>
              <w:top w:val="single" w:sz="4" w:space="0" w:color="auto"/>
              <w:left w:val="nil"/>
              <w:bottom w:val="single" w:sz="4" w:space="0" w:color="auto"/>
              <w:right w:val="single" w:sz="4" w:space="0" w:color="auto"/>
            </w:tcBorders>
            <w:shd w:val="clear" w:color="auto" w:fill="auto"/>
          </w:tcPr>
          <w:p w:rsidR="00850B27" w:rsidRPr="00DB671B" w:rsidRDefault="00850B27" w:rsidP="00DB671B">
            <w:pPr>
              <w:jc w:val="left"/>
              <w:rPr>
                <w:rFonts w:cs="Arial"/>
                <w:sz w:val="16"/>
                <w:szCs w:val="16"/>
              </w:rPr>
            </w:pPr>
            <w:r w:rsidRPr="00DB671B">
              <w:rPr>
                <w:rFonts w:cs="Arial"/>
                <w:sz w:val="16"/>
                <w:szCs w:val="16"/>
              </w:rPr>
              <w:t>Cocos nucifera L.</w:t>
            </w:r>
          </w:p>
        </w:tc>
      </w:tr>
    </w:tbl>
    <w:p w:rsidR="00850B27" w:rsidRPr="00DB671B" w:rsidRDefault="00850B27" w:rsidP="00DB671B"/>
    <w:p w:rsidR="00850B27" w:rsidRPr="00DB671B" w:rsidRDefault="00850B27" w:rsidP="00DB671B">
      <w:pPr>
        <w:pStyle w:val="Heading3"/>
        <w:rPr>
          <w:lang w:val="fr-FR"/>
        </w:rPr>
      </w:pPr>
      <w:r w:rsidRPr="00DB671B">
        <w:rPr>
          <w:lang w:val="fr-FR"/>
        </w:rPr>
        <w:t>Principes directeurs d’examen pour adoption</w:t>
      </w:r>
    </w:p>
    <w:p w:rsidR="00850B27" w:rsidRPr="00DB671B" w:rsidRDefault="00850B27" w:rsidP="00DB671B">
      <w:pPr>
        <w:keepNext/>
        <w:ind w:left="567" w:hanging="567"/>
        <w:rPr>
          <w:rFonts w:cs="Arial"/>
          <w:snapToGrid w:val="0"/>
        </w:rPr>
      </w:pPr>
    </w:p>
    <w:p w:rsidR="00850B27" w:rsidRPr="00DB671B" w:rsidRDefault="00850B27" w:rsidP="00DB671B">
      <w:pPr>
        <w:keepNext/>
      </w:pPr>
      <w:r w:rsidRPr="00DB671B">
        <w:fldChar w:fldCharType="begin"/>
      </w:r>
      <w:r w:rsidRPr="00DB671B">
        <w:instrText xml:space="preserve"> AUTONUM  </w:instrText>
      </w:r>
      <w:r w:rsidRPr="00DB671B">
        <w:fldChar w:fldCharType="end"/>
      </w:r>
      <w:r w:rsidRPr="00DB671B">
        <w:tab/>
        <w:t>Conformément aux procédures établies dans le document TGP/7, le TC adopte trois nouveaux principes directeurs d’examen, cinq principes directeurs d’examen révisés et sept principes directeurs d’examen partiellement révisés pour la conduite de l’examen de la distinction, de l’homogénéité et de la stabilité, indiqués dans le tableau ci-dessous, sur la base des modifications figurant dans l’annexe II du présent document et des modifications rédactionnelles recommandées par le TC-EDC.  Le TC convient qu’ils doivent être publiés sur le site Web de l’UPOV le plus tôt possible :</w:t>
      </w:r>
    </w:p>
    <w:p w:rsidR="00260E55" w:rsidRDefault="00260E55">
      <w:pPr>
        <w:jc w:val="left"/>
      </w:pPr>
      <w:r>
        <w:br w:type="page"/>
      </w:r>
    </w:p>
    <w:tbl>
      <w:tblPr>
        <w:tblW w:w="10080" w:type="dxa"/>
        <w:tblLayout w:type="fixed"/>
        <w:tblLook w:val="01E0" w:firstRow="1" w:lastRow="1" w:firstColumn="1" w:lastColumn="1" w:noHBand="0" w:noVBand="0"/>
      </w:tblPr>
      <w:tblGrid>
        <w:gridCol w:w="10080"/>
      </w:tblGrid>
      <w:tr w:rsidR="00DB671B" w:rsidRPr="00DB671B" w:rsidTr="00DB671B">
        <w:tc>
          <w:tcPr>
            <w:tcW w:w="10080" w:type="dxa"/>
            <w:tcMar>
              <w:top w:w="0" w:type="dxa"/>
              <w:left w:w="0" w:type="dxa"/>
              <w:bottom w:w="0" w:type="dxa"/>
              <w:right w:w="0" w:type="dxa"/>
            </w:tcMar>
          </w:tcPr>
          <w:tbl>
            <w:tblPr>
              <w:tblW w:w="990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600"/>
              <w:gridCol w:w="668"/>
              <w:gridCol w:w="1447"/>
              <w:gridCol w:w="1530"/>
              <w:gridCol w:w="1365"/>
              <w:gridCol w:w="1440"/>
              <w:gridCol w:w="1350"/>
              <w:gridCol w:w="1500"/>
            </w:tblGrid>
            <w:tr w:rsidR="00DB671B" w:rsidRPr="00DB671B" w:rsidTr="00DB671B">
              <w:trPr>
                <w:tblHeader/>
              </w:trPr>
              <w:tc>
                <w:tcPr>
                  <w:tcW w:w="600" w:type="dxa"/>
                  <w:shd w:val="clear" w:color="auto" w:fill="CACACA"/>
                  <w:tcMar>
                    <w:top w:w="0" w:type="dxa"/>
                    <w:left w:w="0" w:type="dxa"/>
                    <w:bottom w:w="0" w:type="dxa"/>
                    <w:right w:w="0" w:type="dxa"/>
                  </w:tcMar>
                  <w:vAlign w:val="center"/>
                </w:tcPr>
                <w:p w:rsidR="00850B27" w:rsidRPr="00DB671B" w:rsidRDefault="00850B27" w:rsidP="00DB671B">
                  <w:pPr>
                    <w:keepNext/>
                  </w:pPr>
                  <w:r w:rsidRPr="00DB671B">
                    <w:rPr>
                      <w:rFonts w:eastAsia="Arial" w:cs="Arial"/>
                      <w:sz w:val="16"/>
                      <w:szCs w:val="16"/>
                      <w:shd w:val="clear" w:color="auto" w:fill="CACACA"/>
                    </w:rPr>
                    <w:t>**</w:t>
                  </w:r>
                </w:p>
              </w:tc>
              <w:tc>
                <w:tcPr>
                  <w:tcW w:w="668" w:type="dxa"/>
                  <w:shd w:val="clear" w:color="auto" w:fill="CACACA"/>
                  <w:tcMar>
                    <w:top w:w="0" w:type="dxa"/>
                    <w:left w:w="0" w:type="dxa"/>
                    <w:bottom w:w="0" w:type="dxa"/>
                    <w:right w:w="0" w:type="dxa"/>
                  </w:tcMar>
                  <w:vAlign w:val="center"/>
                </w:tcPr>
                <w:p w:rsidR="00850B27" w:rsidRPr="00DB671B" w:rsidRDefault="00850B27" w:rsidP="00DB671B">
                  <w:pPr>
                    <w:keepNext/>
                  </w:pPr>
                  <w:r w:rsidRPr="00DB671B">
                    <w:rPr>
                      <w:rFonts w:eastAsia="Arial" w:cs="Arial"/>
                      <w:sz w:val="16"/>
                      <w:szCs w:val="16"/>
                      <w:shd w:val="clear" w:color="auto" w:fill="CACACA"/>
                    </w:rPr>
                    <w:t>TWP</w:t>
                  </w:r>
                </w:p>
              </w:tc>
              <w:tc>
                <w:tcPr>
                  <w:tcW w:w="1447" w:type="dxa"/>
                  <w:shd w:val="clear" w:color="auto" w:fill="CACACA"/>
                  <w:tcMar>
                    <w:top w:w="0" w:type="dxa"/>
                    <w:left w:w="0" w:type="dxa"/>
                    <w:bottom w:w="0" w:type="dxa"/>
                    <w:right w:w="0" w:type="dxa"/>
                  </w:tcMar>
                  <w:vAlign w:val="center"/>
                </w:tcPr>
                <w:p w:rsidR="00850B27" w:rsidRPr="00DB671B" w:rsidRDefault="00850B27" w:rsidP="00DB671B">
                  <w:pPr>
                    <w:keepNext/>
                    <w:jc w:val="left"/>
                  </w:pPr>
                  <w:r w:rsidRPr="00DB671B">
                    <w:rPr>
                      <w:rFonts w:eastAsia="Arial" w:cs="Arial"/>
                      <w:sz w:val="16"/>
                      <w:szCs w:val="16"/>
                      <w:shd w:val="clear" w:color="auto" w:fill="CACACA"/>
                    </w:rPr>
                    <w:t xml:space="preserve">Document No. </w:t>
                  </w:r>
                  <w:r w:rsidRPr="00DB671B">
                    <w:rPr>
                      <w:rFonts w:eastAsia="Arial" w:cs="Arial"/>
                      <w:sz w:val="16"/>
                      <w:szCs w:val="16"/>
                      <w:shd w:val="clear" w:color="auto" w:fill="CACACA"/>
                    </w:rPr>
                    <w:br/>
                    <w:t xml:space="preserve">No. du document </w:t>
                  </w:r>
                  <w:r w:rsidRPr="00DB671B">
                    <w:rPr>
                      <w:rFonts w:eastAsia="Arial" w:cs="Arial"/>
                      <w:sz w:val="16"/>
                      <w:szCs w:val="16"/>
                      <w:shd w:val="clear" w:color="auto" w:fill="CACACA"/>
                    </w:rPr>
                    <w:br/>
                    <w:t xml:space="preserve">Dokument-Nr. </w:t>
                  </w:r>
                  <w:r w:rsidRPr="00DB671B">
                    <w:rPr>
                      <w:rFonts w:eastAsia="Arial" w:cs="Arial"/>
                      <w:sz w:val="16"/>
                      <w:szCs w:val="16"/>
                      <w:shd w:val="clear" w:color="auto" w:fill="CACACA"/>
                    </w:rPr>
                    <w:br/>
                    <w:t>No del documento</w:t>
                  </w:r>
                  <w:r w:rsidRPr="00DB671B">
                    <w:rPr>
                      <w:rFonts w:eastAsia="Arial" w:cs="Arial"/>
                      <w:sz w:val="16"/>
                      <w:szCs w:val="16"/>
                      <w:shd w:val="clear" w:color="auto" w:fill="CACACA"/>
                    </w:rPr>
                    <w:br/>
                  </w:r>
                </w:p>
              </w:tc>
              <w:tc>
                <w:tcPr>
                  <w:tcW w:w="1530" w:type="dxa"/>
                  <w:shd w:val="clear" w:color="auto" w:fill="CACACA"/>
                  <w:tcMar>
                    <w:top w:w="0" w:type="dxa"/>
                    <w:left w:w="0" w:type="dxa"/>
                    <w:bottom w:w="0" w:type="dxa"/>
                    <w:right w:w="0" w:type="dxa"/>
                  </w:tcMar>
                  <w:vAlign w:val="center"/>
                </w:tcPr>
                <w:p w:rsidR="00850B27" w:rsidRPr="00DB671B" w:rsidRDefault="00850B27" w:rsidP="00DB671B">
                  <w:pPr>
                    <w:keepNext/>
                  </w:pPr>
                  <w:r w:rsidRPr="00DB671B">
                    <w:rPr>
                      <w:rFonts w:eastAsia="Arial" w:cs="Arial"/>
                      <w:sz w:val="16"/>
                      <w:szCs w:val="16"/>
                      <w:shd w:val="clear" w:color="auto" w:fill="CACACA"/>
                    </w:rPr>
                    <w:t>English</w:t>
                  </w:r>
                </w:p>
              </w:tc>
              <w:tc>
                <w:tcPr>
                  <w:tcW w:w="1365" w:type="dxa"/>
                  <w:shd w:val="clear" w:color="auto" w:fill="CACACA"/>
                  <w:tcMar>
                    <w:top w:w="0" w:type="dxa"/>
                    <w:left w:w="0" w:type="dxa"/>
                    <w:bottom w:w="0" w:type="dxa"/>
                    <w:right w:w="0" w:type="dxa"/>
                  </w:tcMar>
                  <w:vAlign w:val="center"/>
                </w:tcPr>
                <w:p w:rsidR="00850B27" w:rsidRPr="00DB671B" w:rsidRDefault="00850B27" w:rsidP="00DB671B">
                  <w:pPr>
                    <w:keepNext/>
                  </w:pPr>
                  <w:r w:rsidRPr="00DB671B">
                    <w:rPr>
                      <w:rFonts w:eastAsia="Arial" w:cs="Arial"/>
                      <w:sz w:val="16"/>
                      <w:szCs w:val="16"/>
                      <w:shd w:val="clear" w:color="auto" w:fill="CACACA"/>
                    </w:rPr>
                    <w:t>Français</w:t>
                  </w:r>
                </w:p>
              </w:tc>
              <w:tc>
                <w:tcPr>
                  <w:tcW w:w="1440" w:type="dxa"/>
                  <w:shd w:val="clear" w:color="auto" w:fill="CACACA"/>
                  <w:tcMar>
                    <w:top w:w="0" w:type="dxa"/>
                    <w:left w:w="0" w:type="dxa"/>
                    <w:bottom w:w="0" w:type="dxa"/>
                    <w:right w:w="0" w:type="dxa"/>
                  </w:tcMar>
                  <w:vAlign w:val="center"/>
                </w:tcPr>
                <w:p w:rsidR="00850B27" w:rsidRPr="00DB671B" w:rsidRDefault="00850B27" w:rsidP="00DB671B">
                  <w:pPr>
                    <w:keepNext/>
                  </w:pPr>
                  <w:r w:rsidRPr="00DB671B">
                    <w:rPr>
                      <w:rFonts w:eastAsia="Arial" w:cs="Arial"/>
                      <w:sz w:val="16"/>
                      <w:szCs w:val="16"/>
                      <w:shd w:val="clear" w:color="auto" w:fill="CACACA"/>
                    </w:rPr>
                    <w:t>Deutsch</w:t>
                  </w:r>
                </w:p>
              </w:tc>
              <w:tc>
                <w:tcPr>
                  <w:tcW w:w="1350" w:type="dxa"/>
                  <w:shd w:val="clear" w:color="auto" w:fill="CACACA"/>
                  <w:tcMar>
                    <w:top w:w="20" w:type="dxa"/>
                    <w:left w:w="20" w:type="dxa"/>
                    <w:bottom w:w="20" w:type="dxa"/>
                    <w:right w:w="20" w:type="dxa"/>
                  </w:tcMar>
                  <w:vAlign w:val="center"/>
                </w:tcPr>
                <w:p w:rsidR="00850B27" w:rsidRPr="00DB671B" w:rsidRDefault="00850B27" w:rsidP="00DB671B">
                  <w:pPr>
                    <w:keepNext/>
                    <w:jc w:val="center"/>
                  </w:pPr>
                  <w:r w:rsidRPr="00DB671B">
                    <w:rPr>
                      <w:rFonts w:eastAsia="Arial" w:cs="Arial"/>
                      <w:sz w:val="16"/>
                      <w:szCs w:val="16"/>
                      <w:shd w:val="clear" w:color="auto" w:fill="CACACA"/>
                    </w:rPr>
                    <w:t>Español</w:t>
                  </w:r>
                </w:p>
              </w:tc>
              <w:tc>
                <w:tcPr>
                  <w:tcW w:w="1500" w:type="dxa"/>
                  <w:shd w:val="clear" w:color="auto" w:fill="CACACA"/>
                  <w:tcMar>
                    <w:top w:w="0" w:type="dxa"/>
                    <w:left w:w="0" w:type="dxa"/>
                    <w:bottom w:w="0" w:type="dxa"/>
                    <w:right w:w="0" w:type="dxa"/>
                  </w:tcMar>
                  <w:vAlign w:val="center"/>
                </w:tcPr>
                <w:p w:rsidR="00850B27" w:rsidRPr="00DB671B" w:rsidRDefault="00850B27" w:rsidP="00DB671B">
                  <w:pPr>
                    <w:keepNext/>
                    <w:jc w:val="left"/>
                  </w:pPr>
                  <w:r w:rsidRPr="00DB671B">
                    <w:rPr>
                      <w:rFonts w:eastAsia="Arial" w:cs="Arial"/>
                      <w:sz w:val="16"/>
                      <w:szCs w:val="16"/>
                      <w:shd w:val="clear" w:color="auto" w:fill="CACACA"/>
                    </w:rPr>
                    <w:t>Botanical name</w:t>
                  </w:r>
                  <w:r w:rsidRPr="00DB671B">
                    <w:rPr>
                      <w:rFonts w:eastAsia="Arial" w:cs="Arial"/>
                      <w:sz w:val="16"/>
                      <w:szCs w:val="16"/>
                      <w:shd w:val="clear" w:color="auto" w:fill="CACACA"/>
                    </w:rPr>
                    <w:br/>
                    <w:t>Nom botanique</w:t>
                  </w:r>
                  <w:r w:rsidRPr="00DB671B">
                    <w:rPr>
                      <w:rFonts w:eastAsia="Arial" w:cs="Arial"/>
                      <w:sz w:val="16"/>
                      <w:szCs w:val="16"/>
                      <w:shd w:val="clear" w:color="auto" w:fill="CACACA"/>
                    </w:rPr>
                    <w:br/>
                    <w:t>Botanischer Name</w:t>
                  </w:r>
                  <w:r w:rsidRPr="00DB671B">
                    <w:rPr>
                      <w:rFonts w:eastAsia="Arial" w:cs="Arial"/>
                      <w:sz w:val="16"/>
                      <w:szCs w:val="16"/>
                      <w:shd w:val="clear" w:color="auto" w:fill="CACACA"/>
                    </w:rPr>
                    <w:br/>
                    <w:t>Nombre botánico</w:t>
                  </w:r>
                  <w:r w:rsidRPr="00DB671B">
                    <w:rPr>
                      <w:rFonts w:eastAsia="Arial" w:cs="Arial"/>
                      <w:sz w:val="16"/>
                      <w:szCs w:val="16"/>
                      <w:shd w:val="clear" w:color="auto" w:fill="CACACA"/>
                    </w:rPr>
                    <w:br/>
                  </w:r>
                </w:p>
              </w:tc>
            </w:tr>
            <w:tr w:rsidR="00DB671B" w:rsidRPr="00DB671B" w:rsidTr="00DB671B">
              <w:tc>
                <w:tcPr>
                  <w:tcW w:w="600" w:type="dxa"/>
                  <w:tcMar>
                    <w:top w:w="0" w:type="dxa"/>
                    <w:left w:w="0" w:type="dxa"/>
                    <w:bottom w:w="0" w:type="dxa"/>
                    <w:right w:w="0" w:type="dxa"/>
                  </w:tcMar>
                </w:tcPr>
                <w:p w:rsidR="00850B27" w:rsidRPr="00DB671B" w:rsidRDefault="00850B27" w:rsidP="00DB671B">
                  <w:pPr>
                    <w:keepNext/>
                    <w:spacing w:line="1" w:lineRule="auto"/>
                    <w:jc w:val="center"/>
                  </w:pPr>
                </w:p>
              </w:tc>
              <w:tc>
                <w:tcPr>
                  <w:tcW w:w="668" w:type="dxa"/>
                  <w:tcMar>
                    <w:top w:w="0" w:type="dxa"/>
                    <w:left w:w="0" w:type="dxa"/>
                    <w:bottom w:w="0" w:type="dxa"/>
                    <w:right w:w="0" w:type="dxa"/>
                  </w:tcMar>
                </w:tcPr>
                <w:p w:rsidR="00850B27" w:rsidRPr="00DB671B" w:rsidRDefault="00850B27" w:rsidP="00DB671B">
                  <w:pPr>
                    <w:keepNext/>
                    <w:spacing w:line="1" w:lineRule="auto"/>
                    <w:jc w:val="center"/>
                  </w:pPr>
                </w:p>
              </w:tc>
              <w:tc>
                <w:tcPr>
                  <w:tcW w:w="1447" w:type="dxa"/>
                  <w:tcMar>
                    <w:top w:w="0" w:type="dxa"/>
                    <w:left w:w="0" w:type="dxa"/>
                    <w:bottom w:w="0" w:type="dxa"/>
                    <w:right w:w="0" w:type="dxa"/>
                  </w:tcMar>
                </w:tcPr>
                <w:p w:rsidR="00850B27" w:rsidRPr="00DB671B" w:rsidRDefault="00850B27" w:rsidP="00DB671B">
                  <w:pPr>
                    <w:keepNext/>
                    <w:spacing w:line="1" w:lineRule="auto"/>
                    <w:jc w:val="center"/>
                  </w:pPr>
                </w:p>
              </w:tc>
              <w:tc>
                <w:tcPr>
                  <w:tcW w:w="1530" w:type="dxa"/>
                  <w:tcMar>
                    <w:top w:w="0" w:type="dxa"/>
                    <w:left w:w="0" w:type="dxa"/>
                    <w:bottom w:w="0" w:type="dxa"/>
                    <w:right w:w="0" w:type="dxa"/>
                  </w:tcMar>
                </w:tcPr>
                <w:p w:rsidR="00850B27" w:rsidRPr="00DB671B" w:rsidRDefault="00850B27" w:rsidP="00DB671B">
                  <w:pPr>
                    <w:keepNext/>
                    <w:spacing w:line="1" w:lineRule="auto"/>
                    <w:jc w:val="center"/>
                  </w:pPr>
                </w:p>
              </w:tc>
              <w:tc>
                <w:tcPr>
                  <w:tcW w:w="1365" w:type="dxa"/>
                  <w:tcMar>
                    <w:top w:w="0" w:type="dxa"/>
                    <w:left w:w="0" w:type="dxa"/>
                    <w:bottom w:w="0" w:type="dxa"/>
                    <w:right w:w="0" w:type="dxa"/>
                  </w:tcMar>
                </w:tcPr>
                <w:p w:rsidR="00850B27" w:rsidRPr="00DB671B" w:rsidRDefault="00850B27" w:rsidP="00DB671B">
                  <w:pPr>
                    <w:keepNext/>
                    <w:spacing w:line="1" w:lineRule="auto"/>
                    <w:jc w:val="center"/>
                  </w:pPr>
                </w:p>
              </w:tc>
              <w:tc>
                <w:tcPr>
                  <w:tcW w:w="1440" w:type="dxa"/>
                  <w:tcMar>
                    <w:top w:w="0" w:type="dxa"/>
                    <w:left w:w="0" w:type="dxa"/>
                    <w:bottom w:w="0" w:type="dxa"/>
                    <w:right w:w="0" w:type="dxa"/>
                  </w:tcMar>
                </w:tcPr>
                <w:p w:rsidR="00850B27" w:rsidRPr="00DB671B" w:rsidRDefault="00850B27" w:rsidP="00DB671B">
                  <w:pPr>
                    <w:keepNext/>
                    <w:spacing w:line="1" w:lineRule="auto"/>
                    <w:jc w:val="center"/>
                  </w:pPr>
                </w:p>
              </w:tc>
              <w:tc>
                <w:tcPr>
                  <w:tcW w:w="1350" w:type="dxa"/>
                  <w:tcMar>
                    <w:top w:w="0" w:type="dxa"/>
                    <w:left w:w="0" w:type="dxa"/>
                    <w:bottom w:w="0" w:type="dxa"/>
                    <w:right w:w="0" w:type="dxa"/>
                  </w:tcMar>
                </w:tcPr>
                <w:p w:rsidR="00850B27" w:rsidRPr="00DB671B" w:rsidRDefault="00850B27" w:rsidP="00DB671B">
                  <w:pPr>
                    <w:keepNext/>
                    <w:spacing w:line="1" w:lineRule="auto"/>
                    <w:jc w:val="center"/>
                  </w:pPr>
                </w:p>
              </w:tc>
              <w:tc>
                <w:tcPr>
                  <w:tcW w:w="1500" w:type="dxa"/>
                  <w:tcMar>
                    <w:top w:w="0" w:type="dxa"/>
                    <w:left w:w="0" w:type="dxa"/>
                    <w:bottom w:w="0" w:type="dxa"/>
                    <w:right w:w="0" w:type="dxa"/>
                  </w:tcMar>
                </w:tcPr>
                <w:p w:rsidR="00850B27" w:rsidRPr="00DB671B" w:rsidRDefault="00850B27" w:rsidP="00DB671B">
                  <w:pPr>
                    <w:keepNext/>
                    <w:spacing w:line="1" w:lineRule="auto"/>
                    <w:jc w:val="center"/>
                  </w:pPr>
                </w:p>
              </w:tc>
            </w:tr>
          </w:tbl>
          <w:p w:rsidR="00850B27" w:rsidRPr="00DB671B" w:rsidRDefault="00850B27" w:rsidP="00DB671B">
            <w:pPr>
              <w:keepNext/>
              <w:spacing w:line="1" w:lineRule="auto"/>
            </w:pPr>
          </w:p>
        </w:tc>
      </w:tr>
      <w:tr w:rsidR="00DB671B" w:rsidRPr="00DB671B" w:rsidTr="00DB671B">
        <w:tc>
          <w:tcPr>
            <w:tcW w:w="10080" w:type="dxa"/>
            <w:tcMar>
              <w:top w:w="0" w:type="dxa"/>
              <w:left w:w="0" w:type="dxa"/>
              <w:bottom w:w="0" w:type="dxa"/>
              <w:right w:w="0" w:type="dxa"/>
            </w:tcMar>
          </w:tcPr>
          <w:p w:rsidR="00850B27" w:rsidRPr="00DB671B" w:rsidRDefault="00850B27" w:rsidP="00DB671B">
            <w:pPr>
              <w:rPr>
                <w:rFonts w:eastAsia="Arial" w:cs="Arial"/>
              </w:rPr>
            </w:pPr>
            <w:r w:rsidRPr="00DB671B">
              <w:rPr>
                <w:rFonts w:eastAsia="Arial" w:cs="Arial"/>
              </w:rPr>
              <w:t xml:space="preserve">    </w:t>
            </w:r>
          </w:p>
        </w:tc>
      </w:tr>
      <w:tr w:rsidR="00DB671B" w:rsidRPr="00DB671B" w:rsidTr="00DB671B">
        <w:tc>
          <w:tcPr>
            <w:tcW w:w="10080" w:type="dxa"/>
            <w:tcMar>
              <w:top w:w="0" w:type="dxa"/>
              <w:left w:w="0" w:type="dxa"/>
              <w:bottom w:w="0" w:type="dxa"/>
              <w:right w:w="0" w:type="dxa"/>
            </w:tcMar>
          </w:tcPr>
          <w:tbl>
            <w:tblPr>
              <w:tblW w:w="990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645"/>
              <w:gridCol w:w="621"/>
              <w:gridCol w:w="1509"/>
              <w:gridCol w:w="1545"/>
              <w:gridCol w:w="1290"/>
              <w:gridCol w:w="1470"/>
              <w:gridCol w:w="1365"/>
              <w:gridCol w:w="1455"/>
            </w:tblGrid>
            <w:tr w:rsidR="00DB671B" w:rsidRPr="00DB671B" w:rsidTr="00DB671B">
              <w:trPr>
                <w:trHeight w:val="230"/>
              </w:trPr>
              <w:tc>
                <w:tcPr>
                  <w:tcW w:w="9900" w:type="dxa"/>
                  <w:gridSpan w:val="8"/>
                  <w:vMerge w:val="restart"/>
                  <w:tcBorders>
                    <w:top w:val="single" w:sz="4" w:space="0" w:color="auto"/>
                    <w:left w:val="single" w:sz="6" w:space="0" w:color="000000"/>
                    <w:bottom w:val="single" w:sz="6" w:space="0" w:color="000000"/>
                    <w:right w:val="single" w:sz="6" w:space="0" w:color="000000"/>
                  </w:tcBorders>
                  <w:tcMar>
                    <w:top w:w="0" w:type="dxa"/>
                    <w:left w:w="0" w:type="dxa"/>
                    <w:bottom w:w="0" w:type="dxa"/>
                    <w:right w:w="0" w:type="dxa"/>
                  </w:tcMar>
                </w:tcPr>
                <w:p w:rsidR="00850B27" w:rsidRPr="00DB671B" w:rsidRDefault="00850B27" w:rsidP="00DB671B">
                  <w:pPr>
                    <w:jc w:val="left"/>
                    <w:rPr>
                      <w:rFonts w:eastAsia="Arial" w:cs="Arial"/>
                      <w:sz w:val="16"/>
                      <w:szCs w:val="16"/>
                      <w:u w:val="single"/>
                    </w:rPr>
                  </w:pPr>
                  <w:r w:rsidRPr="00DB671B">
                    <w:rPr>
                      <w:rFonts w:cs="Arial"/>
                      <w:bCs/>
                      <w:sz w:val="16"/>
                      <w:szCs w:val="16"/>
                      <w:u w:val="single"/>
                    </w:rPr>
                    <w:t>NEW TEST GUIDELINES / NOUVEAUX PRINCIPES DIRECTEURS D’EXAMEN / NEUE PRÜFUNGSRICHTILINIEN /</w:t>
                  </w:r>
                  <w:r w:rsidRPr="00DB671B">
                    <w:rPr>
                      <w:rFonts w:cs="Arial"/>
                      <w:bCs/>
                      <w:sz w:val="16"/>
                      <w:szCs w:val="16"/>
                      <w:u w:val="single"/>
                    </w:rPr>
                    <w:br/>
                    <w:t>NUEVAS DIRECTRICES DE EXAMEN</w:t>
                  </w:r>
                  <w:r w:rsidRPr="00DB671B">
                    <w:rPr>
                      <w:rFonts w:eastAsia="Arial" w:cs="Arial"/>
                      <w:sz w:val="16"/>
                      <w:szCs w:val="16"/>
                      <w:u w:val="single"/>
                    </w:rPr>
                    <w:br/>
                  </w:r>
                </w:p>
                <w:tbl>
                  <w:tblPr>
                    <w:tblW w:w="9943"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600"/>
                    <w:gridCol w:w="648"/>
                    <w:gridCol w:w="1510"/>
                    <w:gridCol w:w="1530"/>
                    <w:gridCol w:w="1298"/>
                    <w:gridCol w:w="1474"/>
                    <w:gridCol w:w="1383"/>
                    <w:gridCol w:w="1500"/>
                  </w:tblGrid>
                  <w:tr w:rsidR="00DB671B" w:rsidRPr="00DB671B" w:rsidTr="00DB671B">
                    <w:trPr>
                      <w:hidden/>
                    </w:trPr>
                    <w:tc>
                      <w:tcPr>
                        <w:tcW w:w="600" w:type="dxa"/>
                        <w:tcBorders>
                          <w:top w:val="single" w:sz="6" w:space="0" w:color="000000"/>
                          <w:left w:val="nil"/>
                          <w:bottom w:val="single" w:sz="6" w:space="0" w:color="000000"/>
                          <w:right w:val="single" w:sz="6" w:space="0" w:color="000000"/>
                        </w:tcBorders>
                        <w:tcMar>
                          <w:top w:w="0" w:type="dxa"/>
                          <w:left w:w="0" w:type="dxa"/>
                          <w:bottom w:w="0" w:type="dxa"/>
                          <w:right w:w="0" w:type="dxa"/>
                        </w:tcMar>
                      </w:tcPr>
                      <w:p w:rsidR="00850B27" w:rsidRPr="00DB671B" w:rsidRDefault="00850B27" w:rsidP="00DB671B">
                        <w:pPr>
                          <w:spacing w:before="20" w:after="20"/>
                          <w:rPr>
                            <w:vanish/>
                          </w:rPr>
                        </w:pPr>
                      </w:p>
                      <w:tbl>
                        <w:tblPr>
                          <w:tblW w:w="600" w:type="dxa"/>
                          <w:tblLayout w:type="fixed"/>
                          <w:tblCellMar>
                            <w:left w:w="0" w:type="dxa"/>
                            <w:right w:w="0" w:type="dxa"/>
                          </w:tblCellMar>
                          <w:tblLook w:val="01E0" w:firstRow="1" w:lastRow="1" w:firstColumn="1" w:lastColumn="1" w:noHBand="0" w:noVBand="0"/>
                        </w:tblPr>
                        <w:tblGrid>
                          <w:gridCol w:w="600"/>
                        </w:tblGrid>
                        <w:tr w:rsidR="00DB671B" w:rsidRPr="00DB671B" w:rsidTr="00DB671B">
                          <w:tc>
                            <w:tcPr>
                              <w:tcW w:w="600" w:type="dxa"/>
                              <w:tcMar>
                                <w:top w:w="0" w:type="dxa"/>
                                <w:left w:w="0" w:type="dxa"/>
                                <w:bottom w:w="0" w:type="dxa"/>
                                <w:right w:w="0" w:type="dxa"/>
                              </w:tcMar>
                            </w:tcPr>
                            <w:p w:rsidR="00850B27" w:rsidRPr="00DB671B" w:rsidRDefault="00850B27" w:rsidP="00DB671B">
                              <w:pPr>
                                <w:spacing w:before="20" w:after="20"/>
                                <w:rPr>
                                  <w:rFonts w:cs="Arial"/>
                                  <w:sz w:val="16"/>
                                  <w:szCs w:val="16"/>
                                </w:rPr>
                              </w:pPr>
                              <w:r w:rsidRPr="00DB671B">
                                <w:rPr>
                                  <w:rFonts w:cs="Arial"/>
                                  <w:sz w:val="16"/>
                                  <w:szCs w:val="16"/>
                                </w:rPr>
                                <w:t>JP</w:t>
                              </w:r>
                            </w:p>
                            <w:p w:rsidR="00850B27" w:rsidRPr="00DB671B" w:rsidRDefault="00850B27" w:rsidP="00DB671B">
                              <w:pPr>
                                <w:spacing w:before="20" w:after="20" w:line="1" w:lineRule="auto"/>
                              </w:pPr>
                            </w:p>
                          </w:tc>
                        </w:tr>
                      </w:tbl>
                      <w:p w:rsidR="00850B27" w:rsidRPr="00DB671B" w:rsidRDefault="00850B27" w:rsidP="00DB671B">
                        <w:pPr>
                          <w:spacing w:before="20" w:after="20" w:line="1" w:lineRule="auto"/>
                        </w:pPr>
                      </w:p>
                    </w:tc>
                    <w:tc>
                      <w:tcPr>
                        <w:tcW w:w="648"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50B27" w:rsidRPr="00DB671B" w:rsidRDefault="00850B27" w:rsidP="00DB671B">
                        <w:pPr>
                          <w:spacing w:before="20" w:after="20"/>
                          <w:rPr>
                            <w:vanish/>
                          </w:rPr>
                        </w:pPr>
                      </w:p>
                      <w:tbl>
                        <w:tblPr>
                          <w:tblW w:w="870" w:type="dxa"/>
                          <w:tblLayout w:type="fixed"/>
                          <w:tblCellMar>
                            <w:left w:w="0" w:type="dxa"/>
                            <w:right w:w="0" w:type="dxa"/>
                          </w:tblCellMar>
                          <w:tblLook w:val="01E0" w:firstRow="1" w:lastRow="1" w:firstColumn="1" w:lastColumn="1" w:noHBand="0" w:noVBand="0"/>
                        </w:tblPr>
                        <w:tblGrid>
                          <w:gridCol w:w="870"/>
                        </w:tblGrid>
                        <w:tr w:rsidR="00DB671B" w:rsidRPr="00DB671B" w:rsidTr="00DB671B">
                          <w:tc>
                            <w:tcPr>
                              <w:tcW w:w="870" w:type="dxa"/>
                              <w:tcMar>
                                <w:top w:w="0" w:type="dxa"/>
                                <w:left w:w="0" w:type="dxa"/>
                                <w:bottom w:w="0" w:type="dxa"/>
                                <w:right w:w="0" w:type="dxa"/>
                              </w:tcMar>
                            </w:tcPr>
                            <w:p w:rsidR="00850B27" w:rsidRPr="00DB671B" w:rsidRDefault="00850B27" w:rsidP="00DB671B">
                              <w:pPr>
                                <w:spacing w:before="20" w:after="20"/>
                                <w:rPr>
                                  <w:rFonts w:cs="Arial"/>
                                  <w:sz w:val="16"/>
                                  <w:szCs w:val="16"/>
                                </w:rPr>
                              </w:pPr>
                              <w:r w:rsidRPr="00DB671B">
                                <w:rPr>
                                  <w:rFonts w:cs="Arial"/>
                                  <w:sz w:val="16"/>
                                  <w:szCs w:val="16"/>
                                </w:rPr>
                                <w:t>TWO</w:t>
                              </w:r>
                            </w:p>
                            <w:p w:rsidR="00850B27" w:rsidRPr="00DB671B" w:rsidRDefault="00850B27" w:rsidP="00DB671B">
                              <w:pPr>
                                <w:spacing w:before="20" w:after="20" w:line="1" w:lineRule="auto"/>
                              </w:pPr>
                            </w:p>
                          </w:tc>
                        </w:tr>
                      </w:tbl>
                      <w:p w:rsidR="00850B27" w:rsidRPr="00DB671B" w:rsidRDefault="00850B27" w:rsidP="00DB671B">
                        <w:pPr>
                          <w:spacing w:before="20" w:after="20" w:line="1" w:lineRule="auto"/>
                        </w:pPr>
                      </w:p>
                    </w:tc>
                    <w:tc>
                      <w:tcPr>
                        <w:tcW w:w="15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50B27" w:rsidRPr="00DB671B" w:rsidRDefault="00850B27" w:rsidP="00DB671B">
                        <w:pPr>
                          <w:spacing w:before="20" w:after="20"/>
                          <w:rPr>
                            <w:vanish/>
                            <w:sz w:val="16"/>
                            <w:szCs w:val="16"/>
                          </w:rPr>
                        </w:pPr>
                      </w:p>
                      <w:tbl>
                        <w:tblPr>
                          <w:tblW w:w="1414" w:type="dxa"/>
                          <w:tblLayout w:type="fixed"/>
                          <w:tblCellMar>
                            <w:left w:w="0" w:type="dxa"/>
                            <w:right w:w="0" w:type="dxa"/>
                          </w:tblCellMar>
                          <w:tblLook w:val="01E0" w:firstRow="1" w:lastRow="1" w:firstColumn="1" w:lastColumn="1" w:noHBand="0" w:noVBand="0"/>
                        </w:tblPr>
                        <w:tblGrid>
                          <w:gridCol w:w="1414"/>
                        </w:tblGrid>
                        <w:tr w:rsidR="00DB671B" w:rsidRPr="00DB671B" w:rsidTr="00DB671B">
                          <w:tc>
                            <w:tcPr>
                              <w:tcW w:w="1414" w:type="dxa"/>
                              <w:tcMar>
                                <w:top w:w="0" w:type="dxa"/>
                                <w:left w:w="0" w:type="dxa"/>
                                <w:bottom w:w="0" w:type="dxa"/>
                                <w:right w:w="0" w:type="dxa"/>
                              </w:tcMar>
                            </w:tcPr>
                            <w:p w:rsidR="00850B27" w:rsidRPr="00DB671B" w:rsidRDefault="00850B27" w:rsidP="00DB671B">
                              <w:pPr>
                                <w:spacing w:before="20" w:after="20"/>
                                <w:rPr>
                                  <w:rFonts w:cs="Arial"/>
                                  <w:sz w:val="16"/>
                                  <w:szCs w:val="16"/>
                                </w:rPr>
                              </w:pPr>
                              <w:r w:rsidRPr="00DB671B">
                                <w:rPr>
                                  <w:rFonts w:cs="Arial"/>
                                  <w:sz w:val="16"/>
                                  <w:szCs w:val="16"/>
                                </w:rPr>
                                <w:t>TG/CALEN(proj.4)</w:t>
                              </w:r>
                            </w:p>
                            <w:p w:rsidR="00850B27" w:rsidRPr="00DB671B" w:rsidRDefault="00850B27" w:rsidP="00DB671B">
                              <w:pPr>
                                <w:spacing w:before="20" w:after="20" w:line="1" w:lineRule="auto"/>
                                <w:rPr>
                                  <w:sz w:val="16"/>
                                  <w:szCs w:val="16"/>
                                </w:rPr>
                              </w:pPr>
                            </w:p>
                          </w:tc>
                        </w:tr>
                      </w:tbl>
                      <w:p w:rsidR="00850B27" w:rsidRPr="00DB671B" w:rsidRDefault="00850B27" w:rsidP="00DB671B">
                        <w:pPr>
                          <w:spacing w:before="20" w:after="20" w:line="1" w:lineRule="auto"/>
                          <w:rPr>
                            <w:sz w:val="16"/>
                            <w:szCs w:val="16"/>
                          </w:rPr>
                        </w:pPr>
                      </w:p>
                    </w:tc>
                    <w:tc>
                      <w:tcPr>
                        <w:tcW w:w="15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850B27" w:rsidRPr="00DB671B" w:rsidRDefault="00850B27" w:rsidP="00DB671B">
                        <w:pPr>
                          <w:spacing w:before="20" w:after="20"/>
                          <w:rPr>
                            <w:vanish/>
                            <w:sz w:val="16"/>
                            <w:szCs w:val="16"/>
                          </w:rPr>
                        </w:pPr>
                      </w:p>
                      <w:tbl>
                        <w:tblPr>
                          <w:tblW w:w="1530" w:type="dxa"/>
                          <w:tblLayout w:type="fixed"/>
                          <w:tblCellMar>
                            <w:left w:w="0" w:type="dxa"/>
                            <w:right w:w="0" w:type="dxa"/>
                          </w:tblCellMar>
                          <w:tblLook w:val="01E0" w:firstRow="1" w:lastRow="1" w:firstColumn="1" w:lastColumn="1" w:noHBand="0" w:noVBand="0"/>
                        </w:tblPr>
                        <w:tblGrid>
                          <w:gridCol w:w="1530"/>
                        </w:tblGrid>
                        <w:tr w:rsidR="00DB671B" w:rsidRPr="00DB671B" w:rsidTr="00DB671B">
                          <w:tc>
                            <w:tcPr>
                              <w:tcW w:w="1530" w:type="dxa"/>
                              <w:tcMar>
                                <w:top w:w="0" w:type="dxa"/>
                                <w:left w:w="0" w:type="dxa"/>
                                <w:bottom w:w="0" w:type="dxa"/>
                                <w:right w:w="0" w:type="dxa"/>
                              </w:tcMar>
                            </w:tcPr>
                            <w:p w:rsidR="00850B27" w:rsidRPr="00DB671B" w:rsidRDefault="00850B27" w:rsidP="00DB671B">
                              <w:pPr>
                                <w:spacing w:before="20" w:after="20" w:line="1" w:lineRule="auto"/>
                                <w:rPr>
                                  <w:sz w:val="16"/>
                                  <w:szCs w:val="16"/>
                                </w:rPr>
                              </w:pPr>
                            </w:p>
                          </w:tc>
                        </w:tr>
                      </w:tbl>
                      <w:p w:rsidR="00850B27" w:rsidRPr="00DB671B" w:rsidRDefault="00850B27" w:rsidP="00DB671B">
                        <w:pPr>
                          <w:spacing w:before="20" w:after="20"/>
                          <w:rPr>
                            <w:sz w:val="16"/>
                            <w:szCs w:val="16"/>
                          </w:rPr>
                        </w:pPr>
                        <w:r w:rsidRPr="00DB671B">
                          <w:rPr>
                            <w:sz w:val="16"/>
                            <w:szCs w:val="16"/>
                          </w:rPr>
                          <w:t>Calendula</w:t>
                        </w:r>
                      </w:p>
                    </w:tc>
                    <w:tc>
                      <w:tcPr>
                        <w:tcW w:w="129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tbl>
                        <w:tblPr>
                          <w:tblW w:w="1365" w:type="dxa"/>
                          <w:tblLayout w:type="fixed"/>
                          <w:tblCellMar>
                            <w:left w:w="0" w:type="dxa"/>
                            <w:right w:w="0" w:type="dxa"/>
                          </w:tblCellMar>
                          <w:tblLook w:val="01E0" w:firstRow="1" w:lastRow="1" w:firstColumn="1" w:lastColumn="1" w:noHBand="0" w:noVBand="0"/>
                        </w:tblPr>
                        <w:tblGrid>
                          <w:gridCol w:w="1365"/>
                        </w:tblGrid>
                        <w:tr w:rsidR="00DB671B" w:rsidRPr="00DB671B" w:rsidTr="00DB671B">
                          <w:tc>
                            <w:tcPr>
                              <w:tcW w:w="1365" w:type="dxa"/>
                              <w:tcMar>
                                <w:top w:w="0" w:type="dxa"/>
                                <w:left w:w="0" w:type="dxa"/>
                                <w:bottom w:w="0" w:type="dxa"/>
                                <w:right w:w="0" w:type="dxa"/>
                              </w:tcMar>
                            </w:tcPr>
                            <w:p w:rsidR="00850B27" w:rsidRPr="00DB671B" w:rsidRDefault="00850B27" w:rsidP="00DB671B">
                              <w:pPr>
                                <w:spacing w:before="20" w:after="20"/>
                                <w:rPr>
                                  <w:sz w:val="16"/>
                                  <w:szCs w:val="16"/>
                                </w:rPr>
                              </w:pPr>
                              <w:r w:rsidRPr="00DB671B">
                                <w:rPr>
                                  <w:sz w:val="16"/>
                                  <w:szCs w:val="16"/>
                                </w:rPr>
                                <w:t>Calendula</w:t>
                              </w:r>
                            </w:p>
                          </w:tc>
                        </w:tr>
                      </w:tbl>
                      <w:p w:rsidR="00850B27" w:rsidRPr="00DB671B" w:rsidRDefault="00850B27" w:rsidP="00DB671B">
                        <w:pPr>
                          <w:spacing w:before="20" w:after="20"/>
                          <w:rPr>
                            <w:sz w:val="16"/>
                            <w:szCs w:val="16"/>
                          </w:rPr>
                        </w:pPr>
                      </w:p>
                    </w:tc>
                    <w:tc>
                      <w:tcPr>
                        <w:tcW w:w="147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tbl>
                        <w:tblPr>
                          <w:tblW w:w="1440" w:type="dxa"/>
                          <w:tblLayout w:type="fixed"/>
                          <w:tblCellMar>
                            <w:left w:w="0" w:type="dxa"/>
                            <w:right w:w="0" w:type="dxa"/>
                          </w:tblCellMar>
                          <w:tblLook w:val="01E0" w:firstRow="1" w:lastRow="1" w:firstColumn="1" w:lastColumn="1" w:noHBand="0" w:noVBand="0"/>
                        </w:tblPr>
                        <w:tblGrid>
                          <w:gridCol w:w="1440"/>
                        </w:tblGrid>
                        <w:tr w:rsidR="00DB671B" w:rsidRPr="00DB671B" w:rsidTr="00DB671B">
                          <w:tc>
                            <w:tcPr>
                              <w:tcW w:w="1440" w:type="dxa"/>
                              <w:tcMar>
                                <w:top w:w="0" w:type="dxa"/>
                                <w:left w:w="0" w:type="dxa"/>
                                <w:bottom w:w="0" w:type="dxa"/>
                                <w:right w:w="0" w:type="dxa"/>
                              </w:tcMar>
                            </w:tcPr>
                            <w:p w:rsidR="00850B27" w:rsidRPr="00DB671B" w:rsidRDefault="00850B27" w:rsidP="00DB671B">
                              <w:pPr>
                                <w:spacing w:before="20" w:after="20"/>
                                <w:rPr>
                                  <w:sz w:val="16"/>
                                  <w:szCs w:val="16"/>
                                </w:rPr>
                              </w:pPr>
                              <w:r w:rsidRPr="00DB671B">
                                <w:rPr>
                                  <w:sz w:val="16"/>
                                  <w:szCs w:val="16"/>
                                </w:rPr>
                                <w:t>Ringelblume</w:t>
                              </w:r>
                            </w:p>
                          </w:tc>
                        </w:tr>
                      </w:tbl>
                      <w:p w:rsidR="00850B27" w:rsidRPr="00DB671B" w:rsidRDefault="00850B27" w:rsidP="00DB671B">
                        <w:pPr>
                          <w:spacing w:before="20" w:after="20"/>
                          <w:rPr>
                            <w:sz w:val="16"/>
                            <w:szCs w:val="16"/>
                          </w:rPr>
                        </w:pPr>
                      </w:p>
                    </w:tc>
                    <w:tc>
                      <w:tcPr>
                        <w:tcW w:w="138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tbl>
                        <w:tblPr>
                          <w:tblW w:w="1350" w:type="dxa"/>
                          <w:tblLayout w:type="fixed"/>
                          <w:tblCellMar>
                            <w:left w:w="0" w:type="dxa"/>
                            <w:right w:w="0" w:type="dxa"/>
                          </w:tblCellMar>
                          <w:tblLook w:val="01E0" w:firstRow="1" w:lastRow="1" w:firstColumn="1" w:lastColumn="1" w:noHBand="0" w:noVBand="0"/>
                        </w:tblPr>
                        <w:tblGrid>
                          <w:gridCol w:w="1350"/>
                        </w:tblGrid>
                        <w:tr w:rsidR="00DB671B" w:rsidRPr="00DB671B" w:rsidTr="00DB671B">
                          <w:tc>
                            <w:tcPr>
                              <w:tcW w:w="1350" w:type="dxa"/>
                              <w:tcMar>
                                <w:top w:w="0" w:type="dxa"/>
                                <w:left w:w="0" w:type="dxa"/>
                                <w:bottom w:w="0" w:type="dxa"/>
                                <w:right w:w="0" w:type="dxa"/>
                              </w:tcMar>
                            </w:tcPr>
                            <w:p w:rsidR="00850B27" w:rsidRPr="00DB671B" w:rsidRDefault="00850B27" w:rsidP="00DB671B">
                              <w:pPr>
                                <w:spacing w:before="20" w:after="20"/>
                                <w:rPr>
                                  <w:sz w:val="16"/>
                                  <w:szCs w:val="16"/>
                                </w:rPr>
                              </w:pPr>
                              <w:r w:rsidRPr="00DB671B">
                                <w:rPr>
                                  <w:sz w:val="16"/>
                                  <w:szCs w:val="16"/>
                                </w:rPr>
                                <w:t>Caléndul</w:t>
                              </w:r>
                            </w:p>
                          </w:tc>
                        </w:tr>
                      </w:tbl>
                      <w:p w:rsidR="00850B27" w:rsidRPr="00DB671B" w:rsidRDefault="00850B27" w:rsidP="00DB671B">
                        <w:pPr>
                          <w:spacing w:before="20" w:after="20"/>
                          <w:rPr>
                            <w:sz w:val="16"/>
                            <w:szCs w:val="16"/>
                          </w:rPr>
                        </w:pPr>
                      </w:p>
                    </w:tc>
                    <w:tc>
                      <w:tcPr>
                        <w:tcW w:w="150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50B27" w:rsidRPr="00DB671B" w:rsidRDefault="00850B27" w:rsidP="00DB671B">
                        <w:pPr>
                          <w:spacing w:before="20" w:after="20"/>
                          <w:rPr>
                            <w:vanish/>
                          </w:rPr>
                        </w:pPr>
                      </w:p>
                      <w:tbl>
                        <w:tblPr>
                          <w:tblW w:w="1500" w:type="dxa"/>
                          <w:tblLayout w:type="fixed"/>
                          <w:tblCellMar>
                            <w:left w:w="0" w:type="dxa"/>
                            <w:right w:w="0" w:type="dxa"/>
                          </w:tblCellMar>
                          <w:tblLook w:val="01E0" w:firstRow="1" w:lastRow="1" w:firstColumn="1" w:lastColumn="1" w:noHBand="0" w:noVBand="0"/>
                        </w:tblPr>
                        <w:tblGrid>
                          <w:gridCol w:w="1500"/>
                        </w:tblGrid>
                        <w:tr w:rsidR="00DB671B" w:rsidRPr="00DB671B" w:rsidTr="00DB671B">
                          <w:tc>
                            <w:tcPr>
                              <w:tcW w:w="1500" w:type="dxa"/>
                              <w:tcMar>
                                <w:top w:w="0" w:type="dxa"/>
                                <w:left w:w="0" w:type="dxa"/>
                                <w:bottom w:w="0" w:type="dxa"/>
                                <w:right w:w="0" w:type="dxa"/>
                              </w:tcMar>
                            </w:tcPr>
                            <w:p w:rsidR="00850B27" w:rsidRPr="00DB671B" w:rsidRDefault="00850B27" w:rsidP="00DB671B">
                              <w:pPr>
                                <w:pStyle w:val="NormalWeb"/>
                                <w:spacing w:before="20" w:beforeAutospacing="0" w:after="20" w:afterAutospacing="0"/>
                              </w:pPr>
                              <w:r w:rsidRPr="00DB671B">
                                <w:rPr>
                                  <w:rFonts w:ascii="Arial" w:hAnsi="Arial" w:cs="Arial"/>
                                  <w:i/>
                                  <w:iCs/>
                                  <w:sz w:val="16"/>
                                  <w:szCs w:val="16"/>
                                </w:rPr>
                                <w:t>Calendula</w:t>
                              </w:r>
                              <w:r w:rsidRPr="00DB671B">
                                <w:rPr>
                                  <w:rFonts w:ascii="Arial" w:hAnsi="Arial" w:cs="Arial"/>
                                  <w:sz w:val="16"/>
                                  <w:szCs w:val="16"/>
                                </w:rPr>
                                <w:t> L.</w:t>
                              </w:r>
                            </w:p>
                          </w:tc>
                        </w:tr>
                      </w:tbl>
                      <w:p w:rsidR="00850B27" w:rsidRPr="00DB671B" w:rsidRDefault="00850B27" w:rsidP="00DB671B">
                        <w:pPr>
                          <w:spacing w:before="20" w:after="20" w:line="1" w:lineRule="auto"/>
                        </w:pPr>
                      </w:p>
                    </w:tc>
                  </w:tr>
                  <w:tr w:rsidR="00DB671B" w:rsidRPr="00DB671B" w:rsidTr="00DB671B">
                    <w:trPr>
                      <w:hidden/>
                    </w:trPr>
                    <w:tc>
                      <w:tcPr>
                        <w:tcW w:w="600" w:type="dxa"/>
                        <w:tcBorders>
                          <w:top w:val="single" w:sz="6" w:space="0" w:color="000000"/>
                          <w:left w:val="nil"/>
                          <w:bottom w:val="nil"/>
                          <w:right w:val="single" w:sz="6" w:space="0" w:color="000000"/>
                        </w:tcBorders>
                        <w:tcMar>
                          <w:top w:w="0" w:type="dxa"/>
                          <w:left w:w="0" w:type="dxa"/>
                          <w:bottom w:w="0" w:type="dxa"/>
                          <w:right w:w="0" w:type="dxa"/>
                        </w:tcMar>
                      </w:tcPr>
                      <w:p w:rsidR="00850B27" w:rsidRPr="00DB671B" w:rsidRDefault="00850B27" w:rsidP="00DB671B">
                        <w:pPr>
                          <w:spacing w:before="20" w:after="20"/>
                          <w:rPr>
                            <w:vanish/>
                          </w:rPr>
                        </w:pPr>
                      </w:p>
                      <w:tbl>
                        <w:tblPr>
                          <w:tblW w:w="600" w:type="dxa"/>
                          <w:tblLayout w:type="fixed"/>
                          <w:tblCellMar>
                            <w:left w:w="0" w:type="dxa"/>
                            <w:right w:w="0" w:type="dxa"/>
                          </w:tblCellMar>
                          <w:tblLook w:val="01E0" w:firstRow="1" w:lastRow="1" w:firstColumn="1" w:lastColumn="1" w:noHBand="0" w:noVBand="0"/>
                        </w:tblPr>
                        <w:tblGrid>
                          <w:gridCol w:w="600"/>
                        </w:tblGrid>
                        <w:tr w:rsidR="00DB671B" w:rsidRPr="00DB671B" w:rsidTr="00DB671B">
                          <w:tc>
                            <w:tcPr>
                              <w:tcW w:w="600" w:type="dxa"/>
                              <w:tcMar>
                                <w:top w:w="0" w:type="dxa"/>
                                <w:left w:w="0" w:type="dxa"/>
                                <w:bottom w:w="0" w:type="dxa"/>
                                <w:right w:w="0" w:type="dxa"/>
                              </w:tcMar>
                            </w:tcPr>
                            <w:p w:rsidR="00850B27" w:rsidRPr="00DB671B" w:rsidRDefault="00850B27" w:rsidP="00DB671B">
                              <w:pPr>
                                <w:spacing w:before="20" w:after="20"/>
                                <w:rPr>
                                  <w:rFonts w:cs="Arial"/>
                                  <w:sz w:val="16"/>
                                  <w:szCs w:val="16"/>
                                </w:rPr>
                              </w:pPr>
                              <w:r w:rsidRPr="00DB671B">
                                <w:rPr>
                                  <w:rFonts w:cs="Arial"/>
                                  <w:sz w:val="16"/>
                                  <w:szCs w:val="16"/>
                                </w:rPr>
                                <w:t>ZA</w:t>
                              </w:r>
                            </w:p>
                            <w:p w:rsidR="00850B27" w:rsidRPr="00DB671B" w:rsidRDefault="00850B27" w:rsidP="00DB671B">
                              <w:pPr>
                                <w:spacing w:before="20" w:after="20" w:line="1" w:lineRule="auto"/>
                              </w:pPr>
                            </w:p>
                          </w:tc>
                        </w:tr>
                      </w:tbl>
                      <w:p w:rsidR="00850B27" w:rsidRPr="00DB671B" w:rsidRDefault="00850B27" w:rsidP="00DB671B">
                        <w:pPr>
                          <w:spacing w:before="20" w:after="20" w:line="1" w:lineRule="auto"/>
                        </w:pPr>
                      </w:p>
                    </w:tc>
                    <w:tc>
                      <w:tcPr>
                        <w:tcW w:w="648" w:type="dxa"/>
                        <w:tcBorders>
                          <w:top w:val="single" w:sz="6" w:space="0" w:color="000000"/>
                          <w:left w:val="single" w:sz="6" w:space="0" w:color="000000"/>
                          <w:bottom w:val="nil"/>
                          <w:right w:val="single" w:sz="6" w:space="0" w:color="000000"/>
                        </w:tcBorders>
                        <w:tcMar>
                          <w:top w:w="0" w:type="dxa"/>
                          <w:left w:w="0" w:type="dxa"/>
                          <w:bottom w:w="0" w:type="dxa"/>
                          <w:right w:w="0" w:type="dxa"/>
                        </w:tcMar>
                      </w:tcPr>
                      <w:p w:rsidR="00850B27" w:rsidRPr="00DB671B" w:rsidRDefault="00850B27" w:rsidP="00DB671B">
                        <w:pPr>
                          <w:spacing w:before="20" w:after="20"/>
                          <w:rPr>
                            <w:vanish/>
                          </w:rPr>
                        </w:pPr>
                      </w:p>
                      <w:tbl>
                        <w:tblPr>
                          <w:tblW w:w="870" w:type="dxa"/>
                          <w:tblLayout w:type="fixed"/>
                          <w:tblCellMar>
                            <w:left w:w="0" w:type="dxa"/>
                            <w:right w:w="0" w:type="dxa"/>
                          </w:tblCellMar>
                          <w:tblLook w:val="01E0" w:firstRow="1" w:lastRow="1" w:firstColumn="1" w:lastColumn="1" w:noHBand="0" w:noVBand="0"/>
                        </w:tblPr>
                        <w:tblGrid>
                          <w:gridCol w:w="870"/>
                        </w:tblGrid>
                        <w:tr w:rsidR="00DB671B" w:rsidRPr="00DB671B" w:rsidTr="00DB671B">
                          <w:tc>
                            <w:tcPr>
                              <w:tcW w:w="870" w:type="dxa"/>
                              <w:tcMar>
                                <w:top w:w="0" w:type="dxa"/>
                                <w:left w:w="0" w:type="dxa"/>
                                <w:bottom w:w="0" w:type="dxa"/>
                                <w:right w:w="0" w:type="dxa"/>
                              </w:tcMar>
                            </w:tcPr>
                            <w:p w:rsidR="00850B27" w:rsidRPr="00DB671B" w:rsidRDefault="00850B27" w:rsidP="00DB671B">
                              <w:pPr>
                                <w:spacing w:before="20" w:after="20"/>
                                <w:rPr>
                                  <w:rFonts w:cs="Arial"/>
                                  <w:sz w:val="16"/>
                                  <w:szCs w:val="16"/>
                                </w:rPr>
                              </w:pPr>
                              <w:r w:rsidRPr="00DB671B">
                                <w:rPr>
                                  <w:rFonts w:cs="Arial"/>
                                  <w:sz w:val="16"/>
                                  <w:szCs w:val="16"/>
                                </w:rPr>
                                <w:t>TWO</w:t>
                              </w:r>
                            </w:p>
                            <w:p w:rsidR="00850B27" w:rsidRPr="00DB671B" w:rsidRDefault="00850B27" w:rsidP="00DB671B">
                              <w:pPr>
                                <w:spacing w:before="20" w:after="20" w:line="1" w:lineRule="auto"/>
                              </w:pPr>
                            </w:p>
                          </w:tc>
                        </w:tr>
                      </w:tbl>
                      <w:p w:rsidR="00850B27" w:rsidRPr="00DB671B" w:rsidRDefault="00850B27" w:rsidP="00DB671B">
                        <w:pPr>
                          <w:spacing w:before="20" w:after="20" w:line="1" w:lineRule="auto"/>
                        </w:pPr>
                      </w:p>
                    </w:tc>
                    <w:tc>
                      <w:tcPr>
                        <w:tcW w:w="1510" w:type="dxa"/>
                        <w:tcBorders>
                          <w:top w:val="single" w:sz="6" w:space="0" w:color="000000"/>
                          <w:left w:val="single" w:sz="6" w:space="0" w:color="000000"/>
                          <w:bottom w:val="nil"/>
                          <w:right w:val="single" w:sz="6" w:space="0" w:color="000000"/>
                        </w:tcBorders>
                        <w:tcMar>
                          <w:top w:w="0" w:type="dxa"/>
                          <w:left w:w="0" w:type="dxa"/>
                          <w:bottom w:w="0" w:type="dxa"/>
                          <w:right w:w="0" w:type="dxa"/>
                        </w:tcMar>
                      </w:tcPr>
                      <w:p w:rsidR="00850B27" w:rsidRPr="00DB671B" w:rsidRDefault="00850B27" w:rsidP="00DB671B">
                        <w:pPr>
                          <w:spacing w:before="20" w:after="20"/>
                          <w:rPr>
                            <w:vanish/>
                          </w:rPr>
                        </w:pPr>
                      </w:p>
                      <w:tbl>
                        <w:tblPr>
                          <w:tblW w:w="1414" w:type="dxa"/>
                          <w:tblLayout w:type="fixed"/>
                          <w:tblCellMar>
                            <w:left w:w="0" w:type="dxa"/>
                            <w:right w:w="0" w:type="dxa"/>
                          </w:tblCellMar>
                          <w:tblLook w:val="01E0" w:firstRow="1" w:lastRow="1" w:firstColumn="1" w:lastColumn="1" w:noHBand="0" w:noVBand="0"/>
                        </w:tblPr>
                        <w:tblGrid>
                          <w:gridCol w:w="1414"/>
                        </w:tblGrid>
                        <w:tr w:rsidR="00DB671B" w:rsidRPr="00DB671B" w:rsidTr="00DB671B">
                          <w:tc>
                            <w:tcPr>
                              <w:tcW w:w="1414" w:type="dxa"/>
                              <w:tcMar>
                                <w:top w:w="0" w:type="dxa"/>
                                <w:left w:w="0" w:type="dxa"/>
                                <w:bottom w:w="0" w:type="dxa"/>
                                <w:right w:w="0" w:type="dxa"/>
                              </w:tcMar>
                            </w:tcPr>
                            <w:p w:rsidR="00850B27" w:rsidRPr="00DB671B" w:rsidRDefault="00850B27" w:rsidP="00DB671B">
                              <w:pPr>
                                <w:spacing w:before="20" w:after="20"/>
                                <w:rPr>
                                  <w:rFonts w:cs="Arial"/>
                                  <w:sz w:val="16"/>
                                  <w:szCs w:val="16"/>
                                </w:rPr>
                              </w:pPr>
                              <w:r w:rsidRPr="00DB671B">
                                <w:rPr>
                                  <w:rFonts w:cs="Arial"/>
                                  <w:sz w:val="16"/>
                                  <w:szCs w:val="16"/>
                                </w:rPr>
                                <w:t>TG/GAZAN(proj.4)</w:t>
                              </w:r>
                            </w:p>
                            <w:p w:rsidR="00850B27" w:rsidRPr="00DB671B" w:rsidRDefault="00850B27" w:rsidP="00DB671B">
                              <w:pPr>
                                <w:spacing w:before="20" w:after="20" w:line="1" w:lineRule="auto"/>
                              </w:pPr>
                            </w:p>
                          </w:tc>
                        </w:tr>
                      </w:tbl>
                      <w:p w:rsidR="00850B27" w:rsidRPr="00DB671B" w:rsidRDefault="00850B27" w:rsidP="00DB671B">
                        <w:pPr>
                          <w:spacing w:before="20" w:after="20" w:line="1" w:lineRule="auto"/>
                        </w:pPr>
                      </w:p>
                    </w:tc>
                    <w:tc>
                      <w:tcPr>
                        <w:tcW w:w="1530" w:type="dxa"/>
                        <w:tcBorders>
                          <w:top w:val="single" w:sz="6" w:space="0" w:color="000000"/>
                          <w:left w:val="single" w:sz="6" w:space="0" w:color="000000"/>
                          <w:bottom w:val="nil"/>
                          <w:right w:val="single" w:sz="6" w:space="0" w:color="000000"/>
                        </w:tcBorders>
                        <w:tcMar>
                          <w:top w:w="0" w:type="dxa"/>
                          <w:left w:w="0" w:type="dxa"/>
                          <w:bottom w:w="0" w:type="dxa"/>
                          <w:right w:w="0" w:type="dxa"/>
                        </w:tcMar>
                      </w:tcPr>
                      <w:p w:rsidR="00850B27" w:rsidRPr="00DB671B" w:rsidRDefault="00850B27" w:rsidP="00DB671B">
                        <w:pPr>
                          <w:spacing w:before="20" w:after="20"/>
                          <w:rPr>
                            <w:vanish/>
                          </w:rPr>
                        </w:pPr>
                      </w:p>
                      <w:tbl>
                        <w:tblPr>
                          <w:tblW w:w="1530" w:type="dxa"/>
                          <w:tblLayout w:type="fixed"/>
                          <w:tblCellMar>
                            <w:left w:w="0" w:type="dxa"/>
                            <w:right w:w="0" w:type="dxa"/>
                          </w:tblCellMar>
                          <w:tblLook w:val="01E0" w:firstRow="1" w:lastRow="1" w:firstColumn="1" w:lastColumn="1" w:noHBand="0" w:noVBand="0"/>
                        </w:tblPr>
                        <w:tblGrid>
                          <w:gridCol w:w="1530"/>
                        </w:tblGrid>
                        <w:tr w:rsidR="00DB671B" w:rsidRPr="00DB671B" w:rsidTr="00DB671B">
                          <w:tc>
                            <w:tcPr>
                              <w:tcW w:w="1530" w:type="dxa"/>
                              <w:tcMar>
                                <w:top w:w="0" w:type="dxa"/>
                                <w:left w:w="0" w:type="dxa"/>
                                <w:bottom w:w="0" w:type="dxa"/>
                                <w:right w:w="0" w:type="dxa"/>
                              </w:tcMar>
                            </w:tcPr>
                            <w:p w:rsidR="00850B27" w:rsidRPr="00DB671B" w:rsidRDefault="00850B27" w:rsidP="00DB671B">
                              <w:pPr>
                                <w:spacing w:before="20" w:after="20"/>
                              </w:pPr>
                              <w:r w:rsidRPr="00DB671B">
                                <w:rPr>
                                  <w:rFonts w:cs="Arial"/>
                                  <w:sz w:val="16"/>
                                  <w:szCs w:val="16"/>
                                </w:rPr>
                                <w:t>Gazania</w:t>
                              </w:r>
                            </w:p>
                          </w:tc>
                        </w:tr>
                      </w:tbl>
                      <w:p w:rsidR="00850B27" w:rsidRPr="00DB671B" w:rsidRDefault="00850B27" w:rsidP="00DB671B">
                        <w:pPr>
                          <w:spacing w:before="20" w:after="20" w:line="1" w:lineRule="auto"/>
                        </w:pPr>
                      </w:p>
                    </w:tc>
                    <w:tc>
                      <w:tcPr>
                        <w:tcW w:w="1298" w:type="dxa"/>
                        <w:tcBorders>
                          <w:top w:val="single" w:sz="6" w:space="0" w:color="000000"/>
                          <w:left w:val="single" w:sz="6" w:space="0" w:color="000000"/>
                          <w:bottom w:val="nil"/>
                          <w:right w:val="single" w:sz="6" w:space="0" w:color="000000"/>
                        </w:tcBorders>
                        <w:tcMar>
                          <w:top w:w="0" w:type="dxa"/>
                          <w:left w:w="0" w:type="dxa"/>
                          <w:bottom w:w="0" w:type="dxa"/>
                          <w:right w:w="0" w:type="dxa"/>
                        </w:tcMar>
                      </w:tcPr>
                      <w:p w:rsidR="00850B27" w:rsidRPr="00DB671B" w:rsidRDefault="00850B27" w:rsidP="00DB671B">
                        <w:pPr>
                          <w:spacing w:before="20" w:after="20"/>
                          <w:rPr>
                            <w:vanish/>
                          </w:rPr>
                        </w:pPr>
                      </w:p>
                      <w:tbl>
                        <w:tblPr>
                          <w:tblW w:w="1365" w:type="dxa"/>
                          <w:tblLayout w:type="fixed"/>
                          <w:tblCellMar>
                            <w:left w:w="0" w:type="dxa"/>
                            <w:right w:w="0" w:type="dxa"/>
                          </w:tblCellMar>
                          <w:tblLook w:val="01E0" w:firstRow="1" w:lastRow="1" w:firstColumn="1" w:lastColumn="1" w:noHBand="0" w:noVBand="0"/>
                        </w:tblPr>
                        <w:tblGrid>
                          <w:gridCol w:w="1365"/>
                        </w:tblGrid>
                        <w:tr w:rsidR="00DB671B" w:rsidRPr="00DB671B" w:rsidTr="00DB671B">
                          <w:tc>
                            <w:tcPr>
                              <w:tcW w:w="1365" w:type="dxa"/>
                              <w:tcMar>
                                <w:top w:w="0" w:type="dxa"/>
                                <w:left w:w="0" w:type="dxa"/>
                                <w:bottom w:w="0" w:type="dxa"/>
                                <w:right w:w="0" w:type="dxa"/>
                              </w:tcMar>
                            </w:tcPr>
                            <w:p w:rsidR="00850B27" w:rsidRPr="00DB671B" w:rsidRDefault="00850B27" w:rsidP="00DB671B">
                              <w:pPr>
                                <w:spacing w:before="20" w:after="20"/>
                                <w:rPr>
                                  <w:rFonts w:cs="Arial"/>
                                  <w:sz w:val="16"/>
                                  <w:szCs w:val="16"/>
                                </w:rPr>
                              </w:pPr>
                              <w:r w:rsidRPr="00DB671B">
                                <w:rPr>
                                  <w:rFonts w:cs="Arial"/>
                                  <w:sz w:val="16"/>
                                  <w:szCs w:val="16"/>
                                </w:rPr>
                                <w:t>Gazania</w:t>
                              </w:r>
                            </w:p>
                            <w:p w:rsidR="00850B27" w:rsidRPr="00DB671B" w:rsidRDefault="00850B27" w:rsidP="00DB671B">
                              <w:pPr>
                                <w:spacing w:before="20" w:after="20" w:line="1" w:lineRule="auto"/>
                              </w:pPr>
                            </w:p>
                          </w:tc>
                        </w:tr>
                      </w:tbl>
                      <w:p w:rsidR="00850B27" w:rsidRPr="00DB671B" w:rsidRDefault="00850B27" w:rsidP="00DB671B">
                        <w:pPr>
                          <w:spacing w:before="20" w:after="20" w:line="1" w:lineRule="auto"/>
                        </w:pPr>
                      </w:p>
                    </w:tc>
                    <w:tc>
                      <w:tcPr>
                        <w:tcW w:w="1474" w:type="dxa"/>
                        <w:tcBorders>
                          <w:top w:val="single" w:sz="6" w:space="0" w:color="000000"/>
                          <w:left w:val="single" w:sz="6" w:space="0" w:color="000000"/>
                          <w:bottom w:val="nil"/>
                          <w:right w:val="single" w:sz="6" w:space="0" w:color="000000"/>
                        </w:tcBorders>
                        <w:tcMar>
                          <w:top w:w="0" w:type="dxa"/>
                          <w:left w:w="0" w:type="dxa"/>
                          <w:bottom w:w="0" w:type="dxa"/>
                          <w:right w:w="0" w:type="dxa"/>
                        </w:tcMar>
                      </w:tcPr>
                      <w:p w:rsidR="00850B27" w:rsidRPr="00DB671B" w:rsidRDefault="00850B27" w:rsidP="00DB671B">
                        <w:pPr>
                          <w:spacing w:before="20" w:after="20"/>
                          <w:rPr>
                            <w:vanish/>
                          </w:rPr>
                        </w:pPr>
                      </w:p>
                      <w:tbl>
                        <w:tblPr>
                          <w:tblW w:w="1440" w:type="dxa"/>
                          <w:tblLayout w:type="fixed"/>
                          <w:tblCellMar>
                            <w:left w:w="0" w:type="dxa"/>
                            <w:right w:w="0" w:type="dxa"/>
                          </w:tblCellMar>
                          <w:tblLook w:val="01E0" w:firstRow="1" w:lastRow="1" w:firstColumn="1" w:lastColumn="1" w:noHBand="0" w:noVBand="0"/>
                        </w:tblPr>
                        <w:tblGrid>
                          <w:gridCol w:w="1440"/>
                        </w:tblGrid>
                        <w:tr w:rsidR="00DB671B" w:rsidRPr="00DB671B" w:rsidTr="00DB671B">
                          <w:tc>
                            <w:tcPr>
                              <w:tcW w:w="1440" w:type="dxa"/>
                              <w:tcMar>
                                <w:top w:w="0" w:type="dxa"/>
                                <w:left w:w="0" w:type="dxa"/>
                                <w:bottom w:w="0" w:type="dxa"/>
                                <w:right w:w="0" w:type="dxa"/>
                              </w:tcMar>
                            </w:tcPr>
                            <w:p w:rsidR="00850B27" w:rsidRPr="00DB671B" w:rsidRDefault="00850B27" w:rsidP="00DB671B">
                              <w:pPr>
                                <w:spacing w:before="20" w:after="20"/>
                                <w:rPr>
                                  <w:rFonts w:cs="Arial"/>
                                  <w:sz w:val="16"/>
                                  <w:szCs w:val="16"/>
                                </w:rPr>
                              </w:pPr>
                              <w:r w:rsidRPr="00DB671B">
                                <w:rPr>
                                  <w:rFonts w:cs="Arial"/>
                                  <w:sz w:val="16"/>
                                  <w:szCs w:val="16"/>
                                </w:rPr>
                                <w:t>Gazania</w:t>
                              </w:r>
                            </w:p>
                            <w:p w:rsidR="00850B27" w:rsidRPr="00DB671B" w:rsidRDefault="00850B27" w:rsidP="00DB671B">
                              <w:pPr>
                                <w:spacing w:before="20" w:after="20" w:line="1" w:lineRule="auto"/>
                              </w:pPr>
                            </w:p>
                          </w:tc>
                        </w:tr>
                      </w:tbl>
                      <w:p w:rsidR="00850B27" w:rsidRPr="00DB671B" w:rsidRDefault="00850B27" w:rsidP="00DB671B">
                        <w:pPr>
                          <w:spacing w:before="20" w:after="20" w:line="1" w:lineRule="auto"/>
                        </w:pPr>
                      </w:p>
                    </w:tc>
                    <w:tc>
                      <w:tcPr>
                        <w:tcW w:w="1383" w:type="dxa"/>
                        <w:tcBorders>
                          <w:top w:val="single" w:sz="6" w:space="0" w:color="000000"/>
                          <w:left w:val="single" w:sz="6" w:space="0" w:color="000000"/>
                          <w:bottom w:val="nil"/>
                          <w:right w:val="single" w:sz="6" w:space="0" w:color="000000"/>
                        </w:tcBorders>
                        <w:tcMar>
                          <w:top w:w="0" w:type="dxa"/>
                          <w:left w:w="0" w:type="dxa"/>
                          <w:bottom w:w="0" w:type="dxa"/>
                          <w:right w:w="0" w:type="dxa"/>
                        </w:tcMar>
                      </w:tcPr>
                      <w:p w:rsidR="00850B27" w:rsidRPr="00DB671B" w:rsidRDefault="00850B27" w:rsidP="00DB671B">
                        <w:pPr>
                          <w:spacing w:before="20" w:after="20"/>
                          <w:rPr>
                            <w:vanish/>
                          </w:rPr>
                        </w:pPr>
                      </w:p>
                      <w:tbl>
                        <w:tblPr>
                          <w:tblW w:w="1350" w:type="dxa"/>
                          <w:tblLayout w:type="fixed"/>
                          <w:tblCellMar>
                            <w:left w:w="0" w:type="dxa"/>
                            <w:right w:w="0" w:type="dxa"/>
                          </w:tblCellMar>
                          <w:tblLook w:val="01E0" w:firstRow="1" w:lastRow="1" w:firstColumn="1" w:lastColumn="1" w:noHBand="0" w:noVBand="0"/>
                        </w:tblPr>
                        <w:tblGrid>
                          <w:gridCol w:w="1350"/>
                        </w:tblGrid>
                        <w:tr w:rsidR="00DB671B" w:rsidRPr="00DB671B" w:rsidTr="00DB671B">
                          <w:tc>
                            <w:tcPr>
                              <w:tcW w:w="1350" w:type="dxa"/>
                              <w:tcMar>
                                <w:top w:w="0" w:type="dxa"/>
                                <w:left w:w="0" w:type="dxa"/>
                                <w:bottom w:w="0" w:type="dxa"/>
                                <w:right w:w="0" w:type="dxa"/>
                              </w:tcMar>
                            </w:tcPr>
                            <w:p w:rsidR="00850B27" w:rsidRPr="00DB671B" w:rsidRDefault="00850B27" w:rsidP="00DB671B">
                              <w:pPr>
                                <w:spacing w:before="20" w:after="20"/>
                                <w:rPr>
                                  <w:rFonts w:cs="Arial"/>
                                  <w:sz w:val="16"/>
                                  <w:szCs w:val="16"/>
                                </w:rPr>
                              </w:pPr>
                              <w:r w:rsidRPr="00DB671B">
                                <w:rPr>
                                  <w:rFonts w:cs="Arial"/>
                                  <w:sz w:val="16"/>
                                  <w:szCs w:val="16"/>
                                </w:rPr>
                                <w:t>Gazania</w:t>
                              </w:r>
                            </w:p>
                            <w:p w:rsidR="00850B27" w:rsidRPr="00DB671B" w:rsidRDefault="00850B27" w:rsidP="00DB671B">
                              <w:pPr>
                                <w:spacing w:before="20" w:after="20" w:line="1" w:lineRule="auto"/>
                              </w:pPr>
                            </w:p>
                          </w:tc>
                        </w:tr>
                      </w:tbl>
                      <w:p w:rsidR="00850B27" w:rsidRPr="00DB671B" w:rsidRDefault="00850B27" w:rsidP="00DB671B">
                        <w:pPr>
                          <w:spacing w:before="20" w:after="20" w:line="1" w:lineRule="auto"/>
                        </w:pPr>
                      </w:p>
                    </w:tc>
                    <w:tc>
                      <w:tcPr>
                        <w:tcW w:w="1500" w:type="dxa"/>
                        <w:tcBorders>
                          <w:top w:val="single" w:sz="6" w:space="0" w:color="000000"/>
                          <w:left w:val="single" w:sz="6" w:space="0" w:color="000000"/>
                          <w:bottom w:val="nil"/>
                          <w:right w:val="single" w:sz="6" w:space="0" w:color="000000"/>
                        </w:tcBorders>
                        <w:tcMar>
                          <w:top w:w="0" w:type="dxa"/>
                          <w:left w:w="0" w:type="dxa"/>
                          <w:bottom w:w="0" w:type="dxa"/>
                          <w:right w:w="0" w:type="dxa"/>
                        </w:tcMar>
                      </w:tcPr>
                      <w:p w:rsidR="00850B27" w:rsidRPr="00DB671B" w:rsidRDefault="00850B27" w:rsidP="00DB671B">
                        <w:pPr>
                          <w:spacing w:before="20" w:after="20"/>
                          <w:rPr>
                            <w:vanish/>
                          </w:rPr>
                        </w:pPr>
                      </w:p>
                      <w:tbl>
                        <w:tblPr>
                          <w:tblW w:w="1500" w:type="dxa"/>
                          <w:tblLayout w:type="fixed"/>
                          <w:tblCellMar>
                            <w:left w:w="0" w:type="dxa"/>
                            <w:right w:w="0" w:type="dxa"/>
                          </w:tblCellMar>
                          <w:tblLook w:val="01E0" w:firstRow="1" w:lastRow="1" w:firstColumn="1" w:lastColumn="1" w:noHBand="0" w:noVBand="0"/>
                        </w:tblPr>
                        <w:tblGrid>
                          <w:gridCol w:w="1500"/>
                        </w:tblGrid>
                        <w:tr w:rsidR="00DB671B" w:rsidRPr="00DB671B" w:rsidTr="00DB671B">
                          <w:tc>
                            <w:tcPr>
                              <w:tcW w:w="1500" w:type="dxa"/>
                              <w:tcMar>
                                <w:top w:w="0" w:type="dxa"/>
                                <w:left w:w="0" w:type="dxa"/>
                                <w:bottom w:w="0" w:type="dxa"/>
                                <w:right w:w="0" w:type="dxa"/>
                              </w:tcMar>
                            </w:tcPr>
                            <w:p w:rsidR="00850B27" w:rsidRPr="00DB671B" w:rsidRDefault="00850B27" w:rsidP="00DB671B">
                              <w:pPr>
                                <w:spacing w:before="20" w:after="20"/>
                                <w:rPr>
                                  <w:rFonts w:cs="Arial"/>
                                  <w:sz w:val="16"/>
                                  <w:szCs w:val="16"/>
                                </w:rPr>
                              </w:pPr>
                              <w:r w:rsidRPr="00DB671B">
                                <w:rPr>
                                  <w:rFonts w:cs="Arial"/>
                                  <w:i/>
                                  <w:iCs/>
                                  <w:sz w:val="16"/>
                                  <w:szCs w:val="16"/>
                                </w:rPr>
                                <w:t>Gazania</w:t>
                              </w:r>
                              <w:r w:rsidRPr="00DB671B">
                                <w:rPr>
                                  <w:rFonts w:cs="Arial"/>
                                  <w:sz w:val="16"/>
                                  <w:szCs w:val="16"/>
                                </w:rPr>
                                <w:t> Gaertn.</w:t>
                              </w:r>
                            </w:p>
                            <w:p w:rsidR="00850B27" w:rsidRPr="00DB671B" w:rsidRDefault="00850B27" w:rsidP="00DB671B">
                              <w:pPr>
                                <w:spacing w:before="20" w:after="20" w:line="1" w:lineRule="auto"/>
                              </w:pPr>
                            </w:p>
                          </w:tc>
                        </w:tr>
                      </w:tbl>
                      <w:p w:rsidR="00850B27" w:rsidRPr="00DB671B" w:rsidRDefault="00850B27" w:rsidP="00DB671B">
                        <w:pPr>
                          <w:spacing w:before="20" w:after="20" w:line="1" w:lineRule="auto"/>
                        </w:pPr>
                      </w:p>
                    </w:tc>
                  </w:tr>
                </w:tbl>
                <w:p w:rsidR="00850B27" w:rsidRPr="00DB671B" w:rsidRDefault="00850B27" w:rsidP="00DB671B">
                  <w:pPr>
                    <w:jc w:val="left"/>
                    <w:rPr>
                      <w:rFonts w:eastAsia="Arial" w:cs="Arial"/>
                      <w:sz w:val="16"/>
                      <w:szCs w:val="16"/>
                      <w:u w:val="single"/>
                    </w:rPr>
                  </w:pPr>
                </w:p>
              </w:tc>
            </w:tr>
            <w:tr w:rsidR="00DB671B" w:rsidRPr="00BC76D0" w:rsidTr="00DB671B">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tbl>
                  <w:tblPr>
                    <w:tblW w:w="645" w:type="dxa"/>
                    <w:tblLayout w:type="fixed"/>
                    <w:tblCellMar>
                      <w:left w:w="0" w:type="dxa"/>
                      <w:right w:w="0" w:type="dxa"/>
                    </w:tblCellMar>
                    <w:tblLook w:val="01E0" w:firstRow="1" w:lastRow="1" w:firstColumn="1" w:lastColumn="1" w:noHBand="0" w:noVBand="0"/>
                  </w:tblPr>
                  <w:tblGrid>
                    <w:gridCol w:w="645"/>
                  </w:tblGrid>
                  <w:tr w:rsidR="00DB671B" w:rsidRPr="00DB671B" w:rsidTr="00DB671B">
                    <w:tc>
                      <w:tcPr>
                        <w:tcW w:w="645" w:type="dxa"/>
                        <w:tcMar>
                          <w:top w:w="0" w:type="dxa"/>
                          <w:left w:w="0" w:type="dxa"/>
                          <w:bottom w:w="0" w:type="dxa"/>
                          <w:right w:w="0" w:type="dxa"/>
                        </w:tcMar>
                      </w:tcPr>
                      <w:p w:rsidR="00850B27" w:rsidRPr="00DB671B" w:rsidRDefault="00850B27" w:rsidP="00DB671B">
                        <w:pPr>
                          <w:spacing w:before="20" w:after="20"/>
                          <w:rPr>
                            <w:rFonts w:cs="Arial"/>
                            <w:sz w:val="16"/>
                            <w:szCs w:val="16"/>
                          </w:rPr>
                        </w:pPr>
                        <w:r w:rsidRPr="00DB671B">
                          <w:rPr>
                            <w:rFonts w:cs="Arial"/>
                            <w:sz w:val="16"/>
                            <w:szCs w:val="16"/>
                          </w:rPr>
                          <w:t>ES</w:t>
                        </w:r>
                      </w:p>
                      <w:p w:rsidR="00850B27" w:rsidRPr="00DB671B" w:rsidRDefault="00850B27" w:rsidP="00DB671B">
                        <w:pPr>
                          <w:spacing w:before="20" w:after="20" w:line="1" w:lineRule="auto"/>
                        </w:pPr>
                      </w:p>
                    </w:tc>
                  </w:tr>
                </w:tbl>
                <w:p w:rsidR="00850B27" w:rsidRPr="00DB671B" w:rsidRDefault="00850B27" w:rsidP="00DB671B">
                  <w:pPr>
                    <w:spacing w:before="20" w:after="20" w:line="1" w:lineRule="auto"/>
                  </w:pPr>
                </w:p>
              </w:tc>
              <w:tc>
                <w:tcPr>
                  <w:tcW w:w="62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850B27" w:rsidRPr="00DB671B" w:rsidRDefault="00850B27" w:rsidP="00DB671B">
                  <w:pPr>
                    <w:spacing w:before="20" w:after="20"/>
                    <w:rPr>
                      <w:vanish/>
                    </w:rPr>
                  </w:pPr>
                </w:p>
                <w:tbl>
                  <w:tblPr>
                    <w:tblW w:w="596" w:type="dxa"/>
                    <w:tblLayout w:type="fixed"/>
                    <w:tblCellMar>
                      <w:left w:w="0" w:type="dxa"/>
                      <w:right w:w="0" w:type="dxa"/>
                    </w:tblCellMar>
                    <w:tblLook w:val="01E0" w:firstRow="1" w:lastRow="1" w:firstColumn="1" w:lastColumn="1" w:noHBand="0" w:noVBand="0"/>
                  </w:tblPr>
                  <w:tblGrid>
                    <w:gridCol w:w="596"/>
                  </w:tblGrid>
                  <w:tr w:rsidR="00DB671B" w:rsidRPr="00DB671B" w:rsidTr="00DB671B">
                    <w:tc>
                      <w:tcPr>
                        <w:tcW w:w="596" w:type="dxa"/>
                        <w:tcMar>
                          <w:top w:w="0" w:type="dxa"/>
                          <w:left w:w="0" w:type="dxa"/>
                          <w:bottom w:w="0" w:type="dxa"/>
                          <w:right w:w="0" w:type="dxa"/>
                        </w:tcMar>
                      </w:tcPr>
                      <w:p w:rsidR="00850B27" w:rsidRPr="00DB671B" w:rsidRDefault="00850B27" w:rsidP="00DB671B">
                        <w:pPr>
                          <w:spacing w:before="20" w:after="20"/>
                          <w:rPr>
                            <w:rFonts w:cs="Arial"/>
                            <w:sz w:val="16"/>
                            <w:szCs w:val="16"/>
                          </w:rPr>
                        </w:pPr>
                        <w:r w:rsidRPr="00DB671B">
                          <w:rPr>
                            <w:rFonts w:cs="Arial"/>
                            <w:sz w:val="16"/>
                            <w:szCs w:val="16"/>
                          </w:rPr>
                          <w:t>TWF</w:t>
                        </w:r>
                      </w:p>
                      <w:p w:rsidR="00850B27" w:rsidRPr="00DB671B" w:rsidRDefault="00850B27" w:rsidP="00DB671B">
                        <w:pPr>
                          <w:spacing w:before="20" w:after="20" w:line="1" w:lineRule="auto"/>
                        </w:pPr>
                      </w:p>
                    </w:tc>
                  </w:tr>
                </w:tbl>
                <w:p w:rsidR="00850B27" w:rsidRPr="00DB671B" w:rsidRDefault="00850B27" w:rsidP="00DB671B">
                  <w:pPr>
                    <w:spacing w:before="20" w:after="20" w:line="1" w:lineRule="auto"/>
                  </w:pPr>
                </w:p>
              </w:tc>
              <w:tc>
                <w:tcPr>
                  <w:tcW w:w="150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850B27" w:rsidRPr="00DB671B" w:rsidRDefault="00850B27" w:rsidP="00DB671B">
                  <w:pPr>
                    <w:spacing w:before="20" w:after="20"/>
                    <w:jc w:val="left"/>
                    <w:rPr>
                      <w:vanish/>
                    </w:rPr>
                  </w:pPr>
                </w:p>
                <w:tbl>
                  <w:tblPr>
                    <w:tblW w:w="1414" w:type="dxa"/>
                    <w:tblLayout w:type="fixed"/>
                    <w:tblCellMar>
                      <w:left w:w="0" w:type="dxa"/>
                      <w:right w:w="0" w:type="dxa"/>
                    </w:tblCellMar>
                    <w:tblLook w:val="01E0" w:firstRow="1" w:lastRow="1" w:firstColumn="1" w:lastColumn="1" w:noHBand="0" w:noVBand="0"/>
                  </w:tblPr>
                  <w:tblGrid>
                    <w:gridCol w:w="1414"/>
                  </w:tblGrid>
                  <w:tr w:rsidR="00DB671B" w:rsidRPr="00DB671B" w:rsidTr="00DB671B">
                    <w:tc>
                      <w:tcPr>
                        <w:tcW w:w="1414" w:type="dxa"/>
                        <w:tcMar>
                          <w:top w:w="0" w:type="dxa"/>
                          <w:left w:w="0" w:type="dxa"/>
                          <w:bottom w:w="0" w:type="dxa"/>
                          <w:right w:w="0" w:type="dxa"/>
                        </w:tcMar>
                      </w:tcPr>
                      <w:p w:rsidR="00850B27" w:rsidRPr="00DB671B" w:rsidRDefault="00850B27" w:rsidP="00DB671B">
                        <w:pPr>
                          <w:spacing w:before="20" w:after="20"/>
                          <w:jc w:val="left"/>
                          <w:rPr>
                            <w:rFonts w:cs="Arial"/>
                            <w:sz w:val="16"/>
                            <w:szCs w:val="16"/>
                          </w:rPr>
                        </w:pPr>
                        <w:r w:rsidRPr="00DB671B">
                          <w:rPr>
                            <w:rFonts w:cs="Arial"/>
                            <w:sz w:val="16"/>
                            <w:szCs w:val="16"/>
                          </w:rPr>
                          <w:t>TG/JUGLA(proj.6)</w:t>
                        </w:r>
                      </w:p>
                      <w:p w:rsidR="00850B27" w:rsidRPr="00DB671B" w:rsidRDefault="00850B27" w:rsidP="00DB671B">
                        <w:pPr>
                          <w:spacing w:before="20" w:after="20" w:line="1" w:lineRule="auto"/>
                          <w:jc w:val="left"/>
                        </w:pPr>
                      </w:p>
                    </w:tc>
                  </w:tr>
                </w:tbl>
                <w:p w:rsidR="00850B27" w:rsidRPr="00DB671B" w:rsidRDefault="00850B27" w:rsidP="00DB671B">
                  <w:pPr>
                    <w:spacing w:before="20" w:after="20" w:line="1" w:lineRule="auto"/>
                    <w:jc w:val="left"/>
                  </w:pPr>
                </w:p>
              </w:tc>
              <w:tc>
                <w:tcPr>
                  <w:tcW w:w="154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850B27" w:rsidRPr="00DB671B" w:rsidRDefault="00850B27" w:rsidP="00DB671B">
                  <w:pPr>
                    <w:spacing w:before="20" w:after="20"/>
                    <w:jc w:val="left"/>
                    <w:rPr>
                      <w:vanish/>
                    </w:rPr>
                  </w:pPr>
                </w:p>
                <w:tbl>
                  <w:tblPr>
                    <w:tblW w:w="1545" w:type="dxa"/>
                    <w:tblLayout w:type="fixed"/>
                    <w:tblCellMar>
                      <w:left w:w="0" w:type="dxa"/>
                      <w:right w:w="0" w:type="dxa"/>
                    </w:tblCellMar>
                    <w:tblLook w:val="01E0" w:firstRow="1" w:lastRow="1" w:firstColumn="1" w:lastColumn="1" w:noHBand="0" w:noVBand="0"/>
                  </w:tblPr>
                  <w:tblGrid>
                    <w:gridCol w:w="1545"/>
                  </w:tblGrid>
                  <w:tr w:rsidR="00DB671B" w:rsidRPr="00DB671B" w:rsidTr="00DB671B">
                    <w:tc>
                      <w:tcPr>
                        <w:tcW w:w="1545" w:type="dxa"/>
                        <w:tcMar>
                          <w:top w:w="0" w:type="dxa"/>
                          <w:left w:w="0" w:type="dxa"/>
                          <w:bottom w:w="0" w:type="dxa"/>
                          <w:right w:w="0" w:type="dxa"/>
                        </w:tcMar>
                      </w:tcPr>
                      <w:p w:rsidR="00850B27" w:rsidRPr="00DB671B" w:rsidRDefault="00850B27" w:rsidP="00DB671B">
                        <w:pPr>
                          <w:spacing w:before="20" w:after="20"/>
                          <w:jc w:val="left"/>
                          <w:rPr>
                            <w:rFonts w:cs="Arial"/>
                            <w:sz w:val="16"/>
                            <w:szCs w:val="16"/>
                          </w:rPr>
                        </w:pPr>
                        <w:r w:rsidRPr="00DB671B">
                          <w:rPr>
                            <w:rFonts w:cs="Arial"/>
                            <w:sz w:val="16"/>
                            <w:szCs w:val="16"/>
                          </w:rPr>
                          <w:t>Black Walnut</w:t>
                        </w:r>
                      </w:p>
                      <w:p w:rsidR="00850B27" w:rsidRPr="00DB671B" w:rsidRDefault="00850B27" w:rsidP="00DB671B">
                        <w:pPr>
                          <w:spacing w:before="20" w:after="20" w:line="1" w:lineRule="auto"/>
                          <w:jc w:val="left"/>
                        </w:pPr>
                      </w:p>
                    </w:tc>
                  </w:tr>
                </w:tbl>
                <w:p w:rsidR="00850B27" w:rsidRPr="00DB671B" w:rsidRDefault="00850B27" w:rsidP="00DB671B">
                  <w:pPr>
                    <w:spacing w:before="20" w:after="20" w:line="1" w:lineRule="auto"/>
                    <w:jc w:val="left"/>
                  </w:pPr>
                </w:p>
              </w:tc>
              <w:tc>
                <w:tcPr>
                  <w:tcW w:w="12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850B27" w:rsidRPr="00DB671B" w:rsidRDefault="00850B27" w:rsidP="00DB671B">
                  <w:pPr>
                    <w:spacing w:before="20" w:after="20"/>
                    <w:jc w:val="left"/>
                    <w:rPr>
                      <w:vanish/>
                    </w:rPr>
                  </w:pPr>
                </w:p>
                <w:tbl>
                  <w:tblPr>
                    <w:tblW w:w="1290" w:type="dxa"/>
                    <w:tblLayout w:type="fixed"/>
                    <w:tblCellMar>
                      <w:left w:w="0" w:type="dxa"/>
                      <w:right w:w="0" w:type="dxa"/>
                    </w:tblCellMar>
                    <w:tblLook w:val="01E0" w:firstRow="1" w:lastRow="1" w:firstColumn="1" w:lastColumn="1" w:noHBand="0" w:noVBand="0"/>
                  </w:tblPr>
                  <w:tblGrid>
                    <w:gridCol w:w="1290"/>
                  </w:tblGrid>
                  <w:tr w:rsidR="00DB671B" w:rsidRPr="00DB671B" w:rsidTr="00DB671B">
                    <w:tc>
                      <w:tcPr>
                        <w:tcW w:w="1290" w:type="dxa"/>
                        <w:tcMar>
                          <w:top w:w="0" w:type="dxa"/>
                          <w:left w:w="0" w:type="dxa"/>
                          <w:bottom w:w="0" w:type="dxa"/>
                          <w:right w:w="0" w:type="dxa"/>
                        </w:tcMar>
                      </w:tcPr>
                      <w:p w:rsidR="00850B27" w:rsidRPr="00DB671B" w:rsidRDefault="00850B27" w:rsidP="00DB671B">
                        <w:pPr>
                          <w:spacing w:before="20" w:after="20"/>
                          <w:jc w:val="left"/>
                          <w:rPr>
                            <w:rFonts w:cs="Arial"/>
                            <w:sz w:val="16"/>
                            <w:szCs w:val="16"/>
                          </w:rPr>
                        </w:pPr>
                        <w:r w:rsidRPr="00DB671B">
                          <w:rPr>
                            <w:rFonts w:cs="Arial"/>
                            <w:sz w:val="16"/>
                            <w:szCs w:val="16"/>
                          </w:rPr>
                          <w:t>Noyer noir</w:t>
                        </w:r>
                      </w:p>
                      <w:p w:rsidR="00850B27" w:rsidRPr="00DB671B" w:rsidRDefault="00850B27" w:rsidP="00DB671B">
                        <w:pPr>
                          <w:spacing w:before="20" w:after="20" w:line="1" w:lineRule="auto"/>
                          <w:jc w:val="left"/>
                        </w:pPr>
                      </w:p>
                    </w:tc>
                  </w:tr>
                </w:tbl>
                <w:p w:rsidR="00850B27" w:rsidRPr="00DB671B" w:rsidRDefault="00850B27" w:rsidP="00DB671B">
                  <w:pPr>
                    <w:spacing w:before="20" w:after="20" w:line="1" w:lineRule="auto"/>
                    <w:jc w:val="left"/>
                  </w:pPr>
                </w:p>
              </w:tc>
              <w:tc>
                <w:tcPr>
                  <w:tcW w:w="1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850B27" w:rsidRPr="00DB671B" w:rsidRDefault="00850B27" w:rsidP="00DB671B">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DB671B" w:rsidRPr="00DB671B" w:rsidTr="00DB671B">
                    <w:tc>
                      <w:tcPr>
                        <w:tcW w:w="1470" w:type="dxa"/>
                        <w:tcMar>
                          <w:top w:w="0" w:type="dxa"/>
                          <w:left w:w="0" w:type="dxa"/>
                          <w:bottom w:w="0" w:type="dxa"/>
                          <w:right w:w="0" w:type="dxa"/>
                        </w:tcMar>
                      </w:tcPr>
                      <w:p w:rsidR="00850B27" w:rsidRPr="00DB671B" w:rsidRDefault="00850B27" w:rsidP="00DB671B">
                        <w:pPr>
                          <w:spacing w:before="20" w:after="20"/>
                          <w:jc w:val="left"/>
                          <w:rPr>
                            <w:rFonts w:cs="Arial"/>
                            <w:sz w:val="16"/>
                            <w:szCs w:val="16"/>
                          </w:rPr>
                        </w:pPr>
                        <w:r w:rsidRPr="00DB671B">
                          <w:rPr>
                            <w:rFonts w:cs="Arial"/>
                            <w:sz w:val="16"/>
                            <w:szCs w:val="16"/>
                          </w:rPr>
                          <w:t>Schwarznuss</w:t>
                        </w:r>
                      </w:p>
                      <w:p w:rsidR="00850B27" w:rsidRPr="00DB671B" w:rsidRDefault="00850B27" w:rsidP="00DB671B">
                        <w:pPr>
                          <w:spacing w:before="20" w:after="20" w:line="1" w:lineRule="auto"/>
                          <w:jc w:val="left"/>
                        </w:pPr>
                      </w:p>
                    </w:tc>
                  </w:tr>
                </w:tbl>
                <w:p w:rsidR="00850B27" w:rsidRPr="00DB671B" w:rsidRDefault="00850B27" w:rsidP="00DB671B">
                  <w:pPr>
                    <w:spacing w:before="20" w:after="20" w:line="1" w:lineRule="auto"/>
                    <w:jc w:val="left"/>
                  </w:pPr>
                </w:p>
              </w:tc>
              <w:tc>
                <w:tcPr>
                  <w:tcW w:w="136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850B27" w:rsidRPr="00DB671B" w:rsidRDefault="00850B27" w:rsidP="00DB671B">
                  <w:pPr>
                    <w:spacing w:before="20" w:after="20"/>
                    <w:jc w:val="left"/>
                    <w:rPr>
                      <w:vanish/>
                    </w:rPr>
                  </w:pPr>
                </w:p>
                <w:tbl>
                  <w:tblPr>
                    <w:tblW w:w="1365" w:type="dxa"/>
                    <w:tblLayout w:type="fixed"/>
                    <w:tblCellMar>
                      <w:left w:w="0" w:type="dxa"/>
                      <w:right w:w="0" w:type="dxa"/>
                    </w:tblCellMar>
                    <w:tblLook w:val="01E0" w:firstRow="1" w:lastRow="1" w:firstColumn="1" w:lastColumn="1" w:noHBand="0" w:noVBand="0"/>
                  </w:tblPr>
                  <w:tblGrid>
                    <w:gridCol w:w="1365"/>
                  </w:tblGrid>
                  <w:tr w:rsidR="00DB671B" w:rsidRPr="00DB671B" w:rsidTr="00DB671B">
                    <w:tc>
                      <w:tcPr>
                        <w:tcW w:w="1365" w:type="dxa"/>
                        <w:tcMar>
                          <w:top w:w="0" w:type="dxa"/>
                          <w:left w:w="0" w:type="dxa"/>
                          <w:bottom w:w="0" w:type="dxa"/>
                          <w:right w:w="0" w:type="dxa"/>
                        </w:tcMar>
                      </w:tcPr>
                      <w:p w:rsidR="00850B27" w:rsidRPr="00DB671B" w:rsidRDefault="00850B27" w:rsidP="00DB671B">
                        <w:pPr>
                          <w:spacing w:before="20" w:after="20"/>
                          <w:jc w:val="left"/>
                          <w:rPr>
                            <w:rFonts w:cs="Arial"/>
                            <w:sz w:val="16"/>
                            <w:szCs w:val="16"/>
                          </w:rPr>
                        </w:pPr>
                        <w:r w:rsidRPr="00DB671B">
                          <w:rPr>
                            <w:rFonts w:cs="Arial"/>
                            <w:sz w:val="16"/>
                            <w:szCs w:val="16"/>
                          </w:rPr>
                          <w:t>Nogal negro</w:t>
                        </w:r>
                      </w:p>
                      <w:p w:rsidR="00850B27" w:rsidRPr="00DB671B" w:rsidRDefault="00850B27" w:rsidP="00DB671B">
                        <w:pPr>
                          <w:spacing w:before="20" w:after="20" w:line="1" w:lineRule="auto"/>
                          <w:jc w:val="left"/>
                        </w:pPr>
                      </w:p>
                    </w:tc>
                  </w:tr>
                </w:tbl>
                <w:p w:rsidR="00850B27" w:rsidRPr="00DB671B" w:rsidRDefault="00850B27" w:rsidP="00DB671B">
                  <w:pPr>
                    <w:spacing w:before="20" w:after="20" w:line="1" w:lineRule="auto"/>
                    <w:jc w:val="left"/>
                  </w:pPr>
                </w:p>
              </w:tc>
              <w:tc>
                <w:tcPr>
                  <w:tcW w:w="14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850B27" w:rsidRPr="001766FA" w:rsidRDefault="00850B27" w:rsidP="00DB671B">
                  <w:pPr>
                    <w:spacing w:before="20" w:after="20"/>
                    <w:jc w:val="left"/>
                    <w:rPr>
                      <w:vanish/>
                      <w:sz w:val="16"/>
                      <w:szCs w:val="16"/>
                      <w:lang w:val="en-US"/>
                    </w:rPr>
                  </w:pPr>
                </w:p>
                <w:tbl>
                  <w:tblPr>
                    <w:tblW w:w="1455" w:type="dxa"/>
                    <w:tblLayout w:type="fixed"/>
                    <w:tblCellMar>
                      <w:left w:w="0" w:type="dxa"/>
                      <w:right w:w="0" w:type="dxa"/>
                    </w:tblCellMar>
                    <w:tblLook w:val="01E0" w:firstRow="1" w:lastRow="1" w:firstColumn="1" w:lastColumn="1" w:noHBand="0" w:noVBand="0"/>
                  </w:tblPr>
                  <w:tblGrid>
                    <w:gridCol w:w="1455"/>
                  </w:tblGrid>
                  <w:tr w:rsidR="00DB671B" w:rsidRPr="00BC76D0" w:rsidTr="00DB671B">
                    <w:tc>
                      <w:tcPr>
                        <w:tcW w:w="1455" w:type="dxa"/>
                        <w:tcMar>
                          <w:top w:w="0" w:type="dxa"/>
                          <w:left w:w="0" w:type="dxa"/>
                          <w:bottom w:w="0" w:type="dxa"/>
                          <w:right w:w="0" w:type="dxa"/>
                        </w:tcMar>
                      </w:tcPr>
                      <w:p w:rsidR="00850B27" w:rsidRPr="001766FA" w:rsidRDefault="00850B27" w:rsidP="00DB671B">
                        <w:pPr>
                          <w:spacing w:before="20" w:after="20" w:line="1" w:lineRule="auto"/>
                          <w:jc w:val="left"/>
                          <w:rPr>
                            <w:sz w:val="16"/>
                            <w:szCs w:val="16"/>
                            <w:lang w:val="en-US"/>
                          </w:rPr>
                        </w:pPr>
                      </w:p>
                    </w:tc>
                  </w:tr>
                </w:tbl>
                <w:p w:rsidR="00850B27" w:rsidRPr="001766FA" w:rsidRDefault="00850B27" w:rsidP="00DB671B">
                  <w:pPr>
                    <w:spacing w:before="20" w:after="20"/>
                    <w:jc w:val="left"/>
                    <w:rPr>
                      <w:sz w:val="16"/>
                      <w:szCs w:val="16"/>
                      <w:lang w:val="en-US"/>
                    </w:rPr>
                  </w:pPr>
                  <w:r w:rsidRPr="001766FA">
                    <w:rPr>
                      <w:i/>
                      <w:sz w:val="16"/>
                      <w:szCs w:val="16"/>
                      <w:lang w:val="en-US"/>
                    </w:rPr>
                    <w:t>Juglans hindsii</w:t>
                  </w:r>
                  <w:r w:rsidRPr="001766FA">
                    <w:rPr>
                      <w:sz w:val="16"/>
                      <w:szCs w:val="16"/>
                      <w:lang w:val="en-US"/>
                    </w:rPr>
                    <w:t xml:space="preserve"> (Jeps.) R. E. Sm.; </w:t>
                  </w:r>
                  <w:r w:rsidRPr="001766FA">
                    <w:rPr>
                      <w:i/>
                      <w:sz w:val="16"/>
                      <w:szCs w:val="16"/>
                      <w:lang w:val="en-US"/>
                    </w:rPr>
                    <w:t>J. hindsii</w:t>
                  </w:r>
                  <w:r w:rsidRPr="001766FA">
                    <w:rPr>
                      <w:sz w:val="16"/>
                      <w:szCs w:val="16"/>
                      <w:lang w:val="en-US"/>
                    </w:rPr>
                    <w:t xml:space="preserve"> × </w:t>
                  </w:r>
                  <w:r w:rsidRPr="001766FA">
                    <w:rPr>
                      <w:i/>
                      <w:sz w:val="16"/>
                      <w:szCs w:val="16"/>
                      <w:lang w:val="en-US"/>
                    </w:rPr>
                    <w:t>J. regia</w:t>
                  </w:r>
                  <w:r w:rsidRPr="001766FA">
                    <w:rPr>
                      <w:sz w:val="16"/>
                      <w:szCs w:val="16"/>
                      <w:lang w:val="en-US"/>
                    </w:rPr>
                    <w:t xml:space="preserve">; </w:t>
                  </w:r>
                  <w:r w:rsidRPr="001766FA">
                    <w:rPr>
                      <w:i/>
                      <w:sz w:val="16"/>
                      <w:szCs w:val="16"/>
                      <w:lang w:val="en-US"/>
                    </w:rPr>
                    <w:t>J. major</w:t>
                  </w:r>
                  <w:r w:rsidRPr="001766FA">
                    <w:rPr>
                      <w:sz w:val="16"/>
                      <w:szCs w:val="16"/>
                      <w:lang w:val="en-US"/>
                    </w:rPr>
                    <w:t xml:space="preserve"> (Torr.) A. Heller; </w:t>
                  </w:r>
                  <w:r w:rsidRPr="001766FA">
                    <w:rPr>
                      <w:i/>
                      <w:sz w:val="16"/>
                      <w:szCs w:val="16"/>
                      <w:lang w:val="en-US"/>
                    </w:rPr>
                    <w:t>J. major</w:t>
                  </w:r>
                  <w:r w:rsidRPr="001766FA">
                    <w:rPr>
                      <w:sz w:val="16"/>
                      <w:szCs w:val="16"/>
                      <w:lang w:val="en-US"/>
                    </w:rPr>
                    <w:t xml:space="preserve"> x </w:t>
                  </w:r>
                  <w:r w:rsidRPr="001766FA">
                    <w:rPr>
                      <w:i/>
                      <w:sz w:val="16"/>
                      <w:szCs w:val="16"/>
                      <w:lang w:val="en-US"/>
                    </w:rPr>
                    <w:t>J. regia</w:t>
                  </w:r>
                  <w:r w:rsidRPr="001766FA">
                    <w:rPr>
                      <w:sz w:val="16"/>
                      <w:szCs w:val="16"/>
                      <w:lang w:val="en-US"/>
                    </w:rPr>
                    <w:t xml:space="preserve">; </w:t>
                  </w:r>
                  <w:r w:rsidRPr="001766FA">
                    <w:rPr>
                      <w:i/>
                      <w:sz w:val="16"/>
                      <w:szCs w:val="16"/>
                      <w:lang w:val="en-US"/>
                    </w:rPr>
                    <w:t>J. nigra</w:t>
                  </w:r>
                  <w:r w:rsidRPr="001766FA">
                    <w:rPr>
                      <w:sz w:val="16"/>
                      <w:szCs w:val="16"/>
                      <w:lang w:val="en-US"/>
                    </w:rPr>
                    <w:t xml:space="preserve"> L.; </w:t>
                  </w:r>
                  <w:r w:rsidRPr="001766FA">
                    <w:rPr>
                      <w:i/>
                      <w:sz w:val="16"/>
                      <w:szCs w:val="16"/>
                      <w:lang w:val="en-US"/>
                    </w:rPr>
                    <w:t>J. nigra</w:t>
                  </w:r>
                  <w:r w:rsidRPr="001766FA">
                    <w:rPr>
                      <w:sz w:val="16"/>
                      <w:szCs w:val="16"/>
                      <w:lang w:val="en-US"/>
                    </w:rPr>
                    <w:t xml:space="preserve"> x </w:t>
                  </w:r>
                  <w:r w:rsidRPr="001766FA">
                    <w:rPr>
                      <w:i/>
                      <w:sz w:val="16"/>
                      <w:szCs w:val="16"/>
                      <w:lang w:val="en-US"/>
                    </w:rPr>
                    <w:t>J. regia</w:t>
                  </w:r>
                  <w:r w:rsidRPr="001766FA">
                    <w:rPr>
                      <w:sz w:val="16"/>
                      <w:szCs w:val="16"/>
                      <w:lang w:val="en-US"/>
                    </w:rPr>
                    <w:t xml:space="preserve"> L.</w:t>
                  </w:r>
                </w:p>
              </w:tc>
            </w:tr>
          </w:tbl>
          <w:p w:rsidR="00850B27" w:rsidRPr="001766FA" w:rsidRDefault="00850B27" w:rsidP="00DB671B">
            <w:pPr>
              <w:rPr>
                <w:lang w:val="en-US"/>
              </w:rPr>
            </w:pPr>
          </w:p>
          <w:tbl>
            <w:tblPr>
              <w:tblW w:w="990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645"/>
              <w:gridCol w:w="621"/>
              <w:gridCol w:w="1509"/>
              <w:gridCol w:w="1545"/>
              <w:gridCol w:w="1290"/>
              <w:gridCol w:w="1470"/>
              <w:gridCol w:w="1365"/>
              <w:gridCol w:w="1455"/>
            </w:tblGrid>
            <w:tr w:rsidR="00DB671B" w:rsidRPr="00DB671B" w:rsidTr="00DB671B">
              <w:trPr>
                <w:trHeight w:val="184"/>
              </w:trPr>
              <w:tc>
                <w:tcPr>
                  <w:tcW w:w="9900" w:type="dxa"/>
                  <w:gridSpan w:val="8"/>
                  <w:vMerge w:val="restart"/>
                  <w:tcBorders>
                    <w:top w:val="single" w:sz="4" w:space="0" w:color="auto"/>
                    <w:left w:val="single" w:sz="6" w:space="0" w:color="000000"/>
                    <w:bottom w:val="single" w:sz="6" w:space="0" w:color="000000"/>
                    <w:right w:val="single" w:sz="6" w:space="0" w:color="000000"/>
                  </w:tcBorders>
                  <w:tcMar>
                    <w:top w:w="0" w:type="dxa"/>
                    <w:left w:w="0" w:type="dxa"/>
                    <w:bottom w:w="0" w:type="dxa"/>
                    <w:right w:w="0" w:type="dxa"/>
                  </w:tcMar>
                </w:tcPr>
                <w:p w:rsidR="00850B27" w:rsidRPr="00DB671B" w:rsidRDefault="00850B27" w:rsidP="00DB671B">
                  <w:pPr>
                    <w:rPr>
                      <w:vanish/>
                    </w:rPr>
                  </w:pPr>
                  <w:r w:rsidRPr="00DB671B">
                    <w:fldChar w:fldCharType="begin"/>
                  </w:r>
                  <w:r w:rsidRPr="00DB671B">
                    <w:instrText>TC “1” \f C \l “1"</w:instrText>
                  </w:r>
                  <w:r w:rsidRPr="00DB671B">
                    <w:fldChar w:fldCharType="end"/>
                  </w:r>
                </w:p>
                <w:p w:rsidR="00850B27" w:rsidRPr="00DB671B" w:rsidRDefault="00850B27" w:rsidP="00DB671B">
                  <w:pPr>
                    <w:jc w:val="left"/>
                    <w:rPr>
                      <w:rFonts w:eastAsia="Arial" w:cs="Arial"/>
                      <w:sz w:val="16"/>
                      <w:szCs w:val="16"/>
                      <w:u w:val="single"/>
                    </w:rPr>
                  </w:pPr>
                  <w:r w:rsidRPr="00DB671B">
                    <w:rPr>
                      <w:rFonts w:eastAsia="Arial" w:cs="Arial"/>
                      <w:sz w:val="16"/>
                      <w:szCs w:val="16"/>
                      <w:u w:val="single"/>
                    </w:rPr>
                    <w:t>REVISIONS OF TEST GUIDELINES / RÉVISIONS DE PRINCIPES DIRECTEURS D’EXAMEN ADOPTÉS / REVISIONEN ANGENOMMENER PRÜFUNGSRICHTLINIEN / REVISIONES DE DIRECTRICES DE EXAMEN ADOPTADAS</w:t>
                  </w:r>
                  <w:r w:rsidRPr="00DB671B">
                    <w:rPr>
                      <w:rFonts w:eastAsia="Arial" w:cs="Arial"/>
                      <w:sz w:val="16"/>
                      <w:szCs w:val="16"/>
                      <w:u w:val="single"/>
                    </w:rPr>
                    <w:br/>
                  </w:r>
                </w:p>
              </w:tc>
            </w:tr>
            <w:tr w:rsidR="00DB671B" w:rsidRPr="00DB671B" w:rsidTr="00DB671B">
              <w:tc>
                <w:tcPr>
                  <w:tcW w:w="6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645" w:type="dxa"/>
                    <w:tblLayout w:type="fixed"/>
                    <w:tblCellMar>
                      <w:left w:w="0" w:type="dxa"/>
                      <w:right w:w="0" w:type="dxa"/>
                    </w:tblCellMar>
                    <w:tblLook w:val="01E0" w:firstRow="1" w:lastRow="1" w:firstColumn="1" w:lastColumn="1" w:noHBand="0" w:noVBand="0"/>
                  </w:tblPr>
                  <w:tblGrid>
                    <w:gridCol w:w="645"/>
                  </w:tblGrid>
                  <w:tr w:rsidR="00DB671B" w:rsidRPr="00DB671B" w:rsidTr="00DB671B">
                    <w:tc>
                      <w:tcPr>
                        <w:tcW w:w="645" w:type="dxa"/>
                        <w:tcMar>
                          <w:top w:w="0" w:type="dxa"/>
                          <w:left w:w="0" w:type="dxa"/>
                          <w:bottom w:w="0" w:type="dxa"/>
                          <w:right w:w="0" w:type="dxa"/>
                        </w:tcMar>
                      </w:tcPr>
                      <w:p w:rsidR="00850B27" w:rsidRPr="00DB671B" w:rsidRDefault="00850B27" w:rsidP="00DB671B">
                        <w:pPr>
                          <w:spacing w:before="20" w:after="20"/>
                          <w:rPr>
                            <w:rFonts w:cs="Arial"/>
                            <w:sz w:val="16"/>
                            <w:szCs w:val="16"/>
                          </w:rPr>
                        </w:pPr>
                        <w:r w:rsidRPr="00DB671B">
                          <w:rPr>
                            <w:rFonts w:cs="Arial"/>
                            <w:sz w:val="16"/>
                            <w:szCs w:val="16"/>
                          </w:rPr>
                          <w:t>NL</w:t>
                        </w:r>
                      </w:p>
                      <w:p w:rsidR="00850B27" w:rsidRPr="00DB671B" w:rsidRDefault="00850B27" w:rsidP="00DB671B">
                        <w:pPr>
                          <w:spacing w:before="20" w:after="20" w:line="1" w:lineRule="auto"/>
                        </w:pPr>
                      </w:p>
                    </w:tc>
                  </w:tr>
                </w:tbl>
                <w:p w:rsidR="00850B27" w:rsidRPr="00DB671B" w:rsidRDefault="00850B27" w:rsidP="00DB671B">
                  <w:pPr>
                    <w:spacing w:before="20" w:after="20" w:line="1" w:lineRule="auto"/>
                  </w:pPr>
                </w:p>
              </w:tc>
              <w:tc>
                <w:tcPr>
                  <w:tcW w:w="6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50B27" w:rsidRPr="00DB671B" w:rsidRDefault="00850B27" w:rsidP="00DB671B">
                  <w:pPr>
                    <w:spacing w:before="20" w:after="20"/>
                    <w:rPr>
                      <w:vanish/>
                    </w:rPr>
                  </w:pPr>
                </w:p>
                <w:tbl>
                  <w:tblPr>
                    <w:tblW w:w="596" w:type="dxa"/>
                    <w:tblLayout w:type="fixed"/>
                    <w:tblCellMar>
                      <w:left w:w="0" w:type="dxa"/>
                      <w:right w:w="0" w:type="dxa"/>
                    </w:tblCellMar>
                    <w:tblLook w:val="01E0" w:firstRow="1" w:lastRow="1" w:firstColumn="1" w:lastColumn="1" w:noHBand="0" w:noVBand="0"/>
                  </w:tblPr>
                  <w:tblGrid>
                    <w:gridCol w:w="596"/>
                  </w:tblGrid>
                  <w:tr w:rsidR="00DB671B" w:rsidRPr="00DB671B" w:rsidTr="00DB671B">
                    <w:tc>
                      <w:tcPr>
                        <w:tcW w:w="596" w:type="dxa"/>
                        <w:tcMar>
                          <w:top w:w="0" w:type="dxa"/>
                          <w:left w:w="0" w:type="dxa"/>
                          <w:bottom w:w="0" w:type="dxa"/>
                          <w:right w:w="0" w:type="dxa"/>
                        </w:tcMar>
                      </w:tcPr>
                      <w:p w:rsidR="00850B27" w:rsidRPr="00DB671B" w:rsidRDefault="00850B27" w:rsidP="00DB671B">
                        <w:pPr>
                          <w:spacing w:before="20" w:after="20"/>
                          <w:rPr>
                            <w:rFonts w:cs="Arial"/>
                            <w:sz w:val="16"/>
                            <w:szCs w:val="16"/>
                          </w:rPr>
                        </w:pPr>
                        <w:r w:rsidRPr="00DB671B">
                          <w:rPr>
                            <w:rFonts w:cs="Arial"/>
                            <w:sz w:val="16"/>
                            <w:szCs w:val="16"/>
                          </w:rPr>
                          <w:t>TWO</w:t>
                        </w:r>
                      </w:p>
                      <w:p w:rsidR="00850B27" w:rsidRPr="00DB671B" w:rsidRDefault="00850B27" w:rsidP="00DB671B">
                        <w:pPr>
                          <w:spacing w:before="20" w:after="20" w:line="1" w:lineRule="auto"/>
                        </w:pPr>
                      </w:p>
                    </w:tc>
                  </w:tr>
                </w:tbl>
                <w:p w:rsidR="00850B27" w:rsidRPr="00DB671B" w:rsidRDefault="00850B27" w:rsidP="00DB671B">
                  <w:pPr>
                    <w:spacing w:before="20" w:after="20" w:line="1" w:lineRule="auto"/>
                  </w:pPr>
                </w:p>
              </w:tc>
              <w:tc>
                <w:tcPr>
                  <w:tcW w:w="15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50B27" w:rsidRPr="00DB671B" w:rsidRDefault="00850B27" w:rsidP="00DB671B">
                  <w:pPr>
                    <w:spacing w:before="20" w:after="20"/>
                    <w:jc w:val="left"/>
                    <w:rPr>
                      <w:vanish/>
                    </w:rPr>
                  </w:pPr>
                </w:p>
                <w:tbl>
                  <w:tblPr>
                    <w:tblW w:w="1245" w:type="dxa"/>
                    <w:tblLayout w:type="fixed"/>
                    <w:tblCellMar>
                      <w:left w:w="0" w:type="dxa"/>
                      <w:right w:w="0" w:type="dxa"/>
                    </w:tblCellMar>
                    <w:tblLook w:val="01E0" w:firstRow="1" w:lastRow="1" w:firstColumn="1" w:lastColumn="1" w:noHBand="0" w:noVBand="0"/>
                  </w:tblPr>
                  <w:tblGrid>
                    <w:gridCol w:w="1245"/>
                  </w:tblGrid>
                  <w:tr w:rsidR="00DB671B" w:rsidRPr="00DB671B" w:rsidTr="00DB671B">
                    <w:tc>
                      <w:tcPr>
                        <w:tcW w:w="1245" w:type="dxa"/>
                        <w:tcMar>
                          <w:top w:w="0" w:type="dxa"/>
                          <w:left w:w="0" w:type="dxa"/>
                          <w:bottom w:w="0" w:type="dxa"/>
                          <w:right w:w="0" w:type="dxa"/>
                        </w:tcMar>
                      </w:tcPr>
                      <w:p w:rsidR="00850B27" w:rsidRPr="00DB671B" w:rsidRDefault="00850B27" w:rsidP="00DB671B">
                        <w:pPr>
                          <w:spacing w:before="20" w:after="20"/>
                          <w:jc w:val="left"/>
                          <w:rPr>
                            <w:rFonts w:cs="Arial"/>
                            <w:sz w:val="16"/>
                            <w:szCs w:val="16"/>
                          </w:rPr>
                        </w:pPr>
                        <w:r w:rsidRPr="00DB671B">
                          <w:rPr>
                            <w:rFonts w:cs="Arial"/>
                            <w:sz w:val="16"/>
                            <w:szCs w:val="16"/>
                          </w:rPr>
                          <w:t>TG/29/8(proj.4)</w:t>
                        </w:r>
                      </w:p>
                      <w:p w:rsidR="00850B27" w:rsidRPr="00DB671B" w:rsidRDefault="00850B27" w:rsidP="00DB671B">
                        <w:pPr>
                          <w:spacing w:before="20" w:after="20" w:line="1" w:lineRule="auto"/>
                          <w:jc w:val="left"/>
                        </w:pPr>
                      </w:p>
                    </w:tc>
                  </w:tr>
                </w:tbl>
                <w:p w:rsidR="00850B27" w:rsidRPr="00DB671B" w:rsidRDefault="00850B27" w:rsidP="00DB671B">
                  <w:pPr>
                    <w:spacing w:before="20" w:after="20" w:line="1" w:lineRule="auto"/>
                    <w:jc w:val="left"/>
                  </w:pPr>
                </w:p>
              </w:tc>
              <w:tc>
                <w:tcPr>
                  <w:tcW w:w="15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50B27" w:rsidRPr="00DB671B" w:rsidRDefault="00850B27" w:rsidP="00DB671B">
                  <w:pPr>
                    <w:spacing w:before="20" w:after="20"/>
                    <w:jc w:val="left"/>
                    <w:rPr>
                      <w:vanish/>
                    </w:rPr>
                  </w:pPr>
                </w:p>
                <w:tbl>
                  <w:tblPr>
                    <w:tblW w:w="1545" w:type="dxa"/>
                    <w:tblLayout w:type="fixed"/>
                    <w:tblCellMar>
                      <w:left w:w="0" w:type="dxa"/>
                      <w:right w:w="0" w:type="dxa"/>
                    </w:tblCellMar>
                    <w:tblLook w:val="01E0" w:firstRow="1" w:lastRow="1" w:firstColumn="1" w:lastColumn="1" w:noHBand="0" w:noVBand="0"/>
                  </w:tblPr>
                  <w:tblGrid>
                    <w:gridCol w:w="1545"/>
                  </w:tblGrid>
                  <w:tr w:rsidR="00DB671B" w:rsidRPr="00DB671B" w:rsidTr="00DB671B">
                    <w:tc>
                      <w:tcPr>
                        <w:tcW w:w="1545" w:type="dxa"/>
                        <w:tcMar>
                          <w:top w:w="0" w:type="dxa"/>
                          <w:left w:w="0" w:type="dxa"/>
                          <w:bottom w:w="0" w:type="dxa"/>
                          <w:right w:w="0" w:type="dxa"/>
                        </w:tcMar>
                      </w:tcPr>
                      <w:p w:rsidR="00850B27" w:rsidRPr="00DB671B" w:rsidRDefault="00850B27" w:rsidP="00DB671B">
                        <w:pPr>
                          <w:spacing w:before="20" w:after="20"/>
                          <w:jc w:val="left"/>
                          <w:rPr>
                            <w:rFonts w:cs="Arial"/>
                            <w:sz w:val="16"/>
                            <w:szCs w:val="16"/>
                          </w:rPr>
                        </w:pPr>
                        <w:r w:rsidRPr="00DB671B">
                          <w:rPr>
                            <w:rFonts w:cs="Arial"/>
                            <w:sz w:val="16"/>
                            <w:szCs w:val="16"/>
                          </w:rPr>
                          <w:t>Alstroemeria</w:t>
                        </w:r>
                      </w:p>
                      <w:p w:rsidR="00850B27" w:rsidRPr="00DB671B" w:rsidRDefault="00850B27" w:rsidP="00DB671B">
                        <w:pPr>
                          <w:spacing w:before="20" w:after="20" w:line="1" w:lineRule="auto"/>
                          <w:jc w:val="left"/>
                        </w:pPr>
                      </w:p>
                    </w:tc>
                  </w:tr>
                </w:tbl>
                <w:p w:rsidR="00850B27" w:rsidRPr="00DB671B" w:rsidRDefault="00850B27" w:rsidP="00DB671B">
                  <w:pPr>
                    <w:spacing w:before="20" w:after="20" w:line="1" w:lineRule="auto"/>
                    <w:jc w:val="left"/>
                  </w:pPr>
                </w:p>
              </w:tc>
              <w:tc>
                <w:tcPr>
                  <w:tcW w:w="129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50B27" w:rsidRPr="00DB671B" w:rsidRDefault="00850B27" w:rsidP="00DB671B">
                  <w:pPr>
                    <w:spacing w:before="20" w:after="20"/>
                    <w:jc w:val="left"/>
                    <w:rPr>
                      <w:vanish/>
                    </w:rPr>
                  </w:pPr>
                </w:p>
                <w:tbl>
                  <w:tblPr>
                    <w:tblW w:w="1290" w:type="dxa"/>
                    <w:tblLayout w:type="fixed"/>
                    <w:tblCellMar>
                      <w:left w:w="0" w:type="dxa"/>
                      <w:right w:w="0" w:type="dxa"/>
                    </w:tblCellMar>
                    <w:tblLook w:val="01E0" w:firstRow="1" w:lastRow="1" w:firstColumn="1" w:lastColumn="1" w:noHBand="0" w:noVBand="0"/>
                  </w:tblPr>
                  <w:tblGrid>
                    <w:gridCol w:w="1290"/>
                  </w:tblGrid>
                  <w:tr w:rsidR="00DB671B" w:rsidRPr="00DB671B" w:rsidTr="00DB671B">
                    <w:tc>
                      <w:tcPr>
                        <w:tcW w:w="1290" w:type="dxa"/>
                        <w:tcMar>
                          <w:top w:w="0" w:type="dxa"/>
                          <w:left w:w="0" w:type="dxa"/>
                          <w:bottom w:w="0" w:type="dxa"/>
                          <w:right w:w="0" w:type="dxa"/>
                        </w:tcMar>
                      </w:tcPr>
                      <w:p w:rsidR="00850B27" w:rsidRPr="00DB671B" w:rsidRDefault="00850B27" w:rsidP="00DB671B">
                        <w:pPr>
                          <w:spacing w:before="20" w:after="20"/>
                          <w:jc w:val="left"/>
                          <w:rPr>
                            <w:rFonts w:cs="Arial"/>
                            <w:sz w:val="16"/>
                            <w:szCs w:val="16"/>
                          </w:rPr>
                        </w:pPr>
                        <w:r w:rsidRPr="00DB671B">
                          <w:rPr>
                            <w:rFonts w:cs="Arial"/>
                            <w:sz w:val="16"/>
                            <w:szCs w:val="16"/>
                          </w:rPr>
                          <w:t>Alstroemère</w:t>
                        </w:r>
                      </w:p>
                      <w:p w:rsidR="00850B27" w:rsidRPr="00DB671B" w:rsidRDefault="00850B27" w:rsidP="00DB671B">
                        <w:pPr>
                          <w:spacing w:before="20" w:after="20" w:line="1" w:lineRule="auto"/>
                          <w:jc w:val="left"/>
                        </w:pPr>
                      </w:p>
                    </w:tc>
                  </w:tr>
                </w:tbl>
                <w:p w:rsidR="00850B27" w:rsidRPr="00DB671B" w:rsidRDefault="00850B27" w:rsidP="00DB671B">
                  <w:pPr>
                    <w:spacing w:before="20" w:after="20" w:line="1" w:lineRule="auto"/>
                    <w:jc w:val="left"/>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50B27" w:rsidRPr="00DB671B" w:rsidRDefault="00850B27" w:rsidP="00DB671B">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DB671B" w:rsidRPr="00DB671B" w:rsidTr="00DB671B">
                    <w:tc>
                      <w:tcPr>
                        <w:tcW w:w="1470" w:type="dxa"/>
                        <w:tcMar>
                          <w:top w:w="0" w:type="dxa"/>
                          <w:left w:w="0" w:type="dxa"/>
                          <w:bottom w:w="0" w:type="dxa"/>
                          <w:right w:w="0" w:type="dxa"/>
                        </w:tcMar>
                      </w:tcPr>
                      <w:p w:rsidR="00850B27" w:rsidRPr="00DB671B" w:rsidRDefault="00850B27" w:rsidP="00DB671B">
                        <w:pPr>
                          <w:spacing w:before="20" w:after="20"/>
                          <w:jc w:val="left"/>
                          <w:rPr>
                            <w:rFonts w:cs="Arial"/>
                            <w:sz w:val="16"/>
                            <w:szCs w:val="16"/>
                          </w:rPr>
                        </w:pPr>
                        <w:r w:rsidRPr="00DB671B">
                          <w:rPr>
                            <w:rFonts w:cs="Arial"/>
                            <w:sz w:val="16"/>
                            <w:szCs w:val="16"/>
                          </w:rPr>
                          <w:t>Inkalilie</w:t>
                        </w:r>
                      </w:p>
                      <w:p w:rsidR="00850B27" w:rsidRPr="00DB671B" w:rsidRDefault="00850B27" w:rsidP="00DB671B">
                        <w:pPr>
                          <w:spacing w:before="20" w:after="20" w:line="1" w:lineRule="auto"/>
                          <w:jc w:val="left"/>
                        </w:pPr>
                      </w:p>
                    </w:tc>
                  </w:tr>
                </w:tbl>
                <w:p w:rsidR="00850B27" w:rsidRPr="00DB671B" w:rsidRDefault="00850B27" w:rsidP="00DB671B">
                  <w:pPr>
                    <w:spacing w:before="20" w:after="20" w:line="1" w:lineRule="auto"/>
                    <w:jc w:val="left"/>
                  </w:pPr>
                </w:p>
              </w:tc>
              <w:tc>
                <w:tcPr>
                  <w:tcW w:w="13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50B27" w:rsidRPr="00DB671B" w:rsidRDefault="00850B27" w:rsidP="00DB671B">
                  <w:pPr>
                    <w:spacing w:before="20" w:after="20"/>
                    <w:jc w:val="left"/>
                    <w:rPr>
                      <w:vanish/>
                    </w:rPr>
                  </w:pPr>
                </w:p>
                <w:tbl>
                  <w:tblPr>
                    <w:tblW w:w="1365" w:type="dxa"/>
                    <w:tblLayout w:type="fixed"/>
                    <w:tblCellMar>
                      <w:left w:w="0" w:type="dxa"/>
                      <w:right w:w="0" w:type="dxa"/>
                    </w:tblCellMar>
                    <w:tblLook w:val="01E0" w:firstRow="1" w:lastRow="1" w:firstColumn="1" w:lastColumn="1" w:noHBand="0" w:noVBand="0"/>
                  </w:tblPr>
                  <w:tblGrid>
                    <w:gridCol w:w="1365"/>
                  </w:tblGrid>
                  <w:tr w:rsidR="00DB671B" w:rsidRPr="00DB671B" w:rsidTr="00DB671B">
                    <w:tc>
                      <w:tcPr>
                        <w:tcW w:w="1365" w:type="dxa"/>
                        <w:tcMar>
                          <w:top w:w="0" w:type="dxa"/>
                          <w:left w:w="0" w:type="dxa"/>
                          <w:bottom w:w="0" w:type="dxa"/>
                          <w:right w:w="0" w:type="dxa"/>
                        </w:tcMar>
                      </w:tcPr>
                      <w:p w:rsidR="00850B27" w:rsidRPr="00DB671B" w:rsidRDefault="00850B27" w:rsidP="00DB671B">
                        <w:pPr>
                          <w:spacing w:before="20" w:after="20"/>
                          <w:jc w:val="left"/>
                          <w:rPr>
                            <w:rFonts w:cs="Arial"/>
                            <w:sz w:val="16"/>
                            <w:szCs w:val="16"/>
                          </w:rPr>
                        </w:pPr>
                        <w:r w:rsidRPr="00DB671B">
                          <w:rPr>
                            <w:rFonts w:cs="Arial"/>
                            <w:sz w:val="16"/>
                            <w:szCs w:val="16"/>
                          </w:rPr>
                          <w:t>Alstroemeria</w:t>
                        </w:r>
                      </w:p>
                      <w:p w:rsidR="00850B27" w:rsidRPr="00DB671B" w:rsidRDefault="00850B27" w:rsidP="00DB671B">
                        <w:pPr>
                          <w:spacing w:before="20" w:after="20" w:line="1" w:lineRule="auto"/>
                          <w:jc w:val="left"/>
                        </w:pPr>
                      </w:p>
                    </w:tc>
                  </w:tr>
                </w:tbl>
                <w:p w:rsidR="00850B27" w:rsidRPr="00DB671B" w:rsidRDefault="00850B27" w:rsidP="00DB671B">
                  <w:pPr>
                    <w:spacing w:before="20" w:after="20" w:line="1" w:lineRule="auto"/>
                    <w:jc w:val="left"/>
                  </w:pPr>
                </w:p>
              </w:tc>
              <w:tc>
                <w:tcPr>
                  <w:tcW w:w="14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50B27" w:rsidRPr="00DB671B" w:rsidRDefault="00850B27" w:rsidP="00DB671B">
                  <w:pPr>
                    <w:spacing w:before="20" w:after="20"/>
                    <w:jc w:val="left"/>
                    <w:rPr>
                      <w:vanish/>
                    </w:rPr>
                  </w:pPr>
                </w:p>
                <w:tbl>
                  <w:tblPr>
                    <w:tblW w:w="1455" w:type="dxa"/>
                    <w:tblLayout w:type="fixed"/>
                    <w:tblCellMar>
                      <w:left w:w="0" w:type="dxa"/>
                      <w:right w:w="0" w:type="dxa"/>
                    </w:tblCellMar>
                    <w:tblLook w:val="01E0" w:firstRow="1" w:lastRow="1" w:firstColumn="1" w:lastColumn="1" w:noHBand="0" w:noVBand="0"/>
                  </w:tblPr>
                  <w:tblGrid>
                    <w:gridCol w:w="1455"/>
                  </w:tblGrid>
                  <w:tr w:rsidR="00DB671B" w:rsidRPr="00DB671B" w:rsidTr="00DB671B">
                    <w:tc>
                      <w:tcPr>
                        <w:tcW w:w="1455" w:type="dxa"/>
                        <w:tcMar>
                          <w:top w:w="0" w:type="dxa"/>
                          <w:left w:w="0" w:type="dxa"/>
                          <w:bottom w:w="0" w:type="dxa"/>
                          <w:right w:w="0" w:type="dxa"/>
                        </w:tcMar>
                      </w:tcPr>
                      <w:p w:rsidR="00850B27" w:rsidRPr="00DB671B" w:rsidRDefault="00850B27" w:rsidP="00DB671B">
                        <w:pPr>
                          <w:spacing w:before="20" w:after="20"/>
                          <w:jc w:val="left"/>
                          <w:rPr>
                            <w:rFonts w:cs="Arial"/>
                            <w:sz w:val="16"/>
                            <w:szCs w:val="16"/>
                          </w:rPr>
                        </w:pPr>
                        <w:r w:rsidRPr="00DB671B">
                          <w:rPr>
                            <w:rFonts w:cs="Arial"/>
                            <w:i/>
                            <w:iCs/>
                            <w:sz w:val="16"/>
                            <w:szCs w:val="16"/>
                          </w:rPr>
                          <w:t>Alstroemeria</w:t>
                        </w:r>
                        <w:r w:rsidRPr="00DB671B">
                          <w:rPr>
                            <w:rFonts w:cs="Arial"/>
                            <w:sz w:val="16"/>
                            <w:szCs w:val="16"/>
                          </w:rPr>
                          <w:t> L.</w:t>
                        </w:r>
                      </w:p>
                      <w:p w:rsidR="00850B27" w:rsidRPr="00DB671B" w:rsidRDefault="00850B27" w:rsidP="00DB671B">
                        <w:pPr>
                          <w:spacing w:before="20" w:after="20" w:line="1" w:lineRule="auto"/>
                          <w:jc w:val="left"/>
                        </w:pPr>
                      </w:p>
                    </w:tc>
                  </w:tr>
                </w:tbl>
                <w:p w:rsidR="00850B27" w:rsidRPr="00DB671B" w:rsidRDefault="00850B27" w:rsidP="00DB671B">
                  <w:pPr>
                    <w:spacing w:before="20" w:after="20" w:line="1" w:lineRule="auto"/>
                    <w:jc w:val="left"/>
                  </w:pPr>
                </w:p>
              </w:tc>
            </w:tr>
            <w:tr w:rsidR="00DB671B" w:rsidRPr="00DB671B" w:rsidTr="00DB671B">
              <w:trPr>
                <w:hidden/>
              </w:trPr>
              <w:tc>
                <w:tcPr>
                  <w:tcW w:w="6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50B27" w:rsidRPr="00DB671B" w:rsidRDefault="00850B27" w:rsidP="00DB671B">
                  <w:pPr>
                    <w:spacing w:before="20" w:after="20"/>
                    <w:rPr>
                      <w:vanish/>
                    </w:rPr>
                  </w:pPr>
                </w:p>
                <w:tbl>
                  <w:tblPr>
                    <w:tblW w:w="645" w:type="dxa"/>
                    <w:tblLayout w:type="fixed"/>
                    <w:tblCellMar>
                      <w:left w:w="0" w:type="dxa"/>
                      <w:right w:w="0" w:type="dxa"/>
                    </w:tblCellMar>
                    <w:tblLook w:val="01E0" w:firstRow="1" w:lastRow="1" w:firstColumn="1" w:lastColumn="1" w:noHBand="0" w:noVBand="0"/>
                  </w:tblPr>
                  <w:tblGrid>
                    <w:gridCol w:w="645"/>
                  </w:tblGrid>
                  <w:tr w:rsidR="00DB671B" w:rsidRPr="00DB671B" w:rsidTr="00DB671B">
                    <w:tc>
                      <w:tcPr>
                        <w:tcW w:w="645" w:type="dxa"/>
                        <w:tcMar>
                          <w:top w:w="0" w:type="dxa"/>
                          <w:left w:w="0" w:type="dxa"/>
                          <w:bottom w:w="0" w:type="dxa"/>
                          <w:right w:w="0" w:type="dxa"/>
                        </w:tcMar>
                      </w:tcPr>
                      <w:p w:rsidR="00850B27" w:rsidRPr="00DB671B" w:rsidRDefault="00850B27" w:rsidP="00DB671B">
                        <w:pPr>
                          <w:spacing w:before="20" w:after="20"/>
                          <w:rPr>
                            <w:rFonts w:cs="Arial"/>
                            <w:sz w:val="16"/>
                            <w:szCs w:val="16"/>
                          </w:rPr>
                        </w:pPr>
                        <w:r w:rsidRPr="00DB671B">
                          <w:rPr>
                            <w:rFonts w:cs="Arial"/>
                            <w:sz w:val="16"/>
                            <w:szCs w:val="16"/>
                          </w:rPr>
                          <w:t>FR</w:t>
                        </w:r>
                      </w:p>
                      <w:p w:rsidR="00850B27" w:rsidRPr="00DB671B" w:rsidRDefault="00850B27" w:rsidP="00DB671B">
                        <w:pPr>
                          <w:spacing w:before="20" w:after="20" w:line="1" w:lineRule="auto"/>
                        </w:pPr>
                      </w:p>
                    </w:tc>
                  </w:tr>
                </w:tbl>
                <w:p w:rsidR="00850B27" w:rsidRPr="00DB671B" w:rsidRDefault="00850B27" w:rsidP="00DB671B">
                  <w:pPr>
                    <w:spacing w:before="20" w:after="20" w:line="1" w:lineRule="auto"/>
                  </w:pPr>
                </w:p>
              </w:tc>
              <w:tc>
                <w:tcPr>
                  <w:tcW w:w="6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50B27" w:rsidRPr="00DB671B" w:rsidRDefault="00850B27" w:rsidP="00DB671B">
                  <w:pPr>
                    <w:spacing w:before="20" w:after="20"/>
                    <w:rPr>
                      <w:vanish/>
                    </w:rPr>
                  </w:pPr>
                </w:p>
                <w:tbl>
                  <w:tblPr>
                    <w:tblW w:w="885" w:type="dxa"/>
                    <w:tblLayout w:type="fixed"/>
                    <w:tblCellMar>
                      <w:left w:w="0" w:type="dxa"/>
                      <w:right w:w="0" w:type="dxa"/>
                    </w:tblCellMar>
                    <w:tblLook w:val="01E0" w:firstRow="1" w:lastRow="1" w:firstColumn="1" w:lastColumn="1" w:noHBand="0" w:noVBand="0"/>
                  </w:tblPr>
                  <w:tblGrid>
                    <w:gridCol w:w="885"/>
                  </w:tblGrid>
                  <w:tr w:rsidR="00DB671B" w:rsidRPr="00DB671B" w:rsidTr="00DB671B">
                    <w:tc>
                      <w:tcPr>
                        <w:tcW w:w="885" w:type="dxa"/>
                        <w:tcMar>
                          <w:top w:w="0" w:type="dxa"/>
                          <w:left w:w="0" w:type="dxa"/>
                          <w:bottom w:w="0" w:type="dxa"/>
                          <w:right w:w="0" w:type="dxa"/>
                        </w:tcMar>
                      </w:tcPr>
                      <w:p w:rsidR="00850B27" w:rsidRPr="00DB671B" w:rsidRDefault="00850B27" w:rsidP="00DB671B">
                        <w:pPr>
                          <w:spacing w:before="20" w:after="20"/>
                          <w:rPr>
                            <w:rFonts w:cs="Arial"/>
                            <w:sz w:val="16"/>
                            <w:szCs w:val="16"/>
                          </w:rPr>
                        </w:pPr>
                        <w:r w:rsidRPr="00DB671B">
                          <w:rPr>
                            <w:rFonts w:cs="Arial"/>
                            <w:sz w:val="16"/>
                            <w:szCs w:val="16"/>
                          </w:rPr>
                          <w:t>TWV</w:t>
                        </w:r>
                      </w:p>
                      <w:p w:rsidR="00850B27" w:rsidRPr="00DB671B" w:rsidRDefault="00850B27" w:rsidP="00DB671B">
                        <w:pPr>
                          <w:spacing w:before="20" w:after="20" w:line="1" w:lineRule="auto"/>
                        </w:pPr>
                      </w:p>
                    </w:tc>
                  </w:tr>
                </w:tbl>
                <w:p w:rsidR="00850B27" w:rsidRPr="00DB671B" w:rsidRDefault="00850B27" w:rsidP="00DB671B">
                  <w:pPr>
                    <w:spacing w:before="20" w:after="20" w:line="1" w:lineRule="auto"/>
                  </w:pPr>
                </w:p>
              </w:tc>
              <w:tc>
                <w:tcPr>
                  <w:tcW w:w="15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50B27" w:rsidRPr="00DB671B" w:rsidRDefault="00850B27" w:rsidP="00DB671B">
                  <w:pPr>
                    <w:spacing w:before="20" w:after="20"/>
                    <w:jc w:val="left"/>
                    <w:rPr>
                      <w:vanish/>
                    </w:rPr>
                  </w:pPr>
                </w:p>
                <w:tbl>
                  <w:tblPr>
                    <w:tblW w:w="1245" w:type="dxa"/>
                    <w:tblLayout w:type="fixed"/>
                    <w:tblCellMar>
                      <w:left w:w="0" w:type="dxa"/>
                      <w:right w:w="0" w:type="dxa"/>
                    </w:tblCellMar>
                    <w:tblLook w:val="01E0" w:firstRow="1" w:lastRow="1" w:firstColumn="1" w:lastColumn="1" w:noHBand="0" w:noVBand="0"/>
                  </w:tblPr>
                  <w:tblGrid>
                    <w:gridCol w:w="1245"/>
                  </w:tblGrid>
                  <w:tr w:rsidR="00DB671B" w:rsidRPr="00DB671B" w:rsidTr="00DB671B">
                    <w:tc>
                      <w:tcPr>
                        <w:tcW w:w="1245" w:type="dxa"/>
                        <w:tcMar>
                          <w:top w:w="0" w:type="dxa"/>
                          <w:left w:w="0" w:type="dxa"/>
                          <w:bottom w:w="0" w:type="dxa"/>
                          <w:right w:w="0" w:type="dxa"/>
                        </w:tcMar>
                      </w:tcPr>
                      <w:p w:rsidR="00850B27" w:rsidRPr="00DB671B" w:rsidRDefault="00850B27" w:rsidP="00DB671B">
                        <w:pPr>
                          <w:spacing w:before="20" w:after="20"/>
                          <w:jc w:val="left"/>
                          <w:rPr>
                            <w:rFonts w:cs="Arial"/>
                            <w:sz w:val="16"/>
                            <w:szCs w:val="16"/>
                          </w:rPr>
                        </w:pPr>
                        <w:r w:rsidRPr="00DB671B">
                          <w:rPr>
                            <w:rFonts w:cs="Arial"/>
                            <w:sz w:val="16"/>
                            <w:szCs w:val="16"/>
                          </w:rPr>
                          <w:t>TG/106/5(proj.4)</w:t>
                        </w:r>
                      </w:p>
                      <w:p w:rsidR="00850B27" w:rsidRPr="00DB671B" w:rsidRDefault="00850B27" w:rsidP="00DB671B">
                        <w:pPr>
                          <w:spacing w:before="20" w:after="20" w:line="1" w:lineRule="auto"/>
                          <w:jc w:val="left"/>
                        </w:pPr>
                      </w:p>
                    </w:tc>
                  </w:tr>
                </w:tbl>
                <w:p w:rsidR="00850B27" w:rsidRPr="00DB671B" w:rsidRDefault="00850B27" w:rsidP="00DB671B">
                  <w:pPr>
                    <w:spacing w:before="20" w:after="20" w:line="1" w:lineRule="auto"/>
                    <w:jc w:val="left"/>
                  </w:pPr>
                </w:p>
              </w:tc>
              <w:tc>
                <w:tcPr>
                  <w:tcW w:w="15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50B27" w:rsidRPr="00DB671B" w:rsidRDefault="00850B27" w:rsidP="00DB671B">
                  <w:pPr>
                    <w:spacing w:before="20" w:after="20"/>
                    <w:jc w:val="left"/>
                    <w:rPr>
                      <w:vanish/>
                    </w:rPr>
                  </w:pPr>
                </w:p>
                <w:tbl>
                  <w:tblPr>
                    <w:tblW w:w="1545" w:type="dxa"/>
                    <w:tblLayout w:type="fixed"/>
                    <w:tblCellMar>
                      <w:left w:w="0" w:type="dxa"/>
                      <w:right w:w="0" w:type="dxa"/>
                    </w:tblCellMar>
                    <w:tblLook w:val="01E0" w:firstRow="1" w:lastRow="1" w:firstColumn="1" w:lastColumn="1" w:noHBand="0" w:noVBand="0"/>
                  </w:tblPr>
                  <w:tblGrid>
                    <w:gridCol w:w="1545"/>
                  </w:tblGrid>
                  <w:tr w:rsidR="00DB671B" w:rsidRPr="00DB671B" w:rsidTr="00DB671B">
                    <w:tc>
                      <w:tcPr>
                        <w:tcW w:w="1545" w:type="dxa"/>
                        <w:tcMar>
                          <w:top w:w="0" w:type="dxa"/>
                          <w:left w:w="0" w:type="dxa"/>
                          <w:bottom w:w="0" w:type="dxa"/>
                          <w:right w:w="0" w:type="dxa"/>
                        </w:tcMar>
                      </w:tcPr>
                      <w:p w:rsidR="00850B27" w:rsidRPr="00DB671B" w:rsidRDefault="00850B27" w:rsidP="00DB671B">
                        <w:pPr>
                          <w:spacing w:before="20" w:after="20"/>
                          <w:jc w:val="left"/>
                          <w:rPr>
                            <w:rFonts w:cs="Arial"/>
                            <w:sz w:val="16"/>
                            <w:szCs w:val="16"/>
                          </w:rPr>
                        </w:pPr>
                        <w:r w:rsidRPr="00DB671B">
                          <w:rPr>
                            <w:rFonts w:cs="Arial"/>
                            <w:sz w:val="16"/>
                            <w:szCs w:val="16"/>
                          </w:rPr>
                          <w:t>Leaf beet, Swiss chard</w:t>
                        </w:r>
                      </w:p>
                      <w:p w:rsidR="00850B27" w:rsidRPr="00DB671B" w:rsidRDefault="00850B27" w:rsidP="00DB671B">
                        <w:pPr>
                          <w:spacing w:before="20" w:after="20" w:line="1" w:lineRule="auto"/>
                          <w:jc w:val="left"/>
                        </w:pPr>
                      </w:p>
                    </w:tc>
                  </w:tr>
                </w:tbl>
                <w:p w:rsidR="00850B27" w:rsidRPr="00DB671B" w:rsidRDefault="00850B27" w:rsidP="00DB671B">
                  <w:pPr>
                    <w:spacing w:before="20" w:after="20" w:line="1" w:lineRule="auto"/>
                    <w:jc w:val="left"/>
                  </w:pPr>
                </w:p>
              </w:tc>
              <w:tc>
                <w:tcPr>
                  <w:tcW w:w="129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50B27" w:rsidRPr="00DB671B" w:rsidRDefault="00850B27" w:rsidP="00DB671B">
                  <w:pPr>
                    <w:spacing w:before="20" w:after="20"/>
                    <w:jc w:val="left"/>
                    <w:rPr>
                      <w:vanish/>
                    </w:rPr>
                  </w:pPr>
                </w:p>
                <w:tbl>
                  <w:tblPr>
                    <w:tblW w:w="1290" w:type="dxa"/>
                    <w:tblLayout w:type="fixed"/>
                    <w:tblCellMar>
                      <w:left w:w="0" w:type="dxa"/>
                      <w:right w:w="0" w:type="dxa"/>
                    </w:tblCellMar>
                    <w:tblLook w:val="01E0" w:firstRow="1" w:lastRow="1" w:firstColumn="1" w:lastColumn="1" w:noHBand="0" w:noVBand="0"/>
                  </w:tblPr>
                  <w:tblGrid>
                    <w:gridCol w:w="1290"/>
                  </w:tblGrid>
                  <w:tr w:rsidR="00DB671B" w:rsidRPr="00DB671B" w:rsidTr="00DB671B">
                    <w:tc>
                      <w:tcPr>
                        <w:tcW w:w="1290" w:type="dxa"/>
                        <w:tcMar>
                          <w:top w:w="0" w:type="dxa"/>
                          <w:left w:w="0" w:type="dxa"/>
                          <w:bottom w:w="0" w:type="dxa"/>
                          <w:right w:w="0" w:type="dxa"/>
                        </w:tcMar>
                      </w:tcPr>
                      <w:p w:rsidR="00850B27" w:rsidRPr="00DB671B" w:rsidRDefault="00850B27" w:rsidP="00DB671B">
                        <w:pPr>
                          <w:spacing w:before="20" w:after="20"/>
                          <w:jc w:val="left"/>
                          <w:rPr>
                            <w:rFonts w:cs="Arial"/>
                            <w:sz w:val="16"/>
                            <w:szCs w:val="16"/>
                          </w:rPr>
                        </w:pPr>
                        <w:r w:rsidRPr="00DB671B">
                          <w:rPr>
                            <w:rFonts w:cs="Arial"/>
                            <w:sz w:val="16"/>
                            <w:szCs w:val="16"/>
                          </w:rPr>
                          <w:t>Poirée, Bette à cardes</w:t>
                        </w:r>
                      </w:p>
                      <w:p w:rsidR="00850B27" w:rsidRPr="00DB671B" w:rsidRDefault="00850B27" w:rsidP="00DB671B">
                        <w:pPr>
                          <w:spacing w:before="20" w:after="20" w:line="1" w:lineRule="auto"/>
                          <w:jc w:val="left"/>
                        </w:pPr>
                      </w:p>
                    </w:tc>
                  </w:tr>
                </w:tbl>
                <w:p w:rsidR="00850B27" w:rsidRPr="00DB671B" w:rsidRDefault="00850B27" w:rsidP="00DB671B">
                  <w:pPr>
                    <w:spacing w:before="20" w:after="20" w:line="1" w:lineRule="auto"/>
                    <w:jc w:val="left"/>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50B27" w:rsidRPr="00DB671B" w:rsidRDefault="00850B27" w:rsidP="00DB671B">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DB671B" w:rsidRPr="00DB671B" w:rsidTr="00DB671B">
                    <w:tc>
                      <w:tcPr>
                        <w:tcW w:w="1470" w:type="dxa"/>
                        <w:tcMar>
                          <w:top w:w="0" w:type="dxa"/>
                          <w:left w:w="0" w:type="dxa"/>
                          <w:bottom w:w="0" w:type="dxa"/>
                          <w:right w:w="0" w:type="dxa"/>
                        </w:tcMar>
                      </w:tcPr>
                      <w:p w:rsidR="00850B27" w:rsidRPr="00DB671B" w:rsidRDefault="00850B27" w:rsidP="00DB671B">
                        <w:pPr>
                          <w:spacing w:before="20" w:after="20"/>
                          <w:jc w:val="left"/>
                          <w:rPr>
                            <w:rFonts w:cs="Arial"/>
                            <w:sz w:val="16"/>
                            <w:szCs w:val="16"/>
                          </w:rPr>
                        </w:pPr>
                        <w:r w:rsidRPr="00DB671B">
                          <w:rPr>
                            <w:rFonts w:cs="Arial"/>
                            <w:sz w:val="16"/>
                            <w:szCs w:val="16"/>
                          </w:rPr>
                          <w:t>Mangold</w:t>
                        </w:r>
                      </w:p>
                      <w:p w:rsidR="00850B27" w:rsidRPr="00DB671B" w:rsidRDefault="00850B27" w:rsidP="00DB671B">
                        <w:pPr>
                          <w:spacing w:before="20" w:after="20" w:line="1" w:lineRule="auto"/>
                          <w:jc w:val="left"/>
                        </w:pPr>
                      </w:p>
                    </w:tc>
                  </w:tr>
                </w:tbl>
                <w:p w:rsidR="00850B27" w:rsidRPr="00DB671B" w:rsidRDefault="00850B27" w:rsidP="00DB671B">
                  <w:pPr>
                    <w:spacing w:before="20" w:after="20" w:line="1" w:lineRule="auto"/>
                    <w:jc w:val="left"/>
                  </w:pPr>
                </w:p>
              </w:tc>
              <w:tc>
                <w:tcPr>
                  <w:tcW w:w="13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50B27" w:rsidRPr="00DB671B" w:rsidRDefault="00850B27" w:rsidP="00DB671B">
                  <w:pPr>
                    <w:spacing w:before="20" w:after="20"/>
                    <w:jc w:val="left"/>
                    <w:rPr>
                      <w:vanish/>
                    </w:rPr>
                  </w:pPr>
                </w:p>
                <w:tbl>
                  <w:tblPr>
                    <w:tblW w:w="1365" w:type="dxa"/>
                    <w:tblLayout w:type="fixed"/>
                    <w:tblCellMar>
                      <w:left w:w="0" w:type="dxa"/>
                      <w:right w:w="0" w:type="dxa"/>
                    </w:tblCellMar>
                    <w:tblLook w:val="01E0" w:firstRow="1" w:lastRow="1" w:firstColumn="1" w:lastColumn="1" w:noHBand="0" w:noVBand="0"/>
                  </w:tblPr>
                  <w:tblGrid>
                    <w:gridCol w:w="1365"/>
                  </w:tblGrid>
                  <w:tr w:rsidR="00DB671B" w:rsidRPr="00DB671B" w:rsidTr="00DB671B">
                    <w:tc>
                      <w:tcPr>
                        <w:tcW w:w="1365" w:type="dxa"/>
                        <w:tcMar>
                          <w:top w:w="0" w:type="dxa"/>
                          <w:left w:w="0" w:type="dxa"/>
                          <w:bottom w:w="0" w:type="dxa"/>
                          <w:right w:w="0" w:type="dxa"/>
                        </w:tcMar>
                      </w:tcPr>
                      <w:p w:rsidR="00850B27" w:rsidRPr="00DB671B" w:rsidRDefault="00850B27" w:rsidP="00DB671B">
                        <w:pPr>
                          <w:spacing w:before="20" w:after="20"/>
                          <w:jc w:val="left"/>
                          <w:rPr>
                            <w:rFonts w:cs="Arial"/>
                            <w:sz w:val="16"/>
                            <w:szCs w:val="16"/>
                          </w:rPr>
                        </w:pPr>
                        <w:r w:rsidRPr="00DB671B">
                          <w:rPr>
                            <w:rFonts w:cs="Arial"/>
                            <w:sz w:val="16"/>
                            <w:szCs w:val="16"/>
                          </w:rPr>
                          <w:t>Acelga</w:t>
                        </w:r>
                      </w:p>
                      <w:p w:rsidR="00850B27" w:rsidRPr="00DB671B" w:rsidRDefault="00850B27" w:rsidP="00DB671B">
                        <w:pPr>
                          <w:spacing w:before="20" w:after="20" w:line="1" w:lineRule="auto"/>
                          <w:jc w:val="left"/>
                        </w:pPr>
                      </w:p>
                    </w:tc>
                  </w:tr>
                </w:tbl>
                <w:p w:rsidR="00850B27" w:rsidRPr="00DB671B" w:rsidRDefault="00850B27" w:rsidP="00DB671B">
                  <w:pPr>
                    <w:spacing w:before="20" w:after="20" w:line="1" w:lineRule="auto"/>
                    <w:jc w:val="left"/>
                  </w:pPr>
                </w:p>
              </w:tc>
              <w:tc>
                <w:tcPr>
                  <w:tcW w:w="14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50B27" w:rsidRPr="00DB671B" w:rsidRDefault="00850B27" w:rsidP="00DB671B">
                  <w:pPr>
                    <w:spacing w:before="20" w:after="20"/>
                    <w:jc w:val="left"/>
                    <w:rPr>
                      <w:vanish/>
                    </w:rPr>
                  </w:pPr>
                </w:p>
                <w:tbl>
                  <w:tblPr>
                    <w:tblW w:w="1455" w:type="dxa"/>
                    <w:tblLayout w:type="fixed"/>
                    <w:tblCellMar>
                      <w:left w:w="0" w:type="dxa"/>
                      <w:right w:w="0" w:type="dxa"/>
                    </w:tblCellMar>
                    <w:tblLook w:val="01E0" w:firstRow="1" w:lastRow="1" w:firstColumn="1" w:lastColumn="1" w:noHBand="0" w:noVBand="0"/>
                  </w:tblPr>
                  <w:tblGrid>
                    <w:gridCol w:w="1455"/>
                  </w:tblGrid>
                  <w:tr w:rsidR="00DB671B" w:rsidRPr="00DB671B" w:rsidTr="00DB671B">
                    <w:tc>
                      <w:tcPr>
                        <w:tcW w:w="1455" w:type="dxa"/>
                        <w:tcMar>
                          <w:top w:w="0" w:type="dxa"/>
                          <w:left w:w="0" w:type="dxa"/>
                          <w:bottom w:w="0" w:type="dxa"/>
                          <w:right w:w="0" w:type="dxa"/>
                        </w:tcMar>
                      </w:tcPr>
                      <w:p w:rsidR="00850B27" w:rsidRPr="00DB671B" w:rsidRDefault="00850B27" w:rsidP="00DB671B">
                        <w:pPr>
                          <w:spacing w:before="20" w:after="20"/>
                          <w:jc w:val="left"/>
                          <w:rPr>
                            <w:rFonts w:cs="Arial"/>
                            <w:sz w:val="16"/>
                            <w:szCs w:val="16"/>
                          </w:rPr>
                        </w:pPr>
                        <w:r w:rsidRPr="001766FA">
                          <w:rPr>
                            <w:rStyle w:val="Emphasis"/>
                            <w:rFonts w:cs="Arial"/>
                            <w:sz w:val="16"/>
                            <w:szCs w:val="16"/>
                            <w:lang w:val="es-ES"/>
                          </w:rPr>
                          <w:t>Beta vulgaris</w:t>
                        </w:r>
                        <w:r w:rsidRPr="001766FA">
                          <w:rPr>
                            <w:rFonts w:cs="Arial"/>
                            <w:sz w:val="16"/>
                            <w:szCs w:val="16"/>
                            <w:lang w:val="es-ES"/>
                          </w:rPr>
                          <w:t xml:space="preserve"> L. ssp. </w:t>
                        </w:r>
                        <w:r w:rsidRPr="001766FA">
                          <w:rPr>
                            <w:rStyle w:val="Emphasis"/>
                            <w:rFonts w:cs="Arial"/>
                            <w:sz w:val="16"/>
                            <w:szCs w:val="16"/>
                            <w:lang w:val="es-ES"/>
                          </w:rPr>
                          <w:t>vulgaris</w:t>
                        </w:r>
                        <w:r w:rsidRPr="001766FA">
                          <w:rPr>
                            <w:rFonts w:cs="Arial"/>
                            <w:sz w:val="16"/>
                            <w:szCs w:val="16"/>
                            <w:lang w:val="es-ES"/>
                          </w:rPr>
                          <w:t> var. </w:t>
                        </w:r>
                        <w:r w:rsidRPr="001766FA">
                          <w:rPr>
                            <w:rFonts w:cs="Arial"/>
                            <w:sz w:val="16"/>
                            <w:szCs w:val="16"/>
                            <w:lang w:val="es-ES"/>
                          </w:rPr>
                          <w:br/>
                        </w:r>
                        <w:r w:rsidRPr="00DB671B">
                          <w:rPr>
                            <w:rStyle w:val="Emphasis"/>
                            <w:rFonts w:cs="Arial"/>
                            <w:sz w:val="16"/>
                            <w:szCs w:val="16"/>
                          </w:rPr>
                          <w:t>flavescens</w:t>
                        </w:r>
                        <w:r w:rsidRPr="00DB671B">
                          <w:rPr>
                            <w:rFonts w:cs="Arial"/>
                            <w:sz w:val="16"/>
                            <w:szCs w:val="16"/>
                          </w:rPr>
                          <w:t> DC.</w:t>
                        </w:r>
                      </w:p>
                      <w:p w:rsidR="00850B27" w:rsidRPr="00DB671B" w:rsidRDefault="00850B27" w:rsidP="00DB671B">
                        <w:pPr>
                          <w:spacing w:before="20" w:after="20" w:line="1" w:lineRule="auto"/>
                          <w:jc w:val="left"/>
                        </w:pPr>
                      </w:p>
                    </w:tc>
                  </w:tr>
                </w:tbl>
                <w:p w:rsidR="00850B27" w:rsidRPr="00DB671B" w:rsidRDefault="00850B27" w:rsidP="00DB671B">
                  <w:pPr>
                    <w:spacing w:before="20" w:after="20" w:line="1" w:lineRule="auto"/>
                    <w:jc w:val="left"/>
                  </w:pPr>
                </w:p>
              </w:tc>
            </w:tr>
            <w:tr w:rsidR="00DB671B" w:rsidRPr="00BC76D0" w:rsidTr="00DB671B">
              <w:trPr>
                <w:hidden/>
              </w:trPr>
              <w:tc>
                <w:tcPr>
                  <w:tcW w:w="64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850B27" w:rsidRPr="00DB671B" w:rsidRDefault="00850B27" w:rsidP="00DB671B">
                  <w:pPr>
                    <w:spacing w:before="20" w:after="20"/>
                    <w:rPr>
                      <w:vanish/>
                    </w:rPr>
                  </w:pPr>
                </w:p>
                <w:tbl>
                  <w:tblPr>
                    <w:tblW w:w="645" w:type="dxa"/>
                    <w:tblLayout w:type="fixed"/>
                    <w:tblCellMar>
                      <w:left w:w="0" w:type="dxa"/>
                      <w:right w:w="0" w:type="dxa"/>
                    </w:tblCellMar>
                    <w:tblLook w:val="01E0" w:firstRow="1" w:lastRow="1" w:firstColumn="1" w:lastColumn="1" w:noHBand="0" w:noVBand="0"/>
                  </w:tblPr>
                  <w:tblGrid>
                    <w:gridCol w:w="645"/>
                  </w:tblGrid>
                  <w:tr w:rsidR="00DB671B" w:rsidRPr="00DB671B" w:rsidTr="00DB671B">
                    <w:tc>
                      <w:tcPr>
                        <w:tcW w:w="645" w:type="dxa"/>
                        <w:tcMar>
                          <w:top w:w="0" w:type="dxa"/>
                          <w:left w:w="0" w:type="dxa"/>
                          <w:bottom w:w="0" w:type="dxa"/>
                          <w:right w:w="0" w:type="dxa"/>
                        </w:tcMar>
                      </w:tcPr>
                      <w:p w:rsidR="00850B27" w:rsidRPr="00DB671B" w:rsidRDefault="00850B27" w:rsidP="00DB671B">
                        <w:pPr>
                          <w:spacing w:before="20" w:after="20"/>
                          <w:rPr>
                            <w:rFonts w:cs="Arial"/>
                            <w:sz w:val="16"/>
                            <w:szCs w:val="16"/>
                          </w:rPr>
                        </w:pPr>
                        <w:r w:rsidRPr="00DB671B">
                          <w:rPr>
                            <w:rFonts w:cs="Arial"/>
                            <w:sz w:val="16"/>
                            <w:szCs w:val="16"/>
                          </w:rPr>
                          <w:t>AU</w:t>
                        </w:r>
                      </w:p>
                      <w:p w:rsidR="00850B27" w:rsidRPr="00DB671B" w:rsidRDefault="00850B27" w:rsidP="00DB671B">
                        <w:pPr>
                          <w:spacing w:before="20" w:after="20" w:line="1" w:lineRule="auto"/>
                        </w:pPr>
                      </w:p>
                    </w:tc>
                  </w:tr>
                </w:tbl>
                <w:p w:rsidR="00850B27" w:rsidRPr="00DB671B" w:rsidRDefault="00850B27" w:rsidP="00DB671B">
                  <w:pPr>
                    <w:spacing w:before="20" w:after="20" w:line="1" w:lineRule="auto"/>
                  </w:pPr>
                </w:p>
              </w:tc>
              <w:tc>
                <w:tcPr>
                  <w:tcW w:w="62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850B27" w:rsidRPr="00DB671B" w:rsidRDefault="00850B27" w:rsidP="00DB671B">
                  <w:pPr>
                    <w:spacing w:before="20" w:after="20"/>
                    <w:rPr>
                      <w:vanish/>
                    </w:rPr>
                  </w:pPr>
                </w:p>
                <w:tbl>
                  <w:tblPr>
                    <w:tblW w:w="885" w:type="dxa"/>
                    <w:tblLayout w:type="fixed"/>
                    <w:tblCellMar>
                      <w:left w:w="0" w:type="dxa"/>
                      <w:right w:w="0" w:type="dxa"/>
                    </w:tblCellMar>
                    <w:tblLook w:val="01E0" w:firstRow="1" w:lastRow="1" w:firstColumn="1" w:lastColumn="1" w:noHBand="0" w:noVBand="0"/>
                  </w:tblPr>
                  <w:tblGrid>
                    <w:gridCol w:w="885"/>
                  </w:tblGrid>
                  <w:tr w:rsidR="00DB671B" w:rsidRPr="00DB671B" w:rsidTr="00DB671B">
                    <w:tc>
                      <w:tcPr>
                        <w:tcW w:w="885" w:type="dxa"/>
                        <w:tcMar>
                          <w:top w:w="0" w:type="dxa"/>
                          <w:left w:w="0" w:type="dxa"/>
                          <w:bottom w:w="0" w:type="dxa"/>
                          <w:right w:w="0" w:type="dxa"/>
                        </w:tcMar>
                      </w:tcPr>
                      <w:p w:rsidR="00850B27" w:rsidRPr="00DB671B" w:rsidRDefault="00850B27" w:rsidP="00DB671B">
                        <w:pPr>
                          <w:spacing w:before="20" w:after="20"/>
                          <w:rPr>
                            <w:rFonts w:cs="Arial"/>
                            <w:sz w:val="16"/>
                            <w:szCs w:val="16"/>
                          </w:rPr>
                        </w:pPr>
                        <w:r w:rsidRPr="00DB671B">
                          <w:rPr>
                            <w:rFonts w:cs="Arial"/>
                            <w:sz w:val="16"/>
                            <w:szCs w:val="16"/>
                          </w:rPr>
                          <w:t>TWF</w:t>
                        </w:r>
                      </w:p>
                      <w:p w:rsidR="00850B27" w:rsidRPr="00DB671B" w:rsidRDefault="00850B27" w:rsidP="00DB671B">
                        <w:pPr>
                          <w:spacing w:before="20" w:after="20" w:line="1" w:lineRule="auto"/>
                        </w:pPr>
                      </w:p>
                    </w:tc>
                  </w:tr>
                </w:tbl>
                <w:p w:rsidR="00850B27" w:rsidRPr="00DB671B" w:rsidRDefault="00850B27" w:rsidP="00DB671B">
                  <w:pPr>
                    <w:spacing w:before="20" w:after="20" w:line="1" w:lineRule="auto"/>
                  </w:pPr>
                </w:p>
              </w:tc>
              <w:tc>
                <w:tcPr>
                  <w:tcW w:w="150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850B27" w:rsidRPr="00DB671B" w:rsidRDefault="00850B27" w:rsidP="00DB671B">
                  <w:pPr>
                    <w:spacing w:before="20" w:after="20"/>
                    <w:jc w:val="left"/>
                    <w:rPr>
                      <w:vanish/>
                    </w:rPr>
                  </w:pPr>
                </w:p>
                <w:tbl>
                  <w:tblPr>
                    <w:tblW w:w="1245" w:type="dxa"/>
                    <w:tblLayout w:type="fixed"/>
                    <w:tblCellMar>
                      <w:left w:w="0" w:type="dxa"/>
                      <w:right w:w="0" w:type="dxa"/>
                    </w:tblCellMar>
                    <w:tblLook w:val="01E0" w:firstRow="1" w:lastRow="1" w:firstColumn="1" w:lastColumn="1" w:noHBand="0" w:noVBand="0"/>
                  </w:tblPr>
                  <w:tblGrid>
                    <w:gridCol w:w="1245"/>
                  </w:tblGrid>
                  <w:tr w:rsidR="00DB671B" w:rsidRPr="00DB671B" w:rsidTr="00DB671B">
                    <w:tc>
                      <w:tcPr>
                        <w:tcW w:w="1245" w:type="dxa"/>
                        <w:tcMar>
                          <w:top w:w="0" w:type="dxa"/>
                          <w:left w:w="0" w:type="dxa"/>
                          <w:bottom w:w="0" w:type="dxa"/>
                          <w:right w:w="0" w:type="dxa"/>
                        </w:tcMar>
                      </w:tcPr>
                      <w:p w:rsidR="00850B27" w:rsidRPr="00DB671B" w:rsidRDefault="00850B27" w:rsidP="00DB671B">
                        <w:pPr>
                          <w:rPr>
                            <w:sz w:val="16"/>
                          </w:rPr>
                        </w:pPr>
                        <w:r w:rsidRPr="00DB671B">
                          <w:rPr>
                            <w:sz w:val="16"/>
                          </w:rPr>
                          <w:t>TG/111/4(proj.5),</w:t>
                        </w:r>
                        <w:r w:rsidRPr="00DB671B">
                          <w:rPr>
                            <w:sz w:val="16"/>
                          </w:rPr>
                          <w:br/>
                          <w:t>TC/55/18</w:t>
                        </w:r>
                      </w:p>
                    </w:tc>
                  </w:tr>
                </w:tbl>
                <w:p w:rsidR="00850B27" w:rsidRPr="00DB671B" w:rsidRDefault="00850B27" w:rsidP="00DB671B"/>
              </w:tc>
              <w:tc>
                <w:tcPr>
                  <w:tcW w:w="154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tbl>
                  <w:tblPr>
                    <w:tblW w:w="1545" w:type="dxa"/>
                    <w:tblLayout w:type="fixed"/>
                    <w:tblCellMar>
                      <w:left w:w="0" w:type="dxa"/>
                      <w:right w:w="0" w:type="dxa"/>
                    </w:tblCellMar>
                    <w:tblLook w:val="01E0" w:firstRow="1" w:lastRow="1" w:firstColumn="1" w:lastColumn="1" w:noHBand="0" w:noVBand="0"/>
                  </w:tblPr>
                  <w:tblGrid>
                    <w:gridCol w:w="1545"/>
                  </w:tblGrid>
                  <w:tr w:rsidR="00DB671B" w:rsidRPr="00DB671B" w:rsidTr="00DB671B">
                    <w:tc>
                      <w:tcPr>
                        <w:tcW w:w="1545" w:type="dxa"/>
                        <w:tcMar>
                          <w:top w:w="0" w:type="dxa"/>
                          <w:left w:w="0" w:type="dxa"/>
                          <w:bottom w:w="0" w:type="dxa"/>
                          <w:right w:w="0" w:type="dxa"/>
                        </w:tcMar>
                      </w:tcPr>
                      <w:p w:rsidR="00850B27" w:rsidRPr="00DB671B" w:rsidRDefault="00850B27" w:rsidP="00DB671B">
                        <w:r w:rsidRPr="00DB671B">
                          <w:rPr>
                            <w:sz w:val="16"/>
                            <w:szCs w:val="16"/>
                          </w:rPr>
                          <w:t>Macadamia</w:t>
                        </w:r>
                        <w:r w:rsidRPr="00DB671B">
                          <w:t xml:space="preserve"> </w:t>
                        </w:r>
                      </w:p>
                    </w:tc>
                  </w:tr>
                </w:tbl>
                <w:p w:rsidR="00850B27" w:rsidRPr="00DB671B" w:rsidRDefault="00850B27" w:rsidP="00DB671B"/>
              </w:tc>
              <w:tc>
                <w:tcPr>
                  <w:tcW w:w="129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tbl>
                  <w:tblPr>
                    <w:tblW w:w="1290" w:type="dxa"/>
                    <w:tblLayout w:type="fixed"/>
                    <w:tblCellMar>
                      <w:left w:w="0" w:type="dxa"/>
                      <w:right w:w="0" w:type="dxa"/>
                    </w:tblCellMar>
                    <w:tblLook w:val="01E0" w:firstRow="1" w:lastRow="1" w:firstColumn="1" w:lastColumn="1" w:noHBand="0" w:noVBand="0"/>
                  </w:tblPr>
                  <w:tblGrid>
                    <w:gridCol w:w="1290"/>
                  </w:tblGrid>
                  <w:tr w:rsidR="00DB671B" w:rsidRPr="00DB671B" w:rsidTr="00DB671B">
                    <w:tc>
                      <w:tcPr>
                        <w:tcW w:w="1290" w:type="dxa"/>
                        <w:tcMar>
                          <w:top w:w="0" w:type="dxa"/>
                          <w:left w:w="0" w:type="dxa"/>
                          <w:bottom w:w="0" w:type="dxa"/>
                          <w:right w:w="0" w:type="dxa"/>
                        </w:tcMar>
                      </w:tcPr>
                      <w:p w:rsidR="00850B27" w:rsidRPr="00DB671B" w:rsidRDefault="00850B27" w:rsidP="00DB671B">
                        <w:r w:rsidRPr="00DB671B">
                          <w:rPr>
                            <w:sz w:val="16"/>
                            <w:szCs w:val="16"/>
                          </w:rPr>
                          <w:t>Macadamia</w:t>
                        </w:r>
                        <w:r w:rsidRPr="00DB671B">
                          <w:t xml:space="preserve"> </w:t>
                        </w:r>
                      </w:p>
                    </w:tc>
                  </w:tr>
                </w:tbl>
                <w:p w:rsidR="00850B27" w:rsidRPr="00DB671B" w:rsidRDefault="00850B27" w:rsidP="00DB671B"/>
              </w:tc>
              <w:tc>
                <w:tcPr>
                  <w:tcW w:w="147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tbl>
                  <w:tblPr>
                    <w:tblW w:w="1470" w:type="dxa"/>
                    <w:tblLayout w:type="fixed"/>
                    <w:tblCellMar>
                      <w:left w:w="0" w:type="dxa"/>
                      <w:right w:w="0" w:type="dxa"/>
                    </w:tblCellMar>
                    <w:tblLook w:val="01E0" w:firstRow="1" w:lastRow="1" w:firstColumn="1" w:lastColumn="1" w:noHBand="0" w:noVBand="0"/>
                  </w:tblPr>
                  <w:tblGrid>
                    <w:gridCol w:w="1470"/>
                  </w:tblGrid>
                  <w:tr w:rsidR="00DB671B" w:rsidRPr="00DB671B" w:rsidTr="00DB671B">
                    <w:tc>
                      <w:tcPr>
                        <w:tcW w:w="1470" w:type="dxa"/>
                        <w:tcMar>
                          <w:top w:w="0" w:type="dxa"/>
                          <w:left w:w="0" w:type="dxa"/>
                          <w:bottom w:w="0" w:type="dxa"/>
                          <w:right w:w="0" w:type="dxa"/>
                        </w:tcMar>
                      </w:tcPr>
                      <w:p w:rsidR="00850B27" w:rsidRPr="00DB671B" w:rsidRDefault="00850B27" w:rsidP="00DB671B">
                        <w:r w:rsidRPr="00DB671B">
                          <w:rPr>
                            <w:sz w:val="16"/>
                            <w:szCs w:val="16"/>
                          </w:rPr>
                          <w:t>Macadamia</w:t>
                        </w:r>
                        <w:r w:rsidRPr="00DB671B">
                          <w:t xml:space="preserve"> </w:t>
                        </w:r>
                      </w:p>
                    </w:tc>
                  </w:tr>
                </w:tbl>
                <w:p w:rsidR="00850B27" w:rsidRPr="00DB671B" w:rsidRDefault="00850B27" w:rsidP="00DB671B"/>
              </w:tc>
              <w:tc>
                <w:tcPr>
                  <w:tcW w:w="136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tbl>
                  <w:tblPr>
                    <w:tblW w:w="1365" w:type="dxa"/>
                    <w:tblLayout w:type="fixed"/>
                    <w:tblCellMar>
                      <w:left w:w="0" w:type="dxa"/>
                      <w:right w:w="0" w:type="dxa"/>
                    </w:tblCellMar>
                    <w:tblLook w:val="01E0" w:firstRow="1" w:lastRow="1" w:firstColumn="1" w:lastColumn="1" w:noHBand="0" w:noVBand="0"/>
                  </w:tblPr>
                  <w:tblGrid>
                    <w:gridCol w:w="1365"/>
                  </w:tblGrid>
                  <w:tr w:rsidR="00DB671B" w:rsidRPr="00DB671B" w:rsidTr="00DB671B">
                    <w:tc>
                      <w:tcPr>
                        <w:tcW w:w="1365" w:type="dxa"/>
                        <w:tcMar>
                          <w:top w:w="0" w:type="dxa"/>
                          <w:left w:w="0" w:type="dxa"/>
                          <w:bottom w:w="0" w:type="dxa"/>
                          <w:right w:w="0" w:type="dxa"/>
                        </w:tcMar>
                      </w:tcPr>
                      <w:p w:rsidR="00850B27" w:rsidRPr="00DB671B" w:rsidRDefault="00850B27" w:rsidP="00DB671B">
                        <w:r w:rsidRPr="00DB671B">
                          <w:rPr>
                            <w:sz w:val="16"/>
                            <w:szCs w:val="16"/>
                          </w:rPr>
                          <w:t>Macadamia</w:t>
                        </w:r>
                        <w:r w:rsidRPr="00DB671B">
                          <w:t xml:space="preserve"> </w:t>
                        </w:r>
                      </w:p>
                    </w:tc>
                  </w:tr>
                </w:tbl>
                <w:p w:rsidR="00850B27" w:rsidRPr="00DB671B" w:rsidRDefault="00850B27" w:rsidP="00DB671B"/>
              </w:tc>
              <w:tc>
                <w:tcPr>
                  <w:tcW w:w="14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tbl>
                  <w:tblPr>
                    <w:tblW w:w="1455" w:type="dxa"/>
                    <w:tblLayout w:type="fixed"/>
                    <w:tblCellMar>
                      <w:left w:w="0" w:type="dxa"/>
                      <w:right w:w="0" w:type="dxa"/>
                    </w:tblCellMar>
                    <w:tblLook w:val="01E0" w:firstRow="1" w:lastRow="1" w:firstColumn="1" w:lastColumn="1" w:noHBand="0" w:noVBand="0"/>
                  </w:tblPr>
                  <w:tblGrid>
                    <w:gridCol w:w="1455"/>
                  </w:tblGrid>
                  <w:tr w:rsidR="00DB671B" w:rsidRPr="00BC76D0" w:rsidTr="00DB671B">
                    <w:tc>
                      <w:tcPr>
                        <w:tcW w:w="1455" w:type="dxa"/>
                        <w:tcMar>
                          <w:top w:w="0" w:type="dxa"/>
                          <w:left w:w="0" w:type="dxa"/>
                          <w:bottom w:w="0" w:type="dxa"/>
                          <w:right w:w="0" w:type="dxa"/>
                        </w:tcMar>
                      </w:tcPr>
                      <w:p w:rsidR="00850B27" w:rsidRPr="001766FA" w:rsidRDefault="00850B27" w:rsidP="00DB671B">
                        <w:pPr>
                          <w:rPr>
                            <w:sz w:val="16"/>
                            <w:szCs w:val="16"/>
                            <w:lang w:val="es-ES"/>
                          </w:rPr>
                        </w:pPr>
                        <w:r w:rsidRPr="001766FA">
                          <w:rPr>
                            <w:i/>
                            <w:sz w:val="16"/>
                            <w:szCs w:val="16"/>
                            <w:lang w:val="es-ES"/>
                          </w:rPr>
                          <w:t>Macadamia integrifolia</w:t>
                        </w:r>
                        <w:r w:rsidRPr="001766FA">
                          <w:rPr>
                            <w:sz w:val="16"/>
                            <w:szCs w:val="16"/>
                            <w:lang w:val="es-ES"/>
                          </w:rPr>
                          <w:t xml:space="preserve"> Maiden et Betche; </w:t>
                        </w:r>
                      </w:p>
                      <w:p w:rsidR="00850B27" w:rsidRPr="001766FA" w:rsidRDefault="00850B27" w:rsidP="00DB671B">
                        <w:pPr>
                          <w:rPr>
                            <w:lang w:val="es-ES"/>
                          </w:rPr>
                        </w:pPr>
                        <w:r w:rsidRPr="001766FA">
                          <w:rPr>
                            <w:i/>
                            <w:sz w:val="16"/>
                            <w:szCs w:val="16"/>
                            <w:lang w:val="es-ES"/>
                          </w:rPr>
                          <w:t>Macadamia tetraphylla</w:t>
                        </w:r>
                        <w:r w:rsidRPr="001766FA">
                          <w:rPr>
                            <w:sz w:val="16"/>
                            <w:szCs w:val="16"/>
                            <w:lang w:val="es-ES"/>
                          </w:rPr>
                          <w:t xml:space="preserve"> L. Johns.</w:t>
                        </w:r>
                      </w:p>
                    </w:tc>
                  </w:tr>
                </w:tbl>
                <w:p w:rsidR="00850B27" w:rsidRPr="001766FA" w:rsidRDefault="00850B27" w:rsidP="00DB671B">
                  <w:pPr>
                    <w:rPr>
                      <w:lang w:val="es-ES"/>
                    </w:rPr>
                  </w:pPr>
                </w:p>
              </w:tc>
            </w:tr>
            <w:tr w:rsidR="00DB671B" w:rsidRPr="00DB671B" w:rsidTr="00DB671B">
              <w:trPr>
                <w:hidden/>
              </w:trPr>
              <w:tc>
                <w:tcPr>
                  <w:tcW w:w="6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50B27" w:rsidRPr="001766FA" w:rsidRDefault="00850B27" w:rsidP="00DB671B">
                  <w:pPr>
                    <w:spacing w:before="20" w:after="20"/>
                    <w:rPr>
                      <w:vanish/>
                      <w:lang w:val="es-ES"/>
                    </w:rPr>
                  </w:pPr>
                </w:p>
                <w:tbl>
                  <w:tblPr>
                    <w:tblW w:w="645" w:type="dxa"/>
                    <w:tblLayout w:type="fixed"/>
                    <w:tblCellMar>
                      <w:left w:w="0" w:type="dxa"/>
                      <w:right w:w="0" w:type="dxa"/>
                    </w:tblCellMar>
                    <w:tblLook w:val="01E0" w:firstRow="1" w:lastRow="1" w:firstColumn="1" w:lastColumn="1" w:noHBand="0" w:noVBand="0"/>
                  </w:tblPr>
                  <w:tblGrid>
                    <w:gridCol w:w="645"/>
                  </w:tblGrid>
                  <w:tr w:rsidR="00DB671B" w:rsidRPr="00DB671B" w:rsidTr="00DB671B">
                    <w:tc>
                      <w:tcPr>
                        <w:tcW w:w="645" w:type="dxa"/>
                        <w:tcMar>
                          <w:top w:w="0" w:type="dxa"/>
                          <w:left w:w="0" w:type="dxa"/>
                          <w:bottom w:w="0" w:type="dxa"/>
                          <w:right w:w="0" w:type="dxa"/>
                        </w:tcMar>
                      </w:tcPr>
                      <w:p w:rsidR="00850B27" w:rsidRPr="00DB671B" w:rsidRDefault="00850B27" w:rsidP="00DB671B">
                        <w:pPr>
                          <w:spacing w:before="20" w:after="20"/>
                          <w:rPr>
                            <w:rFonts w:cs="Arial"/>
                            <w:sz w:val="16"/>
                            <w:szCs w:val="16"/>
                          </w:rPr>
                        </w:pPr>
                        <w:r w:rsidRPr="00DB671B">
                          <w:rPr>
                            <w:rFonts w:cs="Arial"/>
                            <w:sz w:val="16"/>
                            <w:szCs w:val="16"/>
                          </w:rPr>
                          <w:t>AU</w:t>
                        </w:r>
                      </w:p>
                      <w:p w:rsidR="00850B27" w:rsidRPr="00DB671B" w:rsidRDefault="00850B27" w:rsidP="00DB671B">
                        <w:pPr>
                          <w:spacing w:before="20" w:after="20" w:line="1" w:lineRule="auto"/>
                        </w:pPr>
                      </w:p>
                    </w:tc>
                  </w:tr>
                </w:tbl>
                <w:p w:rsidR="00850B27" w:rsidRPr="00DB671B" w:rsidRDefault="00850B27" w:rsidP="00DB671B">
                  <w:pPr>
                    <w:spacing w:before="20" w:after="20" w:line="1" w:lineRule="auto"/>
                  </w:pPr>
                </w:p>
              </w:tc>
              <w:tc>
                <w:tcPr>
                  <w:tcW w:w="6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50B27" w:rsidRPr="00DB671B" w:rsidRDefault="00850B27" w:rsidP="00DB671B">
                  <w:pPr>
                    <w:spacing w:before="20" w:after="20"/>
                    <w:rPr>
                      <w:vanish/>
                    </w:rPr>
                  </w:pPr>
                </w:p>
                <w:tbl>
                  <w:tblPr>
                    <w:tblW w:w="885" w:type="dxa"/>
                    <w:tblLayout w:type="fixed"/>
                    <w:tblCellMar>
                      <w:left w:w="0" w:type="dxa"/>
                      <w:right w:w="0" w:type="dxa"/>
                    </w:tblCellMar>
                    <w:tblLook w:val="01E0" w:firstRow="1" w:lastRow="1" w:firstColumn="1" w:lastColumn="1" w:noHBand="0" w:noVBand="0"/>
                  </w:tblPr>
                  <w:tblGrid>
                    <w:gridCol w:w="885"/>
                  </w:tblGrid>
                  <w:tr w:rsidR="00DB671B" w:rsidRPr="00DB671B" w:rsidTr="00DB671B">
                    <w:tc>
                      <w:tcPr>
                        <w:tcW w:w="885" w:type="dxa"/>
                        <w:tcMar>
                          <w:top w:w="0" w:type="dxa"/>
                          <w:left w:w="0" w:type="dxa"/>
                          <w:bottom w:w="0" w:type="dxa"/>
                          <w:right w:w="0" w:type="dxa"/>
                        </w:tcMar>
                      </w:tcPr>
                      <w:p w:rsidR="00850B27" w:rsidRPr="00DB671B" w:rsidRDefault="00850B27" w:rsidP="00DB671B">
                        <w:pPr>
                          <w:spacing w:before="20" w:after="20"/>
                          <w:rPr>
                            <w:rFonts w:cs="Arial"/>
                            <w:sz w:val="16"/>
                            <w:szCs w:val="16"/>
                          </w:rPr>
                        </w:pPr>
                        <w:r w:rsidRPr="00DB671B">
                          <w:rPr>
                            <w:rFonts w:cs="Arial"/>
                            <w:sz w:val="16"/>
                            <w:szCs w:val="16"/>
                          </w:rPr>
                          <w:t>TWO</w:t>
                        </w:r>
                      </w:p>
                      <w:p w:rsidR="00850B27" w:rsidRPr="00DB671B" w:rsidRDefault="00850B27" w:rsidP="00DB671B">
                        <w:pPr>
                          <w:spacing w:before="20" w:after="20" w:line="1" w:lineRule="auto"/>
                        </w:pPr>
                      </w:p>
                    </w:tc>
                  </w:tr>
                </w:tbl>
                <w:p w:rsidR="00850B27" w:rsidRPr="00DB671B" w:rsidRDefault="00850B27" w:rsidP="00DB671B">
                  <w:pPr>
                    <w:spacing w:before="20" w:after="20" w:line="1" w:lineRule="auto"/>
                  </w:pPr>
                </w:p>
              </w:tc>
              <w:tc>
                <w:tcPr>
                  <w:tcW w:w="15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50B27" w:rsidRPr="00DB671B" w:rsidRDefault="00850B27" w:rsidP="00DB671B">
                  <w:pPr>
                    <w:spacing w:before="20" w:after="20"/>
                    <w:jc w:val="left"/>
                    <w:rPr>
                      <w:vanish/>
                    </w:rPr>
                  </w:pPr>
                </w:p>
                <w:tbl>
                  <w:tblPr>
                    <w:tblW w:w="1245" w:type="dxa"/>
                    <w:tblLayout w:type="fixed"/>
                    <w:tblCellMar>
                      <w:left w:w="0" w:type="dxa"/>
                      <w:right w:w="0" w:type="dxa"/>
                    </w:tblCellMar>
                    <w:tblLook w:val="01E0" w:firstRow="1" w:lastRow="1" w:firstColumn="1" w:lastColumn="1" w:noHBand="0" w:noVBand="0"/>
                  </w:tblPr>
                  <w:tblGrid>
                    <w:gridCol w:w="1245"/>
                  </w:tblGrid>
                  <w:tr w:rsidR="00DB671B" w:rsidRPr="00DB671B" w:rsidTr="00DB671B">
                    <w:tc>
                      <w:tcPr>
                        <w:tcW w:w="1245" w:type="dxa"/>
                        <w:tcMar>
                          <w:top w:w="0" w:type="dxa"/>
                          <w:left w:w="0" w:type="dxa"/>
                          <w:bottom w:w="0" w:type="dxa"/>
                          <w:right w:w="0" w:type="dxa"/>
                        </w:tcMar>
                      </w:tcPr>
                      <w:p w:rsidR="00850B27" w:rsidRPr="00DB671B" w:rsidRDefault="00850B27" w:rsidP="00DB671B">
                        <w:pPr>
                          <w:spacing w:before="20" w:after="20"/>
                          <w:jc w:val="left"/>
                          <w:rPr>
                            <w:rFonts w:cs="Arial"/>
                            <w:sz w:val="16"/>
                            <w:szCs w:val="16"/>
                          </w:rPr>
                        </w:pPr>
                        <w:r w:rsidRPr="00DB671B">
                          <w:rPr>
                            <w:rFonts w:cs="Arial"/>
                            <w:sz w:val="16"/>
                            <w:szCs w:val="16"/>
                          </w:rPr>
                          <w:t>TG/175/4(proj.3)</w:t>
                        </w:r>
                      </w:p>
                      <w:p w:rsidR="00850B27" w:rsidRPr="00DB671B" w:rsidRDefault="00850B27" w:rsidP="00DB671B">
                        <w:pPr>
                          <w:spacing w:before="20" w:after="20" w:line="1" w:lineRule="auto"/>
                          <w:jc w:val="left"/>
                        </w:pPr>
                      </w:p>
                    </w:tc>
                  </w:tr>
                </w:tbl>
                <w:p w:rsidR="00850B27" w:rsidRPr="00DB671B" w:rsidRDefault="00850B27" w:rsidP="00DB671B">
                  <w:pPr>
                    <w:spacing w:before="20" w:after="20" w:line="1" w:lineRule="auto"/>
                    <w:jc w:val="left"/>
                  </w:pPr>
                </w:p>
              </w:tc>
              <w:tc>
                <w:tcPr>
                  <w:tcW w:w="15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50B27" w:rsidRPr="00DB671B" w:rsidRDefault="00850B27" w:rsidP="00DB671B">
                  <w:pPr>
                    <w:spacing w:before="20" w:after="20"/>
                    <w:jc w:val="left"/>
                    <w:rPr>
                      <w:vanish/>
                    </w:rPr>
                  </w:pPr>
                </w:p>
                <w:tbl>
                  <w:tblPr>
                    <w:tblW w:w="1545" w:type="dxa"/>
                    <w:tblLayout w:type="fixed"/>
                    <w:tblCellMar>
                      <w:left w:w="0" w:type="dxa"/>
                      <w:right w:w="0" w:type="dxa"/>
                    </w:tblCellMar>
                    <w:tblLook w:val="01E0" w:firstRow="1" w:lastRow="1" w:firstColumn="1" w:lastColumn="1" w:noHBand="0" w:noVBand="0"/>
                  </w:tblPr>
                  <w:tblGrid>
                    <w:gridCol w:w="1545"/>
                  </w:tblGrid>
                  <w:tr w:rsidR="00DB671B" w:rsidRPr="00DB671B" w:rsidTr="00DB671B">
                    <w:tc>
                      <w:tcPr>
                        <w:tcW w:w="1545" w:type="dxa"/>
                        <w:tcMar>
                          <w:top w:w="0" w:type="dxa"/>
                          <w:left w:w="0" w:type="dxa"/>
                          <w:bottom w:w="0" w:type="dxa"/>
                          <w:right w:w="0" w:type="dxa"/>
                        </w:tcMar>
                      </w:tcPr>
                      <w:p w:rsidR="00850B27" w:rsidRPr="00DB671B" w:rsidRDefault="00850B27" w:rsidP="00DB671B">
                        <w:pPr>
                          <w:spacing w:before="20" w:after="20"/>
                          <w:jc w:val="left"/>
                          <w:rPr>
                            <w:rFonts w:cs="Arial"/>
                            <w:sz w:val="16"/>
                            <w:szCs w:val="16"/>
                          </w:rPr>
                        </w:pPr>
                        <w:r w:rsidRPr="00DB671B">
                          <w:rPr>
                            <w:rFonts w:cs="Arial"/>
                            <w:sz w:val="16"/>
                            <w:szCs w:val="16"/>
                          </w:rPr>
                          <w:t>Kangaroo Paw</w:t>
                        </w:r>
                      </w:p>
                      <w:p w:rsidR="00850B27" w:rsidRPr="00DB671B" w:rsidRDefault="00850B27" w:rsidP="00DB671B">
                        <w:pPr>
                          <w:spacing w:before="20" w:after="20" w:line="1" w:lineRule="auto"/>
                          <w:jc w:val="left"/>
                        </w:pPr>
                      </w:p>
                    </w:tc>
                  </w:tr>
                </w:tbl>
                <w:p w:rsidR="00850B27" w:rsidRPr="00DB671B" w:rsidRDefault="00850B27" w:rsidP="00DB671B">
                  <w:pPr>
                    <w:spacing w:before="20" w:after="20" w:line="1" w:lineRule="auto"/>
                    <w:jc w:val="left"/>
                  </w:pPr>
                </w:p>
              </w:tc>
              <w:tc>
                <w:tcPr>
                  <w:tcW w:w="129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50B27" w:rsidRPr="00DB671B" w:rsidRDefault="00850B27" w:rsidP="00DB671B">
                  <w:pPr>
                    <w:spacing w:before="20" w:after="20"/>
                    <w:jc w:val="left"/>
                    <w:rPr>
                      <w:vanish/>
                    </w:rPr>
                  </w:pPr>
                </w:p>
                <w:tbl>
                  <w:tblPr>
                    <w:tblW w:w="1290" w:type="dxa"/>
                    <w:tblLayout w:type="fixed"/>
                    <w:tblCellMar>
                      <w:left w:w="0" w:type="dxa"/>
                      <w:right w:w="0" w:type="dxa"/>
                    </w:tblCellMar>
                    <w:tblLook w:val="01E0" w:firstRow="1" w:lastRow="1" w:firstColumn="1" w:lastColumn="1" w:noHBand="0" w:noVBand="0"/>
                  </w:tblPr>
                  <w:tblGrid>
                    <w:gridCol w:w="1290"/>
                  </w:tblGrid>
                  <w:tr w:rsidR="00DB671B" w:rsidRPr="00DB671B" w:rsidTr="00DB671B">
                    <w:tc>
                      <w:tcPr>
                        <w:tcW w:w="1290" w:type="dxa"/>
                        <w:tcMar>
                          <w:top w:w="0" w:type="dxa"/>
                          <w:left w:w="0" w:type="dxa"/>
                          <w:bottom w:w="0" w:type="dxa"/>
                          <w:right w:w="0" w:type="dxa"/>
                        </w:tcMar>
                      </w:tcPr>
                      <w:p w:rsidR="00850B27" w:rsidRPr="00DB671B" w:rsidRDefault="00850B27" w:rsidP="00DB671B">
                        <w:pPr>
                          <w:spacing w:before="20" w:after="20"/>
                          <w:jc w:val="left"/>
                          <w:rPr>
                            <w:rFonts w:cs="Arial"/>
                            <w:sz w:val="16"/>
                            <w:szCs w:val="16"/>
                          </w:rPr>
                        </w:pPr>
                        <w:r w:rsidRPr="00DB671B">
                          <w:rPr>
                            <w:rFonts w:cs="Arial"/>
                            <w:sz w:val="16"/>
                            <w:szCs w:val="16"/>
                          </w:rPr>
                          <w:t>Anigozanthos</w:t>
                        </w:r>
                      </w:p>
                      <w:p w:rsidR="00850B27" w:rsidRPr="00DB671B" w:rsidRDefault="00850B27" w:rsidP="00DB671B">
                        <w:pPr>
                          <w:spacing w:before="20" w:after="20" w:line="1" w:lineRule="auto"/>
                          <w:jc w:val="left"/>
                        </w:pPr>
                      </w:p>
                    </w:tc>
                  </w:tr>
                </w:tbl>
                <w:p w:rsidR="00850B27" w:rsidRPr="00DB671B" w:rsidRDefault="00850B27" w:rsidP="00DB671B">
                  <w:pPr>
                    <w:spacing w:before="20" w:after="20" w:line="1" w:lineRule="auto"/>
                    <w:jc w:val="left"/>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50B27" w:rsidRPr="00DB671B" w:rsidRDefault="00850B27" w:rsidP="00DB671B">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DB671B" w:rsidRPr="00DB671B" w:rsidTr="00DB671B">
                    <w:tc>
                      <w:tcPr>
                        <w:tcW w:w="1470" w:type="dxa"/>
                        <w:tcMar>
                          <w:top w:w="0" w:type="dxa"/>
                          <w:left w:w="0" w:type="dxa"/>
                          <w:bottom w:w="0" w:type="dxa"/>
                          <w:right w:w="0" w:type="dxa"/>
                        </w:tcMar>
                      </w:tcPr>
                      <w:p w:rsidR="00850B27" w:rsidRPr="00DB671B" w:rsidRDefault="00850B27" w:rsidP="00DB671B">
                        <w:pPr>
                          <w:spacing w:before="20" w:after="20"/>
                          <w:jc w:val="left"/>
                          <w:rPr>
                            <w:rFonts w:cs="Arial"/>
                            <w:sz w:val="16"/>
                            <w:szCs w:val="16"/>
                          </w:rPr>
                        </w:pPr>
                        <w:r w:rsidRPr="00DB671B">
                          <w:rPr>
                            <w:rFonts w:cs="Arial"/>
                            <w:sz w:val="16"/>
                            <w:szCs w:val="16"/>
                          </w:rPr>
                          <w:t>Känguruhblume</w:t>
                        </w:r>
                      </w:p>
                      <w:p w:rsidR="00850B27" w:rsidRPr="00DB671B" w:rsidRDefault="00850B27" w:rsidP="00DB671B">
                        <w:pPr>
                          <w:spacing w:before="20" w:after="20" w:line="1" w:lineRule="auto"/>
                          <w:jc w:val="left"/>
                        </w:pPr>
                      </w:p>
                    </w:tc>
                  </w:tr>
                </w:tbl>
                <w:p w:rsidR="00850B27" w:rsidRPr="00DB671B" w:rsidRDefault="00850B27" w:rsidP="00DB671B">
                  <w:pPr>
                    <w:spacing w:before="20" w:after="20" w:line="1" w:lineRule="auto"/>
                    <w:jc w:val="left"/>
                  </w:pPr>
                </w:p>
              </w:tc>
              <w:tc>
                <w:tcPr>
                  <w:tcW w:w="13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50B27" w:rsidRPr="00DB671B" w:rsidRDefault="00850B27" w:rsidP="00DB671B">
                  <w:pPr>
                    <w:spacing w:before="20" w:after="20"/>
                    <w:jc w:val="left"/>
                    <w:rPr>
                      <w:vanish/>
                    </w:rPr>
                  </w:pPr>
                </w:p>
                <w:tbl>
                  <w:tblPr>
                    <w:tblW w:w="1365" w:type="dxa"/>
                    <w:tblLayout w:type="fixed"/>
                    <w:tblCellMar>
                      <w:left w:w="0" w:type="dxa"/>
                      <w:right w:w="0" w:type="dxa"/>
                    </w:tblCellMar>
                    <w:tblLook w:val="01E0" w:firstRow="1" w:lastRow="1" w:firstColumn="1" w:lastColumn="1" w:noHBand="0" w:noVBand="0"/>
                  </w:tblPr>
                  <w:tblGrid>
                    <w:gridCol w:w="1365"/>
                  </w:tblGrid>
                  <w:tr w:rsidR="00DB671B" w:rsidRPr="00DB671B" w:rsidTr="00DB671B">
                    <w:tc>
                      <w:tcPr>
                        <w:tcW w:w="1365" w:type="dxa"/>
                        <w:tcMar>
                          <w:top w:w="0" w:type="dxa"/>
                          <w:left w:w="0" w:type="dxa"/>
                          <w:bottom w:w="0" w:type="dxa"/>
                          <w:right w:w="0" w:type="dxa"/>
                        </w:tcMar>
                      </w:tcPr>
                      <w:p w:rsidR="00850B27" w:rsidRPr="00DB671B" w:rsidRDefault="00850B27" w:rsidP="00DB671B">
                        <w:pPr>
                          <w:spacing w:before="20" w:after="20"/>
                          <w:jc w:val="left"/>
                          <w:rPr>
                            <w:rFonts w:cs="Arial"/>
                            <w:sz w:val="16"/>
                            <w:szCs w:val="16"/>
                          </w:rPr>
                        </w:pPr>
                        <w:r w:rsidRPr="00DB671B">
                          <w:rPr>
                            <w:rFonts w:cs="Arial"/>
                            <w:sz w:val="16"/>
                            <w:szCs w:val="16"/>
                          </w:rPr>
                          <w:t>Anigozanthos</w:t>
                        </w:r>
                      </w:p>
                      <w:p w:rsidR="00850B27" w:rsidRPr="00DB671B" w:rsidRDefault="00850B27" w:rsidP="00DB671B">
                        <w:pPr>
                          <w:spacing w:before="20" w:after="20" w:line="1" w:lineRule="auto"/>
                          <w:jc w:val="left"/>
                        </w:pPr>
                      </w:p>
                    </w:tc>
                  </w:tr>
                </w:tbl>
                <w:p w:rsidR="00850B27" w:rsidRPr="00DB671B" w:rsidRDefault="00850B27" w:rsidP="00DB671B">
                  <w:pPr>
                    <w:spacing w:before="20" w:after="20" w:line="1" w:lineRule="auto"/>
                    <w:jc w:val="left"/>
                  </w:pPr>
                </w:p>
              </w:tc>
              <w:tc>
                <w:tcPr>
                  <w:tcW w:w="14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50B27" w:rsidRPr="00DB671B" w:rsidRDefault="00850B27" w:rsidP="00DB671B">
                  <w:pPr>
                    <w:spacing w:before="20" w:after="20"/>
                    <w:jc w:val="left"/>
                    <w:rPr>
                      <w:vanish/>
                    </w:rPr>
                  </w:pPr>
                </w:p>
                <w:tbl>
                  <w:tblPr>
                    <w:tblW w:w="1455" w:type="dxa"/>
                    <w:tblLayout w:type="fixed"/>
                    <w:tblCellMar>
                      <w:left w:w="0" w:type="dxa"/>
                      <w:right w:w="0" w:type="dxa"/>
                    </w:tblCellMar>
                    <w:tblLook w:val="01E0" w:firstRow="1" w:lastRow="1" w:firstColumn="1" w:lastColumn="1" w:noHBand="0" w:noVBand="0"/>
                  </w:tblPr>
                  <w:tblGrid>
                    <w:gridCol w:w="1455"/>
                  </w:tblGrid>
                  <w:tr w:rsidR="00DB671B" w:rsidRPr="00DB671B" w:rsidTr="00DB671B">
                    <w:tc>
                      <w:tcPr>
                        <w:tcW w:w="1455" w:type="dxa"/>
                        <w:tcMar>
                          <w:top w:w="0" w:type="dxa"/>
                          <w:left w:w="0" w:type="dxa"/>
                          <w:bottom w:w="0" w:type="dxa"/>
                          <w:right w:w="0" w:type="dxa"/>
                        </w:tcMar>
                      </w:tcPr>
                      <w:p w:rsidR="00850B27" w:rsidRPr="00DB671B" w:rsidRDefault="00850B27" w:rsidP="00DB671B">
                        <w:pPr>
                          <w:spacing w:before="20" w:after="20"/>
                          <w:jc w:val="left"/>
                          <w:rPr>
                            <w:rFonts w:cs="Arial"/>
                            <w:sz w:val="16"/>
                            <w:szCs w:val="16"/>
                          </w:rPr>
                        </w:pPr>
                        <w:r w:rsidRPr="001766FA">
                          <w:rPr>
                            <w:rFonts w:cs="Arial"/>
                            <w:i/>
                            <w:iCs/>
                            <w:sz w:val="16"/>
                            <w:szCs w:val="16"/>
                            <w:lang w:val="es-ES"/>
                          </w:rPr>
                          <w:t>Anigozanthos</w:t>
                        </w:r>
                        <w:r w:rsidRPr="001766FA">
                          <w:rPr>
                            <w:rFonts w:cs="Arial"/>
                            <w:sz w:val="16"/>
                            <w:szCs w:val="16"/>
                            <w:lang w:val="es-ES"/>
                          </w:rPr>
                          <w:t> </w:t>
                        </w:r>
                        <w:r w:rsidRPr="001766FA">
                          <w:rPr>
                            <w:rFonts w:cs="Arial"/>
                            <w:sz w:val="16"/>
                            <w:szCs w:val="16"/>
                            <w:lang w:val="es-ES"/>
                          </w:rPr>
                          <w:br/>
                          <w:t>Labill., </w:t>
                        </w:r>
                        <w:r w:rsidRPr="001766FA">
                          <w:rPr>
                            <w:rStyle w:val="Emphasis"/>
                            <w:rFonts w:cs="Arial"/>
                            <w:sz w:val="16"/>
                            <w:szCs w:val="16"/>
                            <w:lang w:val="es-ES"/>
                          </w:rPr>
                          <w:t>Macropidia fuliginosa</w:t>
                        </w:r>
                        <w:r w:rsidRPr="001766FA">
                          <w:rPr>
                            <w:rFonts w:cs="Arial"/>
                            <w:sz w:val="16"/>
                            <w:szCs w:val="16"/>
                            <w:lang w:val="es-ES"/>
                          </w:rPr>
                          <w:t xml:space="preserve"> (Hook.) </w:t>
                        </w:r>
                        <w:r w:rsidRPr="00DB671B">
                          <w:rPr>
                            <w:rFonts w:cs="Arial"/>
                            <w:sz w:val="16"/>
                            <w:szCs w:val="16"/>
                          </w:rPr>
                          <w:t>Druce</w:t>
                        </w:r>
                      </w:p>
                      <w:p w:rsidR="00850B27" w:rsidRPr="00DB671B" w:rsidRDefault="00850B27" w:rsidP="00DB671B">
                        <w:pPr>
                          <w:spacing w:before="20" w:after="20" w:line="1" w:lineRule="auto"/>
                          <w:jc w:val="left"/>
                        </w:pPr>
                      </w:p>
                    </w:tc>
                  </w:tr>
                </w:tbl>
                <w:p w:rsidR="00850B27" w:rsidRPr="00DB671B" w:rsidRDefault="00850B27" w:rsidP="00DB671B">
                  <w:pPr>
                    <w:spacing w:before="20" w:after="20" w:line="1" w:lineRule="auto"/>
                    <w:jc w:val="left"/>
                  </w:pPr>
                </w:p>
              </w:tc>
            </w:tr>
            <w:tr w:rsidR="00DB671B" w:rsidRPr="00DB671B" w:rsidTr="00DB671B">
              <w:trPr>
                <w:hidden/>
              </w:trPr>
              <w:tc>
                <w:tcPr>
                  <w:tcW w:w="6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50B27" w:rsidRPr="00DB671B" w:rsidRDefault="00850B27" w:rsidP="00DB671B">
                  <w:pPr>
                    <w:spacing w:before="20" w:after="20"/>
                    <w:rPr>
                      <w:vanish/>
                    </w:rPr>
                  </w:pPr>
                </w:p>
                <w:tbl>
                  <w:tblPr>
                    <w:tblW w:w="645" w:type="dxa"/>
                    <w:tblLayout w:type="fixed"/>
                    <w:tblCellMar>
                      <w:left w:w="0" w:type="dxa"/>
                      <w:right w:w="0" w:type="dxa"/>
                    </w:tblCellMar>
                    <w:tblLook w:val="01E0" w:firstRow="1" w:lastRow="1" w:firstColumn="1" w:lastColumn="1" w:noHBand="0" w:noVBand="0"/>
                  </w:tblPr>
                  <w:tblGrid>
                    <w:gridCol w:w="645"/>
                  </w:tblGrid>
                  <w:tr w:rsidR="00DB671B" w:rsidRPr="00DB671B" w:rsidTr="00DB671B">
                    <w:tc>
                      <w:tcPr>
                        <w:tcW w:w="645" w:type="dxa"/>
                        <w:tcMar>
                          <w:top w:w="0" w:type="dxa"/>
                          <w:left w:w="0" w:type="dxa"/>
                          <w:bottom w:w="0" w:type="dxa"/>
                          <w:right w:w="0" w:type="dxa"/>
                        </w:tcMar>
                      </w:tcPr>
                      <w:p w:rsidR="00850B27" w:rsidRPr="00DB671B" w:rsidRDefault="00850B27" w:rsidP="00DB671B">
                        <w:pPr>
                          <w:spacing w:before="20" w:after="20"/>
                          <w:rPr>
                            <w:rFonts w:cs="Arial"/>
                            <w:sz w:val="16"/>
                            <w:szCs w:val="16"/>
                          </w:rPr>
                        </w:pPr>
                        <w:r w:rsidRPr="00DB671B">
                          <w:rPr>
                            <w:rFonts w:cs="Arial"/>
                            <w:sz w:val="16"/>
                            <w:szCs w:val="16"/>
                          </w:rPr>
                          <w:t>NL</w:t>
                        </w:r>
                      </w:p>
                      <w:p w:rsidR="00850B27" w:rsidRPr="00DB671B" w:rsidRDefault="00850B27" w:rsidP="00DB671B">
                        <w:pPr>
                          <w:spacing w:before="20" w:after="20" w:line="1" w:lineRule="auto"/>
                        </w:pPr>
                      </w:p>
                    </w:tc>
                  </w:tr>
                </w:tbl>
                <w:p w:rsidR="00850B27" w:rsidRPr="00DB671B" w:rsidRDefault="00850B27" w:rsidP="00DB671B">
                  <w:pPr>
                    <w:spacing w:before="20" w:after="20" w:line="1" w:lineRule="auto"/>
                  </w:pPr>
                </w:p>
              </w:tc>
              <w:tc>
                <w:tcPr>
                  <w:tcW w:w="621"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50B27" w:rsidRPr="00DB671B" w:rsidRDefault="00850B27" w:rsidP="00DB671B">
                  <w:pPr>
                    <w:spacing w:before="20" w:after="20"/>
                    <w:rPr>
                      <w:vanish/>
                    </w:rPr>
                  </w:pPr>
                </w:p>
                <w:tbl>
                  <w:tblPr>
                    <w:tblW w:w="885" w:type="dxa"/>
                    <w:tblLayout w:type="fixed"/>
                    <w:tblCellMar>
                      <w:left w:w="0" w:type="dxa"/>
                      <w:right w:w="0" w:type="dxa"/>
                    </w:tblCellMar>
                    <w:tblLook w:val="01E0" w:firstRow="1" w:lastRow="1" w:firstColumn="1" w:lastColumn="1" w:noHBand="0" w:noVBand="0"/>
                  </w:tblPr>
                  <w:tblGrid>
                    <w:gridCol w:w="885"/>
                  </w:tblGrid>
                  <w:tr w:rsidR="00DB671B" w:rsidRPr="00DB671B" w:rsidTr="00DB671B">
                    <w:tc>
                      <w:tcPr>
                        <w:tcW w:w="885" w:type="dxa"/>
                        <w:tcMar>
                          <w:top w:w="0" w:type="dxa"/>
                          <w:left w:w="0" w:type="dxa"/>
                          <w:bottom w:w="0" w:type="dxa"/>
                          <w:right w:w="0" w:type="dxa"/>
                        </w:tcMar>
                      </w:tcPr>
                      <w:p w:rsidR="00850B27" w:rsidRPr="00DB671B" w:rsidRDefault="00850B27" w:rsidP="00DB671B">
                        <w:pPr>
                          <w:spacing w:before="20" w:after="20"/>
                          <w:rPr>
                            <w:rFonts w:cs="Arial"/>
                            <w:sz w:val="16"/>
                            <w:szCs w:val="16"/>
                          </w:rPr>
                        </w:pPr>
                        <w:r w:rsidRPr="00DB671B">
                          <w:rPr>
                            <w:rFonts w:cs="Arial"/>
                            <w:sz w:val="16"/>
                            <w:szCs w:val="16"/>
                          </w:rPr>
                          <w:t>TWV</w:t>
                        </w:r>
                      </w:p>
                      <w:p w:rsidR="00850B27" w:rsidRPr="00DB671B" w:rsidRDefault="00850B27" w:rsidP="00DB671B">
                        <w:pPr>
                          <w:spacing w:before="20" w:after="20" w:line="1" w:lineRule="auto"/>
                        </w:pPr>
                      </w:p>
                    </w:tc>
                  </w:tr>
                </w:tbl>
                <w:p w:rsidR="00850B27" w:rsidRPr="00DB671B" w:rsidRDefault="00850B27" w:rsidP="00DB671B">
                  <w:pPr>
                    <w:spacing w:before="20" w:after="20" w:line="1" w:lineRule="auto"/>
                  </w:pPr>
                </w:p>
              </w:tc>
              <w:tc>
                <w:tcPr>
                  <w:tcW w:w="150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50B27" w:rsidRPr="00DB671B" w:rsidRDefault="00850B27" w:rsidP="00DB671B">
                  <w:pPr>
                    <w:spacing w:before="20" w:after="20"/>
                    <w:jc w:val="left"/>
                    <w:rPr>
                      <w:vanish/>
                    </w:rPr>
                  </w:pPr>
                </w:p>
                <w:tbl>
                  <w:tblPr>
                    <w:tblW w:w="1245" w:type="dxa"/>
                    <w:tblLayout w:type="fixed"/>
                    <w:tblCellMar>
                      <w:left w:w="0" w:type="dxa"/>
                      <w:right w:w="0" w:type="dxa"/>
                    </w:tblCellMar>
                    <w:tblLook w:val="01E0" w:firstRow="1" w:lastRow="1" w:firstColumn="1" w:lastColumn="1" w:noHBand="0" w:noVBand="0"/>
                  </w:tblPr>
                  <w:tblGrid>
                    <w:gridCol w:w="1245"/>
                  </w:tblGrid>
                  <w:tr w:rsidR="00DB671B" w:rsidRPr="00DB671B" w:rsidTr="00DB671B">
                    <w:tc>
                      <w:tcPr>
                        <w:tcW w:w="1245" w:type="dxa"/>
                        <w:tcMar>
                          <w:top w:w="0" w:type="dxa"/>
                          <w:left w:w="0" w:type="dxa"/>
                          <w:bottom w:w="0" w:type="dxa"/>
                          <w:right w:w="0" w:type="dxa"/>
                        </w:tcMar>
                      </w:tcPr>
                      <w:p w:rsidR="00850B27" w:rsidRPr="00DB671B" w:rsidRDefault="00850B27" w:rsidP="00DB671B">
                        <w:pPr>
                          <w:spacing w:before="20" w:after="20"/>
                          <w:jc w:val="left"/>
                          <w:rPr>
                            <w:rFonts w:cs="Arial"/>
                            <w:sz w:val="16"/>
                            <w:szCs w:val="16"/>
                          </w:rPr>
                        </w:pPr>
                        <w:r w:rsidRPr="00DB671B">
                          <w:rPr>
                            <w:rFonts w:cs="Arial"/>
                            <w:sz w:val="16"/>
                            <w:szCs w:val="16"/>
                          </w:rPr>
                          <w:t>TG/183/4(proj.3)</w:t>
                        </w:r>
                      </w:p>
                      <w:p w:rsidR="00850B27" w:rsidRPr="00DB671B" w:rsidRDefault="00850B27" w:rsidP="00DB671B">
                        <w:pPr>
                          <w:spacing w:before="20" w:after="20" w:line="1" w:lineRule="auto"/>
                          <w:jc w:val="left"/>
                        </w:pPr>
                      </w:p>
                    </w:tc>
                  </w:tr>
                </w:tbl>
                <w:p w:rsidR="00850B27" w:rsidRPr="00DB671B" w:rsidRDefault="00850B27" w:rsidP="00DB671B">
                  <w:pPr>
                    <w:spacing w:before="20" w:after="20" w:line="1" w:lineRule="auto"/>
                    <w:jc w:val="left"/>
                  </w:pPr>
                </w:p>
              </w:tc>
              <w:tc>
                <w:tcPr>
                  <w:tcW w:w="15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50B27" w:rsidRPr="00DB671B" w:rsidRDefault="00850B27" w:rsidP="00DB671B">
                  <w:pPr>
                    <w:spacing w:before="20" w:after="20"/>
                    <w:jc w:val="left"/>
                    <w:rPr>
                      <w:vanish/>
                    </w:rPr>
                  </w:pPr>
                </w:p>
                <w:tbl>
                  <w:tblPr>
                    <w:tblW w:w="1545" w:type="dxa"/>
                    <w:tblLayout w:type="fixed"/>
                    <w:tblCellMar>
                      <w:left w:w="0" w:type="dxa"/>
                      <w:right w:w="0" w:type="dxa"/>
                    </w:tblCellMar>
                    <w:tblLook w:val="01E0" w:firstRow="1" w:lastRow="1" w:firstColumn="1" w:lastColumn="1" w:noHBand="0" w:noVBand="0"/>
                  </w:tblPr>
                  <w:tblGrid>
                    <w:gridCol w:w="1545"/>
                  </w:tblGrid>
                  <w:tr w:rsidR="00DB671B" w:rsidRPr="00DB671B" w:rsidTr="00DB671B">
                    <w:tc>
                      <w:tcPr>
                        <w:tcW w:w="1545" w:type="dxa"/>
                        <w:tcMar>
                          <w:top w:w="0" w:type="dxa"/>
                          <w:left w:w="0" w:type="dxa"/>
                          <w:bottom w:w="0" w:type="dxa"/>
                          <w:right w:w="0" w:type="dxa"/>
                        </w:tcMar>
                      </w:tcPr>
                      <w:p w:rsidR="00850B27" w:rsidRPr="00DB671B" w:rsidRDefault="00850B27" w:rsidP="00DB671B">
                        <w:pPr>
                          <w:spacing w:before="20" w:after="20"/>
                          <w:jc w:val="left"/>
                          <w:rPr>
                            <w:rFonts w:cs="Arial"/>
                            <w:sz w:val="16"/>
                            <w:szCs w:val="16"/>
                          </w:rPr>
                        </w:pPr>
                        <w:r w:rsidRPr="00DB671B">
                          <w:rPr>
                            <w:rFonts w:cs="Arial"/>
                            <w:sz w:val="16"/>
                            <w:szCs w:val="16"/>
                          </w:rPr>
                          <w:t>Fennel</w:t>
                        </w:r>
                      </w:p>
                      <w:p w:rsidR="00850B27" w:rsidRPr="00DB671B" w:rsidRDefault="00850B27" w:rsidP="00DB671B">
                        <w:pPr>
                          <w:spacing w:before="20" w:after="20" w:line="1" w:lineRule="auto"/>
                          <w:jc w:val="left"/>
                        </w:pPr>
                      </w:p>
                    </w:tc>
                  </w:tr>
                </w:tbl>
                <w:p w:rsidR="00850B27" w:rsidRPr="00DB671B" w:rsidRDefault="00850B27" w:rsidP="00DB671B">
                  <w:pPr>
                    <w:spacing w:before="20" w:after="20" w:line="1" w:lineRule="auto"/>
                    <w:jc w:val="left"/>
                  </w:pPr>
                </w:p>
              </w:tc>
              <w:tc>
                <w:tcPr>
                  <w:tcW w:w="129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50B27" w:rsidRPr="00DB671B" w:rsidRDefault="00850B27" w:rsidP="00DB671B">
                  <w:pPr>
                    <w:spacing w:before="20" w:after="20"/>
                    <w:jc w:val="left"/>
                    <w:rPr>
                      <w:vanish/>
                    </w:rPr>
                  </w:pPr>
                </w:p>
                <w:tbl>
                  <w:tblPr>
                    <w:tblW w:w="1290" w:type="dxa"/>
                    <w:tblLayout w:type="fixed"/>
                    <w:tblCellMar>
                      <w:left w:w="0" w:type="dxa"/>
                      <w:right w:w="0" w:type="dxa"/>
                    </w:tblCellMar>
                    <w:tblLook w:val="01E0" w:firstRow="1" w:lastRow="1" w:firstColumn="1" w:lastColumn="1" w:noHBand="0" w:noVBand="0"/>
                  </w:tblPr>
                  <w:tblGrid>
                    <w:gridCol w:w="1290"/>
                  </w:tblGrid>
                  <w:tr w:rsidR="00DB671B" w:rsidRPr="00DB671B" w:rsidTr="00DB671B">
                    <w:tc>
                      <w:tcPr>
                        <w:tcW w:w="1290" w:type="dxa"/>
                        <w:tcMar>
                          <w:top w:w="0" w:type="dxa"/>
                          <w:left w:w="0" w:type="dxa"/>
                          <w:bottom w:w="0" w:type="dxa"/>
                          <w:right w:w="0" w:type="dxa"/>
                        </w:tcMar>
                      </w:tcPr>
                      <w:p w:rsidR="00850B27" w:rsidRPr="00DB671B" w:rsidRDefault="00850B27" w:rsidP="00DB671B">
                        <w:pPr>
                          <w:spacing w:before="20" w:after="20"/>
                          <w:jc w:val="left"/>
                          <w:rPr>
                            <w:rFonts w:cs="Arial"/>
                            <w:sz w:val="16"/>
                            <w:szCs w:val="16"/>
                          </w:rPr>
                        </w:pPr>
                        <w:r w:rsidRPr="00DB671B">
                          <w:rPr>
                            <w:rFonts w:cs="Arial"/>
                            <w:sz w:val="16"/>
                            <w:szCs w:val="16"/>
                          </w:rPr>
                          <w:t>Fenouil</w:t>
                        </w:r>
                      </w:p>
                      <w:p w:rsidR="00850B27" w:rsidRPr="00DB671B" w:rsidRDefault="00850B27" w:rsidP="00DB671B">
                        <w:pPr>
                          <w:spacing w:before="20" w:after="20" w:line="1" w:lineRule="auto"/>
                          <w:jc w:val="left"/>
                        </w:pPr>
                      </w:p>
                    </w:tc>
                  </w:tr>
                </w:tbl>
                <w:p w:rsidR="00850B27" w:rsidRPr="00DB671B" w:rsidRDefault="00850B27" w:rsidP="00DB671B">
                  <w:pPr>
                    <w:spacing w:before="20" w:after="20" w:line="1" w:lineRule="auto"/>
                    <w:jc w:val="left"/>
                  </w:pPr>
                </w:p>
              </w:tc>
              <w:tc>
                <w:tcPr>
                  <w:tcW w:w="147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50B27" w:rsidRPr="00DB671B" w:rsidRDefault="00850B27" w:rsidP="00DB671B">
                  <w:pPr>
                    <w:spacing w:before="20" w:after="20"/>
                    <w:jc w:val="left"/>
                    <w:rPr>
                      <w:vanish/>
                    </w:rPr>
                  </w:pPr>
                </w:p>
                <w:tbl>
                  <w:tblPr>
                    <w:tblW w:w="1470" w:type="dxa"/>
                    <w:tblLayout w:type="fixed"/>
                    <w:tblCellMar>
                      <w:left w:w="0" w:type="dxa"/>
                      <w:right w:w="0" w:type="dxa"/>
                    </w:tblCellMar>
                    <w:tblLook w:val="01E0" w:firstRow="1" w:lastRow="1" w:firstColumn="1" w:lastColumn="1" w:noHBand="0" w:noVBand="0"/>
                  </w:tblPr>
                  <w:tblGrid>
                    <w:gridCol w:w="1470"/>
                  </w:tblGrid>
                  <w:tr w:rsidR="00DB671B" w:rsidRPr="00DB671B" w:rsidTr="00DB671B">
                    <w:tc>
                      <w:tcPr>
                        <w:tcW w:w="1470" w:type="dxa"/>
                        <w:tcMar>
                          <w:top w:w="0" w:type="dxa"/>
                          <w:left w:w="0" w:type="dxa"/>
                          <w:bottom w:w="0" w:type="dxa"/>
                          <w:right w:w="0" w:type="dxa"/>
                        </w:tcMar>
                      </w:tcPr>
                      <w:p w:rsidR="00850B27" w:rsidRPr="00DB671B" w:rsidRDefault="00850B27" w:rsidP="00DB671B">
                        <w:pPr>
                          <w:spacing w:before="20" w:after="20"/>
                          <w:jc w:val="left"/>
                          <w:rPr>
                            <w:rFonts w:cs="Arial"/>
                            <w:sz w:val="16"/>
                            <w:szCs w:val="16"/>
                          </w:rPr>
                        </w:pPr>
                        <w:r w:rsidRPr="00DB671B">
                          <w:rPr>
                            <w:rFonts w:cs="Arial"/>
                            <w:sz w:val="16"/>
                            <w:szCs w:val="16"/>
                          </w:rPr>
                          <w:t>Fenchel</w:t>
                        </w:r>
                      </w:p>
                      <w:p w:rsidR="00850B27" w:rsidRPr="00DB671B" w:rsidRDefault="00850B27" w:rsidP="00DB671B">
                        <w:pPr>
                          <w:spacing w:before="20" w:after="20" w:line="1" w:lineRule="auto"/>
                          <w:jc w:val="left"/>
                        </w:pPr>
                      </w:p>
                    </w:tc>
                  </w:tr>
                </w:tbl>
                <w:p w:rsidR="00850B27" w:rsidRPr="00DB671B" w:rsidRDefault="00850B27" w:rsidP="00DB671B">
                  <w:pPr>
                    <w:spacing w:before="20" w:after="20" w:line="1" w:lineRule="auto"/>
                    <w:jc w:val="left"/>
                  </w:pPr>
                </w:p>
              </w:tc>
              <w:tc>
                <w:tcPr>
                  <w:tcW w:w="13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50B27" w:rsidRPr="00DB671B" w:rsidRDefault="00850B27" w:rsidP="00DB671B">
                  <w:pPr>
                    <w:spacing w:before="20" w:after="20"/>
                    <w:jc w:val="left"/>
                    <w:rPr>
                      <w:vanish/>
                    </w:rPr>
                  </w:pPr>
                </w:p>
                <w:tbl>
                  <w:tblPr>
                    <w:tblW w:w="1365" w:type="dxa"/>
                    <w:tblLayout w:type="fixed"/>
                    <w:tblCellMar>
                      <w:left w:w="0" w:type="dxa"/>
                      <w:right w:w="0" w:type="dxa"/>
                    </w:tblCellMar>
                    <w:tblLook w:val="01E0" w:firstRow="1" w:lastRow="1" w:firstColumn="1" w:lastColumn="1" w:noHBand="0" w:noVBand="0"/>
                  </w:tblPr>
                  <w:tblGrid>
                    <w:gridCol w:w="1365"/>
                  </w:tblGrid>
                  <w:tr w:rsidR="00DB671B" w:rsidRPr="00DB671B" w:rsidTr="00DB671B">
                    <w:tc>
                      <w:tcPr>
                        <w:tcW w:w="1365" w:type="dxa"/>
                        <w:tcMar>
                          <w:top w:w="0" w:type="dxa"/>
                          <w:left w:w="0" w:type="dxa"/>
                          <w:bottom w:w="0" w:type="dxa"/>
                          <w:right w:w="0" w:type="dxa"/>
                        </w:tcMar>
                      </w:tcPr>
                      <w:p w:rsidR="00850B27" w:rsidRPr="00DB671B" w:rsidRDefault="00850B27" w:rsidP="00DB671B">
                        <w:pPr>
                          <w:spacing w:before="20" w:after="20"/>
                          <w:jc w:val="left"/>
                          <w:rPr>
                            <w:rFonts w:cs="Arial"/>
                            <w:sz w:val="16"/>
                            <w:szCs w:val="16"/>
                          </w:rPr>
                        </w:pPr>
                        <w:r w:rsidRPr="00DB671B">
                          <w:rPr>
                            <w:rFonts w:cs="Arial"/>
                            <w:sz w:val="16"/>
                            <w:szCs w:val="16"/>
                          </w:rPr>
                          <w:t>Hinojo</w:t>
                        </w:r>
                      </w:p>
                      <w:p w:rsidR="00850B27" w:rsidRPr="00DB671B" w:rsidRDefault="00850B27" w:rsidP="00DB671B">
                        <w:pPr>
                          <w:spacing w:before="20" w:after="20" w:line="1" w:lineRule="auto"/>
                          <w:jc w:val="left"/>
                        </w:pPr>
                      </w:p>
                    </w:tc>
                  </w:tr>
                </w:tbl>
                <w:p w:rsidR="00850B27" w:rsidRPr="00DB671B" w:rsidRDefault="00850B27" w:rsidP="00DB671B">
                  <w:pPr>
                    <w:spacing w:before="20" w:after="20" w:line="1" w:lineRule="auto"/>
                    <w:jc w:val="left"/>
                  </w:pPr>
                </w:p>
              </w:tc>
              <w:tc>
                <w:tcPr>
                  <w:tcW w:w="14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50B27" w:rsidRPr="00DB671B" w:rsidRDefault="00850B27" w:rsidP="00DB671B">
                  <w:pPr>
                    <w:spacing w:before="20" w:after="20"/>
                    <w:jc w:val="left"/>
                    <w:rPr>
                      <w:vanish/>
                    </w:rPr>
                  </w:pPr>
                </w:p>
                <w:tbl>
                  <w:tblPr>
                    <w:tblW w:w="1455" w:type="dxa"/>
                    <w:tblLayout w:type="fixed"/>
                    <w:tblCellMar>
                      <w:left w:w="0" w:type="dxa"/>
                      <w:right w:w="0" w:type="dxa"/>
                    </w:tblCellMar>
                    <w:tblLook w:val="01E0" w:firstRow="1" w:lastRow="1" w:firstColumn="1" w:lastColumn="1" w:noHBand="0" w:noVBand="0"/>
                  </w:tblPr>
                  <w:tblGrid>
                    <w:gridCol w:w="1455"/>
                  </w:tblGrid>
                  <w:tr w:rsidR="00DB671B" w:rsidRPr="00DB671B" w:rsidTr="00DB671B">
                    <w:tc>
                      <w:tcPr>
                        <w:tcW w:w="1455" w:type="dxa"/>
                        <w:tcMar>
                          <w:top w:w="0" w:type="dxa"/>
                          <w:left w:w="0" w:type="dxa"/>
                          <w:bottom w:w="0" w:type="dxa"/>
                          <w:right w:w="0" w:type="dxa"/>
                        </w:tcMar>
                      </w:tcPr>
                      <w:p w:rsidR="00850B27" w:rsidRPr="00DB671B" w:rsidRDefault="00850B27" w:rsidP="00DB671B">
                        <w:pPr>
                          <w:spacing w:before="20" w:after="20"/>
                          <w:jc w:val="left"/>
                          <w:rPr>
                            <w:rFonts w:cs="Arial"/>
                            <w:sz w:val="16"/>
                            <w:szCs w:val="16"/>
                          </w:rPr>
                        </w:pPr>
                        <w:r w:rsidRPr="00DB671B">
                          <w:rPr>
                            <w:rStyle w:val="Emphasis"/>
                            <w:rFonts w:cs="Arial"/>
                            <w:sz w:val="16"/>
                            <w:szCs w:val="16"/>
                          </w:rPr>
                          <w:t>Foeniculum vulgare</w:t>
                        </w:r>
                        <w:r w:rsidRPr="00DB671B">
                          <w:rPr>
                            <w:rFonts w:cs="Arial"/>
                            <w:sz w:val="16"/>
                            <w:szCs w:val="16"/>
                          </w:rPr>
                          <w:t> Mill.</w:t>
                        </w:r>
                      </w:p>
                      <w:p w:rsidR="00850B27" w:rsidRPr="00DB671B" w:rsidRDefault="00850B27" w:rsidP="00DB671B">
                        <w:pPr>
                          <w:spacing w:before="20" w:after="20" w:line="1" w:lineRule="auto"/>
                          <w:jc w:val="left"/>
                        </w:pPr>
                      </w:p>
                    </w:tc>
                  </w:tr>
                </w:tbl>
                <w:p w:rsidR="00850B27" w:rsidRPr="00DB671B" w:rsidRDefault="00850B27" w:rsidP="00DB671B">
                  <w:pPr>
                    <w:spacing w:before="20" w:after="20" w:line="1" w:lineRule="auto"/>
                    <w:jc w:val="left"/>
                  </w:pPr>
                </w:p>
              </w:tc>
            </w:tr>
          </w:tbl>
          <w:p w:rsidR="00850B27" w:rsidRPr="00DB671B" w:rsidRDefault="00850B27" w:rsidP="00DB671B">
            <w:pPr>
              <w:spacing w:line="1" w:lineRule="auto"/>
            </w:pPr>
          </w:p>
        </w:tc>
      </w:tr>
      <w:tr w:rsidR="00DB671B" w:rsidRPr="00DB671B" w:rsidTr="00DB671B">
        <w:tc>
          <w:tcPr>
            <w:tcW w:w="10080" w:type="dxa"/>
            <w:tcMar>
              <w:top w:w="0" w:type="dxa"/>
              <w:left w:w="0" w:type="dxa"/>
              <w:bottom w:w="0" w:type="dxa"/>
              <w:right w:w="0" w:type="dxa"/>
            </w:tcMar>
          </w:tcPr>
          <w:p w:rsidR="00850B27" w:rsidRPr="00DB671B" w:rsidRDefault="00850B27" w:rsidP="00DB671B">
            <w:pPr>
              <w:rPr>
                <w:rFonts w:eastAsia="Arial" w:cs="Arial"/>
              </w:rPr>
            </w:pPr>
            <w:r w:rsidRPr="00DB671B">
              <w:rPr>
                <w:rFonts w:eastAsia="Arial" w:cs="Arial"/>
              </w:rPr>
              <w:t xml:space="preserve">  </w:t>
            </w:r>
          </w:p>
        </w:tc>
      </w:tr>
      <w:tr w:rsidR="00850B27" w:rsidRPr="00DB671B" w:rsidTr="00DB671B">
        <w:tc>
          <w:tcPr>
            <w:tcW w:w="10080" w:type="dxa"/>
            <w:tcMar>
              <w:top w:w="0" w:type="dxa"/>
              <w:left w:w="0" w:type="dxa"/>
              <w:bottom w:w="0" w:type="dxa"/>
              <w:right w:w="0" w:type="dxa"/>
            </w:tcMar>
          </w:tcPr>
          <w:p w:rsidR="00850B27" w:rsidRPr="00DB671B" w:rsidRDefault="00850B27" w:rsidP="00DB671B">
            <w:r w:rsidRPr="00DB671B">
              <w:rPr>
                <w:rFonts w:eastAsia="Arial" w:cs="Arial"/>
                <w:sz w:val="16"/>
                <w:szCs w:val="16"/>
                <w:u w:val="single"/>
              </w:rPr>
              <w:t>PARTIAL REVISIONS OF TEST GUIDELINES / RÉVISIONS PARTIELLES DE PRINCIPES DIRECTEURS D’EXAMEN ADOPTÉS /</w:t>
            </w:r>
            <w:r w:rsidRPr="00DB671B">
              <w:rPr>
                <w:rFonts w:eastAsia="Arial" w:cs="Arial"/>
                <w:sz w:val="16"/>
                <w:szCs w:val="16"/>
                <w:u w:val="single"/>
              </w:rPr>
              <w:br/>
              <w:t>TEILREVISIONEN ANGENOMMENER PRÜFUNGSRICHTLINIEN / REVISIONES PARCIALES DE DIRECTRICES DE EXAMEN ADOPTADAS</w:t>
            </w:r>
          </w:p>
          <w:p w:rsidR="00850B27" w:rsidRPr="00DB671B" w:rsidRDefault="00850B27" w:rsidP="00DB671B"/>
          <w:tbl>
            <w:tblPr>
              <w:tblW w:w="990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539"/>
              <w:gridCol w:w="727"/>
              <w:gridCol w:w="1434"/>
              <w:gridCol w:w="1545"/>
              <w:gridCol w:w="1230"/>
              <w:gridCol w:w="1560"/>
              <w:gridCol w:w="1320"/>
              <w:gridCol w:w="1545"/>
            </w:tblGrid>
            <w:tr w:rsidR="00DB671B" w:rsidRPr="00DB671B" w:rsidTr="00DB671B">
              <w:tc>
                <w:tcPr>
                  <w:tcW w:w="5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540" w:type="dxa"/>
                    <w:tblLayout w:type="fixed"/>
                    <w:tblCellMar>
                      <w:left w:w="0" w:type="dxa"/>
                      <w:right w:w="0" w:type="dxa"/>
                    </w:tblCellMar>
                    <w:tblLook w:val="01E0" w:firstRow="1" w:lastRow="1" w:firstColumn="1" w:lastColumn="1" w:noHBand="0" w:noVBand="0"/>
                  </w:tblPr>
                  <w:tblGrid>
                    <w:gridCol w:w="540"/>
                  </w:tblGrid>
                  <w:tr w:rsidR="00DB671B" w:rsidRPr="00DB671B" w:rsidTr="00DB671B">
                    <w:tc>
                      <w:tcPr>
                        <w:tcW w:w="540" w:type="dxa"/>
                        <w:tcMar>
                          <w:top w:w="0" w:type="dxa"/>
                          <w:left w:w="0" w:type="dxa"/>
                          <w:bottom w:w="0" w:type="dxa"/>
                          <w:right w:w="0" w:type="dxa"/>
                        </w:tcMar>
                      </w:tcPr>
                      <w:p w:rsidR="00850B27" w:rsidRPr="00DB671B" w:rsidRDefault="00850B27" w:rsidP="00DB671B">
                        <w:pPr>
                          <w:spacing w:before="20" w:after="20"/>
                          <w:rPr>
                            <w:rFonts w:cs="Arial"/>
                            <w:sz w:val="16"/>
                            <w:szCs w:val="16"/>
                          </w:rPr>
                        </w:pPr>
                        <w:r w:rsidRPr="00DB671B">
                          <w:rPr>
                            <w:rFonts w:cs="Arial"/>
                            <w:sz w:val="16"/>
                            <w:szCs w:val="16"/>
                          </w:rPr>
                          <w:t>NL</w:t>
                        </w:r>
                      </w:p>
                      <w:p w:rsidR="00850B27" w:rsidRPr="00DB671B" w:rsidRDefault="00850B27" w:rsidP="00DB671B">
                        <w:pPr>
                          <w:spacing w:before="20" w:after="20" w:line="1" w:lineRule="auto"/>
                        </w:pPr>
                      </w:p>
                    </w:tc>
                  </w:tr>
                </w:tbl>
                <w:p w:rsidR="00850B27" w:rsidRPr="00DB671B" w:rsidRDefault="00850B27" w:rsidP="00DB671B">
                  <w:pPr>
                    <w:spacing w:before="20" w:after="20" w:line="1" w:lineRule="auto"/>
                  </w:pPr>
                </w:p>
              </w:tc>
              <w:tc>
                <w:tcPr>
                  <w:tcW w:w="72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50B27" w:rsidRPr="00DB671B" w:rsidRDefault="00850B27" w:rsidP="00DB671B">
                  <w:pPr>
                    <w:spacing w:before="20" w:after="20"/>
                    <w:jc w:val="left"/>
                    <w:rPr>
                      <w:vanish/>
                    </w:rPr>
                  </w:pPr>
                </w:p>
                <w:tbl>
                  <w:tblPr>
                    <w:tblW w:w="975" w:type="dxa"/>
                    <w:tblLayout w:type="fixed"/>
                    <w:tblCellMar>
                      <w:left w:w="0" w:type="dxa"/>
                      <w:right w:w="0" w:type="dxa"/>
                    </w:tblCellMar>
                    <w:tblLook w:val="01E0" w:firstRow="1" w:lastRow="1" w:firstColumn="1" w:lastColumn="1" w:noHBand="0" w:noVBand="0"/>
                  </w:tblPr>
                  <w:tblGrid>
                    <w:gridCol w:w="975"/>
                  </w:tblGrid>
                  <w:tr w:rsidR="00DB671B" w:rsidRPr="00DB671B" w:rsidTr="00DB671B">
                    <w:tc>
                      <w:tcPr>
                        <w:tcW w:w="975" w:type="dxa"/>
                        <w:tcMar>
                          <w:top w:w="0" w:type="dxa"/>
                          <w:left w:w="0" w:type="dxa"/>
                          <w:bottom w:w="0" w:type="dxa"/>
                          <w:right w:w="0" w:type="dxa"/>
                        </w:tcMar>
                      </w:tcPr>
                      <w:p w:rsidR="00850B27" w:rsidRPr="00DB671B" w:rsidRDefault="00850B27" w:rsidP="00DB671B">
                        <w:pPr>
                          <w:spacing w:before="20" w:after="20"/>
                          <w:jc w:val="left"/>
                          <w:rPr>
                            <w:rFonts w:cs="Arial"/>
                            <w:sz w:val="16"/>
                            <w:szCs w:val="16"/>
                          </w:rPr>
                        </w:pPr>
                        <w:r w:rsidRPr="00DB671B">
                          <w:rPr>
                            <w:rFonts w:cs="Arial"/>
                            <w:sz w:val="16"/>
                            <w:szCs w:val="16"/>
                          </w:rPr>
                          <w:t>TWV</w:t>
                        </w:r>
                      </w:p>
                      <w:p w:rsidR="00850B27" w:rsidRPr="00DB671B" w:rsidRDefault="00850B27" w:rsidP="00DB671B">
                        <w:pPr>
                          <w:spacing w:before="20" w:after="20" w:line="1" w:lineRule="auto"/>
                          <w:jc w:val="left"/>
                        </w:pPr>
                      </w:p>
                    </w:tc>
                  </w:tr>
                </w:tbl>
                <w:p w:rsidR="00850B27" w:rsidRPr="00DB671B" w:rsidRDefault="00850B27" w:rsidP="00DB671B">
                  <w:pPr>
                    <w:spacing w:before="20" w:after="20" w:line="1" w:lineRule="auto"/>
                    <w:jc w:val="left"/>
                  </w:pPr>
                </w:p>
              </w:tc>
              <w:tc>
                <w:tcPr>
                  <w:tcW w:w="14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50B27" w:rsidRPr="00DB671B" w:rsidRDefault="00850B27" w:rsidP="00DB671B">
                  <w:pPr>
                    <w:spacing w:before="20" w:after="20"/>
                    <w:ind w:right="-13"/>
                    <w:jc w:val="left"/>
                    <w:rPr>
                      <w:vanish/>
                    </w:rPr>
                  </w:pPr>
                </w:p>
                <w:tbl>
                  <w:tblPr>
                    <w:tblW w:w="1413" w:type="dxa"/>
                    <w:tblLayout w:type="fixed"/>
                    <w:tblCellMar>
                      <w:left w:w="0" w:type="dxa"/>
                      <w:right w:w="0" w:type="dxa"/>
                    </w:tblCellMar>
                    <w:tblLook w:val="01E0" w:firstRow="1" w:lastRow="1" w:firstColumn="1" w:lastColumn="1" w:noHBand="0" w:noVBand="0"/>
                  </w:tblPr>
                  <w:tblGrid>
                    <w:gridCol w:w="1413"/>
                  </w:tblGrid>
                  <w:tr w:rsidR="00DB671B" w:rsidRPr="00DB671B" w:rsidTr="00DB671B">
                    <w:tc>
                      <w:tcPr>
                        <w:tcW w:w="1413" w:type="dxa"/>
                        <w:tcMar>
                          <w:top w:w="0" w:type="dxa"/>
                          <w:left w:w="0" w:type="dxa"/>
                          <w:bottom w:w="0" w:type="dxa"/>
                          <w:right w:w="0" w:type="dxa"/>
                        </w:tcMar>
                      </w:tcPr>
                      <w:p w:rsidR="00850B27" w:rsidRPr="00DB671B" w:rsidRDefault="00850B27" w:rsidP="00DB671B">
                        <w:pPr>
                          <w:spacing w:before="20" w:after="20"/>
                          <w:ind w:right="-13"/>
                          <w:jc w:val="left"/>
                          <w:rPr>
                            <w:rFonts w:cs="Arial"/>
                            <w:sz w:val="16"/>
                            <w:szCs w:val="16"/>
                          </w:rPr>
                        </w:pPr>
                        <w:r w:rsidRPr="00DB671B">
                          <w:rPr>
                            <w:rFonts w:cs="Arial"/>
                            <w:sz w:val="16"/>
                            <w:szCs w:val="16"/>
                          </w:rPr>
                          <w:t>TG/44/11 Rev. 3 (proj.2)</w:t>
                        </w:r>
                      </w:p>
                      <w:p w:rsidR="00850B27" w:rsidRPr="00DB671B" w:rsidRDefault="00850B27" w:rsidP="00DB671B">
                        <w:pPr>
                          <w:spacing w:before="20" w:after="20" w:line="1" w:lineRule="auto"/>
                          <w:ind w:right="-13"/>
                          <w:jc w:val="left"/>
                        </w:pPr>
                      </w:p>
                    </w:tc>
                  </w:tr>
                </w:tbl>
                <w:p w:rsidR="00850B27" w:rsidRPr="00DB671B" w:rsidRDefault="00850B27" w:rsidP="00DB671B">
                  <w:pPr>
                    <w:spacing w:before="20" w:after="20" w:line="1" w:lineRule="auto"/>
                    <w:ind w:right="-13"/>
                    <w:jc w:val="left"/>
                  </w:pPr>
                </w:p>
              </w:tc>
              <w:tc>
                <w:tcPr>
                  <w:tcW w:w="15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50B27" w:rsidRPr="00DB671B" w:rsidRDefault="00850B27" w:rsidP="00DB671B">
                  <w:pPr>
                    <w:spacing w:before="20" w:after="20"/>
                    <w:jc w:val="left"/>
                    <w:rPr>
                      <w:vanish/>
                    </w:rPr>
                  </w:pPr>
                </w:p>
                <w:tbl>
                  <w:tblPr>
                    <w:tblW w:w="1545" w:type="dxa"/>
                    <w:tblLayout w:type="fixed"/>
                    <w:tblCellMar>
                      <w:left w:w="0" w:type="dxa"/>
                      <w:right w:w="0" w:type="dxa"/>
                    </w:tblCellMar>
                    <w:tblLook w:val="01E0" w:firstRow="1" w:lastRow="1" w:firstColumn="1" w:lastColumn="1" w:noHBand="0" w:noVBand="0"/>
                  </w:tblPr>
                  <w:tblGrid>
                    <w:gridCol w:w="1545"/>
                  </w:tblGrid>
                  <w:tr w:rsidR="00DB671B" w:rsidRPr="00DB671B" w:rsidTr="00DB671B">
                    <w:tc>
                      <w:tcPr>
                        <w:tcW w:w="1545" w:type="dxa"/>
                        <w:tcMar>
                          <w:top w:w="0" w:type="dxa"/>
                          <w:left w:w="0" w:type="dxa"/>
                          <w:bottom w:w="0" w:type="dxa"/>
                          <w:right w:w="0" w:type="dxa"/>
                        </w:tcMar>
                      </w:tcPr>
                      <w:p w:rsidR="00850B27" w:rsidRPr="00DB671B" w:rsidRDefault="00850B27" w:rsidP="00DB671B">
                        <w:pPr>
                          <w:spacing w:before="20" w:after="20"/>
                          <w:jc w:val="left"/>
                          <w:rPr>
                            <w:rFonts w:cs="Arial"/>
                            <w:sz w:val="16"/>
                            <w:szCs w:val="16"/>
                          </w:rPr>
                        </w:pPr>
                        <w:r w:rsidRPr="00DB671B">
                          <w:rPr>
                            <w:rFonts w:cs="Arial"/>
                            <w:sz w:val="16"/>
                            <w:szCs w:val="16"/>
                          </w:rPr>
                          <w:t>Tomato</w:t>
                        </w:r>
                      </w:p>
                      <w:p w:rsidR="00850B27" w:rsidRPr="00DB671B" w:rsidRDefault="00850B27" w:rsidP="00DB671B">
                        <w:pPr>
                          <w:spacing w:before="20" w:after="20" w:line="1" w:lineRule="auto"/>
                          <w:jc w:val="left"/>
                        </w:pPr>
                      </w:p>
                    </w:tc>
                  </w:tr>
                </w:tbl>
                <w:p w:rsidR="00850B27" w:rsidRPr="00DB671B" w:rsidRDefault="00850B27" w:rsidP="00DB671B">
                  <w:pPr>
                    <w:spacing w:before="20" w:after="20" w:line="1" w:lineRule="auto"/>
                    <w:jc w:val="left"/>
                  </w:pPr>
                </w:p>
              </w:tc>
              <w:tc>
                <w:tcPr>
                  <w:tcW w:w="12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50B27" w:rsidRPr="00DB671B" w:rsidRDefault="00850B27" w:rsidP="00DB671B">
                  <w:pPr>
                    <w:spacing w:before="20" w:after="20"/>
                    <w:jc w:val="left"/>
                    <w:rPr>
                      <w:rFonts w:cs="Arial"/>
                      <w:sz w:val="16"/>
                      <w:szCs w:val="16"/>
                    </w:rPr>
                  </w:pPr>
                  <w:r w:rsidRPr="00DB671B">
                    <w:rPr>
                      <w:rFonts w:cs="Arial"/>
                      <w:sz w:val="16"/>
                      <w:szCs w:val="16"/>
                    </w:rPr>
                    <w:t>Tomato</w:t>
                  </w:r>
                </w:p>
                <w:p w:rsidR="00850B27" w:rsidRPr="00DB671B" w:rsidRDefault="00850B27" w:rsidP="00DB671B">
                  <w:pPr>
                    <w:spacing w:before="20" w:after="20"/>
                    <w:jc w:val="left"/>
                    <w:rPr>
                      <w:rFonts w:cs="Arial"/>
                      <w:sz w:val="16"/>
                      <w:szCs w:val="16"/>
                    </w:rPr>
                  </w:pPr>
                </w:p>
                <w:tbl>
                  <w:tblPr>
                    <w:tblW w:w="1230" w:type="dxa"/>
                    <w:tblLayout w:type="fixed"/>
                    <w:tblCellMar>
                      <w:left w:w="0" w:type="dxa"/>
                      <w:right w:w="0" w:type="dxa"/>
                    </w:tblCellMar>
                    <w:tblLook w:val="01E0" w:firstRow="1" w:lastRow="1" w:firstColumn="1" w:lastColumn="1" w:noHBand="0" w:noVBand="0"/>
                  </w:tblPr>
                  <w:tblGrid>
                    <w:gridCol w:w="1230"/>
                  </w:tblGrid>
                  <w:tr w:rsidR="00DB671B" w:rsidRPr="00DB671B" w:rsidTr="00DB671B">
                    <w:tc>
                      <w:tcPr>
                        <w:tcW w:w="1230" w:type="dxa"/>
                        <w:tcMar>
                          <w:top w:w="0" w:type="dxa"/>
                          <w:left w:w="0" w:type="dxa"/>
                          <w:bottom w:w="0" w:type="dxa"/>
                          <w:right w:w="0" w:type="dxa"/>
                        </w:tcMar>
                      </w:tcPr>
                      <w:p w:rsidR="00850B27" w:rsidRPr="00DB671B" w:rsidRDefault="00850B27" w:rsidP="00DB671B">
                        <w:pPr>
                          <w:spacing w:before="20" w:after="20"/>
                          <w:jc w:val="left"/>
                          <w:rPr>
                            <w:rFonts w:cs="Arial"/>
                            <w:sz w:val="16"/>
                            <w:szCs w:val="16"/>
                          </w:rPr>
                        </w:pPr>
                      </w:p>
                    </w:tc>
                  </w:tr>
                </w:tbl>
                <w:p w:rsidR="00850B27" w:rsidRPr="00DB671B" w:rsidRDefault="00850B27" w:rsidP="00DB671B">
                  <w:pPr>
                    <w:spacing w:before="20" w:after="20"/>
                    <w:jc w:val="left"/>
                    <w:rPr>
                      <w:rFonts w:cs="Arial"/>
                      <w:sz w:val="16"/>
                      <w:szCs w:val="16"/>
                    </w:rPr>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50B27" w:rsidRPr="00DB671B" w:rsidRDefault="00850B27" w:rsidP="00DB671B">
                  <w:pPr>
                    <w:spacing w:before="20" w:after="20"/>
                    <w:jc w:val="left"/>
                    <w:rPr>
                      <w:rFonts w:cs="Arial"/>
                      <w:sz w:val="16"/>
                      <w:szCs w:val="16"/>
                    </w:rPr>
                  </w:pPr>
                  <w:r w:rsidRPr="00DB671B">
                    <w:rPr>
                      <w:rFonts w:cs="Arial"/>
                      <w:sz w:val="16"/>
                      <w:szCs w:val="16"/>
                    </w:rPr>
                    <w:t>Tomato</w:t>
                  </w:r>
                </w:p>
                <w:p w:rsidR="00850B27" w:rsidRPr="00DB671B" w:rsidRDefault="00850B27" w:rsidP="00DB671B">
                  <w:pPr>
                    <w:spacing w:before="20" w:after="20"/>
                    <w:jc w:val="left"/>
                    <w:rPr>
                      <w:rFonts w:cs="Arial"/>
                      <w:sz w:val="16"/>
                      <w:szCs w:val="16"/>
                    </w:rPr>
                  </w:pPr>
                </w:p>
                <w:tbl>
                  <w:tblPr>
                    <w:tblW w:w="1560" w:type="dxa"/>
                    <w:tblLayout w:type="fixed"/>
                    <w:tblCellMar>
                      <w:left w:w="0" w:type="dxa"/>
                      <w:right w:w="0" w:type="dxa"/>
                    </w:tblCellMar>
                    <w:tblLook w:val="01E0" w:firstRow="1" w:lastRow="1" w:firstColumn="1" w:lastColumn="1" w:noHBand="0" w:noVBand="0"/>
                  </w:tblPr>
                  <w:tblGrid>
                    <w:gridCol w:w="1560"/>
                  </w:tblGrid>
                  <w:tr w:rsidR="00DB671B" w:rsidRPr="00DB671B" w:rsidTr="00DB671B">
                    <w:tc>
                      <w:tcPr>
                        <w:tcW w:w="1560" w:type="dxa"/>
                        <w:tcMar>
                          <w:top w:w="0" w:type="dxa"/>
                          <w:left w:w="0" w:type="dxa"/>
                          <w:bottom w:w="0" w:type="dxa"/>
                          <w:right w:w="0" w:type="dxa"/>
                        </w:tcMar>
                      </w:tcPr>
                      <w:p w:rsidR="00850B27" w:rsidRPr="00DB671B" w:rsidRDefault="00850B27" w:rsidP="00DB671B">
                        <w:pPr>
                          <w:spacing w:before="20" w:after="20"/>
                          <w:jc w:val="left"/>
                          <w:rPr>
                            <w:rFonts w:cs="Arial"/>
                            <w:sz w:val="16"/>
                            <w:szCs w:val="16"/>
                          </w:rPr>
                        </w:pPr>
                      </w:p>
                    </w:tc>
                  </w:tr>
                </w:tbl>
                <w:p w:rsidR="00850B27" w:rsidRPr="00DB671B" w:rsidRDefault="00850B27" w:rsidP="00DB671B">
                  <w:pPr>
                    <w:spacing w:before="20" w:after="20"/>
                    <w:jc w:val="left"/>
                    <w:rPr>
                      <w:rFonts w:cs="Arial"/>
                      <w:sz w:val="16"/>
                      <w:szCs w:val="16"/>
                    </w:rPr>
                  </w:pPr>
                </w:p>
              </w:tc>
              <w:tc>
                <w:tcPr>
                  <w:tcW w:w="13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50B27" w:rsidRPr="00DB671B" w:rsidRDefault="00850B27" w:rsidP="00DB671B">
                  <w:pPr>
                    <w:spacing w:before="20" w:after="20"/>
                    <w:jc w:val="left"/>
                    <w:rPr>
                      <w:rFonts w:cs="Arial"/>
                      <w:sz w:val="16"/>
                      <w:szCs w:val="16"/>
                    </w:rPr>
                  </w:pPr>
                  <w:r w:rsidRPr="00DB671B">
                    <w:rPr>
                      <w:rFonts w:cs="Arial"/>
                      <w:sz w:val="16"/>
                      <w:szCs w:val="16"/>
                    </w:rPr>
                    <w:t>Tomato</w:t>
                  </w:r>
                </w:p>
                <w:p w:rsidR="00850B27" w:rsidRPr="00DB671B" w:rsidRDefault="00850B27" w:rsidP="00DB671B">
                  <w:pPr>
                    <w:spacing w:before="20" w:after="20"/>
                    <w:jc w:val="left"/>
                    <w:rPr>
                      <w:rFonts w:cs="Arial"/>
                      <w:sz w:val="16"/>
                      <w:szCs w:val="16"/>
                    </w:rPr>
                  </w:pPr>
                </w:p>
                <w:tbl>
                  <w:tblPr>
                    <w:tblW w:w="1320" w:type="dxa"/>
                    <w:tblLayout w:type="fixed"/>
                    <w:tblCellMar>
                      <w:left w:w="0" w:type="dxa"/>
                      <w:right w:w="0" w:type="dxa"/>
                    </w:tblCellMar>
                    <w:tblLook w:val="01E0" w:firstRow="1" w:lastRow="1" w:firstColumn="1" w:lastColumn="1" w:noHBand="0" w:noVBand="0"/>
                  </w:tblPr>
                  <w:tblGrid>
                    <w:gridCol w:w="1320"/>
                  </w:tblGrid>
                  <w:tr w:rsidR="00DB671B" w:rsidRPr="00DB671B" w:rsidTr="00DB671B">
                    <w:tc>
                      <w:tcPr>
                        <w:tcW w:w="1320" w:type="dxa"/>
                        <w:tcMar>
                          <w:top w:w="0" w:type="dxa"/>
                          <w:left w:w="0" w:type="dxa"/>
                          <w:bottom w:w="0" w:type="dxa"/>
                          <w:right w:w="0" w:type="dxa"/>
                        </w:tcMar>
                      </w:tcPr>
                      <w:p w:rsidR="00850B27" w:rsidRPr="00DB671B" w:rsidRDefault="00850B27" w:rsidP="00DB671B">
                        <w:pPr>
                          <w:spacing w:before="20" w:after="20"/>
                          <w:jc w:val="left"/>
                          <w:rPr>
                            <w:rFonts w:cs="Arial"/>
                            <w:sz w:val="16"/>
                            <w:szCs w:val="16"/>
                          </w:rPr>
                        </w:pPr>
                      </w:p>
                    </w:tc>
                  </w:tr>
                </w:tbl>
                <w:p w:rsidR="00850B27" w:rsidRPr="00DB671B" w:rsidRDefault="00850B27" w:rsidP="00DB671B">
                  <w:pPr>
                    <w:spacing w:before="20" w:after="20"/>
                    <w:jc w:val="left"/>
                    <w:rPr>
                      <w:rFonts w:cs="Arial"/>
                      <w:sz w:val="16"/>
                      <w:szCs w:val="16"/>
                    </w:rPr>
                  </w:pPr>
                </w:p>
              </w:tc>
              <w:tc>
                <w:tcPr>
                  <w:tcW w:w="15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50B27" w:rsidRPr="00DB671B" w:rsidRDefault="00850B27" w:rsidP="00DB671B">
                  <w:pPr>
                    <w:spacing w:before="20" w:after="20"/>
                    <w:jc w:val="left"/>
                    <w:rPr>
                      <w:vanish/>
                    </w:rPr>
                  </w:pPr>
                </w:p>
                <w:tbl>
                  <w:tblPr>
                    <w:tblW w:w="1545" w:type="dxa"/>
                    <w:tblLayout w:type="fixed"/>
                    <w:tblCellMar>
                      <w:left w:w="0" w:type="dxa"/>
                      <w:right w:w="0" w:type="dxa"/>
                    </w:tblCellMar>
                    <w:tblLook w:val="01E0" w:firstRow="1" w:lastRow="1" w:firstColumn="1" w:lastColumn="1" w:noHBand="0" w:noVBand="0"/>
                  </w:tblPr>
                  <w:tblGrid>
                    <w:gridCol w:w="1545"/>
                  </w:tblGrid>
                  <w:tr w:rsidR="00DB671B" w:rsidRPr="00DB671B" w:rsidTr="00DB671B">
                    <w:tc>
                      <w:tcPr>
                        <w:tcW w:w="1545" w:type="dxa"/>
                        <w:tcMar>
                          <w:top w:w="0" w:type="dxa"/>
                          <w:left w:w="0" w:type="dxa"/>
                          <w:bottom w:w="0" w:type="dxa"/>
                          <w:right w:w="0" w:type="dxa"/>
                        </w:tcMar>
                      </w:tcPr>
                      <w:p w:rsidR="00850B27" w:rsidRPr="00DB671B" w:rsidRDefault="00850B27" w:rsidP="00DB671B">
                        <w:pPr>
                          <w:spacing w:before="20" w:after="20"/>
                          <w:jc w:val="left"/>
                          <w:rPr>
                            <w:rFonts w:cs="Arial"/>
                            <w:sz w:val="16"/>
                            <w:szCs w:val="16"/>
                          </w:rPr>
                        </w:pPr>
                        <w:r w:rsidRPr="00DB671B">
                          <w:rPr>
                            <w:rStyle w:val="Emphasis"/>
                            <w:rFonts w:cs="Arial"/>
                            <w:sz w:val="16"/>
                            <w:szCs w:val="16"/>
                          </w:rPr>
                          <w:t>Solanum lycopersicum</w:t>
                        </w:r>
                        <w:r w:rsidRPr="00DB671B">
                          <w:rPr>
                            <w:rFonts w:cs="Arial"/>
                            <w:sz w:val="16"/>
                            <w:szCs w:val="16"/>
                          </w:rPr>
                          <w:t> L.</w:t>
                        </w:r>
                      </w:p>
                      <w:p w:rsidR="00850B27" w:rsidRPr="00DB671B" w:rsidRDefault="00850B27" w:rsidP="00DB671B">
                        <w:pPr>
                          <w:spacing w:before="20" w:after="20" w:line="1" w:lineRule="auto"/>
                          <w:jc w:val="left"/>
                        </w:pPr>
                      </w:p>
                    </w:tc>
                  </w:tr>
                </w:tbl>
                <w:p w:rsidR="00850B27" w:rsidRPr="00DB671B" w:rsidRDefault="00850B27" w:rsidP="00DB671B">
                  <w:pPr>
                    <w:spacing w:before="20" w:after="20" w:line="1" w:lineRule="auto"/>
                    <w:jc w:val="left"/>
                  </w:pPr>
                </w:p>
              </w:tc>
            </w:tr>
            <w:tr w:rsidR="00DB671B" w:rsidRPr="00DB671B" w:rsidTr="00DB671B">
              <w:trPr>
                <w:hidden/>
              </w:trPr>
              <w:tc>
                <w:tcPr>
                  <w:tcW w:w="5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50B27" w:rsidRPr="00DB671B" w:rsidRDefault="00850B27" w:rsidP="00DB671B">
                  <w:pPr>
                    <w:spacing w:before="20" w:after="20"/>
                    <w:rPr>
                      <w:vanish/>
                    </w:rPr>
                  </w:pPr>
                </w:p>
                <w:tbl>
                  <w:tblPr>
                    <w:tblW w:w="540" w:type="dxa"/>
                    <w:tblLayout w:type="fixed"/>
                    <w:tblCellMar>
                      <w:left w:w="0" w:type="dxa"/>
                      <w:right w:w="0" w:type="dxa"/>
                    </w:tblCellMar>
                    <w:tblLook w:val="01E0" w:firstRow="1" w:lastRow="1" w:firstColumn="1" w:lastColumn="1" w:noHBand="0" w:noVBand="0"/>
                  </w:tblPr>
                  <w:tblGrid>
                    <w:gridCol w:w="540"/>
                  </w:tblGrid>
                  <w:tr w:rsidR="00DB671B" w:rsidRPr="00DB671B" w:rsidTr="00DB671B">
                    <w:tc>
                      <w:tcPr>
                        <w:tcW w:w="540" w:type="dxa"/>
                        <w:tcMar>
                          <w:top w:w="0" w:type="dxa"/>
                          <w:left w:w="0" w:type="dxa"/>
                          <w:bottom w:w="0" w:type="dxa"/>
                          <w:right w:w="0" w:type="dxa"/>
                        </w:tcMar>
                      </w:tcPr>
                      <w:p w:rsidR="00850B27" w:rsidRPr="00DB671B" w:rsidRDefault="00850B27" w:rsidP="00DB671B">
                        <w:pPr>
                          <w:spacing w:before="20" w:after="20"/>
                          <w:rPr>
                            <w:rFonts w:cs="Arial"/>
                            <w:sz w:val="16"/>
                            <w:szCs w:val="16"/>
                          </w:rPr>
                        </w:pPr>
                        <w:r w:rsidRPr="00DB671B">
                          <w:rPr>
                            <w:rFonts w:cs="Arial"/>
                            <w:sz w:val="16"/>
                            <w:szCs w:val="16"/>
                          </w:rPr>
                          <w:t>FR</w:t>
                        </w:r>
                      </w:p>
                      <w:p w:rsidR="00850B27" w:rsidRPr="00DB671B" w:rsidRDefault="00850B27" w:rsidP="00DB671B">
                        <w:pPr>
                          <w:spacing w:before="20" w:after="20" w:line="1" w:lineRule="auto"/>
                        </w:pPr>
                      </w:p>
                    </w:tc>
                  </w:tr>
                </w:tbl>
                <w:p w:rsidR="00850B27" w:rsidRPr="00DB671B" w:rsidRDefault="00850B27" w:rsidP="00DB671B">
                  <w:pPr>
                    <w:spacing w:before="20" w:after="20" w:line="1" w:lineRule="auto"/>
                  </w:pPr>
                </w:p>
              </w:tc>
              <w:tc>
                <w:tcPr>
                  <w:tcW w:w="72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50B27" w:rsidRPr="00DB671B" w:rsidRDefault="00850B27" w:rsidP="00DB671B">
                  <w:pPr>
                    <w:spacing w:before="20" w:after="20"/>
                    <w:jc w:val="left"/>
                    <w:rPr>
                      <w:vanish/>
                    </w:rPr>
                  </w:pPr>
                </w:p>
                <w:tbl>
                  <w:tblPr>
                    <w:tblW w:w="975" w:type="dxa"/>
                    <w:tblLayout w:type="fixed"/>
                    <w:tblCellMar>
                      <w:left w:w="0" w:type="dxa"/>
                      <w:right w:w="0" w:type="dxa"/>
                    </w:tblCellMar>
                    <w:tblLook w:val="01E0" w:firstRow="1" w:lastRow="1" w:firstColumn="1" w:lastColumn="1" w:noHBand="0" w:noVBand="0"/>
                  </w:tblPr>
                  <w:tblGrid>
                    <w:gridCol w:w="975"/>
                  </w:tblGrid>
                  <w:tr w:rsidR="00DB671B" w:rsidRPr="00DB671B" w:rsidTr="00DB671B">
                    <w:tc>
                      <w:tcPr>
                        <w:tcW w:w="975" w:type="dxa"/>
                        <w:tcMar>
                          <w:top w:w="0" w:type="dxa"/>
                          <w:left w:w="0" w:type="dxa"/>
                          <w:bottom w:w="0" w:type="dxa"/>
                          <w:right w:w="0" w:type="dxa"/>
                        </w:tcMar>
                      </w:tcPr>
                      <w:p w:rsidR="00850B27" w:rsidRPr="00DB671B" w:rsidRDefault="00850B27" w:rsidP="00DB671B">
                        <w:pPr>
                          <w:spacing w:before="20" w:after="20"/>
                          <w:jc w:val="left"/>
                          <w:rPr>
                            <w:rFonts w:cs="Arial"/>
                            <w:sz w:val="16"/>
                            <w:szCs w:val="16"/>
                          </w:rPr>
                        </w:pPr>
                        <w:r w:rsidRPr="00DB671B">
                          <w:rPr>
                            <w:rFonts w:cs="Arial"/>
                            <w:sz w:val="16"/>
                            <w:szCs w:val="16"/>
                          </w:rPr>
                          <w:t>TWF</w:t>
                        </w:r>
                      </w:p>
                      <w:p w:rsidR="00850B27" w:rsidRPr="00DB671B" w:rsidRDefault="00850B27" w:rsidP="00DB671B">
                        <w:pPr>
                          <w:spacing w:before="20" w:after="20" w:line="1" w:lineRule="auto"/>
                          <w:jc w:val="left"/>
                        </w:pPr>
                      </w:p>
                    </w:tc>
                  </w:tr>
                </w:tbl>
                <w:p w:rsidR="00850B27" w:rsidRPr="00DB671B" w:rsidRDefault="00850B27" w:rsidP="00DB671B">
                  <w:pPr>
                    <w:spacing w:before="20" w:after="20" w:line="1" w:lineRule="auto"/>
                    <w:jc w:val="left"/>
                  </w:pPr>
                </w:p>
              </w:tc>
              <w:tc>
                <w:tcPr>
                  <w:tcW w:w="14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50B27" w:rsidRPr="00DB671B" w:rsidRDefault="00850B27" w:rsidP="00DB671B">
                  <w:pPr>
                    <w:spacing w:before="20" w:after="20"/>
                    <w:ind w:right="-13"/>
                    <w:jc w:val="left"/>
                    <w:rPr>
                      <w:vanish/>
                    </w:rPr>
                  </w:pPr>
                </w:p>
                <w:tbl>
                  <w:tblPr>
                    <w:tblW w:w="1413" w:type="dxa"/>
                    <w:tblLayout w:type="fixed"/>
                    <w:tblCellMar>
                      <w:left w:w="0" w:type="dxa"/>
                      <w:right w:w="0" w:type="dxa"/>
                    </w:tblCellMar>
                    <w:tblLook w:val="01E0" w:firstRow="1" w:lastRow="1" w:firstColumn="1" w:lastColumn="1" w:noHBand="0" w:noVBand="0"/>
                  </w:tblPr>
                  <w:tblGrid>
                    <w:gridCol w:w="1413"/>
                  </w:tblGrid>
                  <w:tr w:rsidR="00DB671B" w:rsidRPr="00DB671B" w:rsidTr="00DB671B">
                    <w:tc>
                      <w:tcPr>
                        <w:tcW w:w="1413" w:type="dxa"/>
                        <w:tcMar>
                          <w:top w:w="0" w:type="dxa"/>
                          <w:left w:w="0" w:type="dxa"/>
                          <w:bottom w:w="0" w:type="dxa"/>
                          <w:right w:w="0" w:type="dxa"/>
                        </w:tcMar>
                      </w:tcPr>
                      <w:p w:rsidR="00850B27" w:rsidRPr="00DB671B" w:rsidRDefault="00850B27" w:rsidP="00DB671B">
                        <w:pPr>
                          <w:spacing w:before="20" w:after="20"/>
                          <w:ind w:right="-13"/>
                          <w:jc w:val="left"/>
                          <w:rPr>
                            <w:rFonts w:cs="Arial"/>
                            <w:sz w:val="16"/>
                            <w:szCs w:val="16"/>
                          </w:rPr>
                        </w:pPr>
                        <w:r w:rsidRPr="00DB671B">
                          <w:rPr>
                            <w:rFonts w:cs="Arial"/>
                            <w:sz w:val="16"/>
                            <w:szCs w:val="16"/>
                          </w:rPr>
                          <w:t>TG/104/5 Rev. 2 (proj.2)</w:t>
                        </w:r>
                      </w:p>
                      <w:p w:rsidR="00850B27" w:rsidRPr="00DB671B" w:rsidRDefault="00850B27" w:rsidP="00DB671B">
                        <w:pPr>
                          <w:spacing w:before="20" w:after="20" w:line="1" w:lineRule="auto"/>
                          <w:ind w:right="-13"/>
                          <w:jc w:val="left"/>
                        </w:pPr>
                      </w:p>
                    </w:tc>
                  </w:tr>
                </w:tbl>
                <w:p w:rsidR="00850B27" w:rsidRPr="00DB671B" w:rsidRDefault="00850B27" w:rsidP="00DB671B">
                  <w:pPr>
                    <w:spacing w:before="20" w:after="20" w:line="1" w:lineRule="auto"/>
                    <w:ind w:right="-13"/>
                    <w:jc w:val="left"/>
                  </w:pPr>
                </w:p>
              </w:tc>
              <w:tc>
                <w:tcPr>
                  <w:tcW w:w="15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50B27" w:rsidRPr="00DB671B" w:rsidRDefault="00850B27" w:rsidP="00DB671B">
                  <w:pPr>
                    <w:spacing w:before="20" w:after="20"/>
                    <w:jc w:val="left"/>
                    <w:rPr>
                      <w:vanish/>
                    </w:rPr>
                  </w:pPr>
                </w:p>
                <w:tbl>
                  <w:tblPr>
                    <w:tblW w:w="1545" w:type="dxa"/>
                    <w:tblLayout w:type="fixed"/>
                    <w:tblCellMar>
                      <w:left w:w="0" w:type="dxa"/>
                      <w:right w:w="0" w:type="dxa"/>
                    </w:tblCellMar>
                    <w:tblLook w:val="01E0" w:firstRow="1" w:lastRow="1" w:firstColumn="1" w:lastColumn="1" w:noHBand="0" w:noVBand="0"/>
                  </w:tblPr>
                  <w:tblGrid>
                    <w:gridCol w:w="1545"/>
                  </w:tblGrid>
                  <w:tr w:rsidR="00DB671B" w:rsidRPr="00DB671B" w:rsidTr="00DB671B">
                    <w:tc>
                      <w:tcPr>
                        <w:tcW w:w="1545" w:type="dxa"/>
                        <w:tcMar>
                          <w:top w:w="0" w:type="dxa"/>
                          <w:left w:w="0" w:type="dxa"/>
                          <w:bottom w:w="0" w:type="dxa"/>
                          <w:right w:w="0" w:type="dxa"/>
                        </w:tcMar>
                      </w:tcPr>
                      <w:p w:rsidR="00850B27" w:rsidRPr="00DB671B" w:rsidRDefault="00850B27" w:rsidP="00DB671B">
                        <w:pPr>
                          <w:spacing w:before="20" w:after="20"/>
                          <w:jc w:val="left"/>
                          <w:rPr>
                            <w:rFonts w:cs="Arial"/>
                            <w:sz w:val="16"/>
                            <w:szCs w:val="16"/>
                          </w:rPr>
                        </w:pPr>
                        <w:r w:rsidRPr="00DB671B">
                          <w:rPr>
                            <w:rFonts w:cs="Arial"/>
                            <w:sz w:val="16"/>
                            <w:szCs w:val="16"/>
                          </w:rPr>
                          <w:t>Melon</w:t>
                        </w:r>
                      </w:p>
                      <w:p w:rsidR="00850B27" w:rsidRPr="00DB671B" w:rsidRDefault="00850B27" w:rsidP="00DB671B">
                        <w:pPr>
                          <w:spacing w:before="20" w:after="20" w:line="1" w:lineRule="auto"/>
                          <w:jc w:val="left"/>
                        </w:pPr>
                      </w:p>
                    </w:tc>
                  </w:tr>
                </w:tbl>
                <w:p w:rsidR="00850B27" w:rsidRPr="00DB671B" w:rsidRDefault="00850B27" w:rsidP="00DB671B">
                  <w:pPr>
                    <w:spacing w:before="20" w:after="20" w:line="1" w:lineRule="auto"/>
                    <w:jc w:val="left"/>
                  </w:pPr>
                </w:p>
              </w:tc>
              <w:tc>
                <w:tcPr>
                  <w:tcW w:w="12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230" w:type="dxa"/>
                    <w:tblLayout w:type="fixed"/>
                    <w:tblCellMar>
                      <w:left w:w="0" w:type="dxa"/>
                      <w:right w:w="0" w:type="dxa"/>
                    </w:tblCellMar>
                    <w:tblLook w:val="01E0" w:firstRow="1" w:lastRow="1" w:firstColumn="1" w:lastColumn="1" w:noHBand="0" w:noVBand="0"/>
                  </w:tblPr>
                  <w:tblGrid>
                    <w:gridCol w:w="1230"/>
                  </w:tblGrid>
                  <w:tr w:rsidR="00DB671B" w:rsidRPr="00DB671B" w:rsidTr="00DB671B">
                    <w:tc>
                      <w:tcPr>
                        <w:tcW w:w="1230" w:type="dxa"/>
                        <w:tcMar>
                          <w:top w:w="0" w:type="dxa"/>
                          <w:left w:w="0" w:type="dxa"/>
                          <w:bottom w:w="0" w:type="dxa"/>
                          <w:right w:w="0" w:type="dxa"/>
                        </w:tcMar>
                      </w:tcPr>
                      <w:p w:rsidR="00850B27" w:rsidRPr="00DB671B" w:rsidRDefault="00850B27" w:rsidP="00DB671B">
                        <w:pPr>
                          <w:spacing w:before="20" w:after="20"/>
                          <w:jc w:val="left"/>
                          <w:rPr>
                            <w:rFonts w:cs="Arial"/>
                            <w:sz w:val="16"/>
                            <w:szCs w:val="16"/>
                          </w:rPr>
                        </w:pPr>
                        <w:r w:rsidRPr="00DB671B">
                          <w:rPr>
                            <w:rFonts w:cs="Arial"/>
                            <w:sz w:val="16"/>
                            <w:szCs w:val="16"/>
                          </w:rPr>
                          <w:t>Melon</w:t>
                        </w:r>
                      </w:p>
                    </w:tc>
                  </w:tr>
                </w:tbl>
                <w:p w:rsidR="00850B27" w:rsidRPr="00DB671B" w:rsidRDefault="00850B27" w:rsidP="00DB671B">
                  <w:pPr>
                    <w:spacing w:before="20" w:after="20"/>
                    <w:jc w:val="left"/>
                    <w:rPr>
                      <w:rFonts w:cs="Arial"/>
                      <w:sz w:val="16"/>
                      <w:szCs w:val="16"/>
                    </w:rPr>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50B27" w:rsidRPr="00DB671B" w:rsidRDefault="00850B27" w:rsidP="00DB671B">
                  <w:pPr>
                    <w:spacing w:before="20" w:after="20"/>
                    <w:jc w:val="left"/>
                    <w:rPr>
                      <w:rFonts w:cs="Arial"/>
                      <w:sz w:val="16"/>
                      <w:szCs w:val="16"/>
                    </w:rPr>
                  </w:pPr>
                  <w:r w:rsidRPr="00DB671B">
                    <w:rPr>
                      <w:rFonts w:cs="Arial"/>
                      <w:sz w:val="16"/>
                      <w:szCs w:val="16"/>
                    </w:rPr>
                    <w:t>Melone</w:t>
                  </w:r>
                </w:p>
                <w:tbl>
                  <w:tblPr>
                    <w:tblW w:w="1560" w:type="dxa"/>
                    <w:tblLayout w:type="fixed"/>
                    <w:tblCellMar>
                      <w:left w:w="0" w:type="dxa"/>
                      <w:right w:w="0" w:type="dxa"/>
                    </w:tblCellMar>
                    <w:tblLook w:val="01E0" w:firstRow="1" w:lastRow="1" w:firstColumn="1" w:lastColumn="1" w:noHBand="0" w:noVBand="0"/>
                  </w:tblPr>
                  <w:tblGrid>
                    <w:gridCol w:w="1560"/>
                  </w:tblGrid>
                  <w:tr w:rsidR="00DB671B" w:rsidRPr="00DB671B" w:rsidTr="00DB671B">
                    <w:tc>
                      <w:tcPr>
                        <w:tcW w:w="1560" w:type="dxa"/>
                        <w:tcMar>
                          <w:top w:w="0" w:type="dxa"/>
                          <w:left w:w="0" w:type="dxa"/>
                          <w:bottom w:w="0" w:type="dxa"/>
                          <w:right w:w="0" w:type="dxa"/>
                        </w:tcMar>
                      </w:tcPr>
                      <w:p w:rsidR="00850B27" w:rsidRPr="00DB671B" w:rsidRDefault="00850B27" w:rsidP="00DB671B">
                        <w:pPr>
                          <w:spacing w:before="20" w:after="20"/>
                          <w:jc w:val="left"/>
                          <w:rPr>
                            <w:rFonts w:cs="Arial"/>
                            <w:sz w:val="16"/>
                            <w:szCs w:val="16"/>
                          </w:rPr>
                        </w:pPr>
                      </w:p>
                    </w:tc>
                  </w:tr>
                </w:tbl>
                <w:p w:rsidR="00850B27" w:rsidRPr="00DB671B" w:rsidRDefault="00850B27" w:rsidP="00DB671B">
                  <w:pPr>
                    <w:spacing w:before="20" w:after="20"/>
                    <w:jc w:val="left"/>
                    <w:rPr>
                      <w:rFonts w:cs="Arial"/>
                      <w:sz w:val="16"/>
                      <w:szCs w:val="16"/>
                    </w:rPr>
                  </w:pPr>
                </w:p>
              </w:tc>
              <w:tc>
                <w:tcPr>
                  <w:tcW w:w="13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50B27" w:rsidRPr="00DB671B" w:rsidRDefault="00850B27" w:rsidP="00DB671B">
                  <w:pPr>
                    <w:spacing w:before="20" w:after="20"/>
                    <w:jc w:val="left"/>
                    <w:rPr>
                      <w:rFonts w:cs="Arial"/>
                      <w:sz w:val="16"/>
                      <w:szCs w:val="16"/>
                    </w:rPr>
                  </w:pPr>
                  <w:r w:rsidRPr="00DB671B">
                    <w:rPr>
                      <w:rFonts w:cs="Arial"/>
                      <w:sz w:val="16"/>
                      <w:szCs w:val="16"/>
                    </w:rPr>
                    <w:t>Melón</w:t>
                  </w:r>
                </w:p>
                <w:tbl>
                  <w:tblPr>
                    <w:tblW w:w="1320" w:type="dxa"/>
                    <w:tblLayout w:type="fixed"/>
                    <w:tblCellMar>
                      <w:left w:w="0" w:type="dxa"/>
                      <w:right w:w="0" w:type="dxa"/>
                    </w:tblCellMar>
                    <w:tblLook w:val="01E0" w:firstRow="1" w:lastRow="1" w:firstColumn="1" w:lastColumn="1" w:noHBand="0" w:noVBand="0"/>
                  </w:tblPr>
                  <w:tblGrid>
                    <w:gridCol w:w="1320"/>
                  </w:tblGrid>
                  <w:tr w:rsidR="00DB671B" w:rsidRPr="00DB671B" w:rsidTr="00DB671B">
                    <w:tc>
                      <w:tcPr>
                        <w:tcW w:w="1320" w:type="dxa"/>
                        <w:tcMar>
                          <w:top w:w="0" w:type="dxa"/>
                          <w:left w:w="0" w:type="dxa"/>
                          <w:bottom w:w="0" w:type="dxa"/>
                          <w:right w:w="0" w:type="dxa"/>
                        </w:tcMar>
                      </w:tcPr>
                      <w:p w:rsidR="00850B27" w:rsidRPr="00DB671B" w:rsidRDefault="00850B27" w:rsidP="00DB671B">
                        <w:pPr>
                          <w:spacing w:before="20" w:after="20"/>
                          <w:jc w:val="left"/>
                          <w:rPr>
                            <w:rFonts w:cs="Arial"/>
                            <w:sz w:val="16"/>
                            <w:szCs w:val="16"/>
                          </w:rPr>
                        </w:pPr>
                      </w:p>
                    </w:tc>
                  </w:tr>
                </w:tbl>
                <w:p w:rsidR="00850B27" w:rsidRPr="00DB671B" w:rsidRDefault="00850B27" w:rsidP="00DB671B">
                  <w:pPr>
                    <w:spacing w:before="20" w:after="20"/>
                    <w:jc w:val="left"/>
                    <w:rPr>
                      <w:rFonts w:cs="Arial"/>
                      <w:sz w:val="16"/>
                      <w:szCs w:val="16"/>
                    </w:rPr>
                  </w:pPr>
                </w:p>
              </w:tc>
              <w:tc>
                <w:tcPr>
                  <w:tcW w:w="15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50B27" w:rsidRPr="00DB671B" w:rsidRDefault="00850B27" w:rsidP="00DB671B">
                  <w:pPr>
                    <w:spacing w:before="20" w:after="20"/>
                    <w:jc w:val="left"/>
                    <w:rPr>
                      <w:vanish/>
                    </w:rPr>
                  </w:pPr>
                </w:p>
                <w:tbl>
                  <w:tblPr>
                    <w:tblW w:w="1545" w:type="dxa"/>
                    <w:tblLayout w:type="fixed"/>
                    <w:tblCellMar>
                      <w:left w:w="0" w:type="dxa"/>
                      <w:right w:w="0" w:type="dxa"/>
                    </w:tblCellMar>
                    <w:tblLook w:val="01E0" w:firstRow="1" w:lastRow="1" w:firstColumn="1" w:lastColumn="1" w:noHBand="0" w:noVBand="0"/>
                  </w:tblPr>
                  <w:tblGrid>
                    <w:gridCol w:w="1545"/>
                  </w:tblGrid>
                  <w:tr w:rsidR="00DB671B" w:rsidRPr="00DB671B" w:rsidTr="00DB671B">
                    <w:tc>
                      <w:tcPr>
                        <w:tcW w:w="1545" w:type="dxa"/>
                        <w:tcMar>
                          <w:top w:w="0" w:type="dxa"/>
                          <w:left w:w="0" w:type="dxa"/>
                          <w:bottom w:w="0" w:type="dxa"/>
                          <w:right w:w="0" w:type="dxa"/>
                        </w:tcMar>
                      </w:tcPr>
                      <w:p w:rsidR="00850B27" w:rsidRPr="00DB671B" w:rsidRDefault="00850B27" w:rsidP="00DB671B">
                        <w:pPr>
                          <w:spacing w:before="20" w:after="20"/>
                          <w:jc w:val="left"/>
                          <w:rPr>
                            <w:rFonts w:cs="Arial"/>
                            <w:sz w:val="16"/>
                            <w:szCs w:val="16"/>
                          </w:rPr>
                        </w:pPr>
                        <w:r w:rsidRPr="00DB671B">
                          <w:rPr>
                            <w:rStyle w:val="Emphasis"/>
                            <w:rFonts w:cs="Arial"/>
                            <w:sz w:val="16"/>
                            <w:szCs w:val="16"/>
                          </w:rPr>
                          <w:t>Cucumis melo</w:t>
                        </w:r>
                        <w:r w:rsidRPr="00DB671B">
                          <w:rPr>
                            <w:rFonts w:cs="Arial"/>
                            <w:sz w:val="16"/>
                            <w:szCs w:val="16"/>
                          </w:rPr>
                          <w:t> L.</w:t>
                        </w:r>
                      </w:p>
                      <w:p w:rsidR="00850B27" w:rsidRPr="00DB671B" w:rsidRDefault="00850B27" w:rsidP="00DB671B">
                        <w:pPr>
                          <w:spacing w:before="20" w:after="20" w:line="1" w:lineRule="auto"/>
                          <w:jc w:val="left"/>
                        </w:pPr>
                      </w:p>
                    </w:tc>
                  </w:tr>
                </w:tbl>
                <w:p w:rsidR="00850B27" w:rsidRPr="00DB671B" w:rsidRDefault="00850B27" w:rsidP="00DB671B">
                  <w:pPr>
                    <w:spacing w:before="20" w:after="20" w:line="1" w:lineRule="auto"/>
                    <w:jc w:val="left"/>
                  </w:pPr>
                </w:p>
              </w:tc>
            </w:tr>
            <w:tr w:rsidR="00DB671B" w:rsidRPr="00DB671B" w:rsidTr="00DB671B">
              <w:trPr>
                <w:hidden/>
              </w:trPr>
              <w:tc>
                <w:tcPr>
                  <w:tcW w:w="53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850B27" w:rsidRPr="00DB671B" w:rsidRDefault="00850B27" w:rsidP="00DB671B">
                  <w:pPr>
                    <w:spacing w:before="20" w:after="20"/>
                    <w:rPr>
                      <w:vanish/>
                    </w:rPr>
                  </w:pPr>
                </w:p>
                <w:tbl>
                  <w:tblPr>
                    <w:tblW w:w="540" w:type="dxa"/>
                    <w:tblLayout w:type="fixed"/>
                    <w:tblCellMar>
                      <w:left w:w="0" w:type="dxa"/>
                      <w:right w:w="0" w:type="dxa"/>
                    </w:tblCellMar>
                    <w:tblLook w:val="01E0" w:firstRow="1" w:lastRow="1" w:firstColumn="1" w:lastColumn="1" w:noHBand="0" w:noVBand="0"/>
                  </w:tblPr>
                  <w:tblGrid>
                    <w:gridCol w:w="540"/>
                  </w:tblGrid>
                  <w:tr w:rsidR="00DB671B" w:rsidRPr="00DB671B" w:rsidTr="00DB671B">
                    <w:tc>
                      <w:tcPr>
                        <w:tcW w:w="540" w:type="dxa"/>
                        <w:tcMar>
                          <w:top w:w="0" w:type="dxa"/>
                          <w:left w:w="0" w:type="dxa"/>
                          <w:bottom w:w="0" w:type="dxa"/>
                          <w:right w:w="0" w:type="dxa"/>
                        </w:tcMar>
                      </w:tcPr>
                      <w:p w:rsidR="00850B27" w:rsidRPr="00DB671B" w:rsidRDefault="00850B27" w:rsidP="00DB671B">
                        <w:pPr>
                          <w:spacing w:before="20" w:after="20"/>
                          <w:rPr>
                            <w:rFonts w:cs="Arial"/>
                            <w:sz w:val="16"/>
                            <w:szCs w:val="16"/>
                          </w:rPr>
                        </w:pPr>
                        <w:r w:rsidRPr="00DB671B">
                          <w:rPr>
                            <w:rFonts w:cs="Arial"/>
                            <w:sz w:val="16"/>
                            <w:szCs w:val="16"/>
                          </w:rPr>
                          <w:t>NL</w:t>
                        </w:r>
                      </w:p>
                      <w:p w:rsidR="00850B27" w:rsidRPr="00DB671B" w:rsidRDefault="00850B27" w:rsidP="00DB671B">
                        <w:pPr>
                          <w:spacing w:before="20" w:after="20" w:line="1" w:lineRule="auto"/>
                        </w:pPr>
                      </w:p>
                    </w:tc>
                  </w:tr>
                </w:tbl>
                <w:p w:rsidR="00850B27" w:rsidRPr="00DB671B" w:rsidRDefault="00850B27" w:rsidP="00DB671B">
                  <w:pPr>
                    <w:spacing w:before="20" w:after="20" w:line="1" w:lineRule="auto"/>
                  </w:pPr>
                </w:p>
              </w:tc>
              <w:tc>
                <w:tcPr>
                  <w:tcW w:w="72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850B27" w:rsidRPr="00DB671B" w:rsidRDefault="00850B27" w:rsidP="00DB671B">
                  <w:pPr>
                    <w:spacing w:before="20" w:after="20"/>
                    <w:jc w:val="left"/>
                    <w:rPr>
                      <w:vanish/>
                    </w:rPr>
                  </w:pPr>
                </w:p>
                <w:tbl>
                  <w:tblPr>
                    <w:tblW w:w="975" w:type="dxa"/>
                    <w:tblLayout w:type="fixed"/>
                    <w:tblCellMar>
                      <w:left w:w="0" w:type="dxa"/>
                      <w:right w:w="0" w:type="dxa"/>
                    </w:tblCellMar>
                    <w:tblLook w:val="01E0" w:firstRow="1" w:lastRow="1" w:firstColumn="1" w:lastColumn="1" w:noHBand="0" w:noVBand="0"/>
                  </w:tblPr>
                  <w:tblGrid>
                    <w:gridCol w:w="975"/>
                  </w:tblGrid>
                  <w:tr w:rsidR="00DB671B" w:rsidRPr="00DB671B" w:rsidTr="00DB671B">
                    <w:tc>
                      <w:tcPr>
                        <w:tcW w:w="975" w:type="dxa"/>
                        <w:tcMar>
                          <w:top w:w="0" w:type="dxa"/>
                          <w:left w:w="0" w:type="dxa"/>
                          <w:bottom w:w="0" w:type="dxa"/>
                          <w:right w:w="0" w:type="dxa"/>
                        </w:tcMar>
                      </w:tcPr>
                      <w:p w:rsidR="00850B27" w:rsidRPr="00DB671B" w:rsidRDefault="00850B27" w:rsidP="00DB671B">
                        <w:pPr>
                          <w:spacing w:before="20" w:after="20"/>
                          <w:jc w:val="left"/>
                          <w:rPr>
                            <w:rFonts w:cs="Arial"/>
                            <w:sz w:val="16"/>
                            <w:szCs w:val="16"/>
                          </w:rPr>
                        </w:pPr>
                        <w:r w:rsidRPr="00DB671B">
                          <w:rPr>
                            <w:rFonts w:cs="Arial"/>
                            <w:sz w:val="16"/>
                            <w:szCs w:val="16"/>
                          </w:rPr>
                          <w:t>TWV</w:t>
                        </w:r>
                      </w:p>
                      <w:p w:rsidR="00850B27" w:rsidRPr="00DB671B" w:rsidRDefault="00850B27" w:rsidP="00DB671B">
                        <w:pPr>
                          <w:spacing w:before="20" w:after="20" w:line="1" w:lineRule="auto"/>
                          <w:jc w:val="left"/>
                        </w:pPr>
                      </w:p>
                    </w:tc>
                  </w:tr>
                </w:tbl>
                <w:p w:rsidR="00850B27" w:rsidRPr="00DB671B" w:rsidRDefault="00850B27" w:rsidP="00DB671B">
                  <w:pPr>
                    <w:spacing w:before="20" w:after="20" w:line="1" w:lineRule="auto"/>
                    <w:jc w:val="left"/>
                  </w:pPr>
                </w:p>
              </w:tc>
              <w:tc>
                <w:tcPr>
                  <w:tcW w:w="1434"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850B27" w:rsidRPr="00DB671B" w:rsidRDefault="00850B27" w:rsidP="00DB671B">
                  <w:pPr>
                    <w:spacing w:before="20" w:after="20"/>
                    <w:ind w:right="-13"/>
                    <w:jc w:val="left"/>
                    <w:rPr>
                      <w:vanish/>
                    </w:rPr>
                  </w:pPr>
                </w:p>
                <w:tbl>
                  <w:tblPr>
                    <w:tblW w:w="1413" w:type="dxa"/>
                    <w:tblLayout w:type="fixed"/>
                    <w:tblCellMar>
                      <w:left w:w="0" w:type="dxa"/>
                      <w:right w:w="0" w:type="dxa"/>
                    </w:tblCellMar>
                    <w:tblLook w:val="01E0" w:firstRow="1" w:lastRow="1" w:firstColumn="1" w:lastColumn="1" w:noHBand="0" w:noVBand="0"/>
                  </w:tblPr>
                  <w:tblGrid>
                    <w:gridCol w:w="1413"/>
                  </w:tblGrid>
                  <w:tr w:rsidR="00DB671B" w:rsidRPr="00DB671B" w:rsidTr="00DB671B">
                    <w:tc>
                      <w:tcPr>
                        <w:tcW w:w="1413" w:type="dxa"/>
                        <w:tcMar>
                          <w:top w:w="0" w:type="dxa"/>
                          <w:left w:w="0" w:type="dxa"/>
                          <w:bottom w:w="0" w:type="dxa"/>
                          <w:right w:w="0" w:type="dxa"/>
                        </w:tcMar>
                      </w:tcPr>
                      <w:p w:rsidR="00850B27" w:rsidRPr="00DB671B" w:rsidRDefault="00850B27" w:rsidP="00DB671B">
                        <w:pPr>
                          <w:jc w:val="left"/>
                        </w:pPr>
                        <w:r w:rsidRPr="00DB671B">
                          <w:rPr>
                            <w:sz w:val="16"/>
                          </w:rPr>
                          <w:t>TG/</w:t>
                        </w:r>
                        <w:bookmarkStart w:id="4" w:name="Code"/>
                        <w:bookmarkEnd w:id="4"/>
                        <w:r w:rsidRPr="00DB671B">
                          <w:rPr>
                            <w:sz w:val="16"/>
                          </w:rPr>
                          <w:t>142/5 Rev. (proj.1), TC/55/17</w:t>
                        </w:r>
                      </w:p>
                    </w:tc>
                  </w:tr>
                </w:tbl>
                <w:p w:rsidR="00850B27" w:rsidRPr="00DB671B" w:rsidRDefault="00850B27" w:rsidP="00DB671B">
                  <w:pPr>
                    <w:spacing w:before="20" w:after="20" w:line="1" w:lineRule="auto"/>
                    <w:ind w:right="-13"/>
                    <w:jc w:val="left"/>
                  </w:pPr>
                </w:p>
              </w:tc>
              <w:tc>
                <w:tcPr>
                  <w:tcW w:w="154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850B27" w:rsidRPr="00DB671B" w:rsidRDefault="00850B27" w:rsidP="00DB671B">
                  <w:pPr>
                    <w:spacing w:before="20" w:after="20"/>
                    <w:jc w:val="left"/>
                    <w:rPr>
                      <w:vanish/>
                    </w:rPr>
                  </w:pPr>
                </w:p>
                <w:tbl>
                  <w:tblPr>
                    <w:tblW w:w="1545" w:type="dxa"/>
                    <w:tblLayout w:type="fixed"/>
                    <w:tblCellMar>
                      <w:left w:w="0" w:type="dxa"/>
                      <w:right w:w="0" w:type="dxa"/>
                    </w:tblCellMar>
                    <w:tblLook w:val="01E0" w:firstRow="1" w:lastRow="1" w:firstColumn="1" w:lastColumn="1" w:noHBand="0" w:noVBand="0"/>
                  </w:tblPr>
                  <w:tblGrid>
                    <w:gridCol w:w="1545"/>
                  </w:tblGrid>
                  <w:tr w:rsidR="00DB671B" w:rsidRPr="00DB671B" w:rsidTr="00DB671B">
                    <w:tc>
                      <w:tcPr>
                        <w:tcW w:w="1545" w:type="dxa"/>
                        <w:tcMar>
                          <w:top w:w="0" w:type="dxa"/>
                          <w:left w:w="0" w:type="dxa"/>
                          <w:bottom w:w="0" w:type="dxa"/>
                          <w:right w:w="0" w:type="dxa"/>
                        </w:tcMar>
                      </w:tcPr>
                      <w:p w:rsidR="00850B27" w:rsidRPr="00DB671B" w:rsidRDefault="00850B27" w:rsidP="00DB671B">
                        <w:pPr>
                          <w:spacing w:before="20" w:after="20"/>
                          <w:jc w:val="left"/>
                          <w:rPr>
                            <w:rFonts w:cs="Arial"/>
                            <w:sz w:val="16"/>
                            <w:szCs w:val="16"/>
                          </w:rPr>
                        </w:pPr>
                        <w:r w:rsidRPr="00DB671B">
                          <w:rPr>
                            <w:rFonts w:cs="Arial"/>
                            <w:sz w:val="16"/>
                            <w:szCs w:val="16"/>
                          </w:rPr>
                          <w:t>Watermelon</w:t>
                        </w:r>
                      </w:p>
                      <w:p w:rsidR="00850B27" w:rsidRPr="00DB671B" w:rsidRDefault="00850B27" w:rsidP="00DB671B">
                        <w:pPr>
                          <w:spacing w:before="20" w:after="20" w:line="1" w:lineRule="auto"/>
                          <w:jc w:val="left"/>
                        </w:pPr>
                      </w:p>
                    </w:tc>
                  </w:tr>
                </w:tbl>
                <w:p w:rsidR="00850B27" w:rsidRPr="00DB671B" w:rsidRDefault="00850B27" w:rsidP="00DB671B">
                  <w:pPr>
                    <w:spacing w:before="20" w:after="20" w:line="1" w:lineRule="auto"/>
                    <w:jc w:val="left"/>
                  </w:pPr>
                </w:p>
              </w:tc>
              <w:tc>
                <w:tcPr>
                  <w:tcW w:w="123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tbl>
                  <w:tblPr>
                    <w:tblW w:w="1230" w:type="dxa"/>
                    <w:tblLayout w:type="fixed"/>
                    <w:tblCellMar>
                      <w:left w:w="0" w:type="dxa"/>
                      <w:right w:w="0" w:type="dxa"/>
                    </w:tblCellMar>
                    <w:tblLook w:val="01E0" w:firstRow="1" w:lastRow="1" w:firstColumn="1" w:lastColumn="1" w:noHBand="0" w:noVBand="0"/>
                  </w:tblPr>
                  <w:tblGrid>
                    <w:gridCol w:w="1230"/>
                  </w:tblGrid>
                  <w:tr w:rsidR="00DB671B" w:rsidRPr="00DB671B" w:rsidTr="00DB671B">
                    <w:tc>
                      <w:tcPr>
                        <w:tcW w:w="1230" w:type="dxa"/>
                        <w:tcMar>
                          <w:top w:w="0" w:type="dxa"/>
                          <w:left w:w="0" w:type="dxa"/>
                          <w:bottom w:w="0" w:type="dxa"/>
                          <w:right w:w="0" w:type="dxa"/>
                        </w:tcMar>
                      </w:tcPr>
                      <w:p w:rsidR="00850B27" w:rsidRPr="00DB671B" w:rsidRDefault="00850B27" w:rsidP="00DB671B">
                        <w:pPr>
                          <w:spacing w:before="20" w:after="20"/>
                          <w:jc w:val="left"/>
                          <w:rPr>
                            <w:rFonts w:cs="Arial"/>
                            <w:sz w:val="16"/>
                            <w:szCs w:val="16"/>
                          </w:rPr>
                        </w:pPr>
                        <w:r w:rsidRPr="00DB671B">
                          <w:rPr>
                            <w:rFonts w:cs="Arial"/>
                            <w:sz w:val="16"/>
                            <w:szCs w:val="16"/>
                          </w:rPr>
                          <w:t>Pastèque</w:t>
                        </w:r>
                      </w:p>
                    </w:tc>
                  </w:tr>
                  <w:tr w:rsidR="00DB671B" w:rsidRPr="00DB671B" w:rsidTr="00DB671B">
                    <w:tc>
                      <w:tcPr>
                        <w:tcW w:w="1230" w:type="dxa"/>
                        <w:tcMar>
                          <w:top w:w="0" w:type="dxa"/>
                          <w:left w:w="0" w:type="dxa"/>
                          <w:bottom w:w="0" w:type="dxa"/>
                          <w:right w:w="0" w:type="dxa"/>
                        </w:tcMar>
                      </w:tcPr>
                      <w:p w:rsidR="00850B27" w:rsidRPr="00DB671B" w:rsidRDefault="00850B27" w:rsidP="00DB671B">
                        <w:pPr>
                          <w:spacing w:before="20" w:after="20"/>
                          <w:jc w:val="left"/>
                          <w:rPr>
                            <w:rFonts w:cs="Arial"/>
                            <w:sz w:val="16"/>
                            <w:szCs w:val="16"/>
                          </w:rPr>
                        </w:pPr>
                      </w:p>
                    </w:tc>
                  </w:tr>
                </w:tbl>
                <w:p w:rsidR="00850B27" w:rsidRPr="00DB671B" w:rsidRDefault="00850B27" w:rsidP="00DB671B">
                  <w:pPr>
                    <w:spacing w:before="20" w:after="20"/>
                    <w:jc w:val="left"/>
                    <w:rPr>
                      <w:rFonts w:cs="Arial"/>
                      <w:sz w:val="16"/>
                      <w:szCs w:val="16"/>
                    </w:rPr>
                  </w:pP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850B27" w:rsidRPr="00DB671B" w:rsidRDefault="00850B27" w:rsidP="00DB671B">
                  <w:pPr>
                    <w:spacing w:before="20" w:after="20"/>
                    <w:jc w:val="left"/>
                    <w:rPr>
                      <w:rFonts w:cs="Arial"/>
                      <w:sz w:val="16"/>
                      <w:szCs w:val="16"/>
                    </w:rPr>
                  </w:pPr>
                  <w:r w:rsidRPr="00DB671B">
                    <w:rPr>
                      <w:rFonts w:cs="Arial"/>
                      <w:sz w:val="16"/>
                      <w:szCs w:val="16"/>
                    </w:rPr>
                    <w:t>Wassermelone</w:t>
                  </w:r>
                </w:p>
                <w:tbl>
                  <w:tblPr>
                    <w:tblW w:w="1560" w:type="dxa"/>
                    <w:tblLayout w:type="fixed"/>
                    <w:tblCellMar>
                      <w:left w:w="0" w:type="dxa"/>
                      <w:right w:w="0" w:type="dxa"/>
                    </w:tblCellMar>
                    <w:tblLook w:val="01E0" w:firstRow="1" w:lastRow="1" w:firstColumn="1" w:lastColumn="1" w:noHBand="0" w:noVBand="0"/>
                  </w:tblPr>
                  <w:tblGrid>
                    <w:gridCol w:w="1560"/>
                  </w:tblGrid>
                  <w:tr w:rsidR="00DB671B" w:rsidRPr="00DB671B" w:rsidTr="00DB671B">
                    <w:tc>
                      <w:tcPr>
                        <w:tcW w:w="1560" w:type="dxa"/>
                        <w:tcMar>
                          <w:top w:w="0" w:type="dxa"/>
                          <w:left w:w="0" w:type="dxa"/>
                          <w:bottom w:w="0" w:type="dxa"/>
                          <w:right w:w="0" w:type="dxa"/>
                        </w:tcMar>
                      </w:tcPr>
                      <w:p w:rsidR="00850B27" w:rsidRPr="00DB671B" w:rsidRDefault="00850B27" w:rsidP="00DB671B">
                        <w:pPr>
                          <w:spacing w:before="20" w:after="20"/>
                          <w:jc w:val="left"/>
                          <w:rPr>
                            <w:rFonts w:cs="Arial"/>
                            <w:sz w:val="16"/>
                            <w:szCs w:val="16"/>
                          </w:rPr>
                        </w:pPr>
                      </w:p>
                    </w:tc>
                  </w:tr>
                </w:tbl>
                <w:p w:rsidR="00850B27" w:rsidRPr="00DB671B" w:rsidRDefault="00850B27" w:rsidP="00DB671B">
                  <w:pPr>
                    <w:spacing w:before="20" w:after="20"/>
                    <w:jc w:val="left"/>
                    <w:rPr>
                      <w:rFonts w:cs="Arial"/>
                      <w:sz w:val="16"/>
                      <w:szCs w:val="16"/>
                    </w:rPr>
                  </w:pP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850B27" w:rsidRPr="00DB671B" w:rsidRDefault="00850B27" w:rsidP="00DB671B">
                  <w:pPr>
                    <w:spacing w:before="20" w:after="20"/>
                    <w:jc w:val="left"/>
                    <w:rPr>
                      <w:rFonts w:cs="Arial"/>
                      <w:sz w:val="16"/>
                      <w:szCs w:val="16"/>
                    </w:rPr>
                  </w:pPr>
                  <w:r w:rsidRPr="00DB671B">
                    <w:rPr>
                      <w:rFonts w:cs="Arial"/>
                      <w:sz w:val="16"/>
                      <w:szCs w:val="16"/>
                    </w:rPr>
                    <w:t>Sandía</w:t>
                  </w:r>
                </w:p>
                <w:tbl>
                  <w:tblPr>
                    <w:tblW w:w="1320" w:type="dxa"/>
                    <w:tblLayout w:type="fixed"/>
                    <w:tblCellMar>
                      <w:left w:w="0" w:type="dxa"/>
                      <w:right w:w="0" w:type="dxa"/>
                    </w:tblCellMar>
                    <w:tblLook w:val="01E0" w:firstRow="1" w:lastRow="1" w:firstColumn="1" w:lastColumn="1" w:noHBand="0" w:noVBand="0"/>
                  </w:tblPr>
                  <w:tblGrid>
                    <w:gridCol w:w="1320"/>
                  </w:tblGrid>
                  <w:tr w:rsidR="00DB671B" w:rsidRPr="00DB671B" w:rsidTr="00DB671B">
                    <w:tc>
                      <w:tcPr>
                        <w:tcW w:w="1320" w:type="dxa"/>
                        <w:tcMar>
                          <w:top w:w="0" w:type="dxa"/>
                          <w:left w:w="0" w:type="dxa"/>
                          <w:bottom w:w="0" w:type="dxa"/>
                          <w:right w:w="0" w:type="dxa"/>
                        </w:tcMar>
                      </w:tcPr>
                      <w:p w:rsidR="00850B27" w:rsidRPr="00DB671B" w:rsidRDefault="00850B27" w:rsidP="00DB671B">
                        <w:pPr>
                          <w:spacing w:before="20" w:after="20"/>
                          <w:jc w:val="left"/>
                          <w:rPr>
                            <w:rFonts w:cs="Arial"/>
                            <w:sz w:val="16"/>
                            <w:szCs w:val="16"/>
                          </w:rPr>
                        </w:pPr>
                      </w:p>
                    </w:tc>
                  </w:tr>
                </w:tbl>
                <w:p w:rsidR="00850B27" w:rsidRPr="00DB671B" w:rsidRDefault="00850B27" w:rsidP="00DB671B">
                  <w:pPr>
                    <w:spacing w:before="20" w:after="20"/>
                    <w:jc w:val="left"/>
                    <w:rPr>
                      <w:rFonts w:cs="Arial"/>
                      <w:sz w:val="16"/>
                      <w:szCs w:val="16"/>
                    </w:rPr>
                  </w:pPr>
                </w:p>
              </w:tc>
              <w:tc>
                <w:tcPr>
                  <w:tcW w:w="154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850B27" w:rsidRPr="00DB671B" w:rsidRDefault="00850B27" w:rsidP="00DB671B">
                  <w:pPr>
                    <w:spacing w:before="20" w:after="20"/>
                    <w:jc w:val="left"/>
                    <w:rPr>
                      <w:vanish/>
                    </w:rPr>
                  </w:pPr>
                </w:p>
                <w:tbl>
                  <w:tblPr>
                    <w:tblW w:w="1545" w:type="dxa"/>
                    <w:tblLayout w:type="fixed"/>
                    <w:tblCellMar>
                      <w:left w:w="0" w:type="dxa"/>
                      <w:right w:w="0" w:type="dxa"/>
                    </w:tblCellMar>
                    <w:tblLook w:val="01E0" w:firstRow="1" w:lastRow="1" w:firstColumn="1" w:lastColumn="1" w:noHBand="0" w:noVBand="0"/>
                  </w:tblPr>
                  <w:tblGrid>
                    <w:gridCol w:w="1545"/>
                  </w:tblGrid>
                  <w:tr w:rsidR="00DB671B" w:rsidRPr="00DB671B" w:rsidTr="00DB671B">
                    <w:tc>
                      <w:tcPr>
                        <w:tcW w:w="1545" w:type="dxa"/>
                        <w:shd w:val="clear" w:color="auto" w:fill="auto"/>
                        <w:tcMar>
                          <w:top w:w="0" w:type="dxa"/>
                          <w:left w:w="0" w:type="dxa"/>
                          <w:bottom w:w="0" w:type="dxa"/>
                          <w:right w:w="0" w:type="dxa"/>
                        </w:tcMar>
                      </w:tcPr>
                      <w:p w:rsidR="00850B27" w:rsidRPr="00DB671B" w:rsidRDefault="00850B27" w:rsidP="00DB671B">
                        <w:pPr>
                          <w:jc w:val="left"/>
                          <w:rPr>
                            <w:sz w:val="16"/>
                          </w:rPr>
                        </w:pPr>
                        <w:r w:rsidRPr="00DB671B">
                          <w:rPr>
                            <w:i/>
                            <w:sz w:val="16"/>
                            <w:shd w:val="clear" w:color="auto" w:fill="FFFFFF"/>
                          </w:rPr>
                          <w:t>Citrullus lanatus</w:t>
                        </w:r>
                        <w:r w:rsidRPr="00DB671B">
                          <w:rPr>
                            <w:sz w:val="16"/>
                            <w:shd w:val="clear" w:color="auto" w:fill="FFFFFF"/>
                          </w:rPr>
                          <w:t xml:space="preserve"> (Thunb.) Matsum. et Nakai</w:t>
                        </w:r>
                      </w:p>
                    </w:tc>
                  </w:tr>
                </w:tbl>
                <w:p w:rsidR="00850B27" w:rsidRPr="00DB671B" w:rsidRDefault="00850B27" w:rsidP="00DB671B">
                  <w:pPr>
                    <w:spacing w:before="20" w:after="20" w:line="1" w:lineRule="auto"/>
                    <w:jc w:val="left"/>
                  </w:pPr>
                </w:p>
              </w:tc>
            </w:tr>
            <w:tr w:rsidR="00DB671B" w:rsidRPr="00DB671B" w:rsidTr="00DB671B">
              <w:trPr>
                <w:hidden/>
              </w:trPr>
              <w:tc>
                <w:tcPr>
                  <w:tcW w:w="5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50B27" w:rsidRPr="00DB671B" w:rsidRDefault="00850B27" w:rsidP="00DB671B">
                  <w:pPr>
                    <w:spacing w:before="20" w:after="20"/>
                    <w:rPr>
                      <w:vanish/>
                    </w:rPr>
                  </w:pPr>
                </w:p>
                <w:tbl>
                  <w:tblPr>
                    <w:tblW w:w="540" w:type="dxa"/>
                    <w:tblLayout w:type="fixed"/>
                    <w:tblCellMar>
                      <w:left w:w="0" w:type="dxa"/>
                      <w:right w:w="0" w:type="dxa"/>
                    </w:tblCellMar>
                    <w:tblLook w:val="01E0" w:firstRow="1" w:lastRow="1" w:firstColumn="1" w:lastColumn="1" w:noHBand="0" w:noVBand="0"/>
                  </w:tblPr>
                  <w:tblGrid>
                    <w:gridCol w:w="540"/>
                  </w:tblGrid>
                  <w:tr w:rsidR="00DB671B" w:rsidRPr="00DB671B" w:rsidTr="00DB671B">
                    <w:tc>
                      <w:tcPr>
                        <w:tcW w:w="540" w:type="dxa"/>
                        <w:tcMar>
                          <w:top w:w="0" w:type="dxa"/>
                          <w:left w:w="0" w:type="dxa"/>
                          <w:bottom w:w="0" w:type="dxa"/>
                          <w:right w:w="0" w:type="dxa"/>
                        </w:tcMar>
                      </w:tcPr>
                      <w:p w:rsidR="00850B27" w:rsidRPr="00DB671B" w:rsidRDefault="00850B27" w:rsidP="00DB671B">
                        <w:pPr>
                          <w:spacing w:before="20" w:after="20"/>
                          <w:rPr>
                            <w:rFonts w:cs="Arial"/>
                            <w:sz w:val="16"/>
                            <w:szCs w:val="16"/>
                          </w:rPr>
                        </w:pPr>
                        <w:r w:rsidRPr="00DB671B">
                          <w:rPr>
                            <w:rFonts w:cs="Arial"/>
                            <w:sz w:val="16"/>
                            <w:szCs w:val="16"/>
                          </w:rPr>
                          <w:t>ES</w:t>
                        </w:r>
                      </w:p>
                      <w:p w:rsidR="00850B27" w:rsidRPr="00DB671B" w:rsidRDefault="00850B27" w:rsidP="00DB671B">
                        <w:pPr>
                          <w:spacing w:before="20" w:after="20" w:line="1" w:lineRule="auto"/>
                        </w:pPr>
                      </w:p>
                    </w:tc>
                  </w:tr>
                </w:tbl>
                <w:p w:rsidR="00850B27" w:rsidRPr="00DB671B" w:rsidRDefault="00850B27" w:rsidP="00DB671B">
                  <w:pPr>
                    <w:spacing w:before="20" w:after="20" w:line="1" w:lineRule="auto"/>
                  </w:pPr>
                </w:p>
              </w:tc>
              <w:tc>
                <w:tcPr>
                  <w:tcW w:w="72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50B27" w:rsidRPr="00DB671B" w:rsidRDefault="00850B27" w:rsidP="00DB671B">
                  <w:pPr>
                    <w:spacing w:before="20" w:after="20"/>
                    <w:jc w:val="left"/>
                    <w:rPr>
                      <w:vanish/>
                    </w:rPr>
                  </w:pPr>
                </w:p>
                <w:tbl>
                  <w:tblPr>
                    <w:tblW w:w="975" w:type="dxa"/>
                    <w:tblLayout w:type="fixed"/>
                    <w:tblCellMar>
                      <w:left w:w="0" w:type="dxa"/>
                      <w:right w:w="0" w:type="dxa"/>
                    </w:tblCellMar>
                    <w:tblLook w:val="01E0" w:firstRow="1" w:lastRow="1" w:firstColumn="1" w:lastColumn="1" w:noHBand="0" w:noVBand="0"/>
                  </w:tblPr>
                  <w:tblGrid>
                    <w:gridCol w:w="975"/>
                  </w:tblGrid>
                  <w:tr w:rsidR="00DB671B" w:rsidRPr="00DB671B" w:rsidTr="00DB671B">
                    <w:tc>
                      <w:tcPr>
                        <w:tcW w:w="975" w:type="dxa"/>
                        <w:tcMar>
                          <w:top w:w="0" w:type="dxa"/>
                          <w:left w:w="0" w:type="dxa"/>
                          <w:bottom w:w="0" w:type="dxa"/>
                          <w:right w:w="0" w:type="dxa"/>
                        </w:tcMar>
                      </w:tcPr>
                      <w:p w:rsidR="00850B27" w:rsidRPr="00DB671B" w:rsidRDefault="00850B27" w:rsidP="00DB671B">
                        <w:pPr>
                          <w:spacing w:before="20" w:after="20"/>
                          <w:jc w:val="left"/>
                          <w:rPr>
                            <w:rFonts w:cs="Arial"/>
                            <w:sz w:val="16"/>
                            <w:szCs w:val="16"/>
                          </w:rPr>
                        </w:pPr>
                        <w:r w:rsidRPr="00DB671B">
                          <w:rPr>
                            <w:rFonts w:cs="Arial"/>
                            <w:sz w:val="16"/>
                            <w:szCs w:val="16"/>
                          </w:rPr>
                          <w:t>TWF</w:t>
                        </w:r>
                      </w:p>
                      <w:p w:rsidR="00850B27" w:rsidRPr="00DB671B" w:rsidRDefault="00850B27" w:rsidP="00DB671B">
                        <w:pPr>
                          <w:spacing w:before="20" w:after="20" w:line="1" w:lineRule="auto"/>
                          <w:jc w:val="left"/>
                        </w:pPr>
                      </w:p>
                    </w:tc>
                  </w:tr>
                </w:tbl>
                <w:p w:rsidR="00850B27" w:rsidRPr="00DB671B" w:rsidRDefault="00850B27" w:rsidP="00DB671B">
                  <w:pPr>
                    <w:spacing w:before="20" w:after="20" w:line="1" w:lineRule="auto"/>
                    <w:jc w:val="left"/>
                  </w:pPr>
                </w:p>
              </w:tc>
              <w:tc>
                <w:tcPr>
                  <w:tcW w:w="14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50B27" w:rsidRPr="00DB671B" w:rsidRDefault="00850B27" w:rsidP="00DB671B">
                  <w:pPr>
                    <w:spacing w:before="20" w:after="20"/>
                    <w:ind w:right="-13"/>
                    <w:jc w:val="left"/>
                    <w:rPr>
                      <w:vanish/>
                    </w:rPr>
                  </w:pPr>
                </w:p>
                <w:tbl>
                  <w:tblPr>
                    <w:tblW w:w="1413" w:type="dxa"/>
                    <w:tblLayout w:type="fixed"/>
                    <w:tblCellMar>
                      <w:left w:w="0" w:type="dxa"/>
                      <w:right w:w="0" w:type="dxa"/>
                    </w:tblCellMar>
                    <w:tblLook w:val="01E0" w:firstRow="1" w:lastRow="1" w:firstColumn="1" w:lastColumn="1" w:noHBand="0" w:noVBand="0"/>
                  </w:tblPr>
                  <w:tblGrid>
                    <w:gridCol w:w="1413"/>
                  </w:tblGrid>
                  <w:tr w:rsidR="00DB671B" w:rsidRPr="00DB671B" w:rsidTr="00DB671B">
                    <w:tc>
                      <w:tcPr>
                        <w:tcW w:w="1413" w:type="dxa"/>
                        <w:tcMar>
                          <w:top w:w="0" w:type="dxa"/>
                          <w:left w:w="0" w:type="dxa"/>
                          <w:bottom w:w="0" w:type="dxa"/>
                          <w:right w:w="0" w:type="dxa"/>
                        </w:tcMar>
                      </w:tcPr>
                      <w:p w:rsidR="00850B27" w:rsidRPr="00DB671B" w:rsidRDefault="00850B27" w:rsidP="00DB671B">
                        <w:pPr>
                          <w:spacing w:before="20" w:after="20"/>
                          <w:ind w:right="-13"/>
                          <w:jc w:val="left"/>
                          <w:rPr>
                            <w:rFonts w:cs="Arial"/>
                            <w:sz w:val="16"/>
                            <w:szCs w:val="16"/>
                          </w:rPr>
                        </w:pPr>
                        <w:r w:rsidRPr="00DB671B">
                          <w:rPr>
                            <w:rFonts w:cs="Arial"/>
                            <w:sz w:val="16"/>
                            <w:szCs w:val="16"/>
                          </w:rPr>
                          <w:t>TG/202/1 Rev. 2 (proj.2)</w:t>
                        </w:r>
                      </w:p>
                      <w:p w:rsidR="00850B27" w:rsidRPr="00DB671B" w:rsidRDefault="00850B27" w:rsidP="00DB671B">
                        <w:pPr>
                          <w:spacing w:before="20" w:after="20" w:line="1" w:lineRule="auto"/>
                          <w:ind w:right="-13"/>
                          <w:jc w:val="left"/>
                        </w:pPr>
                      </w:p>
                    </w:tc>
                  </w:tr>
                </w:tbl>
                <w:p w:rsidR="00850B27" w:rsidRPr="00DB671B" w:rsidRDefault="00850B27" w:rsidP="00DB671B">
                  <w:pPr>
                    <w:spacing w:before="20" w:after="20" w:line="1" w:lineRule="auto"/>
                    <w:ind w:right="-13"/>
                    <w:jc w:val="left"/>
                  </w:pPr>
                </w:p>
              </w:tc>
              <w:tc>
                <w:tcPr>
                  <w:tcW w:w="15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50B27" w:rsidRPr="00DB671B" w:rsidRDefault="00850B27" w:rsidP="00DB671B">
                  <w:pPr>
                    <w:spacing w:before="20" w:after="20"/>
                    <w:jc w:val="left"/>
                    <w:rPr>
                      <w:vanish/>
                    </w:rPr>
                  </w:pPr>
                </w:p>
                <w:tbl>
                  <w:tblPr>
                    <w:tblW w:w="1545" w:type="dxa"/>
                    <w:tblLayout w:type="fixed"/>
                    <w:tblCellMar>
                      <w:left w:w="0" w:type="dxa"/>
                      <w:right w:w="0" w:type="dxa"/>
                    </w:tblCellMar>
                    <w:tblLook w:val="01E0" w:firstRow="1" w:lastRow="1" w:firstColumn="1" w:lastColumn="1" w:noHBand="0" w:noVBand="0"/>
                  </w:tblPr>
                  <w:tblGrid>
                    <w:gridCol w:w="1545"/>
                  </w:tblGrid>
                  <w:tr w:rsidR="00DB671B" w:rsidRPr="00DB671B" w:rsidTr="00DB671B">
                    <w:tc>
                      <w:tcPr>
                        <w:tcW w:w="1545" w:type="dxa"/>
                        <w:tcMar>
                          <w:top w:w="0" w:type="dxa"/>
                          <w:left w:w="0" w:type="dxa"/>
                          <w:bottom w:w="0" w:type="dxa"/>
                          <w:right w:w="0" w:type="dxa"/>
                        </w:tcMar>
                      </w:tcPr>
                      <w:p w:rsidR="00850B27" w:rsidRPr="00DB671B" w:rsidRDefault="00850B27" w:rsidP="00DB671B">
                        <w:pPr>
                          <w:spacing w:before="20" w:after="20"/>
                          <w:jc w:val="left"/>
                          <w:rPr>
                            <w:rFonts w:cs="Arial"/>
                            <w:sz w:val="16"/>
                            <w:szCs w:val="16"/>
                          </w:rPr>
                        </w:pPr>
                        <w:r w:rsidRPr="00DB671B">
                          <w:rPr>
                            <w:rFonts w:cs="Arial"/>
                            <w:sz w:val="16"/>
                            <w:szCs w:val="16"/>
                          </w:rPr>
                          <w:t>Oranges</w:t>
                        </w:r>
                      </w:p>
                      <w:p w:rsidR="00850B27" w:rsidRPr="00DB671B" w:rsidRDefault="00850B27" w:rsidP="00DB671B">
                        <w:pPr>
                          <w:spacing w:before="20" w:after="20" w:line="1" w:lineRule="auto"/>
                          <w:jc w:val="left"/>
                        </w:pPr>
                      </w:p>
                    </w:tc>
                  </w:tr>
                </w:tbl>
                <w:p w:rsidR="00850B27" w:rsidRPr="00DB671B" w:rsidRDefault="00850B27" w:rsidP="00DB671B">
                  <w:pPr>
                    <w:spacing w:before="20" w:after="20" w:line="1" w:lineRule="auto"/>
                    <w:jc w:val="left"/>
                  </w:pPr>
                </w:p>
              </w:tc>
              <w:tc>
                <w:tcPr>
                  <w:tcW w:w="12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1230" w:type="dxa"/>
                    <w:tblLayout w:type="fixed"/>
                    <w:tblCellMar>
                      <w:left w:w="0" w:type="dxa"/>
                      <w:right w:w="0" w:type="dxa"/>
                    </w:tblCellMar>
                    <w:tblLook w:val="01E0" w:firstRow="1" w:lastRow="1" w:firstColumn="1" w:lastColumn="1" w:noHBand="0" w:noVBand="0"/>
                  </w:tblPr>
                  <w:tblGrid>
                    <w:gridCol w:w="1230"/>
                  </w:tblGrid>
                  <w:tr w:rsidR="00DB671B" w:rsidRPr="00DB671B" w:rsidTr="00DB671B">
                    <w:tc>
                      <w:tcPr>
                        <w:tcW w:w="1230" w:type="dxa"/>
                        <w:tcMar>
                          <w:top w:w="0" w:type="dxa"/>
                          <w:left w:w="0" w:type="dxa"/>
                          <w:bottom w:w="0" w:type="dxa"/>
                          <w:right w:w="0" w:type="dxa"/>
                        </w:tcMar>
                      </w:tcPr>
                      <w:p w:rsidR="00850B27" w:rsidRPr="00DB671B" w:rsidRDefault="00850B27" w:rsidP="00DB671B">
                        <w:pPr>
                          <w:spacing w:before="20" w:after="20"/>
                          <w:jc w:val="left"/>
                          <w:rPr>
                            <w:rFonts w:cs="Arial"/>
                            <w:sz w:val="16"/>
                            <w:szCs w:val="16"/>
                          </w:rPr>
                        </w:pPr>
                        <w:r w:rsidRPr="00DB671B">
                          <w:rPr>
                            <w:rFonts w:cs="Arial"/>
                            <w:sz w:val="16"/>
                            <w:szCs w:val="16"/>
                          </w:rPr>
                          <w:t>Oranger</w:t>
                        </w:r>
                      </w:p>
                    </w:tc>
                  </w:tr>
                  <w:tr w:rsidR="00DB671B" w:rsidRPr="00DB671B" w:rsidTr="00DB671B">
                    <w:tc>
                      <w:tcPr>
                        <w:tcW w:w="1230" w:type="dxa"/>
                        <w:tcMar>
                          <w:top w:w="0" w:type="dxa"/>
                          <w:left w:w="0" w:type="dxa"/>
                          <w:bottom w:w="0" w:type="dxa"/>
                          <w:right w:w="0" w:type="dxa"/>
                        </w:tcMar>
                      </w:tcPr>
                      <w:p w:rsidR="00850B27" w:rsidRPr="00DB671B" w:rsidRDefault="00850B27" w:rsidP="00DB671B">
                        <w:pPr>
                          <w:spacing w:before="20" w:after="20"/>
                          <w:jc w:val="left"/>
                          <w:rPr>
                            <w:rFonts w:cs="Arial"/>
                            <w:sz w:val="16"/>
                            <w:szCs w:val="16"/>
                          </w:rPr>
                        </w:pPr>
                      </w:p>
                    </w:tc>
                  </w:tr>
                </w:tbl>
                <w:p w:rsidR="00850B27" w:rsidRPr="00DB671B" w:rsidRDefault="00850B27" w:rsidP="00DB671B">
                  <w:pPr>
                    <w:spacing w:before="20" w:after="20"/>
                    <w:jc w:val="left"/>
                    <w:rPr>
                      <w:rFonts w:cs="Arial"/>
                      <w:sz w:val="16"/>
                      <w:szCs w:val="16"/>
                    </w:rPr>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50B27" w:rsidRPr="00DB671B" w:rsidRDefault="00850B27" w:rsidP="00DB671B">
                  <w:pPr>
                    <w:spacing w:before="20" w:after="20"/>
                    <w:jc w:val="left"/>
                    <w:rPr>
                      <w:rFonts w:cs="Arial"/>
                      <w:sz w:val="16"/>
                      <w:szCs w:val="16"/>
                    </w:rPr>
                  </w:pPr>
                  <w:r w:rsidRPr="00DB671B">
                    <w:rPr>
                      <w:rFonts w:cs="Arial"/>
                      <w:sz w:val="16"/>
                      <w:szCs w:val="16"/>
                    </w:rPr>
                    <w:t>Orangen</w:t>
                  </w:r>
                </w:p>
                <w:tbl>
                  <w:tblPr>
                    <w:tblW w:w="1560" w:type="dxa"/>
                    <w:tblLayout w:type="fixed"/>
                    <w:tblCellMar>
                      <w:left w:w="0" w:type="dxa"/>
                      <w:right w:w="0" w:type="dxa"/>
                    </w:tblCellMar>
                    <w:tblLook w:val="01E0" w:firstRow="1" w:lastRow="1" w:firstColumn="1" w:lastColumn="1" w:noHBand="0" w:noVBand="0"/>
                  </w:tblPr>
                  <w:tblGrid>
                    <w:gridCol w:w="1560"/>
                  </w:tblGrid>
                  <w:tr w:rsidR="00DB671B" w:rsidRPr="00DB671B" w:rsidTr="00DB671B">
                    <w:tc>
                      <w:tcPr>
                        <w:tcW w:w="1560" w:type="dxa"/>
                        <w:tcMar>
                          <w:top w:w="0" w:type="dxa"/>
                          <w:left w:w="0" w:type="dxa"/>
                          <w:bottom w:w="0" w:type="dxa"/>
                          <w:right w:w="0" w:type="dxa"/>
                        </w:tcMar>
                      </w:tcPr>
                      <w:p w:rsidR="00850B27" w:rsidRPr="00DB671B" w:rsidRDefault="00850B27" w:rsidP="00DB671B">
                        <w:pPr>
                          <w:spacing w:before="20" w:after="20"/>
                          <w:jc w:val="left"/>
                          <w:rPr>
                            <w:rFonts w:cs="Arial"/>
                            <w:sz w:val="16"/>
                            <w:szCs w:val="16"/>
                          </w:rPr>
                        </w:pPr>
                      </w:p>
                    </w:tc>
                  </w:tr>
                </w:tbl>
                <w:p w:rsidR="00850B27" w:rsidRPr="00DB671B" w:rsidRDefault="00850B27" w:rsidP="00DB671B">
                  <w:pPr>
                    <w:spacing w:before="20" w:after="20"/>
                    <w:jc w:val="left"/>
                    <w:rPr>
                      <w:rFonts w:cs="Arial"/>
                      <w:sz w:val="16"/>
                      <w:szCs w:val="16"/>
                    </w:rPr>
                  </w:pPr>
                </w:p>
              </w:tc>
              <w:tc>
                <w:tcPr>
                  <w:tcW w:w="13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50B27" w:rsidRPr="00DB671B" w:rsidRDefault="00850B27" w:rsidP="00DB671B">
                  <w:pPr>
                    <w:spacing w:before="20" w:after="20"/>
                    <w:jc w:val="left"/>
                    <w:rPr>
                      <w:rFonts w:cs="Arial"/>
                      <w:sz w:val="16"/>
                      <w:szCs w:val="16"/>
                    </w:rPr>
                  </w:pPr>
                  <w:r w:rsidRPr="00DB671B">
                    <w:rPr>
                      <w:rFonts w:cs="Arial"/>
                      <w:sz w:val="16"/>
                      <w:szCs w:val="16"/>
                    </w:rPr>
                    <w:t>Naranjo</w:t>
                  </w:r>
                </w:p>
                <w:tbl>
                  <w:tblPr>
                    <w:tblW w:w="1320" w:type="dxa"/>
                    <w:tblLayout w:type="fixed"/>
                    <w:tblCellMar>
                      <w:left w:w="0" w:type="dxa"/>
                      <w:right w:w="0" w:type="dxa"/>
                    </w:tblCellMar>
                    <w:tblLook w:val="01E0" w:firstRow="1" w:lastRow="1" w:firstColumn="1" w:lastColumn="1" w:noHBand="0" w:noVBand="0"/>
                  </w:tblPr>
                  <w:tblGrid>
                    <w:gridCol w:w="1320"/>
                  </w:tblGrid>
                  <w:tr w:rsidR="00DB671B" w:rsidRPr="00DB671B" w:rsidTr="00DB671B">
                    <w:tc>
                      <w:tcPr>
                        <w:tcW w:w="1320" w:type="dxa"/>
                        <w:tcMar>
                          <w:top w:w="0" w:type="dxa"/>
                          <w:left w:w="0" w:type="dxa"/>
                          <w:bottom w:w="0" w:type="dxa"/>
                          <w:right w:w="0" w:type="dxa"/>
                        </w:tcMar>
                      </w:tcPr>
                      <w:p w:rsidR="00850B27" w:rsidRPr="00DB671B" w:rsidRDefault="00850B27" w:rsidP="00DB671B">
                        <w:pPr>
                          <w:spacing w:before="20" w:after="20"/>
                          <w:jc w:val="left"/>
                          <w:rPr>
                            <w:rFonts w:cs="Arial"/>
                            <w:sz w:val="16"/>
                            <w:szCs w:val="16"/>
                          </w:rPr>
                        </w:pPr>
                      </w:p>
                    </w:tc>
                  </w:tr>
                </w:tbl>
                <w:p w:rsidR="00850B27" w:rsidRPr="00DB671B" w:rsidRDefault="00850B27" w:rsidP="00DB671B">
                  <w:pPr>
                    <w:spacing w:before="20" w:after="20"/>
                    <w:jc w:val="left"/>
                    <w:rPr>
                      <w:rFonts w:cs="Arial"/>
                      <w:sz w:val="16"/>
                      <w:szCs w:val="16"/>
                    </w:rPr>
                  </w:pPr>
                </w:p>
              </w:tc>
              <w:tc>
                <w:tcPr>
                  <w:tcW w:w="15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50B27" w:rsidRPr="00DB671B" w:rsidRDefault="00850B27" w:rsidP="00DB671B">
                  <w:pPr>
                    <w:spacing w:before="20" w:after="20"/>
                    <w:jc w:val="left"/>
                    <w:rPr>
                      <w:vanish/>
                    </w:rPr>
                  </w:pPr>
                </w:p>
                <w:tbl>
                  <w:tblPr>
                    <w:tblW w:w="1545" w:type="dxa"/>
                    <w:tblLayout w:type="fixed"/>
                    <w:tblCellMar>
                      <w:left w:w="0" w:type="dxa"/>
                      <w:right w:w="0" w:type="dxa"/>
                    </w:tblCellMar>
                    <w:tblLook w:val="01E0" w:firstRow="1" w:lastRow="1" w:firstColumn="1" w:lastColumn="1" w:noHBand="0" w:noVBand="0"/>
                  </w:tblPr>
                  <w:tblGrid>
                    <w:gridCol w:w="1545"/>
                  </w:tblGrid>
                  <w:tr w:rsidR="00DB671B" w:rsidRPr="00DB671B" w:rsidTr="00DB671B">
                    <w:tc>
                      <w:tcPr>
                        <w:tcW w:w="1545" w:type="dxa"/>
                        <w:tcMar>
                          <w:top w:w="0" w:type="dxa"/>
                          <w:left w:w="0" w:type="dxa"/>
                          <w:bottom w:w="0" w:type="dxa"/>
                          <w:right w:w="0" w:type="dxa"/>
                        </w:tcMar>
                      </w:tcPr>
                      <w:p w:rsidR="00850B27" w:rsidRPr="00DB671B" w:rsidRDefault="00850B27" w:rsidP="00DB671B">
                        <w:pPr>
                          <w:spacing w:before="20" w:after="20"/>
                          <w:jc w:val="left"/>
                          <w:rPr>
                            <w:rFonts w:cs="Arial"/>
                            <w:sz w:val="16"/>
                            <w:szCs w:val="16"/>
                          </w:rPr>
                        </w:pPr>
                        <w:r w:rsidRPr="001766FA">
                          <w:rPr>
                            <w:rStyle w:val="Emphasis"/>
                            <w:rFonts w:cs="Arial"/>
                            <w:sz w:val="16"/>
                            <w:szCs w:val="16"/>
                            <w:lang w:val="en-US"/>
                          </w:rPr>
                          <w:t>Citrusaurantium</w:t>
                        </w:r>
                        <w:r w:rsidRPr="001766FA">
                          <w:rPr>
                            <w:rFonts w:cs="Arial"/>
                            <w:sz w:val="16"/>
                            <w:szCs w:val="16"/>
                            <w:lang w:val="en-US"/>
                          </w:rPr>
                          <w:t> L., </w:t>
                        </w:r>
                        <w:r w:rsidRPr="001766FA">
                          <w:rPr>
                            <w:rFonts w:cs="Arial"/>
                            <w:sz w:val="16"/>
                            <w:szCs w:val="16"/>
                            <w:lang w:val="en-US"/>
                          </w:rPr>
                          <w:br/>
                        </w:r>
                        <w:r w:rsidRPr="001766FA">
                          <w:rPr>
                            <w:rStyle w:val="Emphasis"/>
                            <w:rFonts w:cs="Arial"/>
                            <w:sz w:val="16"/>
                            <w:szCs w:val="16"/>
                            <w:lang w:val="en-US"/>
                          </w:rPr>
                          <w:t>Citrus sinensis</w:t>
                        </w:r>
                        <w:r w:rsidRPr="001766FA">
                          <w:rPr>
                            <w:rFonts w:cs="Arial"/>
                            <w:sz w:val="16"/>
                            <w:szCs w:val="16"/>
                            <w:lang w:val="en-US"/>
                          </w:rPr>
                          <w:t xml:space="preserve"> (L.) </w:t>
                        </w:r>
                        <w:r w:rsidRPr="00DB671B">
                          <w:rPr>
                            <w:rFonts w:cs="Arial"/>
                            <w:sz w:val="16"/>
                            <w:szCs w:val="16"/>
                          </w:rPr>
                          <w:t>Osbeck</w:t>
                        </w:r>
                      </w:p>
                      <w:p w:rsidR="00850B27" w:rsidRPr="00DB671B" w:rsidRDefault="00850B27" w:rsidP="00DB671B">
                        <w:pPr>
                          <w:spacing w:before="20" w:after="20" w:line="1" w:lineRule="auto"/>
                          <w:jc w:val="left"/>
                        </w:pPr>
                      </w:p>
                    </w:tc>
                  </w:tr>
                </w:tbl>
                <w:p w:rsidR="00850B27" w:rsidRPr="00DB671B" w:rsidRDefault="00850B27" w:rsidP="00DB671B">
                  <w:pPr>
                    <w:spacing w:before="20" w:after="20" w:line="1" w:lineRule="auto"/>
                    <w:jc w:val="left"/>
                  </w:pPr>
                </w:p>
              </w:tc>
            </w:tr>
            <w:tr w:rsidR="00DB671B" w:rsidRPr="00DB671B" w:rsidTr="00DB671B">
              <w:trPr>
                <w:hidden/>
              </w:trPr>
              <w:tc>
                <w:tcPr>
                  <w:tcW w:w="5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50B27" w:rsidRPr="00DB671B" w:rsidRDefault="00850B27" w:rsidP="00DB671B">
                  <w:pPr>
                    <w:spacing w:before="20" w:after="20"/>
                    <w:rPr>
                      <w:vanish/>
                    </w:rPr>
                  </w:pPr>
                </w:p>
                <w:tbl>
                  <w:tblPr>
                    <w:tblW w:w="540" w:type="dxa"/>
                    <w:tblLayout w:type="fixed"/>
                    <w:tblCellMar>
                      <w:left w:w="0" w:type="dxa"/>
                      <w:right w:w="0" w:type="dxa"/>
                    </w:tblCellMar>
                    <w:tblLook w:val="01E0" w:firstRow="1" w:lastRow="1" w:firstColumn="1" w:lastColumn="1" w:noHBand="0" w:noVBand="0"/>
                  </w:tblPr>
                  <w:tblGrid>
                    <w:gridCol w:w="540"/>
                  </w:tblGrid>
                  <w:tr w:rsidR="00DB671B" w:rsidRPr="00DB671B" w:rsidTr="00DB671B">
                    <w:tc>
                      <w:tcPr>
                        <w:tcW w:w="540" w:type="dxa"/>
                        <w:tcMar>
                          <w:top w:w="0" w:type="dxa"/>
                          <w:left w:w="0" w:type="dxa"/>
                          <w:bottom w:w="0" w:type="dxa"/>
                          <w:right w:w="0" w:type="dxa"/>
                        </w:tcMar>
                      </w:tcPr>
                      <w:p w:rsidR="00850B27" w:rsidRPr="00DB671B" w:rsidRDefault="00850B27" w:rsidP="00DB671B">
                        <w:pPr>
                          <w:spacing w:before="20" w:after="20"/>
                          <w:rPr>
                            <w:rFonts w:cs="Arial"/>
                            <w:sz w:val="16"/>
                            <w:szCs w:val="16"/>
                          </w:rPr>
                        </w:pPr>
                        <w:r w:rsidRPr="00DB671B">
                          <w:rPr>
                            <w:rFonts w:cs="Arial"/>
                            <w:sz w:val="16"/>
                            <w:szCs w:val="16"/>
                          </w:rPr>
                          <w:t>ES</w:t>
                        </w:r>
                      </w:p>
                      <w:p w:rsidR="00850B27" w:rsidRPr="00DB671B" w:rsidRDefault="00850B27" w:rsidP="00DB671B">
                        <w:pPr>
                          <w:spacing w:before="20" w:after="20" w:line="1" w:lineRule="auto"/>
                        </w:pPr>
                      </w:p>
                    </w:tc>
                  </w:tr>
                </w:tbl>
                <w:p w:rsidR="00850B27" w:rsidRPr="00DB671B" w:rsidRDefault="00850B27" w:rsidP="00DB671B">
                  <w:pPr>
                    <w:spacing w:before="20" w:after="20" w:line="1" w:lineRule="auto"/>
                  </w:pPr>
                </w:p>
              </w:tc>
              <w:tc>
                <w:tcPr>
                  <w:tcW w:w="72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50B27" w:rsidRPr="00DB671B" w:rsidRDefault="00850B27" w:rsidP="00DB671B">
                  <w:pPr>
                    <w:spacing w:before="20" w:after="20"/>
                    <w:jc w:val="left"/>
                    <w:rPr>
                      <w:vanish/>
                    </w:rPr>
                  </w:pPr>
                </w:p>
                <w:tbl>
                  <w:tblPr>
                    <w:tblW w:w="975" w:type="dxa"/>
                    <w:tblLayout w:type="fixed"/>
                    <w:tblCellMar>
                      <w:left w:w="0" w:type="dxa"/>
                      <w:right w:w="0" w:type="dxa"/>
                    </w:tblCellMar>
                    <w:tblLook w:val="01E0" w:firstRow="1" w:lastRow="1" w:firstColumn="1" w:lastColumn="1" w:noHBand="0" w:noVBand="0"/>
                  </w:tblPr>
                  <w:tblGrid>
                    <w:gridCol w:w="975"/>
                  </w:tblGrid>
                  <w:tr w:rsidR="00DB671B" w:rsidRPr="00DB671B" w:rsidTr="00DB671B">
                    <w:tc>
                      <w:tcPr>
                        <w:tcW w:w="975" w:type="dxa"/>
                        <w:tcMar>
                          <w:top w:w="0" w:type="dxa"/>
                          <w:left w:w="0" w:type="dxa"/>
                          <w:bottom w:w="0" w:type="dxa"/>
                          <w:right w:w="0" w:type="dxa"/>
                        </w:tcMar>
                      </w:tcPr>
                      <w:p w:rsidR="00850B27" w:rsidRPr="00DB671B" w:rsidRDefault="00850B27" w:rsidP="00DB671B">
                        <w:pPr>
                          <w:spacing w:before="20" w:after="20"/>
                          <w:jc w:val="left"/>
                          <w:rPr>
                            <w:rFonts w:cs="Arial"/>
                            <w:sz w:val="16"/>
                            <w:szCs w:val="16"/>
                          </w:rPr>
                        </w:pPr>
                        <w:r w:rsidRPr="00DB671B">
                          <w:rPr>
                            <w:rFonts w:cs="Arial"/>
                            <w:sz w:val="16"/>
                            <w:szCs w:val="16"/>
                          </w:rPr>
                          <w:t>TWF</w:t>
                        </w:r>
                      </w:p>
                      <w:p w:rsidR="00850B27" w:rsidRPr="00DB671B" w:rsidRDefault="00850B27" w:rsidP="00DB671B">
                        <w:pPr>
                          <w:spacing w:before="20" w:after="20" w:line="1" w:lineRule="auto"/>
                          <w:jc w:val="left"/>
                        </w:pPr>
                      </w:p>
                    </w:tc>
                  </w:tr>
                </w:tbl>
                <w:p w:rsidR="00850B27" w:rsidRPr="00DB671B" w:rsidRDefault="00850B27" w:rsidP="00DB671B">
                  <w:pPr>
                    <w:spacing w:before="20" w:after="20" w:line="1" w:lineRule="auto"/>
                    <w:jc w:val="left"/>
                  </w:pPr>
                </w:p>
              </w:tc>
              <w:tc>
                <w:tcPr>
                  <w:tcW w:w="14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50B27" w:rsidRPr="00DB671B" w:rsidRDefault="00850B27" w:rsidP="00DB671B">
                  <w:pPr>
                    <w:spacing w:before="20" w:after="20"/>
                    <w:ind w:right="-13"/>
                    <w:jc w:val="left"/>
                    <w:rPr>
                      <w:vanish/>
                    </w:rPr>
                  </w:pPr>
                </w:p>
                <w:tbl>
                  <w:tblPr>
                    <w:tblW w:w="1413" w:type="dxa"/>
                    <w:tblLayout w:type="fixed"/>
                    <w:tblCellMar>
                      <w:left w:w="0" w:type="dxa"/>
                      <w:right w:w="0" w:type="dxa"/>
                    </w:tblCellMar>
                    <w:tblLook w:val="01E0" w:firstRow="1" w:lastRow="1" w:firstColumn="1" w:lastColumn="1" w:noHBand="0" w:noVBand="0"/>
                  </w:tblPr>
                  <w:tblGrid>
                    <w:gridCol w:w="1413"/>
                  </w:tblGrid>
                  <w:tr w:rsidR="00DB671B" w:rsidRPr="00DB671B" w:rsidTr="00DB671B">
                    <w:tc>
                      <w:tcPr>
                        <w:tcW w:w="1413" w:type="dxa"/>
                        <w:tcMar>
                          <w:top w:w="0" w:type="dxa"/>
                          <w:left w:w="0" w:type="dxa"/>
                          <w:bottom w:w="0" w:type="dxa"/>
                          <w:right w:w="0" w:type="dxa"/>
                        </w:tcMar>
                      </w:tcPr>
                      <w:p w:rsidR="00850B27" w:rsidRPr="00DB671B" w:rsidRDefault="00850B27" w:rsidP="00DB671B">
                        <w:pPr>
                          <w:spacing w:before="20" w:after="20"/>
                          <w:ind w:right="-13"/>
                          <w:jc w:val="left"/>
                          <w:rPr>
                            <w:rFonts w:cs="Arial"/>
                            <w:sz w:val="16"/>
                            <w:szCs w:val="16"/>
                          </w:rPr>
                        </w:pPr>
                        <w:r w:rsidRPr="00DB671B">
                          <w:rPr>
                            <w:rFonts w:cs="Arial"/>
                            <w:sz w:val="16"/>
                            <w:szCs w:val="16"/>
                          </w:rPr>
                          <w:t>TG/204/1 Rev. 2 (proj.2)</w:t>
                        </w:r>
                      </w:p>
                      <w:p w:rsidR="00850B27" w:rsidRPr="00DB671B" w:rsidRDefault="00850B27" w:rsidP="00DB671B">
                        <w:pPr>
                          <w:spacing w:before="20" w:after="20" w:line="1" w:lineRule="auto"/>
                          <w:ind w:right="-13"/>
                          <w:jc w:val="left"/>
                        </w:pPr>
                      </w:p>
                    </w:tc>
                  </w:tr>
                </w:tbl>
                <w:p w:rsidR="00850B27" w:rsidRPr="00DB671B" w:rsidRDefault="00850B27" w:rsidP="00DB671B">
                  <w:pPr>
                    <w:spacing w:before="20" w:after="20" w:line="1" w:lineRule="auto"/>
                    <w:ind w:right="-13"/>
                    <w:jc w:val="left"/>
                  </w:pPr>
                </w:p>
              </w:tc>
              <w:tc>
                <w:tcPr>
                  <w:tcW w:w="15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50B27" w:rsidRPr="00DB671B" w:rsidRDefault="00850B27" w:rsidP="00DB671B">
                  <w:pPr>
                    <w:spacing w:before="20" w:after="20"/>
                    <w:jc w:val="left"/>
                    <w:rPr>
                      <w:vanish/>
                    </w:rPr>
                  </w:pPr>
                </w:p>
                <w:tbl>
                  <w:tblPr>
                    <w:tblW w:w="1545" w:type="dxa"/>
                    <w:tblLayout w:type="fixed"/>
                    <w:tblCellMar>
                      <w:left w:w="0" w:type="dxa"/>
                      <w:right w:w="0" w:type="dxa"/>
                    </w:tblCellMar>
                    <w:tblLook w:val="01E0" w:firstRow="1" w:lastRow="1" w:firstColumn="1" w:lastColumn="1" w:noHBand="0" w:noVBand="0"/>
                  </w:tblPr>
                  <w:tblGrid>
                    <w:gridCol w:w="1545"/>
                  </w:tblGrid>
                  <w:tr w:rsidR="00DB671B" w:rsidRPr="00DB671B" w:rsidTr="00DB671B">
                    <w:tc>
                      <w:tcPr>
                        <w:tcW w:w="1545" w:type="dxa"/>
                        <w:tcMar>
                          <w:top w:w="0" w:type="dxa"/>
                          <w:left w:w="0" w:type="dxa"/>
                          <w:bottom w:w="0" w:type="dxa"/>
                          <w:right w:w="0" w:type="dxa"/>
                        </w:tcMar>
                      </w:tcPr>
                      <w:p w:rsidR="00850B27" w:rsidRPr="00DB671B" w:rsidRDefault="00850B27" w:rsidP="00DB671B">
                        <w:pPr>
                          <w:spacing w:before="20" w:after="20"/>
                          <w:jc w:val="left"/>
                          <w:rPr>
                            <w:rFonts w:cs="Arial"/>
                            <w:sz w:val="16"/>
                            <w:szCs w:val="16"/>
                          </w:rPr>
                        </w:pPr>
                        <w:r w:rsidRPr="00DB671B">
                          <w:rPr>
                            <w:rFonts w:cs="Arial"/>
                            <w:sz w:val="16"/>
                            <w:szCs w:val="16"/>
                          </w:rPr>
                          <w:t>Grapefruit and Pummelo</w:t>
                        </w:r>
                      </w:p>
                      <w:p w:rsidR="00850B27" w:rsidRPr="00DB671B" w:rsidRDefault="00850B27" w:rsidP="00DB671B">
                        <w:pPr>
                          <w:spacing w:before="20" w:after="20" w:line="1" w:lineRule="auto"/>
                          <w:jc w:val="left"/>
                        </w:pPr>
                      </w:p>
                    </w:tc>
                  </w:tr>
                </w:tbl>
                <w:p w:rsidR="00850B27" w:rsidRPr="00DB671B" w:rsidRDefault="00850B27" w:rsidP="00DB671B">
                  <w:pPr>
                    <w:spacing w:before="20" w:after="20" w:line="1" w:lineRule="auto"/>
                    <w:jc w:val="left"/>
                  </w:pPr>
                </w:p>
              </w:tc>
              <w:tc>
                <w:tcPr>
                  <w:tcW w:w="12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50B27" w:rsidRPr="00DB671B" w:rsidRDefault="00850B27" w:rsidP="00DB671B">
                  <w:pPr>
                    <w:spacing w:before="20" w:after="20"/>
                    <w:jc w:val="left"/>
                    <w:rPr>
                      <w:rFonts w:cs="Arial"/>
                      <w:sz w:val="16"/>
                      <w:szCs w:val="16"/>
                    </w:rPr>
                  </w:pPr>
                  <w:r w:rsidRPr="00DB671B">
                    <w:rPr>
                      <w:rFonts w:cs="Arial"/>
                      <w:sz w:val="16"/>
                      <w:szCs w:val="16"/>
                    </w:rPr>
                    <w:t>Pomelo et Pamplemoussier</w:t>
                  </w:r>
                </w:p>
                <w:tbl>
                  <w:tblPr>
                    <w:tblW w:w="1230" w:type="dxa"/>
                    <w:tblLayout w:type="fixed"/>
                    <w:tblCellMar>
                      <w:left w:w="0" w:type="dxa"/>
                      <w:right w:w="0" w:type="dxa"/>
                    </w:tblCellMar>
                    <w:tblLook w:val="01E0" w:firstRow="1" w:lastRow="1" w:firstColumn="1" w:lastColumn="1" w:noHBand="0" w:noVBand="0"/>
                  </w:tblPr>
                  <w:tblGrid>
                    <w:gridCol w:w="1230"/>
                  </w:tblGrid>
                  <w:tr w:rsidR="00DB671B" w:rsidRPr="00DB671B" w:rsidTr="00DB671B">
                    <w:tc>
                      <w:tcPr>
                        <w:tcW w:w="1230" w:type="dxa"/>
                        <w:tcMar>
                          <w:top w:w="0" w:type="dxa"/>
                          <w:left w:w="0" w:type="dxa"/>
                          <w:bottom w:w="0" w:type="dxa"/>
                          <w:right w:w="0" w:type="dxa"/>
                        </w:tcMar>
                      </w:tcPr>
                      <w:p w:rsidR="00850B27" w:rsidRPr="00DB671B" w:rsidRDefault="00850B27" w:rsidP="00DB671B">
                        <w:pPr>
                          <w:spacing w:before="20" w:after="20"/>
                          <w:jc w:val="left"/>
                          <w:rPr>
                            <w:rFonts w:cs="Arial"/>
                            <w:sz w:val="16"/>
                            <w:szCs w:val="16"/>
                          </w:rPr>
                        </w:pPr>
                      </w:p>
                    </w:tc>
                  </w:tr>
                </w:tbl>
                <w:p w:rsidR="00850B27" w:rsidRPr="00DB671B" w:rsidRDefault="00850B27" w:rsidP="00DB671B">
                  <w:pPr>
                    <w:spacing w:before="20" w:after="20"/>
                    <w:jc w:val="left"/>
                    <w:rPr>
                      <w:rFonts w:cs="Arial"/>
                      <w:sz w:val="16"/>
                      <w:szCs w:val="16"/>
                    </w:rPr>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50B27" w:rsidRPr="00DB671B" w:rsidRDefault="00850B27" w:rsidP="00DB671B">
                  <w:pPr>
                    <w:spacing w:before="20" w:after="20"/>
                    <w:jc w:val="left"/>
                    <w:rPr>
                      <w:rFonts w:cs="Arial"/>
                      <w:sz w:val="16"/>
                      <w:szCs w:val="16"/>
                    </w:rPr>
                  </w:pPr>
                  <w:r w:rsidRPr="00DB671B">
                    <w:rPr>
                      <w:rFonts w:cs="Arial"/>
                      <w:sz w:val="16"/>
                      <w:szCs w:val="16"/>
                    </w:rPr>
                    <w:t>Grapefruit und Pampelmuse</w:t>
                  </w:r>
                </w:p>
                <w:tbl>
                  <w:tblPr>
                    <w:tblW w:w="1560" w:type="dxa"/>
                    <w:tblLayout w:type="fixed"/>
                    <w:tblCellMar>
                      <w:left w:w="0" w:type="dxa"/>
                      <w:right w:w="0" w:type="dxa"/>
                    </w:tblCellMar>
                    <w:tblLook w:val="01E0" w:firstRow="1" w:lastRow="1" w:firstColumn="1" w:lastColumn="1" w:noHBand="0" w:noVBand="0"/>
                  </w:tblPr>
                  <w:tblGrid>
                    <w:gridCol w:w="1560"/>
                  </w:tblGrid>
                  <w:tr w:rsidR="00DB671B" w:rsidRPr="00DB671B" w:rsidTr="00DB671B">
                    <w:tc>
                      <w:tcPr>
                        <w:tcW w:w="1560" w:type="dxa"/>
                        <w:tcMar>
                          <w:top w:w="0" w:type="dxa"/>
                          <w:left w:w="0" w:type="dxa"/>
                          <w:bottom w:w="0" w:type="dxa"/>
                          <w:right w:w="0" w:type="dxa"/>
                        </w:tcMar>
                      </w:tcPr>
                      <w:p w:rsidR="00850B27" w:rsidRPr="00DB671B" w:rsidRDefault="00850B27" w:rsidP="00DB671B">
                        <w:pPr>
                          <w:spacing w:before="20" w:after="20"/>
                          <w:jc w:val="left"/>
                          <w:rPr>
                            <w:rFonts w:cs="Arial"/>
                            <w:sz w:val="16"/>
                            <w:szCs w:val="16"/>
                          </w:rPr>
                        </w:pPr>
                      </w:p>
                    </w:tc>
                  </w:tr>
                </w:tbl>
                <w:p w:rsidR="00850B27" w:rsidRPr="00DB671B" w:rsidRDefault="00850B27" w:rsidP="00DB671B">
                  <w:pPr>
                    <w:spacing w:before="20" w:after="20"/>
                    <w:jc w:val="left"/>
                    <w:rPr>
                      <w:rFonts w:cs="Arial"/>
                      <w:sz w:val="16"/>
                      <w:szCs w:val="16"/>
                    </w:rPr>
                  </w:pPr>
                </w:p>
              </w:tc>
              <w:tc>
                <w:tcPr>
                  <w:tcW w:w="13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50B27" w:rsidRPr="00DB671B" w:rsidRDefault="00850B27" w:rsidP="00DB671B">
                  <w:pPr>
                    <w:spacing w:before="20" w:after="20"/>
                    <w:jc w:val="left"/>
                    <w:rPr>
                      <w:rFonts w:cs="Arial"/>
                      <w:sz w:val="16"/>
                      <w:szCs w:val="16"/>
                    </w:rPr>
                  </w:pPr>
                  <w:r w:rsidRPr="00DB671B">
                    <w:rPr>
                      <w:rFonts w:cs="Arial"/>
                      <w:sz w:val="16"/>
                      <w:szCs w:val="16"/>
                    </w:rPr>
                    <w:t>Pomelo y Pummelo</w:t>
                  </w:r>
                </w:p>
                <w:tbl>
                  <w:tblPr>
                    <w:tblW w:w="1320" w:type="dxa"/>
                    <w:tblLayout w:type="fixed"/>
                    <w:tblCellMar>
                      <w:left w:w="0" w:type="dxa"/>
                      <w:right w:w="0" w:type="dxa"/>
                    </w:tblCellMar>
                    <w:tblLook w:val="01E0" w:firstRow="1" w:lastRow="1" w:firstColumn="1" w:lastColumn="1" w:noHBand="0" w:noVBand="0"/>
                  </w:tblPr>
                  <w:tblGrid>
                    <w:gridCol w:w="1320"/>
                  </w:tblGrid>
                  <w:tr w:rsidR="00DB671B" w:rsidRPr="00DB671B" w:rsidTr="00DB671B">
                    <w:tc>
                      <w:tcPr>
                        <w:tcW w:w="1320" w:type="dxa"/>
                        <w:tcMar>
                          <w:top w:w="0" w:type="dxa"/>
                          <w:left w:w="0" w:type="dxa"/>
                          <w:bottom w:w="0" w:type="dxa"/>
                          <w:right w:w="0" w:type="dxa"/>
                        </w:tcMar>
                      </w:tcPr>
                      <w:p w:rsidR="00850B27" w:rsidRPr="00DB671B" w:rsidRDefault="00850B27" w:rsidP="00DB671B">
                        <w:pPr>
                          <w:spacing w:before="20" w:after="20"/>
                          <w:jc w:val="left"/>
                          <w:rPr>
                            <w:rFonts w:cs="Arial"/>
                            <w:sz w:val="16"/>
                            <w:szCs w:val="16"/>
                          </w:rPr>
                        </w:pPr>
                      </w:p>
                    </w:tc>
                  </w:tr>
                </w:tbl>
                <w:p w:rsidR="00850B27" w:rsidRPr="00DB671B" w:rsidRDefault="00850B27" w:rsidP="00DB671B">
                  <w:pPr>
                    <w:spacing w:before="20" w:after="20"/>
                    <w:jc w:val="left"/>
                    <w:rPr>
                      <w:rFonts w:cs="Arial"/>
                      <w:sz w:val="16"/>
                      <w:szCs w:val="16"/>
                    </w:rPr>
                  </w:pPr>
                </w:p>
              </w:tc>
              <w:tc>
                <w:tcPr>
                  <w:tcW w:w="15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50B27" w:rsidRPr="00DB671B" w:rsidRDefault="00850B27" w:rsidP="00DB671B">
                  <w:pPr>
                    <w:spacing w:before="20" w:after="20"/>
                    <w:jc w:val="left"/>
                    <w:rPr>
                      <w:vanish/>
                    </w:rPr>
                  </w:pPr>
                </w:p>
                <w:tbl>
                  <w:tblPr>
                    <w:tblW w:w="1545" w:type="dxa"/>
                    <w:tblLayout w:type="fixed"/>
                    <w:tblCellMar>
                      <w:left w:w="0" w:type="dxa"/>
                      <w:right w:w="0" w:type="dxa"/>
                    </w:tblCellMar>
                    <w:tblLook w:val="01E0" w:firstRow="1" w:lastRow="1" w:firstColumn="1" w:lastColumn="1" w:noHBand="0" w:noVBand="0"/>
                  </w:tblPr>
                  <w:tblGrid>
                    <w:gridCol w:w="1545"/>
                  </w:tblGrid>
                  <w:tr w:rsidR="00DB671B" w:rsidRPr="00DB671B" w:rsidTr="00DB671B">
                    <w:tc>
                      <w:tcPr>
                        <w:tcW w:w="1545" w:type="dxa"/>
                        <w:tcMar>
                          <w:top w:w="0" w:type="dxa"/>
                          <w:left w:w="0" w:type="dxa"/>
                          <w:bottom w:w="0" w:type="dxa"/>
                          <w:right w:w="0" w:type="dxa"/>
                        </w:tcMar>
                      </w:tcPr>
                      <w:p w:rsidR="00850B27" w:rsidRPr="00DB671B" w:rsidRDefault="00850B27" w:rsidP="00DB671B">
                        <w:pPr>
                          <w:spacing w:before="20" w:after="20"/>
                          <w:jc w:val="left"/>
                          <w:rPr>
                            <w:rFonts w:cs="Arial"/>
                            <w:sz w:val="16"/>
                            <w:szCs w:val="16"/>
                          </w:rPr>
                        </w:pPr>
                        <w:r w:rsidRPr="00DB671B">
                          <w:rPr>
                            <w:rStyle w:val="Emphasis"/>
                            <w:rFonts w:cs="Arial"/>
                            <w:sz w:val="16"/>
                            <w:szCs w:val="16"/>
                          </w:rPr>
                          <w:t>Citrus</w:t>
                        </w:r>
                        <w:r w:rsidRPr="00DB671B">
                          <w:rPr>
                            <w:rFonts w:cs="Arial"/>
                            <w:sz w:val="16"/>
                            <w:szCs w:val="16"/>
                          </w:rPr>
                          <w:t xml:space="preserve"> × </w:t>
                        </w:r>
                        <w:r w:rsidRPr="00DB671B">
                          <w:rPr>
                            <w:rStyle w:val="Emphasis"/>
                            <w:rFonts w:cs="Arial"/>
                            <w:sz w:val="16"/>
                            <w:szCs w:val="16"/>
                          </w:rPr>
                          <w:t>paradisi</w:t>
                        </w:r>
                        <w:r w:rsidRPr="00DB671B">
                          <w:rPr>
                            <w:rFonts w:cs="Arial"/>
                            <w:sz w:val="16"/>
                            <w:szCs w:val="16"/>
                          </w:rPr>
                          <w:t> Macfad.</w:t>
                        </w:r>
                      </w:p>
                      <w:p w:rsidR="00850B27" w:rsidRPr="00DB671B" w:rsidRDefault="00850B27" w:rsidP="00DB671B">
                        <w:pPr>
                          <w:spacing w:before="20" w:after="20" w:line="1" w:lineRule="auto"/>
                          <w:jc w:val="left"/>
                        </w:pPr>
                      </w:p>
                    </w:tc>
                  </w:tr>
                </w:tbl>
                <w:p w:rsidR="00850B27" w:rsidRPr="00DB671B" w:rsidRDefault="00850B27" w:rsidP="00DB671B">
                  <w:pPr>
                    <w:spacing w:before="20" w:after="20" w:line="1" w:lineRule="auto"/>
                    <w:jc w:val="left"/>
                  </w:pPr>
                </w:p>
              </w:tc>
            </w:tr>
            <w:tr w:rsidR="00DB671B" w:rsidRPr="00DB671B" w:rsidTr="00DB671B">
              <w:trPr>
                <w:hidden/>
              </w:trPr>
              <w:tc>
                <w:tcPr>
                  <w:tcW w:w="5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50B27" w:rsidRPr="00DB671B" w:rsidRDefault="00850B27" w:rsidP="00DB671B">
                  <w:pPr>
                    <w:spacing w:before="20" w:after="20"/>
                    <w:rPr>
                      <w:vanish/>
                    </w:rPr>
                  </w:pPr>
                </w:p>
                <w:tbl>
                  <w:tblPr>
                    <w:tblW w:w="540" w:type="dxa"/>
                    <w:tblLayout w:type="fixed"/>
                    <w:tblCellMar>
                      <w:left w:w="0" w:type="dxa"/>
                      <w:right w:w="0" w:type="dxa"/>
                    </w:tblCellMar>
                    <w:tblLook w:val="01E0" w:firstRow="1" w:lastRow="1" w:firstColumn="1" w:lastColumn="1" w:noHBand="0" w:noVBand="0"/>
                  </w:tblPr>
                  <w:tblGrid>
                    <w:gridCol w:w="540"/>
                  </w:tblGrid>
                  <w:tr w:rsidR="00DB671B" w:rsidRPr="00DB671B" w:rsidTr="00DB671B">
                    <w:tc>
                      <w:tcPr>
                        <w:tcW w:w="540" w:type="dxa"/>
                        <w:tcMar>
                          <w:top w:w="0" w:type="dxa"/>
                          <w:left w:w="0" w:type="dxa"/>
                          <w:bottom w:w="0" w:type="dxa"/>
                          <w:right w:w="0" w:type="dxa"/>
                        </w:tcMar>
                      </w:tcPr>
                      <w:p w:rsidR="00850B27" w:rsidRPr="00DB671B" w:rsidRDefault="00850B27" w:rsidP="00DB671B">
                        <w:pPr>
                          <w:spacing w:before="20" w:after="20"/>
                          <w:rPr>
                            <w:rFonts w:cs="Arial"/>
                            <w:sz w:val="16"/>
                            <w:szCs w:val="16"/>
                          </w:rPr>
                        </w:pPr>
                        <w:r w:rsidRPr="00DB671B">
                          <w:rPr>
                            <w:rFonts w:cs="Arial"/>
                            <w:sz w:val="16"/>
                            <w:szCs w:val="16"/>
                          </w:rPr>
                          <w:t>NL</w:t>
                        </w:r>
                      </w:p>
                      <w:p w:rsidR="00850B27" w:rsidRPr="00DB671B" w:rsidRDefault="00850B27" w:rsidP="00DB671B">
                        <w:pPr>
                          <w:spacing w:before="20" w:after="20" w:line="1" w:lineRule="auto"/>
                        </w:pPr>
                      </w:p>
                    </w:tc>
                  </w:tr>
                </w:tbl>
                <w:p w:rsidR="00850B27" w:rsidRPr="00DB671B" w:rsidRDefault="00850B27" w:rsidP="00DB671B">
                  <w:pPr>
                    <w:spacing w:before="20" w:after="20" w:line="1" w:lineRule="auto"/>
                  </w:pPr>
                </w:p>
              </w:tc>
              <w:tc>
                <w:tcPr>
                  <w:tcW w:w="72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50B27" w:rsidRPr="00DB671B" w:rsidRDefault="00850B27" w:rsidP="00DB671B">
                  <w:pPr>
                    <w:spacing w:before="20" w:after="20"/>
                    <w:jc w:val="left"/>
                    <w:rPr>
                      <w:vanish/>
                    </w:rPr>
                  </w:pPr>
                </w:p>
                <w:tbl>
                  <w:tblPr>
                    <w:tblW w:w="975" w:type="dxa"/>
                    <w:tblLayout w:type="fixed"/>
                    <w:tblCellMar>
                      <w:left w:w="0" w:type="dxa"/>
                      <w:right w:w="0" w:type="dxa"/>
                    </w:tblCellMar>
                    <w:tblLook w:val="01E0" w:firstRow="1" w:lastRow="1" w:firstColumn="1" w:lastColumn="1" w:noHBand="0" w:noVBand="0"/>
                  </w:tblPr>
                  <w:tblGrid>
                    <w:gridCol w:w="975"/>
                  </w:tblGrid>
                  <w:tr w:rsidR="00DB671B" w:rsidRPr="00DB671B" w:rsidTr="00DB671B">
                    <w:tc>
                      <w:tcPr>
                        <w:tcW w:w="975" w:type="dxa"/>
                        <w:tcMar>
                          <w:top w:w="0" w:type="dxa"/>
                          <w:left w:w="0" w:type="dxa"/>
                          <w:bottom w:w="0" w:type="dxa"/>
                          <w:right w:w="0" w:type="dxa"/>
                        </w:tcMar>
                      </w:tcPr>
                      <w:p w:rsidR="00850B27" w:rsidRPr="00DB671B" w:rsidRDefault="00850B27" w:rsidP="00DB671B">
                        <w:pPr>
                          <w:spacing w:before="20" w:after="20"/>
                          <w:jc w:val="left"/>
                          <w:rPr>
                            <w:rFonts w:cs="Arial"/>
                            <w:sz w:val="16"/>
                            <w:szCs w:val="16"/>
                          </w:rPr>
                        </w:pPr>
                        <w:r w:rsidRPr="00DB671B">
                          <w:rPr>
                            <w:rFonts w:cs="Arial"/>
                            <w:sz w:val="16"/>
                            <w:szCs w:val="16"/>
                          </w:rPr>
                          <w:t>TWO</w:t>
                        </w:r>
                      </w:p>
                      <w:p w:rsidR="00850B27" w:rsidRPr="00DB671B" w:rsidRDefault="00850B27" w:rsidP="00DB671B">
                        <w:pPr>
                          <w:spacing w:before="20" w:after="20" w:line="1" w:lineRule="auto"/>
                          <w:jc w:val="left"/>
                        </w:pPr>
                      </w:p>
                    </w:tc>
                  </w:tr>
                </w:tbl>
                <w:p w:rsidR="00850B27" w:rsidRPr="00DB671B" w:rsidRDefault="00850B27" w:rsidP="00DB671B">
                  <w:pPr>
                    <w:spacing w:before="20" w:after="20" w:line="1" w:lineRule="auto"/>
                    <w:jc w:val="left"/>
                  </w:pPr>
                </w:p>
              </w:tc>
              <w:tc>
                <w:tcPr>
                  <w:tcW w:w="14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50B27" w:rsidRPr="00DB671B" w:rsidRDefault="00850B27" w:rsidP="00DB671B">
                  <w:pPr>
                    <w:spacing w:before="20" w:after="20"/>
                    <w:ind w:right="-13"/>
                    <w:jc w:val="left"/>
                    <w:rPr>
                      <w:vanish/>
                    </w:rPr>
                  </w:pPr>
                </w:p>
                <w:tbl>
                  <w:tblPr>
                    <w:tblW w:w="1413" w:type="dxa"/>
                    <w:tblLayout w:type="fixed"/>
                    <w:tblCellMar>
                      <w:left w:w="0" w:type="dxa"/>
                      <w:right w:w="0" w:type="dxa"/>
                    </w:tblCellMar>
                    <w:tblLook w:val="01E0" w:firstRow="1" w:lastRow="1" w:firstColumn="1" w:lastColumn="1" w:noHBand="0" w:noVBand="0"/>
                  </w:tblPr>
                  <w:tblGrid>
                    <w:gridCol w:w="1413"/>
                  </w:tblGrid>
                  <w:tr w:rsidR="00DB671B" w:rsidRPr="00DB671B" w:rsidTr="00DB671B">
                    <w:tc>
                      <w:tcPr>
                        <w:tcW w:w="1413" w:type="dxa"/>
                        <w:tcMar>
                          <w:top w:w="0" w:type="dxa"/>
                          <w:left w:w="0" w:type="dxa"/>
                          <w:bottom w:w="0" w:type="dxa"/>
                          <w:right w:w="0" w:type="dxa"/>
                        </w:tcMar>
                      </w:tcPr>
                      <w:p w:rsidR="00850B27" w:rsidRPr="00DB671B" w:rsidRDefault="00850B27" w:rsidP="00DB671B">
                        <w:pPr>
                          <w:spacing w:before="20" w:after="20"/>
                          <w:ind w:right="-13"/>
                          <w:jc w:val="left"/>
                          <w:rPr>
                            <w:rFonts w:cs="Arial"/>
                            <w:sz w:val="16"/>
                            <w:szCs w:val="16"/>
                          </w:rPr>
                        </w:pPr>
                        <w:r w:rsidRPr="00DB671B">
                          <w:rPr>
                            <w:rFonts w:cs="Arial"/>
                            <w:sz w:val="16"/>
                            <w:szCs w:val="16"/>
                          </w:rPr>
                          <w:t>TG/213/2 Rev. (proj.3)</w:t>
                        </w:r>
                      </w:p>
                      <w:p w:rsidR="00850B27" w:rsidRPr="00DB671B" w:rsidRDefault="00850B27" w:rsidP="00DB671B">
                        <w:pPr>
                          <w:spacing w:before="20" w:after="20" w:line="1" w:lineRule="auto"/>
                          <w:ind w:right="-13"/>
                          <w:jc w:val="left"/>
                        </w:pPr>
                      </w:p>
                    </w:tc>
                  </w:tr>
                </w:tbl>
                <w:p w:rsidR="00850B27" w:rsidRPr="00DB671B" w:rsidRDefault="00850B27" w:rsidP="00DB671B">
                  <w:pPr>
                    <w:spacing w:before="20" w:after="20" w:line="1" w:lineRule="auto"/>
                    <w:ind w:right="-13"/>
                    <w:jc w:val="left"/>
                  </w:pPr>
                </w:p>
              </w:tc>
              <w:tc>
                <w:tcPr>
                  <w:tcW w:w="15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50B27" w:rsidRPr="00DB671B" w:rsidRDefault="00850B27" w:rsidP="00DB671B">
                  <w:pPr>
                    <w:spacing w:before="20" w:after="20"/>
                    <w:jc w:val="left"/>
                    <w:rPr>
                      <w:vanish/>
                    </w:rPr>
                  </w:pPr>
                </w:p>
                <w:tbl>
                  <w:tblPr>
                    <w:tblW w:w="1545" w:type="dxa"/>
                    <w:tblLayout w:type="fixed"/>
                    <w:tblCellMar>
                      <w:left w:w="0" w:type="dxa"/>
                      <w:right w:w="0" w:type="dxa"/>
                    </w:tblCellMar>
                    <w:tblLook w:val="01E0" w:firstRow="1" w:lastRow="1" w:firstColumn="1" w:lastColumn="1" w:noHBand="0" w:noVBand="0"/>
                  </w:tblPr>
                  <w:tblGrid>
                    <w:gridCol w:w="1545"/>
                  </w:tblGrid>
                  <w:tr w:rsidR="00DB671B" w:rsidRPr="00DB671B" w:rsidTr="00DB671B">
                    <w:tc>
                      <w:tcPr>
                        <w:tcW w:w="1545" w:type="dxa"/>
                        <w:tcMar>
                          <w:top w:w="0" w:type="dxa"/>
                          <w:left w:w="0" w:type="dxa"/>
                          <w:bottom w:w="0" w:type="dxa"/>
                          <w:right w:w="0" w:type="dxa"/>
                        </w:tcMar>
                      </w:tcPr>
                      <w:p w:rsidR="00850B27" w:rsidRPr="00DB671B" w:rsidRDefault="00850B27" w:rsidP="00DB671B">
                        <w:pPr>
                          <w:spacing w:before="20" w:after="20"/>
                          <w:jc w:val="left"/>
                          <w:rPr>
                            <w:rFonts w:cs="Arial"/>
                            <w:sz w:val="16"/>
                            <w:szCs w:val="16"/>
                          </w:rPr>
                        </w:pPr>
                        <w:r w:rsidRPr="00DB671B">
                          <w:rPr>
                            <w:rFonts w:cs="Arial"/>
                            <w:sz w:val="16"/>
                            <w:szCs w:val="16"/>
                          </w:rPr>
                          <w:t>Phalaenopsis</w:t>
                        </w:r>
                      </w:p>
                      <w:p w:rsidR="00850B27" w:rsidRPr="00DB671B" w:rsidRDefault="00850B27" w:rsidP="00DB671B">
                        <w:pPr>
                          <w:spacing w:before="20" w:after="20" w:line="1" w:lineRule="auto"/>
                          <w:jc w:val="left"/>
                        </w:pPr>
                      </w:p>
                    </w:tc>
                  </w:tr>
                </w:tbl>
                <w:p w:rsidR="00850B27" w:rsidRPr="00DB671B" w:rsidRDefault="00850B27" w:rsidP="00DB671B">
                  <w:pPr>
                    <w:spacing w:before="20" w:after="20" w:line="1" w:lineRule="auto"/>
                    <w:jc w:val="left"/>
                  </w:pPr>
                </w:p>
              </w:tc>
              <w:tc>
                <w:tcPr>
                  <w:tcW w:w="12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50B27" w:rsidRPr="00DB671B" w:rsidRDefault="00850B27" w:rsidP="00DB671B">
                  <w:pPr>
                    <w:spacing w:before="20" w:after="20"/>
                    <w:jc w:val="left"/>
                  </w:pPr>
                  <w:r w:rsidRPr="00DB671B">
                    <w:rPr>
                      <w:rFonts w:cs="Arial"/>
                      <w:sz w:val="16"/>
                      <w:szCs w:val="16"/>
                    </w:rPr>
                    <w:t>Phalaenopsis</w:t>
                  </w: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50B27" w:rsidRPr="00DB671B" w:rsidRDefault="00850B27" w:rsidP="00DB671B">
                  <w:pPr>
                    <w:spacing w:before="20" w:after="20"/>
                    <w:jc w:val="left"/>
                  </w:pPr>
                  <w:r w:rsidRPr="00DB671B">
                    <w:rPr>
                      <w:rFonts w:cs="Arial"/>
                      <w:sz w:val="16"/>
                      <w:szCs w:val="16"/>
                    </w:rPr>
                    <w:t>Phalaenopsis</w:t>
                  </w:r>
                </w:p>
              </w:tc>
              <w:tc>
                <w:tcPr>
                  <w:tcW w:w="13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50B27" w:rsidRPr="00DB671B" w:rsidRDefault="00850B27" w:rsidP="00DB671B">
                  <w:pPr>
                    <w:spacing w:before="20" w:after="20"/>
                    <w:jc w:val="left"/>
                  </w:pPr>
                  <w:r w:rsidRPr="00DB671B">
                    <w:rPr>
                      <w:rFonts w:cs="Arial"/>
                      <w:sz w:val="16"/>
                      <w:szCs w:val="16"/>
                    </w:rPr>
                    <w:t>Phalaenopsis</w:t>
                  </w:r>
                </w:p>
              </w:tc>
              <w:tc>
                <w:tcPr>
                  <w:tcW w:w="15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50B27" w:rsidRPr="00DB671B" w:rsidRDefault="00850B27" w:rsidP="00DB671B">
                  <w:pPr>
                    <w:spacing w:before="20" w:after="20"/>
                    <w:jc w:val="left"/>
                    <w:rPr>
                      <w:vanish/>
                    </w:rPr>
                  </w:pPr>
                </w:p>
                <w:tbl>
                  <w:tblPr>
                    <w:tblW w:w="1545" w:type="dxa"/>
                    <w:tblLayout w:type="fixed"/>
                    <w:tblCellMar>
                      <w:left w:w="0" w:type="dxa"/>
                      <w:right w:w="0" w:type="dxa"/>
                    </w:tblCellMar>
                    <w:tblLook w:val="01E0" w:firstRow="1" w:lastRow="1" w:firstColumn="1" w:lastColumn="1" w:noHBand="0" w:noVBand="0"/>
                  </w:tblPr>
                  <w:tblGrid>
                    <w:gridCol w:w="1545"/>
                  </w:tblGrid>
                  <w:tr w:rsidR="00DB671B" w:rsidRPr="00DB671B" w:rsidTr="00DB671B">
                    <w:tc>
                      <w:tcPr>
                        <w:tcW w:w="1545" w:type="dxa"/>
                        <w:tcMar>
                          <w:top w:w="0" w:type="dxa"/>
                          <w:left w:w="0" w:type="dxa"/>
                          <w:bottom w:w="0" w:type="dxa"/>
                          <w:right w:w="0" w:type="dxa"/>
                        </w:tcMar>
                      </w:tcPr>
                      <w:p w:rsidR="00850B27" w:rsidRPr="00DB671B" w:rsidRDefault="00850B27" w:rsidP="00DB671B">
                        <w:pPr>
                          <w:spacing w:before="20" w:after="20"/>
                          <w:jc w:val="left"/>
                          <w:rPr>
                            <w:rFonts w:cs="Arial"/>
                            <w:sz w:val="16"/>
                            <w:szCs w:val="16"/>
                          </w:rPr>
                        </w:pPr>
                        <w:r w:rsidRPr="00DB671B">
                          <w:rPr>
                            <w:rStyle w:val="Emphasis"/>
                            <w:rFonts w:cs="Arial"/>
                            <w:sz w:val="16"/>
                            <w:szCs w:val="16"/>
                          </w:rPr>
                          <w:t>Phalaenopsis</w:t>
                        </w:r>
                        <w:r w:rsidRPr="00DB671B">
                          <w:rPr>
                            <w:rFonts w:cs="Arial"/>
                            <w:sz w:val="16"/>
                            <w:szCs w:val="16"/>
                          </w:rPr>
                          <w:t> Blume</w:t>
                        </w:r>
                      </w:p>
                      <w:p w:rsidR="00850B27" w:rsidRPr="00DB671B" w:rsidRDefault="00850B27" w:rsidP="00DB671B">
                        <w:pPr>
                          <w:spacing w:before="20" w:after="20" w:line="1" w:lineRule="auto"/>
                          <w:jc w:val="left"/>
                        </w:pPr>
                      </w:p>
                    </w:tc>
                  </w:tr>
                </w:tbl>
                <w:p w:rsidR="00850B27" w:rsidRPr="00DB671B" w:rsidRDefault="00850B27" w:rsidP="00DB671B">
                  <w:pPr>
                    <w:spacing w:before="20" w:after="20" w:line="1" w:lineRule="auto"/>
                    <w:jc w:val="left"/>
                  </w:pPr>
                </w:p>
              </w:tc>
            </w:tr>
          </w:tbl>
          <w:p w:rsidR="00850B27" w:rsidRPr="00DB671B" w:rsidRDefault="00850B27" w:rsidP="00DB671B"/>
          <w:p w:rsidR="00850B27" w:rsidRDefault="00850B27" w:rsidP="00DB671B"/>
          <w:p w:rsidR="00BC76D0" w:rsidRDefault="00BC76D0" w:rsidP="00DB671B"/>
          <w:p w:rsidR="00BC76D0" w:rsidRDefault="00BC76D0" w:rsidP="00DB671B"/>
          <w:p w:rsidR="00BC76D0" w:rsidRDefault="00BC76D0" w:rsidP="00DB671B"/>
          <w:p w:rsidR="00BC76D0" w:rsidRDefault="00BC76D0" w:rsidP="00DB671B"/>
          <w:p w:rsidR="00BC76D0" w:rsidRDefault="00BC76D0" w:rsidP="00DB671B"/>
          <w:p w:rsidR="00BC76D0" w:rsidRDefault="00BC76D0" w:rsidP="00DB671B"/>
          <w:p w:rsidR="00BC76D0" w:rsidRDefault="00BC76D0" w:rsidP="00DB671B"/>
          <w:p w:rsidR="00BC76D0" w:rsidRPr="00DB671B" w:rsidRDefault="00BC76D0" w:rsidP="00DB671B">
            <w:bookmarkStart w:id="5" w:name="_GoBack"/>
            <w:bookmarkEnd w:id="5"/>
          </w:p>
          <w:tbl>
            <w:tblPr>
              <w:tblW w:w="990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539"/>
              <w:gridCol w:w="727"/>
              <w:gridCol w:w="1434"/>
              <w:gridCol w:w="1545"/>
              <w:gridCol w:w="1230"/>
              <w:gridCol w:w="1560"/>
              <w:gridCol w:w="1320"/>
              <w:gridCol w:w="1545"/>
            </w:tblGrid>
            <w:tr w:rsidR="00DB671B" w:rsidRPr="00DB671B" w:rsidTr="00DB671B">
              <w:tc>
                <w:tcPr>
                  <w:tcW w:w="539"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0" w:type="dxa"/>
                    <w:left w:w="0" w:type="dxa"/>
                    <w:bottom w:w="0" w:type="dxa"/>
                    <w:right w:w="0" w:type="dxa"/>
                  </w:tcMar>
                  <w:vAlign w:val="center"/>
                </w:tcPr>
                <w:p w:rsidR="00850B27" w:rsidRPr="00DB671B" w:rsidRDefault="00850B27" w:rsidP="00DB671B">
                  <w:pPr>
                    <w:jc w:val="left"/>
                    <w:rPr>
                      <w:rFonts w:eastAsia="Arial"/>
                      <w:sz w:val="16"/>
                    </w:rPr>
                  </w:pPr>
                  <w:r w:rsidRPr="00DB671B">
                    <w:rPr>
                      <w:rFonts w:eastAsia="Arial"/>
                      <w:sz w:val="16"/>
                    </w:rPr>
                    <w:t>**</w:t>
                  </w:r>
                </w:p>
              </w:tc>
              <w:tc>
                <w:tcPr>
                  <w:tcW w:w="727"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0" w:type="dxa"/>
                    <w:left w:w="0" w:type="dxa"/>
                    <w:bottom w:w="0" w:type="dxa"/>
                    <w:right w:w="0" w:type="dxa"/>
                  </w:tcMar>
                  <w:vAlign w:val="center"/>
                </w:tcPr>
                <w:p w:rsidR="00850B27" w:rsidRPr="00DB671B" w:rsidRDefault="00850B27" w:rsidP="00DB671B">
                  <w:pPr>
                    <w:jc w:val="left"/>
                    <w:rPr>
                      <w:rFonts w:eastAsia="Arial"/>
                      <w:sz w:val="16"/>
                    </w:rPr>
                  </w:pPr>
                  <w:r w:rsidRPr="00DB671B">
                    <w:rPr>
                      <w:rFonts w:eastAsia="Arial"/>
                      <w:sz w:val="16"/>
                    </w:rPr>
                    <w:t>TWP</w:t>
                  </w:r>
                </w:p>
              </w:tc>
              <w:tc>
                <w:tcPr>
                  <w:tcW w:w="1434"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0" w:type="dxa"/>
                    <w:left w:w="0" w:type="dxa"/>
                    <w:bottom w:w="0" w:type="dxa"/>
                    <w:right w:w="0" w:type="dxa"/>
                  </w:tcMar>
                  <w:vAlign w:val="center"/>
                </w:tcPr>
                <w:p w:rsidR="00850B27" w:rsidRPr="00DB671B" w:rsidRDefault="00850B27" w:rsidP="00DB671B">
                  <w:pPr>
                    <w:jc w:val="left"/>
                    <w:rPr>
                      <w:rFonts w:eastAsia="Arial"/>
                      <w:sz w:val="16"/>
                    </w:rPr>
                  </w:pPr>
                  <w:r w:rsidRPr="00DB671B">
                    <w:rPr>
                      <w:rFonts w:eastAsia="Arial"/>
                      <w:sz w:val="16"/>
                    </w:rPr>
                    <w:t xml:space="preserve">Document No. </w:t>
                  </w:r>
                  <w:r w:rsidRPr="00DB671B">
                    <w:rPr>
                      <w:rFonts w:eastAsia="Arial"/>
                      <w:sz w:val="16"/>
                    </w:rPr>
                    <w:br/>
                    <w:t xml:space="preserve">No. du document </w:t>
                  </w:r>
                  <w:r w:rsidRPr="00DB671B">
                    <w:rPr>
                      <w:rFonts w:eastAsia="Arial"/>
                      <w:sz w:val="16"/>
                    </w:rPr>
                    <w:br/>
                    <w:t xml:space="preserve">Dokument-Nr. </w:t>
                  </w:r>
                  <w:r w:rsidRPr="00DB671B">
                    <w:rPr>
                      <w:rFonts w:eastAsia="Arial"/>
                      <w:sz w:val="16"/>
                    </w:rPr>
                    <w:br/>
                    <w:t>No del documento</w:t>
                  </w:r>
                  <w:r w:rsidRPr="00DB671B">
                    <w:rPr>
                      <w:rFonts w:eastAsia="Arial"/>
                      <w:sz w:val="16"/>
                    </w:rPr>
                    <w:br/>
                  </w:r>
                </w:p>
              </w:tc>
              <w:tc>
                <w:tcPr>
                  <w:tcW w:w="1545"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0" w:type="dxa"/>
                    <w:left w:w="0" w:type="dxa"/>
                    <w:bottom w:w="0" w:type="dxa"/>
                    <w:right w:w="0" w:type="dxa"/>
                  </w:tcMar>
                  <w:vAlign w:val="center"/>
                </w:tcPr>
                <w:p w:rsidR="00850B27" w:rsidRPr="00DB671B" w:rsidRDefault="00850B27" w:rsidP="00DB671B">
                  <w:pPr>
                    <w:jc w:val="left"/>
                    <w:rPr>
                      <w:rFonts w:eastAsia="Arial"/>
                      <w:sz w:val="16"/>
                    </w:rPr>
                  </w:pPr>
                  <w:r w:rsidRPr="00DB671B">
                    <w:rPr>
                      <w:rFonts w:eastAsia="Arial"/>
                      <w:sz w:val="16"/>
                    </w:rPr>
                    <w:t>English</w:t>
                  </w:r>
                </w:p>
              </w:tc>
              <w:tc>
                <w:tcPr>
                  <w:tcW w:w="1230"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0" w:type="dxa"/>
                    <w:left w:w="0" w:type="dxa"/>
                    <w:bottom w:w="0" w:type="dxa"/>
                    <w:right w:w="0" w:type="dxa"/>
                  </w:tcMar>
                  <w:vAlign w:val="center"/>
                </w:tcPr>
                <w:p w:rsidR="00850B27" w:rsidRPr="00DB671B" w:rsidRDefault="00850B27" w:rsidP="00DB671B">
                  <w:pPr>
                    <w:jc w:val="left"/>
                    <w:rPr>
                      <w:rFonts w:eastAsia="Arial"/>
                      <w:sz w:val="16"/>
                    </w:rPr>
                  </w:pPr>
                  <w:r w:rsidRPr="00DB671B">
                    <w:rPr>
                      <w:rFonts w:eastAsia="Arial"/>
                      <w:sz w:val="16"/>
                    </w:rPr>
                    <w:t>Français</w:t>
                  </w:r>
                </w:p>
              </w:tc>
              <w:tc>
                <w:tcPr>
                  <w:tcW w:w="1560"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0" w:type="dxa"/>
                    <w:left w:w="0" w:type="dxa"/>
                    <w:bottom w:w="0" w:type="dxa"/>
                    <w:right w:w="0" w:type="dxa"/>
                  </w:tcMar>
                  <w:vAlign w:val="center"/>
                </w:tcPr>
                <w:p w:rsidR="00850B27" w:rsidRPr="00DB671B" w:rsidRDefault="00850B27" w:rsidP="00DB671B">
                  <w:pPr>
                    <w:jc w:val="left"/>
                    <w:rPr>
                      <w:rFonts w:eastAsia="Arial"/>
                      <w:sz w:val="16"/>
                    </w:rPr>
                  </w:pPr>
                  <w:r w:rsidRPr="00DB671B">
                    <w:rPr>
                      <w:rFonts w:eastAsia="Arial"/>
                      <w:sz w:val="16"/>
                    </w:rPr>
                    <w:t>Deutsch</w:t>
                  </w:r>
                </w:p>
              </w:tc>
              <w:tc>
                <w:tcPr>
                  <w:tcW w:w="1320"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0" w:type="dxa"/>
                    <w:left w:w="0" w:type="dxa"/>
                    <w:bottom w:w="0" w:type="dxa"/>
                    <w:right w:w="0" w:type="dxa"/>
                  </w:tcMar>
                  <w:vAlign w:val="center"/>
                </w:tcPr>
                <w:p w:rsidR="00850B27" w:rsidRPr="00DB671B" w:rsidRDefault="00850B27" w:rsidP="00DB671B">
                  <w:pPr>
                    <w:jc w:val="left"/>
                    <w:rPr>
                      <w:rFonts w:eastAsia="Arial"/>
                      <w:sz w:val="16"/>
                    </w:rPr>
                  </w:pPr>
                  <w:r w:rsidRPr="00DB671B">
                    <w:rPr>
                      <w:rFonts w:eastAsia="Arial"/>
                      <w:sz w:val="16"/>
                    </w:rPr>
                    <w:t>Español</w:t>
                  </w:r>
                </w:p>
              </w:tc>
              <w:tc>
                <w:tcPr>
                  <w:tcW w:w="1545"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tcMar>
                    <w:top w:w="0" w:type="dxa"/>
                    <w:left w:w="0" w:type="dxa"/>
                    <w:bottom w:w="0" w:type="dxa"/>
                    <w:right w:w="0" w:type="dxa"/>
                  </w:tcMar>
                  <w:vAlign w:val="center"/>
                </w:tcPr>
                <w:p w:rsidR="00850B27" w:rsidRPr="00DB671B" w:rsidRDefault="00850B27" w:rsidP="00DB671B">
                  <w:pPr>
                    <w:jc w:val="left"/>
                    <w:rPr>
                      <w:rFonts w:eastAsia="Arial"/>
                      <w:sz w:val="16"/>
                    </w:rPr>
                  </w:pPr>
                  <w:r w:rsidRPr="00DB671B">
                    <w:rPr>
                      <w:rFonts w:eastAsia="Arial"/>
                      <w:sz w:val="16"/>
                    </w:rPr>
                    <w:t>Botanical name</w:t>
                  </w:r>
                  <w:r w:rsidRPr="00DB671B">
                    <w:rPr>
                      <w:rFonts w:eastAsia="Arial"/>
                      <w:sz w:val="16"/>
                    </w:rPr>
                    <w:br/>
                    <w:t>Nom botanique</w:t>
                  </w:r>
                  <w:r w:rsidRPr="00DB671B">
                    <w:rPr>
                      <w:rFonts w:eastAsia="Arial"/>
                      <w:sz w:val="16"/>
                    </w:rPr>
                    <w:br/>
                    <w:t>Botanischer Name</w:t>
                  </w:r>
                  <w:r w:rsidRPr="00DB671B">
                    <w:rPr>
                      <w:rFonts w:eastAsia="Arial"/>
                      <w:sz w:val="16"/>
                    </w:rPr>
                    <w:br/>
                    <w:t>Nombre botánico</w:t>
                  </w:r>
                  <w:r w:rsidRPr="00DB671B">
                    <w:rPr>
                      <w:rFonts w:eastAsia="Arial"/>
                      <w:sz w:val="16"/>
                    </w:rPr>
                    <w:br/>
                  </w:r>
                </w:p>
              </w:tc>
            </w:tr>
            <w:tr w:rsidR="00DB671B" w:rsidRPr="00DB671B" w:rsidTr="00DB671B">
              <w:trPr>
                <w:hidden/>
              </w:trPr>
              <w:tc>
                <w:tcPr>
                  <w:tcW w:w="53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50B27" w:rsidRPr="00DB671B" w:rsidRDefault="00850B27" w:rsidP="00DB671B">
                  <w:pPr>
                    <w:keepNext/>
                    <w:keepLines/>
                    <w:spacing w:before="20" w:after="20"/>
                    <w:rPr>
                      <w:vanish/>
                    </w:rPr>
                  </w:pPr>
                </w:p>
                <w:tbl>
                  <w:tblPr>
                    <w:tblW w:w="540" w:type="dxa"/>
                    <w:tblLayout w:type="fixed"/>
                    <w:tblCellMar>
                      <w:left w:w="0" w:type="dxa"/>
                      <w:right w:w="0" w:type="dxa"/>
                    </w:tblCellMar>
                    <w:tblLook w:val="01E0" w:firstRow="1" w:lastRow="1" w:firstColumn="1" w:lastColumn="1" w:noHBand="0" w:noVBand="0"/>
                  </w:tblPr>
                  <w:tblGrid>
                    <w:gridCol w:w="540"/>
                  </w:tblGrid>
                  <w:tr w:rsidR="00DB671B" w:rsidRPr="00DB671B" w:rsidTr="00DB671B">
                    <w:tc>
                      <w:tcPr>
                        <w:tcW w:w="540" w:type="dxa"/>
                        <w:tcMar>
                          <w:top w:w="0" w:type="dxa"/>
                          <w:left w:w="0" w:type="dxa"/>
                          <w:bottom w:w="0" w:type="dxa"/>
                          <w:right w:w="0" w:type="dxa"/>
                        </w:tcMar>
                      </w:tcPr>
                      <w:p w:rsidR="00850B27" w:rsidRPr="00DB671B" w:rsidRDefault="00850B27" w:rsidP="00DB671B">
                        <w:pPr>
                          <w:keepNext/>
                          <w:keepLines/>
                          <w:spacing w:before="20" w:after="20"/>
                          <w:rPr>
                            <w:rFonts w:cs="Arial"/>
                            <w:sz w:val="16"/>
                            <w:szCs w:val="16"/>
                          </w:rPr>
                        </w:pPr>
                        <w:r w:rsidRPr="00DB671B">
                          <w:rPr>
                            <w:rFonts w:cs="Arial"/>
                            <w:sz w:val="16"/>
                            <w:szCs w:val="16"/>
                          </w:rPr>
                          <w:t>NL</w:t>
                        </w:r>
                      </w:p>
                      <w:p w:rsidR="00850B27" w:rsidRPr="00DB671B" w:rsidRDefault="00850B27" w:rsidP="00DB671B">
                        <w:pPr>
                          <w:keepNext/>
                          <w:keepLines/>
                          <w:spacing w:before="20" w:after="20" w:line="1" w:lineRule="auto"/>
                        </w:pPr>
                      </w:p>
                    </w:tc>
                  </w:tr>
                </w:tbl>
                <w:p w:rsidR="00850B27" w:rsidRPr="00DB671B" w:rsidRDefault="00850B27" w:rsidP="00DB671B">
                  <w:pPr>
                    <w:keepNext/>
                    <w:keepLines/>
                    <w:spacing w:before="20" w:after="20" w:line="1" w:lineRule="auto"/>
                  </w:pPr>
                </w:p>
              </w:tc>
              <w:tc>
                <w:tcPr>
                  <w:tcW w:w="727"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50B27" w:rsidRPr="00DB671B" w:rsidRDefault="00850B27" w:rsidP="00DB671B">
                  <w:pPr>
                    <w:keepNext/>
                    <w:keepLines/>
                    <w:spacing w:before="20" w:after="20"/>
                    <w:jc w:val="left"/>
                    <w:rPr>
                      <w:vanish/>
                    </w:rPr>
                  </w:pPr>
                </w:p>
                <w:tbl>
                  <w:tblPr>
                    <w:tblW w:w="975" w:type="dxa"/>
                    <w:tblLayout w:type="fixed"/>
                    <w:tblCellMar>
                      <w:left w:w="0" w:type="dxa"/>
                      <w:right w:w="0" w:type="dxa"/>
                    </w:tblCellMar>
                    <w:tblLook w:val="01E0" w:firstRow="1" w:lastRow="1" w:firstColumn="1" w:lastColumn="1" w:noHBand="0" w:noVBand="0"/>
                  </w:tblPr>
                  <w:tblGrid>
                    <w:gridCol w:w="975"/>
                  </w:tblGrid>
                  <w:tr w:rsidR="00DB671B" w:rsidRPr="00DB671B" w:rsidTr="00DB671B">
                    <w:tc>
                      <w:tcPr>
                        <w:tcW w:w="975" w:type="dxa"/>
                        <w:tcMar>
                          <w:top w:w="0" w:type="dxa"/>
                          <w:left w:w="0" w:type="dxa"/>
                          <w:bottom w:w="0" w:type="dxa"/>
                          <w:right w:w="0" w:type="dxa"/>
                        </w:tcMar>
                      </w:tcPr>
                      <w:p w:rsidR="00850B27" w:rsidRPr="00DB671B" w:rsidRDefault="00850B27" w:rsidP="00DB671B">
                        <w:pPr>
                          <w:keepNext/>
                          <w:keepLines/>
                          <w:spacing w:before="20" w:after="20"/>
                          <w:jc w:val="left"/>
                          <w:rPr>
                            <w:rFonts w:cs="Arial"/>
                            <w:sz w:val="16"/>
                            <w:szCs w:val="16"/>
                          </w:rPr>
                        </w:pPr>
                        <w:r w:rsidRPr="00DB671B">
                          <w:rPr>
                            <w:rFonts w:cs="Arial"/>
                            <w:sz w:val="16"/>
                            <w:szCs w:val="16"/>
                          </w:rPr>
                          <w:t>TWV</w:t>
                        </w:r>
                      </w:p>
                      <w:p w:rsidR="00850B27" w:rsidRPr="00DB671B" w:rsidRDefault="00850B27" w:rsidP="00DB671B">
                        <w:pPr>
                          <w:keepNext/>
                          <w:keepLines/>
                          <w:spacing w:before="20" w:after="20" w:line="1" w:lineRule="auto"/>
                          <w:jc w:val="left"/>
                        </w:pPr>
                      </w:p>
                    </w:tc>
                  </w:tr>
                </w:tbl>
                <w:p w:rsidR="00850B27" w:rsidRPr="00DB671B" w:rsidRDefault="00850B27" w:rsidP="00DB671B">
                  <w:pPr>
                    <w:keepNext/>
                    <w:keepLines/>
                    <w:spacing w:before="20" w:after="20" w:line="1" w:lineRule="auto"/>
                    <w:jc w:val="left"/>
                  </w:pPr>
                </w:p>
              </w:tc>
              <w:tc>
                <w:tcPr>
                  <w:tcW w:w="143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50B27" w:rsidRPr="00DB671B" w:rsidRDefault="00850B27" w:rsidP="00DB671B">
                  <w:pPr>
                    <w:keepNext/>
                    <w:keepLines/>
                    <w:spacing w:before="20" w:after="20"/>
                    <w:ind w:right="-13"/>
                    <w:jc w:val="left"/>
                    <w:rPr>
                      <w:vanish/>
                    </w:rPr>
                  </w:pPr>
                </w:p>
                <w:tbl>
                  <w:tblPr>
                    <w:tblW w:w="1413" w:type="dxa"/>
                    <w:tblLayout w:type="fixed"/>
                    <w:tblCellMar>
                      <w:left w:w="0" w:type="dxa"/>
                      <w:right w:w="0" w:type="dxa"/>
                    </w:tblCellMar>
                    <w:tblLook w:val="01E0" w:firstRow="1" w:lastRow="1" w:firstColumn="1" w:lastColumn="1" w:noHBand="0" w:noVBand="0"/>
                  </w:tblPr>
                  <w:tblGrid>
                    <w:gridCol w:w="1413"/>
                  </w:tblGrid>
                  <w:tr w:rsidR="00DB671B" w:rsidRPr="00DB671B" w:rsidTr="00DB671B">
                    <w:tc>
                      <w:tcPr>
                        <w:tcW w:w="1413" w:type="dxa"/>
                        <w:tcMar>
                          <w:top w:w="0" w:type="dxa"/>
                          <w:left w:w="0" w:type="dxa"/>
                          <w:bottom w:w="0" w:type="dxa"/>
                          <w:right w:w="0" w:type="dxa"/>
                        </w:tcMar>
                      </w:tcPr>
                      <w:p w:rsidR="00850B27" w:rsidRPr="00DB671B" w:rsidRDefault="00850B27" w:rsidP="00DB671B">
                        <w:pPr>
                          <w:keepNext/>
                          <w:keepLines/>
                          <w:spacing w:before="20" w:after="20"/>
                          <w:ind w:right="-13"/>
                          <w:jc w:val="left"/>
                          <w:rPr>
                            <w:rFonts w:cs="Arial"/>
                            <w:sz w:val="16"/>
                            <w:szCs w:val="16"/>
                          </w:rPr>
                        </w:pPr>
                        <w:r w:rsidRPr="00DB671B">
                          <w:rPr>
                            <w:rFonts w:cs="Arial"/>
                            <w:sz w:val="16"/>
                            <w:szCs w:val="16"/>
                          </w:rPr>
                          <w:t>TG/294/1 Corr. Rev. 3 (proj.1)</w:t>
                        </w:r>
                      </w:p>
                      <w:p w:rsidR="00850B27" w:rsidRPr="00DB671B" w:rsidRDefault="00850B27" w:rsidP="00DB671B">
                        <w:pPr>
                          <w:keepNext/>
                          <w:keepLines/>
                          <w:spacing w:before="20" w:after="20" w:line="1" w:lineRule="auto"/>
                          <w:ind w:right="-13"/>
                          <w:jc w:val="left"/>
                        </w:pPr>
                      </w:p>
                    </w:tc>
                  </w:tr>
                </w:tbl>
                <w:p w:rsidR="00850B27" w:rsidRPr="00DB671B" w:rsidRDefault="00850B27" w:rsidP="00DB671B">
                  <w:pPr>
                    <w:keepNext/>
                    <w:keepLines/>
                    <w:spacing w:before="20" w:after="20" w:line="1" w:lineRule="auto"/>
                    <w:ind w:right="-13"/>
                    <w:jc w:val="left"/>
                  </w:pPr>
                </w:p>
              </w:tc>
              <w:tc>
                <w:tcPr>
                  <w:tcW w:w="15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50B27" w:rsidRPr="00DB671B" w:rsidRDefault="00850B27" w:rsidP="00DB671B">
                  <w:pPr>
                    <w:keepNext/>
                    <w:keepLines/>
                    <w:spacing w:before="20" w:after="20"/>
                    <w:jc w:val="left"/>
                    <w:rPr>
                      <w:vanish/>
                    </w:rPr>
                  </w:pPr>
                </w:p>
                <w:tbl>
                  <w:tblPr>
                    <w:tblW w:w="1545" w:type="dxa"/>
                    <w:tblLayout w:type="fixed"/>
                    <w:tblCellMar>
                      <w:left w:w="0" w:type="dxa"/>
                      <w:right w:w="0" w:type="dxa"/>
                    </w:tblCellMar>
                    <w:tblLook w:val="01E0" w:firstRow="1" w:lastRow="1" w:firstColumn="1" w:lastColumn="1" w:noHBand="0" w:noVBand="0"/>
                  </w:tblPr>
                  <w:tblGrid>
                    <w:gridCol w:w="1545"/>
                  </w:tblGrid>
                  <w:tr w:rsidR="00DB671B" w:rsidRPr="00DB671B" w:rsidTr="00DB671B">
                    <w:tc>
                      <w:tcPr>
                        <w:tcW w:w="1545" w:type="dxa"/>
                        <w:tcMar>
                          <w:top w:w="0" w:type="dxa"/>
                          <w:left w:w="0" w:type="dxa"/>
                          <w:bottom w:w="0" w:type="dxa"/>
                          <w:right w:w="0" w:type="dxa"/>
                        </w:tcMar>
                      </w:tcPr>
                      <w:p w:rsidR="00850B27" w:rsidRPr="00DB671B" w:rsidRDefault="00850B27" w:rsidP="00DB671B">
                        <w:pPr>
                          <w:keepNext/>
                          <w:keepLines/>
                          <w:spacing w:before="20" w:after="20"/>
                          <w:jc w:val="left"/>
                          <w:rPr>
                            <w:rFonts w:cs="Arial"/>
                            <w:sz w:val="16"/>
                            <w:szCs w:val="16"/>
                          </w:rPr>
                        </w:pPr>
                        <w:r w:rsidRPr="00DB671B">
                          <w:rPr>
                            <w:rFonts w:cs="Arial"/>
                            <w:sz w:val="16"/>
                            <w:szCs w:val="16"/>
                          </w:rPr>
                          <w:t>Tomato Rootstocks</w:t>
                        </w:r>
                      </w:p>
                      <w:p w:rsidR="00850B27" w:rsidRPr="00DB671B" w:rsidRDefault="00850B27" w:rsidP="00DB671B">
                        <w:pPr>
                          <w:keepNext/>
                          <w:keepLines/>
                          <w:spacing w:before="20" w:after="20" w:line="1" w:lineRule="auto"/>
                          <w:jc w:val="left"/>
                        </w:pPr>
                      </w:p>
                    </w:tc>
                  </w:tr>
                </w:tbl>
                <w:p w:rsidR="00850B27" w:rsidRPr="00DB671B" w:rsidRDefault="00850B27" w:rsidP="00DB671B">
                  <w:pPr>
                    <w:keepNext/>
                    <w:keepLines/>
                    <w:spacing w:before="20" w:after="20" w:line="1" w:lineRule="auto"/>
                    <w:jc w:val="left"/>
                  </w:pPr>
                </w:p>
              </w:tc>
              <w:tc>
                <w:tcPr>
                  <w:tcW w:w="12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50B27" w:rsidRPr="00DB671B" w:rsidRDefault="00850B27" w:rsidP="00DB671B">
                  <w:pPr>
                    <w:keepNext/>
                    <w:keepLines/>
                    <w:spacing w:before="20" w:after="20"/>
                    <w:jc w:val="left"/>
                    <w:rPr>
                      <w:rFonts w:cs="Arial"/>
                      <w:sz w:val="16"/>
                      <w:szCs w:val="16"/>
                    </w:rPr>
                  </w:pPr>
                  <w:r w:rsidRPr="00DB671B">
                    <w:rPr>
                      <w:rFonts w:cs="Arial"/>
                      <w:sz w:val="16"/>
                      <w:szCs w:val="16"/>
                    </w:rPr>
                    <w:t>Porte-greffe de tomate</w:t>
                  </w:r>
                </w:p>
                <w:tbl>
                  <w:tblPr>
                    <w:tblW w:w="1230" w:type="dxa"/>
                    <w:tblLayout w:type="fixed"/>
                    <w:tblCellMar>
                      <w:left w:w="0" w:type="dxa"/>
                      <w:right w:w="0" w:type="dxa"/>
                    </w:tblCellMar>
                    <w:tblLook w:val="01E0" w:firstRow="1" w:lastRow="1" w:firstColumn="1" w:lastColumn="1" w:noHBand="0" w:noVBand="0"/>
                  </w:tblPr>
                  <w:tblGrid>
                    <w:gridCol w:w="1230"/>
                  </w:tblGrid>
                  <w:tr w:rsidR="00DB671B" w:rsidRPr="00DB671B" w:rsidTr="00DB671B">
                    <w:tc>
                      <w:tcPr>
                        <w:tcW w:w="1230" w:type="dxa"/>
                        <w:tcMar>
                          <w:top w:w="0" w:type="dxa"/>
                          <w:left w:w="0" w:type="dxa"/>
                          <w:bottom w:w="0" w:type="dxa"/>
                          <w:right w:w="0" w:type="dxa"/>
                        </w:tcMar>
                      </w:tcPr>
                      <w:p w:rsidR="00850B27" w:rsidRPr="00DB671B" w:rsidRDefault="00850B27" w:rsidP="00DB671B">
                        <w:pPr>
                          <w:keepNext/>
                          <w:keepLines/>
                          <w:spacing w:before="20" w:after="20"/>
                          <w:jc w:val="left"/>
                          <w:rPr>
                            <w:rFonts w:cs="Arial"/>
                            <w:sz w:val="16"/>
                            <w:szCs w:val="16"/>
                          </w:rPr>
                        </w:pPr>
                      </w:p>
                    </w:tc>
                  </w:tr>
                </w:tbl>
                <w:p w:rsidR="00850B27" w:rsidRPr="00DB671B" w:rsidRDefault="00850B27" w:rsidP="00DB671B">
                  <w:pPr>
                    <w:keepNext/>
                    <w:keepLines/>
                    <w:spacing w:before="20" w:after="20"/>
                    <w:jc w:val="left"/>
                    <w:rPr>
                      <w:rFonts w:cs="Arial"/>
                      <w:sz w:val="16"/>
                      <w:szCs w:val="16"/>
                    </w:rPr>
                  </w:pPr>
                </w:p>
              </w:tc>
              <w:tc>
                <w:tcPr>
                  <w:tcW w:w="156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50B27" w:rsidRPr="00DB671B" w:rsidRDefault="00850B27" w:rsidP="00DB671B">
                  <w:pPr>
                    <w:keepNext/>
                    <w:keepLines/>
                    <w:spacing w:before="20" w:after="20"/>
                    <w:jc w:val="left"/>
                    <w:rPr>
                      <w:rFonts w:cs="Arial"/>
                      <w:sz w:val="16"/>
                      <w:szCs w:val="16"/>
                    </w:rPr>
                  </w:pPr>
                  <w:r w:rsidRPr="00DB671B">
                    <w:rPr>
                      <w:rFonts w:cs="Arial"/>
                      <w:sz w:val="16"/>
                      <w:szCs w:val="16"/>
                    </w:rPr>
                    <w:t>Tomatenunterlagen</w:t>
                  </w:r>
                </w:p>
                <w:tbl>
                  <w:tblPr>
                    <w:tblW w:w="1560" w:type="dxa"/>
                    <w:tblLayout w:type="fixed"/>
                    <w:tblCellMar>
                      <w:left w:w="0" w:type="dxa"/>
                      <w:right w:w="0" w:type="dxa"/>
                    </w:tblCellMar>
                    <w:tblLook w:val="01E0" w:firstRow="1" w:lastRow="1" w:firstColumn="1" w:lastColumn="1" w:noHBand="0" w:noVBand="0"/>
                  </w:tblPr>
                  <w:tblGrid>
                    <w:gridCol w:w="1560"/>
                  </w:tblGrid>
                  <w:tr w:rsidR="00DB671B" w:rsidRPr="00DB671B" w:rsidTr="00DB671B">
                    <w:tc>
                      <w:tcPr>
                        <w:tcW w:w="1560" w:type="dxa"/>
                        <w:tcMar>
                          <w:top w:w="0" w:type="dxa"/>
                          <w:left w:w="0" w:type="dxa"/>
                          <w:bottom w:w="0" w:type="dxa"/>
                          <w:right w:w="0" w:type="dxa"/>
                        </w:tcMar>
                      </w:tcPr>
                      <w:p w:rsidR="00850B27" w:rsidRPr="00DB671B" w:rsidRDefault="00850B27" w:rsidP="00DB671B">
                        <w:pPr>
                          <w:keepNext/>
                          <w:keepLines/>
                          <w:spacing w:before="20" w:after="20"/>
                          <w:jc w:val="left"/>
                          <w:rPr>
                            <w:rFonts w:cs="Arial"/>
                            <w:sz w:val="16"/>
                            <w:szCs w:val="16"/>
                          </w:rPr>
                        </w:pPr>
                      </w:p>
                    </w:tc>
                  </w:tr>
                </w:tbl>
                <w:p w:rsidR="00850B27" w:rsidRPr="00DB671B" w:rsidRDefault="00850B27" w:rsidP="00DB671B">
                  <w:pPr>
                    <w:keepNext/>
                    <w:keepLines/>
                    <w:spacing w:before="20" w:after="20"/>
                    <w:jc w:val="left"/>
                    <w:rPr>
                      <w:rFonts w:cs="Arial"/>
                      <w:sz w:val="16"/>
                      <w:szCs w:val="16"/>
                    </w:rPr>
                  </w:pPr>
                </w:p>
              </w:tc>
              <w:tc>
                <w:tcPr>
                  <w:tcW w:w="132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50B27" w:rsidRPr="00DB671B" w:rsidRDefault="00850B27" w:rsidP="00DB671B">
                  <w:pPr>
                    <w:keepNext/>
                    <w:keepLines/>
                    <w:spacing w:before="20" w:after="20"/>
                    <w:jc w:val="left"/>
                    <w:rPr>
                      <w:rFonts w:cs="Arial"/>
                      <w:sz w:val="16"/>
                      <w:szCs w:val="16"/>
                    </w:rPr>
                  </w:pPr>
                  <w:r w:rsidRPr="00DB671B">
                    <w:rPr>
                      <w:rFonts w:cs="Arial"/>
                      <w:sz w:val="16"/>
                      <w:szCs w:val="16"/>
                    </w:rPr>
                    <w:t>Portainjertos de tomate</w:t>
                  </w:r>
                </w:p>
                <w:tbl>
                  <w:tblPr>
                    <w:tblW w:w="1320" w:type="dxa"/>
                    <w:tblLayout w:type="fixed"/>
                    <w:tblCellMar>
                      <w:left w:w="0" w:type="dxa"/>
                      <w:right w:w="0" w:type="dxa"/>
                    </w:tblCellMar>
                    <w:tblLook w:val="01E0" w:firstRow="1" w:lastRow="1" w:firstColumn="1" w:lastColumn="1" w:noHBand="0" w:noVBand="0"/>
                  </w:tblPr>
                  <w:tblGrid>
                    <w:gridCol w:w="1320"/>
                  </w:tblGrid>
                  <w:tr w:rsidR="00DB671B" w:rsidRPr="00DB671B" w:rsidTr="00DB671B">
                    <w:tc>
                      <w:tcPr>
                        <w:tcW w:w="1320" w:type="dxa"/>
                        <w:tcMar>
                          <w:top w:w="0" w:type="dxa"/>
                          <w:left w:w="0" w:type="dxa"/>
                          <w:bottom w:w="0" w:type="dxa"/>
                          <w:right w:w="0" w:type="dxa"/>
                        </w:tcMar>
                      </w:tcPr>
                      <w:p w:rsidR="00850B27" w:rsidRPr="00DB671B" w:rsidRDefault="00850B27" w:rsidP="00DB671B">
                        <w:pPr>
                          <w:keepNext/>
                          <w:keepLines/>
                          <w:spacing w:before="20" w:after="20"/>
                          <w:jc w:val="left"/>
                          <w:rPr>
                            <w:rFonts w:cs="Arial"/>
                            <w:sz w:val="16"/>
                            <w:szCs w:val="16"/>
                          </w:rPr>
                        </w:pPr>
                      </w:p>
                    </w:tc>
                  </w:tr>
                </w:tbl>
                <w:p w:rsidR="00850B27" w:rsidRPr="00DB671B" w:rsidRDefault="00850B27" w:rsidP="00DB671B">
                  <w:pPr>
                    <w:keepNext/>
                    <w:keepLines/>
                    <w:spacing w:before="20" w:after="20"/>
                    <w:jc w:val="left"/>
                    <w:rPr>
                      <w:rFonts w:cs="Arial"/>
                      <w:sz w:val="16"/>
                      <w:szCs w:val="16"/>
                    </w:rPr>
                  </w:pPr>
                </w:p>
              </w:tc>
              <w:tc>
                <w:tcPr>
                  <w:tcW w:w="154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50B27" w:rsidRPr="00DB671B" w:rsidRDefault="00850B27" w:rsidP="00DB671B">
                  <w:pPr>
                    <w:keepNext/>
                    <w:keepLines/>
                    <w:spacing w:before="20" w:after="20"/>
                    <w:jc w:val="left"/>
                    <w:rPr>
                      <w:vanish/>
                    </w:rPr>
                  </w:pPr>
                </w:p>
                <w:tbl>
                  <w:tblPr>
                    <w:tblW w:w="1545" w:type="dxa"/>
                    <w:tblLayout w:type="fixed"/>
                    <w:tblCellMar>
                      <w:left w:w="0" w:type="dxa"/>
                      <w:right w:w="0" w:type="dxa"/>
                    </w:tblCellMar>
                    <w:tblLook w:val="01E0" w:firstRow="1" w:lastRow="1" w:firstColumn="1" w:lastColumn="1" w:noHBand="0" w:noVBand="0"/>
                  </w:tblPr>
                  <w:tblGrid>
                    <w:gridCol w:w="1545"/>
                  </w:tblGrid>
                  <w:tr w:rsidR="00DB671B" w:rsidRPr="00DB671B" w:rsidTr="00DB671B">
                    <w:tc>
                      <w:tcPr>
                        <w:tcW w:w="1545" w:type="dxa"/>
                        <w:tcMar>
                          <w:top w:w="0" w:type="dxa"/>
                          <w:left w:w="0" w:type="dxa"/>
                          <w:bottom w:w="0" w:type="dxa"/>
                          <w:right w:w="0" w:type="dxa"/>
                        </w:tcMar>
                      </w:tcPr>
                      <w:p w:rsidR="00850B27" w:rsidRPr="00DB671B" w:rsidRDefault="00850B27" w:rsidP="00DB671B">
                        <w:pPr>
                          <w:keepNext/>
                          <w:keepLines/>
                          <w:spacing w:before="20" w:after="20"/>
                          <w:jc w:val="left"/>
                          <w:rPr>
                            <w:rFonts w:eastAsiaTheme="minorEastAsia" w:cs="Arial"/>
                            <w:sz w:val="16"/>
                            <w:szCs w:val="16"/>
                          </w:rPr>
                        </w:pPr>
                        <w:r w:rsidRPr="00DB671B">
                          <w:rPr>
                            <w:rFonts w:cs="Arial"/>
                            <w:i/>
                            <w:iCs/>
                            <w:sz w:val="16"/>
                            <w:szCs w:val="16"/>
                          </w:rPr>
                          <w:t>Solanum lycopersicum</w:t>
                        </w:r>
                        <w:r w:rsidRPr="00DB671B">
                          <w:rPr>
                            <w:rFonts w:cs="Arial"/>
                            <w:sz w:val="16"/>
                            <w:szCs w:val="16"/>
                          </w:rPr>
                          <w:t xml:space="preserve"> L. x  </w:t>
                        </w:r>
                        <w:r w:rsidRPr="00DB671B">
                          <w:rPr>
                            <w:rFonts w:cs="Arial"/>
                            <w:i/>
                            <w:iCs/>
                            <w:sz w:val="16"/>
                            <w:szCs w:val="16"/>
                          </w:rPr>
                          <w:t>S. cheesmaniae</w:t>
                        </w:r>
                        <w:r w:rsidRPr="00DB671B">
                          <w:rPr>
                            <w:rFonts w:cs="Arial"/>
                            <w:sz w:val="16"/>
                            <w:szCs w:val="16"/>
                          </w:rPr>
                          <w:t> </w:t>
                        </w:r>
                        <w:r w:rsidRPr="00DB671B">
                          <w:rPr>
                            <w:rFonts w:cs="Arial"/>
                            <w:sz w:val="16"/>
                            <w:szCs w:val="16"/>
                          </w:rPr>
                          <w:br/>
                          <w:t xml:space="preserve">(L. Ridley) Fosberg, </w:t>
                        </w:r>
                        <w:r w:rsidRPr="00DB671B">
                          <w:rPr>
                            <w:rFonts w:cs="Arial"/>
                            <w:i/>
                            <w:iCs/>
                            <w:sz w:val="16"/>
                            <w:szCs w:val="16"/>
                          </w:rPr>
                          <w:t>S. lycopersicum</w:t>
                        </w:r>
                        <w:r w:rsidRPr="00DB671B">
                          <w:rPr>
                            <w:rFonts w:cs="Arial"/>
                            <w:sz w:val="16"/>
                            <w:szCs w:val="16"/>
                          </w:rPr>
                          <w:t xml:space="preserve"> L. x  </w:t>
                        </w:r>
                        <w:r w:rsidRPr="00DB671B">
                          <w:rPr>
                            <w:rFonts w:cs="Arial"/>
                            <w:i/>
                            <w:iCs/>
                            <w:sz w:val="16"/>
                            <w:szCs w:val="16"/>
                          </w:rPr>
                          <w:t>S. peruvianum</w:t>
                        </w:r>
                        <w:r w:rsidRPr="00DB671B">
                          <w:rPr>
                            <w:rFonts w:cs="Arial"/>
                            <w:sz w:val="16"/>
                            <w:szCs w:val="16"/>
                          </w:rPr>
                          <w:t> (L.) Mill., S.</w:t>
                        </w:r>
                        <w:r w:rsidRPr="00DB671B">
                          <w:rPr>
                            <w:rStyle w:val="Emphasis"/>
                            <w:rFonts w:cs="Arial"/>
                            <w:sz w:val="16"/>
                            <w:szCs w:val="16"/>
                          </w:rPr>
                          <w:t xml:space="preserve"> pimpinellifolium</w:t>
                        </w:r>
                        <w:r w:rsidRPr="00DB671B">
                          <w:rPr>
                            <w:rFonts w:cs="Arial"/>
                            <w:sz w:val="16"/>
                            <w:szCs w:val="16"/>
                          </w:rPr>
                          <w:t xml:space="preserve"> L. x  </w:t>
                        </w:r>
                        <w:r w:rsidRPr="00DB671B">
                          <w:rPr>
                            <w:rStyle w:val="Emphasis"/>
                            <w:rFonts w:cs="Arial"/>
                            <w:sz w:val="16"/>
                            <w:szCs w:val="16"/>
                          </w:rPr>
                          <w:t>S. habrochaites</w:t>
                        </w:r>
                        <w:r w:rsidRPr="00DB671B">
                          <w:rPr>
                            <w:rFonts w:cs="Arial"/>
                            <w:sz w:val="16"/>
                            <w:szCs w:val="16"/>
                          </w:rPr>
                          <w:t> </w:t>
                        </w:r>
                        <w:r w:rsidRPr="00DB671B">
                          <w:rPr>
                            <w:rFonts w:cs="Arial"/>
                            <w:sz w:val="16"/>
                            <w:szCs w:val="16"/>
                          </w:rPr>
                          <w:br/>
                          <w:t>S. Knapp &amp; D.M. Spooner, </w:t>
                        </w:r>
                        <w:r w:rsidRPr="00DB671B">
                          <w:rPr>
                            <w:rFonts w:cs="Arial"/>
                            <w:i/>
                            <w:iCs/>
                            <w:sz w:val="16"/>
                            <w:szCs w:val="16"/>
                          </w:rPr>
                          <w:t>Solanum habrochaites</w:t>
                        </w:r>
                        <w:r w:rsidRPr="00DB671B">
                          <w:rPr>
                            <w:rFonts w:cs="Arial"/>
                            <w:sz w:val="16"/>
                            <w:szCs w:val="16"/>
                          </w:rPr>
                          <w:t> S. Knapp </w:t>
                        </w:r>
                        <w:r w:rsidRPr="00DB671B">
                          <w:rPr>
                            <w:rFonts w:cs="Arial"/>
                            <w:i/>
                            <w:iCs/>
                            <w:sz w:val="16"/>
                            <w:szCs w:val="16"/>
                          </w:rPr>
                          <w:t>&amp;</w:t>
                        </w:r>
                        <w:r w:rsidRPr="00DB671B">
                          <w:rPr>
                            <w:rFonts w:cs="Arial"/>
                            <w:sz w:val="16"/>
                            <w:szCs w:val="16"/>
                          </w:rPr>
                          <w:t xml:space="preserve"> D.M. Spooner, </w:t>
                        </w:r>
                        <w:r w:rsidRPr="00DB671B">
                          <w:rPr>
                            <w:rFonts w:cs="Arial"/>
                            <w:i/>
                            <w:iCs/>
                            <w:sz w:val="16"/>
                            <w:szCs w:val="16"/>
                          </w:rPr>
                          <w:t>S. lycopersicum</w:t>
                        </w:r>
                        <w:r w:rsidRPr="00DB671B">
                          <w:rPr>
                            <w:rFonts w:cs="Arial"/>
                            <w:sz w:val="16"/>
                            <w:szCs w:val="16"/>
                          </w:rPr>
                          <w:t> L. var. </w:t>
                        </w:r>
                        <w:r w:rsidRPr="00DB671B">
                          <w:rPr>
                            <w:rFonts w:cs="Arial"/>
                            <w:i/>
                            <w:iCs/>
                            <w:sz w:val="16"/>
                            <w:szCs w:val="16"/>
                          </w:rPr>
                          <w:t>lycopersicum</w:t>
                        </w:r>
                        <w:r w:rsidRPr="00DB671B">
                          <w:rPr>
                            <w:rFonts w:cs="Arial"/>
                            <w:sz w:val="16"/>
                            <w:szCs w:val="16"/>
                          </w:rPr>
                          <w:t xml:space="preserve"> x  </w:t>
                        </w:r>
                        <w:r w:rsidRPr="00DB671B">
                          <w:rPr>
                            <w:rFonts w:cs="Arial"/>
                            <w:i/>
                            <w:iCs/>
                            <w:sz w:val="16"/>
                            <w:szCs w:val="16"/>
                          </w:rPr>
                          <w:t>S. habrochaites</w:t>
                        </w:r>
                        <w:r w:rsidRPr="00DB671B">
                          <w:rPr>
                            <w:rFonts w:cs="Arial"/>
                            <w:sz w:val="16"/>
                            <w:szCs w:val="16"/>
                          </w:rPr>
                          <w:t> S. Knapp &amp; D.M. Spooner</w:t>
                        </w:r>
                      </w:p>
                      <w:p w:rsidR="00850B27" w:rsidRPr="00DB671B" w:rsidRDefault="00850B27" w:rsidP="00DB671B">
                        <w:pPr>
                          <w:keepNext/>
                          <w:keepLines/>
                          <w:spacing w:before="20" w:after="20" w:line="1" w:lineRule="auto"/>
                          <w:jc w:val="left"/>
                        </w:pPr>
                      </w:p>
                    </w:tc>
                  </w:tr>
                </w:tbl>
                <w:p w:rsidR="00850B27" w:rsidRPr="00DB671B" w:rsidRDefault="00850B27" w:rsidP="00DB671B">
                  <w:pPr>
                    <w:keepNext/>
                    <w:keepLines/>
                    <w:spacing w:before="20" w:after="20" w:line="1" w:lineRule="auto"/>
                    <w:jc w:val="left"/>
                  </w:pPr>
                </w:p>
              </w:tc>
            </w:tr>
          </w:tbl>
          <w:p w:rsidR="00850B27" w:rsidRPr="00DB671B" w:rsidRDefault="00850B27" w:rsidP="00DB671B">
            <w:pPr>
              <w:spacing w:line="1" w:lineRule="auto"/>
            </w:pPr>
          </w:p>
        </w:tc>
      </w:tr>
    </w:tbl>
    <w:p w:rsidR="00850B27" w:rsidRPr="00DB671B" w:rsidRDefault="00850B27" w:rsidP="00DB671B"/>
    <w:p w:rsidR="00850B27" w:rsidRPr="00DB671B" w:rsidRDefault="00850B27" w:rsidP="00DB671B">
      <w:r w:rsidRPr="00DB671B">
        <w:fldChar w:fldCharType="begin"/>
      </w:r>
      <w:r w:rsidRPr="00DB671B">
        <w:instrText xml:space="preserve"> AUTONUM  </w:instrText>
      </w:r>
      <w:r w:rsidRPr="00DB671B">
        <w:fldChar w:fldCharType="end"/>
      </w:r>
      <w:r w:rsidRPr="00DB671B">
        <w:tab/>
        <w:t xml:space="preserve">Le TC-EDC est convenu que le projet de principes directeurs d’examen du coréopsis (document TG/COREO(proj.3)) devrait être renvoyé au TWO afin d’éclaircir certaines questions techniques, comme indiqué dans l’annexe II du présent compte rendu.  </w:t>
      </w:r>
    </w:p>
    <w:p w:rsidR="00850B27" w:rsidRPr="00DB671B" w:rsidRDefault="00850B27" w:rsidP="00DB671B"/>
    <w:p w:rsidR="00850B27" w:rsidRPr="00DB671B" w:rsidRDefault="00850B27" w:rsidP="00DB671B">
      <w:r w:rsidRPr="00DB671B">
        <w:fldChar w:fldCharType="begin"/>
      </w:r>
      <w:r w:rsidRPr="00DB671B">
        <w:instrText xml:space="preserve"> AUTONUM  </w:instrText>
      </w:r>
      <w:r w:rsidRPr="00DB671B">
        <w:fldChar w:fldCharType="end"/>
      </w:r>
      <w:r w:rsidRPr="00DB671B">
        <w:tab/>
        <w:t xml:space="preserve">Le TC-EDC est convenu que certaines modifications rédactionnelles devaient être apportées au projet de principes directeurs d’examen du pourpier (document TG/242/4(proj.2)) et est convenu de réexaminer le projet de principes directeurs d’examen à sa réunion qui se tiendra en mars 2020.  </w:t>
      </w:r>
    </w:p>
    <w:p w:rsidR="00850B27" w:rsidRPr="00DB671B" w:rsidRDefault="00850B27" w:rsidP="00DB671B">
      <w:pPr>
        <w:keepNext/>
      </w:pPr>
    </w:p>
    <w:p w:rsidR="00850B27" w:rsidRPr="00DB671B" w:rsidRDefault="00850B27" w:rsidP="00DB671B">
      <w:pPr>
        <w:pStyle w:val="Heading3"/>
        <w:rPr>
          <w:lang w:val="fr-FR"/>
        </w:rPr>
      </w:pPr>
      <w:r w:rsidRPr="00DB671B">
        <w:rPr>
          <w:lang w:val="fr-FR"/>
        </w:rPr>
        <w:t>Corrections apportées aux principes directeurs d’examen</w:t>
      </w:r>
    </w:p>
    <w:p w:rsidR="00850B27" w:rsidRPr="00DB671B" w:rsidRDefault="00850B27" w:rsidP="00DB671B">
      <w:pPr>
        <w:keepNext/>
      </w:pPr>
    </w:p>
    <w:p w:rsidR="00850B27" w:rsidRPr="00DB671B" w:rsidRDefault="00850B27" w:rsidP="00DB671B">
      <w:pPr>
        <w:keepNext/>
      </w:pPr>
      <w:r w:rsidRPr="00DB671B">
        <w:fldChar w:fldCharType="begin"/>
      </w:r>
      <w:r w:rsidRPr="00DB671B">
        <w:instrText xml:space="preserve"> AUTONUM  </w:instrText>
      </w:r>
      <w:r w:rsidRPr="00DB671B">
        <w:fldChar w:fldCharType="end"/>
      </w:r>
      <w:r w:rsidRPr="00DB671B">
        <w:tab/>
        <w:t>Le TC prend note des corrections ci-après apportées aux principes directeurs d’examen adoptés pour la lobélie, le concombre et l’urochloa :</w:t>
      </w:r>
    </w:p>
    <w:p w:rsidR="00850B27" w:rsidRPr="00DB671B" w:rsidRDefault="00850B27" w:rsidP="00DB671B">
      <w:pPr>
        <w:keepNext/>
      </w:pPr>
    </w:p>
    <w:p w:rsidR="00850B27" w:rsidRPr="00DB671B" w:rsidRDefault="00850B27" w:rsidP="00DB671B">
      <w:pPr>
        <w:pStyle w:val="ListParagraph"/>
        <w:keepNext/>
        <w:numPr>
          <w:ilvl w:val="0"/>
          <w:numId w:val="15"/>
        </w:numPr>
        <w:rPr>
          <w:rFonts w:cs="Arial"/>
        </w:rPr>
      </w:pPr>
      <w:r w:rsidRPr="00DB671B">
        <w:rPr>
          <w:rFonts w:cs="Arial"/>
        </w:rPr>
        <w:t>Principes directeurs d’examen de la lobélie (document TG/293/1 Corr.)</w:t>
      </w:r>
    </w:p>
    <w:p w:rsidR="00850B27" w:rsidRPr="00DB671B" w:rsidRDefault="00850B27" w:rsidP="00DB671B">
      <w:pPr>
        <w:pStyle w:val="ListParagraph"/>
        <w:ind w:left="1440"/>
        <w:rPr>
          <w:rFonts w:cs="Arial"/>
        </w:rPr>
      </w:pPr>
      <w:r w:rsidRPr="00DB671B">
        <w:rPr>
          <w:rFonts w:cs="Arial"/>
        </w:rPr>
        <w:t>Suppression des notes “1” et “2” de l’explication Ad. 27 “Labelle inférieur : zone blanche sur la face supérieure”.</w:t>
      </w:r>
    </w:p>
    <w:p w:rsidR="00850B27" w:rsidRPr="00DB671B" w:rsidRDefault="00850B27" w:rsidP="00DB671B">
      <w:pPr>
        <w:rPr>
          <w:rFonts w:cs="Arial"/>
        </w:rPr>
      </w:pPr>
    </w:p>
    <w:p w:rsidR="00850B27" w:rsidRPr="00DB671B" w:rsidRDefault="00850B27" w:rsidP="00DB671B">
      <w:pPr>
        <w:pStyle w:val="ListParagraph"/>
        <w:numPr>
          <w:ilvl w:val="0"/>
          <w:numId w:val="15"/>
        </w:numPr>
        <w:jc w:val="left"/>
        <w:rPr>
          <w:rFonts w:cs="Arial"/>
        </w:rPr>
      </w:pPr>
      <w:r w:rsidRPr="00DB671B">
        <w:rPr>
          <w:rFonts w:cs="Arial"/>
        </w:rPr>
        <w:t>Principes directeurs d’examen du concombre (documents TG/61/7 Rev. 2 Corr. 2 (EN, DE) et TG/61/7 Rev. 2 Corr. 3 (FR, ES))</w:t>
      </w:r>
    </w:p>
    <w:p w:rsidR="00850B27" w:rsidRPr="00DB671B" w:rsidRDefault="00850B27" w:rsidP="00DB671B">
      <w:pPr>
        <w:pStyle w:val="ListParagraph"/>
        <w:ind w:left="1440"/>
        <w:rPr>
          <w:rFonts w:cs="Arial"/>
        </w:rPr>
      </w:pPr>
      <w:r w:rsidRPr="00DB671B">
        <w:rPr>
          <w:rFonts w:cs="Arial"/>
        </w:rPr>
        <w:t>Correction du type d’expression du caractère 47 “Résistance au mildiou (</w:t>
      </w:r>
      <w:r w:rsidRPr="00DB671B">
        <w:rPr>
          <w:rFonts w:cs="Arial"/>
          <w:i/>
        </w:rPr>
        <w:t>Pseudoperonospora cubensis</w:t>
      </w:r>
      <w:r w:rsidRPr="00DB671B">
        <w:rPr>
          <w:rFonts w:cs="Arial"/>
        </w:rPr>
        <w:t>) (Pcu)” qu’il convient d’indiquer comme QL au lieu de QN.</w:t>
      </w:r>
    </w:p>
    <w:p w:rsidR="00850B27" w:rsidRPr="00DB671B" w:rsidRDefault="00850B27" w:rsidP="00DB671B">
      <w:pPr>
        <w:rPr>
          <w:rFonts w:cs="Arial"/>
        </w:rPr>
      </w:pPr>
    </w:p>
    <w:p w:rsidR="00850B27" w:rsidRPr="00DB671B" w:rsidRDefault="00850B27" w:rsidP="00DB671B">
      <w:pPr>
        <w:pStyle w:val="ListParagraph"/>
        <w:keepNext/>
        <w:numPr>
          <w:ilvl w:val="0"/>
          <w:numId w:val="15"/>
        </w:numPr>
        <w:rPr>
          <w:rFonts w:cs="Arial"/>
        </w:rPr>
      </w:pPr>
      <w:r w:rsidRPr="00DB671B">
        <w:rPr>
          <w:rFonts w:cs="Arial"/>
        </w:rPr>
        <w:t>Principes directeurs d’examen de l’urochloa (document TG/32</w:t>
      </w:r>
      <w:r w:rsidR="00E965C7">
        <w:rPr>
          <w:rFonts w:cs="Arial"/>
        </w:rPr>
        <w:t>2</w:t>
      </w:r>
      <w:r w:rsidRPr="00DB671B">
        <w:rPr>
          <w:rFonts w:cs="Arial"/>
        </w:rPr>
        <w:t>/1 Corr.)</w:t>
      </w:r>
    </w:p>
    <w:p w:rsidR="00850B27" w:rsidRPr="00DB671B" w:rsidRDefault="00850B27" w:rsidP="00DB671B">
      <w:pPr>
        <w:ind w:left="1418"/>
      </w:pPr>
      <w:r w:rsidRPr="00DB671B">
        <w:t>Correction du nombre de caractères dans l’explication Ad. 14, 16, 17 (“Inflorescence : longueur du rachis”, “Inflorescence : longueur des racèmes de la base”, “Inflorescence : longueur du pédoncule”) pour renvoyer aux parties correctes de la plante.</w:t>
      </w:r>
    </w:p>
    <w:p w:rsidR="00850B27" w:rsidRPr="00DB671B" w:rsidRDefault="00850B27" w:rsidP="00DB671B"/>
    <w:p w:rsidR="00850B27" w:rsidRPr="00DB671B" w:rsidRDefault="00850B27" w:rsidP="00DB671B">
      <w:pPr>
        <w:pStyle w:val="Heading3"/>
        <w:rPr>
          <w:lang w:val="fr-FR"/>
        </w:rPr>
      </w:pPr>
      <w:r w:rsidRPr="00DB671B">
        <w:rPr>
          <w:lang w:val="fr-FR"/>
        </w:rPr>
        <w:t>Projets de principes directeurs d’examen examinés par les TWP en 2019</w:t>
      </w:r>
    </w:p>
    <w:p w:rsidR="00850B27" w:rsidRPr="00DB671B" w:rsidRDefault="00850B27" w:rsidP="00DB671B"/>
    <w:p w:rsidR="00850B27" w:rsidRPr="00DB671B" w:rsidRDefault="00850B27" w:rsidP="00DB671B">
      <w:r w:rsidRPr="00DB671B">
        <w:fldChar w:fldCharType="begin"/>
      </w:r>
      <w:r w:rsidRPr="00DB671B">
        <w:instrText xml:space="preserve"> AUTONUM  </w:instrText>
      </w:r>
      <w:r w:rsidRPr="00DB671B">
        <w:fldChar w:fldCharType="end"/>
      </w:r>
      <w:r w:rsidRPr="00DB671B">
        <w:tab/>
        <w:t>Le TC prend note des projets de principes directeurs d’examen examinés par le TWF à sa session de 2018 et par les TWP à leurs sessions de 2019, dont la liste figure à l’annexe III du document TC/55/2.</w:t>
      </w:r>
    </w:p>
    <w:p w:rsidR="00850B27" w:rsidRPr="00DB671B" w:rsidRDefault="00850B27" w:rsidP="00DB671B"/>
    <w:p w:rsidR="00850B27" w:rsidRPr="00DB671B" w:rsidRDefault="00850B27" w:rsidP="00DB671B">
      <w:pPr>
        <w:pStyle w:val="Heading3"/>
        <w:rPr>
          <w:lang w:val="fr-FR"/>
        </w:rPr>
      </w:pPr>
      <w:r w:rsidRPr="00DB671B">
        <w:rPr>
          <w:lang w:val="fr-FR"/>
        </w:rPr>
        <w:t>Projets de principes directeurs d’examen devant être examinés par les TWP en 2020</w:t>
      </w:r>
    </w:p>
    <w:p w:rsidR="00850B27" w:rsidRPr="00DB671B" w:rsidRDefault="00850B27" w:rsidP="00DB671B">
      <w:pPr>
        <w:keepNext/>
      </w:pPr>
    </w:p>
    <w:p w:rsidR="00850B27" w:rsidRPr="00DB671B" w:rsidRDefault="00850B27" w:rsidP="00DB671B">
      <w:pPr>
        <w:keepNext/>
      </w:pPr>
      <w:r w:rsidRPr="00DB671B">
        <w:fldChar w:fldCharType="begin"/>
      </w:r>
      <w:r w:rsidRPr="00DB671B">
        <w:instrText xml:space="preserve"> AUTONUM  </w:instrText>
      </w:r>
      <w:r w:rsidRPr="00DB671B">
        <w:fldChar w:fldCharType="end"/>
      </w:r>
      <w:r w:rsidRPr="00DB671B">
        <w:tab/>
        <w:t xml:space="preserve">Le TC approuve le programme d’élaboration de nouveaux principes directeurs d’examen et de révision des principes directeurs d’examen adoptés, qui figure à l’annexe IV du document TC/55/2, avec les modifications ci-après : </w:t>
      </w:r>
    </w:p>
    <w:p w:rsidR="00850B27" w:rsidRPr="00DB671B" w:rsidRDefault="00850B27" w:rsidP="00DB671B"/>
    <w:p w:rsidR="00850B27" w:rsidRPr="00DB671B" w:rsidRDefault="00850B27" w:rsidP="00DB671B">
      <w:pPr>
        <w:pStyle w:val="Heading4"/>
      </w:pPr>
      <w:r w:rsidRPr="00DB671B">
        <w:t>Révision partielle des principes directeurs d’examen du chrysanthème</w:t>
      </w:r>
    </w:p>
    <w:p w:rsidR="00850B27" w:rsidRPr="00DB671B" w:rsidRDefault="00850B27" w:rsidP="00DB671B">
      <w:pPr>
        <w:keepNext/>
        <w:jc w:val="left"/>
      </w:pPr>
    </w:p>
    <w:p w:rsidR="00850B27" w:rsidRPr="00DB671B" w:rsidRDefault="00850B27" w:rsidP="00DB671B">
      <w:pPr>
        <w:keepNext/>
      </w:pPr>
      <w:r w:rsidRPr="00DB671B">
        <w:fldChar w:fldCharType="begin"/>
      </w:r>
      <w:r w:rsidRPr="00DB671B">
        <w:instrText xml:space="preserve"> AUTONUM  </w:instrText>
      </w:r>
      <w:r w:rsidRPr="00DB671B">
        <w:fldChar w:fldCharType="end"/>
      </w:r>
      <w:r w:rsidRPr="00DB671B">
        <w:tab/>
        <w:t xml:space="preserve">Le TC convient de demander une révision partielle des principes directeurs d’examen du chrysanthème (document TG/26/5 Corr. 2) afin d’étendre leur portée à toutes les variétés de </w:t>
      </w:r>
      <w:r w:rsidRPr="00DB671B">
        <w:rPr>
          <w:i/>
        </w:rPr>
        <w:t>Chrysanthemum </w:t>
      </w:r>
      <w:r w:rsidRPr="005A787E">
        <w:t>L</w:t>
      </w:r>
      <w:r w:rsidRPr="00DB671B">
        <w:rPr>
          <w:i/>
        </w:rPr>
        <w:t>.</w:t>
      </w:r>
      <w:r w:rsidRPr="00DB671B">
        <w:t>.</w:t>
      </w:r>
    </w:p>
    <w:p w:rsidR="00850B27" w:rsidRPr="00DB671B" w:rsidRDefault="00850B27" w:rsidP="00DB671B"/>
    <w:p w:rsidR="00850B27" w:rsidRPr="00DB671B" w:rsidRDefault="00850B27" w:rsidP="00DB671B">
      <w:pPr>
        <w:pStyle w:val="Heading4"/>
      </w:pPr>
      <w:r w:rsidRPr="00DB671B">
        <w:t>Révision partielle des principes directeurs d’examen du calibrachoa</w:t>
      </w:r>
    </w:p>
    <w:p w:rsidR="00850B27" w:rsidRPr="00DB671B" w:rsidRDefault="00850B27" w:rsidP="00DB671B">
      <w:pPr>
        <w:keepNext/>
        <w:jc w:val="left"/>
      </w:pPr>
    </w:p>
    <w:p w:rsidR="00850B27" w:rsidRPr="00DB671B" w:rsidRDefault="00850B27" w:rsidP="00DB671B">
      <w:pPr>
        <w:keepNext/>
      </w:pPr>
      <w:r w:rsidRPr="00DB671B">
        <w:fldChar w:fldCharType="begin"/>
      </w:r>
      <w:r w:rsidRPr="00DB671B">
        <w:instrText xml:space="preserve"> AUTONUM  </w:instrText>
      </w:r>
      <w:r w:rsidRPr="00DB671B">
        <w:fldChar w:fldCharType="end"/>
      </w:r>
      <w:r w:rsidRPr="00DB671B">
        <w:tab/>
        <w:t>Le TC prend note de la proposition du Japon et convient de demander la révision partielle des principes directeurs d’examen du calibrachoa (document TG/207/2), caractères 16 à 20, 28 et 29, afin de supprimer la restriction relative à l’observation pour certains types de variétés.</w:t>
      </w:r>
    </w:p>
    <w:p w:rsidR="00850B27" w:rsidRPr="00DB671B" w:rsidRDefault="00850B27" w:rsidP="00DB671B"/>
    <w:p w:rsidR="00850B27" w:rsidRPr="00DB671B" w:rsidRDefault="00850B27" w:rsidP="00DB671B">
      <w:pPr>
        <w:pStyle w:val="Heading3"/>
        <w:rPr>
          <w:lang w:val="fr-FR"/>
        </w:rPr>
      </w:pPr>
      <w:r w:rsidRPr="00DB671B">
        <w:rPr>
          <w:lang w:val="fr-FR"/>
        </w:rPr>
        <w:t>Situation des principes directeurs d’examen existants ou des projets de principes directeurs d’examen</w:t>
      </w:r>
    </w:p>
    <w:p w:rsidR="00850B27" w:rsidRPr="00DB671B" w:rsidRDefault="00850B27" w:rsidP="00DB671B">
      <w:pPr>
        <w:keepNext/>
      </w:pPr>
    </w:p>
    <w:p w:rsidR="00850B27" w:rsidRPr="00DB671B" w:rsidRDefault="00850B27" w:rsidP="00DB671B">
      <w:pPr>
        <w:keepNext/>
      </w:pPr>
      <w:r w:rsidRPr="00DB671B">
        <w:fldChar w:fldCharType="begin"/>
      </w:r>
      <w:r w:rsidRPr="00DB671B">
        <w:instrText xml:space="preserve"> AUTONUM  </w:instrText>
      </w:r>
      <w:r w:rsidRPr="00DB671B">
        <w:fldChar w:fldCharType="end"/>
      </w:r>
      <w:r w:rsidRPr="00DB671B">
        <w:tab/>
        <w:t>Le TC prend note de la situation des principes directeurs d’examen existants ou des projets de principes directeurs d’examen, figurant à l’annexe V du document TC/55/2.</w:t>
      </w:r>
    </w:p>
    <w:p w:rsidR="00850B27" w:rsidRPr="00DB671B" w:rsidRDefault="00850B27" w:rsidP="00DB671B"/>
    <w:p w:rsidR="00850B27" w:rsidRPr="00DB671B" w:rsidRDefault="00850B27" w:rsidP="00DB671B">
      <w:pPr>
        <w:pStyle w:val="Heading3"/>
        <w:rPr>
          <w:lang w:val="fr-FR"/>
        </w:rPr>
      </w:pPr>
      <w:r w:rsidRPr="00DB671B">
        <w:rPr>
          <w:lang w:val="fr-FR"/>
        </w:rPr>
        <w:t>Versions remplacées des principes directeurs d’examen</w:t>
      </w:r>
    </w:p>
    <w:p w:rsidR="00850B27" w:rsidRPr="00DB671B" w:rsidRDefault="00850B27" w:rsidP="00DB671B">
      <w:pPr>
        <w:keepNext/>
      </w:pPr>
    </w:p>
    <w:p w:rsidR="00850B27" w:rsidRPr="00DB671B" w:rsidRDefault="00850B27" w:rsidP="00DB671B">
      <w:pPr>
        <w:keepNext/>
      </w:pPr>
      <w:r w:rsidRPr="00DB671B">
        <w:fldChar w:fldCharType="begin"/>
      </w:r>
      <w:r w:rsidRPr="00DB671B">
        <w:instrText xml:space="preserve"> AUTONUM  </w:instrText>
      </w:r>
      <w:r w:rsidRPr="00DB671B">
        <w:fldChar w:fldCharType="end"/>
      </w:r>
      <w:r w:rsidRPr="00DB671B">
        <w:tab/>
        <w:t>Le TC prend note de la liste des principes directeurs d’examen remplacés, figurant à l’annexe VI du document TC/55/2.</w:t>
      </w:r>
    </w:p>
    <w:p w:rsidR="00850B27" w:rsidRPr="00DB671B" w:rsidRDefault="00850B27" w:rsidP="00DB671B"/>
    <w:p w:rsidR="00850B27" w:rsidRPr="00DB671B" w:rsidRDefault="00850B27" w:rsidP="00DB671B">
      <w:r w:rsidRPr="00DB671B">
        <w:fldChar w:fldCharType="begin"/>
      </w:r>
      <w:r w:rsidRPr="00DB671B">
        <w:instrText xml:space="preserve"> AUTONUM  </w:instrText>
      </w:r>
      <w:r w:rsidRPr="00DB671B">
        <w:fldChar w:fldCharType="end"/>
      </w:r>
      <w:r w:rsidRPr="00DB671B">
        <w:tab/>
        <w:t>Le TC note que les versions remplacées des principes directeurs d’examen peuvent être consultées sur la page du site Web de l’UPOV consacrée à ces principes.</w:t>
      </w:r>
    </w:p>
    <w:p w:rsidR="00850B27" w:rsidRPr="00DB671B" w:rsidRDefault="00850B27" w:rsidP="00DB671B"/>
    <w:p w:rsidR="00850B27" w:rsidRPr="00DB671B" w:rsidRDefault="00850B27" w:rsidP="00DB671B">
      <w:pPr>
        <w:pStyle w:val="Heading3"/>
        <w:rPr>
          <w:lang w:val="fr-FR"/>
        </w:rPr>
      </w:pPr>
      <w:r w:rsidRPr="00DB671B">
        <w:rPr>
          <w:lang w:val="fr-FR"/>
        </w:rPr>
        <w:t>Caractères supplémentaires</w:t>
      </w:r>
    </w:p>
    <w:p w:rsidR="00850B27" w:rsidRPr="00DB671B" w:rsidRDefault="00850B27" w:rsidP="00DB671B">
      <w:pPr>
        <w:keepNext/>
      </w:pPr>
    </w:p>
    <w:p w:rsidR="00850B27" w:rsidRPr="00DB671B" w:rsidRDefault="00850B27" w:rsidP="00DB671B">
      <w:pPr>
        <w:keepNext/>
      </w:pPr>
      <w:r w:rsidRPr="00DB671B">
        <w:fldChar w:fldCharType="begin"/>
      </w:r>
      <w:r w:rsidRPr="00DB671B">
        <w:instrText xml:space="preserve"> AUTONUM  </w:instrText>
      </w:r>
      <w:r w:rsidRPr="00DB671B">
        <w:fldChar w:fldCharType="end"/>
      </w:r>
      <w:r w:rsidRPr="00DB671B">
        <w:tab/>
        <w:t>Le TC prend note des caractères et des niveaux d’expression supplémentaires notifiés au Bureau de l’Union depuis la cinquante-quatrième session du TC (voir les annexes VII et VIII du document TC/55/2) :</w:t>
      </w:r>
    </w:p>
    <w:p w:rsidR="00850B27" w:rsidRPr="00DB671B" w:rsidRDefault="00850B27" w:rsidP="00DB671B"/>
    <w:p w:rsidR="00850B27" w:rsidRPr="00DB671B" w:rsidRDefault="00850B27" w:rsidP="00DB671B">
      <w:pPr>
        <w:pStyle w:val="Heading4"/>
      </w:pPr>
      <w:r w:rsidRPr="00DB671B">
        <w:t>Plantes agricoles</w:t>
      </w:r>
    </w:p>
    <w:p w:rsidR="00850B27" w:rsidRPr="00DB671B" w:rsidRDefault="00850B27" w:rsidP="00DB671B"/>
    <w:p w:rsidR="00850B27" w:rsidRPr="00DB671B" w:rsidRDefault="00850B27" w:rsidP="00DB671B">
      <w:pPr>
        <w:pStyle w:val="Heading5"/>
      </w:pPr>
      <w:r w:rsidRPr="00DB671B">
        <w:t>Caractères supplémentaires</w:t>
      </w:r>
    </w:p>
    <w:p w:rsidR="00850B27" w:rsidRPr="00DB671B" w:rsidRDefault="00850B27" w:rsidP="00DB671B">
      <w:pPr>
        <w:pStyle w:val="ListParagraph"/>
        <w:numPr>
          <w:ilvl w:val="0"/>
          <w:numId w:val="16"/>
        </w:numPr>
        <w:ind w:left="1134" w:hanging="567"/>
      </w:pPr>
      <w:r w:rsidRPr="00DB671B">
        <w:rPr>
          <w:i/>
        </w:rPr>
        <w:t>Dactylis glomerata</w:t>
      </w:r>
      <w:r w:rsidRPr="00DB671B">
        <w:t xml:space="preserve"> L. : voir l’annexe VII (en anglais seulement)</w:t>
      </w:r>
    </w:p>
    <w:p w:rsidR="00850B27" w:rsidRPr="001766FA" w:rsidRDefault="00850B27" w:rsidP="00DB671B">
      <w:pPr>
        <w:pStyle w:val="ListParagraph"/>
        <w:numPr>
          <w:ilvl w:val="1"/>
          <w:numId w:val="16"/>
        </w:numPr>
        <w:ind w:left="1701" w:hanging="567"/>
        <w:rPr>
          <w:lang w:val="en-US"/>
        </w:rPr>
      </w:pPr>
      <w:r w:rsidRPr="001766FA">
        <w:rPr>
          <w:lang w:val="en-US"/>
        </w:rPr>
        <w:t>“Plant: natural height in autumn (without vernalization)”</w:t>
      </w:r>
    </w:p>
    <w:p w:rsidR="00850B27" w:rsidRPr="00DB671B" w:rsidRDefault="00850B27" w:rsidP="00DB671B">
      <w:pPr>
        <w:pStyle w:val="ListParagraph"/>
        <w:numPr>
          <w:ilvl w:val="0"/>
          <w:numId w:val="16"/>
        </w:numPr>
        <w:ind w:left="1134" w:hanging="567"/>
      </w:pPr>
      <w:r w:rsidRPr="00DB671B">
        <w:rPr>
          <w:i/>
        </w:rPr>
        <w:t>Lolium multiflorum</w:t>
      </w:r>
      <w:r w:rsidRPr="00DB671B">
        <w:t xml:space="preserve"> L. : voir l’annexe VII (en anglais seulement)</w:t>
      </w:r>
    </w:p>
    <w:p w:rsidR="00850B27" w:rsidRPr="001766FA" w:rsidRDefault="00850B27" w:rsidP="00DB671B">
      <w:pPr>
        <w:pStyle w:val="ListParagraph"/>
        <w:numPr>
          <w:ilvl w:val="1"/>
          <w:numId w:val="16"/>
        </w:numPr>
        <w:ind w:left="1701" w:hanging="567"/>
        <w:rPr>
          <w:lang w:val="en-US"/>
        </w:rPr>
      </w:pPr>
      <w:r w:rsidRPr="001766FA">
        <w:rPr>
          <w:lang w:val="en-US"/>
        </w:rPr>
        <w:t>“Plant: length in autumn of year of sowing”</w:t>
      </w:r>
    </w:p>
    <w:p w:rsidR="00850B27" w:rsidRPr="001766FA" w:rsidRDefault="00850B27" w:rsidP="00DB671B">
      <w:pPr>
        <w:pStyle w:val="ListParagraph"/>
        <w:numPr>
          <w:ilvl w:val="1"/>
          <w:numId w:val="16"/>
        </w:numPr>
        <w:ind w:left="1701" w:hanging="567"/>
        <w:rPr>
          <w:lang w:val="en-US"/>
        </w:rPr>
      </w:pPr>
      <w:r w:rsidRPr="001766FA">
        <w:rPr>
          <w:lang w:val="en-US"/>
        </w:rPr>
        <w:t>“Leaf: length (at vegetative stage)”</w:t>
      </w:r>
    </w:p>
    <w:p w:rsidR="00850B27" w:rsidRPr="001766FA" w:rsidRDefault="00850B27" w:rsidP="00DB671B">
      <w:pPr>
        <w:pStyle w:val="ListParagraph"/>
        <w:ind w:left="1440"/>
        <w:rPr>
          <w:lang w:val="en-US"/>
        </w:rPr>
      </w:pPr>
    </w:p>
    <w:p w:rsidR="00850B27" w:rsidRPr="00DB671B" w:rsidRDefault="00850B27" w:rsidP="00DB671B">
      <w:pPr>
        <w:pStyle w:val="Heading4"/>
      </w:pPr>
      <w:r w:rsidRPr="00DB671B">
        <w:t>Plantes ornementales</w:t>
      </w:r>
    </w:p>
    <w:p w:rsidR="00850B27" w:rsidRPr="00DB671B" w:rsidRDefault="00850B27" w:rsidP="00DB671B"/>
    <w:p w:rsidR="00850B27" w:rsidRPr="00DB671B" w:rsidRDefault="00850B27" w:rsidP="00DB671B">
      <w:pPr>
        <w:pStyle w:val="Heading5"/>
      </w:pPr>
      <w:r w:rsidRPr="00DB671B">
        <w:t>Nouveau niveau d’expression</w:t>
      </w:r>
    </w:p>
    <w:p w:rsidR="00850B27" w:rsidRPr="00DB671B" w:rsidRDefault="00850B27" w:rsidP="00DB671B">
      <w:pPr>
        <w:pStyle w:val="ListParagraph"/>
        <w:numPr>
          <w:ilvl w:val="0"/>
          <w:numId w:val="17"/>
        </w:numPr>
        <w:ind w:left="1134" w:hanging="567"/>
      </w:pPr>
      <w:r w:rsidRPr="00DB671B">
        <w:rPr>
          <w:i/>
        </w:rPr>
        <w:t>Lav</w:t>
      </w:r>
      <w:r w:rsidR="00733F6A">
        <w:rPr>
          <w:i/>
        </w:rPr>
        <w:t>a</w:t>
      </w:r>
      <w:r w:rsidRPr="00DB671B">
        <w:rPr>
          <w:i/>
        </w:rPr>
        <w:t>ndula</w:t>
      </w:r>
      <w:r w:rsidRPr="00DB671B">
        <w:t> L. : voir l’annexe VIII</w:t>
      </w:r>
    </w:p>
    <w:p w:rsidR="00850B27" w:rsidRPr="00DB671B" w:rsidRDefault="00850B27" w:rsidP="00DB671B">
      <w:pPr>
        <w:pStyle w:val="ListParagraph"/>
        <w:numPr>
          <w:ilvl w:val="1"/>
          <w:numId w:val="17"/>
        </w:numPr>
        <w:ind w:left="1701" w:hanging="567"/>
      </w:pPr>
      <w:r w:rsidRPr="00DB671B">
        <w:t xml:space="preserve">Épi : forme </w:t>
      </w:r>
      <w:r w:rsidRPr="00DB671B">
        <w:rPr>
          <w:u w:val="single"/>
        </w:rPr>
        <w:t>“conique et cylindrique (50%-50%)”</w:t>
      </w:r>
    </w:p>
    <w:p w:rsidR="00850B27" w:rsidRPr="00DB671B" w:rsidRDefault="00850B27" w:rsidP="00DB671B"/>
    <w:p w:rsidR="00850B27" w:rsidRPr="00DB671B" w:rsidRDefault="00850B27" w:rsidP="00DB671B">
      <w:r w:rsidRPr="00DB671B">
        <w:fldChar w:fldCharType="begin"/>
      </w:r>
      <w:r w:rsidRPr="00DB671B">
        <w:instrText xml:space="preserve"> AUTONUM  </w:instrText>
      </w:r>
      <w:r w:rsidRPr="00DB671B">
        <w:fldChar w:fldCharType="end"/>
      </w:r>
      <w:r w:rsidRPr="00DB671B">
        <w:tab/>
        <w:t>Le TC note que les caractères ou les niveaux d’expression supplémentaires notifiés seront présentés au TWA ou au TWO, selon le cas, à leurs sessions de 2020, afin de décider s’ils doivent être publiés sur la page Web à l’intention des rédacteurs de principes directeurs d’examen du site Web de l’UPOV ou s’il convient d’engager une révision totale ou partielle des principes directeurs d’examen concernés.</w:t>
      </w:r>
    </w:p>
    <w:p w:rsidR="00850B27" w:rsidRPr="00DB671B" w:rsidRDefault="00850B27" w:rsidP="00DB671B">
      <w:pPr>
        <w:jc w:val="left"/>
        <w:rPr>
          <w:u w:val="single"/>
        </w:rPr>
      </w:pPr>
    </w:p>
    <w:p w:rsidR="00850B27" w:rsidRPr="00DB671B" w:rsidRDefault="00850B27" w:rsidP="00DB671B">
      <w:pPr>
        <w:pStyle w:val="Heading2"/>
        <w:rPr>
          <w:lang w:val="fr-FR"/>
        </w:rPr>
      </w:pPr>
      <w:r w:rsidRPr="00DB671B">
        <w:rPr>
          <w:lang w:val="fr-FR"/>
        </w:rPr>
        <w:t>Questions pour information</w:t>
      </w:r>
    </w:p>
    <w:p w:rsidR="00850B27" w:rsidRPr="00DB671B" w:rsidRDefault="00850B27" w:rsidP="00DB671B"/>
    <w:p w:rsidR="00850B27" w:rsidRPr="00DB671B" w:rsidRDefault="00850B27" w:rsidP="00DB671B">
      <w:pPr>
        <w:rPr>
          <w:rFonts w:cs="Arial"/>
        </w:rPr>
      </w:pPr>
      <w:r w:rsidRPr="00DB671B">
        <w:rPr>
          <w:rFonts w:cs="Arial"/>
        </w:rPr>
        <w:fldChar w:fldCharType="begin"/>
      </w:r>
      <w:r w:rsidRPr="00DB671B">
        <w:rPr>
          <w:rFonts w:cs="Arial"/>
        </w:rPr>
        <w:instrText xml:space="preserve"> AUTONUM  </w:instrText>
      </w:r>
      <w:r w:rsidRPr="00DB671B">
        <w:rPr>
          <w:rFonts w:cs="Arial"/>
        </w:rPr>
        <w:fldChar w:fldCharType="end"/>
      </w:r>
      <w:r w:rsidRPr="00DB671B">
        <w:rPr>
          <w:rFonts w:cs="Arial"/>
        </w:rPr>
        <w:tab/>
        <w:t>Le TC note que, parallèlement à la décision prise par le Conseil d’organiser une seule session annuelle des organes de l’UPOV à Genève, une série de mesures ont été adoptées pour rendre les sessions les plus efficaces possible, notamment la séparation des documents en deux types de documents : les documents contenant des questions nécessitant une décision par l’organe concerné (“documents pour décision”);  et les documents présentés pour information uniquement.</w:t>
      </w:r>
    </w:p>
    <w:p w:rsidR="00850B27" w:rsidRPr="00DB671B" w:rsidRDefault="00850B27" w:rsidP="00DB671B">
      <w:pPr>
        <w:rPr>
          <w:rFonts w:cs="Arial"/>
        </w:rPr>
      </w:pPr>
    </w:p>
    <w:p w:rsidR="00850B27" w:rsidRPr="00DB671B" w:rsidRDefault="00850B27" w:rsidP="00DB671B">
      <w:pPr>
        <w:rPr>
          <w:rFonts w:cs="Arial"/>
        </w:rPr>
      </w:pPr>
      <w:r w:rsidRPr="00DB671B">
        <w:rPr>
          <w:rFonts w:cs="Arial"/>
        </w:rPr>
        <w:fldChar w:fldCharType="begin"/>
      </w:r>
      <w:r w:rsidRPr="00DB671B">
        <w:rPr>
          <w:rFonts w:cs="Arial"/>
        </w:rPr>
        <w:instrText xml:space="preserve"> AUTONUM  </w:instrText>
      </w:r>
      <w:r w:rsidRPr="00DB671B">
        <w:rPr>
          <w:rFonts w:cs="Arial"/>
        </w:rPr>
        <w:fldChar w:fldCharType="end"/>
      </w:r>
      <w:r w:rsidRPr="00DB671B">
        <w:rPr>
          <w:rFonts w:cs="Arial"/>
        </w:rPr>
        <w:tab/>
        <w:t>Le TC note que les documents présentés pour information uniquement sont publiés dans une section distincte du site Web de l’organe concerné (“section d’information”) et ne sont pas examinés individuellement. </w:t>
      </w:r>
    </w:p>
    <w:p w:rsidR="00850B27" w:rsidRPr="00DB671B" w:rsidRDefault="00850B27" w:rsidP="00DB671B">
      <w:pPr>
        <w:rPr>
          <w:rFonts w:cs="Arial"/>
        </w:rPr>
      </w:pPr>
    </w:p>
    <w:p w:rsidR="00850B27" w:rsidRPr="00DB671B" w:rsidRDefault="00850B27" w:rsidP="00DB671B">
      <w:r w:rsidRPr="00DB671B">
        <w:fldChar w:fldCharType="begin"/>
      </w:r>
      <w:r w:rsidRPr="00DB671B">
        <w:instrText xml:space="preserve"> AUTONUM  </w:instrText>
      </w:r>
      <w:r w:rsidRPr="00DB671B">
        <w:fldChar w:fldCharType="end"/>
      </w:r>
      <w:r w:rsidRPr="00DB671B">
        <w:tab/>
        <w:t>Le TC note que les documents ci-après ont été publiés en tant que documents d’information sur la page Web de la cinquante-cinquième session du TC :</w:t>
      </w:r>
    </w:p>
    <w:p w:rsidR="00850B27" w:rsidRPr="00DB671B" w:rsidRDefault="00850B27" w:rsidP="00DB671B">
      <w:pPr>
        <w:keepNext/>
      </w:pPr>
    </w:p>
    <w:p w:rsidR="00850B27" w:rsidRPr="00DB671B" w:rsidRDefault="00850B27" w:rsidP="00DB671B">
      <w:pPr>
        <w:ind w:left="1134" w:hanging="567"/>
        <w:jc w:val="left"/>
        <w:rPr>
          <w:rFonts w:cs="Arial"/>
          <w:snapToGrid w:val="0"/>
        </w:rPr>
      </w:pPr>
      <w:r w:rsidRPr="00DB671B">
        <w:rPr>
          <w:rFonts w:cs="Arial"/>
          <w:snapToGrid w:val="0"/>
        </w:rPr>
        <w:t>a)</w:t>
      </w:r>
      <w:r w:rsidRPr="00DB671B">
        <w:rPr>
          <w:rFonts w:cs="Arial"/>
          <w:snapToGrid w:val="0"/>
        </w:rPr>
        <w:tab/>
        <w:t>Liste des genres et espèces pour lesquels les services ont une expérience pratique en matière d’examen de la distinction, de l’homogénéité et de la stabilité (document TC/55/INF/4)</w:t>
      </w:r>
    </w:p>
    <w:p w:rsidR="00850B27" w:rsidRPr="00DB671B" w:rsidRDefault="00850B27" w:rsidP="00DB671B">
      <w:pPr>
        <w:ind w:left="1134" w:hanging="567"/>
        <w:jc w:val="left"/>
      </w:pPr>
      <w:r w:rsidRPr="00DB671B">
        <w:rPr>
          <w:rFonts w:cs="Arial"/>
          <w:snapToGrid w:val="0"/>
        </w:rPr>
        <w:t>b)</w:t>
      </w:r>
      <w:r w:rsidRPr="00DB671B">
        <w:rPr>
          <w:rFonts w:cs="Arial"/>
          <w:snapToGrid w:val="0"/>
        </w:rPr>
        <w:tab/>
        <w:t>Bases de données d’information de l’UPOV (document TC/55/INF/2)</w:t>
      </w:r>
    </w:p>
    <w:p w:rsidR="00850B27" w:rsidRPr="00DB671B" w:rsidRDefault="00850B27" w:rsidP="00DB671B">
      <w:pPr>
        <w:tabs>
          <w:tab w:val="left" w:pos="5812"/>
        </w:tabs>
        <w:ind w:left="1134" w:hanging="567"/>
        <w:jc w:val="left"/>
      </w:pPr>
      <w:r w:rsidRPr="00DB671B">
        <w:t>c)</w:t>
      </w:r>
      <w:r w:rsidRPr="00DB671B">
        <w:tab/>
        <w:t>Bases de données sur les descriptions variétales (document TC/55/INF/3)</w:t>
      </w:r>
    </w:p>
    <w:p w:rsidR="00850B27" w:rsidRPr="00DB671B" w:rsidRDefault="00850B27" w:rsidP="00DB671B">
      <w:pPr>
        <w:tabs>
          <w:tab w:val="left" w:pos="5812"/>
        </w:tabs>
        <w:ind w:left="1134" w:hanging="567"/>
        <w:jc w:val="left"/>
      </w:pPr>
      <w:r w:rsidRPr="00DB671B">
        <w:t>d)</w:t>
      </w:r>
      <w:r w:rsidRPr="00DB671B">
        <w:tab/>
        <w:t>UPOV PRISMA (document TC/55/INF/5)</w:t>
      </w:r>
    </w:p>
    <w:p w:rsidR="00850B27" w:rsidRPr="00DB671B" w:rsidRDefault="00850B27" w:rsidP="00DB671B">
      <w:pPr>
        <w:keepNext/>
        <w:tabs>
          <w:tab w:val="left" w:pos="5812"/>
        </w:tabs>
        <w:ind w:left="1134" w:hanging="567"/>
        <w:jc w:val="left"/>
      </w:pPr>
      <w:r w:rsidRPr="00DB671B">
        <w:t>e)</w:t>
      </w:r>
      <w:r w:rsidRPr="00DB671B">
        <w:tab/>
        <w:t>Techniques moléculaires (document TC/55/INF/6)</w:t>
      </w:r>
    </w:p>
    <w:p w:rsidR="00850B27" w:rsidRPr="00DB671B" w:rsidRDefault="00850B27" w:rsidP="00DB671B">
      <w:pPr>
        <w:keepNext/>
        <w:tabs>
          <w:tab w:val="left" w:pos="5812"/>
        </w:tabs>
        <w:ind w:left="1134" w:hanging="567"/>
        <w:jc w:val="left"/>
      </w:pPr>
      <w:r w:rsidRPr="00DB671B">
        <w:t>f)</w:t>
      </w:r>
      <w:r w:rsidRPr="00DB671B">
        <w:tab/>
        <w:t>Dénominations variétales (document TC/55/INF/7)</w:t>
      </w:r>
    </w:p>
    <w:p w:rsidR="00850B27" w:rsidRPr="00DB671B" w:rsidRDefault="00850B27" w:rsidP="00DB671B">
      <w:pPr>
        <w:keepNext/>
        <w:tabs>
          <w:tab w:val="left" w:pos="5812"/>
        </w:tabs>
        <w:ind w:left="1134" w:hanging="567"/>
        <w:jc w:val="left"/>
        <w:rPr>
          <w:rFonts w:cs="Arial"/>
          <w:snapToGrid w:val="0"/>
        </w:rPr>
      </w:pPr>
      <w:r w:rsidRPr="00DB671B">
        <w:rPr>
          <w:rFonts w:cs="Arial"/>
        </w:rPr>
        <w:t>g)</w:t>
      </w:r>
      <w:r w:rsidRPr="00DB671B">
        <w:rPr>
          <w:rFonts w:cs="Arial"/>
        </w:rPr>
        <w:tab/>
        <w:t xml:space="preserve">Différences dans les notes pour l’évaluation de la distinction (document TC/55/INF/9) </w:t>
      </w:r>
    </w:p>
    <w:p w:rsidR="00850B27" w:rsidRPr="00DB671B" w:rsidRDefault="00850B27" w:rsidP="00DB671B"/>
    <w:p w:rsidR="00850B27" w:rsidRPr="00DB671B" w:rsidRDefault="00850B27" w:rsidP="00DB671B"/>
    <w:p w:rsidR="00850B27" w:rsidRPr="00DB671B" w:rsidRDefault="00850B27" w:rsidP="00DB671B">
      <w:pPr>
        <w:pStyle w:val="Heading2"/>
        <w:rPr>
          <w:lang w:val="fr-FR"/>
        </w:rPr>
      </w:pPr>
      <w:r w:rsidRPr="00DB671B">
        <w:rPr>
          <w:lang w:val="fr-FR"/>
        </w:rPr>
        <w:t>Programme de la cinquante-sixième session</w:t>
      </w:r>
    </w:p>
    <w:p w:rsidR="00850B27" w:rsidRPr="00DB671B" w:rsidRDefault="00850B27" w:rsidP="00DB671B">
      <w:pPr>
        <w:keepNext/>
        <w:jc w:val="left"/>
      </w:pPr>
    </w:p>
    <w:p w:rsidR="00850B27" w:rsidRPr="00DB671B" w:rsidRDefault="00850B27" w:rsidP="00DB671B">
      <w:pPr>
        <w:pStyle w:val="ListParagraph"/>
        <w:keepNext/>
        <w:numPr>
          <w:ilvl w:val="0"/>
          <w:numId w:val="7"/>
        </w:numPr>
        <w:tabs>
          <w:tab w:val="left" w:pos="1134"/>
        </w:tabs>
        <w:spacing w:line="276" w:lineRule="auto"/>
      </w:pPr>
      <w:r w:rsidRPr="00DB671B">
        <w:t>Ouverture de la session</w:t>
      </w:r>
    </w:p>
    <w:p w:rsidR="00850B27" w:rsidRPr="00DB671B" w:rsidRDefault="00850B27" w:rsidP="00DB671B">
      <w:pPr>
        <w:pStyle w:val="ListParagraph"/>
        <w:numPr>
          <w:ilvl w:val="0"/>
          <w:numId w:val="7"/>
        </w:numPr>
        <w:tabs>
          <w:tab w:val="left" w:pos="1134"/>
        </w:tabs>
        <w:spacing w:line="276" w:lineRule="auto"/>
      </w:pPr>
      <w:r w:rsidRPr="00DB671B">
        <w:t>Adoption de l’ordre du jour</w:t>
      </w:r>
    </w:p>
    <w:p w:rsidR="00850B27" w:rsidRPr="00DB671B" w:rsidRDefault="00850B27" w:rsidP="00DB671B">
      <w:pPr>
        <w:pStyle w:val="ListParagraph"/>
        <w:numPr>
          <w:ilvl w:val="0"/>
          <w:numId w:val="7"/>
        </w:numPr>
        <w:tabs>
          <w:tab w:val="left" w:pos="1134"/>
        </w:tabs>
        <w:spacing w:line="276" w:lineRule="auto"/>
      </w:pPr>
      <w:r w:rsidRPr="00DB671B">
        <w:t>Rapport sur les faits nouveaux intervenus à l’UPOV</w:t>
      </w:r>
    </w:p>
    <w:p w:rsidR="00850B27" w:rsidRPr="00DB671B" w:rsidRDefault="00850B27" w:rsidP="00DB671B">
      <w:pPr>
        <w:pStyle w:val="ListParagraph"/>
        <w:numPr>
          <w:ilvl w:val="0"/>
          <w:numId w:val="7"/>
        </w:numPr>
        <w:tabs>
          <w:tab w:val="left" w:pos="1134"/>
        </w:tabs>
        <w:spacing w:line="276" w:lineRule="auto"/>
      </w:pPr>
      <w:r w:rsidRPr="00DB671B">
        <w:t xml:space="preserve">Rapports sur l’état d’avancement des travaux des groupes de travail techniques, y compris le Groupe de travail sur les techniques biochimiques et moléculaires, notamment les profils d’ADN (BMT) </w:t>
      </w:r>
    </w:p>
    <w:p w:rsidR="00850B27" w:rsidRPr="00DB671B" w:rsidRDefault="00850B27" w:rsidP="00DB671B">
      <w:pPr>
        <w:pStyle w:val="ListParagraph"/>
        <w:numPr>
          <w:ilvl w:val="0"/>
          <w:numId w:val="7"/>
        </w:numPr>
        <w:tabs>
          <w:tab w:val="left" w:pos="1134"/>
        </w:tabs>
        <w:spacing w:line="276" w:lineRule="auto"/>
      </w:pPr>
      <w:r w:rsidRPr="00DB671B">
        <w:t xml:space="preserve">Questions découlant des travaux des groupes de travail techniques </w:t>
      </w:r>
    </w:p>
    <w:p w:rsidR="00850B27" w:rsidRPr="00DB671B" w:rsidRDefault="00850B27" w:rsidP="00DB671B">
      <w:pPr>
        <w:pStyle w:val="ListParagraph"/>
        <w:numPr>
          <w:ilvl w:val="0"/>
          <w:numId w:val="7"/>
        </w:numPr>
        <w:tabs>
          <w:tab w:val="left" w:pos="1134"/>
        </w:tabs>
        <w:spacing w:line="276" w:lineRule="auto"/>
      </w:pPr>
      <w:r w:rsidRPr="00DB671B">
        <w:t xml:space="preserve">Documents TGP </w:t>
      </w:r>
    </w:p>
    <w:p w:rsidR="00850B27" w:rsidRPr="00DB671B" w:rsidRDefault="00850B27" w:rsidP="00DB671B">
      <w:pPr>
        <w:pStyle w:val="ListParagraph"/>
        <w:numPr>
          <w:ilvl w:val="0"/>
          <w:numId w:val="7"/>
        </w:numPr>
        <w:tabs>
          <w:tab w:val="left" w:pos="1134"/>
        </w:tabs>
        <w:spacing w:line="276" w:lineRule="auto"/>
      </w:pPr>
      <w:r w:rsidRPr="00DB671B">
        <w:t xml:space="preserve">Techniques moléculaires </w:t>
      </w:r>
    </w:p>
    <w:p w:rsidR="00850B27" w:rsidRPr="00DB671B" w:rsidRDefault="00850B27" w:rsidP="00DB671B">
      <w:pPr>
        <w:pStyle w:val="ListParagraph"/>
        <w:numPr>
          <w:ilvl w:val="0"/>
          <w:numId w:val="7"/>
        </w:numPr>
        <w:tabs>
          <w:tab w:val="left" w:pos="1134"/>
        </w:tabs>
        <w:spacing w:line="276" w:lineRule="auto"/>
      </w:pPr>
      <w:r w:rsidRPr="00DB671B">
        <w:t>Fusion possible du BMT et du TWC</w:t>
      </w:r>
    </w:p>
    <w:p w:rsidR="00850B27" w:rsidRPr="00DB671B" w:rsidRDefault="00850B27" w:rsidP="00DB671B">
      <w:pPr>
        <w:pStyle w:val="ListParagraph"/>
        <w:numPr>
          <w:ilvl w:val="0"/>
          <w:numId w:val="7"/>
        </w:numPr>
        <w:tabs>
          <w:tab w:val="left" w:pos="1134"/>
        </w:tabs>
        <w:spacing w:line="276" w:lineRule="auto"/>
      </w:pPr>
      <w:r w:rsidRPr="00DB671B">
        <w:t>Stratégie de coopération en matière d’examen</w:t>
      </w:r>
    </w:p>
    <w:p w:rsidR="00850B27" w:rsidRPr="00DB671B" w:rsidRDefault="00850B27" w:rsidP="00DB671B">
      <w:pPr>
        <w:pStyle w:val="ListParagraph"/>
        <w:numPr>
          <w:ilvl w:val="0"/>
          <w:numId w:val="7"/>
        </w:numPr>
        <w:tabs>
          <w:tab w:val="left" w:pos="1134"/>
        </w:tabs>
        <w:spacing w:line="276" w:lineRule="auto"/>
      </w:pPr>
      <w:r w:rsidRPr="00DB671B">
        <w:t>Renforcement de la participation des nouveaux membres de l’Union aux travaux du TC et des TWP</w:t>
      </w:r>
    </w:p>
    <w:p w:rsidR="00850B27" w:rsidRPr="00DB671B" w:rsidRDefault="00850B27" w:rsidP="00DB671B">
      <w:pPr>
        <w:pStyle w:val="ListParagraph"/>
        <w:keepNext/>
        <w:numPr>
          <w:ilvl w:val="0"/>
          <w:numId w:val="7"/>
        </w:numPr>
        <w:tabs>
          <w:tab w:val="left" w:pos="1134"/>
        </w:tabs>
        <w:spacing w:line="276" w:lineRule="auto"/>
      </w:pPr>
      <w:r w:rsidRPr="00DB671B">
        <w:t>Informations et bases de données</w:t>
      </w:r>
    </w:p>
    <w:p w:rsidR="00850B27" w:rsidRPr="00DB671B" w:rsidRDefault="00850B27" w:rsidP="00DB671B">
      <w:pPr>
        <w:pStyle w:val="ListParagraph"/>
        <w:keepNext/>
        <w:numPr>
          <w:ilvl w:val="1"/>
          <w:numId w:val="7"/>
        </w:numPr>
        <w:tabs>
          <w:tab w:val="left" w:pos="1134"/>
          <w:tab w:val="left" w:pos="1701"/>
        </w:tabs>
        <w:spacing w:line="276" w:lineRule="auto"/>
      </w:pPr>
      <w:r w:rsidRPr="00DB671B">
        <w:t xml:space="preserve">Bases de données d’information de l’UPOV </w:t>
      </w:r>
    </w:p>
    <w:p w:rsidR="00850B27" w:rsidRPr="00DB671B" w:rsidRDefault="00850B27" w:rsidP="00DB671B">
      <w:pPr>
        <w:pStyle w:val="ListParagraph"/>
        <w:numPr>
          <w:ilvl w:val="1"/>
          <w:numId w:val="7"/>
        </w:numPr>
        <w:tabs>
          <w:tab w:val="left" w:pos="1134"/>
          <w:tab w:val="left" w:pos="1701"/>
        </w:tabs>
        <w:spacing w:line="276" w:lineRule="auto"/>
      </w:pPr>
      <w:r w:rsidRPr="00DB671B">
        <w:t xml:space="preserve">UPOV PRISMA </w:t>
      </w:r>
    </w:p>
    <w:p w:rsidR="00850B27" w:rsidRPr="00DB671B" w:rsidRDefault="00850B27" w:rsidP="00DB671B">
      <w:pPr>
        <w:pStyle w:val="ListParagraph"/>
        <w:numPr>
          <w:ilvl w:val="1"/>
          <w:numId w:val="7"/>
        </w:numPr>
        <w:tabs>
          <w:tab w:val="left" w:pos="1134"/>
          <w:tab w:val="left" w:pos="1701"/>
        </w:tabs>
        <w:spacing w:line="276" w:lineRule="auto"/>
      </w:pPr>
      <w:r w:rsidRPr="00DB671B">
        <w:t xml:space="preserve">Échange et utilisation de logiciels et d’équipements </w:t>
      </w:r>
    </w:p>
    <w:p w:rsidR="00850B27" w:rsidRPr="00DB671B" w:rsidRDefault="00850B27" w:rsidP="00DB671B">
      <w:pPr>
        <w:pStyle w:val="ListParagraph"/>
        <w:numPr>
          <w:ilvl w:val="1"/>
          <w:numId w:val="7"/>
        </w:numPr>
        <w:tabs>
          <w:tab w:val="left" w:pos="1134"/>
          <w:tab w:val="left" w:pos="1701"/>
        </w:tabs>
        <w:spacing w:line="276" w:lineRule="auto"/>
      </w:pPr>
      <w:r w:rsidRPr="00DB671B">
        <w:t xml:space="preserve">Bases de données sur les descriptions variétales </w:t>
      </w:r>
    </w:p>
    <w:p w:rsidR="00850B27" w:rsidRPr="00DB671B" w:rsidRDefault="00850B27" w:rsidP="00DB671B">
      <w:pPr>
        <w:pStyle w:val="ListParagraph"/>
        <w:numPr>
          <w:ilvl w:val="0"/>
          <w:numId w:val="7"/>
        </w:numPr>
        <w:tabs>
          <w:tab w:val="left" w:pos="1134"/>
        </w:tabs>
        <w:spacing w:line="276" w:lineRule="auto"/>
      </w:pPr>
      <w:r w:rsidRPr="00DB671B">
        <w:t xml:space="preserve">Travaux préparatoires </w:t>
      </w:r>
    </w:p>
    <w:p w:rsidR="00850B27" w:rsidRPr="00DB671B" w:rsidRDefault="00850B27" w:rsidP="00DB671B">
      <w:pPr>
        <w:pStyle w:val="ListParagraph"/>
        <w:numPr>
          <w:ilvl w:val="0"/>
          <w:numId w:val="7"/>
        </w:numPr>
        <w:tabs>
          <w:tab w:val="left" w:pos="1134"/>
        </w:tabs>
        <w:spacing w:line="276" w:lineRule="auto"/>
      </w:pPr>
      <w:r w:rsidRPr="00DB671B">
        <w:t>Dénominations variétales</w:t>
      </w:r>
    </w:p>
    <w:p w:rsidR="00850B27" w:rsidRPr="00DB671B" w:rsidRDefault="00850B27" w:rsidP="00DB671B">
      <w:pPr>
        <w:pStyle w:val="ListParagraph"/>
        <w:numPr>
          <w:ilvl w:val="0"/>
          <w:numId w:val="7"/>
        </w:numPr>
        <w:tabs>
          <w:tab w:val="left" w:pos="1134"/>
        </w:tabs>
        <w:spacing w:line="276" w:lineRule="auto"/>
      </w:pPr>
      <w:r w:rsidRPr="00DB671B">
        <w:t>Débat sur l’écart minimal entre les variétés</w:t>
      </w:r>
    </w:p>
    <w:p w:rsidR="00850B27" w:rsidRPr="00DB671B" w:rsidRDefault="00850B27" w:rsidP="00DB671B">
      <w:pPr>
        <w:pStyle w:val="ListParagraph"/>
        <w:numPr>
          <w:ilvl w:val="0"/>
          <w:numId w:val="7"/>
        </w:numPr>
        <w:tabs>
          <w:tab w:val="left" w:pos="1134"/>
        </w:tabs>
        <w:spacing w:line="276" w:lineRule="auto"/>
      </w:pPr>
      <w:r w:rsidRPr="00DB671B">
        <w:t>Échange et utilisation de logiciels et d’équipements</w:t>
      </w:r>
    </w:p>
    <w:p w:rsidR="00850B27" w:rsidRPr="00DB671B" w:rsidRDefault="00850B27" w:rsidP="00DB671B">
      <w:pPr>
        <w:pStyle w:val="ListParagraph"/>
        <w:numPr>
          <w:ilvl w:val="0"/>
          <w:numId w:val="7"/>
        </w:numPr>
        <w:tabs>
          <w:tab w:val="left" w:pos="1134"/>
        </w:tabs>
        <w:spacing w:line="276" w:lineRule="auto"/>
      </w:pPr>
      <w:r w:rsidRPr="00DB671B">
        <w:t>Liste des genres et espèces pour lesquels les services ont une expérience pratique en matière d’examen de la distinction, de l’homogénéité et de la stabilité</w:t>
      </w:r>
    </w:p>
    <w:p w:rsidR="00850B27" w:rsidRPr="00DB671B" w:rsidRDefault="00850B27" w:rsidP="00DB671B">
      <w:pPr>
        <w:pStyle w:val="ListParagraph"/>
        <w:numPr>
          <w:ilvl w:val="0"/>
          <w:numId w:val="7"/>
        </w:numPr>
        <w:tabs>
          <w:tab w:val="left" w:pos="1134"/>
        </w:tabs>
        <w:spacing w:line="276" w:lineRule="auto"/>
      </w:pPr>
      <w:r w:rsidRPr="00DB671B">
        <w:t>Principes directeurs d’examen</w:t>
      </w:r>
    </w:p>
    <w:p w:rsidR="00850B27" w:rsidRPr="00DB671B" w:rsidRDefault="00850B27" w:rsidP="00DB671B">
      <w:pPr>
        <w:pStyle w:val="ListParagraph"/>
        <w:numPr>
          <w:ilvl w:val="0"/>
          <w:numId w:val="7"/>
        </w:numPr>
        <w:tabs>
          <w:tab w:val="left" w:pos="1134"/>
        </w:tabs>
        <w:spacing w:line="276" w:lineRule="auto"/>
      </w:pPr>
      <w:r w:rsidRPr="00DB671B">
        <w:t xml:space="preserve">Programme de la cinquante-septième session </w:t>
      </w:r>
    </w:p>
    <w:p w:rsidR="00850B27" w:rsidRPr="00DB671B" w:rsidRDefault="00850B27" w:rsidP="00DB671B">
      <w:pPr>
        <w:pStyle w:val="ListParagraph"/>
        <w:numPr>
          <w:ilvl w:val="0"/>
          <w:numId w:val="7"/>
        </w:numPr>
        <w:tabs>
          <w:tab w:val="left" w:pos="1134"/>
        </w:tabs>
        <w:spacing w:line="276" w:lineRule="auto"/>
      </w:pPr>
      <w:r w:rsidRPr="00DB671B">
        <w:t>Adoption du compte rendu (selon le temps disponible)</w:t>
      </w:r>
    </w:p>
    <w:p w:rsidR="00850B27" w:rsidRPr="00DB671B" w:rsidRDefault="00850B27" w:rsidP="00DB671B">
      <w:pPr>
        <w:pStyle w:val="ListParagraph"/>
        <w:numPr>
          <w:ilvl w:val="0"/>
          <w:numId w:val="7"/>
        </w:numPr>
        <w:tabs>
          <w:tab w:val="left" w:pos="1134"/>
        </w:tabs>
        <w:spacing w:line="276" w:lineRule="auto"/>
      </w:pPr>
      <w:r w:rsidRPr="00DB671B">
        <w:t>Clôture de la session</w:t>
      </w:r>
    </w:p>
    <w:p w:rsidR="00850B27" w:rsidRPr="00DB671B" w:rsidRDefault="00850B27" w:rsidP="00DB671B"/>
    <w:p w:rsidR="00850B27" w:rsidRPr="00DB671B" w:rsidRDefault="00850B27" w:rsidP="00DB671B"/>
    <w:p w:rsidR="00850B27" w:rsidRPr="00DB671B" w:rsidRDefault="00850B27" w:rsidP="00DB671B">
      <w:pPr>
        <w:pStyle w:val="Heading2"/>
        <w:keepLines/>
        <w:rPr>
          <w:lang w:val="fr-FR"/>
        </w:rPr>
      </w:pPr>
      <w:r w:rsidRPr="00DB671B">
        <w:rPr>
          <w:lang w:val="fr-FR"/>
        </w:rPr>
        <w:t xml:space="preserve">Président et vice-président </w:t>
      </w:r>
    </w:p>
    <w:p w:rsidR="00850B27" w:rsidRPr="00DB671B" w:rsidRDefault="00850B27" w:rsidP="00DB671B">
      <w:pPr>
        <w:keepNext/>
        <w:keepLines/>
      </w:pPr>
    </w:p>
    <w:p w:rsidR="00850B27" w:rsidRPr="00DB671B" w:rsidRDefault="00850B27" w:rsidP="00DB671B">
      <w:pPr>
        <w:keepNext/>
        <w:keepLines/>
      </w:pPr>
      <w:r w:rsidRPr="00DB671B">
        <w:fldChar w:fldCharType="begin"/>
      </w:r>
      <w:r w:rsidRPr="00DB671B">
        <w:instrText xml:space="preserve"> AUTONUM  </w:instrText>
      </w:r>
      <w:r w:rsidRPr="00DB671B">
        <w:fldChar w:fldCharType="end"/>
      </w:r>
      <w:r w:rsidRPr="00DB671B">
        <w:tab/>
        <w:t>Le TC fait observer que le mandat de la présidence de M. Kees van Ettekoven (Pays-Bas) arrivera à son terme à la clôture de la prochaine session ordinaire du Conseil. Il propose au Conseil d’élire M. Nik Hulse (Australie) nouveau président et Mme Beate Ruecker (Allemagne) nouvelle vice-présidente du TC pour les trois années à venir.</w:t>
      </w:r>
    </w:p>
    <w:p w:rsidR="00850B27" w:rsidRPr="00DB671B" w:rsidRDefault="00850B27" w:rsidP="00DB671B"/>
    <w:p w:rsidR="00850B27" w:rsidRPr="00DB671B" w:rsidRDefault="00850B27" w:rsidP="00DB671B"/>
    <w:p w:rsidR="00850B27" w:rsidRPr="00DB671B" w:rsidRDefault="00850B27" w:rsidP="00DB671B">
      <w:pPr>
        <w:pStyle w:val="Heading2"/>
        <w:rPr>
          <w:lang w:val="fr-FR"/>
        </w:rPr>
      </w:pPr>
      <w:r w:rsidRPr="00DB671B">
        <w:rPr>
          <w:lang w:val="fr-FR"/>
        </w:rPr>
        <w:t>Médaille de l’UPOV</w:t>
      </w:r>
    </w:p>
    <w:p w:rsidR="00850B27" w:rsidRPr="00DB671B" w:rsidRDefault="00850B27" w:rsidP="00DB671B">
      <w:pPr>
        <w:keepNext/>
      </w:pPr>
    </w:p>
    <w:p w:rsidR="00850B27" w:rsidRPr="00DB671B" w:rsidRDefault="00850B27" w:rsidP="00DB671B">
      <w:pPr>
        <w:keepNext/>
        <w:rPr>
          <w:rFonts w:cstheme="minorBidi"/>
        </w:rPr>
      </w:pPr>
      <w:r w:rsidRPr="00DB671B">
        <w:rPr>
          <w:rFonts w:cs="Arial"/>
        </w:rPr>
        <w:fldChar w:fldCharType="begin"/>
      </w:r>
      <w:r w:rsidRPr="00DB671B">
        <w:rPr>
          <w:rFonts w:cs="Arial"/>
        </w:rPr>
        <w:instrText xml:space="preserve"> AUTONUM  </w:instrText>
      </w:r>
      <w:r w:rsidRPr="00DB671B">
        <w:rPr>
          <w:rFonts w:cs="Arial"/>
        </w:rPr>
        <w:fldChar w:fldCharType="end"/>
      </w:r>
      <w:r w:rsidRPr="00DB671B">
        <w:rPr>
          <w:rFonts w:cs="Arial"/>
        </w:rPr>
        <w:tab/>
        <w:t>À la clôture de la session, le secrétaire général adjoint a décerné à M. Kees van Ettekoven (Pays-Bas) une médaille d’argent de l’UPOV pour le remercier d’avoir présidé le TC de 2017 à 2019.  En remettant la médaille, le secrétaire général adjoint a rappelé que M. van Ettekoven avait occupé les fonctions ci-après à l’UPOV : président du Groupe de travail sur les techniques biochimiques et moléculaires, notamment les profils d’ADN (BMT) de 2015 à 2017; vice-président du Comité technique (TC) de 2014 à 2016;  et président du Groupe de travail technique sur les plantes potagères (TWV) de 2003 à 2005.</w:t>
      </w:r>
      <w:r w:rsidRPr="00DB671B">
        <w:rPr>
          <w:rFonts w:cstheme="minorBidi"/>
        </w:rPr>
        <w:t xml:space="preserve">  M. van Ettekoven, qui jouit d’une renommée mondiale, a également été conférencier et formateur dans le cadre de plusieurs activités de renforcement des capacités menées par l’UPOV dans différentes régions.</w:t>
      </w:r>
    </w:p>
    <w:p w:rsidR="00850B27" w:rsidRPr="00DB671B" w:rsidRDefault="00850B27" w:rsidP="00DB671B">
      <w:pPr>
        <w:rPr>
          <w:rFonts w:cstheme="minorBidi"/>
        </w:rPr>
      </w:pPr>
    </w:p>
    <w:p w:rsidR="00850B27" w:rsidRPr="00DB671B" w:rsidRDefault="00850B27" w:rsidP="00DB671B">
      <w:pPr>
        <w:rPr>
          <w:rFonts w:cstheme="minorBidi"/>
        </w:rPr>
      </w:pPr>
      <w:r w:rsidRPr="00DB671B">
        <w:rPr>
          <w:rFonts w:cs="Arial"/>
        </w:rPr>
        <w:fldChar w:fldCharType="begin"/>
      </w:r>
      <w:r w:rsidRPr="00DB671B">
        <w:rPr>
          <w:rFonts w:cs="Arial"/>
        </w:rPr>
        <w:instrText xml:space="preserve"> AUTONUM  </w:instrText>
      </w:r>
      <w:r w:rsidRPr="00DB671B">
        <w:rPr>
          <w:rFonts w:cs="Arial"/>
        </w:rPr>
        <w:fldChar w:fldCharType="end"/>
      </w:r>
      <w:r w:rsidRPr="00DB671B">
        <w:rPr>
          <w:rFonts w:cs="Arial"/>
        </w:rPr>
        <w:tab/>
        <w:t>Parmi les progrès accomplis par le TC sous la présidence de M. van Ettekoven, le secrétaire général adjoint a souligné les suivants : l’adoption de 65 principes directeurs d’examen nouveaux ou révisés; l’initiative tendant à organiser les réunions du BMT et du TWC durant la même semaine et au même endroit;  la réorganisation des sessions du TC conjointement à celles du Conseil, en les ramenant à deux jours;  la mise en place de la procédure pour l’adoption des principes directeurs d’examen par correspondance;  l’examen des ateliers préparatoires;  la coopération avec l’ISTA et l’OCDE concernant l’utilisation d’informations relatives à l’ADN aux fins de leurs objectifs;  l’initiative concernant la façon de renforcer la coopération internationale en matière d’examen DHS;  et la révision des documents ci-après : TGP/5 “Expérience et coopération en matière d’examen DHS”, TGP/7 “Élaboration des principes directeurs d’examen”, TGP/8 “Protocole d’essai et techniques utilisés dans l’examen de la distinction, de l’homogénéité et de la stabilité”, TGP/10 “Examen de l’homogénéité”;  TGP/14 “Glossaire de termes utilisés dans les documents de l’UPOV”; et TGP/15 “Conseils en ce qui concerne l’utilisation des marqueurs biochimiques et moléculaires dans l’examen de la distinction, de l’homogénéité et de la stabilité (DHS)”.</w:t>
      </w:r>
    </w:p>
    <w:p w:rsidR="00850B27" w:rsidRPr="00DB671B" w:rsidRDefault="00850B27" w:rsidP="00DB671B"/>
    <w:p w:rsidR="00850B27" w:rsidRPr="00DB671B" w:rsidRDefault="00850B27" w:rsidP="00DB671B">
      <w:pPr>
        <w:pStyle w:val="DecisionParagraphs"/>
      </w:pPr>
      <w:r w:rsidRPr="00DB671B">
        <w:fldChar w:fldCharType="begin"/>
      </w:r>
      <w:r w:rsidRPr="00DB671B">
        <w:instrText xml:space="preserve"> AUTONUM  </w:instrText>
      </w:r>
      <w:r w:rsidRPr="00DB671B">
        <w:fldChar w:fldCharType="end"/>
      </w:r>
      <w:r w:rsidRPr="00DB671B">
        <w:tab/>
        <w:t>Le TC adopte le présent compte rendu à la clôture de sa session le 29 octobre 2019.</w:t>
      </w:r>
    </w:p>
    <w:p w:rsidR="00850B27" w:rsidRPr="00DB671B" w:rsidRDefault="00850B27" w:rsidP="00DB671B"/>
    <w:p w:rsidR="00850B27" w:rsidRPr="00DB671B" w:rsidRDefault="00850B27" w:rsidP="00DB671B"/>
    <w:p w:rsidR="00850B27" w:rsidRPr="00DB671B" w:rsidRDefault="00850B27" w:rsidP="00DB671B"/>
    <w:p w:rsidR="00850B27" w:rsidRPr="00DB671B" w:rsidRDefault="00850B27" w:rsidP="00DB671B">
      <w:pPr>
        <w:jc w:val="right"/>
      </w:pPr>
      <w:r w:rsidRPr="00DB671B">
        <w:t>[L’annexe I suit]</w:t>
      </w:r>
    </w:p>
    <w:p w:rsidR="00850B27" w:rsidRPr="00DB671B" w:rsidRDefault="00850B27" w:rsidP="00DB671B">
      <w:pPr>
        <w:jc w:val="left"/>
        <w:sectPr w:rsidR="00850B27" w:rsidRPr="00DB671B" w:rsidSect="00260E55">
          <w:type w:val="continuous"/>
          <w:pgSz w:w="11907" w:h="16840" w:code="9"/>
          <w:pgMar w:top="510" w:right="1134" w:bottom="1134" w:left="1134" w:header="510" w:footer="680" w:gutter="0"/>
          <w:cols w:space="720"/>
          <w:titlePg/>
          <w:docGrid w:linePitch="299"/>
        </w:sectPr>
      </w:pPr>
    </w:p>
    <w:p w:rsidR="00260E55" w:rsidRDefault="00260E55" w:rsidP="00260E55">
      <w:pPr>
        <w:jc w:val="center"/>
        <w:rPr>
          <w:lang w:val="fr-CH"/>
        </w:rPr>
      </w:pPr>
      <w:r w:rsidRPr="00F4402E">
        <w:rPr>
          <w:lang w:val="fr-CH"/>
        </w:rPr>
        <w:t xml:space="preserve">LISTE DES PARTICIPANTS / LIST OF PARTICIPANTS / </w:t>
      </w:r>
      <w:r w:rsidRPr="00F4402E">
        <w:rPr>
          <w:lang w:val="fr-CH"/>
        </w:rPr>
        <w:br/>
        <w:t>TEILNEHMERLISTE / LISTA DE PARTICIPANTES</w:t>
      </w:r>
    </w:p>
    <w:p w:rsidR="00260E55" w:rsidRPr="00F4402E" w:rsidRDefault="00260E55" w:rsidP="00260E55">
      <w:pPr>
        <w:jc w:val="center"/>
        <w:rPr>
          <w:lang w:val="fr-CH"/>
        </w:rPr>
      </w:pPr>
    </w:p>
    <w:p w:rsidR="00260E55" w:rsidRPr="00F4402E" w:rsidRDefault="00260E55" w:rsidP="00260E55">
      <w:pPr>
        <w:jc w:val="center"/>
        <w:rPr>
          <w:lang w:val="fr-CH"/>
        </w:rPr>
      </w:pPr>
      <w:r w:rsidRPr="00F4402E">
        <w:rPr>
          <w:lang w:val="fr-CH"/>
        </w:rPr>
        <w:t>(dans l’ordre alphabétique des noms français des membres /</w:t>
      </w:r>
      <w:r w:rsidRPr="00F4402E">
        <w:rPr>
          <w:lang w:val="fr-CH"/>
        </w:rPr>
        <w:br/>
        <w:t>in the alphabetical order of the French names of the Members /</w:t>
      </w:r>
      <w:r>
        <w:rPr>
          <w:lang w:val="fr-CH"/>
        </w:rPr>
        <w:br/>
      </w:r>
      <w:r w:rsidRPr="00F4402E">
        <w:rPr>
          <w:lang w:val="fr-CH"/>
        </w:rPr>
        <w:t>in alphabetischer Reihenfolge der französischen Namen der Mitglieder</w:t>
      </w:r>
      <w:r>
        <w:rPr>
          <w:lang w:val="fr-CH"/>
        </w:rPr>
        <w:t xml:space="preserve"> /</w:t>
      </w:r>
      <w:r>
        <w:rPr>
          <w:lang w:val="fr-CH"/>
        </w:rPr>
        <w:br/>
      </w:r>
      <w:r w:rsidRPr="00F4402E">
        <w:rPr>
          <w:lang w:val="fr-CH"/>
        </w:rPr>
        <w:t>por orden alfabético de los nombres en francés de los miembros</w:t>
      </w:r>
      <w:r>
        <w:rPr>
          <w:lang w:val="fr-CH"/>
        </w:rPr>
        <w:t>)</w:t>
      </w:r>
    </w:p>
    <w:p w:rsidR="00260E55" w:rsidRPr="00FF643B" w:rsidRDefault="00260E55" w:rsidP="00260E55">
      <w:pPr>
        <w:pStyle w:val="plheading"/>
      </w:pPr>
      <w:r w:rsidRPr="00FF643B">
        <w:t>I. MEMBRES / MEMBERS / VERBANDSMITGLIEDER / MIEMBROS</w:t>
      </w:r>
    </w:p>
    <w:p w:rsidR="00260E55" w:rsidRPr="00FF643B" w:rsidRDefault="00260E55" w:rsidP="00260E55">
      <w:pPr>
        <w:pStyle w:val="plcountry"/>
      </w:pPr>
      <w:r w:rsidRPr="00FF643B">
        <w:t>AFRIQUE DU SUD / SOUTH AFRICA / SÜDAFRIKA / SUDÁFRICA</w:t>
      </w:r>
    </w:p>
    <w:p w:rsidR="00260E55" w:rsidRPr="00FF643B" w:rsidRDefault="00260E55" w:rsidP="00260E55">
      <w:pPr>
        <w:pStyle w:val="pldetails"/>
      </w:pPr>
      <w:r w:rsidRPr="00FF643B">
        <w:t xml:space="preserve">Noluthando NETNOU-NKOANA (Ms.), Director, Genetic Resources, Department of Agriculture, Forestry and Fisheries, Pretoria </w:t>
      </w:r>
      <w:r w:rsidRPr="00FF643B">
        <w:br/>
        <w:t>(e-mail: noluthandon@daff.gov.za)</w:t>
      </w:r>
    </w:p>
    <w:p w:rsidR="00260E55" w:rsidRPr="001360C0" w:rsidRDefault="00260E55" w:rsidP="00260E55">
      <w:pPr>
        <w:pStyle w:val="plcountry"/>
        <w:rPr>
          <w:lang w:val="de-DE"/>
        </w:rPr>
      </w:pPr>
      <w:r w:rsidRPr="001360C0">
        <w:rPr>
          <w:lang w:val="de-DE"/>
        </w:rPr>
        <w:t>ALLEMAGNE / GERMANY / DEUTSCHLAND / ALEMANIA</w:t>
      </w:r>
    </w:p>
    <w:p w:rsidR="00260E55" w:rsidRPr="001360C0" w:rsidRDefault="00260E55" w:rsidP="00260E55">
      <w:pPr>
        <w:pStyle w:val="pldetails"/>
        <w:rPr>
          <w:lang w:val="de-DE"/>
        </w:rPr>
      </w:pPr>
      <w:r w:rsidRPr="00A85AF3">
        <w:rPr>
          <w:lang w:val="de-DE"/>
        </w:rPr>
        <w:t xml:space="preserve">Beate RÜCKER (Ms.), Head of Departement, Bundessortenamt, Hanover </w:t>
      </w:r>
      <w:r>
        <w:rPr>
          <w:lang w:val="de-DE"/>
        </w:rPr>
        <w:br/>
      </w:r>
      <w:r w:rsidRPr="00A85AF3">
        <w:rPr>
          <w:lang w:val="de-DE"/>
        </w:rPr>
        <w:t xml:space="preserve">(e-mail: </w:t>
      </w:r>
      <w:r w:rsidRPr="00015FE4">
        <w:rPr>
          <w:lang w:val="de-DE"/>
        </w:rPr>
        <w:t>beate.ruecker@bundessortenamt.de)</w:t>
      </w:r>
    </w:p>
    <w:p w:rsidR="00260E55" w:rsidRPr="001360C0" w:rsidRDefault="00260E55" w:rsidP="00260E55">
      <w:pPr>
        <w:pStyle w:val="plcountry"/>
        <w:rPr>
          <w:lang w:val="es-ES"/>
        </w:rPr>
      </w:pPr>
      <w:r w:rsidRPr="001360C0">
        <w:rPr>
          <w:lang w:val="es-ES"/>
        </w:rPr>
        <w:t>ARGENTINE / ARGENTINA / ARGENTINIEN / ARGENTINA</w:t>
      </w:r>
    </w:p>
    <w:p w:rsidR="00260E55" w:rsidRPr="001360C0" w:rsidRDefault="00260E55" w:rsidP="00260E55">
      <w:pPr>
        <w:pStyle w:val="pldetails"/>
        <w:rPr>
          <w:lang w:val="es-ES_tradnl"/>
        </w:rPr>
      </w:pPr>
      <w:r w:rsidRPr="001360C0">
        <w:rPr>
          <w:lang w:val="es-ES_tradnl"/>
        </w:rPr>
        <w:t xml:space="preserve">Raimundo LAVIGNOLLE (Sr.), </w:t>
      </w:r>
      <w:r w:rsidRPr="001360C0">
        <w:rPr>
          <w:lang w:val="es-ES"/>
        </w:rPr>
        <w:t>Presidente del Directorio, Instituto Nacional de Semillas (INASE), Secretaría de Agricultura, Ganadería, Pesca y Alimentación, Buenos Aires</w:t>
      </w:r>
      <w:r w:rsidRPr="001360C0">
        <w:rPr>
          <w:lang w:val="es-ES_tradnl"/>
        </w:rPr>
        <w:t xml:space="preserve">  </w:t>
      </w:r>
      <w:r w:rsidRPr="001360C0">
        <w:rPr>
          <w:lang w:val="es-ES_tradnl"/>
        </w:rPr>
        <w:br/>
        <w:t xml:space="preserve">(e-mail: rlavignolle@inase.gov.ar) </w:t>
      </w:r>
    </w:p>
    <w:p w:rsidR="00260E55" w:rsidRPr="001360C0" w:rsidRDefault="00260E55" w:rsidP="00260E55">
      <w:pPr>
        <w:pStyle w:val="pldetails"/>
        <w:rPr>
          <w:lang w:val="es-ES_tradnl"/>
        </w:rPr>
      </w:pPr>
      <w:r w:rsidRPr="001360C0">
        <w:rPr>
          <w:lang w:val="es-ES_tradnl"/>
        </w:rPr>
        <w:t xml:space="preserve">María Laura VILLAMAYOR (Sra.), </w:t>
      </w:r>
      <w:r w:rsidRPr="001360C0">
        <w:rPr>
          <w:lang w:val="es-ES"/>
        </w:rPr>
        <w:t>Coordinadora de Propiedad Intelectual y Recursos Fitogenéticos, Secretaría de Agricultura, Ganadería, Pesca y Alimentación, Buenos Aires</w:t>
      </w:r>
      <w:r w:rsidRPr="001360C0">
        <w:rPr>
          <w:lang w:val="es-ES_tradnl"/>
        </w:rPr>
        <w:t xml:space="preserve">  </w:t>
      </w:r>
      <w:r w:rsidRPr="001360C0">
        <w:rPr>
          <w:lang w:val="es-ES_tradnl"/>
        </w:rPr>
        <w:br/>
        <w:t>(e-mail: mlvillamayor@inase.gov.ar)</w:t>
      </w:r>
    </w:p>
    <w:p w:rsidR="00260E55" w:rsidRPr="001766FA" w:rsidRDefault="00260E55" w:rsidP="00260E55">
      <w:pPr>
        <w:pStyle w:val="plcountry"/>
        <w:rPr>
          <w:lang w:val="en-US"/>
        </w:rPr>
      </w:pPr>
      <w:r w:rsidRPr="001766FA">
        <w:rPr>
          <w:lang w:val="en-US"/>
        </w:rPr>
        <w:t>AUSTRALIE / AUSTRALIA / AUSTRALIEN / AUSTRALIA</w:t>
      </w:r>
    </w:p>
    <w:p w:rsidR="00260E55" w:rsidRPr="001766FA" w:rsidRDefault="00260E55" w:rsidP="00260E55">
      <w:pPr>
        <w:pStyle w:val="pldetails"/>
        <w:rPr>
          <w:lang w:val="en-US"/>
        </w:rPr>
      </w:pPr>
      <w:r w:rsidRPr="001766FA">
        <w:rPr>
          <w:lang w:val="en-US"/>
        </w:rPr>
        <w:t xml:space="preserve">Nik HULSE (Mr.), Chief of Plant Breeders' Rights, Plant Breeder's Rights Office, IP Australia, Woden </w:t>
      </w:r>
      <w:r w:rsidRPr="001766FA">
        <w:rPr>
          <w:lang w:val="en-US"/>
        </w:rPr>
        <w:br/>
        <w:t xml:space="preserve">(e-mail: nik.hulse@ipaustralia.gov.au) </w:t>
      </w:r>
    </w:p>
    <w:p w:rsidR="00260E55" w:rsidRPr="008E2A80" w:rsidRDefault="00260E55" w:rsidP="00260E55">
      <w:pPr>
        <w:pStyle w:val="plcountry"/>
        <w:rPr>
          <w:lang w:val="de-DE"/>
        </w:rPr>
      </w:pPr>
      <w:r w:rsidRPr="008E2A80">
        <w:rPr>
          <w:lang w:val="de-DE"/>
        </w:rPr>
        <w:t>AUTRICHE / AUSTRIA / ÖSTERREICH / AUSTRIA</w:t>
      </w:r>
    </w:p>
    <w:p w:rsidR="00260E55" w:rsidRPr="008E2A80" w:rsidRDefault="00260E55" w:rsidP="00260E55">
      <w:pPr>
        <w:pStyle w:val="pldetails"/>
        <w:rPr>
          <w:lang w:val="de-DE"/>
        </w:rPr>
      </w:pPr>
      <w:r w:rsidRPr="008E2A80">
        <w:rPr>
          <w:lang w:val="de-DE"/>
        </w:rPr>
        <w:t>Barbara FÜRNWEGER (Frau), Leiterin, Abteilung Sortenschutz und Registerprüfung, Institut für Saat- und Pflanzgut, Pflanzenschutzdienst und Bienen, Österreichische Agentur für Gesundheit und Ernährungssicherheit GmbH, Wien</w:t>
      </w:r>
      <w:r w:rsidRPr="008E2A80">
        <w:rPr>
          <w:lang w:val="de-DE"/>
        </w:rPr>
        <w:br/>
        <w:t xml:space="preserve">(e-mail: barbara.fuernweger@ages.at) </w:t>
      </w:r>
    </w:p>
    <w:p w:rsidR="00260E55" w:rsidRPr="001766FA" w:rsidRDefault="00260E55" w:rsidP="00260E55">
      <w:pPr>
        <w:pStyle w:val="plcountry"/>
        <w:rPr>
          <w:lang w:val="en-US"/>
        </w:rPr>
      </w:pPr>
      <w:r w:rsidRPr="001766FA">
        <w:rPr>
          <w:lang w:val="en-US"/>
        </w:rPr>
        <w:t>BÉLARUS / BELARUS / BELARUS / BELARÚS</w:t>
      </w:r>
    </w:p>
    <w:p w:rsidR="00260E55" w:rsidRPr="001766FA" w:rsidRDefault="00260E55" w:rsidP="00260E55">
      <w:pPr>
        <w:pStyle w:val="pldetails"/>
        <w:rPr>
          <w:lang w:val="en-US"/>
        </w:rPr>
      </w:pPr>
      <w:r w:rsidRPr="001766FA">
        <w:rPr>
          <w:lang w:val="en-US"/>
        </w:rPr>
        <w:t xml:space="preserve">Vladzimir HRAKUN (Mr.), Deputy Minister, Ministry of Agriculture and Food Production, Minsk </w:t>
      </w:r>
      <w:r w:rsidRPr="001766FA">
        <w:rPr>
          <w:lang w:val="en-US"/>
        </w:rPr>
        <w:br/>
        <w:t>(e-mail: belsort@sorttest.by)</w:t>
      </w:r>
    </w:p>
    <w:p w:rsidR="00260E55" w:rsidRPr="001766FA" w:rsidRDefault="00260E55" w:rsidP="00260E55">
      <w:pPr>
        <w:pStyle w:val="pldetails"/>
        <w:rPr>
          <w:lang w:val="en-US"/>
        </w:rPr>
      </w:pPr>
      <w:r w:rsidRPr="001766FA">
        <w:rPr>
          <w:lang w:val="en-US"/>
        </w:rPr>
        <w:t xml:space="preserve">Uladzimir BEINIA (Mr.), Director, State Inspection for Testing and Protection of Plant Varieties, Minsk </w:t>
      </w:r>
      <w:r w:rsidRPr="001766FA">
        <w:rPr>
          <w:lang w:val="en-US"/>
        </w:rPr>
        <w:br/>
        <w:t xml:space="preserve">(e-mail: belsort@sorttest.by) </w:t>
      </w:r>
    </w:p>
    <w:p w:rsidR="00260E55" w:rsidRPr="001766FA" w:rsidRDefault="00260E55" w:rsidP="00260E55">
      <w:pPr>
        <w:pStyle w:val="pldetails"/>
        <w:rPr>
          <w:lang w:val="en-US"/>
        </w:rPr>
      </w:pPr>
      <w:r w:rsidRPr="001766FA">
        <w:rPr>
          <w:lang w:val="en-US"/>
        </w:rPr>
        <w:t xml:space="preserve">Tatsiana SIAMASHKA (Ms.), Deputy Director of DUS Testing, State Inspection for Testing and Protection of Plant Varieties, Minsk  </w:t>
      </w:r>
      <w:r w:rsidRPr="001766FA">
        <w:rPr>
          <w:lang w:val="en-US"/>
        </w:rPr>
        <w:br/>
        <w:t xml:space="preserve">(e-mail: tatianasortr@mail.ru) </w:t>
      </w:r>
    </w:p>
    <w:p w:rsidR="00260E55" w:rsidRPr="001766FA" w:rsidRDefault="00260E55" w:rsidP="00260E55">
      <w:pPr>
        <w:pStyle w:val="pldetails"/>
        <w:rPr>
          <w:lang w:val="en-US"/>
        </w:rPr>
      </w:pPr>
      <w:r w:rsidRPr="001766FA">
        <w:rPr>
          <w:lang w:val="en-US"/>
        </w:rPr>
        <w:t xml:space="preserve">Maryna SALADUKHA (Ms.), Deputy Head, International Cooperation Department, State Inspection for Testing and Protection of Plant Varieties, Minsk </w:t>
      </w:r>
      <w:r w:rsidRPr="001766FA">
        <w:rPr>
          <w:lang w:val="en-US"/>
        </w:rPr>
        <w:br/>
        <w:t>(e-mail: belsort@mail.ru)</w:t>
      </w:r>
    </w:p>
    <w:p w:rsidR="00260E55" w:rsidRPr="001360C0" w:rsidRDefault="00260E55" w:rsidP="00260E55">
      <w:pPr>
        <w:pStyle w:val="plcountry"/>
        <w:keepLines w:val="0"/>
        <w:rPr>
          <w:lang w:val="es-ES_tradnl"/>
        </w:rPr>
      </w:pPr>
      <w:r w:rsidRPr="001360C0">
        <w:rPr>
          <w:lang w:val="es-ES_tradnl"/>
        </w:rPr>
        <w:t xml:space="preserve">BOLIVIE (ÉTAT PLURINATIONAL DE) / BOLIVIA (PLURINATIONAL STATE OF) / </w:t>
      </w:r>
      <w:r w:rsidRPr="001360C0">
        <w:rPr>
          <w:lang w:val="es-ES_tradnl"/>
        </w:rPr>
        <w:br/>
        <w:t>BOLIVIEN (PLURINATIONALER STAAT) / BOLIVIA (ESTADO PLURINACIONAL DE)</w:t>
      </w:r>
    </w:p>
    <w:p w:rsidR="00260E55" w:rsidRPr="001360C0" w:rsidRDefault="00260E55" w:rsidP="00260E55">
      <w:pPr>
        <w:pStyle w:val="pldetails"/>
        <w:keepNext/>
        <w:keepLines w:val="0"/>
        <w:rPr>
          <w:lang w:val="es-ES"/>
        </w:rPr>
      </w:pPr>
      <w:r w:rsidRPr="001360C0">
        <w:rPr>
          <w:lang w:val="es-ES"/>
        </w:rPr>
        <w:t xml:space="preserve">Sergio Rider ANDRADE CÁCERES (Sr.), Director Nacional de Semillas, Instituto Nacional de Innovación Agropecuaria y Forestal (INIAF), La Paz </w:t>
      </w:r>
      <w:r w:rsidRPr="001360C0">
        <w:rPr>
          <w:lang w:val="es-ES"/>
        </w:rPr>
        <w:br/>
        <w:t>(e-mail: rideran@yahoo.es)</w:t>
      </w:r>
    </w:p>
    <w:p w:rsidR="00260E55" w:rsidRPr="001360C0" w:rsidRDefault="00260E55" w:rsidP="00260E55">
      <w:pPr>
        <w:pStyle w:val="pldetails"/>
        <w:keepNext/>
        <w:rPr>
          <w:lang w:val="es-ES"/>
        </w:rPr>
      </w:pPr>
      <w:r w:rsidRPr="001360C0">
        <w:rPr>
          <w:lang w:val="es-ES"/>
        </w:rPr>
        <w:t xml:space="preserve">Freddy CABALLERO LEDEZMA (Sr.), Responsable de la Unidad de Fiscalización y Registro de Semillas, Registros y protección de Variedades Vegetales, Instituto Nacional de Innovación Agropecuaria y Forestal (INIAF), La Paz </w:t>
      </w:r>
      <w:r w:rsidRPr="001360C0">
        <w:rPr>
          <w:lang w:val="es-ES"/>
        </w:rPr>
        <w:br/>
        <w:t>(e-mail: calefred@yahoo.es)</w:t>
      </w:r>
    </w:p>
    <w:p w:rsidR="00260E55" w:rsidRPr="001766FA" w:rsidRDefault="00260E55" w:rsidP="00260E55">
      <w:pPr>
        <w:pStyle w:val="plcountry"/>
        <w:rPr>
          <w:lang w:val="en-US"/>
        </w:rPr>
      </w:pPr>
      <w:r w:rsidRPr="001766FA">
        <w:rPr>
          <w:lang w:val="en-US"/>
        </w:rPr>
        <w:t>BULGARIE / BULGARIA / BULGARIEN / BULGARIA</w:t>
      </w:r>
    </w:p>
    <w:p w:rsidR="00260E55" w:rsidRPr="001766FA" w:rsidRDefault="00260E55" w:rsidP="00260E55">
      <w:pPr>
        <w:pStyle w:val="pldetails"/>
        <w:rPr>
          <w:lang w:val="en-US"/>
        </w:rPr>
      </w:pPr>
      <w:r w:rsidRPr="001766FA">
        <w:rPr>
          <w:lang w:val="en-US"/>
        </w:rPr>
        <w:t xml:space="preserve">Bistra PAVLOVSKA (Ms.), Executive Director, Executive Agency for Variety Testing, Field Inspection and Seed Control (EAVTFISC), Sofia </w:t>
      </w:r>
      <w:r w:rsidRPr="001766FA">
        <w:rPr>
          <w:lang w:val="en-US"/>
        </w:rPr>
        <w:br/>
        <w:t>(e-mail: bistra.pavlovska@iasas.government.bg)</w:t>
      </w:r>
    </w:p>
    <w:p w:rsidR="00260E55" w:rsidRPr="001360C0" w:rsidRDefault="00260E55" w:rsidP="00260E55">
      <w:pPr>
        <w:pStyle w:val="plcountry"/>
        <w:rPr>
          <w:lang w:val="pt-BR"/>
        </w:rPr>
      </w:pPr>
      <w:r w:rsidRPr="001360C0">
        <w:rPr>
          <w:lang w:val="pt-BR"/>
        </w:rPr>
        <w:t>CANADA / CANADA / KANADA / CANADÁ</w:t>
      </w:r>
    </w:p>
    <w:p w:rsidR="00260E55" w:rsidRDefault="00260E55" w:rsidP="00260E55">
      <w:pPr>
        <w:pStyle w:val="pldetails"/>
        <w:keepLines w:val="0"/>
        <w:rPr>
          <w:lang w:val="pt-BR"/>
        </w:rPr>
      </w:pPr>
      <w:r w:rsidRPr="001360C0">
        <w:rPr>
          <w:lang w:val="pt-BR"/>
        </w:rPr>
        <w:t xml:space="preserve">Anthony PARKER (Mr.), Commissioner, Plant Breeders' Rights Office, Canadian Food Inspection Agency (CFIA), Ottawa </w:t>
      </w:r>
      <w:r w:rsidRPr="001360C0">
        <w:rPr>
          <w:lang w:val="pt-BR"/>
        </w:rPr>
        <w:br/>
        <w:t xml:space="preserve">(e-mail: </w:t>
      </w:r>
      <w:r w:rsidRPr="001766FA">
        <w:rPr>
          <w:lang w:val="en-US"/>
        </w:rPr>
        <w:t>anthony.parker@canada.ca</w:t>
      </w:r>
      <w:r w:rsidRPr="001360C0">
        <w:rPr>
          <w:lang w:val="pt-BR"/>
        </w:rPr>
        <w:t xml:space="preserve">) </w:t>
      </w:r>
    </w:p>
    <w:p w:rsidR="00260E55" w:rsidRDefault="00260E55" w:rsidP="00260E55">
      <w:pPr>
        <w:pStyle w:val="pldetails"/>
        <w:rPr>
          <w:lang w:val="pt-BR"/>
        </w:rPr>
      </w:pPr>
      <w:r w:rsidRPr="00636D75">
        <w:rPr>
          <w:lang w:val="pt-BR"/>
        </w:rPr>
        <w:t xml:space="preserve">Ashley BALCHIN (Ms.), Examiner, Plant Breeders' Rights Office, Canadian Food Inspection Agency (CFIA), Ottawa </w:t>
      </w:r>
      <w:r w:rsidRPr="00636D75">
        <w:rPr>
          <w:lang w:val="pt-BR"/>
        </w:rPr>
        <w:br/>
        <w:t xml:space="preserve">(e-mail: </w:t>
      </w:r>
      <w:r w:rsidRPr="001766FA">
        <w:rPr>
          <w:lang w:val="en-US"/>
        </w:rPr>
        <w:t>ashley.balchin@canada.ca</w:t>
      </w:r>
      <w:r w:rsidRPr="00636D75">
        <w:rPr>
          <w:lang w:val="pt-BR"/>
        </w:rPr>
        <w:t>)</w:t>
      </w:r>
      <w:r w:rsidRPr="001360C0">
        <w:rPr>
          <w:lang w:val="pt-BR"/>
        </w:rPr>
        <w:t xml:space="preserve"> </w:t>
      </w:r>
    </w:p>
    <w:p w:rsidR="00260E55" w:rsidRPr="001360C0" w:rsidRDefault="00260E55" w:rsidP="00260E55">
      <w:pPr>
        <w:pStyle w:val="plcountry"/>
        <w:rPr>
          <w:lang w:val="pt-BR"/>
        </w:rPr>
      </w:pPr>
      <w:r w:rsidRPr="001360C0">
        <w:rPr>
          <w:lang w:val="pt-BR"/>
        </w:rPr>
        <w:t>CHILI / CHILE / CHILE / CHILE</w:t>
      </w:r>
    </w:p>
    <w:p w:rsidR="00260E55" w:rsidRPr="001360C0" w:rsidRDefault="00260E55" w:rsidP="00260E55">
      <w:pPr>
        <w:pStyle w:val="pldetails"/>
        <w:rPr>
          <w:lang w:val="es-ES"/>
        </w:rPr>
      </w:pPr>
      <w:r w:rsidRPr="001360C0">
        <w:rPr>
          <w:lang w:val="pt-BR"/>
        </w:rPr>
        <w:t xml:space="preserve">Manuel Antonio TORO UGALDE (Sr.), Jefe Departamento, Registro de Variedades Protegidas, </w:t>
      </w:r>
      <w:r w:rsidRPr="001360C0">
        <w:rPr>
          <w:lang w:val="pt-BR"/>
        </w:rPr>
        <w:br/>
      </w:r>
      <w:r w:rsidRPr="001360C0">
        <w:rPr>
          <w:lang w:val="es-ES"/>
        </w:rPr>
        <w:t xml:space="preserve">División Semillas, Servicio Agrícola y Ganadero (SAG), Santiago de Chile </w:t>
      </w:r>
      <w:r w:rsidRPr="001360C0">
        <w:rPr>
          <w:lang w:val="es-ES"/>
        </w:rPr>
        <w:br/>
        <w:t xml:space="preserve">(e-mail: manuel.toro@sag.gob.cl) </w:t>
      </w:r>
    </w:p>
    <w:p w:rsidR="00260E55" w:rsidRPr="001766FA" w:rsidRDefault="00260E55" w:rsidP="00260E55">
      <w:pPr>
        <w:pStyle w:val="plcountry"/>
        <w:rPr>
          <w:lang w:val="en-US"/>
        </w:rPr>
      </w:pPr>
      <w:r w:rsidRPr="001766FA">
        <w:rPr>
          <w:lang w:val="en-US"/>
        </w:rPr>
        <w:t>CHINE / CHINA / CHINA / CHINA</w:t>
      </w:r>
    </w:p>
    <w:p w:rsidR="00260E55" w:rsidRPr="001766FA" w:rsidRDefault="00260E55" w:rsidP="00260E55">
      <w:pPr>
        <w:pStyle w:val="pldetails"/>
        <w:rPr>
          <w:lang w:val="en-US"/>
        </w:rPr>
      </w:pPr>
      <w:r w:rsidRPr="001766FA">
        <w:rPr>
          <w:lang w:val="en-US"/>
        </w:rPr>
        <w:t xml:space="preserve">Yehan CUI (Mr.), Division Director, Division of Plant Variety Protection, Development Center of Science &amp; Technology (DCST), MARA, Beijing </w:t>
      </w:r>
      <w:r w:rsidRPr="001766FA">
        <w:rPr>
          <w:lang w:val="en-US"/>
        </w:rPr>
        <w:br/>
        <w:t>(e-mail: cuiyehan@agri.gov.cn)</w:t>
      </w:r>
    </w:p>
    <w:p w:rsidR="00260E55" w:rsidRPr="001766FA" w:rsidRDefault="00260E55" w:rsidP="00260E55">
      <w:pPr>
        <w:pStyle w:val="pldetails"/>
        <w:rPr>
          <w:lang w:val="en-US"/>
        </w:rPr>
      </w:pPr>
      <w:r w:rsidRPr="001766FA">
        <w:rPr>
          <w:lang w:val="en-US"/>
        </w:rPr>
        <w:t xml:space="preserve">Zhiqiang MA (Mr.), Director, Division of Variety Management, Department of Seed Industry Management, Beijing </w:t>
      </w:r>
      <w:r w:rsidRPr="001766FA">
        <w:rPr>
          <w:lang w:val="en-US"/>
        </w:rPr>
        <w:br/>
        <w:t>(e-mail: zyspzc@agri.gov.cn)</w:t>
      </w:r>
    </w:p>
    <w:p w:rsidR="00260E55" w:rsidRPr="001766FA" w:rsidRDefault="00260E55" w:rsidP="00260E55">
      <w:pPr>
        <w:pStyle w:val="pldetails"/>
        <w:rPr>
          <w:lang w:val="en-US"/>
        </w:rPr>
      </w:pPr>
      <w:r w:rsidRPr="001766FA">
        <w:rPr>
          <w:lang w:val="en-US"/>
        </w:rPr>
        <w:t xml:space="preserve">Sanqun LONG (Mr.), Deputy Director General, PVP Office, National Forestry and Grassland Administration, Beijing </w:t>
      </w:r>
      <w:r w:rsidRPr="001766FA">
        <w:rPr>
          <w:lang w:val="en-US"/>
        </w:rPr>
        <w:br/>
        <w:t>(e-mail: LSQ9106@126.com)</w:t>
      </w:r>
    </w:p>
    <w:p w:rsidR="00260E55" w:rsidRPr="001766FA" w:rsidRDefault="00260E55" w:rsidP="00260E55">
      <w:pPr>
        <w:pStyle w:val="pldetails"/>
        <w:rPr>
          <w:lang w:val="en-US"/>
        </w:rPr>
      </w:pPr>
      <w:r w:rsidRPr="001766FA">
        <w:rPr>
          <w:lang w:val="en-US"/>
        </w:rPr>
        <w:t xml:space="preserve">Yongqi ZHENG (Mr.), Director, Laboratory for Molecular Testing of New Plant Varieties, Office of Protection of New Varieties of Plants, National Forestry and Grassland Administration, Beijing </w:t>
      </w:r>
      <w:r w:rsidRPr="001766FA">
        <w:rPr>
          <w:lang w:val="en-US"/>
        </w:rPr>
        <w:br/>
        <w:t>(e-mail: zhengyq@caf.ac.cn)</w:t>
      </w:r>
    </w:p>
    <w:p w:rsidR="00260E55" w:rsidRPr="001766FA" w:rsidRDefault="00260E55" w:rsidP="00260E55">
      <w:pPr>
        <w:pStyle w:val="pldetails"/>
        <w:rPr>
          <w:lang w:val="en-US"/>
        </w:rPr>
      </w:pPr>
      <w:r w:rsidRPr="001766FA">
        <w:rPr>
          <w:lang w:val="en-US"/>
        </w:rPr>
        <w:t xml:space="preserve">Wu BOXUAN (Mr.), Principal Staff, China National Intellectual Property Administration, Beijing </w:t>
      </w:r>
      <w:r w:rsidRPr="001766FA">
        <w:rPr>
          <w:lang w:val="en-US"/>
        </w:rPr>
        <w:br/>
        <w:t>(e-mail: wuboxuan@cnipa.gov.cn)</w:t>
      </w:r>
    </w:p>
    <w:p w:rsidR="00260E55" w:rsidRPr="00015FE4" w:rsidRDefault="00260E55" w:rsidP="00260E55">
      <w:pPr>
        <w:pStyle w:val="plcountry"/>
        <w:rPr>
          <w:lang w:val="de-DE"/>
        </w:rPr>
      </w:pPr>
      <w:r w:rsidRPr="00015FE4">
        <w:rPr>
          <w:lang w:val="de-DE"/>
        </w:rPr>
        <w:t>DANEMARK / DENMARK / DÄNEMARK / DINAMARCA</w:t>
      </w:r>
    </w:p>
    <w:p w:rsidR="00260E55" w:rsidRPr="00015FE4" w:rsidRDefault="00260E55" w:rsidP="00260E55">
      <w:pPr>
        <w:pStyle w:val="pldetails"/>
        <w:rPr>
          <w:lang w:val="de-DE"/>
        </w:rPr>
      </w:pPr>
      <w:r w:rsidRPr="00015FE4">
        <w:rPr>
          <w:lang w:val="de-DE"/>
        </w:rPr>
        <w:t xml:space="preserve">Gerhard DENEKEN, Director, Tystofte Foundation, Skaelskoer </w:t>
      </w:r>
      <w:r w:rsidRPr="00015FE4">
        <w:rPr>
          <w:lang w:val="de-DE"/>
        </w:rPr>
        <w:br/>
        <w:t>(e-mail: gde@tystofte.dk)</w:t>
      </w:r>
    </w:p>
    <w:p w:rsidR="00260E55" w:rsidRPr="00D55269" w:rsidRDefault="00260E55" w:rsidP="00260E55">
      <w:pPr>
        <w:pStyle w:val="plcountry"/>
        <w:rPr>
          <w:lang w:val="es-ES_tradnl"/>
        </w:rPr>
      </w:pPr>
      <w:r w:rsidRPr="00D55269">
        <w:rPr>
          <w:lang w:val="es-ES_tradnl"/>
        </w:rPr>
        <w:t>ÉQUATEUR / ECUADOR / ECUADOR / ECUADOR</w:t>
      </w:r>
    </w:p>
    <w:p w:rsidR="00260E55" w:rsidRPr="00FC3E41" w:rsidRDefault="00260E55" w:rsidP="00260E55">
      <w:pPr>
        <w:pStyle w:val="pldetails"/>
        <w:rPr>
          <w:lang w:val="es-ES_tradnl"/>
        </w:rPr>
      </w:pPr>
      <w:r w:rsidRPr="00D55269">
        <w:rPr>
          <w:lang w:val="es-ES_tradnl"/>
        </w:rPr>
        <w:t>Heidi VÁSCONES (Sra.), Tercer Secretario, Misión Permanente de la República del Ecuador ante la OMC, Ginebra</w:t>
      </w:r>
      <w:r w:rsidRPr="00D55269">
        <w:rPr>
          <w:lang w:val="es-ES_tradnl"/>
        </w:rPr>
        <w:br/>
        <w:t>(e-mail: t.hvascones@cancilleria.gob.ec)</w:t>
      </w:r>
    </w:p>
    <w:p w:rsidR="00260E55" w:rsidRPr="00BF2731" w:rsidRDefault="00260E55" w:rsidP="00260E55">
      <w:pPr>
        <w:pStyle w:val="plcountry"/>
        <w:rPr>
          <w:lang w:val="es-ES_tradnl"/>
        </w:rPr>
      </w:pPr>
      <w:r w:rsidRPr="00BF2731">
        <w:rPr>
          <w:lang w:val="es-ES_tradnl"/>
        </w:rPr>
        <w:t>ESPAGNE / SPAIN / SPANIEN / ESPAÑA</w:t>
      </w:r>
    </w:p>
    <w:p w:rsidR="00260E55" w:rsidRPr="0020749D" w:rsidRDefault="00260E55" w:rsidP="00260E55">
      <w:pPr>
        <w:pStyle w:val="pldetails"/>
        <w:rPr>
          <w:lang w:val="es-ES_tradnl"/>
        </w:rPr>
      </w:pPr>
      <w:r w:rsidRPr="00FC2260">
        <w:rPr>
          <w:lang w:val="es-ES"/>
        </w:rPr>
        <w:t xml:space="preserve">Nuria URQUÍA FERNÁNDEZ (Sra.), Jefe de Área de registro de variedades, Oficina Española de Variedades Vegetales (OEVV), Ministerio de Agricultura, Pesca y Alimentación (MAPA), Madrid </w:t>
      </w:r>
      <w:r>
        <w:rPr>
          <w:lang w:val="es-ES"/>
        </w:rPr>
        <w:br/>
      </w:r>
      <w:r w:rsidRPr="00FC2260">
        <w:rPr>
          <w:lang w:val="es-ES"/>
        </w:rPr>
        <w:t>(e-mail: nurquia@mapa.es)</w:t>
      </w:r>
    </w:p>
    <w:p w:rsidR="00260E55" w:rsidRPr="001766FA" w:rsidRDefault="00260E55" w:rsidP="00260E55">
      <w:pPr>
        <w:pStyle w:val="plcountry"/>
        <w:rPr>
          <w:lang w:val="en-US"/>
        </w:rPr>
      </w:pPr>
      <w:r w:rsidRPr="001766FA">
        <w:rPr>
          <w:lang w:val="en-US"/>
        </w:rPr>
        <w:t>ESTONIE / ESTONIA / ESTLAND / ESTONIA</w:t>
      </w:r>
    </w:p>
    <w:p w:rsidR="00260E55" w:rsidRPr="001766FA" w:rsidRDefault="00260E55" w:rsidP="00260E55">
      <w:pPr>
        <w:pStyle w:val="pldetails"/>
        <w:rPr>
          <w:lang w:val="en-US"/>
        </w:rPr>
      </w:pPr>
      <w:r w:rsidRPr="001766FA">
        <w:rPr>
          <w:lang w:val="en-US"/>
        </w:rPr>
        <w:t xml:space="preserve">Kristiina DIGRYTE (Ms.), Adviser, Plant Health Department, Tallinn </w:t>
      </w:r>
      <w:r w:rsidRPr="001766FA">
        <w:rPr>
          <w:lang w:val="en-US"/>
        </w:rPr>
        <w:br/>
        <w:t>(e-mail: kristiina.digryte@agri.ee)</w:t>
      </w:r>
    </w:p>
    <w:p w:rsidR="00260E55" w:rsidRPr="001766FA" w:rsidRDefault="00260E55" w:rsidP="00260E55">
      <w:pPr>
        <w:pStyle w:val="pldetails"/>
        <w:rPr>
          <w:lang w:val="en-US"/>
        </w:rPr>
      </w:pPr>
      <w:r w:rsidRPr="001766FA">
        <w:rPr>
          <w:lang w:val="en-US"/>
        </w:rPr>
        <w:t xml:space="preserve">Laima PUUR (Ms.), Councellor, Estonian Agricultural Board, Viljandi </w:t>
      </w:r>
      <w:r w:rsidRPr="001766FA">
        <w:rPr>
          <w:lang w:val="en-US"/>
        </w:rPr>
        <w:br/>
        <w:t>(e-mail: laima.puur@pma.agri.ee)</w:t>
      </w:r>
    </w:p>
    <w:p w:rsidR="00260E55" w:rsidRPr="001766FA" w:rsidRDefault="00260E55" w:rsidP="00260E55">
      <w:pPr>
        <w:pStyle w:val="plcountry"/>
        <w:rPr>
          <w:lang w:val="en-US"/>
        </w:rPr>
      </w:pPr>
      <w:r w:rsidRPr="001766FA">
        <w:rPr>
          <w:lang w:val="en-US"/>
        </w:rPr>
        <w:t xml:space="preserve">ÉTATS-UNIS D'AMÉRIQUE / UNITED STATES OF AMERICA / VEREINIGTE STAATEN VON AMERIKA / </w:t>
      </w:r>
      <w:r w:rsidRPr="001766FA">
        <w:rPr>
          <w:lang w:val="en-US"/>
        </w:rPr>
        <w:br/>
        <w:t>ESTADOS UNIDOS DE AMÉRICA</w:t>
      </w:r>
    </w:p>
    <w:p w:rsidR="00260E55" w:rsidRPr="001766FA" w:rsidRDefault="00260E55" w:rsidP="00260E55">
      <w:pPr>
        <w:pStyle w:val="pldetails"/>
        <w:rPr>
          <w:lang w:val="en-US"/>
        </w:rPr>
      </w:pPr>
      <w:r w:rsidRPr="001766FA">
        <w:rPr>
          <w:lang w:val="en-US"/>
        </w:rPr>
        <w:t xml:space="preserve">Elaine WU (Ms.), Senior Counsel, Office of Policy and International Affairs, United States Patent and Trademark Office, United States Department of Commerce, Alexandria </w:t>
      </w:r>
      <w:r w:rsidRPr="001766FA">
        <w:rPr>
          <w:lang w:val="en-US"/>
        </w:rPr>
        <w:br/>
        <w:t>(e-mail: elaine.wu@uspto.gov)</w:t>
      </w:r>
    </w:p>
    <w:p w:rsidR="00260E55" w:rsidRPr="001766FA" w:rsidRDefault="00260E55" w:rsidP="00260E55">
      <w:pPr>
        <w:pStyle w:val="pldetails"/>
        <w:rPr>
          <w:lang w:val="en-US"/>
        </w:rPr>
      </w:pPr>
      <w:r w:rsidRPr="001766FA">
        <w:rPr>
          <w:lang w:val="en-US"/>
        </w:rPr>
        <w:t xml:space="preserve">Ruihong GUO (Ms.), Deputy Administrator, AMS, Science &amp; Technology Program, United States Department of Agriculture (USDA), Washington D.C. </w:t>
      </w:r>
      <w:r w:rsidRPr="001766FA">
        <w:rPr>
          <w:lang w:val="en-US"/>
        </w:rPr>
        <w:br/>
        <w:t>(e-mail: ruihong.guo@ams.usda.gov)</w:t>
      </w:r>
    </w:p>
    <w:p w:rsidR="00260E55" w:rsidRPr="001766FA" w:rsidRDefault="00260E55" w:rsidP="00260E55">
      <w:pPr>
        <w:pStyle w:val="pldetails"/>
        <w:rPr>
          <w:lang w:val="en-US"/>
        </w:rPr>
      </w:pPr>
      <w:r w:rsidRPr="001766FA">
        <w:rPr>
          <w:lang w:val="en-US"/>
        </w:rPr>
        <w:t xml:space="preserve">Brian IKENBERRY (Mr.), Plant Variety Protection Examiner, Plant Variety Protection Office, United States Department of Agriculture (USDA), Washington D.C. </w:t>
      </w:r>
      <w:r w:rsidRPr="001766FA">
        <w:rPr>
          <w:lang w:val="en-US"/>
        </w:rPr>
        <w:br/>
        <w:t>(e-mail: brian.ikenberry@usda.gov)</w:t>
      </w:r>
    </w:p>
    <w:p w:rsidR="00260E55" w:rsidRPr="001766FA" w:rsidRDefault="00260E55" w:rsidP="00260E55">
      <w:pPr>
        <w:pStyle w:val="pldetails"/>
        <w:rPr>
          <w:highlight w:val="yellow"/>
          <w:lang w:val="en-US"/>
        </w:rPr>
      </w:pPr>
      <w:r w:rsidRPr="001766FA">
        <w:rPr>
          <w:lang w:val="en-US"/>
        </w:rPr>
        <w:t xml:space="preserve">Yasmine Nicole FULENA (Ms.), Intellectual Property Adviser, Permanent Mission, Chambésy </w:t>
      </w:r>
      <w:r w:rsidRPr="001766FA">
        <w:rPr>
          <w:lang w:val="en-US"/>
        </w:rPr>
        <w:br/>
        <w:t>(e-mail: fulenayn@state.gov)</w:t>
      </w:r>
    </w:p>
    <w:p w:rsidR="00260E55" w:rsidRPr="001766FA" w:rsidRDefault="00260E55" w:rsidP="00260E55">
      <w:pPr>
        <w:pStyle w:val="plcountry"/>
        <w:rPr>
          <w:lang w:val="en-US"/>
        </w:rPr>
      </w:pPr>
      <w:r w:rsidRPr="001766FA">
        <w:rPr>
          <w:lang w:val="en-US"/>
        </w:rPr>
        <w:t xml:space="preserve">FÉDÉRATION DE RUSSIE / RUSSIAN FEDERATION / RUSSISCHE FÖDERATION / </w:t>
      </w:r>
      <w:r w:rsidRPr="001766FA">
        <w:rPr>
          <w:lang w:val="en-US"/>
        </w:rPr>
        <w:br/>
        <w:t>FEDERACIÓN DE RUSIA</w:t>
      </w:r>
    </w:p>
    <w:p w:rsidR="00260E55" w:rsidRPr="001766FA" w:rsidRDefault="00260E55" w:rsidP="00260E55">
      <w:pPr>
        <w:pStyle w:val="pldetails"/>
        <w:rPr>
          <w:lang w:val="en-US"/>
        </w:rPr>
      </w:pPr>
      <w:r w:rsidRPr="001766FA">
        <w:rPr>
          <w:lang w:val="en-US"/>
        </w:rPr>
        <w:t xml:space="preserve">Olga LESNYKH (Ms.), Executive Chairman, State Commission of the Russian Federation for Selection Achievements Test and Protection, Moscow </w:t>
      </w:r>
      <w:r w:rsidRPr="001766FA">
        <w:rPr>
          <w:lang w:val="en-US"/>
        </w:rPr>
        <w:br/>
        <w:t>(e-mail: gossort.rf@yandex.ru)</w:t>
      </w:r>
    </w:p>
    <w:p w:rsidR="00260E55" w:rsidRPr="001766FA" w:rsidRDefault="00260E55" w:rsidP="00260E55">
      <w:pPr>
        <w:pStyle w:val="pldetails"/>
        <w:rPr>
          <w:lang w:val="en-US"/>
        </w:rPr>
      </w:pPr>
      <w:r w:rsidRPr="001766FA">
        <w:rPr>
          <w:lang w:val="en-US"/>
        </w:rPr>
        <w:t xml:space="preserve">Aleksey VAGIN (Mr.), Head, Department of Methodology and International Cooperation, State Commission of the Russian Federation for Selection Achievements Test and Protection, Moscow </w:t>
      </w:r>
      <w:r w:rsidRPr="001766FA">
        <w:rPr>
          <w:lang w:val="en-US"/>
        </w:rPr>
        <w:br/>
        <w:t>(e-mail: alexsky@yandex.ru)</w:t>
      </w:r>
    </w:p>
    <w:p w:rsidR="00260E55" w:rsidRPr="001766FA" w:rsidRDefault="00260E55" w:rsidP="00260E55">
      <w:pPr>
        <w:pStyle w:val="pldetails"/>
        <w:rPr>
          <w:lang w:val="en-US"/>
        </w:rPr>
      </w:pPr>
      <w:r w:rsidRPr="001766FA">
        <w:rPr>
          <w:lang w:val="en-US"/>
        </w:rPr>
        <w:t xml:space="preserve">Antonina TRETINNIKOVA (Ms.), Deputy Head, Methodology and International Cooperation Department, State Commission of the Russian Federation for Selection Achievements Test and Protection, Moscow </w:t>
      </w:r>
      <w:r w:rsidRPr="001766FA">
        <w:rPr>
          <w:lang w:val="en-US"/>
        </w:rPr>
        <w:br/>
        <w:t xml:space="preserve">(e-mail: tretinnikova@mail.ru) </w:t>
      </w:r>
    </w:p>
    <w:p w:rsidR="00260E55" w:rsidRPr="001766FA" w:rsidRDefault="00260E55" w:rsidP="00260E55">
      <w:pPr>
        <w:pStyle w:val="plcountry"/>
        <w:rPr>
          <w:lang w:val="en-US"/>
        </w:rPr>
      </w:pPr>
      <w:r w:rsidRPr="001766FA">
        <w:rPr>
          <w:lang w:val="en-US"/>
        </w:rPr>
        <w:t>FINLANDE / FINLAND / FINNLAND / FINLANDIA</w:t>
      </w:r>
    </w:p>
    <w:p w:rsidR="00260E55" w:rsidRPr="001766FA" w:rsidRDefault="00260E55" w:rsidP="00260E55">
      <w:pPr>
        <w:pStyle w:val="pldetails"/>
        <w:rPr>
          <w:lang w:val="en-US"/>
        </w:rPr>
      </w:pPr>
      <w:r w:rsidRPr="001766FA">
        <w:rPr>
          <w:lang w:val="en-US"/>
        </w:rPr>
        <w:t xml:space="preserve">Tarja Päivikki HIETARANTA (Ms.), Senior Officer, Seed Certification, Finnish Food Authority, Loimaa </w:t>
      </w:r>
      <w:r w:rsidRPr="001766FA">
        <w:rPr>
          <w:lang w:val="en-US"/>
        </w:rPr>
        <w:br/>
        <w:t>(e-mail: tarja.hietaranta@evira.fi)</w:t>
      </w:r>
    </w:p>
    <w:p w:rsidR="00260E55" w:rsidRPr="001766FA" w:rsidRDefault="00260E55" w:rsidP="00260E55">
      <w:pPr>
        <w:pStyle w:val="pldetails"/>
        <w:rPr>
          <w:lang w:val="en-US"/>
        </w:rPr>
      </w:pPr>
      <w:r w:rsidRPr="001766FA">
        <w:rPr>
          <w:lang w:val="en-US"/>
        </w:rPr>
        <w:t xml:space="preserve">Kati LASSI (Ms.), Senior Specialist, Helsinki </w:t>
      </w:r>
      <w:r w:rsidRPr="001766FA">
        <w:rPr>
          <w:lang w:val="en-US"/>
        </w:rPr>
        <w:br/>
        <w:t>(e-mail: kati.lassi@mmm.fi)</w:t>
      </w:r>
    </w:p>
    <w:p w:rsidR="00260E55" w:rsidRPr="001766FA" w:rsidRDefault="00260E55" w:rsidP="00260E55">
      <w:pPr>
        <w:pStyle w:val="pldetails"/>
        <w:rPr>
          <w:lang w:val="en-US"/>
        </w:rPr>
      </w:pPr>
      <w:r w:rsidRPr="001766FA">
        <w:rPr>
          <w:lang w:val="en-US"/>
        </w:rPr>
        <w:t xml:space="preserve">Kirsi Marjatta HEINONEN (Ms.), Counsellor, Permanent Representation of Finland In European Union, Bruxelles </w:t>
      </w:r>
      <w:r w:rsidRPr="001766FA">
        <w:rPr>
          <w:lang w:val="en-US"/>
        </w:rPr>
        <w:br/>
        <w:t>(e-mail: Kirsi.heinonen@formin.fi)</w:t>
      </w:r>
    </w:p>
    <w:p w:rsidR="00260E55" w:rsidRPr="001766FA" w:rsidRDefault="00260E55" w:rsidP="00260E55">
      <w:pPr>
        <w:pStyle w:val="pldetails"/>
        <w:rPr>
          <w:lang w:val="en-US"/>
        </w:rPr>
      </w:pPr>
      <w:r w:rsidRPr="001766FA">
        <w:rPr>
          <w:lang w:val="en-US"/>
        </w:rPr>
        <w:t>Kaarina PAAVILAINEN (Ms.), Senior Officer, Seed Unit, Finnish Food Authority, Loimaa</w:t>
      </w:r>
      <w:r w:rsidRPr="001766FA">
        <w:rPr>
          <w:lang w:val="en-US"/>
        </w:rPr>
        <w:br/>
        <w:t>(e-mail: kaarina.paavilainen@ruokavirasto.fi)</w:t>
      </w:r>
    </w:p>
    <w:p w:rsidR="00260E55" w:rsidRPr="00015FE4" w:rsidRDefault="00260E55" w:rsidP="00260E55">
      <w:pPr>
        <w:pStyle w:val="plcountry"/>
        <w:rPr>
          <w:lang w:val="fr-CH"/>
        </w:rPr>
      </w:pPr>
      <w:r w:rsidRPr="00015FE4">
        <w:rPr>
          <w:lang w:val="fr-CH"/>
        </w:rPr>
        <w:t>FRANCE / France / FRANKREICH / FRANCIA</w:t>
      </w:r>
    </w:p>
    <w:p w:rsidR="00260E55" w:rsidRPr="00F45E2A" w:rsidRDefault="00260E55" w:rsidP="00260E55">
      <w:pPr>
        <w:pStyle w:val="pldetails"/>
        <w:rPr>
          <w:lang w:val="fr-CH"/>
        </w:rPr>
      </w:pPr>
      <w:r w:rsidRPr="00567FA4">
        <w:rPr>
          <w:lang w:val="fr-CH"/>
        </w:rPr>
        <w:t>Georges SICARD</w:t>
      </w:r>
      <w:r>
        <w:rPr>
          <w:lang w:val="fr-CH"/>
        </w:rPr>
        <w:t xml:space="preserve"> (M.)</w:t>
      </w:r>
      <w:r w:rsidRPr="00567FA4">
        <w:rPr>
          <w:lang w:val="fr-CH"/>
        </w:rPr>
        <w:t xml:space="preserve">, Directeur, Secteur Etude des variétés, Groupe d'étude et de contrôle des variétés et des semences (GEVES), Beaucouzé </w:t>
      </w:r>
      <w:r>
        <w:rPr>
          <w:lang w:val="fr-CH"/>
        </w:rPr>
        <w:br/>
      </w:r>
      <w:r w:rsidRPr="00567FA4">
        <w:rPr>
          <w:lang w:val="fr-CH"/>
        </w:rPr>
        <w:t>(e-mail: georges.sicard@geves.fr)</w:t>
      </w:r>
    </w:p>
    <w:p w:rsidR="00260E55" w:rsidRDefault="00260E55" w:rsidP="00260E55">
      <w:pPr>
        <w:pStyle w:val="pldetails"/>
        <w:rPr>
          <w:lang w:val="fr-CH"/>
        </w:rPr>
      </w:pPr>
      <w:r w:rsidRPr="009A2B7E">
        <w:rPr>
          <w:lang w:val="fr-CH"/>
        </w:rPr>
        <w:t>Yvane MERESSE</w:t>
      </w:r>
      <w:r>
        <w:rPr>
          <w:lang w:val="fr-CH"/>
        </w:rPr>
        <w:t xml:space="preserve"> (Mme)</w:t>
      </w:r>
      <w:r w:rsidRPr="009A2B7E">
        <w:rPr>
          <w:lang w:val="fr-CH"/>
        </w:rPr>
        <w:t xml:space="preserve">, Responsable INOV, Groupe d'Étude et de Contrôle des Variétés et des Semences (GEVES), Beaucouzé </w:t>
      </w:r>
      <w:r>
        <w:rPr>
          <w:lang w:val="fr-CH"/>
        </w:rPr>
        <w:br/>
      </w:r>
      <w:r w:rsidRPr="009A2B7E">
        <w:rPr>
          <w:lang w:val="fr-CH"/>
        </w:rPr>
        <w:t xml:space="preserve">(e-mail: </w:t>
      </w:r>
      <w:r w:rsidRPr="005F5F86">
        <w:rPr>
          <w:lang w:val="fr-CH"/>
        </w:rPr>
        <w:t>yvane.meresse@geves.fr</w:t>
      </w:r>
      <w:r w:rsidRPr="009A2B7E">
        <w:rPr>
          <w:lang w:val="fr-CH"/>
        </w:rPr>
        <w:t>)</w:t>
      </w:r>
    </w:p>
    <w:p w:rsidR="00260E55" w:rsidRPr="001766FA" w:rsidRDefault="00260E55" w:rsidP="00260E55">
      <w:pPr>
        <w:pStyle w:val="plcountry"/>
        <w:rPr>
          <w:lang w:val="en-US"/>
        </w:rPr>
      </w:pPr>
      <w:r w:rsidRPr="001766FA">
        <w:rPr>
          <w:lang w:val="en-US"/>
        </w:rPr>
        <w:t>HONGRIE / HUNGARY / UNGARN / HUNGRÍA</w:t>
      </w:r>
    </w:p>
    <w:p w:rsidR="00260E55" w:rsidRPr="001766FA" w:rsidRDefault="00260E55" w:rsidP="00260E55">
      <w:pPr>
        <w:pStyle w:val="pldetails"/>
        <w:rPr>
          <w:lang w:val="en-US"/>
        </w:rPr>
      </w:pPr>
      <w:r w:rsidRPr="001766FA">
        <w:rPr>
          <w:lang w:val="en-US"/>
        </w:rPr>
        <w:t xml:space="preserve">György PERNESZ (Mr.), Head, Variety Testing Dept. for Horticultural Crops, National Food Chain Safety Office (NÉBIH), Budapest </w:t>
      </w:r>
      <w:r w:rsidRPr="001766FA">
        <w:rPr>
          <w:lang w:val="en-US"/>
        </w:rPr>
        <w:br/>
        <w:t>(e-mail: perneszgy@nebih.gov.hu)</w:t>
      </w:r>
    </w:p>
    <w:p w:rsidR="00260E55" w:rsidRPr="001766FA" w:rsidRDefault="00260E55" w:rsidP="00260E55">
      <w:pPr>
        <w:pStyle w:val="plcountry"/>
        <w:rPr>
          <w:lang w:val="en-US"/>
        </w:rPr>
      </w:pPr>
      <w:r w:rsidRPr="001766FA">
        <w:rPr>
          <w:lang w:val="en-US"/>
        </w:rPr>
        <w:t>ITALIE / ITALY / ITALIEN / ITALIA</w:t>
      </w:r>
    </w:p>
    <w:p w:rsidR="00260E55" w:rsidRPr="001766FA" w:rsidRDefault="00260E55" w:rsidP="00260E55">
      <w:pPr>
        <w:pStyle w:val="pldetails"/>
        <w:rPr>
          <w:lang w:val="en-US"/>
        </w:rPr>
      </w:pPr>
      <w:r w:rsidRPr="001766FA">
        <w:rPr>
          <w:lang w:val="en-US"/>
        </w:rPr>
        <w:t xml:space="preserve">Pier Giacomo BIANCHI (Mr.), Scientific Coordinator Seed Area, CREA-DC, Milano </w:t>
      </w:r>
      <w:r w:rsidRPr="001766FA">
        <w:rPr>
          <w:lang w:val="en-US"/>
        </w:rPr>
        <w:br/>
        <w:t>(e-mail: piergiacomo.bianchi@crea.gov.it)</w:t>
      </w:r>
    </w:p>
    <w:p w:rsidR="00260E55" w:rsidRPr="001766FA" w:rsidRDefault="00260E55" w:rsidP="00260E55">
      <w:pPr>
        <w:pStyle w:val="pldetails"/>
        <w:rPr>
          <w:lang w:val="en-US"/>
        </w:rPr>
      </w:pPr>
      <w:r w:rsidRPr="001766FA">
        <w:rPr>
          <w:lang w:val="en-US"/>
        </w:rPr>
        <w:t xml:space="preserve">Romana BRAVI (Mrs.), Vegetable DUS Testing, Agricultural Research Council and Economics Analysis - Plant Protection and Seed Certification (CREA - DC), Bologna </w:t>
      </w:r>
      <w:r w:rsidRPr="001766FA">
        <w:rPr>
          <w:lang w:val="en-US"/>
        </w:rPr>
        <w:br/>
        <w:t>(e-mail: romana.bravi@crea.gov.it)</w:t>
      </w:r>
    </w:p>
    <w:p w:rsidR="00260E55" w:rsidRPr="001766FA" w:rsidRDefault="00260E55" w:rsidP="00260E55">
      <w:pPr>
        <w:pStyle w:val="plcountry"/>
        <w:rPr>
          <w:lang w:val="en-US"/>
        </w:rPr>
      </w:pPr>
      <w:r w:rsidRPr="001766FA">
        <w:rPr>
          <w:lang w:val="en-US"/>
        </w:rPr>
        <w:t>JAPON / JAPAN / JAPAN / JAPÓN</w:t>
      </w:r>
    </w:p>
    <w:p w:rsidR="00260E55" w:rsidRPr="001766FA" w:rsidRDefault="00260E55" w:rsidP="00260E55">
      <w:pPr>
        <w:pStyle w:val="pldetails"/>
        <w:rPr>
          <w:lang w:val="en-US"/>
        </w:rPr>
      </w:pPr>
      <w:r w:rsidRPr="001766FA">
        <w:rPr>
          <w:lang w:val="en-US"/>
        </w:rPr>
        <w:t xml:space="preserve">Atsuhiro MENO (Mr.), Senior Policy Advisor, Intellectual Property Division, Food Industry Affairs Bureau, Ministry of Agriculture, Forestry and Fisheries (MAFF), Tokyo </w:t>
      </w:r>
      <w:r w:rsidRPr="001766FA">
        <w:rPr>
          <w:lang w:val="en-US"/>
        </w:rPr>
        <w:br/>
        <w:t>(e-mail: atsuhiro_meno150@maff.go.jp)</w:t>
      </w:r>
    </w:p>
    <w:p w:rsidR="00260E55" w:rsidRPr="001766FA" w:rsidRDefault="00260E55" w:rsidP="00260E55">
      <w:pPr>
        <w:pStyle w:val="pldetails"/>
        <w:rPr>
          <w:lang w:val="en-US"/>
        </w:rPr>
      </w:pPr>
      <w:r w:rsidRPr="001766FA">
        <w:rPr>
          <w:lang w:val="en-US"/>
        </w:rPr>
        <w:t xml:space="preserve">Manabu SUZUKI (Mr.), Deputy Director for International Affairs, Intellectual Property Division, Food Industry Affairs Bureau, Ministry of Agriculture, Forestry and Fisheries (MAFF), Tokyo </w:t>
      </w:r>
      <w:r w:rsidRPr="001766FA">
        <w:rPr>
          <w:lang w:val="en-US"/>
        </w:rPr>
        <w:br/>
        <w:t>(e-mail: manabu_suzuki410@maff.go.jp)</w:t>
      </w:r>
    </w:p>
    <w:p w:rsidR="00260E55" w:rsidRPr="001766FA" w:rsidRDefault="00260E55" w:rsidP="00260E55">
      <w:pPr>
        <w:pStyle w:val="pldetails"/>
        <w:rPr>
          <w:lang w:val="en-US"/>
        </w:rPr>
      </w:pPr>
      <w:r w:rsidRPr="001766FA">
        <w:rPr>
          <w:lang w:val="en-US"/>
        </w:rPr>
        <w:t xml:space="preserve">Manabu OSAKI (Mr.), Senior Examiner, Plant Variety Protection Office, Intellectual Property Division, Food Industry Affairs Bureau, Ministry of Agriculture, Forestry and Fisheries (MAFF), Tokyo </w:t>
      </w:r>
      <w:r w:rsidRPr="001766FA">
        <w:rPr>
          <w:lang w:val="en-US"/>
        </w:rPr>
        <w:br/>
        <w:t>(e-mail: manabu_osaki190@maff.go.jp)</w:t>
      </w:r>
    </w:p>
    <w:p w:rsidR="00260E55" w:rsidRPr="001766FA" w:rsidRDefault="00260E55" w:rsidP="00260E55">
      <w:pPr>
        <w:pStyle w:val="plcountry"/>
        <w:rPr>
          <w:lang w:val="en-US"/>
        </w:rPr>
      </w:pPr>
      <w:r w:rsidRPr="001766FA">
        <w:rPr>
          <w:lang w:val="en-US"/>
        </w:rPr>
        <w:t>KENYA / Kenya / KENIA / KENYA</w:t>
      </w:r>
    </w:p>
    <w:p w:rsidR="00260E55" w:rsidRPr="001766FA" w:rsidRDefault="00260E55" w:rsidP="00260E55">
      <w:pPr>
        <w:pStyle w:val="pldetails"/>
        <w:rPr>
          <w:lang w:val="en-US"/>
        </w:rPr>
      </w:pPr>
      <w:r w:rsidRPr="001766FA">
        <w:rPr>
          <w:lang w:val="en-US"/>
        </w:rPr>
        <w:t xml:space="preserve">George Ombaso MOGAKA (Mr.), Corporation Secretary and Head of Legal Affairs, Kenya Plant Health Inspectorate Service (KEPHIS), Nairobi </w:t>
      </w:r>
      <w:r w:rsidRPr="001766FA">
        <w:rPr>
          <w:lang w:val="en-US"/>
        </w:rPr>
        <w:br/>
        <w:t>(e-mail: gmogaka@kephis.org)</w:t>
      </w:r>
    </w:p>
    <w:p w:rsidR="00260E55" w:rsidRPr="001766FA" w:rsidRDefault="00260E55" w:rsidP="00260E55">
      <w:pPr>
        <w:pStyle w:val="pldetails"/>
        <w:rPr>
          <w:lang w:val="en-US"/>
        </w:rPr>
      </w:pPr>
      <w:r w:rsidRPr="001766FA">
        <w:rPr>
          <w:lang w:val="en-US"/>
        </w:rPr>
        <w:t xml:space="preserve">Gentrix Nasimiyu JUMA (Ms.), Chief Plant Examiner, Kenya Plant Health Inspectorate Service (KEPHIS), Nairobi </w:t>
      </w:r>
      <w:r w:rsidRPr="001766FA">
        <w:rPr>
          <w:lang w:val="en-US"/>
        </w:rPr>
        <w:br/>
        <w:t>(e-mail: gjuma@kephis.org)</w:t>
      </w:r>
    </w:p>
    <w:p w:rsidR="00260E55" w:rsidRPr="001766FA" w:rsidRDefault="00260E55" w:rsidP="00260E55">
      <w:pPr>
        <w:pStyle w:val="plcountry"/>
        <w:rPr>
          <w:lang w:val="en-US"/>
        </w:rPr>
      </w:pPr>
      <w:r w:rsidRPr="001766FA">
        <w:rPr>
          <w:lang w:val="en-US"/>
        </w:rPr>
        <w:t>LETTONIE / LATVIA / LETTLAND / LETONIA</w:t>
      </w:r>
    </w:p>
    <w:p w:rsidR="00260E55" w:rsidRPr="001766FA" w:rsidRDefault="00260E55" w:rsidP="00260E55">
      <w:pPr>
        <w:pStyle w:val="pldetails"/>
        <w:rPr>
          <w:lang w:val="en-US"/>
        </w:rPr>
      </w:pPr>
      <w:r w:rsidRPr="001766FA">
        <w:rPr>
          <w:lang w:val="en-US"/>
        </w:rPr>
        <w:t xml:space="preserve">Inga OVSJANNIKA (Ms.), Senior Officer, Division of Seed Certification and Plant Variety Protection, Seed Control Department, State Plant Protection Service, Riga </w:t>
      </w:r>
      <w:r w:rsidRPr="001766FA">
        <w:rPr>
          <w:lang w:val="en-US"/>
        </w:rPr>
        <w:br/>
        <w:t>(e-mail: inga.ovsjannika@vaad.gov.lv)</w:t>
      </w:r>
    </w:p>
    <w:p w:rsidR="00260E55" w:rsidRPr="00CA2000" w:rsidRDefault="00260E55" w:rsidP="00260E55">
      <w:pPr>
        <w:pStyle w:val="plcountry"/>
        <w:rPr>
          <w:lang w:val="fr-CH"/>
        </w:rPr>
      </w:pPr>
      <w:r w:rsidRPr="00CA2000">
        <w:rPr>
          <w:lang w:val="fr-CH"/>
        </w:rPr>
        <w:t>MAROC / MOROCCO / MAROKKO / MARRUECOS</w:t>
      </w:r>
    </w:p>
    <w:p w:rsidR="00260E55" w:rsidRDefault="00260E55" w:rsidP="00260E55">
      <w:pPr>
        <w:pStyle w:val="pldetails"/>
        <w:rPr>
          <w:lang w:val="fr-CH"/>
        </w:rPr>
      </w:pPr>
      <w:r w:rsidRPr="00CA2000">
        <w:rPr>
          <w:lang w:val="fr-CH"/>
        </w:rPr>
        <w:t xml:space="preserve">Zoubida TAOUSSI (Mme), Chargée de la protection des obtentions végétales, Office National de Sécurité de Produits Alimentaires, </w:t>
      </w:r>
      <w:r w:rsidRPr="00E02F4D">
        <w:rPr>
          <w:lang w:val="fr-CH"/>
        </w:rPr>
        <w:t xml:space="preserve">Rabat  </w:t>
      </w:r>
      <w:r w:rsidRPr="00E02F4D">
        <w:rPr>
          <w:lang w:val="fr-CH"/>
        </w:rPr>
        <w:br/>
        <w:t>(e-mail: ztaoussi67@gmail.com)</w:t>
      </w:r>
      <w:r w:rsidRPr="004D23DE">
        <w:rPr>
          <w:lang w:val="fr-CH"/>
        </w:rPr>
        <w:t xml:space="preserve"> </w:t>
      </w:r>
    </w:p>
    <w:p w:rsidR="00260E55" w:rsidRPr="001766FA" w:rsidRDefault="00260E55" w:rsidP="00260E55">
      <w:pPr>
        <w:pStyle w:val="plcountry"/>
        <w:rPr>
          <w:lang w:val="en-US"/>
        </w:rPr>
      </w:pPr>
      <w:r w:rsidRPr="001766FA">
        <w:rPr>
          <w:lang w:val="en-US"/>
        </w:rPr>
        <w:t>NORVÈGE / NORWAY / NORWEGEN / NORUEGA</w:t>
      </w:r>
    </w:p>
    <w:p w:rsidR="00260E55" w:rsidRPr="001766FA" w:rsidRDefault="00260E55" w:rsidP="00260E55">
      <w:pPr>
        <w:pStyle w:val="pldetails"/>
        <w:rPr>
          <w:lang w:val="en-US"/>
        </w:rPr>
      </w:pPr>
      <w:r w:rsidRPr="001766FA">
        <w:rPr>
          <w:lang w:val="en-US"/>
        </w:rPr>
        <w:t xml:space="preserve">Pia BORG (Ms.), Senior Advisor, Norwegian Food Safety Authority, Brumunddal </w:t>
      </w:r>
      <w:r w:rsidRPr="001766FA">
        <w:rPr>
          <w:lang w:val="en-US"/>
        </w:rPr>
        <w:br/>
        <w:t>(e-mail: pia.borg@mattilsynet.no)</w:t>
      </w:r>
    </w:p>
    <w:p w:rsidR="00260E55" w:rsidRPr="001766FA" w:rsidRDefault="00260E55" w:rsidP="00260E55">
      <w:pPr>
        <w:pStyle w:val="plcountry"/>
        <w:rPr>
          <w:lang w:val="en-US"/>
        </w:rPr>
      </w:pPr>
      <w:r w:rsidRPr="001766FA">
        <w:rPr>
          <w:lang w:val="en-US"/>
        </w:rPr>
        <w:t>NOUVELLE-ZÉLANDE / NEW ZEALAND / NEUSEELAND / NUEVA ZELANDIA</w:t>
      </w:r>
    </w:p>
    <w:p w:rsidR="00260E55" w:rsidRPr="001766FA" w:rsidRDefault="00260E55" w:rsidP="00260E55">
      <w:pPr>
        <w:pStyle w:val="pldetails"/>
        <w:rPr>
          <w:lang w:val="en-US"/>
        </w:rPr>
      </w:pPr>
      <w:r w:rsidRPr="001766FA">
        <w:rPr>
          <w:lang w:val="en-US"/>
        </w:rPr>
        <w:t xml:space="preserve">Christopher J. BARNABY (Mr.), PVP Manager / Assistant Commissioner, Plant Variety Rights Office, Intellectual Property Office of New Zealand, Ministry of Business, Innovation and Employment, Christchurch </w:t>
      </w:r>
      <w:r w:rsidRPr="001766FA">
        <w:rPr>
          <w:lang w:val="en-US"/>
        </w:rPr>
        <w:br/>
        <w:t>(e-mail: Chris.Barnaby@pvr.govt.nz)</w:t>
      </w:r>
    </w:p>
    <w:p w:rsidR="00260E55" w:rsidRPr="001766FA" w:rsidRDefault="00260E55" w:rsidP="00260E55">
      <w:pPr>
        <w:pStyle w:val="plcountry"/>
        <w:keepNext w:val="0"/>
        <w:keepLines w:val="0"/>
        <w:rPr>
          <w:lang w:val="en-US"/>
        </w:rPr>
      </w:pPr>
      <w:r w:rsidRPr="001766FA">
        <w:rPr>
          <w:lang w:val="en-US"/>
        </w:rPr>
        <w:t xml:space="preserve">ORGANISATION AFRICAINE DE LA PROPRIÉTÉ INTELLECTUELLE / </w:t>
      </w:r>
      <w:r w:rsidRPr="001766FA">
        <w:rPr>
          <w:lang w:val="en-US"/>
        </w:rPr>
        <w:br/>
        <w:t xml:space="preserve">AFRICAN INTELLECTUAL PROPERTY ORGANIZATION / </w:t>
      </w:r>
      <w:r w:rsidRPr="001766FA">
        <w:rPr>
          <w:lang w:val="en-US"/>
        </w:rPr>
        <w:br/>
        <w:t xml:space="preserve">AFRIKANISCHE ORGANISATION FÜR GEISTIGES EIGENTUM / </w:t>
      </w:r>
      <w:r w:rsidRPr="001766FA">
        <w:rPr>
          <w:lang w:val="en-US"/>
        </w:rPr>
        <w:br/>
        <w:t>ORGANIZACIÓN AFRICANA DE LA PROPIEDAD INTELECTUAL</w:t>
      </w:r>
    </w:p>
    <w:p w:rsidR="00260E55" w:rsidRDefault="00260E55" w:rsidP="00260E55">
      <w:pPr>
        <w:pStyle w:val="pldetails"/>
        <w:keepLines w:val="0"/>
        <w:rPr>
          <w:lang w:val="fr-CH"/>
        </w:rPr>
      </w:pPr>
      <w:r w:rsidRPr="003460A8">
        <w:rPr>
          <w:lang w:val="fr-CH"/>
        </w:rPr>
        <w:t>Jean-Baptiste Noël WAGO</w:t>
      </w:r>
      <w:r>
        <w:rPr>
          <w:lang w:val="fr-CH"/>
        </w:rPr>
        <w:t xml:space="preserve"> (M.)</w:t>
      </w:r>
      <w:r w:rsidRPr="003460A8">
        <w:rPr>
          <w:lang w:val="fr-CH"/>
        </w:rPr>
        <w:t xml:space="preserve">, Directeur Général Adjoint, Organisation africaine de la propriété intellectuelle (OAPI), Yaoundé </w:t>
      </w:r>
      <w:r>
        <w:rPr>
          <w:lang w:val="fr-CH"/>
        </w:rPr>
        <w:br/>
      </w:r>
      <w:r w:rsidRPr="003460A8">
        <w:rPr>
          <w:lang w:val="fr-CH"/>
        </w:rPr>
        <w:t>(e-mail: jean-baptiste.Wago@oapi.int)</w:t>
      </w:r>
    </w:p>
    <w:p w:rsidR="00260E55" w:rsidRPr="003460A8" w:rsidRDefault="00260E55" w:rsidP="00260E55">
      <w:pPr>
        <w:pStyle w:val="pldetails"/>
        <w:keepLines w:val="0"/>
        <w:rPr>
          <w:lang w:val="fr-CH"/>
        </w:rPr>
      </w:pPr>
      <w:r w:rsidRPr="003460A8">
        <w:rPr>
          <w:lang w:val="fr-CH"/>
        </w:rPr>
        <w:t>Vladimir MEZUI</w:t>
      </w:r>
      <w:r>
        <w:rPr>
          <w:lang w:val="fr-CH"/>
        </w:rPr>
        <w:t xml:space="preserve"> (M.)</w:t>
      </w:r>
      <w:r w:rsidRPr="003460A8">
        <w:rPr>
          <w:lang w:val="fr-CH"/>
        </w:rPr>
        <w:t xml:space="preserve">, Examinateur des Brevets, chargé des obtentions végétales, Organisation africaine de la propriété intellectuelle (OAPI), Yaoundé </w:t>
      </w:r>
      <w:r>
        <w:rPr>
          <w:lang w:val="fr-CH"/>
        </w:rPr>
        <w:br/>
      </w:r>
      <w:r w:rsidRPr="003460A8">
        <w:rPr>
          <w:lang w:val="fr-CH"/>
        </w:rPr>
        <w:t>(e-mail: vladimir.mezui@oapi.int)</w:t>
      </w:r>
    </w:p>
    <w:p w:rsidR="00260E55" w:rsidRPr="009B4D16" w:rsidRDefault="00260E55" w:rsidP="00260E55">
      <w:pPr>
        <w:pStyle w:val="plcountry"/>
        <w:rPr>
          <w:lang w:val="es-ES"/>
        </w:rPr>
      </w:pPr>
      <w:r w:rsidRPr="009B4D16">
        <w:rPr>
          <w:lang w:val="es-ES"/>
        </w:rPr>
        <w:t>Paraguay / Paraguay / Paraguay / Paraguay</w:t>
      </w:r>
    </w:p>
    <w:p w:rsidR="00260E55" w:rsidRDefault="00260E55" w:rsidP="00260E55">
      <w:pPr>
        <w:pStyle w:val="pldetails"/>
        <w:rPr>
          <w:lang w:val="es-ES"/>
        </w:rPr>
      </w:pPr>
      <w:r w:rsidRPr="009B4D16">
        <w:rPr>
          <w:lang w:val="es-ES"/>
        </w:rPr>
        <w:t>Jadiyi Concepcion TORALES SALINAS</w:t>
      </w:r>
      <w:r>
        <w:rPr>
          <w:lang w:val="es-ES"/>
        </w:rPr>
        <w:t xml:space="preserve"> (</w:t>
      </w:r>
      <w:r w:rsidRPr="009B4D16">
        <w:rPr>
          <w:lang w:val="es-ES"/>
        </w:rPr>
        <w:t>Sra.</w:t>
      </w:r>
      <w:r>
        <w:rPr>
          <w:lang w:val="es-ES"/>
        </w:rPr>
        <w:t xml:space="preserve">), </w:t>
      </w:r>
      <w:r w:rsidRPr="009B4D16">
        <w:rPr>
          <w:lang w:val="es-ES"/>
        </w:rPr>
        <w:t>Directora</w:t>
      </w:r>
      <w:r>
        <w:rPr>
          <w:lang w:val="es-ES"/>
        </w:rPr>
        <w:t xml:space="preserve">, </w:t>
      </w:r>
      <w:r w:rsidRPr="009B4D16">
        <w:rPr>
          <w:lang w:val="es-ES"/>
        </w:rPr>
        <w:t>Dirección de Semillas (DISE)</w:t>
      </w:r>
      <w:r>
        <w:rPr>
          <w:lang w:val="es-ES"/>
        </w:rPr>
        <w:t xml:space="preserve">, </w:t>
      </w:r>
      <w:r w:rsidRPr="009B4D16">
        <w:rPr>
          <w:lang w:val="es-ES"/>
        </w:rPr>
        <w:t>Servicio Nacional de Calidad y Sanidad Vegetal y de Semillas (SENAVE)</w:t>
      </w:r>
      <w:r>
        <w:rPr>
          <w:lang w:val="es-ES"/>
        </w:rPr>
        <w:t xml:space="preserve">, </w:t>
      </w:r>
      <w:r w:rsidRPr="009B4D16">
        <w:rPr>
          <w:lang w:val="es-ES"/>
        </w:rPr>
        <w:t xml:space="preserve">San Lorenzo </w:t>
      </w:r>
      <w:r>
        <w:rPr>
          <w:lang w:val="es-ES"/>
        </w:rPr>
        <w:br/>
        <w:t>(e-</w:t>
      </w:r>
      <w:r w:rsidRPr="009B4D16">
        <w:rPr>
          <w:lang w:val="es-ES"/>
        </w:rPr>
        <w:t>mail: jadiyi.torales@senave.gov.py</w:t>
      </w:r>
      <w:r>
        <w:rPr>
          <w:lang w:val="es-ES"/>
        </w:rPr>
        <w:t>)</w:t>
      </w:r>
    </w:p>
    <w:p w:rsidR="00260E55" w:rsidRPr="009B4D16" w:rsidRDefault="00260E55" w:rsidP="00260E55">
      <w:pPr>
        <w:pStyle w:val="pldetails"/>
        <w:rPr>
          <w:lang w:val="es-ES"/>
        </w:rPr>
      </w:pPr>
      <w:r w:rsidRPr="006902F5">
        <w:rPr>
          <w:lang w:val="es-ES"/>
        </w:rPr>
        <w:t>Dahiana María OVEJERO MALDONADO</w:t>
      </w:r>
      <w:r>
        <w:rPr>
          <w:lang w:val="es-ES"/>
        </w:rPr>
        <w:t xml:space="preserve"> (</w:t>
      </w:r>
      <w:r w:rsidRPr="006902F5">
        <w:rPr>
          <w:lang w:val="es-ES"/>
        </w:rPr>
        <w:t>Sra.</w:t>
      </w:r>
      <w:r>
        <w:rPr>
          <w:lang w:val="es-ES"/>
        </w:rPr>
        <w:t xml:space="preserve">), </w:t>
      </w:r>
      <w:r w:rsidRPr="006902F5">
        <w:rPr>
          <w:lang w:val="es-ES"/>
        </w:rPr>
        <w:t>Jefe</w:t>
      </w:r>
      <w:r>
        <w:rPr>
          <w:lang w:val="es-ES"/>
        </w:rPr>
        <w:t xml:space="preserve">, </w:t>
      </w:r>
      <w:r w:rsidRPr="006902F5">
        <w:rPr>
          <w:lang w:val="es-ES"/>
        </w:rPr>
        <w:t>Departamento de Protección y Uso de variedades</w:t>
      </w:r>
      <w:r>
        <w:rPr>
          <w:lang w:val="es-ES"/>
        </w:rPr>
        <w:t xml:space="preserve">, </w:t>
      </w:r>
      <w:r w:rsidRPr="006902F5">
        <w:rPr>
          <w:lang w:val="es-ES"/>
        </w:rPr>
        <w:t>Direccion de Semillas</w:t>
      </w:r>
      <w:r>
        <w:rPr>
          <w:lang w:val="es-ES"/>
        </w:rPr>
        <w:t xml:space="preserve">, </w:t>
      </w:r>
      <w:r w:rsidRPr="006902F5">
        <w:rPr>
          <w:lang w:val="es-ES"/>
        </w:rPr>
        <w:t>Servicio Nacional de Calidad y Sanidad Vegetal y de Semillas (SENAVE)</w:t>
      </w:r>
      <w:r>
        <w:rPr>
          <w:lang w:val="es-ES"/>
        </w:rPr>
        <w:t>, San Lorenzo</w:t>
      </w:r>
      <w:r>
        <w:rPr>
          <w:lang w:val="es-ES"/>
        </w:rPr>
        <w:br/>
        <w:t>(e-</w:t>
      </w:r>
      <w:r w:rsidRPr="006902F5">
        <w:rPr>
          <w:lang w:val="es-ES"/>
        </w:rPr>
        <w:t>mail: dahiana.ovejero@senave.gov.py</w:t>
      </w:r>
      <w:r>
        <w:rPr>
          <w:lang w:val="es-ES"/>
        </w:rPr>
        <w:t>)</w:t>
      </w:r>
    </w:p>
    <w:p w:rsidR="00260E55" w:rsidRPr="001766FA" w:rsidRDefault="00260E55" w:rsidP="00260E55">
      <w:pPr>
        <w:pStyle w:val="plcountry"/>
        <w:rPr>
          <w:lang w:val="en-US"/>
        </w:rPr>
      </w:pPr>
      <w:r w:rsidRPr="001766FA">
        <w:rPr>
          <w:lang w:val="en-US"/>
        </w:rPr>
        <w:t>PAYS-BAS / NETHERLANDS / NIEDERLANDE / PAÍSES BAJOS</w:t>
      </w:r>
    </w:p>
    <w:p w:rsidR="00260E55" w:rsidRPr="001766FA" w:rsidRDefault="00260E55" w:rsidP="00260E55">
      <w:pPr>
        <w:pStyle w:val="pldetails"/>
        <w:rPr>
          <w:lang w:val="en-US"/>
        </w:rPr>
      </w:pPr>
      <w:r w:rsidRPr="001766FA">
        <w:rPr>
          <w:lang w:val="en-US"/>
        </w:rPr>
        <w:t xml:space="preserve">Marien VALSTAR (Mr.), Senior Policy Officer, Seeds and Plant Propagation Material, Ministry of Economic Affairs, DG AGRO &amp; NATURE, The Hague </w:t>
      </w:r>
      <w:r w:rsidRPr="001766FA">
        <w:rPr>
          <w:lang w:val="en-US"/>
        </w:rPr>
        <w:br/>
        <w:t xml:space="preserve">(e-mail: m.valstar@minlnv.nl) </w:t>
      </w:r>
    </w:p>
    <w:p w:rsidR="00260E55" w:rsidRPr="001766FA" w:rsidRDefault="00260E55" w:rsidP="00260E55">
      <w:pPr>
        <w:pStyle w:val="pldetails"/>
        <w:rPr>
          <w:lang w:val="en-US"/>
        </w:rPr>
      </w:pPr>
      <w:r w:rsidRPr="001766FA">
        <w:rPr>
          <w:lang w:val="en-US"/>
        </w:rPr>
        <w:t xml:space="preserve">Bert SCHOLTE (Mr.), Head Department Variety Testing, Naktuinbouw NL, Roelofarendsveen </w:t>
      </w:r>
      <w:r w:rsidRPr="001766FA">
        <w:rPr>
          <w:lang w:val="en-US"/>
        </w:rPr>
        <w:br/>
        <w:t>(e-mail: b.scholte@naktuinbouw.nl)</w:t>
      </w:r>
    </w:p>
    <w:p w:rsidR="00260E55" w:rsidRPr="001766FA" w:rsidRDefault="00260E55" w:rsidP="00260E55">
      <w:pPr>
        <w:pStyle w:val="pldetails"/>
        <w:rPr>
          <w:lang w:val="en-US"/>
        </w:rPr>
      </w:pPr>
      <w:r w:rsidRPr="001766FA">
        <w:rPr>
          <w:lang w:val="en-US"/>
        </w:rPr>
        <w:t xml:space="preserve">Kees VAN ETTEKOVEN (Mr.), Senior PVP Policy Advisor, Naktuinbouw NL, Roelofarendsveen </w:t>
      </w:r>
      <w:r w:rsidRPr="001766FA">
        <w:rPr>
          <w:lang w:val="en-US"/>
        </w:rPr>
        <w:br/>
        <w:t>(e-mail: c.v.ettekoven@naktuinbouw.nl)</w:t>
      </w:r>
    </w:p>
    <w:p w:rsidR="00260E55" w:rsidRPr="001766FA" w:rsidRDefault="00260E55" w:rsidP="00260E55">
      <w:pPr>
        <w:pStyle w:val="pldetails"/>
        <w:rPr>
          <w:lang w:val="en-US"/>
        </w:rPr>
      </w:pPr>
      <w:r w:rsidRPr="001766FA">
        <w:rPr>
          <w:lang w:val="en-US"/>
        </w:rPr>
        <w:t xml:space="preserve">Henk J. DE GREEF (Mr.), Specialist DUS testing ornamentals, Team DUS ornamental &amp; fruit crops, Naktuinbouw, Roelofarendsveen </w:t>
      </w:r>
      <w:r w:rsidRPr="001766FA">
        <w:rPr>
          <w:lang w:val="en-US"/>
        </w:rPr>
        <w:br/>
        <w:t>(e-mail: h.d.greef@naktuinbouw.nl)</w:t>
      </w:r>
    </w:p>
    <w:p w:rsidR="00260E55" w:rsidRPr="00FC3E41" w:rsidRDefault="00260E55" w:rsidP="00260E55">
      <w:pPr>
        <w:pStyle w:val="plcountry"/>
        <w:rPr>
          <w:lang w:val="es-ES"/>
        </w:rPr>
      </w:pPr>
      <w:r w:rsidRPr="00FC3E41">
        <w:rPr>
          <w:lang w:val="es-ES"/>
        </w:rPr>
        <w:t>pérou / peru / peru / perú</w:t>
      </w:r>
    </w:p>
    <w:p w:rsidR="00260E55" w:rsidRPr="00FC3E41" w:rsidRDefault="00260E55" w:rsidP="00260E55">
      <w:pPr>
        <w:pStyle w:val="pldetails"/>
        <w:rPr>
          <w:lang w:val="es-ES"/>
        </w:rPr>
      </w:pPr>
      <w:r w:rsidRPr="00FC3E41">
        <w:rPr>
          <w:lang w:val="es-ES"/>
        </w:rPr>
        <w:t>Cristobal MELGAR (Mr.), Economic Affairs Official, Misión Permanente del Perú ante la Oficina de las Naciones Unidas en Ginebra, Ginebra</w:t>
      </w:r>
      <w:r w:rsidRPr="00FC3E41">
        <w:rPr>
          <w:lang w:val="es-ES"/>
        </w:rPr>
        <w:br/>
        <w:t>(e-mail: cmelgar@onuperu.org)</w:t>
      </w:r>
    </w:p>
    <w:p w:rsidR="00260E55" w:rsidRPr="001766FA" w:rsidRDefault="00260E55" w:rsidP="00260E55">
      <w:pPr>
        <w:pStyle w:val="plcountry"/>
        <w:rPr>
          <w:lang w:val="en-US"/>
        </w:rPr>
      </w:pPr>
      <w:r w:rsidRPr="001766FA">
        <w:rPr>
          <w:lang w:val="en-US"/>
        </w:rPr>
        <w:t>POLOGNE / POLAND / POLEN / POLONIA</w:t>
      </w:r>
    </w:p>
    <w:p w:rsidR="00260E55" w:rsidRDefault="00260E55" w:rsidP="00260E55">
      <w:pPr>
        <w:pStyle w:val="pldetails"/>
        <w:rPr>
          <w:lang w:val="pt-BR"/>
        </w:rPr>
      </w:pPr>
      <w:r w:rsidRPr="001766FA">
        <w:rPr>
          <w:lang w:val="en-US"/>
        </w:rPr>
        <w:t xml:space="preserve">Marcin KRÓL (Mr.), Head, DUS Testing Department, Research Centre for Cultivar Testing (COBORU), Slupia Wielka </w:t>
      </w:r>
      <w:r w:rsidRPr="001766FA">
        <w:rPr>
          <w:lang w:val="en-US"/>
        </w:rPr>
        <w:br/>
        <w:t>(e-mail: m.krol@coboru.pl)</w:t>
      </w:r>
    </w:p>
    <w:p w:rsidR="00260E55" w:rsidRPr="00A225C4" w:rsidRDefault="00260E55" w:rsidP="00260E55">
      <w:pPr>
        <w:pStyle w:val="plcountry"/>
        <w:rPr>
          <w:lang w:val="pt-BR"/>
        </w:rPr>
      </w:pPr>
      <w:r w:rsidRPr="00A225C4">
        <w:rPr>
          <w:lang w:val="pt-BR"/>
        </w:rPr>
        <w:t>RÉPUBLIQUE DE CORÉE / REPUBLIC OF KOREA / REPUBLIK KOREA / REPÚBLICA DE COREA</w:t>
      </w:r>
    </w:p>
    <w:p w:rsidR="00260E55" w:rsidRPr="001766FA" w:rsidRDefault="00260E55" w:rsidP="00260E55">
      <w:pPr>
        <w:pStyle w:val="pldetails"/>
        <w:rPr>
          <w:lang w:val="en-US"/>
        </w:rPr>
      </w:pPr>
      <w:r w:rsidRPr="001766FA">
        <w:rPr>
          <w:lang w:val="en-US"/>
        </w:rPr>
        <w:t xml:space="preserve">Keun-Jin CHOI (Mr.), Director, Korea Seed &amp; Variety Service (KSVS), Ministry of Agriculture, Food and Rural Affairs (MAF), Kangwon-do </w:t>
      </w:r>
      <w:r w:rsidRPr="001766FA">
        <w:rPr>
          <w:lang w:val="en-US"/>
        </w:rPr>
        <w:br/>
        <w:t>(e-mail: kjchoi1001@korea.kr)</w:t>
      </w:r>
    </w:p>
    <w:p w:rsidR="00260E55" w:rsidRPr="001766FA" w:rsidRDefault="00260E55" w:rsidP="00260E55">
      <w:pPr>
        <w:pStyle w:val="pldetails"/>
        <w:rPr>
          <w:lang w:val="en-US"/>
        </w:rPr>
      </w:pPr>
      <w:r w:rsidRPr="001766FA">
        <w:rPr>
          <w:lang w:val="en-US"/>
        </w:rPr>
        <w:t xml:space="preserve">Eunhee SOH (Ms.), Senior Examiner, Korea Seed and Variety Service (KSVS), Gyeonsangbok-do </w:t>
      </w:r>
      <w:r w:rsidRPr="001766FA">
        <w:rPr>
          <w:lang w:val="en-US"/>
        </w:rPr>
        <w:br/>
        <w:t>(e-mail: eunhee.soh@korea.kr)</w:t>
      </w:r>
    </w:p>
    <w:p w:rsidR="00260E55" w:rsidRPr="001766FA" w:rsidRDefault="00260E55" w:rsidP="00260E55">
      <w:pPr>
        <w:pStyle w:val="pldetails"/>
        <w:rPr>
          <w:lang w:val="en-US"/>
        </w:rPr>
      </w:pPr>
      <w:r w:rsidRPr="001766FA">
        <w:rPr>
          <w:lang w:val="en-US"/>
        </w:rPr>
        <w:t>Eun-Jung HEO (Ms.), Agricultural Researcher, Seobu Branch, Korea Seed and Variety Service (KSVS), Ministry of Agriculture, Food and Rural Affairs (MAFRA)</w:t>
      </w:r>
      <w:r w:rsidRPr="001766FA">
        <w:rPr>
          <w:lang w:val="en-US"/>
        </w:rPr>
        <w:br/>
        <w:t>(e-mail: heoej@korea.kr)</w:t>
      </w:r>
    </w:p>
    <w:p w:rsidR="00260E55" w:rsidRPr="00A225C4" w:rsidRDefault="00260E55" w:rsidP="00260E55">
      <w:pPr>
        <w:pStyle w:val="plcountry"/>
        <w:rPr>
          <w:lang w:val="pt-BR"/>
        </w:rPr>
      </w:pPr>
      <w:r w:rsidRPr="00A225C4">
        <w:rPr>
          <w:lang w:val="pt-BR"/>
        </w:rPr>
        <w:t xml:space="preserve">RÉPUBLIQUE DE MOLDOVA / REPUBLIC OF MOLDOVA / REPUBLIK MOLDAU / </w:t>
      </w:r>
      <w:r w:rsidRPr="00A225C4">
        <w:rPr>
          <w:lang w:val="pt-BR"/>
        </w:rPr>
        <w:br/>
        <w:t xml:space="preserve">REPÚBLICA DE MOLDOVA </w:t>
      </w:r>
    </w:p>
    <w:p w:rsidR="00260E55" w:rsidRPr="001766FA" w:rsidRDefault="00260E55" w:rsidP="00260E55">
      <w:pPr>
        <w:pStyle w:val="pldetails"/>
        <w:rPr>
          <w:lang w:val="en-US"/>
        </w:rPr>
      </w:pPr>
      <w:r w:rsidRPr="001766FA">
        <w:rPr>
          <w:lang w:val="en-US"/>
        </w:rPr>
        <w:t xml:space="preserve">Mihail MACHIDON (Mr.), Chairman, State Commission for Crops Variety Testing  (SCCVT), Chisinau  </w:t>
      </w:r>
      <w:r w:rsidRPr="001766FA">
        <w:rPr>
          <w:lang w:val="en-US"/>
        </w:rPr>
        <w:br/>
        <w:t xml:space="preserve">(e-mail: info@cstsp.md) </w:t>
      </w:r>
    </w:p>
    <w:p w:rsidR="00260E55" w:rsidRPr="001766FA" w:rsidRDefault="00260E55" w:rsidP="00260E55">
      <w:pPr>
        <w:pStyle w:val="pldetails"/>
        <w:rPr>
          <w:lang w:val="en-US"/>
        </w:rPr>
      </w:pPr>
      <w:r w:rsidRPr="001766FA">
        <w:rPr>
          <w:lang w:val="en-US"/>
        </w:rPr>
        <w:t xml:space="preserve">Ala GUSAN (Ms.), Deputy Head, Patents Division, Inventions and Plant Varieties Department, State Agency on Intellectual Property of the Republic of Moldova (AGEPI), Chisinau  </w:t>
      </w:r>
      <w:r w:rsidRPr="001766FA">
        <w:rPr>
          <w:lang w:val="en-US"/>
        </w:rPr>
        <w:br/>
        <w:t xml:space="preserve">(e-mail: ala.gusan@agepi.gov.md) </w:t>
      </w:r>
    </w:p>
    <w:p w:rsidR="00260E55" w:rsidRPr="000061A2" w:rsidRDefault="00260E55" w:rsidP="00260E55">
      <w:pPr>
        <w:pStyle w:val="plcountry"/>
        <w:rPr>
          <w:lang w:val="es-ES"/>
        </w:rPr>
      </w:pPr>
      <w:r w:rsidRPr="000061A2">
        <w:rPr>
          <w:lang w:val="es-ES"/>
        </w:rPr>
        <w:t xml:space="preserve">RÉPUBLIQUE Dominicaine / dominican REPUBLIC / dominikanische REPUBLIK / </w:t>
      </w:r>
      <w:r w:rsidRPr="000061A2">
        <w:rPr>
          <w:lang w:val="es-ES"/>
        </w:rPr>
        <w:br/>
        <w:t>REPÚBLICA Dominicana</w:t>
      </w:r>
    </w:p>
    <w:p w:rsidR="00260E55" w:rsidRDefault="00260E55" w:rsidP="00260E55">
      <w:pPr>
        <w:pStyle w:val="pldetails"/>
        <w:rPr>
          <w:lang w:val="es-ES"/>
        </w:rPr>
      </w:pPr>
      <w:r w:rsidRPr="001128CE">
        <w:rPr>
          <w:lang w:val="es-ES"/>
        </w:rPr>
        <w:t xml:space="preserve">Maria Ayalivis GARCIA MEDRANO (Sra.), Directora, Oficina de Registros de Variedades y Proteccion de los Derechos de Obtentor (Orevado), Santo Domingo </w:t>
      </w:r>
      <w:r>
        <w:rPr>
          <w:lang w:val="es-ES"/>
        </w:rPr>
        <w:br/>
      </w:r>
      <w:r w:rsidRPr="001128CE">
        <w:rPr>
          <w:lang w:val="es-ES"/>
        </w:rPr>
        <w:t xml:space="preserve">(e-mail: </w:t>
      </w:r>
      <w:r w:rsidRPr="0087703F">
        <w:rPr>
          <w:lang w:val="es-ES"/>
        </w:rPr>
        <w:t>mgarcia@orevado.gob.do)</w:t>
      </w:r>
    </w:p>
    <w:p w:rsidR="00260E55" w:rsidRPr="001766FA" w:rsidRDefault="00260E55" w:rsidP="00260E55">
      <w:pPr>
        <w:pStyle w:val="plcountry"/>
        <w:rPr>
          <w:lang w:val="es-ES"/>
        </w:rPr>
      </w:pPr>
      <w:r w:rsidRPr="001766FA">
        <w:rPr>
          <w:lang w:val="es-ES"/>
        </w:rPr>
        <w:t>RÉPUBLIQUE TCHÈQUE / CZECH REPUBLIC / TSCHECHISCHE REPUBLIK / REPÚBLICA CHECA</w:t>
      </w:r>
    </w:p>
    <w:p w:rsidR="00260E55" w:rsidRPr="001766FA" w:rsidRDefault="00260E55" w:rsidP="00260E55">
      <w:pPr>
        <w:pStyle w:val="pldetails"/>
        <w:rPr>
          <w:lang w:val="en-US"/>
        </w:rPr>
      </w:pPr>
      <w:r w:rsidRPr="001766FA">
        <w:rPr>
          <w:lang w:val="en-US"/>
        </w:rPr>
        <w:t xml:space="preserve">Radmila SAFAŘÍKOVÁ (Ms.), Senior Officer, National Plant Variety Office, Central Institute for Supervising and Testing in Agriculture (UKZUZ), Brno </w:t>
      </w:r>
      <w:r w:rsidRPr="001766FA">
        <w:rPr>
          <w:lang w:val="en-US"/>
        </w:rPr>
        <w:br/>
        <w:t xml:space="preserve">(e-mail: radmila.safarikova@ukzuz.cz) </w:t>
      </w:r>
    </w:p>
    <w:p w:rsidR="00260E55" w:rsidRPr="0061436C" w:rsidRDefault="00260E55" w:rsidP="00260E55">
      <w:pPr>
        <w:pStyle w:val="plcountry"/>
        <w:rPr>
          <w:lang w:val="es-ES"/>
        </w:rPr>
      </w:pPr>
      <w:r w:rsidRPr="0061436C">
        <w:rPr>
          <w:lang w:val="es-ES"/>
        </w:rPr>
        <w:t xml:space="preserve">RÉPUBLIQUE-UNIE DE TANZANIE / UNITED REPUBLIC OF TANZANIA / </w:t>
      </w:r>
      <w:r w:rsidRPr="0061436C">
        <w:rPr>
          <w:lang w:val="es-ES"/>
        </w:rPr>
        <w:br/>
        <w:t>VEREINIGTE REPUBLIK TANSANIA / REPÚBLICA UNIDA DE TANZANÍA</w:t>
      </w:r>
    </w:p>
    <w:p w:rsidR="00260E55" w:rsidRPr="001766FA" w:rsidRDefault="00260E55" w:rsidP="00260E55">
      <w:pPr>
        <w:pStyle w:val="pldetails"/>
        <w:keepNext/>
        <w:rPr>
          <w:lang w:val="en-US"/>
        </w:rPr>
      </w:pPr>
      <w:r w:rsidRPr="001766FA">
        <w:rPr>
          <w:lang w:val="en-US"/>
        </w:rPr>
        <w:t xml:space="preserve">Patrick NGWEDIAGI (Mr.), Director General, Tanzania Official Seed Certification Institute (TOSCI), Morogoro </w:t>
      </w:r>
      <w:r w:rsidRPr="001766FA">
        <w:rPr>
          <w:lang w:val="en-US"/>
        </w:rPr>
        <w:br/>
        <w:t xml:space="preserve">(e-mail: ngwedi@yahoo.com) </w:t>
      </w:r>
    </w:p>
    <w:p w:rsidR="00260E55" w:rsidRPr="001766FA" w:rsidRDefault="00260E55" w:rsidP="00260E55">
      <w:pPr>
        <w:pStyle w:val="pldetails"/>
        <w:keepNext/>
        <w:rPr>
          <w:lang w:val="en-US"/>
        </w:rPr>
      </w:pPr>
      <w:r w:rsidRPr="001766FA">
        <w:rPr>
          <w:lang w:val="en-US"/>
        </w:rPr>
        <w:t xml:space="preserve">Twalib Mustafa NJOHOLE (Mr.), Registrar of Plant Breeders' Rights, Plant Breeders Rights' Office, Ministry of Agriculture (MoA), Dodoma </w:t>
      </w:r>
      <w:r w:rsidRPr="001766FA">
        <w:rPr>
          <w:lang w:val="en-US"/>
        </w:rPr>
        <w:br/>
        <w:t>(e-mail: twalib.njohole@kilimo.go.tz)</w:t>
      </w:r>
    </w:p>
    <w:p w:rsidR="00260E55" w:rsidRPr="001766FA" w:rsidRDefault="00260E55" w:rsidP="00260E55">
      <w:pPr>
        <w:pStyle w:val="pldetails"/>
        <w:rPr>
          <w:lang w:val="en-US"/>
        </w:rPr>
      </w:pPr>
      <w:r w:rsidRPr="001766FA">
        <w:rPr>
          <w:lang w:val="en-US"/>
        </w:rPr>
        <w:t xml:space="preserve">Asia Filfil THANI (Ms.), Registrar of Plant Breeders' Rights Zanzibar, Ministry of Agriculture and Natural Resources, Zanzibar </w:t>
      </w:r>
      <w:r w:rsidRPr="001766FA">
        <w:rPr>
          <w:lang w:val="en-US"/>
        </w:rPr>
        <w:br/>
        <w:t>(e-mail: asiathani@yahoo.com)</w:t>
      </w:r>
    </w:p>
    <w:p w:rsidR="00260E55" w:rsidRPr="001766FA" w:rsidRDefault="00260E55" w:rsidP="00260E55">
      <w:pPr>
        <w:pStyle w:val="plcountry"/>
        <w:rPr>
          <w:lang w:val="en-US"/>
        </w:rPr>
      </w:pPr>
      <w:r w:rsidRPr="001766FA">
        <w:rPr>
          <w:lang w:val="en-US"/>
        </w:rPr>
        <w:t>ROUMANIE / ROMANIA / RUMÄNIEN / RUMANIA</w:t>
      </w:r>
    </w:p>
    <w:p w:rsidR="00260E55" w:rsidRPr="001766FA" w:rsidRDefault="00260E55" w:rsidP="00260E55">
      <w:pPr>
        <w:pStyle w:val="pldetails"/>
        <w:rPr>
          <w:lang w:val="en-US"/>
        </w:rPr>
      </w:pPr>
      <w:r w:rsidRPr="001766FA">
        <w:rPr>
          <w:lang w:val="en-US"/>
        </w:rPr>
        <w:t xml:space="preserve">Mihaela-Rodica CIORA (Ms.), Counsellor, State Institute for Variety Testing and Registration (ISTIS), Bucarest </w:t>
      </w:r>
      <w:r w:rsidRPr="001766FA">
        <w:rPr>
          <w:lang w:val="en-US"/>
        </w:rPr>
        <w:br/>
        <w:t>(e-mail: mihaela_ciora@istis.ro)</w:t>
      </w:r>
    </w:p>
    <w:p w:rsidR="00260E55" w:rsidRPr="001766FA" w:rsidRDefault="00260E55" w:rsidP="00260E55">
      <w:pPr>
        <w:pStyle w:val="pldetails"/>
        <w:rPr>
          <w:lang w:val="en-US"/>
        </w:rPr>
      </w:pPr>
      <w:r w:rsidRPr="001766FA">
        <w:rPr>
          <w:lang w:val="en-US"/>
        </w:rPr>
        <w:t>Teodor Dan ENESCU (Mr.), Counsellor, State Institute for Variety Testing and Registration (ISTIS), Bucarest</w:t>
      </w:r>
      <w:r w:rsidRPr="001766FA">
        <w:rPr>
          <w:lang w:val="en-US"/>
        </w:rPr>
        <w:br/>
        <w:t>(e-mail: teonscu@yahoo.com)</w:t>
      </w:r>
    </w:p>
    <w:p w:rsidR="00260E55" w:rsidRPr="001766FA" w:rsidRDefault="00260E55" w:rsidP="00260E55">
      <w:pPr>
        <w:pStyle w:val="plcountry"/>
        <w:rPr>
          <w:lang w:val="en-US"/>
        </w:rPr>
      </w:pPr>
      <w:r w:rsidRPr="001766FA">
        <w:rPr>
          <w:lang w:val="en-US"/>
        </w:rPr>
        <w:t>ROYAUME-UNI / UNITED KINGDOM / VEREINIGTES KÖNIGREICH / REINO UNIDO</w:t>
      </w:r>
    </w:p>
    <w:p w:rsidR="00260E55" w:rsidRPr="001766FA" w:rsidRDefault="00260E55" w:rsidP="00260E55">
      <w:pPr>
        <w:pStyle w:val="pldetails"/>
        <w:rPr>
          <w:lang w:val="en-US"/>
        </w:rPr>
      </w:pPr>
      <w:r w:rsidRPr="001766FA">
        <w:rPr>
          <w:lang w:val="en-US"/>
        </w:rPr>
        <w:t xml:space="preserve">Robert WARLOW (Mr.), Team Leader, National Listing / Plant Breeders' Rights, Animal and Plant Health Agency (APHA), Cambridge </w:t>
      </w:r>
      <w:r w:rsidRPr="001766FA">
        <w:rPr>
          <w:lang w:val="en-US"/>
        </w:rPr>
        <w:br/>
        <w:t>(e-mail: rob.warlow@apha.gov.uk)</w:t>
      </w:r>
    </w:p>
    <w:p w:rsidR="00260E55" w:rsidRPr="001766FA" w:rsidRDefault="00260E55" w:rsidP="00260E55">
      <w:pPr>
        <w:pStyle w:val="pldetails"/>
        <w:rPr>
          <w:lang w:val="en-US"/>
        </w:rPr>
      </w:pPr>
      <w:r w:rsidRPr="001766FA">
        <w:rPr>
          <w:lang w:val="en-US"/>
        </w:rPr>
        <w:t xml:space="preserve">Eleanor GIBSON-FORTY (Ms.), Plant Varieties and Seeds Administrator, Animal and Plant Health Agency (APHA), Cambridge </w:t>
      </w:r>
      <w:r w:rsidRPr="001766FA">
        <w:rPr>
          <w:lang w:val="en-US"/>
        </w:rPr>
        <w:br/>
        <w:t>(e-mail: eleanor.gibson-forty@apha.gov.uk)</w:t>
      </w:r>
    </w:p>
    <w:p w:rsidR="00260E55" w:rsidRPr="001766FA" w:rsidRDefault="00260E55" w:rsidP="00260E55">
      <w:pPr>
        <w:pStyle w:val="plcountry"/>
        <w:rPr>
          <w:lang w:val="en-US"/>
        </w:rPr>
      </w:pPr>
      <w:r w:rsidRPr="001766FA">
        <w:rPr>
          <w:lang w:val="en-US"/>
        </w:rPr>
        <w:t>SERBIE / SERBIA / SERBIEN / SERBIA</w:t>
      </w:r>
    </w:p>
    <w:p w:rsidR="00260E55" w:rsidRPr="001766FA" w:rsidRDefault="00260E55" w:rsidP="00260E55">
      <w:pPr>
        <w:pStyle w:val="pldetails"/>
        <w:rPr>
          <w:lang w:val="en-US"/>
        </w:rPr>
      </w:pPr>
      <w:r w:rsidRPr="001766FA">
        <w:rPr>
          <w:lang w:val="en-US"/>
        </w:rPr>
        <w:t xml:space="preserve">Gordana LONCAR (Ms.), Senior Adviser for Plant Variety protection, Plant Protection Directorate, Group for Plant Variety Protection and Biosafety, Ministry of Agriculture and Environmental protection, Belgrade </w:t>
      </w:r>
      <w:r w:rsidRPr="001766FA">
        <w:rPr>
          <w:lang w:val="en-US"/>
        </w:rPr>
        <w:br/>
        <w:t>(e-mail: gordana.loncar@minpolj.gov.rs)</w:t>
      </w:r>
    </w:p>
    <w:p w:rsidR="00260E55" w:rsidRPr="001766FA" w:rsidRDefault="00260E55" w:rsidP="00260E55">
      <w:pPr>
        <w:pStyle w:val="plcountry"/>
        <w:rPr>
          <w:lang w:val="en-US"/>
        </w:rPr>
      </w:pPr>
      <w:r w:rsidRPr="001766FA">
        <w:rPr>
          <w:lang w:val="en-US"/>
        </w:rPr>
        <w:t>SLOVAQUIE / SLOVAKIA / SLOWAKEI / ESLOVAQUIA</w:t>
      </w:r>
    </w:p>
    <w:p w:rsidR="00260E55" w:rsidRPr="001766FA" w:rsidRDefault="00260E55" w:rsidP="00260E55">
      <w:pPr>
        <w:pStyle w:val="pldetails"/>
        <w:rPr>
          <w:lang w:val="en-US"/>
        </w:rPr>
      </w:pPr>
      <w:r w:rsidRPr="001766FA">
        <w:rPr>
          <w:lang w:val="en-US"/>
        </w:rPr>
        <w:t xml:space="preserve">Bronislava BÁTOROVÁ (Ms.), National Coordinator for the Cooperation of the Slovak Republic with UPOV/ Senior Officer, Department of Variety Testing, Central Controlling and Testing Institute in Agriculture (ÚKSÚP), Nitra  </w:t>
      </w:r>
      <w:r w:rsidRPr="001766FA">
        <w:rPr>
          <w:lang w:val="en-US"/>
        </w:rPr>
        <w:br/>
        <w:t xml:space="preserve">(e-mail: bronislava.batorova@uksup.sk) </w:t>
      </w:r>
    </w:p>
    <w:p w:rsidR="00260E55" w:rsidRPr="001766FA" w:rsidRDefault="00260E55" w:rsidP="00260E55">
      <w:pPr>
        <w:pStyle w:val="plcountry"/>
        <w:rPr>
          <w:lang w:val="en-US"/>
        </w:rPr>
      </w:pPr>
      <w:r w:rsidRPr="001766FA">
        <w:rPr>
          <w:lang w:val="en-US"/>
        </w:rPr>
        <w:t>SUISSE / SWITZERLAND / SCHWEIZ / SUIZA</w:t>
      </w:r>
    </w:p>
    <w:p w:rsidR="00260E55" w:rsidRPr="001766FA" w:rsidRDefault="00260E55" w:rsidP="00260E55">
      <w:pPr>
        <w:pStyle w:val="pldetails"/>
        <w:rPr>
          <w:lang w:val="en-US"/>
        </w:rPr>
      </w:pPr>
      <w:r w:rsidRPr="001766FA">
        <w:rPr>
          <w:lang w:val="en-US"/>
        </w:rPr>
        <w:t xml:space="preserve">Manuela BRAND (Ms.), Plant Variety Rights Office, Plant Health and Varieties, Office fédéral de l'agriculture (OFAG), Bern  </w:t>
      </w:r>
      <w:r w:rsidRPr="001766FA">
        <w:rPr>
          <w:lang w:val="en-US"/>
        </w:rPr>
        <w:br/>
        <w:t xml:space="preserve">(e-mail: manuela.brand@blw.admin.ch) </w:t>
      </w:r>
    </w:p>
    <w:p w:rsidR="00260E55" w:rsidRDefault="00260E55" w:rsidP="00260E55">
      <w:pPr>
        <w:pStyle w:val="plcountry"/>
        <w:rPr>
          <w:lang w:val="fr-CH"/>
        </w:rPr>
      </w:pPr>
      <w:r w:rsidRPr="000F218C">
        <w:rPr>
          <w:lang w:val="fr-CH"/>
        </w:rPr>
        <w:t>TUNISIE / TUNISIA / TUNESIEN / TÚNEZ</w:t>
      </w:r>
    </w:p>
    <w:p w:rsidR="00260E55" w:rsidRPr="000F218C" w:rsidRDefault="00260E55" w:rsidP="00260E55">
      <w:pPr>
        <w:pStyle w:val="pldetails"/>
        <w:rPr>
          <w:lang w:val="fr-CH"/>
        </w:rPr>
      </w:pPr>
      <w:r w:rsidRPr="000F218C">
        <w:rPr>
          <w:lang w:val="fr-CH"/>
        </w:rPr>
        <w:t>Omar BRAHMI</w:t>
      </w:r>
      <w:r>
        <w:rPr>
          <w:lang w:val="fr-CH"/>
        </w:rPr>
        <w:t xml:space="preserve"> (Mr.)</w:t>
      </w:r>
      <w:r w:rsidRPr="000F218C">
        <w:rPr>
          <w:lang w:val="fr-CH"/>
        </w:rPr>
        <w:t xml:space="preserve">, Chef, Service d'évaluation, d'homologation et de protection des obtentions végétales et des relations extérieures, Direction générale de la protection et du contrôle de la qualité des produits agricoles, Ministère de l'Agriculture, des Ressources Hydrauliques et de la Pêche, Tunis </w:t>
      </w:r>
      <w:r>
        <w:rPr>
          <w:lang w:val="fr-CH"/>
        </w:rPr>
        <w:br/>
      </w:r>
      <w:r w:rsidRPr="000F218C">
        <w:rPr>
          <w:lang w:val="fr-CH"/>
        </w:rPr>
        <w:t>(e-mail: bo.dgpcqpa@iresa.agrinet.tn)</w:t>
      </w:r>
    </w:p>
    <w:p w:rsidR="00260E55" w:rsidRPr="001766FA" w:rsidRDefault="00260E55" w:rsidP="00260E55">
      <w:pPr>
        <w:pStyle w:val="plcountry"/>
        <w:keepLines w:val="0"/>
        <w:rPr>
          <w:lang w:val="en-US"/>
        </w:rPr>
      </w:pPr>
      <w:r w:rsidRPr="001766FA">
        <w:rPr>
          <w:lang w:val="en-US"/>
        </w:rPr>
        <w:t>TURQUIE / TURKEY / TÜRKEI / TURQUÍA</w:t>
      </w:r>
    </w:p>
    <w:p w:rsidR="00260E55" w:rsidRPr="001766FA" w:rsidRDefault="00260E55" w:rsidP="00260E55">
      <w:pPr>
        <w:pStyle w:val="pldetails"/>
        <w:keepNext/>
        <w:keepLines w:val="0"/>
        <w:rPr>
          <w:lang w:val="en-US"/>
        </w:rPr>
      </w:pPr>
      <w:r w:rsidRPr="001766FA">
        <w:rPr>
          <w:lang w:val="en-US"/>
        </w:rPr>
        <w:t xml:space="preserve">Suat YILMAZ (Mr.), Deputy General Director, General Directorate of Plant Production, Ministry of Agriculture and Forestry, Ankara </w:t>
      </w:r>
    </w:p>
    <w:p w:rsidR="00260E55" w:rsidRPr="001766FA" w:rsidRDefault="00260E55" w:rsidP="00260E55">
      <w:pPr>
        <w:pStyle w:val="pldetails"/>
        <w:keepLines w:val="0"/>
        <w:rPr>
          <w:lang w:val="en-US"/>
        </w:rPr>
      </w:pPr>
      <w:r w:rsidRPr="001766FA">
        <w:rPr>
          <w:lang w:val="en-US"/>
        </w:rPr>
        <w:t xml:space="preserve">Mehmet CAKMAK (Mr.), PBR Expert, Seed Department, General Directorate of Plant Production, Ministry of Agriculture and Forestry, Ankara </w:t>
      </w:r>
      <w:r w:rsidRPr="001766FA">
        <w:rPr>
          <w:lang w:val="en-US"/>
        </w:rPr>
        <w:br/>
        <w:t>(e-mail: mehmet.cakmak@tarim.gov.tr)</w:t>
      </w:r>
    </w:p>
    <w:p w:rsidR="00260E55" w:rsidRPr="001766FA" w:rsidRDefault="00260E55" w:rsidP="00260E55">
      <w:pPr>
        <w:pStyle w:val="pldetails"/>
        <w:keepLines w:val="0"/>
        <w:rPr>
          <w:lang w:val="en-US"/>
        </w:rPr>
      </w:pPr>
      <w:r w:rsidRPr="001766FA">
        <w:rPr>
          <w:lang w:val="en-US"/>
        </w:rPr>
        <w:t xml:space="preserve">Sezgin KARADENIZ (Mr.), Head of Seed Depatment, General Directorate of Plant Production, Ministry of Agriculture and Forestry, Ankara </w:t>
      </w:r>
      <w:r w:rsidRPr="001766FA">
        <w:rPr>
          <w:lang w:val="en-US"/>
        </w:rPr>
        <w:br/>
        <w:t>(e-mail: sezgin.karadeniz@tarim.gov.tr)</w:t>
      </w:r>
    </w:p>
    <w:p w:rsidR="00260E55" w:rsidRPr="001766FA" w:rsidRDefault="00260E55" w:rsidP="00260E55">
      <w:pPr>
        <w:pStyle w:val="plcountry"/>
        <w:rPr>
          <w:lang w:val="en-US"/>
        </w:rPr>
      </w:pPr>
      <w:r w:rsidRPr="001766FA">
        <w:rPr>
          <w:lang w:val="en-US"/>
        </w:rPr>
        <w:t>UNION EUROPÉENNE / EUROPEAN UNION / EUROPÄISCHE UNION / UNIÓN EUROPEA</w:t>
      </w:r>
    </w:p>
    <w:p w:rsidR="00260E55" w:rsidRPr="001766FA" w:rsidRDefault="00260E55" w:rsidP="00260E55">
      <w:pPr>
        <w:pStyle w:val="pldetails"/>
        <w:rPr>
          <w:lang w:val="en-US"/>
        </w:rPr>
      </w:pPr>
      <w:r w:rsidRPr="001766FA">
        <w:rPr>
          <w:lang w:val="en-US"/>
        </w:rPr>
        <w:t xml:space="preserve">Kirsi Marjatta HEINONEN (Ms.), Counsellor, Permanent Representation of Finland In European Union, Bruxelles </w:t>
      </w:r>
      <w:r w:rsidRPr="001766FA">
        <w:rPr>
          <w:lang w:val="en-US"/>
        </w:rPr>
        <w:br/>
        <w:t>(e-mail: Kirsi.heinonen@formin.fi)</w:t>
      </w:r>
    </w:p>
    <w:p w:rsidR="00260E55" w:rsidRPr="001766FA" w:rsidRDefault="00260E55" w:rsidP="00260E55">
      <w:pPr>
        <w:pStyle w:val="pldetails"/>
        <w:rPr>
          <w:lang w:val="en-US"/>
        </w:rPr>
      </w:pPr>
      <w:r w:rsidRPr="001766FA">
        <w:rPr>
          <w:lang w:val="en-US"/>
        </w:rPr>
        <w:t xml:space="preserve">Kati LASSI (Ms.), Senior Specialist, Helsinki </w:t>
      </w:r>
      <w:r w:rsidRPr="001766FA">
        <w:rPr>
          <w:lang w:val="en-US"/>
        </w:rPr>
        <w:br/>
        <w:t>(e-mail: kati.lassi@mmm.fi)</w:t>
      </w:r>
    </w:p>
    <w:p w:rsidR="00260E55" w:rsidRPr="001766FA" w:rsidRDefault="00260E55" w:rsidP="00260E55">
      <w:pPr>
        <w:pStyle w:val="pldetails"/>
        <w:rPr>
          <w:lang w:val="en-US"/>
        </w:rPr>
      </w:pPr>
      <w:r w:rsidRPr="001766FA">
        <w:rPr>
          <w:lang w:val="en-US"/>
        </w:rPr>
        <w:t xml:space="preserve">Tarja Päivikki HIETARANTA (Ms.), Senior Officer, Seed Certification, Finnish Food Authority, Loimaa </w:t>
      </w:r>
      <w:r w:rsidRPr="001766FA">
        <w:rPr>
          <w:lang w:val="en-US"/>
        </w:rPr>
        <w:br/>
        <w:t>(e-mail: tarja.hietaranta@evira.fi)</w:t>
      </w:r>
    </w:p>
    <w:p w:rsidR="00260E55" w:rsidRPr="001766FA" w:rsidRDefault="00260E55" w:rsidP="00260E55">
      <w:pPr>
        <w:pStyle w:val="pldetails"/>
        <w:rPr>
          <w:lang w:val="en-US"/>
        </w:rPr>
      </w:pPr>
      <w:r w:rsidRPr="001766FA">
        <w:rPr>
          <w:lang w:val="en-US"/>
        </w:rPr>
        <w:t xml:space="preserve">Päivi MANNERKORPI (Ms.), Team Leader - Plant Reproductive Material, Unit G1 Plant Health, Directorate General for Health and Food Safety (DG SANTE), European Commission, Bruxelles </w:t>
      </w:r>
      <w:r w:rsidRPr="001766FA">
        <w:rPr>
          <w:lang w:val="en-US"/>
        </w:rPr>
        <w:br/>
        <w:t>(e-mail: paivi.mannerkorpi@ec.europa.eu)</w:t>
      </w:r>
    </w:p>
    <w:p w:rsidR="00260E55" w:rsidRPr="001766FA" w:rsidRDefault="00260E55" w:rsidP="00260E55">
      <w:pPr>
        <w:pStyle w:val="pldetails"/>
        <w:rPr>
          <w:lang w:val="en-US"/>
        </w:rPr>
      </w:pPr>
      <w:r w:rsidRPr="001766FA">
        <w:rPr>
          <w:lang w:val="en-US"/>
        </w:rPr>
        <w:t xml:space="preserve">Dirk THEOBALD (Mr.), Senior Advisor, Community Plant Variety Office (CPVO), Angers </w:t>
      </w:r>
      <w:r w:rsidRPr="001766FA">
        <w:rPr>
          <w:lang w:val="en-US"/>
        </w:rPr>
        <w:br/>
        <w:t xml:space="preserve">(e-mail: theobald@cpvo.europa.eu) </w:t>
      </w:r>
    </w:p>
    <w:p w:rsidR="00260E55" w:rsidRPr="001766FA" w:rsidRDefault="00260E55" w:rsidP="00260E55">
      <w:pPr>
        <w:pStyle w:val="pldetails"/>
        <w:rPr>
          <w:lang w:val="en-US"/>
        </w:rPr>
      </w:pPr>
      <w:r w:rsidRPr="001766FA">
        <w:rPr>
          <w:lang w:val="en-US"/>
        </w:rPr>
        <w:t xml:space="preserve">Jean MAISON (Mr.), Deputy Head, Technical Unit, Community Plant Variety Office (CPVO), Angers </w:t>
      </w:r>
      <w:r w:rsidRPr="001766FA">
        <w:rPr>
          <w:lang w:val="en-US"/>
        </w:rPr>
        <w:br/>
        <w:t>(e-mail: maison@cpvo.europa.eu)</w:t>
      </w:r>
    </w:p>
    <w:p w:rsidR="00260E55" w:rsidRPr="001766FA" w:rsidRDefault="00260E55" w:rsidP="00260E55">
      <w:pPr>
        <w:pStyle w:val="plheading"/>
        <w:rPr>
          <w:lang w:val="en-US"/>
        </w:rPr>
      </w:pPr>
      <w:r w:rsidRPr="001766FA">
        <w:rPr>
          <w:lang w:val="en-US"/>
        </w:rPr>
        <w:t>II. OBSERVATEURS / OBSERVERS / BEOBACHTER / OBSERVADORES</w:t>
      </w:r>
    </w:p>
    <w:p w:rsidR="00260E55" w:rsidRPr="001766FA" w:rsidRDefault="00260E55" w:rsidP="00260E55">
      <w:pPr>
        <w:pStyle w:val="plcountry"/>
        <w:rPr>
          <w:lang w:val="en-US"/>
        </w:rPr>
      </w:pPr>
      <w:r w:rsidRPr="001766FA">
        <w:rPr>
          <w:lang w:val="en-US"/>
        </w:rPr>
        <w:t>ÉGYPTE / EGYPT / ÄGYPTEN / EGIPTO</w:t>
      </w:r>
    </w:p>
    <w:p w:rsidR="00260E55" w:rsidRPr="001766FA" w:rsidRDefault="00260E55" w:rsidP="00260E55">
      <w:pPr>
        <w:pStyle w:val="pldetails"/>
        <w:rPr>
          <w:lang w:val="en-US"/>
        </w:rPr>
      </w:pPr>
      <w:r w:rsidRPr="001766FA">
        <w:rPr>
          <w:lang w:val="en-US"/>
        </w:rPr>
        <w:t xml:space="preserve">Saad NASSAR (Mr.), Advisor to the Minister for Agriculture and Land Reclamation, Giza </w:t>
      </w:r>
      <w:r w:rsidRPr="001766FA">
        <w:rPr>
          <w:lang w:val="en-US"/>
        </w:rPr>
        <w:br/>
        <w:t>(e-mail: saad.nassar@yahoo.com)</w:t>
      </w:r>
    </w:p>
    <w:p w:rsidR="00260E55" w:rsidRPr="001766FA" w:rsidRDefault="00260E55" w:rsidP="00260E55">
      <w:pPr>
        <w:pStyle w:val="pldetails"/>
        <w:rPr>
          <w:lang w:val="en-US"/>
        </w:rPr>
      </w:pPr>
      <w:r w:rsidRPr="001766FA">
        <w:rPr>
          <w:lang w:val="en-US"/>
        </w:rPr>
        <w:t xml:space="preserve">Hassan EL BADRAWY (Mr.), Vice President, Court Cassation, Ministry of Justice, Cairo </w:t>
      </w:r>
      <w:r w:rsidRPr="001766FA">
        <w:rPr>
          <w:lang w:val="en-US"/>
        </w:rPr>
        <w:br/>
        <w:t>(e-mail: h_b49@hotmail.com)</w:t>
      </w:r>
    </w:p>
    <w:p w:rsidR="00260E55" w:rsidRPr="001766FA" w:rsidRDefault="00260E55" w:rsidP="00260E55">
      <w:pPr>
        <w:pStyle w:val="pldetails"/>
        <w:rPr>
          <w:lang w:val="en-US"/>
        </w:rPr>
      </w:pPr>
      <w:r w:rsidRPr="001766FA">
        <w:rPr>
          <w:lang w:val="en-US"/>
        </w:rPr>
        <w:t xml:space="preserve">Mahasen Fawaz Mohamed GAD (Ms.), General Manager, Plant Variety Protection Office, Central Administration for Seed Certification (CASC), Giza </w:t>
      </w:r>
      <w:r w:rsidRPr="001766FA">
        <w:rPr>
          <w:lang w:val="en-US"/>
        </w:rPr>
        <w:br/>
        <w:t>(e-mail: mahansen.f.gad@gmail.com)</w:t>
      </w:r>
    </w:p>
    <w:p w:rsidR="00260E55" w:rsidRPr="001766FA" w:rsidRDefault="00260E55" w:rsidP="00260E55">
      <w:pPr>
        <w:pStyle w:val="plcountry"/>
        <w:rPr>
          <w:lang w:val="en-US"/>
        </w:rPr>
      </w:pPr>
      <w:r w:rsidRPr="001766FA">
        <w:rPr>
          <w:lang w:val="en-US"/>
        </w:rPr>
        <w:t xml:space="preserve">Émirats arabes unis / United Arab Emirates / Vereinigte Arabische Emirate / </w:t>
      </w:r>
      <w:r w:rsidRPr="001766FA">
        <w:rPr>
          <w:lang w:val="en-US"/>
        </w:rPr>
        <w:br/>
        <w:t>Emiratos Árabes Unidos</w:t>
      </w:r>
    </w:p>
    <w:p w:rsidR="00260E55" w:rsidRPr="001766FA" w:rsidRDefault="00260E55" w:rsidP="00260E55">
      <w:pPr>
        <w:pStyle w:val="pldetails"/>
        <w:rPr>
          <w:lang w:val="en-US"/>
        </w:rPr>
      </w:pPr>
      <w:r w:rsidRPr="001766FA">
        <w:rPr>
          <w:lang w:val="en-US"/>
        </w:rPr>
        <w:t xml:space="preserve">Mohamed Ahmed HAMDAN AL DHANHANI (Mr.), Director, Agriculture Development and Health Department, Ministry of Climate Change and Environment, Dubai </w:t>
      </w:r>
      <w:r w:rsidRPr="001766FA">
        <w:rPr>
          <w:lang w:val="en-US"/>
        </w:rPr>
        <w:br/>
        <w:t>(e-mail: maaldhanhani@moccae.gov.ae)</w:t>
      </w:r>
    </w:p>
    <w:p w:rsidR="00260E55" w:rsidRPr="001766FA" w:rsidRDefault="00260E55" w:rsidP="00260E55">
      <w:pPr>
        <w:pStyle w:val="plcountry"/>
        <w:rPr>
          <w:lang w:val="en-US"/>
        </w:rPr>
      </w:pPr>
      <w:r w:rsidRPr="001766FA">
        <w:rPr>
          <w:lang w:val="en-US"/>
        </w:rPr>
        <w:t>KAZAKHSTAN / KAZAKHSTAN / KASACHSTAN / KAZAJSTÁN</w:t>
      </w:r>
    </w:p>
    <w:p w:rsidR="00260E55" w:rsidRPr="001766FA" w:rsidRDefault="00260E55" w:rsidP="00260E55">
      <w:pPr>
        <w:pStyle w:val="pldetails"/>
        <w:rPr>
          <w:lang w:val="en-US"/>
        </w:rPr>
      </w:pPr>
      <w:r w:rsidRPr="001766FA">
        <w:rPr>
          <w:lang w:val="en-US"/>
        </w:rPr>
        <w:t xml:space="preserve">Talgat AZHGALIYEV (Mr.), Chairman, State Commission for Variety Testing of Crops, Astana </w:t>
      </w:r>
      <w:r w:rsidRPr="001766FA">
        <w:rPr>
          <w:lang w:val="en-US"/>
        </w:rPr>
        <w:br/>
        <w:t>(e-mail: goskomKZ@mail.ru)</w:t>
      </w:r>
    </w:p>
    <w:p w:rsidR="00260E55" w:rsidRPr="001766FA" w:rsidRDefault="00260E55" w:rsidP="00260E55">
      <w:pPr>
        <w:pStyle w:val="pldetails"/>
        <w:rPr>
          <w:lang w:val="en-US"/>
        </w:rPr>
      </w:pPr>
      <w:r w:rsidRPr="001766FA">
        <w:rPr>
          <w:lang w:val="en-US"/>
        </w:rPr>
        <w:t>Zulfira BASHIROVA (Ms.), Deputy Director, Ministry of Agriculture of the Republic of Kazakhstan, Nur-Sultan</w:t>
      </w:r>
      <w:r w:rsidRPr="001766FA">
        <w:rPr>
          <w:lang w:val="en-US"/>
        </w:rPr>
        <w:br/>
        <w:t>(e-mail: bashirova.z@minagri.gov.kz)</w:t>
      </w:r>
    </w:p>
    <w:p w:rsidR="00260E55" w:rsidRPr="001766FA" w:rsidRDefault="00260E55" w:rsidP="00260E55">
      <w:pPr>
        <w:pStyle w:val="pldetails"/>
        <w:rPr>
          <w:lang w:val="en-US"/>
        </w:rPr>
      </w:pPr>
      <w:r w:rsidRPr="001766FA">
        <w:rPr>
          <w:lang w:val="en-US"/>
        </w:rPr>
        <w:t xml:space="preserve">Gulferuz Mairambekovna SEITPENBETOVA (Ms.), Specialist, State Commission for Variety Testing for Crops, Nur-Sultan </w:t>
      </w:r>
      <w:r w:rsidRPr="001766FA">
        <w:rPr>
          <w:lang w:val="en-US"/>
        </w:rPr>
        <w:br/>
        <w:t>(e-mail: goskomkz@mail.ru)</w:t>
      </w:r>
    </w:p>
    <w:p w:rsidR="00260E55" w:rsidRPr="001766FA" w:rsidRDefault="00260E55" w:rsidP="00260E55">
      <w:pPr>
        <w:pStyle w:val="plcountry"/>
        <w:rPr>
          <w:lang w:val="en-US"/>
        </w:rPr>
      </w:pPr>
      <w:r w:rsidRPr="001766FA">
        <w:rPr>
          <w:lang w:val="en-US"/>
        </w:rPr>
        <w:t>MONGOLIE / MONGOLIA / MONGOLEI / MONGOLIA</w:t>
      </w:r>
    </w:p>
    <w:p w:rsidR="00260E55" w:rsidRPr="001766FA" w:rsidRDefault="00260E55" w:rsidP="00260E55">
      <w:pPr>
        <w:pStyle w:val="pldetails"/>
        <w:keepNext/>
        <w:rPr>
          <w:lang w:val="en-US"/>
        </w:rPr>
      </w:pPr>
      <w:r w:rsidRPr="001766FA">
        <w:rPr>
          <w:lang w:val="en-US"/>
        </w:rPr>
        <w:t xml:space="preserve">Uranchimeg BAZARRAGCHAA (Ms.), Officer, Department of Policy and Planning, Ministry of Food, Agriculture and Light Industry, Ulaanbaatar </w:t>
      </w:r>
      <w:r w:rsidRPr="001766FA">
        <w:rPr>
          <w:lang w:val="en-US"/>
        </w:rPr>
        <w:br/>
        <w:t>(e-mail: bazarragchaau@yahoo.com)</w:t>
      </w:r>
    </w:p>
    <w:p w:rsidR="00260E55" w:rsidRPr="001766FA" w:rsidRDefault="00260E55" w:rsidP="00260E55">
      <w:pPr>
        <w:pStyle w:val="pldetails"/>
        <w:keepNext/>
        <w:rPr>
          <w:lang w:val="en-US"/>
        </w:rPr>
      </w:pPr>
      <w:r w:rsidRPr="001766FA">
        <w:rPr>
          <w:lang w:val="en-US"/>
        </w:rPr>
        <w:t xml:space="preserve">Altantsetseg BALGAN (Ms.), National Project Manager / Legal Expert, Food and Agriculture Organization of the United Nations (FAO), Ulaanbaatar, Mongolie </w:t>
      </w:r>
      <w:r w:rsidRPr="001766FA">
        <w:rPr>
          <w:lang w:val="en-US"/>
        </w:rPr>
        <w:br/>
        <w:t>(e-mail: altantsetseg.balcan@fao.org)</w:t>
      </w:r>
    </w:p>
    <w:p w:rsidR="00260E55" w:rsidRPr="001766FA" w:rsidRDefault="00260E55" w:rsidP="00260E55">
      <w:pPr>
        <w:pStyle w:val="plcountry"/>
        <w:rPr>
          <w:lang w:val="en-US"/>
        </w:rPr>
      </w:pPr>
      <w:r w:rsidRPr="001766FA">
        <w:rPr>
          <w:lang w:val="en-US"/>
        </w:rPr>
        <w:t>MYANMAR / MYANMAR / MYANMAR / MYANMAR</w:t>
      </w:r>
    </w:p>
    <w:p w:rsidR="00260E55" w:rsidRPr="001766FA" w:rsidRDefault="00260E55" w:rsidP="00260E55">
      <w:pPr>
        <w:pStyle w:val="pldetails"/>
        <w:rPr>
          <w:lang w:val="en-US"/>
        </w:rPr>
      </w:pPr>
      <w:r w:rsidRPr="001766FA">
        <w:rPr>
          <w:lang w:val="en-US"/>
        </w:rPr>
        <w:t xml:space="preserve">Naing Kyi WIN (Mr.), Director General, Department of Agricultural Research (DAR), Ministry of Agriculture, Livestock and Irrigation (MOALI), Nay Pyi Taw </w:t>
      </w:r>
      <w:r w:rsidRPr="001766FA">
        <w:rPr>
          <w:lang w:val="en-US"/>
        </w:rPr>
        <w:br/>
        <w:t>(e-mail: dgdar.moai@gmail.com)</w:t>
      </w:r>
    </w:p>
    <w:p w:rsidR="00260E55" w:rsidRPr="001766FA" w:rsidRDefault="00260E55" w:rsidP="00260E55">
      <w:pPr>
        <w:pStyle w:val="pldetails"/>
        <w:rPr>
          <w:lang w:val="en-US"/>
        </w:rPr>
      </w:pPr>
      <w:r w:rsidRPr="001766FA">
        <w:rPr>
          <w:lang w:val="en-US"/>
        </w:rPr>
        <w:t xml:space="preserve">Pa Pa WIN (Ms.), Research Officer, Head of PVP Section, Department of Agricultural Research (DAR), Ministry of Agriculture, Livestock and Irrigation (MOALI), Nay Pyi Taw </w:t>
      </w:r>
      <w:r w:rsidRPr="001766FA">
        <w:rPr>
          <w:lang w:val="en-US"/>
        </w:rPr>
        <w:br/>
        <w:t>(e-mail: papawin08@gmail.com)</w:t>
      </w:r>
    </w:p>
    <w:p w:rsidR="00260E55" w:rsidRPr="001766FA" w:rsidRDefault="00260E55" w:rsidP="00260E55">
      <w:pPr>
        <w:pStyle w:val="pldetails"/>
        <w:rPr>
          <w:lang w:val="en-US"/>
        </w:rPr>
      </w:pPr>
      <w:r w:rsidRPr="001766FA">
        <w:rPr>
          <w:lang w:val="en-US"/>
        </w:rPr>
        <w:t xml:space="preserve">Minn San THEIN (Mr.), Assistant Research Officer, Seed Bank, Department of Agricultural Research (DAR), Ministry of Agriculture, Livestock and Irrigation (MOALI), Nay Pyi Taw </w:t>
      </w:r>
      <w:r w:rsidRPr="001766FA">
        <w:rPr>
          <w:lang w:val="en-US"/>
        </w:rPr>
        <w:br/>
        <w:t>(e-mail: minsanthein@gmail.com)</w:t>
      </w:r>
    </w:p>
    <w:p w:rsidR="00260E55" w:rsidRPr="001766FA" w:rsidRDefault="00260E55" w:rsidP="00260E55">
      <w:pPr>
        <w:pStyle w:val="plcountry"/>
        <w:rPr>
          <w:lang w:val="en-US"/>
        </w:rPr>
      </w:pPr>
      <w:r w:rsidRPr="001766FA">
        <w:rPr>
          <w:lang w:val="en-US"/>
        </w:rPr>
        <w:t>THAÏLANDE / THAILAND / THAILAND / TAILANDIA</w:t>
      </w:r>
    </w:p>
    <w:p w:rsidR="00260E55" w:rsidRPr="001766FA" w:rsidRDefault="00260E55" w:rsidP="00260E55">
      <w:pPr>
        <w:pStyle w:val="pldetails"/>
        <w:rPr>
          <w:lang w:val="en-US"/>
        </w:rPr>
      </w:pPr>
      <w:r w:rsidRPr="001766FA">
        <w:rPr>
          <w:lang w:val="en-US"/>
        </w:rPr>
        <w:t xml:space="preserve">Thidakoon SAENUDOM (Ms.), Director of the Plant Variety Protection Research Group, Plant Variety Protection Office, Ministry of Agriculture and Cooperatives, Bangkok </w:t>
      </w:r>
      <w:r w:rsidRPr="001766FA">
        <w:rPr>
          <w:lang w:val="en-US"/>
        </w:rPr>
        <w:br/>
        <w:t>(e-mail: thidakuns@hotmail.com)</w:t>
      </w:r>
    </w:p>
    <w:p w:rsidR="00260E55" w:rsidRPr="001766FA" w:rsidRDefault="00260E55" w:rsidP="00260E55">
      <w:pPr>
        <w:pStyle w:val="plheading"/>
        <w:rPr>
          <w:lang w:val="en-US"/>
        </w:rPr>
      </w:pPr>
      <w:r w:rsidRPr="001766FA">
        <w:rPr>
          <w:lang w:val="en-US"/>
        </w:rPr>
        <w:t>III. ORGANISATIONS / ORGANIZATIONS / ORGANISATIONEN / ORGANIZACIONES</w:t>
      </w:r>
    </w:p>
    <w:p w:rsidR="00260E55" w:rsidRPr="001766FA" w:rsidRDefault="00260E55" w:rsidP="00260E55">
      <w:pPr>
        <w:pStyle w:val="plcountry"/>
        <w:rPr>
          <w:lang w:val="en-US"/>
        </w:rPr>
      </w:pPr>
      <w:r w:rsidRPr="001766FA">
        <w:rPr>
          <w:lang w:val="en-US"/>
        </w:rPr>
        <w:t xml:space="preserve">ORGANISATION DE COOPÉRATION ET DE DÉVELOPPEMENT ÉCONOMIQUES (OCDE) / ORGANISATION FOR ECONOMIC CO-OPERATION AND DEVELOPMENT (OECD) / </w:t>
      </w:r>
      <w:r w:rsidRPr="001766FA">
        <w:rPr>
          <w:lang w:val="en-US"/>
        </w:rPr>
        <w:br/>
        <w:t xml:space="preserve">ORGANISATION FÜR WIRTSCHAFTLICHE ZUSAMMENARBEIT UND ENTWICKLUNG (OECD) / </w:t>
      </w:r>
      <w:r w:rsidRPr="001766FA">
        <w:rPr>
          <w:lang w:val="en-US"/>
        </w:rPr>
        <w:br/>
        <w:t>ORGANIZACIÓN DE COOPERACIÓN Y DESARROLLO ECONÓMICo (OCDE)</w:t>
      </w:r>
    </w:p>
    <w:p w:rsidR="00260E55" w:rsidRPr="001766FA" w:rsidRDefault="00260E55" w:rsidP="00260E55">
      <w:pPr>
        <w:pStyle w:val="pldetails"/>
        <w:rPr>
          <w:lang w:val="en-US"/>
        </w:rPr>
      </w:pPr>
      <w:r w:rsidRPr="001766FA">
        <w:rPr>
          <w:lang w:val="en-US"/>
        </w:rPr>
        <w:t>Csaba GASPAR (Mr.), Programme Manager, OECD Seed Schemes &amp; OECD Forest Seed and Plant Scheme, Organisation for Economic Co-operation and Development (OECD), Paris</w:t>
      </w:r>
      <w:r w:rsidRPr="001766FA">
        <w:rPr>
          <w:lang w:val="en-US"/>
        </w:rPr>
        <w:br/>
        <w:t>(e-mail: csaba.gaspar@oecd.org)</w:t>
      </w:r>
    </w:p>
    <w:p w:rsidR="00260E55" w:rsidRPr="001766FA" w:rsidRDefault="00260E55" w:rsidP="00260E55">
      <w:pPr>
        <w:pStyle w:val="plcountry"/>
        <w:rPr>
          <w:lang w:val="en-US"/>
        </w:rPr>
      </w:pPr>
      <w:r w:rsidRPr="001766FA">
        <w:rPr>
          <w:lang w:val="en-US"/>
        </w:rPr>
        <w:t xml:space="preserve">ORGANISATION RÉGIONALE AFRICAINE DE LA PROPRIÉTÉ INTELLECTUELLE (ARIPO) / </w:t>
      </w:r>
      <w:r w:rsidRPr="001766FA">
        <w:rPr>
          <w:lang w:val="en-US"/>
        </w:rPr>
        <w:br/>
        <w:t xml:space="preserve">AFRICAN REGIONAL INTELLECTUAL PROPERTY ORGANIZATION (ARIPO) / </w:t>
      </w:r>
      <w:r w:rsidRPr="001766FA">
        <w:rPr>
          <w:lang w:val="en-US"/>
        </w:rPr>
        <w:br/>
        <w:t xml:space="preserve">AFRIKANISCHE REGIONALORGANISATION ZUM SCHUTZ GEISTIGEN EIGENTUMS (ARIPO) / </w:t>
      </w:r>
      <w:r w:rsidRPr="001766FA">
        <w:rPr>
          <w:lang w:val="en-US"/>
        </w:rPr>
        <w:br/>
        <w:t>ORGANIZACIÓN REGIONAL AFRICANA DE LA PROPIEDAD INTELECTUAL (ARIPO)</w:t>
      </w:r>
    </w:p>
    <w:p w:rsidR="00260E55" w:rsidRPr="001766FA" w:rsidRDefault="00260E55" w:rsidP="00260E55">
      <w:pPr>
        <w:pStyle w:val="plcountry"/>
        <w:keepLines w:val="0"/>
        <w:rPr>
          <w:caps w:val="0"/>
          <w:u w:val="none"/>
          <w:lang w:val="en-US"/>
        </w:rPr>
      </w:pPr>
      <w:r w:rsidRPr="001766FA">
        <w:rPr>
          <w:caps w:val="0"/>
          <w:u w:val="none"/>
          <w:lang w:val="en-US"/>
        </w:rPr>
        <w:t xml:space="preserve">Flora Kokwihyukya MPANJU (Ms.), Head, Search and Substantive Examination, African Regional Intellectual Property Organization (ARIPO), Harare </w:t>
      </w:r>
      <w:r w:rsidRPr="001766FA">
        <w:rPr>
          <w:caps w:val="0"/>
          <w:u w:val="none"/>
          <w:lang w:val="en-US"/>
        </w:rPr>
        <w:br/>
        <w:t>(e-mail: fmpanju@aripo.org)</w:t>
      </w:r>
    </w:p>
    <w:p w:rsidR="00260E55" w:rsidRPr="00015FE4" w:rsidRDefault="00260E55" w:rsidP="00260E55">
      <w:pPr>
        <w:pStyle w:val="plcountry"/>
        <w:rPr>
          <w:lang w:val="fr-CH"/>
        </w:rPr>
      </w:pPr>
      <w:r w:rsidRPr="00015FE4">
        <w:rPr>
          <w:lang w:val="fr-CH"/>
        </w:rPr>
        <w:t>CROPLIFE INTERNATIONAL</w:t>
      </w:r>
    </w:p>
    <w:p w:rsidR="00260E55" w:rsidRPr="00015FE4" w:rsidRDefault="00260E55" w:rsidP="00260E55">
      <w:pPr>
        <w:pStyle w:val="pldetails"/>
        <w:rPr>
          <w:lang w:val="fr-CH"/>
        </w:rPr>
      </w:pPr>
      <w:r w:rsidRPr="00015FE4">
        <w:rPr>
          <w:lang w:val="fr-CH"/>
        </w:rPr>
        <w:t xml:space="preserve">Marcel BRUINS, Consultant, CropLife International, Bruxelles </w:t>
      </w:r>
      <w:r w:rsidRPr="00015FE4">
        <w:rPr>
          <w:lang w:val="fr-CH"/>
        </w:rPr>
        <w:br/>
        <w:t xml:space="preserve">(e-mail: mbruins1964@gmail.com) </w:t>
      </w:r>
    </w:p>
    <w:p w:rsidR="00260E55" w:rsidRPr="001766FA" w:rsidRDefault="00260E55" w:rsidP="00260E55">
      <w:pPr>
        <w:pStyle w:val="plcountry"/>
        <w:rPr>
          <w:lang w:val="en-US"/>
        </w:rPr>
      </w:pPr>
      <w:r w:rsidRPr="001766FA">
        <w:rPr>
          <w:lang w:val="en-US"/>
        </w:rPr>
        <w:t>EUROSEEDS</w:t>
      </w:r>
    </w:p>
    <w:p w:rsidR="00260E55" w:rsidRPr="001766FA" w:rsidRDefault="00260E55" w:rsidP="00260E55">
      <w:pPr>
        <w:pStyle w:val="pldetails"/>
        <w:rPr>
          <w:lang w:val="en-US"/>
        </w:rPr>
      </w:pPr>
      <w:r w:rsidRPr="001766FA">
        <w:rPr>
          <w:lang w:val="en-US"/>
        </w:rPr>
        <w:t>Catherine Chepkurui LANGAT (Ms.), Technical Manager Plant Breeding and Variety Registration, Euroseeds, Bruxelles</w:t>
      </w:r>
      <w:r w:rsidRPr="001766FA">
        <w:rPr>
          <w:lang w:val="en-US"/>
        </w:rPr>
        <w:br/>
        <w:t>(e-mail: catherinelangat@euroseeds.eu)</w:t>
      </w:r>
    </w:p>
    <w:p w:rsidR="00260E55" w:rsidRPr="001766FA" w:rsidRDefault="00260E55" w:rsidP="00260E55">
      <w:pPr>
        <w:pStyle w:val="plcountry"/>
        <w:rPr>
          <w:lang w:val="en-US"/>
        </w:rPr>
      </w:pPr>
      <w:r w:rsidRPr="001766FA">
        <w:rPr>
          <w:lang w:val="en-US"/>
        </w:rPr>
        <w:t>INTERNATIONAL SEED FEDERATION (ISF)</w:t>
      </w:r>
    </w:p>
    <w:p w:rsidR="00260E55" w:rsidRPr="001766FA" w:rsidRDefault="00260E55" w:rsidP="00260E55">
      <w:pPr>
        <w:pStyle w:val="pldetails"/>
        <w:keepNext/>
        <w:rPr>
          <w:lang w:val="en-US"/>
        </w:rPr>
      </w:pPr>
      <w:r w:rsidRPr="001766FA">
        <w:rPr>
          <w:lang w:val="en-US"/>
        </w:rPr>
        <w:t>Szabolcs RUTHNER (Mr.), Regulatory Affairs Manager, International Seed Federation (ISF), Nyon</w:t>
      </w:r>
      <w:r w:rsidRPr="001766FA">
        <w:rPr>
          <w:lang w:val="en-US"/>
        </w:rPr>
        <w:br/>
        <w:t>(e-mail: s.ruthner@worldseed.org)</w:t>
      </w:r>
    </w:p>
    <w:p w:rsidR="00260E55" w:rsidRPr="001766FA" w:rsidRDefault="00260E55" w:rsidP="00260E55">
      <w:pPr>
        <w:pStyle w:val="pldetails"/>
        <w:keepNext/>
        <w:rPr>
          <w:lang w:val="en-US"/>
        </w:rPr>
      </w:pPr>
      <w:r w:rsidRPr="001766FA">
        <w:rPr>
          <w:lang w:val="en-US"/>
        </w:rPr>
        <w:t>Stevan MADJARAC (Mr.), Germplasm IP Lead, American Seed Trade Association (ASTA), Alexandria</w:t>
      </w:r>
      <w:r w:rsidRPr="001766FA">
        <w:rPr>
          <w:lang w:val="en-US"/>
        </w:rPr>
        <w:br/>
        <w:t>(e-mail: s.madjarac@gmail.com)</w:t>
      </w:r>
    </w:p>
    <w:p w:rsidR="00260E55" w:rsidRDefault="00260E55" w:rsidP="00260E55">
      <w:pPr>
        <w:pStyle w:val="plcountry"/>
        <w:rPr>
          <w:lang w:val="fr-CH"/>
        </w:rPr>
      </w:pPr>
      <w:r w:rsidRPr="003132AF">
        <w:rPr>
          <w:lang w:val="fr-CH"/>
        </w:rPr>
        <w:t xml:space="preserve">ASSOCIATION INTERNATIONALE DES PRODUCTEURS HORTICOLES (AIPH) / </w:t>
      </w:r>
      <w:r>
        <w:rPr>
          <w:lang w:val="fr-CH"/>
        </w:rPr>
        <w:br/>
      </w:r>
      <w:r w:rsidRPr="003132AF">
        <w:rPr>
          <w:lang w:val="fr-CH"/>
        </w:rPr>
        <w:t xml:space="preserve">INTERNATIONAL ASSOCIATION OF HORTICULTURAL PRODUCERS (AIPH) / </w:t>
      </w:r>
      <w:r w:rsidRPr="003132AF">
        <w:rPr>
          <w:lang w:val="fr-CH"/>
        </w:rPr>
        <w:br/>
        <w:t xml:space="preserve">INTERNATIONALER VERBAND DES ERWERBSGARTENBAUES (AIPH) / </w:t>
      </w:r>
      <w:r>
        <w:rPr>
          <w:lang w:val="fr-CH"/>
        </w:rPr>
        <w:br/>
      </w:r>
      <w:r w:rsidRPr="003132AF">
        <w:rPr>
          <w:lang w:val="fr-CH"/>
        </w:rPr>
        <w:t>ASOCIACIÓN INTERNACIONAL DE PRODUCTORES HORTÍCOLAS (AIPH)</w:t>
      </w:r>
    </w:p>
    <w:p w:rsidR="00260E55" w:rsidRPr="001766FA" w:rsidRDefault="00260E55" w:rsidP="00260E55">
      <w:pPr>
        <w:pStyle w:val="pldetails"/>
        <w:rPr>
          <w:lang w:val="en-US"/>
        </w:rPr>
      </w:pPr>
      <w:r w:rsidRPr="001766FA">
        <w:rPr>
          <w:lang w:val="en-US"/>
        </w:rPr>
        <w:t xml:space="preserve">Mia HOPPERUS BUMA (Ms.), Secretary, Committee for Novelty Protection, International Association of Horticultural Producers (AIPH), Oxfordshire </w:t>
      </w:r>
      <w:r w:rsidRPr="001766FA">
        <w:rPr>
          <w:lang w:val="en-US"/>
        </w:rPr>
        <w:br/>
        <w:t>(e-mail: info@miabuma.nl)</w:t>
      </w:r>
    </w:p>
    <w:p w:rsidR="00260E55" w:rsidRPr="001766FA" w:rsidRDefault="00260E55" w:rsidP="00260E55">
      <w:pPr>
        <w:pStyle w:val="plcountry"/>
        <w:rPr>
          <w:lang w:val="en-US"/>
        </w:rPr>
      </w:pPr>
      <w:r w:rsidRPr="001766FA">
        <w:rPr>
          <w:lang w:val="en-US"/>
        </w:rPr>
        <w:t xml:space="preserve">COMMUNAUTÉ INTERNATIONALE DES OBTENTEURS DE PLANTES ORNEMENTALES ET FRUITIÈRES À REPRODUCTION ASEXUÉE (CIOPORA) / </w:t>
      </w:r>
      <w:r w:rsidRPr="001766FA">
        <w:rPr>
          <w:lang w:val="en-US"/>
        </w:rPr>
        <w:br/>
        <w:t xml:space="preserve">INTERNATIONAL COMMUNITY OF BREEDERS OF ASEXUALLY REPRODUCED ORNAMENTAL AND FRUIT PLANTS (CIOPORA) / INTERNATIONALE GEMEINSCHAFT DER ZÜCHTER VEGETATIV VERMEHRBARER ZIERUND OBSTPFLANZEN (CIOPORA) / </w:t>
      </w:r>
      <w:r w:rsidRPr="001766FA">
        <w:rPr>
          <w:lang w:val="en-US"/>
        </w:rPr>
        <w:br/>
        <w:t>COMUNIDAD INTERNACIONAL DE OBTENTORES DE VARIEDADES ORNAMENTALES Y FRUTALES DE REPRODUCCIÓN ASEXUADA (CIOPORA)</w:t>
      </w:r>
    </w:p>
    <w:p w:rsidR="00260E55" w:rsidRPr="001766FA" w:rsidRDefault="00260E55" w:rsidP="00260E55">
      <w:pPr>
        <w:pStyle w:val="pldetails"/>
        <w:rPr>
          <w:lang w:val="en-US"/>
        </w:rPr>
      </w:pPr>
      <w:r w:rsidRPr="001766FA">
        <w:rPr>
          <w:lang w:val="en-US"/>
        </w:rPr>
        <w:t>Edgar KRIEGER (Mr.), Secretary General, International Community of Breeders of Asexually Reproduced Ornamental and Fruit Plants (CIOPORA), Hamburg</w:t>
      </w:r>
      <w:r w:rsidRPr="001766FA">
        <w:rPr>
          <w:lang w:val="en-US"/>
        </w:rPr>
        <w:br/>
        <w:t>(e-mail: edgar.krieger@ciopora.org)</w:t>
      </w:r>
    </w:p>
    <w:p w:rsidR="00260E55" w:rsidRPr="001766FA" w:rsidRDefault="00260E55" w:rsidP="00260E55">
      <w:pPr>
        <w:pStyle w:val="pldetails"/>
        <w:rPr>
          <w:lang w:val="en-US"/>
        </w:rPr>
      </w:pPr>
      <w:r w:rsidRPr="001766FA">
        <w:rPr>
          <w:lang w:val="en-US"/>
        </w:rPr>
        <w:t>Dominique THÉVENON (Mme), Board member, Treasurer - CIOPORA, AIGN®, International Community of Breeders of Asexually Reproduced Ornamental and Fruit Plants (CIOPORA), Hamburg</w:t>
      </w:r>
      <w:r w:rsidRPr="001766FA">
        <w:rPr>
          <w:lang w:val="en-US"/>
        </w:rPr>
        <w:br/>
        <w:t>(e-mail: t.dominique4@orange.fr)</w:t>
      </w:r>
    </w:p>
    <w:p w:rsidR="00260E55" w:rsidRDefault="00260E55" w:rsidP="00260E55">
      <w:pPr>
        <w:pStyle w:val="pldetails"/>
        <w:rPr>
          <w:lang w:val="fr-CH"/>
        </w:rPr>
      </w:pPr>
      <w:r w:rsidRPr="006A1A8A">
        <w:rPr>
          <w:lang w:val="fr-CH"/>
        </w:rPr>
        <w:t xml:space="preserve">Hélène JOURDAN (Mme), Secrétaire générale, Association des Obtenteurs Horticoles Européens (AOHE), Responsible COV &amp; Marques, Meilland International S.A., Le Luc en Provence </w:t>
      </w:r>
      <w:r>
        <w:rPr>
          <w:lang w:val="fr-CH"/>
        </w:rPr>
        <w:br/>
      </w:r>
      <w:r w:rsidRPr="006A1A8A">
        <w:rPr>
          <w:lang w:val="fr-CH"/>
        </w:rPr>
        <w:t xml:space="preserve">(e-mail: </w:t>
      </w:r>
      <w:r w:rsidRPr="00BE162D">
        <w:rPr>
          <w:lang w:val="fr-CH"/>
        </w:rPr>
        <w:t>licprot@meilland.com</w:t>
      </w:r>
      <w:r w:rsidRPr="006A1A8A">
        <w:rPr>
          <w:lang w:val="fr-CH"/>
        </w:rPr>
        <w:t>)</w:t>
      </w:r>
    </w:p>
    <w:p w:rsidR="00260E55" w:rsidRPr="002A6A9B" w:rsidRDefault="00260E55" w:rsidP="00260E55">
      <w:pPr>
        <w:pStyle w:val="pldetails"/>
        <w:rPr>
          <w:lang w:val="fr-CH"/>
        </w:rPr>
      </w:pPr>
      <w:r w:rsidRPr="002A6A9B">
        <w:rPr>
          <w:lang w:val="fr-CH"/>
        </w:rPr>
        <w:t xml:space="preserve">Maarten LEUNE (Mr.), Director, Royalty Administration International, 'S-Gravenzande </w:t>
      </w:r>
      <w:r w:rsidRPr="002A6A9B">
        <w:rPr>
          <w:lang w:val="fr-CH"/>
        </w:rPr>
        <w:br/>
        <w:t>(e-mail: maarten@royalty-adm-int.nl)</w:t>
      </w:r>
    </w:p>
    <w:p w:rsidR="00260E55" w:rsidRPr="00BE162D" w:rsidRDefault="00260E55" w:rsidP="00260E55">
      <w:pPr>
        <w:pStyle w:val="pldetails"/>
        <w:rPr>
          <w:lang w:val="fr-CH"/>
        </w:rPr>
      </w:pPr>
      <w:r w:rsidRPr="00C96649">
        <w:rPr>
          <w:lang w:val="fr-CH"/>
        </w:rPr>
        <w:t xml:space="preserve">Bruno ETAVARD (Mr.), Board Member, Meilland International, Le Luc en Provence </w:t>
      </w:r>
      <w:r w:rsidRPr="00C96649">
        <w:rPr>
          <w:lang w:val="fr-CH"/>
        </w:rPr>
        <w:br/>
        <w:t>(e-mail: bruno@meilland.com)</w:t>
      </w:r>
    </w:p>
    <w:p w:rsidR="00260E55" w:rsidRPr="001766FA" w:rsidRDefault="00260E55" w:rsidP="00260E55">
      <w:pPr>
        <w:pStyle w:val="pldetails"/>
        <w:rPr>
          <w:lang w:val="en-US"/>
        </w:rPr>
      </w:pPr>
      <w:r w:rsidRPr="001766FA">
        <w:rPr>
          <w:lang w:val="en-US"/>
        </w:rPr>
        <w:t xml:space="preserve">Emma BROWN (Ms.), Business Development Manager, the New Zealand Institute for Plant &amp; Food Research Limited, Havelock North </w:t>
      </w:r>
      <w:r w:rsidRPr="001766FA">
        <w:rPr>
          <w:lang w:val="en-US"/>
        </w:rPr>
        <w:br/>
        <w:t>(e-mail: emma.brown@plantandfood.co.nz)</w:t>
      </w:r>
    </w:p>
    <w:p w:rsidR="00260E55" w:rsidRPr="001766FA" w:rsidRDefault="00260E55" w:rsidP="00260E55">
      <w:pPr>
        <w:pStyle w:val="pldetails"/>
        <w:rPr>
          <w:lang w:val="en-US"/>
        </w:rPr>
      </w:pPr>
      <w:r w:rsidRPr="001766FA">
        <w:rPr>
          <w:lang w:val="en-US"/>
        </w:rPr>
        <w:t xml:space="preserve">Roberto MANNO (Mr.), Partner, Weblegal.it, Barletta </w:t>
      </w:r>
      <w:r w:rsidRPr="001766FA">
        <w:rPr>
          <w:lang w:val="en-US"/>
        </w:rPr>
        <w:br/>
        <w:t>(e-mail: r.manno@weblegal.it)</w:t>
      </w:r>
    </w:p>
    <w:p w:rsidR="00260E55" w:rsidRPr="001766FA" w:rsidRDefault="00260E55" w:rsidP="00260E55">
      <w:pPr>
        <w:pStyle w:val="plcountry"/>
        <w:rPr>
          <w:lang w:val="en-US"/>
        </w:rPr>
      </w:pPr>
      <w:r w:rsidRPr="001766FA">
        <w:rPr>
          <w:lang w:val="en-US"/>
        </w:rPr>
        <w:t xml:space="preserve">Association africaine du commerce des semences (AFSTA) / </w:t>
      </w:r>
      <w:r w:rsidRPr="001766FA">
        <w:rPr>
          <w:lang w:val="en-US"/>
        </w:rPr>
        <w:br/>
        <w:t xml:space="preserve">AFRICAN SEED TRADE ASSOCIATION (AFSTA) / </w:t>
      </w:r>
      <w:r w:rsidRPr="001766FA">
        <w:rPr>
          <w:lang w:val="en-US"/>
        </w:rPr>
        <w:br/>
        <w:t xml:space="preserve">Afrikanisches Saatguthandelsverband (AFSTA) / </w:t>
      </w:r>
      <w:r w:rsidRPr="001766FA">
        <w:rPr>
          <w:lang w:val="en-US"/>
        </w:rPr>
        <w:br/>
        <w:t>Asociación Africana de Comercio de Semillas (AFSTA)</w:t>
      </w:r>
    </w:p>
    <w:p w:rsidR="00260E55" w:rsidRPr="001766FA" w:rsidRDefault="00260E55" w:rsidP="00260E55">
      <w:pPr>
        <w:pStyle w:val="pldetails"/>
        <w:rPr>
          <w:lang w:val="en-US"/>
        </w:rPr>
      </w:pPr>
      <w:r w:rsidRPr="001766FA">
        <w:rPr>
          <w:lang w:val="en-US"/>
        </w:rPr>
        <w:t>Grace GITU (Ms), Technical Officer, Africa Seed Trade Association (AFSTA), Nairobi</w:t>
      </w:r>
      <w:r w:rsidRPr="001766FA">
        <w:rPr>
          <w:lang w:val="en-US"/>
        </w:rPr>
        <w:br/>
        <w:t>(e-mail: gitu@afsta.org)</w:t>
      </w:r>
    </w:p>
    <w:p w:rsidR="00260E55" w:rsidRPr="001766FA" w:rsidRDefault="00260E55" w:rsidP="00260E55">
      <w:pPr>
        <w:pStyle w:val="plheading"/>
        <w:rPr>
          <w:rFonts w:cs="Arial"/>
          <w:lang w:val="en-US"/>
        </w:rPr>
      </w:pPr>
      <w:r w:rsidRPr="001766FA">
        <w:rPr>
          <w:rFonts w:cs="Arial"/>
          <w:lang w:val="en-US"/>
        </w:rPr>
        <w:t>IV. BUREAU / OFFICER / VORSITZ / OFICINA</w:t>
      </w:r>
    </w:p>
    <w:p w:rsidR="00260E55" w:rsidRPr="001766FA" w:rsidRDefault="00260E55" w:rsidP="00260E55">
      <w:pPr>
        <w:pStyle w:val="pldetails"/>
        <w:rPr>
          <w:lang w:val="en-US"/>
        </w:rPr>
      </w:pPr>
      <w:r w:rsidRPr="001766FA">
        <w:rPr>
          <w:lang w:val="en-US"/>
        </w:rPr>
        <w:t>Kees VAN ETTEKOVEN, Chair</w:t>
      </w:r>
    </w:p>
    <w:p w:rsidR="00260E55" w:rsidRPr="001766FA" w:rsidRDefault="00260E55" w:rsidP="00260E55">
      <w:pPr>
        <w:pStyle w:val="pldetails"/>
        <w:rPr>
          <w:lang w:val="en-US"/>
        </w:rPr>
      </w:pPr>
      <w:r w:rsidRPr="001766FA">
        <w:rPr>
          <w:lang w:val="en-US"/>
        </w:rPr>
        <w:t>Nik HULSE, Vice-Chair</w:t>
      </w:r>
    </w:p>
    <w:p w:rsidR="00260E55" w:rsidRPr="001766FA" w:rsidRDefault="00260E55" w:rsidP="00260E55">
      <w:pPr>
        <w:pStyle w:val="plheading"/>
        <w:rPr>
          <w:rFonts w:cs="Arial"/>
          <w:lang w:val="en-US"/>
        </w:rPr>
      </w:pPr>
      <w:r w:rsidRPr="001766FA">
        <w:rPr>
          <w:rFonts w:cs="Arial"/>
          <w:lang w:val="en-US"/>
        </w:rPr>
        <w:t>V. BUREAU DE L’UPOV / OFFICE OF UPOV / BÜRO DER UPOV / OFICINA DE LA UPOV</w:t>
      </w:r>
    </w:p>
    <w:p w:rsidR="00260E55" w:rsidRPr="001766FA" w:rsidRDefault="00260E55" w:rsidP="00260E55">
      <w:pPr>
        <w:pStyle w:val="pldetails"/>
        <w:keepNext/>
        <w:keepLines w:val="0"/>
        <w:rPr>
          <w:lang w:val="en-US"/>
        </w:rPr>
      </w:pPr>
      <w:r w:rsidRPr="001766FA">
        <w:rPr>
          <w:lang w:val="en-US"/>
        </w:rPr>
        <w:t>Peter BUTTON (Mr.), Vice Secretary-General</w:t>
      </w:r>
    </w:p>
    <w:p w:rsidR="00260E55" w:rsidRPr="001766FA" w:rsidRDefault="00260E55" w:rsidP="00260E55">
      <w:pPr>
        <w:pStyle w:val="pldetails"/>
        <w:keepNext/>
        <w:keepLines w:val="0"/>
        <w:rPr>
          <w:lang w:val="en-US"/>
        </w:rPr>
      </w:pPr>
      <w:r w:rsidRPr="001766FA">
        <w:rPr>
          <w:lang w:val="en-US"/>
        </w:rPr>
        <w:t>Yolanda HUERTA (Ms.), Legal Counsel and Director of Training and Assistance</w:t>
      </w:r>
    </w:p>
    <w:p w:rsidR="00260E55" w:rsidRPr="001766FA" w:rsidRDefault="00260E55" w:rsidP="00260E55">
      <w:pPr>
        <w:pStyle w:val="pldetails"/>
        <w:keepLines w:val="0"/>
        <w:rPr>
          <w:lang w:val="en-US"/>
        </w:rPr>
      </w:pPr>
      <w:r w:rsidRPr="001766FA">
        <w:rPr>
          <w:lang w:val="en-US"/>
        </w:rPr>
        <w:t>Ben RIVOIRE (Mr.), Head of Seed Sector Cooperation and Regional Development (Africa, Arab Countries)</w:t>
      </w:r>
    </w:p>
    <w:p w:rsidR="00260E55" w:rsidRPr="001766FA" w:rsidRDefault="00260E55" w:rsidP="00260E55">
      <w:pPr>
        <w:pStyle w:val="pldetails"/>
        <w:keepLines w:val="0"/>
        <w:rPr>
          <w:lang w:val="en-US"/>
        </w:rPr>
      </w:pPr>
      <w:r w:rsidRPr="001766FA">
        <w:rPr>
          <w:lang w:val="en-US"/>
        </w:rPr>
        <w:t>Leontino TAVEIRA (Mr.), Head of Technical Affairs and Regional Development (Latin America, Caribbean)</w:t>
      </w:r>
    </w:p>
    <w:p w:rsidR="00260E55" w:rsidRPr="001766FA" w:rsidRDefault="00260E55" w:rsidP="00260E55">
      <w:pPr>
        <w:pStyle w:val="pldetails"/>
        <w:keepLines w:val="0"/>
        <w:rPr>
          <w:lang w:val="en-US"/>
        </w:rPr>
      </w:pPr>
      <w:r w:rsidRPr="001766FA">
        <w:rPr>
          <w:lang w:val="en-US"/>
        </w:rPr>
        <w:t>Hend MADHOUR (Ms.), IT Officer</w:t>
      </w:r>
    </w:p>
    <w:p w:rsidR="00260E55" w:rsidRPr="001766FA" w:rsidRDefault="00260E55" w:rsidP="00260E55">
      <w:pPr>
        <w:pStyle w:val="pldetails"/>
        <w:keepLines w:val="0"/>
        <w:rPr>
          <w:lang w:val="en-US"/>
        </w:rPr>
      </w:pPr>
      <w:r w:rsidRPr="001766FA">
        <w:rPr>
          <w:lang w:val="en-US"/>
        </w:rPr>
        <w:t>Tomochika MOTOMURA (Mr.), Technical/Regional Officer (Asia)</w:t>
      </w:r>
    </w:p>
    <w:p w:rsidR="00260E55" w:rsidRPr="001766FA" w:rsidRDefault="00260E55" w:rsidP="00260E55">
      <w:pPr>
        <w:pStyle w:val="pldetails"/>
        <w:keepLines w:val="0"/>
        <w:rPr>
          <w:lang w:val="en-US"/>
        </w:rPr>
      </w:pPr>
      <w:r w:rsidRPr="001766FA">
        <w:rPr>
          <w:lang w:val="en-US"/>
        </w:rPr>
        <w:t>Romy OERTEL (Ms.), Secretary II</w:t>
      </w:r>
    </w:p>
    <w:p w:rsidR="00260E55" w:rsidRPr="001766FA" w:rsidRDefault="00260E55" w:rsidP="00260E55">
      <w:pPr>
        <w:pStyle w:val="pldetails"/>
        <w:keepLines w:val="0"/>
        <w:rPr>
          <w:lang w:val="en-US"/>
        </w:rPr>
      </w:pPr>
      <w:r w:rsidRPr="001766FA">
        <w:rPr>
          <w:lang w:val="en-US"/>
        </w:rPr>
        <w:t>Wen WEN (Ms.), Fellow</w:t>
      </w:r>
    </w:p>
    <w:p w:rsidR="00260E55" w:rsidRPr="001766FA" w:rsidRDefault="00260E55" w:rsidP="00260E55">
      <w:pPr>
        <w:rPr>
          <w:lang w:val="en-US"/>
        </w:rPr>
      </w:pPr>
    </w:p>
    <w:p w:rsidR="00260E55" w:rsidRPr="001766FA" w:rsidRDefault="00260E55" w:rsidP="00260E55">
      <w:pPr>
        <w:rPr>
          <w:lang w:val="en-US"/>
        </w:rPr>
      </w:pPr>
    </w:p>
    <w:p w:rsidR="00260E55" w:rsidRPr="001766FA" w:rsidRDefault="00260E55" w:rsidP="00260E55">
      <w:pPr>
        <w:rPr>
          <w:lang w:val="en-US"/>
        </w:rPr>
      </w:pPr>
    </w:p>
    <w:p w:rsidR="00260E55" w:rsidRDefault="00260E55" w:rsidP="00260E55">
      <w:pPr>
        <w:jc w:val="right"/>
      </w:pPr>
      <w:r w:rsidRPr="00816DBD">
        <w:rPr>
          <w:rFonts w:cs="Arial"/>
        </w:rPr>
        <w:t>[L’annexe II suit /</w:t>
      </w:r>
      <w:r w:rsidRPr="00816DBD">
        <w:rPr>
          <w:rFonts w:cs="Arial"/>
        </w:rPr>
        <w:br/>
        <w:t>Annex II follows /</w:t>
      </w:r>
      <w:r w:rsidRPr="00816DBD">
        <w:rPr>
          <w:rFonts w:cs="Arial"/>
        </w:rPr>
        <w:br/>
        <w:t>Anlage II folgt /</w:t>
      </w:r>
      <w:r w:rsidRPr="00816DBD">
        <w:rPr>
          <w:rFonts w:cs="Arial"/>
        </w:rPr>
        <w:br/>
        <w:t>Sigue el Anexo II]</w:t>
      </w:r>
    </w:p>
    <w:p w:rsidR="00850B27" w:rsidRPr="00DB671B" w:rsidRDefault="00850B27" w:rsidP="00DB671B">
      <w:pPr>
        <w:jc w:val="left"/>
      </w:pPr>
    </w:p>
    <w:p w:rsidR="00850B27" w:rsidRPr="00DB671B" w:rsidRDefault="00850B27" w:rsidP="00DB671B">
      <w:pPr>
        <w:jc w:val="left"/>
      </w:pPr>
    </w:p>
    <w:p w:rsidR="00850B27" w:rsidRPr="00DB671B" w:rsidRDefault="00850B27" w:rsidP="00DB671B">
      <w:pPr>
        <w:jc w:val="right"/>
        <w:sectPr w:rsidR="00850B27" w:rsidRPr="00DB671B" w:rsidSect="00DB671B">
          <w:headerReference w:type="even" r:id="rId11"/>
          <w:headerReference w:type="default" r:id="rId12"/>
          <w:headerReference w:type="first" r:id="rId13"/>
          <w:pgSz w:w="11907" w:h="16840" w:code="9"/>
          <w:pgMar w:top="510" w:right="1134" w:bottom="1134" w:left="1134" w:header="510" w:footer="680" w:gutter="0"/>
          <w:pgNumType w:start="1"/>
          <w:cols w:space="720"/>
          <w:titlePg/>
        </w:sectPr>
      </w:pPr>
    </w:p>
    <w:p w:rsidR="00850B27" w:rsidRPr="00DB671B" w:rsidRDefault="00850B27" w:rsidP="00DB671B">
      <w:pPr>
        <w:pStyle w:val="Heading1"/>
        <w:jc w:val="center"/>
        <w:rPr>
          <w:rFonts w:cs="Arial"/>
          <w:snapToGrid w:val="0"/>
          <w:lang w:val="fr-FR"/>
        </w:rPr>
      </w:pPr>
      <w:r w:rsidRPr="00DB671B">
        <w:rPr>
          <w:rFonts w:cs="Arial"/>
          <w:snapToGrid w:val="0"/>
          <w:lang w:val="fr-FR"/>
        </w:rPr>
        <w:t>MODIFICATIONS APPORTÉES AUX PRINCIPES DIRECTEURS D’EXAMEN</w:t>
      </w:r>
    </w:p>
    <w:p w:rsidR="00850B27" w:rsidRPr="00DB671B" w:rsidRDefault="00850B27" w:rsidP="00DB671B">
      <w:pPr>
        <w:pStyle w:val="Heading1"/>
        <w:jc w:val="center"/>
        <w:rPr>
          <w:rFonts w:cs="Arial"/>
          <w:b/>
          <w:bCs/>
          <w:snapToGrid w:val="0"/>
          <w:lang w:val="fr-FR"/>
        </w:rPr>
      </w:pPr>
    </w:p>
    <w:p w:rsidR="00850B27" w:rsidRPr="00DB671B" w:rsidRDefault="00850B27" w:rsidP="00DB671B">
      <w:pPr>
        <w:pStyle w:val="Heading2"/>
        <w:rPr>
          <w:rFonts w:cs="Arial"/>
          <w:snapToGrid w:val="0"/>
          <w:lang w:val="fr-FR"/>
        </w:rPr>
      </w:pPr>
      <w:r w:rsidRPr="00DB671B">
        <w:rPr>
          <w:rFonts w:cs="Arial"/>
          <w:snapToGrid w:val="0"/>
          <w:lang w:val="fr-FR"/>
        </w:rPr>
        <w:t>Principes directeurs d’examen adoptés par correspondance</w:t>
      </w:r>
    </w:p>
    <w:p w:rsidR="00850B27" w:rsidRPr="00DB671B" w:rsidRDefault="00850B27" w:rsidP="00DB671B">
      <w:pPr>
        <w:rPr>
          <w:rFonts w:cs="Arial"/>
          <w:snapToGrid w:val="0"/>
        </w:rPr>
      </w:pPr>
    </w:p>
    <w:p w:rsidR="00850B27" w:rsidRPr="00DB671B" w:rsidRDefault="00850B27" w:rsidP="00DB671B">
      <w:pPr>
        <w:pStyle w:val="Heading3"/>
        <w:rPr>
          <w:lang w:val="fr-FR"/>
        </w:rPr>
      </w:pPr>
      <w:r w:rsidRPr="00DB671B">
        <w:rPr>
          <w:lang w:val="fr-FR"/>
        </w:rPr>
        <w:t>Révisions partielles</w:t>
      </w:r>
    </w:p>
    <w:p w:rsidR="00850B27" w:rsidRPr="00DB671B" w:rsidRDefault="00850B27" w:rsidP="00DB671B">
      <w:pPr>
        <w:rPr>
          <w:rFonts w:cs="Arial"/>
          <w:snapToGrid w:val="0"/>
        </w:rPr>
      </w:pPr>
    </w:p>
    <w:tbl>
      <w:tblPr>
        <w:tblW w:w="9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9670"/>
      </w:tblGrid>
      <w:tr w:rsidR="00DB671B" w:rsidRPr="00DB671B" w:rsidTr="00DB671B">
        <w:trPr>
          <w:cantSplit/>
          <w:jc w:val="center"/>
        </w:trPr>
        <w:tc>
          <w:tcPr>
            <w:tcW w:w="9670" w:type="dxa"/>
            <w:shd w:val="clear" w:color="auto" w:fill="D9D9D9"/>
            <w:vAlign w:val="center"/>
          </w:tcPr>
          <w:p w:rsidR="00850B27" w:rsidRPr="00DB671B" w:rsidRDefault="00850B27" w:rsidP="00DB671B">
            <w:pPr>
              <w:pStyle w:val="BodyText"/>
              <w:keepNext/>
              <w:tabs>
                <w:tab w:val="left" w:pos="1849"/>
              </w:tabs>
              <w:ind w:left="1803" w:hanging="1803"/>
              <w:jc w:val="left"/>
              <w:rPr>
                <w:rFonts w:cs="Arial"/>
                <w:b/>
                <w:iCs/>
              </w:rPr>
            </w:pPr>
            <w:r w:rsidRPr="00DB671B">
              <w:rPr>
                <w:rFonts w:cs="Arial"/>
                <w:b/>
                <w:iCs/>
              </w:rPr>
              <w:t>TC-EDC/Mar19/2</w:t>
            </w:r>
            <w:r w:rsidRPr="00DB671B">
              <w:rPr>
                <w:rFonts w:cs="Arial"/>
                <w:b/>
                <w:iCs/>
              </w:rPr>
              <w:tab/>
              <w:t>Révision partielle des principes directeurs d’examen de l’amandier</w:t>
            </w:r>
          </w:p>
        </w:tc>
      </w:tr>
    </w:tbl>
    <w:p w:rsidR="00850B27" w:rsidRPr="00DB671B" w:rsidRDefault="00850B27" w:rsidP="00DB671B">
      <w:pPr>
        <w:keepNext/>
        <w:jc w:val="center"/>
        <w:rPr>
          <w:rFonts w:cs="Arial"/>
          <w:b/>
          <w:bCs/>
          <w:snapToGrid w:val="0"/>
        </w:rPr>
      </w:pPr>
    </w:p>
    <w:p w:rsidR="00850B27" w:rsidRPr="00DB671B" w:rsidRDefault="00850B27" w:rsidP="00DB671B">
      <w:pPr>
        <w:keepNext/>
        <w:ind w:firstLine="567"/>
        <w:rPr>
          <w:rFonts w:cs="Arial"/>
        </w:rPr>
      </w:pPr>
      <w:r w:rsidRPr="00DB671B">
        <w:rPr>
          <w:rFonts w:cs="Arial"/>
        </w:rPr>
        <w:t>À sa réunion tenue à Genève le 26 mars 2019, le TC-EDC a examiné le document TC-EDC/Mar1</w:t>
      </w:r>
      <w:r w:rsidR="00640D29">
        <w:rPr>
          <w:rFonts w:cs="Arial"/>
        </w:rPr>
        <w:t>9</w:t>
      </w:r>
      <w:r w:rsidRPr="00DB671B">
        <w:rPr>
          <w:rFonts w:cs="Arial"/>
        </w:rPr>
        <w:t>/2 et a formulé les recommandations présentées dans le tableau ci-dessous.</w:t>
      </w:r>
    </w:p>
    <w:p w:rsidR="00850B27" w:rsidRPr="00DB671B" w:rsidRDefault="00850B27" w:rsidP="00DB671B">
      <w:pPr>
        <w:keepNext/>
        <w:autoSpaceDE w:val="0"/>
        <w:autoSpaceDN w:val="0"/>
        <w:adjustRightInd w:val="0"/>
        <w:ind w:firstLine="567"/>
        <w:rPr>
          <w:rFonts w:cs="Arial"/>
        </w:rPr>
      </w:pPr>
    </w:p>
    <w:p w:rsidR="00850B27" w:rsidRPr="00DB671B" w:rsidRDefault="00850B27" w:rsidP="00DB671B">
      <w:pPr>
        <w:autoSpaceDE w:val="0"/>
        <w:autoSpaceDN w:val="0"/>
        <w:adjustRightInd w:val="0"/>
        <w:ind w:firstLine="567"/>
        <w:rPr>
          <w:rFonts w:cs="Arial"/>
        </w:rPr>
      </w:pPr>
      <w:r w:rsidRPr="00DB671B">
        <w:rPr>
          <w:rFonts w:cs="Arial"/>
        </w:rPr>
        <w:t xml:space="preserve">Le TC-EDC est convenu, sous réserve de l’approbation par l’expert principal des recommandations formulées, que la révision partielle des principes directeurs d’examen de l’amandier soit communiquée au TC pour adoption par correspondance. </w:t>
      </w:r>
    </w:p>
    <w:p w:rsidR="00850B27" w:rsidRPr="00DB671B" w:rsidRDefault="00850B27" w:rsidP="00DB671B">
      <w:pPr>
        <w:keepNext/>
        <w:jc w:val="center"/>
        <w:rPr>
          <w:rFonts w:cs="Arial"/>
          <w:b/>
          <w:bCs/>
          <w:snapToGrid w:val="0"/>
        </w:rPr>
      </w:pPr>
    </w:p>
    <w:tbl>
      <w:tblPr>
        <w:tblW w:w="96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086"/>
      </w:tblGrid>
      <w:tr w:rsidR="00DB671B" w:rsidRPr="00DB671B" w:rsidTr="00DB671B">
        <w:trPr>
          <w:cantSplit/>
        </w:trPr>
        <w:tc>
          <w:tcPr>
            <w:tcW w:w="1573" w:type="dxa"/>
          </w:tcPr>
          <w:p w:rsidR="00850B27" w:rsidRPr="00DB671B" w:rsidRDefault="00850B27" w:rsidP="00DB671B">
            <w:pPr>
              <w:jc w:val="left"/>
              <w:rPr>
                <w:rFonts w:cs="Arial"/>
              </w:rPr>
            </w:pPr>
            <w:r w:rsidRPr="00DB671B">
              <w:rPr>
                <w:rFonts w:cs="Arial"/>
              </w:rPr>
              <w:t>9.</w:t>
            </w:r>
          </w:p>
        </w:tc>
        <w:tc>
          <w:tcPr>
            <w:tcW w:w="8086" w:type="dxa"/>
          </w:tcPr>
          <w:p w:rsidR="00850B27" w:rsidRPr="00DB671B" w:rsidRDefault="00850B27" w:rsidP="00DB671B">
            <w:pPr>
              <w:keepNext/>
              <w:rPr>
                <w:rFonts w:cs="Arial"/>
              </w:rPr>
            </w:pPr>
            <w:r w:rsidRPr="00DB671B">
              <w:rPr>
                <w:rFonts w:cs="Arial"/>
              </w:rPr>
              <w:t xml:space="preserve">Modifier selon la norme rédactionnelle </w:t>
            </w:r>
          </w:p>
        </w:tc>
      </w:tr>
    </w:tbl>
    <w:p w:rsidR="00850B27" w:rsidRPr="00DB671B" w:rsidRDefault="00850B27" w:rsidP="00DB671B">
      <w:pPr>
        <w:jc w:val="center"/>
        <w:rPr>
          <w:rFonts w:cs="Arial"/>
          <w:b/>
          <w:bCs/>
          <w:snapToGrid w:val="0"/>
        </w:rPr>
      </w:pPr>
    </w:p>
    <w:p w:rsidR="00850B27" w:rsidRPr="00DB671B" w:rsidRDefault="00850B27" w:rsidP="00DB671B">
      <w:pPr>
        <w:jc w:val="center"/>
        <w:rPr>
          <w:rFonts w:cs="Arial"/>
          <w:b/>
          <w:bCs/>
          <w:snapToGrid w:val="0"/>
        </w:rPr>
      </w:pPr>
    </w:p>
    <w:tbl>
      <w:tblPr>
        <w:tblW w:w="9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9670"/>
      </w:tblGrid>
      <w:tr w:rsidR="00DB671B" w:rsidRPr="00DB671B" w:rsidTr="00DB671B">
        <w:trPr>
          <w:cantSplit/>
          <w:jc w:val="center"/>
        </w:trPr>
        <w:tc>
          <w:tcPr>
            <w:tcW w:w="9670" w:type="dxa"/>
            <w:shd w:val="clear" w:color="auto" w:fill="D9D9D9"/>
            <w:vAlign w:val="center"/>
          </w:tcPr>
          <w:p w:rsidR="00850B27" w:rsidRPr="00DB671B" w:rsidRDefault="00850B27" w:rsidP="00DB671B">
            <w:pPr>
              <w:pStyle w:val="BodyText"/>
              <w:keepNext/>
              <w:tabs>
                <w:tab w:val="left" w:pos="1849"/>
              </w:tabs>
              <w:ind w:left="1803" w:hanging="1803"/>
              <w:jc w:val="left"/>
              <w:rPr>
                <w:rFonts w:cs="Arial"/>
                <w:b/>
                <w:iCs/>
              </w:rPr>
            </w:pPr>
            <w:r w:rsidRPr="00DB671B">
              <w:rPr>
                <w:rFonts w:cs="Arial"/>
                <w:b/>
                <w:iCs/>
              </w:rPr>
              <w:t>TC-EDC/Mar19/3</w:t>
            </w:r>
            <w:r w:rsidRPr="00DB671B">
              <w:rPr>
                <w:rFonts w:cs="Arial"/>
                <w:b/>
                <w:iCs/>
              </w:rPr>
              <w:tab/>
              <w:t>Révision partielle des principes directeurs d’examen du cocotier</w:t>
            </w:r>
          </w:p>
        </w:tc>
      </w:tr>
    </w:tbl>
    <w:p w:rsidR="00850B27" w:rsidRPr="00DB671B" w:rsidRDefault="00850B27" w:rsidP="00DB671B">
      <w:pPr>
        <w:jc w:val="center"/>
        <w:rPr>
          <w:rFonts w:cs="Arial"/>
          <w:b/>
          <w:bCs/>
          <w:snapToGrid w:val="0"/>
        </w:rPr>
      </w:pPr>
    </w:p>
    <w:p w:rsidR="00850B27" w:rsidRPr="00DB671B" w:rsidRDefault="00850B27" w:rsidP="00DB671B">
      <w:pPr>
        <w:autoSpaceDE w:val="0"/>
        <w:autoSpaceDN w:val="0"/>
        <w:adjustRightInd w:val="0"/>
        <w:ind w:firstLine="567"/>
        <w:rPr>
          <w:rFonts w:cs="Arial"/>
        </w:rPr>
      </w:pPr>
      <w:r w:rsidRPr="00DB671B">
        <w:rPr>
          <w:rFonts w:cs="Arial"/>
        </w:rPr>
        <w:t>À sa réunion tenue à Genève le 26 mars 2019, le TC-EDC, a examiné le document </w:t>
      </w:r>
      <w:r w:rsidRPr="00DB671B">
        <w:rPr>
          <w:rFonts w:cs="Arial"/>
          <w:caps/>
        </w:rPr>
        <w:t>TC</w:t>
      </w:r>
      <w:r w:rsidRPr="00DB671B">
        <w:rPr>
          <w:rFonts w:cs="Arial"/>
          <w:caps/>
        </w:rPr>
        <w:noBreakHyphen/>
        <w:t>EDC/M</w:t>
      </w:r>
      <w:r w:rsidRPr="00DB671B">
        <w:rPr>
          <w:rFonts w:cs="Arial"/>
        </w:rPr>
        <w:t>ar</w:t>
      </w:r>
      <w:r w:rsidRPr="00DB671B">
        <w:rPr>
          <w:rFonts w:cs="Arial"/>
          <w:caps/>
        </w:rPr>
        <w:t>1</w:t>
      </w:r>
      <w:r w:rsidR="00640D29">
        <w:rPr>
          <w:rFonts w:cs="Arial"/>
          <w:caps/>
        </w:rPr>
        <w:t>9</w:t>
      </w:r>
      <w:r w:rsidRPr="00DB671B">
        <w:rPr>
          <w:rFonts w:cs="Arial"/>
          <w:caps/>
        </w:rPr>
        <w:t>/3</w:t>
      </w:r>
      <w:r w:rsidRPr="00DB671B">
        <w:rPr>
          <w:rFonts w:cs="Arial"/>
        </w:rPr>
        <w:t xml:space="preserve"> et est convenu que la révision partielle des principes directeurs d’examen du cocotier soit communiquée au TC pour adoption par correspondance. </w:t>
      </w:r>
    </w:p>
    <w:p w:rsidR="00850B27" w:rsidRPr="00DB671B" w:rsidRDefault="00850B27" w:rsidP="00DB671B">
      <w:pPr>
        <w:jc w:val="center"/>
        <w:rPr>
          <w:rFonts w:cs="Arial"/>
          <w:b/>
          <w:bCs/>
          <w:snapToGrid w:val="0"/>
        </w:rPr>
      </w:pPr>
    </w:p>
    <w:p w:rsidR="00850B27" w:rsidRPr="00DB671B" w:rsidRDefault="00850B27" w:rsidP="00DB671B">
      <w:pPr>
        <w:jc w:val="center"/>
        <w:rPr>
          <w:rFonts w:cs="Arial"/>
          <w:b/>
          <w:bCs/>
          <w:snapToGrid w:val="0"/>
        </w:rPr>
      </w:pPr>
    </w:p>
    <w:tbl>
      <w:tblPr>
        <w:tblW w:w="9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9670"/>
      </w:tblGrid>
      <w:tr w:rsidR="00DB671B" w:rsidRPr="00DB671B" w:rsidTr="00DB671B">
        <w:trPr>
          <w:cantSplit/>
          <w:jc w:val="center"/>
        </w:trPr>
        <w:tc>
          <w:tcPr>
            <w:tcW w:w="9670" w:type="dxa"/>
            <w:shd w:val="clear" w:color="auto" w:fill="D9D9D9"/>
            <w:vAlign w:val="center"/>
          </w:tcPr>
          <w:p w:rsidR="00850B27" w:rsidRPr="00DB671B" w:rsidRDefault="00850B27" w:rsidP="00DB671B">
            <w:pPr>
              <w:pStyle w:val="BodyText"/>
              <w:keepNext/>
              <w:tabs>
                <w:tab w:val="left" w:pos="1849"/>
              </w:tabs>
              <w:ind w:left="1803" w:hanging="1803"/>
              <w:jc w:val="left"/>
              <w:rPr>
                <w:rFonts w:cs="Arial"/>
                <w:b/>
                <w:iCs/>
              </w:rPr>
            </w:pPr>
            <w:r w:rsidRPr="00DB671B">
              <w:rPr>
                <w:rFonts w:cs="Arial"/>
                <w:b/>
                <w:iCs/>
              </w:rPr>
              <w:t>TC-EDC/Mar19/4</w:t>
            </w:r>
            <w:r w:rsidRPr="00DB671B">
              <w:rPr>
                <w:rFonts w:cs="Arial"/>
                <w:b/>
                <w:iCs/>
              </w:rPr>
              <w:tab/>
              <w:t>Révision partielle des principes directeurs d’examen de l’actinidia</w:t>
            </w:r>
          </w:p>
        </w:tc>
      </w:tr>
    </w:tbl>
    <w:p w:rsidR="00850B27" w:rsidRPr="00DB671B" w:rsidRDefault="00850B27" w:rsidP="00DB671B">
      <w:pPr>
        <w:keepNext/>
        <w:jc w:val="center"/>
        <w:rPr>
          <w:rFonts w:cs="Arial"/>
          <w:b/>
          <w:bCs/>
          <w:snapToGrid w:val="0"/>
        </w:rPr>
      </w:pPr>
    </w:p>
    <w:p w:rsidR="00850B27" w:rsidRPr="00DB671B" w:rsidRDefault="00850B27" w:rsidP="00DB671B">
      <w:pPr>
        <w:keepNext/>
        <w:ind w:firstLine="567"/>
        <w:rPr>
          <w:rFonts w:cs="Arial"/>
        </w:rPr>
      </w:pPr>
      <w:r w:rsidRPr="00DB671B">
        <w:rPr>
          <w:rFonts w:cs="Arial"/>
        </w:rPr>
        <w:t>À sa réunion tenue à Genève le 26 mars 2019, le TC-EDC a examiné le document TC-EDC/Mar1</w:t>
      </w:r>
      <w:r w:rsidR="00640D29">
        <w:rPr>
          <w:rFonts w:cs="Arial"/>
        </w:rPr>
        <w:t>9</w:t>
      </w:r>
      <w:r w:rsidRPr="00DB671B">
        <w:rPr>
          <w:rFonts w:cs="Arial"/>
        </w:rPr>
        <w:t>/4 et a formulé les recommandations présentées dans le tableau ci-dessous.</w:t>
      </w:r>
    </w:p>
    <w:p w:rsidR="00850B27" w:rsidRPr="00DB671B" w:rsidRDefault="00850B27" w:rsidP="00DB671B">
      <w:pPr>
        <w:keepNext/>
        <w:autoSpaceDE w:val="0"/>
        <w:autoSpaceDN w:val="0"/>
        <w:adjustRightInd w:val="0"/>
        <w:ind w:firstLine="567"/>
        <w:rPr>
          <w:rFonts w:cs="Arial"/>
        </w:rPr>
      </w:pPr>
    </w:p>
    <w:p w:rsidR="00850B27" w:rsidRPr="00DB671B" w:rsidRDefault="00850B27" w:rsidP="00DB671B">
      <w:pPr>
        <w:autoSpaceDE w:val="0"/>
        <w:autoSpaceDN w:val="0"/>
        <w:adjustRightInd w:val="0"/>
        <w:ind w:firstLine="567"/>
        <w:rPr>
          <w:rFonts w:cs="Arial"/>
        </w:rPr>
      </w:pPr>
      <w:r w:rsidRPr="00DB671B">
        <w:rPr>
          <w:rFonts w:cs="Arial"/>
        </w:rPr>
        <w:t>Le TC-EDC est convenu, sous réserve de l’approbation par l’expert principal des recommandations formulées, que la révision partielle des principes directeurs d’examen de l’actinidia soit communiquée au TC pour adoption par correspondance.</w:t>
      </w:r>
    </w:p>
    <w:p w:rsidR="00850B27" w:rsidRPr="00DB671B" w:rsidRDefault="00850B27" w:rsidP="00DB671B">
      <w:pPr>
        <w:keepNext/>
        <w:jc w:val="center"/>
        <w:rPr>
          <w:rFonts w:cs="Arial"/>
          <w:b/>
          <w:bCs/>
          <w:snapToGrid w:val="0"/>
        </w:rPr>
      </w:pPr>
    </w:p>
    <w:tbl>
      <w:tblPr>
        <w:tblW w:w="96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086"/>
      </w:tblGrid>
      <w:tr w:rsidR="00DB671B" w:rsidRPr="00DB671B" w:rsidTr="00DB671B">
        <w:trPr>
          <w:cantSplit/>
        </w:trPr>
        <w:tc>
          <w:tcPr>
            <w:tcW w:w="1573" w:type="dxa"/>
          </w:tcPr>
          <w:p w:rsidR="00850B27" w:rsidRPr="00DB671B" w:rsidRDefault="00850B27" w:rsidP="00DB671B">
            <w:pPr>
              <w:jc w:val="left"/>
              <w:rPr>
                <w:rFonts w:cs="Arial"/>
              </w:rPr>
            </w:pPr>
            <w:r w:rsidRPr="00DB671B">
              <w:rPr>
                <w:rFonts w:cs="Arial"/>
              </w:rPr>
              <w:t>Nouveau car. 29</w:t>
            </w:r>
          </w:p>
        </w:tc>
        <w:tc>
          <w:tcPr>
            <w:tcW w:w="8086" w:type="dxa"/>
          </w:tcPr>
          <w:p w:rsidR="00850B27" w:rsidRPr="00DB671B" w:rsidRDefault="00850B27" w:rsidP="00DB671B">
            <w:pPr>
              <w:keepNext/>
              <w:rPr>
                <w:rFonts w:cs="Arial"/>
              </w:rPr>
            </w:pPr>
            <w:r w:rsidRPr="00DB671B">
              <w:rPr>
                <w:rFonts w:cs="Arial"/>
              </w:rPr>
              <w:t>supprimer “(2)” (voir les variétés indiquées à titre d’exemple approuvées par le TWF, le caractère ne s’applique pas uniquement aux variétés du groupe B)</w:t>
            </w:r>
          </w:p>
        </w:tc>
      </w:tr>
    </w:tbl>
    <w:p w:rsidR="00850B27" w:rsidRPr="00DB671B" w:rsidRDefault="00850B27" w:rsidP="00DB671B">
      <w:pPr>
        <w:jc w:val="center"/>
        <w:rPr>
          <w:rFonts w:cs="Arial"/>
          <w:b/>
          <w:bCs/>
          <w:snapToGrid w:val="0"/>
        </w:rPr>
      </w:pPr>
    </w:p>
    <w:p w:rsidR="00850B27" w:rsidRPr="00DB671B" w:rsidRDefault="00850B27" w:rsidP="00DB671B">
      <w:pPr>
        <w:jc w:val="center"/>
        <w:rPr>
          <w:rFonts w:cs="Arial"/>
          <w:b/>
          <w:bCs/>
          <w:snapToGrid w:val="0"/>
        </w:rPr>
      </w:pPr>
    </w:p>
    <w:tbl>
      <w:tblPr>
        <w:tblW w:w="9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9670"/>
      </w:tblGrid>
      <w:tr w:rsidR="00DB671B" w:rsidRPr="00DB671B" w:rsidTr="00DB671B">
        <w:trPr>
          <w:cantSplit/>
          <w:jc w:val="center"/>
        </w:trPr>
        <w:tc>
          <w:tcPr>
            <w:tcW w:w="9670" w:type="dxa"/>
            <w:shd w:val="clear" w:color="auto" w:fill="D9D9D9"/>
            <w:vAlign w:val="center"/>
          </w:tcPr>
          <w:p w:rsidR="00850B27" w:rsidRPr="00DB671B" w:rsidRDefault="00850B27" w:rsidP="00DB671B">
            <w:pPr>
              <w:pStyle w:val="BodyText"/>
              <w:keepNext/>
              <w:tabs>
                <w:tab w:val="left" w:pos="1849"/>
              </w:tabs>
              <w:ind w:left="1803" w:hanging="1803"/>
              <w:jc w:val="left"/>
              <w:rPr>
                <w:rFonts w:cs="Arial"/>
                <w:b/>
                <w:iCs/>
              </w:rPr>
            </w:pPr>
            <w:r w:rsidRPr="00DB671B">
              <w:rPr>
                <w:rFonts w:cs="Arial"/>
                <w:b/>
                <w:iCs/>
              </w:rPr>
              <w:t>TC-EDC/Mar19/5</w:t>
            </w:r>
            <w:r w:rsidRPr="00DB671B">
              <w:rPr>
                <w:rFonts w:cs="Arial"/>
                <w:b/>
                <w:iCs/>
              </w:rPr>
              <w:tab/>
              <w:t>Révision partielle des principes directeurs d’examen de la laitue</w:t>
            </w:r>
          </w:p>
        </w:tc>
      </w:tr>
    </w:tbl>
    <w:p w:rsidR="00850B27" w:rsidRPr="00DB671B" w:rsidRDefault="00850B27" w:rsidP="00DB671B">
      <w:pPr>
        <w:keepNext/>
        <w:jc w:val="center"/>
        <w:rPr>
          <w:rFonts w:cs="Arial"/>
          <w:b/>
          <w:bCs/>
          <w:snapToGrid w:val="0"/>
        </w:rPr>
      </w:pPr>
    </w:p>
    <w:p w:rsidR="00850B27" w:rsidRPr="00DB671B" w:rsidRDefault="00850B27" w:rsidP="00DB671B">
      <w:pPr>
        <w:keepNext/>
        <w:ind w:firstLine="567"/>
        <w:rPr>
          <w:rFonts w:cs="Arial"/>
        </w:rPr>
      </w:pPr>
      <w:r w:rsidRPr="00DB671B">
        <w:rPr>
          <w:rFonts w:cs="Arial"/>
        </w:rPr>
        <w:t>À sa réunion tenue à Genève le 26 mars 2019, le TC-EDC a examiné le document TC-EDC/Mar1</w:t>
      </w:r>
      <w:r w:rsidR="00640D29">
        <w:rPr>
          <w:rFonts w:cs="Arial"/>
        </w:rPr>
        <w:t>9</w:t>
      </w:r>
      <w:r w:rsidRPr="00DB671B">
        <w:rPr>
          <w:rFonts w:cs="Arial"/>
        </w:rPr>
        <w:t>/5 et a formulé les recommandations présentées dans le tableau ci-dessous.</w:t>
      </w:r>
    </w:p>
    <w:p w:rsidR="00850B27" w:rsidRPr="00DB671B" w:rsidRDefault="00850B27" w:rsidP="00DB671B">
      <w:pPr>
        <w:keepNext/>
        <w:autoSpaceDE w:val="0"/>
        <w:autoSpaceDN w:val="0"/>
        <w:adjustRightInd w:val="0"/>
        <w:ind w:firstLine="567"/>
        <w:rPr>
          <w:rFonts w:cs="Arial"/>
        </w:rPr>
      </w:pPr>
    </w:p>
    <w:p w:rsidR="00850B27" w:rsidRPr="00DB671B" w:rsidRDefault="00850B27" w:rsidP="00DB671B">
      <w:pPr>
        <w:autoSpaceDE w:val="0"/>
        <w:autoSpaceDN w:val="0"/>
        <w:adjustRightInd w:val="0"/>
        <w:ind w:firstLine="567"/>
        <w:rPr>
          <w:rFonts w:cs="Arial"/>
        </w:rPr>
      </w:pPr>
      <w:r w:rsidRPr="00DB671B">
        <w:rPr>
          <w:rFonts w:cs="Arial"/>
        </w:rPr>
        <w:t>Le TC-EDC est convenu, sous réserve de l’approbation par l’expert principal des recommandations formulées, que la révision partielle des principes directeurs d’examen de la laitue soit communiquée au TC pour adoption par correspondance.</w:t>
      </w:r>
    </w:p>
    <w:p w:rsidR="00850B27" w:rsidRPr="00DB671B" w:rsidRDefault="00850B27" w:rsidP="00DB671B">
      <w:pPr>
        <w:keepNext/>
        <w:jc w:val="center"/>
        <w:rPr>
          <w:rFonts w:cs="Arial"/>
          <w:b/>
          <w:bCs/>
          <w:snapToGrid w:val="0"/>
        </w:rPr>
      </w:pPr>
    </w:p>
    <w:tbl>
      <w:tblPr>
        <w:tblW w:w="96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086"/>
      </w:tblGrid>
      <w:tr w:rsidR="00DB671B" w:rsidRPr="00DB671B" w:rsidTr="00DB671B">
        <w:trPr>
          <w:cantSplit/>
        </w:trPr>
        <w:tc>
          <w:tcPr>
            <w:tcW w:w="1573" w:type="dxa"/>
          </w:tcPr>
          <w:p w:rsidR="00850B27" w:rsidRPr="00DB671B" w:rsidRDefault="00850B27" w:rsidP="00DB671B">
            <w:pPr>
              <w:jc w:val="left"/>
              <w:rPr>
                <w:rFonts w:cs="Arial"/>
              </w:rPr>
            </w:pPr>
            <w:r w:rsidRPr="00DB671B">
              <w:rPr>
                <w:rFonts w:cs="Arial"/>
              </w:rPr>
              <w:t>Ad. 38 à 52, 8.2</w:t>
            </w:r>
          </w:p>
        </w:tc>
        <w:tc>
          <w:tcPr>
            <w:tcW w:w="8086" w:type="dxa"/>
          </w:tcPr>
          <w:p w:rsidR="00850B27" w:rsidRPr="00DB671B" w:rsidRDefault="00850B27" w:rsidP="00DB671B">
            <w:pPr>
              <w:keepNext/>
              <w:rPr>
                <w:rFonts w:cs="Arial"/>
              </w:rPr>
            </w:pPr>
            <w:r w:rsidRPr="00DB671B">
              <w:rPr>
                <w:rFonts w:cs="Arial"/>
              </w:rPr>
              <w:t>Modifier le libellé</w:t>
            </w:r>
          </w:p>
          <w:p w:rsidR="00850B27" w:rsidRPr="00DB671B" w:rsidRDefault="00850B27" w:rsidP="00DB671B">
            <w:pPr>
              <w:keepNext/>
              <w:rPr>
                <w:rFonts w:cs="Arial"/>
              </w:rPr>
            </w:pPr>
            <w:r w:rsidRPr="00DB671B">
              <w:rPr>
                <w:rFonts w:cs="Arial"/>
              </w:rPr>
              <w:t>Variété sensible, par exemple Green Towers</w:t>
            </w:r>
          </w:p>
          <w:p w:rsidR="00850B27" w:rsidRPr="00DB671B" w:rsidRDefault="00850B27" w:rsidP="00DB671B">
            <w:pPr>
              <w:keepNext/>
              <w:rPr>
                <w:rFonts w:cs="Arial"/>
              </w:rPr>
            </w:pPr>
            <w:r w:rsidRPr="00DB671B">
              <w:rPr>
                <w:rFonts w:cs="Arial"/>
                <w:highlight w:val="lightGray"/>
                <w:u w:val="single"/>
              </w:rPr>
              <w:t>P</w:t>
            </w:r>
            <w:r w:rsidRPr="00DB671B">
              <w:rPr>
                <w:rFonts w:cs="Arial"/>
              </w:rPr>
              <w:t>our les isolats plus élevés…”</w:t>
            </w:r>
          </w:p>
        </w:tc>
      </w:tr>
      <w:tr w:rsidR="00DB671B" w:rsidRPr="00DB671B" w:rsidTr="00DB671B">
        <w:trPr>
          <w:cantSplit/>
        </w:trPr>
        <w:tc>
          <w:tcPr>
            <w:tcW w:w="1573" w:type="dxa"/>
          </w:tcPr>
          <w:p w:rsidR="00850B27" w:rsidRPr="00DB671B" w:rsidRDefault="00850B27" w:rsidP="00DB671B">
            <w:pPr>
              <w:jc w:val="left"/>
              <w:rPr>
                <w:rFonts w:cs="Arial"/>
              </w:rPr>
            </w:pPr>
            <w:r w:rsidRPr="00DB671B">
              <w:rPr>
                <w:rFonts w:cs="Arial"/>
              </w:rPr>
              <w:t>Ad. 38 à 52, 10.2</w:t>
            </w:r>
          </w:p>
        </w:tc>
        <w:tc>
          <w:tcPr>
            <w:tcW w:w="8086" w:type="dxa"/>
          </w:tcPr>
          <w:p w:rsidR="00850B27" w:rsidRPr="00DB671B" w:rsidRDefault="00850B27" w:rsidP="00DB671B">
            <w:pPr>
              <w:keepNext/>
              <w:rPr>
                <w:rFonts w:cs="Arial"/>
              </w:rPr>
            </w:pPr>
            <w:r w:rsidRPr="00DB671B">
              <w:rPr>
                <w:rFonts w:cs="Arial"/>
              </w:rPr>
              <w:t>Modifier le libellé comme suit : 3 x 10</w:t>
            </w:r>
            <w:r w:rsidRPr="00DB671B">
              <w:rPr>
                <w:rFonts w:cs="Arial"/>
                <w:vertAlign w:val="superscript"/>
              </w:rPr>
              <w:t>4</w:t>
            </w:r>
            <w:r w:rsidRPr="00DB671B">
              <w:rPr>
                <w:rFonts w:cs="Arial"/>
              </w:rPr>
              <w:t xml:space="preserve"> – 1 x 10</w:t>
            </w:r>
            <w:r w:rsidRPr="00DB671B">
              <w:rPr>
                <w:rFonts w:cs="Arial"/>
                <w:vertAlign w:val="superscript"/>
              </w:rPr>
              <w:t>5</w:t>
            </w:r>
          </w:p>
          <w:p w:rsidR="00850B27" w:rsidRPr="00DB671B" w:rsidRDefault="00850B27" w:rsidP="00DB671B">
            <w:pPr>
              <w:keepNext/>
              <w:rPr>
                <w:rFonts w:cs="Arial"/>
              </w:rPr>
            </w:pPr>
          </w:p>
        </w:tc>
      </w:tr>
      <w:tr w:rsidR="00DB671B" w:rsidRPr="00DB671B" w:rsidTr="00DB671B">
        <w:trPr>
          <w:cantSplit/>
        </w:trPr>
        <w:tc>
          <w:tcPr>
            <w:tcW w:w="1573" w:type="dxa"/>
          </w:tcPr>
          <w:p w:rsidR="00850B27" w:rsidRPr="00DB671B" w:rsidRDefault="00850B27" w:rsidP="00DB671B">
            <w:pPr>
              <w:jc w:val="left"/>
              <w:rPr>
                <w:rFonts w:cs="Arial"/>
              </w:rPr>
            </w:pPr>
            <w:r w:rsidRPr="00DB671B">
              <w:rPr>
                <w:rFonts w:cs="Arial"/>
              </w:rPr>
              <w:t>Ad. 38 à 52, pour référence</w:t>
            </w:r>
          </w:p>
        </w:tc>
        <w:tc>
          <w:tcPr>
            <w:tcW w:w="8086" w:type="dxa"/>
          </w:tcPr>
          <w:p w:rsidR="00850B27" w:rsidRPr="00DB671B" w:rsidRDefault="00850B27" w:rsidP="00DB671B">
            <w:pPr>
              <w:keepNext/>
              <w:rPr>
                <w:rFonts w:cs="Arial"/>
              </w:rPr>
            </w:pPr>
            <w:r w:rsidRPr="00DB671B">
              <w:rPr>
                <w:rFonts w:cs="Arial"/>
              </w:rPr>
              <w:t>Modifier comme suit le libellé de la dernière phrase : “Des illustrations pour l’échelle d’observation sont également fournies.”</w:t>
            </w:r>
          </w:p>
        </w:tc>
      </w:tr>
    </w:tbl>
    <w:p w:rsidR="00850B27" w:rsidRPr="00DB671B" w:rsidRDefault="00850B27" w:rsidP="00DB671B">
      <w:pPr>
        <w:rPr>
          <w:rFonts w:cs="Arial"/>
        </w:rPr>
      </w:pPr>
    </w:p>
    <w:p w:rsidR="00850B27" w:rsidRPr="00DB671B" w:rsidRDefault="00850B27" w:rsidP="00DB671B">
      <w:pPr>
        <w:rPr>
          <w:rFonts w:cs="Arial"/>
        </w:rPr>
      </w:pPr>
    </w:p>
    <w:tbl>
      <w:tblPr>
        <w:tblW w:w="9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9675"/>
      </w:tblGrid>
      <w:tr w:rsidR="00DB671B" w:rsidRPr="00DB671B" w:rsidTr="00DB671B">
        <w:trPr>
          <w:cantSplit/>
          <w:jc w:val="center"/>
        </w:trPr>
        <w:tc>
          <w:tcPr>
            <w:tcW w:w="9675" w:type="dxa"/>
            <w:shd w:val="clear" w:color="auto" w:fill="D9D9D9"/>
            <w:vAlign w:val="center"/>
          </w:tcPr>
          <w:p w:rsidR="00850B27" w:rsidRPr="00DB671B" w:rsidRDefault="00850B27" w:rsidP="00DB671B">
            <w:pPr>
              <w:pStyle w:val="BodyText"/>
              <w:tabs>
                <w:tab w:val="left" w:pos="1849"/>
              </w:tabs>
              <w:ind w:left="1803" w:hanging="1803"/>
              <w:jc w:val="left"/>
              <w:rPr>
                <w:rFonts w:cs="Arial"/>
                <w:b/>
                <w:iCs/>
              </w:rPr>
            </w:pPr>
            <w:r w:rsidRPr="00DB671B">
              <w:rPr>
                <w:rFonts w:cs="Arial"/>
                <w:b/>
                <w:iCs/>
              </w:rPr>
              <w:t>TC-EDC/Mar19/6</w:t>
            </w:r>
            <w:r w:rsidRPr="00DB671B">
              <w:rPr>
                <w:rFonts w:cs="Arial"/>
                <w:b/>
                <w:iCs/>
              </w:rPr>
              <w:tab/>
              <w:t>Révision partielle des principes directeurs du pois</w:t>
            </w:r>
          </w:p>
        </w:tc>
      </w:tr>
    </w:tbl>
    <w:p w:rsidR="00850B27" w:rsidRPr="00DB671B" w:rsidRDefault="00850B27" w:rsidP="00DB671B">
      <w:pPr>
        <w:jc w:val="center"/>
        <w:rPr>
          <w:rFonts w:cs="Arial"/>
          <w:b/>
          <w:bCs/>
          <w:snapToGrid w:val="0"/>
        </w:rPr>
      </w:pPr>
    </w:p>
    <w:p w:rsidR="00850B27" w:rsidRPr="00DB671B" w:rsidRDefault="00850B27" w:rsidP="00DB671B">
      <w:pPr>
        <w:autoSpaceDE w:val="0"/>
        <w:autoSpaceDN w:val="0"/>
        <w:adjustRightInd w:val="0"/>
        <w:ind w:firstLine="567"/>
        <w:rPr>
          <w:rFonts w:cs="Arial"/>
        </w:rPr>
      </w:pPr>
      <w:r w:rsidRPr="00DB671B">
        <w:rPr>
          <w:rFonts w:cs="Arial"/>
        </w:rPr>
        <w:t>À sa réunion tenue à Genève le 26 mars 2019, le TC-EDC a examiné le document </w:t>
      </w:r>
      <w:r w:rsidRPr="00DB671B">
        <w:rPr>
          <w:rFonts w:cs="Arial"/>
          <w:caps/>
        </w:rPr>
        <w:t>TC</w:t>
      </w:r>
      <w:r w:rsidRPr="00DB671B">
        <w:rPr>
          <w:rFonts w:cs="Arial"/>
          <w:caps/>
        </w:rPr>
        <w:noBreakHyphen/>
        <w:t>EDC/M</w:t>
      </w:r>
      <w:r w:rsidRPr="00DB671B">
        <w:rPr>
          <w:rFonts w:cs="Arial"/>
        </w:rPr>
        <w:t>ar</w:t>
      </w:r>
      <w:r w:rsidRPr="00DB671B">
        <w:rPr>
          <w:rFonts w:cs="Arial"/>
          <w:caps/>
        </w:rPr>
        <w:t>1</w:t>
      </w:r>
      <w:r w:rsidR="00640D29">
        <w:rPr>
          <w:rFonts w:cs="Arial"/>
          <w:caps/>
        </w:rPr>
        <w:t>9</w:t>
      </w:r>
      <w:r w:rsidRPr="00DB671B">
        <w:rPr>
          <w:rFonts w:cs="Arial"/>
          <w:caps/>
        </w:rPr>
        <w:t>/6</w:t>
      </w:r>
      <w:r w:rsidRPr="00DB671B">
        <w:rPr>
          <w:rFonts w:cs="Arial"/>
        </w:rPr>
        <w:t xml:space="preserve"> et est convenu que la révision partielle des principes directeurs du pois soit communiquée au TC pour adoption par correspondance. </w:t>
      </w:r>
    </w:p>
    <w:p w:rsidR="00850B27" w:rsidRPr="00DB671B" w:rsidRDefault="00850B27" w:rsidP="00DB671B">
      <w:pPr>
        <w:jc w:val="center"/>
        <w:rPr>
          <w:rFonts w:cs="Arial"/>
          <w:b/>
          <w:bCs/>
          <w:snapToGrid w:val="0"/>
        </w:rPr>
      </w:pPr>
    </w:p>
    <w:tbl>
      <w:tblPr>
        <w:tblW w:w="9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9670"/>
      </w:tblGrid>
      <w:tr w:rsidR="00DB671B" w:rsidRPr="00DB671B" w:rsidTr="00DB671B">
        <w:trPr>
          <w:cantSplit/>
          <w:jc w:val="center"/>
        </w:trPr>
        <w:tc>
          <w:tcPr>
            <w:tcW w:w="9670" w:type="dxa"/>
            <w:shd w:val="clear" w:color="auto" w:fill="D9D9D9"/>
            <w:vAlign w:val="center"/>
          </w:tcPr>
          <w:p w:rsidR="00850B27" w:rsidRPr="00DB671B" w:rsidRDefault="00850B27" w:rsidP="00DB671B">
            <w:pPr>
              <w:pStyle w:val="BodyText"/>
              <w:keepNext/>
              <w:tabs>
                <w:tab w:val="left" w:pos="1849"/>
              </w:tabs>
              <w:ind w:left="1803" w:hanging="1803"/>
              <w:jc w:val="left"/>
              <w:rPr>
                <w:rFonts w:cs="Arial"/>
                <w:b/>
                <w:iCs/>
              </w:rPr>
            </w:pPr>
            <w:r w:rsidRPr="00DB671B">
              <w:rPr>
                <w:rFonts w:cs="Arial"/>
                <w:b/>
                <w:iCs/>
              </w:rPr>
              <w:t>TC-EDC/Mar19/7</w:t>
            </w:r>
            <w:r w:rsidRPr="00DB671B">
              <w:rPr>
                <w:rFonts w:cs="Arial"/>
                <w:b/>
                <w:iCs/>
              </w:rPr>
              <w:tab/>
              <w:t>Révision partielle des principes directeurs d’examen de l’épinard</w:t>
            </w:r>
          </w:p>
        </w:tc>
      </w:tr>
    </w:tbl>
    <w:p w:rsidR="00850B27" w:rsidRPr="00DB671B" w:rsidRDefault="00850B27" w:rsidP="00DB671B">
      <w:pPr>
        <w:keepNext/>
        <w:jc w:val="center"/>
        <w:rPr>
          <w:rFonts w:cs="Arial"/>
          <w:b/>
          <w:bCs/>
          <w:snapToGrid w:val="0"/>
        </w:rPr>
      </w:pPr>
    </w:p>
    <w:p w:rsidR="00850B27" w:rsidRPr="00DB671B" w:rsidRDefault="00850B27" w:rsidP="00DB671B">
      <w:pPr>
        <w:keepNext/>
        <w:ind w:firstLine="567"/>
        <w:rPr>
          <w:rFonts w:cs="Arial"/>
        </w:rPr>
      </w:pPr>
      <w:r w:rsidRPr="00DB671B">
        <w:rPr>
          <w:rFonts w:cs="Arial"/>
        </w:rPr>
        <w:t>À sa réunion tenue à Genève le 26 mars 2019, le TC-EDC a examiné le document TC-EDC/Mar1</w:t>
      </w:r>
      <w:r w:rsidR="00640D29">
        <w:rPr>
          <w:rFonts w:cs="Arial"/>
        </w:rPr>
        <w:t>9</w:t>
      </w:r>
      <w:r w:rsidRPr="00DB671B">
        <w:rPr>
          <w:rFonts w:cs="Arial"/>
        </w:rPr>
        <w:t>/7 et a formulé les recommandations présentées dans le tableau ci-dessous.</w:t>
      </w:r>
    </w:p>
    <w:p w:rsidR="00850B27" w:rsidRPr="00DB671B" w:rsidRDefault="00850B27" w:rsidP="00DB671B">
      <w:pPr>
        <w:keepNext/>
        <w:autoSpaceDE w:val="0"/>
        <w:autoSpaceDN w:val="0"/>
        <w:adjustRightInd w:val="0"/>
        <w:ind w:firstLine="567"/>
        <w:rPr>
          <w:rFonts w:cs="Arial"/>
        </w:rPr>
      </w:pPr>
    </w:p>
    <w:p w:rsidR="00850B27" w:rsidRPr="00DB671B" w:rsidRDefault="00850B27" w:rsidP="00DB671B">
      <w:pPr>
        <w:autoSpaceDE w:val="0"/>
        <w:autoSpaceDN w:val="0"/>
        <w:adjustRightInd w:val="0"/>
        <w:ind w:firstLine="567"/>
        <w:rPr>
          <w:rFonts w:cs="Arial"/>
        </w:rPr>
      </w:pPr>
      <w:r w:rsidRPr="00DB671B">
        <w:rPr>
          <w:rFonts w:cs="Arial"/>
        </w:rPr>
        <w:t>Le TC-EDC est convenu, sous réserve de l’approbation par l’expert principal des recommandations formulées, que la révision partielle des principes directeurs d’examen de l’épinard soit communiquée au TC pour adoption par correspondance.</w:t>
      </w:r>
    </w:p>
    <w:p w:rsidR="00850B27" w:rsidRPr="00DB671B" w:rsidRDefault="00850B27" w:rsidP="00DB671B">
      <w:pPr>
        <w:keepNext/>
        <w:jc w:val="center"/>
        <w:rPr>
          <w:rFonts w:cs="Arial"/>
          <w:b/>
          <w:bCs/>
          <w:snapToGrid w:val="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066"/>
      </w:tblGrid>
      <w:tr w:rsidR="00DB671B" w:rsidRPr="00DB671B" w:rsidTr="00DB671B">
        <w:trPr>
          <w:cantSplit/>
        </w:trPr>
        <w:tc>
          <w:tcPr>
            <w:tcW w:w="1573" w:type="dxa"/>
          </w:tcPr>
          <w:p w:rsidR="00850B27" w:rsidRPr="00DB671B" w:rsidRDefault="00850B27" w:rsidP="00DB671B">
            <w:pPr>
              <w:jc w:val="left"/>
              <w:rPr>
                <w:rFonts w:cs="Arial"/>
              </w:rPr>
            </w:pPr>
            <w:r w:rsidRPr="00DB671B">
              <w:rPr>
                <w:rFonts w:cs="Arial"/>
              </w:rPr>
              <w:t>Ad. 18, Évaluation de l’infection</w:t>
            </w:r>
          </w:p>
        </w:tc>
        <w:tc>
          <w:tcPr>
            <w:tcW w:w="8066" w:type="dxa"/>
          </w:tcPr>
          <w:p w:rsidR="00850B27" w:rsidRPr="00DB671B" w:rsidRDefault="00850B27" w:rsidP="00DB671B">
            <w:pPr>
              <w:keepNext/>
              <w:rPr>
                <w:rFonts w:cs="Arial"/>
              </w:rPr>
            </w:pPr>
            <w:r w:rsidRPr="00DB671B">
              <w:rPr>
                <w:rFonts w:cs="Arial"/>
              </w:rPr>
              <w:t>Modifier le libellé comme suit : “Certaines variétés peuvent présenter un niveau de résistance légèrement plus faible, indiquant par exemple une légère sporulation de l’extrémité.  Dans le tableau, ce trait / ces variétés sont signalées par (R).”</w:t>
            </w:r>
          </w:p>
        </w:tc>
      </w:tr>
      <w:tr w:rsidR="00DB671B" w:rsidRPr="00DB671B" w:rsidTr="00DB671B">
        <w:trPr>
          <w:cantSplit/>
        </w:trPr>
        <w:tc>
          <w:tcPr>
            <w:tcW w:w="1573" w:type="dxa"/>
          </w:tcPr>
          <w:p w:rsidR="00850B27" w:rsidRPr="00DB671B" w:rsidRDefault="00850B27" w:rsidP="00DB671B">
            <w:pPr>
              <w:jc w:val="left"/>
              <w:rPr>
                <w:rFonts w:cs="Arial"/>
              </w:rPr>
            </w:pPr>
            <w:r w:rsidRPr="00DB671B">
              <w:rPr>
                <w:rFonts w:cs="Arial"/>
              </w:rPr>
              <w:t>Ad. 18</w:t>
            </w:r>
          </w:p>
        </w:tc>
        <w:tc>
          <w:tcPr>
            <w:tcW w:w="8066" w:type="dxa"/>
          </w:tcPr>
          <w:p w:rsidR="00850B27" w:rsidRPr="00DB671B" w:rsidRDefault="00850B27" w:rsidP="00DB671B">
            <w:pPr>
              <w:keepNext/>
              <w:rPr>
                <w:rFonts w:cs="Arial"/>
              </w:rPr>
            </w:pPr>
            <w:r w:rsidRPr="00DB671B">
              <w:rPr>
                <w:rFonts w:cs="Arial"/>
              </w:rPr>
              <w:t>- modifier la phrase au-dessus du tableau comme suit : “Les variétés différentielles et les isolats peuvent être obtenus…”</w:t>
            </w:r>
          </w:p>
          <w:p w:rsidR="00850B27" w:rsidRPr="00DB671B" w:rsidRDefault="00850B27" w:rsidP="00DB671B">
            <w:pPr>
              <w:keepNext/>
              <w:rPr>
                <w:rFonts w:cs="Arial"/>
              </w:rPr>
            </w:pPr>
            <w:r w:rsidRPr="00DB671B">
              <w:rPr>
                <w:rFonts w:cs="Arial"/>
              </w:rPr>
              <w:t>- pour la légende du tableau concernant les variétés différentielles et les NIL, indiquer “Variétés différentielles” uniquement</w:t>
            </w:r>
          </w:p>
          <w:p w:rsidR="00850B27" w:rsidRPr="00DB671B" w:rsidRDefault="00850B27" w:rsidP="00DB671B">
            <w:pPr>
              <w:keepNext/>
              <w:rPr>
                <w:rFonts w:cs="Arial"/>
              </w:rPr>
            </w:pPr>
            <w:r w:rsidRPr="00DB671B">
              <w:rPr>
                <w:rFonts w:cs="Arial"/>
              </w:rPr>
              <w:t>- après le tableau, indiquer : “Avec l’aimable autorisation de l’ISF, tableau disponible à l’adresse…”</w:t>
            </w:r>
          </w:p>
        </w:tc>
      </w:tr>
    </w:tbl>
    <w:p w:rsidR="00850B27" w:rsidRPr="00DB671B" w:rsidRDefault="00850B27" w:rsidP="00DB671B">
      <w:pPr>
        <w:keepNext/>
        <w:jc w:val="left"/>
        <w:rPr>
          <w:rFonts w:cs="Arial"/>
          <w:u w:val="single"/>
        </w:rPr>
      </w:pPr>
    </w:p>
    <w:p w:rsidR="00850B27" w:rsidRPr="00DB671B" w:rsidRDefault="00850B27" w:rsidP="00DB671B">
      <w:pPr>
        <w:keepNext/>
        <w:jc w:val="left"/>
        <w:rPr>
          <w:rFonts w:cs="Arial"/>
          <w:u w:val="single"/>
        </w:rPr>
      </w:pPr>
    </w:p>
    <w:p w:rsidR="00850B27" w:rsidRPr="00DB671B" w:rsidRDefault="00850B27" w:rsidP="00DB671B">
      <w:pPr>
        <w:pStyle w:val="Heading3"/>
        <w:rPr>
          <w:lang w:val="fr-FR"/>
        </w:rPr>
      </w:pPr>
      <w:r w:rsidRPr="00DB671B">
        <w:rPr>
          <w:lang w:val="fr-FR"/>
        </w:rPr>
        <w:t>Révisions</w:t>
      </w:r>
    </w:p>
    <w:p w:rsidR="00850B27" w:rsidRPr="00DB671B" w:rsidRDefault="00850B27" w:rsidP="00DB671B">
      <w:pPr>
        <w:keepNext/>
        <w:jc w:val="left"/>
        <w:rPr>
          <w:rFonts w:cs="Arial"/>
          <w:u w:val="single"/>
        </w:rPr>
      </w:pPr>
    </w:p>
    <w:tbl>
      <w:tblPr>
        <w:tblW w:w="99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894"/>
        <w:gridCol w:w="2552"/>
        <w:gridCol w:w="2807"/>
        <w:gridCol w:w="736"/>
        <w:gridCol w:w="993"/>
      </w:tblGrid>
      <w:tr w:rsidR="00DB671B" w:rsidRPr="00DB671B" w:rsidTr="00DB671B">
        <w:trPr>
          <w:cantSplit/>
          <w:trHeight w:val="277"/>
          <w:jc w:val="center"/>
        </w:trPr>
        <w:tc>
          <w:tcPr>
            <w:tcW w:w="2894" w:type="dxa"/>
            <w:vMerge w:val="restart"/>
            <w:shd w:val="clear" w:color="auto" w:fill="D9D9D9"/>
            <w:vAlign w:val="center"/>
          </w:tcPr>
          <w:p w:rsidR="00850B27" w:rsidRPr="00DB671B" w:rsidRDefault="00850B27" w:rsidP="00DB671B">
            <w:pPr>
              <w:pStyle w:val="TitleofDoc"/>
              <w:keepNext/>
              <w:tabs>
                <w:tab w:val="left" w:pos="5245"/>
                <w:tab w:val="left" w:pos="7008"/>
              </w:tabs>
              <w:spacing w:before="0"/>
              <w:jc w:val="left"/>
              <w:rPr>
                <w:rFonts w:cs="Arial"/>
                <w:caps w:val="0"/>
              </w:rPr>
            </w:pPr>
            <w:r w:rsidRPr="00DB671B">
              <w:rPr>
                <w:rFonts w:cs="Arial"/>
                <w:caps w:val="0"/>
              </w:rPr>
              <w:t>Myrtille</w:t>
            </w:r>
          </w:p>
        </w:tc>
        <w:tc>
          <w:tcPr>
            <w:tcW w:w="2552" w:type="dxa"/>
            <w:shd w:val="clear" w:color="auto" w:fill="D9D9D9"/>
            <w:vAlign w:val="center"/>
          </w:tcPr>
          <w:p w:rsidR="00850B27" w:rsidRPr="00DB671B" w:rsidRDefault="00850B27" w:rsidP="00DB671B">
            <w:pPr>
              <w:pStyle w:val="TitleofDoc"/>
              <w:keepNext/>
              <w:tabs>
                <w:tab w:val="left" w:pos="5245"/>
                <w:tab w:val="left" w:pos="7008"/>
              </w:tabs>
              <w:spacing w:before="0"/>
              <w:jc w:val="left"/>
              <w:rPr>
                <w:rFonts w:cs="Arial"/>
                <w:caps w:val="0"/>
              </w:rPr>
            </w:pPr>
            <w:r w:rsidRPr="00DB671B">
              <w:rPr>
                <w:rFonts w:cs="Arial"/>
                <w:caps w:val="0"/>
              </w:rPr>
              <w:t>TG/137/5(proj.5)</w:t>
            </w:r>
          </w:p>
        </w:tc>
        <w:tc>
          <w:tcPr>
            <w:tcW w:w="2807" w:type="dxa"/>
            <w:shd w:val="clear" w:color="auto" w:fill="D9D9D9"/>
            <w:vAlign w:val="center"/>
          </w:tcPr>
          <w:p w:rsidR="00850B27" w:rsidRPr="00DB671B" w:rsidRDefault="00850B27" w:rsidP="00DB671B">
            <w:pPr>
              <w:keepNext/>
              <w:jc w:val="left"/>
              <w:rPr>
                <w:rFonts w:cs="Arial"/>
                <w:iCs/>
                <w:snapToGrid w:val="0"/>
              </w:rPr>
            </w:pPr>
            <w:r w:rsidRPr="00DB671B">
              <w:rPr>
                <w:rFonts w:cs="Arial"/>
                <w:snapToGrid w:val="0"/>
              </w:rPr>
              <w:t>M. Nik Hulse (AU)</w:t>
            </w:r>
          </w:p>
        </w:tc>
        <w:tc>
          <w:tcPr>
            <w:tcW w:w="736" w:type="dxa"/>
            <w:vMerge w:val="restart"/>
            <w:shd w:val="clear" w:color="auto" w:fill="D9D9D9"/>
            <w:vAlign w:val="center"/>
          </w:tcPr>
          <w:p w:rsidR="00850B27" w:rsidRPr="00DB671B" w:rsidRDefault="00850B27" w:rsidP="00DB671B">
            <w:pPr>
              <w:keepNext/>
              <w:jc w:val="left"/>
              <w:rPr>
                <w:rFonts w:cs="Arial"/>
                <w:iCs/>
                <w:highlight w:val="lightGray"/>
              </w:rPr>
            </w:pPr>
            <w:r w:rsidRPr="00DB671B">
              <w:rPr>
                <w:rFonts w:cs="Arial"/>
                <w:iCs/>
              </w:rPr>
              <w:t>TWF</w:t>
            </w:r>
          </w:p>
        </w:tc>
        <w:tc>
          <w:tcPr>
            <w:tcW w:w="993" w:type="dxa"/>
            <w:vMerge w:val="restart"/>
            <w:shd w:val="clear" w:color="auto" w:fill="D9D9D9"/>
            <w:vAlign w:val="center"/>
          </w:tcPr>
          <w:p w:rsidR="00850B27" w:rsidRPr="00DB671B" w:rsidRDefault="00850B27" w:rsidP="00DB671B">
            <w:pPr>
              <w:pStyle w:val="BodyText"/>
              <w:keepNext/>
              <w:jc w:val="left"/>
              <w:rPr>
                <w:rFonts w:cs="Arial"/>
                <w:iCs/>
                <w:snapToGrid w:val="0"/>
              </w:rPr>
            </w:pPr>
            <w:r w:rsidRPr="00DB671B">
              <w:rPr>
                <w:rFonts w:cs="Arial"/>
                <w:iCs/>
                <w:snapToGrid w:val="0"/>
              </w:rPr>
              <w:t>*</w:t>
            </w:r>
          </w:p>
        </w:tc>
      </w:tr>
      <w:tr w:rsidR="00DB671B" w:rsidRPr="00DB671B" w:rsidTr="00DB671B">
        <w:trPr>
          <w:cantSplit/>
          <w:trHeight w:hRule="exact" w:val="911"/>
          <w:jc w:val="center"/>
        </w:trPr>
        <w:tc>
          <w:tcPr>
            <w:tcW w:w="2894" w:type="dxa"/>
            <w:vMerge/>
            <w:shd w:val="clear" w:color="auto" w:fill="D9D9D9"/>
            <w:vAlign w:val="center"/>
          </w:tcPr>
          <w:p w:rsidR="00850B27" w:rsidRPr="00DB671B" w:rsidRDefault="00850B27" w:rsidP="00DB671B">
            <w:pPr>
              <w:pStyle w:val="TitleofDoc"/>
              <w:keepNext/>
              <w:tabs>
                <w:tab w:val="left" w:pos="5245"/>
                <w:tab w:val="left" w:pos="7008"/>
              </w:tabs>
              <w:spacing w:before="0"/>
              <w:jc w:val="left"/>
              <w:rPr>
                <w:rFonts w:cs="Arial"/>
                <w:caps w:val="0"/>
              </w:rPr>
            </w:pPr>
          </w:p>
        </w:tc>
        <w:tc>
          <w:tcPr>
            <w:tcW w:w="2552" w:type="dxa"/>
            <w:shd w:val="clear" w:color="auto" w:fill="D9D9D9"/>
            <w:vAlign w:val="center"/>
          </w:tcPr>
          <w:p w:rsidR="00850B27" w:rsidRPr="00DB671B" w:rsidRDefault="00850B27" w:rsidP="00DB671B">
            <w:pPr>
              <w:pStyle w:val="BodyText"/>
              <w:keepNext/>
              <w:jc w:val="left"/>
              <w:rPr>
                <w:rFonts w:cs="Arial"/>
              </w:rPr>
            </w:pPr>
            <w:r w:rsidRPr="00DB671B">
              <w:rPr>
                <w:rFonts w:cs="Arial"/>
              </w:rPr>
              <w:t>Nombre de car. : 38</w:t>
            </w:r>
            <w:r w:rsidRPr="00DB671B">
              <w:rPr>
                <w:rFonts w:cs="Arial"/>
              </w:rPr>
              <w:br/>
              <w:t>Nombre de car. (</w:t>
            </w:r>
            <w:r w:rsidRPr="00DB671B">
              <w:rPr>
                <w:rFonts w:cs="Arial"/>
              </w:rPr>
              <w:sym w:font="Symbol" w:char="F02A"/>
            </w:r>
            <w:r w:rsidRPr="00DB671B">
              <w:rPr>
                <w:rFonts w:cs="Arial"/>
              </w:rPr>
              <w:t>) : 17</w:t>
            </w:r>
          </w:p>
        </w:tc>
        <w:tc>
          <w:tcPr>
            <w:tcW w:w="2807" w:type="dxa"/>
            <w:shd w:val="clear" w:color="auto" w:fill="D9D9D9"/>
            <w:vAlign w:val="center"/>
          </w:tcPr>
          <w:p w:rsidR="00850B27" w:rsidRPr="00DB671B" w:rsidRDefault="00850B27" w:rsidP="00DB671B">
            <w:pPr>
              <w:keepNext/>
              <w:jc w:val="left"/>
              <w:rPr>
                <w:rFonts w:cs="Arial"/>
                <w:iCs/>
                <w:snapToGrid w:val="0"/>
              </w:rPr>
            </w:pPr>
            <w:r w:rsidRPr="00DB671B">
              <w:rPr>
                <w:rFonts w:cs="Arial"/>
                <w:iCs/>
                <w:snapToGrid w:val="0"/>
              </w:rPr>
              <w:t xml:space="preserve">(Experts intéressés : </w:t>
            </w:r>
            <w:r w:rsidRPr="00DB671B">
              <w:rPr>
                <w:rFonts w:cs="Arial"/>
              </w:rPr>
              <w:t>BR, CA, CZ, DE, IT, JP, KR, MX, NZ, PL, PT, QZ, RO, ZA, CIOPORA</w:t>
            </w:r>
            <w:r w:rsidRPr="00DB671B">
              <w:rPr>
                <w:rFonts w:eastAsia="SimSun" w:cs="Arial"/>
                <w:lang w:eastAsia="zh-CN"/>
              </w:rPr>
              <w:t>)</w:t>
            </w:r>
          </w:p>
        </w:tc>
        <w:tc>
          <w:tcPr>
            <w:tcW w:w="736" w:type="dxa"/>
            <w:vMerge/>
            <w:shd w:val="clear" w:color="auto" w:fill="D9D9D9"/>
            <w:vAlign w:val="center"/>
          </w:tcPr>
          <w:p w:rsidR="00850B27" w:rsidRPr="00DB671B" w:rsidRDefault="00850B27" w:rsidP="00DB671B">
            <w:pPr>
              <w:keepNext/>
              <w:jc w:val="left"/>
              <w:rPr>
                <w:rFonts w:cs="Arial"/>
                <w:iCs/>
              </w:rPr>
            </w:pPr>
          </w:p>
        </w:tc>
        <w:tc>
          <w:tcPr>
            <w:tcW w:w="993" w:type="dxa"/>
            <w:vMerge/>
            <w:shd w:val="clear" w:color="auto" w:fill="D9D9D9"/>
            <w:vAlign w:val="center"/>
          </w:tcPr>
          <w:p w:rsidR="00850B27" w:rsidRPr="00DB671B" w:rsidRDefault="00850B27" w:rsidP="00DB671B">
            <w:pPr>
              <w:pStyle w:val="BodyText"/>
              <w:keepNext/>
              <w:jc w:val="left"/>
              <w:rPr>
                <w:rFonts w:cs="Arial"/>
                <w:iCs/>
                <w:snapToGrid w:val="0"/>
              </w:rPr>
            </w:pPr>
          </w:p>
        </w:tc>
      </w:tr>
    </w:tbl>
    <w:p w:rsidR="00850B27" w:rsidRPr="00DB671B" w:rsidRDefault="00850B27" w:rsidP="00DB671B">
      <w:pPr>
        <w:rPr>
          <w:rFonts w:cs="Arial"/>
        </w:rPr>
      </w:pPr>
    </w:p>
    <w:p w:rsidR="00850B27" w:rsidRPr="00DB671B" w:rsidRDefault="00850B27" w:rsidP="00DB671B">
      <w:pPr>
        <w:keepNext/>
        <w:ind w:firstLine="567"/>
        <w:rPr>
          <w:rFonts w:cs="Arial"/>
        </w:rPr>
      </w:pPr>
      <w:r w:rsidRPr="00DB671B">
        <w:rPr>
          <w:rFonts w:cs="Arial"/>
        </w:rPr>
        <w:t>À sa réunion tenue à Genève le 26 mars 2019, le TC-EDC a examiné le document TG/137/5(proj.5) et a formulé les recommandations présentées dans le tableau ci-dessous.</w:t>
      </w:r>
    </w:p>
    <w:p w:rsidR="00850B27" w:rsidRPr="00DB671B" w:rsidRDefault="00850B27" w:rsidP="00DB671B">
      <w:pPr>
        <w:keepNext/>
        <w:autoSpaceDE w:val="0"/>
        <w:autoSpaceDN w:val="0"/>
        <w:adjustRightInd w:val="0"/>
        <w:ind w:firstLine="567"/>
        <w:rPr>
          <w:rFonts w:cs="Arial"/>
        </w:rPr>
      </w:pPr>
    </w:p>
    <w:p w:rsidR="00850B27" w:rsidRPr="00DB671B" w:rsidRDefault="00850B27" w:rsidP="00DB671B">
      <w:pPr>
        <w:autoSpaceDE w:val="0"/>
        <w:autoSpaceDN w:val="0"/>
        <w:adjustRightInd w:val="0"/>
        <w:ind w:firstLine="567"/>
        <w:rPr>
          <w:rFonts w:cs="Arial"/>
        </w:rPr>
      </w:pPr>
      <w:r w:rsidRPr="00DB671B">
        <w:rPr>
          <w:rFonts w:cs="Arial"/>
        </w:rPr>
        <w:t xml:space="preserve">Le TC-EDC est convenu, sous réserve de l’approbation par l’expert principal des recommandations formulées, que les principes directeurs d’examen de la myrtille soient communiqués au TC pour adoption par correspondance. </w:t>
      </w:r>
    </w:p>
    <w:p w:rsidR="00850B27" w:rsidRPr="00DB671B" w:rsidRDefault="00850B27" w:rsidP="00DB671B">
      <w:pPr>
        <w:rPr>
          <w:rFonts w:cs="Arial"/>
        </w:rPr>
      </w:pPr>
    </w:p>
    <w:tbl>
      <w:tblPr>
        <w:tblW w:w="979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226"/>
      </w:tblGrid>
      <w:tr w:rsidR="00DB671B" w:rsidRPr="00DB671B" w:rsidTr="00DB671B">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rsidR="00850B27" w:rsidRPr="00DB671B" w:rsidRDefault="00850B27" w:rsidP="00DB671B">
            <w:pPr>
              <w:jc w:val="left"/>
              <w:rPr>
                <w:rFonts w:cs="Arial"/>
              </w:rPr>
            </w:pPr>
            <w:r w:rsidRPr="00DB671B">
              <w:rPr>
                <w:rFonts w:cs="Arial"/>
              </w:rPr>
              <w:t>1.</w:t>
            </w:r>
          </w:p>
        </w:tc>
        <w:tc>
          <w:tcPr>
            <w:tcW w:w="8226" w:type="dxa"/>
            <w:tcBorders>
              <w:top w:val="single" w:sz="4" w:space="0" w:color="auto"/>
              <w:left w:val="single" w:sz="4" w:space="0" w:color="auto"/>
              <w:bottom w:val="single" w:sz="4" w:space="0" w:color="auto"/>
              <w:right w:val="single" w:sz="4" w:space="0" w:color="auto"/>
            </w:tcBorders>
            <w:shd w:val="clear" w:color="auto" w:fill="auto"/>
          </w:tcPr>
          <w:p w:rsidR="00850B27" w:rsidRPr="00DB671B" w:rsidRDefault="00850B27" w:rsidP="00DB671B">
            <w:pPr>
              <w:keepNext/>
              <w:rPr>
                <w:rFonts w:cs="Arial"/>
              </w:rPr>
            </w:pPr>
            <w:r w:rsidRPr="00DB671B">
              <w:rPr>
                <w:rFonts w:cs="Arial"/>
              </w:rPr>
              <w:t>- supprimer “et leurs hybrides”</w:t>
            </w:r>
          </w:p>
          <w:p w:rsidR="00850B27" w:rsidRPr="00DB671B" w:rsidRDefault="0067134D" w:rsidP="00DB671B">
            <w:pPr>
              <w:keepNext/>
              <w:rPr>
                <w:rFonts w:cs="Arial"/>
              </w:rPr>
            </w:pPr>
            <w:r>
              <w:rPr>
                <w:rFonts w:cs="Arial"/>
              </w:rPr>
              <w:t>-</w:t>
            </w:r>
            <w:r w:rsidR="00850B27" w:rsidRPr="00DB671B">
              <w:rPr>
                <w:rFonts w:cs="Arial"/>
              </w:rPr>
              <w:t xml:space="preserve"> ajouter la note indicative GN3 du document TGP/7 “Des indications sur l’utilisation de principes directeurs d’examen pour des hybrides interspécifiques ne faisant pas expressément l’objet de principes directeurs d’examen figurent dans le document TGP/13 ‛Conseils pour les nouveaux types et espèces””. </w:t>
            </w:r>
          </w:p>
        </w:tc>
      </w:tr>
      <w:tr w:rsidR="00DB671B" w:rsidRPr="00DB671B" w:rsidTr="00DB671B">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rsidR="00850B27" w:rsidRPr="00DB671B" w:rsidRDefault="00850B27" w:rsidP="00DB671B">
            <w:pPr>
              <w:jc w:val="left"/>
              <w:rPr>
                <w:rFonts w:cs="Arial"/>
              </w:rPr>
            </w:pPr>
            <w:r w:rsidRPr="00DB671B">
              <w:rPr>
                <w:rFonts w:cs="Arial"/>
              </w:rPr>
              <w:t>Car. 1</w:t>
            </w:r>
          </w:p>
        </w:tc>
        <w:tc>
          <w:tcPr>
            <w:tcW w:w="8226" w:type="dxa"/>
            <w:tcBorders>
              <w:top w:val="single" w:sz="4" w:space="0" w:color="auto"/>
              <w:left w:val="single" w:sz="4" w:space="0" w:color="auto"/>
              <w:bottom w:val="single" w:sz="4" w:space="0" w:color="auto"/>
              <w:right w:val="single" w:sz="4" w:space="0" w:color="auto"/>
            </w:tcBorders>
            <w:shd w:val="clear" w:color="auto" w:fill="auto"/>
          </w:tcPr>
          <w:p w:rsidR="00850B27" w:rsidRPr="00DB671B" w:rsidRDefault="00850B27" w:rsidP="00DB671B">
            <w:pPr>
              <w:keepNext/>
              <w:rPr>
                <w:rFonts w:cs="Arial"/>
              </w:rPr>
            </w:pPr>
            <w:r w:rsidRPr="00DB671B">
              <w:rPr>
                <w:rFonts w:cs="Arial"/>
              </w:rPr>
              <w:t>Ajouter un nouveau niveau 1 “très faible”</w:t>
            </w:r>
          </w:p>
        </w:tc>
      </w:tr>
      <w:tr w:rsidR="00DB671B" w:rsidRPr="00DB671B" w:rsidTr="00DB671B">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rsidR="00850B27" w:rsidRPr="00DB671B" w:rsidRDefault="00850B27" w:rsidP="00DB671B">
            <w:pPr>
              <w:jc w:val="left"/>
              <w:rPr>
                <w:rFonts w:cs="Arial"/>
              </w:rPr>
            </w:pPr>
            <w:r w:rsidRPr="00DB671B">
              <w:rPr>
                <w:rFonts w:cs="Arial"/>
              </w:rPr>
              <w:t>Car. 3</w:t>
            </w:r>
          </w:p>
        </w:tc>
        <w:tc>
          <w:tcPr>
            <w:tcW w:w="8226" w:type="dxa"/>
            <w:tcBorders>
              <w:top w:val="single" w:sz="4" w:space="0" w:color="auto"/>
              <w:left w:val="single" w:sz="4" w:space="0" w:color="auto"/>
              <w:bottom w:val="single" w:sz="4" w:space="0" w:color="auto"/>
              <w:right w:val="single" w:sz="4" w:space="0" w:color="auto"/>
            </w:tcBorders>
            <w:shd w:val="clear" w:color="auto" w:fill="auto"/>
          </w:tcPr>
          <w:p w:rsidR="00850B27" w:rsidRPr="00DB671B" w:rsidRDefault="00850B27" w:rsidP="00DB671B">
            <w:pPr>
              <w:keepNext/>
              <w:rPr>
                <w:rFonts w:cs="Arial"/>
              </w:rPr>
            </w:pPr>
            <w:r w:rsidRPr="00DB671B">
              <w:rPr>
                <w:rFonts w:cs="Arial"/>
              </w:rPr>
              <w:t>ajouter (*) (caractère de groupement)</w:t>
            </w:r>
          </w:p>
        </w:tc>
      </w:tr>
      <w:tr w:rsidR="00DB671B" w:rsidRPr="00DB671B" w:rsidTr="00DB671B">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rsidR="00850B27" w:rsidRPr="00DB671B" w:rsidRDefault="00850B27" w:rsidP="00DB671B">
            <w:pPr>
              <w:jc w:val="left"/>
              <w:rPr>
                <w:rFonts w:cs="Arial"/>
              </w:rPr>
            </w:pPr>
            <w:r w:rsidRPr="00DB671B">
              <w:rPr>
                <w:rFonts w:cs="Arial"/>
              </w:rPr>
              <w:t>Car. 4</w:t>
            </w:r>
          </w:p>
        </w:tc>
        <w:tc>
          <w:tcPr>
            <w:tcW w:w="8226" w:type="dxa"/>
            <w:tcBorders>
              <w:top w:val="single" w:sz="4" w:space="0" w:color="auto"/>
              <w:left w:val="single" w:sz="4" w:space="0" w:color="auto"/>
              <w:bottom w:val="single" w:sz="4" w:space="0" w:color="auto"/>
              <w:right w:val="single" w:sz="4" w:space="0" w:color="auto"/>
            </w:tcBorders>
            <w:shd w:val="clear" w:color="auto" w:fill="auto"/>
          </w:tcPr>
          <w:p w:rsidR="00850B27" w:rsidRPr="00DB671B" w:rsidRDefault="00850B27" w:rsidP="00DB671B">
            <w:pPr>
              <w:keepNext/>
              <w:rPr>
                <w:rFonts w:cs="Arial"/>
              </w:rPr>
            </w:pPr>
            <w:r w:rsidRPr="00DB671B">
              <w:rPr>
                <w:rFonts w:cs="Arial"/>
              </w:rPr>
              <w:t>supprimer les niveaux d’expression 2 et 4</w:t>
            </w:r>
          </w:p>
        </w:tc>
      </w:tr>
      <w:tr w:rsidR="00DB671B" w:rsidRPr="00DB671B" w:rsidTr="00DB671B">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rsidR="00850B27" w:rsidRPr="00DB671B" w:rsidRDefault="00850B27" w:rsidP="00DB671B">
            <w:pPr>
              <w:jc w:val="left"/>
              <w:rPr>
                <w:rFonts w:cs="Arial"/>
              </w:rPr>
            </w:pPr>
            <w:r w:rsidRPr="00DB671B">
              <w:rPr>
                <w:rFonts w:cs="Arial"/>
              </w:rPr>
              <w:t>Car. 7</w:t>
            </w:r>
          </w:p>
        </w:tc>
        <w:tc>
          <w:tcPr>
            <w:tcW w:w="8226" w:type="dxa"/>
            <w:tcBorders>
              <w:top w:val="single" w:sz="4" w:space="0" w:color="auto"/>
              <w:left w:val="single" w:sz="4" w:space="0" w:color="auto"/>
              <w:bottom w:val="single" w:sz="4" w:space="0" w:color="auto"/>
              <w:right w:val="single" w:sz="4" w:space="0" w:color="auto"/>
            </w:tcBorders>
            <w:shd w:val="clear" w:color="auto" w:fill="auto"/>
          </w:tcPr>
          <w:p w:rsidR="00850B27" w:rsidRPr="00DB671B" w:rsidRDefault="00850B27" w:rsidP="00DB671B">
            <w:pPr>
              <w:keepNext/>
              <w:rPr>
                <w:rFonts w:cs="Arial"/>
              </w:rPr>
            </w:pPr>
            <w:r w:rsidRPr="00DB671B">
              <w:rPr>
                <w:rFonts w:cs="Arial"/>
              </w:rPr>
              <w:t>- indiquer la méthode d’observation MG/VG (selon rapport du TWF)</w:t>
            </w:r>
          </w:p>
          <w:p w:rsidR="00850B27" w:rsidRPr="00DB671B" w:rsidRDefault="00850B27" w:rsidP="00DB671B">
            <w:pPr>
              <w:keepNext/>
              <w:rPr>
                <w:rFonts w:cs="Arial"/>
              </w:rPr>
            </w:pPr>
            <w:r w:rsidRPr="00DB671B">
              <w:rPr>
                <w:rFonts w:cs="Arial"/>
              </w:rPr>
              <w:t>- ajouter l’illustration suivante pour les rapports bas et élevé</w:t>
            </w:r>
          </w:p>
          <w:tbl>
            <w:tblPr>
              <w:tblW w:w="0" w:type="auto"/>
              <w:tblLayout w:type="fixed"/>
              <w:tblLook w:val="0000" w:firstRow="0" w:lastRow="0" w:firstColumn="0" w:lastColumn="0" w:noHBand="0" w:noVBand="0"/>
            </w:tblPr>
            <w:tblGrid>
              <w:gridCol w:w="3423"/>
              <w:gridCol w:w="3119"/>
            </w:tblGrid>
            <w:tr w:rsidR="00DB671B" w:rsidRPr="00DB671B" w:rsidTr="00DB671B">
              <w:tc>
                <w:tcPr>
                  <w:tcW w:w="3423" w:type="dxa"/>
                  <w:vAlign w:val="bottom"/>
                </w:tcPr>
                <w:p w:rsidR="00850B27" w:rsidRPr="00DB671B" w:rsidRDefault="00850B27" w:rsidP="00DB671B">
                  <w:pPr>
                    <w:keepNext/>
                    <w:jc w:val="center"/>
                    <w:rPr>
                      <w:rFonts w:cs="Arial"/>
                    </w:rPr>
                  </w:pPr>
                  <w:r w:rsidRPr="00DB671B">
                    <w:rPr>
                      <w:rFonts w:cs="Arial"/>
                      <w:noProof/>
                      <w:lang w:val="en-US"/>
                    </w:rPr>
                    <w:drawing>
                      <wp:inline distT="0" distB="0" distL="0" distR="0" wp14:anchorId="28A6C790" wp14:editId="21429F14">
                        <wp:extent cx="1177590" cy="1677725"/>
                        <wp:effectExtent l="0" t="0" r="3810" b="0"/>
                        <wp:docPr id="1" name="Picture 1" descr="ch7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7_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86498" cy="1690417"/>
                                </a:xfrm>
                                <a:prstGeom prst="rect">
                                  <a:avLst/>
                                </a:prstGeom>
                                <a:noFill/>
                                <a:ln>
                                  <a:noFill/>
                                </a:ln>
                              </pic:spPr>
                            </pic:pic>
                          </a:graphicData>
                        </a:graphic>
                      </wp:inline>
                    </w:drawing>
                  </w:r>
                </w:p>
              </w:tc>
              <w:tc>
                <w:tcPr>
                  <w:tcW w:w="3119" w:type="dxa"/>
                  <w:vAlign w:val="bottom"/>
                </w:tcPr>
                <w:p w:rsidR="00850B27" w:rsidRPr="00DB671B" w:rsidRDefault="00850B27" w:rsidP="00DB671B">
                  <w:pPr>
                    <w:keepNext/>
                    <w:jc w:val="center"/>
                    <w:rPr>
                      <w:rFonts w:cs="Arial"/>
                    </w:rPr>
                  </w:pPr>
                  <w:r w:rsidRPr="00DB671B">
                    <w:rPr>
                      <w:rFonts w:cs="Arial"/>
                      <w:noProof/>
                      <w:lang w:val="en-US"/>
                    </w:rPr>
                    <w:drawing>
                      <wp:inline distT="0" distB="0" distL="0" distR="0" wp14:anchorId="13DD8BD9" wp14:editId="354AC58C">
                        <wp:extent cx="1266795" cy="2798860"/>
                        <wp:effectExtent l="0" t="0" r="0" b="1905"/>
                        <wp:docPr id="2" name="Picture 2" descr="7_1_HI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7_1_HIGH"/>
                                <pic:cNvPicPr>
                                  <a:picLocks noChangeAspect="1" noChangeArrowheads="1"/>
                                </pic:cNvPicPr>
                              </pic:nvPicPr>
                              <pic:blipFill rotWithShape="1">
                                <a:blip r:embed="rId15">
                                  <a:extLst>
                                    <a:ext uri="{28A0092B-C50C-407E-A947-70E740481C1C}">
                                      <a14:useLocalDpi xmlns:a14="http://schemas.microsoft.com/office/drawing/2010/main" val="0"/>
                                    </a:ext>
                                  </a:extLst>
                                </a:blip>
                                <a:srcRect b="5519"/>
                                <a:stretch/>
                              </pic:blipFill>
                              <pic:spPr bwMode="auto">
                                <a:xfrm>
                                  <a:off x="0" y="0"/>
                                  <a:ext cx="1273425" cy="2813509"/>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DB671B" w:rsidRPr="00DB671B" w:rsidTr="00DB671B">
              <w:tc>
                <w:tcPr>
                  <w:tcW w:w="3423" w:type="dxa"/>
                </w:tcPr>
                <w:p w:rsidR="00850B27" w:rsidRPr="00DB671B" w:rsidRDefault="00850B27" w:rsidP="00DB671B">
                  <w:pPr>
                    <w:keepNext/>
                    <w:jc w:val="center"/>
                    <w:rPr>
                      <w:rFonts w:cs="Arial"/>
                    </w:rPr>
                  </w:pPr>
                  <w:r w:rsidRPr="00DB671B">
                    <w:rPr>
                      <w:rFonts w:cs="Arial"/>
                    </w:rPr>
                    <w:t>3</w:t>
                  </w:r>
                </w:p>
              </w:tc>
              <w:tc>
                <w:tcPr>
                  <w:tcW w:w="3119" w:type="dxa"/>
                </w:tcPr>
                <w:p w:rsidR="00850B27" w:rsidRPr="00DB671B" w:rsidRDefault="00850B27" w:rsidP="00DB671B">
                  <w:pPr>
                    <w:keepNext/>
                    <w:jc w:val="center"/>
                    <w:rPr>
                      <w:rFonts w:cs="Arial"/>
                    </w:rPr>
                  </w:pPr>
                  <w:r w:rsidRPr="00DB671B">
                    <w:rPr>
                      <w:rFonts w:cs="Arial"/>
                    </w:rPr>
                    <w:t>7</w:t>
                  </w:r>
                </w:p>
              </w:tc>
            </w:tr>
            <w:tr w:rsidR="00DB671B" w:rsidRPr="00DB671B" w:rsidTr="00DB671B">
              <w:tc>
                <w:tcPr>
                  <w:tcW w:w="3423" w:type="dxa"/>
                </w:tcPr>
                <w:p w:rsidR="00850B27" w:rsidRPr="00DB671B" w:rsidRDefault="00850B27" w:rsidP="00DB671B">
                  <w:pPr>
                    <w:keepNext/>
                    <w:jc w:val="center"/>
                    <w:rPr>
                      <w:rFonts w:cs="Arial"/>
                    </w:rPr>
                  </w:pPr>
                  <w:r w:rsidRPr="00DB671B">
                    <w:rPr>
                      <w:rFonts w:cs="Arial"/>
                    </w:rPr>
                    <w:t>bas</w:t>
                  </w:r>
                </w:p>
              </w:tc>
              <w:tc>
                <w:tcPr>
                  <w:tcW w:w="3119" w:type="dxa"/>
                </w:tcPr>
                <w:p w:rsidR="00850B27" w:rsidRPr="00DB671B" w:rsidRDefault="00850B27" w:rsidP="00DB671B">
                  <w:pPr>
                    <w:keepNext/>
                    <w:jc w:val="center"/>
                    <w:rPr>
                      <w:rFonts w:cs="Arial"/>
                    </w:rPr>
                  </w:pPr>
                  <w:r w:rsidRPr="00DB671B">
                    <w:rPr>
                      <w:rFonts w:cs="Arial"/>
                    </w:rPr>
                    <w:t>élevé</w:t>
                  </w:r>
                </w:p>
              </w:tc>
            </w:tr>
          </w:tbl>
          <w:p w:rsidR="00850B27" w:rsidRPr="00DB671B" w:rsidRDefault="00850B27" w:rsidP="00DB671B">
            <w:pPr>
              <w:keepNext/>
              <w:rPr>
                <w:rFonts w:cs="Arial"/>
              </w:rPr>
            </w:pPr>
          </w:p>
        </w:tc>
      </w:tr>
      <w:tr w:rsidR="00DB671B" w:rsidRPr="00DB671B" w:rsidTr="00DB671B">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rsidR="00850B27" w:rsidRPr="00DB671B" w:rsidRDefault="00850B27" w:rsidP="00DB671B">
            <w:pPr>
              <w:jc w:val="left"/>
              <w:rPr>
                <w:rFonts w:cs="Arial"/>
              </w:rPr>
            </w:pPr>
            <w:r w:rsidRPr="00DB671B">
              <w:rPr>
                <w:rFonts w:cs="Arial"/>
              </w:rPr>
              <w:t>Car. 16</w:t>
            </w:r>
          </w:p>
        </w:tc>
        <w:tc>
          <w:tcPr>
            <w:tcW w:w="8226" w:type="dxa"/>
            <w:tcBorders>
              <w:top w:val="single" w:sz="4" w:space="0" w:color="auto"/>
              <w:left w:val="single" w:sz="4" w:space="0" w:color="auto"/>
              <w:bottom w:val="single" w:sz="4" w:space="0" w:color="auto"/>
              <w:right w:val="single" w:sz="4" w:space="0" w:color="auto"/>
            </w:tcBorders>
            <w:shd w:val="clear" w:color="auto" w:fill="auto"/>
          </w:tcPr>
          <w:p w:rsidR="00850B27" w:rsidRPr="00DB671B" w:rsidRDefault="00850B27" w:rsidP="00DB671B">
            <w:pPr>
              <w:keepNext/>
              <w:rPr>
                <w:rFonts w:cs="Arial"/>
              </w:rPr>
            </w:pPr>
            <w:r w:rsidRPr="00DB671B">
              <w:rPr>
                <w:rFonts w:cs="Arial"/>
              </w:rPr>
              <w:t>ajouter (c)</w:t>
            </w:r>
          </w:p>
        </w:tc>
      </w:tr>
      <w:tr w:rsidR="00DB671B" w:rsidRPr="00DB671B" w:rsidTr="00DB671B">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rsidR="00850B27" w:rsidRPr="00DB671B" w:rsidRDefault="00850B27" w:rsidP="00DB671B">
            <w:pPr>
              <w:jc w:val="left"/>
              <w:rPr>
                <w:rFonts w:cs="Arial"/>
              </w:rPr>
            </w:pPr>
            <w:r w:rsidRPr="00DB671B">
              <w:rPr>
                <w:rFonts w:cs="Arial"/>
              </w:rPr>
              <w:t>Car. 17</w:t>
            </w:r>
          </w:p>
        </w:tc>
        <w:tc>
          <w:tcPr>
            <w:tcW w:w="8226" w:type="dxa"/>
            <w:tcBorders>
              <w:top w:val="single" w:sz="4" w:space="0" w:color="auto"/>
              <w:left w:val="single" w:sz="4" w:space="0" w:color="auto"/>
              <w:bottom w:val="single" w:sz="4" w:space="0" w:color="auto"/>
              <w:right w:val="single" w:sz="4" w:space="0" w:color="auto"/>
            </w:tcBorders>
            <w:shd w:val="clear" w:color="auto" w:fill="auto"/>
          </w:tcPr>
          <w:p w:rsidR="00850B27" w:rsidRPr="00DB671B" w:rsidRDefault="00850B27" w:rsidP="00DB671B">
            <w:pPr>
              <w:keepNext/>
              <w:rPr>
                <w:rFonts w:cs="Arial"/>
              </w:rPr>
            </w:pPr>
            <w:r w:rsidRPr="00DB671B">
              <w:rPr>
                <w:rFonts w:cs="Arial"/>
              </w:rPr>
              <w:t>Ajouter un niveau 5 “très forte” sans variété indiquée à titre d’exemple</w:t>
            </w:r>
          </w:p>
        </w:tc>
      </w:tr>
      <w:tr w:rsidR="00DB671B" w:rsidRPr="00DB671B" w:rsidTr="00DB671B">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rsidR="00850B27" w:rsidRPr="00DB671B" w:rsidRDefault="00850B27" w:rsidP="00DB671B">
            <w:pPr>
              <w:jc w:val="left"/>
              <w:rPr>
                <w:rFonts w:cs="Arial"/>
              </w:rPr>
            </w:pPr>
            <w:r w:rsidRPr="00DB671B">
              <w:rPr>
                <w:rFonts w:cs="Arial"/>
              </w:rPr>
              <w:t>Car. 20</w:t>
            </w:r>
          </w:p>
        </w:tc>
        <w:tc>
          <w:tcPr>
            <w:tcW w:w="8226" w:type="dxa"/>
            <w:tcBorders>
              <w:top w:val="single" w:sz="4" w:space="0" w:color="auto"/>
              <w:left w:val="single" w:sz="4" w:space="0" w:color="auto"/>
              <w:bottom w:val="single" w:sz="4" w:space="0" w:color="auto"/>
              <w:right w:val="single" w:sz="4" w:space="0" w:color="auto"/>
            </w:tcBorders>
            <w:shd w:val="clear" w:color="auto" w:fill="auto"/>
          </w:tcPr>
          <w:p w:rsidR="00850B27" w:rsidRPr="00DB671B" w:rsidRDefault="00850B27" w:rsidP="00DB671B">
            <w:pPr>
              <w:keepNext/>
              <w:rPr>
                <w:rFonts w:cs="Arial"/>
              </w:rPr>
            </w:pPr>
            <w:r w:rsidRPr="00DB671B">
              <w:rPr>
                <w:rFonts w:cs="Arial"/>
              </w:rPr>
              <w:t>ajouter (*) (caractère de groupement)</w:t>
            </w:r>
          </w:p>
        </w:tc>
      </w:tr>
      <w:tr w:rsidR="00DB671B" w:rsidRPr="00DB671B" w:rsidTr="00DB671B">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rsidR="00850B27" w:rsidRPr="00DB671B" w:rsidDel="00F41D6D" w:rsidRDefault="00850B27" w:rsidP="00DB671B">
            <w:pPr>
              <w:jc w:val="left"/>
              <w:rPr>
                <w:rFonts w:cs="Arial"/>
              </w:rPr>
            </w:pPr>
            <w:r w:rsidRPr="00DB671B">
              <w:rPr>
                <w:rFonts w:cs="Arial"/>
              </w:rPr>
              <w:t>Car. 23</w:t>
            </w:r>
          </w:p>
        </w:tc>
        <w:tc>
          <w:tcPr>
            <w:tcW w:w="8226" w:type="dxa"/>
            <w:tcBorders>
              <w:top w:val="single" w:sz="4" w:space="0" w:color="auto"/>
              <w:left w:val="single" w:sz="4" w:space="0" w:color="auto"/>
              <w:bottom w:val="single" w:sz="4" w:space="0" w:color="auto"/>
              <w:right w:val="single" w:sz="4" w:space="0" w:color="auto"/>
            </w:tcBorders>
            <w:shd w:val="clear" w:color="auto" w:fill="auto"/>
          </w:tcPr>
          <w:p w:rsidR="00850B27" w:rsidRPr="00DB671B" w:rsidDel="00F41D6D" w:rsidRDefault="00850B27" w:rsidP="00DB671B">
            <w:pPr>
              <w:keepNext/>
              <w:rPr>
                <w:rFonts w:cs="Arial"/>
              </w:rPr>
            </w:pPr>
            <w:r w:rsidRPr="00DB671B">
              <w:rPr>
                <w:rFonts w:cs="Arial"/>
              </w:rPr>
              <w:t>à indiquer comme QN</w:t>
            </w:r>
          </w:p>
        </w:tc>
      </w:tr>
      <w:tr w:rsidR="00DB671B" w:rsidRPr="00DB671B" w:rsidTr="00DB671B">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rsidR="00850B27" w:rsidRPr="00DB671B" w:rsidRDefault="00850B27" w:rsidP="00DB671B">
            <w:pPr>
              <w:jc w:val="left"/>
              <w:rPr>
                <w:rFonts w:cs="Arial"/>
              </w:rPr>
            </w:pPr>
            <w:r w:rsidRPr="00DB671B">
              <w:rPr>
                <w:rFonts w:cs="Arial"/>
              </w:rPr>
              <w:t>Car. 24</w:t>
            </w:r>
          </w:p>
        </w:tc>
        <w:tc>
          <w:tcPr>
            <w:tcW w:w="8226" w:type="dxa"/>
            <w:tcBorders>
              <w:top w:val="single" w:sz="4" w:space="0" w:color="auto"/>
              <w:left w:val="single" w:sz="4" w:space="0" w:color="auto"/>
              <w:bottom w:val="single" w:sz="4" w:space="0" w:color="auto"/>
              <w:right w:val="single" w:sz="4" w:space="0" w:color="auto"/>
            </w:tcBorders>
            <w:shd w:val="clear" w:color="auto" w:fill="auto"/>
          </w:tcPr>
          <w:p w:rsidR="00850B27" w:rsidRPr="00DB671B" w:rsidRDefault="00850B27" w:rsidP="00DB671B">
            <w:pPr>
              <w:keepNext/>
              <w:rPr>
                <w:rFonts w:cs="Arial"/>
              </w:rPr>
            </w:pPr>
            <w:r w:rsidRPr="00DB671B">
              <w:rPr>
                <w:rFonts w:cs="Arial"/>
              </w:rPr>
              <w:t>Supprimer (aucune différence par rapport au car. 23)</w:t>
            </w:r>
          </w:p>
        </w:tc>
      </w:tr>
      <w:tr w:rsidR="00DB671B" w:rsidRPr="00DB671B" w:rsidTr="00DB671B">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rsidR="00850B27" w:rsidRPr="00DB671B" w:rsidRDefault="00850B27" w:rsidP="00DB671B">
            <w:pPr>
              <w:jc w:val="left"/>
              <w:rPr>
                <w:rFonts w:cs="Arial"/>
              </w:rPr>
            </w:pPr>
            <w:r w:rsidRPr="00DB671B">
              <w:rPr>
                <w:rFonts w:cs="Arial"/>
              </w:rPr>
              <w:t>Car. 25</w:t>
            </w:r>
          </w:p>
        </w:tc>
        <w:tc>
          <w:tcPr>
            <w:tcW w:w="8226" w:type="dxa"/>
            <w:tcBorders>
              <w:top w:val="single" w:sz="4" w:space="0" w:color="auto"/>
              <w:left w:val="single" w:sz="4" w:space="0" w:color="auto"/>
              <w:bottom w:val="single" w:sz="4" w:space="0" w:color="auto"/>
              <w:right w:val="single" w:sz="4" w:space="0" w:color="auto"/>
            </w:tcBorders>
            <w:shd w:val="clear" w:color="auto" w:fill="auto"/>
          </w:tcPr>
          <w:p w:rsidR="00850B27" w:rsidRPr="00DB671B" w:rsidRDefault="00850B27" w:rsidP="00DB671B">
            <w:pPr>
              <w:keepNext/>
              <w:rPr>
                <w:rFonts w:cs="Arial"/>
              </w:rPr>
            </w:pPr>
            <w:r w:rsidRPr="00DB671B">
              <w:rPr>
                <w:rFonts w:cs="Arial"/>
              </w:rPr>
              <w:t>Modifier comme suit : “Fruit : port des sépales”</w:t>
            </w:r>
          </w:p>
        </w:tc>
      </w:tr>
      <w:tr w:rsidR="00DB671B" w:rsidRPr="00DB671B" w:rsidTr="00DB671B">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rsidR="00850B27" w:rsidRPr="00DB671B" w:rsidRDefault="00850B27" w:rsidP="00DB671B">
            <w:pPr>
              <w:jc w:val="left"/>
              <w:rPr>
                <w:rFonts w:cs="Arial"/>
              </w:rPr>
            </w:pPr>
            <w:r w:rsidRPr="00DB671B">
              <w:rPr>
                <w:rFonts w:cs="Arial"/>
              </w:rPr>
              <w:t>Car. 30</w:t>
            </w:r>
          </w:p>
        </w:tc>
        <w:tc>
          <w:tcPr>
            <w:tcW w:w="8226" w:type="dxa"/>
            <w:tcBorders>
              <w:top w:val="single" w:sz="4" w:space="0" w:color="auto"/>
              <w:left w:val="single" w:sz="4" w:space="0" w:color="auto"/>
              <w:bottom w:val="single" w:sz="4" w:space="0" w:color="auto"/>
              <w:right w:val="single" w:sz="4" w:space="0" w:color="auto"/>
            </w:tcBorders>
            <w:shd w:val="clear" w:color="auto" w:fill="auto"/>
          </w:tcPr>
          <w:p w:rsidR="00850B27" w:rsidRPr="00DB671B" w:rsidRDefault="00850B27" w:rsidP="00DB671B">
            <w:pPr>
              <w:keepNext/>
              <w:rPr>
                <w:rFonts w:cs="Arial"/>
              </w:rPr>
            </w:pPr>
            <w:r w:rsidRPr="00DB671B">
              <w:rPr>
                <w:rFonts w:cs="Arial"/>
              </w:rPr>
              <w:t>Ajouter un nouveau niveau 1 “très mou”</w:t>
            </w:r>
          </w:p>
        </w:tc>
      </w:tr>
      <w:tr w:rsidR="00DB671B" w:rsidRPr="00DB671B" w:rsidTr="00DB671B">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rsidR="00850B27" w:rsidRPr="00DB671B" w:rsidRDefault="00850B27" w:rsidP="00DB671B">
            <w:pPr>
              <w:jc w:val="left"/>
              <w:rPr>
                <w:rFonts w:cs="Arial"/>
              </w:rPr>
            </w:pPr>
            <w:r w:rsidRPr="00DB671B">
              <w:rPr>
                <w:rFonts w:cs="Arial"/>
              </w:rPr>
              <w:t>Car. 33</w:t>
            </w:r>
          </w:p>
        </w:tc>
        <w:tc>
          <w:tcPr>
            <w:tcW w:w="8226" w:type="dxa"/>
            <w:tcBorders>
              <w:top w:val="single" w:sz="4" w:space="0" w:color="auto"/>
              <w:left w:val="single" w:sz="4" w:space="0" w:color="auto"/>
              <w:bottom w:val="single" w:sz="4" w:space="0" w:color="auto"/>
              <w:right w:val="single" w:sz="4" w:space="0" w:color="auto"/>
            </w:tcBorders>
            <w:shd w:val="clear" w:color="auto" w:fill="auto"/>
          </w:tcPr>
          <w:p w:rsidR="00850B27" w:rsidRPr="00DB671B" w:rsidRDefault="00850B27" w:rsidP="00DB671B">
            <w:pPr>
              <w:keepNext/>
              <w:rPr>
                <w:rFonts w:cs="Arial"/>
              </w:rPr>
            </w:pPr>
            <w:r w:rsidRPr="00DB671B">
              <w:rPr>
                <w:rFonts w:cs="Arial"/>
              </w:rPr>
              <w:t>ajouter (*) (caractère de groupement)</w:t>
            </w:r>
          </w:p>
        </w:tc>
      </w:tr>
      <w:tr w:rsidR="00DB671B" w:rsidRPr="00DB671B" w:rsidTr="00DB671B">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rsidR="00850B27" w:rsidRPr="00DB671B" w:rsidRDefault="00850B27" w:rsidP="00DB671B">
            <w:pPr>
              <w:jc w:val="left"/>
              <w:rPr>
                <w:rFonts w:cs="Arial"/>
              </w:rPr>
            </w:pPr>
            <w:r w:rsidRPr="00DB671B">
              <w:rPr>
                <w:rFonts w:cs="Arial"/>
              </w:rPr>
              <w:t>Car. 36</w:t>
            </w:r>
          </w:p>
        </w:tc>
        <w:tc>
          <w:tcPr>
            <w:tcW w:w="8226" w:type="dxa"/>
            <w:tcBorders>
              <w:top w:val="single" w:sz="4" w:space="0" w:color="auto"/>
              <w:left w:val="single" w:sz="4" w:space="0" w:color="auto"/>
              <w:bottom w:val="single" w:sz="4" w:space="0" w:color="auto"/>
              <w:right w:val="single" w:sz="4" w:space="0" w:color="auto"/>
            </w:tcBorders>
            <w:shd w:val="clear" w:color="auto" w:fill="auto"/>
          </w:tcPr>
          <w:p w:rsidR="00850B27" w:rsidRPr="00DB671B" w:rsidRDefault="00850B27" w:rsidP="00DB671B">
            <w:pPr>
              <w:keepNext/>
              <w:rPr>
                <w:rFonts w:cs="Arial"/>
              </w:rPr>
            </w:pPr>
            <w:r w:rsidRPr="00DB671B">
              <w:rPr>
                <w:rFonts w:cs="Arial"/>
              </w:rPr>
              <w:t>Supprimer le texte souligné “Seulement variétés…”</w:t>
            </w:r>
          </w:p>
        </w:tc>
      </w:tr>
      <w:tr w:rsidR="00DB671B" w:rsidRPr="00DB671B" w:rsidTr="00DB671B">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rsidR="00850B27" w:rsidRPr="00DB671B" w:rsidRDefault="00850B27" w:rsidP="00DB671B">
            <w:pPr>
              <w:jc w:val="left"/>
              <w:rPr>
                <w:rFonts w:cs="Arial"/>
              </w:rPr>
            </w:pPr>
            <w:r w:rsidRPr="00DB671B">
              <w:rPr>
                <w:rFonts w:cs="Arial"/>
              </w:rPr>
              <w:t>8.1 (a) – (f)</w:t>
            </w:r>
          </w:p>
        </w:tc>
        <w:tc>
          <w:tcPr>
            <w:tcW w:w="8226" w:type="dxa"/>
            <w:tcBorders>
              <w:top w:val="single" w:sz="4" w:space="0" w:color="auto"/>
              <w:left w:val="single" w:sz="4" w:space="0" w:color="auto"/>
              <w:bottom w:val="single" w:sz="4" w:space="0" w:color="auto"/>
              <w:right w:val="single" w:sz="4" w:space="0" w:color="auto"/>
            </w:tcBorders>
            <w:shd w:val="clear" w:color="auto" w:fill="auto"/>
          </w:tcPr>
          <w:p w:rsidR="00850B27" w:rsidRPr="00DB671B" w:rsidRDefault="00850B27" w:rsidP="00DB671B">
            <w:pPr>
              <w:keepNext/>
              <w:rPr>
                <w:rFonts w:cs="Arial"/>
              </w:rPr>
            </w:pPr>
            <w:r w:rsidRPr="00DB671B">
              <w:rPr>
                <w:rFonts w:cs="Arial"/>
              </w:rPr>
              <w:t>doit se lire “Les observations doivent être effectuées…”</w:t>
            </w:r>
          </w:p>
        </w:tc>
      </w:tr>
      <w:tr w:rsidR="00DB671B" w:rsidRPr="00DB671B" w:rsidTr="00DB671B">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rsidR="00850B27" w:rsidRPr="00DB671B" w:rsidRDefault="00850B27" w:rsidP="00DB671B">
            <w:pPr>
              <w:jc w:val="left"/>
              <w:rPr>
                <w:rFonts w:cs="Arial"/>
              </w:rPr>
            </w:pPr>
            <w:r w:rsidRPr="00DB671B">
              <w:rPr>
                <w:rFonts w:cs="Arial"/>
              </w:rPr>
              <w:t>8.1 (c)</w:t>
            </w:r>
          </w:p>
        </w:tc>
        <w:tc>
          <w:tcPr>
            <w:tcW w:w="8226" w:type="dxa"/>
            <w:tcBorders>
              <w:top w:val="single" w:sz="4" w:space="0" w:color="auto"/>
              <w:left w:val="single" w:sz="4" w:space="0" w:color="auto"/>
              <w:bottom w:val="single" w:sz="4" w:space="0" w:color="auto"/>
              <w:right w:val="single" w:sz="4" w:space="0" w:color="auto"/>
            </w:tcBorders>
            <w:shd w:val="clear" w:color="auto" w:fill="auto"/>
          </w:tcPr>
          <w:p w:rsidR="00850B27" w:rsidRPr="00DB671B" w:rsidRDefault="00850B27" w:rsidP="00DB671B">
            <w:pPr>
              <w:keepNext/>
              <w:rPr>
                <w:rFonts w:cs="Arial"/>
              </w:rPr>
            </w:pPr>
            <w:r w:rsidRPr="00DB671B">
              <w:rPr>
                <w:rFonts w:cs="Arial"/>
              </w:rPr>
              <w:t>Modifier le libellé comme suit : “…à l’époque de début de floraison”</w:t>
            </w:r>
          </w:p>
        </w:tc>
      </w:tr>
      <w:tr w:rsidR="00DB671B" w:rsidRPr="00DB671B" w:rsidTr="00DB671B">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rsidR="00850B27" w:rsidRPr="00DB671B" w:rsidRDefault="00850B27" w:rsidP="00DB671B">
            <w:pPr>
              <w:jc w:val="left"/>
              <w:rPr>
                <w:rFonts w:cs="Arial"/>
              </w:rPr>
            </w:pPr>
            <w:r w:rsidRPr="00DB671B">
              <w:rPr>
                <w:rFonts w:cs="Arial"/>
              </w:rPr>
              <w:t>8.1 (e), (f)</w:t>
            </w:r>
          </w:p>
        </w:tc>
        <w:tc>
          <w:tcPr>
            <w:tcW w:w="8226" w:type="dxa"/>
            <w:tcBorders>
              <w:top w:val="single" w:sz="4" w:space="0" w:color="auto"/>
              <w:left w:val="single" w:sz="4" w:space="0" w:color="auto"/>
              <w:bottom w:val="single" w:sz="4" w:space="0" w:color="auto"/>
              <w:right w:val="single" w:sz="4" w:space="0" w:color="auto"/>
            </w:tcBorders>
            <w:shd w:val="clear" w:color="auto" w:fill="auto"/>
          </w:tcPr>
          <w:p w:rsidR="00850B27" w:rsidRPr="00DB671B" w:rsidRDefault="00850B27" w:rsidP="00DB671B">
            <w:pPr>
              <w:keepNext/>
              <w:rPr>
                <w:rFonts w:cs="Arial"/>
              </w:rPr>
            </w:pPr>
            <w:r w:rsidRPr="00DB671B">
              <w:rPr>
                <w:rFonts w:cs="Arial"/>
              </w:rPr>
              <w:t>Déplacer au chapitre 8.2</w:t>
            </w:r>
          </w:p>
        </w:tc>
      </w:tr>
      <w:tr w:rsidR="00DB671B" w:rsidRPr="00DB671B" w:rsidTr="00DB671B">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rsidR="00850B27" w:rsidRPr="00DB671B" w:rsidRDefault="00850B27" w:rsidP="00DB671B">
            <w:pPr>
              <w:jc w:val="left"/>
              <w:rPr>
                <w:rFonts w:cs="Arial"/>
              </w:rPr>
            </w:pPr>
            <w:r w:rsidRPr="00DB671B">
              <w:rPr>
                <w:rFonts w:cs="Arial"/>
              </w:rPr>
              <w:t>Ad. 13</w:t>
            </w:r>
          </w:p>
        </w:tc>
        <w:tc>
          <w:tcPr>
            <w:tcW w:w="8226" w:type="dxa"/>
            <w:tcBorders>
              <w:top w:val="single" w:sz="4" w:space="0" w:color="auto"/>
              <w:left w:val="single" w:sz="4" w:space="0" w:color="auto"/>
              <w:bottom w:val="single" w:sz="4" w:space="0" w:color="auto"/>
              <w:right w:val="single" w:sz="4" w:space="0" w:color="auto"/>
            </w:tcBorders>
            <w:shd w:val="clear" w:color="auto" w:fill="auto"/>
          </w:tcPr>
          <w:p w:rsidR="00850B27" w:rsidRPr="00DB671B" w:rsidRDefault="00850B27" w:rsidP="00DB671B">
            <w:pPr>
              <w:keepNext/>
              <w:rPr>
                <w:rFonts w:cs="Arial"/>
              </w:rPr>
            </w:pPr>
            <w:r w:rsidRPr="00DB671B">
              <w:rPr>
                <w:rFonts w:cs="Arial"/>
              </w:rPr>
              <w:t xml:space="preserve">- supprimer l’indication “a” pour rameau </w:t>
            </w:r>
          </w:p>
          <w:p w:rsidR="00850B27" w:rsidRPr="00DB671B" w:rsidRDefault="00850B27" w:rsidP="00DB671B">
            <w:pPr>
              <w:keepNext/>
              <w:rPr>
                <w:rFonts w:cs="Arial"/>
              </w:rPr>
            </w:pPr>
            <w:r w:rsidRPr="00DB671B">
              <w:rPr>
                <w:rFonts w:cs="Arial"/>
              </w:rPr>
              <w:t>- supprimer “b” (conserver uniquement les lignes et la flèche)</w:t>
            </w:r>
          </w:p>
        </w:tc>
      </w:tr>
      <w:tr w:rsidR="00DB671B" w:rsidRPr="00DB671B" w:rsidTr="00DB671B">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rsidR="00850B27" w:rsidRPr="00DB671B" w:rsidRDefault="00850B27" w:rsidP="00DB671B">
            <w:pPr>
              <w:jc w:val="left"/>
              <w:rPr>
                <w:rFonts w:cs="Arial"/>
              </w:rPr>
            </w:pPr>
            <w:r w:rsidRPr="00DB671B">
              <w:rPr>
                <w:rFonts w:cs="Arial"/>
              </w:rPr>
              <w:t>Ad. 18</w:t>
            </w:r>
          </w:p>
        </w:tc>
        <w:tc>
          <w:tcPr>
            <w:tcW w:w="8226" w:type="dxa"/>
            <w:tcBorders>
              <w:top w:val="single" w:sz="4" w:space="0" w:color="auto"/>
              <w:left w:val="single" w:sz="4" w:space="0" w:color="auto"/>
              <w:bottom w:val="single" w:sz="4" w:space="0" w:color="auto"/>
              <w:right w:val="single" w:sz="4" w:space="0" w:color="auto"/>
            </w:tcBorders>
            <w:shd w:val="clear" w:color="auto" w:fill="auto"/>
          </w:tcPr>
          <w:p w:rsidR="00850B27" w:rsidRPr="00DB671B" w:rsidRDefault="00850B27" w:rsidP="00DB671B">
            <w:pPr>
              <w:keepNext/>
              <w:rPr>
                <w:rFonts w:cs="Arial"/>
              </w:rPr>
            </w:pPr>
            <w:r w:rsidRPr="00DB671B">
              <w:rPr>
                <w:rFonts w:cs="Arial"/>
              </w:rPr>
              <w:t>- supprimer la ligne en pointillés de la photo</w:t>
            </w:r>
          </w:p>
          <w:p w:rsidR="00850B27" w:rsidRPr="00DB671B" w:rsidRDefault="00850B27" w:rsidP="00DB671B">
            <w:pPr>
              <w:keepNext/>
              <w:rPr>
                <w:rFonts w:cs="Arial"/>
              </w:rPr>
            </w:pPr>
            <w:r w:rsidRPr="00DB671B">
              <w:rPr>
                <w:rFonts w:cs="Arial"/>
              </w:rPr>
              <w:t>- supprimer le dessin</w:t>
            </w:r>
          </w:p>
          <w:p w:rsidR="00850B27" w:rsidRPr="00DB671B" w:rsidRDefault="00850B27" w:rsidP="00DB671B">
            <w:pPr>
              <w:keepNext/>
              <w:rPr>
                <w:rFonts w:cs="Arial"/>
              </w:rPr>
            </w:pPr>
            <w:r w:rsidRPr="00DB671B">
              <w:rPr>
                <w:rFonts w:cs="Arial"/>
              </w:rPr>
              <w:t>- remplacer “a” par “cannelures”</w:t>
            </w:r>
          </w:p>
        </w:tc>
      </w:tr>
      <w:tr w:rsidR="00DB671B" w:rsidRPr="00DB671B" w:rsidTr="00DB671B">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rsidR="00850B27" w:rsidRPr="00DB671B" w:rsidRDefault="00850B27" w:rsidP="00DB671B">
            <w:pPr>
              <w:jc w:val="left"/>
              <w:rPr>
                <w:rFonts w:cs="Arial"/>
              </w:rPr>
            </w:pPr>
            <w:r w:rsidRPr="00DB671B">
              <w:rPr>
                <w:rFonts w:cs="Arial"/>
              </w:rPr>
              <w:t>Ad. 29</w:t>
            </w:r>
          </w:p>
        </w:tc>
        <w:tc>
          <w:tcPr>
            <w:tcW w:w="8226" w:type="dxa"/>
            <w:tcBorders>
              <w:top w:val="single" w:sz="4" w:space="0" w:color="auto"/>
              <w:left w:val="single" w:sz="4" w:space="0" w:color="auto"/>
              <w:bottom w:val="single" w:sz="4" w:space="0" w:color="auto"/>
              <w:right w:val="single" w:sz="4" w:space="0" w:color="auto"/>
            </w:tcBorders>
            <w:shd w:val="clear" w:color="auto" w:fill="auto"/>
          </w:tcPr>
          <w:p w:rsidR="00850B27" w:rsidRPr="00DB671B" w:rsidRDefault="00850B27" w:rsidP="00DB671B">
            <w:pPr>
              <w:keepNext/>
              <w:rPr>
                <w:rFonts w:cs="Arial"/>
              </w:rPr>
            </w:pPr>
            <w:r w:rsidRPr="00DB671B">
              <w:rPr>
                <w:rFonts w:cs="Arial"/>
              </w:rPr>
              <w:t>remplacer “porter sur la couleur du fruit” par “être effectuées”</w:t>
            </w:r>
          </w:p>
        </w:tc>
      </w:tr>
      <w:tr w:rsidR="00DB671B" w:rsidRPr="00DB671B" w:rsidTr="00DB671B">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rsidR="00850B27" w:rsidRPr="00DB671B" w:rsidRDefault="00850B27" w:rsidP="00DB671B">
            <w:pPr>
              <w:jc w:val="left"/>
              <w:rPr>
                <w:rFonts w:cs="Arial"/>
              </w:rPr>
            </w:pPr>
            <w:r w:rsidRPr="00DB671B">
              <w:rPr>
                <w:rFonts w:cs="Arial"/>
              </w:rPr>
              <w:t>Ad. 32</w:t>
            </w:r>
          </w:p>
        </w:tc>
        <w:tc>
          <w:tcPr>
            <w:tcW w:w="8226" w:type="dxa"/>
            <w:tcBorders>
              <w:top w:val="single" w:sz="4" w:space="0" w:color="auto"/>
              <w:left w:val="single" w:sz="4" w:space="0" w:color="auto"/>
              <w:bottom w:val="single" w:sz="4" w:space="0" w:color="auto"/>
              <w:right w:val="single" w:sz="4" w:space="0" w:color="auto"/>
            </w:tcBorders>
            <w:shd w:val="clear" w:color="auto" w:fill="auto"/>
          </w:tcPr>
          <w:p w:rsidR="00850B27" w:rsidRPr="00DB671B" w:rsidRDefault="00850B27" w:rsidP="00DB671B">
            <w:pPr>
              <w:keepNext/>
              <w:rPr>
                <w:rFonts w:cs="Arial"/>
              </w:rPr>
            </w:pPr>
            <w:r w:rsidRPr="00DB671B">
              <w:rPr>
                <w:rFonts w:cs="Arial"/>
              </w:rPr>
              <w:t>Remplacer “par ingestion” par “en goûtant”</w:t>
            </w:r>
          </w:p>
        </w:tc>
      </w:tr>
      <w:tr w:rsidR="00DB671B" w:rsidRPr="00DB671B" w:rsidTr="00DB671B">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rsidR="00850B27" w:rsidRPr="00DB671B" w:rsidRDefault="00850B27" w:rsidP="00DB671B">
            <w:pPr>
              <w:jc w:val="left"/>
              <w:rPr>
                <w:rFonts w:cs="Arial"/>
              </w:rPr>
            </w:pPr>
            <w:r w:rsidRPr="00DB671B">
              <w:rPr>
                <w:rFonts w:cs="Arial"/>
              </w:rPr>
              <w:t>9.</w:t>
            </w:r>
          </w:p>
        </w:tc>
        <w:tc>
          <w:tcPr>
            <w:tcW w:w="8226" w:type="dxa"/>
            <w:tcBorders>
              <w:top w:val="single" w:sz="4" w:space="0" w:color="auto"/>
              <w:left w:val="single" w:sz="4" w:space="0" w:color="auto"/>
              <w:bottom w:val="single" w:sz="4" w:space="0" w:color="auto"/>
              <w:right w:val="single" w:sz="4" w:space="0" w:color="auto"/>
            </w:tcBorders>
            <w:shd w:val="clear" w:color="auto" w:fill="auto"/>
          </w:tcPr>
          <w:p w:rsidR="00850B27" w:rsidRPr="00DB671B" w:rsidRDefault="00850B27" w:rsidP="00DB671B">
            <w:pPr>
              <w:keepNext/>
              <w:rPr>
                <w:rFonts w:cs="Arial"/>
              </w:rPr>
            </w:pPr>
            <w:r w:rsidRPr="00DB671B">
              <w:rPr>
                <w:rFonts w:cs="Arial"/>
              </w:rPr>
              <w:t>Code de pays de la dernière référence : GB</w:t>
            </w:r>
          </w:p>
        </w:tc>
      </w:tr>
    </w:tbl>
    <w:p w:rsidR="00850B27" w:rsidRPr="00DB671B" w:rsidRDefault="00850B27" w:rsidP="00DB671B">
      <w:pPr>
        <w:rPr>
          <w:rFonts w:cs="Arial"/>
        </w:rPr>
      </w:pPr>
    </w:p>
    <w:p w:rsidR="00850B27" w:rsidRPr="00DB671B" w:rsidRDefault="00850B27" w:rsidP="00DB671B">
      <w:pPr>
        <w:rPr>
          <w:rFonts w:cs="Arial"/>
        </w:rPr>
      </w:pPr>
    </w:p>
    <w:p w:rsidR="00850B27" w:rsidRPr="00DB671B" w:rsidRDefault="00850B27" w:rsidP="00DB671B">
      <w:pPr>
        <w:pStyle w:val="Heading2"/>
        <w:rPr>
          <w:rFonts w:cs="Arial"/>
          <w:snapToGrid w:val="0"/>
          <w:lang w:val="fr-FR"/>
        </w:rPr>
      </w:pPr>
      <w:r w:rsidRPr="00DB671B">
        <w:rPr>
          <w:rFonts w:cs="Arial"/>
          <w:snapToGrid w:val="0"/>
          <w:lang w:val="fr-FR"/>
        </w:rPr>
        <w:t xml:space="preserve">Principes directeurs d’examen adoptés à la cinquante-cinquième session du Comité technique </w:t>
      </w:r>
    </w:p>
    <w:p w:rsidR="00850B27" w:rsidRPr="00DB671B" w:rsidRDefault="00850B27" w:rsidP="00DB671B">
      <w:pPr>
        <w:pStyle w:val="Heading3"/>
        <w:rPr>
          <w:lang w:val="fr-FR"/>
        </w:rPr>
      </w:pPr>
    </w:p>
    <w:p w:rsidR="00850B27" w:rsidRPr="00DB671B" w:rsidRDefault="00850B27" w:rsidP="00DB671B">
      <w:pPr>
        <w:pStyle w:val="Heading3"/>
        <w:rPr>
          <w:lang w:val="fr-FR"/>
        </w:rPr>
      </w:pPr>
      <w:r w:rsidRPr="00DB671B">
        <w:rPr>
          <w:lang w:val="fr-FR"/>
        </w:rPr>
        <w:t>Révisions partielles</w:t>
      </w:r>
    </w:p>
    <w:p w:rsidR="00850B27" w:rsidRPr="00DB671B" w:rsidRDefault="00850B27" w:rsidP="00DB671B">
      <w:pPr>
        <w:rPr>
          <w:rFonts w:cs="Arial"/>
        </w:rPr>
      </w:pPr>
    </w:p>
    <w:tbl>
      <w:tblPr>
        <w:tblW w:w="9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9670"/>
      </w:tblGrid>
      <w:tr w:rsidR="00DB671B" w:rsidRPr="00DB671B" w:rsidTr="00DB671B">
        <w:trPr>
          <w:cantSplit/>
          <w:jc w:val="center"/>
        </w:trPr>
        <w:tc>
          <w:tcPr>
            <w:tcW w:w="9670" w:type="dxa"/>
            <w:shd w:val="clear" w:color="auto" w:fill="D9D9D9"/>
            <w:vAlign w:val="center"/>
          </w:tcPr>
          <w:p w:rsidR="00850B27" w:rsidRPr="00DB671B" w:rsidRDefault="00850B27" w:rsidP="00DB671B">
            <w:pPr>
              <w:pStyle w:val="BodyText"/>
              <w:keepNext/>
              <w:tabs>
                <w:tab w:val="left" w:pos="1849"/>
              </w:tabs>
              <w:ind w:left="1803" w:hanging="1803"/>
              <w:jc w:val="left"/>
              <w:rPr>
                <w:rFonts w:cs="Arial"/>
                <w:b/>
                <w:iCs/>
              </w:rPr>
            </w:pPr>
            <w:r w:rsidRPr="00DB671B">
              <w:rPr>
                <w:rFonts w:cs="Arial"/>
                <w:b/>
                <w:iCs/>
              </w:rPr>
              <w:t>TC/55/16</w:t>
            </w:r>
            <w:r w:rsidRPr="00DB671B">
              <w:rPr>
                <w:rFonts w:cs="Arial"/>
                <w:b/>
                <w:iCs/>
              </w:rPr>
              <w:tab/>
              <w:t>Révision partielle des principes directeurs du melon</w:t>
            </w:r>
          </w:p>
        </w:tc>
      </w:tr>
    </w:tbl>
    <w:p w:rsidR="00850B27" w:rsidRPr="00DB671B" w:rsidRDefault="00850B27" w:rsidP="00DB671B">
      <w:pPr>
        <w:keepNext/>
        <w:jc w:val="center"/>
        <w:rPr>
          <w:rFonts w:cs="Arial"/>
          <w:b/>
          <w:bCs/>
          <w:snapToGrid w:val="0"/>
        </w:rPr>
      </w:pPr>
    </w:p>
    <w:p w:rsidR="00850B27" w:rsidRPr="00DB671B" w:rsidRDefault="00850B27" w:rsidP="00DB671B">
      <w:pPr>
        <w:ind w:firstLine="567"/>
        <w:rPr>
          <w:rFonts w:cs="Arial"/>
        </w:rPr>
      </w:pPr>
      <w:r w:rsidRPr="00DB671B">
        <w:rPr>
          <w:rFonts w:cs="Arial"/>
        </w:rPr>
        <w:t>À sa réunion tenue à Genève en octobre 2019, le TC-EDC a examiné le document </w:t>
      </w:r>
      <w:r w:rsidRPr="00DB671B">
        <w:rPr>
          <w:rFonts w:cs="Arial"/>
          <w:caps/>
        </w:rPr>
        <w:t>TC/55/16</w:t>
      </w:r>
      <w:r w:rsidRPr="00DB671B">
        <w:rPr>
          <w:rFonts w:cs="Arial"/>
        </w:rPr>
        <w:t xml:space="preserve"> et a formulé les recommandations présentées dans le tableau ci-dessous :</w:t>
      </w:r>
    </w:p>
    <w:p w:rsidR="00850B27" w:rsidRPr="00DB671B" w:rsidRDefault="00850B27" w:rsidP="00DB671B">
      <w:pPr>
        <w:keepNext/>
        <w:jc w:val="center"/>
        <w:rPr>
          <w:rFonts w:cs="Arial"/>
          <w:b/>
          <w:bCs/>
          <w:snapToGrid w:val="0"/>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208"/>
      </w:tblGrid>
      <w:tr w:rsidR="00DB671B" w:rsidRPr="00DB671B" w:rsidTr="00DB671B">
        <w:trPr>
          <w:cantSplit/>
        </w:trPr>
        <w:tc>
          <w:tcPr>
            <w:tcW w:w="1573" w:type="dxa"/>
          </w:tcPr>
          <w:p w:rsidR="00850B27" w:rsidRPr="00DB671B" w:rsidRDefault="00850B27" w:rsidP="00DB671B">
            <w:pPr>
              <w:jc w:val="left"/>
              <w:rPr>
                <w:rFonts w:cs="Arial"/>
              </w:rPr>
            </w:pPr>
            <w:r w:rsidRPr="00DB671B">
              <w:rPr>
                <w:rFonts w:cs="Arial"/>
              </w:rPr>
              <w:t>Car. 75</w:t>
            </w:r>
          </w:p>
        </w:tc>
        <w:tc>
          <w:tcPr>
            <w:tcW w:w="8208" w:type="dxa"/>
          </w:tcPr>
          <w:p w:rsidR="00850B27" w:rsidRPr="00DB671B" w:rsidRDefault="00850B27" w:rsidP="00DB671B">
            <w:pPr>
              <w:keepNext/>
              <w:rPr>
                <w:rFonts w:cs="Arial"/>
              </w:rPr>
            </w:pPr>
            <w:r w:rsidRPr="00DB671B">
              <w:rPr>
                <w:rFonts w:cs="Arial"/>
              </w:rPr>
              <w:t>Remplacer la traduction espagnole du terme anglais “strain” par “cepa”</w:t>
            </w:r>
          </w:p>
        </w:tc>
      </w:tr>
      <w:tr w:rsidR="00DB671B" w:rsidRPr="00DB671B" w:rsidTr="00DB671B">
        <w:trPr>
          <w:cantSplit/>
        </w:trPr>
        <w:tc>
          <w:tcPr>
            <w:tcW w:w="1573" w:type="dxa"/>
          </w:tcPr>
          <w:p w:rsidR="00850B27" w:rsidRPr="00DB671B" w:rsidRDefault="00850B27" w:rsidP="00DB671B">
            <w:pPr>
              <w:jc w:val="left"/>
              <w:rPr>
                <w:rFonts w:cs="Arial"/>
              </w:rPr>
            </w:pPr>
            <w:r w:rsidRPr="00DB671B">
              <w:rPr>
                <w:rFonts w:cs="Arial"/>
              </w:rPr>
              <w:t>Ad. 75</w:t>
            </w:r>
          </w:p>
        </w:tc>
        <w:tc>
          <w:tcPr>
            <w:tcW w:w="8208" w:type="dxa"/>
          </w:tcPr>
          <w:p w:rsidR="00850B27" w:rsidRPr="00DB671B" w:rsidRDefault="00850B27" w:rsidP="00DB671B">
            <w:pPr>
              <w:keepNext/>
              <w:rPr>
                <w:rFonts w:cs="Arial"/>
              </w:rPr>
            </w:pPr>
            <w:r w:rsidRPr="00DB671B">
              <w:rPr>
                <w:rFonts w:cs="Arial"/>
              </w:rPr>
              <w:t>supprimer les éléments non obligatoires pour lesquels aucune information n’est fournie (p. ex. 2., 8.4)</w:t>
            </w:r>
          </w:p>
        </w:tc>
      </w:tr>
      <w:tr w:rsidR="00DB671B" w:rsidRPr="00DB671B" w:rsidTr="00DB671B">
        <w:trPr>
          <w:cantSplit/>
        </w:trPr>
        <w:tc>
          <w:tcPr>
            <w:tcW w:w="1573" w:type="dxa"/>
          </w:tcPr>
          <w:p w:rsidR="00850B27" w:rsidRPr="00DB671B" w:rsidRDefault="00850B27" w:rsidP="00DB671B">
            <w:pPr>
              <w:jc w:val="left"/>
              <w:rPr>
                <w:rFonts w:cs="Arial"/>
              </w:rPr>
            </w:pPr>
            <w:r w:rsidRPr="00DB671B">
              <w:rPr>
                <w:rFonts w:cs="Arial"/>
              </w:rPr>
              <w:t>Ad. 75, 13.</w:t>
            </w:r>
          </w:p>
        </w:tc>
        <w:tc>
          <w:tcPr>
            <w:tcW w:w="8208" w:type="dxa"/>
          </w:tcPr>
          <w:p w:rsidR="00850B27" w:rsidRPr="00DB671B" w:rsidRDefault="00850B27" w:rsidP="00DB671B">
            <w:pPr>
              <w:keepNext/>
              <w:rPr>
                <w:rFonts w:cs="Arial"/>
              </w:rPr>
            </w:pPr>
            <w:r w:rsidRPr="00DB671B">
              <w:rPr>
                <w:rFonts w:cs="Arial"/>
              </w:rPr>
              <w:t xml:space="preserve">Modifier le libellé comme suit : “Pour vérifier la nature de l’élément pathogène : Virgos est résistante au virus de la criblure du melon (MSVN) : 0 et est sensible à la nouvelle souche du virus de la criblure du melon.” </w:t>
            </w:r>
          </w:p>
        </w:tc>
      </w:tr>
    </w:tbl>
    <w:p w:rsidR="00850B27" w:rsidRPr="00DB671B" w:rsidRDefault="00850B27" w:rsidP="00DB671B">
      <w:pPr>
        <w:rPr>
          <w:rFonts w:eastAsia="Arial" w:cs="Arial"/>
          <w:u w:val="single"/>
        </w:rPr>
      </w:pPr>
    </w:p>
    <w:p w:rsidR="00850B27" w:rsidRPr="00DB671B" w:rsidRDefault="00850B27" w:rsidP="00DB671B">
      <w:pPr>
        <w:rPr>
          <w:rFonts w:eastAsia="Arial" w:cs="Arial"/>
          <w:u w:val="single"/>
        </w:rPr>
      </w:pPr>
    </w:p>
    <w:tbl>
      <w:tblPr>
        <w:tblW w:w="9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9670"/>
      </w:tblGrid>
      <w:tr w:rsidR="00DB671B" w:rsidRPr="00DB671B" w:rsidTr="00DB671B">
        <w:trPr>
          <w:cantSplit/>
          <w:jc w:val="center"/>
        </w:trPr>
        <w:tc>
          <w:tcPr>
            <w:tcW w:w="9670" w:type="dxa"/>
            <w:shd w:val="clear" w:color="auto" w:fill="D9D9D9"/>
            <w:vAlign w:val="center"/>
          </w:tcPr>
          <w:p w:rsidR="00850B27" w:rsidRPr="00DB671B" w:rsidRDefault="00850B27" w:rsidP="00DB671B">
            <w:pPr>
              <w:pStyle w:val="BodyText"/>
              <w:keepNext/>
              <w:tabs>
                <w:tab w:val="left" w:pos="1849"/>
              </w:tabs>
              <w:ind w:left="1803" w:hanging="1803"/>
              <w:jc w:val="left"/>
              <w:rPr>
                <w:rFonts w:cs="Arial"/>
                <w:b/>
                <w:iCs/>
              </w:rPr>
            </w:pPr>
            <w:r w:rsidRPr="00DB671B">
              <w:rPr>
                <w:rFonts w:cs="Arial"/>
                <w:b/>
                <w:iCs/>
              </w:rPr>
              <w:t>TC/55/18</w:t>
            </w:r>
            <w:r w:rsidRPr="00DB671B">
              <w:rPr>
                <w:rFonts w:cs="Arial"/>
                <w:b/>
                <w:iCs/>
              </w:rPr>
              <w:tab/>
              <w:t>Questions en suspens concernant les principes directeurs d’examen soumis au Comité technique pour adoption : Macadamia</w:t>
            </w:r>
          </w:p>
        </w:tc>
      </w:tr>
    </w:tbl>
    <w:p w:rsidR="00850B27" w:rsidRPr="00DB671B" w:rsidRDefault="00850B27" w:rsidP="00DB671B">
      <w:pPr>
        <w:keepNext/>
        <w:jc w:val="center"/>
        <w:rPr>
          <w:rFonts w:cs="Arial"/>
          <w:b/>
          <w:bCs/>
          <w:snapToGrid w:val="0"/>
        </w:rPr>
      </w:pPr>
    </w:p>
    <w:p w:rsidR="00850B27" w:rsidRPr="00DB671B" w:rsidRDefault="00850B27" w:rsidP="00DB671B">
      <w:pPr>
        <w:ind w:firstLine="567"/>
        <w:rPr>
          <w:rFonts w:cs="Arial"/>
        </w:rPr>
      </w:pPr>
      <w:r w:rsidRPr="00DB671B">
        <w:rPr>
          <w:rFonts w:cs="Arial"/>
        </w:rPr>
        <w:t>À sa réunion tenue à Genève en octobre 2019, le TC-EDC a examiné le document </w:t>
      </w:r>
      <w:r w:rsidRPr="00DB671B">
        <w:rPr>
          <w:rFonts w:cs="Arial"/>
          <w:caps/>
        </w:rPr>
        <w:t>TC/55/18</w:t>
      </w:r>
      <w:r w:rsidRPr="00DB671B">
        <w:rPr>
          <w:rFonts w:cs="Arial"/>
        </w:rPr>
        <w:t xml:space="preserve"> et a formulé les recommandations présentées dans le tableau ci-dessous :</w:t>
      </w:r>
    </w:p>
    <w:p w:rsidR="00850B27" w:rsidRPr="00DB671B" w:rsidRDefault="00850B27" w:rsidP="00DB671B">
      <w:pPr>
        <w:keepNext/>
        <w:jc w:val="center"/>
        <w:rPr>
          <w:rFonts w:cs="Arial"/>
          <w:b/>
          <w:bCs/>
          <w:snapToGrid w:val="0"/>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208"/>
      </w:tblGrid>
      <w:tr w:rsidR="00DB671B" w:rsidRPr="00DB671B" w:rsidTr="00DB671B">
        <w:trPr>
          <w:cantSplit/>
        </w:trPr>
        <w:tc>
          <w:tcPr>
            <w:tcW w:w="1573" w:type="dxa"/>
          </w:tcPr>
          <w:p w:rsidR="00850B27" w:rsidRPr="00DB671B" w:rsidRDefault="00850B27" w:rsidP="00DB671B">
            <w:pPr>
              <w:jc w:val="left"/>
              <w:rPr>
                <w:rFonts w:cs="Arial"/>
              </w:rPr>
            </w:pPr>
            <w:r w:rsidRPr="00DB671B">
              <w:rPr>
                <w:rFonts w:cs="Arial"/>
              </w:rPr>
              <w:t>Variétés indiquées à titre d’exemple</w:t>
            </w:r>
          </w:p>
        </w:tc>
        <w:tc>
          <w:tcPr>
            <w:tcW w:w="8208" w:type="dxa"/>
          </w:tcPr>
          <w:p w:rsidR="00850B27" w:rsidRPr="00DB671B" w:rsidRDefault="00850B27" w:rsidP="00DB671B">
            <w:pPr>
              <w:keepNext/>
              <w:rPr>
                <w:rFonts w:cs="Arial"/>
              </w:rPr>
            </w:pPr>
            <w:r w:rsidRPr="00DB671B">
              <w:rPr>
                <w:rFonts w:cs="Arial"/>
              </w:rPr>
              <w:t>Créer un nouveau chapitre 8.3 “Variétés indiquées à titre d’exemple et synonymes” avec le tableau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6"/>
              <w:gridCol w:w="2268"/>
            </w:tblGrid>
            <w:tr w:rsidR="00DB671B" w:rsidRPr="00DB671B" w:rsidTr="00DB671B">
              <w:tc>
                <w:tcPr>
                  <w:tcW w:w="1716" w:type="dxa"/>
                  <w:tcBorders>
                    <w:top w:val="single" w:sz="4" w:space="0" w:color="auto"/>
                    <w:left w:val="single" w:sz="4" w:space="0" w:color="auto"/>
                    <w:bottom w:val="single" w:sz="4" w:space="0" w:color="auto"/>
                    <w:right w:val="single" w:sz="4" w:space="0" w:color="auto"/>
                  </w:tcBorders>
                </w:tcPr>
                <w:p w:rsidR="00850B27" w:rsidRPr="00DB671B" w:rsidRDefault="00850B27" w:rsidP="00DB671B">
                  <w:pPr>
                    <w:rPr>
                      <w:rFonts w:cs="Arial"/>
                    </w:rPr>
                  </w:pPr>
                  <w:r w:rsidRPr="00DB671B">
                    <w:rPr>
                      <w:rFonts w:cs="Arial"/>
                    </w:rPr>
                    <w:t>variété indiquée à titre d’exemple</w:t>
                  </w:r>
                </w:p>
              </w:tc>
              <w:tc>
                <w:tcPr>
                  <w:tcW w:w="2268" w:type="dxa"/>
                  <w:tcBorders>
                    <w:top w:val="single" w:sz="4" w:space="0" w:color="auto"/>
                    <w:left w:val="single" w:sz="4" w:space="0" w:color="auto"/>
                    <w:bottom w:val="single" w:sz="4" w:space="0" w:color="auto"/>
                    <w:right w:val="single" w:sz="4" w:space="0" w:color="auto"/>
                  </w:tcBorders>
                </w:tcPr>
                <w:p w:rsidR="00850B27" w:rsidRPr="00DB671B" w:rsidRDefault="00850B27" w:rsidP="00DB671B">
                  <w:pPr>
                    <w:rPr>
                      <w:rFonts w:cs="Arial"/>
                    </w:rPr>
                  </w:pPr>
                  <w:r w:rsidRPr="00DB671B">
                    <w:rPr>
                      <w:rFonts w:cs="Arial"/>
                    </w:rPr>
                    <w:t>Synonyme</w:t>
                  </w:r>
                </w:p>
              </w:tc>
            </w:tr>
            <w:tr w:rsidR="00DB671B" w:rsidRPr="00DB671B" w:rsidTr="00DB671B">
              <w:tc>
                <w:tcPr>
                  <w:tcW w:w="1716" w:type="dxa"/>
                  <w:tcBorders>
                    <w:top w:val="single" w:sz="4" w:space="0" w:color="auto"/>
                    <w:left w:val="single" w:sz="4" w:space="0" w:color="auto"/>
                    <w:bottom w:val="single" w:sz="4" w:space="0" w:color="auto"/>
                    <w:right w:val="single" w:sz="4" w:space="0" w:color="auto"/>
                  </w:tcBorders>
                </w:tcPr>
                <w:p w:rsidR="00850B27" w:rsidRPr="00DB671B" w:rsidRDefault="00850B27" w:rsidP="00DB671B">
                  <w:pPr>
                    <w:rPr>
                      <w:rFonts w:cs="Arial"/>
                    </w:rPr>
                  </w:pPr>
                  <w:r w:rsidRPr="00DB671B">
                    <w:rPr>
                      <w:rFonts w:cs="Arial"/>
                    </w:rPr>
                    <w:t>Keauhou</w:t>
                  </w:r>
                </w:p>
              </w:tc>
              <w:tc>
                <w:tcPr>
                  <w:tcW w:w="2268" w:type="dxa"/>
                  <w:tcBorders>
                    <w:top w:val="single" w:sz="4" w:space="0" w:color="auto"/>
                    <w:left w:val="single" w:sz="4" w:space="0" w:color="auto"/>
                    <w:bottom w:val="single" w:sz="4" w:space="0" w:color="auto"/>
                    <w:right w:val="single" w:sz="4" w:space="0" w:color="auto"/>
                  </w:tcBorders>
                  <w:hideMark/>
                </w:tcPr>
                <w:p w:rsidR="00850B27" w:rsidRPr="00DB671B" w:rsidRDefault="00850B27" w:rsidP="00DB671B">
                  <w:pPr>
                    <w:rPr>
                      <w:rFonts w:cs="Arial"/>
                    </w:rPr>
                  </w:pPr>
                  <w:r w:rsidRPr="00DB671B">
                    <w:rPr>
                      <w:rFonts w:cs="Arial"/>
                    </w:rPr>
                    <w:t>HAES 246</w:t>
                  </w:r>
                </w:p>
              </w:tc>
            </w:tr>
            <w:tr w:rsidR="00DB671B" w:rsidRPr="00DB671B" w:rsidTr="00DB671B">
              <w:tc>
                <w:tcPr>
                  <w:tcW w:w="1716" w:type="dxa"/>
                  <w:tcBorders>
                    <w:top w:val="single" w:sz="4" w:space="0" w:color="auto"/>
                    <w:left w:val="single" w:sz="4" w:space="0" w:color="auto"/>
                    <w:bottom w:val="single" w:sz="4" w:space="0" w:color="auto"/>
                    <w:right w:val="single" w:sz="4" w:space="0" w:color="auto"/>
                  </w:tcBorders>
                </w:tcPr>
                <w:p w:rsidR="00850B27" w:rsidRPr="00DB671B" w:rsidRDefault="00850B27" w:rsidP="00DB671B">
                  <w:pPr>
                    <w:rPr>
                      <w:rFonts w:cs="Arial"/>
                    </w:rPr>
                  </w:pPr>
                  <w:r w:rsidRPr="00DB671B">
                    <w:rPr>
                      <w:rFonts w:cs="Arial"/>
                    </w:rPr>
                    <w:t>Ikaika</w:t>
                  </w:r>
                </w:p>
              </w:tc>
              <w:tc>
                <w:tcPr>
                  <w:tcW w:w="2268" w:type="dxa"/>
                  <w:tcBorders>
                    <w:top w:val="single" w:sz="4" w:space="0" w:color="auto"/>
                    <w:left w:val="single" w:sz="4" w:space="0" w:color="auto"/>
                    <w:bottom w:val="single" w:sz="4" w:space="0" w:color="auto"/>
                    <w:right w:val="single" w:sz="4" w:space="0" w:color="auto"/>
                  </w:tcBorders>
                  <w:hideMark/>
                </w:tcPr>
                <w:p w:rsidR="00850B27" w:rsidRPr="00DB671B" w:rsidRDefault="00850B27" w:rsidP="00DB671B">
                  <w:pPr>
                    <w:rPr>
                      <w:rFonts w:cs="Arial"/>
                    </w:rPr>
                  </w:pPr>
                  <w:r w:rsidRPr="00DB671B">
                    <w:rPr>
                      <w:rFonts w:cs="Arial"/>
                    </w:rPr>
                    <w:t>HAES 333</w:t>
                  </w:r>
                </w:p>
              </w:tc>
            </w:tr>
            <w:tr w:rsidR="00DB671B" w:rsidRPr="00DB671B" w:rsidTr="00DB671B">
              <w:tc>
                <w:tcPr>
                  <w:tcW w:w="1716" w:type="dxa"/>
                  <w:tcBorders>
                    <w:top w:val="single" w:sz="4" w:space="0" w:color="auto"/>
                    <w:left w:val="single" w:sz="4" w:space="0" w:color="auto"/>
                    <w:bottom w:val="single" w:sz="4" w:space="0" w:color="auto"/>
                    <w:right w:val="single" w:sz="4" w:space="0" w:color="auto"/>
                  </w:tcBorders>
                </w:tcPr>
                <w:p w:rsidR="00850B27" w:rsidRPr="00DB671B" w:rsidRDefault="00850B27" w:rsidP="00DB671B">
                  <w:pPr>
                    <w:rPr>
                      <w:rFonts w:cs="Arial"/>
                    </w:rPr>
                  </w:pPr>
                  <w:r w:rsidRPr="00DB671B">
                    <w:rPr>
                      <w:rFonts w:cs="Arial"/>
                    </w:rPr>
                    <w:t>Keaau</w:t>
                  </w:r>
                </w:p>
              </w:tc>
              <w:tc>
                <w:tcPr>
                  <w:tcW w:w="2268" w:type="dxa"/>
                  <w:tcBorders>
                    <w:top w:val="single" w:sz="4" w:space="0" w:color="auto"/>
                    <w:left w:val="single" w:sz="4" w:space="0" w:color="auto"/>
                    <w:bottom w:val="single" w:sz="4" w:space="0" w:color="auto"/>
                    <w:right w:val="single" w:sz="4" w:space="0" w:color="auto"/>
                  </w:tcBorders>
                  <w:hideMark/>
                </w:tcPr>
                <w:p w:rsidR="00850B27" w:rsidRPr="00DB671B" w:rsidRDefault="00850B27" w:rsidP="00DB671B">
                  <w:pPr>
                    <w:rPr>
                      <w:rFonts w:cs="Arial"/>
                    </w:rPr>
                  </w:pPr>
                  <w:r w:rsidRPr="00DB671B">
                    <w:rPr>
                      <w:rFonts w:cs="Arial"/>
                    </w:rPr>
                    <w:t>HAES 660</w:t>
                  </w:r>
                </w:p>
              </w:tc>
            </w:tr>
          </w:tbl>
          <w:p w:rsidR="00850B27" w:rsidRPr="00DB671B" w:rsidRDefault="00850B27" w:rsidP="00DB671B">
            <w:pPr>
              <w:keepNext/>
              <w:rPr>
                <w:rFonts w:cs="Arial"/>
              </w:rPr>
            </w:pPr>
          </w:p>
        </w:tc>
      </w:tr>
    </w:tbl>
    <w:p w:rsidR="00850B27" w:rsidRPr="00DB671B" w:rsidRDefault="00850B27" w:rsidP="00DB671B">
      <w:pPr>
        <w:rPr>
          <w:rFonts w:eastAsia="Arial" w:cs="Arial"/>
          <w:u w:val="single"/>
        </w:rPr>
      </w:pPr>
    </w:p>
    <w:p w:rsidR="00850B27" w:rsidRPr="00DB671B" w:rsidRDefault="00850B27" w:rsidP="00DB671B">
      <w:pPr>
        <w:rPr>
          <w:rFonts w:eastAsia="Arial" w:cs="Arial"/>
          <w:u w:val="single"/>
        </w:rPr>
      </w:pPr>
    </w:p>
    <w:tbl>
      <w:tblPr>
        <w:tblW w:w="9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9670"/>
      </w:tblGrid>
      <w:tr w:rsidR="00DB671B" w:rsidRPr="00DB671B" w:rsidTr="00DB671B">
        <w:trPr>
          <w:cantSplit/>
          <w:jc w:val="center"/>
        </w:trPr>
        <w:tc>
          <w:tcPr>
            <w:tcW w:w="9670" w:type="dxa"/>
            <w:shd w:val="clear" w:color="auto" w:fill="D9D9D9"/>
            <w:vAlign w:val="center"/>
          </w:tcPr>
          <w:p w:rsidR="00850B27" w:rsidRPr="00DB671B" w:rsidRDefault="00850B27" w:rsidP="00DB671B">
            <w:pPr>
              <w:pStyle w:val="BodyText"/>
              <w:keepNext/>
              <w:tabs>
                <w:tab w:val="left" w:pos="1849"/>
              </w:tabs>
              <w:ind w:left="1803" w:hanging="1803"/>
              <w:jc w:val="left"/>
              <w:rPr>
                <w:rFonts w:cs="Arial"/>
                <w:b/>
                <w:iCs/>
              </w:rPr>
            </w:pPr>
            <w:r w:rsidRPr="00DB671B">
              <w:rPr>
                <w:rFonts w:cs="Arial"/>
                <w:b/>
                <w:iCs/>
              </w:rPr>
              <w:t>TC/55/19</w:t>
            </w:r>
            <w:r w:rsidRPr="00DB671B">
              <w:rPr>
                <w:rFonts w:cs="Arial"/>
                <w:b/>
                <w:iCs/>
              </w:rPr>
              <w:tab/>
              <w:t>Révision partielle des principes directeurs d’examen de l’oranger</w:t>
            </w:r>
            <w:r w:rsidRPr="00DB671B">
              <w:rPr>
                <w:rStyle w:val="Fuentedeprrafopredeter"/>
                <w:rFonts w:cs="Arial"/>
                <w:b/>
                <w:i/>
              </w:rPr>
              <w:t xml:space="preserve"> </w:t>
            </w:r>
            <w:r w:rsidRPr="00DB671B">
              <w:rPr>
                <w:rStyle w:val="Fuentedeprrafopredeter"/>
                <w:rFonts w:cs="Arial"/>
                <w:b/>
              </w:rPr>
              <w:t>(</w:t>
            </w:r>
            <w:r w:rsidRPr="00DB671B">
              <w:rPr>
                <w:rStyle w:val="Fuentedeprrafopredeter"/>
                <w:rFonts w:cs="Arial"/>
                <w:b/>
                <w:i/>
              </w:rPr>
              <w:t>Citrus</w:t>
            </w:r>
            <w:r w:rsidRPr="00DB671B">
              <w:rPr>
                <w:rFonts w:cs="Arial"/>
                <w:b/>
              </w:rPr>
              <w:t xml:space="preserve"> L. – Group 2)</w:t>
            </w:r>
          </w:p>
        </w:tc>
      </w:tr>
    </w:tbl>
    <w:p w:rsidR="00850B27" w:rsidRPr="00DB671B" w:rsidRDefault="00850B27" w:rsidP="00DB671B">
      <w:pPr>
        <w:keepNext/>
        <w:jc w:val="center"/>
        <w:rPr>
          <w:rFonts w:cs="Arial"/>
          <w:b/>
          <w:bCs/>
          <w:snapToGrid w:val="0"/>
        </w:rPr>
      </w:pPr>
    </w:p>
    <w:p w:rsidR="00850B27" w:rsidRPr="00DB671B" w:rsidRDefault="00850B27" w:rsidP="00DB671B">
      <w:pPr>
        <w:ind w:firstLine="567"/>
        <w:rPr>
          <w:rFonts w:cs="Arial"/>
        </w:rPr>
      </w:pPr>
      <w:r w:rsidRPr="00DB671B">
        <w:rPr>
          <w:rFonts w:cs="Arial"/>
        </w:rPr>
        <w:t>À sa réunion tenue à Genève en octobre 2019, le TC-EDC a examiné le document </w:t>
      </w:r>
      <w:r w:rsidRPr="00DB671B">
        <w:rPr>
          <w:rFonts w:cs="Arial"/>
          <w:caps/>
        </w:rPr>
        <w:t>TC/55/19</w:t>
      </w:r>
      <w:r w:rsidRPr="00DB671B">
        <w:rPr>
          <w:rFonts w:cs="Arial"/>
        </w:rPr>
        <w:t xml:space="preserve"> et a formulé les recommandations présentées dans le tableau ci-dessous :</w:t>
      </w:r>
    </w:p>
    <w:p w:rsidR="00850B27" w:rsidRPr="00DB671B" w:rsidRDefault="00850B27" w:rsidP="00DB671B">
      <w:pPr>
        <w:keepNext/>
        <w:jc w:val="center"/>
        <w:rPr>
          <w:rFonts w:cs="Arial"/>
          <w:b/>
          <w:bCs/>
          <w:snapToGrid w:val="0"/>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208"/>
      </w:tblGrid>
      <w:tr w:rsidR="00DB671B" w:rsidRPr="00DB671B" w:rsidTr="00DB671B">
        <w:trPr>
          <w:cantSplit/>
        </w:trPr>
        <w:tc>
          <w:tcPr>
            <w:tcW w:w="1573" w:type="dxa"/>
          </w:tcPr>
          <w:p w:rsidR="00850B27" w:rsidRPr="00DB671B" w:rsidRDefault="00850B27" w:rsidP="00DB671B">
            <w:pPr>
              <w:jc w:val="left"/>
              <w:rPr>
                <w:rFonts w:cs="Arial"/>
              </w:rPr>
            </w:pPr>
            <w:r w:rsidRPr="00DB671B">
              <w:rPr>
                <w:rFonts w:cs="Arial"/>
              </w:rPr>
              <w:t>Car. 56</w:t>
            </w:r>
          </w:p>
        </w:tc>
        <w:tc>
          <w:tcPr>
            <w:tcW w:w="8208" w:type="dxa"/>
          </w:tcPr>
          <w:p w:rsidR="00850B27" w:rsidRPr="00DB671B" w:rsidRDefault="00850B27" w:rsidP="00DB671B">
            <w:pPr>
              <w:keepNext/>
              <w:rPr>
                <w:rFonts w:cs="Arial"/>
              </w:rPr>
            </w:pPr>
            <w:r w:rsidRPr="00DB671B">
              <w:rPr>
                <w:rFonts w:cs="Arial"/>
              </w:rPr>
              <w:t xml:space="preserve">Supprimer le texte “sur les glandes à huile” également dans les caractères 58 et 59 (idem que dans le caractère 57) (Le “tableau général des caractères” figurant à l’annexe devrait également être modifié) </w:t>
            </w:r>
          </w:p>
        </w:tc>
      </w:tr>
      <w:tr w:rsidR="00DB671B" w:rsidRPr="00DB671B" w:rsidTr="00DB671B">
        <w:trPr>
          <w:cantSplit/>
        </w:trPr>
        <w:tc>
          <w:tcPr>
            <w:tcW w:w="1573" w:type="dxa"/>
          </w:tcPr>
          <w:p w:rsidR="00850B27" w:rsidRPr="00DB671B" w:rsidRDefault="00850B27" w:rsidP="00DB671B">
            <w:pPr>
              <w:jc w:val="left"/>
              <w:rPr>
                <w:rFonts w:cs="Arial"/>
              </w:rPr>
            </w:pPr>
            <w:r w:rsidRPr="00DB671B">
              <w:rPr>
                <w:rFonts w:cs="Arial"/>
              </w:rPr>
              <w:t>Ad. 26</w:t>
            </w:r>
          </w:p>
        </w:tc>
        <w:tc>
          <w:tcPr>
            <w:tcW w:w="8208" w:type="dxa"/>
          </w:tcPr>
          <w:p w:rsidR="00850B27" w:rsidRPr="00DB671B" w:rsidRDefault="00850B27" w:rsidP="00DB671B">
            <w:pPr>
              <w:keepNext/>
              <w:rPr>
                <w:rFonts w:cs="Arial"/>
              </w:rPr>
            </w:pPr>
            <w:r w:rsidRPr="00DB671B">
              <w:rPr>
                <w:rFonts w:cs="Arial"/>
              </w:rPr>
              <w:t>Déplacer la dernière phrase (référence à la publication Brewbaker) dans la “Bibliographie”</w:t>
            </w:r>
          </w:p>
        </w:tc>
      </w:tr>
    </w:tbl>
    <w:p w:rsidR="00850B27" w:rsidRPr="00DB671B" w:rsidRDefault="00850B27" w:rsidP="00DB671B">
      <w:pPr>
        <w:rPr>
          <w:rFonts w:eastAsia="Arial" w:cs="Arial"/>
          <w:u w:val="single"/>
        </w:rPr>
      </w:pPr>
    </w:p>
    <w:p w:rsidR="00850B27" w:rsidRPr="00DB671B" w:rsidRDefault="00850B27" w:rsidP="00DB671B">
      <w:pPr>
        <w:rPr>
          <w:rFonts w:eastAsia="Arial" w:cs="Arial"/>
          <w:u w:val="single"/>
        </w:rPr>
      </w:pPr>
    </w:p>
    <w:tbl>
      <w:tblPr>
        <w:tblW w:w="9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9670"/>
      </w:tblGrid>
      <w:tr w:rsidR="00DB671B" w:rsidRPr="00DB671B" w:rsidTr="00DB671B">
        <w:trPr>
          <w:cantSplit/>
          <w:jc w:val="center"/>
        </w:trPr>
        <w:tc>
          <w:tcPr>
            <w:tcW w:w="9670" w:type="dxa"/>
            <w:shd w:val="clear" w:color="auto" w:fill="D9D9D9"/>
            <w:vAlign w:val="center"/>
          </w:tcPr>
          <w:p w:rsidR="00850B27" w:rsidRPr="00DB671B" w:rsidRDefault="00850B27" w:rsidP="00DB671B">
            <w:pPr>
              <w:pStyle w:val="BodyText"/>
              <w:keepNext/>
              <w:tabs>
                <w:tab w:val="left" w:pos="1849"/>
              </w:tabs>
              <w:ind w:left="1803" w:hanging="1803"/>
              <w:jc w:val="left"/>
              <w:rPr>
                <w:rFonts w:cs="Arial"/>
                <w:b/>
                <w:iCs/>
              </w:rPr>
            </w:pPr>
            <w:r w:rsidRPr="00DB671B">
              <w:rPr>
                <w:rFonts w:cs="Arial"/>
                <w:b/>
                <w:iCs/>
              </w:rPr>
              <w:t>TC/55/20</w:t>
            </w:r>
            <w:r w:rsidRPr="00DB671B">
              <w:rPr>
                <w:rFonts w:cs="Arial"/>
                <w:b/>
                <w:iCs/>
              </w:rPr>
              <w:tab/>
              <w:t xml:space="preserve">Révision partielle des principes directeurs d’examen du pomelo et pamplemoussier </w:t>
            </w:r>
            <w:r w:rsidRPr="00DB671B">
              <w:rPr>
                <w:rFonts w:cs="Arial"/>
                <w:b/>
              </w:rPr>
              <w:t>(</w:t>
            </w:r>
            <w:r w:rsidRPr="00DB671B">
              <w:rPr>
                <w:rStyle w:val="Fuentedeprrafopredeter"/>
                <w:rFonts w:cs="Arial"/>
                <w:b/>
                <w:i/>
              </w:rPr>
              <w:t xml:space="preserve">Citrus </w:t>
            </w:r>
            <w:r w:rsidRPr="00DB671B">
              <w:rPr>
                <w:rFonts w:cs="Arial"/>
                <w:b/>
              </w:rPr>
              <w:t>L. – Group 4)</w:t>
            </w:r>
          </w:p>
        </w:tc>
      </w:tr>
    </w:tbl>
    <w:p w:rsidR="00850B27" w:rsidRPr="00DB671B" w:rsidRDefault="00850B27" w:rsidP="00DB671B">
      <w:pPr>
        <w:keepNext/>
        <w:jc w:val="center"/>
        <w:rPr>
          <w:rFonts w:cs="Arial"/>
          <w:b/>
          <w:bCs/>
          <w:snapToGrid w:val="0"/>
        </w:rPr>
      </w:pPr>
    </w:p>
    <w:p w:rsidR="00850B27" w:rsidRPr="00DB671B" w:rsidRDefault="00850B27" w:rsidP="00DB671B">
      <w:pPr>
        <w:ind w:firstLine="567"/>
        <w:rPr>
          <w:rFonts w:cs="Arial"/>
        </w:rPr>
      </w:pPr>
      <w:r w:rsidRPr="00DB671B">
        <w:rPr>
          <w:rFonts w:cs="Arial"/>
        </w:rPr>
        <w:t>À sa réunion tenue à Genève en octobre 2019, le TC-EDC a examiné le document </w:t>
      </w:r>
      <w:r w:rsidRPr="00DB671B">
        <w:rPr>
          <w:rFonts w:cs="Arial"/>
          <w:caps/>
        </w:rPr>
        <w:t>TC/55/20</w:t>
      </w:r>
      <w:r w:rsidRPr="00DB671B">
        <w:rPr>
          <w:rFonts w:cs="Arial"/>
        </w:rPr>
        <w:t xml:space="preserve"> et a formulé les recommandations présentées dans le tableau ci-dessous :</w:t>
      </w:r>
    </w:p>
    <w:p w:rsidR="00850B27" w:rsidRPr="00DB671B" w:rsidRDefault="00850B27" w:rsidP="00DB671B">
      <w:pPr>
        <w:keepNext/>
        <w:jc w:val="center"/>
        <w:rPr>
          <w:rFonts w:cs="Arial"/>
          <w:b/>
          <w:bCs/>
          <w:snapToGrid w:val="0"/>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208"/>
      </w:tblGrid>
      <w:tr w:rsidR="00DB671B" w:rsidRPr="00DB671B" w:rsidTr="00DB671B">
        <w:trPr>
          <w:cantSplit/>
        </w:trPr>
        <w:tc>
          <w:tcPr>
            <w:tcW w:w="1573" w:type="dxa"/>
          </w:tcPr>
          <w:p w:rsidR="00850B27" w:rsidRPr="00DB671B" w:rsidRDefault="00850B27" w:rsidP="00DB671B">
            <w:pPr>
              <w:jc w:val="left"/>
              <w:rPr>
                <w:rFonts w:cs="Arial"/>
              </w:rPr>
            </w:pPr>
            <w:r w:rsidRPr="00DB671B">
              <w:rPr>
                <w:rFonts w:cs="Arial"/>
              </w:rPr>
              <w:t>Ad. 30</w:t>
            </w:r>
          </w:p>
        </w:tc>
        <w:tc>
          <w:tcPr>
            <w:tcW w:w="8208" w:type="dxa"/>
          </w:tcPr>
          <w:p w:rsidR="00850B27" w:rsidRPr="00DB671B" w:rsidRDefault="00850B27" w:rsidP="00DB671B">
            <w:pPr>
              <w:keepNext/>
              <w:rPr>
                <w:rFonts w:cs="Arial"/>
              </w:rPr>
            </w:pPr>
            <w:r w:rsidRPr="00DB671B">
              <w:rPr>
                <w:rFonts w:cs="Arial"/>
              </w:rPr>
              <w:t>Déplacer la dernière phrase (référence à la publication Brewbaker) dans la “Bibliographie”</w:t>
            </w:r>
          </w:p>
        </w:tc>
      </w:tr>
    </w:tbl>
    <w:p w:rsidR="00850B27" w:rsidRPr="00DB671B" w:rsidRDefault="00850B27" w:rsidP="00DB671B">
      <w:pPr>
        <w:rPr>
          <w:rFonts w:eastAsia="Arial" w:cs="Arial"/>
          <w:u w:val="single"/>
        </w:rPr>
      </w:pPr>
    </w:p>
    <w:p w:rsidR="00850B27" w:rsidRPr="00DB671B" w:rsidRDefault="00850B27" w:rsidP="00DB671B">
      <w:pPr>
        <w:rPr>
          <w:rFonts w:eastAsia="Arial" w:cs="Arial"/>
          <w:u w:val="single"/>
        </w:rPr>
      </w:pPr>
    </w:p>
    <w:tbl>
      <w:tblPr>
        <w:tblW w:w="9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9670"/>
      </w:tblGrid>
      <w:tr w:rsidR="00DB671B" w:rsidRPr="00DB671B" w:rsidTr="00DB671B">
        <w:trPr>
          <w:cantSplit/>
          <w:jc w:val="center"/>
        </w:trPr>
        <w:tc>
          <w:tcPr>
            <w:tcW w:w="9670" w:type="dxa"/>
            <w:shd w:val="clear" w:color="auto" w:fill="D9D9D9"/>
            <w:vAlign w:val="center"/>
          </w:tcPr>
          <w:p w:rsidR="00850B27" w:rsidRPr="00DB671B" w:rsidRDefault="00850B27" w:rsidP="00DB671B">
            <w:pPr>
              <w:pStyle w:val="BodyText"/>
              <w:keepNext/>
              <w:tabs>
                <w:tab w:val="left" w:pos="1849"/>
              </w:tabs>
              <w:ind w:left="1803" w:hanging="1803"/>
              <w:jc w:val="left"/>
              <w:rPr>
                <w:rFonts w:cs="Arial"/>
                <w:b/>
                <w:iCs/>
              </w:rPr>
            </w:pPr>
            <w:r w:rsidRPr="00DB671B">
              <w:rPr>
                <w:rFonts w:cs="Arial"/>
                <w:b/>
                <w:iCs/>
              </w:rPr>
              <w:t>TC/55/21</w:t>
            </w:r>
            <w:r w:rsidRPr="00DB671B">
              <w:rPr>
                <w:rFonts w:cs="Arial"/>
                <w:b/>
                <w:iCs/>
              </w:rPr>
              <w:tab/>
              <w:t>Révision partielle des principes directeurs d’examen de l’orchidée papillon</w:t>
            </w:r>
          </w:p>
        </w:tc>
      </w:tr>
    </w:tbl>
    <w:p w:rsidR="00850B27" w:rsidRPr="00DB671B" w:rsidRDefault="00850B27" w:rsidP="00DB671B">
      <w:pPr>
        <w:keepNext/>
        <w:jc w:val="center"/>
        <w:rPr>
          <w:rFonts w:cs="Arial"/>
          <w:b/>
          <w:bCs/>
          <w:snapToGrid w:val="0"/>
        </w:rPr>
      </w:pPr>
    </w:p>
    <w:p w:rsidR="00850B27" w:rsidRPr="00DB671B" w:rsidRDefault="00850B27" w:rsidP="00DB671B">
      <w:pPr>
        <w:ind w:firstLine="567"/>
        <w:rPr>
          <w:rFonts w:cs="Arial"/>
        </w:rPr>
      </w:pPr>
      <w:r w:rsidRPr="00DB671B">
        <w:rPr>
          <w:rFonts w:cs="Arial"/>
        </w:rPr>
        <w:t>À sa réunion tenue à Genève en octobre 2019, le TC-EDC a examiné le document </w:t>
      </w:r>
      <w:r w:rsidRPr="00DB671B">
        <w:rPr>
          <w:rFonts w:cs="Arial"/>
          <w:caps/>
        </w:rPr>
        <w:t>TC/55/21</w:t>
      </w:r>
      <w:r w:rsidRPr="00DB671B">
        <w:rPr>
          <w:rFonts w:cs="Arial"/>
        </w:rPr>
        <w:t xml:space="preserve"> et a formulé les recommandations présentées dans le tableau ci-dessous :</w:t>
      </w:r>
    </w:p>
    <w:p w:rsidR="00850B27" w:rsidRPr="00DB671B" w:rsidRDefault="00850B27" w:rsidP="00DB671B">
      <w:pPr>
        <w:keepNext/>
        <w:jc w:val="center"/>
        <w:rPr>
          <w:rFonts w:cs="Arial"/>
          <w:b/>
          <w:bCs/>
          <w:snapToGrid w:val="0"/>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208"/>
      </w:tblGrid>
      <w:tr w:rsidR="00DB671B" w:rsidRPr="00DB671B" w:rsidTr="00DB671B">
        <w:trPr>
          <w:cantSplit/>
        </w:trPr>
        <w:tc>
          <w:tcPr>
            <w:tcW w:w="1573" w:type="dxa"/>
          </w:tcPr>
          <w:p w:rsidR="00850B27" w:rsidRPr="00DB671B" w:rsidRDefault="00850B27" w:rsidP="00DB671B">
            <w:pPr>
              <w:jc w:val="left"/>
              <w:rPr>
                <w:rFonts w:cs="Arial"/>
              </w:rPr>
            </w:pPr>
            <w:r w:rsidRPr="00DB671B">
              <w:rPr>
                <w:rFonts w:cs="Arial"/>
              </w:rPr>
              <w:t>Car. NEW 1</w:t>
            </w:r>
          </w:p>
        </w:tc>
        <w:tc>
          <w:tcPr>
            <w:tcW w:w="8208" w:type="dxa"/>
          </w:tcPr>
          <w:p w:rsidR="00850B27" w:rsidRPr="00DB671B" w:rsidRDefault="00850B27" w:rsidP="00DB671B">
            <w:pPr>
              <w:keepNext/>
              <w:rPr>
                <w:rFonts w:cs="Arial"/>
              </w:rPr>
            </w:pPr>
            <w:r w:rsidRPr="00DB671B">
              <w:rPr>
                <w:rFonts w:cs="Arial"/>
              </w:rPr>
              <w:t>Libellé : “Labelle : fusion des lobes latéraux et du lobe apical”</w:t>
            </w:r>
          </w:p>
        </w:tc>
      </w:tr>
      <w:tr w:rsidR="00DB671B" w:rsidRPr="00DB671B" w:rsidTr="00DB671B">
        <w:trPr>
          <w:cantSplit/>
        </w:trPr>
        <w:tc>
          <w:tcPr>
            <w:tcW w:w="1573" w:type="dxa"/>
          </w:tcPr>
          <w:p w:rsidR="00850B27" w:rsidRPr="00DB671B" w:rsidRDefault="00850B27" w:rsidP="0040182B">
            <w:pPr>
              <w:jc w:val="left"/>
              <w:rPr>
                <w:rFonts w:cs="Arial"/>
              </w:rPr>
            </w:pPr>
            <w:r w:rsidRPr="00DB671B">
              <w:rPr>
                <w:rFonts w:cs="Arial"/>
              </w:rPr>
              <w:t xml:space="preserve">Ad. </w:t>
            </w:r>
            <w:r w:rsidR="0040182B">
              <w:rPr>
                <w:rFonts w:cs="Arial"/>
              </w:rPr>
              <w:t>NEW 2</w:t>
            </w:r>
          </w:p>
        </w:tc>
        <w:tc>
          <w:tcPr>
            <w:tcW w:w="8208" w:type="dxa"/>
          </w:tcPr>
          <w:p w:rsidR="00850B27" w:rsidRPr="00DB671B" w:rsidRDefault="00850B27" w:rsidP="00DB671B">
            <w:pPr>
              <w:keepNext/>
              <w:rPr>
                <w:rFonts w:cs="Arial"/>
              </w:rPr>
            </w:pPr>
            <w:r w:rsidRPr="00DB671B">
              <w:rPr>
                <w:rFonts w:cs="Arial"/>
              </w:rPr>
              <w:t>Supprimer le texte entre parenthèses sous les niveaux d’expression</w:t>
            </w:r>
          </w:p>
        </w:tc>
      </w:tr>
    </w:tbl>
    <w:p w:rsidR="00850B27" w:rsidRPr="00DB671B" w:rsidRDefault="00850B27" w:rsidP="00DB671B">
      <w:pPr>
        <w:rPr>
          <w:rFonts w:eastAsia="Arial" w:cs="Arial"/>
          <w:u w:val="single"/>
        </w:rPr>
      </w:pPr>
    </w:p>
    <w:p w:rsidR="00850B27" w:rsidRPr="00DB671B" w:rsidRDefault="00850B27" w:rsidP="00DB671B">
      <w:pPr>
        <w:rPr>
          <w:rFonts w:eastAsia="Arial" w:cs="Arial"/>
          <w:u w:val="single"/>
        </w:rPr>
      </w:pPr>
    </w:p>
    <w:tbl>
      <w:tblPr>
        <w:tblW w:w="9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9670"/>
      </w:tblGrid>
      <w:tr w:rsidR="00DB671B" w:rsidRPr="00DB671B" w:rsidTr="00DB671B">
        <w:trPr>
          <w:cantSplit/>
          <w:jc w:val="center"/>
        </w:trPr>
        <w:tc>
          <w:tcPr>
            <w:tcW w:w="9670" w:type="dxa"/>
            <w:shd w:val="clear" w:color="auto" w:fill="D9D9D9"/>
            <w:vAlign w:val="center"/>
          </w:tcPr>
          <w:p w:rsidR="00850B27" w:rsidRPr="00DB671B" w:rsidRDefault="00850B27" w:rsidP="00DB671B">
            <w:pPr>
              <w:pStyle w:val="BodyText"/>
              <w:keepNext/>
              <w:tabs>
                <w:tab w:val="left" w:pos="1849"/>
              </w:tabs>
              <w:ind w:left="1803" w:hanging="1803"/>
              <w:jc w:val="left"/>
              <w:rPr>
                <w:rFonts w:cs="Arial"/>
                <w:b/>
                <w:iCs/>
              </w:rPr>
            </w:pPr>
            <w:r w:rsidRPr="00DB671B">
              <w:rPr>
                <w:rFonts w:cs="Arial"/>
                <w:b/>
                <w:iCs/>
              </w:rPr>
              <w:t>TC/55/22</w:t>
            </w:r>
            <w:r w:rsidRPr="00DB671B">
              <w:rPr>
                <w:rFonts w:cs="Arial"/>
                <w:iCs/>
              </w:rPr>
              <w:tab/>
            </w:r>
            <w:r w:rsidRPr="00DB671B">
              <w:rPr>
                <w:rFonts w:cs="Arial"/>
                <w:b/>
                <w:iCs/>
              </w:rPr>
              <w:t>Révision partielle des principes directeurs d’examen pour la tomate</w:t>
            </w:r>
          </w:p>
        </w:tc>
      </w:tr>
    </w:tbl>
    <w:p w:rsidR="00850B27" w:rsidRPr="00DB671B" w:rsidRDefault="00850B27" w:rsidP="00DB671B">
      <w:pPr>
        <w:keepNext/>
        <w:jc w:val="center"/>
        <w:rPr>
          <w:rFonts w:cs="Arial"/>
          <w:b/>
          <w:bCs/>
          <w:snapToGrid w:val="0"/>
        </w:rPr>
      </w:pPr>
    </w:p>
    <w:p w:rsidR="00850B27" w:rsidRPr="00DB671B" w:rsidRDefault="00850B27" w:rsidP="00DB671B">
      <w:pPr>
        <w:keepNext/>
        <w:ind w:firstLine="567"/>
        <w:rPr>
          <w:rFonts w:cs="Arial"/>
        </w:rPr>
      </w:pPr>
      <w:r w:rsidRPr="00DB671B">
        <w:rPr>
          <w:rFonts w:cs="Arial"/>
        </w:rPr>
        <w:t>À sa réunion tenue à Genève en octobre 2019, le TC-EDC a examiné le document </w:t>
      </w:r>
      <w:r w:rsidRPr="00DB671B">
        <w:rPr>
          <w:rFonts w:cs="Arial"/>
          <w:caps/>
        </w:rPr>
        <w:t>TC/55/22</w:t>
      </w:r>
      <w:r w:rsidRPr="00DB671B">
        <w:rPr>
          <w:rFonts w:cs="Arial"/>
        </w:rPr>
        <w:t xml:space="preserve"> et a formulé les recommandations présentées dans le tableau ci-dessous :</w:t>
      </w:r>
    </w:p>
    <w:p w:rsidR="00850B27" w:rsidRPr="00DB671B" w:rsidRDefault="00850B27" w:rsidP="00DB671B">
      <w:pPr>
        <w:keepNext/>
        <w:jc w:val="center"/>
        <w:rPr>
          <w:rFonts w:cs="Arial"/>
          <w:b/>
          <w:bCs/>
          <w:snapToGrid w:val="0"/>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208"/>
      </w:tblGrid>
      <w:tr w:rsidR="00DB671B" w:rsidRPr="00DB671B" w:rsidTr="00DB671B">
        <w:trPr>
          <w:cantSplit/>
        </w:trPr>
        <w:tc>
          <w:tcPr>
            <w:tcW w:w="1573" w:type="dxa"/>
          </w:tcPr>
          <w:p w:rsidR="00850B27" w:rsidRPr="00DB671B" w:rsidRDefault="00850B27" w:rsidP="00DB671B">
            <w:pPr>
              <w:keepNext/>
              <w:jc w:val="left"/>
              <w:rPr>
                <w:rFonts w:cs="Arial"/>
              </w:rPr>
            </w:pPr>
            <w:r w:rsidRPr="00DB671B">
              <w:rPr>
                <w:rFonts w:cs="Arial"/>
              </w:rPr>
              <w:t>Caractère 48, Ad. 48</w:t>
            </w:r>
          </w:p>
        </w:tc>
        <w:tc>
          <w:tcPr>
            <w:tcW w:w="8208" w:type="dxa"/>
          </w:tcPr>
          <w:p w:rsidR="00850B27" w:rsidRPr="00DB671B" w:rsidRDefault="00850B27" w:rsidP="00DB671B">
            <w:pPr>
              <w:keepNext/>
              <w:rPr>
                <w:rFonts w:cs="Arial"/>
              </w:rPr>
            </w:pPr>
            <w:r w:rsidRPr="00DB671B">
              <w:rPr>
                <w:rFonts w:cs="Arial"/>
              </w:rPr>
              <w:t>Remplacer la traduction française du terme anglais “Race” par “Race” (plutôt que “Pathotype”)</w:t>
            </w:r>
          </w:p>
        </w:tc>
      </w:tr>
      <w:tr w:rsidR="00DB671B" w:rsidRPr="00DB671B" w:rsidTr="00DB671B">
        <w:trPr>
          <w:cantSplit/>
        </w:trPr>
        <w:tc>
          <w:tcPr>
            <w:tcW w:w="1573" w:type="dxa"/>
          </w:tcPr>
          <w:p w:rsidR="00850B27" w:rsidRPr="00DB671B" w:rsidRDefault="00850B27" w:rsidP="00DB671B">
            <w:pPr>
              <w:jc w:val="left"/>
              <w:rPr>
                <w:rFonts w:cs="Arial"/>
              </w:rPr>
            </w:pPr>
            <w:r w:rsidRPr="00DB671B">
              <w:rPr>
                <w:rFonts w:cs="Arial"/>
              </w:rPr>
              <w:t>Car. 48, 6</w:t>
            </w:r>
          </w:p>
        </w:tc>
        <w:tc>
          <w:tcPr>
            <w:tcW w:w="8208" w:type="dxa"/>
          </w:tcPr>
          <w:p w:rsidR="00850B27" w:rsidRPr="00DB671B" w:rsidRDefault="00850B27" w:rsidP="00DB671B">
            <w:pPr>
              <w:keepNext/>
              <w:rPr>
                <w:rFonts w:cs="Arial"/>
              </w:rPr>
            </w:pPr>
            <w:r w:rsidRPr="00DB671B">
              <w:rPr>
                <w:rFonts w:cs="Arial"/>
              </w:rPr>
              <w:t>Modifier le libellé comme suit : “utiliser des variétés témoins (voir le site Web de l’ISF)”</w:t>
            </w:r>
          </w:p>
        </w:tc>
      </w:tr>
    </w:tbl>
    <w:p w:rsidR="00850B27" w:rsidRPr="00DB671B" w:rsidRDefault="00850B27" w:rsidP="00DB671B">
      <w:pPr>
        <w:rPr>
          <w:rFonts w:eastAsia="Arial" w:cs="Arial"/>
          <w:u w:val="single"/>
        </w:rPr>
      </w:pPr>
    </w:p>
    <w:p w:rsidR="00850B27" w:rsidRPr="00DB671B" w:rsidRDefault="00850B27" w:rsidP="00DB671B">
      <w:pPr>
        <w:rPr>
          <w:rFonts w:eastAsia="Arial" w:cs="Arial"/>
          <w:u w:val="single"/>
        </w:rPr>
      </w:pPr>
    </w:p>
    <w:tbl>
      <w:tblPr>
        <w:tblW w:w="9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9670"/>
      </w:tblGrid>
      <w:tr w:rsidR="00DB671B" w:rsidRPr="00DB671B" w:rsidTr="00DB671B">
        <w:trPr>
          <w:cantSplit/>
          <w:jc w:val="center"/>
        </w:trPr>
        <w:tc>
          <w:tcPr>
            <w:tcW w:w="9670" w:type="dxa"/>
            <w:shd w:val="clear" w:color="auto" w:fill="D9D9D9"/>
            <w:vAlign w:val="center"/>
          </w:tcPr>
          <w:p w:rsidR="00850B27" w:rsidRPr="00DB671B" w:rsidRDefault="00850B27" w:rsidP="00DB671B">
            <w:pPr>
              <w:pStyle w:val="BodyText"/>
              <w:keepNext/>
              <w:tabs>
                <w:tab w:val="left" w:pos="1849"/>
              </w:tabs>
              <w:ind w:left="1803" w:hanging="1803"/>
              <w:jc w:val="left"/>
              <w:rPr>
                <w:rFonts w:cs="Arial"/>
                <w:b/>
                <w:iCs/>
              </w:rPr>
            </w:pPr>
            <w:r w:rsidRPr="00DB671B">
              <w:rPr>
                <w:rFonts w:cs="Arial"/>
                <w:b/>
                <w:iCs/>
              </w:rPr>
              <w:t>TC/55/23</w:t>
            </w:r>
            <w:r w:rsidRPr="00DB671B">
              <w:rPr>
                <w:rFonts w:cs="Arial"/>
                <w:iCs/>
              </w:rPr>
              <w:tab/>
            </w:r>
            <w:r w:rsidRPr="00DB671B">
              <w:rPr>
                <w:rFonts w:cs="Arial"/>
                <w:b/>
                <w:iCs/>
              </w:rPr>
              <w:t>Révision partielle des principes directeurs d’examen du porte-greffe de tomate</w:t>
            </w:r>
          </w:p>
        </w:tc>
      </w:tr>
    </w:tbl>
    <w:p w:rsidR="00850B27" w:rsidRPr="00DB671B" w:rsidRDefault="00850B27" w:rsidP="00DB671B">
      <w:pPr>
        <w:keepNext/>
        <w:jc w:val="center"/>
        <w:rPr>
          <w:rFonts w:cs="Arial"/>
          <w:b/>
          <w:bCs/>
          <w:snapToGrid w:val="0"/>
        </w:rPr>
      </w:pPr>
    </w:p>
    <w:p w:rsidR="00850B27" w:rsidRPr="00DB671B" w:rsidRDefault="00850B27" w:rsidP="00DB671B">
      <w:pPr>
        <w:ind w:firstLine="567"/>
        <w:rPr>
          <w:rFonts w:cs="Arial"/>
          <w:b/>
          <w:bCs/>
          <w:snapToGrid w:val="0"/>
        </w:rPr>
      </w:pPr>
      <w:r w:rsidRPr="00DB671B">
        <w:rPr>
          <w:rFonts w:cs="Arial"/>
        </w:rPr>
        <w:t>À sa réunion tenue à Genève en octobre 2019, le TC-EDC a examiné le document </w:t>
      </w:r>
      <w:r w:rsidRPr="00DB671B">
        <w:rPr>
          <w:rFonts w:cs="Arial"/>
          <w:caps/>
        </w:rPr>
        <w:t>TC/55/23</w:t>
      </w:r>
      <w:r w:rsidRPr="00DB671B">
        <w:rPr>
          <w:rFonts w:cs="Arial"/>
        </w:rPr>
        <w:t xml:space="preserve"> et a formulé les recommandations présentées dans le tableau ci-dessous :</w:t>
      </w:r>
    </w:p>
    <w:p w:rsidR="00850B27" w:rsidRPr="00DB671B" w:rsidRDefault="00850B27" w:rsidP="00DB671B">
      <w:pPr>
        <w:keepNext/>
        <w:jc w:val="center"/>
        <w:rPr>
          <w:rFonts w:cs="Arial"/>
          <w:b/>
          <w:bCs/>
          <w:snapToGrid w:val="0"/>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208"/>
      </w:tblGrid>
      <w:tr w:rsidR="00DB671B" w:rsidRPr="00DB671B" w:rsidTr="00DB671B">
        <w:trPr>
          <w:cantSplit/>
          <w:trHeight w:val="250"/>
        </w:trPr>
        <w:tc>
          <w:tcPr>
            <w:tcW w:w="1573" w:type="dxa"/>
          </w:tcPr>
          <w:p w:rsidR="00850B27" w:rsidRPr="00DB671B" w:rsidRDefault="00850B27" w:rsidP="00DB671B">
            <w:pPr>
              <w:jc w:val="left"/>
              <w:rPr>
                <w:rFonts w:cs="Arial"/>
              </w:rPr>
            </w:pPr>
            <w:r w:rsidRPr="00DB671B">
              <w:rPr>
                <w:rFonts w:cs="Arial"/>
              </w:rPr>
              <w:t>Caractère 24, Ad. 24</w:t>
            </w:r>
          </w:p>
        </w:tc>
        <w:tc>
          <w:tcPr>
            <w:tcW w:w="8208" w:type="dxa"/>
          </w:tcPr>
          <w:p w:rsidR="00850B27" w:rsidRPr="00DB671B" w:rsidRDefault="00850B27" w:rsidP="00DB671B">
            <w:pPr>
              <w:keepNext/>
              <w:rPr>
                <w:rFonts w:cs="Arial"/>
              </w:rPr>
            </w:pPr>
            <w:r w:rsidRPr="00DB671B">
              <w:rPr>
                <w:rFonts w:cs="Arial"/>
              </w:rPr>
              <w:t>Remplacer la traduction française du terme anglais “Race” par “Race” (plutôt que “Pathotype”)</w:t>
            </w:r>
          </w:p>
        </w:tc>
      </w:tr>
      <w:tr w:rsidR="00DB671B" w:rsidRPr="00DB671B" w:rsidTr="00DB671B">
        <w:trPr>
          <w:cantSplit/>
        </w:trPr>
        <w:tc>
          <w:tcPr>
            <w:tcW w:w="1573" w:type="dxa"/>
          </w:tcPr>
          <w:p w:rsidR="00850B27" w:rsidRPr="00DB671B" w:rsidRDefault="00850B27" w:rsidP="00DB671B">
            <w:pPr>
              <w:jc w:val="left"/>
              <w:rPr>
                <w:rFonts w:cs="Arial"/>
              </w:rPr>
            </w:pPr>
            <w:r w:rsidRPr="00DB671B">
              <w:rPr>
                <w:rFonts w:cs="Arial"/>
              </w:rPr>
              <w:t>Car. 24, 6</w:t>
            </w:r>
          </w:p>
        </w:tc>
        <w:tc>
          <w:tcPr>
            <w:tcW w:w="8208" w:type="dxa"/>
          </w:tcPr>
          <w:p w:rsidR="00850B27" w:rsidRPr="00DB671B" w:rsidRDefault="00850B27" w:rsidP="00DB671B">
            <w:pPr>
              <w:keepNext/>
              <w:rPr>
                <w:rFonts w:cs="Arial"/>
              </w:rPr>
            </w:pPr>
            <w:r w:rsidRPr="00DB671B">
              <w:rPr>
                <w:rFonts w:cs="Arial"/>
              </w:rPr>
              <w:t>Modifier le libellé comme suit : “utiliser des variétés témoins (voir le site Web de l’ISF)”</w:t>
            </w:r>
          </w:p>
        </w:tc>
      </w:tr>
    </w:tbl>
    <w:p w:rsidR="00850B27" w:rsidRPr="00DB671B" w:rsidRDefault="00850B27" w:rsidP="00DB671B">
      <w:pPr>
        <w:rPr>
          <w:rFonts w:eastAsia="Arial" w:cs="Arial"/>
          <w:u w:val="single"/>
        </w:rPr>
      </w:pPr>
    </w:p>
    <w:p w:rsidR="00850B27" w:rsidRPr="00DB671B" w:rsidRDefault="00850B27" w:rsidP="00DB671B">
      <w:pPr>
        <w:rPr>
          <w:rFonts w:eastAsia="Arial" w:cs="Arial"/>
          <w:u w:val="single"/>
        </w:rPr>
      </w:pPr>
    </w:p>
    <w:p w:rsidR="00850B27" w:rsidRPr="00DB671B" w:rsidRDefault="00850B27" w:rsidP="00DB671B">
      <w:pPr>
        <w:pStyle w:val="Heading3"/>
        <w:rPr>
          <w:rFonts w:eastAsia="Arial"/>
          <w:lang w:val="fr-FR"/>
        </w:rPr>
      </w:pPr>
      <w:r w:rsidRPr="00DB671B">
        <w:rPr>
          <w:rFonts w:eastAsia="Arial"/>
          <w:lang w:val="fr-FR"/>
        </w:rPr>
        <w:t>Nouveaux principes directeurs d’examen</w:t>
      </w:r>
    </w:p>
    <w:p w:rsidR="00850B27" w:rsidRPr="00DB671B" w:rsidRDefault="00850B27" w:rsidP="00DB671B">
      <w:pPr>
        <w:rPr>
          <w:rFonts w:eastAsia="Arial" w:cs="Arial"/>
          <w:u w:val="single"/>
        </w:rPr>
      </w:pPr>
    </w:p>
    <w:tbl>
      <w:tblPr>
        <w:tblW w:w="99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894"/>
        <w:gridCol w:w="2552"/>
        <w:gridCol w:w="2807"/>
        <w:gridCol w:w="736"/>
        <w:gridCol w:w="993"/>
      </w:tblGrid>
      <w:tr w:rsidR="00DB671B" w:rsidRPr="00DB671B" w:rsidTr="00DB671B">
        <w:trPr>
          <w:cantSplit/>
          <w:trHeight w:val="277"/>
          <w:jc w:val="center"/>
        </w:trPr>
        <w:tc>
          <w:tcPr>
            <w:tcW w:w="2894" w:type="dxa"/>
            <w:vMerge w:val="restart"/>
            <w:shd w:val="clear" w:color="auto" w:fill="D9D9D9"/>
            <w:vAlign w:val="center"/>
          </w:tcPr>
          <w:p w:rsidR="00850B27" w:rsidRPr="00DB671B" w:rsidRDefault="00850B27" w:rsidP="00DB671B">
            <w:pPr>
              <w:pStyle w:val="TitleofDoc"/>
              <w:keepNext/>
              <w:tabs>
                <w:tab w:val="left" w:pos="5245"/>
                <w:tab w:val="left" w:pos="7008"/>
              </w:tabs>
              <w:spacing w:before="0"/>
              <w:jc w:val="left"/>
              <w:rPr>
                <w:rFonts w:cs="Arial"/>
                <w:caps w:val="0"/>
              </w:rPr>
            </w:pPr>
            <w:r w:rsidRPr="00DB671B">
              <w:rPr>
                <w:rFonts w:cs="Arial"/>
                <w:caps w:val="0"/>
              </w:rPr>
              <w:t xml:space="preserve">Calendula </w:t>
            </w:r>
            <w:r w:rsidRPr="00DB671B">
              <w:rPr>
                <w:rFonts w:cs="Arial"/>
                <w:caps w:val="0"/>
              </w:rPr>
              <w:br/>
              <w:t>(</w:t>
            </w:r>
            <w:r w:rsidRPr="00DB671B">
              <w:rPr>
                <w:rFonts w:cs="Arial"/>
                <w:i/>
                <w:caps w:val="0"/>
              </w:rPr>
              <w:t>Calendula</w:t>
            </w:r>
            <w:r w:rsidRPr="00DB671B">
              <w:rPr>
                <w:rFonts w:cs="Arial"/>
                <w:caps w:val="0"/>
              </w:rPr>
              <w:t xml:space="preserve"> L.)</w:t>
            </w:r>
          </w:p>
        </w:tc>
        <w:tc>
          <w:tcPr>
            <w:tcW w:w="2552" w:type="dxa"/>
            <w:shd w:val="clear" w:color="auto" w:fill="D9D9D9"/>
            <w:vAlign w:val="center"/>
          </w:tcPr>
          <w:p w:rsidR="00850B27" w:rsidRPr="00DB671B" w:rsidRDefault="00850B27" w:rsidP="00DB671B">
            <w:pPr>
              <w:pStyle w:val="TitleofDoc"/>
              <w:keepNext/>
              <w:tabs>
                <w:tab w:val="left" w:pos="5245"/>
                <w:tab w:val="left" w:pos="7008"/>
              </w:tabs>
              <w:spacing w:before="0"/>
              <w:jc w:val="left"/>
              <w:rPr>
                <w:rFonts w:cs="Arial"/>
                <w:caps w:val="0"/>
              </w:rPr>
            </w:pPr>
            <w:r w:rsidRPr="00DB671B">
              <w:rPr>
                <w:rFonts w:cs="Arial"/>
                <w:caps w:val="0"/>
              </w:rPr>
              <w:t>TG/CALEN(proj.4)</w:t>
            </w:r>
          </w:p>
        </w:tc>
        <w:tc>
          <w:tcPr>
            <w:tcW w:w="2807" w:type="dxa"/>
            <w:shd w:val="clear" w:color="auto" w:fill="D9D9D9"/>
            <w:vAlign w:val="center"/>
          </w:tcPr>
          <w:p w:rsidR="00850B27" w:rsidRPr="00DB671B" w:rsidRDefault="00850B27" w:rsidP="00DB671B">
            <w:pPr>
              <w:keepNext/>
              <w:jc w:val="left"/>
              <w:rPr>
                <w:rFonts w:cs="Arial"/>
                <w:iCs/>
                <w:snapToGrid w:val="0"/>
              </w:rPr>
            </w:pPr>
            <w:r w:rsidRPr="00DB671B">
              <w:rPr>
                <w:rFonts w:cs="Arial"/>
              </w:rPr>
              <w:t>M. Koji Nakanishi (JP)</w:t>
            </w:r>
          </w:p>
        </w:tc>
        <w:tc>
          <w:tcPr>
            <w:tcW w:w="736" w:type="dxa"/>
            <w:vMerge w:val="restart"/>
            <w:shd w:val="clear" w:color="auto" w:fill="D9D9D9"/>
            <w:vAlign w:val="center"/>
          </w:tcPr>
          <w:p w:rsidR="00850B27" w:rsidRPr="00DB671B" w:rsidRDefault="00850B27" w:rsidP="00DB671B">
            <w:pPr>
              <w:keepNext/>
              <w:jc w:val="left"/>
              <w:rPr>
                <w:rFonts w:cs="Arial"/>
                <w:iCs/>
              </w:rPr>
            </w:pPr>
            <w:r w:rsidRPr="00DB671B">
              <w:rPr>
                <w:rFonts w:cs="Arial"/>
                <w:iCs/>
              </w:rPr>
              <w:t>TWO</w:t>
            </w:r>
          </w:p>
        </w:tc>
        <w:tc>
          <w:tcPr>
            <w:tcW w:w="993" w:type="dxa"/>
            <w:vMerge w:val="restart"/>
            <w:shd w:val="clear" w:color="auto" w:fill="D9D9D9"/>
            <w:vAlign w:val="center"/>
          </w:tcPr>
          <w:p w:rsidR="00850B27" w:rsidRPr="00DB671B" w:rsidRDefault="00850B27" w:rsidP="00DB671B">
            <w:pPr>
              <w:pStyle w:val="BodyText"/>
              <w:keepNext/>
              <w:jc w:val="left"/>
              <w:rPr>
                <w:rFonts w:cs="Arial"/>
                <w:iCs/>
                <w:snapToGrid w:val="0"/>
              </w:rPr>
            </w:pPr>
            <w:r w:rsidRPr="00DB671B">
              <w:rPr>
                <w:rFonts w:cs="Arial"/>
                <w:iCs/>
                <w:snapToGrid w:val="0"/>
              </w:rPr>
              <w:t>*</w:t>
            </w:r>
          </w:p>
        </w:tc>
      </w:tr>
      <w:tr w:rsidR="00DB671B" w:rsidRPr="00DB671B" w:rsidTr="00DB671B">
        <w:trPr>
          <w:cantSplit/>
          <w:trHeight w:hRule="exact" w:val="791"/>
          <w:jc w:val="center"/>
        </w:trPr>
        <w:tc>
          <w:tcPr>
            <w:tcW w:w="2894" w:type="dxa"/>
            <w:vMerge/>
            <w:shd w:val="clear" w:color="auto" w:fill="D9D9D9"/>
            <w:vAlign w:val="center"/>
          </w:tcPr>
          <w:p w:rsidR="00850B27" w:rsidRPr="00DB671B" w:rsidRDefault="00850B27" w:rsidP="00DB671B">
            <w:pPr>
              <w:pStyle w:val="TitleofDoc"/>
              <w:keepNext/>
              <w:tabs>
                <w:tab w:val="left" w:pos="5245"/>
                <w:tab w:val="left" w:pos="7008"/>
              </w:tabs>
              <w:spacing w:before="0"/>
              <w:jc w:val="left"/>
              <w:rPr>
                <w:rFonts w:cs="Arial"/>
                <w:caps w:val="0"/>
              </w:rPr>
            </w:pPr>
          </w:p>
        </w:tc>
        <w:tc>
          <w:tcPr>
            <w:tcW w:w="2552" w:type="dxa"/>
            <w:shd w:val="clear" w:color="auto" w:fill="D9D9D9"/>
            <w:vAlign w:val="center"/>
          </w:tcPr>
          <w:p w:rsidR="00850B27" w:rsidRPr="00DB671B" w:rsidRDefault="00850B27" w:rsidP="00DB671B">
            <w:pPr>
              <w:pStyle w:val="BodyText"/>
              <w:keepNext/>
              <w:jc w:val="left"/>
              <w:rPr>
                <w:rFonts w:cs="Arial"/>
              </w:rPr>
            </w:pPr>
            <w:r w:rsidRPr="00DB671B">
              <w:rPr>
                <w:rFonts w:cs="Arial"/>
              </w:rPr>
              <w:t>Nombre de car. : 36 Nombre de car. (*) : 22</w:t>
            </w:r>
          </w:p>
        </w:tc>
        <w:tc>
          <w:tcPr>
            <w:tcW w:w="2807" w:type="dxa"/>
            <w:shd w:val="clear" w:color="auto" w:fill="D9D9D9"/>
            <w:vAlign w:val="center"/>
          </w:tcPr>
          <w:p w:rsidR="00850B27" w:rsidRPr="00DB671B" w:rsidRDefault="00850B27" w:rsidP="00DB671B">
            <w:pPr>
              <w:keepNext/>
              <w:jc w:val="left"/>
              <w:rPr>
                <w:rFonts w:cs="Arial"/>
                <w:iCs/>
                <w:snapToGrid w:val="0"/>
              </w:rPr>
            </w:pPr>
            <w:r w:rsidRPr="00DB671B">
              <w:rPr>
                <w:rFonts w:cs="Arial"/>
                <w:iCs/>
                <w:snapToGrid w:val="0"/>
              </w:rPr>
              <w:t xml:space="preserve">(Experts intéressés : </w:t>
            </w:r>
            <w:r w:rsidRPr="00DB671B">
              <w:rPr>
                <w:rFonts w:cs="Arial"/>
              </w:rPr>
              <w:t>DE, GB, KR, MX, QZ, ZA</w:t>
            </w:r>
            <w:r w:rsidRPr="00DB671B">
              <w:rPr>
                <w:rFonts w:eastAsia="SimSun" w:cs="Arial"/>
                <w:lang w:eastAsia="zh-CN"/>
              </w:rPr>
              <w:t>)</w:t>
            </w:r>
          </w:p>
        </w:tc>
        <w:tc>
          <w:tcPr>
            <w:tcW w:w="736" w:type="dxa"/>
            <w:vMerge/>
            <w:shd w:val="clear" w:color="auto" w:fill="D9D9D9"/>
            <w:vAlign w:val="center"/>
          </w:tcPr>
          <w:p w:rsidR="00850B27" w:rsidRPr="00DB671B" w:rsidRDefault="00850B27" w:rsidP="00DB671B">
            <w:pPr>
              <w:keepNext/>
              <w:jc w:val="left"/>
              <w:rPr>
                <w:rFonts w:cs="Arial"/>
                <w:iCs/>
              </w:rPr>
            </w:pPr>
          </w:p>
        </w:tc>
        <w:tc>
          <w:tcPr>
            <w:tcW w:w="993" w:type="dxa"/>
            <w:vMerge/>
            <w:shd w:val="clear" w:color="auto" w:fill="D9D9D9"/>
            <w:vAlign w:val="center"/>
          </w:tcPr>
          <w:p w:rsidR="00850B27" w:rsidRPr="00DB671B" w:rsidRDefault="00850B27" w:rsidP="00DB671B">
            <w:pPr>
              <w:pStyle w:val="BodyText"/>
              <w:keepNext/>
              <w:jc w:val="left"/>
              <w:rPr>
                <w:rFonts w:cs="Arial"/>
                <w:iCs/>
                <w:snapToGrid w:val="0"/>
              </w:rPr>
            </w:pPr>
          </w:p>
        </w:tc>
      </w:tr>
    </w:tbl>
    <w:p w:rsidR="00850B27" w:rsidRPr="00DB671B" w:rsidRDefault="00850B27" w:rsidP="00DB671B">
      <w:pPr>
        <w:keepNext/>
        <w:rPr>
          <w:rFonts w:cs="Arial"/>
          <w:snapToGrid w:val="0"/>
        </w:rPr>
      </w:pPr>
    </w:p>
    <w:p w:rsidR="00850B27" w:rsidRPr="00DB671B" w:rsidRDefault="00850B27" w:rsidP="00DB671B">
      <w:pPr>
        <w:ind w:firstLine="567"/>
        <w:rPr>
          <w:rFonts w:cs="Arial"/>
          <w:snapToGrid w:val="0"/>
        </w:rPr>
      </w:pPr>
      <w:r w:rsidRPr="00DB671B">
        <w:rPr>
          <w:rFonts w:cs="Arial"/>
          <w:snapToGrid w:val="0"/>
        </w:rPr>
        <w:t>À sa réunion tenue à Genève en octobre 2019, le TC-EDC a examiné le document TG/CALEN(proj.4) et a formulé les recommandations présentées dans le tableau ci-dessous :</w:t>
      </w:r>
    </w:p>
    <w:p w:rsidR="00850B27" w:rsidRPr="00DB671B" w:rsidRDefault="00850B27" w:rsidP="00DB671B">
      <w:pPr>
        <w:keepNext/>
        <w:rPr>
          <w:rFonts w:eastAsia="Arial" w:cs="Arial"/>
          <w:u w:val="single"/>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208"/>
      </w:tblGrid>
      <w:tr w:rsidR="00DB671B" w:rsidRPr="00DB671B" w:rsidTr="00DB671B">
        <w:trPr>
          <w:cantSplit/>
        </w:trPr>
        <w:tc>
          <w:tcPr>
            <w:tcW w:w="1573" w:type="dxa"/>
          </w:tcPr>
          <w:p w:rsidR="00850B27" w:rsidRPr="00DB671B" w:rsidRDefault="00850B27" w:rsidP="00DB671B">
            <w:pPr>
              <w:jc w:val="left"/>
              <w:rPr>
                <w:rFonts w:cs="Arial"/>
              </w:rPr>
            </w:pPr>
            <w:r w:rsidRPr="00DB671B">
              <w:rPr>
                <w:rFonts w:cs="Arial"/>
              </w:rPr>
              <w:t>Car. 11</w:t>
            </w:r>
          </w:p>
        </w:tc>
        <w:tc>
          <w:tcPr>
            <w:tcW w:w="8208" w:type="dxa"/>
          </w:tcPr>
          <w:p w:rsidR="00850B27" w:rsidRPr="00DB671B" w:rsidRDefault="00850B27" w:rsidP="00DB671B">
            <w:pPr>
              <w:keepNext/>
              <w:rPr>
                <w:rFonts w:cs="Arial"/>
              </w:rPr>
            </w:pPr>
            <w:r w:rsidRPr="00DB671B">
              <w:rPr>
                <w:rFonts w:cs="Arial"/>
              </w:rPr>
              <w:t>Apparaît deux fois, en supprimer un</w:t>
            </w:r>
          </w:p>
        </w:tc>
      </w:tr>
      <w:tr w:rsidR="00DB671B" w:rsidRPr="00DB671B" w:rsidTr="00DB671B">
        <w:trPr>
          <w:cantSplit/>
        </w:trPr>
        <w:tc>
          <w:tcPr>
            <w:tcW w:w="1573" w:type="dxa"/>
            <w:tcBorders>
              <w:top w:val="single" w:sz="4" w:space="0" w:color="auto"/>
              <w:left w:val="single" w:sz="4" w:space="0" w:color="auto"/>
              <w:bottom w:val="single" w:sz="4" w:space="0" w:color="auto"/>
              <w:right w:val="single" w:sz="4" w:space="0" w:color="auto"/>
            </w:tcBorders>
          </w:tcPr>
          <w:p w:rsidR="00850B27" w:rsidRPr="00DB671B" w:rsidRDefault="00850B27" w:rsidP="00DB671B">
            <w:pPr>
              <w:rPr>
                <w:rFonts w:cs="Arial"/>
              </w:rPr>
            </w:pPr>
            <w:r w:rsidRPr="00DB671B">
              <w:rPr>
                <w:rFonts w:cs="Arial"/>
              </w:rPr>
              <w:t>Ad. 6</w:t>
            </w:r>
          </w:p>
        </w:tc>
        <w:tc>
          <w:tcPr>
            <w:tcW w:w="8208" w:type="dxa"/>
            <w:tcBorders>
              <w:top w:val="single" w:sz="4" w:space="0" w:color="auto"/>
              <w:left w:val="single" w:sz="4" w:space="0" w:color="auto"/>
              <w:bottom w:val="single" w:sz="4" w:space="0" w:color="auto"/>
              <w:right w:val="single" w:sz="4" w:space="0" w:color="auto"/>
            </w:tcBorders>
          </w:tcPr>
          <w:p w:rsidR="00850B27" w:rsidRPr="00DB671B" w:rsidRDefault="00850B27" w:rsidP="00DB671B">
            <w:pPr>
              <w:rPr>
                <w:rFonts w:cs="Arial"/>
              </w:rPr>
            </w:pPr>
            <w:r w:rsidRPr="00DB671B">
              <w:rPr>
                <w:rFonts w:cs="Arial"/>
              </w:rPr>
              <w:t>Déplacer l’indication “B” (ne devrait pas recouvrir la feuille)</w:t>
            </w:r>
          </w:p>
        </w:tc>
      </w:tr>
    </w:tbl>
    <w:p w:rsidR="00850B27" w:rsidRPr="00DB671B" w:rsidRDefault="00850B27" w:rsidP="00DB671B">
      <w:pPr>
        <w:rPr>
          <w:rFonts w:eastAsia="Arial" w:cs="Arial"/>
          <w:u w:val="single"/>
        </w:rPr>
      </w:pPr>
    </w:p>
    <w:p w:rsidR="00850B27" w:rsidRPr="00DB671B" w:rsidRDefault="00850B27" w:rsidP="00DB671B">
      <w:pPr>
        <w:rPr>
          <w:rFonts w:eastAsia="Arial" w:cs="Arial"/>
          <w:u w:val="single"/>
        </w:rPr>
      </w:pPr>
    </w:p>
    <w:tbl>
      <w:tblPr>
        <w:tblW w:w="99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894"/>
        <w:gridCol w:w="2552"/>
        <w:gridCol w:w="2807"/>
        <w:gridCol w:w="736"/>
        <w:gridCol w:w="993"/>
      </w:tblGrid>
      <w:tr w:rsidR="00DB671B" w:rsidRPr="00DB671B" w:rsidTr="00DB671B">
        <w:trPr>
          <w:cantSplit/>
          <w:trHeight w:val="277"/>
          <w:jc w:val="center"/>
        </w:trPr>
        <w:tc>
          <w:tcPr>
            <w:tcW w:w="2894" w:type="dxa"/>
            <w:vMerge w:val="restart"/>
            <w:shd w:val="clear" w:color="auto" w:fill="D9D9D9"/>
            <w:vAlign w:val="center"/>
          </w:tcPr>
          <w:p w:rsidR="00850B27" w:rsidRPr="00DB671B" w:rsidRDefault="00850B27" w:rsidP="00DB671B">
            <w:pPr>
              <w:pStyle w:val="TitleofDoc"/>
              <w:keepNext/>
              <w:tabs>
                <w:tab w:val="left" w:pos="5245"/>
                <w:tab w:val="left" w:pos="7008"/>
              </w:tabs>
              <w:spacing w:before="0"/>
              <w:jc w:val="left"/>
              <w:rPr>
                <w:rFonts w:cs="Arial"/>
                <w:caps w:val="0"/>
              </w:rPr>
            </w:pPr>
            <w:r w:rsidRPr="00DB671B">
              <w:rPr>
                <w:rFonts w:cs="Arial"/>
                <w:caps w:val="0"/>
              </w:rPr>
              <w:t xml:space="preserve">Coréopsis </w:t>
            </w:r>
            <w:r w:rsidRPr="00DB671B">
              <w:rPr>
                <w:rFonts w:cs="Arial"/>
                <w:caps w:val="0"/>
              </w:rPr>
              <w:br/>
              <w:t>(</w:t>
            </w:r>
            <w:r w:rsidRPr="00DB671B">
              <w:rPr>
                <w:rFonts w:cs="Arial"/>
                <w:i/>
                <w:caps w:val="0"/>
              </w:rPr>
              <w:t>Coreopsis</w:t>
            </w:r>
            <w:r w:rsidRPr="00DB671B">
              <w:rPr>
                <w:rFonts w:cs="Arial"/>
                <w:caps w:val="0"/>
              </w:rPr>
              <w:t xml:space="preserve"> L.)</w:t>
            </w:r>
          </w:p>
        </w:tc>
        <w:tc>
          <w:tcPr>
            <w:tcW w:w="2552" w:type="dxa"/>
            <w:shd w:val="clear" w:color="auto" w:fill="D9D9D9"/>
            <w:vAlign w:val="center"/>
          </w:tcPr>
          <w:p w:rsidR="00850B27" w:rsidRPr="00DB671B" w:rsidRDefault="00850B27" w:rsidP="00DB671B">
            <w:pPr>
              <w:pStyle w:val="TitleofDoc"/>
              <w:keepNext/>
              <w:tabs>
                <w:tab w:val="left" w:pos="5245"/>
                <w:tab w:val="left" w:pos="7008"/>
              </w:tabs>
              <w:spacing w:before="0"/>
              <w:jc w:val="left"/>
              <w:rPr>
                <w:rFonts w:cs="Arial"/>
                <w:caps w:val="0"/>
              </w:rPr>
            </w:pPr>
            <w:r w:rsidRPr="00DB671B">
              <w:rPr>
                <w:rFonts w:cs="Arial"/>
                <w:caps w:val="0"/>
              </w:rPr>
              <w:t>TG/COREO(proj.3)</w:t>
            </w:r>
          </w:p>
        </w:tc>
        <w:tc>
          <w:tcPr>
            <w:tcW w:w="2807" w:type="dxa"/>
            <w:shd w:val="clear" w:color="auto" w:fill="D9D9D9"/>
            <w:vAlign w:val="center"/>
          </w:tcPr>
          <w:p w:rsidR="00850B27" w:rsidRPr="00DB671B" w:rsidRDefault="00850B27" w:rsidP="00DB671B">
            <w:pPr>
              <w:keepNext/>
              <w:jc w:val="left"/>
              <w:rPr>
                <w:rFonts w:cs="Arial"/>
                <w:iCs/>
                <w:snapToGrid w:val="0"/>
              </w:rPr>
            </w:pPr>
            <w:r w:rsidRPr="00DB671B">
              <w:rPr>
                <w:rFonts w:cs="Arial"/>
              </w:rPr>
              <w:t>M. Peter Baker (GB)</w:t>
            </w:r>
          </w:p>
        </w:tc>
        <w:tc>
          <w:tcPr>
            <w:tcW w:w="736" w:type="dxa"/>
            <w:vMerge w:val="restart"/>
            <w:shd w:val="clear" w:color="auto" w:fill="D9D9D9"/>
            <w:vAlign w:val="center"/>
          </w:tcPr>
          <w:p w:rsidR="00850B27" w:rsidRPr="00DB671B" w:rsidRDefault="00850B27" w:rsidP="00DB671B">
            <w:pPr>
              <w:keepNext/>
              <w:jc w:val="left"/>
              <w:rPr>
                <w:rFonts w:cs="Arial"/>
                <w:iCs/>
              </w:rPr>
            </w:pPr>
            <w:r w:rsidRPr="00DB671B">
              <w:rPr>
                <w:rFonts w:cs="Arial"/>
                <w:iCs/>
              </w:rPr>
              <w:t>TWO</w:t>
            </w:r>
          </w:p>
        </w:tc>
        <w:tc>
          <w:tcPr>
            <w:tcW w:w="993" w:type="dxa"/>
            <w:vMerge w:val="restart"/>
            <w:shd w:val="clear" w:color="auto" w:fill="D9D9D9"/>
            <w:vAlign w:val="center"/>
          </w:tcPr>
          <w:p w:rsidR="00850B27" w:rsidRPr="00DB671B" w:rsidRDefault="00850B27" w:rsidP="00DB671B">
            <w:pPr>
              <w:pStyle w:val="BodyText"/>
              <w:keepNext/>
              <w:jc w:val="left"/>
              <w:rPr>
                <w:rFonts w:cs="Arial"/>
                <w:iCs/>
                <w:snapToGrid w:val="0"/>
              </w:rPr>
            </w:pPr>
            <w:r w:rsidRPr="00DB671B">
              <w:rPr>
                <w:rFonts w:cs="Arial"/>
                <w:iCs/>
                <w:snapToGrid w:val="0"/>
              </w:rPr>
              <w:t>*</w:t>
            </w:r>
          </w:p>
        </w:tc>
      </w:tr>
      <w:tr w:rsidR="00DB671B" w:rsidRPr="00DB671B" w:rsidTr="00DB671B">
        <w:trPr>
          <w:cantSplit/>
          <w:trHeight w:hRule="exact" w:val="791"/>
          <w:jc w:val="center"/>
        </w:trPr>
        <w:tc>
          <w:tcPr>
            <w:tcW w:w="2894" w:type="dxa"/>
            <w:vMerge/>
            <w:shd w:val="clear" w:color="auto" w:fill="D9D9D9"/>
            <w:vAlign w:val="center"/>
          </w:tcPr>
          <w:p w:rsidR="00850B27" w:rsidRPr="00DB671B" w:rsidRDefault="00850B27" w:rsidP="00DB671B">
            <w:pPr>
              <w:pStyle w:val="TitleofDoc"/>
              <w:keepNext/>
              <w:tabs>
                <w:tab w:val="left" w:pos="5245"/>
                <w:tab w:val="left" w:pos="7008"/>
              </w:tabs>
              <w:spacing w:before="0"/>
              <w:jc w:val="left"/>
              <w:rPr>
                <w:rFonts w:cs="Arial"/>
                <w:caps w:val="0"/>
              </w:rPr>
            </w:pPr>
          </w:p>
        </w:tc>
        <w:tc>
          <w:tcPr>
            <w:tcW w:w="2552" w:type="dxa"/>
            <w:shd w:val="clear" w:color="auto" w:fill="D9D9D9"/>
            <w:vAlign w:val="center"/>
          </w:tcPr>
          <w:p w:rsidR="00850B27" w:rsidRPr="00DB671B" w:rsidRDefault="00850B27" w:rsidP="00DB671B">
            <w:pPr>
              <w:pStyle w:val="BodyText"/>
              <w:keepNext/>
              <w:jc w:val="left"/>
              <w:rPr>
                <w:rFonts w:cs="Arial"/>
              </w:rPr>
            </w:pPr>
            <w:r w:rsidRPr="00DB671B">
              <w:rPr>
                <w:rFonts w:cs="Arial"/>
              </w:rPr>
              <w:t>Nombre de car. : 44 Nombre de car. (*) : 34</w:t>
            </w:r>
          </w:p>
        </w:tc>
        <w:tc>
          <w:tcPr>
            <w:tcW w:w="2807" w:type="dxa"/>
            <w:shd w:val="clear" w:color="auto" w:fill="D9D9D9"/>
            <w:vAlign w:val="center"/>
          </w:tcPr>
          <w:p w:rsidR="00850B27" w:rsidRPr="00DB671B" w:rsidRDefault="00850B27" w:rsidP="00DB671B">
            <w:pPr>
              <w:keepNext/>
              <w:jc w:val="left"/>
              <w:rPr>
                <w:rFonts w:cs="Arial"/>
                <w:iCs/>
                <w:snapToGrid w:val="0"/>
              </w:rPr>
            </w:pPr>
            <w:r w:rsidRPr="00DB671B">
              <w:rPr>
                <w:rFonts w:cs="Arial"/>
                <w:iCs/>
                <w:snapToGrid w:val="0"/>
              </w:rPr>
              <w:t xml:space="preserve">(Experts intéressés : </w:t>
            </w:r>
            <w:r w:rsidRPr="00DB671B">
              <w:rPr>
                <w:rFonts w:cs="Arial"/>
              </w:rPr>
              <w:t>AU, CA, DE, FR, JP, KR, MX, NZ, QZ</w:t>
            </w:r>
            <w:r w:rsidRPr="00DB671B">
              <w:rPr>
                <w:rFonts w:eastAsia="SimSun" w:cs="Arial"/>
                <w:lang w:eastAsia="zh-CN"/>
              </w:rPr>
              <w:t>)</w:t>
            </w:r>
          </w:p>
        </w:tc>
        <w:tc>
          <w:tcPr>
            <w:tcW w:w="736" w:type="dxa"/>
            <w:vMerge/>
            <w:shd w:val="clear" w:color="auto" w:fill="D9D9D9"/>
            <w:vAlign w:val="center"/>
          </w:tcPr>
          <w:p w:rsidR="00850B27" w:rsidRPr="00DB671B" w:rsidRDefault="00850B27" w:rsidP="00DB671B">
            <w:pPr>
              <w:keepNext/>
              <w:jc w:val="left"/>
              <w:rPr>
                <w:rFonts w:cs="Arial"/>
                <w:iCs/>
              </w:rPr>
            </w:pPr>
          </w:p>
        </w:tc>
        <w:tc>
          <w:tcPr>
            <w:tcW w:w="993" w:type="dxa"/>
            <w:vMerge/>
            <w:shd w:val="clear" w:color="auto" w:fill="D9D9D9"/>
            <w:vAlign w:val="center"/>
          </w:tcPr>
          <w:p w:rsidR="00850B27" w:rsidRPr="00DB671B" w:rsidRDefault="00850B27" w:rsidP="00DB671B">
            <w:pPr>
              <w:pStyle w:val="BodyText"/>
              <w:keepNext/>
              <w:jc w:val="left"/>
              <w:rPr>
                <w:rFonts w:cs="Arial"/>
                <w:iCs/>
                <w:snapToGrid w:val="0"/>
              </w:rPr>
            </w:pPr>
          </w:p>
        </w:tc>
      </w:tr>
    </w:tbl>
    <w:p w:rsidR="00850B27" w:rsidRPr="00DB671B" w:rsidRDefault="00850B27" w:rsidP="00DB671B">
      <w:pPr>
        <w:keepNext/>
        <w:rPr>
          <w:rFonts w:eastAsia="Arial" w:cs="Arial"/>
          <w:u w:val="single"/>
        </w:rPr>
      </w:pPr>
    </w:p>
    <w:p w:rsidR="00850B27" w:rsidRPr="00DB671B" w:rsidRDefault="00850B27" w:rsidP="00DB671B">
      <w:pPr>
        <w:keepNext/>
        <w:ind w:firstLine="567"/>
        <w:rPr>
          <w:rFonts w:cs="Arial"/>
          <w:snapToGrid w:val="0"/>
        </w:rPr>
      </w:pPr>
      <w:r w:rsidRPr="00DB671B">
        <w:rPr>
          <w:rFonts w:cs="Arial"/>
          <w:snapToGrid w:val="0"/>
        </w:rPr>
        <w:t>À sa réunion tenue à Genève en octobre 2019, le TC-EDC a examiné le document TG/COREO(proj.3) et a formulé les recommandations présentées dans le tableau ci-dessous :</w:t>
      </w:r>
    </w:p>
    <w:p w:rsidR="00850B27" w:rsidRPr="00DB671B" w:rsidRDefault="00850B27" w:rsidP="00DB671B">
      <w:pPr>
        <w:keepNext/>
        <w:rPr>
          <w:rFonts w:eastAsia="Arial" w:cs="Arial"/>
          <w:u w:val="single"/>
        </w:rPr>
      </w:pPr>
    </w:p>
    <w:p w:rsidR="00850B27" w:rsidRPr="00DB671B" w:rsidRDefault="00850B27" w:rsidP="00DB671B">
      <w:pPr>
        <w:ind w:firstLine="567"/>
        <w:rPr>
          <w:rFonts w:cs="Arial"/>
        </w:rPr>
      </w:pPr>
      <w:r w:rsidRPr="00DB671B">
        <w:rPr>
          <w:rFonts w:cs="Arial"/>
        </w:rPr>
        <w:t xml:space="preserve">Le TC-EDC est convenu que le projet de principes directeurs d’examen du coréopsis devrait être renvoyé au TWO afin d’éclaircir les questions techniques indiquées ci-dessous par </w:t>
      </w:r>
      <w:r w:rsidRPr="00DB671B">
        <w:rPr>
          <w:rFonts w:cs="Arial"/>
          <w:snapToGrid w:val="0"/>
        </w:rPr>
        <w:t>“</w:t>
      </w:r>
      <w:r w:rsidRPr="00DB671B">
        <w:rPr>
          <w:rFonts w:cs="Arial"/>
          <w:snapToGrid w:val="0"/>
          <w:vertAlign w:val="superscript"/>
        </w:rPr>
        <w:t>#</w:t>
      </w:r>
      <w:r w:rsidRPr="00DB671B">
        <w:rPr>
          <w:rFonts w:cs="Arial"/>
          <w:snapToGrid w:val="0"/>
        </w:rPr>
        <w:t>”</w:t>
      </w:r>
      <w:r w:rsidRPr="00DB671B">
        <w:rPr>
          <w:rFonts w:cs="Arial"/>
        </w:rPr>
        <w:t>.</w:t>
      </w:r>
    </w:p>
    <w:p w:rsidR="00850B27" w:rsidRPr="00DB671B" w:rsidRDefault="00850B27" w:rsidP="00DB671B">
      <w:pPr>
        <w:rPr>
          <w:rFonts w:eastAsia="Arial" w:cs="Arial"/>
          <w:u w:val="single"/>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208"/>
      </w:tblGrid>
      <w:tr w:rsidR="00DB671B" w:rsidRPr="00DB671B" w:rsidTr="00DB671B">
        <w:trPr>
          <w:cantSplit/>
        </w:trPr>
        <w:tc>
          <w:tcPr>
            <w:tcW w:w="1573" w:type="dxa"/>
          </w:tcPr>
          <w:p w:rsidR="00850B27" w:rsidRPr="00DB671B" w:rsidRDefault="00850B27" w:rsidP="00DB671B">
            <w:pPr>
              <w:jc w:val="left"/>
              <w:rPr>
                <w:rFonts w:cs="Arial"/>
              </w:rPr>
            </w:pPr>
            <w:r w:rsidRPr="00DB671B">
              <w:rPr>
                <w:rFonts w:cs="Arial"/>
                <w:snapToGrid w:val="0"/>
                <w:vertAlign w:val="superscript"/>
              </w:rPr>
              <w:t>#</w:t>
            </w:r>
            <w:r w:rsidRPr="00DB671B">
              <w:rPr>
                <w:rFonts w:cs="Arial"/>
              </w:rPr>
              <w:t>Caractères 1, 8, 17, 20, 24, 27, 39, 40, 41, 42</w:t>
            </w:r>
          </w:p>
        </w:tc>
        <w:tc>
          <w:tcPr>
            <w:tcW w:w="8208" w:type="dxa"/>
          </w:tcPr>
          <w:p w:rsidR="00850B27" w:rsidRPr="00DB671B" w:rsidRDefault="00850B27" w:rsidP="00DB671B">
            <w:pPr>
              <w:rPr>
                <w:rFonts w:eastAsia="Arial" w:cs="Arial"/>
              </w:rPr>
            </w:pPr>
            <w:r w:rsidRPr="00DB671B">
              <w:rPr>
                <w:rFonts w:eastAsia="Arial" w:cs="Arial"/>
              </w:rPr>
              <w:t>Ajouter des variétés indiquées à titre d’exemple (voir le document TGP/7 (GN 28))</w:t>
            </w:r>
          </w:p>
        </w:tc>
      </w:tr>
      <w:tr w:rsidR="00DB671B" w:rsidRPr="00DB671B" w:rsidTr="00DB671B">
        <w:trPr>
          <w:cantSplit/>
        </w:trPr>
        <w:tc>
          <w:tcPr>
            <w:tcW w:w="1573" w:type="dxa"/>
          </w:tcPr>
          <w:p w:rsidR="00850B27" w:rsidRPr="00DB671B" w:rsidRDefault="00850B27" w:rsidP="00DB671B">
            <w:pPr>
              <w:jc w:val="left"/>
              <w:rPr>
                <w:rFonts w:cs="Arial"/>
              </w:rPr>
            </w:pPr>
            <w:r w:rsidRPr="00DB671B">
              <w:rPr>
                <w:rFonts w:cs="Arial"/>
                <w:snapToGrid w:val="0"/>
                <w:vertAlign w:val="superscript"/>
              </w:rPr>
              <w:t>#</w:t>
            </w:r>
            <w:r w:rsidRPr="00DB671B">
              <w:rPr>
                <w:rFonts w:cs="Arial"/>
              </w:rPr>
              <w:t>Caractères 6 à 11 et 15 à 17</w:t>
            </w:r>
          </w:p>
        </w:tc>
        <w:tc>
          <w:tcPr>
            <w:tcW w:w="8208" w:type="dxa"/>
          </w:tcPr>
          <w:p w:rsidR="00850B27" w:rsidRPr="00DB671B" w:rsidRDefault="00850B27" w:rsidP="00DB671B">
            <w:pPr>
              <w:jc w:val="left"/>
              <w:rPr>
                <w:rFonts w:cs="Arial"/>
              </w:rPr>
            </w:pPr>
            <w:r w:rsidRPr="00DB671B">
              <w:rPr>
                <w:rFonts w:cs="Arial"/>
              </w:rPr>
              <w:t xml:space="preserve">Selon Ad. 5, toutes les variétés peuvent présenter les deux types de feuilles. </w:t>
            </w:r>
          </w:p>
          <w:p w:rsidR="00850B27" w:rsidRPr="00DB671B" w:rsidRDefault="00850B27" w:rsidP="00DB671B">
            <w:pPr>
              <w:jc w:val="left"/>
              <w:rPr>
                <w:rFonts w:cs="Arial"/>
              </w:rPr>
            </w:pPr>
            <w:r w:rsidRPr="00DB671B">
              <w:rPr>
                <w:rFonts w:cs="Arial"/>
              </w:rPr>
              <w:t>Il conviendrait de préciser si tous les caractères doivent être décrits pour les variétés avec la note 1, 2 et 3 au car. 5</w:t>
            </w:r>
          </w:p>
        </w:tc>
      </w:tr>
      <w:tr w:rsidR="00DB671B" w:rsidRPr="00DB671B" w:rsidTr="00DB671B">
        <w:trPr>
          <w:cantSplit/>
        </w:trPr>
        <w:tc>
          <w:tcPr>
            <w:tcW w:w="1573" w:type="dxa"/>
          </w:tcPr>
          <w:p w:rsidR="00850B27" w:rsidRPr="00DB671B" w:rsidRDefault="00850B27" w:rsidP="00DB671B">
            <w:pPr>
              <w:jc w:val="left"/>
              <w:rPr>
                <w:rFonts w:cs="Arial"/>
              </w:rPr>
            </w:pPr>
            <w:r w:rsidRPr="00DB671B">
              <w:rPr>
                <w:rFonts w:cs="Arial"/>
              </w:rPr>
              <w:t>Car. 12 à 14</w:t>
            </w:r>
          </w:p>
        </w:tc>
        <w:tc>
          <w:tcPr>
            <w:tcW w:w="8208" w:type="dxa"/>
          </w:tcPr>
          <w:p w:rsidR="00850B27" w:rsidRPr="00DB671B" w:rsidRDefault="00850B27" w:rsidP="00DB671B">
            <w:pPr>
              <w:jc w:val="left"/>
              <w:rPr>
                <w:rFonts w:cs="Arial"/>
              </w:rPr>
            </w:pPr>
            <w:r w:rsidRPr="00DB671B">
              <w:rPr>
                <w:rFonts w:cs="Arial"/>
              </w:rPr>
              <w:t xml:space="preserve">Déplacer après le car. 17 </w:t>
            </w:r>
          </w:p>
        </w:tc>
      </w:tr>
      <w:tr w:rsidR="00DB671B" w:rsidRPr="00DB671B" w:rsidTr="00DB671B">
        <w:trPr>
          <w:cantSplit/>
        </w:trPr>
        <w:tc>
          <w:tcPr>
            <w:tcW w:w="1573" w:type="dxa"/>
          </w:tcPr>
          <w:p w:rsidR="00850B27" w:rsidRPr="00DB671B" w:rsidRDefault="00850B27" w:rsidP="00DB671B">
            <w:pPr>
              <w:jc w:val="left"/>
              <w:rPr>
                <w:rFonts w:cs="Arial"/>
              </w:rPr>
            </w:pPr>
            <w:r w:rsidRPr="00DB671B">
              <w:rPr>
                <w:rFonts w:cs="Arial"/>
              </w:rPr>
              <w:t>Car. 30</w:t>
            </w:r>
          </w:p>
        </w:tc>
        <w:tc>
          <w:tcPr>
            <w:tcW w:w="8208" w:type="dxa"/>
          </w:tcPr>
          <w:p w:rsidR="00850B27" w:rsidRPr="00DB671B" w:rsidRDefault="00850B27" w:rsidP="00DB671B">
            <w:pPr>
              <w:jc w:val="left"/>
              <w:rPr>
                <w:rFonts w:cs="Arial"/>
              </w:rPr>
            </w:pPr>
            <w:r w:rsidRPr="00DB671B">
              <w:rPr>
                <w:rFonts w:cs="Arial"/>
              </w:rPr>
              <w:t>“sur la totalité” devrait correspondre à la note 15</w:t>
            </w:r>
          </w:p>
        </w:tc>
      </w:tr>
      <w:tr w:rsidR="00DB671B" w:rsidRPr="00DB671B" w:rsidTr="00DB671B">
        <w:trPr>
          <w:cantSplit/>
        </w:trPr>
        <w:tc>
          <w:tcPr>
            <w:tcW w:w="1573" w:type="dxa"/>
          </w:tcPr>
          <w:p w:rsidR="00850B27" w:rsidRPr="00DB671B" w:rsidRDefault="00850B27" w:rsidP="00DB671B">
            <w:pPr>
              <w:jc w:val="left"/>
              <w:rPr>
                <w:rFonts w:cs="Arial"/>
              </w:rPr>
            </w:pPr>
            <w:r w:rsidRPr="00DB671B">
              <w:rPr>
                <w:rFonts w:cs="Arial"/>
              </w:rPr>
              <w:t xml:space="preserve">Car. 32 </w:t>
            </w:r>
          </w:p>
        </w:tc>
        <w:tc>
          <w:tcPr>
            <w:tcW w:w="8208" w:type="dxa"/>
          </w:tcPr>
          <w:p w:rsidR="00850B27" w:rsidRPr="00DB671B" w:rsidRDefault="00850B27" w:rsidP="00DB671B">
            <w:pPr>
              <w:jc w:val="left"/>
              <w:rPr>
                <w:rFonts w:cs="Arial"/>
              </w:rPr>
            </w:pPr>
            <w:r w:rsidRPr="00DB671B">
              <w:rPr>
                <w:rFonts w:cs="Arial"/>
              </w:rPr>
              <w:t>Déplacer avant le car. 30</w:t>
            </w:r>
          </w:p>
        </w:tc>
      </w:tr>
      <w:tr w:rsidR="00DB671B" w:rsidRPr="00DB671B" w:rsidTr="00DB671B">
        <w:trPr>
          <w:cantSplit/>
        </w:trPr>
        <w:tc>
          <w:tcPr>
            <w:tcW w:w="1573" w:type="dxa"/>
          </w:tcPr>
          <w:p w:rsidR="00850B27" w:rsidRPr="00DB671B" w:rsidRDefault="00850B27" w:rsidP="00DB671B">
            <w:pPr>
              <w:jc w:val="left"/>
              <w:rPr>
                <w:rFonts w:cs="Arial"/>
              </w:rPr>
            </w:pPr>
            <w:r w:rsidRPr="00DB671B">
              <w:rPr>
                <w:rFonts w:cs="Arial"/>
              </w:rPr>
              <w:t>8.1 (d)</w:t>
            </w:r>
          </w:p>
        </w:tc>
        <w:tc>
          <w:tcPr>
            <w:tcW w:w="8208" w:type="dxa"/>
          </w:tcPr>
          <w:p w:rsidR="00850B27" w:rsidRPr="00DB671B" w:rsidRDefault="00850B27" w:rsidP="00DB671B">
            <w:pPr>
              <w:keepNext/>
              <w:rPr>
                <w:rFonts w:cs="Arial"/>
              </w:rPr>
            </w:pPr>
            <w:r w:rsidRPr="00DB671B">
              <w:rPr>
                <w:rFonts w:cs="Arial"/>
              </w:rPr>
              <w:t>premier 8.1d), renommer “b)” (type-o)</w:t>
            </w:r>
          </w:p>
        </w:tc>
      </w:tr>
      <w:tr w:rsidR="00DB671B" w:rsidRPr="00DB671B" w:rsidTr="00DB671B">
        <w:trPr>
          <w:cantSplit/>
        </w:trPr>
        <w:tc>
          <w:tcPr>
            <w:tcW w:w="1573" w:type="dxa"/>
          </w:tcPr>
          <w:p w:rsidR="00850B27" w:rsidRPr="00DB671B" w:rsidRDefault="00850B27" w:rsidP="00DB671B">
            <w:pPr>
              <w:rPr>
                <w:rFonts w:cs="Arial"/>
              </w:rPr>
            </w:pPr>
            <w:r w:rsidRPr="00DB671B">
              <w:rPr>
                <w:rFonts w:cs="Arial"/>
              </w:rPr>
              <w:t>8.1 (e)</w:t>
            </w:r>
          </w:p>
        </w:tc>
        <w:tc>
          <w:tcPr>
            <w:tcW w:w="8208" w:type="dxa"/>
          </w:tcPr>
          <w:p w:rsidR="00850B27" w:rsidRPr="00DB671B" w:rsidRDefault="00850B27" w:rsidP="00DB671B">
            <w:pPr>
              <w:rPr>
                <w:rFonts w:cs="Arial"/>
              </w:rPr>
            </w:pPr>
            <w:r w:rsidRPr="00DB671B">
              <w:rPr>
                <w:rFonts w:cs="Arial"/>
              </w:rPr>
              <w:t>Remplacer par le libellé standard (voir le document TGP/14)</w:t>
            </w:r>
          </w:p>
        </w:tc>
      </w:tr>
      <w:tr w:rsidR="00DB671B" w:rsidRPr="00DB671B" w:rsidTr="00DB671B">
        <w:trPr>
          <w:cantSplit/>
        </w:trPr>
        <w:tc>
          <w:tcPr>
            <w:tcW w:w="1573" w:type="dxa"/>
          </w:tcPr>
          <w:p w:rsidR="00850B27" w:rsidRPr="00DB671B" w:rsidRDefault="00850B27" w:rsidP="00DB671B">
            <w:pPr>
              <w:jc w:val="left"/>
              <w:rPr>
                <w:rFonts w:cs="Arial"/>
              </w:rPr>
            </w:pPr>
            <w:r w:rsidRPr="00DB671B">
              <w:rPr>
                <w:rFonts w:cs="Arial"/>
              </w:rPr>
              <w:t>Ad. 5</w:t>
            </w:r>
          </w:p>
        </w:tc>
        <w:tc>
          <w:tcPr>
            <w:tcW w:w="8208" w:type="dxa"/>
          </w:tcPr>
          <w:p w:rsidR="00850B27" w:rsidRPr="00DB671B" w:rsidRDefault="00850B27" w:rsidP="00DB671B">
            <w:pPr>
              <w:jc w:val="left"/>
              <w:rPr>
                <w:rFonts w:cs="Arial"/>
              </w:rPr>
            </w:pPr>
            <w:r w:rsidRPr="00DB671B">
              <w:rPr>
                <w:rFonts w:cs="Arial"/>
              </w:rPr>
              <w:t>Modifier le libellé comme suit : “Certaines variétés présentent les deux types de feuilles.  Le type prédominant de feuille devrait être évalué.  Le niveau… “</w:t>
            </w:r>
          </w:p>
        </w:tc>
      </w:tr>
      <w:tr w:rsidR="00DB671B" w:rsidRPr="00DB671B" w:rsidTr="00DB671B">
        <w:trPr>
          <w:cantSplit/>
        </w:trPr>
        <w:tc>
          <w:tcPr>
            <w:tcW w:w="1573" w:type="dxa"/>
          </w:tcPr>
          <w:p w:rsidR="00850B27" w:rsidRPr="00DB671B" w:rsidRDefault="00850B27" w:rsidP="00DB671B">
            <w:pPr>
              <w:jc w:val="left"/>
              <w:rPr>
                <w:rFonts w:cs="Arial"/>
              </w:rPr>
            </w:pPr>
            <w:r w:rsidRPr="00DB671B">
              <w:rPr>
                <w:rFonts w:cs="Arial"/>
              </w:rPr>
              <w:t>Ad. 19</w:t>
            </w:r>
          </w:p>
        </w:tc>
        <w:tc>
          <w:tcPr>
            <w:tcW w:w="8208" w:type="dxa"/>
          </w:tcPr>
          <w:p w:rsidR="00850B27" w:rsidRPr="00DB671B" w:rsidRDefault="00850B27" w:rsidP="00DB671B">
            <w:pPr>
              <w:jc w:val="left"/>
              <w:rPr>
                <w:rFonts w:cs="Arial"/>
              </w:rPr>
            </w:pPr>
            <w:r w:rsidRPr="00DB671B">
              <w:rPr>
                <w:rFonts w:cs="Arial"/>
              </w:rPr>
              <w:t>supprimer (voir VG)</w:t>
            </w:r>
          </w:p>
        </w:tc>
      </w:tr>
      <w:tr w:rsidR="00DB671B" w:rsidRPr="00DB671B" w:rsidTr="00DB671B">
        <w:trPr>
          <w:cantSplit/>
        </w:trPr>
        <w:tc>
          <w:tcPr>
            <w:tcW w:w="1573" w:type="dxa"/>
          </w:tcPr>
          <w:p w:rsidR="00850B27" w:rsidRPr="00DB671B" w:rsidRDefault="00850B27" w:rsidP="00DB671B">
            <w:pPr>
              <w:keepNext/>
              <w:jc w:val="left"/>
              <w:rPr>
                <w:rFonts w:cs="Arial"/>
              </w:rPr>
            </w:pPr>
            <w:r w:rsidRPr="00DB671B">
              <w:rPr>
                <w:rFonts w:cs="Arial"/>
              </w:rPr>
              <w:t>Ad. 29</w:t>
            </w:r>
          </w:p>
        </w:tc>
        <w:tc>
          <w:tcPr>
            <w:tcW w:w="8208" w:type="dxa"/>
          </w:tcPr>
          <w:p w:rsidR="00850B27" w:rsidRPr="00DB671B" w:rsidRDefault="00850B27" w:rsidP="00DB671B">
            <w:pPr>
              <w:keepNext/>
              <w:jc w:val="left"/>
              <w:rPr>
                <w:rFonts w:cs="Arial"/>
              </w:rPr>
            </w:pPr>
            <w:r w:rsidRPr="00DB671B">
              <w:rPr>
                <w:rFonts w:cs="Arial"/>
              </w:rPr>
              <w:t>Améliorer la qualité des dessins.  La couleur principale devrait être unie pour éviter toute confusion avec les dessins des caractères 30 et 32.</w:t>
            </w:r>
          </w:p>
        </w:tc>
      </w:tr>
      <w:tr w:rsidR="00DB671B" w:rsidRPr="00DB671B" w:rsidTr="00DB671B">
        <w:trPr>
          <w:cantSplit/>
        </w:trPr>
        <w:tc>
          <w:tcPr>
            <w:tcW w:w="1573" w:type="dxa"/>
          </w:tcPr>
          <w:p w:rsidR="00850B27" w:rsidRPr="00DB671B" w:rsidRDefault="00850B27" w:rsidP="00DB671B">
            <w:pPr>
              <w:jc w:val="left"/>
              <w:rPr>
                <w:rFonts w:cs="Arial"/>
              </w:rPr>
            </w:pPr>
            <w:r w:rsidRPr="00DB671B">
              <w:rPr>
                <w:rFonts w:cs="Arial"/>
                <w:snapToGrid w:val="0"/>
                <w:vertAlign w:val="superscript"/>
              </w:rPr>
              <w:t>#</w:t>
            </w:r>
            <w:r w:rsidRPr="00DB671B">
              <w:rPr>
                <w:rFonts w:cs="Arial"/>
              </w:rPr>
              <w:t>Ad. 30</w:t>
            </w:r>
          </w:p>
        </w:tc>
        <w:tc>
          <w:tcPr>
            <w:tcW w:w="8208" w:type="dxa"/>
          </w:tcPr>
          <w:p w:rsidR="00850B27" w:rsidRPr="00DB671B" w:rsidRDefault="00850B27" w:rsidP="00DB671B">
            <w:pPr>
              <w:keepNext/>
              <w:jc w:val="left"/>
              <w:rPr>
                <w:rFonts w:cs="Arial"/>
              </w:rPr>
            </w:pPr>
            <w:r w:rsidRPr="00DB671B">
              <w:rPr>
                <w:rFonts w:cs="Arial"/>
              </w:rPr>
              <w:t>- ajouter une explication pour préciser comment la couleur secondaire peut occuper plus de 50% de la surface (vérifier s’il conviendrait de modifier le libellé comme suit : “Si la couleur secondaire n’est pas unie, sa répartition peut couvrir plus de la moitié de la fleur ligulée et la surface totale couverte reste inférieure à celle couverte par la couleur principale.”)</w:t>
            </w:r>
          </w:p>
          <w:p w:rsidR="00850B27" w:rsidRPr="00DB671B" w:rsidRDefault="00850B27" w:rsidP="00DB671B">
            <w:pPr>
              <w:keepNext/>
              <w:jc w:val="left"/>
              <w:rPr>
                <w:rFonts w:cs="Arial"/>
              </w:rPr>
            </w:pPr>
            <w:r w:rsidRPr="00DB671B">
              <w:rPr>
                <w:rFonts w:cs="Arial"/>
              </w:rPr>
              <w:t xml:space="preserve">- Améliorer la qualité des dessins.  La couleur secondaire ne devrait </w:t>
            </w:r>
            <w:r w:rsidRPr="00DB671B">
              <w:rPr>
                <w:u w:val="single"/>
              </w:rPr>
              <w:t>pas</w:t>
            </w:r>
            <w:r w:rsidRPr="00DB671B">
              <w:t xml:space="preserve"> </w:t>
            </w:r>
            <w:r w:rsidRPr="00DB671B">
              <w:rPr>
                <w:rFonts w:cs="Arial"/>
              </w:rPr>
              <w:t>être unie pour les niveaux 6 à 11 et 14 pour éviter toute confusion avec les dessins du car. 30.</w:t>
            </w:r>
          </w:p>
        </w:tc>
      </w:tr>
      <w:tr w:rsidR="00DB671B" w:rsidRPr="00DB671B" w:rsidTr="00DB671B">
        <w:trPr>
          <w:cantSplit/>
        </w:trPr>
        <w:tc>
          <w:tcPr>
            <w:tcW w:w="1573" w:type="dxa"/>
          </w:tcPr>
          <w:p w:rsidR="00850B27" w:rsidRPr="00DB671B" w:rsidRDefault="00850B27" w:rsidP="00DB671B">
            <w:pPr>
              <w:pStyle w:val="BodyText"/>
              <w:jc w:val="left"/>
              <w:rPr>
                <w:rFonts w:cs="Arial"/>
                <w:snapToGrid w:val="0"/>
              </w:rPr>
            </w:pPr>
            <w:r w:rsidRPr="00DB671B">
              <w:rPr>
                <w:rFonts w:cs="Arial"/>
                <w:snapToGrid w:val="0"/>
                <w:vertAlign w:val="superscript"/>
              </w:rPr>
              <w:t>#</w:t>
            </w:r>
            <w:r w:rsidRPr="00DB671B">
              <w:rPr>
                <w:rFonts w:cs="Arial"/>
                <w:snapToGrid w:val="0"/>
              </w:rPr>
              <w:t>Ad. 33</w:t>
            </w:r>
          </w:p>
        </w:tc>
        <w:tc>
          <w:tcPr>
            <w:tcW w:w="8208" w:type="dxa"/>
          </w:tcPr>
          <w:p w:rsidR="00850B27" w:rsidRPr="00DB671B" w:rsidRDefault="00850B27" w:rsidP="00DB671B">
            <w:pPr>
              <w:pStyle w:val="BodyText"/>
              <w:jc w:val="left"/>
              <w:rPr>
                <w:rFonts w:cs="Arial"/>
                <w:snapToGrid w:val="0"/>
              </w:rPr>
            </w:pPr>
            <w:r w:rsidRPr="00DB671B">
              <w:rPr>
                <w:rFonts w:cs="Arial"/>
                <w:snapToGrid w:val="0"/>
              </w:rPr>
              <w:t xml:space="preserve">- vérifier s’il conviendrait de modifier le libellé comme suit : “Si la couleur tertiaire n’est pas unie, elle peut être répartie jusqu’à la moitié de la fleur ligulée et la surface totale couverte reste inférieure à celle couverte par la couleur secondaire.” </w:t>
            </w:r>
          </w:p>
          <w:p w:rsidR="00850B27" w:rsidRPr="00DB671B" w:rsidRDefault="00850B27" w:rsidP="00DB671B">
            <w:pPr>
              <w:pStyle w:val="BodyText"/>
              <w:jc w:val="left"/>
              <w:rPr>
                <w:rFonts w:cs="Arial"/>
                <w:snapToGrid w:val="0"/>
              </w:rPr>
            </w:pPr>
            <w:r w:rsidRPr="00DB671B">
              <w:rPr>
                <w:rFonts w:cs="Arial"/>
                <w:snapToGrid w:val="0"/>
              </w:rPr>
              <w:t xml:space="preserve">- améliorer la qualité des dessins. </w:t>
            </w:r>
            <w:r w:rsidRPr="00DB671B">
              <w:rPr>
                <w:rFonts w:cs="Arial"/>
              </w:rPr>
              <w:t xml:space="preserve">La couleur secondaire ne devrait </w:t>
            </w:r>
            <w:r w:rsidRPr="00DB671B">
              <w:rPr>
                <w:u w:val="single"/>
              </w:rPr>
              <w:t>pas</w:t>
            </w:r>
            <w:r w:rsidRPr="00DB671B">
              <w:t xml:space="preserve"> </w:t>
            </w:r>
            <w:r w:rsidRPr="00DB671B">
              <w:rPr>
                <w:rFonts w:cs="Arial"/>
              </w:rPr>
              <w:t>être unie pour les niveaux</w:t>
            </w:r>
            <w:r w:rsidRPr="00DB671B">
              <w:rPr>
                <w:rFonts w:cs="Arial"/>
                <w:snapToGrid w:val="0"/>
              </w:rPr>
              <w:t> 4 à 8 pour éviter toute confusion avec les dessins des caractères 30 et 32.</w:t>
            </w:r>
          </w:p>
        </w:tc>
      </w:tr>
    </w:tbl>
    <w:p w:rsidR="00850B27" w:rsidRPr="00DB671B" w:rsidRDefault="00850B27" w:rsidP="00DB671B">
      <w:pPr>
        <w:rPr>
          <w:rFonts w:eastAsia="Arial" w:cs="Arial"/>
          <w:u w:val="single"/>
        </w:rPr>
      </w:pPr>
    </w:p>
    <w:p w:rsidR="00850B27" w:rsidRPr="00DB671B" w:rsidRDefault="00850B27" w:rsidP="00DB671B">
      <w:pPr>
        <w:rPr>
          <w:rFonts w:eastAsia="Arial" w:cs="Arial"/>
          <w:u w:val="single"/>
        </w:rPr>
      </w:pPr>
    </w:p>
    <w:tbl>
      <w:tblPr>
        <w:tblW w:w="99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894"/>
        <w:gridCol w:w="2552"/>
        <w:gridCol w:w="2807"/>
        <w:gridCol w:w="736"/>
        <w:gridCol w:w="993"/>
      </w:tblGrid>
      <w:tr w:rsidR="00DB671B" w:rsidRPr="00DB671B" w:rsidTr="00DB671B">
        <w:trPr>
          <w:cantSplit/>
          <w:trHeight w:val="277"/>
          <w:jc w:val="center"/>
        </w:trPr>
        <w:tc>
          <w:tcPr>
            <w:tcW w:w="2894" w:type="dxa"/>
            <w:vMerge w:val="restart"/>
            <w:shd w:val="clear" w:color="auto" w:fill="D9D9D9"/>
            <w:vAlign w:val="center"/>
          </w:tcPr>
          <w:p w:rsidR="00850B27" w:rsidRPr="00DB671B" w:rsidRDefault="00850B27" w:rsidP="00DB671B">
            <w:pPr>
              <w:pStyle w:val="TitleofDoc"/>
              <w:keepNext/>
              <w:tabs>
                <w:tab w:val="left" w:pos="5245"/>
                <w:tab w:val="left" w:pos="7008"/>
              </w:tabs>
              <w:spacing w:before="0"/>
              <w:jc w:val="left"/>
              <w:rPr>
                <w:rFonts w:cs="Arial"/>
                <w:caps w:val="0"/>
              </w:rPr>
            </w:pPr>
            <w:r w:rsidRPr="00DB671B">
              <w:rPr>
                <w:rFonts w:cs="Arial"/>
                <w:caps w:val="0"/>
              </w:rPr>
              <w:t xml:space="preserve">Gazania </w:t>
            </w:r>
            <w:r w:rsidRPr="00DB671B">
              <w:rPr>
                <w:rFonts w:cs="Arial"/>
                <w:caps w:val="0"/>
              </w:rPr>
              <w:br/>
              <w:t>(</w:t>
            </w:r>
            <w:r w:rsidRPr="00DB671B">
              <w:rPr>
                <w:rFonts w:cs="Arial"/>
                <w:i/>
                <w:caps w:val="0"/>
              </w:rPr>
              <w:t>Gazania</w:t>
            </w:r>
            <w:r w:rsidRPr="00DB671B">
              <w:rPr>
                <w:rFonts w:cs="Arial"/>
                <w:caps w:val="0"/>
              </w:rPr>
              <w:t xml:space="preserve"> Gaertn.)</w:t>
            </w:r>
          </w:p>
        </w:tc>
        <w:tc>
          <w:tcPr>
            <w:tcW w:w="2552" w:type="dxa"/>
            <w:shd w:val="clear" w:color="auto" w:fill="D9D9D9"/>
            <w:vAlign w:val="center"/>
          </w:tcPr>
          <w:p w:rsidR="00850B27" w:rsidRPr="00DB671B" w:rsidRDefault="00850B27" w:rsidP="00DB671B">
            <w:pPr>
              <w:pStyle w:val="TitleofDoc"/>
              <w:keepNext/>
              <w:tabs>
                <w:tab w:val="left" w:pos="5245"/>
                <w:tab w:val="left" w:pos="7008"/>
              </w:tabs>
              <w:spacing w:before="0"/>
              <w:jc w:val="left"/>
              <w:rPr>
                <w:rFonts w:cs="Arial"/>
                <w:caps w:val="0"/>
              </w:rPr>
            </w:pPr>
            <w:r w:rsidRPr="00DB671B">
              <w:rPr>
                <w:rFonts w:cs="Arial"/>
                <w:caps w:val="0"/>
              </w:rPr>
              <w:t>TG/GAZAN(proj.4)</w:t>
            </w:r>
          </w:p>
        </w:tc>
        <w:tc>
          <w:tcPr>
            <w:tcW w:w="2807" w:type="dxa"/>
            <w:shd w:val="clear" w:color="auto" w:fill="D9D9D9"/>
            <w:vAlign w:val="center"/>
          </w:tcPr>
          <w:p w:rsidR="00850B27" w:rsidRPr="00DB671B" w:rsidRDefault="00850B27" w:rsidP="00DB671B">
            <w:pPr>
              <w:keepNext/>
              <w:jc w:val="left"/>
              <w:rPr>
                <w:rFonts w:cs="Arial"/>
                <w:iCs/>
                <w:snapToGrid w:val="0"/>
              </w:rPr>
            </w:pPr>
            <w:r w:rsidRPr="00DB671B">
              <w:rPr>
                <w:rFonts w:cs="Arial"/>
              </w:rPr>
              <w:t>M. Adriaan de Villiers (ZA)</w:t>
            </w:r>
          </w:p>
        </w:tc>
        <w:tc>
          <w:tcPr>
            <w:tcW w:w="736" w:type="dxa"/>
            <w:vMerge w:val="restart"/>
            <w:shd w:val="clear" w:color="auto" w:fill="D9D9D9"/>
            <w:vAlign w:val="center"/>
          </w:tcPr>
          <w:p w:rsidR="00850B27" w:rsidRPr="00DB671B" w:rsidRDefault="00850B27" w:rsidP="00DB671B">
            <w:pPr>
              <w:keepNext/>
              <w:jc w:val="left"/>
              <w:rPr>
                <w:rFonts w:cs="Arial"/>
                <w:iCs/>
              </w:rPr>
            </w:pPr>
            <w:r w:rsidRPr="00DB671B">
              <w:rPr>
                <w:rFonts w:cs="Arial"/>
                <w:iCs/>
              </w:rPr>
              <w:t>TWO</w:t>
            </w:r>
          </w:p>
        </w:tc>
        <w:tc>
          <w:tcPr>
            <w:tcW w:w="993" w:type="dxa"/>
            <w:vMerge w:val="restart"/>
            <w:shd w:val="clear" w:color="auto" w:fill="D9D9D9"/>
            <w:vAlign w:val="center"/>
          </w:tcPr>
          <w:p w:rsidR="00850B27" w:rsidRPr="00DB671B" w:rsidRDefault="00850B27" w:rsidP="00DB671B">
            <w:pPr>
              <w:pStyle w:val="BodyText"/>
              <w:keepNext/>
              <w:jc w:val="left"/>
              <w:rPr>
                <w:rFonts w:cs="Arial"/>
                <w:iCs/>
                <w:snapToGrid w:val="0"/>
              </w:rPr>
            </w:pPr>
            <w:r w:rsidRPr="00DB671B">
              <w:rPr>
                <w:rFonts w:cs="Arial"/>
                <w:iCs/>
                <w:snapToGrid w:val="0"/>
              </w:rPr>
              <w:t>*</w:t>
            </w:r>
          </w:p>
        </w:tc>
      </w:tr>
      <w:tr w:rsidR="00DB671B" w:rsidRPr="00DB671B" w:rsidTr="00DB671B">
        <w:trPr>
          <w:cantSplit/>
          <w:trHeight w:hRule="exact" w:val="791"/>
          <w:jc w:val="center"/>
        </w:trPr>
        <w:tc>
          <w:tcPr>
            <w:tcW w:w="2894" w:type="dxa"/>
            <w:vMerge/>
            <w:shd w:val="clear" w:color="auto" w:fill="D9D9D9"/>
            <w:vAlign w:val="center"/>
          </w:tcPr>
          <w:p w:rsidR="00850B27" w:rsidRPr="00DB671B" w:rsidRDefault="00850B27" w:rsidP="00DB671B">
            <w:pPr>
              <w:pStyle w:val="TitleofDoc"/>
              <w:keepNext/>
              <w:tabs>
                <w:tab w:val="left" w:pos="5245"/>
                <w:tab w:val="left" w:pos="7008"/>
              </w:tabs>
              <w:spacing w:before="0"/>
              <w:jc w:val="left"/>
              <w:rPr>
                <w:rFonts w:cs="Arial"/>
                <w:caps w:val="0"/>
              </w:rPr>
            </w:pPr>
          </w:p>
        </w:tc>
        <w:tc>
          <w:tcPr>
            <w:tcW w:w="2552" w:type="dxa"/>
            <w:shd w:val="clear" w:color="auto" w:fill="D9D9D9"/>
            <w:vAlign w:val="center"/>
          </w:tcPr>
          <w:p w:rsidR="00850B27" w:rsidRPr="00DB671B" w:rsidRDefault="00850B27" w:rsidP="00DB671B">
            <w:pPr>
              <w:pStyle w:val="BodyText"/>
              <w:keepNext/>
              <w:jc w:val="left"/>
              <w:rPr>
                <w:rFonts w:cs="Arial"/>
              </w:rPr>
            </w:pPr>
            <w:r w:rsidRPr="00DB671B">
              <w:rPr>
                <w:rFonts w:cs="Arial"/>
              </w:rPr>
              <w:t>Nombre de car. : 35 Nombre de car. (*) : 20</w:t>
            </w:r>
          </w:p>
        </w:tc>
        <w:tc>
          <w:tcPr>
            <w:tcW w:w="2807" w:type="dxa"/>
            <w:shd w:val="clear" w:color="auto" w:fill="D9D9D9"/>
            <w:vAlign w:val="center"/>
          </w:tcPr>
          <w:p w:rsidR="00850B27" w:rsidRPr="00DB671B" w:rsidRDefault="00850B27" w:rsidP="00DB671B">
            <w:pPr>
              <w:keepNext/>
              <w:jc w:val="left"/>
              <w:rPr>
                <w:rFonts w:cs="Arial"/>
                <w:iCs/>
                <w:snapToGrid w:val="0"/>
              </w:rPr>
            </w:pPr>
            <w:r w:rsidRPr="00DB671B">
              <w:rPr>
                <w:rFonts w:cs="Arial"/>
                <w:iCs/>
                <w:snapToGrid w:val="0"/>
              </w:rPr>
              <w:t xml:space="preserve">(Experts intéressés : </w:t>
            </w:r>
            <w:r w:rsidRPr="00DB671B">
              <w:rPr>
                <w:rFonts w:cs="Arial"/>
              </w:rPr>
              <w:t>AU, DE, GB, JP, KR, MX, NZ, QZ, CIOPORA</w:t>
            </w:r>
            <w:r w:rsidRPr="00DB671B">
              <w:rPr>
                <w:rFonts w:eastAsia="SimSun" w:cs="Arial"/>
                <w:lang w:eastAsia="zh-CN"/>
              </w:rPr>
              <w:t>)</w:t>
            </w:r>
          </w:p>
        </w:tc>
        <w:tc>
          <w:tcPr>
            <w:tcW w:w="736" w:type="dxa"/>
            <w:vMerge/>
            <w:shd w:val="clear" w:color="auto" w:fill="D9D9D9"/>
            <w:vAlign w:val="center"/>
          </w:tcPr>
          <w:p w:rsidR="00850B27" w:rsidRPr="00DB671B" w:rsidRDefault="00850B27" w:rsidP="00DB671B">
            <w:pPr>
              <w:keepNext/>
              <w:jc w:val="left"/>
              <w:rPr>
                <w:rFonts w:cs="Arial"/>
                <w:iCs/>
              </w:rPr>
            </w:pPr>
          </w:p>
        </w:tc>
        <w:tc>
          <w:tcPr>
            <w:tcW w:w="993" w:type="dxa"/>
            <w:vMerge/>
            <w:shd w:val="clear" w:color="auto" w:fill="D9D9D9"/>
            <w:vAlign w:val="center"/>
          </w:tcPr>
          <w:p w:rsidR="00850B27" w:rsidRPr="00DB671B" w:rsidRDefault="00850B27" w:rsidP="00DB671B">
            <w:pPr>
              <w:pStyle w:val="BodyText"/>
              <w:keepNext/>
              <w:jc w:val="left"/>
              <w:rPr>
                <w:rFonts w:cs="Arial"/>
                <w:iCs/>
                <w:snapToGrid w:val="0"/>
              </w:rPr>
            </w:pPr>
          </w:p>
        </w:tc>
      </w:tr>
    </w:tbl>
    <w:p w:rsidR="00850B27" w:rsidRPr="00DB671B" w:rsidRDefault="00850B27" w:rsidP="00DB671B">
      <w:pPr>
        <w:keepNext/>
        <w:rPr>
          <w:rFonts w:eastAsia="Arial" w:cs="Arial"/>
          <w:u w:val="single"/>
        </w:rPr>
      </w:pPr>
    </w:p>
    <w:p w:rsidR="00850B27" w:rsidRPr="00DB671B" w:rsidRDefault="00850B27" w:rsidP="00DB671B">
      <w:pPr>
        <w:ind w:firstLine="567"/>
        <w:rPr>
          <w:rFonts w:cs="Arial"/>
          <w:snapToGrid w:val="0"/>
        </w:rPr>
      </w:pPr>
      <w:r w:rsidRPr="00DB671B">
        <w:rPr>
          <w:rFonts w:cs="Arial"/>
          <w:snapToGrid w:val="0"/>
        </w:rPr>
        <w:t>À sa réunion tenue à Genève en octobre 2019, le TC-EDC a examiné le document TG/GAZAN(proj.4) et a formulé les recommandations présentées dans le tableau ci-dessous :</w:t>
      </w:r>
    </w:p>
    <w:p w:rsidR="00850B27" w:rsidRPr="00DB671B" w:rsidRDefault="00850B27" w:rsidP="00DB671B">
      <w:pPr>
        <w:keepNext/>
        <w:rPr>
          <w:rFonts w:eastAsia="Arial" w:cs="Arial"/>
          <w:u w:val="single"/>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208"/>
      </w:tblGrid>
      <w:tr w:rsidR="00DB671B" w:rsidRPr="00DB671B" w:rsidTr="00DB671B">
        <w:trPr>
          <w:cantSplit/>
        </w:trPr>
        <w:tc>
          <w:tcPr>
            <w:tcW w:w="1573" w:type="dxa"/>
          </w:tcPr>
          <w:p w:rsidR="00850B27" w:rsidRPr="00DB671B" w:rsidRDefault="00850B27" w:rsidP="00DB671B">
            <w:pPr>
              <w:keepNext/>
              <w:rPr>
                <w:rFonts w:cs="Arial"/>
              </w:rPr>
            </w:pPr>
            <w:r w:rsidRPr="00DB671B">
              <w:rPr>
                <w:rFonts w:cs="Arial"/>
              </w:rPr>
              <w:t>5.3 (e)</w:t>
            </w:r>
          </w:p>
        </w:tc>
        <w:tc>
          <w:tcPr>
            <w:tcW w:w="8208" w:type="dxa"/>
          </w:tcPr>
          <w:p w:rsidR="00850B27" w:rsidRPr="00DB671B" w:rsidRDefault="00850B27" w:rsidP="00DB671B">
            <w:pPr>
              <w:keepNext/>
              <w:rPr>
                <w:rFonts w:cs="Arial"/>
              </w:rPr>
            </w:pPr>
            <w:r w:rsidRPr="00DB671B">
              <w:rPr>
                <w:rFonts w:cs="Arial"/>
              </w:rPr>
              <w:t>Modifier le libellé comme suit : “Fleur ligulée</w:t>
            </w:r>
            <w:r w:rsidRPr="00DB671B">
              <w:rPr>
                <w:rFonts w:eastAsia="Arial" w:cs="Arial"/>
              </w:rPr>
              <w:t> : couleur occupant la plus grande surface sur la face supérieure, selon les group</w:t>
            </w:r>
            <w:r w:rsidR="003A7341">
              <w:rPr>
                <w:rFonts w:eastAsia="Arial" w:cs="Arial"/>
              </w:rPr>
              <w:t>e</w:t>
            </w:r>
            <w:r w:rsidRPr="00DB671B">
              <w:rPr>
                <w:rFonts w:eastAsia="Arial" w:cs="Arial"/>
              </w:rPr>
              <w:t>s suivants :”</w:t>
            </w:r>
            <w:r w:rsidRPr="00DB671B" w:rsidDel="00B47102">
              <w:rPr>
                <w:rFonts w:cs="Arial"/>
              </w:rPr>
              <w:t xml:space="preserve"> </w:t>
            </w:r>
          </w:p>
        </w:tc>
      </w:tr>
      <w:tr w:rsidR="00DB671B" w:rsidRPr="00DB671B" w:rsidTr="00DB671B">
        <w:trPr>
          <w:cantSplit/>
        </w:trPr>
        <w:tc>
          <w:tcPr>
            <w:tcW w:w="1573" w:type="dxa"/>
          </w:tcPr>
          <w:p w:rsidR="00850B27" w:rsidRPr="00DB671B" w:rsidRDefault="00850B27" w:rsidP="00DB671B">
            <w:pPr>
              <w:keepNext/>
              <w:rPr>
                <w:rFonts w:cs="Arial"/>
              </w:rPr>
            </w:pPr>
            <w:r w:rsidRPr="00DB671B">
              <w:rPr>
                <w:rFonts w:cs="Arial"/>
              </w:rPr>
              <w:t>Car. 7</w:t>
            </w:r>
          </w:p>
        </w:tc>
        <w:tc>
          <w:tcPr>
            <w:tcW w:w="8208" w:type="dxa"/>
          </w:tcPr>
          <w:p w:rsidR="00850B27" w:rsidRPr="00DB671B" w:rsidRDefault="00850B27" w:rsidP="00DB671B">
            <w:pPr>
              <w:keepNext/>
              <w:rPr>
                <w:rFonts w:cs="Arial"/>
              </w:rPr>
            </w:pPr>
            <w:r w:rsidRPr="00DB671B">
              <w:rPr>
                <w:rFonts w:cs="Arial"/>
              </w:rPr>
              <w:t>- ajouter l’explication suivante : “Les observations devraient exclure la panachure.”</w:t>
            </w:r>
          </w:p>
          <w:p w:rsidR="00850B27" w:rsidRPr="00DB671B" w:rsidRDefault="0067134D" w:rsidP="00DB671B">
            <w:pPr>
              <w:keepNext/>
              <w:rPr>
                <w:rFonts w:cs="Arial"/>
              </w:rPr>
            </w:pPr>
            <w:r>
              <w:rPr>
                <w:rFonts w:cs="Arial"/>
              </w:rPr>
              <w:t>-</w:t>
            </w:r>
            <w:r w:rsidR="00850B27" w:rsidRPr="00DB671B">
              <w:rPr>
                <w:rFonts w:cs="Arial"/>
              </w:rPr>
              <w:t xml:space="preserve"> supprimer b)</w:t>
            </w:r>
          </w:p>
        </w:tc>
      </w:tr>
      <w:tr w:rsidR="00DB671B" w:rsidRPr="00DB671B" w:rsidTr="00DB671B">
        <w:trPr>
          <w:cantSplit/>
        </w:trPr>
        <w:tc>
          <w:tcPr>
            <w:tcW w:w="1573" w:type="dxa"/>
          </w:tcPr>
          <w:p w:rsidR="00850B27" w:rsidRPr="00DB671B" w:rsidRDefault="00850B27" w:rsidP="00DB671B">
            <w:pPr>
              <w:keepNext/>
              <w:rPr>
                <w:rFonts w:cs="Arial"/>
              </w:rPr>
            </w:pPr>
            <w:r w:rsidRPr="00DB671B">
              <w:rPr>
                <w:rFonts w:cs="Arial"/>
              </w:rPr>
              <w:t>Car. 8</w:t>
            </w:r>
          </w:p>
        </w:tc>
        <w:tc>
          <w:tcPr>
            <w:tcW w:w="8208" w:type="dxa"/>
          </w:tcPr>
          <w:p w:rsidR="00850B27" w:rsidRPr="00DB671B" w:rsidRDefault="00850B27" w:rsidP="00DB671B">
            <w:pPr>
              <w:keepNext/>
              <w:rPr>
                <w:rFonts w:cs="Arial"/>
              </w:rPr>
            </w:pPr>
            <w:r w:rsidRPr="00DB671B">
              <w:rPr>
                <w:rFonts w:cs="Arial"/>
              </w:rPr>
              <w:t>- modifier le libellé comme suit : “Feuille : couleur de la panachure”</w:t>
            </w:r>
          </w:p>
          <w:p w:rsidR="00850B27" w:rsidRPr="00DB671B" w:rsidRDefault="0067134D" w:rsidP="00DB671B">
            <w:pPr>
              <w:keepNext/>
              <w:rPr>
                <w:rFonts w:cs="Arial"/>
              </w:rPr>
            </w:pPr>
            <w:r>
              <w:rPr>
                <w:rFonts w:cs="Arial"/>
              </w:rPr>
              <w:t>-</w:t>
            </w:r>
            <w:r w:rsidR="00850B27" w:rsidRPr="00DB671B">
              <w:rPr>
                <w:rFonts w:cs="Arial"/>
              </w:rPr>
              <w:t xml:space="preserve"> supprimer b)</w:t>
            </w:r>
          </w:p>
        </w:tc>
      </w:tr>
      <w:tr w:rsidR="00DB671B" w:rsidRPr="00DB671B" w:rsidTr="00DB671B">
        <w:trPr>
          <w:cantSplit/>
        </w:trPr>
        <w:tc>
          <w:tcPr>
            <w:tcW w:w="1573" w:type="dxa"/>
            <w:tcBorders>
              <w:top w:val="single" w:sz="4" w:space="0" w:color="auto"/>
              <w:left w:val="single" w:sz="4" w:space="0" w:color="auto"/>
              <w:bottom w:val="single" w:sz="4" w:space="0" w:color="auto"/>
              <w:right w:val="single" w:sz="4" w:space="0" w:color="auto"/>
            </w:tcBorders>
          </w:tcPr>
          <w:p w:rsidR="00850B27" w:rsidRPr="00DB671B" w:rsidRDefault="00850B27" w:rsidP="00DB671B">
            <w:pPr>
              <w:jc w:val="left"/>
              <w:rPr>
                <w:rFonts w:cs="Arial"/>
              </w:rPr>
            </w:pPr>
            <w:r w:rsidRPr="00DB671B">
              <w:rPr>
                <w:rFonts w:cs="Arial"/>
              </w:rPr>
              <w:t>Car. 10</w:t>
            </w:r>
          </w:p>
        </w:tc>
        <w:tc>
          <w:tcPr>
            <w:tcW w:w="8208" w:type="dxa"/>
            <w:tcBorders>
              <w:top w:val="single" w:sz="4" w:space="0" w:color="auto"/>
              <w:left w:val="single" w:sz="4" w:space="0" w:color="auto"/>
              <w:bottom w:val="single" w:sz="4" w:space="0" w:color="auto"/>
              <w:right w:val="single" w:sz="4" w:space="0" w:color="auto"/>
            </w:tcBorders>
          </w:tcPr>
          <w:p w:rsidR="00850B27" w:rsidRPr="00DB671B" w:rsidRDefault="00850B27" w:rsidP="00DB671B">
            <w:pPr>
              <w:rPr>
                <w:rFonts w:cs="Arial"/>
              </w:rPr>
            </w:pPr>
            <w:r w:rsidRPr="00DB671B">
              <w:rPr>
                <w:rFonts w:cs="Arial"/>
              </w:rPr>
              <w:t>supprimer les niveaux d’expression 2 et 4</w:t>
            </w:r>
          </w:p>
        </w:tc>
      </w:tr>
      <w:tr w:rsidR="00DB671B" w:rsidRPr="00DB671B" w:rsidTr="00DB671B">
        <w:trPr>
          <w:cantSplit/>
        </w:trPr>
        <w:tc>
          <w:tcPr>
            <w:tcW w:w="1573" w:type="dxa"/>
            <w:tcBorders>
              <w:top w:val="single" w:sz="4" w:space="0" w:color="auto"/>
              <w:left w:val="single" w:sz="4" w:space="0" w:color="auto"/>
              <w:bottom w:val="single" w:sz="4" w:space="0" w:color="auto"/>
              <w:right w:val="single" w:sz="4" w:space="0" w:color="auto"/>
            </w:tcBorders>
          </w:tcPr>
          <w:p w:rsidR="00850B27" w:rsidRPr="00DB671B" w:rsidRDefault="00850B27" w:rsidP="00DB671B">
            <w:pPr>
              <w:jc w:val="left"/>
              <w:rPr>
                <w:rFonts w:cs="Arial"/>
              </w:rPr>
            </w:pPr>
            <w:r w:rsidRPr="00DB671B">
              <w:rPr>
                <w:rFonts w:cs="Arial"/>
              </w:rPr>
              <w:t>Car. 24</w:t>
            </w:r>
          </w:p>
        </w:tc>
        <w:tc>
          <w:tcPr>
            <w:tcW w:w="8208" w:type="dxa"/>
            <w:tcBorders>
              <w:top w:val="single" w:sz="4" w:space="0" w:color="auto"/>
              <w:left w:val="single" w:sz="4" w:space="0" w:color="auto"/>
              <w:bottom w:val="single" w:sz="4" w:space="0" w:color="auto"/>
              <w:right w:val="single" w:sz="4" w:space="0" w:color="auto"/>
            </w:tcBorders>
          </w:tcPr>
          <w:p w:rsidR="00850B27" w:rsidRPr="00DB671B" w:rsidRDefault="00850B27" w:rsidP="00DB671B">
            <w:pPr>
              <w:rPr>
                <w:rFonts w:cs="Arial"/>
              </w:rPr>
            </w:pPr>
            <w:r w:rsidRPr="00DB671B">
              <w:rPr>
                <w:rFonts w:cs="Arial"/>
              </w:rPr>
              <w:t>Modifier le texte du niveau 19 comme suit : “zone latérale partout”</w:t>
            </w:r>
          </w:p>
        </w:tc>
      </w:tr>
      <w:tr w:rsidR="00DB671B" w:rsidRPr="00DB671B" w:rsidTr="00DB671B">
        <w:trPr>
          <w:cantSplit/>
        </w:trPr>
        <w:tc>
          <w:tcPr>
            <w:tcW w:w="1573" w:type="dxa"/>
            <w:tcBorders>
              <w:top w:val="single" w:sz="4" w:space="0" w:color="auto"/>
              <w:left w:val="single" w:sz="4" w:space="0" w:color="auto"/>
              <w:bottom w:val="single" w:sz="4" w:space="0" w:color="auto"/>
              <w:right w:val="single" w:sz="4" w:space="0" w:color="auto"/>
            </w:tcBorders>
          </w:tcPr>
          <w:p w:rsidR="00850B27" w:rsidRPr="00DB671B" w:rsidRDefault="00850B27" w:rsidP="00DB671B">
            <w:pPr>
              <w:jc w:val="left"/>
              <w:rPr>
                <w:rFonts w:cs="Arial"/>
              </w:rPr>
            </w:pPr>
            <w:r w:rsidRPr="00DB671B">
              <w:rPr>
                <w:rFonts w:cs="Arial"/>
              </w:rPr>
              <w:t>Caractères 26, 28 et 30</w:t>
            </w:r>
          </w:p>
        </w:tc>
        <w:tc>
          <w:tcPr>
            <w:tcW w:w="8208" w:type="dxa"/>
            <w:tcBorders>
              <w:top w:val="single" w:sz="4" w:space="0" w:color="auto"/>
              <w:left w:val="single" w:sz="4" w:space="0" w:color="auto"/>
              <w:bottom w:val="single" w:sz="4" w:space="0" w:color="auto"/>
              <w:right w:val="single" w:sz="4" w:space="0" w:color="auto"/>
            </w:tcBorders>
          </w:tcPr>
          <w:p w:rsidR="00850B27" w:rsidRPr="00DB671B" w:rsidRDefault="00850B27" w:rsidP="0067134D">
            <w:pPr>
              <w:rPr>
                <w:rFonts w:cs="Arial"/>
              </w:rPr>
            </w:pPr>
            <w:r w:rsidRPr="00DB671B">
              <w:rPr>
                <w:rFonts w:cs="Arial"/>
              </w:rPr>
              <w:t>Modifier le texte du niveau </w:t>
            </w:r>
            <w:r w:rsidR="0067134D">
              <w:rPr>
                <w:rFonts w:cs="Arial"/>
              </w:rPr>
              <w:t>20</w:t>
            </w:r>
            <w:r w:rsidRPr="00DB671B">
              <w:rPr>
                <w:rFonts w:cs="Arial"/>
              </w:rPr>
              <w:t xml:space="preserve"> comme suit : “zone latérale partout”</w:t>
            </w:r>
          </w:p>
        </w:tc>
      </w:tr>
      <w:tr w:rsidR="00DB671B" w:rsidRPr="00DB671B" w:rsidTr="00DB671B">
        <w:trPr>
          <w:cantSplit/>
        </w:trPr>
        <w:tc>
          <w:tcPr>
            <w:tcW w:w="1573" w:type="dxa"/>
            <w:tcBorders>
              <w:top w:val="single" w:sz="4" w:space="0" w:color="auto"/>
              <w:left w:val="single" w:sz="4" w:space="0" w:color="auto"/>
              <w:bottom w:val="single" w:sz="4" w:space="0" w:color="auto"/>
              <w:right w:val="single" w:sz="4" w:space="0" w:color="auto"/>
            </w:tcBorders>
          </w:tcPr>
          <w:p w:rsidR="00850B27" w:rsidRPr="00DB671B" w:rsidRDefault="00850B27" w:rsidP="00DB671B">
            <w:pPr>
              <w:jc w:val="left"/>
              <w:rPr>
                <w:rFonts w:cs="Arial"/>
              </w:rPr>
            </w:pPr>
            <w:r w:rsidRPr="00DB671B">
              <w:rPr>
                <w:rFonts w:cs="Arial"/>
              </w:rPr>
              <w:t>Caractères 26, 28 et 30</w:t>
            </w:r>
          </w:p>
        </w:tc>
        <w:tc>
          <w:tcPr>
            <w:tcW w:w="8208" w:type="dxa"/>
            <w:tcBorders>
              <w:top w:val="single" w:sz="4" w:space="0" w:color="auto"/>
              <w:left w:val="single" w:sz="4" w:space="0" w:color="auto"/>
              <w:bottom w:val="single" w:sz="4" w:space="0" w:color="auto"/>
              <w:right w:val="single" w:sz="4" w:space="0" w:color="auto"/>
            </w:tcBorders>
          </w:tcPr>
          <w:p w:rsidR="00850B27" w:rsidRPr="00DB671B" w:rsidRDefault="00850B27" w:rsidP="00C10F7C">
            <w:pPr>
              <w:rPr>
                <w:rFonts w:cs="Arial"/>
              </w:rPr>
            </w:pPr>
            <w:r w:rsidRPr="00DB671B">
              <w:rPr>
                <w:rFonts w:cs="Arial"/>
              </w:rPr>
              <w:t>Le niveau 1 devrait être déplacé à la fin de l’échelle pour plus d’homogénéité avec le car.</w:t>
            </w:r>
            <w:r w:rsidR="00C10F7C">
              <w:rPr>
                <w:rFonts w:cs="Arial"/>
              </w:rPr>
              <w:t> </w:t>
            </w:r>
            <w:r w:rsidRPr="00DB671B">
              <w:rPr>
                <w:rFonts w:cs="Arial"/>
              </w:rPr>
              <w:t>24</w:t>
            </w:r>
          </w:p>
        </w:tc>
      </w:tr>
      <w:tr w:rsidR="00DB671B" w:rsidRPr="00DB671B" w:rsidTr="00DB671B">
        <w:trPr>
          <w:cantSplit/>
        </w:trPr>
        <w:tc>
          <w:tcPr>
            <w:tcW w:w="1573" w:type="dxa"/>
            <w:tcBorders>
              <w:top w:val="single" w:sz="4" w:space="0" w:color="auto"/>
              <w:left w:val="single" w:sz="4" w:space="0" w:color="auto"/>
              <w:bottom w:val="single" w:sz="4" w:space="0" w:color="auto"/>
              <w:right w:val="single" w:sz="4" w:space="0" w:color="auto"/>
            </w:tcBorders>
          </w:tcPr>
          <w:p w:rsidR="00850B27" w:rsidRPr="00DB671B" w:rsidRDefault="00850B27" w:rsidP="00DB671B">
            <w:pPr>
              <w:rPr>
                <w:rFonts w:cs="Arial"/>
              </w:rPr>
            </w:pPr>
            <w:r w:rsidRPr="00DB671B">
              <w:rPr>
                <w:rFonts w:cs="Arial"/>
              </w:rPr>
              <w:t>Car. 35</w:t>
            </w:r>
          </w:p>
        </w:tc>
        <w:tc>
          <w:tcPr>
            <w:tcW w:w="8208" w:type="dxa"/>
            <w:tcBorders>
              <w:top w:val="single" w:sz="4" w:space="0" w:color="auto"/>
              <w:left w:val="single" w:sz="4" w:space="0" w:color="auto"/>
              <w:bottom w:val="single" w:sz="4" w:space="0" w:color="auto"/>
              <w:right w:val="single" w:sz="4" w:space="0" w:color="auto"/>
            </w:tcBorders>
          </w:tcPr>
          <w:p w:rsidR="00850B27" w:rsidRPr="00DB671B" w:rsidRDefault="00850B27" w:rsidP="00DB671B">
            <w:pPr>
              <w:rPr>
                <w:rFonts w:cs="Arial"/>
              </w:rPr>
            </w:pPr>
            <w:r w:rsidRPr="00DB671B">
              <w:rPr>
                <w:rFonts w:cs="Arial"/>
              </w:rPr>
              <w:t>- supprimer (b) et remplacer par une explication portant sur certains caractères, libellée comme suit : “La couleur principale est celle qui occupe la plus grande surface.”</w:t>
            </w:r>
          </w:p>
        </w:tc>
      </w:tr>
      <w:tr w:rsidR="00DB671B" w:rsidRPr="00DB671B" w:rsidTr="00DB671B">
        <w:trPr>
          <w:cantSplit/>
        </w:trPr>
        <w:tc>
          <w:tcPr>
            <w:tcW w:w="1573" w:type="dxa"/>
            <w:tcBorders>
              <w:top w:val="single" w:sz="4" w:space="0" w:color="auto"/>
              <w:left w:val="single" w:sz="4" w:space="0" w:color="auto"/>
              <w:bottom w:val="single" w:sz="4" w:space="0" w:color="auto"/>
              <w:right w:val="single" w:sz="4" w:space="0" w:color="auto"/>
            </w:tcBorders>
          </w:tcPr>
          <w:p w:rsidR="00850B27" w:rsidRPr="00DB671B" w:rsidRDefault="00850B27" w:rsidP="00DB671B">
            <w:pPr>
              <w:jc w:val="left"/>
              <w:rPr>
                <w:rFonts w:cs="Arial"/>
              </w:rPr>
            </w:pPr>
            <w:r w:rsidRPr="00DB671B">
              <w:rPr>
                <w:rFonts w:cs="Arial"/>
              </w:rPr>
              <w:t>8.1 (b)</w:t>
            </w:r>
          </w:p>
        </w:tc>
        <w:tc>
          <w:tcPr>
            <w:tcW w:w="8208" w:type="dxa"/>
            <w:tcBorders>
              <w:top w:val="single" w:sz="4" w:space="0" w:color="auto"/>
              <w:left w:val="single" w:sz="4" w:space="0" w:color="auto"/>
              <w:bottom w:val="single" w:sz="4" w:space="0" w:color="auto"/>
              <w:right w:val="single" w:sz="4" w:space="0" w:color="auto"/>
            </w:tcBorders>
          </w:tcPr>
          <w:p w:rsidR="00850B27" w:rsidRPr="00DB671B" w:rsidRDefault="00850B27" w:rsidP="00DB671B">
            <w:pPr>
              <w:rPr>
                <w:rFonts w:cs="Arial"/>
              </w:rPr>
            </w:pPr>
            <w:r w:rsidRPr="00DB671B">
              <w:rPr>
                <w:rFonts w:cs="Arial"/>
              </w:rPr>
              <w:t xml:space="preserve">à supprimer </w:t>
            </w:r>
          </w:p>
        </w:tc>
      </w:tr>
      <w:tr w:rsidR="00DB671B" w:rsidRPr="00DB671B" w:rsidTr="00DB671B">
        <w:trPr>
          <w:cantSplit/>
        </w:trPr>
        <w:tc>
          <w:tcPr>
            <w:tcW w:w="1573" w:type="dxa"/>
            <w:tcBorders>
              <w:top w:val="single" w:sz="4" w:space="0" w:color="auto"/>
              <w:left w:val="single" w:sz="4" w:space="0" w:color="auto"/>
              <w:bottom w:val="single" w:sz="4" w:space="0" w:color="auto"/>
              <w:right w:val="single" w:sz="4" w:space="0" w:color="auto"/>
            </w:tcBorders>
          </w:tcPr>
          <w:p w:rsidR="00850B27" w:rsidRPr="00DB671B" w:rsidRDefault="00850B27" w:rsidP="00DB671B">
            <w:pPr>
              <w:rPr>
                <w:rFonts w:cs="Arial"/>
              </w:rPr>
            </w:pPr>
            <w:r w:rsidRPr="00DB671B">
              <w:rPr>
                <w:rFonts w:cs="Arial"/>
              </w:rPr>
              <w:t>8.1 (d)</w:t>
            </w:r>
          </w:p>
        </w:tc>
        <w:tc>
          <w:tcPr>
            <w:tcW w:w="8208" w:type="dxa"/>
            <w:tcBorders>
              <w:top w:val="single" w:sz="4" w:space="0" w:color="auto"/>
              <w:left w:val="single" w:sz="4" w:space="0" w:color="auto"/>
              <w:bottom w:val="single" w:sz="4" w:space="0" w:color="auto"/>
              <w:right w:val="single" w:sz="4" w:space="0" w:color="auto"/>
            </w:tcBorders>
          </w:tcPr>
          <w:p w:rsidR="00850B27" w:rsidRPr="00DB671B" w:rsidRDefault="00850B27" w:rsidP="00DB671B">
            <w:pPr>
              <w:keepNext/>
              <w:rPr>
                <w:rFonts w:cs="Arial"/>
              </w:rPr>
            </w:pPr>
            <w:r w:rsidRPr="00DB671B">
              <w:rPr>
                <w:rFonts w:cs="Arial"/>
              </w:rPr>
              <w:t>remplacer “À la base” par “Base”.</w:t>
            </w:r>
          </w:p>
        </w:tc>
      </w:tr>
      <w:tr w:rsidR="00DB671B" w:rsidRPr="00DB671B" w:rsidTr="00DB671B">
        <w:trPr>
          <w:cantSplit/>
        </w:trPr>
        <w:tc>
          <w:tcPr>
            <w:tcW w:w="1573" w:type="dxa"/>
            <w:tcBorders>
              <w:top w:val="single" w:sz="4" w:space="0" w:color="auto"/>
              <w:left w:val="single" w:sz="4" w:space="0" w:color="auto"/>
              <w:bottom w:val="single" w:sz="4" w:space="0" w:color="auto"/>
              <w:right w:val="single" w:sz="4" w:space="0" w:color="auto"/>
            </w:tcBorders>
          </w:tcPr>
          <w:p w:rsidR="00850B27" w:rsidRPr="00DB671B" w:rsidRDefault="00850B27" w:rsidP="00DB671B">
            <w:pPr>
              <w:rPr>
                <w:rFonts w:cs="Arial"/>
              </w:rPr>
            </w:pPr>
            <w:r w:rsidRPr="00DB671B">
              <w:rPr>
                <w:rFonts w:cs="Arial"/>
              </w:rPr>
              <w:t>8.1 (e)</w:t>
            </w:r>
          </w:p>
        </w:tc>
        <w:tc>
          <w:tcPr>
            <w:tcW w:w="8208" w:type="dxa"/>
            <w:tcBorders>
              <w:top w:val="single" w:sz="4" w:space="0" w:color="auto"/>
              <w:left w:val="single" w:sz="4" w:space="0" w:color="auto"/>
              <w:bottom w:val="single" w:sz="4" w:space="0" w:color="auto"/>
              <w:right w:val="single" w:sz="4" w:space="0" w:color="auto"/>
            </w:tcBorders>
          </w:tcPr>
          <w:p w:rsidR="00850B27" w:rsidRPr="00DB671B" w:rsidRDefault="00850B27" w:rsidP="00C10F7C">
            <w:pPr>
              <w:keepNext/>
              <w:rPr>
                <w:rFonts w:cs="Arial"/>
              </w:rPr>
            </w:pPr>
            <w:r w:rsidRPr="00DB671B">
              <w:rPr>
                <w:rFonts w:cs="Arial"/>
              </w:rPr>
              <w:t xml:space="preserve">Modifier le libellé comme suit : </w:t>
            </w:r>
            <w:r w:rsidRPr="00DB671B">
              <w:rPr>
                <w:rFonts w:eastAsia="Arial" w:cs="Arial"/>
              </w:rPr>
              <w:t>“Pour les variétés multicolores, quatre couleurs peuvent être enregistrées; s’il y en a plus, la ou les couleurs qui occupent la ou les surfaces les plus petites doivent être écartées. Le repère visuel de la tache basale doit également être écarté. La “Première couleur”, “deuxième couleur” etc. doivent être enregistrées avec le numéro du code RHS correspondant, c’est-à-dire la première couleur est celle qui a le numéro le plus bas, la deuxième couleur celle qui a le deuxième numéro le plus bas et ainsi de suite.  Si deux couleurs ont le même numéro, par exemple Vert 137A et Vert 137D, Vert 137A est considéré comme la couleur numérotée plus basse. Selon ce système, l’ordre est indépendant de la surface, de sorte que la couleur qui occupe la surface la plus grande peut être classée comme la troisième ou la quatrième couleur.”</w:t>
            </w:r>
          </w:p>
        </w:tc>
      </w:tr>
      <w:tr w:rsidR="00DB671B" w:rsidRPr="00DB671B" w:rsidTr="00DB671B">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rsidR="00850B27" w:rsidRPr="00DB671B" w:rsidRDefault="00850B27" w:rsidP="00DB671B">
            <w:pPr>
              <w:rPr>
                <w:rFonts w:cs="Arial"/>
              </w:rPr>
            </w:pPr>
            <w:r w:rsidRPr="00DB671B">
              <w:rPr>
                <w:rFonts w:cs="Arial"/>
              </w:rPr>
              <w:t>Ad. 4</w:t>
            </w:r>
          </w:p>
        </w:tc>
        <w:tc>
          <w:tcPr>
            <w:tcW w:w="8208" w:type="dxa"/>
            <w:tcBorders>
              <w:top w:val="single" w:sz="4" w:space="0" w:color="auto"/>
              <w:left w:val="single" w:sz="4" w:space="0" w:color="auto"/>
              <w:bottom w:val="single" w:sz="4" w:space="0" w:color="auto"/>
              <w:right w:val="single" w:sz="4" w:space="0" w:color="auto"/>
            </w:tcBorders>
            <w:shd w:val="clear" w:color="auto" w:fill="auto"/>
          </w:tcPr>
          <w:p w:rsidR="00850B27" w:rsidRPr="00DB671B" w:rsidRDefault="00850B27" w:rsidP="00DB671B">
            <w:pPr>
              <w:keepNext/>
              <w:rPr>
                <w:rFonts w:cs="Arial"/>
              </w:rPr>
            </w:pPr>
            <w:r w:rsidRPr="00DB671B">
              <w:rPr>
                <w:rFonts w:cs="Arial"/>
              </w:rPr>
              <w:t>Modifier le libellé de la première phrase comme suit : “Une plante peut comporter à la fois des feuilles présentant une découpure des bords et des feuilles ne présentant pas de découpure des bords.”</w:t>
            </w:r>
          </w:p>
        </w:tc>
      </w:tr>
      <w:tr w:rsidR="00DB671B" w:rsidRPr="00DB671B" w:rsidTr="00DB671B">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rsidR="00850B27" w:rsidRPr="00DB671B" w:rsidRDefault="00850B27" w:rsidP="00DB671B">
            <w:pPr>
              <w:rPr>
                <w:rFonts w:cs="Arial"/>
              </w:rPr>
            </w:pPr>
            <w:r w:rsidRPr="00DB671B">
              <w:rPr>
                <w:rFonts w:cs="Arial"/>
              </w:rPr>
              <w:t>Ad. 14</w:t>
            </w:r>
          </w:p>
        </w:tc>
        <w:tc>
          <w:tcPr>
            <w:tcW w:w="8208" w:type="dxa"/>
            <w:tcBorders>
              <w:top w:val="single" w:sz="4" w:space="0" w:color="auto"/>
              <w:left w:val="single" w:sz="4" w:space="0" w:color="auto"/>
              <w:bottom w:val="single" w:sz="4" w:space="0" w:color="auto"/>
              <w:right w:val="single" w:sz="4" w:space="0" w:color="auto"/>
            </w:tcBorders>
            <w:shd w:val="clear" w:color="auto" w:fill="auto"/>
          </w:tcPr>
          <w:p w:rsidR="00850B27" w:rsidRPr="00DB671B" w:rsidRDefault="00850B27" w:rsidP="00DB671B">
            <w:pPr>
              <w:keepNext/>
              <w:rPr>
                <w:rFonts w:cs="Arial"/>
              </w:rPr>
            </w:pPr>
            <w:r w:rsidRPr="00DB671B">
              <w:rPr>
                <w:rFonts w:cs="Arial"/>
              </w:rPr>
              <w:t>Supprimer “pétaloïdes” au niveau 2 (voir le car. 34)</w:t>
            </w:r>
          </w:p>
        </w:tc>
      </w:tr>
      <w:tr w:rsidR="00DB671B" w:rsidRPr="00DB671B" w:rsidTr="00DB671B">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rsidR="00850B27" w:rsidRPr="00DB671B" w:rsidRDefault="00850B27" w:rsidP="00DB671B">
            <w:pPr>
              <w:rPr>
                <w:rFonts w:cs="Arial"/>
              </w:rPr>
            </w:pPr>
            <w:r w:rsidRPr="00DB671B">
              <w:rPr>
                <w:rFonts w:cs="Arial"/>
              </w:rPr>
              <w:t>Ads. 24, 26</w:t>
            </w:r>
          </w:p>
        </w:tc>
        <w:tc>
          <w:tcPr>
            <w:tcW w:w="8208" w:type="dxa"/>
            <w:tcBorders>
              <w:top w:val="single" w:sz="4" w:space="0" w:color="auto"/>
              <w:left w:val="single" w:sz="4" w:space="0" w:color="auto"/>
              <w:bottom w:val="single" w:sz="4" w:space="0" w:color="auto"/>
              <w:right w:val="single" w:sz="4" w:space="0" w:color="auto"/>
            </w:tcBorders>
            <w:shd w:val="clear" w:color="auto" w:fill="auto"/>
          </w:tcPr>
          <w:p w:rsidR="00850B27" w:rsidRPr="00DB671B" w:rsidRDefault="00850B27" w:rsidP="00DB671B">
            <w:pPr>
              <w:keepNext/>
              <w:rPr>
                <w:rFonts w:cs="Arial"/>
              </w:rPr>
            </w:pPr>
            <w:r w:rsidRPr="00DB671B">
              <w:rPr>
                <w:rFonts w:cs="Arial"/>
              </w:rPr>
              <w:t>adopter les dimensions de l’image du niveau 20 dans les versions allemande et espagnole</w:t>
            </w:r>
          </w:p>
        </w:tc>
      </w:tr>
      <w:tr w:rsidR="00DB671B" w:rsidRPr="00DB671B" w:rsidTr="00DB671B">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rsidR="00850B27" w:rsidRPr="00DB671B" w:rsidRDefault="00850B27" w:rsidP="00DB671B">
            <w:pPr>
              <w:rPr>
                <w:rFonts w:cs="Arial"/>
              </w:rPr>
            </w:pPr>
            <w:r w:rsidRPr="00DB671B">
              <w:rPr>
                <w:rFonts w:cs="Arial"/>
              </w:rPr>
              <w:t>Ad. 33</w:t>
            </w:r>
          </w:p>
        </w:tc>
        <w:tc>
          <w:tcPr>
            <w:tcW w:w="8208" w:type="dxa"/>
            <w:tcBorders>
              <w:top w:val="single" w:sz="4" w:space="0" w:color="auto"/>
              <w:left w:val="single" w:sz="4" w:space="0" w:color="auto"/>
              <w:bottom w:val="single" w:sz="4" w:space="0" w:color="auto"/>
              <w:right w:val="single" w:sz="4" w:space="0" w:color="auto"/>
            </w:tcBorders>
            <w:shd w:val="clear" w:color="auto" w:fill="auto"/>
          </w:tcPr>
          <w:p w:rsidR="00850B27" w:rsidRPr="00DB671B" w:rsidRDefault="00850B27" w:rsidP="00DB671B">
            <w:pPr>
              <w:keepNext/>
              <w:rPr>
                <w:rFonts w:cs="Arial"/>
              </w:rPr>
            </w:pPr>
            <w:r w:rsidRPr="00DB671B">
              <w:rPr>
                <w:rFonts w:cs="Arial"/>
              </w:rPr>
              <w:t>Supprimer “pétaloïde” (voir le car. 34)</w:t>
            </w:r>
          </w:p>
        </w:tc>
      </w:tr>
      <w:tr w:rsidR="00DB671B" w:rsidRPr="00DB671B" w:rsidTr="00DB671B">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rsidR="00850B27" w:rsidRPr="00DB671B" w:rsidRDefault="00850B27" w:rsidP="00DB671B">
            <w:pPr>
              <w:rPr>
                <w:rFonts w:cs="Arial"/>
              </w:rPr>
            </w:pPr>
            <w:r w:rsidRPr="00DB671B">
              <w:rPr>
                <w:rFonts w:cs="Arial"/>
              </w:rPr>
              <w:t>TQ, 5.5</w:t>
            </w:r>
          </w:p>
        </w:tc>
        <w:tc>
          <w:tcPr>
            <w:tcW w:w="8208" w:type="dxa"/>
            <w:tcBorders>
              <w:top w:val="single" w:sz="4" w:space="0" w:color="auto"/>
              <w:left w:val="single" w:sz="4" w:space="0" w:color="auto"/>
              <w:bottom w:val="single" w:sz="4" w:space="0" w:color="auto"/>
              <w:right w:val="single" w:sz="4" w:space="0" w:color="auto"/>
            </w:tcBorders>
            <w:shd w:val="clear" w:color="auto" w:fill="auto"/>
          </w:tcPr>
          <w:p w:rsidR="00850B27" w:rsidRPr="00DB671B" w:rsidRDefault="00850B27" w:rsidP="00DB671B">
            <w:pPr>
              <w:keepNext/>
              <w:rPr>
                <w:rFonts w:cs="Arial"/>
              </w:rPr>
            </w:pPr>
            <w:r w:rsidRPr="00DB671B">
              <w:rPr>
                <w:rFonts w:cs="Arial"/>
              </w:rPr>
              <w:t>Modifier le libellé comme suit : “Fleur ligulée : couleur occupant la plus grande surface sur la face supérieure”</w:t>
            </w:r>
          </w:p>
        </w:tc>
      </w:tr>
    </w:tbl>
    <w:p w:rsidR="00850B27" w:rsidRPr="00DB671B" w:rsidRDefault="00850B27" w:rsidP="00DB671B">
      <w:pPr>
        <w:rPr>
          <w:rFonts w:eastAsia="Arial" w:cs="Arial"/>
          <w:u w:val="single"/>
        </w:rPr>
      </w:pPr>
    </w:p>
    <w:p w:rsidR="00850B27" w:rsidRPr="00DB671B" w:rsidRDefault="00850B27" w:rsidP="00DB671B">
      <w:pPr>
        <w:rPr>
          <w:rFonts w:eastAsia="Arial" w:cs="Arial"/>
          <w:u w:val="single"/>
        </w:rPr>
      </w:pPr>
    </w:p>
    <w:tbl>
      <w:tblPr>
        <w:tblW w:w="99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894"/>
        <w:gridCol w:w="2552"/>
        <w:gridCol w:w="2807"/>
        <w:gridCol w:w="736"/>
        <w:gridCol w:w="993"/>
      </w:tblGrid>
      <w:tr w:rsidR="00DB671B" w:rsidRPr="00DB671B" w:rsidTr="00DB671B">
        <w:trPr>
          <w:cantSplit/>
          <w:trHeight w:val="277"/>
          <w:jc w:val="center"/>
        </w:trPr>
        <w:tc>
          <w:tcPr>
            <w:tcW w:w="2894" w:type="dxa"/>
            <w:vMerge w:val="restart"/>
            <w:shd w:val="clear" w:color="auto" w:fill="D9D9D9"/>
            <w:vAlign w:val="center"/>
          </w:tcPr>
          <w:p w:rsidR="00850B27" w:rsidRPr="00DB671B" w:rsidRDefault="00850B27" w:rsidP="00DB671B">
            <w:pPr>
              <w:pStyle w:val="TitleofDoc"/>
              <w:keepNext/>
              <w:tabs>
                <w:tab w:val="left" w:pos="5245"/>
                <w:tab w:val="left" w:pos="7008"/>
              </w:tabs>
              <w:spacing w:before="0"/>
              <w:jc w:val="left"/>
              <w:rPr>
                <w:rFonts w:cs="Arial"/>
                <w:caps w:val="0"/>
              </w:rPr>
            </w:pPr>
            <w:r w:rsidRPr="00DB671B">
              <w:rPr>
                <w:rFonts w:cs="Arial"/>
                <w:caps w:val="0"/>
              </w:rPr>
              <w:t>Noyer noir</w:t>
            </w:r>
          </w:p>
        </w:tc>
        <w:tc>
          <w:tcPr>
            <w:tcW w:w="2552" w:type="dxa"/>
            <w:shd w:val="clear" w:color="auto" w:fill="D9D9D9"/>
            <w:vAlign w:val="center"/>
          </w:tcPr>
          <w:p w:rsidR="00850B27" w:rsidRPr="00DB671B" w:rsidRDefault="00850B27" w:rsidP="00DB671B">
            <w:pPr>
              <w:pStyle w:val="TitleofDoc"/>
              <w:keepNext/>
              <w:tabs>
                <w:tab w:val="left" w:pos="5245"/>
                <w:tab w:val="left" w:pos="7008"/>
              </w:tabs>
              <w:spacing w:before="0"/>
              <w:jc w:val="left"/>
              <w:rPr>
                <w:rFonts w:cs="Arial"/>
                <w:caps w:val="0"/>
              </w:rPr>
            </w:pPr>
            <w:r w:rsidRPr="00DB671B">
              <w:rPr>
                <w:rFonts w:cs="Arial"/>
                <w:caps w:val="0"/>
              </w:rPr>
              <w:t>TG/JUGLA(proj.6)</w:t>
            </w:r>
          </w:p>
        </w:tc>
        <w:tc>
          <w:tcPr>
            <w:tcW w:w="2807" w:type="dxa"/>
            <w:shd w:val="clear" w:color="auto" w:fill="D9D9D9"/>
            <w:vAlign w:val="center"/>
          </w:tcPr>
          <w:p w:rsidR="00850B27" w:rsidRPr="001766FA" w:rsidRDefault="00850B27" w:rsidP="00DB671B">
            <w:pPr>
              <w:pStyle w:val="TitleofDoc"/>
              <w:keepNext/>
              <w:tabs>
                <w:tab w:val="left" w:pos="5245"/>
                <w:tab w:val="left" w:pos="7008"/>
              </w:tabs>
              <w:spacing w:before="0"/>
              <w:jc w:val="left"/>
              <w:rPr>
                <w:rFonts w:cs="Arial"/>
                <w:iCs/>
                <w:snapToGrid w:val="0"/>
                <w:lang w:val="es-ES"/>
              </w:rPr>
            </w:pPr>
            <w:r w:rsidRPr="001766FA">
              <w:rPr>
                <w:rFonts w:cs="Arial"/>
                <w:caps w:val="0"/>
                <w:lang w:val="es-ES"/>
              </w:rPr>
              <w:t>Mme Nuria Urquía Fernández (ES)</w:t>
            </w:r>
          </w:p>
        </w:tc>
        <w:tc>
          <w:tcPr>
            <w:tcW w:w="736" w:type="dxa"/>
            <w:vMerge w:val="restart"/>
            <w:shd w:val="clear" w:color="auto" w:fill="D9D9D9"/>
            <w:vAlign w:val="center"/>
          </w:tcPr>
          <w:p w:rsidR="00850B27" w:rsidRPr="00DB671B" w:rsidRDefault="00850B27" w:rsidP="00DB671B">
            <w:pPr>
              <w:keepNext/>
              <w:jc w:val="left"/>
              <w:rPr>
                <w:rFonts w:cs="Arial"/>
                <w:iCs/>
              </w:rPr>
            </w:pPr>
            <w:r w:rsidRPr="00DB671B">
              <w:rPr>
                <w:rFonts w:cs="Arial"/>
                <w:iCs/>
              </w:rPr>
              <w:t>TWF</w:t>
            </w:r>
          </w:p>
        </w:tc>
        <w:tc>
          <w:tcPr>
            <w:tcW w:w="993" w:type="dxa"/>
            <w:vMerge w:val="restart"/>
            <w:shd w:val="clear" w:color="auto" w:fill="D9D9D9"/>
            <w:vAlign w:val="center"/>
          </w:tcPr>
          <w:p w:rsidR="00850B27" w:rsidRPr="00DB671B" w:rsidRDefault="00850B27" w:rsidP="00DB671B">
            <w:pPr>
              <w:pStyle w:val="BodyText"/>
              <w:keepNext/>
              <w:jc w:val="left"/>
              <w:rPr>
                <w:rFonts w:cs="Arial"/>
                <w:iCs/>
                <w:snapToGrid w:val="0"/>
              </w:rPr>
            </w:pPr>
          </w:p>
        </w:tc>
      </w:tr>
      <w:tr w:rsidR="00DB671B" w:rsidRPr="00DB671B" w:rsidTr="00DB671B">
        <w:trPr>
          <w:cantSplit/>
          <w:trHeight w:hRule="exact" w:val="791"/>
          <w:jc w:val="center"/>
        </w:trPr>
        <w:tc>
          <w:tcPr>
            <w:tcW w:w="2894" w:type="dxa"/>
            <w:vMerge/>
            <w:shd w:val="clear" w:color="auto" w:fill="D9D9D9"/>
            <w:vAlign w:val="center"/>
          </w:tcPr>
          <w:p w:rsidR="00850B27" w:rsidRPr="00DB671B" w:rsidRDefault="00850B27" w:rsidP="00DB671B">
            <w:pPr>
              <w:pStyle w:val="TitleofDoc"/>
              <w:keepNext/>
              <w:tabs>
                <w:tab w:val="left" w:pos="5245"/>
                <w:tab w:val="left" w:pos="7008"/>
              </w:tabs>
              <w:spacing w:before="0"/>
              <w:jc w:val="left"/>
              <w:rPr>
                <w:rFonts w:cs="Arial"/>
                <w:caps w:val="0"/>
              </w:rPr>
            </w:pPr>
          </w:p>
        </w:tc>
        <w:tc>
          <w:tcPr>
            <w:tcW w:w="2552" w:type="dxa"/>
            <w:shd w:val="clear" w:color="auto" w:fill="D9D9D9"/>
            <w:vAlign w:val="center"/>
          </w:tcPr>
          <w:p w:rsidR="00850B27" w:rsidRPr="00DB671B" w:rsidRDefault="00850B27" w:rsidP="00DB671B">
            <w:pPr>
              <w:pStyle w:val="BodyText"/>
              <w:keepNext/>
              <w:jc w:val="left"/>
              <w:rPr>
                <w:rFonts w:cs="Arial"/>
              </w:rPr>
            </w:pPr>
            <w:r w:rsidRPr="00DB671B">
              <w:rPr>
                <w:rFonts w:cs="Arial"/>
              </w:rPr>
              <w:t>Nombre de car. : 14 Nombre de car. (*) : 20</w:t>
            </w:r>
          </w:p>
        </w:tc>
        <w:tc>
          <w:tcPr>
            <w:tcW w:w="2807" w:type="dxa"/>
            <w:shd w:val="clear" w:color="auto" w:fill="D9D9D9"/>
            <w:vAlign w:val="center"/>
          </w:tcPr>
          <w:p w:rsidR="00850B27" w:rsidRPr="00DB671B" w:rsidRDefault="00850B27" w:rsidP="00DB671B">
            <w:pPr>
              <w:keepNext/>
              <w:jc w:val="left"/>
              <w:rPr>
                <w:rFonts w:cs="Arial"/>
                <w:iCs/>
                <w:snapToGrid w:val="0"/>
              </w:rPr>
            </w:pPr>
            <w:r w:rsidRPr="00DB671B">
              <w:rPr>
                <w:rFonts w:cs="Arial"/>
                <w:iCs/>
                <w:snapToGrid w:val="0"/>
              </w:rPr>
              <w:t>(Experts intéressés : CN, KR, QZ, ZA)</w:t>
            </w:r>
          </w:p>
        </w:tc>
        <w:tc>
          <w:tcPr>
            <w:tcW w:w="736" w:type="dxa"/>
            <w:vMerge/>
            <w:shd w:val="clear" w:color="auto" w:fill="D9D9D9"/>
            <w:vAlign w:val="center"/>
          </w:tcPr>
          <w:p w:rsidR="00850B27" w:rsidRPr="00DB671B" w:rsidRDefault="00850B27" w:rsidP="00DB671B">
            <w:pPr>
              <w:keepNext/>
              <w:jc w:val="left"/>
              <w:rPr>
                <w:rFonts w:cs="Arial"/>
                <w:iCs/>
              </w:rPr>
            </w:pPr>
          </w:p>
        </w:tc>
        <w:tc>
          <w:tcPr>
            <w:tcW w:w="993" w:type="dxa"/>
            <w:vMerge/>
            <w:shd w:val="clear" w:color="auto" w:fill="D9D9D9"/>
            <w:vAlign w:val="center"/>
          </w:tcPr>
          <w:p w:rsidR="00850B27" w:rsidRPr="00DB671B" w:rsidRDefault="00850B27" w:rsidP="00DB671B">
            <w:pPr>
              <w:pStyle w:val="BodyText"/>
              <w:keepNext/>
              <w:jc w:val="left"/>
              <w:rPr>
                <w:rFonts w:cs="Arial"/>
                <w:iCs/>
                <w:snapToGrid w:val="0"/>
              </w:rPr>
            </w:pPr>
          </w:p>
        </w:tc>
      </w:tr>
    </w:tbl>
    <w:p w:rsidR="00850B27" w:rsidRPr="00DB671B" w:rsidRDefault="00850B27" w:rsidP="00DB671B">
      <w:pPr>
        <w:keepNext/>
        <w:rPr>
          <w:rFonts w:eastAsia="Arial" w:cs="Arial"/>
          <w:u w:val="single"/>
        </w:rPr>
      </w:pPr>
    </w:p>
    <w:p w:rsidR="00850B27" w:rsidRPr="00DB671B" w:rsidRDefault="00850B27" w:rsidP="00DB671B">
      <w:pPr>
        <w:keepNext/>
        <w:ind w:firstLine="567"/>
        <w:rPr>
          <w:rFonts w:cs="Arial"/>
          <w:snapToGrid w:val="0"/>
        </w:rPr>
      </w:pPr>
      <w:r w:rsidRPr="00DB671B">
        <w:rPr>
          <w:rFonts w:cs="Arial"/>
          <w:snapToGrid w:val="0"/>
        </w:rPr>
        <w:t>À sa réunion tenue à Genève en octobre 2019, le TC-EDC a examiné le document TG/JUGLA(proj.6) et a formulé les recommandations présentées dans le tableau ci-dessous.</w:t>
      </w:r>
    </w:p>
    <w:p w:rsidR="00850B27" w:rsidRPr="00DB671B" w:rsidRDefault="00850B27" w:rsidP="00DB671B">
      <w:pPr>
        <w:keepNext/>
        <w:rPr>
          <w:rFonts w:eastAsia="Arial" w:cs="Arial"/>
          <w:u w:val="single"/>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208"/>
      </w:tblGrid>
      <w:tr w:rsidR="00DB671B" w:rsidRPr="00DB671B" w:rsidTr="00DB671B">
        <w:trPr>
          <w:cantSplit/>
        </w:trPr>
        <w:tc>
          <w:tcPr>
            <w:tcW w:w="1573" w:type="dxa"/>
          </w:tcPr>
          <w:p w:rsidR="00850B27" w:rsidRPr="00DB671B" w:rsidRDefault="00850B27" w:rsidP="00DB671B">
            <w:pPr>
              <w:keepNext/>
              <w:jc w:val="left"/>
              <w:rPr>
                <w:rFonts w:cs="Arial"/>
              </w:rPr>
            </w:pPr>
            <w:r w:rsidRPr="00DB671B">
              <w:rPr>
                <w:rFonts w:cs="Arial"/>
              </w:rPr>
              <w:t>4.2</w:t>
            </w:r>
          </w:p>
        </w:tc>
        <w:tc>
          <w:tcPr>
            <w:tcW w:w="8208" w:type="dxa"/>
          </w:tcPr>
          <w:p w:rsidR="00850B27" w:rsidRPr="00DB671B" w:rsidRDefault="00850B27" w:rsidP="00DB671B">
            <w:pPr>
              <w:keepNext/>
              <w:rPr>
                <w:rFonts w:cs="Arial"/>
              </w:rPr>
            </w:pPr>
            <w:r w:rsidRPr="00DB671B">
              <w:rPr>
                <w:rFonts w:cs="Arial"/>
              </w:rPr>
              <w:t>Reprendre le paragraphe suivant du proj.4 (supprimé par erreur dans le proj.5) :</w:t>
            </w:r>
          </w:p>
          <w:p w:rsidR="00850B27" w:rsidRPr="00DB671B" w:rsidRDefault="00850B27" w:rsidP="00DB671B">
            <w:pPr>
              <w:rPr>
                <w:rFonts w:eastAsia="Arial" w:cs="Arial"/>
                <w:highlight w:val="red"/>
              </w:rPr>
            </w:pPr>
            <w:r w:rsidRPr="00DB671B">
              <w:rPr>
                <w:rFonts w:cs="Arial"/>
              </w:rPr>
              <w:t>“Pour l’évaluation de l’homogénéité de variétés multipliées par voie végétative, il faut appliquer une norme de population de 1% et une probabilité d’acceptation d’au moins 95 %.</w:t>
            </w:r>
            <w:r w:rsidRPr="00DB671B">
              <w:rPr>
                <w:rFonts w:eastAsia="Arial" w:cs="Arial"/>
              </w:rPr>
              <w:t xml:space="preserve"> Dans le cas d’un échantillon de 5 plantes, aucune plante hors-type n’est tolérée.”</w:t>
            </w:r>
          </w:p>
        </w:tc>
      </w:tr>
      <w:tr w:rsidR="00DB671B" w:rsidRPr="00DB671B" w:rsidTr="00DB671B">
        <w:trPr>
          <w:cantSplit/>
        </w:trPr>
        <w:tc>
          <w:tcPr>
            <w:tcW w:w="1573" w:type="dxa"/>
          </w:tcPr>
          <w:p w:rsidR="00850B27" w:rsidRPr="00DB671B" w:rsidRDefault="00850B27" w:rsidP="00DB671B">
            <w:pPr>
              <w:jc w:val="left"/>
              <w:rPr>
                <w:rFonts w:cs="Arial"/>
              </w:rPr>
            </w:pPr>
            <w:r w:rsidRPr="00DB671B">
              <w:rPr>
                <w:rFonts w:cs="Arial"/>
              </w:rPr>
              <w:t>1.</w:t>
            </w:r>
          </w:p>
        </w:tc>
        <w:tc>
          <w:tcPr>
            <w:tcW w:w="8208" w:type="dxa"/>
          </w:tcPr>
          <w:p w:rsidR="00850B27" w:rsidRPr="00DB671B" w:rsidRDefault="00850B27" w:rsidP="00DB671B">
            <w:pPr>
              <w:keepNext/>
              <w:rPr>
                <w:rFonts w:cs="Arial"/>
              </w:rPr>
            </w:pPr>
            <w:r w:rsidRPr="00DB671B">
              <w:rPr>
                <w:rFonts w:cs="Arial"/>
              </w:rPr>
              <w:t xml:space="preserve">Remplacer “x” par le symbole de multiplication pour les hybrides </w:t>
            </w:r>
          </w:p>
        </w:tc>
      </w:tr>
      <w:tr w:rsidR="00DB671B" w:rsidRPr="00DB671B" w:rsidTr="00DB671B">
        <w:trPr>
          <w:cantSplit/>
        </w:trPr>
        <w:tc>
          <w:tcPr>
            <w:tcW w:w="1573" w:type="dxa"/>
          </w:tcPr>
          <w:p w:rsidR="00850B27" w:rsidRPr="00DB671B" w:rsidRDefault="00850B27" w:rsidP="00DB671B">
            <w:pPr>
              <w:jc w:val="left"/>
              <w:rPr>
                <w:rFonts w:cs="Arial"/>
              </w:rPr>
            </w:pPr>
            <w:r w:rsidRPr="00DB671B">
              <w:rPr>
                <w:rFonts w:cs="Arial"/>
              </w:rPr>
              <w:t>2.2</w:t>
            </w:r>
          </w:p>
        </w:tc>
        <w:tc>
          <w:tcPr>
            <w:tcW w:w="8208" w:type="dxa"/>
          </w:tcPr>
          <w:p w:rsidR="00850B27" w:rsidRPr="00DB671B" w:rsidRDefault="00850B27" w:rsidP="00DB671B">
            <w:pPr>
              <w:keepNext/>
              <w:rPr>
                <w:rFonts w:cs="Arial"/>
              </w:rPr>
            </w:pPr>
            <w:r w:rsidRPr="00DB671B">
              <w:rPr>
                <w:rFonts w:cs="Arial"/>
              </w:rPr>
              <w:t xml:space="preserve">Modifier le libellé comme suit : “… greffons </w:t>
            </w:r>
            <w:r w:rsidRPr="00DB671B">
              <w:rPr>
                <w:rFonts w:cs="Arial"/>
                <w:highlight w:val="lightGray"/>
                <w:u w:val="single"/>
              </w:rPr>
              <w:t>ou de rameaux</w:t>
            </w:r>
            <w:r w:rsidRPr="00DB671B">
              <w:rPr>
                <w:rFonts w:cs="Arial"/>
              </w:rPr>
              <w:t>”</w:t>
            </w:r>
          </w:p>
        </w:tc>
      </w:tr>
      <w:tr w:rsidR="00DB671B" w:rsidRPr="00DB671B" w:rsidTr="00DB671B">
        <w:trPr>
          <w:cantSplit/>
        </w:trPr>
        <w:tc>
          <w:tcPr>
            <w:tcW w:w="1573" w:type="dxa"/>
          </w:tcPr>
          <w:p w:rsidR="00850B27" w:rsidRPr="00DB671B" w:rsidRDefault="00850B27" w:rsidP="00DB671B">
            <w:pPr>
              <w:jc w:val="left"/>
              <w:rPr>
                <w:rFonts w:cs="Arial"/>
              </w:rPr>
            </w:pPr>
            <w:r w:rsidRPr="00DB671B">
              <w:rPr>
                <w:rFonts w:cs="Arial"/>
              </w:rPr>
              <w:t>2.3</w:t>
            </w:r>
          </w:p>
        </w:tc>
        <w:tc>
          <w:tcPr>
            <w:tcW w:w="8208" w:type="dxa"/>
          </w:tcPr>
          <w:p w:rsidR="00850B27" w:rsidRPr="00DB671B" w:rsidRDefault="00850B27" w:rsidP="00DB671B">
            <w:pPr>
              <w:keepNext/>
              <w:rPr>
                <w:rFonts w:cs="Arial"/>
              </w:rPr>
            </w:pPr>
            <w:r w:rsidRPr="00DB671B">
              <w:rPr>
                <w:rFonts w:cs="Arial"/>
              </w:rPr>
              <w:t>Modifier le libellé comme suit : “5 rameaux, suffisamment pour produire 10 arbres”</w:t>
            </w:r>
          </w:p>
        </w:tc>
      </w:tr>
      <w:tr w:rsidR="00DB671B" w:rsidRPr="00DB671B" w:rsidTr="00DB671B">
        <w:trPr>
          <w:cantSplit/>
        </w:trPr>
        <w:tc>
          <w:tcPr>
            <w:tcW w:w="1573" w:type="dxa"/>
          </w:tcPr>
          <w:p w:rsidR="00850B27" w:rsidRPr="00DB671B" w:rsidRDefault="00850B27" w:rsidP="00DB671B">
            <w:pPr>
              <w:jc w:val="left"/>
              <w:rPr>
                <w:rFonts w:cs="Arial"/>
              </w:rPr>
            </w:pPr>
            <w:r w:rsidRPr="00DB671B">
              <w:rPr>
                <w:rFonts w:cs="Arial"/>
              </w:rPr>
              <w:t>3.1.2, 5.3, Car. 16</w:t>
            </w:r>
          </w:p>
        </w:tc>
        <w:tc>
          <w:tcPr>
            <w:tcW w:w="8208" w:type="dxa"/>
          </w:tcPr>
          <w:p w:rsidR="00850B27" w:rsidRPr="00DB671B" w:rsidRDefault="00850B27" w:rsidP="00DB671B">
            <w:pPr>
              <w:keepNext/>
              <w:jc w:val="left"/>
              <w:rPr>
                <w:rFonts w:cs="Arial"/>
              </w:rPr>
            </w:pPr>
            <w:r w:rsidRPr="00DB671B">
              <w:rPr>
                <w:rFonts w:cs="Arial"/>
              </w:rPr>
              <w:t>Dans l’anglais, séparer le mot “budburst” en deux mots (dans l’ensemble du document)</w:t>
            </w:r>
          </w:p>
        </w:tc>
      </w:tr>
      <w:tr w:rsidR="00DB671B" w:rsidRPr="00DB671B" w:rsidTr="00DB671B">
        <w:trPr>
          <w:cantSplit/>
        </w:trPr>
        <w:tc>
          <w:tcPr>
            <w:tcW w:w="1573" w:type="dxa"/>
          </w:tcPr>
          <w:p w:rsidR="00850B27" w:rsidRPr="00DB671B" w:rsidRDefault="00850B27" w:rsidP="00DB671B">
            <w:pPr>
              <w:jc w:val="left"/>
              <w:rPr>
                <w:rFonts w:cs="Arial"/>
              </w:rPr>
            </w:pPr>
            <w:r w:rsidRPr="00DB671B">
              <w:rPr>
                <w:rFonts w:cs="Arial"/>
              </w:rPr>
              <w:t>Car. 7</w:t>
            </w:r>
          </w:p>
        </w:tc>
        <w:tc>
          <w:tcPr>
            <w:tcW w:w="8208" w:type="dxa"/>
          </w:tcPr>
          <w:p w:rsidR="00850B27" w:rsidRPr="00DB671B" w:rsidRDefault="00850B27" w:rsidP="00DB671B">
            <w:pPr>
              <w:keepNext/>
              <w:jc w:val="left"/>
              <w:rPr>
                <w:rFonts w:cs="Arial"/>
              </w:rPr>
            </w:pPr>
            <w:r w:rsidRPr="00DB671B">
              <w:rPr>
                <w:rFonts w:cs="Arial"/>
              </w:rPr>
              <w:t>- supprimer “groupe de” pour tous les niveaux</w:t>
            </w:r>
          </w:p>
          <w:p w:rsidR="00850B27" w:rsidRPr="00DB671B" w:rsidRDefault="00850B27" w:rsidP="00DB671B">
            <w:pPr>
              <w:keepNext/>
              <w:jc w:val="left"/>
              <w:rPr>
                <w:rFonts w:cs="Arial"/>
              </w:rPr>
            </w:pPr>
            <w:r w:rsidRPr="00DB671B">
              <w:rPr>
                <w:rFonts w:cs="Arial"/>
              </w:rPr>
              <w:t>- modifier le libellé comme suit : “Inflorescence femelle : nombre prédominant de fleurs” et déplacer avant le car. 6</w:t>
            </w:r>
          </w:p>
        </w:tc>
      </w:tr>
      <w:tr w:rsidR="00DB671B" w:rsidRPr="00DB671B" w:rsidTr="00DB671B">
        <w:trPr>
          <w:cantSplit/>
        </w:trPr>
        <w:tc>
          <w:tcPr>
            <w:tcW w:w="1573" w:type="dxa"/>
          </w:tcPr>
          <w:p w:rsidR="00850B27" w:rsidRPr="00DB671B" w:rsidRDefault="00850B27" w:rsidP="00DB671B">
            <w:pPr>
              <w:jc w:val="left"/>
              <w:rPr>
                <w:rFonts w:cs="Arial"/>
              </w:rPr>
            </w:pPr>
            <w:r w:rsidRPr="00DB671B">
              <w:rPr>
                <w:rFonts w:cs="Arial"/>
              </w:rPr>
              <w:t>Car. 10</w:t>
            </w:r>
          </w:p>
        </w:tc>
        <w:tc>
          <w:tcPr>
            <w:tcW w:w="8208" w:type="dxa"/>
          </w:tcPr>
          <w:p w:rsidR="00850B27" w:rsidRPr="00DB671B" w:rsidRDefault="00850B27" w:rsidP="00DB671B">
            <w:pPr>
              <w:keepNext/>
              <w:rPr>
                <w:rFonts w:cs="Arial"/>
              </w:rPr>
            </w:pPr>
            <w:r w:rsidRPr="00DB671B">
              <w:rPr>
                <w:rFonts w:cs="Arial"/>
              </w:rPr>
              <w:t xml:space="preserve">Modifier le libellé comme suit : “Fleur femelle : type de stigmate”  </w:t>
            </w:r>
          </w:p>
        </w:tc>
      </w:tr>
      <w:tr w:rsidR="00DB671B" w:rsidRPr="00DB671B" w:rsidTr="00DB671B">
        <w:trPr>
          <w:cantSplit/>
        </w:trPr>
        <w:tc>
          <w:tcPr>
            <w:tcW w:w="1573" w:type="dxa"/>
          </w:tcPr>
          <w:p w:rsidR="00850B27" w:rsidRPr="00DB671B" w:rsidRDefault="00850B27" w:rsidP="00DB671B">
            <w:pPr>
              <w:jc w:val="left"/>
              <w:rPr>
                <w:rFonts w:cs="Arial"/>
              </w:rPr>
            </w:pPr>
            <w:r w:rsidRPr="00DB671B">
              <w:rPr>
                <w:rFonts w:cs="Arial"/>
              </w:rPr>
              <w:t>Car. 11</w:t>
            </w:r>
          </w:p>
        </w:tc>
        <w:tc>
          <w:tcPr>
            <w:tcW w:w="8208" w:type="dxa"/>
          </w:tcPr>
          <w:p w:rsidR="00850B27" w:rsidRPr="00DB671B" w:rsidRDefault="00850B27" w:rsidP="00DB671B">
            <w:pPr>
              <w:jc w:val="left"/>
              <w:rPr>
                <w:rFonts w:cs="Arial"/>
              </w:rPr>
            </w:pPr>
            <w:r w:rsidRPr="00DB671B">
              <w:rPr>
                <w:rFonts w:cs="Arial"/>
              </w:rPr>
              <w:t>Modifier le libellé comme suit : “Plante : chatons pleinement développés”</w:t>
            </w:r>
          </w:p>
        </w:tc>
      </w:tr>
      <w:tr w:rsidR="00DB671B" w:rsidRPr="00DB671B" w:rsidTr="00DB671B">
        <w:trPr>
          <w:cantSplit/>
        </w:trPr>
        <w:tc>
          <w:tcPr>
            <w:tcW w:w="1573" w:type="dxa"/>
          </w:tcPr>
          <w:p w:rsidR="00850B27" w:rsidRPr="00DB671B" w:rsidRDefault="00850B27" w:rsidP="00DB671B">
            <w:pPr>
              <w:jc w:val="left"/>
              <w:rPr>
                <w:rFonts w:cs="Arial"/>
              </w:rPr>
            </w:pPr>
            <w:r w:rsidRPr="00DB671B">
              <w:rPr>
                <w:rFonts w:cs="Arial"/>
              </w:rPr>
              <w:t>Car. 12</w:t>
            </w:r>
          </w:p>
        </w:tc>
        <w:tc>
          <w:tcPr>
            <w:tcW w:w="8208" w:type="dxa"/>
          </w:tcPr>
          <w:p w:rsidR="00850B27" w:rsidRPr="00DB671B" w:rsidRDefault="00850B27" w:rsidP="00DB671B">
            <w:pPr>
              <w:jc w:val="left"/>
              <w:rPr>
                <w:rFonts w:cs="Arial"/>
              </w:rPr>
            </w:pPr>
            <w:r w:rsidRPr="00DB671B">
              <w:rPr>
                <w:rFonts w:cs="Arial"/>
              </w:rPr>
              <w:t>Modifier le libellé comme suit : “Uniquement les variétés avec : Plante : chatons pleinement développés : présents : chaton : forme”</w:t>
            </w:r>
          </w:p>
        </w:tc>
      </w:tr>
      <w:tr w:rsidR="00DB671B" w:rsidRPr="00DB671B" w:rsidTr="00DB671B">
        <w:trPr>
          <w:cantSplit/>
        </w:trPr>
        <w:tc>
          <w:tcPr>
            <w:tcW w:w="1573" w:type="dxa"/>
          </w:tcPr>
          <w:p w:rsidR="00850B27" w:rsidRPr="00DB671B" w:rsidRDefault="00850B27" w:rsidP="00DB671B">
            <w:pPr>
              <w:jc w:val="left"/>
              <w:rPr>
                <w:rFonts w:cs="Arial"/>
              </w:rPr>
            </w:pPr>
            <w:r w:rsidRPr="00DB671B">
              <w:rPr>
                <w:rFonts w:cs="Arial"/>
              </w:rPr>
              <w:t>Car. 13</w:t>
            </w:r>
          </w:p>
        </w:tc>
        <w:tc>
          <w:tcPr>
            <w:tcW w:w="8208" w:type="dxa"/>
          </w:tcPr>
          <w:p w:rsidR="00850B27" w:rsidRPr="00DB671B" w:rsidRDefault="00850B27" w:rsidP="00DB671B">
            <w:pPr>
              <w:jc w:val="left"/>
              <w:rPr>
                <w:rFonts w:cs="Arial"/>
              </w:rPr>
            </w:pPr>
            <w:r w:rsidRPr="00DB671B">
              <w:rPr>
                <w:rFonts w:cs="Arial"/>
              </w:rPr>
              <w:t>Modifier le libellé comme suit : “Noix : forme”</w:t>
            </w:r>
          </w:p>
        </w:tc>
      </w:tr>
      <w:tr w:rsidR="00DB671B" w:rsidRPr="00DB671B" w:rsidTr="00DB671B">
        <w:trPr>
          <w:cantSplit/>
        </w:trPr>
        <w:tc>
          <w:tcPr>
            <w:tcW w:w="1573" w:type="dxa"/>
          </w:tcPr>
          <w:p w:rsidR="00850B27" w:rsidRPr="00DB671B" w:rsidRDefault="00850B27" w:rsidP="00DB671B">
            <w:pPr>
              <w:jc w:val="left"/>
              <w:rPr>
                <w:rFonts w:cs="Arial"/>
              </w:rPr>
            </w:pPr>
            <w:r w:rsidRPr="00DB671B">
              <w:rPr>
                <w:rFonts w:cs="Arial"/>
              </w:rPr>
              <w:t>8.1</w:t>
            </w:r>
          </w:p>
        </w:tc>
        <w:tc>
          <w:tcPr>
            <w:tcW w:w="8208" w:type="dxa"/>
          </w:tcPr>
          <w:p w:rsidR="00850B27" w:rsidRPr="00DB671B" w:rsidRDefault="00850B27" w:rsidP="00DB671B">
            <w:pPr>
              <w:keepNext/>
              <w:rPr>
                <w:rFonts w:cs="Arial"/>
              </w:rPr>
            </w:pPr>
            <w:r w:rsidRPr="00DB671B">
              <w:rPr>
                <w:rFonts w:cs="Arial"/>
              </w:rPr>
              <w:t>Supprimer toute mention des parties de plantes aux points (a) à (d) (“Les observations doivent être effectuées…”)</w:t>
            </w:r>
          </w:p>
        </w:tc>
      </w:tr>
      <w:tr w:rsidR="00DB671B" w:rsidRPr="00DB671B" w:rsidTr="00DB671B">
        <w:trPr>
          <w:cantSplit/>
        </w:trPr>
        <w:tc>
          <w:tcPr>
            <w:tcW w:w="1573" w:type="dxa"/>
          </w:tcPr>
          <w:p w:rsidR="00850B27" w:rsidRPr="00DB671B" w:rsidRDefault="00850B27" w:rsidP="00DB671B">
            <w:pPr>
              <w:jc w:val="left"/>
              <w:rPr>
                <w:rFonts w:cs="Arial"/>
              </w:rPr>
            </w:pPr>
            <w:r w:rsidRPr="00DB671B">
              <w:rPr>
                <w:rFonts w:cs="Arial"/>
              </w:rPr>
              <w:t>8.1 (c)</w:t>
            </w:r>
          </w:p>
        </w:tc>
        <w:tc>
          <w:tcPr>
            <w:tcW w:w="8208" w:type="dxa"/>
          </w:tcPr>
          <w:p w:rsidR="00850B27" w:rsidRPr="00DB671B" w:rsidRDefault="00850B27" w:rsidP="00DB671B">
            <w:pPr>
              <w:jc w:val="left"/>
              <w:rPr>
                <w:rFonts w:cs="Arial"/>
              </w:rPr>
            </w:pPr>
            <w:r w:rsidRPr="00DB671B">
              <w:rPr>
                <w:rFonts w:cs="Arial"/>
              </w:rPr>
              <w:t>Modifier le libellé comme suit : “Les observations doivent être effectuées à l’époque de pleine floraison des fleurs mâles et des fleurs femelles, respectivement.”</w:t>
            </w:r>
          </w:p>
        </w:tc>
      </w:tr>
      <w:tr w:rsidR="00DB671B" w:rsidRPr="00DB671B" w:rsidTr="00DB671B">
        <w:trPr>
          <w:cantSplit/>
        </w:trPr>
        <w:tc>
          <w:tcPr>
            <w:tcW w:w="1573" w:type="dxa"/>
          </w:tcPr>
          <w:p w:rsidR="00850B27" w:rsidRPr="00DB671B" w:rsidRDefault="00850B27" w:rsidP="00DB671B">
            <w:pPr>
              <w:jc w:val="left"/>
              <w:rPr>
                <w:rFonts w:cs="Arial"/>
              </w:rPr>
            </w:pPr>
            <w:r w:rsidRPr="00DB671B">
              <w:rPr>
                <w:rFonts w:cs="Arial"/>
              </w:rPr>
              <w:t>8.1 (d)</w:t>
            </w:r>
          </w:p>
        </w:tc>
        <w:tc>
          <w:tcPr>
            <w:tcW w:w="8208" w:type="dxa"/>
          </w:tcPr>
          <w:p w:rsidR="00850B27" w:rsidRPr="00DB671B" w:rsidRDefault="00850B27" w:rsidP="00DB671B">
            <w:pPr>
              <w:jc w:val="left"/>
              <w:rPr>
                <w:rFonts w:cs="Arial"/>
              </w:rPr>
            </w:pPr>
            <w:r w:rsidRPr="00DB671B">
              <w:rPr>
                <w:rFonts w:cs="Arial"/>
              </w:rPr>
              <w:t>Modifier le libellé comme suit : “Les observations doivent être effectuées en se plaçant en face de la suture sur des noix physiologiquement mûres sans le péricarpe.”</w:t>
            </w:r>
          </w:p>
        </w:tc>
      </w:tr>
      <w:tr w:rsidR="00DB671B" w:rsidRPr="00DB671B" w:rsidTr="00DB671B">
        <w:trPr>
          <w:cantSplit/>
        </w:trPr>
        <w:tc>
          <w:tcPr>
            <w:tcW w:w="1573" w:type="dxa"/>
          </w:tcPr>
          <w:p w:rsidR="00850B27" w:rsidRPr="00DB671B" w:rsidRDefault="00850B27" w:rsidP="00DB671B">
            <w:pPr>
              <w:jc w:val="left"/>
              <w:rPr>
                <w:rFonts w:cs="Arial"/>
              </w:rPr>
            </w:pPr>
            <w:r w:rsidRPr="00DB671B">
              <w:rPr>
                <w:rFonts w:cs="Arial"/>
              </w:rPr>
              <w:t>Ad. 3</w:t>
            </w:r>
          </w:p>
        </w:tc>
        <w:tc>
          <w:tcPr>
            <w:tcW w:w="8208" w:type="dxa"/>
          </w:tcPr>
          <w:p w:rsidR="00850B27" w:rsidRPr="00DB671B" w:rsidRDefault="00850B27" w:rsidP="00DB671B">
            <w:pPr>
              <w:keepNext/>
              <w:rPr>
                <w:rFonts w:cs="Arial"/>
              </w:rPr>
            </w:pPr>
            <w:r w:rsidRPr="00DB671B">
              <w:rPr>
                <w:rFonts w:cs="Arial"/>
              </w:rPr>
              <w:t>Modifier le libellé comme suit : “moins de 9;  entre 9 et 13;  entre 14 et 17;  entre 18 et 21;  22 ou plus”</w:t>
            </w:r>
          </w:p>
        </w:tc>
      </w:tr>
      <w:tr w:rsidR="00DB671B" w:rsidRPr="00DB671B" w:rsidTr="00DB671B">
        <w:trPr>
          <w:cantSplit/>
        </w:trPr>
        <w:tc>
          <w:tcPr>
            <w:tcW w:w="1573" w:type="dxa"/>
          </w:tcPr>
          <w:p w:rsidR="00850B27" w:rsidRPr="00DB671B" w:rsidRDefault="00850B27" w:rsidP="00DB671B">
            <w:pPr>
              <w:jc w:val="left"/>
              <w:rPr>
                <w:rFonts w:cs="Arial"/>
              </w:rPr>
            </w:pPr>
            <w:r w:rsidRPr="00DB671B">
              <w:rPr>
                <w:rFonts w:cs="Arial"/>
              </w:rPr>
              <w:t>Ad. 6</w:t>
            </w:r>
          </w:p>
        </w:tc>
        <w:tc>
          <w:tcPr>
            <w:tcW w:w="8208" w:type="dxa"/>
          </w:tcPr>
          <w:p w:rsidR="00850B27" w:rsidRPr="00DB671B" w:rsidRDefault="00850B27" w:rsidP="00DB671B">
            <w:pPr>
              <w:keepNext/>
              <w:rPr>
                <w:rFonts w:cs="Arial"/>
              </w:rPr>
            </w:pPr>
            <w:r w:rsidRPr="00DB671B">
              <w:rPr>
                <w:rFonts w:cs="Arial"/>
              </w:rPr>
              <w:t>Modifier le libellé comme suit : “La netteté est absente lorsque…”</w:t>
            </w:r>
          </w:p>
        </w:tc>
      </w:tr>
      <w:tr w:rsidR="00DB671B" w:rsidRPr="00DB671B" w:rsidTr="00DB671B">
        <w:trPr>
          <w:cantSplit/>
        </w:trPr>
        <w:tc>
          <w:tcPr>
            <w:tcW w:w="1573" w:type="dxa"/>
          </w:tcPr>
          <w:p w:rsidR="00850B27" w:rsidRPr="00DB671B" w:rsidRDefault="00850B27" w:rsidP="00DB671B">
            <w:pPr>
              <w:jc w:val="left"/>
              <w:rPr>
                <w:rFonts w:cs="Arial"/>
              </w:rPr>
            </w:pPr>
            <w:r w:rsidRPr="00DB671B">
              <w:rPr>
                <w:rFonts w:cs="Arial"/>
              </w:rPr>
              <w:t>Ad. 11</w:t>
            </w:r>
          </w:p>
        </w:tc>
        <w:tc>
          <w:tcPr>
            <w:tcW w:w="8208" w:type="dxa"/>
          </w:tcPr>
          <w:p w:rsidR="00850B27" w:rsidRPr="00DB671B" w:rsidRDefault="00850B27" w:rsidP="00DB671B">
            <w:pPr>
              <w:jc w:val="left"/>
              <w:rPr>
                <w:rFonts w:cs="Arial"/>
              </w:rPr>
            </w:pPr>
            <w:r w:rsidRPr="00DB671B">
              <w:rPr>
                <w:rFonts w:cs="Arial"/>
              </w:rPr>
              <w:t>Modifier le libellé comme suit : “... les sacs de pollen sont pleins.</w:t>
            </w:r>
          </w:p>
        </w:tc>
      </w:tr>
      <w:tr w:rsidR="00DB671B" w:rsidRPr="00DB671B" w:rsidTr="00DB671B">
        <w:trPr>
          <w:cantSplit/>
        </w:trPr>
        <w:tc>
          <w:tcPr>
            <w:tcW w:w="1573" w:type="dxa"/>
          </w:tcPr>
          <w:p w:rsidR="00850B27" w:rsidRPr="00DB671B" w:rsidRDefault="00850B27" w:rsidP="00DB671B">
            <w:pPr>
              <w:jc w:val="left"/>
              <w:rPr>
                <w:rFonts w:cs="Arial"/>
              </w:rPr>
            </w:pPr>
            <w:r w:rsidRPr="00DB671B">
              <w:rPr>
                <w:rFonts w:cs="Arial"/>
              </w:rPr>
              <w:t>Ads. 14, 15</w:t>
            </w:r>
          </w:p>
        </w:tc>
        <w:tc>
          <w:tcPr>
            <w:tcW w:w="8208" w:type="dxa"/>
          </w:tcPr>
          <w:p w:rsidR="00850B27" w:rsidRPr="00DB671B" w:rsidRDefault="00850B27" w:rsidP="00DB671B">
            <w:pPr>
              <w:jc w:val="left"/>
              <w:rPr>
                <w:rFonts w:cs="Arial"/>
              </w:rPr>
            </w:pPr>
            <w:r w:rsidRPr="00DB671B">
              <w:rPr>
                <w:rFonts w:cs="Arial"/>
              </w:rPr>
              <w:t>supprimer la phrase</w:t>
            </w:r>
          </w:p>
        </w:tc>
      </w:tr>
      <w:tr w:rsidR="00DB671B" w:rsidRPr="00DB671B" w:rsidTr="00DB671B">
        <w:trPr>
          <w:cantSplit/>
        </w:trPr>
        <w:tc>
          <w:tcPr>
            <w:tcW w:w="1573" w:type="dxa"/>
          </w:tcPr>
          <w:p w:rsidR="00850B27" w:rsidRPr="00DB671B" w:rsidRDefault="00850B27" w:rsidP="00DB671B">
            <w:pPr>
              <w:jc w:val="left"/>
              <w:rPr>
                <w:rFonts w:cs="Arial"/>
              </w:rPr>
            </w:pPr>
            <w:r w:rsidRPr="00DB671B">
              <w:rPr>
                <w:rFonts w:cs="Arial"/>
              </w:rPr>
              <w:t>Ad. 16</w:t>
            </w:r>
          </w:p>
        </w:tc>
        <w:tc>
          <w:tcPr>
            <w:tcW w:w="8208" w:type="dxa"/>
          </w:tcPr>
          <w:p w:rsidR="00850B27" w:rsidRPr="00DB671B" w:rsidRDefault="00850B27" w:rsidP="00DB671B">
            <w:pPr>
              <w:jc w:val="left"/>
              <w:rPr>
                <w:rFonts w:cs="Arial"/>
              </w:rPr>
            </w:pPr>
            <w:r w:rsidRPr="00DB671B">
              <w:rPr>
                <w:rFonts w:cs="Arial"/>
              </w:rPr>
              <w:t>supprimer “plus de”</w:t>
            </w:r>
          </w:p>
        </w:tc>
      </w:tr>
      <w:tr w:rsidR="00DB671B" w:rsidRPr="00DB671B" w:rsidTr="00DB671B">
        <w:trPr>
          <w:cantSplit/>
        </w:trPr>
        <w:tc>
          <w:tcPr>
            <w:tcW w:w="1573" w:type="dxa"/>
          </w:tcPr>
          <w:p w:rsidR="00850B27" w:rsidRPr="00DB671B" w:rsidRDefault="00850B27" w:rsidP="00DB671B">
            <w:pPr>
              <w:jc w:val="left"/>
              <w:rPr>
                <w:rFonts w:cs="Arial"/>
              </w:rPr>
            </w:pPr>
            <w:r w:rsidRPr="00DB671B">
              <w:rPr>
                <w:rFonts w:cs="Arial"/>
              </w:rPr>
              <w:t>Ad. 20</w:t>
            </w:r>
          </w:p>
        </w:tc>
        <w:tc>
          <w:tcPr>
            <w:tcW w:w="8208" w:type="dxa"/>
          </w:tcPr>
          <w:p w:rsidR="00850B27" w:rsidRPr="00DB671B" w:rsidRDefault="00850B27" w:rsidP="00DB671B">
            <w:pPr>
              <w:jc w:val="left"/>
              <w:rPr>
                <w:rFonts w:cs="Arial"/>
              </w:rPr>
            </w:pPr>
            <w:r w:rsidRPr="00DB671B">
              <w:rPr>
                <w:rFonts w:cs="Arial"/>
              </w:rPr>
              <w:t>supprimer “plus de”</w:t>
            </w:r>
          </w:p>
        </w:tc>
      </w:tr>
    </w:tbl>
    <w:p w:rsidR="00850B27" w:rsidRPr="00DB671B" w:rsidRDefault="00850B27" w:rsidP="00DB671B">
      <w:pPr>
        <w:rPr>
          <w:rFonts w:eastAsia="Arial" w:cs="Arial"/>
          <w:u w:val="single"/>
        </w:rPr>
      </w:pPr>
    </w:p>
    <w:p w:rsidR="00850B27" w:rsidRPr="00DB671B" w:rsidRDefault="00850B27" w:rsidP="00DB671B">
      <w:pPr>
        <w:rPr>
          <w:rFonts w:eastAsia="Arial" w:cs="Arial"/>
          <w:u w:val="single"/>
        </w:rPr>
      </w:pPr>
    </w:p>
    <w:p w:rsidR="00850B27" w:rsidRPr="00DB671B" w:rsidRDefault="00850B27" w:rsidP="00DB671B">
      <w:pPr>
        <w:pStyle w:val="Heading3"/>
        <w:rPr>
          <w:rFonts w:eastAsia="Arial"/>
          <w:lang w:val="fr-FR"/>
        </w:rPr>
      </w:pPr>
      <w:r w:rsidRPr="00DB671B">
        <w:rPr>
          <w:rFonts w:eastAsia="Arial"/>
          <w:lang w:val="fr-FR"/>
        </w:rPr>
        <w:t>Révisions</w:t>
      </w:r>
    </w:p>
    <w:p w:rsidR="00850B27" w:rsidRPr="00DB671B" w:rsidRDefault="00850B27" w:rsidP="00DB671B">
      <w:pPr>
        <w:keepNext/>
        <w:rPr>
          <w:rFonts w:eastAsia="Arial" w:cs="Arial"/>
          <w:u w:val="single"/>
        </w:rPr>
      </w:pPr>
    </w:p>
    <w:tbl>
      <w:tblPr>
        <w:tblW w:w="99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894"/>
        <w:gridCol w:w="2552"/>
        <w:gridCol w:w="2807"/>
        <w:gridCol w:w="736"/>
        <w:gridCol w:w="993"/>
      </w:tblGrid>
      <w:tr w:rsidR="00DB671B" w:rsidRPr="00DB671B" w:rsidTr="00DB671B">
        <w:trPr>
          <w:cantSplit/>
          <w:trHeight w:val="277"/>
          <w:jc w:val="center"/>
        </w:trPr>
        <w:tc>
          <w:tcPr>
            <w:tcW w:w="2894" w:type="dxa"/>
            <w:vMerge w:val="restart"/>
            <w:shd w:val="clear" w:color="auto" w:fill="D9D9D9"/>
            <w:vAlign w:val="center"/>
          </w:tcPr>
          <w:p w:rsidR="00850B27" w:rsidRPr="00DB671B" w:rsidRDefault="00850B27" w:rsidP="00DB671B">
            <w:pPr>
              <w:pStyle w:val="TitleofDoc"/>
              <w:keepNext/>
              <w:tabs>
                <w:tab w:val="left" w:pos="5245"/>
                <w:tab w:val="left" w:pos="7008"/>
              </w:tabs>
              <w:spacing w:before="0"/>
              <w:jc w:val="left"/>
              <w:rPr>
                <w:rFonts w:cs="Arial"/>
                <w:caps w:val="0"/>
              </w:rPr>
            </w:pPr>
            <w:r w:rsidRPr="00DB671B">
              <w:rPr>
                <w:rFonts w:cs="Arial"/>
                <w:caps w:val="0"/>
              </w:rPr>
              <w:t xml:space="preserve">Alstroemère </w:t>
            </w:r>
            <w:r w:rsidRPr="00DB671B">
              <w:rPr>
                <w:rFonts w:cs="Arial"/>
                <w:caps w:val="0"/>
              </w:rPr>
              <w:br/>
              <w:t>(</w:t>
            </w:r>
            <w:r w:rsidRPr="00DB671B">
              <w:rPr>
                <w:rFonts w:cs="Arial"/>
                <w:i/>
                <w:caps w:val="0"/>
              </w:rPr>
              <w:t>Alstroemeria</w:t>
            </w:r>
            <w:r w:rsidRPr="00DB671B">
              <w:rPr>
                <w:rFonts w:cs="Arial"/>
                <w:caps w:val="0"/>
              </w:rPr>
              <w:t xml:space="preserve"> L.)</w:t>
            </w:r>
          </w:p>
        </w:tc>
        <w:tc>
          <w:tcPr>
            <w:tcW w:w="2552" w:type="dxa"/>
            <w:shd w:val="clear" w:color="auto" w:fill="D9D9D9"/>
            <w:vAlign w:val="center"/>
          </w:tcPr>
          <w:p w:rsidR="00850B27" w:rsidRPr="00DB671B" w:rsidRDefault="00850B27" w:rsidP="00DB671B">
            <w:pPr>
              <w:pStyle w:val="TitleofDoc"/>
              <w:keepNext/>
              <w:tabs>
                <w:tab w:val="left" w:pos="5245"/>
                <w:tab w:val="left" w:pos="7008"/>
              </w:tabs>
              <w:spacing w:before="0"/>
              <w:jc w:val="left"/>
              <w:rPr>
                <w:rFonts w:cs="Arial"/>
                <w:caps w:val="0"/>
              </w:rPr>
            </w:pPr>
            <w:r w:rsidRPr="00DB671B">
              <w:rPr>
                <w:rFonts w:cs="Arial"/>
                <w:caps w:val="0"/>
              </w:rPr>
              <w:t>TG/29/8(proj.4)</w:t>
            </w:r>
          </w:p>
        </w:tc>
        <w:tc>
          <w:tcPr>
            <w:tcW w:w="2807" w:type="dxa"/>
            <w:shd w:val="clear" w:color="auto" w:fill="D9D9D9"/>
            <w:vAlign w:val="center"/>
          </w:tcPr>
          <w:p w:rsidR="00850B27" w:rsidRPr="00DB671B" w:rsidRDefault="00850B27" w:rsidP="00DB671B">
            <w:pPr>
              <w:keepNext/>
              <w:jc w:val="left"/>
              <w:rPr>
                <w:rFonts w:cs="Arial"/>
                <w:iCs/>
                <w:snapToGrid w:val="0"/>
              </w:rPr>
            </w:pPr>
            <w:r w:rsidRPr="00DB671B">
              <w:rPr>
                <w:rFonts w:cs="Arial"/>
              </w:rPr>
              <w:t>M. Henk de Greef (NL)</w:t>
            </w:r>
          </w:p>
        </w:tc>
        <w:tc>
          <w:tcPr>
            <w:tcW w:w="736" w:type="dxa"/>
            <w:vMerge w:val="restart"/>
            <w:shd w:val="clear" w:color="auto" w:fill="D9D9D9"/>
            <w:vAlign w:val="center"/>
          </w:tcPr>
          <w:p w:rsidR="00850B27" w:rsidRPr="00DB671B" w:rsidRDefault="00850B27" w:rsidP="00DB671B">
            <w:pPr>
              <w:keepNext/>
              <w:jc w:val="left"/>
              <w:rPr>
                <w:rFonts w:cs="Arial"/>
                <w:iCs/>
              </w:rPr>
            </w:pPr>
            <w:r w:rsidRPr="00DB671B">
              <w:rPr>
                <w:rFonts w:cs="Arial"/>
                <w:iCs/>
              </w:rPr>
              <w:t>TWO</w:t>
            </w:r>
          </w:p>
        </w:tc>
        <w:tc>
          <w:tcPr>
            <w:tcW w:w="993" w:type="dxa"/>
            <w:vMerge w:val="restart"/>
            <w:shd w:val="clear" w:color="auto" w:fill="D9D9D9"/>
            <w:vAlign w:val="center"/>
          </w:tcPr>
          <w:p w:rsidR="00850B27" w:rsidRPr="00DB671B" w:rsidRDefault="00850B27" w:rsidP="00DB671B">
            <w:pPr>
              <w:pStyle w:val="BodyText"/>
              <w:keepNext/>
              <w:jc w:val="left"/>
              <w:rPr>
                <w:rFonts w:cs="Arial"/>
                <w:iCs/>
                <w:snapToGrid w:val="0"/>
              </w:rPr>
            </w:pPr>
            <w:r w:rsidRPr="00DB671B">
              <w:rPr>
                <w:rFonts w:cs="Arial"/>
                <w:iCs/>
                <w:snapToGrid w:val="0"/>
              </w:rPr>
              <w:t>*</w:t>
            </w:r>
          </w:p>
        </w:tc>
      </w:tr>
      <w:tr w:rsidR="00DB671B" w:rsidRPr="00DB671B" w:rsidTr="00DB671B">
        <w:trPr>
          <w:cantSplit/>
          <w:trHeight w:hRule="exact" w:val="791"/>
          <w:jc w:val="center"/>
        </w:trPr>
        <w:tc>
          <w:tcPr>
            <w:tcW w:w="2894" w:type="dxa"/>
            <w:vMerge/>
            <w:shd w:val="clear" w:color="auto" w:fill="D9D9D9"/>
            <w:vAlign w:val="center"/>
          </w:tcPr>
          <w:p w:rsidR="00850B27" w:rsidRPr="00DB671B" w:rsidRDefault="00850B27" w:rsidP="00DB671B">
            <w:pPr>
              <w:pStyle w:val="TitleofDoc"/>
              <w:keepNext/>
              <w:tabs>
                <w:tab w:val="left" w:pos="5245"/>
                <w:tab w:val="left" w:pos="7008"/>
              </w:tabs>
              <w:spacing w:before="0"/>
              <w:jc w:val="left"/>
              <w:rPr>
                <w:rFonts w:cs="Arial"/>
                <w:caps w:val="0"/>
              </w:rPr>
            </w:pPr>
          </w:p>
        </w:tc>
        <w:tc>
          <w:tcPr>
            <w:tcW w:w="2552" w:type="dxa"/>
            <w:shd w:val="clear" w:color="auto" w:fill="D9D9D9"/>
            <w:vAlign w:val="center"/>
          </w:tcPr>
          <w:p w:rsidR="00850B27" w:rsidRPr="00DB671B" w:rsidRDefault="00850B27" w:rsidP="00DB671B">
            <w:pPr>
              <w:pStyle w:val="BodyText"/>
              <w:keepNext/>
              <w:jc w:val="left"/>
              <w:rPr>
                <w:rFonts w:cs="Arial"/>
              </w:rPr>
            </w:pPr>
            <w:r w:rsidRPr="00DB671B">
              <w:rPr>
                <w:rFonts w:cs="Arial"/>
              </w:rPr>
              <w:t>Nombre de car. : 43 Nombre de car. (*) : 35</w:t>
            </w:r>
          </w:p>
        </w:tc>
        <w:tc>
          <w:tcPr>
            <w:tcW w:w="2807" w:type="dxa"/>
            <w:shd w:val="clear" w:color="auto" w:fill="D9D9D9"/>
            <w:vAlign w:val="center"/>
          </w:tcPr>
          <w:p w:rsidR="00850B27" w:rsidRPr="00DB671B" w:rsidRDefault="00850B27" w:rsidP="00DB671B">
            <w:pPr>
              <w:keepNext/>
              <w:jc w:val="left"/>
              <w:rPr>
                <w:rFonts w:cs="Arial"/>
                <w:iCs/>
                <w:snapToGrid w:val="0"/>
              </w:rPr>
            </w:pPr>
            <w:r w:rsidRPr="00DB671B">
              <w:rPr>
                <w:rFonts w:cs="Arial"/>
                <w:iCs/>
                <w:snapToGrid w:val="0"/>
              </w:rPr>
              <w:t xml:space="preserve">(Experts intéressés : </w:t>
            </w:r>
            <w:r w:rsidRPr="00DB671B">
              <w:rPr>
                <w:rFonts w:cs="Arial"/>
              </w:rPr>
              <w:t>AU, CA, KR, JP, MX, NZ, QZ, ZA</w:t>
            </w:r>
            <w:r w:rsidRPr="00DB671B">
              <w:rPr>
                <w:rFonts w:eastAsia="SimSun" w:cs="Arial"/>
                <w:lang w:eastAsia="zh-CN"/>
              </w:rPr>
              <w:t>)</w:t>
            </w:r>
          </w:p>
        </w:tc>
        <w:tc>
          <w:tcPr>
            <w:tcW w:w="736" w:type="dxa"/>
            <w:vMerge/>
            <w:shd w:val="clear" w:color="auto" w:fill="D9D9D9"/>
            <w:vAlign w:val="center"/>
          </w:tcPr>
          <w:p w:rsidR="00850B27" w:rsidRPr="00DB671B" w:rsidRDefault="00850B27" w:rsidP="00DB671B">
            <w:pPr>
              <w:keepNext/>
              <w:jc w:val="left"/>
              <w:rPr>
                <w:rFonts w:cs="Arial"/>
                <w:iCs/>
              </w:rPr>
            </w:pPr>
          </w:p>
        </w:tc>
        <w:tc>
          <w:tcPr>
            <w:tcW w:w="993" w:type="dxa"/>
            <w:vMerge/>
            <w:shd w:val="clear" w:color="auto" w:fill="D9D9D9"/>
            <w:vAlign w:val="center"/>
          </w:tcPr>
          <w:p w:rsidR="00850B27" w:rsidRPr="00DB671B" w:rsidRDefault="00850B27" w:rsidP="00DB671B">
            <w:pPr>
              <w:pStyle w:val="BodyText"/>
              <w:keepNext/>
              <w:jc w:val="left"/>
              <w:rPr>
                <w:rFonts w:cs="Arial"/>
                <w:iCs/>
                <w:snapToGrid w:val="0"/>
              </w:rPr>
            </w:pPr>
          </w:p>
        </w:tc>
      </w:tr>
    </w:tbl>
    <w:p w:rsidR="00850B27" w:rsidRPr="00DB671B" w:rsidRDefault="00850B27" w:rsidP="00DB671B">
      <w:pPr>
        <w:keepNext/>
        <w:rPr>
          <w:rFonts w:eastAsia="Arial" w:cs="Arial"/>
          <w:u w:val="single"/>
        </w:rPr>
      </w:pPr>
    </w:p>
    <w:p w:rsidR="00850B27" w:rsidRPr="00DB671B" w:rsidRDefault="00850B27" w:rsidP="00DB671B">
      <w:pPr>
        <w:ind w:firstLine="567"/>
        <w:rPr>
          <w:rFonts w:cs="Arial"/>
          <w:snapToGrid w:val="0"/>
        </w:rPr>
      </w:pPr>
      <w:r w:rsidRPr="00DB671B">
        <w:rPr>
          <w:rFonts w:cs="Arial"/>
          <w:snapToGrid w:val="0"/>
        </w:rPr>
        <w:t>À sa réunion tenue à Genève en octobre 2019, le TC-EDC a examiné le document TG/29/8(proj.4) et a formulé les recommandations présentées dans le tableau ci-dessous :</w:t>
      </w:r>
    </w:p>
    <w:p w:rsidR="00850B27" w:rsidRPr="00DB671B" w:rsidRDefault="00850B27" w:rsidP="00DB671B">
      <w:pPr>
        <w:keepNext/>
        <w:rPr>
          <w:rFonts w:eastAsia="Arial" w:cs="Arial"/>
          <w:u w:val="single"/>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208"/>
      </w:tblGrid>
      <w:tr w:rsidR="00DB671B" w:rsidRPr="00DB671B" w:rsidTr="00DB671B">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rsidR="00850B27" w:rsidRPr="00DB671B" w:rsidRDefault="00850B27" w:rsidP="00DB671B">
            <w:pPr>
              <w:rPr>
                <w:rFonts w:cs="Arial"/>
              </w:rPr>
            </w:pPr>
            <w:r w:rsidRPr="00DB671B">
              <w:rPr>
                <w:rFonts w:cs="Arial"/>
              </w:rPr>
              <w:t>Car. 8</w:t>
            </w:r>
          </w:p>
        </w:tc>
        <w:tc>
          <w:tcPr>
            <w:tcW w:w="8208" w:type="dxa"/>
            <w:tcBorders>
              <w:top w:val="single" w:sz="4" w:space="0" w:color="auto"/>
              <w:left w:val="single" w:sz="4" w:space="0" w:color="auto"/>
              <w:bottom w:val="single" w:sz="4" w:space="0" w:color="auto"/>
              <w:right w:val="single" w:sz="4" w:space="0" w:color="auto"/>
            </w:tcBorders>
            <w:shd w:val="clear" w:color="auto" w:fill="auto"/>
          </w:tcPr>
          <w:p w:rsidR="00850B27" w:rsidRPr="00DB671B" w:rsidRDefault="00850B27" w:rsidP="00DB671B">
            <w:pPr>
              <w:rPr>
                <w:rFonts w:cs="Arial"/>
              </w:rPr>
            </w:pPr>
            <w:r w:rsidRPr="00DB671B">
              <w:rPr>
                <w:rFonts w:cs="Arial"/>
              </w:rPr>
              <w:t xml:space="preserve">à déplacer après le caractère 9 </w:t>
            </w:r>
          </w:p>
        </w:tc>
      </w:tr>
      <w:tr w:rsidR="00DB671B" w:rsidRPr="00DB671B" w:rsidTr="00DB671B">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rsidR="00850B27" w:rsidRPr="00DB671B" w:rsidRDefault="00850B27" w:rsidP="00DB671B">
            <w:pPr>
              <w:rPr>
                <w:rFonts w:cs="Arial"/>
              </w:rPr>
            </w:pPr>
            <w:r w:rsidRPr="00DB671B">
              <w:rPr>
                <w:rFonts w:cs="Arial"/>
              </w:rPr>
              <w:t>Car. 10</w:t>
            </w:r>
          </w:p>
        </w:tc>
        <w:tc>
          <w:tcPr>
            <w:tcW w:w="8208" w:type="dxa"/>
            <w:tcBorders>
              <w:top w:val="single" w:sz="4" w:space="0" w:color="auto"/>
              <w:left w:val="single" w:sz="4" w:space="0" w:color="auto"/>
              <w:bottom w:val="single" w:sz="4" w:space="0" w:color="auto"/>
              <w:right w:val="single" w:sz="4" w:space="0" w:color="auto"/>
            </w:tcBorders>
            <w:shd w:val="clear" w:color="auto" w:fill="auto"/>
          </w:tcPr>
          <w:p w:rsidR="00850B27" w:rsidRPr="00DB671B" w:rsidRDefault="00850B27" w:rsidP="00DB671B">
            <w:pPr>
              <w:rPr>
                <w:rFonts w:cs="Arial"/>
              </w:rPr>
            </w:pPr>
            <w:r w:rsidRPr="00DB671B">
              <w:rPr>
                <w:rFonts w:cs="Arial"/>
              </w:rPr>
              <w:t>Modifier le libellé comme suit : “Ombelle : longueur des rayons”</w:t>
            </w:r>
          </w:p>
        </w:tc>
      </w:tr>
      <w:tr w:rsidR="00DB671B" w:rsidRPr="00DB671B" w:rsidTr="00DB671B">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rsidR="00850B27" w:rsidRPr="00DB671B" w:rsidRDefault="00850B27" w:rsidP="00DB671B">
            <w:pPr>
              <w:rPr>
                <w:rFonts w:cs="Arial"/>
              </w:rPr>
            </w:pPr>
            <w:r w:rsidRPr="00DB671B">
              <w:rPr>
                <w:rFonts w:cs="Arial"/>
              </w:rPr>
              <w:t>Car. 16</w:t>
            </w:r>
          </w:p>
        </w:tc>
        <w:tc>
          <w:tcPr>
            <w:tcW w:w="8208" w:type="dxa"/>
            <w:tcBorders>
              <w:top w:val="single" w:sz="4" w:space="0" w:color="auto"/>
              <w:left w:val="single" w:sz="4" w:space="0" w:color="auto"/>
              <w:bottom w:val="single" w:sz="4" w:space="0" w:color="auto"/>
              <w:right w:val="single" w:sz="4" w:space="0" w:color="auto"/>
            </w:tcBorders>
            <w:shd w:val="clear" w:color="auto" w:fill="auto"/>
          </w:tcPr>
          <w:p w:rsidR="00850B27" w:rsidRPr="00DB671B" w:rsidRDefault="00850B27" w:rsidP="00DB671B">
            <w:pPr>
              <w:rPr>
                <w:rFonts w:cs="Arial"/>
              </w:rPr>
            </w:pPr>
            <w:r w:rsidRPr="00DB671B">
              <w:rPr>
                <w:rFonts w:cs="Arial"/>
              </w:rPr>
              <w:t>Modifier le libellé comme suit : “Fleur : rapport longueur/largeur en vue de face”</w:t>
            </w:r>
          </w:p>
        </w:tc>
      </w:tr>
      <w:tr w:rsidR="00DB671B" w:rsidRPr="00DB671B" w:rsidTr="00DB671B">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rsidR="00850B27" w:rsidRPr="00DB671B" w:rsidRDefault="00850B27" w:rsidP="00DB671B">
            <w:pPr>
              <w:rPr>
                <w:rFonts w:cs="Arial"/>
              </w:rPr>
            </w:pPr>
            <w:r w:rsidRPr="00DB671B">
              <w:rPr>
                <w:rFonts w:cs="Arial"/>
              </w:rPr>
              <w:t xml:space="preserve">Car. 17 </w:t>
            </w:r>
          </w:p>
        </w:tc>
        <w:tc>
          <w:tcPr>
            <w:tcW w:w="8208" w:type="dxa"/>
            <w:tcBorders>
              <w:top w:val="single" w:sz="4" w:space="0" w:color="auto"/>
              <w:left w:val="single" w:sz="4" w:space="0" w:color="auto"/>
              <w:bottom w:val="single" w:sz="4" w:space="0" w:color="auto"/>
              <w:right w:val="single" w:sz="4" w:space="0" w:color="auto"/>
            </w:tcBorders>
            <w:shd w:val="clear" w:color="auto" w:fill="auto"/>
          </w:tcPr>
          <w:p w:rsidR="00850B27" w:rsidRPr="00DB671B" w:rsidRDefault="00850B27" w:rsidP="00DB671B">
            <w:pPr>
              <w:rPr>
                <w:rFonts w:cs="Arial"/>
              </w:rPr>
            </w:pPr>
            <w:r w:rsidRPr="00DB671B">
              <w:rPr>
                <w:rFonts w:cs="Arial"/>
              </w:rPr>
              <w:t>Modifier le libellé comme suit : “Fleur : longueur en vue de profil”</w:t>
            </w:r>
          </w:p>
        </w:tc>
      </w:tr>
      <w:tr w:rsidR="00DB671B" w:rsidRPr="00DB671B" w:rsidTr="00DB671B">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rsidR="00850B27" w:rsidRPr="00DB671B" w:rsidRDefault="00850B27" w:rsidP="00DB671B">
            <w:pPr>
              <w:rPr>
                <w:rFonts w:cs="Arial"/>
              </w:rPr>
            </w:pPr>
            <w:r w:rsidRPr="00DB671B">
              <w:rPr>
                <w:rFonts w:cs="Arial"/>
              </w:rPr>
              <w:t>Car. 21</w:t>
            </w:r>
          </w:p>
        </w:tc>
        <w:tc>
          <w:tcPr>
            <w:tcW w:w="8208" w:type="dxa"/>
            <w:tcBorders>
              <w:top w:val="single" w:sz="4" w:space="0" w:color="auto"/>
              <w:left w:val="single" w:sz="4" w:space="0" w:color="auto"/>
              <w:bottom w:val="single" w:sz="4" w:space="0" w:color="auto"/>
              <w:right w:val="single" w:sz="4" w:space="0" w:color="auto"/>
            </w:tcBorders>
            <w:shd w:val="clear" w:color="auto" w:fill="auto"/>
          </w:tcPr>
          <w:p w:rsidR="00850B27" w:rsidRPr="00DB671B" w:rsidRDefault="00850B27" w:rsidP="00DB671B">
            <w:pPr>
              <w:rPr>
                <w:rFonts w:cs="Arial"/>
              </w:rPr>
            </w:pPr>
            <w:r w:rsidRPr="00DB671B">
              <w:rPr>
                <w:rFonts w:cs="Arial"/>
              </w:rPr>
              <w:t>- Modifier le libellé comme suit : “Tépale externe : surface verte sur la face externe”</w:t>
            </w:r>
          </w:p>
          <w:p w:rsidR="00850B27" w:rsidRPr="00DB671B" w:rsidRDefault="00850B27" w:rsidP="00DB671B">
            <w:pPr>
              <w:rPr>
                <w:rFonts w:cs="Arial"/>
              </w:rPr>
            </w:pPr>
            <w:r w:rsidRPr="00DB671B">
              <w:rPr>
                <w:rFonts w:cs="Arial"/>
              </w:rPr>
              <w:t>- ajouter le niveau 5 “très grande”</w:t>
            </w:r>
          </w:p>
        </w:tc>
      </w:tr>
      <w:tr w:rsidR="00DB671B" w:rsidRPr="00DB671B" w:rsidTr="00DB671B">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rsidR="00850B27" w:rsidRPr="00DB671B" w:rsidRDefault="00850B27" w:rsidP="00DB671B">
            <w:pPr>
              <w:rPr>
                <w:rFonts w:cs="Arial"/>
              </w:rPr>
            </w:pPr>
            <w:r w:rsidRPr="00DB671B">
              <w:rPr>
                <w:rFonts w:cs="Arial"/>
              </w:rPr>
              <w:t>Caractères 29 à 38</w:t>
            </w:r>
          </w:p>
        </w:tc>
        <w:tc>
          <w:tcPr>
            <w:tcW w:w="8208" w:type="dxa"/>
            <w:tcBorders>
              <w:top w:val="single" w:sz="4" w:space="0" w:color="auto"/>
              <w:left w:val="single" w:sz="4" w:space="0" w:color="auto"/>
              <w:bottom w:val="single" w:sz="4" w:space="0" w:color="auto"/>
              <w:right w:val="single" w:sz="4" w:space="0" w:color="auto"/>
            </w:tcBorders>
            <w:shd w:val="clear" w:color="auto" w:fill="auto"/>
          </w:tcPr>
          <w:p w:rsidR="00850B27" w:rsidRPr="00DB671B" w:rsidRDefault="00850B27" w:rsidP="00DB671B">
            <w:pPr>
              <w:rPr>
                <w:rFonts w:cs="Arial"/>
              </w:rPr>
            </w:pPr>
            <w:r w:rsidRPr="00DB671B">
              <w:rPr>
                <w:rFonts w:cs="Arial"/>
              </w:rPr>
              <w:t>supprimer “face interne” et ajouter ces informations dans une nouvelle explication au chapitre 8.1</w:t>
            </w:r>
          </w:p>
        </w:tc>
      </w:tr>
      <w:tr w:rsidR="00DB671B" w:rsidRPr="00DB671B" w:rsidTr="00DB671B">
        <w:trPr>
          <w:cantSplit/>
        </w:trPr>
        <w:tc>
          <w:tcPr>
            <w:tcW w:w="1573" w:type="dxa"/>
          </w:tcPr>
          <w:p w:rsidR="00850B27" w:rsidRPr="00DB671B" w:rsidRDefault="00850B27" w:rsidP="00DB671B">
            <w:pPr>
              <w:jc w:val="left"/>
              <w:rPr>
                <w:rFonts w:cs="Arial"/>
              </w:rPr>
            </w:pPr>
            <w:r w:rsidRPr="00DB671B">
              <w:rPr>
                <w:rFonts w:cs="Arial"/>
              </w:rPr>
              <w:t>Car. 41</w:t>
            </w:r>
          </w:p>
        </w:tc>
        <w:tc>
          <w:tcPr>
            <w:tcW w:w="8208" w:type="dxa"/>
          </w:tcPr>
          <w:p w:rsidR="00850B27" w:rsidRPr="00DB671B" w:rsidRDefault="00850B27" w:rsidP="00DB671B">
            <w:pPr>
              <w:keepNext/>
              <w:rPr>
                <w:rFonts w:cs="Arial"/>
              </w:rPr>
            </w:pPr>
            <w:r w:rsidRPr="00DB671B">
              <w:rPr>
                <w:rFonts w:cs="Arial"/>
              </w:rPr>
              <w:t>Modifier le libellé comme suit : “Filet : nombre de taches”</w:t>
            </w:r>
          </w:p>
        </w:tc>
      </w:tr>
      <w:tr w:rsidR="00DB671B" w:rsidRPr="00DB671B" w:rsidTr="00DB671B">
        <w:trPr>
          <w:cantSplit/>
        </w:trPr>
        <w:tc>
          <w:tcPr>
            <w:tcW w:w="1573" w:type="dxa"/>
          </w:tcPr>
          <w:p w:rsidR="00850B27" w:rsidRPr="00DB671B" w:rsidRDefault="00850B27" w:rsidP="00DB671B">
            <w:pPr>
              <w:jc w:val="left"/>
              <w:rPr>
                <w:rFonts w:cs="Arial"/>
              </w:rPr>
            </w:pPr>
            <w:r w:rsidRPr="00DB671B">
              <w:rPr>
                <w:rFonts w:cs="Arial"/>
              </w:rPr>
              <w:t>Car. 41</w:t>
            </w:r>
          </w:p>
        </w:tc>
        <w:tc>
          <w:tcPr>
            <w:tcW w:w="8208" w:type="dxa"/>
          </w:tcPr>
          <w:p w:rsidR="00850B27" w:rsidRPr="00DB671B" w:rsidRDefault="00850B27" w:rsidP="00DB671B">
            <w:pPr>
              <w:keepNext/>
              <w:rPr>
                <w:rFonts w:cs="Arial"/>
              </w:rPr>
            </w:pPr>
            <w:r w:rsidRPr="00DB671B">
              <w:rPr>
                <w:rFonts w:cs="Arial"/>
              </w:rPr>
              <w:t>supprimer (*)</w:t>
            </w:r>
          </w:p>
        </w:tc>
      </w:tr>
      <w:tr w:rsidR="00DB671B" w:rsidRPr="00DB671B" w:rsidTr="00DB671B">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rsidR="00850B27" w:rsidRPr="00DB671B" w:rsidRDefault="00850B27" w:rsidP="00DB671B">
            <w:pPr>
              <w:rPr>
                <w:rFonts w:cs="Arial"/>
              </w:rPr>
            </w:pPr>
            <w:r w:rsidRPr="00DB671B">
              <w:rPr>
                <w:rFonts w:cs="Arial"/>
              </w:rPr>
              <w:t>8.1 (a)</w:t>
            </w:r>
          </w:p>
        </w:tc>
        <w:tc>
          <w:tcPr>
            <w:tcW w:w="8208" w:type="dxa"/>
            <w:tcBorders>
              <w:top w:val="single" w:sz="4" w:space="0" w:color="auto"/>
              <w:left w:val="single" w:sz="4" w:space="0" w:color="auto"/>
              <w:bottom w:val="single" w:sz="4" w:space="0" w:color="auto"/>
              <w:right w:val="single" w:sz="4" w:space="0" w:color="auto"/>
            </w:tcBorders>
            <w:shd w:val="clear" w:color="auto" w:fill="auto"/>
          </w:tcPr>
          <w:p w:rsidR="00850B27" w:rsidRPr="00DB671B" w:rsidRDefault="00850B27" w:rsidP="00DB671B">
            <w:pPr>
              <w:rPr>
                <w:rFonts w:cs="Arial"/>
              </w:rPr>
            </w:pPr>
            <w:r w:rsidRPr="00DB671B">
              <w:rPr>
                <w:rFonts w:cs="Arial"/>
              </w:rPr>
              <w:t>Modifier le libellé comme suit : “Les observations doivent être effectuées sur la première tige pleinement développée lorsque 50% des fleurs sont ouvertes.”</w:t>
            </w:r>
          </w:p>
        </w:tc>
      </w:tr>
      <w:tr w:rsidR="00DB671B" w:rsidRPr="00DB671B" w:rsidTr="00DB671B">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rsidR="00850B27" w:rsidRPr="00DB671B" w:rsidRDefault="00850B27" w:rsidP="00DB671B">
            <w:pPr>
              <w:rPr>
                <w:rFonts w:cs="Arial"/>
              </w:rPr>
            </w:pPr>
            <w:r w:rsidRPr="00DB671B">
              <w:rPr>
                <w:rFonts w:cs="Arial"/>
              </w:rPr>
              <w:t>8.1 (b)</w:t>
            </w:r>
          </w:p>
        </w:tc>
        <w:tc>
          <w:tcPr>
            <w:tcW w:w="8208" w:type="dxa"/>
            <w:tcBorders>
              <w:top w:val="single" w:sz="4" w:space="0" w:color="auto"/>
              <w:left w:val="single" w:sz="4" w:space="0" w:color="auto"/>
              <w:bottom w:val="single" w:sz="4" w:space="0" w:color="auto"/>
              <w:right w:val="single" w:sz="4" w:space="0" w:color="auto"/>
            </w:tcBorders>
            <w:shd w:val="clear" w:color="auto" w:fill="auto"/>
          </w:tcPr>
          <w:p w:rsidR="00850B27" w:rsidRPr="00DB671B" w:rsidRDefault="00850B27" w:rsidP="00DB671B">
            <w:pPr>
              <w:rPr>
                <w:rFonts w:cs="Arial"/>
              </w:rPr>
            </w:pPr>
            <w:r w:rsidRPr="00DB671B">
              <w:rPr>
                <w:rFonts w:cs="Arial"/>
              </w:rPr>
              <w:t>Modifier le libellé comme suit : “Les observations doivent être effectuées sur des feuilles qui ont été prélevées sur le tiers central de la tige.”</w:t>
            </w:r>
          </w:p>
        </w:tc>
      </w:tr>
      <w:tr w:rsidR="00DB671B" w:rsidRPr="00DB671B" w:rsidTr="00DB671B">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rsidR="00850B27" w:rsidRPr="00DB671B" w:rsidRDefault="00850B27" w:rsidP="00DB671B">
            <w:pPr>
              <w:rPr>
                <w:rFonts w:cs="Arial"/>
              </w:rPr>
            </w:pPr>
            <w:r w:rsidRPr="00DB671B">
              <w:rPr>
                <w:rFonts w:cs="Arial"/>
              </w:rPr>
              <w:t>8.1 (c)</w:t>
            </w:r>
          </w:p>
        </w:tc>
        <w:tc>
          <w:tcPr>
            <w:tcW w:w="8208" w:type="dxa"/>
            <w:tcBorders>
              <w:top w:val="single" w:sz="4" w:space="0" w:color="auto"/>
              <w:left w:val="single" w:sz="4" w:space="0" w:color="auto"/>
              <w:bottom w:val="single" w:sz="4" w:space="0" w:color="auto"/>
              <w:right w:val="single" w:sz="4" w:space="0" w:color="auto"/>
            </w:tcBorders>
            <w:shd w:val="clear" w:color="auto" w:fill="auto"/>
          </w:tcPr>
          <w:p w:rsidR="00850B27" w:rsidRPr="00DB671B" w:rsidRDefault="00850B27" w:rsidP="00DB671B">
            <w:pPr>
              <w:rPr>
                <w:rFonts w:cs="Arial"/>
              </w:rPr>
            </w:pPr>
            <w:r w:rsidRPr="00DB671B">
              <w:rPr>
                <w:rFonts w:cs="Arial"/>
              </w:rPr>
              <w:t>Modifier le libellé comme suit : “Les observations doivent être effectuées lorsque la première anthère de la fleur est ouverte.”</w:t>
            </w:r>
          </w:p>
        </w:tc>
      </w:tr>
      <w:tr w:rsidR="00DB671B" w:rsidRPr="00DB671B" w:rsidTr="00DB671B">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rsidR="00850B27" w:rsidRPr="00DB671B" w:rsidRDefault="00850B27" w:rsidP="00DB671B">
            <w:pPr>
              <w:rPr>
                <w:rFonts w:cs="Arial"/>
              </w:rPr>
            </w:pPr>
            <w:r w:rsidRPr="00DB671B">
              <w:rPr>
                <w:rFonts w:cs="Arial"/>
              </w:rPr>
              <w:t>Ad. 2</w:t>
            </w:r>
          </w:p>
        </w:tc>
        <w:tc>
          <w:tcPr>
            <w:tcW w:w="8208" w:type="dxa"/>
            <w:tcBorders>
              <w:top w:val="single" w:sz="4" w:space="0" w:color="auto"/>
              <w:left w:val="single" w:sz="4" w:space="0" w:color="auto"/>
              <w:bottom w:val="single" w:sz="4" w:space="0" w:color="auto"/>
              <w:right w:val="single" w:sz="4" w:space="0" w:color="auto"/>
            </w:tcBorders>
            <w:shd w:val="clear" w:color="auto" w:fill="auto"/>
          </w:tcPr>
          <w:p w:rsidR="00850B27" w:rsidRPr="00DB671B" w:rsidRDefault="00850B27" w:rsidP="00DB671B">
            <w:pPr>
              <w:rPr>
                <w:rFonts w:cs="Arial"/>
              </w:rPr>
            </w:pPr>
            <w:r w:rsidRPr="00DB671B">
              <w:rPr>
                <w:rFonts w:cs="Arial"/>
              </w:rPr>
              <w:t>“L’épaisseur doit être déterminée au niveau du tiers moyen de la tige.”</w:t>
            </w:r>
          </w:p>
        </w:tc>
      </w:tr>
      <w:tr w:rsidR="00DB671B" w:rsidRPr="00DB671B" w:rsidTr="00DB671B">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rsidR="00850B27" w:rsidRPr="00DB671B" w:rsidRDefault="00850B27" w:rsidP="00DB671B">
            <w:pPr>
              <w:rPr>
                <w:rFonts w:cs="Arial"/>
              </w:rPr>
            </w:pPr>
            <w:r w:rsidRPr="00DB671B">
              <w:rPr>
                <w:rFonts w:cs="Arial"/>
              </w:rPr>
              <w:t>Ad. 8</w:t>
            </w:r>
          </w:p>
        </w:tc>
        <w:tc>
          <w:tcPr>
            <w:tcW w:w="8208" w:type="dxa"/>
            <w:tcBorders>
              <w:top w:val="single" w:sz="4" w:space="0" w:color="auto"/>
              <w:left w:val="single" w:sz="4" w:space="0" w:color="auto"/>
              <w:bottom w:val="single" w:sz="4" w:space="0" w:color="auto"/>
              <w:right w:val="single" w:sz="4" w:space="0" w:color="auto"/>
            </w:tcBorders>
            <w:shd w:val="clear" w:color="auto" w:fill="auto"/>
          </w:tcPr>
          <w:p w:rsidR="00850B27" w:rsidRPr="00DB671B" w:rsidRDefault="00850B27" w:rsidP="00DB671B">
            <w:pPr>
              <w:rPr>
                <w:rFonts w:cs="Arial"/>
              </w:rPr>
            </w:pPr>
            <w:r w:rsidRPr="00DB671B">
              <w:rPr>
                <w:rFonts w:cs="Arial"/>
              </w:rPr>
              <w:t>- Modifier le libellé comme suit : “L’observation doit être effectuée sur la face supérieure de la feuille.  La bande grisâtre de la nervure médiane n’est pas considérée comme une panachure.”</w:t>
            </w:r>
          </w:p>
          <w:p w:rsidR="00850B27" w:rsidRPr="00DB671B" w:rsidRDefault="00850B27" w:rsidP="00DB671B">
            <w:pPr>
              <w:rPr>
                <w:rFonts w:cs="Arial"/>
              </w:rPr>
            </w:pPr>
            <w:r w:rsidRPr="00DB671B">
              <w:rPr>
                <w:rFonts w:cs="Arial"/>
              </w:rPr>
              <w:t>- l’indication “a” dans la photo du haut doit mentionner “face supérieure”</w:t>
            </w:r>
          </w:p>
          <w:p w:rsidR="00850B27" w:rsidRPr="00DB671B" w:rsidRDefault="00850B27" w:rsidP="00DB671B">
            <w:pPr>
              <w:rPr>
                <w:rFonts w:cs="Arial"/>
              </w:rPr>
            </w:pPr>
            <w:r w:rsidRPr="00DB671B">
              <w:rPr>
                <w:rFonts w:cs="Arial"/>
              </w:rPr>
              <w:t>- supprimer la seconde photo pour le niveau 1 indiquant la bande grisâtre</w:t>
            </w:r>
          </w:p>
        </w:tc>
      </w:tr>
      <w:tr w:rsidR="00DB671B" w:rsidRPr="00DB671B" w:rsidTr="00DB671B">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rsidR="00850B27" w:rsidRPr="00DB671B" w:rsidRDefault="00850B27" w:rsidP="00DB671B">
            <w:pPr>
              <w:rPr>
                <w:rFonts w:cs="Arial"/>
              </w:rPr>
            </w:pPr>
            <w:r w:rsidRPr="00DB671B">
              <w:rPr>
                <w:rFonts w:cs="Arial"/>
              </w:rPr>
              <w:t>Ad. 9</w:t>
            </w:r>
          </w:p>
        </w:tc>
        <w:tc>
          <w:tcPr>
            <w:tcW w:w="8208" w:type="dxa"/>
            <w:tcBorders>
              <w:top w:val="single" w:sz="4" w:space="0" w:color="auto"/>
              <w:left w:val="single" w:sz="4" w:space="0" w:color="auto"/>
              <w:bottom w:val="single" w:sz="4" w:space="0" w:color="auto"/>
              <w:right w:val="single" w:sz="4" w:space="0" w:color="auto"/>
            </w:tcBorders>
            <w:shd w:val="clear" w:color="auto" w:fill="auto"/>
          </w:tcPr>
          <w:p w:rsidR="00850B27" w:rsidRPr="00DB671B" w:rsidDel="00901081" w:rsidRDefault="00850B27" w:rsidP="00DB671B">
            <w:pPr>
              <w:rPr>
                <w:rFonts w:cs="Arial"/>
              </w:rPr>
            </w:pPr>
            <w:r w:rsidRPr="00DB671B">
              <w:rPr>
                <w:rFonts w:cs="Arial"/>
              </w:rPr>
              <w:t>Remplacer la photo actuelle du niveau 9 par une photo indiquant une bande grisâtre comme dans Ad. 8</w:t>
            </w:r>
          </w:p>
        </w:tc>
      </w:tr>
      <w:tr w:rsidR="00DB671B" w:rsidRPr="00DB671B" w:rsidTr="00DB671B">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rsidR="00850B27" w:rsidRPr="00DB671B" w:rsidRDefault="00850B27" w:rsidP="00DB671B">
            <w:pPr>
              <w:rPr>
                <w:rFonts w:cs="Arial"/>
              </w:rPr>
            </w:pPr>
            <w:r w:rsidRPr="00DB671B">
              <w:rPr>
                <w:rFonts w:cs="Arial"/>
              </w:rPr>
              <w:t>Ad. 10</w:t>
            </w:r>
          </w:p>
        </w:tc>
        <w:tc>
          <w:tcPr>
            <w:tcW w:w="8208" w:type="dxa"/>
            <w:tcBorders>
              <w:top w:val="single" w:sz="4" w:space="0" w:color="auto"/>
              <w:left w:val="single" w:sz="4" w:space="0" w:color="auto"/>
              <w:bottom w:val="single" w:sz="4" w:space="0" w:color="auto"/>
              <w:right w:val="single" w:sz="4" w:space="0" w:color="auto"/>
            </w:tcBorders>
            <w:shd w:val="clear" w:color="auto" w:fill="auto"/>
          </w:tcPr>
          <w:p w:rsidR="00850B27" w:rsidRPr="00DB671B" w:rsidRDefault="00850B27" w:rsidP="00DB671B">
            <w:pPr>
              <w:rPr>
                <w:rFonts w:eastAsia="Arial" w:cs="Arial"/>
              </w:rPr>
            </w:pPr>
            <w:r w:rsidRPr="00DB671B">
              <w:rPr>
                <w:rFonts w:eastAsia="Arial" w:cs="Arial"/>
              </w:rPr>
              <w:t>ajouter “Les observations doivent être effectuées de la base du rayon à la base du bouton floral.”</w:t>
            </w:r>
          </w:p>
        </w:tc>
      </w:tr>
      <w:tr w:rsidR="00DB671B" w:rsidRPr="00DB671B" w:rsidTr="00DB671B">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rsidR="00850B27" w:rsidRPr="00DB671B" w:rsidRDefault="00850B27" w:rsidP="00DB671B">
            <w:pPr>
              <w:rPr>
                <w:rFonts w:cs="Arial"/>
              </w:rPr>
            </w:pPr>
            <w:r w:rsidRPr="00DB671B">
              <w:rPr>
                <w:rFonts w:cs="Arial"/>
              </w:rPr>
              <w:t>Ads. 14, 15</w:t>
            </w:r>
          </w:p>
        </w:tc>
        <w:tc>
          <w:tcPr>
            <w:tcW w:w="8208" w:type="dxa"/>
            <w:tcBorders>
              <w:top w:val="single" w:sz="4" w:space="0" w:color="auto"/>
              <w:left w:val="single" w:sz="4" w:space="0" w:color="auto"/>
              <w:bottom w:val="single" w:sz="4" w:space="0" w:color="auto"/>
              <w:right w:val="single" w:sz="4" w:space="0" w:color="auto"/>
            </w:tcBorders>
            <w:shd w:val="clear" w:color="auto" w:fill="auto"/>
          </w:tcPr>
          <w:p w:rsidR="00850B27" w:rsidRPr="00DB671B" w:rsidRDefault="00850B27" w:rsidP="00DB671B">
            <w:pPr>
              <w:rPr>
                <w:rFonts w:eastAsia="Arial" w:cs="Arial"/>
              </w:rPr>
            </w:pPr>
            <w:r w:rsidRPr="00DB671B">
              <w:rPr>
                <w:rFonts w:eastAsia="Arial" w:cs="Arial"/>
              </w:rPr>
              <w:t xml:space="preserve">Utiliser une seule illustration indiquant à la fois la longueur et la largeur </w:t>
            </w:r>
          </w:p>
        </w:tc>
      </w:tr>
      <w:tr w:rsidR="00DB671B" w:rsidRPr="00DB671B" w:rsidTr="00DB671B">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rsidR="00850B27" w:rsidRPr="00DB671B" w:rsidRDefault="00850B27" w:rsidP="00DB671B">
            <w:pPr>
              <w:rPr>
                <w:rFonts w:cs="Arial"/>
              </w:rPr>
            </w:pPr>
            <w:r w:rsidRPr="00DB671B">
              <w:rPr>
                <w:rFonts w:cs="Arial"/>
              </w:rPr>
              <w:t>Ad. 18</w:t>
            </w:r>
          </w:p>
        </w:tc>
        <w:tc>
          <w:tcPr>
            <w:tcW w:w="8208" w:type="dxa"/>
            <w:tcBorders>
              <w:top w:val="single" w:sz="4" w:space="0" w:color="auto"/>
              <w:left w:val="single" w:sz="4" w:space="0" w:color="auto"/>
              <w:bottom w:val="single" w:sz="4" w:space="0" w:color="auto"/>
              <w:right w:val="single" w:sz="4" w:space="0" w:color="auto"/>
            </w:tcBorders>
            <w:shd w:val="clear" w:color="auto" w:fill="auto"/>
          </w:tcPr>
          <w:p w:rsidR="00850B27" w:rsidRPr="00DB671B" w:rsidRDefault="00850B27" w:rsidP="00DB671B">
            <w:pPr>
              <w:rPr>
                <w:rFonts w:eastAsia="Arial" w:cs="Arial"/>
              </w:rPr>
            </w:pPr>
            <w:r w:rsidRPr="00DB671B">
              <w:rPr>
                <w:rFonts w:eastAsia="Arial" w:cs="Arial"/>
              </w:rPr>
              <w:t>Inverser les illustrations des niveaux 2 et 4</w:t>
            </w:r>
          </w:p>
        </w:tc>
      </w:tr>
      <w:tr w:rsidR="00DB671B" w:rsidRPr="00DB671B" w:rsidTr="00DB671B">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rsidR="00850B27" w:rsidRPr="00DB671B" w:rsidRDefault="00850B27" w:rsidP="00DB671B">
            <w:pPr>
              <w:rPr>
                <w:rFonts w:cs="Arial"/>
              </w:rPr>
            </w:pPr>
            <w:r w:rsidRPr="00DB671B">
              <w:rPr>
                <w:rFonts w:cs="Arial"/>
              </w:rPr>
              <w:t>Ad. 34</w:t>
            </w:r>
          </w:p>
        </w:tc>
        <w:tc>
          <w:tcPr>
            <w:tcW w:w="8208" w:type="dxa"/>
            <w:tcBorders>
              <w:top w:val="single" w:sz="4" w:space="0" w:color="auto"/>
              <w:left w:val="single" w:sz="4" w:space="0" w:color="auto"/>
              <w:bottom w:val="single" w:sz="4" w:space="0" w:color="auto"/>
              <w:right w:val="single" w:sz="4" w:space="0" w:color="auto"/>
            </w:tcBorders>
            <w:shd w:val="clear" w:color="auto" w:fill="auto"/>
          </w:tcPr>
          <w:p w:rsidR="00850B27" w:rsidRPr="00DB671B" w:rsidRDefault="00850B27" w:rsidP="00DB671B">
            <w:pPr>
              <w:rPr>
                <w:rFonts w:eastAsia="Arial" w:cs="Arial"/>
              </w:rPr>
            </w:pPr>
            <w:r w:rsidRPr="00DB671B">
              <w:rPr>
                <w:rFonts w:eastAsia="Arial" w:cs="Arial"/>
              </w:rPr>
              <w:t>Modifier le libellé comme suit : “Les observations doivent être effectuées sur les stries les plus longues, à l’exclusion de la strie sur la veine centrale.”</w:t>
            </w:r>
          </w:p>
        </w:tc>
      </w:tr>
      <w:tr w:rsidR="00DB671B" w:rsidRPr="00DB671B" w:rsidTr="00DB671B">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rsidR="00850B27" w:rsidRPr="00DB671B" w:rsidRDefault="00850B27" w:rsidP="00DB671B">
            <w:pPr>
              <w:rPr>
                <w:rFonts w:cs="Arial"/>
              </w:rPr>
            </w:pPr>
            <w:r w:rsidRPr="00DB671B">
              <w:rPr>
                <w:rFonts w:cs="Arial"/>
              </w:rPr>
              <w:t>Ad. 35</w:t>
            </w:r>
          </w:p>
        </w:tc>
        <w:tc>
          <w:tcPr>
            <w:tcW w:w="8208" w:type="dxa"/>
            <w:tcBorders>
              <w:top w:val="single" w:sz="4" w:space="0" w:color="auto"/>
              <w:left w:val="single" w:sz="4" w:space="0" w:color="auto"/>
              <w:bottom w:val="single" w:sz="4" w:space="0" w:color="auto"/>
              <w:right w:val="single" w:sz="4" w:space="0" w:color="auto"/>
            </w:tcBorders>
            <w:shd w:val="clear" w:color="auto" w:fill="auto"/>
          </w:tcPr>
          <w:p w:rsidR="00850B27" w:rsidRPr="00DB671B" w:rsidRDefault="00850B27" w:rsidP="00DB671B">
            <w:pPr>
              <w:rPr>
                <w:rFonts w:eastAsia="Arial" w:cs="Arial"/>
              </w:rPr>
            </w:pPr>
            <w:r w:rsidRPr="00DB671B">
              <w:rPr>
                <w:rFonts w:eastAsia="Arial" w:cs="Arial"/>
              </w:rPr>
              <w:t xml:space="preserve">- </w:t>
            </w:r>
            <w:r w:rsidRPr="00DB671B">
              <w:rPr>
                <w:rFonts w:cs="Arial"/>
              </w:rPr>
              <w:t xml:space="preserve">Modifier le libellé comme suit : </w:t>
            </w:r>
            <w:r w:rsidRPr="00DB671B">
              <w:rPr>
                <w:rFonts w:eastAsia="Arial" w:cs="Arial"/>
              </w:rPr>
              <w:t>“Les observations doivent être effectuées sur les stries les plus larges, à l’exclusion de la strie sur la veine centrale.”</w:t>
            </w:r>
          </w:p>
          <w:p w:rsidR="00850B27" w:rsidRPr="00DB671B" w:rsidRDefault="00850B27" w:rsidP="00DB671B">
            <w:pPr>
              <w:rPr>
                <w:rFonts w:eastAsia="Arial" w:cs="Arial"/>
              </w:rPr>
            </w:pPr>
            <w:r w:rsidRPr="00DB671B">
              <w:rPr>
                <w:rFonts w:eastAsia="Arial" w:cs="Arial"/>
              </w:rPr>
              <w:t>- les tépales des photos doivent tous être de la même taille</w:t>
            </w:r>
          </w:p>
        </w:tc>
      </w:tr>
      <w:tr w:rsidR="00DB671B" w:rsidRPr="00DB671B" w:rsidTr="00DB671B">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rsidR="00850B27" w:rsidRPr="00DB671B" w:rsidRDefault="00850B27" w:rsidP="00DB671B">
            <w:pPr>
              <w:rPr>
                <w:rFonts w:cs="Arial"/>
              </w:rPr>
            </w:pPr>
            <w:r w:rsidRPr="00DB671B">
              <w:rPr>
                <w:rFonts w:cs="Arial"/>
              </w:rPr>
              <w:t>Ad. 41</w:t>
            </w:r>
          </w:p>
        </w:tc>
        <w:tc>
          <w:tcPr>
            <w:tcW w:w="8208" w:type="dxa"/>
            <w:tcBorders>
              <w:top w:val="single" w:sz="4" w:space="0" w:color="auto"/>
              <w:left w:val="single" w:sz="4" w:space="0" w:color="auto"/>
              <w:bottom w:val="single" w:sz="4" w:space="0" w:color="auto"/>
              <w:right w:val="single" w:sz="4" w:space="0" w:color="auto"/>
            </w:tcBorders>
            <w:shd w:val="clear" w:color="auto" w:fill="auto"/>
          </w:tcPr>
          <w:p w:rsidR="00850B27" w:rsidRPr="00DB671B" w:rsidRDefault="00850B27" w:rsidP="00DB671B">
            <w:pPr>
              <w:rPr>
                <w:rFonts w:eastAsia="Arial" w:cs="Arial"/>
              </w:rPr>
            </w:pPr>
            <w:r w:rsidRPr="00DB671B">
              <w:rPr>
                <w:rFonts w:eastAsia="Arial" w:cs="Arial"/>
              </w:rPr>
              <w:t>Déplacer l’illustration actuelle du niveau 4 au niveau 5 et supprimer les colonnes vides pour les états 2 et 4</w:t>
            </w:r>
          </w:p>
        </w:tc>
      </w:tr>
      <w:tr w:rsidR="00DB671B" w:rsidRPr="00DB671B" w:rsidTr="00DB671B">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rsidR="00850B27" w:rsidRPr="00DB671B" w:rsidRDefault="00850B27" w:rsidP="00DB671B">
            <w:pPr>
              <w:rPr>
                <w:rFonts w:cs="Arial"/>
              </w:rPr>
            </w:pPr>
            <w:r w:rsidRPr="00DB671B">
              <w:rPr>
                <w:rFonts w:cs="Arial"/>
              </w:rPr>
              <w:t>Ad. 42</w:t>
            </w:r>
          </w:p>
        </w:tc>
        <w:tc>
          <w:tcPr>
            <w:tcW w:w="8208" w:type="dxa"/>
            <w:tcBorders>
              <w:top w:val="single" w:sz="4" w:space="0" w:color="auto"/>
              <w:left w:val="single" w:sz="4" w:space="0" w:color="auto"/>
              <w:bottom w:val="single" w:sz="4" w:space="0" w:color="auto"/>
              <w:right w:val="single" w:sz="4" w:space="0" w:color="auto"/>
            </w:tcBorders>
            <w:shd w:val="clear" w:color="auto" w:fill="auto"/>
          </w:tcPr>
          <w:p w:rsidR="00850B27" w:rsidRPr="00DB671B" w:rsidRDefault="00850B27" w:rsidP="00DB671B">
            <w:pPr>
              <w:rPr>
                <w:rFonts w:eastAsia="Arial" w:cs="Arial"/>
              </w:rPr>
            </w:pPr>
            <w:r w:rsidRPr="00DB671B">
              <w:rPr>
                <w:rFonts w:eastAsia="Arial" w:cs="Arial"/>
              </w:rPr>
              <w:t>Supprimer la photo du niveau 1, supprimer l’indication des niveaux 1 et 9 et ajouter une indication pour les taches sur la photo du niveau 9</w:t>
            </w:r>
          </w:p>
        </w:tc>
      </w:tr>
    </w:tbl>
    <w:p w:rsidR="00850B27" w:rsidRPr="00DB671B" w:rsidRDefault="00850B27" w:rsidP="00DB671B">
      <w:pPr>
        <w:rPr>
          <w:rFonts w:eastAsia="Arial" w:cs="Arial"/>
          <w:u w:val="single"/>
        </w:rPr>
      </w:pPr>
    </w:p>
    <w:p w:rsidR="00850B27" w:rsidRPr="00DB671B" w:rsidRDefault="00850B27" w:rsidP="00DB671B">
      <w:pPr>
        <w:rPr>
          <w:rFonts w:eastAsia="Arial" w:cs="Arial"/>
          <w:u w:val="single"/>
        </w:rPr>
      </w:pPr>
    </w:p>
    <w:tbl>
      <w:tblPr>
        <w:tblW w:w="99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894"/>
        <w:gridCol w:w="2552"/>
        <w:gridCol w:w="2807"/>
        <w:gridCol w:w="736"/>
        <w:gridCol w:w="993"/>
      </w:tblGrid>
      <w:tr w:rsidR="00DB671B" w:rsidRPr="00DB671B" w:rsidTr="00DB671B">
        <w:trPr>
          <w:cantSplit/>
          <w:trHeight w:val="277"/>
          <w:jc w:val="center"/>
        </w:trPr>
        <w:tc>
          <w:tcPr>
            <w:tcW w:w="2894" w:type="dxa"/>
            <w:vMerge w:val="restart"/>
            <w:shd w:val="clear" w:color="auto" w:fill="D9D9D9"/>
            <w:vAlign w:val="center"/>
          </w:tcPr>
          <w:p w:rsidR="00850B27" w:rsidRPr="00DB671B" w:rsidRDefault="00850B27" w:rsidP="00DB671B">
            <w:pPr>
              <w:pStyle w:val="TitleofDoc"/>
              <w:keepNext/>
              <w:tabs>
                <w:tab w:val="left" w:pos="5245"/>
                <w:tab w:val="left" w:pos="7008"/>
              </w:tabs>
              <w:spacing w:before="0"/>
              <w:jc w:val="left"/>
              <w:rPr>
                <w:rFonts w:cs="Arial"/>
                <w:caps w:val="0"/>
              </w:rPr>
            </w:pPr>
            <w:r w:rsidRPr="00DB671B">
              <w:rPr>
                <w:rFonts w:cs="Arial"/>
                <w:caps w:val="0"/>
              </w:rPr>
              <w:t xml:space="preserve">Poirée, Bette à cardes </w:t>
            </w:r>
            <w:r w:rsidRPr="00DB671B">
              <w:rPr>
                <w:rFonts w:cs="Arial"/>
                <w:caps w:val="0"/>
              </w:rPr>
              <w:br/>
              <w:t>(</w:t>
            </w:r>
            <w:r w:rsidRPr="00DB671B">
              <w:rPr>
                <w:rFonts w:cs="Arial"/>
                <w:i/>
                <w:caps w:val="0"/>
              </w:rPr>
              <w:t>Beta vulgaris</w:t>
            </w:r>
            <w:r w:rsidRPr="00DB671B">
              <w:rPr>
                <w:rFonts w:cs="Arial"/>
                <w:caps w:val="0"/>
              </w:rPr>
              <w:t xml:space="preserve"> L. ssp. </w:t>
            </w:r>
            <w:r w:rsidRPr="00DB671B">
              <w:rPr>
                <w:rFonts w:cs="Arial"/>
                <w:i/>
                <w:caps w:val="0"/>
              </w:rPr>
              <w:t>vulgaris</w:t>
            </w:r>
            <w:r w:rsidRPr="00DB671B">
              <w:rPr>
                <w:rFonts w:cs="Arial"/>
                <w:caps w:val="0"/>
              </w:rPr>
              <w:t xml:space="preserve"> var. </w:t>
            </w:r>
            <w:r w:rsidRPr="00DB671B">
              <w:rPr>
                <w:rFonts w:cs="Arial"/>
                <w:i/>
                <w:caps w:val="0"/>
              </w:rPr>
              <w:t>flavescens</w:t>
            </w:r>
            <w:r w:rsidRPr="00DB671B">
              <w:rPr>
                <w:rFonts w:cs="Arial"/>
                <w:caps w:val="0"/>
              </w:rPr>
              <w:t> DC.)</w:t>
            </w:r>
          </w:p>
        </w:tc>
        <w:tc>
          <w:tcPr>
            <w:tcW w:w="2552" w:type="dxa"/>
            <w:shd w:val="clear" w:color="auto" w:fill="D9D9D9"/>
            <w:vAlign w:val="center"/>
          </w:tcPr>
          <w:p w:rsidR="00850B27" w:rsidRPr="00DB671B" w:rsidRDefault="00850B27" w:rsidP="00DB671B">
            <w:pPr>
              <w:pStyle w:val="TitleofDoc"/>
              <w:keepNext/>
              <w:tabs>
                <w:tab w:val="left" w:pos="5245"/>
                <w:tab w:val="left" w:pos="7008"/>
              </w:tabs>
              <w:spacing w:before="0"/>
              <w:jc w:val="left"/>
              <w:rPr>
                <w:rFonts w:cs="Arial"/>
                <w:caps w:val="0"/>
              </w:rPr>
            </w:pPr>
            <w:r w:rsidRPr="00DB671B">
              <w:rPr>
                <w:rFonts w:cs="Arial"/>
                <w:caps w:val="0"/>
              </w:rPr>
              <w:t>TG/106/5(proj.4)</w:t>
            </w:r>
          </w:p>
        </w:tc>
        <w:tc>
          <w:tcPr>
            <w:tcW w:w="2807" w:type="dxa"/>
            <w:shd w:val="clear" w:color="auto" w:fill="D9D9D9"/>
            <w:vAlign w:val="center"/>
          </w:tcPr>
          <w:p w:rsidR="00850B27" w:rsidRPr="00DB671B" w:rsidRDefault="00850B27" w:rsidP="00DB671B">
            <w:pPr>
              <w:keepNext/>
              <w:jc w:val="left"/>
              <w:rPr>
                <w:rFonts w:cs="Arial"/>
                <w:iCs/>
                <w:snapToGrid w:val="0"/>
              </w:rPr>
            </w:pPr>
            <w:r w:rsidRPr="00DB671B">
              <w:rPr>
                <w:rFonts w:cs="Arial"/>
              </w:rPr>
              <w:t>Mme Chrystelle Jouy (FR)</w:t>
            </w:r>
          </w:p>
        </w:tc>
        <w:tc>
          <w:tcPr>
            <w:tcW w:w="736" w:type="dxa"/>
            <w:vMerge w:val="restart"/>
            <w:shd w:val="clear" w:color="auto" w:fill="D9D9D9"/>
            <w:vAlign w:val="center"/>
          </w:tcPr>
          <w:p w:rsidR="00850B27" w:rsidRPr="00DB671B" w:rsidRDefault="00850B27" w:rsidP="00DB671B">
            <w:pPr>
              <w:keepNext/>
              <w:jc w:val="left"/>
              <w:rPr>
                <w:rFonts w:cs="Arial"/>
                <w:iCs/>
              </w:rPr>
            </w:pPr>
            <w:r w:rsidRPr="00DB671B">
              <w:rPr>
                <w:rFonts w:cs="Arial"/>
                <w:iCs/>
              </w:rPr>
              <w:t>TWV</w:t>
            </w:r>
          </w:p>
        </w:tc>
        <w:tc>
          <w:tcPr>
            <w:tcW w:w="993" w:type="dxa"/>
            <w:vMerge w:val="restart"/>
            <w:shd w:val="clear" w:color="auto" w:fill="D9D9D9"/>
            <w:vAlign w:val="center"/>
          </w:tcPr>
          <w:p w:rsidR="00850B27" w:rsidRPr="00DB671B" w:rsidRDefault="00850B27" w:rsidP="00DB671B">
            <w:pPr>
              <w:pStyle w:val="BodyText"/>
              <w:keepNext/>
              <w:jc w:val="left"/>
              <w:rPr>
                <w:rFonts w:cs="Arial"/>
                <w:iCs/>
                <w:snapToGrid w:val="0"/>
              </w:rPr>
            </w:pPr>
            <w:r w:rsidRPr="00DB671B">
              <w:rPr>
                <w:rFonts w:cs="Arial"/>
                <w:iCs/>
                <w:snapToGrid w:val="0"/>
              </w:rPr>
              <w:t>*</w:t>
            </w:r>
          </w:p>
        </w:tc>
      </w:tr>
      <w:tr w:rsidR="00DB671B" w:rsidRPr="00DB671B" w:rsidTr="00DB671B">
        <w:trPr>
          <w:cantSplit/>
          <w:trHeight w:hRule="exact" w:val="791"/>
          <w:jc w:val="center"/>
        </w:trPr>
        <w:tc>
          <w:tcPr>
            <w:tcW w:w="2894" w:type="dxa"/>
            <w:vMerge/>
            <w:shd w:val="clear" w:color="auto" w:fill="D9D9D9"/>
            <w:vAlign w:val="center"/>
          </w:tcPr>
          <w:p w:rsidR="00850B27" w:rsidRPr="00DB671B" w:rsidRDefault="00850B27" w:rsidP="00DB671B">
            <w:pPr>
              <w:pStyle w:val="TitleofDoc"/>
              <w:keepNext/>
              <w:tabs>
                <w:tab w:val="left" w:pos="5245"/>
                <w:tab w:val="left" w:pos="7008"/>
              </w:tabs>
              <w:spacing w:before="0"/>
              <w:jc w:val="left"/>
              <w:rPr>
                <w:rFonts w:cs="Arial"/>
                <w:caps w:val="0"/>
              </w:rPr>
            </w:pPr>
          </w:p>
        </w:tc>
        <w:tc>
          <w:tcPr>
            <w:tcW w:w="2552" w:type="dxa"/>
            <w:shd w:val="clear" w:color="auto" w:fill="D9D9D9"/>
            <w:vAlign w:val="center"/>
          </w:tcPr>
          <w:p w:rsidR="00850B27" w:rsidRPr="00DB671B" w:rsidRDefault="00850B27" w:rsidP="00DB671B">
            <w:pPr>
              <w:pStyle w:val="BodyText"/>
              <w:keepNext/>
              <w:jc w:val="left"/>
              <w:rPr>
                <w:rFonts w:cs="Arial"/>
              </w:rPr>
            </w:pPr>
            <w:r w:rsidRPr="00DB671B">
              <w:rPr>
                <w:rFonts w:cs="Arial"/>
              </w:rPr>
              <w:t>Nombre de car. : 18 Nombre de car. (*) : 11</w:t>
            </w:r>
          </w:p>
        </w:tc>
        <w:tc>
          <w:tcPr>
            <w:tcW w:w="2807" w:type="dxa"/>
            <w:shd w:val="clear" w:color="auto" w:fill="D9D9D9"/>
            <w:vAlign w:val="center"/>
          </w:tcPr>
          <w:p w:rsidR="00850B27" w:rsidRPr="00DB671B" w:rsidRDefault="00850B27" w:rsidP="00DB671B">
            <w:pPr>
              <w:keepNext/>
              <w:jc w:val="left"/>
              <w:rPr>
                <w:rFonts w:cs="Arial"/>
                <w:iCs/>
                <w:snapToGrid w:val="0"/>
              </w:rPr>
            </w:pPr>
            <w:r w:rsidRPr="00DB671B">
              <w:rPr>
                <w:rFonts w:cs="Arial"/>
                <w:iCs/>
                <w:snapToGrid w:val="0"/>
              </w:rPr>
              <w:t xml:space="preserve">(Experts intéressés : </w:t>
            </w:r>
            <w:r w:rsidRPr="00DB671B">
              <w:rPr>
                <w:rFonts w:cs="Arial"/>
              </w:rPr>
              <w:t>CZ, DE, ES, GB, JP, KR, NL, QZ, CLI, ESA, ISF</w:t>
            </w:r>
            <w:r w:rsidRPr="00DB671B">
              <w:rPr>
                <w:rFonts w:eastAsia="SimSun" w:cs="Arial"/>
                <w:lang w:eastAsia="zh-CN"/>
              </w:rPr>
              <w:t>)</w:t>
            </w:r>
          </w:p>
        </w:tc>
        <w:tc>
          <w:tcPr>
            <w:tcW w:w="736" w:type="dxa"/>
            <w:vMerge/>
            <w:shd w:val="clear" w:color="auto" w:fill="D9D9D9"/>
            <w:vAlign w:val="center"/>
          </w:tcPr>
          <w:p w:rsidR="00850B27" w:rsidRPr="00DB671B" w:rsidRDefault="00850B27" w:rsidP="00DB671B">
            <w:pPr>
              <w:keepNext/>
              <w:jc w:val="left"/>
              <w:rPr>
                <w:rFonts w:cs="Arial"/>
                <w:iCs/>
              </w:rPr>
            </w:pPr>
          </w:p>
        </w:tc>
        <w:tc>
          <w:tcPr>
            <w:tcW w:w="993" w:type="dxa"/>
            <w:vMerge/>
            <w:shd w:val="clear" w:color="auto" w:fill="D9D9D9"/>
            <w:vAlign w:val="center"/>
          </w:tcPr>
          <w:p w:rsidR="00850B27" w:rsidRPr="00DB671B" w:rsidRDefault="00850B27" w:rsidP="00DB671B">
            <w:pPr>
              <w:pStyle w:val="BodyText"/>
              <w:keepNext/>
              <w:jc w:val="left"/>
              <w:rPr>
                <w:rFonts w:cs="Arial"/>
                <w:iCs/>
                <w:snapToGrid w:val="0"/>
              </w:rPr>
            </w:pPr>
          </w:p>
        </w:tc>
      </w:tr>
    </w:tbl>
    <w:p w:rsidR="00850B27" w:rsidRPr="00DB671B" w:rsidRDefault="00850B27" w:rsidP="00DB671B">
      <w:pPr>
        <w:keepNext/>
        <w:rPr>
          <w:rFonts w:eastAsia="Arial" w:cs="Arial"/>
          <w:u w:val="single"/>
        </w:rPr>
      </w:pPr>
    </w:p>
    <w:p w:rsidR="00850B27" w:rsidRPr="00DB671B" w:rsidRDefault="00850B27" w:rsidP="00DB671B">
      <w:pPr>
        <w:ind w:firstLine="567"/>
        <w:rPr>
          <w:rFonts w:cs="Arial"/>
          <w:snapToGrid w:val="0"/>
        </w:rPr>
      </w:pPr>
      <w:r w:rsidRPr="00DB671B">
        <w:rPr>
          <w:rFonts w:cs="Arial"/>
          <w:snapToGrid w:val="0"/>
        </w:rPr>
        <w:t>À sa réunion tenue à Genève en octobre 2019, le TC-EDC a examiné le document TG/106/5(proj.4) et a formulé les recommandations présentées dans le tableau ci-dessous :</w:t>
      </w:r>
    </w:p>
    <w:p w:rsidR="00850B27" w:rsidRPr="00DB671B" w:rsidRDefault="00850B27" w:rsidP="00DB671B">
      <w:pPr>
        <w:keepNext/>
        <w:rPr>
          <w:rFonts w:eastAsia="Arial" w:cs="Arial"/>
          <w:u w:val="single"/>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208"/>
      </w:tblGrid>
      <w:tr w:rsidR="00DB671B" w:rsidRPr="00DB671B" w:rsidTr="00DB671B">
        <w:trPr>
          <w:cantSplit/>
        </w:trPr>
        <w:tc>
          <w:tcPr>
            <w:tcW w:w="1573" w:type="dxa"/>
          </w:tcPr>
          <w:p w:rsidR="00850B27" w:rsidRPr="00DB671B" w:rsidRDefault="00850B27" w:rsidP="00DB671B">
            <w:pPr>
              <w:keepNext/>
              <w:jc w:val="left"/>
              <w:rPr>
                <w:rFonts w:cs="Arial"/>
              </w:rPr>
            </w:pPr>
            <w:r w:rsidRPr="00DB671B">
              <w:rPr>
                <w:rFonts w:cs="Arial"/>
              </w:rPr>
              <w:t>Page de couverture</w:t>
            </w:r>
          </w:p>
        </w:tc>
        <w:tc>
          <w:tcPr>
            <w:tcW w:w="8208" w:type="dxa"/>
          </w:tcPr>
          <w:p w:rsidR="00850B27" w:rsidRPr="00DB671B" w:rsidRDefault="00850B27" w:rsidP="00DB671B">
            <w:pPr>
              <w:keepNext/>
              <w:rPr>
                <w:rFonts w:cs="Arial"/>
              </w:rPr>
            </w:pPr>
            <w:r w:rsidRPr="00DB671B">
              <w:rPr>
                <w:rFonts w:cs="Arial"/>
              </w:rPr>
              <w:t>“Autres documents connexes”, modifier le libellé comme suit : “TG/60 Betterave rouge”</w:t>
            </w:r>
          </w:p>
        </w:tc>
      </w:tr>
      <w:tr w:rsidR="00DB671B" w:rsidRPr="00DB671B" w:rsidTr="00DB671B">
        <w:trPr>
          <w:cantSplit/>
        </w:trPr>
        <w:tc>
          <w:tcPr>
            <w:tcW w:w="1573" w:type="dxa"/>
          </w:tcPr>
          <w:p w:rsidR="00850B27" w:rsidRPr="00DB671B" w:rsidRDefault="00850B27" w:rsidP="00DB671B">
            <w:pPr>
              <w:keepNext/>
              <w:jc w:val="left"/>
              <w:rPr>
                <w:rFonts w:cs="Arial"/>
              </w:rPr>
            </w:pPr>
            <w:r w:rsidRPr="00DB671B">
              <w:rPr>
                <w:rFonts w:cs="Arial"/>
              </w:rPr>
              <w:t>2.2</w:t>
            </w:r>
          </w:p>
        </w:tc>
        <w:tc>
          <w:tcPr>
            <w:tcW w:w="8208" w:type="dxa"/>
          </w:tcPr>
          <w:p w:rsidR="00850B27" w:rsidRPr="00DB671B" w:rsidRDefault="00850B27" w:rsidP="00DB671B">
            <w:pPr>
              <w:keepNext/>
              <w:rPr>
                <w:rFonts w:cs="Arial"/>
              </w:rPr>
            </w:pPr>
            <w:r w:rsidRPr="00DB671B">
              <w:rPr>
                <w:rFonts w:eastAsia="Arial" w:cs="Arial"/>
              </w:rPr>
              <w:t>Modifier le libellé comme suit : “…sous forme de semences ou de glomérules de semences”</w:t>
            </w:r>
          </w:p>
        </w:tc>
      </w:tr>
      <w:tr w:rsidR="00DB671B" w:rsidRPr="00DB671B" w:rsidTr="00DB671B">
        <w:trPr>
          <w:cantSplit/>
        </w:trPr>
        <w:tc>
          <w:tcPr>
            <w:tcW w:w="1573" w:type="dxa"/>
          </w:tcPr>
          <w:p w:rsidR="00850B27" w:rsidRPr="00DB671B" w:rsidRDefault="00850B27" w:rsidP="00DB671B">
            <w:pPr>
              <w:jc w:val="left"/>
              <w:rPr>
                <w:rFonts w:cs="Arial"/>
              </w:rPr>
            </w:pPr>
            <w:r w:rsidRPr="00DB671B">
              <w:rPr>
                <w:rFonts w:cs="Arial"/>
              </w:rPr>
              <w:t>2.3</w:t>
            </w:r>
          </w:p>
        </w:tc>
        <w:tc>
          <w:tcPr>
            <w:tcW w:w="8208" w:type="dxa"/>
          </w:tcPr>
          <w:p w:rsidR="00850B27" w:rsidRPr="00DB671B" w:rsidRDefault="00850B27" w:rsidP="00DB671B">
            <w:pPr>
              <w:keepNext/>
              <w:rPr>
                <w:rFonts w:cs="Arial"/>
              </w:rPr>
            </w:pPr>
            <w:r w:rsidRPr="00DB671B">
              <w:rPr>
                <w:rFonts w:eastAsia="Arial" w:cs="Arial"/>
              </w:rPr>
              <w:t>Modifier le libellé comme suit : 100g de semences ou 6000 glomérules de semences</w:t>
            </w:r>
          </w:p>
        </w:tc>
      </w:tr>
      <w:tr w:rsidR="00DB671B" w:rsidRPr="00DB671B" w:rsidTr="00DB671B">
        <w:trPr>
          <w:cantSplit/>
        </w:trPr>
        <w:tc>
          <w:tcPr>
            <w:tcW w:w="1573" w:type="dxa"/>
          </w:tcPr>
          <w:p w:rsidR="00850B27" w:rsidRPr="00DB671B" w:rsidRDefault="00850B27" w:rsidP="00DB671B">
            <w:pPr>
              <w:keepNext/>
              <w:rPr>
                <w:rFonts w:eastAsia="Arial" w:cs="Arial"/>
              </w:rPr>
            </w:pPr>
            <w:r w:rsidRPr="00DB671B">
              <w:rPr>
                <w:rFonts w:eastAsia="Arial" w:cs="Arial"/>
              </w:rPr>
              <w:t>4.2.4</w:t>
            </w:r>
          </w:p>
        </w:tc>
        <w:tc>
          <w:tcPr>
            <w:tcW w:w="8208" w:type="dxa"/>
          </w:tcPr>
          <w:p w:rsidR="00850B27" w:rsidRPr="00DB671B" w:rsidRDefault="00850B27" w:rsidP="00DB671B">
            <w:pPr>
              <w:keepNext/>
              <w:rPr>
                <w:rFonts w:eastAsia="Arial" w:cs="Arial"/>
              </w:rPr>
            </w:pPr>
            <w:r w:rsidRPr="00DB671B">
              <w:rPr>
                <w:rFonts w:eastAsia="Arial" w:cs="Arial"/>
              </w:rPr>
              <w:t>à supprimer</w:t>
            </w:r>
          </w:p>
        </w:tc>
      </w:tr>
      <w:tr w:rsidR="00DB671B" w:rsidRPr="00DB671B" w:rsidTr="00DB671B">
        <w:trPr>
          <w:cantSplit/>
        </w:trPr>
        <w:tc>
          <w:tcPr>
            <w:tcW w:w="1573" w:type="dxa"/>
          </w:tcPr>
          <w:p w:rsidR="00850B27" w:rsidRPr="00DB671B" w:rsidRDefault="00850B27" w:rsidP="00DB671B">
            <w:pPr>
              <w:jc w:val="left"/>
              <w:rPr>
                <w:rFonts w:cs="Arial"/>
              </w:rPr>
            </w:pPr>
            <w:r w:rsidRPr="00DB671B">
              <w:rPr>
                <w:rFonts w:cs="Arial"/>
              </w:rPr>
              <w:t>Car. 8</w:t>
            </w:r>
          </w:p>
        </w:tc>
        <w:tc>
          <w:tcPr>
            <w:tcW w:w="8208" w:type="dxa"/>
          </w:tcPr>
          <w:p w:rsidR="00850B27" w:rsidRPr="00DB671B" w:rsidRDefault="00850B27" w:rsidP="00DB671B">
            <w:pPr>
              <w:keepNext/>
              <w:rPr>
                <w:rFonts w:cs="Arial"/>
              </w:rPr>
            </w:pPr>
            <w:r w:rsidRPr="00DB671B">
              <w:rPr>
                <w:rFonts w:eastAsia="Arial" w:cs="Arial"/>
              </w:rPr>
              <w:t>Modifier le libellé comme suit :</w:t>
            </w:r>
            <w:r w:rsidRPr="00DB671B">
              <w:rPr>
                <w:rFonts w:cs="Arial"/>
              </w:rPr>
              <w:t xml:space="preserve"> “</w:t>
            </w:r>
            <w:r w:rsidRPr="00DB671B">
              <w:rPr>
                <w:rFonts w:cs="Arial"/>
                <w:u w:val="single"/>
              </w:rPr>
              <w:t>Seules les variétés présentant un limbe : couleur : vert </w:t>
            </w:r>
            <w:r w:rsidRPr="00DB671B">
              <w:rPr>
                <w:rFonts w:cs="Arial"/>
              </w:rPr>
              <w:t>: Limbe : intensité du lavis pourpre”</w:t>
            </w:r>
          </w:p>
        </w:tc>
      </w:tr>
      <w:tr w:rsidR="00DB671B" w:rsidRPr="00DB671B" w:rsidTr="00DB671B">
        <w:trPr>
          <w:cantSplit/>
        </w:trPr>
        <w:tc>
          <w:tcPr>
            <w:tcW w:w="1573" w:type="dxa"/>
          </w:tcPr>
          <w:p w:rsidR="00850B27" w:rsidRPr="00DB671B" w:rsidRDefault="00850B27" w:rsidP="00DB671B">
            <w:pPr>
              <w:jc w:val="left"/>
              <w:rPr>
                <w:rFonts w:cs="Arial"/>
              </w:rPr>
            </w:pPr>
            <w:r w:rsidRPr="00DB671B">
              <w:rPr>
                <w:rFonts w:cs="Arial"/>
              </w:rPr>
              <w:t>Car. 10</w:t>
            </w:r>
          </w:p>
        </w:tc>
        <w:tc>
          <w:tcPr>
            <w:tcW w:w="8208" w:type="dxa"/>
          </w:tcPr>
          <w:p w:rsidR="00850B27" w:rsidRPr="00DB671B" w:rsidRDefault="00850B27" w:rsidP="00DB671B">
            <w:pPr>
              <w:keepNext/>
              <w:rPr>
                <w:rFonts w:cs="Arial"/>
              </w:rPr>
            </w:pPr>
            <w:r w:rsidRPr="00DB671B">
              <w:rPr>
                <w:rFonts w:eastAsia="Arial" w:cs="Arial"/>
              </w:rPr>
              <w:t>Modifier le libellé comme suit :</w:t>
            </w:r>
            <w:r w:rsidRPr="00DB671B">
              <w:rPr>
                <w:rFonts w:cs="Arial"/>
              </w:rPr>
              <w:t xml:space="preserve"> “Limbe : recourbure du bord”</w:t>
            </w:r>
          </w:p>
        </w:tc>
      </w:tr>
      <w:tr w:rsidR="00DB671B" w:rsidRPr="00DB671B" w:rsidTr="00DB671B">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rsidR="00850B27" w:rsidRPr="00DB671B" w:rsidRDefault="00850B27" w:rsidP="00DB671B">
            <w:pPr>
              <w:rPr>
                <w:rFonts w:cs="Arial"/>
              </w:rPr>
            </w:pPr>
            <w:r w:rsidRPr="00DB671B">
              <w:rPr>
                <w:rFonts w:cs="Arial"/>
              </w:rPr>
              <w:t>Car. 15</w:t>
            </w:r>
          </w:p>
        </w:tc>
        <w:tc>
          <w:tcPr>
            <w:tcW w:w="8208" w:type="dxa"/>
            <w:tcBorders>
              <w:top w:val="single" w:sz="4" w:space="0" w:color="auto"/>
              <w:left w:val="single" w:sz="4" w:space="0" w:color="auto"/>
              <w:bottom w:val="single" w:sz="4" w:space="0" w:color="auto"/>
              <w:right w:val="single" w:sz="4" w:space="0" w:color="auto"/>
            </w:tcBorders>
            <w:shd w:val="clear" w:color="auto" w:fill="auto"/>
          </w:tcPr>
          <w:p w:rsidR="00850B27" w:rsidRPr="00DB671B" w:rsidRDefault="00850B27" w:rsidP="00DB671B">
            <w:pPr>
              <w:rPr>
                <w:rFonts w:cs="Arial"/>
              </w:rPr>
            </w:pPr>
            <w:r w:rsidRPr="00DB671B">
              <w:rPr>
                <w:rFonts w:eastAsia="Arial" w:cs="Arial"/>
              </w:rPr>
              <w:t>Modifier le libellé comme suit :</w:t>
            </w:r>
            <w:r w:rsidRPr="00DB671B">
              <w:rPr>
                <w:rFonts w:cs="Arial"/>
              </w:rPr>
              <w:t xml:space="preserve"> “Pétiole : courbure en section transversale”</w:t>
            </w:r>
          </w:p>
        </w:tc>
      </w:tr>
      <w:tr w:rsidR="00DB671B" w:rsidRPr="00DB671B" w:rsidTr="00DB671B">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rsidR="00850B27" w:rsidRPr="00DB671B" w:rsidRDefault="00850B27" w:rsidP="00DB671B">
            <w:pPr>
              <w:rPr>
                <w:rFonts w:cs="Arial"/>
              </w:rPr>
            </w:pPr>
            <w:r w:rsidRPr="00DB671B">
              <w:rPr>
                <w:rFonts w:cs="Arial"/>
              </w:rPr>
              <w:t>Ad. 1</w:t>
            </w:r>
          </w:p>
        </w:tc>
        <w:tc>
          <w:tcPr>
            <w:tcW w:w="8208" w:type="dxa"/>
            <w:tcBorders>
              <w:top w:val="single" w:sz="4" w:space="0" w:color="auto"/>
              <w:left w:val="single" w:sz="4" w:space="0" w:color="auto"/>
              <w:bottom w:val="single" w:sz="4" w:space="0" w:color="auto"/>
              <w:right w:val="single" w:sz="4" w:space="0" w:color="auto"/>
            </w:tcBorders>
            <w:shd w:val="clear" w:color="auto" w:fill="auto"/>
          </w:tcPr>
          <w:p w:rsidR="00850B27" w:rsidRPr="00DB671B" w:rsidRDefault="00850B27" w:rsidP="00DB671B">
            <w:pPr>
              <w:rPr>
                <w:rFonts w:cs="Arial"/>
              </w:rPr>
            </w:pPr>
            <w:r w:rsidRPr="00DB671B">
              <w:rPr>
                <w:rFonts w:eastAsia="Arial" w:cs="Arial"/>
              </w:rPr>
              <w:t>Modifier le libellé comme suit :</w:t>
            </w:r>
            <w:r w:rsidRPr="00DB671B">
              <w:rPr>
                <w:rFonts w:cs="Arial"/>
              </w:rPr>
              <w:t xml:space="preserve"> “Les observations doivent être effectuées après l’apparition de la deuxième vraie feuille.”</w:t>
            </w:r>
          </w:p>
        </w:tc>
      </w:tr>
      <w:tr w:rsidR="00DB671B" w:rsidRPr="00DB671B" w:rsidTr="00DB671B">
        <w:trPr>
          <w:cantSplit/>
        </w:trPr>
        <w:tc>
          <w:tcPr>
            <w:tcW w:w="1573" w:type="dxa"/>
          </w:tcPr>
          <w:p w:rsidR="00850B27" w:rsidRPr="00DB671B" w:rsidRDefault="00850B27" w:rsidP="00DB671B">
            <w:pPr>
              <w:jc w:val="left"/>
              <w:rPr>
                <w:rFonts w:cs="Arial"/>
              </w:rPr>
            </w:pPr>
            <w:r w:rsidRPr="00DB671B">
              <w:rPr>
                <w:rFonts w:cs="Arial"/>
              </w:rPr>
              <w:t>Ad. 8</w:t>
            </w:r>
          </w:p>
        </w:tc>
        <w:tc>
          <w:tcPr>
            <w:tcW w:w="8208" w:type="dxa"/>
          </w:tcPr>
          <w:p w:rsidR="00850B27" w:rsidRPr="00DB671B" w:rsidRDefault="00850B27" w:rsidP="00DB671B">
            <w:pPr>
              <w:rPr>
                <w:rFonts w:cs="Arial"/>
              </w:rPr>
            </w:pPr>
            <w:r w:rsidRPr="00DB671B">
              <w:rPr>
                <w:rFonts w:cs="Arial"/>
              </w:rPr>
              <w:t>Remplacer le libellé actuel par “Le lavis pourpre se transforme en une surteinte au bout d’un certain temps.”</w:t>
            </w:r>
          </w:p>
        </w:tc>
      </w:tr>
      <w:tr w:rsidR="00DB671B" w:rsidRPr="00DB671B" w:rsidTr="00DB671B">
        <w:trPr>
          <w:cantSplit/>
        </w:trPr>
        <w:tc>
          <w:tcPr>
            <w:tcW w:w="1573" w:type="dxa"/>
          </w:tcPr>
          <w:p w:rsidR="00850B27" w:rsidRPr="00DB671B" w:rsidRDefault="00850B27" w:rsidP="00DB671B">
            <w:pPr>
              <w:rPr>
                <w:rFonts w:cs="Arial"/>
              </w:rPr>
            </w:pPr>
            <w:r w:rsidRPr="00DB671B">
              <w:rPr>
                <w:rFonts w:cs="Arial"/>
              </w:rPr>
              <w:t>TQ 4.1.1</w:t>
            </w:r>
          </w:p>
        </w:tc>
        <w:tc>
          <w:tcPr>
            <w:tcW w:w="8208" w:type="dxa"/>
          </w:tcPr>
          <w:p w:rsidR="00850B27" w:rsidRPr="00DB671B" w:rsidRDefault="00850B27" w:rsidP="00DB671B">
            <w:pPr>
              <w:rPr>
                <w:rFonts w:cs="Arial"/>
              </w:rPr>
            </w:pPr>
            <w:r w:rsidRPr="00DB671B">
              <w:rPr>
                <w:rFonts w:cs="Arial"/>
              </w:rPr>
              <w:t>supprimer “(indiquer la ou les variété(s) parentale(s) connue(s))” de “hybridation à généalogie partiellement inconnue”</w:t>
            </w:r>
          </w:p>
        </w:tc>
      </w:tr>
    </w:tbl>
    <w:p w:rsidR="00850B27" w:rsidRPr="00DB671B" w:rsidRDefault="00850B27" w:rsidP="00DB671B">
      <w:pPr>
        <w:rPr>
          <w:rFonts w:eastAsia="Arial" w:cs="Arial"/>
          <w:u w:val="single"/>
        </w:rPr>
      </w:pPr>
    </w:p>
    <w:p w:rsidR="00850B27" w:rsidRPr="00DB671B" w:rsidRDefault="00850B27" w:rsidP="00DB671B">
      <w:pPr>
        <w:rPr>
          <w:rFonts w:eastAsia="Arial" w:cs="Arial"/>
          <w:u w:val="single"/>
        </w:rPr>
      </w:pPr>
    </w:p>
    <w:tbl>
      <w:tblPr>
        <w:tblW w:w="99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894"/>
        <w:gridCol w:w="2552"/>
        <w:gridCol w:w="2807"/>
        <w:gridCol w:w="736"/>
        <w:gridCol w:w="993"/>
      </w:tblGrid>
      <w:tr w:rsidR="00DB671B" w:rsidRPr="00DB671B" w:rsidTr="00DB671B">
        <w:trPr>
          <w:cantSplit/>
          <w:trHeight w:val="277"/>
          <w:jc w:val="center"/>
        </w:trPr>
        <w:tc>
          <w:tcPr>
            <w:tcW w:w="2894" w:type="dxa"/>
            <w:vMerge w:val="restart"/>
            <w:shd w:val="clear" w:color="auto" w:fill="D9D9D9"/>
            <w:vAlign w:val="center"/>
          </w:tcPr>
          <w:p w:rsidR="00850B27" w:rsidRPr="00DB671B" w:rsidRDefault="00850B27" w:rsidP="00DB671B">
            <w:pPr>
              <w:pStyle w:val="TitleofDoc"/>
              <w:keepNext/>
              <w:tabs>
                <w:tab w:val="left" w:pos="5245"/>
                <w:tab w:val="left" w:pos="7008"/>
              </w:tabs>
              <w:spacing w:before="0"/>
              <w:jc w:val="left"/>
              <w:rPr>
                <w:rFonts w:cs="Arial"/>
                <w:caps w:val="0"/>
              </w:rPr>
            </w:pPr>
            <w:r w:rsidRPr="001766FA">
              <w:rPr>
                <w:rFonts w:cs="Arial"/>
                <w:caps w:val="0"/>
                <w:lang w:val="es-ES"/>
              </w:rPr>
              <w:t xml:space="preserve">Anigozanthos </w:t>
            </w:r>
            <w:r w:rsidRPr="001766FA">
              <w:rPr>
                <w:rFonts w:cs="Arial"/>
                <w:caps w:val="0"/>
                <w:lang w:val="es-ES"/>
              </w:rPr>
              <w:br/>
              <w:t>(</w:t>
            </w:r>
            <w:r w:rsidRPr="001766FA">
              <w:rPr>
                <w:rFonts w:cs="Arial"/>
                <w:i/>
                <w:caps w:val="0"/>
                <w:lang w:val="es-ES"/>
              </w:rPr>
              <w:t>Anigozanthos</w:t>
            </w:r>
            <w:r w:rsidRPr="001766FA">
              <w:rPr>
                <w:rFonts w:cs="Arial"/>
                <w:caps w:val="0"/>
                <w:lang w:val="es-ES"/>
              </w:rPr>
              <w:t xml:space="preserve"> Labill.; </w:t>
            </w:r>
            <w:r w:rsidRPr="001766FA">
              <w:rPr>
                <w:rFonts w:cs="Arial"/>
                <w:i/>
                <w:caps w:val="0"/>
                <w:lang w:val="es-ES"/>
              </w:rPr>
              <w:t>Macropidia fuliginosa</w:t>
            </w:r>
            <w:r w:rsidRPr="001766FA">
              <w:rPr>
                <w:rFonts w:cs="Arial"/>
                <w:caps w:val="0"/>
                <w:lang w:val="es-ES"/>
              </w:rPr>
              <w:t xml:space="preserve"> (Hook.) </w:t>
            </w:r>
            <w:r w:rsidRPr="00DB671B">
              <w:rPr>
                <w:rFonts w:cs="Arial"/>
                <w:caps w:val="0"/>
              </w:rPr>
              <w:t>Druce)</w:t>
            </w:r>
          </w:p>
        </w:tc>
        <w:tc>
          <w:tcPr>
            <w:tcW w:w="2552" w:type="dxa"/>
            <w:shd w:val="clear" w:color="auto" w:fill="D9D9D9"/>
            <w:vAlign w:val="center"/>
          </w:tcPr>
          <w:p w:rsidR="00850B27" w:rsidRPr="00DB671B" w:rsidRDefault="00850B27" w:rsidP="00DB671B">
            <w:pPr>
              <w:pStyle w:val="TitleofDoc"/>
              <w:keepNext/>
              <w:tabs>
                <w:tab w:val="left" w:pos="5245"/>
                <w:tab w:val="left" w:pos="7008"/>
              </w:tabs>
              <w:spacing w:before="0"/>
              <w:jc w:val="left"/>
              <w:rPr>
                <w:rFonts w:cs="Arial"/>
                <w:caps w:val="0"/>
              </w:rPr>
            </w:pPr>
            <w:r w:rsidRPr="00DB671B">
              <w:rPr>
                <w:rFonts w:cs="Arial"/>
                <w:caps w:val="0"/>
              </w:rPr>
              <w:t>TG/175/4(proj.3)</w:t>
            </w:r>
          </w:p>
        </w:tc>
        <w:tc>
          <w:tcPr>
            <w:tcW w:w="2807" w:type="dxa"/>
            <w:shd w:val="clear" w:color="auto" w:fill="D9D9D9"/>
            <w:vAlign w:val="center"/>
          </w:tcPr>
          <w:p w:rsidR="00850B27" w:rsidRPr="00DB671B" w:rsidRDefault="00850B27" w:rsidP="00DB671B">
            <w:pPr>
              <w:keepNext/>
              <w:jc w:val="left"/>
              <w:rPr>
                <w:rFonts w:cs="Arial"/>
                <w:iCs/>
                <w:snapToGrid w:val="0"/>
              </w:rPr>
            </w:pPr>
            <w:r w:rsidRPr="00DB671B">
              <w:rPr>
                <w:rFonts w:cs="Arial"/>
              </w:rPr>
              <w:t>M. Nik Hulse (AU)</w:t>
            </w:r>
          </w:p>
        </w:tc>
        <w:tc>
          <w:tcPr>
            <w:tcW w:w="736" w:type="dxa"/>
            <w:vMerge w:val="restart"/>
            <w:shd w:val="clear" w:color="auto" w:fill="D9D9D9"/>
            <w:vAlign w:val="center"/>
          </w:tcPr>
          <w:p w:rsidR="00850B27" w:rsidRPr="00DB671B" w:rsidRDefault="00850B27" w:rsidP="00DB671B">
            <w:pPr>
              <w:keepNext/>
              <w:jc w:val="left"/>
              <w:rPr>
                <w:rFonts w:cs="Arial"/>
                <w:iCs/>
              </w:rPr>
            </w:pPr>
            <w:r w:rsidRPr="00DB671B">
              <w:rPr>
                <w:rFonts w:cs="Arial"/>
                <w:iCs/>
              </w:rPr>
              <w:t>TWO</w:t>
            </w:r>
          </w:p>
        </w:tc>
        <w:tc>
          <w:tcPr>
            <w:tcW w:w="993" w:type="dxa"/>
            <w:vMerge w:val="restart"/>
            <w:shd w:val="clear" w:color="auto" w:fill="D9D9D9"/>
            <w:vAlign w:val="center"/>
          </w:tcPr>
          <w:p w:rsidR="00850B27" w:rsidRPr="00DB671B" w:rsidRDefault="00850B27" w:rsidP="00DB671B">
            <w:pPr>
              <w:pStyle w:val="BodyText"/>
              <w:keepNext/>
              <w:jc w:val="left"/>
              <w:rPr>
                <w:rFonts w:cs="Arial"/>
                <w:iCs/>
                <w:snapToGrid w:val="0"/>
              </w:rPr>
            </w:pPr>
            <w:r w:rsidRPr="00DB671B">
              <w:rPr>
                <w:rFonts w:cs="Arial"/>
                <w:iCs/>
                <w:snapToGrid w:val="0"/>
              </w:rPr>
              <w:t>*</w:t>
            </w:r>
          </w:p>
        </w:tc>
      </w:tr>
      <w:tr w:rsidR="00DB671B" w:rsidRPr="00DB671B" w:rsidTr="00DB671B">
        <w:trPr>
          <w:cantSplit/>
          <w:trHeight w:hRule="exact" w:val="791"/>
          <w:jc w:val="center"/>
        </w:trPr>
        <w:tc>
          <w:tcPr>
            <w:tcW w:w="2894" w:type="dxa"/>
            <w:vMerge/>
            <w:shd w:val="clear" w:color="auto" w:fill="D9D9D9"/>
            <w:vAlign w:val="center"/>
          </w:tcPr>
          <w:p w:rsidR="00850B27" w:rsidRPr="00DB671B" w:rsidRDefault="00850B27" w:rsidP="00DB671B">
            <w:pPr>
              <w:pStyle w:val="TitleofDoc"/>
              <w:keepNext/>
              <w:tabs>
                <w:tab w:val="left" w:pos="5245"/>
                <w:tab w:val="left" w:pos="7008"/>
              </w:tabs>
              <w:spacing w:before="0"/>
              <w:jc w:val="left"/>
              <w:rPr>
                <w:rFonts w:cs="Arial"/>
                <w:caps w:val="0"/>
              </w:rPr>
            </w:pPr>
          </w:p>
        </w:tc>
        <w:tc>
          <w:tcPr>
            <w:tcW w:w="2552" w:type="dxa"/>
            <w:shd w:val="clear" w:color="auto" w:fill="D9D9D9"/>
            <w:vAlign w:val="center"/>
          </w:tcPr>
          <w:p w:rsidR="00850B27" w:rsidRPr="00DB671B" w:rsidRDefault="00850B27" w:rsidP="00DB671B">
            <w:pPr>
              <w:pStyle w:val="BodyText"/>
              <w:keepNext/>
              <w:jc w:val="left"/>
              <w:rPr>
                <w:rFonts w:cs="Arial"/>
              </w:rPr>
            </w:pPr>
            <w:r w:rsidRPr="00DB671B">
              <w:rPr>
                <w:rFonts w:cs="Arial"/>
              </w:rPr>
              <w:t>Nombre de car. : 24 Nombre de car. (*) : 11</w:t>
            </w:r>
          </w:p>
        </w:tc>
        <w:tc>
          <w:tcPr>
            <w:tcW w:w="2807" w:type="dxa"/>
            <w:shd w:val="clear" w:color="auto" w:fill="D9D9D9"/>
            <w:vAlign w:val="center"/>
          </w:tcPr>
          <w:p w:rsidR="00850B27" w:rsidRPr="00DB671B" w:rsidRDefault="00850B27" w:rsidP="00DB671B">
            <w:pPr>
              <w:keepNext/>
              <w:jc w:val="left"/>
              <w:rPr>
                <w:rFonts w:cs="Arial"/>
                <w:iCs/>
                <w:snapToGrid w:val="0"/>
              </w:rPr>
            </w:pPr>
            <w:r w:rsidRPr="00DB671B">
              <w:rPr>
                <w:rFonts w:cs="Arial"/>
                <w:iCs/>
                <w:snapToGrid w:val="0"/>
              </w:rPr>
              <w:t xml:space="preserve">(Experts intéressés : </w:t>
            </w:r>
            <w:r w:rsidRPr="00DB671B">
              <w:rPr>
                <w:rFonts w:cs="Arial"/>
              </w:rPr>
              <w:t>DE, GB, JP, KR, NZ, QZ</w:t>
            </w:r>
            <w:r w:rsidRPr="00DB671B">
              <w:rPr>
                <w:rFonts w:eastAsia="SimSun" w:cs="Arial"/>
                <w:lang w:eastAsia="zh-CN"/>
              </w:rPr>
              <w:t>)</w:t>
            </w:r>
          </w:p>
        </w:tc>
        <w:tc>
          <w:tcPr>
            <w:tcW w:w="736" w:type="dxa"/>
            <w:vMerge/>
            <w:shd w:val="clear" w:color="auto" w:fill="D9D9D9"/>
            <w:vAlign w:val="center"/>
          </w:tcPr>
          <w:p w:rsidR="00850B27" w:rsidRPr="00DB671B" w:rsidRDefault="00850B27" w:rsidP="00DB671B">
            <w:pPr>
              <w:keepNext/>
              <w:jc w:val="left"/>
              <w:rPr>
                <w:rFonts w:cs="Arial"/>
                <w:iCs/>
              </w:rPr>
            </w:pPr>
          </w:p>
        </w:tc>
        <w:tc>
          <w:tcPr>
            <w:tcW w:w="993" w:type="dxa"/>
            <w:vMerge/>
            <w:shd w:val="clear" w:color="auto" w:fill="D9D9D9"/>
            <w:vAlign w:val="center"/>
          </w:tcPr>
          <w:p w:rsidR="00850B27" w:rsidRPr="00DB671B" w:rsidRDefault="00850B27" w:rsidP="00DB671B">
            <w:pPr>
              <w:pStyle w:val="BodyText"/>
              <w:keepNext/>
              <w:jc w:val="left"/>
              <w:rPr>
                <w:rFonts w:cs="Arial"/>
                <w:iCs/>
                <w:snapToGrid w:val="0"/>
              </w:rPr>
            </w:pPr>
          </w:p>
        </w:tc>
      </w:tr>
    </w:tbl>
    <w:p w:rsidR="00850B27" w:rsidRPr="00DB671B" w:rsidRDefault="00850B27" w:rsidP="00DB671B">
      <w:pPr>
        <w:keepNext/>
        <w:rPr>
          <w:rFonts w:eastAsia="Arial" w:cs="Arial"/>
          <w:u w:val="single"/>
        </w:rPr>
      </w:pPr>
    </w:p>
    <w:p w:rsidR="00850B27" w:rsidRPr="00DB671B" w:rsidRDefault="00850B27" w:rsidP="00DB671B">
      <w:pPr>
        <w:ind w:firstLine="567"/>
        <w:rPr>
          <w:rFonts w:cs="Arial"/>
          <w:snapToGrid w:val="0"/>
        </w:rPr>
      </w:pPr>
      <w:r w:rsidRPr="00DB671B">
        <w:rPr>
          <w:rFonts w:cs="Arial"/>
          <w:snapToGrid w:val="0"/>
        </w:rPr>
        <w:t>À sa réunion tenue à Genève en octobre 2019, le TC-EDC a examiné le document TG/175/4(proj.3) et a formulé les recommandations présentées dans le tableau ci-dessous :</w:t>
      </w:r>
    </w:p>
    <w:p w:rsidR="00850B27" w:rsidRPr="00DB671B" w:rsidRDefault="00850B27" w:rsidP="00DB671B">
      <w:pPr>
        <w:keepNext/>
        <w:rPr>
          <w:rFonts w:eastAsia="Arial" w:cs="Arial"/>
          <w:u w:val="single"/>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208"/>
      </w:tblGrid>
      <w:tr w:rsidR="00DB671B" w:rsidRPr="00DB671B" w:rsidTr="00DB671B">
        <w:trPr>
          <w:cantSplit/>
        </w:trPr>
        <w:tc>
          <w:tcPr>
            <w:tcW w:w="1573" w:type="dxa"/>
          </w:tcPr>
          <w:p w:rsidR="00850B27" w:rsidRPr="00DB671B" w:rsidRDefault="00850B27" w:rsidP="00DB671B">
            <w:pPr>
              <w:rPr>
                <w:rFonts w:eastAsia="Arial" w:cs="Arial"/>
              </w:rPr>
            </w:pPr>
            <w:r w:rsidRPr="00DB671B">
              <w:rPr>
                <w:rFonts w:eastAsia="Arial" w:cs="Arial"/>
              </w:rPr>
              <w:t>8.1 (a)</w:t>
            </w:r>
          </w:p>
        </w:tc>
        <w:tc>
          <w:tcPr>
            <w:tcW w:w="8208" w:type="dxa"/>
          </w:tcPr>
          <w:p w:rsidR="00850B27" w:rsidRPr="00DB671B" w:rsidRDefault="00850B27" w:rsidP="00DB671B">
            <w:pPr>
              <w:rPr>
                <w:rFonts w:eastAsia="Arial" w:cs="Arial"/>
              </w:rPr>
            </w:pPr>
            <w:r w:rsidRPr="00DB671B">
              <w:rPr>
                <w:rFonts w:eastAsia="Arial" w:cs="Arial"/>
              </w:rPr>
              <w:t>Modifier le libellé comme suit : “Les observations doivent être effectuées à partir du tiers médian de la rosette sur une feuille pleinement développée.</w:t>
            </w:r>
          </w:p>
        </w:tc>
      </w:tr>
      <w:tr w:rsidR="00DB671B" w:rsidRPr="00DB671B" w:rsidTr="00DB671B">
        <w:trPr>
          <w:cantSplit/>
        </w:trPr>
        <w:tc>
          <w:tcPr>
            <w:tcW w:w="1573" w:type="dxa"/>
          </w:tcPr>
          <w:p w:rsidR="00850B27" w:rsidRPr="00DB671B" w:rsidRDefault="00850B27" w:rsidP="00DB671B">
            <w:pPr>
              <w:rPr>
                <w:rFonts w:eastAsia="Arial" w:cs="Arial"/>
              </w:rPr>
            </w:pPr>
            <w:r w:rsidRPr="00DB671B">
              <w:rPr>
                <w:rFonts w:eastAsia="Arial" w:cs="Arial"/>
              </w:rPr>
              <w:t>Ad. 12</w:t>
            </w:r>
          </w:p>
        </w:tc>
        <w:tc>
          <w:tcPr>
            <w:tcW w:w="8208" w:type="dxa"/>
          </w:tcPr>
          <w:p w:rsidR="00850B27" w:rsidRPr="00DB671B" w:rsidRDefault="00850B27" w:rsidP="00DB671B">
            <w:pPr>
              <w:rPr>
                <w:rFonts w:eastAsia="Arial" w:cs="Arial"/>
              </w:rPr>
            </w:pPr>
            <w:r w:rsidRPr="00DB671B">
              <w:rPr>
                <w:rFonts w:eastAsia="Arial" w:cs="Arial"/>
              </w:rPr>
              <w:t>Modifier le libellé comme suit : “L’observation doit être effectuée de la base du tube du périanthe à la base du dernier lobe du périanthe.”</w:t>
            </w:r>
          </w:p>
        </w:tc>
      </w:tr>
      <w:tr w:rsidR="00DB671B" w:rsidRPr="00DB671B" w:rsidTr="00DB671B">
        <w:trPr>
          <w:cantSplit/>
        </w:trPr>
        <w:tc>
          <w:tcPr>
            <w:tcW w:w="1573" w:type="dxa"/>
          </w:tcPr>
          <w:p w:rsidR="00850B27" w:rsidRPr="00DB671B" w:rsidRDefault="00850B27" w:rsidP="00DB671B">
            <w:pPr>
              <w:rPr>
                <w:rFonts w:eastAsia="Arial" w:cs="Arial"/>
              </w:rPr>
            </w:pPr>
            <w:r w:rsidRPr="00DB671B">
              <w:rPr>
                <w:rFonts w:eastAsia="Arial" w:cs="Arial"/>
              </w:rPr>
              <w:t>Ad. 19</w:t>
            </w:r>
          </w:p>
        </w:tc>
        <w:tc>
          <w:tcPr>
            <w:tcW w:w="8208" w:type="dxa"/>
          </w:tcPr>
          <w:p w:rsidR="00850B27" w:rsidRPr="00DB671B" w:rsidRDefault="00850B27" w:rsidP="00DB671B">
            <w:pPr>
              <w:rPr>
                <w:rFonts w:eastAsia="Arial" w:cs="Arial"/>
              </w:rPr>
            </w:pPr>
            <w:r w:rsidRPr="00DB671B">
              <w:rPr>
                <w:rFonts w:eastAsia="Arial" w:cs="Arial"/>
              </w:rPr>
              <w:t>Modifier le libellé comme suit : “L’observation doit être effectuée sur le lobe le plus long.”</w:t>
            </w:r>
          </w:p>
        </w:tc>
      </w:tr>
      <w:tr w:rsidR="00DB671B" w:rsidRPr="00DB671B" w:rsidTr="00DB671B">
        <w:trPr>
          <w:cantSplit/>
        </w:trPr>
        <w:tc>
          <w:tcPr>
            <w:tcW w:w="1573" w:type="dxa"/>
          </w:tcPr>
          <w:p w:rsidR="00850B27" w:rsidRPr="00DB671B" w:rsidRDefault="00850B27" w:rsidP="00DB671B">
            <w:pPr>
              <w:rPr>
                <w:rFonts w:eastAsia="Arial" w:cs="Arial"/>
              </w:rPr>
            </w:pPr>
            <w:r w:rsidRPr="00DB671B">
              <w:rPr>
                <w:rFonts w:eastAsia="Arial" w:cs="Arial"/>
              </w:rPr>
              <w:t>Ad. 24</w:t>
            </w:r>
          </w:p>
        </w:tc>
        <w:tc>
          <w:tcPr>
            <w:tcW w:w="8208" w:type="dxa"/>
          </w:tcPr>
          <w:p w:rsidR="00850B27" w:rsidRPr="00DB671B" w:rsidRDefault="00850B27" w:rsidP="00DB671B">
            <w:pPr>
              <w:rPr>
                <w:rFonts w:eastAsia="Arial" w:cs="Arial"/>
              </w:rPr>
            </w:pPr>
            <w:r w:rsidRPr="00DB671B">
              <w:rPr>
                <w:rFonts w:eastAsia="Arial" w:cs="Arial"/>
              </w:rPr>
              <w:t>Modifier le libellé comme suit : “L’époque de début de floraison est atteinte lorsque quatre des 10 plantes ont au moins une fleur ouverte.”</w:t>
            </w:r>
          </w:p>
        </w:tc>
      </w:tr>
    </w:tbl>
    <w:p w:rsidR="00850B27" w:rsidRPr="00DB671B" w:rsidRDefault="00850B27" w:rsidP="00DB671B">
      <w:pPr>
        <w:rPr>
          <w:rFonts w:eastAsia="Arial" w:cs="Arial"/>
          <w:u w:val="single"/>
        </w:rPr>
      </w:pPr>
    </w:p>
    <w:p w:rsidR="00850B27" w:rsidRPr="00DB671B" w:rsidRDefault="00850B27" w:rsidP="00DB671B">
      <w:pPr>
        <w:rPr>
          <w:rFonts w:eastAsia="Arial" w:cs="Arial"/>
          <w:u w:val="single"/>
        </w:rPr>
      </w:pPr>
    </w:p>
    <w:tbl>
      <w:tblPr>
        <w:tblW w:w="99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894"/>
        <w:gridCol w:w="2552"/>
        <w:gridCol w:w="2807"/>
        <w:gridCol w:w="736"/>
        <w:gridCol w:w="993"/>
      </w:tblGrid>
      <w:tr w:rsidR="00DB671B" w:rsidRPr="00DB671B" w:rsidTr="00DB671B">
        <w:trPr>
          <w:cantSplit/>
          <w:trHeight w:val="277"/>
          <w:jc w:val="center"/>
        </w:trPr>
        <w:tc>
          <w:tcPr>
            <w:tcW w:w="2894" w:type="dxa"/>
            <w:vMerge w:val="restart"/>
            <w:shd w:val="clear" w:color="auto" w:fill="D9D9D9"/>
            <w:vAlign w:val="center"/>
          </w:tcPr>
          <w:p w:rsidR="00850B27" w:rsidRPr="00DB671B" w:rsidRDefault="00850B27" w:rsidP="00DB671B">
            <w:pPr>
              <w:pStyle w:val="TitleofDoc"/>
              <w:keepNext/>
              <w:tabs>
                <w:tab w:val="left" w:pos="5245"/>
                <w:tab w:val="left" w:pos="7008"/>
              </w:tabs>
              <w:spacing w:before="0"/>
              <w:jc w:val="left"/>
              <w:rPr>
                <w:rFonts w:cs="Arial"/>
                <w:caps w:val="0"/>
              </w:rPr>
            </w:pPr>
            <w:r w:rsidRPr="00DB671B">
              <w:rPr>
                <w:rFonts w:cs="Arial"/>
                <w:caps w:val="0"/>
              </w:rPr>
              <w:t xml:space="preserve">Fenouil </w:t>
            </w:r>
            <w:r w:rsidRPr="00DB671B">
              <w:rPr>
                <w:rFonts w:cs="Arial"/>
                <w:caps w:val="0"/>
              </w:rPr>
              <w:br/>
              <w:t>(</w:t>
            </w:r>
            <w:r w:rsidRPr="00DB671B">
              <w:rPr>
                <w:rFonts w:cs="Arial"/>
                <w:i/>
                <w:caps w:val="0"/>
              </w:rPr>
              <w:t>Foeniculum vulgare</w:t>
            </w:r>
            <w:r w:rsidRPr="00DB671B">
              <w:rPr>
                <w:rFonts w:cs="Arial"/>
                <w:caps w:val="0"/>
              </w:rPr>
              <w:t xml:space="preserve"> Mill.)</w:t>
            </w:r>
          </w:p>
        </w:tc>
        <w:tc>
          <w:tcPr>
            <w:tcW w:w="2552" w:type="dxa"/>
            <w:shd w:val="clear" w:color="auto" w:fill="D9D9D9"/>
            <w:vAlign w:val="center"/>
          </w:tcPr>
          <w:p w:rsidR="00850B27" w:rsidRPr="00DB671B" w:rsidRDefault="00850B27" w:rsidP="00DB671B">
            <w:pPr>
              <w:pStyle w:val="TitleofDoc"/>
              <w:keepNext/>
              <w:tabs>
                <w:tab w:val="left" w:pos="5245"/>
                <w:tab w:val="left" w:pos="7008"/>
              </w:tabs>
              <w:spacing w:before="0"/>
              <w:jc w:val="left"/>
              <w:rPr>
                <w:rFonts w:cs="Arial"/>
                <w:caps w:val="0"/>
              </w:rPr>
            </w:pPr>
            <w:r w:rsidRPr="00DB671B">
              <w:rPr>
                <w:rFonts w:cs="Arial"/>
                <w:caps w:val="0"/>
              </w:rPr>
              <w:t>TG/183/4(proj.3)</w:t>
            </w:r>
          </w:p>
        </w:tc>
        <w:tc>
          <w:tcPr>
            <w:tcW w:w="2807" w:type="dxa"/>
            <w:shd w:val="clear" w:color="auto" w:fill="D9D9D9"/>
            <w:vAlign w:val="center"/>
          </w:tcPr>
          <w:p w:rsidR="00850B27" w:rsidRPr="00DB671B" w:rsidRDefault="00850B27" w:rsidP="00DB671B">
            <w:pPr>
              <w:keepNext/>
              <w:jc w:val="left"/>
              <w:rPr>
                <w:rFonts w:cs="Arial"/>
                <w:iCs/>
                <w:snapToGrid w:val="0"/>
              </w:rPr>
            </w:pPr>
            <w:r w:rsidRPr="00DB671B">
              <w:rPr>
                <w:rFonts w:cs="Arial"/>
              </w:rPr>
              <w:t>Mme Marian van Leeuwen (NL)</w:t>
            </w:r>
          </w:p>
        </w:tc>
        <w:tc>
          <w:tcPr>
            <w:tcW w:w="736" w:type="dxa"/>
            <w:vMerge w:val="restart"/>
            <w:shd w:val="clear" w:color="auto" w:fill="D9D9D9"/>
            <w:vAlign w:val="center"/>
          </w:tcPr>
          <w:p w:rsidR="00850B27" w:rsidRPr="00DB671B" w:rsidRDefault="00850B27" w:rsidP="00DB671B">
            <w:pPr>
              <w:keepNext/>
              <w:jc w:val="left"/>
              <w:rPr>
                <w:rFonts w:cs="Arial"/>
                <w:iCs/>
              </w:rPr>
            </w:pPr>
            <w:r w:rsidRPr="00DB671B">
              <w:rPr>
                <w:rFonts w:cs="Arial"/>
                <w:iCs/>
              </w:rPr>
              <w:t>TWV</w:t>
            </w:r>
          </w:p>
        </w:tc>
        <w:tc>
          <w:tcPr>
            <w:tcW w:w="993" w:type="dxa"/>
            <w:vMerge w:val="restart"/>
            <w:shd w:val="clear" w:color="auto" w:fill="D9D9D9"/>
            <w:vAlign w:val="center"/>
          </w:tcPr>
          <w:p w:rsidR="00850B27" w:rsidRPr="00DB671B" w:rsidRDefault="00850B27" w:rsidP="00DB671B">
            <w:pPr>
              <w:pStyle w:val="BodyText"/>
              <w:keepNext/>
              <w:jc w:val="left"/>
              <w:rPr>
                <w:rFonts w:cs="Arial"/>
                <w:iCs/>
                <w:snapToGrid w:val="0"/>
              </w:rPr>
            </w:pPr>
            <w:r w:rsidRPr="00DB671B">
              <w:rPr>
                <w:rFonts w:cs="Arial"/>
                <w:iCs/>
                <w:snapToGrid w:val="0"/>
              </w:rPr>
              <w:t>*</w:t>
            </w:r>
          </w:p>
        </w:tc>
      </w:tr>
      <w:tr w:rsidR="00DB671B" w:rsidRPr="00DB671B" w:rsidTr="00DB671B">
        <w:trPr>
          <w:cantSplit/>
          <w:trHeight w:hRule="exact" w:val="791"/>
          <w:jc w:val="center"/>
        </w:trPr>
        <w:tc>
          <w:tcPr>
            <w:tcW w:w="2894" w:type="dxa"/>
            <w:vMerge/>
            <w:shd w:val="clear" w:color="auto" w:fill="D9D9D9"/>
            <w:vAlign w:val="center"/>
          </w:tcPr>
          <w:p w:rsidR="00850B27" w:rsidRPr="00DB671B" w:rsidRDefault="00850B27" w:rsidP="00DB671B">
            <w:pPr>
              <w:pStyle w:val="TitleofDoc"/>
              <w:keepNext/>
              <w:tabs>
                <w:tab w:val="left" w:pos="5245"/>
                <w:tab w:val="left" w:pos="7008"/>
              </w:tabs>
              <w:spacing w:before="0"/>
              <w:jc w:val="left"/>
              <w:rPr>
                <w:rFonts w:cs="Arial"/>
                <w:caps w:val="0"/>
              </w:rPr>
            </w:pPr>
          </w:p>
        </w:tc>
        <w:tc>
          <w:tcPr>
            <w:tcW w:w="2552" w:type="dxa"/>
            <w:shd w:val="clear" w:color="auto" w:fill="D9D9D9"/>
            <w:vAlign w:val="center"/>
          </w:tcPr>
          <w:p w:rsidR="00850B27" w:rsidRPr="00DB671B" w:rsidRDefault="00850B27" w:rsidP="00DB671B">
            <w:pPr>
              <w:pStyle w:val="BodyText"/>
              <w:keepNext/>
              <w:jc w:val="left"/>
              <w:rPr>
                <w:rFonts w:cs="Arial"/>
              </w:rPr>
            </w:pPr>
            <w:r w:rsidRPr="00DB671B">
              <w:rPr>
                <w:rFonts w:cs="Arial"/>
              </w:rPr>
              <w:t>Nombre de car. : 26 Nombre de car. (*) : 10</w:t>
            </w:r>
          </w:p>
        </w:tc>
        <w:tc>
          <w:tcPr>
            <w:tcW w:w="2807" w:type="dxa"/>
            <w:shd w:val="clear" w:color="auto" w:fill="D9D9D9"/>
            <w:vAlign w:val="center"/>
          </w:tcPr>
          <w:p w:rsidR="00850B27" w:rsidRPr="00DB671B" w:rsidRDefault="00850B27" w:rsidP="00DB671B">
            <w:pPr>
              <w:keepNext/>
              <w:jc w:val="left"/>
              <w:rPr>
                <w:rFonts w:cs="Arial"/>
                <w:iCs/>
                <w:snapToGrid w:val="0"/>
              </w:rPr>
            </w:pPr>
            <w:r w:rsidRPr="00DB671B">
              <w:rPr>
                <w:rFonts w:cs="Arial"/>
                <w:iCs/>
                <w:snapToGrid w:val="0"/>
              </w:rPr>
              <w:t xml:space="preserve">(Experts intéressés : </w:t>
            </w:r>
            <w:r w:rsidRPr="00DB671B">
              <w:rPr>
                <w:rFonts w:cs="Arial"/>
              </w:rPr>
              <w:t>CZ, DE, FR, IT, QZ, CLI, ESA, ISF</w:t>
            </w:r>
            <w:r w:rsidRPr="00DB671B">
              <w:rPr>
                <w:rFonts w:eastAsia="SimSun" w:cs="Arial"/>
                <w:lang w:eastAsia="zh-CN"/>
              </w:rPr>
              <w:t>)</w:t>
            </w:r>
          </w:p>
        </w:tc>
        <w:tc>
          <w:tcPr>
            <w:tcW w:w="736" w:type="dxa"/>
            <w:vMerge/>
            <w:shd w:val="clear" w:color="auto" w:fill="D9D9D9"/>
            <w:vAlign w:val="center"/>
          </w:tcPr>
          <w:p w:rsidR="00850B27" w:rsidRPr="00DB671B" w:rsidRDefault="00850B27" w:rsidP="00DB671B">
            <w:pPr>
              <w:keepNext/>
              <w:jc w:val="left"/>
              <w:rPr>
                <w:rFonts w:cs="Arial"/>
                <w:iCs/>
              </w:rPr>
            </w:pPr>
          </w:p>
        </w:tc>
        <w:tc>
          <w:tcPr>
            <w:tcW w:w="993" w:type="dxa"/>
            <w:vMerge/>
            <w:shd w:val="clear" w:color="auto" w:fill="D9D9D9"/>
            <w:vAlign w:val="center"/>
          </w:tcPr>
          <w:p w:rsidR="00850B27" w:rsidRPr="00DB671B" w:rsidRDefault="00850B27" w:rsidP="00DB671B">
            <w:pPr>
              <w:pStyle w:val="BodyText"/>
              <w:keepNext/>
              <w:jc w:val="left"/>
              <w:rPr>
                <w:rFonts w:cs="Arial"/>
                <w:iCs/>
                <w:snapToGrid w:val="0"/>
              </w:rPr>
            </w:pPr>
          </w:p>
        </w:tc>
      </w:tr>
    </w:tbl>
    <w:p w:rsidR="00850B27" w:rsidRPr="00DB671B" w:rsidRDefault="00850B27" w:rsidP="00DB671B">
      <w:pPr>
        <w:keepNext/>
        <w:rPr>
          <w:rFonts w:eastAsia="Arial" w:cs="Arial"/>
          <w:u w:val="single"/>
        </w:rPr>
      </w:pPr>
    </w:p>
    <w:p w:rsidR="00850B27" w:rsidRPr="00DB671B" w:rsidRDefault="00850B27" w:rsidP="00DB671B">
      <w:pPr>
        <w:ind w:firstLine="567"/>
        <w:rPr>
          <w:rFonts w:cs="Arial"/>
          <w:snapToGrid w:val="0"/>
        </w:rPr>
      </w:pPr>
      <w:r w:rsidRPr="00DB671B">
        <w:rPr>
          <w:rFonts w:cs="Arial"/>
          <w:snapToGrid w:val="0"/>
        </w:rPr>
        <w:t>À sa réunion tenue à Genève en octobre 2019, le TC-EDC a examiné le document TG/183/4(proj.3) et a formulé les recommandations présentées dans le tableau ci-dessous :</w:t>
      </w:r>
    </w:p>
    <w:p w:rsidR="00850B27" w:rsidRPr="00DB671B" w:rsidRDefault="00850B27" w:rsidP="00DB671B">
      <w:pPr>
        <w:keepNext/>
        <w:rPr>
          <w:rFonts w:eastAsia="Arial" w:cs="Arial"/>
          <w:u w:val="single"/>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208"/>
      </w:tblGrid>
      <w:tr w:rsidR="00DB671B" w:rsidRPr="00DB671B" w:rsidTr="00DB671B">
        <w:trPr>
          <w:cantSplit/>
        </w:trPr>
        <w:tc>
          <w:tcPr>
            <w:tcW w:w="1573" w:type="dxa"/>
          </w:tcPr>
          <w:p w:rsidR="00850B27" w:rsidRPr="00DB671B" w:rsidRDefault="00850B27" w:rsidP="00DB671B">
            <w:pPr>
              <w:keepNext/>
              <w:jc w:val="left"/>
              <w:rPr>
                <w:rFonts w:cs="Arial"/>
              </w:rPr>
            </w:pPr>
            <w:r w:rsidRPr="00DB671B">
              <w:rPr>
                <w:rFonts w:cs="Arial"/>
              </w:rPr>
              <w:t>3.1.2</w:t>
            </w:r>
          </w:p>
        </w:tc>
        <w:tc>
          <w:tcPr>
            <w:tcW w:w="8208" w:type="dxa"/>
          </w:tcPr>
          <w:p w:rsidR="00850B27" w:rsidRPr="00DB671B" w:rsidRDefault="00850B27" w:rsidP="00DB671B">
            <w:pPr>
              <w:keepNext/>
              <w:rPr>
                <w:rFonts w:eastAsia="Arial" w:cs="Arial"/>
                <w:highlight w:val="cyan"/>
              </w:rPr>
            </w:pPr>
            <w:r w:rsidRPr="00DB671B">
              <w:rPr>
                <w:rFonts w:eastAsia="Arial" w:cs="Arial"/>
              </w:rPr>
              <w:t>supprimer (s’applique uniquement aux vivaces)</w:t>
            </w:r>
            <w:r w:rsidRPr="00DB671B">
              <w:rPr>
                <w:rFonts w:eastAsia="Arial" w:cs="Arial"/>
              </w:rPr>
              <w:tab/>
            </w:r>
          </w:p>
        </w:tc>
      </w:tr>
      <w:tr w:rsidR="00DB671B" w:rsidRPr="00DB671B" w:rsidTr="00DB671B">
        <w:trPr>
          <w:cantSplit/>
        </w:trPr>
        <w:tc>
          <w:tcPr>
            <w:tcW w:w="1573" w:type="dxa"/>
          </w:tcPr>
          <w:p w:rsidR="00850B27" w:rsidRPr="00DB671B" w:rsidRDefault="00850B27" w:rsidP="00DB671B">
            <w:pPr>
              <w:keepNext/>
              <w:jc w:val="left"/>
              <w:rPr>
                <w:rFonts w:cs="Arial"/>
              </w:rPr>
            </w:pPr>
            <w:r w:rsidRPr="00DB671B">
              <w:rPr>
                <w:rFonts w:cs="Arial"/>
              </w:rPr>
              <w:t>Tableau des car.</w:t>
            </w:r>
          </w:p>
        </w:tc>
        <w:tc>
          <w:tcPr>
            <w:tcW w:w="8208" w:type="dxa"/>
          </w:tcPr>
          <w:p w:rsidR="00850B27" w:rsidRPr="00DB671B" w:rsidRDefault="00850B27" w:rsidP="00DB671B">
            <w:pPr>
              <w:keepNext/>
              <w:rPr>
                <w:rFonts w:cs="Arial"/>
              </w:rPr>
            </w:pPr>
            <w:r w:rsidRPr="00DB671B">
              <w:rPr>
                <w:rFonts w:eastAsia="Arial" w:cs="Arial"/>
              </w:rPr>
              <w:t xml:space="preserve">Modifier le libellé comme suit pour les caractères pertinents : </w:t>
            </w:r>
            <w:r w:rsidRPr="00DB671B">
              <w:rPr>
                <w:rFonts w:eastAsia="Arial" w:cs="Arial"/>
                <w:u w:val="single"/>
              </w:rPr>
              <w:t>“Seulement variétés avec formation de grumolo : absente </w:t>
            </w:r>
            <w:r w:rsidRPr="00DB671B">
              <w:rPr>
                <w:rFonts w:eastAsia="Arial" w:cs="Arial"/>
              </w:rPr>
              <w:t>:” ou “</w:t>
            </w:r>
            <w:r w:rsidRPr="00DB671B">
              <w:rPr>
                <w:rFonts w:eastAsia="Arial" w:cs="Arial"/>
                <w:u w:val="single"/>
              </w:rPr>
              <w:t>Seulement variétés avec formation de grumolo : présente </w:t>
            </w:r>
            <w:r w:rsidRPr="00DB671B">
              <w:rPr>
                <w:rFonts w:eastAsia="Arial" w:cs="Arial"/>
              </w:rPr>
              <w:t>:”</w:t>
            </w:r>
          </w:p>
        </w:tc>
      </w:tr>
      <w:tr w:rsidR="00DB671B" w:rsidRPr="00DB671B" w:rsidTr="00DB671B">
        <w:trPr>
          <w:cantSplit/>
        </w:trPr>
        <w:tc>
          <w:tcPr>
            <w:tcW w:w="1573" w:type="dxa"/>
          </w:tcPr>
          <w:p w:rsidR="00850B27" w:rsidRPr="00DB671B" w:rsidRDefault="00850B27" w:rsidP="00DB671B">
            <w:pPr>
              <w:keepNext/>
              <w:rPr>
                <w:rFonts w:eastAsia="Arial" w:cs="Arial"/>
              </w:rPr>
            </w:pPr>
            <w:r w:rsidRPr="00DB671B">
              <w:rPr>
                <w:rFonts w:eastAsia="Arial" w:cs="Arial"/>
              </w:rPr>
              <w:t>Car. 3</w:t>
            </w:r>
          </w:p>
        </w:tc>
        <w:tc>
          <w:tcPr>
            <w:tcW w:w="8208" w:type="dxa"/>
          </w:tcPr>
          <w:p w:rsidR="00850B27" w:rsidRPr="00DB671B" w:rsidRDefault="00850B27" w:rsidP="00DB671B">
            <w:pPr>
              <w:keepNext/>
              <w:rPr>
                <w:rFonts w:eastAsia="Arial" w:cs="Arial"/>
              </w:rPr>
            </w:pPr>
            <w:r w:rsidRPr="00DB671B">
              <w:rPr>
                <w:rFonts w:eastAsia="Arial" w:cs="Arial"/>
              </w:rPr>
              <w:t>supprimer (+)</w:t>
            </w:r>
          </w:p>
        </w:tc>
      </w:tr>
      <w:tr w:rsidR="00DB671B" w:rsidRPr="00DB671B" w:rsidTr="00DB671B">
        <w:trPr>
          <w:cantSplit/>
        </w:trPr>
        <w:tc>
          <w:tcPr>
            <w:tcW w:w="1573" w:type="dxa"/>
          </w:tcPr>
          <w:p w:rsidR="00850B27" w:rsidRPr="00DB671B" w:rsidRDefault="00850B27" w:rsidP="00DB671B">
            <w:pPr>
              <w:jc w:val="left"/>
              <w:rPr>
                <w:rFonts w:cs="Arial"/>
              </w:rPr>
            </w:pPr>
            <w:r w:rsidRPr="00DB671B">
              <w:rPr>
                <w:rFonts w:cs="Arial"/>
              </w:rPr>
              <w:t>Car. 6</w:t>
            </w:r>
          </w:p>
        </w:tc>
        <w:tc>
          <w:tcPr>
            <w:tcW w:w="8208" w:type="dxa"/>
          </w:tcPr>
          <w:p w:rsidR="00850B27" w:rsidRPr="00DB671B" w:rsidRDefault="00850B27" w:rsidP="00DB671B">
            <w:pPr>
              <w:keepNext/>
              <w:rPr>
                <w:rFonts w:cs="Arial"/>
              </w:rPr>
            </w:pPr>
            <w:r w:rsidRPr="00DB671B">
              <w:rPr>
                <w:rFonts w:eastAsia="Arial" w:cs="Arial"/>
              </w:rPr>
              <w:t>Modifier le libellé comme suit : “</w:t>
            </w:r>
            <w:r w:rsidRPr="00DB671B">
              <w:rPr>
                <w:rFonts w:eastAsia="Arial" w:cs="Arial"/>
                <w:u w:val="single"/>
              </w:rPr>
              <w:t>Seulement variétés avec couleur de feuillage : vert </w:t>
            </w:r>
            <w:r w:rsidRPr="00DB671B">
              <w:rPr>
                <w:rFonts w:eastAsia="Arial" w:cs="Arial"/>
              </w:rPr>
              <w:t>:…”</w:t>
            </w:r>
          </w:p>
        </w:tc>
      </w:tr>
      <w:tr w:rsidR="00DB671B" w:rsidRPr="00DB671B" w:rsidTr="00DB671B">
        <w:trPr>
          <w:cantSplit/>
        </w:trPr>
        <w:tc>
          <w:tcPr>
            <w:tcW w:w="1573" w:type="dxa"/>
            <w:tcBorders>
              <w:top w:val="single" w:sz="4" w:space="0" w:color="auto"/>
              <w:left w:val="single" w:sz="4" w:space="0" w:color="auto"/>
              <w:bottom w:val="single" w:sz="4" w:space="0" w:color="auto"/>
              <w:right w:val="single" w:sz="4" w:space="0" w:color="auto"/>
            </w:tcBorders>
          </w:tcPr>
          <w:p w:rsidR="00850B27" w:rsidRPr="00DB671B" w:rsidRDefault="00850B27" w:rsidP="00DB671B">
            <w:pPr>
              <w:rPr>
                <w:rFonts w:cs="Arial"/>
              </w:rPr>
            </w:pPr>
            <w:r w:rsidRPr="00DB671B">
              <w:rPr>
                <w:rFonts w:cs="Arial"/>
              </w:rPr>
              <w:t>Car. 16</w:t>
            </w:r>
          </w:p>
        </w:tc>
        <w:tc>
          <w:tcPr>
            <w:tcW w:w="8208" w:type="dxa"/>
            <w:tcBorders>
              <w:top w:val="single" w:sz="4" w:space="0" w:color="auto"/>
              <w:left w:val="single" w:sz="4" w:space="0" w:color="auto"/>
              <w:bottom w:val="single" w:sz="4" w:space="0" w:color="auto"/>
              <w:right w:val="single" w:sz="4" w:space="0" w:color="auto"/>
            </w:tcBorders>
          </w:tcPr>
          <w:p w:rsidR="00850B27" w:rsidRPr="00DB671B" w:rsidRDefault="00850B27" w:rsidP="00DB671B">
            <w:pPr>
              <w:rPr>
                <w:rFonts w:eastAsia="Arial" w:cs="Arial"/>
              </w:rPr>
            </w:pPr>
            <w:r w:rsidRPr="00DB671B">
              <w:rPr>
                <w:rFonts w:eastAsia="Arial" w:cs="Arial"/>
              </w:rPr>
              <w:t xml:space="preserve">Niveau 3, modifier le libellé comme suit : “elliptique étroit” </w:t>
            </w:r>
          </w:p>
        </w:tc>
      </w:tr>
      <w:tr w:rsidR="00DB671B" w:rsidRPr="00DB671B" w:rsidTr="00DB671B">
        <w:trPr>
          <w:cantSplit/>
        </w:trPr>
        <w:tc>
          <w:tcPr>
            <w:tcW w:w="1573" w:type="dxa"/>
            <w:tcBorders>
              <w:top w:val="single" w:sz="4" w:space="0" w:color="auto"/>
              <w:left w:val="single" w:sz="4" w:space="0" w:color="auto"/>
              <w:bottom w:val="single" w:sz="4" w:space="0" w:color="auto"/>
              <w:right w:val="single" w:sz="4" w:space="0" w:color="auto"/>
            </w:tcBorders>
          </w:tcPr>
          <w:p w:rsidR="00850B27" w:rsidRPr="00DB671B" w:rsidRDefault="00850B27" w:rsidP="00DB671B">
            <w:pPr>
              <w:rPr>
                <w:rFonts w:cs="Arial"/>
              </w:rPr>
            </w:pPr>
            <w:r w:rsidRPr="00DB671B">
              <w:rPr>
                <w:rFonts w:cs="Arial"/>
              </w:rPr>
              <w:t>Car. 19</w:t>
            </w:r>
          </w:p>
        </w:tc>
        <w:tc>
          <w:tcPr>
            <w:tcW w:w="8208" w:type="dxa"/>
            <w:tcBorders>
              <w:top w:val="single" w:sz="4" w:space="0" w:color="auto"/>
              <w:left w:val="single" w:sz="4" w:space="0" w:color="auto"/>
              <w:bottom w:val="single" w:sz="4" w:space="0" w:color="auto"/>
              <w:right w:val="single" w:sz="4" w:space="0" w:color="auto"/>
            </w:tcBorders>
          </w:tcPr>
          <w:p w:rsidR="00850B27" w:rsidRPr="00DB671B" w:rsidRDefault="00850B27" w:rsidP="00DB671B">
            <w:pPr>
              <w:rPr>
                <w:rFonts w:eastAsia="Arial" w:cs="Arial"/>
              </w:rPr>
            </w:pPr>
            <w:r w:rsidRPr="00DB671B">
              <w:rPr>
                <w:rFonts w:eastAsia="Arial" w:cs="Arial"/>
              </w:rPr>
              <w:t>Modifier le libellé comme suit : “... Gaine : chevauchement”</w:t>
            </w:r>
          </w:p>
        </w:tc>
      </w:tr>
      <w:tr w:rsidR="00DB671B" w:rsidRPr="00DB671B" w:rsidTr="00DB671B">
        <w:trPr>
          <w:cantSplit/>
        </w:trPr>
        <w:tc>
          <w:tcPr>
            <w:tcW w:w="1573" w:type="dxa"/>
            <w:tcBorders>
              <w:top w:val="single" w:sz="4" w:space="0" w:color="auto"/>
              <w:left w:val="single" w:sz="4" w:space="0" w:color="auto"/>
              <w:bottom w:val="single" w:sz="4" w:space="0" w:color="auto"/>
              <w:right w:val="single" w:sz="4" w:space="0" w:color="auto"/>
            </w:tcBorders>
          </w:tcPr>
          <w:p w:rsidR="00850B27" w:rsidRPr="00DB671B" w:rsidRDefault="00850B27" w:rsidP="00DB671B">
            <w:pPr>
              <w:rPr>
                <w:rFonts w:cs="Arial"/>
              </w:rPr>
            </w:pPr>
            <w:r w:rsidRPr="00DB671B">
              <w:rPr>
                <w:rFonts w:cs="Arial"/>
              </w:rPr>
              <w:t>Car. 20</w:t>
            </w:r>
          </w:p>
        </w:tc>
        <w:tc>
          <w:tcPr>
            <w:tcW w:w="8208" w:type="dxa"/>
            <w:tcBorders>
              <w:top w:val="single" w:sz="4" w:space="0" w:color="auto"/>
              <w:left w:val="single" w:sz="4" w:space="0" w:color="auto"/>
              <w:bottom w:val="single" w:sz="4" w:space="0" w:color="auto"/>
              <w:right w:val="single" w:sz="4" w:space="0" w:color="auto"/>
            </w:tcBorders>
          </w:tcPr>
          <w:p w:rsidR="00850B27" w:rsidRPr="00DB671B" w:rsidRDefault="00850B27" w:rsidP="00DB671B">
            <w:pPr>
              <w:rPr>
                <w:rFonts w:eastAsia="Arial" w:cs="Arial"/>
              </w:rPr>
            </w:pPr>
            <w:r w:rsidRPr="00DB671B">
              <w:rPr>
                <w:rFonts w:eastAsia="Arial" w:cs="Arial"/>
              </w:rPr>
              <w:t>Ajouter une explication afin de modifier le libellé comme suit : “Les observations doivent être effectuées dans le cadre d’un essai spécial consacré à la montaison, dans lequel une tige florale est formée.  Les plantes devraient être exposées à des basses températures pour déclencher la montaison.  Un essai supplémentaire dans des conditions de semis précoce peut être effectué.</w:t>
            </w:r>
          </w:p>
        </w:tc>
      </w:tr>
      <w:tr w:rsidR="00DB671B" w:rsidRPr="00DB671B" w:rsidTr="00DB671B">
        <w:trPr>
          <w:cantSplit/>
        </w:trPr>
        <w:tc>
          <w:tcPr>
            <w:tcW w:w="1573" w:type="dxa"/>
            <w:tcBorders>
              <w:top w:val="single" w:sz="4" w:space="0" w:color="auto"/>
              <w:left w:val="single" w:sz="4" w:space="0" w:color="auto"/>
              <w:bottom w:val="single" w:sz="4" w:space="0" w:color="auto"/>
              <w:right w:val="single" w:sz="4" w:space="0" w:color="auto"/>
            </w:tcBorders>
          </w:tcPr>
          <w:p w:rsidR="00850B27" w:rsidRPr="00DB671B" w:rsidRDefault="00850B27" w:rsidP="00DB671B">
            <w:pPr>
              <w:rPr>
                <w:rFonts w:cs="Arial"/>
              </w:rPr>
            </w:pPr>
            <w:r w:rsidRPr="00DB671B">
              <w:rPr>
                <w:rFonts w:cs="Arial"/>
              </w:rPr>
              <w:t>Car. 22</w:t>
            </w:r>
          </w:p>
        </w:tc>
        <w:tc>
          <w:tcPr>
            <w:tcW w:w="8208" w:type="dxa"/>
            <w:tcBorders>
              <w:top w:val="single" w:sz="4" w:space="0" w:color="auto"/>
              <w:left w:val="single" w:sz="4" w:space="0" w:color="auto"/>
              <w:bottom w:val="single" w:sz="4" w:space="0" w:color="auto"/>
              <w:right w:val="single" w:sz="4" w:space="0" w:color="auto"/>
            </w:tcBorders>
          </w:tcPr>
          <w:p w:rsidR="00850B27" w:rsidRPr="00DB671B" w:rsidRDefault="00850B27" w:rsidP="00DB671B">
            <w:pPr>
              <w:rPr>
                <w:rFonts w:eastAsia="Arial" w:cs="Arial"/>
              </w:rPr>
            </w:pPr>
            <w:r w:rsidRPr="00DB671B">
              <w:rPr>
                <w:rFonts w:eastAsia="Arial" w:cs="Arial"/>
              </w:rPr>
              <w:t>Ajouter une explication afin de modifier le libellé comme suit : “L’époque du début de la floraison est atteinte lorsque l’ombelle primaire s’épanouit sur 50% des plantes.”</w:t>
            </w:r>
          </w:p>
        </w:tc>
      </w:tr>
      <w:tr w:rsidR="00DB671B" w:rsidRPr="00DB671B" w:rsidTr="00DB671B">
        <w:trPr>
          <w:cantSplit/>
        </w:trPr>
        <w:tc>
          <w:tcPr>
            <w:tcW w:w="1573" w:type="dxa"/>
            <w:tcBorders>
              <w:top w:val="single" w:sz="4" w:space="0" w:color="auto"/>
              <w:left w:val="single" w:sz="4" w:space="0" w:color="auto"/>
              <w:bottom w:val="single" w:sz="4" w:space="0" w:color="auto"/>
              <w:right w:val="single" w:sz="4" w:space="0" w:color="auto"/>
            </w:tcBorders>
          </w:tcPr>
          <w:p w:rsidR="00850B27" w:rsidRPr="00DB671B" w:rsidRDefault="00850B27" w:rsidP="00DB671B">
            <w:pPr>
              <w:rPr>
                <w:rFonts w:cs="Arial"/>
              </w:rPr>
            </w:pPr>
            <w:r w:rsidRPr="00DB671B">
              <w:rPr>
                <w:rFonts w:cs="Arial"/>
              </w:rPr>
              <w:t>Ad. 3</w:t>
            </w:r>
          </w:p>
        </w:tc>
        <w:tc>
          <w:tcPr>
            <w:tcW w:w="8208" w:type="dxa"/>
            <w:tcBorders>
              <w:top w:val="single" w:sz="4" w:space="0" w:color="auto"/>
              <w:left w:val="single" w:sz="4" w:space="0" w:color="auto"/>
              <w:bottom w:val="single" w:sz="4" w:space="0" w:color="auto"/>
              <w:right w:val="single" w:sz="4" w:space="0" w:color="auto"/>
            </w:tcBorders>
          </w:tcPr>
          <w:p w:rsidR="00850B27" w:rsidRPr="00DB671B" w:rsidRDefault="00EC17D5" w:rsidP="00DB671B">
            <w:pPr>
              <w:rPr>
                <w:rFonts w:eastAsia="Arial" w:cs="Arial"/>
              </w:rPr>
            </w:pPr>
            <w:r>
              <w:rPr>
                <w:rFonts w:eastAsia="Arial" w:cs="Arial"/>
              </w:rPr>
              <w:t>à</w:t>
            </w:r>
            <w:r w:rsidR="00850B27" w:rsidRPr="00DB671B">
              <w:rPr>
                <w:rFonts w:eastAsia="Arial" w:cs="Arial"/>
              </w:rPr>
              <w:t xml:space="preserve"> supprimer (voir (a))</w:t>
            </w:r>
          </w:p>
        </w:tc>
      </w:tr>
      <w:tr w:rsidR="00DB671B" w:rsidRPr="00DB671B" w:rsidTr="00DB671B">
        <w:trPr>
          <w:cantSplit/>
        </w:trPr>
        <w:tc>
          <w:tcPr>
            <w:tcW w:w="1573" w:type="dxa"/>
            <w:tcBorders>
              <w:top w:val="single" w:sz="4" w:space="0" w:color="auto"/>
              <w:left w:val="single" w:sz="4" w:space="0" w:color="auto"/>
              <w:bottom w:val="single" w:sz="4" w:space="0" w:color="auto"/>
              <w:right w:val="single" w:sz="4" w:space="0" w:color="auto"/>
            </w:tcBorders>
          </w:tcPr>
          <w:p w:rsidR="00850B27" w:rsidRPr="00DB671B" w:rsidRDefault="00850B27" w:rsidP="00DB671B">
            <w:pPr>
              <w:rPr>
                <w:rFonts w:cs="Arial"/>
              </w:rPr>
            </w:pPr>
            <w:r w:rsidRPr="00DB671B">
              <w:rPr>
                <w:rFonts w:cs="Arial"/>
              </w:rPr>
              <w:t>Ad. 10</w:t>
            </w:r>
          </w:p>
        </w:tc>
        <w:tc>
          <w:tcPr>
            <w:tcW w:w="8208" w:type="dxa"/>
            <w:tcBorders>
              <w:top w:val="single" w:sz="4" w:space="0" w:color="auto"/>
              <w:left w:val="single" w:sz="4" w:space="0" w:color="auto"/>
              <w:bottom w:val="single" w:sz="4" w:space="0" w:color="auto"/>
              <w:right w:val="single" w:sz="4" w:space="0" w:color="auto"/>
            </w:tcBorders>
          </w:tcPr>
          <w:p w:rsidR="00850B27" w:rsidRPr="00DB671B" w:rsidRDefault="00850B27" w:rsidP="00DB671B">
            <w:pPr>
              <w:rPr>
                <w:rFonts w:eastAsia="Arial" w:cs="Arial"/>
              </w:rPr>
            </w:pPr>
            <w:r w:rsidRPr="00DB671B">
              <w:rPr>
                <w:rFonts w:eastAsia="Arial" w:cs="Arial"/>
              </w:rPr>
              <w:t>à supprimer</w:t>
            </w:r>
          </w:p>
        </w:tc>
      </w:tr>
    </w:tbl>
    <w:p w:rsidR="00850B27" w:rsidRPr="00DB671B" w:rsidRDefault="00850B27" w:rsidP="00DB671B">
      <w:pPr>
        <w:rPr>
          <w:rFonts w:eastAsia="Arial" w:cs="Arial"/>
          <w:u w:val="single"/>
        </w:rPr>
      </w:pPr>
    </w:p>
    <w:p w:rsidR="00850B27" w:rsidRPr="00DB671B" w:rsidRDefault="00850B27" w:rsidP="00DB671B">
      <w:pPr>
        <w:rPr>
          <w:rFonts w:eastAsia="Arial" w:cs="Arial"/>
          <w:u w:val="single"/>
        </w:rPr>
      </w:pPr>
    </w:p>
    <w:tbl>
      <w:tblPr>
        <w:tblW w:w="99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894"/>
        <w:gridCol w:w="2552"/>
        <w:gridCol w:w="2807"/>
        <w:gridCol w:w="736"/>
        <w:gridCol w:w="993"/>
      </w:tblGrid>
      <w:tr w:rsidR="00DB671B" w:rsidRPr="00DB671B" w:rsidTr="00DB671B">
        <w:trPr>
          <w:cantSplit/>
          <w:trHeight w:val="277"/>
          <w:jc w:val="center"/>
        </w:trPr>
        <w:tc>
          <w:tcPr>
            <w:tcW w:w="2894" w:type="dxa"/>
            <w:vMerge w:val="restart"/>
            <w:shd w:val="clear" w:color="auto" w:fill="D9D9D9"/>
            <w:vAlign w:val="center"/>
          </w:tcPr>
          <w:p w:rsidR="00850B27" w:rsidRPr="001766FA" w:rsidRDefault="00850B27" w:rsidP="00DB671B">
            <w:pPr>
              <w:pStyle w:val="TitleofDoc"/>
              <w:keepNext/>
              <w:tabs>
                <w:tab w:val="left" w:pos="5245"/>
                <w:tab w:val="left" w:pos="7008"/>
              </w:tabs>
              <w:spacing w:before="0"/>
              <w:jc w:val="left"/>
              <w:rPr>
                <w:rFonts w:cs="Arial"/>
                <w:caps w:val="0"/>
                <w:lang w:val="es-ES"/>
              </w:rPr>
            </w:pPr>
            <w:r w:rsidRPr="001766FA">
              <w:rPr>
                <w:rFonts w:cs="Arial"/>
                <w:caps w:val="0"/>
                <w:lang w:val="es-ES"/>
              </w:rPr>
              <w:t xml:space="preserve">Pourpier </w:t>
            </w:r>
            <w:r w:rsidRPr="001766FA">
              <w:rPr>
                <w:rFonts w:cs="Arial"/>
                <w:caps w:val="0"/>
                <w:lang w:val="es-ES"/>
              </w:rPr>
              <w:br/>
              <w:t>(</w:t>
            </w:r>
            <w:r w:rsidRPr="001766FA">
              <w:rPr>
                <w:rFonts w:cs="Arial"/>
                <w:i/>
                <w:caps w:val="0"/>
                <w:lang w:val="es-ES"/>
              </w:rPr>
              <w:t>Portulaca grandiflora</w:t>
            </w:r>
            <w:r w:rsidRPr="001766FA">
              <w:rPr>
                <w:rFonts w:cs="Arial"/>
                <w:caps w:val="0"/>
                <w:lang w:val="es-ES"/>
              </w:rPr>
              <w:t xml:space="preserve"> Hook.; </w:t>
            </w:r>
            <w:r w:rsidRPr="001766FA">
              <w:rPr>
                <w:rFonts w:cs="Arial"/>
                <w:i/>
                <w:caps w:val="0"/>
                <w:lang w:val="es-ES"/>
              </w:rPr>
              <w:t>Portulaca oleracea</w:t>
            </w:r>
            <w:r w:rsidRPr="001766FA">
              <w:rPr>
                <w:rFonts w:cs="Arial"/>
                <w:caps w:val="0"/>
                <w:lang w:val="es-ES"/>
              </w:rPr>
              <w:t xml:space="preserve"> L.; </w:t>
            </w:r>
            <w:r w:rsidRPr="001766FA">
              <w:rPr>
                <w:rFonts w:cs="Arial"/>
                <w:i/>
                <w:caps w:val="0"/>
                <w:lang w:val="es-ES"/>
              </w:rPr>
              <w:t>Portulaca umbraticola</w:t>
            </w:r>
            <w:r w:rsidRPr="001766FA">
              <w:rPr>
                <w:rFonts w:cs="Arial"/>
                <w:caps w:val="0"/>
                <w:lang w:val="es-ES"/>
              </w:rPr>
              <w:t xml:space="preserve"> Kunth)</w:t>
            </w:r>
          </w:p>
        </w:tc>
        <w:tc>
          <w:tcPr>
            <w:tcW w:w="2552" w:type="dxa"/>
            <w:shd w:val="clear" w:color="auto" w:fill="D9D9D9"/>
            <w:vAlign w:val="center"/>
          </w:tcPr>
          <w:p w:rsidR="00850B27" w:rsidRPr="00DB671B" w:rsidRDefault="00850B27" w:rsidP="00DB671B">
            <w:pPr>
              <w:pStyle w:val="TitleofDoc"/>
              <w:keepNext/>
              <w:tabs>
                <w:tab w:val="left" w:pos="5245"/>
                <w:tab w:val="left" w:pos="7008"/>
              </w:tabs>
              <w:spacing w:before="0"/>
              <w:jc w:val="left"/>
              <w:rPr>
                <w:rFonts w:cs="Arial"/>
                <w:caps w:val="0"/>
              </w:rPr>
            </w:pPr>
            <w:r w:rsidRPr="00DB671B">
              <w:rPr>
                <w:rFonts w:cs="Arial"/>
                <w:caps w:val="0"/>
              </w:rPr>
              <w:t>TG/242/4(proj.2)</w:t>
            </w:r>
          </w:p>
        </w:tc>
        <w:tc>
          <w:tcPr>
            <w:tcW w:w="2807" w:type="dxa"/>
            <w:shd w:val="clear" w:color="auto" w:fill="D9D9D9"/>
            <w:vAlign w:val="center"/>
          </w:tcPr>
          <w:p w:rsidR="00850B27" w:rsidRPr="00DB671B" w:rsidRDefault="00850B27" w:rsidP="00DB671B">
            <w:pPr>
              <w:keepNext/>
              <w:jc w:val="left"/>
              <w:rPr>
                <w:rFonts w:cs="Arial"/>
                <w:iCs/>
                <w:snapToGrid w:val="0"/>
              </w:rPr>
            </w:pPr>
            <w:r w:rsidRPr="00DB671B">
              <w:rPr>
                <w:rFonts w:cs="Arial"/>
              </w:rPr>
              <w:t>Mme Andrea Menne (DE)</w:t>
            </w:r>
          </w:p>
        </w:tc>
        <w:tc>
          <w:tcPr>
            <w:tcW w:w="736" w:type="dxa"/>
            <w:vMerge w:val="restart"/>
            <w:shd w:val="clear" w:color="auto" w:fill="D9D9D9"/>
            <w:vAlign w:val="center"/>
          </w:tcPr>
          <w:p w:rsidR="00850B27" w:rsidRPr="00DB671B" w:rsidRDefault="00850B27" w:rsidP="00DB671B">
            <w:pPr>
              <w:keepNext/>
              <w:jc w:val="left"/>
              <w:rPr>
                <w:rFonts w:cs="Arial"/>
                <w:iCs/>
              </w:rPr>
            </w:pPr>
            <w:r w:rsidRPr="00DB671B">
              <w:rPr>
                <w:rFonts w:cs="Arial"/>
                <w:iCs/>
              </w:rPr>
              <w:t>TWO</w:t>
            </w:r>
          </w:p>
        </w:tc>
        <w:tc>
          <w:tcPr>
            <w:tcW w:w="993" w:type="dxa"/>
            <w:vMerge w:val="restart"/>
            <w:shd w:val="clear" w:color="auto" w:fill="D9D9D9"/>
            <w:vAlign w:val="center"/>
          </w:tcPr>
          <w:p w:rsidR="00850B27" w:rsidRPr="00DB671B" w:rsidRDefault="00850B27" w:rsidP="00DB671B">
            <w:pPr>
              <w:pStyle w:val="BodyText"/>
              <w:keepNext/>
              <w:jc w:val="left"/>
              <w:rPr>
                <w:rFonts w:cs="Arial"/>
                <w:iCs/>
                <w:snapToGrid w:val="0"/>
              </w:rPr>
            </w:pPr>
          </w:p>
        </w:tc>
      </w:tr>
      <w:tr w:rsidR="00DB671B" w:rsidRPr="00DB671B" w:rsidTr="00DB671B">
        <w:trPr>
          <w:cantSplit/>
          <w:trHeight w:hRule="exact" w:val="791"/>
          <w:jc w:val="center"/>
        </w:trPr>
        <w:tc>
          <w:tcPr>
            <w:tcW w:w="2894" w:type="dxa"/>
            <w:vMerge/>
            <w:shd w:val="clear" w:color="auto" w:fill="D9D9D9"/>
            <w:vAlign w:val="center"/>
          </w:tcPr>
          <w:p w:rsidR="00850B27" w:rsidRPr="00DB671B" w:rsidRDefault="00850B27" w:rsidP="00DB671B">
            <w:pPr>
              <w:pStyle w:val="TitleofDoc"/>
              <w:keepNext/>
              <w:tabs>
                <w:tab w:val="left" w:pos="5245"/>
                <w:tab w:val="left" w:pos="7008"/>
              </w:tabs>
              <w:spacing w:before="0"/>
              <w:jc w:val="left"/>
              <w:rPr>
                <w:rFonts w:cs="Arial"/>
                <w:caps w:val="0"/>
              </w:rPr>
            </w:pPr>
          </w:p>
        </w:tc>
        <w:tc>
          <w:tcPr>
            <w:tcW w:w="2552" w:type="dxa"/>
            <w:shd w:val="clear" w:color="auto" w:fill="D9D9D9"/>
            <w:vAlign w:val="center"/>
          </w:tcPr>
          <w:p w:rsidR="00850B27" w:rsidRPr="00DB671B" w:rsidRDefault="00850B27" w:rsidP="00DB671B">
            <w:pPr>
              <w:pStyle w:val="BodyText"/>
              <w:keepNext/>
              <w:jc w:val="left"/>
              <w:rPr>
                <w:rFonts w:cs="Arial"/>
              </w:rPr>
            </w:pPr>
            <w:r w:rsidRPr="00DB671B">
              <w:rPr>
                <w:rFonts w:cs="Arial"/>
              </w:rPr>
              <w:t>Nombre de car. : 25 Nombre de car. (*) : 14</w:t>
            </w:r>
          </w:p>
        </w:tc>
        <w:tc>
          <w:tcPr>
            <w:tcW w:w="2807" w:type="dxa"/>
            <w:shd w:val="clear" w:color="auto" w:fill="D9D9D9"/>
            <w:vAlign w:val="center"/>
          </w:tcPr>
          <w:p w:rsidR="00850B27" w:rsidRPr="00DB671B" w:rsidRDefault="00850B27" w:rsidP="00DB671B">
            <w:pPr>
              <w:keepNext/>
              <w:jc w:val="left"/>
              <w:rPr>
                <w:rFonts w:cs="Arial"/>
                <w:iCs/>
                <w:snapToGrid w:val="0"/>
              </w:rPr>
            </w:pPr>
            <w:r w:rsidRPr="00DB671B">
              <w:rPr>
                <w:rFonts w:cs="Arial"/>
                <w:iCs/>
                <w:snapToGrid w:val="0"/>
              </w:rPr>
              <w:t xml:space="preserve">(Experts intéressés : </w:t>
            </w:r>
            <w:r w:rsidRPr="00DB671B">
              <w:rPr>
                <w:rFonts w:cs="Arial"/>
              </w:rPr>
              <w:t>JP, MX, NL, QZ</w:t>
            </w:r>
            <w:r w:rsidRPr="00DB671B">
              <w:rPr>
                <w:rFonts w:eastAsia="SimSun" w:cs="Arial"/>
                <w:lang w:eastAsia="zh-CN"/>
              </w:rPr>
              <w:t>)</w:t>
            </w:r>
          </w:p>
        </w:tc>
        <w:tc>
          <w:tcPr>
            <w:tcW w:w="736" w:type="dxa"/>
            <w:vMerge/>
            <w:shd w:val="clear" w:color="auto" w:fill="D9D9D9"/>
            <w:vAlign w:val="center"/>
          </w:tcPr>
          <w:p w:rsidR="00850B27" w:rsidRPr="00DB671B" w:rsidRDefault="00850B27" w:rsidP="00DB671B">
            <w:pPr>
              <w:keepNext/>
              <w:jc w:val="left"/>
              <w:rPr>
                <w:rFonts w:cs="Arial"/>
                <w:iCs/>
              </w:rPr>
            </w:pPr>
          </w:p>
        </w:tc>
        <w:tc>
          <w:tcPr>
            <w:tcW w:w="993" w:type="dxa"/>
            <w:vMerge/>
            <w:shd w:val="clear" w:color="auto" w:fill="D9D9D9"/>
            <w:vAlign w:val="center"/>
          </w:tcPr>
          <w:p w:rsidR="00850B27" w:rsidRPr="00DB671B" w:rsidRDefault="00850B27" w:rsidP="00DB671B">
            <w:pPr>
              <w:pStyle w:val="BodyText"/>
              <w:keepNext/>
              <w:jc w:val="left"/>
              <w:rPr>
                <w:rFonts w:cs="Arial"/>
                <w:iCs/>
                <w:snapToGrid w:val="0"/>
              </w:rPr>
            </w:pPr>
          </w:p>
        </w:tc>
      </w:tr>
    </w:tbl>
    <w:p w:rsidR="00850B27" w:rsidRPr="00DB671B" w:rsidRDefault="00850B27" w:rsidP="00DB671B">
      <w:pPr>
        <w:keepNext/>
        <w:rPr>
          <w:rFonts w:eastAsia="Arial" w:cs="Arial"/>
          <w:u w:val="single"/>
        </w:rPr>
      </w:pPr>
    </w:p>
    <w:p w:rsidR="00850B27" w:rsidRPr="00DB671B" w:rsidRDefault="00850B27" w:rsidP="00DB671B">
      <w:pPr>
        <w:keepNext/>
        <w:ind w:firstLine="567"/>
        <w:rPr>
          <w:rFonts w:cs="Arial"/>
          <w:snapToGrid w:val="0"/>
        </w:rPr>
      </w:pPr>
      <w:r w:rsidRPr="00DB671B">
        <w:rPr>
          <w:rFonts w:cs="Arial"/>
          <w:snapToGrid w:val="0"/>
        </w:rPr>
        <w:t>À sa réunion tenue à Genève en octobre 2019, le TC-EDC a examiné le document TG/242/4(proj.2) et a formulé les recommandations présentées dans le tableau ci-dessous.</w:t>
      </w:r>
    </w:p>
    <w:p w:rsidR="00850B27" w:rsidRPr="00DB671B" w:rsidRDefault="00850B27" w:rsidP="00DB671B">
      <w:pPr>
        <w:keepNext/>
        <w:ind w:firstLine="567"/>
        <w:rPr>
          <w:rFonts w:cs="Arial"/>
        </w:rPr>
      </w:pPr>
    </w:p>
    <w:p w:rsidR="00850B27" w:rsidRPr="00DB671B" w:rsidRDefault="00850B27" w:rsidP="00DB671B">
      <w:pPr>
        <w:keepNext/>
        <w:rPr>
          <w:rFonts w:cs="Arial"/>
        </w:rPr>
      </w:pPr>
      <w:r w:rsidRPr="00DB671B">
        <w:rPr>
          <w:rFonts w:cs="Arial"/>
        </w:rPr>
        <w:tab/>
        <w:t xml:space="preserve">Le TC-EDC est convenu que des précisions d’ordre rédactionnel étaient nécessaires </w:t>
      </w:r>
      <w:r w:rsidR="00BF2AFF">
        <w:rPr>
          <w:rFonts w:cs="Arial"/>
          <w:snapToGrid w:val="0"/>
        </w:rPr>
        <w:t>(indiquées ci</w:t>
      </w:r>
      <w:r w:rsidR="00BF2AFF">
        <w:rPr>
          <w:rFonts w:cs="Arial"/>
          <w:snapToGrid w:val="0"/>
        </w:rPr>
        <w:noBreakHyphen/>
      </w:r>
      <w:r w:rsidRPr="00DB671B">
        <w:rPr>
          <w:rFonts w:cs="Arial"/>
          <w:snapToGrid w:val="0"/>
        </w:rPr>
        <w:t>dessous par “</w:t>
      </w:r>
      <w:r w:rsidRPr="00DB671B">
        <w:rPr>
          <w:rFonts w:cs="Arial"/>
          <w:snapToGrid w:val="0"/>
          <w:vertAlign w:val="superscript"/>
        </w:rPr>
        <w:t>#</w:t>
      </w:r>
      <w:r w:rsidRPr="00DB671B">
        <w:rPr>
          <w:rFonts w:cs="Arial"/>
          <w:snapToGrid w:val="0"/>
        </w:rPr>
        <w:t>”)</w:t>
      </w:r>
      <w:r w:rsidRPr="00DB671B">
        <w:rPr>
          <w:rFonts w:cs="Arial"/>
        </w:rPr>
        <w:t xml:space="preserve"> concernant le projet de principes directeurs d’examen du pourpier (</w:t>
      </w:r>
      <w:r w:rsidRPr="00DB671B">
        <w:rPr>
          <w:rFonts w:cs="Arial"/>
          <w:snapToGrid w:val="0"/>
        </w:rPr>
        <w:t>document </w:t>
      </w:r>
      <w:r w:rsidRPr="00DB671B">
        <w:rPr>
          <w:rFonts w:cs="Arial"/>
          <w:caps/>
        </w:rPr>
        <w:t>TG/242/4(</w:t>
      </w:r>
      <w:r w:rsidRPr="00DB671B">
        <w:rPr>
          <w:rFonts w:cs="Arial"/>
        </w:rPr>
        <w:t xml:space="preserve">proj.2)) et est convenu de réexaminer le projet de principes directeurs d’examen à sa réunion qui se tiendrait en mars 2020.  </w:t>
      </w:r>
    </w:p>
    <w:p w:rsidR="00850B27" w:rsidRPr="00DB671B" w:rsidRDefault="00850B27" w:rsidP="00DB671B">
      <w:pPr>
        <w:keepNext/>
        <w:rPr>
          <w:rFonts w:eastAsia="Arial" w:cs="Arial"/>
          <w:u w:val="single"/>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208"/>
      </w:tblGrid>
      <w:tr w:rsidR="00DB671B" w:rsidRPr="00DB671B" w:rsidTr="00DB671B">
        <w:trPr>
          <w:cantSplit/>
        </w:trPr>
        <w:tc>
          <w:tcPr>
            <w:tcW w:w="1573" w:type="dxa"/>
          </w:tcPr>
          <w:p w:rsidR="00850B27" w:rsidRPr="00DB671B" w:rsidRDefault="00850B27" w:rsidP="00DB671B">
            <w:pPr>
              <w:keepNext/>
              <w:jc w:val="left"/>
              <w:rPr>
                <w:rFonts w:cs="Arial"/>
              </w:rPr>
            </w:pPr>
            <w:r w:rsidRPr="00DB671B">
              <w:rPr>
                <w:rFonts w:cs="Arial"/>
              </w:rPr>
              <w:t>Car. 12</w:t>
            </w:r>
          </w:p>
        </w:tc>
        <w:tc>
          <w:tcPr>
            <w:tcW w:w="8208" w:type="dxa"/>
          </w:tcPr>
          <w:p w:rsidR="00850B27" w:rsidRPr="00DB671B" w:rsidRDefault="00850B27" w:rsidP="00DB671B">
            <w:pPr>
              <w:keepNext/>
              <w:jc w:val="left"/>
              <w:rPr>
                <w:rFonts w:cs="Arial"/>
              </w:rPr>
            </w:pPr>
            <w:r w:rsidRPr="00DB671B">
              <w:rPr>
                <w:rFonts w:cs="Arial"/>
              </w:rPr>
              <w:t>supprimer b)</w:t>
            </w:r>
          </w:p>
        </w:tc>
      </w:tr>
      <w:tr w:rsidR="00DB671B" w:rsidRPr="00DB671B" w:rsidTr="00DB671B">
        <w:trPr>
          <w:cantSplit/>
        </w:trPr>
        <w:tc>
          <w:tcPr>
            <w:tcW w:w="1573" w:type="dxa"/>
          </w:tcPr>
          <w:p w:rsidR="00850B27" w:rsidRPr="00DB671B" w:rsidRDefault="00850B27" w:rsidP="00DB671B">
            <w:pPr>
              <w:jc w:val="left"/>
              <w:rPr>
                <w:rFonts w:cs="Arial"/>
              </w:rPr>
            </w:pPr>
            <w:r w:rsidRPr="00DB671B">
              <w:rPr>
                <w:rFonts w:cs="Arial"/>
                <w:snapToGrid w:val="0"/>
                <w:vertAlign w:val="superscript"/>
              </w:rPr>
              <w:t>#</w:t>
            </w:r>
            <w:r w:rsidRPr="00DB671B">
              <w:rPr>
                <w:rFonts w:cs="Arial"/>
              </w:rPr>
              <w:t>Caractères 9, 14, 23</w:t>
            </w:r>
          </w:p>
        </w:tc>
        <w:tc>
          <w:tcPr>
            <w:tcW w:w="8208" w:type="dxa"/>
          </w:tcPr>
          <w:p w:rsidR="00850B27" w:rsidRPr="00DB671B" w:rsidRDefault="00850B27" w:rsidP="00DB671B">
            <w:pPr>
              <w:keepNext/>
              <w:rPr>
                <w:rFonts w:cs="Arial"/>
              </w:rPr>
            </w:pPr>
            <w:r w:rsidRPr="00DB671B">
              <w:rPr>
                <w:rFonts w:cs="Arial"/>
              </w:rPr>
              <w:t xml:space="preserve">Ajouter des variétés indiquées à titre d’exemple pour les caractères 9, 14 et 23 </w:t>
            </w:r>
            <w:r w:rsidRPr="00DB671B">
              <w:rPr>
                <w:rFonts w:eastAsia="Arial" w:cs="Arial"/>
              </w:rPr>
              <w:t>(voir le document TGP/7 (GN 28))</w:t>
            </w:r>
          </w:p>
          <w:p w:rsidR="00850B27" w:rsidRPr="00DB671B" w:rsidRDefault="00850B27" w:rsidP="00DB671B">
            <w:pPr>
              <w:keepNext/>
              <w:rPr>
                <w:rFonts w:cs="Arial"/>
              </w:rPr>
            </w:pPr>
            <w:r w:rsidRPr="00DB671B">
              <w:rPr>
                <w:rFonts w:cs="Arial"/>
              </w:rPr>
              <w:t>(pour les caractères 9 et 14 celles illustrant les niveaux dans Ad. 9 et 14 pourraient être utilisées)</w:t>
            </w:r>
          </w:p>
        </w:tc>
      </w:tr>
      <w:tr w:rsidR="00DB671B" w:rsidRPr="00DB671B" w:rsidTr="00DB671B">
        <w:trPr>
          <w:cantSplit/>
        </w:trPr>
        <w:tc>
          <w:tcPr>
            <w:tcW w:w="1573" w:type="dxa"/>
            <w:tcBorders>
              <w:top w:val="single" w:sz="4" w:space="0" w:color="auto"/>
              <w:left w:val="single" w:sz="4" w:space="0" w:color="auto"/>
              <w:bottom w:val="single" w:sz="4" w:space="0" w:color="auto"/>
              <w:right w:val="single" w:sz="4" w:space="0" w:color="auto"/>
            </w:tcBorders>
          </w:tcPr>
          <w:p w:rsidR="00850B27" w:rsidRPr="00DB671B" w:rsidRDefault="00850B27" w:rsidP="00DB671B">
            <w:pPr>
              <w:rPr>
                <w:rFonts w:cs="Arial"/>
              </w:rPr>
            </w:pPr>
            <w:r w:rsidRPr="00DB671B">
              <w:rPr>
                <w:rFonts w:cs="Arial"/>
              </w:rPr>
              <w:t>Car. 24</w:t>
            </w:r>
          </w:p>
        </w:tc>
        <w:tc>
          <w:tcPr>
            <w:tcW w:w="8208" w:type="dxa"/>
            <w:tcBorders>
              <w:top w:val="single" w:sz="4" w:space="0" w:color="auto"/>
              <w:left w:val="single" w:sz="4" w:space="0" w:color="auto"/>
              <w:bottom w:val="single" w:sz="4" w:space="0" w:color="auto"/>
              <w:right w:val="single" w:sz="4" w:space="0" w:color="auto"/>
            </w:tcBorders>
          </w:tcPr>
          <w:p w:rsidR="00850B27" w:rsidRPr="00DB671B" w:rsidRDefault="00850B27" w:rsidP="00DB671B">
            <w:pPr>
              <w:rPr>
                <w:rFonts w:cs="Arial"/>
              </w:rPr>
            </w:pPr>
            <w:r w:rsidRPr="00DB671B">
              <w:rPr>
                <w:rFonts w:cs="Arial"/>
              </w:rPr>
              <w:t>“Seulement les variétés avec...” peut être supprimé (il va de soi que les choses qui n’existent pas ne peuvent pas être décrites).</w:t>
            </w:r>
          </w:p>
        </w:tc>
      </w:tr>
      <w:tr w:rsidR="00DB671B" w:rsidRPr="00DB671B" w:rsidTr="00DB671B">
        <w:trPr>
          <w:cantSplit/>
        </w:trPr>
        <w:tc>
          <w:tcPr>
            <w:tcW w:w="1573" w:type="dxa"/>
            <w:tcBorders>
              <w:top w:val="single" w:sz="4" w:space="0" w:color="auto"/>
              <w:left w:val="single" w:sz="4" w:space="0" w:color="auto"/>
              <w:bottom w:val="single" w:sz="4" w:space="0" w:color="auto"/>
              <w:right w:val="single" w:sz="4" w:space="0" w:color="auto"/>
            </w:tcBorders>
          </w:tcPr>
          <w:p w:rsidR="00850B27" w:rsidRPr="00DB671B" w:rsidRDefault="00850B27" w:rsidP="00DB671B">
            <w:pPr>
              <w:rPr>
                <w:rFonts w:cs="Arial"/>
              </w:rPr>
            </w:pPr>
            <w:r w:rsidRPr="00DB671B">
              <w:rPr>
                <w:rFonts w:cs="Arial"/>
              </w:rPr>
              <w:t>8.1 (a)</w:t>
            </w:r>
          </w:p>
        </w:tc>
        <w:tc>
          <w:tcPr>
            <w:tcW w:w="8208" w:type="dxa"/>
            <w:tcBorders>
              <w:top w:val="single" w:sz="4" w:space="0" w:color="auto"/>
              <w:left w:val="single" w:sz="4" w:space="0" w:color="auto"/>
              <w:bottom w:val="single" w:sz="4" w:space="0" w:color="auto"/>
              <w:right w:val="single" w:sz="4" w:space="0" w:color="auto"/>
            </w:tcBorders>
          </w:tcPr>
          <w:p w:rsidR="00850B27" w:rsidRPr="00DB671B" w:rsidRDefault="00850B27" w:rsidP="00DB671B">
            <w:pPr>
              <w:rPr>
                <w:rFonts w:cs="Arial"/>
              </w:rPr>
            </w:pPr>
            <w:r w:rsidRPr="00DB671B">
              <w:rPr>
                <w:rFonts w:cs="Arial"/>
              </w:rPr>
              <w:t>Modifier le libellé comme suit : “Les observations doivent être effectuées sur la face supérieure des feuilles pleinement développées de la partie médiane de la plante.”</w:t>
            </w:r>
          </w:p>
        </w:tc>
      </w:tr>
      <w:tr w:rsidR="00DB671B" w:rsidRPr="00DB671B" w:rsidTr="00DB671B">
        <w:trPr>
          <w:cantSplit/>
        </w:trPr>
        <w:tc>
          <w:tcPr>
            <w:tcW w:w="1573" w:type="dxa"/>
            <w:tcBorders>
              <w:top w:val="single" w:sz="4" w:space="0" w:color="auto"/>
              <w:left w:val="single" w:sz="4" w:space="0" w:color="auto"/>
              <w:bottom w:val="single" w:sz="4" w:space="0" w:color="auto"/>
              <w:right w:val="single" w:sz="4" w:space="0" w:color="auto"/>
            </w:tcBorders>
          </w:tcPr>
          <w:p w:rsidR="00850B27" w:rsidRPr="00DB671B" w:rsidRDefault="00850B27" w:rsidP="00DB671B">
            <w:pPr>
              <w:rPr>
                <w:rFonts w:cs="Arial"/>
              </w:rPr>
            </w:pPr>
            <w:r w:rsidRPr="00DB671B">
              <w:rPr>
                <w:rFonts w:cs="Arial"/>
              </w:rPr>
              <w:t>8.1 (b)</w:t>
            </w:r>
          </w:p>
        </w:tc>
        <w:tc>
          <w:tcPr>
            <w:tcW w:w="8208" w:type="dxa"/>
            <w:tcBorders>
              <w:top w:val="single" w:sz="4" w:space="0" w:color="auto"/>
              <w:left w:val="single" w:sz="4" w:space="0" w:color="auto"/>
              <w:bottom w:val="single" w:sz="4" w:space="0" w:color="auto"/>
              <w:right w:val="single" w:sz="4" w:space="0" w:color="auto"/>
            </w:tcBorders>
          </w:tcPr>
          <w:p w:rsidR="00850B27" w:rsidRPr="00DB671B" w:rsidRDefault="00850B27" w:rsidP="00DB671B">
            <w:pPr>
              <w:rPr>
                <w:rFonts w:cs="Arial"/>
              </w:rPr>
            </w:pPr>
            <w:r w:rsidRPr="00DB671B">
              <w:rPr>
                <w:rFonts w:cs="Arial"/>
              </w:rPr>
              <w:t>Modifier le libellé comme suit : “Les observations doivent être effectuées sur la face interne d’une fleur pleinement ouverte.”</w:t>
            </w:r>
          </w:p>
        </w:tc>
      </w:tr>
      <w:tr w:rsidR="00DB671B" w:rsidRPr="00DB671B" w:rsidTr="00DB671B">
        <w:trPr>
          <w:cantSplit/>
        </w:trPr>
        <w:tc>
          <w:tcPr>
            <w:tcW w:w="1573" w:type="dxa"/>
            <w:tcBorders>
              <w:top w:val="single" w:sz="4" w:space="0" w:color="auto"/>
              <w:left w:val="single" w:sz="4" w:space="0" w:color="auto"/>
              <w:bottom w:val="single" w:sz="4" w:space="0" w:color="auto"/>
              <w:right w:val="single" w:sz="4" w:space="0" w:color="auto"/>
            </w:tcBorders>
          </w:tcPr>
          <w:p w:rsidR="00850B27" w:rsidRPr="00DB671B" w:rsidRDefault="00850B27" w:rsidP="00DB671B">
            <w:pPr>
              <w:rPr>
                <w:rFonts w:cs="Arial"/>
              </w:rPr>
            </w:pPr>
            <w:r w:rsidRPr="00DB671B">
              <w:rPr>
                <w:rFonts w:cs="Arial"/>
              </w:rPr>
              <w:t>8.1 (c)</w:t>
            </w:r>
          </w:p>
        </w:tc>
        <w:tc>
          <w:tcPr>
            <w:tcW w:w="8208" w:type="dxa"/>
            <w:tcBorders>
              <w:top w:val="single" w:sz="4" w:space="0" w:color="auto"/>
              <w:left w:val="single" w:sz="4" w:space="0" w:color="auto"/>
              <w:bottom w:val="single" w:sz="4" w:space="0" w:color="auto"/>
              <w:right w:val="single" w:sz="4" w:space="0" w:color="auto"/>
            </w:tcBorders>
          </w:tcPr>
          <w:p w:rsidR="00850B27" w:rsidRPr="00DB671B" w:rsidRDefault="00850B27" w:rsidP="00DB671B">
            <w:pPr>
              <w:rPr>
                <w:rFonts w:cs="Arial"/>
              </w:rPr>
            </w:pPr>
            <w:r w:rsidRPr="00DB671B">
              <w:rPr>
                <w:rFonts w:cs="Arial"/>
              </w:rPr>
              <w:t>Modifier le libellé comme suit : “Les observations doivent être effectuées sur la face interne.  Sauf indication contraire, les observations sur les pétales des fleurs doubles doivent être effectuées sur le verticille externe des pétales.</w:t>
            </w:r>
          </w:p>
        </w:tc>
      </w:tr>
      <w:tr w:rsidR="00DB671B" w:rsidRPr="00DB671B" w:rsidTr="00DB671B">
        <w:trPr>
          <w:cantSplit/>
        </w:trPr>
        <w:tc>
          <w:tcPr>
            <w:tcW w:w="1573" w:type="dxa"/>
            <w:tcBorders>
              <w:top w:val="single" w:sz="4" w:space="0" w:color="auto"/>
              <w:left w:val="single" w:sz="4" w:space="0" w:color="auto"/>
              <w:bottom w:val="single" w:sz="4" w:space="0" w:color="auto"/>
              <w:right w:val="single" w:sz="4" w:space="0" w:color="auto"/>
            </w:tcBorders>
          </w:tcPr>
          <w:p w:rsidR="00850B27" w:rsidRPr="00DB671B" w:rsidRDefault="00850B27" w:rsidP="00DB671B">
            <w:pPr>
              <w:rPr>
                <w:rFonts w:cs="Arial"/>
              </w:rPr>
            </w:pPr>
            <w:r w:rsidRPr="00DB671B">
              <w:rPr>
                <w:rFonts w:cs="Arial"/>
              </w:rPr>
              <w:t>Ad. 19</w:t>
            </w:r>
          </w:p>
        </w:tc>
        <w:tc>
          <w:tcPr>
            <w:tcW w:w="8208" w:type="dxa"/>
            <w:tcBorders>
              <w:top w:val="single" w:sz="4" w:space="0" w:color="auto"/>
              <w:left w:val="single" w:sz="4" w:space="0" w:color="auto"/>
              <w:bottom w:val="single" w:sz="4" w:space="0" w:color="auto"/>
              <w:right w:val="single" w:sz="4" w:space="0" w:color="auto"/>
            </w:tcBorders>
          </w:tcPr>
          <w:p w:rsidR="00850B27" w:rsidRPr="00DB671B" w:rsidRDefault="00850B27" w:rsidP="00DB671B">
            <w:pPr>
              <w:rPr>
                <w:rFonts w:cs="Arial"/>
              </w:rPr>
            </w:pPr>
            <w:r w:rsidRPr="00DB671B">
              <w:rPr>
                <w:rFonts w:cs="Arial"/>
              </w:rPr>
              <w:t>“Dans les variétés avec…”</w:t>
            </w:r>
          </w:p>
        </w:tc>
      </w:tr>
      <w:tr w:rsidR="00DB671B" w:rsidRPr="00DB671B" w:rsidTr="00DB671B">
        <w:trPr>
          <w:cantSplit/>
        </w:trPr>
        <w:tc>
          <w:tcPr>
            <w:tcW w:w="1573" w:type="dxa"/>
            <w:tcBorders>
              <w:top w:val="single" w:sz="4" w:space="0" w:color="auto"/>
              <w:left w:val="single" w:sz="4" w:space="0" w:color="auto"/>
              <w:bottom w:val="single" w:sz="4" w:space="0" w:color="auto"/>
              <w:right w:val="single" w:sz="4" w:space="0" w:color="auto"/>
            </w:tcBorders>
          </w:tcPr>
          <w:p w:rsidR="00850B27" w:rsidRPr="00DB671B" w:rsidRDefault="00850B27" w:rsidP="00DB671B">
            <w:pPr>
              <w:rPr>
                <w:rFonts w:cs="Arial"/>
              </w:rPr>
            </w:pPr>
            <w:r w:rsidRPr="00DB671B">
              <w:rPr>
                <w:rFonts w:cs="Arial"/>
              </w:rPr>
              <w:t>TQ</w:t>
            </w:r>
          </w:p>
        </w:tc>
        <w:tc>
          <w:tcPr>
            <w:tcW w:w="8208" w:type="dxa"/>
            <w:tcBorders>
              <w:top w:val="single" w:sz="4" w:space="0" w:color="auto"/>
              <w:left w:val="single" w:sz="4" w:space="0" w:color="auto"/>
              <w:bottom w:val="single" w:sz="4" w:space="0" w:color="auto"/>
              <w:right w:val="single" w:sz="4" w:space="0" w:color="auto"/>
            </w:tcBorders>
          </w:tcPr>
          <w:p w:rsidR="00850B27" w:rsidRPr="00DB671B" w:rsidRDefault="00850B27" w:rsidP="00DB671B">
            <w:pPr>
              <w:rPr>
                <w:rFonts w:cs="Arial"/>
              </w:rPr>
            </w:pPr>
            <w:r w:rsidRPr="00DB671B">
              <w:rPr>
                <w:rFonts w:cs="Arial"/>
              </w:rPr>
              <w:t>Modifier le libellé comme suit : 1.4.1 et 1.4.2 avec des cases vides (p. ex. pour indiquer les hybrides interspécifiques)</w:t>
            </w:r>
          </w:p>
        </w:tc>
      </w:tr>
    </w:tbl>
    <w:p w:rsidR="00850B27" w:rsidRDefault="00850B27" w:rsidP="00DB671B">
      <w:pPr>
        <w:rPr>
          <w:rFonts w:cs="Arial"/>
        </w:rPr>
      </w:pPr>
    </w:p>
    <w:p w:rsidR="00C46994" w:rsidRPr="00C46994" w:rsidRDefault="00C46994" w:rsidP="00DB671B">
      <w:pPr>
        <w:rPr>
          <w:rFonts w:cs="Arial"/>
          <w:sz w:val="18"/>
        </w:rPr>
      </w:pPr>
    </w:p>
    <w:p w:rsidR="00850B27" w:rsidRPr="00C46994" w:rsidRDefault="00850B27" w:rsidP="00C46994">
      <w:pPr>
        <w:jc w:val="right"/>
        <w:rPr>
          <w:rFonts w:cs="Arial"/>
        </w:rPr>
      </w:pPr>
      <w:r w:rsidRPr="00DB671B">
        <w:rPr>
          <w:rFonts w:cs="Arial"/>
        </w:rPr>
        <w:t>[Fin de l’annexe II et du document]</w:t>
      </w:r>
    </w:p>
    <w:sectPr w:rsidR="00850B27" w:rsidRPr="00C46994" w:rsidSect="008759E5">
      <w:headerReference w:type="default" r:id="rId16"/>
      <w:headerReference w:type="first" r:id="rId17"/>
      <w:pgSz w:w="11907" w:h="16840" w:code="9"/>
      <w:pgMar w:top="510" w:right="1134" w:bottom="1134" w:left="1134" w:header="510" w:footer="68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56F8" w:rsidRDefault="004056F8" w:rsidP="00A83A59">
      <w:r>
        <w:separator/>
      </w:r>
    </w:p>
  </w:endnote>
  <w:endnote w:type="continuationSeparator" w:id="0">
    <w:p w:rsidR="004056F8" w:rsidRDefault="004056F8" w:rsidP="00A83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MS Goth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56F8" w:rsidRDefault="004056F8" w:rsidP="00A83A59">
      <w:r>
        <w:separator/>
      </w:r>
    </w:p>
  </w:footnote>
  <w:footnote w:type="continuationSeparator" w:id="0">
    <w:p w:rsidR="004056F8" w:rsidRDefault="004056F8" w:rsidP="00A83A59">
      <w:r>
        <w:continuationSeparator/>
      </w:r>
    </w:p>
  </w:footnote>
  <w:footnote w:id="1">
    <w:p w:rsidR="004056F8" w:rsidRPr="00DB671B" w:rsidRDefault="004056F8" w:rsidP="00DB671B">
      <w:pPr>
        <w:pStyle w:val="FootnoteText"/>
        <w:rPr>
          <w:lang w:val="fr-CH"/>
        </w:rPr>
      </w:pPr>
      <w:r w:rsidRPr="00DB671B">
        <w:rPr>
          <w:rStyle w:val="FootnoteReference"/>
        </w:rPr>
        <w:footnoteRef/>
      </w:r>
      <w:r w:rsidRPr="00DB671B">
        <w:t xml:space="preserve"> </w:t>
      </w:r>
      <w:r w:rsidRPr="00DB671B">
        <w:tab/>
        <w:t>Journée des obtenteurs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56F8" w:rsidRPr="007273D4" w:rsidRDefault="004056F8" w:rsidP="00DB671B">
    <w:pPr>
      <w:pStyle w:val="Header"/>
      <w:rPr>
        <w:rStyle w:val="PageNumber"/>
        <w:lang w:val="fr-CH"/>
      </w:rPr>
    </w:pPr>
    <w:r w:rsidRPr="007273D4">
      <w:rPr>
        <w:rStyle w:val="PageNumber"/>
        <w:lang w:val="fr-CH"/>
      </w:rPr>
      <w:t xml:space="preserve">TC/55/25 </w:t>
    </w:r>
  </w:p>
  <w:p w:rsidR="004056F8" w:rsidRPr="007273D4" w:rsidRDefault="004056F8" w:rsidP="00DB671B">
    <w:pPr>
      <w:pStyle w:val="Header"/>
      <w:rPr>
        <w:lang w:val="fr-CH"/>
      </w:rPr>
    </w:pPr>
    <w:r w:rsidRPr="007273D4">
      <w:rPr>
        <w:lang w:val="fr-CH"/>
      </w:rPr>
      <w:t xml:space="preserve">page </w:t>
    </w:r>
    <w:r w:rsidRPr="00C5280D">
      <w:rPr>
        <w:rStyle w:val="PageNumber"/>
      </w:rPr>
      <w:fldChar w:fldCharType="begin"/>
    </w:r>
    <w:r w:rsidRPr="007273D4">
      <w:rPr>
        <w:rStyle w:val="PageNumber"/>
        <w:lang w:val="fr-CH"/>
      </w:rPr>
      <w:instrText xml:space="preserve"> PAGE </w:instrText>
    </w:r>
    <w:r w:rsidRPr="00C5280D">
      <w:rPr>
        <w:rStyle w:val="PageNumber"/>
      </w:rPr>
      <w:fldChar w:fldCharType="separate"/>
    </w:r>
    <w:r>
      <w:rPr>
        <w:rStyle w:val="PageNumber"/>
        <w:noProof/>
        <w:lang w:val="fr-CH"/>
      </w:rPr>
      <w:t>22</w:t>
    </w:r>
    <w:r w:rsidRPr="00C5280D">
      <w:rPr>
        <w:rStyle w:val="PageNumber"/>
      </w:rPr>
      <w:fldChar w:fldCharType="end"/>
    </w:r>
  </w:p>
  <w:p w:rsidR="004056F8" w:rsidRPr="007273D4" w:rsidRDefault="004056F8" w:rsidP="00DB671B">
    <w:pPr>
      <w:rPr>
        <w:lang w:val="fr-CH"/>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56F8" w:rsidRPr="007273D4" w:rsidRDefault="004056F8" w:rsidP="00DB671B">
    <w:pPr>
      <w:pStyle w:val="Header"/>
      <w:rPr>
        <w:rStyle w:val="PageNumber"/>
        <w:lang w:val="fr-CH"/>
      </w:rPr>
    </w:pPr>
    <w:r w:rsidRPr="007273D4">
      <w:rPr>
        <w:rStyle w:val="PageNumber"/>
        <w:lang w:val="fr-CH"/>
      </w:rPr>
      <w:t>TC/55/25</w:t>
    </w:r>
  </w:p>
  <w:p w:rsidR="004056F8" w:rsidRPr="007273D4" w:rsidRDefault="004056F8" w:rsidP="00DB671B">
    <w:pPr>
      <w:pStyle w:val="Header"/>
      <w:rPr>
        <w:lang w:val="fr-CH"/>
      </w:rPr>
    </w:pPr>
    <w:r w:rsidRPr="007273D4">
      <w:rPr>
        <w:lang w:val="fr-CH"/>
      </w:rPr>
      <w:t>page</w:t>
    </w:r>
    <w:r>
      <w:rPr>
        <w:lang w:val="fr-CH"/>
      </w:rPr>
      <w:t> </w:t>
    </w:r>
    <w:r w:rsidRPr="00C5280D">
      <w:rPr>
        <w:rStyle w:val="PageNumber"/>
      </w:rPr>
      <w:fldChar w:fldCharType="begin"/>
    </w:r>
    <w:r w:rsidRPr="007273D4">
      <w:rPr>
        <w:rStyle w:val="PageNumber"/>
        <w:lang w:val="fr-CH"/>
      </w:rPr>
      <w:instrText xml:space="preserve"> PAGE </w:instrText>
    </w:r>
    <w:r w:rsidRPr="00C5280D">
      <w:rPr>
        <w:rStyle w:val="PageNumber"/>
      </w:rPr>
      <w:fldChar w:fldCharType="separate"/>
    </w:r>
    <w:r w:rsidR="00BC76D0">
      <w:rPr>
        <w:rStyle w:val="PageNumber"/>
        <w:noProof/>
        <w:lang w:val="fr-CH"/>
      </w:rPr>
      <w:t>33</w:t>
    </w:r>
    <w:r w:rsidRPr="00C5280D">
      <w:rPr>
        <w:rStyle w:val="PageNumber"/>
      </w:rPr>
      <w:fldChar w:fldCharType="end"/>
    </w:r>
  </w:p>
  <w:p w:rsidR="004056F8" w:rsidRPr="007273D4" w:rsidRDefault="004056F8" w:rsidP="00DB671B">
    <w:pPr>
      <w:jc w:val="center"/>
      <w:rPr>
        <w:lang w:val="fr-CH"/>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56F8" w:rsidRPr="001766FA" w:rsidRDefault="004056F8" w:rsidP="00DB671B">
    <w:pPr>
      <w:jc w:val="center"/>
      <w:rPr>
        <w:rFonts w:cs="Arial"/>
        <w:lang w:val="en-US"/>
      </w:rPr>
    </w:pPr>
    <w:r w:rsidRPr="001766FA">
      <w:rPr>
        <w:rFonts w:cs="Arial"/>
        <w:lang w:val="en-US"/>
      </w:rPr>
      <w:t>TC/55/25</w:t>
    </w:r>
  </w:p>
  <w:p w:rsidR="004056F8" w:rsidRPr="001766FA" w:rsidRDefault="004056F8" w:rsidP="00DB671B">
    <w:pPr>
      <w:pStyle w:val="Header"/>
      <w:rPr>
        <w:lang w:val="en-US"/>
      </w:rPr>
    </w:pPr>
    <w:r w:rsidRPr="001766FA">
      <w:rPr>
        <w:lang w:val="en-US"/>
      </w:rPr>
      <w:t>Annexe I / Annex I / Anlage I / Anexo I</w:t>
    </w:r>
  </w:p>
  <w:p w:rsidR="004056F8" w:rsidRDefault="004056F8" w:rsidP="00DB671B">
    <w:pPr>
      <w:jc w:val="center"/>
      <w:rPr>
        <w:rFonts w:cs="Arial"/>
      </w:rPr>
    </w:pPr>
    <w:r w:rsidRPr="00816DBD">
      <w:rPr>
        <w:rFonts w:cs="Arial"/>
      </w:rPr>
      <w:t xml:space="preserve">page </w:t>
    </w:r>
    <w:r w:rsidRPr="00816DBD">
      <w:rPr>
        <w:rStyle w:val="PageNumber"/>
        <w:rFonts w:cs="Arial"/>
      </w:rPr>
      <w:fldChar w:fldCharType="begin"/>
    </w:r>
    <w:r w:rsidRPr="00816DBD">
      <w:rPr>
        <w:rStyle w:val="PageNumber"/>
        <w:rFonts w:cs="Arial"/>
      </w:rPr>
      <w:instrText xml:space="preserve"> PAGE </w:instrText>
    </w:r>
    <w:r w:rsidRPr="00816DBD">
      <w:rPr>
        <w:rStyle w:val="PageNumber"/>
        <w:rFonts w:cs="Arial"/>
      </w:rPr>
      <w:fldChar w:fldCharType="separate"/>
    </w:r>
    <w:r>
      <w:rPr>
        <w:rStyle w:val="PageNumber"/>
        <w:rFonts w:cs="Arial"/>
        <w:noProof/>
      </w:rPr>
      <w:t>10</w:t>
    </w:r>
    <w:r w:rsidRPr="00816DBD">
      <w:rPr>
        <w:rStyle w:val="PageNumber"/>
        <w:rFonts w:cs="Arial"/>
      </w:rPr>
      <w:fldChar w:fldCharType="end"/>
    </w:r>
    <w:r w:rsidRPr="00816DBD">
      <w:rPr>
        <w:rStyle w:val="PageNumber"/>
        <w:rFonts w:cs="Arial"/>
      </w:rPr>
      <w:t xml:space="preserve"> </w:t>
    </w:r>
    <w:r w:rsidRPr="00816DBD">
      <w:rPr>
        <w:rFonts w:cs="Arial"/>
      </w:rPr>
      <w:t xml:space="preserve">/ Seite </w:t>
    </w:r>
    <w:r w:rsidRPr="00816DBD">
      <w:rPr>
        <w:rStyle w:val="PageNumber"/>
        <w:rFonts w:cs="Arial"/>
      </w:rPr>
      <w:fldChar w:fldCharType="begin"/>
    </w:r>
    <w:r w:rsidRPr="00816DBD">
      <w:rPr>
        <w:rStyle w:val="PageNumber"/>
        <w:rFonts w:cs="Arial"/>
      </w:rPr>
      <w:instrText xml:space="preserve"> PAGE </w:instrText>
    </w:r>
    <w:r w:rsidRPr="00816DBD">
      <w:rPr>
        <w:rStyle w:val="PageNumber"/>
        <w:rFonts w:cs="Arial"/>
      </w:rPr>
      <w:fldChar w:fldCharType="separate"/>
    </w:r>
    <w:r>
      <w:rPr>
        <w:rStyle w:val="PageNumber"/>
        <w:rFonts w:cs="Arial"/>
        <w:noProof/>
      </w:rPr>
      <w:t>10</w:t>
    </w:r>
    <w:r w:rsidRPr="00816DBD">
      <w:rPr>
        <w:rStyle w:val="PageNumber"/>
        <w:rFonts w:cs="Arial"/>
      </w:rPr>
      <w:fldChar w:fldCharType="end"/>
    </w:r>
    <w:r w:rsidRPr="00816DBD">
      <w:rPr>
        <w:rStyle w:val="PageNumber"/>
        <w:rFonts w:cs="Arial"/>
      </w:rPr>
      <w:t xml:space="preserve"> </w:t>
    </w:r>
    <w:r w:rsidRPr="00816DBD">
      <w:rPr>
        <w:rFonts w:cs="Arial"/>
      </w:rPr>
      <w:t xml:space="preserve">/ página </w:t>
    </w:r>
    <w:r w:rsidRPr="00816DBD">
      <w:rPr>
        <w:rFonts w:cs="Arial"/>
      </w:rPr>
      <w:fldChar w:fldCharType="begin"/>
    </w:r>
    <w:r w:rsidRPr="00816DBD">
      <w:rPr>
        <w:rFonts w:cs="Arial"/>
      </w:rPr>
      <w:instrText xml:space="preserve"> PAGE  \* MERGEFORMAT </w:instrText>
    </w:r>
    <w:r w:rsidRPr="00816DBD">
      <w:rPr>
        <w:rFonts w:cs="Arial"/>
      </w:rPr>
      <w:fldChar w:fldCharType="separate"/>
    </w:r>
    <w:r>
      <w:rPr>
        <w:rFonts w:cs="Arial"/>
        <w:noProof/>
      </w:rPr>
      <w:t>10</w:t>
    </w:r>
    <w:r w:rsidRPr="00816DBD">
      <w:rPr>
        <w:rFonts w:cs="Arial"/>
      </w:rPr>
      <w:fldChar w:fldCharType="end"/>
    </w:r>
  </w:p>
  <w:p w:rsidR="004056F8" w:rsidRPr="007273D4" w:rsidRDefault="004056F8" w:rsidP="00DB671B">
    <w:pPr>
      <w:jc w:val="center"/>
      <w:rPr>
        <w:lang w:val="fr-CH"/>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56F8" w:rsidRPr="001766FA" w:rsidRDefault="004056F8" w:rsidP="00DB671B">
    <w:pPr>
      <w:jc w:val="center"/>
      <w:rPr>
        <w:rFonts w:cs="Arial"/>
        <w:lang w:val="en-US"/>
      </w:rPr>
    </w:pPr>
    <w:r w:rsidRPr="001766FA">
      <w:rPr>
        <w:rFonts w:cs="Arial"/>
        <w:lang w:val="en-US"/>
      </w:rPr>
      <w:t>TC/55/25</w:t>
    </w:r>
  </w:p>
  <w:p w:rsidR="004056F8" w:rsidRPr="001766FA" w:rsidRDefault="004056F8" w:rsidP="00DB671B">
    <w:pPr>
      <w:pStyle w:val="Header"/>
      <w:rPr>
        <w:lang w:val="en-US"/>
      </w:rPr>
    </w:pPr>
    <w:r w:rsidRPr="001766FA">
      <w:rPr>
        <w:lang w:val="en-US"/>
      </w:rPr>
      <w:t>Annexe I / Annex I / Anlage I / Anexo I</w:t>
    </w:r>
  </w:p>
  <w:p w:rsidR="004056F8" w:rsidRDefault="004056F8" w:rsidP="00DB671B">
    <w:pPr>
      <w:jc w:val="center"/>
      <w:rPr>
        <w:rFonts w:cs="Arial"/>
      </w:rPr>
    </w:pPr>
    <w:r w:rsidRPr="00816DBD">
      <w:rPr>
        <w:rFonts w:cs="Arial"/>
      </w:rPr>
      <w:t xml:space="preserve">page </w:t>
    </w:r>
    <w:r w:rsidRPr="00816DBD">
      <w:rPr>
        <w:rStyle w:val="PageNumber"/>
        <w:rFonts w:cs="Arial"/>
      </w:rPr>
      <w:fldChar w:fldCharType="begin"/>
    </w:r>
    <w:r w:rsidRPr="00816DBD">
      <w:rPr>
        <w:rStyle w:val="PageNumber"/>
        <w:rFonts w:cs="Arial"/>
      </w:rPr>
      <w:instrText xml:space="preserve"> PAGE </w:instrText>
    </w:r>
    <w:r w:rsidRPr="00816DBD">
      <w:rPr>
        <w:rStyle w:val="PageNumber"/>
        <w:rFonts w:cs="Arial"/>
      </w:rPr>
      <w:fldChar w:fldCharType="separate"/>
    </w:r>
    <w:r w:rsidR="00BC76D0">
      <w:rPr>
        <w:rStyle w:val="PageNumber"/>
        <w:rFonts w:cs="Arial"/>
        <w:noProof/>
      </w:rPr>
      <w:t>5</w:t>
    </w:r>
    <w:r w:rsidRPr="00816DBD">
      <w:rPr>
        <w:rStyle w:val="PageNumber"/>
        <w:rFonts w:cs="Arial"/>
      </w:rPr>
      <w:fldChar w:fldCharType="end"/>
    </w:r>
    <w:r w:rsidRPr="00816DBD">
      <w:rPr>
        <w:rStyle w:val="PageNumber"/>
        <w:rFonts w:cs="Arial"/>
      </w:rPr>
      <w:t xml:space="preserve"> </w:t>
    </w:r>
    <w:r w:rsidRPr="00816DBD">
      <w:rPr>
        <w:rFonts w:cs="Arial"/>
      </w:rPr>
      <w:t xml:space="preserve">/ Seite </w:t>
    </w:r>
    <w:r w:rsidRPr="00816DBD">
      <w:rPr>
        <w:rStyle w:val="PageNumber"/>
        <w:rFonts w:cs="Arial"/>
      </w:rPr>
      <w:fldChar w:fldCharType="begin"/>
    </w:r>
    <w:r w:rsidRPr="00816DBD">
      <w:rPr>
        <w:rStyle w:val="PageNumber"/>
        <w:rFonts w:cs="Arial"/>
      </w:rPr>
      <w:instrText xml:space="preserve"> PAGE </w:instrText>
    </w:r>
    <w:r w:rsidRPr="00816DBD">
      <w:rPr>
        <w:rStyle w:val="PageNumber"/>
        <w:rFonts w:cs="Arial"/>
      </w:rPr>
      <w:fldChar w:fldCharType="separate"/>
    </w:r>
    <w:r w:rsidR="00BC76D0">
      <w:rPr>
        <w:rStyle w:val="PageNumber"/>
        <w:rFonts w:cs="Arial"/>
        <w:noProof/>
      </w:rPr>
      <w:t>5</w:t>
    </w:r>
    <w:r w:rsidRPr="00816DBD">
      <w:rPr>
        <w:rStyle w:val="PageNumber"/>
        <w:rFonts w:cs="Arial"/>
      </w:rPr>
      <w:fldChar w:fldCharType="end"/>
    </w:r>
    <w:r w:rsidRPr="00816DBD">
      <w:rPr>
        <w:rStyle w:val="PageNumber"/>
        <w:rFonts w:cs="Arial"/>
      </w:rPr>
      <w:t xml:space="preserve"> </w:t>
    </w:r>
    <w:r w:rsidRPr="00816DBD">
      <w:rPr>
        <w:rFonts w:cs="Arial"/>
      </w:rPr>
      <w:t xml:space="preserve">/ página </w:t>
    </w:r>
    <w:r w:rsidRPr="00816DBD">
      <w:rPr>
        <w:rFonts w:cs="Arial"/>
      </w:rPr>
      <w:fldChar w:fldCharType="begin"/>
    </w:r>
    <w:r w:rsidRPr="00816DBD">
      <w:rPr>
        <w:rFonts w:cs="Arial"/>
      </w:rPr>
      <w:instrText xml:space="preserve"> PAGE  \* MERGEFORMAT </w:instrText>
    </w:r>
    <w:r w:rsidRPr="00816DBD">
      <w:rPr>
        <w:rFonts w:cs="Arial"/>
      </w:rPr>
      <w:fldChar w:fldCharType="separate"/>
    </w:r>
    <w:r w:rsidR="00BC76D0">
      <w:rPr>
        <w:rFonts w:cs="Arial"/>
        <w:noProof/>
      </w:rPr>
      <w:t>5</w:t>
    </w:r>
    <w:r w:rsidRPr="00816DBD">
      <w:rPr>
        <w:rFonts w:cs="Arial"/>
      </w:rPr>
      <w:fldChar w:fldCharType="end"/>
    </w:r>
  </w:p>
  <w:p w:rsidR="004056F8" w:rsidRPr="007273D4" w:rsidRDefault="004056F8" w:rsidP="00DB671B">
    <w:pPr>
      <w:jc w:val="center"/>
      <w:rPr>
        <w:lang w:val="fr-CH"/>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56F8" w:rsidRPr="001766FA" w:rsidRDefault="004056F8" w:rsidP="00DB671B">
    <w:pPr>
      <w:pStyle w:val="Header"/>
      <w:rPr>
        <w:lang w:val="en-US"/>
      </w:rPr>
    </w:pPr>
    <w:r w:rsidRPr="001766FA">
      <w:rPr>
        <w:lang w:val="en-US"/>
      </w:rPr>
      <w:t>TC/55/25</w:t>
    </w:r>
  </w:p>
  <w:p w:rsidR="004056F8" w:rsidRPr="001766FA" w:rsidRDefault="004056F8" w:rsidP="00DB671B">
    <w:pPr>
      <w:pStyle w:val="Header"/>
      <w:rPr>
        <w:lang w:val="en-US"/>
      </w:rPr>
    </w:pPr>
  </w:p>
  <w:p w:rsidR="004056F8" w:rsidRPr="001766FA" w:rsidRDefault="004056F8" w:rsidP="00DB671B">
    <w:pPr>
      <w:pStyle w:val="Header"/>
      <w:rPr>
        <w:lang w:val="en-US"/>
      </w:rPr>
    </w:pPr>
    <w:r w:rsidRPr="001766FA">
      <w:rPr>
        <w:lang w:val="en-US"/>
      </w:rPr>
      <w:t>ANNEXE I / ANNEX I / ANLAGE I / ANEXO I</w:t>
    </w:r>
  </w:p>
  <w:p w:rsidR="004056F8" w:rsidRPr="001766FA" w:rsidRDefault="004056F8" w:rsidP="00DB671B">
    <w:pPr>
      <w:pStyle w:val="Header"/>
      <w:rPr>
        <w:lang w:val="en-US"/>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56F8" w:rsidRPr="00816DBD" w:rsidRDefault="004056F8" w:rsidP="00DB671B">
    <w:pPr>
      <w:jc w:val="center"/>
      <w:rPr>
        <w:rFonts w:cs="Arial"/>
      </w:rPr>
    </w:pPr>
    <w:r w:rsidRPr="00816DBD">
      <w:rPr>
        <w:rFonts w:cs="Arial"/>
      </w:rPr>
      <w:t>TC/55/25</w:t>
    </w:r>
  </w:p>
  <w:p w:rsidR="004056F8" w:rsidRDefault="004056F8" w:rsidP="008759E5">
    <w:pPr>
      <w:pStyle w:val="Header"/>
      <w:rPr>
        <w:rFonts w:cs="Arial"/>
      </w:rPr>
    </w:pPr>
    <w:r w:rsidRPr="00816DBD">
      <w:t xml:space="preserve">Annexe </w:t>
    </w:r>
    <w:r>
      <w:t>II</w:t>
    </w:r>
    <w:r w:rsidR="008759E5">
      <w:t xml:space="preserve">, </w:t>
    </w:r>
    <w:r w:rsidRPr="00816DBD">
      <w:rPr>
        <w:rFonts w:cs="Arial"/>
      </w:rPr>
      <w:t xml:space="preserve">page </w:t>
    </w:r>
    <w:r w:rsidRPr="00816DBD">
      <w:rPr>
        <w:rStyle w:val="PageNumber"/>
        <w:rFonts w:cs="Arial"/>
      </w:rPr>
      <w:fldChar w:fldCharType="begin"/>
    </w:r>
    <w:r w:rsidRPr="00816DBD">
      <w:rPr>
        <w:rStyle w:val="PageNumber"/>
        <w:rFonts w:cs="Arial"/>
      </w:rPr>
      <w:instrText xml:space="preserve"> PAGE </w:instrText>
    </w:r>
    <w:r w:rsidRPr="00816DBD">
      <w:rPr>
        <w:rStyle w:val="PageNumber"/>
        <w:rFonts w:cs="Arial"/>
      </w:rPr>
      <w:fldChar w:fldCharType="separate"/>
    </w:r>
    <w:r w:rsidR="00BC76D0">
      <w:rPr>
        <w:rStyle w:val="PageNumber"/>
        <w:rFonts w:cs="Arial"/>
        <w:noProof/>
      </w:rPr>
      <w:t>9</w:t>
    </w:r>
    <w:r w:rsidRPr="00816DBD">
      <w:rPr>
        <w:rStyle w:val="PageNumber"/>
        <w:rFonts w:cs="Arial"/>
      </w:rPr>
      <w:fldChar w:fldCharType="end"/>
    </w:r>
  </w:p>
  <w:p w:rsidR="004056F8" w:rsidRPr="007273D4" w:rsidRDefault="004056F8" w:rsidP="00DB671B">
    <w:pPr>
      <w:jc w:val="center"/>
      <w:rPr>
        <w:lang w:val="fr-CH"/>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56F8" w:rsidRPr="00954150" w:rsidRDefault="004056F8" w:rsidP="00DB671B">
    <w:pPr>
      <w:pStyle w:val="Header"/>
    </w:pPr>
    <w:r w:rsidRPr="00816DBD">
      <w:t>TC/55/25</w:t>
    </w:r>
  </w:p>
  <w:p w:rsidR="004056F8" w:rsidRPr="00954150" w:rsidRDefault="004056F8" w:rsidP="00DB671B">
    <w:pPr>
      <w:pStyle w:val="Header"/>
    </w:pPr>
  </w:p>
  <w:p w:rsidR="004056F8" w:rsidRDefault="004056F8" w:rsidP="00DB671B">
    <w:pPr>
      <w:pStyle w:val="Header"/>
    </w:pPr>
    <w:r w:rsidRPr="002742B2">
      <w:t>ANNEXE I</w:t>
    </w:r>
    <w:r>
      <w:t>I</w:t>
    </w:r>
  </w:p>
  <w:p w:rsidR="004056F8" w:rsidRPr="00F03375" w:rsidRDefault="004056F8" w:rsidP="00DB67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15:restartNumberingAfterBreak="0">
    <w:nsid w:val="085B4DE7"/>
    <w:multiLevelType w:val="hybridMultilevel"/>
    <w:tmpl w:val="BDEA3952"/>
    <w:lvl w:ilvl="0" w:tplc="66FC4678">
      <w:start w:val="1"/>
      <w:numFmt w:val="decimal"/>
      <w:lvlText w:val="%1."/>
      <w:lvlJc w:val="left"/>
      <w:pPr>
        <w:tabs>
          <w:tab w:val="num" w:pos="1137"/>
        </w:tabs>
        <w:ind w:left="1137" w:hanging="570"/>
      </w:pPr>
    </w:lvl>
    <w:lvl w:ilvl="1" w:tplc="04090019">
      <w:start w:val="1"/>
      <w:numFmt w:val="lowerLetter"/>
      <w:lvlText w:val="%2."/>
      <w:lvlJc w:val="left"/>
      <w:pPr>
        <w:tabs>
          <w:tab w:val="num" w:pos="1353"/>
        </w:tabs>
        <w:ind w:left="1353" w:hanging="360"/>
      </w:pPr>
    </w:lvl>
    <w:lvl w:ilvl="2" w:tplc="18B05CE6">
      <w:start w:val="1"/>
      <w:numFmt w:val="lowerLetter"/>
      <w:lvlText w:val="(%3)"/>
      <w:lvlJc w:val="left"/>
      <w:pPr>
        <w:tabs>
          <w:tab w:val="num" w:pos="2535"/>
        </w:tabs>
        <w:ind w:left="2535" w:hanging="555"/>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A383318"/>
    <w:multiLevelType w:val="hybridMultilevel"/>
    <w:tmpl w:val="B7245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283625"/>
    <w:multiLevelType w:val="hybridMultilevel"/>
    <w:tmpl w:val="DCFC472A"/>
    <w:lvl w:ilvl="0" w:tplc="45B471E6">
      <w:numFmt w:val="bullet"/>
      <w:lvlText w:val="-"/>
      <w:lvlJc w:val="left"/>
      <w:pPr>
        <w:ind w:left="720" w:hanging="360"/>
      </w:pPr>
      <w:rPr>
        <w:rFonts w:ascii="ArialMT" w:eastAsia="Cambria" w:hAnsi="ArialMT" w:cs="ArialM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0F66DB3"/>
    <w:multiLevelType w:val="hybridMultilevel"/>
    <w:tmpl w:val="9EE8D2D2"/>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6124EA"/>
    <w:multiLevelType w:val="hybridMultilevel"/>
    <w:tmpl w:val="28CEEB30"/>
    <w:lvl w:ilvl="0" w:tplc="66FC4678">
      <w:start w:val="1"/>
      <w:numFmt w:val="decimal"/>
      <w:lvlText w:val="%1."/>
      <w:lvlJc w:val="left"/>
      <w:pPr>
        <w:tabs>
          <w:tab w:val="num" w:pos="1138"/>
        </w:tabs>
        <w:ind w:left="1138" w:hanging="570"/>
      </w:pPr>
    </w:lvl>
    <w:lvl w:ilvl="1" w:tplc="04090019">
      <w:start w:val="1"/>
      <w:numFmt w:val="lowerLetter"/>
      <w:lvlText w:val="%2."/>
      <w:lvlJc w:val="left"/>
      <w:pPr>
        <w:tabs>
          <w:tab w:val="num" w:pos="1647"/>
        </w:tabs>
        <w:ind w:left="1647" w:hanging="360"/>
      </w:pPr>
    </w:lvl>
    <w:lvl w:ilvl="2" w:tplc="04090017">
      <w:start w:val="1"/>
      <w:numFmt w:val="lowerLetter"/>
      <w:lvlText w:val="%3)"/>
      <w:lvlJc w:val="left"/>
      <w:pPr>
        <w:tabs>
          <w:tab w:val="num" w:pos="2742"/>
        </w:tabs>
        <w:ind w:left="2742" w:hanging="555"/>
      </w:pPr>
    </w:lvl>
    <w:lvl w:ilvl="3" w:tplc="0409000F">
      <w:start w:val="1"/>
      <w:numFmt w:val="decimal"/>
      <w:lvlText w:val="%4."/>
      <w:lvlJc w:val="left"/>
      <w:pPr>
        <w:tabs>
          <w:tab w:val="num" w:pos="3087"/>
        </w:tabs>
        <w:ind w:left="3087" w:hanging="360"/>
      </w:pPr>
    </w:lvl>
    <w:lvl w:ilvl="4" w:tplc="04090019">
      <w:start w:val="1"/>
      <w:numFmt w:val="lowerLetter"/>
      <w:lvlText w:val="%5."/>
      <w:lvlJc w:val="left"/>
      <w:pPr>
        <w:tabs>
          <w:tab w:val="num" w:pos="3807"/>
        </w:tabs>
        <w:ind w:left="3807" w:hanging="360"/>
      </w:pPr>
    </w:lvl>
    <w:lvl w:ilvl="5" w:tplc="0409001B">
      <w:start w:val="1"/>
      <w:numFmt w:val="lowerRoman"/>
      <w:lvlText w:val="%6."/>
      <w:lvlJc w:val="right"/>
      <w:pPr>
        <w:tabs>
          <w:tab w:val="num" w:pos="4527"/>
        </w:tabs>
        <w:ind w:left="4527" w:hanging="180"/>
      </w:pPr>
    </w:lvl>
    <w:lvl w:ilvl="6" w:tplc="0409000F">
      <w:start w:val="1"/>
      <w:numFmt w:val="decimal"/>
      <w:lvlText w:val="%7."/>
      <w:lvlJc w:val="left"/>
      <w:pPr>
        <w:tabs>
          <w:tab w:val="num" w:pos="5247"/>
        </w:tabs>
        <w:ind w:left="5247" w:hanging="360"/>
      </w:pPr>
    </w:lvl>
    <w:lvl w:ilvl="7" w:tplc="04090019">
      <w:start w:val="1"/>
      <w:numFmt w:val="lowerLetter"/>
      <w:lvlText w:val="%8."/>
      <w:lvlJc w:val="left"/>
      <w:pPr>
        <w:tabs>
          <w:tab w:val="num" w:pos="5967"/>
        </w:tabs>
        <w:ind w:left="5967" w:hanging="360"/>
      </w:pPr>
    </w:lvl>
    <w:lvl w:ilvl="8" w:tplc="0409001B">
      <w:start w:val="1"/>
      <w:numFmt w:val="lowerRoman"/>
      <w:lvlText w:val="%9."/>
      <w:lvlJc w:val="right"/>
      <w:pPr>
        <w:tabs>
          <w:tab w:val="num" w:pos="6687"/>
        </w:tabs>
        <w:ind w:left="6687" w:hanging="180"/>
      </w:pPr>
    </w:lvl>
  </w:abstractNum>
  <w:abstractNum w:abstractNumId="6"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19C7229D"/>
    <w:multiLevelType w:val="hybridMultilevel"/>
    <w:tmpl w:val="AE06C9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230D00"/>
    <w:multiLevelType w:val="hybridMultilevel"/>
    <w:tmpl w:val="CFF2F340"/>
    <w:lvl w:ilvl="0" w:tplc="0628ADF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152A2F"/>
    <w:multiLevelType w:val="singleLevel"/>
    <w:tmpl w:val="100C0017"/>
    <w:lvl w:ilvl="0">
      <w:start w:val="1"/>
      <w:numFmt w:val="lowerLetter"/>
      <w:lvlText w:val="%1)"/>
      <w:lvlJc w:val="left"/>
      <w:pPr>
        <w:ind w:left="1494" w:hanging="360"/>
      </w:pPr>
    </w:lvl>
  </w:abstractNum>
  <w:abstractNum w:abstractNumId="10" w15:restartNumberingAfterBreak="0">
    <w:nsid w:val="2ECC1293"/>
    <w:multiLevelType w:val="hybridMultilevel"/>
    <w:tmpl w:val="F786690C"/>
    <w:lvl w:ilvl="0" w:tplc="7714A0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371ECE"/>
    <w:multiLevelType w:val="hybridMultilevel"/>
    <w:tmpl w:val="F3CEB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7A1FE6"/>
    <w:multiLevelType w:val="hybridMultilevel"/>
    <w:tmpl w:val="DB50201A"/>
    <w:lvl w:ilvl="0" w:tplc="9BCC64E0">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FEF2348"/>
    <w:multiLevelType w:val="hybridMultilevel"/>
    <w:tmpl w:val="1B2832DC"/>
    <w:lvl w:ilvl="0" w:tplc="25E2ADC0">
      <w:start w:val="8"/>
      <w:numFmt w:val="bullet"/>
      <w:lvlText w:val="•"/>
      <w:lvlJc w:val="left"/>
      <w:pPr>
        <w:ind w:left="927" w:hanging="360"/>
      </w:pPr>
      <w:rPr>
        <w:rFonts w:ascii="Arial" w:eastAsia="Times New Roma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15:restartNumberingAfterBreak="0">
    <w:nsid w:val="334A4B92"/>
    <w:multiLevelType w:val="singleLevel"/>
    <w:tmpl w:val="0409000F"/>
    <w:lvl w:ilvl="0">
      <w:start w:val="1"/>
      <w:numFmt w:val="decimal"/>
      <w:lvlText w:val="%1."/>
      <w:lvlJc w:val="left"/>
      <w:pPr>
        <w:tabs>
          <w:tab w:val="num" w:pos="360"/>
        </w:tabs>
        <w:ind w:left="360" w:hanging="360"/>
      </w:pPr>
    </w:lvl>
  </w:abstractNum>
  <w:abstractNum w:abstractNumId="15" w15:restartNumberingAfterBreak="0">
    <w:nsid w:val="3FBF35DC"/>
    <w:multiLevelType w:val="hybridMultilevel"/>
    <w:tmpl w:val="D56AF982"/>
    <w:lvl w:ilvl="0" w:tplc="0628ADF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87B5140"/>
    <w:multiLevelType w:val="hybridMultilevel"/>
    <w:tmpl w:val="97E82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2A32AC"/>
    <w:multiLevelType w:val="hybridMultilevel"/>
    <w:tmpl w:val="7E7E19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D0192D"/>
    <w:multiLevelType w:val="hybridMultilevel"/>
    <w:tmpl w:val="388491AE"/>
    <w:lvl w:ilvl="0" w:tplc="100C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0" w15:restartNumberingAfterBreak="0">
    <w:nsid w:val="52025608"/>
    <w:multiLevelType w:val="hybridMultilevel"/>
    <w:tmpl w:val="E436A04A"/>
    <w:lvl w:ilvl="0" w:tplc="0409000F">
      <w:start w:val="1"/>
      <w:numFmt w:val="decimal"/>
      <w:lvlText w:val="%1."/>
      <w:lvlJc w:val="left"/>
      <w:pPr>
        <w:ind w:left="930" w:hanging="570"/>
      </w:pPr>
      <w:rPr>
        <w:rFonts w:hint="default"/>
      </w:rPr>
    </w:lvl>
    <w:lvl w:ilvl="1" w:tplc="04090019">
      <w:start w:val="1"/>
      <w:numFmt w:val="lowerLetter"/>
      <w:lvlText w:val="%2."/>
      <w:lvlJc w:val="left"/>
      <w:pPr>
        <w:ind w:left="1440" w:hanging="360"/>
      </w:pPr>
    </w:lvl>
    <w:lvl w:ilvl="2" w:tplc="E332B4F6">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31762A"/>
    <w:multiLevelType w:val="hybridMultilevel"/>
    <w:tmpl w:val="FDB47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B13515"/>
    <w:multiLevelType w:val="hybridMultilevel"/>
    <w:tmpl w:val="39F845C4"/>
    <w:lvl w:ilvl="0" w:tplc="0628ADF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8C7E68"/>
    <w:multiLevelType w:val="hybridMultilevel"/>
    <w:tmpl w:val="485C87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23A2320"/>
    <w:multiLevelType w:val="hybridMultilevel"/>
    <w:tmpl w:val="82FC6D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730E12"/>
    <w:multiLevelType w:val="hybridMultilevel"/>
    <w:tmpl w:val="D9D0881A"/>
    <w:lvl w:ilvl="0" w:tplc="C3260E38">
      <w:start w:val="1"/>
      <w:numFmt w:val="decimal"/>
      <w:lvlText w:val="%1."/>
      <w:lvlJc w:val="left"/>
      <w:pPr>
        <w:ind w:left="1137" w:hanging="5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65972CEA"/>
    <w:multiLevelType w:val="hybridMultilevel"/>
    <w:tmpl w:val="E9E82AF4"/>
    <w:lvl w:ilvl="0" w:tplc="66FC4678">
      <w:start w:val="1"/>
      <w:numFmt w:val="decimal"/>
      <w:lvlText w:val="%1."/>
      <w:lvlJc w:val="left"/>
      <w:pPr>
        <w:tabs>
          <w:tab w:val="num" w:pos="1138"/>
        </w:tabs>
        <w:ind w:left="1138" w:hanging="570"/>
      </w:pPr>
    </w:lvl>
    <w:lvl w:ilvl="1" w:tplc="04090019">
      <w:start w:val="1"/>
      <w:numFmt w:val="lowerLetter"/>
      <w:lvlText w:val="%2."/>
      <w:lvlJc w:val="left"/>
      <w:pPr>
        <w:tabs>
          <w:tab w:val="num" w:pos="1647"/>
        </w:tabs>
        <w:ind w:left="1647" w:hanging="360"/>
      </w:pPr>
    </w:lvl>
    <w:lvl w:ilvl="2" w:tplc="5F0CD358">
      <w:start w:val="1"/>
      <w:numFmt w:val="lowerLetter"/>
      <w:lvlText w:val="(%3)"/>
      <w:lvlJc w:val="left"/>
      <w:pPr>
        <w:tabs>
          <w:tab w:val="num" w:pos="2742"/>
        </w:tabs>
        <w:ind w:left="2742" w:hanging="555"/>
      </w:pPr>
    </w:lvl>
    <w:lvl w:ilvl="3" w:tplc="0409000F">
      <w:start w:val="1"/>
      <w:numFmt w:val="decimal"/>
      <w:lvlText w:val="%4."/>
      <w:lvlJc w:val="left"/>
      <w:pPr>
        <w:tabs>
          <w:tab w:val="num" w:pos="3087"/>
        </w:tabs>
        <w:ind w:left="3087" w:hanging="360"/>
      </w:pPr>
    </w:lvl>
    <w:lvl w:ilvl="4" w:tplc="04090019">
      <w:start w:val="1"/>
      <w:numFmt w:val="lowerLetter"/>
      <w:lvlText w:val="%5."/>
      <w:lvlJc w:val="left"/>
      <w:pPr>
        <w:tabs>
          <w:tab w:val="num" w:pos="3807"/>
        </w:tabs>
        <w:ind w:left="3807" w:hanging="360"/>
      </w:pPr>
    </w:lvl>
    <w:lvl w:ilvl="5" w:tplc="0409001B">
      <w:start w:val="1"/>
      <w:numFmt w:val="lowerRoman"/>
      <w:lvlText w:val="%6."/>
      <w:lvlJc w:val="right"/>
      <w:pPr>
        <w:tabs>
          <w:tab w:val="num" w:pos="4527"/>
        </w:tabs>
        <w:ind w:left="4527" w:hanging="180"/>
      </w:pPr>
    </w:lvl>
    <w:lvl w:ilvl="6" w:tplc="0409000F">
      <w:start w:val="1"/>
      <w:numFmt w:val="decimal"/>
      <w:lvlText w:val="%7."/>
      <w:lvlJc w:val="left"/>
      <w:pPr>
        <w:tabs>
          <w:tab w:val="num" w:pos="5247"/>
        </w:tabs>
        <w:ind w:left="5247" w:hanging="360"/>
      </w:pPr>
    </w:lvl>
    <w:lvl w:ilvl="7" w:tplc="04090019">
      <w:start w:val="1"/>
      <w:numFmt w:val="lowerLetter"/>
      <w:lvlText w:val="%8."/>
      <w:lvlJc w:val="left"/>
      <w:pPr>
        <w:tabs>
          <w:tab w:val="num" w:pos="5967"/>
        </w:tabs>
        <w:ind w:left="5967" w:hanging="360"/>
      </w:pPr>
    </w:lvl>
    <w:lvl w:ilvl="8" w:tplc="0409001B">
      <w:start w:val="1"/>
      <w:numFmt w:val="lowerRoman"/>
      <w:lvlText w:val="%9."/>
      <w:lvlJc w:val="right"/>
      <w:pPr>
        <w:tabs>
          <w:tab w:val="num" w:pos="6687"/>
        </w:tabs>
        <w:ind w:left="6687" w:hanging="180"/>
      </w:pPr>
    </w:lvl>
  </w:abstractNum>
  <w:abstractNum w:abstractNumId="28" w15:restartNumberingAfterBreak="0">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9" w15:restartNumberingAfterBreak="0">
    <w:nsid w:val="699D0B31"/>
    <w:multiLevelType w:val="hybridMultilevel"/>
    <w:tmpl w:val="364ED36A"/>
    <w:lvl w:ilvl="0" w:tplc="04090017">
      <w:start w:val="1"/>
      <w:numFmt w:val="lowerLetter"/>
      <w:lvlText w:val="%1)"/>
      <w:lvlJc w:val="left"/>
      <w:pPr>
        <w:tabs>
          <w:tab w:val="num" w:pos="1689"/>
        </w:tabs>
        <w:ind w:left="1689" w:hanging="555"/>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0" w15:restartNumberingAfterBreak="0">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31" w15:restartNumberingAfterBreak="0">
    <w:nsid w:val="78522896"/>
    <w:multiLevelType w:val="hybridMultilevel"/>
    <w:tmpl w:val="5B8A29D2"/>
    <w:lvl w:ilvl="0" w:tplc="A49C906C">
      <w:start w:val="1"/>
      <w:numFmt w:val="bullet"/>
      <w:lvlText w:val="-"/>
      <w:lvlJc w:val="left"/>
      <w:pPr>
        <w:tabs>
          <w:tab w:val="num" w:pos="1497"/>
        </w:tabs>
        <w:ind w:left="1497" w:hanging="360"/>
      </w:pPr>
      <w:rPr>
        <w:rFonts w:ascii="Courier New" w:hAnsi="Courier New" w:hint="default"/>
      </w:rPr>
    </w:lvl>
    <w:lvl w:ilvl="1" w:tplc="04090003">
      <w:start w:val="1"/>
      <w:numFmt w:val="bullet"/>
      <w:lvlText w:val="o"/>
      <w:lvlJc w:val="left"/>
      <w:pPr>
        <w:tabs>
          <w:tab w:val="num" w:pos="1650"/>
        </w:tabs>
        <w:ind w:left="1650" w:hanging="360"/>
      </w:pPr>
      <w:rPr>
        <w:rFonts w:ascii="Courier New" w:hAnsi="Courier New" w:cs="Courier New" w:hint="default"/>
      </w:rPr>
    </w:lvl>
    <w:lvl w:ilvl="2" w:tplc="04090005">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cs="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cs="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32" w15:restartNumberingAfterBreak="0">
    <w:nsid w:val="793C3CAA"/>
    <w:multiLevelType w:val="hybridMultilevel"/>
    <w:tmpl w:val="FED860F0"/>
    <w:lvl w:ilvl="0" w:tplc="22687514">
      <w:start w:val="1"/>
      <w:numFmt w:val="decimal"/>
      <w:lvlText w:val="%1."/>
      <w:lvlJc w:val="left"/>
      <w:pPr>
        <w:ind w:left="1137" w:hanging="570"/>
      </w:pPr>
      <w:rPr>
        <w:rFonts w:hint="default"/>
      </w:rPr>
    </w:lvl>
    <w:lvl w:ilvl="1" w:tplc="32185068">
      <w:start w:val="1"/>
      <w:numFmt w:val="lowerLetter"/>
      <w:lvlText w:val="(%2)"/>
      <w:lvlJc w:val="left"/>
      <w:pPr>
        <w:ind w:left="1635" w:hanging="55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D550C2"/>
    <w:multiLevelType w:val="hybridMultilevel"/>
    <w:tmpl w:val="BFE40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416206"/>
    <w:multiLevelType w:val="hybridMultilevel"/>
    <w:tmpl w:val="B3D6A3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16"/>
  </w:num>
  <w:num w:numId="3">
    <w:abstractNumId w:val="30"/>
  </w:num>
  <w:num w:numId="4">
    <w:abstractNumId w:val="28"/>
  </w:num>
  <w:num w:numId="5">
    <w:abstractNumId w:val="0"/>
  </w:num>
  <w:num w:numId="6">
    <w:abstractNumId w:val="24"/>
  </w:num>
  <w:num w:numId="7">
    <w:abstractNumId w:val="32"/>
  </w:num>
  <w:num w:numId="8">
    <w:abstractNumId w:val="31"/>
  </w:num>
  <w:num w:numId="9">
    <w:abstractNumId w:val="1"/>
  </w:num>
  <w:num w:numId="10">
    <w:abstractNumId w:val="5"/>
  </w:num>
  <w:num w:numId="11">
    <w:abstractNumId w:val="27"/>
  </w:num>
  <w:num w:numId="12">
    <w:abstractNumId w:val="29"/>
  </w:num>
  <w:num w:numId="13">
    <w:abstractNumId w:val="17"/>
  </w:num>
  <w:num w:numId="14">
    <w:abstractNumId w:val="10"/>
  </w:num>
  <w:num w:numId="15">
    <w:abstractNumId w:val="7"/>
  </w:num>
  <w:num w:numId="16">
    <w:abstractNumId w:val="18"/>
  </w:num>
  <w:num w:numId="17">
    <w:abstractNumId w:val="25"/>
  </w:num>
  <w:num w:numId="18">
    <w:abstractNumId w:val="21"/>
  </w:num>
  <w:num w:numId="19">
    <w:abstractNumId w:val="2"/>
  </w:num>
  <w:num w:numId="20">
    <w:abstractNumId w:val="3"/>
  </w:num>
  <w:num w:numId="21">
    <w:abstractNumId w:val="34"/>
  </w:num>
  <w:num w:numId="22">
    <w:abstractNumId w:val="19"/>
  </w:num>
  <w:num w:numId="23">
    <w:abstractNumId w:val="26"/>
  </w:num>
  <w:num w:numId="24">
    <w:abstractNumId w:val="14"/>
    <w:lvlOverride w:ilvl="0">
      <w:startOverride w:val="1"/>
    </w:lvlOverride>
  </w:num>
  <w:num w:numId="25">
    <w:abstractNumId w:val="9"/>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 w:numId="28">
    <w:abstractNumId w:val="4"/>
  </w:num>
  <w:num w:numId="29">
    <w:abstractNumId w:val="13"/>
  </w:num>
  <w:num w:numId="30">
    <w:abstractNumId w:val="20"/>
  </w:num>
  <w:num w:numId="31">
    <w:abstractNumId w:val="8"/>
  </w:num>
  <w:num w:numId="32">
    <w:abstractNumId w:val="22"/>
  </w:num>
  <w:num w:numId="33">
    <w:abstractNumId w:val="15"/>
  </w:num>
  <w:num w:numId="34">
    <w:abstractNumId w:val="33"/>
  </w:num>
  <w:num w:numId="35">
    <w:abstractNumId w:val="11"/>
  </w:num>
  <w:num w:numId="36">
    <w:abstractNumId w:val="9"/>
    <w:lvlOverride w:ilvl="0">
      <w:startOverride w:val="1"/>
    </w:lvlOverride>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fra"/>
    <w:docVar w:name="TermBases" w:val="WIPOLDTERM|xUPOV LDTERM"/>
    <w:docVar w:name="TermBaseURL" w:val="empty"/>
    <w:docVar w:name="TextBases" w:val="TextBase TMs\WorkspaceFTS\UPOV\UPOV"/>
    <w:docVar w:name="TextBaseURL" w:val="empty"/>
    <w:docVar w:name="UILng" w:val="en"/>
  </w:docVars>
  <w:rsids>
    <w:rsidRoot w:val="00054FE5"/>
    <w:rsid w:val="00024FF6"/>
    <w:rsid w:val="0003537A"/>
    <w:rsid w:val="00054FE5"/>
    <w:rsid w:val="00097213"/>
    <w:rsid w:val="000F5E56"/>
    <w:rsid w:val="001424CD"/>
    <w:rsid w:val="00157EB2"/>
    <w:rsid w:val="00165ADB"/>
    <w:rsid w:val="001672D2"/>
    <w:rsid w:val="001766FA"/>
    <w:rsid w:val="00184060"/>
    <w:rsid w:val="0021105A"/>
    <w:rsid w:val="00260E55"/>
    <w:rsid w:val="002821F1"/>
    <w:rsid w:val="003A7341"/>
    <w:rsid w:val="003E298C"/>
    <w:rsid w:val="003E6531"/>
    <w:rsid w:val="0040182B"/>
    <w:rsid w:val="00401974"/>
    <w:rsid w:val="004056F8"/>
    <w:rsid w:val="00431118"/>
    <w:rsid w:val="0047431E"/>
    <w:rsid w:val="004B28C0"/>
    <w:rsid w:val="004C3B8A"/>
    <w:rsid w:val="004E4D88"/>
    <w:rsid w:val="005126D4"/>
    <w:rsid w:val="00515963"/>
    <w:rsid w:val="005514D6"/>
    <w:rsid w:val="005A787E"/>
    <w:rsid w:val="005F092C"/>
    <w:rsid w:val="005F7AC8"/>
    <w:rsid w:val="00640D29"/>
    <w:rsid w:val="00640F9C"/>
    <w:rsid w:val="0067134D"/>
    <w:rsid w:val="00692331"/>
    <w:rsid w:val="006A0CBA"/>
    <w:rsid w:val="006B1E80"/>
    <w:rsid w:val="00733F6A"/>
    <w:rsid w:val="00773EE2"/>
    <w:rsid w:val="00790564"/>
    <w:rsid w:val="007B240C"/>
    <w:rsid w:val="007C49B5"/>
    <w:rsid w:val="007D0198"/>
    <w:rsid w:val="007D53C7"/>
    <w:rsid w:val="00804DB7"/>
    <w:rsid w:val="00815DAA"/>
    <w:rsid w:val="008430CB"/>
    <w:rsid w:val="00843AA9"/>
    <w:rsid w:val="00850B27"/>
    <w:rsid w:val="00854B6C"/>
    <w:rsid w:val="00860342"/>
    <w:rsid w:val="00870CFA"/>
    <w:rsid w:val="008759E5"/>
    <w:rsid w:val="0089348A"/>
    <w:rsid w:val="008B26D9"/>
    <w:rsid w:val="008C0EF8"/>
    <w:rsid w:val="008C5485"/>
    <w:rsid w:val="00911DE8"/>
    <w:rsid w:val="00915645"/>
    <w:rsid w:val="0093022C"/>
    <w:rsid w:val="0094495A"/>
    <w:rsid w:val="009530CF"/>
    <w:rsid w:val="00977006"/>
    <w:rsid w:val="009F236F"/>
    <w:rsid w:val="00A22CA4"/>
    <w:rsid w:val="00A534E0"/>
    <w:rsid w:val="00A83A59"/>
    <w:rsid w:val="00B21CEB"/>
    <w:rsid w:val="00B765B2"/>
    <w:rsid w:val="00BC76D0"/>
    <w:rsid w:val="00BF2AFF"/>
    <w:rsid w:val="00C10F7C"/>
    <w:rsid w:val="00C174A2"/>
    <w:rsid w:val="00C4676A"/>
    <w:rsid w:val="00C46994"/>
    <w:rsid w:val="00C554EC"/>
    <w:rsid w:val="00CC1810"/>
    <w:rsid w:val="00CC4843"/>
    <w:rsid w:val="00CE48A2"/>
    <w:rsid w:val="00CF2FFB"/>
    <w:rsid w:val="00D1404E"/>
    <w:rsid w:val="00D35021"/>
    <w:rsid w:val="00D611EB"/>
    <w:rsid w:val="00D80E9E"/>
    <w:rsid w:val="00D83B31"/>
    <w:rsid w:val="00DB671B"/>
    <w:rsid w:val="00DC4A52"/>
    <w:rsid w:val="00DD0D32"/>
    <w:rsid w:val="00DE375B"/>
    <w:rsid w:val="00E85E8E"/>
    <w:rsid w:val="00E91356"/>
    <w:rsid w:val="00E965C7"/>
    <w:rsid w:val="00EA48EA"/>
    <w:rsid w:val="00EC17D5"/>
    <w:rsid w:val="00F16CFA"/>
    <w:rsid w:val="00F474E8"/>
    <w:rsid w:val="00F8314F"/>
    <w:rsid w:val="00F971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C2E0B2"/>
  <w15:chartTrackingRefBased/>
  <w15:docId w15:val="{C0D64B34-450C-4A24-95F1-B48DB7A2B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671B"/>
    <w:pPr>
      <w:jc w:val="both"/>
    </w:pPr>
    <w:rPr>
      <w:rFonts w:ascii="Arial" w:hAnsi="Arial"/>
      <w:lang w:val="fr-FR"/>
    </w:rPr>
  </w:style>
  <w:style w:type="paragraph" w:styleId="Heading1">
    <w:name w:val="heading 1"/>
    <w:next w:val="Normal"/>
    <w:link w:val="Heading1Char"/>
    <w:autoRedefine/>
    <w:qFormat/>
    <w:rsid w:val="00DB671B"/>
    <w:pPr>
      <w:keepNext/>
      <w:jc w:val="both"/>
      <w:outlineLvl w:val="0"/>
    </w:pPr>
    <w:rPr>
      <w:rFonts w:ascii="Arial" w:hAnsi="Arial"/>
      <w:caps/>
    </w:rPr>
  </w:style>
  <w:style w:type="paragraph" w:styleId="Heading2">
    <w:name w:val="heading 2"/>
    <w:next w:val="Normal"/>
    <w:link w:val="Heading2Char"/>
    <w:autoRedefine/>
    <w:qFormat/>
    <w:rsid w:val="00DB671B"/>
    <w:pPr>
      <w:keepNext/>
      <w:jc w:val="both"/>
      <w:outlineLvl w:val="1"/>
    </w:pPr>
    <w:rPr>
      <w:rFonts w:ascii="Arial" w:hAnsi="Arial"/>
      <w:u w:val="single"/>
    </w:rPr>
  </w:style>
  <w:style w:type="paragraph" w:styleId="Heading3">
    <w:name w:val="heading 3"/>
    <w:next w:val="Normal"/>
    <w:link w:val="Heading3Char"/>
    <w:autoRedefine/>
    <w:qFormat/>
    <w:rsid w:val="00DB671B"/>
    <w:pPr>
      <w:keepNext/>
      <w:jc w:val="both"/>
      <w:outlineLvl w:val="2"/>
    </w:pPr>
    <w:rPr>
      <w:rFonts w:ascii="Arial" w:hAnsi="Arial"/>
      <w:i/>
    </w:rPr>
  </w:style>
  <w:style w:type="paragraph" w:styleId="Heading4">
    <w:name w:val="heading 4"/>
    <w:next w:val="Normal"/>
    <w:link w:val="Heading4Char"/>
    <w:autoRedefine/>
    <w:qFormat/>
    <w:rsid w:val="00DB671B"/>
    <w:pPr>
      <w:keepNext/>
      <w:ind w:left="567"/>
      <w:jc w:val="both"/>
      <w:outlineLvl w:val="3"/>
    </w:pPr>
    <w:rPr>
      <w:rFonts w:ascii="Arial" w:hAnsi="Arial"/>
      <w:u w:val="single"/>
      <w:lang w:val="fr-FR"/>
    </w:rPr>
  </w:style>
  <w:style w:type="paragraph" w:styleId="Heading5">
    <w:name w:val="heading 5"/>
    <w:next w:val="Normal"/>
    <w:link w:val="Heading5Char"/>
    <w:autoRedefine/>
    <w:qFormat/>
    <w:rsid w:val="00DB671B"/>
    <w:pPr>
      <w:keepNext/>
      <w:ind w:left="567"/>
      <w:jc w:val="both"/>
      <w:outlineLvl w:val="4"/>
    </w:pPr>
    <w:rPr>
      <w:rFonts w:ascii="Arial" w:hAnsi="Arial"/>
      <w:i/>
    </w:rPr>
  </w:style>
  <w:style w:type="paragraph" w:styleId="Heading6">
    <w:name w:val="heading 6"/>
    <w:basedOn w:val="Normal"/>
    <w:next w:val="Normal"/>
    <w:link w:val="Heading6Char"/>
    <w:qFormat/>
    <w:rsid w:val="00054FE5"/>
    <w:pPr>
      <w:outlineLvl w:val="5"/>
    </w:pPr>
    <w:rPr>
      <w:lang w:val="es-ES_tradnl"/>
    </w:rPr>
  </w:style>
  <w:style w:type="paragraph" w:styleId="Heading7">
    <w:name w:val="heading 7"/>
    <w:basedOn w:val="Normal"/>
    <w:next w:val="Normal"/>
    <w:link w:val="Heading7Char"/>
    <w:qFormat/>
    <w:rsid w:val="00054FE5"/>
    <w:pPr>
      <w:spacing w:before="240" w:after="60"/>
      <w:outlineLvl w:val="6"/>
    </w:pPr>
    <w:rPr>
      <w:szCs w:val="24"/>
    </w:rPr>
  </w:style>
  <w:style w:type="paragraph" w:styleId="Heading8">
    <w:name w:val="heading 8"/>
    <w:basedOn w:val="Normal"/>
    <w:next w:val="Normal"/>
    <w:link w:val="Heading8Char"/>
    <w:qFormat/>
    <w:rsid w:val="00054FE5"/>
    <w:pPr>
      <w:keepNext/>
      <w:jc w:val="center"/>
      <w:outlineLvl w:val="7"/>
    </w:pPr>
    <w:rPr>
      <w:u w:val="single"/>
    </w:rPr>
  </w:style>
  <w:style w:type="paragraph" w:styleId="Heading9">
    <w:name w:val="heading 9"/>
    <w:basedOn w:val="Normal"/>
    <w:next w:val="Normal"/>
    <w:link w:val="Heading9Char"/>
    <w:qFormat/>
    <w:rsid w:val="00DB671B"/>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DB671B"/>
    <w:pPr>
      <w:jc w:val="center"/>
    </w:pPr>
    <w:rPr>
      <w:rFonts w:ascii="Arial" w:hAnsi="Arial"/>
      <w:lang w:val="fr-FR"/>
    </w:rPr>
  </w:style>
  <w:style w:type="paragraph" w:styleId="Footer">
    <w:name w:val="footer"/>
    <w:aliases w:val="doc_path_name"/>
    <w:autoRedefine/>
    <w:rsid w:val="00DB671B"/>
    <w:pPr>
      <w:jc w:val="both"/>
    </w:pPr>
    <w:rPr>
      <w:rFonts w:ascii="Arial" w:hAnsi="Arial"/>
      <w:sz w:val="14"/>
    </w:rPr>
  </w:style>
  <w:style w:type="paragraph" w:styleId="Salutation">
    <w:name w:val="Salutation"/>
    <w:basedOn w:val="Normal"/>
    <w:next w:val="Normal"/>
    <w:link w:val="SalutationChar"/>
    <w:rsid w:val="00804DB7"/>
  </w:style>
  <w:style w:type="paragraph" w:styleId="Signature">
    <w:name w:val="Signature"/>
    <w:basedOn w:val="Normal"/>
    <w:rsid w:val="00DB671B"/>
    <w:pPr>
      <w:ind w:left="4536"/>
      <w:jc w:val="center"/>
    </w:pPr>
  </w:style>
  <w:style w:type="paragraph" w:styleId="FootnoteText">
    <w:name w:val="footnote text"/>
    <w:link w:val="FootnoteTextChar"/>
    <w:autoRedefine/>
    <w:rsid w:val="00DB671B"/>
    <w:pPr>
      <w:spacing w:before="60"/>
      <w:ind w:left="567" w:hanging="567"/>
      <w:jc w:val="both"/>
    </w:pPr>
    <w:rPr>
      <w:rFonts w:ascii="Arial" w:hAnsi="Arial"/>
      <w:sz w:val="16"/>
      <w:lang w:val="fr-FR"/>
    </w:rPr>
  </w:style>
  <w:style w:type="paragraph" w:styleId="EndnoteText">
    <w:name w:val="endnote text"/>
    <w:basedOn w:val="Normal"/>
    <w:rsid w:val="00DB671B"/>
  </w:style>
  <w:style w:type="paragraph" w:styleId="Caption">
    <w:name w:val="caption"/>
    <w:basedOn w:val="Normal"/>
    <w:next w:val="Normal"/>
    <w:qFormat/>
    <w:rsid w:val="00804DB7"/>
    <w:rPr>
      <w:b/>
      <w:bCs/>
      <w:sz w:val="18"/>
    </w:rPr>
  </w:style>
  <w:style w:type="paragraph" w:styleId="CommentText">
    <w:name w:val="annotation text"/>
    <w:basedOn w:val="Normal"/>
    <w:link w:val="CommentTextChar"/>
    <w:semiHidden/>
    <w:rsid w:val="00804DB7"/>
    <w:rPr>
      <w:sz w:val="18"/>
    </w:rPr>
  </w:style>
  <w:style w:type="paragraph" w:styleId="BodyText">
    <w:name w:val="Body Text"/>
    <w:basedOn w:val="Normal"/>
    <w:link w:val="BodyTextChar"/>
    <w:rsid w:val="00DB671B"/>
  </w:style>
  <w:style w:type="paragraph" w:customStyle="1" w:styleId="ONUMFS">
    <w:name w:val="ONUM FS"/>
    <w:basedOn w:val="BodyText"/>
    <w:rsid w:val="00804DB7"/>
    <w:pPr>
      <w:numPr>
        <w:numId w:val="4"/>
      </w:numPr>
    </w:pPr>
  </w:style>
  <w:style w:type="paragraph" w:customStyle="1" w:styleId="ONUME">
    <w:name w:val="ONUM E"/>
    <w:basedOn w:val="BodyText"/>
    <w:rsid w:val="00804DB7"/>
    <w:pPr>
      <w:numPr>
        <w:numId w:val="3"/>
      </w:numPr>
    </w:pPr>
  </w:style>
  <w:style w:type="paragraph" w:styleId="ListNumber">
    <w:name w:val="List Number"/>
    <w:basedOn w:val="Normal"/>
    <w:rsid w:val="00804DB7"/>
    <w:pPr>
      <w:numPr>
        <w:numId w:val="6"/>
      </w:numPr>
    </w:pPr>
  </w:style>
  <w:style w:type="character" w:customStyle="1" w:styleId="Heading5Char">
    <w:name w:val="Heading 5 Char"/>
    <w:basedOn w:val="DefaultParagraphFont"/>
    <w:link w:val="Heading5"/>
    <w:rsid w:val="00DB671B"/>
    <w:rPr>
      <w:rFonts w:ascii="Arial" w:hAnsi="Arial"/>
      <w:i/>
    </w:rPr>
  </w:style>
  <w:style w:type="character" w:customStyle="1" w:styleId="Heading6Char">
    <w:name w:val="Heading 6 Char"/>
    <w:basedOn w:val="DefaultParagraphFont"/>
    <w:link w:val="Heading6"/>
    <w:rsid w:val="00054FE5"/>
    <w:rPr>
      <w:rFonts w:ascii="Arial" w:hAnsi="Arial"/>
      <w:lang w:val="es-ES_tradnl"/>
    </w:rPr>
  </w:style>
  <w:style w:type="character" w:customStyle="1" w:styleId="Heading7Char">
    <w:name w:val="Heading 7 Char"/>
    <w:basedOn w:val="DefaultParagraphFont"/>
    <w:link w:val="Heading7"/>
    <w:rsid w:val="00054FE5"/>
    <w:rPr>
      <w:rFonts w:ascii="Arial" w:hAnsi="Arial"/>
      <w:szCs w:val="24"/>
    </w:rPr>
  </w:style>
  <w:style w:type="character" w:customStyle="1" w:styleId="Heading8Char">
    <w:name w:val="Heading 8 Char"/>
    <w:basedOn w:val="DefaultParagraphFont"/>
    <w:link w:val="Heading8"/>
    <w:rsid w:val="00054FE5"/>
    <w:rPr>
      <w:rFonts w:ascii="Arial" w:hAnsi="Arial"/>
      <w:u w:val="single"/>
    </w:rPr>
  </w:style>
  <w:style w:type="character" w:customStyle="1" w:styleId="Heading9Char">
    <w:name w:val="Heading 9 Char"/>
    <w:basedOn w:val="DefaultParagraphFont"/>
    <w:link w:val="Heading9"/>
    <w:rsid w:val="00054FE5"/>
    <w:rPr>
      <w:rFonts w:ascii="Arial" w:hAnsi="Arial"/>
      <w:i/>
      <w:sz w:val="18"/>
      <w:lang w:val="fr-FR"/>
    </w:rPr>
  </w:style>
  <w:style w:type="character" w:styleId="PageNumber">
    <w:name w:val="page number"/>
    <w:basedOn w:val="DefaultParagraphFont"/>
    <w:rsid w:val="00DB671B"/>
    <w:rPr>
      <w:rFonts w:ascii="Arial" w:hAnsi="Arial"/>
      <w:sz w:val="20"/>
    </w:rPr>
  </w:style>
  <w:style w:type="paragraph" w:styleId="Title">
    <w:name w:val="Title"/>
    <w:basedOn w:val="Normal"/>
    <w:link w:val="TitleChar"/>
    <w:qFormat/>
    <w:rsid w:val="00DB671B"/>
    <w:pPr>
      <w:spacing w:after="300"/>
      <w:jc w:val="center"/>
    </w:pPr>
    <w:rPr>
      <w:b/>
      <w:caps/>
      <w:kern w:val="28"/>
      <w:sz w:val="30"/>
    </w:rPr>
  </w:style>
  <w:style w:type="character" w:customStyle="1" w:styleId="TitleChar">
    <w:name w:val="Title Char"/>
    <w:basedOn w:val="DefaultParagraphFont"/>
    <w:link w:val="Title"/>
    <w:rsid w:val="00054FE5"/>
    <w:rPr>
      <w:rFonts w:ascii="Arial" w:hAnsi="Arial"/>
      <w:b/>
      <w:caps/>
      <w:kern w:val="28"/>
      <w:sz w:val="30"/>
      <w:lang w:val="fr-FR"/>
    </w:rPr>
  </w:style>
  <w:style w:type="paragraph" w:customStyle="1" w:styleId="preparedby">
    <w:name w:val="preparedby"/>
    <w:basedOn w:val="Normal"/>
    <w:next w:val="Normal"/>
    <w:rsid w:val="00DB671B"/>
    <w:pPr>
      <w:spacing w:after="600"/>
      <w:jc w:val="center"/>
    </w:pPr>
    <w:rPr>
      <w:i/>
    </w:rPr>
  </w:style>
  <w:style w:type="paragraph" w:customStyle="1" w:styleId="Docoriginal">
    <w:name w:val="Doc_original"/>
    <w:basedOn w:val="Code"/>
    <w:link w:val="DocoriginalChar"/>
    <w:rsid w:val="00DB671B"/>
    <w:pPr>
      <w:spacing w:before="240" w:line="240" w:lineRule="exact"/>
      <w:ind w:left="0"/>
      <w:contextualSpacing/>
      <w:jc w:val="left"/>
    </w:pPr>
    <w:rPr>
      <w:sz w:val="18"/>
    </w:rPr>
  </w:style>
  <w:style w:type="paragraph" w:customStyle="1" w:styleId="DecisionParagraphs">
    <w:name w:val="DecisionParagraphs"/>
    <w:basedOn w:val="Normal"/>
    <w:link w:val="DecisionParagraphsChar"/>
    <w:rsid w:val="00DB671B"/>
    <w:pPr>
      <w:tabs>
        <w:tab w:val="left" w:pos="5387"/>
      </w:tabs>
      <w:ind w:left="4820"/>
    </w:pPr>
    <w:rPr>
      <w:i/>
    </w:rPr>
  </w:style>
  <w:style w:type="character" w:styleId="FootnoteReference">
    <w:name w:val="footnote reference"/>
    <w:basedOn w:val="DefaultParagraphFont"/>
    <w:rsid w:val="00DB671B"/>
    <w:rPr>
      <w:vertAlign w:val="superscript"/>
    </w:rPr>
  </w:style>
  <w:style w:type="paragraph" w:styleId="Closing">
    <w:name w:val="Closing"/>
    <w:basedOn w:val="Normal"/>
    <w:link w:val="ClosingChar"/>
    <w:rsid w:val="00DB671B"/>
    <w:pPr>
      <w:ind w:left="4536"/>
      <w:jc w:val="center"/>
    </w:pPr>
  </w:style>
  <w:style w:type="character" w:customStyle="1" w:styleId="ClosingChar">
    <w:name w:val="Closing Char"/>
    <w:basedOn w:val="DefaultParagraphFont"/>
    <w:link w:val="Closing"/>
    <w:rsid w:val="00054FE5"/>
    <w:rPr>
      <w:rFonts w:ascii="Arial" w:hAnsi="Arial"/>
      <w:lang w:val="fr-FR"/>
    </w:rPr>
  </w:style>
  <w:style w:type="paragraph" w:styleId="Index1">
    <w:name w:val="index 1"/>
    <w:basedOn w:val="Normal"/>
    <w:next w:val="Normal"/>
    <w:semiHidden/>
    <w:rsid w:val="00DB671B"/>
    <w:pPr>
      <w:tabs>
        <w:tab w:val="right" w:leader="dot" w:pos="9071"/>
      </w:tabs>
      <w:ind w:left="284" w:hanging="284"/>
    </w:pPr>
    <w:rPr>
      <w:sz w:val="24"/>
    </w:rPr>
  </w:style>
  <w:style w:type="paragraph" w:styleId="Index2">
    <w:name w:val="index 2"/>
    <w:basedOn w:val="Normal"/>
    <w:next w:val="Normal"/>
    <w:semiHidden/>
    <w:rsid w:val="00DB671B"/>
    <w:pPr>
      <w:tabs>
        <w:tab w:val="right" w:leader="dot" w:pos="9071"/>
      </w:tabs>
      <w:ind w:left="568" w:hanging="284"/>
    </w:pPr>
    <w:rPr>
      <w:sz w:val="24"/>
    </w:rPr>
  </w:style>
  <w:style w:type="paragraph" w:styleId="Index3">
    <w:name w:val="index 3"/>
    <w:basedOn w:val="Normal"/>
    <w:next w:val="Normal"/>
    <w:semiHidden/>
    <w:rsid w:val="00DB671B"/>
    <w:pPr>
      <w:tabs>
        <w:tab w:val="right" w:leader="dot" w:pos="9071"/>
      </w:tabs>
      <w:ind w:left="851" w:hanging="284"/>
    </w:pPr>
    <w:rPr>
      <w:sz w:val="24"/>
    </w:rPr>
  </w:style>
  <w:style w:type="paragraph" w:styleId="MacroText">
    <w:name w:val="macro"/>
    <w:link w:val="MacroTextChar"/>
    <w:semiHidden/>
    <w:rsid w:val="00DB671B"/>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character" w:customStyle="1" w:styleId="MacroTextChar">
    <w:name w:val="Macro Text Char"/>
    <w:basedOn w:val="DefaultParagraphFont"/>
    <w:link w:val="MacroText"/>
    <w:semiHidden/>
    <w:rsid w:val="00054FE5"/>
    <w:rPr>
      <w:rFonts w:ascii="Courier New" w:hAnsi="Courier New"/>
      <w:sz w:val="16"/>
    </w:rPr>
  </w:style>
  <w:style w:type="character" w:customStyle="1" w:styleId="Doclang">
    <w:name w:val="Doc_lang"/>
    <w:basedOn w:val="DefaultParagraphFont"/>
    <w:rsid w:val="00DB671B"/>
    <w:rPr>
      <w:rFonts w:ascii="Arial" w:hAnsi="Arial"/>
      <w:sz w:val="20"/>
      <w:lang w:val="en-US"/>
    </w:rPr>
  </w:style>
  <w:style w:type="paragraph" w:customStyle="1" w:styleId="Session">
    <w:name w:val="Session"/>
    <w:basedOn w:val="Normal"/>
    <w:rsid w:val="00DB671B"/>
    <w:pPr>
      <w:spacing w:before="60"/>
      <w:jc w:val="center"/>
    </w:pPr>
    <w:rPr>
      <w:b/>
    </w:rPr>
  </w:style>
  <w:style w:type="paragraph" w:customStyle="1" w:styleId="Organizer">
    <w:name w:val="Organizer"/>
    <w:basedOn w:val="Normal"/>
    <w:rsid w:val="00DB671B"/>
    <w:pPr>
      <w:spacing w:after="600"/>
      <w:ind w:left="-993" w:right="-994"/>
      <w:jc w:val="center"/>
    </w:pPr>
    <w:rPr>
      <w:b/>
      <w:caps/>
      <w:kern w:val="26"/>
      <w:sz w:val="26"/>
    </w:rPr>
  </w:style>
  <w:style w:type="paragraph" w:customStyle="1" w:styleId="Disclaimer">
    <w:name w:val="Disclaimer"/>
    <w:next w:val="Normal"/>
    <w:qFormat/>
    <w:rsid w:val="00DB671B"/>
    <w:pPr>
      <w:spacing w:after="600"/>
    </w:pPr>
    <w:rPr>
      <w:rFonts w:ascii="Arial" w:hAnsi="Arial"/>
      <w:i/>
      <w:iCs/>
      <w:color w:val="A6A6A6" w:themeColor="background1" w:themeShade="A6"/>
      <w:lang w:val="fr-FR"/>
    </w:rPr>
  </w:style>
  <w:style w:type="paragraph" w:customStyle="1" w:styleId="upove">
    <w:name w:val="upov_e"/>
    <w:basedOn w:val="Normal"/>
    <w:rsid w:val="00DB671B"/>
    <w:pPr>
      <w:spacing w:before="120"/>
    </w:pPr>
    <w:rPr>
      <w:sz w:val="16"/>
    </w:rPr>
  </w:style>
  <w:style w:type="paragraph" w:customStyle="1" w:styleId="TitleofDoc">
    <w:name w:val="Title of Doc"/>
    <w:basedOn w:val="Normal"/>
    <w:rsid w:val="00DB671B"/>
    <w:pPr>
      <w:spacing w:before="1200"/>
      <w:jc w:val="center"/>
    </w:pPr>
    <w:rPr>
      <w:caps/>
    </w:rPr>
  </w:style>
  <w:style w:type="paragraph" w:customStyle="1" w:styleId="preparedby0">
    <w:name w:val="prepared by"/>
    <w:basedOn w:val="Normal"/>
    <w:semiHidden/>
    <w:rsid w:val="00DB671B"/>
    <w:pPr>
      <w:spacing w:before="600" w:after="600"/>
      <w:jc w:val="center"/>
    </w:pPr>
    <w:rPr>
      <w:i/>
    </w:rPr>
  </w:style>
  <w:style w:type="paragraph" w:customStyle="1" w:styleId="PlaceAndDate">
    <w:name w:val="PlaceAndDate"/>
    <w:basedOn w:val="Session"/>
    <w:rsid w:val="00DB671B"/>
  </w:style>
  <w:style w:type="character" w:styleId="EndnoteReference">
    <w:name w:val="endnote reference"/>
    <w:basedOn w:val="DefaultParagraphFont"/>
    <w:rsid w:val="00DB671B"/>
    <w:rPr>
      <w:vertAlign w:val="superscript"/>
    </w:rPr>
  </w:style>
  <w:style w:type="paragraph" w:customStyle="1" w:styleId="SessionMeetingPlace">
    <w:name w:val="Session_MeetingPlace"/>
    <w:basedOn w:val="Normal"/>
    <w:semiHidden/>
    <w:rsid w:val="00DB671B"/>
    <w:pPr>
      <w:spacing w:before="480"/>
      <w:jc w:val="center"/>
    </w:pPr>
    <w:rPr>
      <w:b/>
      <w:bCs/>
      <w:kern w:val="28"/>
      <w:sz w:val="24"/>
    </w:rPr>
  </w:style>
  <w:style w:type="paragraph" w:customStyle="1" w:styleId="Original">
    <w:name w:val="Original"/>
    <w:basedOn w:val="Normal"/>
    <w:rsid w:val="00DB671B"/>
    <w:pPr>
      <w:spacing w:before="60"/>
      <w:ind w:left="1276"/>
    </w:pPr>
    <w:rPr>
      <w:b/>
      <w:sz w:val="22"/>
    </w:rPr>
  </w:style>
  <w:style w:type="paragraph" w:styleId="Date">
    <w:name w:val="Date"/>
    <w:basedOn w:val="Normal"/>
    <w:link w:val="DateChar"/>
    <w:rsid w:val="00DB671B"/>
    <w:pPr>
      <w:spacing w:line="340" w:lineRule="exact"/>
      <w:ind w:left="1276"/>
    </w:pPr>
    <w:rPr>
      <w:b/>
      <w:sz w:val="22"/>
    </w:rPr>
  </w:style>
  <w:style w:type="character" w:customStyle="1" w:styleId="DateChar">
    <w:name w:val="Date Char"/>
    <w:basedOn w:val="DefaultParagraphFont"/>
    <w:link w:val="Date"/>
    <w:rsid w:val="00054FE5"/>
    <w:rPr>
      <w:rFonts w:ascii="Arial" w:hAnsi="Arial"/>
      <w:b/>
      <w:sz w:val="22"/>
      <w:lang w:val="fr-FR"/>
    </w:rPr>
  </w:style>
  <w:style w:type="paragraph" w:customStyle="1" w:styleId="Code">
    <w:name w:val="Code"/>
    <w:basedOn w:val="Normal"/>
    <w:link w:val="CodeChar"/>
    <w:semiHidden/>
    <w:rsid w:val="00DB671B"/>
    <w:pPr>
      <w:spacing w:line="340" w:lineRule="atLeast"/>
      <w:ind w:left="1276"/>
    </w:pPr>
    <w:rPr>
      <w:b/>
      <w:bCs/>
      <w:spacing w:val="10"/>
    </w:rPr>
  </w:style>
  <w:style w:type="paragraph" w:customStyle="1" w:styleId="Country">
    <w:name w:val="Country"/>
    <w:basedOn w:val="Normal"/>
    <w:semiHidden/>
    <w:rsid w:val="00DB671B"/>
    <w:pPr>
      <w:spacing w:before="60" w:after="480"/>
      <w:jc w:val="center"/>
    </w:pPr>
  </w:style>
  <w:style w:type="paragraph" w:customStyle="1" w:styleId="Lettrine">
    <w:name w:val="Lettrine"/>
    <w:basedOn w:val="Normal"/>
    <w:rsid w:val="00DB671B"/>
    <w:pPr>
      <w:spacing w:line="340" w:lineRule="atLeast"/>
      <w:jc w:val="right"/>
    </w:pPr>
    <w:rPr>
      <w:b/>
      <w:bCs/>
      <w:sz w:val="36"/>
    </w:rPr>
  </w:style>
  <w:style w:type="paragraph" w:customStyle="1" w:styleId="LogoUPOV">
    <w:name w:val="LogoUPOV"/>
    <w:basedOn w:val="Normal"/>
    <w:rsid w:val="00DB671B"/>
    <w:pPr>
      <w:spacing w:before="600" w:after="80"/>
      <w:jc w:val="center"/>
    </w:pPr>
    <w:rPr>
      <w:snapToGrid w:val="0"/>
    </w:rPr>
  </w:style>
  <w:style w:type="paragraph" w:customStyle="1" w:styleId="Sessiontc">
    <w:name w:val="Session_tc"/>
    <w:basedOn w:val="StyleSessionAllcaps"/>
    <w:rsid w:val="00DB671B"/>
    <w:pPr>
      <w:spacing w:before="0" w:line="280" w:lineRule="exact"/>
      <w:jc w:val="left"/>
    </w:pPr>
    <w:rPr>
      <w:caps w:val="0"/>
      <w:sz w:val="20"/>
    </w:rPr>
  </w:style>
  <w:style w:type="paragraph" w:customStyle="1" w:styleId="TitreUpov">
    <w:name w:val="TitreUpov"/>
    <w:basedOn w:val="Normal"/>
    <w:semiHidden/>
    <w:rsid w:val="00DB671B"/>
    <w:pPr>
      <w:spacing w:before="60"/>
      <w:jc w:val="center"/>
    </w:pPr>
    <w:rPr>
      <w:b/>
      <w:sz w:val="24"/>
    </w:rPr>
  </w:style>
  <w:style w:type="paragraph" w:customStyle="1" w:styleId="StyleSessionAllcaps">
    <w:name w:val="Style Session + All caps"/>
    <w:basedOn w:val="Session"/>
    <w:semiHidden/>
    <w:rsid w:val="00DB671B"/>
    <w:pPr>
      <w:spacing w:before="480"/>
    </w:pPr>
    <w:rPr>
      <w:bCs/>
      <w:caps/>
      <w:kern w:val="28"/>
      <w:sz w:val="24"/>
    </w:rPr>
  </w:style>
  <w:style w:type="paragraph" w:customStyle="1" w:styleId="plcountry">
    <w:name w:val="plcountry"/>
    <w:basedOn w:val="Normal"/>
    <w:link w:val="plcountryChar"/>
    <w:rsid w:val="00DB671B"/>
    <w:pPr>
      <w:keepNext/>
      <w:keepLines/>
      <w:spacing w:before="180" w:after="120"/>
      <w:jc w:val="left"/>
    </w:pPr>
    <w:rPr>
      <w:caps/>
      <w:noProof/>
      <w:snapToGrid w:val="0"/>
      <w:u w:val="single"/>
    </w:rPr>
  </w:style>
  <w:style w:type="paragraph" w:customStyle="1" w:styleId="pldetails">
    <w:name w:val="pldetails"/>
    <w:basedOn w:val="Normal"/>
    <w:link w:val="pldetailsChar"/>
    <w:rsid w:val="00DB671B"/>
    <w:pPr>
      <w:keepLines/>
      <w:spacing w:before="60" w:after="60"/>
      <w:jc w:val="left"/>
    </w:pPr>
    <w:rPr>
      <w:noProof/>
      <w:snapToGrid w:val="0"/>
    </w:rPr>
  </w:style>
  <w:style w:type="paragraph" w:customStyle="1" w:styleId="plheading">
    <w:name w:val="plheading"/>
    <w:basedOn w:val="Normal"/>
    <w:rsid w:val="00DB671B"/>
    <w:pPr>
      <w:keepNext/>
      <w:spacing w:before="480" w:after="120"/>
      <w:jc w:val="center"/>
    </w:pPr>
    <w:rPr>
      <w:caps/>
      <w:snapToGrid w:val="0"/>
      <w:u w:val="single"/>
    </w:rPr>
  </w:style>
  <w:style w:type="paragraph" w:customStyle="1" w:styleId="Sessiontcplacedate">
    <w:name w:val="Session_tc_place_date"/>
    <w:basedOn w:val="SessionMeetingPlace"/>
    <w:rsid w:val="00DB671B"/>
    <w:pPr>
      <w:spacing w:before="240"/>
      <w:contextualSpacing/>
      <w:jc w:val="left"/>
    </w:pPr>
    <w:rPr>
      <w:sz w:val="20"/>
    </w:rPr>
  </w:style>
  <w:style w:type="paragraph" w:customStyle="1" w:styleId="Titleofdoc0">
    <w:name w:val="Title_of_doc"/>
    <w:basedOn w:val="TitleofDoc"/>
    <w:rsid w:val="00DB671B"/>
    <w:pPr>
      <w:spacing w:before="600" w:after="240"/>
      <w:jc w:val="left"/>
    </w:pPr>
    <w:rPr>
      <w:b/>
    </w:rPr>
  </w:style>
  <w:style w:type="paragraph" w:customStyle="1" w:styleId="preparedby1">
    <w:name w:val="prepared_by"/>
    <w:basedOn w:val="preparedby0"/>
    <w:rsid w:val="00DB671B"/>
    <w:pPr>
      <w:spacing w:before="0" w:after="240"/>
    </w:pPr>
    <w:rPr>
      <w:iCs/>
    </w:rPr>
  </w:style>
  <w:style w:type="character" w:customStyle="1" w:styleId="CodeChar">
    <w:name w:val="Code Char"/>
    <w:basedOn w:val="DefaultParagraphFont"/>
    <w:link w:val="Code"/>
    <w:semiHidden/>
    <w:rsid w:val="00DB671B"/>
    <w:rPr>
      <w:rFonts w:ascii="Arial" w:hAnsi="Arial"/>
      <w:b/>
      <w:bCs/>
      <w:spacing w:val="10"/>
      <w:lang w:val="fr-FR"/>
    </w:rPr>
  </w:style>
  <w:style w:type="paragraph" w:customStyle="1" w:styleId="endofdoc">
    <w:name w:val="end_of_doc"/>
    <w:next w:val="Header"/>
    <w:autoRedefine/>
    <w:rsid w:val="00DB671B"/>
    <w:pPr>
      <w:spacing w:before="480"/>
      <w:ind w:left="567" w:hanging="567"/>
      <w:jc w:val="right"/>
    </w:pPr>
    <w:rPr>
      <w:rFonts w:ascii="Arial" w:hAnsi="Arial"/>
    </w:rPr>
  </w:style>
  <w:style w:type="character" w:customStyle="1" w:styleId="DocoriginalChar">
    <w:name w:val="Doc_original Char"/>
    <w:basedOn w:val="CodeChar"/>
    <w:link w:val="Docoriginal"/>
    <w:rsid w:val="00DB671B"/>
    <w:rPr>
      <w:rFonts w:ascii="Arial" w:hAnsi="Arial"/>
      <w:b/>
      <w:bCs/>
      <w:spacing w:val="10"/>
      <w:sz w:val="18"/>
      <w:lang w:val="fr-FR"/>
    </w:rPr>
  </w:style>
  <w:style w:type="paragraph" w:styleId="TOC2">
    <w:name w:val="toc 2"/>
    <w:next w:val="Normal"/>
    <w:autoRedefine/>
    <w:rsid w:val="00DB671B"/>
    <w:pPr>
      <w:tabs>
        <w:tab w:val="right" w:leader="dot" w:pos="9639"/>
      </w:tabs>
      <w:spacing w:before="120"/>
      <w:ind w:left="454" w:right="851" w:hanging="284"/>
      <w:contextualSpacing/>
    </w:pPr>
    <w:rPr>
      <w:rFonts w:ascii="Arial" w:hAnsi="Arial"/>
      <w:smallCaps/>
    </w:rPr>
  </w:style>
  <w:style w:type="paragraph" w:styleId="TOC3">
    <w:name w:val="toc 3"/>
    <w:next w:val="Normal"/>
    <w:autoRedefine/>
    <w:rsid w:val="00DB671B"/>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DB671B"/>
    <w:rPr>
      <w:rFonts w:ascii="Arial" w:hAnsi="Arial"/>
      <w:color w:val="0000FF"/>
      <w:u w:val="single"/>
    </w:rPr>
  </w:style>
  <w:style w:type="paragraph" w:styleId="TOC4">
    <w:name w:val="toc 4"/>
    <w:next w:val="Normal"/>
    <w:autoRedefine/>
    <w:rsid w:val="00DB671B"/>
    <w:pPr>
      <w:tabs>
        <w:tab w:val="right" w:leader="dot" w:pos="9639"/>
      </w:tabs>
      <w:spacing w:before="120"/>
      <w:ind w:left="738" w:right="851" w:hanging="284"/>
    </w:pPr>
    <w:rPr>
      <w:rFonts w:ascii="Arial" w:hAnsi="Arial"/>
      <w:i/>
      <w:sz w:val="18"/>
      <w:lang w:val="fr-FR"/>
    </w:rPr>
  </w:style>
  <w:style w:type="paragraph" w:styleId="TOC1">
    <w:name w:val="toc 1"/>
    <w:next w:val="Normal"/>
    <w:autoRedefine/>
    <w:rsid w:val="00DB671B"/>
    <w:pPr>
      <w:tabs>
        <w:tab w:val="right" w:leader="dot" w:pos="9639"/>
      </w:tabs>
      <w:contextualSpacing/>
      <w:jc w:val="center"/>
    </w:pPr>
    <w:rPr>
      <w:rFonts w:ascii="Arial" w:hAnsi="Arial"/>
      <w:caps/>
    </w:rPr>
  </w:style>
  <w:style w:type="paragraph" w:styleId="TOC5">
    <w:name w:val="toc 5"/>
    <w:next w:val="Normal"/>
    <w:autoRedefine/>
    <w:rsid w:val="00DB671B"/>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DB671B"/>
    <w:rPr>
      <w:rFonts w:ascii="Tahoma" w:hAnsi="Tahoma" w:cs="Tahoma"/>
      <w:sz w:val="16"/>
      <w:szCs w:val="16"/>
    </w:rPr>
  </w:style>
  <w:style w:type="character" w:customStyle="1" w:styleId="BalloonTextChar">
    <w:name w:val="Balloon Text Char"/>
    <w:basedOn w:val="DefaultParagraphFont"/>
    <w:link w:val="BalloonText"/>
    <w:rsid w:val="00DB671B"/>
    <w:rPr>
      <w:rFonts w:ascii="Tahoma" w:hAnsi="Tahoma" w:cs="Tahoma"/>
      <w:sz w:val="16"/>
      <w:szCs w:val="16"/>
      <w:lang w:val="fr-FR"/>
    </w:rPr>
  </w:style>
  <w:style w:type="paragraph" w:customStyle="1" w:styleId="Doccode">
    <w:name w:val="Doc_code"/>
    <w:qFormat/>
    <w:rsid w:val="00DB671B"/>
    <w:rPr>
      <w:rFonts w:ascii="Arial" w:hAnsi="Arial"/>
      <w:b/>
      <w:bCs/>
      <w:spacing w:val="10"/>
      <w:sz w:val="18"/>
    </w:rPr>
  </w:style>
  <w:style w:type="character" w:customStyle="1" w:styleId="Heading2Char">
    <w:name w:val="Heading 2 Char"/>
    <w:link w:val="Heading2"/>
    <w:locked/>
    <w:rsid w:val="00054FE5"/>
    <w:rPr>
      <w:rFonts w:ascii="Arial" w:hAnsi="Arial"/>
      <w:u w:val="single"/>
    </w:rPr>
  </w:style>
  <w:style w:type="character" w:customStyle="1" w:styleId="Heading4Char">
    <w:name w:val="Heading 4 Char"/>
    <w:link w:val="Heading4"/>
    <w:rsid w:val="00054FE5"/>
    <w:rPr>
      <w:rFonts w:ascii="Arial" w:hAnsi="Arial"/>
      <w:u w:val="single"/>
      <w:lang w:val="fr-FR"/>
    </w:rPr>
  </w:style>
  <w:style w:type="character" w:customStyle="1" w:styleId="Heading3Char">
    <w:name w:val="Heading 3 Char"/>
    <w:basedOn w:val="DefaultParagraphFont"/>
    <w:link w:val="Heading3"/>
    <w:rsid w:val="00054FE5"/>
    <w:rPr>
      <w:rFonts w:ascii="Arial" w:hAnsi="Arial"/>
      <w:i/>
    </w:rPr>
  </w:style>
  <w:style w:type="paragraph" w:styleId="ListParagraph">
    <w:name w:val="List Paragraph"/>
    <w:basedOn w:val="Normal"/>
    <w:uiPriority w:val="34"/>
    <w:qFormat/>
    <w:rsid w:val="00054FE5"/>
    <w:pPr>
      <w:ind w:left="720"/>
      <w:contextualSpacing/>
    </w:pPr>
  </w:style>
  <w:style w:type="character" w:customStyle="1" w:styleId="Heading1Char">
    <w:name w:val="Heading 1 Char"/>
    <w:basedOn w:val="DefaultParagraphFont"/>
    <w:link w:val="Heading1"/>
    <w:rsid w:val="00054FE5"/>
    <w:rPr>
      <w:rFonts w:ascii="Arial" w:hAnsi="Arial"/>
      <w:caps/>
    </w:rPr>
  </w:style>
  <w:style w:type="character" w:customStyle="1" w:styleId="DecisionParagraphsChar">
    <w:name w:val="DecisionParagraphs Char"/>
    <w:basedOn w:val="DefaultParagraphFont"/>
    <w:link w:val="DecisionParagraphs"/>
    <w:rsid w:val="00054FE5"/>
    <w:rPr>
      <w:rFonts w:ascii="Arial" w:hAnsi="Arial"/>
      <w:i/>
      <w:lang w:val="fr-FR"/>
    </w:rPr>
  </w:style>
  <w:style w:type="paragraph" w:customStyle="1" w:styleId="Heading60">
    <w:name w:val="Heading6"/>
    <w:basedOn w:val="Normal"/>
    <w:link w:val="Heading6Char0"/>
    <w:qFormat/>
    <w:rsid w:val="00054FE5"/>
    <w:pPr>
      <w:ind w:left="567" w:firstLine="567"/>
    </w:pPr>
    <w:rPr>
      <w:i/>
      <w:lang w:eastAsia="ja-JP"/>
    </w:rPr>
  </w:style>
  <w:style w:type="table" w:styleId="TableGrid">
    <w:name w:val="Table Grid"/>
    <w:basedOn w:val="TableNormal"/>
    <w:rsid w:val="00054FE5"/>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0">
    <w:name w:val="Heading6 Char"/>
    <w:basedOn w:val="DefaultParagraphFont"/>
    <w:link w:val="Heading60"/>
    <w:rsid w:val="00054FE5"/>
    <w:rPr>
      <w:rFonts w:ascii="Arial" w:hAnsi="Arial"/>
      <w:i/>
      <w:lang w:eastAsia="ja-JP"/>
    </w:rPr>
  </w:style>
  <w:style w:type="table" w:customStyle="1" w:styleId="TableGrid3">
    <w:name w:val="Table Grid3"/>
    <w:basedOn w:val="TableNormal"/>
    <w:next w:val="TableGrid"/>
    <w:rsid w:val="00054F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054FE5"/>
    <w:rPr>
      <w:i/>
      <w:iCs/>
    </w:rPr>
  </w:style>
  <w:style w:type="paragraph" w:styleId="NormalWeb">
    <w:name w:val="Normal (Web)"/>
    <w:basedOn w:val="Normal"/>
    <w:unhideWhenUsed/>
    <w:rsid w:val="00054FE5"/>
    <w:pPr>
      <w:spacing w:before="100" w:beforeAutospacing="1" w:after="100" w:afterAutospacing="1"/>
      <w:jc w:val="left"/>
    </w:pPr>
    <w:rPr>
      <w:rFonts w:ascii="Times New Roman" w:eastAsiaTheme="minorEastAsia" w:hAnsi="Times New Roman"/>
      <w:sz w:val="24"/>
      <w:szCs w:val="24"/>
    </w:rPr>
  </w:style>
  <w:style w:type="character" w:customStyle="1" w:styleId="FootnoteTextChar">
    <w:name w:val="Footnote Text Char"/>
    <w:basedOn w:val="DefaultParagraphFont"/>
    <w:link w:val="FootnoteText"/>
    <w:rsid w:val="00DB671B"/>
    <w:rPr>
      <w:rFonts w:ascii="Arial" w:hAnsi="Arial"/>
      <w:sz w:val="16"/>
      <w:lang w:val="fr-FR"/>
    </w:rPr>
  </w:style>
  <w:style w:type="paragraph" w:customStyle="1" w:styleId="pdflink">
    <w:name w:val="pdflink"/>
    <w:basedOn w:val="Normal"/>
    <w:next w:val="Normal"/>
    <w:rsid w:val="00054FE5"/>
    <w:rPr>
      <w:color w:val="800000"/>
      <w:u w:val="words"/>
    </w:rPr>
  </w:style>
  <w:style w:type="paragraph" w:customStyle="1" w:styleId="Draft">
    <w:name w:val="Draft"/>
    <w:basedOn w:val="Normal"/>
    <w:next w:val="preparedby"/>
    <w:rsid w:val="00054FE5"/>
    <w:pPr>
      <w:spacing w:before="720" w:after="480"/>
      <w:jc w:val="center"/>
    </w:pPr>
    <w:rPr>
      <w:caps/>
      <w:sz w:val="28"/>
    </w:rPr>
  </w:style>
  <w:style w:type="paragraph" w:customStyle="1" w:styleId="quote1">
    <w:name w:val="quote1"/>
    <w:basedOn w:val="Normal"/>
    <w:semiHidden/>
    <w:rsid w:val="00054FE5"/>
    <w:pPr>
      <w:ind w:left="567" w:right="565" w:firstLine="567"/>
    </w:pPr>
    <w:rPr>
      <w:snapToGrid w:val="0"/>
      <w:sz w:val="22"/>
      <w:szCs w:val="22"/>
    </w:rPr>
  </w:style>
  <w:style w:type="paragraph" w:customStyle="1" w:styleId="tqparabox">
    <w:name w:val="tqparabox"/>
    <w:basedOn w:val="Normal"/>
    <w:rsid w:val="00054FE5"/>
    <w:pPr>
      <w:tabs>
        <w:tab w:val="left" w:pos="567"/>
        <w:tab w:val="left" w:pos="1134"/>
        <w:tab w:val="left" w:pos="2976"/>
        <w:tab w:val="left" w:pos="5856"/>
        <w:tab w:val="left" w:pos="7296"/>
      </w:tabs>
      <w:spacing w:before="40" w:after="40"/>
      <w:ind w:left="567"/>
      <w:jc w:val="left"/>
    </w:pPr>
  </w:style>
  <w:style w:type="paragraph" w:styleId="TOC6">
    <w:name w:val="toc 6"/>
    <w:basedOn w:val="Normal"/>
    <w:next w:val="Normal"/>
    <w:autoRedefine/>
    <w:semiHidden/>
    <w:rsid w:val="00054FE5"/>
    <w:pPr>
      <w:ind w:left="1200"/>
    </w:pPr>
  </w:style>
  <w:style w:type="paragraph" w:styleId="BodyTextIndent">
    <w:name w:val="Body Text Indent"/>
    <w:basedOn w:val="Normal"/>
    <w:link w:val="BodyTextIndentChar"/>
    <w:rsid w:val="00054FE5"/>
    <w:pPr>
      <w:ind w:left="567"/>
    </w:pPr>
    <w:rPr>
      <w:lang w:val="es-ES_tradnl"/>
    </w:rPr>
  </w:style>
  <w:style w:type="character" w:customStyle="1" w:styleId="BodyTextIndentChar">
    <w:name w:val="Body Text Indent Char"/>
    <w:basedOn w:val="DefaultParagraphFont"/>
    <w:link w:val="BodyTextIndent"/>
    <w:rsid w:val="00054FE5"/>
    <w:rPr>
      <w:rFonts w:ascii="Arial" w:hAnsi="Arial"/>
      <w:lang w:val="es-ES_tradnl"/>
    </w:rPr>
  </w:style>
  <w:style w:type="paragraph" w:customStyle="1" w:styleId="twpcheck">
    <w:name w:val="twpcheck"/>
    <w:basedOn w:val="Normal"/>
    <w:rsid w:val="00054FE5"/>
    <w:pPr>
      <w:spacing w:before="80" w:after="80"/>
      <w:jc w:val="left"/>
    </w:pPr>
    <w:rPr>
      <w:snapToGrid w:val="0"/>
      <w:sz w:val="16"/>
      <w:szCs w:val="16"/>
    </w:rPr>
  </w:style>
  <w:style w:type="paragraph" w:customStyle="1" w:styleId="DecisionInvitingPara">
    <w:name w:val="Decision Inviting Para."/>
    <w:basedOn w:val="Normal"/>
    <w:rsid w:val="00054FE5"/>
    <w:pPr>
      <w:ind w:left="4536"/>
    </w:pPr>
    <w:rPr>
      <w:i/>
      <w:lang w:val="es-ES_tradnl"/>
    </w:rPr>
  </w:style>
  <w:style w:type="paragraph" w:customStyle="1" w:styleId="Enttepair">
    <w:name w:val="Entête_pair"/>
    <w:basedOn w:val="Normal"/>
    <w:next w:val="Normal"/>
    <w:rsid w:val="00054FE5"/>
    <w:pPr>
      <w:pBdr>
        <w:bottom w:val="single" w:sz="4" w:space="1" w:color="auto"/>
      </w:pBdr>
      <w:jc w:val="left"/>
    </w:pPr>
    <w:rPr>
      <w:szCs w:val="24"/>
    </w:rPr>
  </w:style>
  <w:style w:type="paragraph" w:customStyle="1" w:styleId="Entteimpair">
    <w:name w:val="Entête_impair"/>
    <w:basedOn w:val="Normal"/>
    <w:next w:val="Normal"/>
    <w:rsid w:val="00054FE5"/>
    <w:pPr>
      <w:pBdr>
        <w:bottom w:val="single" w:sz="4" w:space="1" w:color="auto"/>
      </w:pBdr>
      <w:jc w:val="right"/>
    </w:pPr>
  </w:style>
  <w:style w:type="paragraph" w:styleId="E-mailSignature">
    <w:name w:val="E-mail Signature"/>
    <w:basedOn w:val="Normal"/>
    <w:link w:val="E-mailSignatureChar"/>
    <w:semiHidden/>
    <w:rsid w:val="00054FE5"/>
  </w:style>
  <w:style w:type="character" w:customStyle="1" w:styleId="E-mailSignatureChar">
    <w:name w:val="E-mail Signature Char"/>
    <w:basedOn w:val="DefaultParagraphFont"/>
    <w:link w:val="E-mailSignature"/>
    <w:semiHidden/>
    <w:rsid w:val="00054FE5"/>
    <w:rPr>
      <w:rFonts w:ascii="Arial" w:hAnsi="Arial"/>
    </w:rPr>
  </w:style>
  <w:style w:type="paragraph" w:styleId="EnvelopeAddress">
    <w:name w:val="envelope address"/>
    <w:basedOn w:val="Normal"/>
    <w:semiHidden/>
    <w:rsid w:val="00054FE5"/>
    <w:pPr>
      <w:framePr w:w="7920" w:h="1980" w:hRule="exact" w:hSpace="180" w:wrap="auto" w:hAnchor="page" w:xAlign="center" w:yAlign="bottom"/>
      <w:ind w:left="2880"/>
    </w:pPr>
    <w:rPr>
      <w:szCs w:val="24"/>
    </w:rPr>
  </w:style>
  <w:style w:type="paragraph" w:styleId="EnvelopeReturn">
    <w:name w:val="envelope return"/>
    <w:basedOn w:val="Normal"/>
    <w:semiHidden/>
    <w:rsid w:val="00054FE5"/>
  </w:style>
  <w:style w:type="character" w:styleId="HTMLAcronym">
    <w:name w:val="HTML Acronym"/>
    <w:basedOn w:val="DefaultParagraphFont"/>
    <w:semiHidden/>
    <w:rsid w:val="00054FE5"/>
  </w:style>
  <w:style w:type="paragraph" w:styleId="HTMLAddress">
    <w:name w:val="HTML Address"/>
    <w:basedOn w:val="Normal"/>
    <w:link w:val="HTMLAddressChar"/>
    <w:semiHidden/>
    <w:rsid w:val="00054FE5"/>
    <w:rPr>
      <w:i/>
      <w:iCs/>
    </w:rPr>
  </w:style>
  <w:style w:type="character" w:customStyle="1" w:styleId="HTMLAddressChar">
    <w:name w:val="HTML Address Char"/>
    <w:basedOn w:val="DefaultParagraphFont"/>
    <w:link w:val="HTMLAddress"/>
    <w:semiHidden/>
    <w:rsid w:val="00054FE5"/>
    <w:rPr>
      <w:rFonts w:ascii="Arial" w:hAnsi="Arial"/>
      <w:i/>
      <w:iCs/>
    </w:rPr>
  </w:style>
  <w:style w:type="character" w:styleId="HTMLCite">
    <w:name w:val="HTML Cite"/>
    <w:basedOn w:val="DefaultParagraphFont"/>
    <w:semiHidden/>
    <w:rsid w:val="00054FE5"/>
    <w:rPr>
      <w:i/>
      <w:iCs/>
    </w:rPr>
  </w:style>
  <w:style w:type="character" w:styleId="HTMLCode">
    <w:name w:val="HTML Code"/>
    <w:basedOn w:val="DefaultParagraphFont"/>
    <w:semiHidden/>
    <w:rsid w:val="00054FE5"/>
    <w:rPr>
      <w:rFonts w:ascii="Courier New" w:hAnsi="Courier New" w:cs="Courier New"/>
      <w:sz w:val="20"/>
      <w:szCs w:val="20"/>
    </w:rPr>
  </w:style>
  <w:style w:type="character" w:styleId="HTMLDefinition">
    <w:name w:val="HTML Definition"/>
    <w:basedOn w:val="DefaultParagraphFont"/>
    <w:semiHidden/>
    <w:rsid w:val="00054FE5"/>
    <w:rPr>
      <w:i/>
      <w:iCs/>
    </w:rPr>
  </w:style>
  <w:style w:type="character" w:styleId="HTMLKeyboard">
    <w:name w:val="HTML Keyboard"/>
    <w:basedOn w:val="DefaultParagraphFont"/>
    <w:semiHidden/>
    <w:rsid w:val="00054FE5"/>
    <w:rPr>
      <w:rFonts w:ascii="Courier New" w:hAnsi="Courier New" w:cs="Courier New"/>
      <w:sz w:val="20"/>
      <w:szCs w:val="20"/>
    </w:rPr>
  </w:style>
  <w:style w:type="paragraph" w:styleId="HTMLPreformatted">
    <w:name w:val="HTML Preformatted"/>
    <w:basedOn w:val="Normal"/>
    <w:link w:val="HTMLPreformattedChar"/>
    <w:semiHidden/>
    <w:rsid w:val="00054FE5"/>
    <w:rPr>
      <w:rFonts w:ascii="Courier New" w:hAnsi="Courier New" w:cs="Courier New"/>
    </w:rPr>
  </w:style>
  <w:style w:type="character" w:customStyle="1" w:styleId="HTMLPreformattedChar">
    <w:name w:val="HTML Preformatted Char"/>
    <w:basedOn w:val="DefaultParagraphFont"/>
    <w:link w:val="HTMLPreformatted"/>
    <w:semiHidden/>
    <w:rsid w:val="00054FE5"/>
    <w:rPr>
      <w:rFonts w:ascii="Courier New" w:hAnsi="Courier New" w:cs="Courier New"/>
    </w:rPr>
  </w:style>
  <w:style w:type="character" w:styleId="HTMLSample">
    <w:name w:val="HTML Sample"/>
    <w:basedOn w:val="DefaultParagraphFont"/>
    <w:semiHidden/>
    <w:rsid w:val="00054FE5"/>
    <w:rPr>
      <w:rFonts w:ascii="Courier New" w:hAnsi="Courier New" w:cs="Courier New"/>
    </w:rPr>
  </w:style>
  <w:style w:type="character" w:styleId="HTMLTypewriter">
    <w:name w:val="HTML Typewriter"/>
    <w:basedOn w:val="DefaultParagraphFont"/>
    <w:semiHidden/>
    <w:rsid w:val="00054FE5"/>
    <w:rPr>
      <w:rFonts w:ascii="Courier New" w:hAnsi="Courier New" w:cs="Courier New"/>
      <w:sz w:val="20"/>
      <w:szCs w:val="20"/>
    </w:rPr>
  </w:style>
  <w:style w:type="character" w:styleId="HTMLVariable">
    <w:name w:val="HTML Variable"/>
    <w:basedOn w:val="DefaultParagraphFont"/>
    <w:semiHidden/>
    <w:rsid w:val="00054FE5"/>
    <w:rPr>
      <w:i/>
      <w:iCs/>
    </w:rPr>
  </w:style>
  <w:style w:type="character" w:styleId="LineNumber">
    <w:name w:val="line number"/>
    <w:basedOn w:val="DefaultParagraphFont"/>
    <w:semiHidden/>
    <w:rsid w:val="00054FE5"/>
  </w:style>
  <w:style w:type="paragraph" w:styleId="List">
    <w:name w:val="List"/>
    <w:basedOn w:val="Normal"/>
    <w:semiHidden/>
    <w:rsid w:val="00054FE5"/>
    <w:pPr>
      <w:ind w:left="360" w:hanging="360"/>
    </w:pPr>
  </w:style>
  <w:style w:type="paragraph" w:styleId="List2">
    <w:name w:val="List 2"/>
    <w:basedOn w:val="Normal"/>
    <w:semiHidden/>
    <w:rsid w:val="00054FE5"/>
    <w:pPr>
      <w:ind w:left="720" w:hanging="360"/>
    </w:pPr>
  </w:style>
  <w:style w:type="paragraph" w:styleId="List3">
    <w:name w:val="List 3"/>
    <w:basedOn w:val="Normal"/>
    <w:semiHidden/>
    <w:rsid w:val="00054FE5"/>
    <w:pPr>
      <w:ind w:left="1080" w:hanging="360"/>
    </w:pPr>
  </w:style>
  <w:style w:type="paragraph" w:styleId="List4">
    <w:name w:val="List 4"/>
    <w:basedOn w:val="Normal"/>
    <w:rsid w:val="00054FE5"/>
    <w:pPr>
      <w:ind w:left="1440" w:hanging="360"/>
    </w:pPr>
  </w:style>
  <w:style w:type="paragraph" w:styleId="List5">
    <w:name w:val="List 5"/>
    <w:basedOn w:val="Normal"/>
    <w:rsid w:val="00054FE5"/>
    <w:pPr>
      <w:ind w:left="1800" w:hanging="360"/>
    </w:pPr>
  </w:style>
  <w:style w:type="paragraph" w:styleId="ListBullet">
    <w:name w:val="List Bullet"/>
    <w:basedOn w:val="Normal"/>
    <w:autoRedefine/>
    <w:rsid w:val="00054FE5"/>
    <w:pPr>
      <w:tabs>
        <w:tab w:val="num" w:pos="360"/>
      </w:tabs>
      <w:ind w:left="360" w:hanging="360"/>
    </w:pPr>
    <w:rPr>
      <w:bCs/>
      <w:szCs w:val="24"/>
      <w:lang w:val="es-ES" w:eastAsia="zh-CN"/>
    </w:rPr>
  </w:style>
  <w:style w:type="paragraph" w:styleId="ListBullet2">
    <w:name w:val="List Bullet 2"/>
    <w:basedOn w:val="Normal"/>
    <w:semiHidden/>
    <w:rsid w:val="00054FE5"/>
    <w:pPr>
      <w:tabs>
        <w:tab w:val="num" w:pos="720"/>
      </w:tabs>
      <w:ind w:left="720" w:hanging="360"/>
    </w:pPr>
  </w:style>
  <w:style w:type="paragraph" w:styleId="ListBullet3">
    <w:name w:val="List Bullet 3"/>
    <w:basedOn w:val="Normal"/>
    <w:semiHidden/>
    <w:rsid w:val="00054FE5"/>
    <w:pPr>
      <w:tabs>
        <w:tab w:val="num" w:pos="1080"/>
      </w:tabs>
      <w:ind w:left="1080" w:hanging="360"/>
    </w:pPr>
  </w:style>
  <w:style w:type="paragraph" w:styleId="ListBullet4">
    <w:name w:val="List Bullet 4"/>
    <w:basedOn w:val="Normal"/>
    <w:semiHidden/>
    <w:rsid w:val="00054FE5"/>
    <w:pPr>
      <w:tabs>
        <w:tab w:val="num" w:pos="1440"/>
      </w:tabs>
      <w:ind w:left="1440" w:hanging="360"/>
    </w:pPr>
  </w:style>
  <w:style w:type="paragraph" w:styleId="ListBullet5">
    <w:name w:val="List Bullet 5"/>
    <w:basedOn w:val="Normal"/>
    <w:semiHidden/>
    <w:rsid w:val="00054FE5"/>
    <w:pPr>
      <w:tabs>
        <w:tab w:val="num" w:pos="1800"/>
      </w:tabs>
      <w:ind w:left="1800" w:hanging="360"/>
    </w:pPr>
  </w:style>
  <w:style w:type="paragraph" w:styleId="ListContinue">
    <w:name w:val="List Continue"/>
    <w:basedOn w:val="Normal"/>
    <w:semiHidden/>
    <w:rsid w:val="00054FE5"/>
    <w:pPr>
      <w:spacing w:after="120"/>
      <w:ind w:left="360"/>
    </w:pPr>
  </w:style>
  <w:style w:type="paragraph" w:styleId="ListContinue2">
    <w:name w:val="List Continue 2"/>
    <w:basedOn w:val="Normal"/>
    <w:semiHidden/>
    <w:rsid w:val="00054FE5"/>
    <w:pPr>
      <w:spacing w:after="120"/>
      <w:ind w:left="720"/>
    </w:pPr>
  </w:style>
  <w:style w:type="paragraph" w:styleId="ListContinue3">
    <w:name w:val="List Continue 3"/>
    <w:basedOn w:val="Normal"/>
    <w:semiHidden/>
    <w:rsid w:val="00054FE5"/>
    <w:pPr>
      <w:spacing w:after="120"/>
      <w:ind w:left="1080"/>
    </w:pPr>
  </w:style>
  <w:style w:type="paragraph" w:styleId="ListContinue4">
    <w:name w:val="List Continue 4"/>
    <w:basedOn w:val="Normal"/>
    <w:semiHidden/>
    <w:rsid w:val="00054FE5"/>
    <w:pPr>
      <w:spacing w:after="120"/>
      <w:ind w:left="1440"/>
    </w:pPr>
  </w:style>
  <w:style w:type="paragraph" w:styleId="ListContinue5">
    <w:name w:val="List Continue 5"/>
    <w:basedOn w:val="Normal"/>
    <w:semiHidden/>
    <w:rsid w:val="00054FE5"/>
    <w:pPr>
      <w:spacing w:after="120"/>
      <w:ind w:left="1800"/>
    </w:pPr>
  </w:style>
  <w:style w:type="paragraph" w:styleId="ListNumber2">
    <w:name w:val="List Number 2"/>
    <w:basedOn w:val="Normal"/>
    <w:semiHidden/>
    <w:rsid w:val="00054FE5"/>
    <w:pPr>
      <w:tabs>
        <w:tab w:val="num" w:pos="720"/>
      </w:tabs>
      <w:ind w:left="720" w:hanging="360"/>
    </w:pPr>
  </w:style>
  <w:style w:type="paragraph" w:styleId="ListNumber3">
    <w:name w:val="List Number 3"/>
    <w:basedOn w:val="Normal"/>
    <w:semiHidden/>
    <w:rsid w:val="00054FE5"/>
    <w:pPr>
      <w:tabs>
        <w:tab w:val="num" w:pos="1080"/>
      </w:tabs>
      <w:ind w:left="1080" w:hanging="360"/>
    </w:pPr>
  </w:style>
  <w:style w:type="paragraph" w:styleId="ListNumber4">
    <w:name w:val="List Number 4"/>
    <w:basedOn w:val="Normal"/>
    <w:semiHidden/>
    <w:rsid w:val="00054FE5"/>
    <w:pPr>
      <w:tabs>
        <w:tab w:val="num" w:pos="1440"/>
      </w:tabs>
      <w:ind w:left="1440" w:hanging="360"/>
    </w:pPr>
  </w:style>
  <w:style w:type="paragraph" w:styleId="ListNumber5">
    <w:name w:val="List Number 5"/>
    <w:basedOn w:val="Normal"/>
    <w:semiHidden/>
    <w:rsid w:val="00054FE5"/>
    <w:pPr>
      <w:tabs>
        <w:tab w:val="num" w:pos="1800"/>
      </w:tabs>
      <w:ind w:left="1800" w:hanging="360"/>
    </w:pPr>
  </w:style>
  <w:style w:type="paragraph" w:styleId="MessageHeader">
    <w:name w:val="Message Header"/>
    <w:basedOn w:val="Normal"/>
    <w:link w:val="MessageHeaderChar"/>
    <w:semiHidden/>
    <w:rsid w:val="00054FE5"/>
    <w:pPr>
      <w:pBdr>
        <w:top w:val="single" w:sz="6" w:space="1" w:color="auto"/>
        <w:left w:val="single" w:sz="6" w:space="1" w:color="auto"/>
        <w:bottom w:val="single" w:sz="6" w:space="1" w:color="auto"/>
        <w:right w:val="single" w:sz="6" w:space="1" w:color="auto"/>
      </w:pBdr>
      <w:shd w:val="pct20" w:color="auto" w:fill="auto"/>
      <w:ind w:left="1080" w:hanging="1080"/>
    </w:pPr>
    <w:rPr>
      <w:szCs w:val="24"/>
    </w:rPr>
  </w:style>
  <w:style w:type="character" w:customStyle="1" w:styleId="MessageHeaderChar">
    <w:name w:val="Message Header Char"/>
    <w:basedOn w:val="DefaultParagraphFont"/>
    <w:link w:val="MessageHeader"/>
    <w:semiHidden/>
    <w:rsid w:val="00054FE5"/>
    <w:rPr>
      <w:rFonts w:ascii="Arial" w:hAnsi="Arial"/>
      <w:szCs w:val="24"/>
      <w:shd w:val="pct20" w:color="auto" w:fill="auto"/>
    </w:rPr>
  </w:style>
  <w:style w:type="paragraph" w:styleId="NoteHeading">
    <w:name w:val="Note Heading"/>
    <w:basedOn w:val="Normal"/>
    <w:next w:val="Normal"/>
    <w:link w:val="NoteHeadingChar"/>
    <w:semiHidden/>
    <w:rsid w:val="00054FE5"/>
  </w:style>
  <w:style w:type="character" w:customStyle="1" w:styleId="NoteHeadingChar">
    <w:name w:val="Note Heading Char"/>
    <w:basedOn w:val="DefaultParagraphFont"/>
    <w:link w:val="NoteHeading"/>
    <w:semiHidden/>
    <w:rsid w:val="00054FE5"/>
    <w:rPr>
      <w:rFonts w:ascii="Arial" w:hAnsi="Arial"/>
    </w:rPr>
  </w:style>
  <w:style w:type="character" w:customStyle="1" w:styleId="SalutationChar">
    <w:name w:val="Salutation Char"/>
    <w:basedOn w:val="DefaultParagraphFont"/>
    <w:link w:val="Salutation"/>
    <w:rsid w:val="00054FE5"/>
    <w:rPr>
      <w:rFonts w:ascii="Arial" w:hAnsi="Arial" w:cs="Arial"/>
      <w:sz w:val="22"/>
    </w:rPr>
  </w:style>
  <w:style w:type="character" w:styleId="Strong">
    <w:name w:val="Strong"/>
    <w:basedOn w:val="DefaultParagraphFont"/>
    <w:qFormat/>
    <w:rsid w:val="00054FE5"/>
    <w:rPr>
      <w:b/>
      <w:bCs/>
    </w:rPr>
  </w:style>
  <w:style w:type="paragraph" w:styleId="Subtitle">
    <w:name w:val="Subtitle"/>
    <w:basedOn w:val="Normal"/>
    <w:link w:val="SubtitleChar"/>
    <w:qFormat/>
    <w:rsid w:val="00054FE5"/>
    <w:pPr>
      <w:spacing w:after="60"/>
      <w:jc w:val="center"/>
      <w:outlineLvl w:val="1"/>
    </w:pPr>
    <w:rPr>
      <w:szCs w:val="24"/>
    </w:rPr>
  </w:style>
  <w:style w:type="character" w:customStyle="1" w:styleId="SubtitleChar">
    <w:name w:val="Subtitle Char"/>
    <w:basedOn w:val="DefaultParagraphFont"/>
    <w:link w:val="Subtitle"/>
    <w:rsid w:val="00054FE5"/>
    <w:rPr>
      <w:rFonts w:ascii="Arial" w:hAnsi="Arial"/>
      <w:szCs w:val="24"/>
    </w:rPr>
  </w:style>
  <w:style w:type="table" w:styleId="Table3Deffects1">
    <w:name w:val="Table 3D effects 1"/>
    <w:basedOn w:val="TableNormal"/>
    <w:semiHidden/>
    <w:rsid w:val="00054FE5"/>
    <w:pPr>
      <w:jc w:val="both"/>
    </w:pPr>
    <w:rPr>
      <w:rFonts w:ascii="Arial" w:hAnsi="Arial"/>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54FE5"/>
    <w:pPr>
      <w:jc w:val="both"/>
    </w:pPr>
    <w:rPr>
      <w:rFonts w:ascii="Arial" w:hAnsi="Arial"/>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54FE5"/>
    <w:pPr>
      <w:jc w:val="both"/>
    </w:pPr>
    <w:rPr>
      <w:rFonts w:ascii="Arial" w:hAnsi="Arial"/>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54FE5"/>
    <w:pPr>
      <w:jc w:val="both"/>
    </w:pPr>
    <w:rPr>
      <w:rFonts w:ascii="Arial" w:hAnsi="Arial"/>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54FE5"/>
    <w:pPr>
      <w:jc w:val="both"/>
    </w:pPr>
    <w:rPr>
      <w:rFonts w:ascii="Arial" w:hAnsi="Arial"/>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54FE5"/>
    <w:pPr>
      <w:jc w:val="both"/>
    </w:pPr>
    <w:rPr>
      <w:rFonts w:ascii="Arial"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54FE5"/>
    <w:pPr>
      <w:jc w:val="both"/>
    </w:pPr>
    <w:rPr>
      <w:rFonts w:ascii="Arial" w:hAnsi="Aria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54FE5"/>
    <w:pPr>
      <w:jc w:val="both"/>
    </w:pPr>
    <w:rPr>
      <w:rFonts w:ascii="Arial"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54FE5"/>
    <w:pPr>
      <w:jc w:val="both"/>
    </w:pPr>
    <w:rPr>
      <w:rFonts w:ascii="Arial" w:hAnsi="Arial"/>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54FE5"/>
    <w:pPr>
      <w:jc w:val="both"/>
    </w:pPr>
    <w:rPr>
      <w:rFonts w:ascii="Arial" w:hAnsi="Aria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54FE5"/>
    <w:pPr>
      <w:jc w:val="both"/>
    </w:pPr>
    <w:rPr>
      <w:rFonts w:ascii="Arial" w:hAnsi="Arial"/>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54FE5"/>
    <w:pPr>
      <w:jc w:val="both"/>
    </w:pPr>
    <w:rPr>
      <w:rFonts w:ascii="Arial" w:hAnsi="Arial"/>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54FE5"/>
    <w:pPr>
      <w:jc w:val="both"/>
    </w:pPr>
    <w:rPr>
      <w:rFonts w:ascii="Arial" w:hAnsi="Arial"/>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54FE5"/>
    <w:pPr>
      <w:jc w:val="both"/>
    </w:pPr>
    <w:rPr>
      <w:rFonts w:ascii="Arial" w:hAnsi="Arial"/>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54FE5"/>
    <w:pPr>
      <w:jc w:val="both"/>
    </w:pPr>
    <w:rPr>
      <w:rFonts w:ascii="Arial" w:hAnsi="Aria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54FE5"/>
    <w:pPr>
      <w:jc w:val="both"/>
    </w:pPr>
    <w:rPr>
      <w:rFonts w:ascii="Arial" w:hAnsi="Aria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54FE5"/>
    <w:pPr>
      <w:jc w:val="both"/>
    </w:pPr>
    <w:rPr>
      <w:rFonts w:ascii="Arial"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054FE5"/>
    <w:pPr>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54FE5"/>
    <w:pPr>
      <w:jc w:val="both"/>
    </w:pPr>
    <w:rPr>
      <w:rFonts w:ascii="Arial" w:hAnsi="Aria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semiHidden/>
    <w:rsid w:val="00054FE5"/>
    <w:pPr>
      <w:jc w:val="both"/>
    </w:pPr>
    <w:rPr>
      <w:rFonts w:ascii="Arial"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54FE5"/>
    <w:pPr>
      <w:jc w:val="both"/>
    </w:pPr>
    <w:rPr>
      <w:rFonts w:ascii="Arial" w:hAnsi="Arial"/>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54FE5"/>
    <w:pPr>
      <w:jc w:val="both"/>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54FE5"/>
    <w:pPr>
      <w:jc w:val="both"/>
    </w:pPr>
    <w:rPr>
      <w:rFonts w:ascii="Arial"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54FE5"/>
    <w:pPr>
      <w:jc w:val="both"/>
    </w:pPr>
    <w:rPr>
      <w:rFonts w:ascii="Arial" w:hAnsi="Arial"/>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54FE5"/>
    <w:pPr>
      <w:jc w:val="both"/>
    </w:pPr>
    <w:rPr>
      <w:rFonts w:ascii="Arial" w:hAnsi="Ari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54FE5"/>
    <w:pPr>
      <w:jc w:val="both"/>
    </w:pPr>
    <w:rPr>
      <w:rFonts w:ascii="Arial"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54FE5"/>
    <w:pPr>
      <w:jc w:val="both"/>
    </w:pPr>
    <w:rPr>
      <w:rFonts w:ascii="Arial" w:hAnsi="Aria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54FE5"/>
    <w:pPr>
      <w:jc w:val="both"/>
    </w:pPr>
    <w:rPr>
      <w:rFonts w:ascii="Arial" w:hAnsi="Arial"/>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54FE5"/>
    <w:pPr>
      <w:jc w:val="both"/>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54FE5"/>
    <w:pPr>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54FE5"/>
    <w:pPr>
      <w:jc w:val="both"/>
    </w:pPr>
    <w:rPr>
      <w:rFonts w:ascii="Arial"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54FE5"/>
    <w:pPr>
      <w:jc w:val="both"/>
    </w:pPr>
    <w:rPr>
      <w:rFonts w:ascii="Arial"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54FE5"/>
    <w:pPr>
      <w:jc w:val="both"/>
    </w:pPr>
    <w:rPr>
      <w:rFonts w:ascii="Arial" w:hAnsi="Aria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54FE5"/>
    <w:pPr>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54FE5"/>
    <w:pPr>
      <w:jc w:val="both"/>
    </w:pPr>
    <w:rPr>
      <w:rFonts w:ascii="Arial" w:hAnsi="Arial"/>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54FE5"/>
    <w:pPr>
      <w:jc w:val="both"/>
    </w:pPr>
    <w:rPr>
      <w:rFonts w:ascii="Arial" w:hAnsi="Arial"/>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54FE5"/>
    <w:pPr>
      <w:jc w:val="both"/>
    </w:pPr>
    <w:rPr>
      <w:rFonts w:ascii="Arial" w:hAnsi="Arial"/>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54FE5"/>
    <w:pPr>
      <w:jc w:val="both"/>
    </w:pPr>
    <w:rPr>
      <w:rFonts w:ascii="Arial" w:hAnsi="Arial"/>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54FE5"/>
    <w:pPr>
      <w:jc w:val="both"/>
    </w:pPr>
    <w:rPr>
      <w:rFonts w:ascii="Arial" w:hAnsi="Arial"/>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54FE5"/>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54FE5"/>
    <w:pPr>
      <w:jc w:val="both"/>
    </w:pPr>
    <w:rPr>
      <w:rFonts w:ascii="Arial" w:hAnsi="Aria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54FE5"/>
    <w:pPr>
      <w:jc w:val="both"/>
    </w:pPr>
    <w:rPr>
      <w:rFonts w:ascii="Arial" w:hAnsi="Aria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54FE5"/>
    <w:pPr>
      <w:jc w:val="both"/>
    </w:pPr>
    <w:rPr>
      <w:rFonts w:ascii="Arial" w:hAnsi="Aria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semiHidden/>
    <w:rsid w:val="00054FE5"/>
    <w:pPr>
      <w:ind w:left="1440"/>
    </w:pPr>
  </w:style>
  <w:style w:type="paragraph" w:styleId="TOC8">
    <w:name w:val="toc 8"/>
    <w:basedOn w:val="Normal"/>
    <w:next w:val="Normal"/>
    <w:autoRedefine/>
    <w:semiHidden/>
    <w:rsid w:val="00054FE5"/>
    <w:pPr>
      <w:ind w:left="1680"/>
    </w:pPr>
  </w:style>
  <w:style w:type="paragraph" w:styleId="TOC9">
    <w:name w:val="toc 9"/>
    <w:basedOn w:val="Normal"/>
    <w:next w:val="Normal"/>
    <w:autoRedefine/>
    <w:semiHidden/>
    <w:rsid w:val="00054FE5"/>
    <w:pPr>
      <w:ind w:left="1920"/>
    </w:pPr>
  </w:style>
  <w:style w:type="character" w:styleId="FollowedHyperlink">
    <w:name w:val="FollowedHyperlink"/>
    <w:basedOn w:val="DefaultParagraphFont"/>
    <w:rsid w:val="00054FE5"/>
    <w:rPr>
      <w:color w:val="606420"/>
      <w:u w:val="single"/>
    </w:rPr>
  </w:style>
  <w:style w:type="paragraph" w:styleId="BlockText">
    <w:name w:val="Block Text"/>
    <w:basedOn w:val="Normal"/>
    <w:rsid w:val="00054FE5"/>
    <w:pPr>
      <w:ind w:left="567" w:right="566"/>
    </w:pPr>
    <w:rPr>
      <w:sz w:val="22"/>
    </w:rPr>
  </w:style>
  <w:style w:type="character" w:customStyle="1" w:styleId="CommentTextChar">
    <w:name w:val="Comment Text Char"/>
    <w:basedOn w:val="DefaultParagraphFont"/>
    <w:link w:val="CommentText"/>
    <w:semiHidden/>
    <w:rsid w:val="00054FE5"/>
    <w:rPr>
      <w:rFonts w:ascii="Arial" w:hAnsi="Arial" w:cs="Arial"/>
      <w:sz w:val="18"/>
    </w:rPr>
  </w:style>
  <w:style w:type="paragraph" w:customStyle="1" w:styleId="Committee">
    <w:name w:val="Committee"/>
    <w:basedOn w:val="Title"/>
    <w:rsid w:val="00054FE5"/>
    <w:rPr>
      <w:caps w:val="0"/>
      <w:lang w:val="es-ES_tradnl"/>
    </w:rPr>
  </w:style>
  <w:style w:type="paragraph" w:customStyle="1" w:styleId="n">
    <w:name w:val="n"/>
    <w:basedOn w:val="Header"/>
    <w:rsid w:val="00054FE5"/>
  </w:style>
  <w:style w:type="paragraph" w:customStyle="1" w:styleId="TitleofSection">
    <w:name w:val="Title of Section"/>
    <w:basedOn w:val="TitleofDoc"/>
    <w:rsid w:val="00054FE5"/>
    <w:pPr>
      <w:spacing w:before="120" w:after="120"/>
    </w:pPr>
    <w:rPr>
      <w:b/>
      <w:caps w:val="0"/>
      <w:lang w:val="es-ES_tradnl" w:eastAsia="de-DE"/>
    </w:rPr>
  </w:style>
  <w:style w:type="paragraph" w:customStyle="1" w:styleId="TOCAnnex">
    <w:name w:val="TOC Annex"/>
    <w:basedOn w:val="Normal"/>
    <w:rsid w:val="00054FE5"/>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054FE5"/>
    <w:pPr>
      <w:jc w:val="center"/>
    </w:pPr>
    <w:rPr>
      <w:b/>
      <w:caps/>
      <w:szCs w:val="24"/>
    </w:rPr>
  </w:style>
  <w:style w:type="paragraph" w:customStyle="1" w:styleId="Notetoarticle">
    <w:name w:val="Note to article"/>
    <w:basedOn w:val="Normal"/>
    <w:semiHidden/>
    <w:rsid w:val="00054FE5"/>
  </w:style>
  <w:style w:type="paragraph" w:styleId="PlainText">
    <w:name w:val="Plain Text"/>
    <w:basedOn w:val="Normal"/>
    <w:link w:val="PlainTextChar"/>
    <w:rsid w:val="00054FE5"/>
    <w:rPr>
      <w:rFonts w:ascii="Courier New" w:hAnsi="Courier New" w:cs="Courier New"/>
      <w:lang w:eastAsia="fr-FR"/>
    </w:rPr>
  </w:style>
  <w:style w:type="character" w:customStyle="1" w:styleId="PlainTextChar">
    <w:name w:val="Plain Text Char"/>
    <w:basedOn w:val="DefaultParagraphFont"/>
    <w:link w:val="PlainText"/>
    <w:rsid w:val="00054FE5"/>
    <w:rPr>
      <w:rFonts w:ascii="Courier New" w:hAnsi="Courier New" w:cs="Courier New"/>
      <w:lang w:eastAsia="fr-FR"/>
    </w:rPr>
  </w:style>
  <w:style w:type="character" w:customStyle="1" w:styleId="plcountryChar">
    <w:name w:val="plcountry Char"/>
    <w:basedOn w:val="DefaultParagraphFont"/>
    <w:link w:val="plcountry"/>
    <w:rsid w:val="00054FE5"/>
    <w:rPr>
      <w:rFonts w:ascii="Arial" w:hAnsi="Arial"/>
      <w:caps/>
      <w:noProof/>
      <w:snapToGrid w:val="0"/>
      <w:u w:val="single"/>
      <w:lang w:val="fr-FR"/>
    </w:rPr>
  </w:style>
  <w:style w:type="character" w:customStyle="1" w:styleId="pldetailsChar">
    <w:name w:val="pldetails Char"/>
    <w:link w:val="pldetails"/>
    <w:locked/>
    <w:rsid w:val="00054FE5"/>
    <w:rPr>
      <w:rFonts w:ascii="Arial" w:hAnsi="Arial"/>
      <w:noProof/>
      <w:snapToGrid w:val="0"/>
      <w:lang w:val="fr-FR"/>
    </w:rPr>
  </w:style>
  <w:style w:type="character" w:customStyle="1" w:styleId="BodyTextChar">
    <w:name w:val="Body Text Char"/>
    <w:basedOn w:val="DefaultParagraphFont"/>
    <w:link w:val="BodyText"/>
    <w:rsid w:val="00054FE5"/>
    <w:rPr>
      <w:rFonts w:ascii="Arial" w:hAnsi="Arial"/>
      <w:lang w:val="fr-FR"/>
    </w:rPr>
  </w:style>
  <w:style w:type="paragraph" w:customStyle="1" w:styleId="Inf6Titre4">
    <w:name w:val="Inf6_Titre4"/>
    <w:basedOn w:val="Normal"/>
    <w:next w:val="Normal"/>
    <w:rsid w:val="00054FE5"/>
    <w:pPr>
      <w:spacing w:after="360"/>
      <w:jc w:val="center"/>
    </w:pPr>
    <w:rPr>
      <w:rFonts w:cs="Arial"/>
      <w:caps/>
    </w:rPr>
  </w:style>
  <w:style w:type="paragraph" w:customStyle="1" w:styleId="Inf6Titre1">
    <w:name w:val="Inf6_Titre1"/>
    <w:basedOn w:val="Heading1"/>
    <w:next w:val="Normal"/>
    <w:rsid w:val="00054FE5"/>
    <w:pPr>
      <w:ind w:firstLine="284"/>
      <w:jc w:val="center"/>
    </w:pPr>
    <w:rPr>
      <w:bCs/>
    </w:rPr>
  </w:style>
  <w:style w:type="paragraph" w:customStyle="1" w:styleId="Inf6Titre2">
    <w:name w:val="Inf6_Titre2"/>
    <w:basedOn w:val="Inf6Titre1"/>
    <w:next w:val="Normal"/>
    <w:rsid w:val="00054FE5"/>
    <w:pPr>
      <w:spacing w:after="360" w:line="360" w:lineRule="auto"/>
      <w:ind w:firstLine="0"/>
    </w:pPr>
    <w:rPr>
      <w:rFonts w:cs="Arial"/>
      <w:b/>
    </w:rPr>
  </w:style>
  <w:style w:type="paragraph" w:customStyle="1" w:styleId="Inf6Titre3">
    <w:name w:val="Inf6_Titre3"/>
    <w:basedOn w:val="Inf6Titre2"/>
    <w:next w:val="Normal"/>
    <w:rsid w:val="00054FE5"/>
    <w:pPr>
      <w:keepNext w:val="0"/>
      <w:spacing w:after="240" w:line="240" w:lineRule="auto"/>
    </w:pPr>
    <w:rPr>
      <w:b w:val="0"/>
      <w:caps w:val="0"/>
    </w:rPr>
  </w:style>
  <w:style w:type="character" w:customStyle="1" w:styleId="HeaderChar">
    <w:name w:val="Header Char"/>
    <w:basedOn w:val="DefaultParagraphFont"/>
    <w:link w:val="Header"/>
    <w:rsid w:val="00054FE5"/>
    <w:rPr>
      <w:rFonts w:ascii="Arial" w:hAnsi="Arial"/>
      <w:lang w:val="fr-FR"/>
    </w:rPr>
  </w:style>
  <w:style w:type="character" w:customStyle="1" w:styleId="Fuentedeprrafopredeter">
    <w:name w:val="Fuente de párrafo predeter."/>
    <w:rsid w:val="00054F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26EFF3-446C-4C06-82EB-56A483E81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26391</Words>
  <Characters>150431</Characters>
  <Application>Microsoft Office Word</Application>
  <DocSecurity>0</DocSecurity>
  <Lines>1253</Lines>
  <Paragraphs>352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World Intellectual Property Organization</Company>
  <LinksUpToDate>false</LinksUpToDate>
  <CharactersWithSpaces>176470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Wipo Templates</dc:subject>
  <dc:creator>GAUTHIER Paul-Alexis</dc:creator>
  <cp:keywords/>
  <dc:description/>
  <cp:lastModifiedBy>MAY Jessica</cp:lastModifiedBy>
  <cp:revision>28</cp:revision>
  <cp:lastPrinted>2019-12-19T13:34:00Z</cp:lastPrinted>
  <dcterms:created xsi:type="dcterms:W3CDTF">2019-12-03T10:55:00Z</dcterms:created>
  <dcterms:modified xsi:type="dcterms:W3CDTF">2019-12-19T13:35:00Z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7109c651-9d4c-4c0b-9202-d29c95be0a94</vt:lpwstr>
  </property>
</Properties>
</file>