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0"/>
        <w:gridCol w:w="3026"/>
      </w:tblGrid>
      <w:tr w:rsidR="00A164BD" w:rsidRPr="00815738" w:rsidTr="00FC3C41">
        <w:tc>
          <w:tcPr>
            <w:tcW w:w="6522" w:type="dxa"/>
          </w:tcPr>
          <w:p w:rsidR="00A164BD" w:rsidRPr="00AC2883" w:rsidRDefault="00A164BD" w:rsidP="00FC3C41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2A45D921" wp14:editId="54A7A36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A164BD" w:rsidRPr="007C1D92" w:rsidRDefault="00A164BD" w:rsidP="00FC3C41">
            <w:pPr>
              <w:pStyle w:val="Lettrine"/>
            </w:pPr>
            <w:r>
              <w:t>F</w:t>
            </w:r>
          </w:p>
        </w:tc>
      </w:tr>
      <w:tr w:rsidR="00A164BD" w:rsidRPr="002A0D6C" w:rsidTr="00FC3C41">
        <w:trPr>
          <w:trHeight w:val="219"/>
        </w:trPr>
        <w:tc>
          <w:tcPr>
            <w:tcW w:w="6522" w:type="dxa"/>
          </w:tcPr>
          <w:p w:rsidR="00A164BD" w:rsidRPr="00A164BD" w:rsidRDefault="00A164BD" w:rsidP="00FC3C41">
            <w:pPr>
              <w:pStyle w:val="upove"/>
              <w:rPr>
                <w:lang w:val="fr-CH"/>
              </w:rPr>
            </w:pPr>
            <w:r w:rsidRPr="00A164BD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A164BD" w:rsidRPr="00A164BD" w:rsidRDefault="00A164BD" w:rsidP="00FC3C41">
            <w:pPr>
              <w:rPr>
                <w:lang w:val="fr-CH"/>
              </w:rPr>
            </w:pPr>
          </w:p>
        </w:tc>
      </w:tr>
    </w:tbl>
    <w:p w:rsidR="00A164BD" w:rsidRPr="00A164BD" w:rsidRDefault="00A164BD" w:rsidP="00A164BD">
      <w:pPr>
        <w:rPr>
          <w:lang w:val="fr-CH"/>
        </w:rPr>
      </w:pPr>
    </w:p>
    <w:p w:rsidR="00A164BD" w:rsidRPr="00A164BD" w:rsidRDefault="00A164BD" w:rsidP="00A164BD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321"/>
        <w:gridCol w:w="3035"/>
      </w:tblGrid>
      <w:tr w:rsidR="00A164BD" w:rsidRPr="002A0D6C" w:rsidTr="00FC3C41">
        <w:tc>
          <w:tcPr>
            <w:tcW w:w="6512" w:type="dxa"/>
          </w:tcPr>
          <w:p w:rsidR="00A164BD" w:rsidRPr="00A164BD" w:rsidRDefault="00A164BD" w:rsidP="00FC3C41">
            <w:pPr>
              <w:pStyle w:val="Sessiontc"/>
              <w:spacing w:line="240" w:lineRule="auto"/>
              <w:rPr>
                <w:lang w:val="fr-CH"/>
              </w:rPr>
            </w:pPr>
            <w:r w:rsidRPr="00A164BD">
              <w:rPr>
                <w:lang w:val="fr-CH"/>
              </w:rPr>
              <w:t>Comité technique</w:t>
            </w:r>
          </w:p>
          <w:p w:rsidR="00A164BD" w:rsidRPr="00A164BD" w:rsidRDefault="00A164BD" w:rsidP="00FC3C41">
            <w:pPr>
              <w:pStyle w:val="Sessiontcplacedate"/>
              <w:rPr>
                <w:sz w:val="22"/>
                <w:lang w:val="fr-CH"/>
              </w:rPr>
            </w:pPr>
            <w:r w:rsidRPr="00A164BD">
              <w:rPr>
                <w:lang w:val="fr-CH"/>
              </w:rPr>
              <w:t>Cinquante-cinquième session</w:t>
            </w:r>
            <w:r w:rsidRPr="00A164BD">
              <w:rPr>
                <w:lang w:val="fr-CH"/>
              </w:rPr>
              <w:br/>
              <w:t>Genève, 28 et 29 octobre 2019</w:t>
            </w:r>
          </w:p>
        </w:tc>
        <w:tc>
          <w:tcPr>
            <w:tcW w:w="3127" w:type="dxa"/>
          </w:tcPr>
          <w:p w:rsidR="00A164BD" w:rsidRPr="00703A63" w:rsidRDefault="00A164BD" w:rsidP="00FC3C41">
            <w:pPr>
              <w:pStyle w:val="Doccode"/>
              <w:rPr>
                <w:lang w:val="fr-CH"/>
              </w:rPr>
            </w:pPr>
            <w:r w:rsidRPr="00703A63">
              <w:rPr>
                <w:lang w:val="fr-CH"/>
              </w:rPr>
              <w:t>TC/55/</w:t>
            </w:r>
            <w:r>
              <w:rPr>
                <w:lang w:val="fr-CH"/>
              </w:rPr>
              <w:t>15 Add.2</w:t>
            </w:r>
          </w:p>
          <w:p w:rsidR="00A164BD" w:rsidRPr="00A164BD" w:rsidRDefault="00A164BD" w:rsidP="00FC3C41">
            <w:pPr>
              <w:pStyle w:val="Docoriginal"/>
              <w:rPr>
                <w:lang w:val="fr-CH"/>
              </w:rPr>
            </w:pPr>
            <w:r w:rsidRPr="00A164BD">
              <w:rPr>
                <w:lang w:val="fr-CH"/>
              </w:rPr>
              <w:t>Original :</w:t>
            </w:r>
            <w:r w:rsidR="00F674BF">
              <w:rPr>
                <w:b w:val="0"/>
                <w:spacing w:val="0"/>
                <w:lang w:val="fr-CH"/>
              </w:rPr>
              <w:t xml:space="preserve"> </w:t>
            </w:r>
            <w:r w:rsidRPr="00A164BD">
              <w:rPr>
                <w:b w:val="0"/>
                <w:spacing w:val="0"/>
                <w:lang w:val="fr-CH"/>
              </w:rPr>
              <w:t>anglais</w:t>
            </w:r>
          </w:p>
          <w:p w:rsidR="00A164BD" w:rsidRPr="00A164BD" w:rsidRDefault="00A164BD" w:rsidP="002A0D6C">
            <w:pPr>
              <w:pStyle w:val="Docoriginal"/>
              <w:rPr>
                <w:lang w:val="fr-CH"/>
              </w:rPr>
            </w:pPr>
            <w:r w:rsidRPr="00A164BD">
              <w:rPr>
                <w:lang w:val="fr-CH"/>
              </w:rPr>
              <w:t>Date :</w:t>
            </w:r>
            <w:r w:rsidR="00F674BF">
              <w:rPr>
                <w:b w:val="0"/>
                <w:spacing w:val="0"/>
                <w:lang w:val="fr-CH"/>
              </w:rPr>
              <w:t xml:space="preserve"> </w:t>
            </w:r>
            <w:r w:rsidRPr="002A0D6C">
              <w:rPr>
                <w:b w:val="0"/>
                <w:spacing w:val="0"/>
                <w:lang w:val="fr-CH"/>
              </w:rPr>
              <w:t>2</w:t>
            </w:r>
            <w:r w:rsidR="002A0D6C" w:rsidRPr="002A0D6C">
              <w:rPr>
                <w:b w:val="0"/>
                <w:spacing w:val="0"/>
                <w:lang w:val="fr-CH"/>
              </w:rPr>
              <w:t>1</w:t>
            </w:r>
            <w:r w:rsidRPr="002A0D6C">
              <w:rPr>
                <w:b w:val="0"/>
                <w:spacing w:val="0"/>
                <w:lang w:val="fr-CH"/>
              </w:rPr>
              <w:t> octobre</w:t>
            </w:r>
            <w:r w:rsidRPr="00A164BD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43508D" w:rsidRPr="00D426D4" w:rsidRDefault="001F0707" w:rsidP="001F0707">
      <w:pPr>
        <w:pStyle w:val="Titleofdoc0"/>
        <w:rPr>
          <w:lang w:val="fr-CH"/>
        </w:rPr>
      </w:pPr>
      <w:r w:rsidRPr="00D426D4">
        <w:rPr>
          <w:lang w:val="fr-CH"/>
        </w:rPr>
        <w:t>Deuxième additif au document sur le marqueur propre aux caractères contenant des informations incomplètes sur le niveau d</w:t>
      </w:r>
      <w:r w:rsidR="00D426D4">
        <w:rPr>
          <w:lang w:val="fr-CH"/>
        </w:rPr>
        <w:t>’</w:t>
      </w:r>
      <w:r w:rsidRPr="00D426D4">
        <w:rPr>
          <w:lang w:val="fr-CH"/>
        </w:rPr>
        <w:t>expression</w:t>
      </w:r>
    </w:p>
    <w:p w:rsidR="0043508D" w:rsidRDefault="001F0707" w:rsidP="001F0707">
      <w:pPr>
        <w:pStyle w:val="preparedby1"/>
        <w:jc w:val="left"/>
        <w:rPr>
          <w:lang w:val="fr-CH"/>
        </w:rPr>
      </w:pPr>
      <w:bookmarkStart w:id="1" w:name="Prepared"/>
      <w:bookmarkEnd w:id="1"/>
      <w:r w:rsidRPr="00D426D4">
        <w:rPr>
          <w:lang w:val="fr-CH"/>
        </w:rPr>
        <w:t>Document établi par le Bureau de l</w:t>
      </w:r>
      <w:r w:rsidR="00D426D4">
        <w:rPr>
          <w:lang w:val="fr-CH"/>
        </w:rPr>
        <w:t>’</w:t>
      </w:r>
      <w:r w:rsidRPr="00D426D4">
        <w:rPr>
          <w:lang w:val="fr-CH"/>
        </w:rPr>
        <w:t>Union</w:t>
      </w:r>
    </w:p>
    <w:p w:rsidR="0043508D" w:rsidRPr="00D426D4" w:rsidRDefault="001F0707" w:rsidP="001F0707">
      <w:pPr>
        <w:pStyle w:val="Disclaimer"/>
        <w:rPr>
          <w:lang w:val="fr-CH"/>
        </w:rPr>
      </w:pPr>
      <w:r w:rsidRPr="00D426D4">
        <w:rPr>
          <w:lang w:val="fr-CH"/>
        </w:rPr>
        <w:t>‏Avertissement</w:t>
      </w:r>
      <w:r w:rsidR="00D426D4">
        <w:rPr>
          <w:lang w:val="fr-CH"/>
        </w:rPr>
        <w:t> :</w:t>
      </w:r>
      <w:r w:rsidRPr="00D426D4">
        <w:rPr>
          <w:lang w:val="fr-CH"/>
        </w:rPr>
        <w:t xml:space="preserve"> le présent document ne représente pas les principes ou les orientations de l</w:t>
      </w:r>
      <w:r w:rsidR="00D426D4">
        <w:rPr>
          <w:lang w:val="fr-CH"/>
        </w:rPr>
        <w:t>’</w:t>
      </w:r>
      <w:r w:rsidRPr="00D426D4">
        <w:rPr>
          <w:lang w:val="fr-CH"/>
        </w:rPr>
        <w:t>UPOV</w:t>
      </w:r>
    </w:p>
    <w:p w:rsidR="0043508D" w:rsidRDefault="0022006F" w:rsidP="001F0707">
      <w:pPr>
        <w:rPr>
          <w:snapToGrid w:val="0"/>
          <w:lang w:val="fr-CH"/>
        </w:rPr>
      </w:pPr>
      <w:r>
        <w:rPr>
          <w:snapToGrid w:val="0"/>
        </w:rPr>
        <w:fldChar w:fldCharType="begin"/>
      </w:r>
      <w:r w:rsidRPr="001F0707">
        <w:rPr>
          <w:snapToGrid w:val="0"/>
          <w:lang w:val="fr-CH"/>
        </w:rPr>
        <w:instrText xml:space="preserve"> AUTONUM  </w:instrText>
      </w:r>
      <w:r>
        <w:rPr>
          <w:snapToGrid w:val="0"/>
        </w:rPr>
        <w:fldChar w:fldCharType="end"/>
      </w:r>
      <w:r w:rsidRPr="001F0707">
        <w:rPr>
          <w:snapToGrid w:val="0"/>
          <w:lang w:val="fr-CH"/>
        </w:rPr>
        <w:tab/>
      </w:r>
      <w:r w:rsidR="001F0707" w:rsidRPr="00D426D4">
        <w:rPr>
          <w:snapToGrid w:val="0"/>
          <w:lang w:val="fr-CH"/>
        </w:rPr>
        <w:t xml:space="preserve">Le présent </w:t>
      </w:r>
      <w:r w:rsidR="001F0707" w:rsidRPr="001F0707">
        <w:rPr>
          <w:snapToGrid w:val="0"/>
          <w:color w:val="000000"/>
          <w:lang w:val="fr-CH"/>
        </w:rPr>
        <w:t xml:space="preserve">deuxième </w:t>
      </w:r>
      <w:r w:rsidR="001F0707" w:rsidRPr="00D426D4">
        <w:rPr>
          <w:snapToGrid w:val="0"/>
          <w:lang w:val="fr-CH"/>
        </w:rPr>
        <w:t>additif vise à rendre compte des faits nouveaux</w:t>
      </w:r>
      <w:r w:rsidR="001F0707" w:rsidRPr="001F0707">
        <w:rPr>
          <w:snapToGrid w:val="0"/>
          <w:color w:val="000000"/>
          <w:lang w:val="fr-CH"/>
        </w:rPr>
        <w:t xml:space="preserve"> inte</w:t>
      </w:r>
      <w:r w:rsidR="001F0707" w:rsidRPr="00D426D4">
        <w:rPr>
          <w:snapToGrid w:val="0"/>
          <w:lang w:val="fr-CH"/>
        </w:rPr>
        <w:t>rvenus à la trente</w:t>
      </w:r>
      <w:r w:rsidR="00D426D4">
        <w:rPr>
          <w:snapToGrid w:val="0"/>
          <w:lang w:val="fr-CH"/>
        </w:rPr>
        <w:t>-</w:t>
      </w:r>
      <w:r w:rsidR="001F0707" w:rsidRPr="00D426D4">
        <w:rPr>
          <w:snapToGrid w:val="0"/>
          <w:lang w:val="fr-CH"/>
        </w:rPr>
        <w:t>sept</w:t>
      </w:r>
      <w:r w:rsidR="00D426D4">
        <w:rPr>
          <w:snapToGrid w:val="0"/>
          <w:lang w:val="fr-CH"/>
        </w:rPr>
        <w:t>ième session</w:t>
      </w:r>
      <w:r w:rsidR="001F0707" w:rsidRPr="00D426D4">
        <w:rPr>
          <w:snapToGrid w:val="0"/>
          <w:lang w:val="fr-CH"/>
        </w:rPr>
        <w:t xml:space="preserve"> du Groupe de travail technique sur les systèmes d</w:t>
      </w:r>
      <w:r w:rsidR="00D426D4">
        <w:rPr>
          <w:snapToGrid w:val="0"/>
          <w:lang w:val="fr-CH"/>
        </w:rPr>
        <w:t>’</w:t>
      </w:r>
      <w:r w:rsidR="001F0707" w:rsidRPr="00D426D4">
        <w:rPr>
          <w:snapToGrid w:val="0"/>
          <w:lang w:val="fr-CH"/>
        </w:rPr>
        <w:t>automatisation et les programmes d</w:t>
      </w:r>
      <w:r w:rsidR="00D426D4">
        <w:rPr>
          <w:snapToGrid w:val="0"/>
          <w:lang w:val="fr-CH"/>
        </w:rPr>
        <w:t>’</w:t>
      </w:r>
      <w:r w:rsidR="001F0707" w:rsidRPr="00D426D4">
        <w:rPr>
          <w:snapToGrid w:val="0"/>
          <w:lang w:val="fr-CH"/>
        </w:rPr>
        <w:t>ordinateur (TWC) et à la dix</w:t>
      </w:r>
      <w:r w:rsidR="00D426D4">
        <w:rPr>
          <w:snapToGrid w:val="0"/>
          <w:lang w:val="fr-CH"/>
        </w:rPr>
        <w:t>-</w:t>
      </w:r>
      <w:r w:rsidR="001F0707" w:rsidRPr="00D426D4">
        <w:rPr>
          <w:snapToGrid w:val="0"/>
          <w:lang w:val="fr-CH"/>
        </w:rPr>
        <w:t>huit</w:t>
      </w:r>
      <w:r w:rsidR="00D426D4">
        <w:rPr>
          <w:snapToGrid w:val="0"/>
          <w:lang w:val="fr-CH"/>
        </w:rPr>
        <w:t>ième session</w:t>
      </w:r>
      <w:r w:rsidR="001F0707" w:rsidRPr="00D426D4">
        <w:rPr>
          <w:snapToGrid w:val="0"/>
          <w:lang w:val="fr-CH"/>
        </w:rPr>
        <w:t xml:space="preserve"> du Groupe de travail sur les </w:t>
      </w:r>
      <w:r w:rsidR="001F0707" w:rsidRPr="001F0707">
        <w:rPr>
          <w:snapToGrid w:val="0"/>
          <w:color w:val="000000"/>
          <w:lang w:val="fr-CH"/>
        </w:rPr>
        <w:t>t</w:t>
      </w:r>
      <w:r w:rsidR="001F0707" w:rsidRPr="00D426D4">
        <w:rPr>
          <w:snapToGrid w:val="0"/>
          <w:lang w:val="fr-CH"/>
        </w:rPr>
        <w:t>echniques biochimiques et moléculaires, notamment les profils d</w:t>
      </w:r>
      <w:r w:rsidR="00D426D4">
        <w:rPr>
          <w:snapToGrid w:val="0"/>
          <w:lang w:val="fr-CH"/>
        </w:rPr>
        <w:t>’</w:t>
      </w:r>
      <w:r w:rsidR="001F0707" w:rsidRPr="00D426D4">
        <w:rPr>
          <w:snapToGrid w:val="0"/>
          <w:lang w:val="fr-CH"/>
        </w:rPr>
        <w:t>ADN (BMT) concernant la proposition d</w:t>
      </w:r>
      <w:r w:rsidR="00D426D4">
        <w:rPr>
          <w:snapToGrid w:val="0"/>
          <w:lang w:val="fr-CH"/>
        </w:rPr>
        <w:t>’</w:t>
      </w:r>
      <w:r w:rsidR="001F0707" w:rsidRPr="001F0707">
        <w:rPr>
          <w:snapToGrid w:val="0"/>
          <w:color w:val="000000"/>
          <w:lang w:val="fr-CH"/>
        </w:rPr>
        <w:t>inclure</w:t>
      </w:r>
      <w:r w:rsidR="001F0707" w:rsidRPr="00D426D4">
        <w:rPr>
          <w:snapToGrid w:val="0"/>
          <w:lang w:val="fr-CH"/>
        </w:rPr>
        <w:t xml:space="preserve"> un nouvel exemple </w:t>
      </w:r>
      <w:r w:rsidR="001F0707" w:rsidRPr="001F0707">
        <w:rPr>
          <w:snapToGrid w:val="0"/>
          <w:color w:val="000000"/>
          <w:lang w:val="fr-CH"/>
        </w:rPr>
        <w:t xml:space="preserve">dans le </w:t>
      </w:r>
      <w:r w:rsidR="001F0707" w:rsidRPr="00D426D4">
        <w:rPr>
          <w:snapToGrid w:val="0"/>
          <w:lang w:val="fr-CH"/>
        </w:rPr>
        <w:t xml:space="preserve">document TGP/15 </w:t>
      </w:r>
      <w:r w:rsidR="001F0707" w:rsidRPr="001F0707">
        <w:rPr>
          <w:snapToGrid w:val="0"/>
          <w:color w:val="000000"/>
          <w:lang w:val="fr-CH"/>
        </w:rPr>
        <w:t>afin d</w:t>
      </w:r>
      <w:r w:rsidR="00D426D4">
        <w:rPr>
          <w:snapToGrid w:val="0"/>
          <w:color w:val="000000"/>
          <w:lang w:val="fr-CH"/>
        </w:rPr>
        <w:t>’</w:t>
      </w:r>
      <w:r w:rsidR="001F0707" w:rsidRPr="00D426D4">
        <w:rPr>
          <w:snapToGrid w:val="0"/>
          <w:lang w:val="fr-CH"/>
        </w:rPr>
        <w:t xml:space="preserve">illustrer </w:t>
      </w:r>
      <w:r w:rsidR="001F0707" w:rsidRPr="001F0707">
        <w:rPr>
          <w:snapToGrid w:val="0"/>
          <w:color w:val="000000"/>
          <w:lang w:val="fr-CH"/>
        </w:rPr>
        <w:t xml:space="preserve">le cas où </w:t>
      </w:r>
      <w:r w:rsidR="001F0707" w:rsidRPr="00D426D4">
        <w:rPr>
          <w:snapToGrid w:val="0"/>
          <w:lang w:val="fr-CH"/>
        </w:rPr>
        <w:t xml:space="preserve">le marqueur propre à un caractère ne fournit pas </w:t>
      </w:r>
      <w:r w:rsidR="001F0707" w:rsidRPr="001F0707">
        <w:rPr>
          <w:snapToGrid w:val="0"/>
          <w:color w:val="000000"/>
          <w:lang w:val="fr-CH"/>
        </w:rPr>
        <w:t xml:space="preserve">toutes les </w:t>
      </w:r>
      <w:r w:rsidR="001F0707" w:rsidRPr="00D426D4">
        <w:rPr>
          <w:snapToGrid w:val="0"/>
          <w:lang w:val="fr-CH"/>
        </w:rPr>
        <w:t>informations sur le niveau d</w:t>
      </w:r>
      <w:r w:rsidR="00D426D4">
        <w:rPr>
          <w:snapToGrid w:val="0"/>
          <w:lang w:val="fr-CH"/>
        </w:rPr>
        <w:t>’</w:t>
      </w:r>
      <w:r w:rsidR="001F0707" w:rsidRPr="00D426D4">
        <w:rPr>
          <w:snapToGrid w:val="0"/>
          <w:lang w:val="fr-CH"/>
        </w:rPr>
        <w:t>expression d</w:t>
      </w:r>
      <w:r w:rsidR="00D426D4">
        <w:rPr>
          <w:snapToGrid w:val="0"/>
          <w:lang w:val="fr-CH"/>
        </w:rPr>
        <w:t>’</w:t>
      </w:r>
      <w:r w:rsidR="001F0707" w:rsidRPr="00D426D4">
        <w:rPr>
          <w:snapToGrid w:val="0"/>
          <w:lang w:val="fr-CH"/>
        </w:rPr>
        <w:t>un caractère.</w:t>
      </w:r>
    </w:p>
    <w:p w:rsidR="0043508D" w:rsidRDefault="0043508D" w:rsidP="0022006F">
      <w:pPr>
        <w:rPr>
          <w:lang w:val="fr-CH"/>
        </w:rPr>
      </w:pPr>
    </w:p>
    <w:p w:rsidR="0043508D" w:rsidRDefault="00E32F56" w:rsidP="007355D0">
      <w:pPr>
        <w:keepNext/>
        <w:rPr>
          <w:lang w:val="fr-CH"/>
        </w:rPr>
      </w:pPr>
      <w:r w:rsidRPr="00B210BD">
        <w:fldChar w:fldCharType="begin"/>
      </w:r>
      <w:r w:rsidRPr="00985DCD">
        <w:rPr>
          <w:lang w:val="fr-CH"/>
        </w:rPr>
        <w:instrText xml:space="preserve"> AUTONUM  </w:instrText>
      </w:r>
      <w:r w:rsidRPr="00B210BD">
        <w:fldChar w:fldCharType="end"/>
      </w:r>
      <w:r w:rsidRPr="00985DCD">
        <w:rPr>
          <w:lang w:val="fr-CH"/>
        </w:rPr>
        <w:tab/>
      </w:r>
      <w:r w:rsidR="007355D0" w:rsidRPr="00D426D4">
        <w:rPr>
          <w:lang w:val="fr-CH"/>
        </w:rPr>
        <w:t>À sa trente</w:t>
      </w:r>
      <w:r w:rsidR="00D426D4">
        <w:rPr>
          <w:lang w:val="fr-CH"/>
        </w:rPr>
        <w:t>-</w:t>
      </w:r>
      <w:r w:rsidR="007355D0" w:rsidRPr="00D426D4">
        <w:rPr>
          <w:lang w:val="fr-CH"/>
        </w:rPr>
        <w:t>sept</w:t>
      </w:r>
      <w:r w:rsidR="00D426D4">
        <w:rPr>
          <w:lang w:val="fr-CH"/>
        </w:rPr>
        <w:t>ième session</w:t>
      </w:r>
      <w:r w:rsidR="007355D0" w:rsidRPr="00D426D4">
        <w:rPr>
          <w:lang w:val="fr-CH"/>
        </w:rPr>
        <w:t xml:space="preserve"> tenue à Hangzhou (Chine) du 14 au 1</w:t>
      </w:r>
      <w:r w:rsidR="00D426D4" w:rsidRPr="00D426D4">
        <w:rPr>
          <w:lang w:val="fr-CH"/>
        </w:rPr>
        <w:t>6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octobre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20</w:t>
      </w:r>
      <w:r w:rsidR="007355D0" w:rsidRPr="00D426D4">
        <w:rPr>
          <w:lang w:val="fr-CH"/>
        </w:rPr>
        <w:t>19,</w:t>
      </w:r>
      <w:r w:rsidR="00D426D4" w:rsidRPr="00D426D4">
        <w:rPr>
          <w:lang w:val="fr-CH"/>
        </w:rPr>
        <w:t xml:space="preserve"> le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TWC</w:t>
      </w:r>
      <w:r w:rsidR="007355D0" w:rsidRPr="00D426D4">
        <w:rPr>
          <w:lang w:val="fr-CH"/>
        </w:rPr>
        <w:t xml:space="preserve"> a pris note du document TWP/3/12 </w:t>
      </w:r>
      <w:r w:rsidR="00D426D4">
        <w:rPr>
          <w:lang w:val="fr-CH"/>
        </w:rPr>
        <w:t>“</w:t>
      </w:r>
      <w:r w:rsidR="00D426D4" w:rsidRPr="00D426D4">
        <w:rPr>
          <w:lang w:val="fr-CH"/>
        </w:rPr>
        <w:t>M</w:t>
      </w:r>
      <w:r w:rsidR="007355D0" w:rsidRPr="00D426D4">
        <w:rPr>
          <w:lang w:val="fr-CH"/>
        </w:rPr>
        <w:t>arqueur propre aux caractères contenant des informations incomplètes sur le niveau d</w:t>
      </w:r>
      <w:r w:rsidR="00D426D4">
        <w:rPr>
          <w:lang w:val="fr-CH"/>
        </w:rPr>
        <w:t>’</w:t>
      </w:r>
      <w:r w:rsidR="007355D0" w:rsidRPr="00D426D4">
        <w:rPr>
          <w:lang w:val="fr-CH"/>
        </w:rPr>
        <w:t>expressio</w:t>
      </w:r>
      <w:r w:rsidR="00D426D4" w:rsidRPr="00D426D4">
        <w:rPr>
          <w:lang w:val="fr-CH"/>
        </w:rPr>
        <w:t>n</w:t>
      </w:r>
      <w:r w:rsidR="00D426D4">
        <w:rPr>
          <w:lang w:val="fr-CH"/>
        </w:rPr>
        <w:t>”</w:t>
      </w:r>
      <w:r w:rsidR="007355D0" w:rsidRPr="00D426D4">
        <w:rPr>
          <w:lang w:val="fr-CH"/>
        </w:rPr>
        <w:t xml:space="preserve"> (voir le </w:t>
      </w:r>
      <w:r w:rsidR="00D426D4" w:rsidRPr="00D426D4">
        <w:rPr>
          <w:lang w:val="fr-CH"/>
        </w:rPr>
        <w:t>paragraphe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3</w:t>
      </w:r>
      <w:r w:rsidR="007355D0" w:rsidRPr="00D426D4">
        <w:rPr>
          <w:lang w:val="fr-CH"/>
        </w:rPr>
        <w:t xml:space="preserve">6 du document TWC/37/12 </w:t>
      </w:r>
      <w:r w:rsidR="00D426D4">
        <w:rPr>
          <w:lang w:val="fr-CH"/>
        </w:rPr>
        <w:t>“</w:t>
      </w:r>
      <w:r w:rsidR="00D426D4" w:rsidRPr="00D426D4">
        <w:rPr>
          <w:lang w:val="fr-CH"/>
        </w:rPr>
        <w:t>R</w:t>
      </w:r>
      <w:r w:rsidR="007355D0" w:rsidRPr="00D426D4">
        <w:rPr>
          <w:lang w:val="fr-CH"/>
        </w:rPr>
        <w:t>epor</w:t>
      </w:r>
      <w:r w:rsidR="00D426D4" w:rsidRPr="00D426D4">
        <w:rPr>
          <w:lang w:val="fr-CH"/>
        </w:rPr>
        <w:t>t</w:t>
      </w:r>
      <w:r w:rsidR="00D426D4">
        <w:rPr>
          <w:lang w:val="fr-CH"/>
        </w:rPr>
        <w:t>”</w:t>
      </w:r>
      <w:r w:rsidR="007355D0" w:rsidRPr="00D426D4">
        <w:rPr>
          <w:lang w:val="fr-CH"/>
        </w:rPr>
        <w:t>).</w:t>
      </w:r>
    </w:p>
    <w:p w:rsidR="0043508D" w:rsidRDefault="0043508D" w:rsidP="00E32F56">
      <w:pPr>
        <w:rPr>
          <w:lang w:val="fr-CH"/>
        </w:rPr>
      </w:pPr>
    </w:p>
    <w:p w:rsidR="0043508D" w:rsidRDefault="00180AC9" w:rsidP="007355D0">
      <w:pPr>
        <w:keepNext/>
        <w:rPr>
          <w:lang w:val="fr-CH"/>
        </w:rPr>
      </w:pPr>
      <w:r w:rsidRPr="00B210BD">
        <w:fldChar w:fldCharType="begin"/>
      </w:r>
      <w:r w:rsidRPr="007355D0">
        <w:rPr>
          <w:lang w:val="fr-CH"/>
        </w:rPr>
        <w:instrText xml:space="preserve"> AUTONUM  </w:instrText>
      </w:r>
      <w:r w:rsidRPr="00B210BD">
        <w:fldChar w:fldCharType="end"/>
      </w:r>
      <w:r w:rsidRPr="007355D0">
        <w:rPr>
          <w:lang w:val="fr-CH"/>
        </w:rPr>
        <w:tab/>
      </w:r>
      <w:r w:rsidR="007355D0" w:rsidRPr="00D426D4">
        <w:rPr>
          <w:lang w:val="fr-CH"/>
        </w:rPr>
        <w:t>À sa dix</w:t>
      </w:r>
      <w:r w:rsidR="00D426D4">
        <w:rPr>
          <w:lang w:val="fr-CH"/>
        </w:rPr>
        <w:t>-</w:t>
      </w:r>
      <w:r w:rsidR="007355D0" w:rsidRPr="00D426D4">
        <w:rPr>
          <w:lang w:val="fr-CH"/>
        </w:rPr>
        <w:t>huit</w:t>
      </w:r>
      <w:r w:rsidR="00D426D4">
        <w:rPr>
          <w:lang w:val="fr-CH"/>
        </w:rPr>
        <w:t>ième session</w:t>
      </w:r>
      <w:r w:rsidR="007355D0" w:rsidRPr="00D426D4">
        <w:rPr>
          <w:lang w:val="fr-CH"/>
        </w:rPr>
        <w:t xml:space="preserve"> tenue à Hangzhou (Chine) du 16 au 1</w:t>
      </w:r>
      <w:r w:rsidR="00D426D4" w:rsidRPr="00D426D4">
        <w:rPr>
          <w:lang w:val="fr-CH"/>
        </w:rPr>
        <w:t>8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octobre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20</w:t>
      </w:r>
      <w:r w:rsidR="007355D0" w:rsidRPr="00D426D4">
        <w:rPr>
          <w:lang w:val="fr-CH"/>
        </w:rPr>
        <w:t>19,</w:t>
      </w:r>
      <w:r w:rsidR="00D426D4" w:rsidRPr="00D426D4">
        <w:rPr>
          <w:lang w:val="fr-CH"/>
        </w:rPr>
        <w:t xml:space="preserve"> le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BMT</w:t>
      </w:r>
      <w:r w:rsidR="007355D0" w:rsidRPr="00D426D4">
        <w:rPr>
          <w:lang w:val="fr-CH"/>
        </w:rPr>
        <w:t xml:space="preserve"> a examiné le document TWP/3/12 </w:t>
      </w:r>
      <w:r w:rsidR="00D426D4">
        <w:rPr>
          <w:lang w:val="fr-CH"/>
        </w:rPr>
        <w:t>“</w:t>
      </w:r>
      <w:r w:rsidR="00D426D4" w:rsidRPr="00D426D4">
        <w:rPr>
          <w:lang w:val="fr-CH"/>
        </w:rPr>
        <w:t>M</w:t>
      </w:r>
      <w:r w:rsidR="007355D0" w:rsidRPr="00D426D4">
        <w:rPr>
          <w:lang w:val="fr-CH"/>
        </w:rPr>
        <w:t>arqu</w:t>
      </w:r>
      <w:r w:rsidR="007355D0" w:rsidRPr="007355D0">
        <w:rPr>
          <w:color w:val="000000"/>
          <w:lang w:val="fr-CH"/>
        </w:rPr>
        <w:t xml:space="preserve">eur propre aux caractères </w:t>
      </w:r>
      <w:r w:rsidR="007355D0" w:rsidRPr="00D426D4">
        <w:rPr>
          <w:lang w:val="fr-CH"/>
        </w:rPr>
        <w:t>contenant des informations incomplètes sur le niveau d</w:t>
      </w:r>
      <w:r w:rsidR="00D426D4">
        <w:rPr>
          <w:lang w:val="fr-CH"/>
        </w:rPr>
        <w:t>’</w:t>
      </w:r>
      <w:r w:rsidR="007355D0" w:rsidRPr="00D426D4">
        <w:rPr>
          <w:lang w:val="fr-CH"/>
        </w:rPr>
        <w:t>expressio</w:t>
      </w:r>
      <w:r w:rsidR="00D426D4" w:rsidRPr="00D426D4">
        <w:rPr>
          <w:lang w:val="fr-CH"/>
        </w:rPr>
        <w:t>n</w:t>
      </w:r>
      <w:r w:rsidR="00D426D4">
        <w:rPr>
          <w:lang w:val="fr-CH"/>
        </w:rPr>
        <w:t>”</w:t>
      </w:r>
      <w:r w:rsidR="007355D0" w:rsidRPr="00D426D4">
        <w:rPr>
          <w:lang w:val="fr-CH"/>
        </w:rPr>
        <w:t xml:space="preserve"> (voir le </w:t>
      </w:r>
      <w:r w:rsidR="00D426D4" w:rsidRPr="00D426D4">
        <w:rPr>
          <w:lang w:val="fr-CH"/>
        </w:rPr>
        <w:t>paragraphe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2</w:t>
      </w:r>
      <w:r w:rsidR="007355D0" w:rsidRPr="00D426D4">
        <w:rPr>
          <w:lang w:val="fr-CH"/>
        </w:rPr>
        <w:t xml:space="preserve">1 du document BMT/18/21 </w:t>
      </w:r>
      <w:r w:rsidR="00D426D4">
        <w:rPr>
          <w:lang w:val="fr-CH"/>
        </w:rPr>
        <w:t>“</w:t>
      </w:r>
      <w:r w:rsidR="00D426D4" w:rsidRPr="00D426D4">
        <w:rPr>
          <w:lang w:val="fr-CH"/>
        </w:rPr>
        <w:t>R</w:t>
      </w:r>
      <w:r w:rsidR="007355D0" w:rsidRPr="00D426D4">
        <w:rPr>
          <w:lang w:val="fr-CH"/>
        </w:rPr>
        <w:t>epor</w:t>
      </w:r>
      <w:r w:rsidR="00D426D4" w:rsidRPr="00D426D4">
        <w:rPr>
          <w:lang w:val="fr-CH"/>
        </w:rPr>
        <w:t>t</w:t>
      </w:r>
      <w:r w:rsidR="00D426D4">
        <w:rPr>
          <w:lang w:val="fr-CH"/>
        </w:rPr>
        <w:t>”</w:t>
      </w:r>
      <w:r w:rsidR="007355D0" w:rsidRPr="00D426D4">
        <w:rPr>
          <w:lang w:val="fr-CH"/>
        </w:rPr>
        <w:t>).</w:t>
      </w:r>
    </w:p>
    <w:p w:rsidR="0043508D" w:rsidRDefault="0043508D" w:rsidP="00CD4481">
      <w:pPr>
        <w:rPr>
          <w:lang w:val="fr-CH"/>
        </w:rPr>
      </w:pPr>
    </w:p>
    <w:p w:rsidR="0043508D" w:rsidRDefault="00CD4481" w:rsidP="00DD7515">
      <w:pPr>
        <w:rPr>
          <w:lang w:val="fr-CH"/>
        </w:rPr>
      </w:pPr>
      <w:r w:rsidRPr="005E7BA2">
        <w:fldChar w:fldCharType="begin"/>
      </w:r>
      <w:r w:rsidRPr="00DD7515">
        <w:rPr>
          <w:lang w:val="fr-CH"/>
        </w:rPr>
        <w:instrText xml:space="preserve"> AUTONUM  </w:instrText>
      </w:r>
      <w:r w:rsidRPr="005E7BA2">
        <w:fldChar w:fldCharType="end"/>
      </w:r>
      <w:r w:rsidRPr="00DD7515">
        <w:rPr>
          <w:lang w:val="fr-CH"/>
        </w:rPr>
        <w:tab/>
      </w:r>
      <w:r w:rsidR="00DD7515" w:rsidRPr="00D426D4">
        <w:rPr>
          <w:lang w:val="fr-CH"/>
        </w:rPr>
        <w:t>Le BMT</w:t>
      </w:r>
      <w:r w:rsidR="00A164BD">
        <w:rPr>
          <w:lang w:val="fr-CH"/>
        </w:rPr>
        <w:t xml:space="preserve"> </w:t>
      </w:r>
      <w:r w:rsidR="00DD7515" w:rsidRPr="00DD7515">
        <w:rPr>
          <w:color w:val="000000"/>
          <w:lang w:val="fr-CH"/>
        </w:rPr>
        <w:t>a approuvé l</w:t>
      </w:r>
      <w:r w:rsidR="00D426D4">
        <w:rPr>
          <w:color w:val="000000"/>
          <w:lang w:val="fr-CH"/>
        </w:rPr>
        <w:t>’</w:t>
      </w:r>
      <w:r w:rsidR="00DD7515" w:rsidRPr="00DD7515">
        <w:rPr>
          <w:color w:val="000000"/>
          <w:lang w:val="fr-CH"/>
        </w:rPr>
        <w:t>inclusion dans le</w:t>
      </w:r>
      <w:r w:rsidR="00DD7515" w:rsidRPr="00D426D4">
        <w:rPr>
          <w:lang w:val="fr-CH"/>
        </w:rPr>
        <w:t xml:space="preserve"> document</w:t>
      </w:r>
      <w:r w:rsidR="00666D33">
        <w:rPr>
          <w:lang w:val="fr-CH"/>
        </w:rPr>
        <w:t> </w:t>
      </w:r>
      <w:r w:rsidR="00DD7515" w:rsidRPr="00D426D4">
        <w:rPr>
          <w:lang w:val="fr-CH"/>
        </w:rPr>
        <w:t>TGP/1</w:t>
      </w:r>
      <w:r w:rsidR="00DD7515" w:rsidRPr="00DD7515">
        <w:rPr>
          <w:color w:val="000000"/>
          <w:lang w:val="fr-CH"/>
        </w:rPr>
        <w:t>5 de l</w:t>
      </w:r>
      <w:r w:rsidR="00D426D4">
        <w:rPr>
          <w:color w:val="000000"/>
          <w:lang w:val="fr-CH"/>
        </w:rPr>
        <w:t>’</w:t>
      </w:r>
      <w:r w:rsidR="00DD7515" w:rsidRPr="00DD7515">
        <w:rPr>
          <w:color w:val="000000"/>
          <w:lang w:val="fr-CH"/>
        </w:rPr>
        <w:t>exemple proposé afin d</w:t>
      </w:r>
      <w:r w:rsidR="00D426D4">
        <w:rPr>
          <w:color w:val="000000"/>
          <w:lang w:val="fr-CH"/>
        </w:rPr>
        <w:t>’</w:t>
      </w:r>
      <w:r w:rsidR="00DD7515" w:rsidRPr="00D426D4">
        <w:rPr>
          <w:lang w:val="fr-CH"/>
        </w:rPr>
        <w:t xml:space="preserve">illustrer </w:t>
      </w:r>
      <w:r w:rsidR="00DD7515" w:rsidRPr="00DD7515">
        <w:rPr>
          <w:color w:val="000000"/>
          <w:lang w:val="fr-CH"/>
        </w:rPr>
        <w:t xml:space="preserve">le cas où </w:t>
      </w:r>
      <w:r w:rsidR="00DD7515" w:rsidRPr="00D426D4">
        <w:rPr>
          <w:lang w:val="fr-CH"/>
        </w:rPr>
        <w:t xml:space="preserve">le marqueur propre à un caractère ne fournit pas </w:t>
      </w:r>
      <w:r w:rsidR="00DD7515" w:rsidRPr="00DD7515">
        <w:rPr>
          <w:color w:val="000000"/>
          <w:lang w:val="fr-CH"/>
        </w:rPr>
        <w:t xml:space="preserve">toutes les informations </w:t>
      </w:r>
      <w:r w:rsidR="00DD7515" w:rsidRPr="00D426D4">
        <w:rPr>
          <w:lang w:val="fr-CH"/>
        </w:rPr>
        <w:t>sur le niveau d</w:t>
      </w:r>
      <w:r w:rsidR="00D426D4">
        <w:rPr>
          <w:lang w:val="fr-CH"/>
        </w:rPr>
        <w:t>’</w:t>
      </w:r>
      <w:r w:rsidR="00DD7515" w:rsidRPr="00D426D4">
        <w:rPr>
          <w:lang w:val="fr-CH"/>
        </w:rPr>
        <w:t>expression d</w:t>
      </w:r>
      <w:r w:rsidR="00D426D4">
        <w:rPr>
          <w:lang w:val="fr-CH"/>
        </w:rPr>
        <w:t>’</w:t>
      </w:r>
      <w:r w:rsidR="00DD7515" w:rsidRPr="00D426D4">
        <w:rPr>
          <w:lang w:val="fr-CH"/>
        </w:rPr>
        <w:t>un caractère, comme indiqué dans l</w:t>
      </w:r>
      <w:r w:rsidR="00D426D4">
        <w:rPr>
          <w:color w:val="000000"/>
          <w:lang w:val="fr-CH"/>
        </w:rPr>
        <w:t>’</w:t>
      </w:r>
      <w:r w:rsidR="00D426D4" w:rsidRPr="00DD7515">
        <w:rPr>
          <w:color w:val="000000"/>
          <w:lang w:val="fr-CH"/>
        </w:rPr>
        <w:t>annexe</w:t>
      </w:r>
      <w:r w:rsidR="00D426D4">
        <w:rPr>
          <w:color w:val="000000"/>
          <w:lang w:val="fr-CH"/>
        </w:rPr>
        <w:t> </w:t>
      </w:r>
      <w:r w:rsidR="00D426D4" w:rsidRPr="00DD7515">
        <w:rPr>
          <w:color w:val="000000"/>
          <w:lang w:val="fr-CH"/>
        </w:rPr>
        <w:t>I</w:t>
      </w:r>
      <w:r w:rsidR="00DD7515" w:rsidRPr="00DD7515">
        <w:rPr>
          <w:color w:val="000000"/>
          <w:lang w:val="fr-CH"/>
        </w:rPr>
        <w:t>I du</w:t>
      </w:r>
      <w:r w:rsidR="00DD7515" w:rsidRPr="00D426D4">
        <w:rPr>
          <w:lang w:val="fr-CH"/>
        </w:rPr>
        <w:t xml:space="preserve"> document</w:t>
      </w:r>
      <w:r w:rsidR="00666D33">
        <w:rPr>
          <w:lang w:val="fr-CH"/>
        </w:rPr>
        <w:t> </w:t>
      </w:r>
      <w:r w:rsidR="00DD7515" w:rsidRPr="00D426D4">
        <w:rPr>
          <w:lang w:val="fr-CH"/>
        </w:rPr>
        <w:t>BMT/18/7 avec les modifications suivantes</w:t>
      </w:r>
      <w:r w:rsidR="00D426D4">
        <w:rPr>
          <w:lang w:val="fr-CH"/>
        </w:rPr>
        <w:t> :</w:t>
      </w:r>
    </w:p>
    <w:p w:rsidR="0043508D" w:rsidRDefault="0043508D" w:rsidP="00CD4481">
      <w:pPr>
        <w:rPr>
          <w:lang w:val="fr-CH"/>
        </w:rPr>
      </w:pPr>
    </w:p>
    <w:p w:rsidR="0043508D" w:rsidRDefault="00DD7515" w:rsidP="00DD7515">
      <w:pPr>
        <w:rPr>
          <w:lang w:val="fr-CH"/>
        </w:rPr>
      </w:pPr>
      <w:r w:rsidRPr="00DD7515">
        <w:rPr>
          <w:color w:val="000000"/>
          <w:lang w:val="fr-CH"/>
        </w:rPr>
        <w:tab/>
      </w:r>
      <w:r w:rsidRPr="00D426D4">
        <w:rPr>
          <w:lang w:val="fr-CH"/>
        </w:rPr>
        <w:t xml:space="preserve">a) </w:t>
      </w:r>
      <w:r w:rsidRPr="00DD7515">
        <w:rPr>
          <w:color w:val="000000"/>
          <w:lang w:val="fr-CH"/>
        </w:rPr>
        <w:tab/>
      </w:r>
      <w:r w:rsidRPr="00D426D4">
        <w:rPr>
          <w:lang w:val="fr-CH"/>
        </w:rPr>
        <w:t xml:space="preserve">modifier le </w:t>
      </w:r>
      <w:r w:rsidR="00D426D4" w:rsidRPr="00D426D4">
        <w:rPr>
          <w:lang w:val="fr-CH"/>
        </w:rPr>
        <w:t>paragraphe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2</w:t>
      </w:r>
      <w:r w:rsidRPr="00D426D4">
        <w:rPr>
          <w:lang w:val="fr-CH"/>
        </w:rPr>
        <w:t xml:space="preserve"> de l</w:t>
      </w:r>
      <w:r w:rsidR="00D426D4">
        <w:rPr>
          <w:lang w:val="fr-CH"/>
        </w:rPr>
        <w:t>’</w:t>
      </w:r>
      <w:r w:rsidRPr="00D426D4">
        <w:rPr>
          <w:lang w:val="fr-CH"/>
        </w:rPr>
        <w:t>exemple proposé comme suit</w:t>
      </w:r>
      <w:r w:rsidR="00D426D4">
        <w:rPr>
          <w:lang w:val="fr-CH"/>
        </w:rPr>
        <w:t> :</w:t>
      </w:r>
    </w:p>
    <w:p w:rsidR="0043508D" w:rsidRDefault="0043508D" w:rsidP="00CD4481">
      <w:pPr>
        <w:rPr>
          <w:lang w:val="fr-CH"/>
        </w:rPr>
      </w:pPr>
    </w:p>
    <w:p w:rsidR="0043508D" w:rsidRPr="0043508D" w:rsidRDefault="00CD4481" w:rsidP="0043508D">
      <w:pPr>
        <w:autoSpaceDE w:val="0"/>
        <w:autoSpaceDN w:val="0"/>
        <w:adjustRightInd w:val="0"/>
        <w:ind w:left="426" w:right="425"/>
        <w:rPr>
          <w:rFonts w:eastAsia="Calibri" w:cs="Arial"/>
          <w:sz w:val="18"/>
          <w:szCs w:val="18"/>
          <w:lang w:val="fr-CH"/>
        </w:rPr>
      </w:pPr>
      <w:r w:rsidRPr="0043508D">
        <w:rPr>
          <w:sz w:val="18"/>
          <w:szCs w:val="18"/>
          <w:lang w:val="fr-CH"/>
        </w:rPr>
        <w:t>“</w:t>
      </w:r>
      <w:r w:rsidRPr="0043508D">
        <w:rPr>
          <w:rFonts w:eastAsia="Calibri" w:cs="Arial"/>
          <w:sz w:val="18"/>
          <w:szCs w:val="18"/>
          <w:lang w:val="fr-CH"/>
        </w:rPr>
        <w:t>2.</w:t>
      </w:r>
      <w:r w:rsidRPr="0043508D">
        <w:rPr>
          <w:rFonts w:eastAsia="Calibri" w:cs="Arial"/>
          <w:sz w:val="18"/>
          <w:szCs w:val="18"/>
          <w:lang w:val="fr-CH"/>
        </w:rPr>
        <w:tab/>
      </w:r>
      <w:r w:rsidR="0043508D" w:rsidRPr="00D426D4">
        <w:rPr>
          <w:rFonts w:eastAsia="Calibri" w:cs="Arial"/>
          <w:sz w:val="18"/>
          <w:szCs w:val="18"/>
          <w:lang w:val="fr-CH"/>
        </w:rPr>
        <w:t xml:space="preserve">La résistance </w:t>
      </w:r>
      <w:r w:rsidR="0043508D" w:rsidRPr="0043508D">
        <w:rPr>
          <w:rFonts w:eastAsia="Calibri" w:cs="Arial"/>
          <w:color w:val="000000"/>
          <w:sz w:val="18"/>
          <w:szCs w:val="18"/>
          <w:lang w:val="fr-CH"/>
        </w:rPr>
        <w:t xml:space="preserve">à la souche 0 du </w:t>
      </w:r>
      <w:proofErr w:type="spellStart"/>
      <w:r w:rsidR="0043508D" w:rsidRPr="00D426D4">
        <w:rPr>
          <w:rFonts w:eastAsia="Calibri" w:cs="Arial"/>
          <w:sz w:val="18"/>
          <w:szCs w:val="18"/>
          <w:lang w:val="fr-CH"/>
        </w:rPr>
        <w:t>ToMV</w:t>
      </w:r>
      <w:proofErr w:type="spellEnd"/>
      <w:r w:rsidR="0043508D" w:rsidRPr="00D426D4">
        <w:rPr>
          <w:rFonts w:eastAsia="Calibri" w:cs="Arial"/>
          <w:sz w:val="18"/>
          <w:szCs w:val="18"/>
          <w:lang w:val="fr-CH"/>
        </w:rPr>
        <w:t xml:space="preserve"> est conférée par la présence</w:t>
      </w:r>
      <w:r w:rsidR="0043508D" w:rsidRPr="0043508D">
        <w:rPr>
          <w:rFonts w:eastAsia="Calibri" w:cs="Arial"/>
          <w:color w:val="000000"/>
          <w:sz w:val="18"/>
          <w:szCs w:val="18"/>
          <w:lang w:val="fr-CH"/>
        </w:rPr>
        <w:t xml:space="preserve"> des</w:t>
      </w:r>
      <w:r w:rsidR="0043508D" w:rsidRPr="00D426D4">
        <w:rPr>
          <w:rFonts w:eastAsia="Calibri" w:cs="Arial"/>
          <w:sz w:val="18"/>
          <w:szCs w:val="18"/>
          <w:lang w:val="fr-CH"/>
        </w:rPr>
        <w:t xml:space="preserve"> </w:t>
      </w:r>
      <w:r w:rsidR="0043508D" w:rsidRPr="00523828">
        <w:rPr>
          <w:rFonts w:eastAsia="Calibri" w:cs="Arial"/>
          <w:strike/>
          <w:sz w:val="18"/>
          <w:szCs w:val="18"/>
          <w:highlight w:val="lightGray"/>
          <w:lang w:val="fr-CH"/>
        </w:rPr>
        <w:t>d</w:t>
      </w:r>
      <w:r w:rsidR="00D426D4" w:rsidRPr="00523828">
        <w:rPr>
          <w:rFonts w:eastAsia="Calibri" w:cs="Arial"/>
          <w:strike/>
          <w:sz w:val="18"/>
          <w:szCs w:val="18"/>
          <w:highlight w:val="lightGray"/>
          <w:lang w:val="fr-CH"/>
        </w:rPr>
        <w:t>’</w:t>
      </w:r>
      <w:r w:rsidR="0043508D" w:rsidRPr="00523828">
        <w:rPr>
          <w:rFonts w:eastAsia="Calibri" w:cs="Arial"/>
          <w:strike/>
          <w:sz w:val="18"/>
          <w:szCs w:val="18"/>
          <w:highlight w:val="lightGray"/>
          <w:lang w:val="fr-CH"/>
        </w:rPr>
        <w:t xml:space="preserve">un ou plusieurs </w:t>
      </w:r>
      <w:proofErr w:type="spellStart"/>
      <w:r w:rsidR="0043508D" w:rsidRPr="00523828">
        <w:rPr>
          <w:rFonts w:eastAsia="Calibri" w:cs="Arial"/>
          <w:strike/>
          <w:sz w:val="18"/>
          <w:szCs w:val="18"/>
          <w:highlight w:val="lightGray"/>
          <w:lang w:val="fr-CH"/>
        </w:rPr>
        <w:t>gènes</w:t>
      </w:r>
      <w:r w:rsidR="0043508D" w:rsidRPr="00523828">
        <w:rPr>
          <w:rFonts w:eastAsia="Calibri" w:cs="Arial"/>
          <w:color w:val="000000"/>
          <w:sz w:val="18"/>
          <w:szCs w:val="18"/>
          <w:highlight w:val="lightGray"/>
          <w:u w:val="single"/>
          <w:lang w:val="fr-CH"/>
        </w:rPr>
        <w:t>allèles</w:t>
      </w:r>
      <w:proofErr w:type="spellEnd"/>
      <w:r w:rsidR="000A7BDF">
        <w:rPr>
          <w:rFonts w:eastAsia="Calibri" w:cs="Arial"/>
          <w:color w:val="000000"/>
          <w:sz w:val="18"/>
          <w:szCs w:val="18"/>
          <w:u w:val="single"/>
          <w:lang w:val="fr-CH"/>
        </w:rPr>
        <w:t> </w:t>
      </w:r>
      <w:r w:rsidR="0043508D" w:rsidRPr="00523828">
        <w:rPr>
          <w:rFonts w:eastAsia="Calibri" w:cs="Arial"/>
          <w:i/>
          <w:sz w:val="18"/>
          <w:szCs w:val="18"/>
          <w:lang w:val="fr-CH"/>
        </w:rPr>
        <w:t>Tm</w:t>
      </w:r>
      <w:proofErr w:type="gramStart"/>
      <w:r w:rsidR="0043508D" w:rsidRPr="00523828">
        <w:rPr>
          <w:rFonts w:eastAsia="Calibri" w:cs="Arial"/>
          <w:i/>
          <w:sz w:val="18"/>
          <w:szCs w:val="18"/>
          <w:lang w:val="fr-CH"/>
        </w:rPr>
        <w:t>1</w:t>
      </w:r>
      <w:r w:rsidR="0043508D" w:rsidRPr="006F190B">
        <w:rPr>
          <w:rFonts w:eastAsia="Calibri" w:cs="Arial"/>
          <w:i/>
          <w:strike/>
          <w:sz w:val="18"/>
          <w:szCs w:val="18"/>
          <w:highlight w:val="lightGray"/>
          <w:lang w:val="fr-CH"/>
        </w:rPr>
        <w:t>;</w:t>
      </w:r>
      <w:r w:rsidR="0043508D" w:rsidRPr="006F190B">
        <w:rPr>
          <w:rFonts w:eastAsia="Calibri" w:cs="Arial"/>
          <w:i/>
          <w:color w:val="000000"/>
          <w:sz w:val="18"/>
          <w:szCs w:val="18"/>
          <w:highlight w:val="lightGray"/>
          <w:u w:val="single"/>
          <w:lang w:val="fr-CH"/>
        </w:rPr>
        <w:t>,</w:t>
      </w:r>
      <w:proofErr w:type="gramEnd"/>
      <w:r w:rsidR="0043508D" w:rsidRPr="00523828">
        <w:rPr>
          <w:rFonts w:eastAsia="Calibri" w:cs="Arial"/>
          <w:i/>
          <w:sz w:val="18"/>
          <w:szCs w:val="18"/>
          <w:lang w:val="fr-CH"/>
        </w:rPr>
        <w:t xml:space="preserve"> Tm2</w:t>
      </w:r>
      <w:r w:rsidR="0043508D" w:rsidRPr="006F190B">
        <w:rPr>
          <w:rFonts w:eastAsia="Calibri" w:cs="Arial"/>
          <w:i/>
          <w:strike/>
          <w:sz w:val="18"/>
          <w:szCs w:val="18"/>
          <w:highlight w:val="lightGray"/>
          <w:lang w:val="fr-CH"/>
        </w:rPr>
        <w:t>;</w:t>
      </w:r>
      <w:r w:rsidR="0043508D" w:rsidRPr="00523828">
        <w:rPr>
          <w:rFonts w:eastAsia="Calibri" w:cs="Arial"/>
          <w:i/>
          <w:sz w:val="18"/>
          <w:szCs w:val="18"/>
          <w:lang w:val="fr-CH"/>
        </w:rPr>
        <w:t xml:space="preserve"> Tm2</w:t>
      </w:r>
      <w:r w:rsidR="0043508D" w:rsidRPr="00523828">
        <w:rPr>
          <w:rFonts w:eastAsia="Calibri" w:cs="Arial"/>
          <w:i/>
          <w:sz w:val="18"/>
          <w:szCs w:val="18"/>
          <w:vertAlign w:val="superscript"/>
          <w:lang w:val="fr-CH"/>
        </w:rPr>
        <w:t>2</w:t>
      </w:r>
      <w:r w:rsidR="0043508D" w:rsidRPr="00D426D4">
        <w:rPr>
          <w:rFonts w:eastAsia="Calibri" w:cs="Arial"/>
          <w:sz w:val="18"/>
          <w:szCs w:val="18"/>
          <w:lang w:val="fr-CH"/>
        </w:rPr>
        <w:t xml:space="preserve"> </w:t>
      </w:r>
      <w:r w:rsidR="0043508D" w:rsidRPr="00523828">
        <w:rPr>
          <w:rFonts w:eastAsia="Calibri" w:cs="Arial"/>
          <w:sz w:val="18"/>
          <w:szCs w:val="18"/>
          <w:highlight w:val="lightGray"/>
          <w:lang w:val="fr-CH"/>
        </w:rPr>
        <w:t>des gènes</w:t>
      </w:r>
      <w:r w:rsidR="00666D33" w:rsidRPr="00523828">
        <w:rPr>
          <w:rFonts w:eastAsia="Calibri" w:cs="Arial"/>
          <w:sz w:val="18"/>
          <w:szCs w:val="18"/>
          <w:highlight w:val="lightGray"/>
          <w:lang w:val="fr-CH"/>
        </w:rPr>
        <w:t> </w:t>
      </w:r>
      <w:r w:rsidR="0043508D" w:rsidRPr="00523828">
        <w:rPr>
          <w:rFonts w:eastAsia="Calibri" w:cs="Arial"/>
          <w:sz w:val="18"/>
          <w:szCs w:val="18"/>
          <w:highlight w:val="lightGray"/>
          <w:lang w:val="fr-CH"/>
        </w:rPr>
        <w:t>Tm1 et Tm2</w:t>
      </w:r>
      <w:r w:rsidR="00D426D4" w:rsidRPr="00D426D4">
        <w:rPr>
          <w:rFonts w:eastAsia="Calibri" w:cs="Arial"/>
          <w:sz w:val="18"/>
          <w:szCs w:val="18"/>
          <w:lang w:val="fr-CH"/>
        </w:rPr>
        <w:t>.</w:t>
      </w:r>
      <w:r w:rsidR="00D426D4">
        <w:rPr>
          <w:rFonts w:eastAsia="Calibri" w:cs="Arial"/>
          <w:sz w:val="18"/>
          <w:szCs w:val="18"/>
          <w:lang w:val="fr-CH"/>
        </w:rPr>
        <w:t>”</w:t>
      </w:r>
    </w:p>
    <w:p w:rsidR="0043508D" w:rsidRPr="0043508D" w:rsidRDefault="0043508D" w:rsidP="00CD4481">
      <w:pPr>
        <w:rPr>
          <w:lang w:val="fr-CH"/>
        </w:rPr>
      </w:pPr>
    </w:p>
    <w:p w:rsidR="0043508D" w:rsidRPr="00FB71A4" w:rsidRDefault="00FB71A4" w:rsidP="00FB71A4">
      <w:pPr>
        <w:keepNext/>
        <w:rPr>
          <w:lang w:val="fr-CH"/>
        </w:rPr>
      </w:pPr>
      <w:r w:rsidRPr="00FB71A4">
        <w:rPr>
          <w:color w:val="000000"/>
          <w:lang w:val="fr-CH"/>
        </w:rPr>
        <w:tab/>
      </w:r>
      <w:r w:rsidRPr="00D426D4">
        <w:rPr>
          <w:lang w:val="fr-CH"/>
        </w:rPr>
        <w:t xml:space="preserve">b) </w:t>
      </w:r>
      <w:r w:rsidRPr="00FB71A4">
        <w:rPr>
          <w:color w:val="000000"/>
          <w:lang w:val="fr-CH"/>
        </w:rPr>
        <w:tab/>
      </w:r>
      <w:r w:rsidRPr="00D426D4">
        <w:rPr>
          <w:lang w:val="fr-CH"/>
        </w:rPr>
        <w:t>d</w:t>
      </w:r>
      <w:r w:rsidR="00D426D4">
        <w:rPr>
          <w:lang w:val="fr-CH"/>
        </w:rPr>
        <w:t>’</w:t>
      </w:r>
      <w:r w:rsidRPr="00D426D4">
        <w:rPr>
          <w:lang w:val="fr-CH"/>
        </w:rPr>
        <w:t>ajouter le te</w:t>
      </w:r>
      <w:bookmarkStart w:id="2" w:name="_GoBack"/>
      <w:bookmarkEnd w:id="2"/>
      <w:r w:rsidRPr="00D426D4">
        <w:rPr>
          <w:lang w:val="fr-CH"/>
        </w:rPr>
        <w:t>xte ci</w:t>
      </w:r>
      <w:r w:rsidR="00D426D4">
        <w:rPr>
          <w:lang w:val="fr-CH"/>
        </w:rPr>
        <w:t>-</w:t>
      </w:r>
      <w:r w:rsidRPr="00D426D4">
        <w:rPr>
          <w:lang w:val="fr-CH"/>
        </w:rPr>
        <w:t xml:space="preserve">après à la fin du </w:t>
      </w:r>
      <w:r w:rsidR="00D426D4" w:rsidRPr="00D426D4">
        <w:rPr>
          <w:lang w:val="fr-CH"/>
        </w:rPr>
        <w:t>paragraphe</w:t>
      </w:r>
      <w:r w:rsidR="00D426D4">
        <w:rPr>
          <w:lang w:val="fr-CH"/>
        </w:rPr>
        <w:t> </w:t>
      </w:r>
      <w:r w:rsidR="00D426D4" w:rsidRPr="00D426D4">
        <w:rPr>
          <w:lang w:val="fr-CH"/>
        </w:rPr>
        <w:t>6</w:t>
      </w:r>
      <w:r w:rsidRPr="00D426D4">
        <w:rPr>
          <w:lang w:val="fr-CH"/>
        </w:rPr>
        <w:t xml:space="preserve"> de l</w:t>
      </w:r>
      <w:r w:rsidR="00D426D4">
        <w:rPr>
          <w:lang w:val="fr-CH"/>
        </w:rPr>
        <w:t>’</w:t>
      </w:r>
      <w:r w:rsidRPr="00D426D4">
        <w:rPr>
          <w:lang w:val="fr-CH"/>
        </w:rPr>
        <w:t>exemple proposé</w:t>
      </w:r>
      <w:r w:rsidR="00D426D4">
        <w:rPr>
          <w:lang w:val="fr-CH"/>
        </w:rPr>
        <w:t> :</w:t>
      </w:r>
    </w:p>
    <w:p w:rsidR="0043508D" w:rsidRPr="00FB71A4" w:rsidRDefault="0043508D" w:rsidP="00CD4481">
      <w:pPr>
        <w:keepNext/>
        <w:rPr>
          <w:lang w:val="fr-CH"/>
        </w:rPr>
      </w:pPr>
    </w:p>
    <w:p w:rsidR="0043508D" w:rsidRPr="00312AFE" w:rsidRDefault="00D426D4" w:rsidP="00312AFE">
      <w:pPr>
        <w:keepNext/>
        <w:autoSpaceDE w:val="0"/>
        <w:autoSpaceDN w:val="0"/>
        <w:adjustRightInd w:val="0"/>
        <w:ind w:left="426" w:right="425"/>
        <w:rPr>
          <w:rFonts w:eastAsia="Calibri" w:cs="Arial"/>
          <w:sz w:val="18"/>
          <w:szCs w:val="18"/>
          <w:lang w:val="fr-CH"/>
        </w:rPr>
      </w:pPr>
      <w:r>
        <w:rPr>
          <w:rFonts w:eastAsia="Calibri" w:cs="Arial"/>
          <w:sz w:val="18"/>
          <w:szCs w:val="18"/>
          <w:lang w:val="fr-CH"/>
        </w:rPr>
        <w:t>“</w:t>
      </w:r>
      <w:r w:rsidRPr="00D426D4">
        <w:rPr>
          <w:rFonts w:eastAsia="Calibri" w:cs="Arial"/>
          <w:sz w:val="18"/>
          <w:szCs w:val="18"/>
          <w:lang w:val="fr-CH"/>
        </w:rPr>
        <w:t>S</w:t>
      </w:r>
      <w:r w:rsidR="00312AFE" w:rsidRPr="00D426D4">
        <w:rPr>
          <w:rFonts w:eastAsia="Calibri" w:cs="Arial"/>
          <w:sz w:val="18"/>
          <w:szCs w:val="18"/>
          <w:lang w:val="fr-CH"/>
        </w:rPr>
        <w:t xml:space="preserve">i une variété est </w:t>
      </w:r>
      <w:r w:rsidR="00312AFE" w:rsidRPr="00312AFE">
        <w:rPr>
          <w:rFonts w:eastAsia="Calibri" w:cs="Arial"/>
          <w:color w:val="000000"/>
          <w:sz w:val="18"/>
          <w:szCs w:val="18"/>
          <w:lang w:val="fr-CH"/>
        </w:rPr>
        <w:t>censée être sensible à la souche</w:t>
      </w:r>
      <w:r w:rsidR="00566AA7">
        <w:rPr>
          <w:rFonts w:eastAsia="Calibri" w:cs="Arial"/>
          <w:color w:val="000000"/>
          <w:sz w:val="18"/>
          <w:szCs w:val="18"/>
          <w:lang w:val="fr-CH"/>
        </w:rPr>
        <w:t> </w:t>
      </w:r>
      <w:r w:rsidR="00312AFE" w:rsidRPr="00312AFE">
        <w:rPr>
          <w:rFonts w:eastAsia="Calibri" w:cs="Arial"/>
          <w:color w:val="000000"/>
          <w:sz w:val="18"/>
          <w:szCs w:val="18"/>
          <w:lang w:val="fr-CH"/>
        </w:rPr>
        <w:t xml:space="preserve">0 </w:t>
      </w:r>
      <w:r w:rsidR="00A164BD">
        <w:rPr>
          <w:rFonts w:eastAsia="Calibri" w:cs="Arial"/>
          <w:color w:val="000000"/>
          <w:sz w:val="18"/>
          <w:szCs w:val="18"/>
          <w:lang w:val="fr-CH"/>
        </w:rPr>
        <w:t xml:space="preserve">du </w:t>
      </w:r>
      <w:proofErr w:type="spellStart"/>
      <w:r w:rsidR="00312AFE" w:rsidRPr="00312AFE">
        <w:rPr>
          <w:rFonts w:eastAsia="Calibri" w:cs="Arial"/>
          <w:color w:val="000000"/>
          <w:sz w:val="18"/>
          <w:szCs w:val="18"/>
          <w:lang w:val="fr-CH"/>
        </w:rPr>
        <w:t>T</w:t>
      </w:r>
      <w:r w:rsidR="00312AFE" w:rsidRPr="00D426D4">
        <w:rPr>
          <w:rFonts w:eastAsia="Calibri" w:cs="Arial"/>
          <w:sz w:val="18"/>
          <w:szCs w:val="18"/>
          <w:lang w:val="fr-CH"/>
        </w:rPr>
        <w:t>oMV</w:t>
      </w:r>
      <w:proofErr w:type="spellEnd"/>
      <w:r w:rsidR="00312AFE" w:rsidRPr="00D426D4">
        <w:rPr>
          <w:rFonts w:eastAsia="Calibri" w:cs="Arial"/>
          <w:sz w:val="18"/>
          <w:szCs w:val="18"/>
          <w:lang w:val="fr-CH"/>
        </w:rPr>
        <w:t xml:space="preserve">, un essai biologique doit être effectué pour confirmer </w:t>
      </w:r>
      <w:r w:rsidR="00312AFE" w:rsidRPr="00312AFE">
        <w:rPr>
          <w:rFonts w:eastAsia="Calibri" w:cs="Arial"/>
          <w:color w:val="000000"/>
          <w:sz w:val="18"/>
          <w:szCs w:val="18"/>
          <w:lang w:val="fr-CH"/>
        </w:rPr>
        <w:t>cette</w:t>
      </w:r>
      <w:r w:rsidR="00312AFE" w:rsidRPr="00D426D4">
        <w:rPr>
          <w:rFonts w:eastAsia="Calibri" w:cs="Arial"/>
          <w:sz w:val="18"/>
          <w:szCs w:val="18"/>
          <w:lang w:val="fr-CH"/>
        </w:rPr>
        <w:t xml:space="preserve"> </w:t>
      </w:r>
      <w:r w:rsidR="00312AFE" w:rsidRPr="00312AFE">
        <w:rPr>
          <w:rFonts w:eastAsia="Calibri" w:cs="Arial"/>
          <w:color w:val="000000"/>
          <w:sz w:val="18"/>
          <w:szCs w:val="18"/>
          <w:lang w:val="fr-CH"/>
        </w:rPr>
        <w:t>affirm</w:t>
      </w:r>
      <w:r w:rsidR="00312AFE" w:rsidRPr="00D426D4">
        <w:rPr>
          <w:rFonts w:eastAsia="Calibri" w:cs="Arial"/>
          <w:sz w:val="18"/>
          <w:szCs w:val="18"/>
          <w:lang w:val="fr-CH"/>
        </w:rPr>
        <w:t>ation</w:t>
      </w:r>
      <w:r w:rsidRPr="00D426D4">
        <w:rPr>
          <w:rFonts w:eastAsia="Calibri" w:cs="Arial"/>
          <w:sz w:val="18"/>
          <w:szCs w:val="18"/>
          <w:lang w:val="fr-CH"/>
        </w:rPr>
        <w:t>.</w:t>
      </w:r>
      <w:r>
        <w:rPr>
          <w:rFonts w:eastAsia="Calibri" w:cs="Arial"/>
          <w:sz w:val="18"/>
          <w:szCs w:val="18"/>
          <w:lang w:val="fr-CH"/>
        </w:rPr>
        <w:t>”</w:t>
      </w:r>
    </w:p>
    <w:p w:rsidR="0043508D" w:rsidRPr="00312AFE" w:rsidRDefault="0043508D" w:rsidP="00E32F56">
      <w:pPr>
        <w:rPr>
          <w:lang w:val="fr-CH"/>
        </w:rPr>
      </w:pPr>
    </w:p>
    <w:p w:rsidR="0043508D" w:rsidRPr="00312AFE" w:rsidRDefault="0043508D" w:rsidP="00E32F56">
      <w:pPr>
        <w:rPr>
          <w:lang w:val="fr-CH"/>
        </w:rPr>
      </w:pPr>
    </w:p>
    <w:p w:rsidR="0043508D" w:rsidRPr="00312AFE" w:rsidRDefault="0043508D" w:rsidP="00E32F56">
      <w:pPr>
        <w:rPr>
          <w:lang w:val="fr-CH"/>
        </w:rPr>
      </w:pPr>
    </w:p>
    <w:p w:rsidR="00E13F2B" w:rsidRDefault="00312AFE" w:rsidP="00F674BF">
      <w:pPr>
        <w:jc w:val="right"/>
      </w:pPr>
      <w:r w:rsidRPr="00D426D4">
        <w:t>[Fin du document]</w:t>
      </w:r>
    </w:p>
    <w:sectPr w:rsidR="00E13F2B" w:rsidSect="00D426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417" w:left="1417" w:header="510" w:footer="10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780" w:rsidRDefault="00010780" w:rsidP="006655D3">
      <w:r>
        <w:separator/>
      </w:r>
    </w:p>
    <w:p w:rsidR="00010780" w:rsidRDefault="00010780" w:rsidP="006655D3"/>
    <w:p w:rsidR="00010780" w:rsidRDefault="00010780" w:rsidP="006655D3"/>
  </w:endnote>
  <w:endnote w:type="continuationSeparator" w:id="0">
    <w:p w:rsidR="00010780" w:rsidRDefault="00010780" w:rsidP="006655D3">
      <w:r>
        <w:separator/>
      </w:r>
    </w:p>
    <w:p w:rsidR="00010780" w:rsidRPr="00294751" w:rsidRDefault="0001078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10780" w:rsidRPr="00294751" w:rsidRDefault="00010780" w:rsidP="006655D3">
      <w:pPr>
        <w:rPr>
          <w:lang w:val="fr-FR"/>
        </w:rPr>
      </w:pPr>
    </w:p>
    <w:p w:rsidR="00010780" w:rsidRPr="00294751" w:rsidRDefault="00010780" w:rsidP="006655D3">
      <w:pPr>
        <w:rPr>
          <w:lang w:val="fr-FR"/>
        </w:rPr>
      </w:pPr>
    </w:p>
  </w:endnote>
  <w:endnote w:type="continuationNotice" w:id="1">
    <w:p w:rsidR="00010780" w:rsidRPr="00294751" w:rsidRDefault="0001078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10780" w:rsidRPr="00294751" w:rsidRDefault="00010780" w:rsidP="006655D3">
      <w:pPr>
        <w:rPr>
          <w:lang w:val="fr-FR"/>
        </w:rPr>
      </w:pPr>
    </w:p>
    <w:p w:rsidR="00010780" w:rsidRPr="00294751" w:rsidRDefault="0001078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A7" w:rsidRDefault="00566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A7" w:rsidRDefault="00566A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A7" w:rsidRDefault="00566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780" w:rsidRDefault="00010780" w:rsidP="006655D3">
      <w:r>
        <w:separator/>
      </w:r>
    </w:p>
  </w:footnote>
  <w:footnote w:type="continuationSeparator" w:id="0">
    <w:p w:rsidR="00010780" w:rsidRDefault="00010780" w:rsidP="006655D3">
      <w:r>
        <w:separator/>
      </w:r>
    </w:p>
  </w:footnote>
  <w:footnote w:type="continuationNotice" w:id="1">
    <w:p w:rsidR="00010780" w:rsidRPr="00AB530F" w:rsidRDefault="0001078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A7" w:rsidRDefault="00566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566AA7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448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A7" w:rsidRDefault="00566A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"/>
    <w:docVar w:name="TermBaseURL" w:val="empty"/>
    <w:docVar w:name="TextBases" w:val="TextBase TMs\WorkspaceFTS\xLegacy\UPOV|TextBase TMs\WorkspaceFTS\UPOV\TGs|TextBase TMs\WorkspaceFTS\UPOV\UPOV"/>
    <w:docVar w:name="TextBaseURL" w:val="empty"/>
    <w:docVar w:name="UILng" w:val="en"/>
  </w:docVars>
  <w:rsids>
    <w:rsidRoot w:val="00A160ED"/>
    <w:rsid w:val="0001078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11C1"/>
    <w:rsid w:val="000A7BDF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AC9"/>
    <w:rsid w:val="00182B99"/>
    <w:rsid w:val="001F0707"/>
    <w:rsid w:val="0021332C"/>
    <w:rsid w:val="00213982"/>
    <w:rsid w:val="0022006F"/>
    <w:rsid w:val="0024416D"/>
    <w:rsid w:val="00271911"/>
    <w:rsid w:val="002800A0"/>
    <w:rsid w:val="002801B3"/>
    <w:rsid w:val="00281060"/>
    <w:rsid w:val="002940E8"/>
    <w:rsid w:val="00294751"/>
    <w:rsid w:val="002A0D6C"/>
    <w:rsid w:val="002A6E50"/>
    <w:rsid w:val="002B4298"/>
    <w:rsid w:val="002C256A"/>
    <w:rsid w:val="00304827"/>
    <w:rsid w:val="00305A7F"/>
    <w:rsid w:val="00312AFE"/>
    <w:rsid w:val="003152FE"/>
    <w:rsid w:val="00327436"/>
    <w:rsid w:val="00344BD6"/>
    <w:rsid w:val="0035528D"/>
    <w:rsid w:val="00361821"/>
    <w:rsid w:val="00361E9E"/>
    <w:rsid w:val="003B1FBF"/>
    <w:rsid w:val="003C7FBE"/>
    <w:rsid w:val="003D227C"/>
    <w:rsid w:val="003D2B4D"/>
    <w:rsid w:val="0043508D"/>
    <w:rsid w:val="00444A88"/>
    <w:rsid w:val="00474DA4"/>
    <w:rsid w:val="00476B4D"/>
    <w:rsid w:val="004805FA"/>
    <w:rsid w:val="004935D2"/>
    <w:rsid w:val="004B1215"/>
    <w:rsid w:val="004D047D"/>
    <w:rsid w:val="004D40B5"/>
    <w:rsid w:val="004F0D1F"/>
    <w:rsid w:val="004F1E9E"/>
    <w:rsid w:val="004F305A"/>
    <w:rsid w:val="0050166A"/>
    <w:rsid w:val="00512164"/>
    <w:rsid w:val="00520297"/>
    <w:rsid w:val="00523828"/>
    <w:rsid w:val="005338F9"/>
    <w:rsid w:val="0054281C"/>
    <w:rsid w:val="00544581"/>
    <w:rsid w:val="0055268D"/>
    <w:rsid w:val="00562FD4"/>
    <w:rsid w:val="00566AA7"/>
    <w:rsid w:val="0057104E"/>
    <w:rsid w:val="00576BE4"/>
    <w:rsid w:val="005A400A"/>
    <w:rsid w:val="005F7B92"/>
    <w:rsid w:val="0060758F"/>
    <w:rsid w:val="00612379"/>
    <w:rsid w:val="006153B6"/>
    <w:rsid w:val="0061555F"/>
    <w:rsid w:val="00636CA6"/>
    <w:rsid w:val="00641200"/>
    <w:rsid w:val="00645CA8"/>
    <w:rsid w:val="006655D3"/>
    <w:rsid w:val="00666D3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6E2399"/>
    <w:rsid w:val="006F190B"/>
    <w:rsid w:val="0071271E"/>
    <w:rsid w:val="00731683"/>
    <w:rsid w:val="00732DEC"/>
    <w:rsid w:val="007355D0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4486"/>
    <w:rsid w:val="00906DDC"/>
    <w:rsid w:val="009272AF"/>
    <w:rsid w:val="00934E09"/>
    <w:rsid w:val="00936253"/>
    <w:rsid w:val="00940D46"/>
    <w:rsid w:val="00952DD4"/>
    <w:rsid w:val="00965AE7"/>
    <w:rsid w:val="00970FED"/>
    <w:rsid w:val="00971603"/>
    <w:rsid w:val="00985DCD"/>
    <w:rsid w:val="00992D82"/>
    <w:rsid w:val="00997029"/>
    <w:rsid w:val="009A7339"/>
    <w:rsid w:val="009B440E"/>
    <w:rsid w:val="009D690D"/>
    <w:rsid w:val="009E65B6"/>
    <w:rsid w:val="00A160ED"/>
    <w:rsid w:val="00A164BD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053B"/>
    <w:rsid w:val="00B07301"/>
    <w:rsid w:val="00B11F3E"/>
    <w:rsid w:val="00B224DE"/>
    <w:rsid w:val="00B324D4"/>
    <w:rsid w:val="00B46575"/>
    <w:rsid w:val="00B61777"/>
    <w:rsid w:val="00B84BBD"/>
    <w:rsid w:val="00B910FA"/>
    <w:rsid w:val="00BA43FB"/>
    <w:rsid w:val="00BC127D"/>
    <w:rsid w:val="00BC1FE6"/>
    <w:rsid w:val="00C061B6"/>
    <w:rsid w:val="00C2446C"/>
    <w:rsid w:val="00C272B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481"/>
    <w:rsid w:val="00CF1330"/>
    <w:rsid w:val="00CF7E36"/>
    <w:rsid w:val="00D3708D"/>
    <w:rsid w:val="00D40426"/>
    <w:rsid w:val="00D426D4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7515"/>
    <w:rsid w:val="00E07D87"/>
    <w:rsid w:val="00E13F2B"/>
    <w:rsid w:val="00E32F56"/>
    <w:rsid w:val="00E32F7E"/>
    <w:rsid w:val="00E51F58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0787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74BF"/>
    <w:rsid w:val="00FA49AB"/>
    <w:rsid w:val="00FB71A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F2C0C2"/>
  <w15:docId w15:val="{201F0620-8C69-49A2-84F4-79DFA36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50166A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</vt:lpstr>
      <vt:lpstr>TC/55</vt:lpstr>
    </vt:vector>
  </TitlesOfParts>
  <Company>UPOV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3</cp:revision>
  <cp:lastPrinted>2016-11-22T15:41:00Z</cp:lastPrinted>
  <dcterms:created xsi:type="dcterms:W3CDTF">2019-10-29T16:03:00Z</dcterms:created>
  <dcterms:modified xsi:type="dcterms:W3CDTF">2019-10-29T16:05:00Z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46755b27-6155-45c8-be9b-82ff44b4d3c9</vt:lpwstr>
  </property>
</Properties>
</file>