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12A18" w:rsidRPr="00815738" w:rsidTr="00C1733A">
        <w:tc>
          <w:tcPr>
            <w:tcW w:w="6522" w:type="dxa"/>
          </w:tcPr>
          <w:p w:rsidR="00612A18" w:rsidRPr="00AC2883" w:rsidRDefault="00612A18" w:rsidP="00C1733A">
            <w:bookmarkStart w:id="0" w:name="TitleOfDoc"/>
            <w:bookmarkEnd w:id="0"/>
            <w:r w:rsidRPr="00D250C5">
              <w:rPr>
                <w:noProof/>
              </w:rPr>
              <w:drawing>
                <wp:inline distT="0" distB="0" distL="0" distR="0" wp14:anchorId="58F7D29A" wp14:editId="36573D0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612A18" w:rsidRPr="007C1D92" w:rsidRDefault="00612A18" w:rsidP="00C1733A">
            <w:pPr>
              <w:pStyle w:val="Lettrine"/>
            </w:pPr>
            <w:r>
              <w:t>F</w:t>
            </w:r>
          </w:p>
        </w:tc>
      </w:tr>
      <w:tr w:rsidR="00612A18" w:rsidRPr="00C07F28" w:rsidTr="00C1733A">
        <w:trPr>
          <w:trHeight w:val="219"/>
        </w:trPr>
        <w:tc>
          <w:tcPr>
            <w:tcW w:w="6522" w:type="dxa"/>
          </w:tcPr>
          <w:p w:rsidR="00612A18" w:rsidRPr="00612A18" w:rsidRDefault="00612A18" w:rsidP="00C1733A">
            <w:pPr>
              <w:pStyle w:val="upove"/>
              <w:rPr>
                <w:lang w:val="fr-CH"/>
              </w:rPr>
            </w:pPr>
            <w:r w:rsidRPr="00612A18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612A18" w:rsidRPr="00612A18" w:rsidRDefault="00612A18" w:rsidP="00C1733A">
            <w:pPr>
              <w:rPr>
                <w:lang w:val="fr-CH"/>
              </w:rPr>
            </w:pPr>
          </w:p>
        </w:tc>
      </w:tr>
    </w:tbl>
    <w:p w:rsidR="00612A18" w:rsidRPr="00612A18" w:rsidRDefault="00612A18" w:rsidP="00612A18">
      <w:pPr>
        <w:rPr>
          <w:lang w:val="fr-CH"/>
        </w:rPr>
      </w:pPr>
    </w:p>
    <w:p w:rsidR="00612A18" w:rsidRPr="00612A18" w:rsidRDefault="00612A18" w:rsidP="00612A18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12A18" w:rsidRPr="00C07F28" w:rsidTr="00C1733A">
        <w:tc>
          <w:tcPr>
            <w:tcW w:w="6512" w:type="dxa"/>
          </w:tcPr>
          <w:p w:rsidR="00612A18" w:rsidRPr="00612A18" w:rsidRDefault="00612A18" w:rsidP="00C1733A">
            <w:pPr>
              <w:pStyle w:val="Sessiontc"/>
              <w:spacing w:line="240" w:lineRule="auto"/>
              <w:rPr>
                <w:lang w:val="fr-CH"/>
              </w:rPr>
            </w:pPr>
            <w:r w:rsidRPr="00612A18">
              <w:rPr>
                <w:lang w:val="fr-CH"/>
              </w:rPr>
              <w:t>Comité technique</w:t>
            </w:r>
          </w:p>
          <w:p w:rsidR="00612A18" w:rsidRPr="00612A18" w:rsidRDefault="00612A18" w:rsidP="00C1733A">
            <w:pPr>
              <w:pStyle w:val="Sessiontcplacedate"/>
              <w:rPr>
                <w:sz w:val="22"/>
                <w:lang w:val="fr-CH"/>
              </w:rPr>
            </w:pPr>
            <w:r w:rsidRPr="00612A18">
              <w:rPr>
                <w:lang w:val="fr-CH"/>
              </w:rPr>
              <w:t>Cinquante</w:t>
            </w:r>
            <w:r w:rsidR="005728D7">
              <w:rPr>
                <w:lang w:val="fr-CH"/>
              </w:rPr>
              <w:t>-</w:t>
            </w:r>
            <w:r w:rsidRPr="00612A18">
              <w:rPr>
                <w:lang w:val="fr-CH"/>
              </w:rPr>
              <w:t>cinqu</w:t>
            </w:r>
            <w:r w:rsidR="005728D7">
              <w:rPr>
                <w:lang w:val="fr-CH"/>
              </w:rPr>
              <w:t>ième session</w:t>
            </w:r>
            <w:r w:rsidRPr="00612A18">
              <w:rPr>
                <w:lang w:val="fr-CH"/>
              </w:rPr>
              <w:br/>
              <w:t>Genève, 28 et 2</w:t>
            </w:r>
            <w:r w:rsidR="005728D7" w:rsidRPr="00612A18">
              <w:rPr>
                <w:lang w:val="fr-CH"/>
              </w:rPr>
              <w:t>9</w:t>
            </w:r>
            <w:r w:rsidR="005728D7">
              <w:rPr>
                <w:lang w:val="fr-CH"/>
              </w:rPr>
              <w:t> </w:t>
            </w:r>
            <w:r w:rsidR="005728D7" w:rsidRPr="00612A18">
              <w:rPr>
                <w:lang w:val="fr-CH"/>
              </w:rPr>
              <w:t>octobre</w:t>
            </w:r>
            <w:r w:rsidR="005728D7">
              <w:rPr>
                <w:lang w:val="fr-CH"/>
              </w:rPr>
              <w:t> </w:t>
            </w:r>
            <w:r w:rsidR="005728D7" w:rsidRPr="00612A18">
              <w:rPr>
                <w:lang w:val="fr-CH"/>
              </w:rPr>
              <w:t>20</w:t>
            </w:r>
            <w:r w:rsidRPr="00612A18">
              <w:rPr>
                <w:lang w:val="fr-CH"/>
              </w:rPr>
              <w:t>19</w:t>
            </w:r>
          </w:p>
        </w:tc>
        <w:tc>
          <w:tcPr>
            <w:tcW w:w="3127" w:type="dxa"/>
          </w:tcPr>
          <w:p w:rsidR="00612A18" w:rsidRPr="001B4002" w:rsidRDefault="00612A18" w:rsidP="00C1733A">
            <w:pPr>
              <w:pStyle w:val="Doccode"/>
              <w:rPr>
                <w:lang w:val="fr-CH"/>
              </w:rPr>
            </w:pPr>
            <w:r w:rsidRPr="001B4002">
              <w:rPr>
                <w:lang w:val="fr-CH"/>
              </w:rPr>
              <w:t>TC/55/</w:t>
            </w:r>
            <w:r w:rsidR="009F5B61">
              <w:rPr>
                <w:lang w:val="fr-CH"/>
              </w:rPr>
              <w:t>15</w:t>
            </w:r>
          </w:p>
          <w:p w:rsidR="00612A18" w:rsidRPr="00612A18" w:rsidRDefault="00612A18" w:rsidP="00C1733A">
            <w:pPr>
              <w:pStyle w:val="Docoriginal"/>
              <w:rPr>
                <w:lang w:val="fr-CH"/>
              </w:rPr>
            </w:pPr>
            <w:r w:rsidRPr="00612A18">
              <w:rPr>
                <w:lang w:val="fr-CH"/>
              </w:rPr>
              <w:t>Original</w:t>
            </w:r>
            <w:r w:rsidR="00395F1C">
              <w:rPr>
                <w:lang w:val="fr-CH"/>
              </w:rPr>
              <w:t> :</w:t>
            </w:r>
            <w:r w:rsidRPr="00612A18">
              <w:rPr>
                <w:b w:val="0"/>
                <w:spacing w:val="0"/>
                <w:lang w:val="fr-CH"/>
              </w:rPr>
              <w:t xml:space="preserve"> anglais</w:t>
            </w:r>
          </w:p>
          <w:p w:rsidR="00612A18" w:rsidRPr="00612A18" w:rsidRDefault="00612A18" w:rsidP="00612A18">
            <w:pPr>
              <w:pStyle w:val="Docoriginal"/>
              <w:rPr>
                <w:lang w:val="fr-CH"/>
              </w:rPr>
            </w:pPr>
            <w:r w:rsidRPr="00612A18">
              <w:rPr>
                <w:lang w:val="fr-CH"/>
              </w:rPr>
              <w:t>Date</w:t>
            </w:r>
            <w:r w:rsidR="00395F1C">
              <w:rPr>
                <w:lang w:val="fr-CH"/>
              </w:rPr>
              <w:t> :</w:t>
            </w:r>
            <w:r w:rsidRPr="00612A18">
              <w:rPr>
                <w:b w:val="0"/>
                <w:spacing w:val="0"/>
                <w:lang w:val="fr-CH"/>
              </w:rPr>
              <w:t xml:space="preserve"> 2</w:t>
            </w:r>
            <w:r w:rsidR="005728D7" w:rsidRPr="00612A18">
              <w:rPr>
                <w:b w:val="0"/>
                <w:spacing w:val="0"/>
                <w:lang w:val="fr-CH"/>
              </w:rPr>
              <w:t>1</w:t>
            </w:r>
            <w:r w:rsidR="005728D7">
              <w:rPr>
                <w:b w:val="0"/>
                <w:spacing w:val="0"/>
                <w:lang w:val="fr-CH"/>
              </w:rPr>
              <w:t> </w:t>
            </w:r>
            <w:r w:rsidR="005728D7" w:rsidRPr="00612A18">
              <w:rPr>
                <w:b w:val="0"/>
                <w:spacing w:val="0"/>
                <w:lang w:val="fr-CH"/>
              </w:rPr>
              <w:t>août</w:t>
            </w:r>
            <w:r w:rsidR="005728D7">
              <w:rPr>
                <w:b w:val="0"/>
                <w:spacing w:val="0"/>
                <w:lang w:val="fr-CH"/>
              </w:rPr>
              <w:t> </w:t>
            </w:r>
            <w:r w:rsidR="005728D7" w:rsidRPr="00612A18">
              <w:rPr>
                <w:b w:val="0"/>
                <w:spacing w:val="0"/>
                <w:lang w:val="fr-CH"/>
              </w:rPr>
              <w:t>20</w:t>
            </w:r>
            <w:r w:rsidRPr="00612A18">
              <w:rPr>
                <w:b w:val="0"/>
                <w:spacing w:val="0"/>
                <w:lang w:val="fr-CH"/>
              </w:rPr>
              <w:t>19</w:t>
            </w:r>
          </w:p>
        </w:tc>
      </w:tr>
    </w:tbl>
    <w:p w:rsidR="0034055D" w:rsidRPr="00612A18" w:rsidRDefault="006B182E" w:rsidP="00220087">
      <w:pPr>
        <w:pStyle w:val="Titleofdoc0"/>
        <w:rPr>
          <w:lang w:val="fr-CH"/>
        </w:rPr>
      </w:pPr>
      <w:r w:rsidRPr="00612A18">
        <w:rPr>
          <w:lang w:val="fr-CH"/>
        </w:rPr>
        <w:t>Marqueur propre aux caractères contenant des informations incomplètes sur le niveau d</w:t>
      </w:r>
      <w:r w:rsidR="005728D7">
        <w:rPr>
          <w:lang w:val="fr-CH"/>
        </w:rPr>
        <w:t>’</w:t>
      </w:r>
      <w:r w:rsidRPr="00612A18">
        <w:rPr>
          <w:lang w:val="fr-CH"/>
        </w:rPr>
        <w:t>expression</w:t>
      </w:r>
    </w:p>
    <w:p w:rsidR="0034055D" w:rsidRPr="00612A18" w:rsidRDefault="006B182E" w:rsidP="006B182E">
      <w:pPr>
        <w:pStyle w:val="preparedby1"/>
        <w:jc w:val="left"/>
        <w:rPr>
          <w:lang w:val="fr-CH"/>
        </w:rPr>
      </w:pPr>
      <w:bookmarkStart w:id="1" w:name="Prepared"/>
      <w:bookmarkEnd w:id="1"/>
      <w:r w:rsidRPr="00612A18">
        <w:rPr>
          <w:lang w:val="fr-CH"/>
        </w:rPr>
        <w:t>Document établi par le Bureau de l</w:t>
      </w:r>
      <w:r w:rsidR="005728D7">
        <w:rPr>
          <w:lang w:val="fr-CH"/>
        </w:rPr>
        <w:t>’</w:t>
      </w:r>
      <w:r w:rsidRPr="00612A18">
        <w:rPr>
          <w:lang w:val="fr-CH"/>
        </w:rPr>
        <w:t>Union</w:t>
      </w:r>
    </w:p>
    <w:p w:rsidR="007E40B7" w:rsidRPr="005F1FA7" w:rsidRDefault="007E40B7" w:rsidP="007E40B7">
      <w:pPr>
        <w:pStyle w:val="Disclaimer"/>
        <w:rPr>
          <w:lang w:val="fr-FR"/>
        </w:rPr>
      </w:pPr>
      <w:bookmarkStart w:id="2" w:name="_Toc18318010"/>
      <w:r w:rsidRPr="005F1FA7">
        <w:rPr>
          <w:lang w:val="fr-FR"/>
        </w:rPr>
        <w:t>Avertissement</w:t>
      </w:r>
      <w:r w:rsidR="005728D7">
        <w:rPr>
          <w:lang w:val="fr-FR"/>
        </w:rPr>
        <w:t> :</w:t>
      </w:r>
      <w:r w:rsidRPr="005F1FA7">
        <w:rPr>
          <w:lang w:val="fr-FR"/>
        </w:rPr>
        <w:t xml:space="preserve"> le présent document ne représente pas les principes ou les orientations de l</w:t>
      </w:r>
      <w:r w:rsidR="005728D7">
        <w:rPr>
          <w:lang w:val="fr-FR"/>
        </w:rPr>
        <w:t>’</w:t>
      </w:r>
      <w:r w:rsidRPr="005F1FA7">
        <w:rPr>
          <w:lang w:val="fr-FR"/>
        </w:rPr>
        <w:t>UPOV</w:t>
      </w:r>
    </w:p>
    <w:p w:rsidR="0034055D" w:rsidRPr="00612A18" w:rsidRDefault="006779E2" w:rsidP="00220087">
      <w:pPr>
        <w:pStyle w:val="Heading1"/>
        <w:rPr>
          <w:snapToGrid w:val="0"/>
          <w:lang w:val="fr-CH"/>
        </w:rPr>
      </w:pPr>
      <w:r w:rsidRPr="00612A18">
        <w:rPr>
          <w:snapToGrid w:val="0"/>
          <w:lang w:val="fr-CH"/>
        </w:rPr>
        <w:t>Résumé</w:t>
      </w:r>
      <w:bookmarkEnd w:id="2"/>
    </w:p>
    <w:p w:rsidR="0034055D" w:rsidRPr="00612A18" w:rsidRDefault="0034055D" w:rsidP="00B41AC5">
      <w:pPr>
        <w:rPr>
          <w:snapToGrid w:val="0"/>
          <w:lang w:val="fr-CH"/>
        </w:rPr>
      </w:pPr>
    </w:p>
    <w:p w:rsidR="0034055D" w:rsidRPr="00612A18" w:rsidRDefault="00B41AC5" w:rsidP="006779E2">
      <w:pPr>
        <w:rPr>
          <w:snapToGrid w:val="0"/>
          <w:lang w:val="fr-CH"/>
        </w:rPr>
      </w:pPr>
      <w:r w:rsidRPr="00612A18">
        <w:rPr>
          <w:snapToGrid w:val="0"/>
          <w:lang w:val="fr-CH"/>
        </w:rPr>
        <w:fldChar w:fldCharType="begin"/>
      </w:r>
      <w:r w:rsidRPr="00612A18">
        <w:rPr>
          <w:snapToGrid w:val="0"/>
          <w:lang w:val="fr-CH"/>
        </w:rPr>
        <w:instrText xml:space="preserve"> AUTONUM  </w:instrText>
      </w:r>
      <w:r w:rsidRPr="00612A18">
        <w:rPr>
          <w:snapToGrid w:val="0"/>
          <w:lang w:val="fr-CH"/>
        </w:rPr>
        <w:fldChar w:fldCharType="end"/>
      </w:r>
      <w:r w:rsidRPr="00612A18">
        <w:rPr>
          <w:snapToGrid w:val="0"/>
          <w:lang w:val="fr-CH"/>
        </w:rPr>
        <w:tab/>
      </w:r>
      <w:r w:rsidR="006779E2" w:rsidRPr="00612A18">
        <w:rPr>
          <w:snapToGrid w:val="0"/>
          <w:lang w:val="fr-CH"/>
        </w:rPr>
        <w:t xml:space="preserve">Le présent document vise à présenter une proposition de révision du </w:t>
      </w:r>
      <w:r w:rsidR="005728D7" w:rsidRPr="00612A18">
        <w:rPr>
          <w:snapToGrid w:val="0"/>
          <w:lang w:val="fr-CH"/>
        </w:rPr>
        <w:t>document</w:t>
      </w:r>
      <w:r w:rsidR="005728D7">
        <w:rPr>
          <w:snapToGrid w:val="0"/>
          <w:lang w:val="fr-CH"/>
        </w:rPr>
        <w:t xml:space="preserve"> </w:t>
      </w:r>
      <w:r w:rsidR="005728D7" w:rsidRPr="00612A18">
        <w:rPr>
          <w:snapToGrid w:val="0"/>
          <w:lang w:val="fr-CH"/>
        </w:rPr>
        <w:t>TG</w:t>
      </w:r>
      <w:r w:rsidR="006779E2" w:rsidRPr="00612A18">
        <w:rPr>
          <w:snapToGrid w:val="0"/>
          <w:lang w:val="fr-CH"/>
        </w:rPr>
        <w:t>P/15 “Conseils en ce qui concerne l</w:t>
      </w:r>
      <w:r w:rsidR="005728D7">
        <w:rPr>
          <w:snapToGrid w:val="0"/>
          <w:lang w:val="fr-CH"/>
        </w:rPr>
        <w:t>’</w:t>
      </w:r>
      <w:r w:rsidR="006779E2" w:rsidRPr="00612A18">
        <w:rPr>
          <w:snapToGrid w:val="0"/>
          <w:lang w:val="fr-CH"/>
        </w:rPr>
        <w:t>utilisation des marqueurs biochimiques et moléculaires dans l</w:t>
      </w:r>
      <w:r w:rsidR="005728D7">
        <w:rPr>
          <w:snapToGrid w:val="0"/>
          <w:lang w:val="fr-CH"/>
        </w:rPr>
        <w:t>’</w:t>
      </w:r>
      <w:r w:rsidR="006779E2" w:rsidRPr="00612A18">
        <w:rPr>
          <w:snapToGrid w:val="0"/>
          <w:lang w:val="fr-CH"/>
        </w:rPr>
        <w:t>examen de la distinction, de l</w:t>
      </w:r>
      <w:r w:rsidR="005728D7">
        <w:rPr>
          <w:snapToGrid w:val="0"/>
          <w:lang w:val="fr-CH"/>
        </w:rPr>
        <w:t>’</w:t>
      </w:r>
      <w:r w:rsidR="006779E2" w:rsidRPr="00612A18">
        <w:rPr>
          <w:snapToGrid w:val="0"/>
          <w:lang w:val="fr-CH"/>
        </w:rPr>
        <w:t>homogénéité et de la stabilité (DHS)” en vue de l</w:t>
      </w:r>
      <w:r w:rsidR="005728D7">
        <w:rPr>
          <w:snapToGrid w:val="0"/>
          <w:lang w:val="fr-CH"/>
        </w:rPr>
        <w:t>’</w:t>
      </w:r>
      <w:r w:rsidR="006779E2" w:rsidRPr="00612A18">
        <w:rPr>
          <w:snapToGrid w:val="0"/>
          <w:lang w:val="fr-CH"/>
        </w:rPr>
        <w:t>inclusion d</w:t>
      </w:r>
      <w:r w:rsidR="005728D7">
        <w:rPr>
          <w:snapToGrid w:val="0"/>
          <w:lang w:val="fr-CH"/>
        </w:rPr>
        <w:t>’</w:t>
      </w:r>
      <w:r w:rsidR="006779E2" w:rsidRPr="00612A18">
        <w:rPr>
          <w:snapToGrid w:val="0"/>
          <w:lang w:val="fr-CH"/>
        </w:rPr>
        <w:t>un nouvel exemple pour le modèle</w:t>
      </w:r>
      <w:r w:rsidR="00612A18">
        <w:rPr>
          <w:snapToGrid w:val="0"/>
          <w:lang w:val="fr-CH"/>
        </w:rPr>
        <w:t> </w:t>
      </w:r>
      <w:r w:rsidR="006779E2" w:rsidRPr="00612A18">
        <w:rPr>
          <w:snapToGrid w:val="0"/>
          <w:lang w:val="fr-CH"/>
        </w:rPr>
        <w:t>1</w:t>
      </w:r>
      <w:r w:rsidR="005E4765">
        <w:rPr>
          <w:snapToGrid w:val="0"/>
          <w:lang w:val="fr-CH"/>
        </w:rPr>
        <w:t> </w:t>
      </w:r>
      <w:r w:rsidR="006779E2" w:rsidRPr="00612A18">
        <w:rPr>
          <w:snapToGrid w:val="0"/>
          <w:lang w:val="fr-CH"/>
        </w:rPr>
        <w:t>“Marqueurs moléculaires propres aux caractères”.</w:t>
      </w:r>
    </w:p>
    <w:p w:rsidR="0034055D" w:rsidRPr="00612A18" w:rsidRDefault="0034055D" w:rsidP="00B41AC5">
      <w:pPr>
        <w:rPr>
          <w:snapToGrid w:val="0"/>
          <w:lang w:val="fr-CH"/>
        </w:rPr>
      </w:pPr>
    </w:p>
    <w:p w:rsidR="0034055D" w:rsidRPr="00612A18" w:rsidRDefault="001077EC" w:rsidP="006779E2">
      <w:pPr>
        <w:rPr>
          <w:lang w:val="fr-CH"/>
        </w:rPr>
      </w:pPr>
      <w:r w:rsidRPr="00612A18">
        <w:rPr>
          <w:snapToGrid w:val="0"/>
          <w:lang w:val="fr-CH"/>
        </w:rPr>
        <w:fldChar w:fldCharType="begin"/>
      </w:r>
      <w:r w:rsidRPr="00612A18">
        <w:rPr>
          <w:snapToGrid w:val="0"/>
          <w:lang w:val="fr-CH"/>
        </w:rPr>
        <w:instrText xml:space="preserve"> AUTONUM  </w:instrText>
      </w:r>
      <w:r w:rsidRPr="00612A18">
        <w:rPr>
          <w:snapToGrid w:val="0"/>
          <w:lang w:val="fr-CH"/>
        </w:rPr>
        <w:fldChar w:fldCharType="end"/>
      </w:r>
      <w:r w:rsidRPr="00612A18">
        <w:rPr>
          <w:snapToGrid w:val="0"/>
          <w:lang w:val="fr-CH"/>
        </w:rPr>
        <w:tab/>
      </w:r>
      <w:r w:rsidR="006779E2" w:rsidRPr="00612A18">
        <w:rPr>
          <w:snapToGrid w:val="0"/>
          <w:lang w:val="fr-CH"/>
        </w:rPr>
        <w:t>Le</w:t>
      </w:r>
      <w:r w:rsidR="005728D7">
        <w:rPr>
          <w:snapToGrid w:val="0"/>
          <w:lang w:val="fr-CH"/>
        </w:rPr>
        <w:t> TC</w:t>
      </w:r>
      <w:r w:rsidR="006779E2" w:rsidRPr="00612A18">
        <w:rPr>
          <w:snapToGrid w:val="0"/>
          <w:lang w:val="fr-CH"/>
        </w:rPr>
        <w:t xml:space="preserve"> est invité à examiner la proposition concernant un nouvel exemple à inclure dans le document TGP/15 afin d</w:t>
      </w:r>
      <w:r w:rsidR="005728D7">
        <w:rPr>
          <w:snapToGrid w:val="0"/>
          <w:lang w:val="fr-CH"/>
        </w:rPr>
        <w:t>’</w:t>
      </w:r>
      <w:r w:rsidR="006779E2" w:rsidRPr="00612A18">
        <w:rPr>
          <w:snapToGrid w:val="0"/>
          <w:lang w:val="fr-CH"/>
        </w:rPr>
        <w:t xml:space="preserve">illustrer le cas où </w:t>
      </w:r>
      <w:r w:rsidR="007E40B7">
        <w:rPr>
          <w:snapToGrid w:val="0"/>
          <w:lang w:val="fr-CH"/>
        </w:rPr>
        <w:t>le</w:t>
      </w:r>
      <w:r w:rsidR="006779E2" w:rsidRPr="00612A18">
        <w:rPr>
          <w:snapToGrid w:val="0"/>
          <w:lang w:val="fr-CH"/>
        </w:rPr>
        <w:t xml:space="preserve"> marqueur </w:t>
      </w:r>
      <w:r w:rsidR="007E40B7">
        <w:rPr>
          <w:snapToGrid w:val="0"/>
          <w:lang w:val="fr-CH"/>
        </w:rPr>
        <w:t xml:space="preserve">propre aux </w:t>
      </w:r>
      <w:r w:rsidR="006779E2" w:rsidRPr="00612A18">
        <w:rPr>
          <w:snapToGrid w:val="0"/>
          <w:lang w:val="fr-CH"/>
        </w:rPr>
        <w:t>caractère</w:t>
      </w:r>
      <w:r w:rsidR="007E40B7">
        <w:rPr>
          <w:snapToGrid w:val="0"/>
          <w:lang w:val="fr-CH"/>
        </w:rPr>
        <w:t>s</w:t>
      </w:r>
      <w:r w:rsidR="006779E2" w:rsidRPr="00612A18">
        <w:rPr>
          <w:snapToGrid w:val="0"/>
          <w:lang w:val="fr-CH"/>
        </w:rPr>
        <w:t xml:space="preserve"> ne fournit pas toutes les informations sur le niveau d</w:t>
      </w:r>
      <w:r w:rsidR="005728D7">
        <w:rPr>
          <w:snapToGrid w:val="0"/>
          <w:lang w:val="fr-CH"/>
        </w:rPr>
        <w:t>’</w:t>
      </w:r>
      <w:r w:rsidR="006779E2" w:rsidRPr="00612A18">
        <w:rPr>
          <w:snapToGrid w:val="0"/>
          <w:lang w:val="fr-CH"/>
        </w:rPr>
        <w:t>expression d</w:t>
      </w:r>
      <w:r w:rsidR="005728D7">
        <w:rPr>
          <w:snapToGrid w:val="0"/>
          <w:lang w:val="fr-CH"/>
        </w:rPr>
        <w:t>’</w:t>
      </w:r>
      <w:r w:rsidR="007E40B7">
        <w:rPr>
          <w:snapToGrid w:val="0"/>
          <w:lang w:val="fr-CH"/>
        </w:rPr>
        <w:t>un</w:t>
      </w:r>
      <w:r w:rsidR="006779E2" w:rsidRPr="00612A18">
        <w:rPr>
          <w:snapToGrid w:val="0"/>
          <w:lang w:val="fr-CH"/>
        </w:rPr>
        <w:t xml:space="preserve"> caractère, comme indiqué </w:t>
      </w:r>
      <w:r w:rsidR="006779E2" w:rsidRPr="00220087">
        <w:rPr>
          <w:snapToGrid w:val="0"/>
          <w:lang w:val="fr-CH"/>
        </w:rPr>
        <w:t>dans l</w:t>
      </w:r>
      <w:r w:rsidR="005728D7" w:rsidRPr="00220087">
        <w:rPr>
          <w:snapToGrid w:val="0"/>
          <w:lang w:val="fr-CH"/>
        </w:rPr>
        <w:t>’</w:t>
      </w:r>
      <w:r w:rsidR="006779E2" w:rsidRPr="00220087">
        <w:rPr>
          <w:snapToGrid w:val="0"/>
          <w:lang w:val="fr-CH"/>
        </w:rPr>
        <w:t>annexe du présent</w:t>
      </w:r>
      <w:r w:rsidR="006779E2" w:rsidRPr="00612A18">
        <w:rPr>
          <w:snapToGrid w:val="0"/>
          <w:lang w:val="fr-CH"/>
        </w:rPr>
        <w:t xml:space="preserve"> document, en tenant compte des observations formulées par</w:t>
      </w:r>
      <w:r w:rsidR="005728D7" w:rsidRPr="00612A18">
        <w:rPr>
          <w:snapToGrid w:val="0"/>
          <w:lang w:val="fr-CH"/>
        </w:rPr>
        <w:t xml:space="preserve"> le</w:t>
      </w:r>
      <w:r w:rsidR="005728D7">
        <w:rPr>
          <w:snapToGrid w:val="0"/>
          <w:lang w:val="fr-CH"/>
        </w:rPr>
        <w:t> </w:t>
      </w:r>
      <w:r w:rsidR="005728D7" w:rsidRPr="00612A18">
        <w:rPr>
          <w:snapToGrid w:val="0"/>
          <w:lang w:val="fr-CH"/>
        </w:rPr>
        <w:t>TWA</w:t>
      </w:r>
      <w:r w:rsidR="006779E2" w:rsidRPr="00612A18">
        <w:rPr>
          <w:snapToGrid w:val="0"/>
          <w:lang w:val="fr-CH"/>
        </w:rPr>
        <w:t>,</w:t>
      </w:r>
      <w:r w:rsidR="005728D7" w:rsidRPr="00612A18">
        <w:rPr>
          <w:snapToGrid w:val="0"/>
          <w:lang w:val="fr-CH"/>
        </w:rPr>
        <w:t xml:space="preserve"> le</w:t>
      </w:r>
      <w:r w:rsidR="005728D7">
        <w:rPr>
          <w:snapToGrid w:val="0"/>
          <w:lang w:val="fr-CH"/>
        </w:rPr>
        <w:t> </w:t>
      </w:r>
      <w:r w:rsidR="005728D7" w:rsidRPr="00612A18">
        <w:rPr>
          <w:snapToGrid w:val="0"/>
          <w:lang w:val="fr-CH"/>
        </w:rPr>
        <w:t>TWC</w:t>
      </w:r>
      <w:r w:rsidR="006779E2" w:rsidRPr="00612A18">
        <w:rPr>
          <w:snapToGrid w:val="0"/>
          <w:lang w:val="fr-CH"/>
        </w:rPr>
        <w:t xml:space="preserve"> et</w:t>
      </w:r>
      <w:r w:rsidR="005728D7" w:rsidRPr="00612A18">
        <w:rPr>
          <w:snapToGrid w:val="0"/>
          <w:lang w:val="fr-CH"/>
        </w:rPr>
        <w:t xml:space="preserve"> le</w:t>
      </w:r>
      <w:r w:rsidR="005728D7">
        <w:rPr>
          <w:snapToGrid w:val="0"/>
          <w:lang w:val="fr-CH"/>
        </w:rPr>
        <w:t> </w:t>
      </w:r>
      <w:r w:rsidR="005728D7" w:rsidRPr="00612A18">
        <w:rPr>
          <w:snapToGrid w:val="0"/>
          <w:lang w:val="fr-CH"/>
        </w:rPr>
        <w:t>BMT</w:t>
      </w:r>
      <w:r w:rsidR="006779E2" w:rsidRPr="00612A18">
        <w:rPr>
          <w:snapToGrid w:val="0"/>
          <w:lang w:val="fr-CH"/>
        </w:rPr>
        <w:t>.</w:t>
      </w:r>
    </w:p>
    <w:p w:rsidR="0034055D" w:rsidRPr="00612A18" w:rsidRDefault="0034055D" w:rsidP="00B41AC5">
      <w:pPr>
        <w:rPr>
          <w:snapToGrid w:val="0"/>
          <w:lang w:val="fr-CH"/>
        </w:rPr>
      </w:pPr>
    </w:p>
    <w:p w:rsidR="0034055D" w:rsidRPr="00612A18" w:rsidRDefault="00B41AC5" w:rsidP="006779E2">
      <w:pPr>
        <w:rPr>
          <w:rFonts w:cs="Arial"/>
          <w:lang w:val="fr-CH"/>
        </w:rPr>
      </w:pPr>
      <w:r w:rsidRPr="00612A18">
        <w:rPr>
          <w:rFonts w:cs="Arial"/>
          <w:lang w:val="fr-CH"/>
        </w:rPr>
        <w:fldChar w:fldCharType="begin"/>
      </w:r>
      <w:r w:rsidRPr="00612A18">
        <w:rPr>
          <w:rFonts w:cs="Arial"/>
          <w:lang w:val="fr-CH"/>
        </w:rPr>
        <w:instrText xml:space="preserve"> AUTONUM  </w:instrText>
      </w:r>
      <w:r w:rsidRPr="00612A18">
        <w:rPr>
          <w:rFonts w:cs="Arial"/>
          <w:lang w:val="fr-CH"/>
        </w:rPr>
        <w:fldChar w:fldCharType="end"/>
      </w:r>
      <w:r w:rsidRPr="00612A18">
        <w:rPr>
          <w:rFonts w:cs="Arial"/>
          <w:lang w:val="fr-CH"/>
        </w:rPr>
        <w:tab/>
      </w:r>
      <w:r w:rsidR="006779E2" w:rsidRPr="00612A18">
        <w:rPr>
          <w:rFonts w:cs="Arial"/>
          <w:lang w:val="fr-CH"/>
        </w:rPr>
        <w:t>Le présent document est structuré comme suit</w:t>
      </w:r>
      <w:r w:rsidR="005728D7">
        <w:rPr>
          <w:rFonts w:cs="Arial"/>
          <w:lang w:val="fr-CH"/>
        </w:rPr>
        <w:t> :</w:t>
      </w:r>
    </w:p>
    <w:p w:rsidR="007E40B7" w:rsidRDefault="00B41AC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612A18">
        <w:rPr>
          <w:rFonts w:cs="Arial"/>
          <w:snapToGrid w:val="0"/>
          <w:lang w:val="fr-CH"/>
        </w:rPr>
        <w:fldChar w:fldCharType="begin"/>
      </w:r>
      <w:r w:rsidRPr="00612A18">
        <w:rPr>
          <w:rFonts w:cs="Arial"/>
          <w:bCs/>
          <w:snapToGrid w:val="0"/>
          <w:lang w:val="fr-CH"/>
        </w:rPr>
        <w:instrText xml:space="preserve"> TOC \o "1-3" \h \z \u </w:instrText>
      </w:r>
      <w:r w:rsidRPr="00612A18">
        <w:rPr>
          <w:rFonts w:cs="Arial"/>
          <w:snapToGrid w:val="0"/>
          <w:lang w:val="fr-CH"/>
        </w:rPr>
        <w:fldChar w:fldCharType="separate"/>
      </w:r>
      <w:hyperlink w:anchor="_Toc18318010" w:history="1">
        <w:r w:rsidR="007E40B7" w:rsidRPr="00061D7F">
          <w:rPr>
            <w:rStyle w:val="Hyperlink"/>
            <w:noProof/>
            <w:snapToGrid w:val="0"/>
            <w:lang w:val="fr-CH"/>
          </w:rPr>
          <w:t>Résumé</w:t>
        </w:r>
        <w:r w:rsidR="007E40B7">
          <w:rPr>
            <w:noProof/>
            <w:webHidden/>
          </w:rPr>
          <w:tab/>
        </w:r>
        <w:r w:rsidR="007E40B7">
          <w:rPr>
            <w:noProof/>
            <w:webHidden/>
          </w:rPr>
          <w:fldChar w:fldCharType="begin"/>
        </w:r>
        <w:r w:rsidR="007E40B7">
          <w:rPr>
            <w:noProof/>
            <w:webHidden/>
          </w:rPr>
          <w:instrText xml:space="preserve"> PAGEREF _Toc18318010 \h </w:instrText>
        </w:r>
        <w:r w:rsidR="007E40B7">
          <w:rPr>
            <w:noProof/>
            <w:webHidden/>
          </w:rPr>
        </w:r>
        <w:r w:rsidR="007E40B7">
          <w:rPr>
            <w:noProof/>
            <w:webHidden/>
          </w:rPr>
          <w:fldChar w:fldCharType="separate"/>
        </w:r>
        <w:r w:rsidR="009F5B61">
          <w:rPr>
            <w:noProof/>
            <w:webHidden/>
          </w:rPr>
          <w:t>1</w:t>
        </w:r>
        <w:r w:rsidR="007E40B7">
          <w:rPr>
            <w:noProof/>
            <w:webHidden/>
          </w:rPr>
          <w:fldChar w:fldCharType="end"/>
        </w:r>
      </w:hyperlink>
    </w:p>
    <w:p w:rsidR="007E40B7" w:rsidRDefault="0022008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8318011" w:history="1">
        <w:r w:rsidR="007E40B7" w:rsidRPr="00061D7F">
          <w:rPr>
            <w:rStyle w:val="Hyperlink"/>
            <w:noProof/>
            <w:lang w:val="fr-CH"/>
          </w:rPr>
          <w:t>Informations générales</w:t>
        </w:r>
        <w:r w:rsidR="007E40B7">
          <w:rPr>
            <w:noProof/>
            <w:webHidden/>
          </w:rPr>
          <w:tab/>
        </w:r>
        <w:r w:rsidR="007E40B7">
          <w:rPr>
            <w:noProof/>
            <w:webHidden/>
          </w:rPr>
          <w:fldChar w:fldCharType="begin"/>
        </w:r>
        <w:r w:rsidR="007E40B7">
          <w:rPr>
            <w:noProof/>
            <w:webHidden/>
          </w:rPr>
          <w:instrText xml:space="preserve"> PAGEREF _Toc18318011 \h </w:instrText>
        </w:r>
        <w:r w:rsidR="007E40B7">
          <w:rPr>
            <w:noProof/>
            <w:webHidden/>
          </w:rPr>
        </w:r>
        <w:r w:rsidR="007E40B7">
          <w:rPr>
            <w:noProof/>
            <w:webHidden/>
          </w:rPr>
          <w:fldChar w:fldCharType="separate"/>
        </w:r>
        <w:r w:rsidR="009F5B61">
          <w:rPr>
            <w:noProof/>
            <w:webHidden/>
          </w:rPr>
          <w:t>1</w:t>
        </w:r>
        <w:r w:rsidR="007E40B7">
          <w:rPr>
            <w:noProof/>
            <w:webHidden/>
          </w:rPr>
          <w:fldChar w:fldCharType="end"/>
        </w:r>
      </w:hyperlink>
    </w:p>
    <w:p w:rsidR="007E40B7" w:rsidRDefault="0022008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8318012" w:history="1">
        <w:r w:rsidR="007E40B7" w:rsidRPr="00061D7F">
          <w:rPr>
            <w:rStyle w:val="Hyperlink"/>
            <w:noProof/>
            <w:lang w:val="fr-CH"/>
          </w:rPr>
          <w:t>Faits nouveaux concernant les groupes de travail techniques</w:t>
        </w:r>
        <w:r w:rsidR="007E40B7">
          <w:rPr>
            <w:noProof/>
            <w:webHidden/>
          </w:rPr>
          <w:tab/>
        </w:r>
        <w:r w:rsidR="007E40B7">
          <w:rPr>
            <w:noProof/>
            <w:webHidden/>
          </w:rPr>
          <w:fldChar w:fldCharType="begin"/>
        </w:r>
        <w:r w:rsidR="007E40B7">
          <w:rPr>
            <w:noProof/>
            <w:webHidden/>
          </w:rPr>
          <w:instrText xml:space="preserve"> PAGEREF _Toc18318012 \h </w:instrText>
        </w:r>
        <w:r w:rsidR="007E40B7">
          <w:rPr>
            <w:noProof/>
            <w:webHidden/>
          </w:rPr>
        </w:r>
        <w:r w:rsidR="007E40B7">
          <w:rPr>
            <w:noProof/>
            <w:webHidden/>
          </w:rPr>
          <w:fldChar w:fldCharType="separate"/>
        </w:r>
        <w:r w:rsidR="009F5B61">
          <w:rPr>
            <w:noProof/>
            <w:webHidden/>
          </w:rPr>
          <w:t>2</w:t>
        </w:r>
        <w:r w:rsidR="007E40B7">
          <w:rPr>
            <w:noProof/>
            <w:webHidden/>
          </w:rPr>
          <w:fldChar w:fldCharType="end"/>
        </w:r>
      </w:hyperlink>
    </w:p>
    <w:p w:rsidR="007E40B7" w:rsidRDefault="00220087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18318013" w:history="1">
        <w:r w:rsidR="007E40B7" w:rsidRPr="00061D7F">
          <w:rPr>
            <w:rStyle w:val="Hyperlink"/>
            <w:noProof/>
            <w:snapToGrid w:val="0"/>
            <w:lang w:val="fr-CH"/>
          </w:rPr>
          <w:t>Proposition</w:t>
        </w:r>
        <w:r w:rsidR="007E40B7">
          <w:rPr>
            <w:noProof/>
            <w:webHidden/>
          </w:rPr>
          <w:tab/>
        </w:r>
        <w:r w:rsidR="007E40B7">
          <w:rPr>
            <w:noProof/>
            <w:webHidden/>
          </w:rPr>
          <w:fldChar w:fldCharType="begin"/>
        </w:r>
        <w:r w:rsidR="007E40B7">
          <w:rPr>
            <w:noProof/>
            <w:webHidden/>
          </w:rPr>
          <w:instrText xml:space="preserve"> PAGEREF _Toc18318013 \h </w:instrText>
        </w:r>
        <w:r w:rsidR="007E40B7">
          <w:rPr>
            <w:noProof/>
            <w:webHidden/>
          </w:rPr>
        </w:r>
        <w:r w:rsidR="007E40B7">
          <w:rPr>
            <w:noProof/>
            <w:webHidden/>
          </w:rPr>
          <w:fldChar w:fldCharType="separate"/>
        </w:r>
        <w:r w:rsidR="009F5B61">
          <w:rPr>
            <w:noProof/>
            <w:webHidden/>
          </w:rPr>
          <w:t>2</w:t>
        </w:r>
        <w:r w:rsidR="007E40B7">
          <w:rPr>
            <w:noProof/>
            <w:webHidden/>
          </w:rPr>
          <w:fldChar w:fldCharType="end"/>
        </w:r>
      </w:hyperlink>
    </w:p>
    <w:p w:rsidR="0034055D" w:rsidRPr="00612A18" w:rsidRDefault="00B41AC5" w:rsidP="00B41AC5">
      <w:pPr>
        <w:rPr>
          <w:snapToGrid w:val="0"/>
          <w:sz w:val="18"/>
          <w:szCs w:val="18"/>
          <w:lang w:val="fr-CH"/>
        </w:rPr>
      </w:pPr>
      <w:r w:rsidRPr="00612A18">
        <w:rPr>
          <w:rFonts w:cs="Arial"/>
          <w:bCs/>
          <w:snapToGrid w:val="0"/>
          <w:sz w:val="18"/>
          <w:lang w:val="fr-CH"/>
        </w:rPr>
        <w:fldChar w:fldCharType="end"/>
      </w:r>
      <w:r w:rsidR="006779E2" w:rsidRPr="00612A18">
        <w:rPr>
          <w:rFonts w:cs="Arial"/>
          <w:bCs/>
          <w:snapToGrid w:val="0"/>
          <w:sz w:val="18"/>
          <w:lang w:val="fr-CH"/>
        </w:rPr>
        <w:t>ANNEXE</w:t>
      </w:r>
      <w:r w:rsidR="006779E2" w:rsidRPr="00612A18">
        <w:rPr>
          <w:rFonts w:cs="Arial"/>
          <w:bCs/>
          <w:snapToGrid w:val="0"/>
          <w:sz w:val="18"/>
          <w:lang w:val="fr-CH"/>
        </w:rPr>
        <w:tab/>
      </w:r>
      <w:r w:rsidR="006779E2" w:rsidRPr="000F711F">
        <w:rPr>
          <w:rFonts w:cs="Arial"/>
          <w:bCs/>
          <w:snapToGrid w:val="0"/>
          <w:lang w:val="fr-CH"/>
        </w:rPr>
        <w:t xml:space="preserve">Marqueur de </w:t>
      </w:r>
      <w:proofErr w:type="spellStart"/>
      <w:r w:rsidR="006779E2" w:rsidRPr="000F711F">
        <w:rPr>
          <w:rFonts w:cs="Arial"/>
          <w:bCs/>
          <w:snapToGrid w:val="0"/>
          <w:lang w:val="fr-CH"/>
        </w:rPr>
        <w:t>gène</w:t>
      </w:r>
      <w:proofErr w:type="spellEnd"/>
      <w:r w:rsidR="006779E2" w:rsidRPr="000F711F">
        <w:rPr>
          <w:rFonts w:cs="Arial"/>
          <w:bCs/>
          <w:snapToGrid w:val="0"/>
          <w:lang w:val="fr-CH"/>
        </w:rPr>
        <w:t xml:space="preserve"> concernant la résistance à la maladie de la tomate</w:t>
      </w:r>
    </w:p>
    <w:p w:rsidR="0034055D" w:rsidRPr="00612A18" w:rsidRDefault="0034055D" w:rsidP="00B41AC5">
      <w:pPr>
        <w:jc w:val="left"/>
        <w:rPr>
          <w:snapToGrid w:val="0"/>
          <w:sz w:val="18"/>
          <w:szCs w:val="18"/>
          <w:lang w:val="fr-CH"/>
        </w:rPr>
      </w:pPr>
    </w:p>
    <w:bookmarkStart w:id="3" w:name="_Toc352678045"/>
    <w:bookmarkStart w:id="4" w:name="_Toc353797725"/>
    <w:bookmarkStart w:id="5" w:name="_Toc386185970"/>
    <w:bookmarkStart w:id="6" w:name="_Toc419124858"/>
    <w:bookmarkStart w:id="7" w:name="_Toc386185971"/>
    <w:bookmarkStart w:id="8" w:name="_Toc419124859"/>
    <w:p w:rsidR="0034055D" w:rsidRPr="00612A18" w:rsidRDefault="00B41AC5" w:rsidP="00C72254">
      <w:pPr>
        <w:keepNext/>
        <w:rPr>
          <w:lang w:val="fr-CH"/>
        </w:rPr>
      </w:pPr>
      <w:r w:rsidRPr="00612A18">
        <w:rPr>
          <w:lang w:val="fr-CH"/>
        </w:rPr>
        <w:fldChar w:fldCharType="begin"/>
      </w:r>
      <w:r w:rsidRPr="00612A18">
        <w:rPr>
          <w:lang w:val="fr-CH"/>
        </w:rPr>
        <w:instrText xml:space="preserve"> AUTONUM  </w:instrText>
      </w:r>
      <w:r w:rsidRPr="00612A18">
        <w:rPr>
          <w:lang w:val="fr-CH"/>
        </w:rPr>
        <w:fldChar w:fldCharType="end"/>
      </w:r>
      <w:r w:rsidRPr="00612A18">
        <w:rPr>
          <w:lang w:val="fr-CH"/>
        </w:rPr>
        <w:tab/>
      </w:r>
      <w:r w:rsidR="00C72254" w:rsidRPr="00612A18">
        <w:rPr>
          <w:lang w:val="fr-CH"/>
        </w:rPr>
        <w:t>Les abréviations suivantes sont utilisées dans le présent document</w:t>
      </w:r>
      <w:r w:rsidR="005728D7">
        <w:rPr>
          <w:lang w:val="fr-CH"/>
        </w:rPr>
        <w:t> :</w:t>
      </w:r>
    </w:p>
    <w:bookmarkEnd w:id="3"/>
    <w:bookmarkEnd w:id="4"/>
    <w:bookmarkEnd w:id="5"/>
    <w:bookmarkEnd w:id="6"/>
    <w:bookmarkEnd w:id="7"/>
    <w:bookmarkEnd w:id="8"/>
    <w:p w:rsidR="0034055D" w:rsidRPr="00612A18" w:rsidRDefault="0034055D" w:rsidP="00EE1141">
      <w:pPr>
        <w:rPr>
          <w:lang w:val="fr-CH"/>
        </w:rPr>
      </w:pPr>
    </w:p>
    <w:p w:rsidR="005728D7" w:rsidRDefault="00C72254" w:rsidP="00C72254">
      <w:pPr>
        <w:tabs>
          <w:tab w:val="left" w:pos="567"/>
        </w:tabs>
        <w:ind w:left="1701" w:hanging="1134"/>
        <w:rPr>
          <w:lang w:val="fr-CH"/>
        </w:rPr>
      </w:pPr>
      <w:r w:rsidRPr="00612A18">
        <w:rPr>
          <w:lang w:val="fr-CH"/>
        </w:rPr>
        <w:t>BMT</w:t>
      </w:r>
      <w:r w:rsidR="005728D7">
        <w:rPr>
          <w:lang w:val="fr-CH"/>
        </w:rPr>
        <w:t> :</w:t>
      </w:r>
      <w:r w:rsidRPr="00612A18">
        <w:rPr>
          <w:lang w:val="fr-CH"/>
        </w:rPr>
        <w:t xml:space="preserve"> </w:t>
      </w:r>
      <w:r w:rsidRPr="00612A18">
        <w:rPr>
          <w:lang w:val="fr-CH"/>
        </w:rPr>
        <w:tab/>
        <w:t>Groupe de travail sur les techniques biochimiques et moléculaires, notamment les profils d</w:t>
      </w:r>
      <w:r w:rsidR="005728D7">
        <w:rPr>
          <w:lang w:val="fr-CH"/>
        </w:rPr>
        <w:t>’</w:t>
      </w:r>
      <w:r w:rsidRPr="00612A18">
        <w:rPr>
          <w:lang w:val="fr-CH"/>
        </w:rPr>
        <w:t>ADN</w:t>
      </w:r>
    </w:p>
    <w:p w:rsidR="0034055D" w:rsidRPr="00612A18" w:rsidRDefault="00C72254" w:rsidP="00C72254">
      <w:pPr>
        <w:tabs>
          <w:tab w:val="left" w:pos="567"/>
        </w:tabs>
        <w:ind w:left="1701" w:hanging="1134"/>
        <w:rPr>
          <w:lang w:val="fr-CH"/>
        </w:rPr>
      </w:pPr>
      <w:r w:rsidRPr="00612A18">
        <w:rPr>
          <w:lang w:val="fr-CH"/>
        </w:rPr>
        <w:t>TC</w:t>
      </w:r>
      <w:r w:rsidR="005728D7">
        <w:rPr>
          <w:lang w:val="fr-CH"/>
        </w:rPr>
        <w:t> :</w:t>
      </w:r>
      <w:r w:rsidR="00395F1C">
        <w:rPr>
          <w:lang w:val="fr-CH"/>
        </w:rPr>
        <w:t xml:space="preserve"> </w:t>
      </w:r>
      <w:r w:rsidRPr="00612A18">
        <w:rPr>
          <w:lang w:val="fr-CH"/>
        </w:rPr>
        <w:tab/>
        <w:t>Comité technique</w:t>
      </w:r>
    </w:p>
    <w:p w:rsidR="0034055D" w:rsidRPr="00612A18" w:rsidRDefault="00C72254" w:rsidP="00C72254">
      <w:pPr>
        <w:ind w:left="1701" w:hanging="1134"/>
        <w:rPr>
          <w:rFonts w:eastAsia="PMingLiU" w:cs="Arial"/>
          <w:lang w:val="fr-CH"/>
        </w:rPr>
      </w:pPr>
      <w:r w:rsidRPr="00612A18">
        <w:rPr>
          <w:rFonts w:eastAsia="PMingLiU" w:cs="Arial"/>
          <w:lang w:val="fr-CH"/>
        </w:rPr>
        <w:t>TWA</w:t>
      </w:r>
      <w:r w:rsidR="005728D7">
        <w:rPr>
          <w:rFonts w:eastAsia="PMingLiU" w:cs="Arial"/>
          <w:lang w:val="fr-CH"/>
        </w:rPr>
        <w:t> :</w:t>
      </w:r>
      <w:r w:rsidR="00395F1C">
        <w:rPr>
          <w:rFonts w:eastAsia="PMingLiU" w:cs="Arial"/>
          <w:lang w:val="fr-CH"/>
        </w:rPr>
        <w:t xml:space="preserve"> </w:t>
      </w:r>
      <w:r w:rsidRPr="00612A18">
        <w:rPr>
          <w:rFonts w:eastAsia="PMingLiU" w:cs="Arial"/>
          <w:lang w:val="fr-CH"/>
        </w:rPr>
        <w:tab/>
        <w:t>Groupe de travail technique sur les plantes agricoles</w:t>
      </w:r>
    </w:p>
    <w:p w:rsidR="0034055D" w:rsidRPr="00612A18" w:rsidRDefault="00C72254" w:rsidP="00C72254">
      <w:pPr>
        <w:ind w:left="1701" w:hanging="1134"/>
        <w:rPr>
          <w:rFonts w:eastAsia="PMingLiU" w:cs="Arial"/>
          <w:lang w:val="fr-CH"/>
        </w:rPr>
      </w:pPr>
      <w:r w:rsidRPr="00612A18">
        <w:rPr>
          <w:rFonts w:eastAsia="PMingLiU" w:cs="Arial"/>
          <w:lang w:val="fr-CH"/>
        </w:rPr>
        <w:t>TWC</w:t>
      </w:r>
      <w:r w:rsidR="005728D7">
        <w:rPr>
          <w:rFonts w:eastAsia="PMingLiU" w:cs="Arial"/>
          <w:lang w:val="fr-CH"/>
        </w:rPr>
        <w:t> :</w:t>
      </w:r>
      <w:r w:rsidR="00395F1C">
        <w:rPr>
          <w:rFonts w:eastAsia="PMingLiU" w:cs="Arial"/>
          <w:lang w:val="fr-CH"/>
        </w:rPr>
        <w:t xml:space="preserve"> </w:t>
      </w:r>
      <w:r w:rsidRPr="00612A18">
        <w:rPr>
          <w:rFonts w:eastAsia="PMingLiU" w:cs="Arial"/>
          <w:lang w:val="fr-CH"/>
        </w:rPr>
        <w:tab/>
        <w:t>Groupe de travail technique sur les systèmes d</w:t>
      </w:r>
      <w:r w:rsidR="005728D7">
        <w:rPr>
          <w:rFonts w:eastAsia="PMingLiU" w:cs="Arial"/>
          <w:lang w:val="fr-CH"/>
        </w:rPr>
        <w:t>’</w:t>
      </w:r>
      <w:r w:rsidRPr="00612A18">
        <w:rPr>
          <w:rFonts w:eastAsia="PMingLiU" w:cs="Arial"/>
          <w:lang w:val="fr-CH"/>
        </w:rPr>
        <w:t>automatisation et les programmes d</w:t>
      </w:r>
      <w:r w:rsidR="005728D7">
        <w:rPr>
          <w:rFonts w:eastAsia="PMingLiU" w:cs="Arial"/>
          <w:lang w:val="fr-CH"/>
        </w:rPr>
        <w:t>’</w:t>
      </w:r>
      <w:r w:rsidRPr="00612A18">
        <w:rPr>
          <w:rFonts w:eastAsia="PMingLiU" w:cs="Arial"/>
          <w:lang w:val="fr-CH"/>
        </w:rPr>
        <w:t>ordinateur</w:t>
      </w:r>
    </w:p>
    <w:p w:rsidR="0034055D" w:rsidRPr="00612A18" w:rsidRDefault="00C72254" w:rsidP="00C72254">
      <w:pPr>
        <w:ind w:left="1701" w:hanging="1134"/>
        <w:rPr>
          <w:rFonts w:eastAsia="PMingLiU" w:cs="Arial"/>
          <w:lang w:val="fr-CH"/>
        </w:rPr>
      </w:pPr>
      <w:r w:rsidRPr="00612A18">
        <w:rPr>
          <w:rFonts w:eastAsia="PMingLiU" w:cs="Arial"/>
          <w:lang w:val="fr-CH"/>
        </w:rPr>
        <w:t>TWF</w:t>
      </w:r>
      <w:r w:rsidR="005728D7">
        <w:rPr>
          <w:rFonts w:eastAsia="PMingLiU" w:cs="Arial"/>
          <w:lang w:val="fr-CH"/>
        </w:rPr>
        <w:t> :</w:t>
      </w:r>
      <w:r w:rsidR="00395F1C">
        <w:rPr>
          <w:rFonts w:eastAsia="PMingLiU" w:cs="Arial"/>
          <w:lang w:val="fr-CH"/>
        </w:rPr>
        <w:t xml:space="preserve"> </w:t>
      </w:r>
      <w:r w:rsidRPr="00612A18">
        <w:rPr>
          <w:rFonts w:eastAsia="PMingLiU" w:cs="Arial"/>
          <w:lang w:val="fr-CH"/>
        </w:rPr>
        <w:tab/>
        <w:t>Groupe de travail technique sur les plantes fruitières</w:t>
      </w:r>
    </w:p>
    <w:p w:rsidR="0034055D" w:rsidRPr="00612A18" w:rsidRDefault="00C72254" w:rsidP="00C72254">
      <w:pPr>
        <w:ind w:left="1701" w:hanging="1134"/>
        <w:rPr>
          <w:rFonts w:eastAsia="PMingLiU" w:cs="Arial"/>
          <w:lang w:val="fr-CH"/>
        </w:rPr>
      </w:pPr>
      <w:r w:rsidRPr="00612A18">
        <w:rPr>
          <w:rFonts w:eastAsia="PMingLiU" w:cs="Arial"/>
          <w:lang w:val="fr-CH"/>
        </w:rPr>
        <w:t>TWO</w:t>
      </w:r>
      <w:r w:rsidR="005728D7">
        <w:rPr>
          <w:rFonts w:eastAsia="PMingLiU" w:cs="Arial"/>
          <w:lang w:val="fr-CH"/>
        </w:rPr>
        <w:t> :</w:t>
      </w:r>
      <w:r w:rsidR="00395F1C">
        <w:rPr>
          <w:rFonts w:eastAsia="PMingLiU" w:cs="Arial"/>
          <w:lang w:val="fr-CH"/>
        </w:rPr>
        <w:t xml:space="preserve"> </w:t>
      </w:r>
      <w:r w:rsidRPr="00612A18">
        <w:rPr>
          <w:rFonts w:eastAsia="PMingLiU" w:cs="Arial"/>
          <w:lang w:val="fr-CH"/>
        </w:rPr>
        <w:tab/>
        <w:t>Groupe de travail technique sur les plantes ornementales et les arbres forestiers</w:t>
      </w:r>
    </w:p>
    <w:p w:rsidR="0034055D" w:rsidRPr="00612A18" w:rsidRDefault="00C72254" w:rsidP="00C72254">
      <w:pPr>
        <w:ind w:left="1701" w:hanging="1134"/>
        <w:rPr>
          <w:rFonts w:eastAsia="PMingLiU" w:cs="Arial"/>
          <w:lang w:val="fr-CH"/>
        </w:rPr>
      </w:pPr>
      <w:r w:rsidRPr="00612A18">
        <w:rPr>
          <w:rFonts w:eastAsia="PMingLiU" w:cs="Arial"/>
          <w:lang w:val="fr-CH"/>
        </w:rPr>
        <w:t>TWP</w:t>
      </w:r>
      <w:r w:rsidR="005728D7">
        <w:rPr>
          <w:rFonts w:eastAsia="PMingLiU" w:cs="Arial"/>
          <w:lang w:val="fr-CH"/>
        </w:rPr>
        <w:t> :</w:t>
      </w:r>
      <w:r w:rsidR="00395F1C">
        <w:rPr>
          <w:rFonts w:eastAsia="PMingLiU" w:cs="Arial"/>
          <w:lang w:val="fr-CH"/>
        </w:rPr>
        <w:t xml:space="preserve"> </w:t>
      </w:r>
      <w:r w:rsidRPr="00612A18">
        <w:rPr>
          <w:rFonts w:eastAsia="PMingLiU" w:cs="Arial"/>
          <w:lang w:val="fr-CH"/>
        </w:rPr>
        <w:tab/>
        <w:t>Groupe(s) de travail technique(s)</w:t>
      </w:r>
    </w:p>
    <w:p w:rsidR="0034055D" w:rsidRPr="00612A18" w:rsidRDefault="00C72254" w:rsidP="00C72254">
      <w:pPr>
        <w:ind w:left="1701" w:hanging="1134"/>
        <w:rPr>
          <w:rFonts w:eastAsia="PMingLiU" w:cs="Arial"/>
          <w:lang w:val="fr-CH"/>
        </w:rPr>
      </w:pPr>
      <w:r w:rsidRPr="00612A18">
        <w:rPr>
          <w:rFonts w:eastAsia="PMingLiU" w:cs="Arial"/>
          <w:lang w:val="fr-CH"/>
        </w:rPr>
        <w:t>TWV</w:t>
      </w:r>
      <w:r w:rsidR="005728D7">
        <w:rPr>
          <w:rFonts w:eastAsia="PMingLiU" w:cs="Arial"/>
          <w:lang w:val="fr-CH"/>
        </w:rPr>
        <w:t> :</w:t>
      </w:r>
      <w:r w:rsidR="00395F1C">
        <w:rPr>
          <w:rFonts w:eastAsia="PMingLiU" w:cs="Arial"/>
          <w:lang w:val="fr-CH"/>
        </w:rPr>
        <w:t xml:space="preserve"> </w:t>
      </w:r>
      <w:r w:rsidRPr="00612A18">
        <w:rPr>
          <w:rFonts w:eastAsia="PMingLiU" w:cs="Arial"/>
          <w:lang w:val="fr-CH"/>
        </w:rPr>
        <w:tab/>
        <w:t>Groupe de travail technique sur les plantes potagères</w:t>
      </w:r>
    </w:p>
    <w:p w:rsidR="0034055D" w:rsidRPr="00612A18" w:rsidRDefault="0034055D" w:rsidP="00B41AC5">
      <w:pPr>
        <w:rPr>
          <w:rFonts w:cs="Arial"/>
          <w:lang w:val="fr-CH"/>
        </w:rPr>
      </w:pPr>
    </w:p>
    <w:p w:rsidR="0034055D" w:rsidRPr="00612A18" w:rsidRDefault="0034055D" w:rsidP="00B41AC5">
      <w:pPr>
        <w:rPr>
          <w:rFonts w:cs="Arial"/>
          <w:lang w:val="fr-CH"/>
        </w:rPr>
      </w:pPr>
    </w:p>
    <w:p w:rsidR="0034055D" w:rsidRPr="00612A18" w:rsidRDefault="006312D6" w:rsidP="006312D6">
      <w:pPr>
        <w:keepNext/>
        <w:outlineLvl w:val="0"/>
        <w:rPr>
          <w:caps/>
          <w:lang w:val="fr-CH"/>
        </w:rPr>
      </w:pPr>
      <w:bookmarkStart w:id="9" w:name="_Toc18318011"/>
      <w:r w:rsidRPr="00612A18">
        <w:rPr>
          <w:caps/>
          <w:lang w:val="fr-CH"/>
        </w:rPr>
        <w:t>Informations générales</w:t>
      </w:r>
      <w:bookmarkEnd w:id="9"/>
    </w:p>
    <w:p w:rsidR="0034055D" w:rsidRPr="00612A18" w:rsidRDefault="0034055D" w:rsidP="00B41AC5">
      <w:pPr>
        <w:rPr>
          <w:rFonts w:cs="Arial"/>
          <w:lang w:val="fr-CH"/>
        </w:rPr>
      </w:pPr>
    </w:p>
    <w:p w:rsidR="0034055D" w:rsidRPr="00612A18" w:rsidRDefault="00B41AC5" w:rsidP="006312D6">
      <w:pPr>
        <w:rPr>
          <w:lang w:val="fr-CH"/>
        </w:rPr>
      </w:pPr>
      <w:r w:rsidRPr="00612A18">
        <w:rPr>
          <w:lang w:val="fr-CH"/>
        </w:rPr>
        <w:fldChar w:fldCharType="begin"/>
      </w:r>
      <w:r w:rsidRPr="00612A18">
        <w:rPr>
          <w:lang w:val="fr-CH"/>
        </w:rPr>
        <w:instrText xml:space="preserve"> AUTONUM  </w:instrText>
      </w:r>
      <w:r w:rsidRPr="00612A18">
        <w:rPr>
          <w:lang w:val="fr-CH"/>
        </w:rPr>
        <w:fldChar w:fldCharType="end"/>
      </w:r>
      <w:r w:rsidRPr="00612A18">
        <w:rPr>
          <w:lang w:val="fr-CH"/>
        </w:rPr>
        <w:tab/>
      </w:r>
      <w:r w:rsidR="006312D6" w:rsidRPr="00612A18">
        <w:rPr>
          <w:lang w:val="fr-CH"/>
        </w:rPr>
        <w:t>À sa cinquante</w:t>
      </w:r>
      <w:r w:rsidR="005728D7">
        <w:rPr>
          <w:lang w:val="fr-CH"/>
        </w:rPr>
        <w:t>-</w:t>
      </w:r>
      <w:r w:rsidR="006312D6" w:rsidRPr="00612A18">
        <w:rPr>
          <w:lang w:val="fr-CH"/>
        </w:rPr>
        <w:t>quatr</w:t>
      </w:r>
      <w:r w:rsidR="005728D7">
        <w:rPr>
          <w:lang w:val="fr-CH"/>
        </w:rPr>
        <w:t>ième session</w:t>
      </w:r>
      <w:r w:rsidR="006312D6" w:rsidRPr="00612A18">
        <w:rPr>
          <w:lang w:val="fr-CH"/>
        </w:rPr>
        <w:t xml:space="preserve"> tenue à Genève les 29 et 30</w:t>
      </w:r>
      <w:r w:rsidR="00612A18">
        <w:rPr>
          <w:lang w:val="fr-CH"/>
        </w:rPr>
        <w:t> </w:t>
      </w:r>
      <w:r w:rsidR="006312D6" w:rsidRPr="00612A18">
        <w:rPr>
          <w:lang w:val="fr-CH"/>
        </w:rPr>
        <w:t>octobre</w:t>
      </w:r>
      <w:r w:rsidR="00612A18">
        <w:rPr>
          <w:lang w:val="fr-CH"/>
        </w:rPr>
        <w:t> </w:t>
      </w:r>
      <w:r w:rsidR="006312D6" w:rsidRPr="00612A18">
        <w:rPr>
          <w:lang w:val="fr-CH"/>
        </w:rPr>
        <w:t>2018, le Comité technique (TC) a noté que</w:t>
      </w:r>
      <w:r w:rsidR="005728D7" w:rsidRPr="00612A18">
        <w:rPr>
          <w:lang w:val="fr-CH"/>
        </w:rPr>
        <w:t xml:space="preserve"> le</w:t>
      </w:r>
      <w:r w:rsidR="005728D7">
        <w:rPr>
          <w:lang w:val="fr-CH"/>
        </w:rPr>
        <w:t> </w:t>
      </w:r>
      <w:r w:rsidR="005728D7" w:rsidRPr="00612A18">
        <w:rPr>
          <w:lang w:val="fr-CH"/>
        </w:rPr>
        <w:t>BMT</w:t>
      </w:r>
      <w:r w:rsidR="006312D6" w:rsidRPr="00612A18">
        <w:rPr>
          <w:lang w:val="fr-CH"/>
        </w:rPr>
        <w:t>, à sa dix</w:t>
      </w:r>
      <w:r w:rsidR="005728D7">
        <w:rPr>
          <w:lang w:val="fr-CH"/>
        </w:rPr>
        <w:t>-</w:t>
      </w:r>
      <w:r w:rsidR="006312D6" w:rsidRPr="00612A18">
        <w:rPr>
          <w:lang w:val="fr-CH"/>
        </w:rPr>
        <w:t>sept</w:t>
      </w:r>
      <w:r w:rsidR="005728D7">
        <w:rPr>
          <w:lang w:val="fr-CH"/>
        </w:rPr>
        <w:t>ième session</w:t>
      </w:r>
      <w:r w:rsidR="006312D6" w:rsidRPr="00612A18">
        <w:rPr>
          <w:lang w:val="fr-CH"/>
        </w:rPr>
        <w:t>, a</w:t>
      </w:r>
      <w:r w:rsidR="007E40B7">
        <w:rPr>
          <w:lang w:val="fr-CH"/>
        </w:rPr>
        <w:t>vait examiné le document</w:t>
      </w:r>
      <w:r w:rsidR="006312D6" w:rsidRPr="00612A18">
        <w:rPr>
          <w:lang w:val="fr-CH"/>
        </w:rPr>
        <w:t xml:space="preserve"> BMT/17/21 </w:t>
      </w:r>
      <w:r w:rsidR="006312D6" w:rsidRPr="00220087">
        <w:rPr>
          <w:i/>
          <w:lang w:val="fr-CH"/>
        </w:rPr>
        <w:t xml:space="preserve">“Do </w:t>
      </w:r>
      <w:proofErr w:type="spellStart"/>
      <w:r w:rsidR="006312D6" w:rsidRPr="00220087">
        <w:rPr>
          <w:i/>
          <w:lang w:val="fr-CH"/>
        </w:rPr>
        <w:t>resistance</w:t>
      </w:r>
      <w:proofErr w:type="spellEnd"/>
      <w:r w:rsidR="006312D6" w:rsidRPr="00220087">
        <w:rPr>
          <w:i/>
          <w:lang w:val="fr-CH"/>
        </w:rPr>
        <w:t xml:space="preserve"> markers for </w:t>
      </w:r>
      <w:proofErr w:type="spellStart"/>
      <w:r w:rsidR="006312D6" w:rsidRPr="00220087">
        <w:rPr>
          <w:i/>
          <w:lang w:val="fr-CH"/>
        </w:rPr>
        <w:t>tomato</w:t>
      </w:r>
      <w:proofErr w:type="spellEnd"/>
      <w:r w:rsidR="006312D6" w:rsidRPr="00220087">
        <w:rPr>
          <w:i/>
          <w:lang w:val="fr-CH"/>
        </w:rPr>
        <w:t xml:space="preserve"> </w:t>
      </w:r>
      <w:proofErr w:type="spellStart"/>
      <w:r w:rsidR="006312D6" w:rsidRPr="00220087">
        <w:rPr>
          <w:i/>
          <w:lang w:val="fr-CH"/>
        </w:rPr>
        <w:t>fulfil</w:t>
      </w:r>
      <w:proofErr w:type="spellEnd"/>
      <w:r w:rsidR="006312D6" w:rsidRPr="00220087">
        <w:rPr>
          <w:i/>
          <w:lang w:val="fr-CH"/>
        </w:rPr>
        <w:t xml:space="preserve"> t</w:t>
      </w:r>
      <w:r w:rsidR="000F711F" w:rsidRPr="00220087">
        <w:rPr>
          <w:i/>
          <w:lang w:val="fr-CH"/>
        </w:rPr>
        <w:t xml:space="preserve">he </w:t>
      </w:r>
      <w:proofErr w:type="spellStart"/>
      <w:r w:rsidR="000F711F" w:rsidRPr="00220087">
        <w:rPr>
          <w:i/>
          <w:lang w:val="fr-CH"/>
        </w:rPr>
        <w:t>requirements</w:t>
      </w:r>
      <w:proofErr w:type="spellEnd"/>
      <w:r w:rsidR="000F711F" w:rsidRPr="00220087">
        <w:rPr>
          <w:i/>
          <w:lang w:val="fr-CH"/>
        </w:rPr>
        <w:t xml:space="preserve"> of TGP/15”</w:t>
      </w:r>
      <w:r w:rsidR="000F711F">
        <w:rPr>
          <w:lang w:val="fr-CH"/>
        </w:rPr>
        <w:t xml:space="preserve"> et </w:t>
      </w:r>
      <w:r w:rsidR="006312D6" w:rsidRPr="00612A18">
        <w:rPr>
          <w:lang w:val="fr-CH"/>
        </w:rPr>
        <w:t>suivi un exposé présenté par Mme</w:t>
      </w:r>
      <w:r w:rsidR="00612A18">
        <w:rPr>
          <w:lang w:val="fr-CH"/>
        </w:rPr>
        <w:t> </w:t>
      </w:r>
      <w:r w:rsidR="00220087">
        <w:rPr>
          <w:lang w:val="fr-CH"/>
        </w:rPr>
        <w:t>Amanda van </w:t>
      </w:r>
      <w:r w:rsidR="006312D6" w:rsidRPr="00612A18">
        <w:rPr>
          <w:lang w:val="fr-CH"/>
        </w:rPr>
        <w:t>Dijk</w:t>
      </w:r>
      <w:r w:rsidR="00220087">
        <w:rPr>
          <w:lang w:val="fr-CH"/>
        </w:rPr>
        <w:noBreakHyphen/>
      </w:r>
      <w:proofErr w:type="spellStart"/>
      <w:r w:rsidR="006312D6" w:rsidRPr="00612A18">
        <w:rPr>
          <w:lang w:val="fr-CH"/>
        </w:rPr>
        <w:t>Veldhuizen</w:t>
      </w:r>
      <w:proofErr w:type="spellEnd"/>
      <w:r w:rsidR="006312D6" w:rsidRPr="00612A18">
        <w:rPr>
          <w:lang w:val="fr-CH"/>
        </w:rPr>
        <w:t xml:space="preserve"> (Pays</w:t>
      </w:r>
      <w:r w:rsidR="005728D7">
        <w:rPr>
          <w:lang w:val="fr-CH"/>
        </w:rPr>
        <w:t>-</w:t>
      </w:r>
      <w:r w:rsidR="006312D6" w:rsidRPr="00612A18">
        <w:rPr>
          <w:lang w:val="fr-CH"/>
        </w:rPr>
        <w:t>B</w:t>
      </w:r>
      <w:r w:rsidR="005D3E9B" w:rsidRPr="00612A18">
        <w:rPr>
          <w:lang w:val="fr-CH"/>
        </w:rPr>
        <w:t>as)</w:t>
      </w:r>
      <w:r w:rsidR="005D3E9B">
        <w:rPr>
          <w:lang w:val="fr-CH"/>
        </w:rPr>
        <w:t xml:space="preserve">.  </w:t>
      </w:r>
      <w:r w:rsidR="005D3E9B" w:rsidRPr="00612A18">
        <w:rPr>
          <w:iCs/>
          <w:lang w:val="fr-CH"/>
        </w:rPr>
        <w:t>Le</w:t>
      </w:r>
      <w:r w:rsidR="006312D6" w:rsidRPr="00612A18">
        <w:rPr>
          <w:iCs/>
          <w:lang w:val="fr-CH"/>
        </w:rPr>
        <w:t xml:space="preserve"> texte de l</w:t>
      </w:r>
      <w:r w:rsidR="005728D7">
        <w:rPr>
          <w:iCs/>
          <w:lang w:val="fr-CH"/>
        </w:rPr>
        <w:t>’</w:t>
      </w:r>
      <w:r w:rsidR="006312D6" w:rsidRPr="00612A18">
        <w:rPr>
          <w:iCs/>
          <w:lang w:val="fr-CH"/>
        </w:rPr>
        <w:t xml:space="preserve">exposé est reproduit dans le </w:t>
      </w:r>
      <w:r w:rsidR="005728D7" w:rsidRPr="00612A18">
        <w:rPr>
          <w:iCs/>
          <w:lang w:val="fr-CH"/>
        </w:rPr>
        <w:t>document</w:t>
      </w:r>
      <w:r w:rsidR="005E4765">
        <w:rPr>
          <w:iCs/>
          <w:lang w:val="fr-CH"/>
        </w:rPr>
        <w:t> </w:t>
      </w:r>
      <w:r w:rsidR="005728D7" w:rsidRPr="00612A18">
        <w:rPr>
          <w:iCs/>
          <w:lang w:val="fr-CH"/>
        </w:rPr>
        <w:t>BM</w:t>
      </w:r>
      <w:r w:rsidR="006312D6" w:rsidRPr="00612A18">
        <w:rPr>
          <w:iCs/>
          <w:lang w:val="fr-CH"/>
        </w:rPr>
        <w:t>T/17/21 </w:t>
      </w:r>
      <w:proofErr w:type="spellStart"/>
      <w:r w:rsidR="006312D6" w:rsidRPr="00612A18">
        <w:rPr>
          <w:iCs/>
          <w:lang w:val="fr-CH"/>
        </w:rPr>
        <w:t>Add</w:t>
      </w:r>
      <w:proofErr w:type="spellEnd"/>
      <w:r w:rsidR="006312D6" w:rsidRPr="00612A18">
        <w:rPr>
          <w:iCs/>
          <w:lang w:val="fr-CH"/>
        </w:rPr>
        <w:t>.</w:t>
      </w:r>
      <w:r w:rsidR="00C97512" w:rsidRPr="00612A18">
        <w:rPr>
          <w:lang w:val="fr-CH"/>
        </w:rPr>
        <w:t xml:space="preserve"> </w:t>
      </w:r>
      <w:r w:rsidR="00612A18">
        <w:rPr>
          <w:lang w:val="fr-CH"/>
        </w:rPr>
        <w:t>(</w:t>
      </w:r>
      <w:proofErr w:type="gramStart"/>
      <w:r w:rsidR="006312D6" w:rsidRPr="00612A18">
        <w:rPr>
          <w:lang w:val="fr-CH"/>
        </w:rPr>
        <w:t>voir</w:t>
      </w:r>
      <w:proofErr w:type="gramEnd"/>
      <w:r w:rsidR="006312D6" w:rsidRPr="00612A18">
        <w:rPr>
          <w:lang w:val="fr-CH"/>
        </w:rPr>
        <w:t xml:space="preserve"> les paragraphes</w:t>
      </w:r>
      <w:r w:rsidR="00612A18">
        <w:rPr>
          <w:lang w:val="fr-CH"/>
        </w:rPr>
        <w:t> </w:t>
      </w:r>
      <w:r w:rsidR="006312D6" w:rsidRPr="00612A18">
        <w:rPr>
          <w:lang w:val="fr-CH"/>
        </w:rPr>
        <w:t xml:space="preserve">274 et 275 du </w:t>
      </w:r>
      <w:r w:rsidR="005728D7" w:rsidRPr="00612A18">
        <w:rPr>
          <w:lang w:val="fr-CH"/>
        </w:rPr>
        <w:t>document</w:t>
      </w:r>
      <w:r w:rsidR="005E4765">
        <w:rPr>
          <w:lang w:val="fr-CH"/>
        </w:rPr>
        <w:t> </w:t>
      </w:r>
      <w:r w:rsidR="005728D7">
        <w:rPr>
          <w:lang w:val="fr-CH"/>
        </w:rPr>
        <w:t>TC</w:t>
      </w:r>
      <w:r w:rsidR="006312D6" w:rsidRPr="00612A18">
        <w:rPr>
          <w:lang w:val="fr-CH"/>
        </w:rPr>
        <w:t>/54/31 “Compte rendu”).</w:t>
      </w:r>
    </w:p>
    <w:p w:rsidR="0034055D" w:rsidRPr="00612A18" w:rsidRDefault="0034055D" w:rsidP="00B41AC5">
      <w:pPr>
        <w:rPr>
          <w:lang w:val="fr-CH"/>
        </w:rPr>
      </w:pPr>
    </w:p>
    <w:p w:rsidR="0034055D" w:rsidRPr="00612A18" w:rsidRDefault="00B41AC5" w:rsidP="006312D6">
      <w:pPr>
        <w:rPr>
          <w:lang w:val="fr-CH"/>
        </w:rPr>
      </w:pPr>
      <w:r w:rsidRPr="00612A18">
        <w:rPr>
          <w:lang w:val="fr-CH"/>
        </w:rPr>
        <w:fldChar w:fldCharType="begin"/>
      </w:r>
      <w:r w:rsidRPr="00612A18">
        <w:rPr>
          <w:lang w:val="fr-CH"/>
        </w:rPr>
        <w:instrText xml:space="preserve"> AUTONUM  </w:instrText>
      </w:r>
      <w:r w:rsidRPr="00612A18">
        <w:rPr>
          <w:lang w:val="fr-CH"/>
        </w:rPr>
        <w:fldChar w:fldCharType="end"/>
      </w:r>
      <w:r w:rsidRPr="00612A18">
        <w:rPr>
          <w:lang w:val="fr-CH"/>
        </w:rPr>
        <w:tab/>
      </w:r>
      <w:r w:rsidR="006312D6" w:rsidRPr="00612A18">
        <w:rPr>
          <w:lang w:val="fr-CH"/>
        </w:rPr>
        <w:t>Le</w:t>
      </w:r>
      <w:r w:rsidR="005728D7">
        <w:rPr>
          <w:lang w:val="fr-CH"/>
        </w:rPr>
        <w:t> TC</w:t>
      </w:r>
      <w:r w:rsidR="006312D6" w:rsidRPr="00612A18">
        <w:rPr>
          <w:lang w:val="fr-CH"/>
        </w:rPr>
        <w:t xml:space="preserve"> a approuvé la proposition</w:t>
      </w:r>
      <w:r w:rsidR="005728D7" w:rsidRPr="00612A18">
        <w:rPr>
          <w:lang w:val="fr-CH"/>
        </w:rPr>
        <w:t xml:space="preserve"> du</w:t>
      </w:r>
      <w:r w:rsidR="005728D7">
        <w:rPr>
          <w:lang w:val="fr-CH"/>
        </w:rPr>
        <w:t> </w:t>
      </w:r>
      <w:r w:rsidR="005728D7" w:rsidRPr="00612A18">
        <w:rPr>
          <w:lang w:val="fr-CH"/>
        </w:rPr>
        <w:t>BMT</w:t>
      </w:r>
      <w:r w:rsidR="006312D6" w:rsidRPr="00612A18">
        <w:rPr>
          <w:lang w:val="fr-CH"/>
        </w:rPr>
        <w:t xml:space="preserve"> tendant à ajouter un nouvel exemple </w:t>
      </w:r>
      <w:r w:rsidR="007E40B7">
        <w:rPr>
          <w:lang w:val="fr-CH"/>
        </w:rPr>
        <w:t>dans le</w:t>
      </w:r>
      <w:r w:rsidR="006312D6" w:rsidRPr="00612A18">
        <w:rPr>
          <w:lang w:val="fr-CH"/>
        </w:rPr>
        <w:t xml:space="preserve"> </w:t>
      </w:r>
      <w:r w:rsidR="005728D7" w:rsidRPr="00612A18">
        <w:rPr>
          <w:lang w:val="fr-CH"/>
        </w:rPr>
        <w:t>document</w:t>
      </w:r>
      <w:r w:rsidR="005E4765">
        <w:rPr>
          <w:lang w:val="fr-CH"/>
        </w:rPr>
        <w:t> </w:t>
      </w:r>
      <w:r w:rsidR="005728D7" w:rsidRPr="00612A18">
        <w:rPr>
          <w:lang w:val="fr-CH"/>
        </w:rPr>
        <w:t>TG</w:t>
      </w:r>
      <w:r w:rsidR="006312D6" w:rsidRPr="00612A18">
        <w:rPr>
          <w:lang w:val="fr-CH"/>
        </w:rPr>
        <w:t>P/15, en se fondant sur la proposition présentée par les Pays</w:t>
      </w:r>
      <w:r w:rsidR="005728D7">
        <w:rPr>
          <w:lang w:val="fr-CH"/>
        </w:rPr>
        <w:t>-</w:t>
      </w:r>
      <w:r w:rsidR="006312D6" w:rsidRPr="00612A18">
        <w:rPr>
          <w:lang w:val="fr-CH"/>
        </w:rPr>
        <w:t xml:space="preserve">Bas dans le </w:t>
      </w:r>
      <w:r w:rsidR="005728D7" w:rsidRPr="00612A18">
        <w:rPr>
          <w:lang w:val="fr-CH"/>
        </w:rPr>
        <w:t>document</w:t>
      </w:r>
      <w:r w:rsidR="005E4765">
        <w:rPr>
          <w:lang w:val="fr-CH"/>
        </w:rPr>
        <w:t> </w:t>
      </w:r>
      <w:r w:rsidR="005728D7" w:rsidRPr="00612A18">
        <w:rPr>
          <w:lang w:val="fr-CH"/>
        </w:rPr>
        <w:t>BM</w:t>
      </w:r>
      <w:r w:rsidR="006312D6" w:rsidRPr="00612A18">
        <w:rPr>
          <w:lang w:val="fr-CH"/>
        </w:rPr>
        <w:t>T/17/21, afin d</w:t>
      </w:r>
      <w:r w:rsidR="005728D7">
        <w:rPr>
          <w:lang w:val="fr-CH"/>
        </w:rPr>
        <w:t>’</w:t>
      </w:r>
      <w:r w:rsidR="006312D6" w:rsidRPr="00612A18">
        <w:rPr>
          <w:lang w:val="fr-CH"/>
        </w:rPr>
        <w:t xml:space="preserve">illustrer </w:t>
      </w:r>
      <w:r w:rsidR="007E40B7">
        <w:rPr>
          <w:lang w:val="fr-CH"/>
        </w:rPr>
        <w:t>le cas où</w:t>
      </w:r>
      <w:r w:rsidR="006312D6" w:rsidRPr="00612A18">
        <w:rPr>
          <w:lang w:val="fr-CH"/>
        </w:rPr>
        <w:t xml:space="preserve"> le marqueur propre au</w:t>
      </w:r>
      <w:r w:rsidR="007E40B7">
        <w:rPr>
          <w:lang w:val="fr-CH"/>
        </w:rPr>
        <w:t>x</w:t>
      </w:r>
      <w:r w:rsidR="006312D6" w:rsidRPr="00612A18">
        <w:rPr>
          <w:lang w:val="fr-CH"/>
        </w:rPr>
        <w:t xml:space="preserve"> caractère</w:t>
      </w:r>
      <w:r w:rsidR="007E40B7">
        <w:rPr>
          <w:lang w:val="fr-CH"/>
        </w:rPr>
        <w:t>s</w:t>
      </w:r>
      <w:r w:rsidR="006312D6" w:rsidRPr="00612A18">
        <w:rPr>
          <w:lang w:val="fr-CH"/>
        </w:rPr>
        <w:t xml:space="preserve"> n</w:t>
      </w:r>
      <w:r w:rsidR="005728D7">
        <w:rPr>
          <w:lang w:val="fr-CH"/>
        </w:rPr>
        <w:t>’</w:t>
      </w:r>
      <w:r w:rsidR="006312D6" w:rsidRPr="00612A18">
        <w:rPr>
          <w:lang w:val="fr-CH"/>
        </w:rPr>
        <w:t xml:space="preserve">a pas fourni </w:t>
      </w:r>
      <w:r w:rsidR="007E40B7">
        <w:rPr>
          <w:lang w:val="fr-CH"/>
        </w:rPr>
        <w:t xml:space="preserve">toutes les </w:t>
      </w:r>
      <w:r w:rsidR="006312D6" w:rsidRPr="00612A18">
        <w:rPr>
          <w:lang w:val="fr-CH"/>
        </w:rPr>
        <w:t xml:space="preserve">informations sur le niveau </w:t>
      </w:r>
      <w:r w:rsidR="006312D6" w:rsidRPr="00612A18">
        <w:rPr>
          <w:lang w:val="fr-CH"/>
        </w:rPr>
        <w:lastRenderedPageBreak/>
        <w:t>d</w:t>
      </w:r>
      <w:r w:rsidR="005728D7">
        <w:rPr>
          <w:lang w:val="fr-CH"/>
        </w:rPr>
        <w:t>’</w:t>
      </w:r>
      <w:r w:rsidR="006312D6" w:rsidRPr="00612A18">
        <w:rPr>
          <w:lang w:val="fr-CH"/>
        </w:rPr>
        <w:t>expression d</w:t>
      </w:r>
      <w:r w:rsidR="005728D7">
        <w:rPr>
          <w:lang w:val="fr-CH"/>
        </w:rPr>
        <w:t>’</w:t>
      </w:r>
      <w:r w:rsidR="006312D6" w:rsidRPr="00612A18">
        <w:rPr>
          <w:lang w:val="fr-CH"/>
        </w:rPr>
        <w:t>un caractè</w:t>
      </w:r>
      <w:r w:rsidR="005D3E9B" w:rsidRPr="00612A18">
        <w:rPr>
          <w:lang w:val="fr-CH"/>
        </w:rPr>
        <w:t>re</w:t>
      </w:r>
      <w:r w:rsidR="005D3E9B">
        <w:rPr>
          <w:lang w:val="fr-CH"/>
        </w:rPr>
        <w:t xml:space="preserve">.  </w:t>
      </w:r>
      <w:r w:rsidR="005D3E9B" w:rsidRPr="00612A18">
        <w:rPr>
          <w:lang w:val="fr-CH"/>
        </w:rPr>
        <w:t>Le</w:t>
      </w:r>
      <w:r w:rsidR="005728D7">
        <w:rPr>
          <w:lang w:val="fr-CH"/>
        </w:rPr>
        <w:t> TC</w:t>
      </w:r>
      <w:r w:rsidR="006312D6" w:rsidRPr="00612A18">
        <w:rPr>
          <w:lang w:val="fr-CH"/>
        </w:rPr>
        <w:t xml:space="preserve"> est convenu d</w:t>
      </w:r>
      <w:r w:rsidR="005728D7">
        <w:rPr>
          <w:lang w:val="fr-CH"/>
        </w:rPr>
        <w:t>’</w:t>
      </w:r>
      <w:r w:rsidR="006312D6" w:rsidRPr="00612A18">
        <w:rPr>
          <w:lang w:val="fr-CH"/>
        </w:rPr>
        <w:t>inviter les experts des Pays</w:t>
      </w:r>
      <w:r w:rsidR="005728D7">
        <w:rPr>
          <w:lang w:val="fr-CH"/>
        </w:rPr>
        <w:t>-</w:t>
      </w:r>
      <w:r w:rsidR="006312D6" w:rsidRPr="00612A18">
        <w:rPr>
          <w:lang w:val="fr-CH"/>
        </w:rPr>
        <w:t>Bas à présenter une proposition</w:t>
      </w:r>
      <w:r w:rsidR="005728D7" w:rsidRPr="00612A18">
        <w:rPr>
          <w:lang w:val="fr-CH"/>
        </w:rPr>
        <w:t xml:space="preserve"> aux</w:t>
      </w:r>
      <w:r w:rsidR="005728D7">
        <w:rPr>
          <w:lang w:val="fr-CH"/>
        </w:rPr>
        <w:t> </w:t>
      </w:r>
      <w:r w:rsidR="005728D7" w:rsidRPr="00612A18">
        <w:rPr>
          <w:lang w:val="fr-CH"/>
        </w:rPr>
        <w:t>TWP</w:t>
      </w:r>
      <w:r w:rsidR="006312D6" w:rsidRPr="00612A18">
        <w:rPr>
          <w:lang w:val="fr-CH"/>
        </w:rPr>
        <w:t xml:space="preserve"> et</w:t>
      </w:r>
      <w:r w:rsidR="005728D7" w:rsidRPr="00612A18">
        <w:rPr>
          <w:lang w:val="fr-CH"/>
        </w:rPr>
        <w:t xml:space="preserve"> au</w:t>
      </w:r>
      <w:r w:rsidR="005728D7">
        <w:rPr>
          <w:lang w:val="fr-CH"/>
        </w:rPr>
        <w:t> </w:t>
      </w:r>
      <w:r w:rsidR="005728D7" w:rsidRPr="00612A18">
        <w:rPr>
          <w:lang w:val="fr-CH"/>
        </w:rPr>
        <w:t>BMT</w:t>
      </w:r>
      <w:r w:rsidR="006312D6" w:rsidRPr="00612A18">
        <w:rPr>
          <w:lang w:val="fr-CH"/>
        </w:rPr>
        <w:t xml:space="preserve"> et a décidé que la proposition qui en résulterait devait lui être présentée à sa cinquante</w:t>
      </w:r>
      <w:r w:rsidR="00220087">
        <w:rPr>
          <w:lang w:val="fr-CH"/>
        </w:rPr>
        <w:noBreakHyphen/>
      </w:r>
      <w:r w:rsidR="006312D6" w:rsidRPr="00612A18">
        <w:rPr>
          <w:lang w:val="fr-CH"/>
        </w:rPr>
        <w:t>cinqu</w:t>
      </w:r>
      <w:r w:rsidR="005728D7">
        <w:rPr>
          <w:lang w:val="fr-CH"/>
        </w:rPr>
        <w:t>ième session</w:t>
      </w:r>
      <w:r w:rsidR="006312D6" w:rsidRPr="00612A18">
        <w:rPr>
          <w:lang w:val="fr-CH"/>
        </w:rPr>
        <w:t>.</w:t>
      </w:r>
    </w:p>
    <w:p w:rsidR="0034055D" w:rsidRDefault="0034055D" w:rsidP="00B41AC5">
      <w:pPr>
        <w:rPr>
          <w:lang w:val="fr-CH"/>
        </w:rPr>
      </w:pPr>
    </w:p>
    <w:p w:rsidR="00220087" w:rsidRPr="00612A18" w:rsidRDefault="00220087" w:rsidP="00B41AC5">
      <w:pPr>
        <w:rPr>
          <w:lang w:val="fr-CH"/>
        </w:rPr>
      </w:pPr>
    </w:p>
    <w:p w:rsidR="0034055D" w:rsidRPr="00612A18" w:rsidRDefault="002106F9" w:rsidP="002106F9">
      <w:pPr>
        <w:pStyle w:val="Heading1"/>
        <w:rPr>
          <w:lang w:val="fr-CH"/>
        </w:rPr>
      </w:pPr>
      <w:bookmarkStart w:id="10" w:name="_Toc18318012"/>
      <w:r w:rsidRPr="00612A18">
        <w:rPr>
          <w:lang w:val="fr-CH"/>
        </w:rPr>
        <w:t>Faits nouveaux concernant les groupes de travail techniques</w:t>
      </w:r>
      <w:bookmarkEnd w:id="10"/>
    </w:p>
    <w:p w:rsidR="0034055D" w:rsidRPr="00612A18" w:rsidRDefault="0034055D" w:rsidP="00C97512">
      <w:pPr>
        <w:rPr>
          <w:lang w:val="fr-CH"/>
        </w:rPr>
      </w:pPr>
    </w:p>
    <w:p w:rsidR="0034055D" w:rsidRPr="00612A18" w:rsidRDefault="00C97512" w:rsidP="00FC69B5">
      <w:pPr>
        <w:rPr>
          <w:lang w:val="fr-CH"/>
        </w:rPr>
      </w:pPr>
      <w:r w:rsidRPr="00612A18">
        <w:rPr>
          <w:lang w:val="fr-CH"/>
        </w:rPr>
        <w:fldChar w:fldCharType="begin"/>
      </w:r>
      <w:r w:rsidRPr="00612A18">
        <w:rPr>
          <w:lang w:val="fr-CH"/>
        </w:rPr>
        <w:instrText xml:space="preserve"> AUTONUM  </w:instrText>
      </w:r>
      <w:r w:rsidRPr="00612A18">
        <w:rPr>
          <w:lang w:val="fr-CH"/>
        </w:rPr>
        <w:fldChar w:fldCharType="end"/>
      </w:r>
      <w:r w:rsidRPr="00612A18">
        <w:rPr>
          <w:lang w:val="fr-CH"/>
        </w:rPr>
        <w:tab/>
      </w:r>
      <w:r w:rsidR="00FC69B5" w:rsidRPr="00612A18">
        <w:rPr>
          <w:lang w:val="fr-CH"/>
        </w:rPr>
        <w:t>Le TWO, à sa cinquante</w:t>
      </w:r>
      <w:r w:rsidR="005728D7">
        <w:rPr>
          <w:lang w:val="fr-CH"/>
        </w:rPr>
        <w:t> et unième session</w:t>
      </w:r>
      <w:r w:rsidR="00FC69B5" w:rsidRPr="00612A18">
        <w:rPr>
          <w:lang w:val="fr-CH"/>
        </w:rPr>
        <w:t xml:space="preserve"> tenue à Christchurch (Nouvelle</w:t>
      </w:r>
      <w:r w:rsidR="005728D7">
        <w:rPr>
          <w:lang w:val="fr-CH"/>
        </w:rPr>
        <w:t>-</w:t>
      </w:r>
      <w:r w:rsidR="00FC69B5" w:rsidRPr="00612A18">
        <w:rPr>
          <w:lang w:val="fr-CH"/>
        </w:rPr>
        <w:t>Zélande) du 18 au 22</w:t>
      </w:r>
      <w:r w:rsidR="00612A18">
        <w:rPr>
          <w:lang w:val="fr-CH"/>
        </w:rPr>
        <w:t> </w:t>
      </w:r>
      <w:r w:rsidR="00FC69B5" w:rsidRPr="00612A18">
        <w:rPr>
          <w:lang w:val="fr-CH"/>
        </w:rPr>
        <w:t>février</w:t>
      </w:r>
      <w:r w:rsidR="00612A18">
        <w:rPr>
          <w:lang w:val="fr-CH"/>
        </w:rPr>
        <w:t> </w:t>
      </w:r>
      <w:r w:rsidR="00FC69B5" w:rsidRPr="00612A18">
        <w:rPr>
          <w:lang w:val="fr-CH"/>
        </w:rPr>
        <w:t>2019,</w:t>
      </w:r>
      <w:r w:rsidR="005728D7" w:rsidRPr="00612A18">
        <w:rPr>
          <w:lang w:val="fr-CH"/>
        </w:rPr>
        <w:t xml:space="preserve"> le</w:t>
      </w:r>
      <w:r w:rsidR="005728D7">
        <w:rPr>
          <w:lang w:val="fr-CH"/>
        </w:rPr>
        <w:t> </w:t>
      </w:r>
      <w:r w:rsidR="005728D7" w:rsidRPr="00612A18">
        <w:rPr>
          <w:lang w:val="fr-CH"/>
        </w:rPr>
        <w:t>TWV</w:t>
      </w:r>
      <w:r w:rsidR="00FC69B5" w:rsidRPr="00612A18">
        <w:rPr>
          <w:lang w:val="fr-CH"/>
        </w:rPr>
        <w:t>, à sa cinquante</w:t>
      </w:r>
      <w:r w:rsidR="005728D7">
        <w:rPr>
          <w:lang w:val="fr-CH"/>
        </w:rPr>
        <w:t>-</w:t>
      </w:r>
      <w:r w:rsidR="00FC69B5" w:rsidRPr="00612A18">
        <w:rPr>
          <w:lang w:val="fr-CH"/>
        </w:rPr>
        <w:t>trois</w:t>
      </w:r>
      <w:r w:rsidR="005728D7">
        <w:rPr>
          <w:lang w:val="fr-CH"/>
        </w:rPr>
        <w:t>ième session</w:t>
      </w:r>
      <w:r w:rsidR="00FC69B5" w:rsidRPr="00612A18">
        <w:rPr>
          <w:lang w:val="fr-CH"/>
        </w:rPr>
        <w:t xml:space="preserve"> tenue à Séoul (République de Corée) du 20 au 24</w:t>
      </w:r>
      <w:r w:rsidR="00612A18">
        <w:rPr>
          <w:lang w:val="fr-CH"/>
        </w:rPr>
        <w:t> </w:t>
      </w:r>
      <w:r w:rsidR="00FC69B5" w:rsidRPr="00612A18">
        <w:rPr>
          <w:lang w:val="fr-CH"/>
        </w:rPr>
        <w:t>mai</w:t>
      </w:r>
      <w:r w:rsidR="00612A18">
        <w:rPr>
          <w:lang w:val="fr-CH"/>
        </w:rPr>
        <w:t> </w:t>
      </w:r>
      <w:r w:rsidR="00FC69B5" w:rsidRPr="00612A18">
        <w:rPr>
          <w:lang w:val="fr-CH"/>
        </w:rPr>
        <w:t>2019</w:t>
      </w:r>
      <w:r w:rsidR="007E40B7">
        <w:rPr>
          <w:lang w:val="fr-CH"/>
        </w:rPr>
        <w:t>,</w:t>
      </w:r>
      <w:r w:rsidR="00FC69B5" w:rsidRPr="00612A18">
        <w:rPr>
          <w:lang w:val="fr-CH"/>
        </w:rPr>
        <w:t xml:space="preserve"> et</w:t>
      </w:r>
      <w:r w:rsidR="005728D7" w:rsidRPr="00612A18">
        <w:rPr>
          <w:lang w:val="fr-CH"/>
        </w:rPr>
        <w:t xml:space="preserve"> le</w:t>
      </w:r>
      <w:r w:rsidR="005728D7">
        <w:rPr>
          <w:lang w:val="fr-CH"/>
        </w:rPr>
        <w:t> </w:t>
      </w:r>
      <w:r w:rsidR="005728D7" w:rsidRPr="00612A18">
        <w:rPr>
          <w:lang w:val="fr-CH"/>
        </w:rPr>
        <w:t>TWF</w:t>
      </w:r>
      <w:r w:rsidR="00FC69B5" w:rsidRPr="00612A18">
        <w:rPr>
          <w:lang w:val="fr-CH"/>
        </w:rPr>
        <w:t>, à sa cinquant</w:t>
      </w:r>
      <w:r w:rsidR="005728D7">
        <w:rPr>
          <w:lang w:val="fr-CH"/>
        </w:rPr>
        <w:t>ième session</w:t>
      </w:r>
      <w:r w:rsidR="00FC69B5" w:rsidRPr="00612A18">
        <w:rPr>
          <w:lang w:val="fr-CH"/>
        </w:rPr>
        <w:t xml:space="preserve"> tenue à Budapest (Hongrie) du 24 au 28</w:t>
      </w:r>
      <w:r w:rsidR="00612A18">
        <w:rPr>
          <w:lang w:val="fr-CH"/>
        </w:rPr>
        <w:t> </w:t>
      </w:r>
      <w:r w:rsidR="00FC69B5" w:rsidRPr="00612A18">
        <w:rPr>
          <w:lang w:val="fr-CH"/>
        </w:rPr>
        <w:t>juin</w:t>
      </w:r>
      <w:r w:rsidR="00612A18">
        <w:rPr>
          <w:lang w:val="fr-CH"/>
        </w:rPr>
        <w:t> </w:t>
      </w:r>
      <w:r w:rsidR="00FC69B5" w:rsidRPr="00612A18">
        <w:rPr>
          <w:lang w:val="fr-CH"/>
        </w:rPr>
        <w:t xml:space="preserve">2019, ont examiné le document TWP/3/12 </w:t>
      </w:r>
      <w:r w:rsidR="00FC69B5" w:rsidRPr="00220087">
        <w:rPr>
          <w:i/>
          <w:lang w:val="fr-CH"/>
        </w:rPr>
        <w:t>“</w:t>
      </w:r>
      <w:proofErr w:type="spellStart"/>
      <w:r w:rsidR="00FC69B5" w:rsidRPr="00220087">
        <w:rPr>
          <w:i/>
          <w:lang w:val="fr-CH"/>
        </w:rPr>
        <w:t>Characteristic</w:t>
      </w:r>
      <w:r w:rsidR="005728D7" w:rsidRPr="00220087">
        <w:rPr>
          <w:i/>
          <w:lang w:val="fr-CH"/>
        </w:rPr>
        <w:t>-</w:t>
      </w:r>
      <w:r w:rsidR="00FC69B5" w:rsidRPr="00220087">
        <w:rPr>
          <w:i/>
          <w:lang w:val="fr-CH"/>
        </w:rPr>
        <w:t>specific</w:t>
      </w:r>
      <w:proofErr w:type="spellEnd"/>
      <w:r w:rsidR="00FC69B5" w:rsidRPr="00220087">
        <w:rPr>
          <w:i/>
          <w:lang w:val="fr-CH"/>
        </w:rPr>
        <w:t xml:space="preserve"> marker </w:t>
      </w:r>
      <w:proofErr w:type="spellStart"/>
      <w:r w:rsidR="00FC69B5" w:rsidRPr="00220087">
        <w:rPr>
          <w:i/>
          <w:lang w:val="fr-CH"/>
        </w:rPr>
        <w:t>with</w:t>
      </w:r>
      <w:proofErr w:type="spellEnd"/>
      <w:r w:rsidR="00FC69B5" w:rsidRPr="00220087">
        <w:rPr>
          <w:i/>
          <w:lang w:val="fr-CH"/>
        </w:rPr>
        <w:t xml:space="preserve"> </w:t>
      </w:r>
      <w:proofErr w:type="spellStart"/>
      <w:r w:rsidR="00FC69B5" w:rsidRPr="00220087">
        <w:rPr>
          <w:i/>
          <w:lang w:val="fr-CH"/>
        </w:rPr>
        <w:t>incomplete</w:t>
      </w:r>
      <w:proofErr w:type="spellEnd"/>
      <w:r w:rsidR="00FC69B5" w:rsidRPr="00220087">
        <w:rPr>
          <w:i/>
          <w:lang w:val="fr-CH"/>
        </w:rPr>
        <w:t xml:space="preserve"> information on state of expression”</w:t>
      </w:r>
      <w:r w:rsidR="00FC69B5" w:rsidRPr="00612A18">
        <w:rPr>
          <w:lang w:val="fr-CH"/>
        </w:rPr>
        <w:t xml:space="preserve"> (voir les paragraphes</w:t>
      </w:r>
      <w:r w:rsidR="00612A18">
        <w:rPr>
          <w:lang w:val="fr-CH"/>
        </w:rPr>
        <w:t> </w:t>
      </w:r>
      <w:r w:rsidR="00FC69B5" w:rsidRPr="00612A18">
        <w:rPr>
          <w:lang w:val="fr-CH"/>
        </w:rPr>
        <w:t xml:space="preserve">33 à 35 du document TWO/51/12 </w:t>
      </w:r>
      <w:r w:rsidR="00FC69B5" w:rsidRPr="00220087">
        <w:rPr>
          <w:i/>
          <w:lang w:val="fr-CH"/>
        </w:rPr>
        <w:t>“Report”</w:t>
      </w:r>
      <w:r w:rsidR="00FC69B5" w:rsidRPr="00612A18">
        <w:rPr>
          <w:lang w:val="fr-CH"/>
        </w:rPr>
        <w:t>, les paragraphes</w:t>
      </w:r>
      <w:r w:rsidR="00612A18">
        <w:rPr>
          <w:lang w:val="fr-CH"/>
        </w:rPr>
        <w:t> </w:t>
      </w:r>
      <w:r w:rsidR="00FC69B5" w:rsidRPr="00612A18">
        <w:rPr>
          <w:lang w:val="fr-CH"/>
        </w:rPr>
        <w:t xml:space="preserve">28 à 30 du document TWV/53/14 </w:t>
      </w:r>
      <w:r w:rsidR="00FC69B5" w:rsidRPr="00220087">
        <w:rPr>
          <w:i/>
          <w:lang w:val="fr-CH"/>
        </w:rPr>
        <w:t>“Report”</w:t>
      </w:r>
      <w:r w:rsidR="00FC69B5" w:rsidRPr="00612A18">
        <w:rPr>
          <w:lang w:val="fr-CH"/>
        </w:rPr>
        <w:t xml:space="preserve"> et les paragraphes</w:t>
      </w:r>
      <w:r w:rsidR="00612A18">
        <w:rPr>
          <w:lang w:val="fr-CH"/>
        </w:rPr>
        <w:t> </w:t>
      </w:r>
      <w:r w:rsidR="00FC69B5" w:rsidRPr="00612A18">
        <w:rPr>
          <w:lang w:val="fr-CH"/>
        </w:rPr>
        <w:t xml:space="preserve">28 et 29 du document TWF/50/13 </w:t>
      </w:r>
      <w:r w:rsidR="00FC69B5" w:rsidRPr="00220087">
        <w:rPr>
          <w:i/>
          <w:lang w:val="fr-CH"/>
        </w:rPr>
        <w:t>“Report”</w:t>
      </w:r>
      <w:r w:rsidR="00FC69B5" w:rsidRPr="00612A18">
        <w:rPr>
          <w:lang w:val="fr-CH"/>
        </w:rPr>
        <w:t>).</w:t>
      </w:r>
    </w:p>
    <w:p w:rsidR="0034055D" w:rsidRPr="00612A18" w:rsidRDefault="0034055D" w:rsidP="00C97512">
      <w:pPr>
        <w:rPr>
          <w:lang w:val="fr-CH"/>
        </w:rPr>
      </w:pPr>
    </w:p>
    <w:p w:rsidR="0034055D" w:rsidRPr="00612A18" w:rsidRDefault="00C97512" w:rsidP="00FC69B5">
      <w:pPr>
        <w:rPr>
          <w:lang w:val="fr-CH"/>
        </w:rPr>
      </w:pPr>
      <w:r w:rsidRPr="00612A18">
        <w:rPr>
          <w:lang w:val="fr-CH"/>
        </w:rPr>
        <w:fldChar w:fldCharType="begin"/>
      </w:r>
      <w:r w:rsidRPr="00612A18">
        <w:rPr>
          <w:lang w:val="fr-CH"/>
        </w:rPr>
        <w:instrText xml:space="preserve"> AUTONUM  </w:instrText>
      </w:r>
      <w:r w:rsidRPr="00612A18">
        <w:rPr>
          <w:lang w:val="fr-CH"/>
        </w:rPr>
        <w:fldChar w:fldCharType="end"/>
      </w:r>
      <w:r w:rsidRPr="00612A18">
        <w:rPr>
          <w:lang w:val="fr-CH"/>
        </w:rPr>
        <w:tab/>
      </w:r>
      <w:r w:rsidR="00FC69B5" w:rsidRPr="00612A18">
        <w:rPr>
          <w:lang w:val="fr-CH"/>
        </w:rPr>
        <w:t>Le TWO,</w:t>
      </w:r>
      <w:r w:rsidR="005728D7" w:rsidRPr="00612A18">
        <w:rPr>
          <w:lang w:val="fr-CH"/>
        </w:rPr>
        <w:t xml:space="preserve"> le</w:t>
      </w:r>
      <w:r w:rsidR="005728D7">
        <w:rPr>
          <w:lang w:val="fr-CH"/>
        </w:rPr>
        <w:t> </w:t>
      </w:r>
      <w:r w:rsidR="005728D7" w:rsidRPr="00612A18">
        <w:rPr>
          <w:lang w:val="fr-CH"/>
        </w:rPr>
        <w:t>TWV</w:t>
      </w:r>
      <w:r w:rsidR="00FC69B5" w:rsidRPr="00612A18">
        <w:rPr>
          <w:lang w:val="fr-CH"/>
        </w:rPr>
        <w:t xml:space="preserve"> et</w:t>
      </w:r>
      <w:r w:rsidR="005728D7" w:rsidRPr="00612A18">
        <w:rPr>
          <w:lang w:val="fr-CH"/>
        </w:rPr>
        <w:t xml:space="preserve"> le</w:t>
      </w:r>
      <w:r w:rsidR="005728D7">
        <w:rPr>
          <w:lang w:val="fr-CH"/>
        </w:rPr>
        <w:t> </w:t>
      </w:r>
      <w:r w:rsidR="005728D7" w:rsidRPr="00612A18">
        <w:rPr>
          <w:lang w:val="fr-CH"/>
        </w:rPr>
        <w:t>TWF</w:t>
      </w:r>
      <w:r w:rsidR="00FC69B5" w:rsidRPr="00612A18">
        <w:rPr>
          <w:lang w:val="fr-CH"/>
        </w:rPr>
        <w:t xml:space="preserve"> ont approuvé l</w:t>
      </w:r>
      <w:r w:rsidR="005728D7">
        <w:rPr>
          <w:lang w:val="fr-CH"/>
        </w:rPr>
        <w:t>’</w:t>
      </w:r>
      <w:r w:rsidR="00FC69B5" w:rsidRPr="00612A18">
        <w:rPr>
          <w:lang w:val="fr-CH"/>
        </w:rPr>
        <w:t xml:space="preserve">inclusion dans le </w:t>
      </w:r>
      <w:r w:rsidR="005728D7" w:rsidRPr="00612A18">
        <w:rPr>
          <w:lang w:val="fr-CH"/>
        </w:rPr>
        <w:t>document</w:t>
      </w:r>
      <w:r w:rsidR="005E4765">
        <w:rPr>
          <w:lang w:val="fr-CH"/>
        </w:rPr>
        <w:t> </w:t>
      </w:r>
      <w:r w:rsidR="005728D7" w:rsidRPr="00612A18">
        <w:rPr>
          <w:lang w:val="fr-CH"/>
        </w:rPr>
        <w:t>TG</w:t>
      </w:r>
      <w:r w:rsidR="00FC69B5" w:rsidRPr="00612A18">
        <w:rPr>
          <w:lang w:val="fr-CH"/>
        </w:rPr>
        <w:t xml:space="preserve">P/15 </w:t>
      </w:r>
      <w:r w:rsidR="000F711F" w:rsidRPr="00612A18">
        <w:rPr>
          <w:lang w:val="fr-CH"/>
        </w:rPr>
        <w:t>de l</w:t>
      </w:r>
      <w:r w:rsidR="005728D7">
        <w:rPr>
          <w:lang w:val="fr-CH"/>
        </w:rPr>
        <w:t>’</w:t>
      </w:r>
      <w:r w:rsidR="000F711F" w:rsidRPr="00612A18">
        <w:rPr>
          <w:lang w:val="fr-CH"/>
        </w:rPr>
        <w:t xml:space="preserve">exemple proposé </w:t>
      </w:r>
      <w:r w:rsidR="00FC69B5" w:rsidRPr="00612A18">
        <w:rPr>
          <w:lang w:val="fr-CH"/>
        </w:rPr>
        <w:t>afin d</w:t>
      </w:r>
      <w:r w:rsidR="005728D7">
        <w:rPr>
          <w:lang w:val="fr-CH"/>
        </w:rPr>
        <w:t>’</w:t>
      </w:r>
      <w:r w:rsidR="00FC69B5" w:rsidRPr="00612A18">
        <w:rPr>
          <w:lang w:val="fr-CH"/>
        </w:rPr>
        <w:t xml:space="preserve">illustrer le cas où </w:t>
      </w:r>
      <w:r w:rsidR="007E40B7">
        <w:rPr>
          <w:lang w:val="fr-CH"/>
        </w:rPr>
        <w:t>le</w:t>
      </w:r>
      <w:r w:rsidR="00FC69B5" w:rsidRPr="00612A18">
        <w:rPr>
          <w:lang w:val="fr-CH"/>
        </w:rPr>
        <w:t xml:space="preserve"> marqueur </w:t>
      </w:r>
      <w:r w:rsidR="007E40B7">
        <w:rPr>
          <w:snapToGrid w:val="0"/>
          <w:lang w:val="fr-CH"/>
        </w:rPr>
        <w:t xml:space="preserve">propre aux </w:t>
      </w:r>
      <w:r w:rsidR="007E40B7" w:rsidRPr="00612A18">
        <w:rPr>
          <w:snapToGrid w:val="0"/>
          <w:lang w:val="fr-CH"/>
        </w:rPr>
        <w:t>caractère</w:t>
      </w:r>
      <w:r w:rsidR="007E40B7">
        <w:rPr>
          <w:snapToGrid w:val="0"/>
          <w:lang w:val="fr-CH"/>
        </w:rPr>
        <w:t>s</w:t>
      </w:r>
      <w:r w:rsidR="007E40B7" w:rsidRPr="00612A18">
        <w:rPr>
          <w:lang w:val="fr-CH"/>
        </w:rPr>
        <w:t xml:space="preserve"> </w:t>
      </w:r>
      <w:r w:rsidR="00FC69B5" w:rsidRPr="00612A18">
        <w:rPr>
          <w:lang w:val="fr-CH"/>
        </w:rPr>
        <w:t>ne fournit pas toutes les informations sur le niveau d</w:t>
      </w:r>
      <w:r w:rsidR="005728D7">
        <w:rPr>
          <w:lang w:val="fr-CH"/>
        </w:rPr>
        <w:t>’</w:t>
      </w:r>
      <w:r w:rsidR="00FC69B5" w:rsidRPr="00612A18">
        <w:rPr>
          <w:lang w:val="fr-CH"/>
        </w:rPr>
        <w:t>expression d</w:t>
      </w:r>
      <w:r w:rsidR="005728D7">
        <w:rPr>
          <w:lang w:val="fr-CH"/>
        </w:rPr>
        <w:t>’</w:t>
      </w:r>
      <w:r w:rsidR="00FC69B5" w:rsidRPr="00612A18">
        <w:rPr>
          <w:lang w:val="fr-CH"/>
        </w:rPr>
        <w:t>u</w:t>
      </w:r>
      <w:r w:rsidR="007E40B7">
        <w:rPr>
          <w:lang w:val="fr-CH"/>
        </w:rPr>
        <w:t>n</w:t>
      </w:r>
      <w:r w:rsidR="00FC69B5" w:rsidRPr="00612A18">
        <w:rPr>
          <w:lang w:val="fr-CH"/>
        </w:rPr>
        <w:t xml:space="preserve"> caractère, comme indiqué dans l</w:t>
      </w:r>
      <w:r w:rsidR="005728D7">
        <w:rPr>
          <w:lang w:val="fr-CH"/>
        </w:rPr>
        <w:t>’</w:t>
      </w:r>
      <w:r w:rsidR="00FC69B5" w:rsidRPr="00612A18">
        <w:rPr>
          <w:lang w:val="fr-CH"/>
        </w:rPr>
        <w:t>annexe du présent document.</w:t>
      </w:r>
    </w:p>
    <w:p w:rsidR="0034055D" w:rsidRPr="00612A18" w:rsidRDefault="0034055D" w:rsidP="00C97512">
      <w:pPr>
        <w:rPr>
          <w:lang w:val="fr-CH"/>
        </w:rPr>
      </w:pPr>
    </w:p>
    <w:p w:rsidR="0034055D" w:rsidRPr="00612A18" w:rsidRDefault="00C97512" w:rsidP="00FC69B5">
      <w:pPr>
        <w:rPr>
          <w:lang w:val="fr-CH"/>
        </w:rPr>
      </w:pPr>
      <w:r w:rsidRPr="00612A18">
        <w:rPr>
          <w:lang w:val="fr-CH"/>
        </w:rPr>
        <w:fldChar w:fldCharType="begin"/>
      </w:r>
      <w:r w:rsidRPr="00612A18">
        <w:rPr>
          <w:lang w:val="fr-CH"/>
        </w:rPr>
        <w:instrText xml:space="preserve"> AUTONUM  </w:instrText>
      </w:r>
      <w:r w:rsidRPr="00612A18">
        <w:rPr>
          <w:lang w:val="fr-CH"/>
        </w:rPr>
        <w:fldChar w:fldCharType="end"/>
      </w:r>
      <w:r w:rsidRPr="00612A18">
        <w:rPr>
          <w:lang w:val="fr-CH"/>
        </w:rPr>
        <w:tab/>
      </w:r>
      <w:r w:rsidR="00FC69B5" w:rsidRPr="00612A18">
        <w:rPr>
          <w:lang w:val="fr-CH"/>
        </w:rPr>
        <w:t>Le TWO a noté que les caractères de résistance à la maladie n</w:t>
      </w:r>
      <w:r w:rsidR="005728D7">
        <w:rPr>
          <w:lang w:val="fr-CH"/>
        </w:rPr>
        <w:t>’</w:t>
      </w:r>
      <w:r w:rsidR="00FC69B5" w:rsidRPr="00612A18">
        <w:rPr>
          <w:lang w:val="fr-CH"/>
        </w:rPr>
        <w:t>étaient habitu</w:t>
      </w:r>
      <w:r w:rsidR="0071075D" w:rsidRPr="00612A18">
        <w:rPr>
          <w:lang w:val="fr-CH"/>
        </w:rPr>
        <w:t>elle</w:t>
      </w:r>
      <w:r w:rsidR="007E40B7">
        <w:rPr>
          <w:lang w:val="fr-CH"/>
        </w:rPr>
        <w:t>ment</w:t>
      </w:r>
      <w:r w:rsidR="0071075D" w:rsidRPr="00612A18">
        <w:rPr>
          <w:lang w:val="fr-CH"/>
        </w:rPr>
        <w:t xml:space="preserve"> </w:t>
      </w:r>
      <w:r w:rsidR="007E40B7" w:rsidRPr="00612A18">
        <w:rPr>
          <w:lang w:val="fr-CH"/>
        </w:rPr>
        <w:t xml:space="preserve">pas utilisés </w:t>
      </w:r>
      <w:r w:rsidR="007E40B7">
        <w:rPr>
          <w:lang w:val="fr-CH"/>
        </w:rPr>
        <w:t xml:space="preserve">pour </w:t>
      </w:r>
      <w:r w:rsidR="0071075D" w:rsidRPr="00612A18">
        <w:rPr>
          <w:lang w:val="fr-CH"/>
        </w:rPr>
        <w:t>les plantes orne</w:t>
      </w:r>
      <w:r w:rsidR="00FC69B5" w:rsidRPr="00612A18">
        <w:rPr>
          <w:lang w:val="fr-CH"/>
        </w:rPr>
        <w:t>mentales.</w:t>
      </w:r>
    </w:p>
    <w:p w:rsidR="0034055D" w:rsidRPr="00612A18" w:rsidRDefault="0034055D" w:rsidP="000724B0">
      <w:pPr>
        <w:rPr>
          <w:lang w:val="fr-CH"/>
        </w:rPr>
      </w:pPr>
    </w:p>
    <w:p w:rsidR="005728D7" w:rsidRDefault="000724B0" w:rsidP="00EC40E5">
      <w:pPr>
        <w:rPr>
          <w:lang w:val="fr-CH"/>
        </w:rPr>
      </w:pPr>
      <w:r w:rsidRPr="00612A18">
        <w:rPr>
          <w:lang w:val="fr-CH"/>
        </w:rPr>
        <w:fldChar w:fldCharType="begin"/>
      </w:r>
      <w:r w:rsidRPr="00612A18">
        <w:rPr>
          <w:lang w:val="fr-CH"/>
        </w:rPr>
        <w:instrText xml:space="preserve"> AUTONUM  </w:instrText>
      </w:r>
      <w:r w:rsidRPr="00612A18">
        <w:rPr>
          <w:lang w:val="fr-CH"/>
        </w:rPr>
        <w:fldChar w:fldCharType="end"/>
      </w:r>
      <w:r w:rsidRPr="00612A18">
        <w:rPr>
          <w:lang w:val="fr-CH"/>
        </w:rPr>
        <w:tab/>
      </w:r>
      <w:r w:rsidR="00EC40E5" w:rsidRPr="00612A18">
        <w:rPr>
          <w:lang w:val="fr-CH"/>
        </w:rPr>
        <w:t>Le TWV est convenu qu</w:t>
      </w:r>
      <w:r w:rsidR="005728D7">
        <w:rPr>
          <w:lang w:val="fr-CH"/>
        </w:rPr>
        <w:t>’</w:t>
      </w:r>
      <w:r w:rsidR="00EC40E5" w:rsidRPr="00612A18">
        <w:rPr>
          <w:lang w:val="fr-CH"/>
        </w:rPr>
        <w:t xml:space="preserve">une nouvelle phrase devait être ajoutée dans le </w:t>
      </w:r>
      <w:r w:rsidR="005728D7" w:rsidRPr="00612A18">
        <w:rPr>
          <w:lang w:val="fr-CH"/>
        </w:rPr>
        <w:t>document</w:t>
      </w:r>
      <w:r w:rsidR="005E4765">
        <w:rPr>
          <w:lang w:val="fr-CH"/>
        </w:rPr>
        <w:t> </w:t>
      </w:r>
      <w:r w:rsidR="005728D7" w:rsidRPr="00612A18">
        <w:rPr>
          <w:lang w:val="fr-CH"/>
        </w:rPr>
        <w:t>TG</w:t>
      </w:r>
      <w:r w:rsidR="00EC40E5" w:rsidRPr="00612A18">
        <w:rPr>
          <w:lang w:val="fr-CH"/>
        </w:rPr>
        <w:t xml:space="preserve">P/15 afin de préciser que, </w:t>
      </w:r>
      <w:r w:rsidR="007E40B7">
        <w:rPr>
          <w:lang w:val="fr-CH"/>
        </w:rPr>
        <w:t>si</w:t>
      </w:r>
      <w:r w:rsidR="00EC40E5" w:rsidRPr="00612A18">
        <w:rPr>
          <w:lang w:val="fr-CH"/>
        </w:rPr>
        <w:t xml:space="preserve"> le demandeur affirme dans le questionnaire technique </w:t>
      </w:r>
      <w:r w:rsidR="007E40B7" w:rsidRPr="00612A18">
        <w:rPr>
          <w:lang w:val="fr-CH"/>
        </w:rPr>
        <w:t>qu</w:t>
      </w:r>
      <w:r w:rsidR="005728D7">
        <w:rPr>
          <w:lang w:val="fr-CH"/>
        </w:rPr>
        <w:t>’</w:t>
      </w:r>
      <w:r w:rsidR="007E40B7" w:rsidRPr="00612A18">
        <w:rPr>
          <w:lang w:val="fr-CH"/>
        </w:rPr>
        <w:t xml:space="preserve">une variété est résistante </w:t>
      </w:r>
      <w:r w:rsidR="00EC40E5" w:rsidRPr="00612A18">
        <w:rPr>
          <w:lang w:val="fr-CH"/>
        </w:rPr>
        <w:t xml:space="preserve">mais que le test avec marqueurs se révèle négatif, un essai biologique doit être effectué et </w:t>
      </w:r>
      <w:r w:rsidR="007E40B7">
        <w:rPr>
          <w:lang w:val="fr-CH"/>
        </w:rPr>
        <w:t>s</w:t>
      </w:r>
      <w:r w:rsidR="005728D7">
        <w:rPr>
          <w:lang w:val="fr-CH"/>
        </w:rPr>
        <w:t>’</w:t>
      </w:r>
      <w:r w:rsidR="007E40B7">
        <w:rPr>
          <w:lang w:val="fr-CH"/>
        </w:rPr>
        <w:t>avérer</w:t>
      </w:r>
      <w:r w:rsidR="00EC40E5" w:rsidRPr="00612A18">
        <w:rPr>
          <w:lang w:val="fr-CH"/>
        </w:rPr>
        <w:t xml:space="preserve"> concluant.</w:t>
      </w:r>
    </w:p>
    <w:p w:rsidR="0034055D" w:rsidRPr="00612A18" w:rsidRDefault="0034055D" w:rsidP="00B41AC5">
      <w:pPr>
        <w:rPr>
          <w:rFonts w:cs="Arial"/>
          <w:lang w:val="fr-CH"/>
        </w:rPr>
      </w:pPr>
    </w:p>
    <w:p w:rsidR="0034055D" w:rsidRPr="00612A18" w:rsidRDefault="005F640E" w:rsidP="00EC40E5">
      <w:pPr>
        <w:rPr>
          <w:rFonts w:cs="Arial"/>
          <w:lang w:val="fr-CH"/>
        </w:rPr>
      </w:pPr>
      <w:r w:rsidRPr="00612A18">
        <w:rPr>
          <w:rFonts w:cs="Arial"/>
          <w:lang w:val="fr-CH"/>
        </w:rPr>
        <w:fldChar w:fldCharType="begin"/>
      </w:r>
      <w:r w:rsidRPr="00612A18">
        <w:rPr>
          <w:rFonts w:cs="Arial"/>
          <w:lang w:val="fr-CH"/>
        </w:rPr>
        <w:instrText xml:space="preserve"> AUTONUM  </w:instrText>
      </w:r>
      <w:r w:rsidRPr="00612A18">
        <w:rPr>
          <w:rFonts w:cs="Arial"/>
          <w:lang w:val="fr-CH"/>
        </w:rPr>
        <w:fldChar w:fldCharType="end"/>
      </w:r>
      <w:r w:rsidRPr="00612A18">
        <w:rPr>
          <w:rFonts w:cs="Arial"/>
          <w:lang w:val="fr-CH"/>
        </w:rPr>
        <w:tab/>
      </w:r>
      <w:r w:rsidR="00EC40E5" w:rsidRPr="00612A18">
        <w:rPr>
          <w:rFonts w:cs="Arial"/>
          <w:lang w:val="fr-CH"/>
        </w:rPr>
        <w:t>Les observations formulées par</w:t>
      </w:r>
      <w:r w:rsidR="005728D7" w:rsidRPr="00612A18">
        <w:rPr>
          <w:rFonts w:cs="Arial"/>
          <w:lang w:val="fr-CH"/>
        </w:rPr>
        <w:t xml:space="preserve"> le</w:t>
      </w:r>
      <w:r w:rsidR="005728D7">
        <w:rPr>
          <w:rFonts w:cs="Arial"/>
          <w:lang w:val="fr-CH"/>
        </w:rPr>
        <w:t> </w:t>
      </w:r>
      <w:r w:rsidR="005728D7" w:rsidRPr="00612A18">
        <w:rPr>
          <w:rFonts w:cs="Arial"/>
          <w:lang w:val="fr-CH"/>
        </w:rPr>
        <w:t>TWA</w:t>
      </w:r>
      <w:r w:rsidR="00EC40E5" w:rsidRPr="00612A18">
        <w:rPr>
          <w:rFonts w:cs="Arial"/>
          <w:lang w:val="fr-CH"/>
        </w:rPr>
        <w:t xml:space="preserve"> à sa quarante</w:t>
      </w:r>
      <w:r w:rsidR="005728D7">
        <w:rPr>
          <w:rFonts w:cs="Arial"/>
          <w:lang w:val="fr-CH"/>
        </w:rPr>
        <w:t>-</w:t>
      </w:r>
      <w:r w:rsidR="00EC40E5" w:rsidRPr="00612A18">
        <w:rPr>
          <w:rFonts w:cs="Arial"/>
          <w:lang w:val="fr-CH"/>
        </w:rPr>
        <w:t>huit</w:t>
      </w:r>
      <w:r w:rsidR="005728D7">
        <w:rPr>
          <w:rFonts w:cs="Arial"/>
          <w:lang w:val="fr-CH"/>
        </w:rPr>
        <w:t>ième session</w:t>
      </w:r>
      <w:r w:rsidR="00EC40E5" w:rsidRPr="00612A18">
        <w:rPr>
          <w:rFonts w:cs="Arial"/>
          <w:lang w:val="fr-CH"/>
        </w:rPr>
        <w:t xml:space="preserve"> qui se tiendra à Montevideo (Uruguay) du 16 au 20</w:t>
      </w:r>
      <w:r w:rsidR="00612A18">
        <w:rPr>
          <w:rFonts w:cs="Arial"/>
          <w:lang w:val="fr-CH"/>
        </w:rPr>
        <w:t> </w:t>
      </w:r>
      <w:r w:rsidR="00EC40E5" w:rsidRPr="00612A18">
        <w:rPr>
          <w:rFonts w:cs="Arial"/>
          <w:lang w:val="fr-CH"/>
        </w:rPr>
        <w:t>septembre</w:t>
      </w:r>
      <w:r w:rsidR="00612A18">
        <w:rPr>
          <w:rFonts w:cs="Arial"/>
          <w:lang w:val="fr-CH"/>
        </w:rPr>
        <w:t> </w:t>
      </w:r>
      <w:r w:rsidR="00EC40E5" w:rsidRPr="00612A18">
        <w:rPr>
          <w:rFonts w:cs="Arial"/>
          <w:lang w:val="fr-CH"/>
        </w:rPr>
        <w:t>2019, par</w:t>
      </w:r>
      <w:r w:rsidR="005728D7" w:rsidRPr="00612A18">
        <w:rPr>
          <w:rFonts w:cs="Arial"/>
          <w:lang w:val="fr-CH"/>
        </w:rPr>
        <w:t xml:space="preserve"> le</w:t>
      </w:r>
      <w:r w:rsidR="005728D7">
        <w:rPr>
          <w:rFonts w:cs="Arial"/>
          <w:lang w:val="fr-CH"/>
        </w:rPr>
        <w:t> </w:t>
      </w:r>
      <w:r w:rsidR="005728D7" w:rsidRPr="00612A18">
        <w:rPr>
          <w:rFonts w:cs="Arial"/>
          <w:lang w:val="fr-CH"/>
        </w:rPr>
        <w:t>TWC</w:t>
      </w:r>
      <w:r w:rsidR="00EC40E5" w:rsidRPr="00612A18">
        <w:rPr>
          <w:rFonts w:cs="Arial"/>
          <w:lang w:val="fr-CH"/>
        </w:rPr>
        <w:t xml:space="preserve"> à sa trente</w:t>
      </w:r>
      <w:r w:rsidR="005728D7">
        <w:rPr>
          <w:rFonts w:cs="Arial"/>
          <w:lang w:val="fr-CH"/>
        </w:rPr>
        <w:t>-</w:t>
      </w:r>
      <w:r w:rsidR="00EC40E5" w:rsidRPr="00612A18">
        <w:rPr>
          <w:rFonts w:cs="Arial"/>
          <w:lang w:val="fr-CH"/>
        </w:rPr>
        <w:t>sept</w:t>
      </w:r>
      <w:r w:rsidR="005728D7">
        <w:rPr>
          <w:rFonts w:cs="Arial"/>
          <w:lang w:val="fr-CH"/>
        </w:rPr>
        <w:t>ième session</w:t>
      </w:r>
      <w:r w:rsidR="00EC40E5" w:rsidRPr="00612A18">
        <w:rPr>
          <w:rFonts w:cs="Arial"/>
          <w:lang w:val="fr-CH"/>
        </w:rPr>
        <w:t xml:space="preserve"> qui se tiendra à Hangzhou (Chine) du 14 au 16</w:t>
      </w:r>
      <w:r w:rsidR="00612A18">
        <w:rPr>
          <w:rFonts w:cs="Arial"/>
          <w:lang w:val="fr-CH"/>
        </w:rPr>
        <w:t> </w:t>
      </w:r>
      <w:r w:rsidR="00EC40E5" w:rsidRPr="00612A18">
        <w:rPr>
          <w:rFonts w:cs="Arial"/>
          <w:lang w:val="fr-CH"/>
        </w:rPr>
        <w:t>octobre</w:t>
      </w:r>
      <w:r w:rsidR="00612A18">
        <w:rPr>
          <w:rFonts w:cs="Arial"/>
          <w:lang w:val="fr-CH"/>
        </w:rPr>
        <w:t> </w:t>
      </w:r>
      <w:r w:rsidR="00EC40E5" w:rsidRPr="00612A18">
        <w:rPr>
          <w:rFonts w:cs="Arial"/>
          <w:lang w:val="fr-CH"/>
        </w:rPr>
        <w:t>2019 et par</w:t>
      </w:r>
      <w:r w:rsidR="005728D7" w:rsidRPr="00612A18">
        <w:rPr>
          <w:rFonts w:cs="Arial"/>
          <w:lang w:val="fr-CH"/>
        </w:rPr>
        <w:t xml:space="preserve"> le</w:t>
      </w:r>
      <w:r w:rsidR="005728D7">
        <w:rPr>
          <w:rFonts w:cs="Arial"/>
          <w:lang w:val="fr-CH"/>
        </w:rPr>
        <w:t> </w:t>
      </w:r>
      <w:r w:rsidR="005728D7" w:rsidRPr="00612A18">
        <w:rPr>
          <w:rFonts w:cs="Arial"/>
          <w:lang w:val="fr-CH"/>
        </w:rPr>
        <w:t>BMT</w:t>
      </w:r>
      <w:r w:rsidR="00EC40E5" w:rsidRPr="00612A18">
        <w:rPr>
          <w:rFonts w:cs="Arial"/>
          <w:lang w:val="fr-CH"/>
        </w:rPr>
        <w:t xml:space="preserve"> à sa dix</w:t>
      </w:r>
      <w:r w:rsidR="005728D7">
        <w:rPr>
          <w:rFonts w:cs="Arial"/>
          <w:lang w:val="fr-CH"/>
        </w:rPr>
        <w:t>-</w:t>
      </w:r>
      <w:r w:rsidR="00EC40E5" w:rsidRPr="00612A18">
        <w:rPr>
          <w:rFonts w:cs="Arial"/>
          <w:lang w:val="fr-CH"/>
        </w:rPr>
        <w:t>huit</w:t>
      </w:r>
      <w:r w:rsidR="005728D7">
        <w:rPr>
          <w:rFonts w:cs="Arial"/>
          <w:lang w:val="fr-CH"/>
        </w:rPr>
        <w:t>ième session</w:t>
      </w:r>
      <w:r w:rsidR="00EC40E5" w:rsidRPr="00612A18">
        <w:rPr>
          <w:rFonts w:cs="Arial"/>
          <w:lang w:val="fr-CH"/>
        </w:rPr>
        <w:t xml:space="preserve"> qui se tiendra à Hangzhou (Chine) du 16 au 18</w:t>
      </w:r>
      <w:r w:rsidR="00612A18">
        <w:rPr>
          <w:rFonts w:cs="Arial"/>
          <w:lang w:val="fr-CH"/>
        </w:rPr>
        <w:t> </w:t>
      </w:r>
      <w:r w:rsidR="00EC40E5" w:rsidRPr="00612A18">
        <w:rPr>
          <w:rFonts w:cs="Arial"/>
          <w:lang w:val="fr-CH"/>
        </w:rPr>
        <w:t>octobre</w:t>
      </w:r>
      <w:r w:rsidR="00612A18">
        <w:rPr>
          <w:rFonts w:cs="Arial"/>
          <w:lang w:val="fr-CH"/>
        </w:rPr>
        <w:t> </w:t>
      </w:r>
      <w:r w:rsidR="00EC40E5" w:rsidRPr="00612A18">
        <w:rPr>
          <w:rFonts w:cs="Arial"/>
          <w:lang w:val="fr-CH"/>
        </w:rPr>
        <w:t>2019 seront présentées dans un additif au présent document.</w:t>
      </w:r>
    </w:p>
    <w:p w:rsidR="0034055D" w:rsidRPr="00612A18" w:rsidRDefault="0034055D" w:rsidP="00B41AC5">
      <w:pPr>
        <w:rPr>
          <w:rFonts w:cs="Arial"/>
          <w:lang w:val="fr-CH"/>
        </w:rPr>
      </w:pPr>
    </w:p>
    <w:p w:rsidR="0034055D" w:rsidRPr="00612A18" w:rsidRDefault="0034055D" w:rsidP="00B41AC5">
      <w:pPr>
        <w:rPr>
          <w:rFonts w:cs="Arial"/>
          <w:lang w:val="fr-CH"/>
        </w:rPr>
      </w:pPr>
    </w:p>
    <w:p w:rsidR="0034055D" w:rsidRPr="00612A18" w:rsidRDefault="00EC40E5" w:rsidP="00EC40E5">
      <w:pPr>
        <w:keepNext/>
        <w:outlineLvl w:val="0"/>
        <w:rPr>
          <w:caps/>
          <w:snapToGrid w:val="0"/>
          <w:lang w:val="fr-CH"/>
        </w:rPr>
      </w:pPr>
      <w:bookmarkStart w:id="11" w:name="_Toc18318013"/>
      <w:r w:rsidRPr="00612A18">
        <w:rPr>
          <w:caps/>
          <w:snapToGrid w:val="0"/>
          <w:lang w:val="fr-CH"/>
        </w:rPr>
        <w:t>Proposition</w:t>
      </w:r>
      <w:bookmarkEnd w:id="11"/>
    </w:p>
    <w:p w:rsidR="0034055D" w:rsidRPr="00612A18" w:rsidRDefault="0034055D" w:rsidP="00B41AC5">
      <w:pPr>
        <w:jc w:val="left"/>
        <w:rPr>
          <w:snapToGrid w:val="0"/>
          <w:lang w:val="fr-CH"/>
        </w:rPr>
      </w:pPr>
    </w:p>
    <w:p w:rsidR="0034055D" w:rsidRPr="00612A18" w:rsidRDefault="00B41AC5" w:rsidP="0071075D">
      <w:pPr>
        <w:rPr>
          <w:snapToGrid w:val="0"/>
          <w:lang w:val="fr-CH"/>
        </w:rPr>
      </w:pPr>
      <w:r w:rsidRPr="00612A18">
        <w:rPr>
          <w:snapToGrid w:val="0"/>
          <w:lang w:val="fr-CH"/>
        </w:rPr>
        <w:fldChar w:fldCharType="begin"/>
      </w:r>
      <w:r w:rsidRPr="00612A18">
        <w:rPr>
          <w:snapToGrid w:val="0"/>
          <w:lang w:val="fr-CH"/>
        </w:rPr>
        <w:instrText xml:space="preserve"> AUTONUM  </w:instrText>
      </w:r>
      <w:r w:rsidRPr="00612A18">
        <w:rPr>
          <w:snapToGrid w:val="0"/>
          <w:lang w:val="fr-CH"/>
        </w:rPr>
        <w:fldChar w:fldCharType="end"/>
      </w:r>
      <w:r w:rsidRPr="00612A18">
        <w:rPr>
          <w:snapToGrid w:val="0"/>
          <w:lang w:val="fr-CH"/>
        </w:rPr>
        <w:tab/>
      </w:r>
      <w:r w:rsidR="0071075D" w:rsidRPr="00612A18">
        <w:rPr>
          <w:snapToGrid w:val="0"/>
          <w:lang w:val="fr-CH"/>
        </w:rPr>
        <w:t>L</w:t>
      </w:r>
      <w:r w:rsidR="005728D7">
        <w:rPr>
          <w:snapToGrid w:val="0"/>
          <w:lang w:val="fr-CH"/>
        </w:rPr>
        <w:t>’</w:t>
      </w:r>
      <w:r w:rsidR="0071075D" w:rsidRPr="00612A18">
        <w:rPr>
          <w:snapToGrid w:val="0"/>
          <w:lang w:val="fr-CH"/>
        </w:rPr>
        <w:t>annexe du présent document contient une proposition établie par des experts des Pays</w:t>
      </w:r>
      <w:r w:rsidR="005728D7">
        <w:rPr>
          <w:snapToGrid w:val="0"/>
          <w:lang w:val="fr-CH"/>
        </w:rPr>
        <w:t>-</w:t>
      </w:r>
      <w:r w:rsidR="0071075D" w:rsidRPr="00612A18">
        <w:rPr>
          <w:snapToGrid w:val="0"/>
          <w:lang w:val="fr-CH"/>
        </w:rPr>
        <w:t xml:space="preserve">Bas concernant un nouvel exemple à inclure dans le modèle “Marqueurs moléculaires propres aux caractères” du </w:t>
      </w:r>
      <w:r w:rsidR="005728D7" w:rsidRPr="00612A18">
        <w:rPr>
          <w:snapToGrid w:val="0"/>
          <w:lang w:val="fr-CH"/>
        </w:rPr>
        <w:t>document</w:t>
      </w:r>
      <w:r w:rsidR="005E4765">
        <w:rPr>
          <w:snapToGrid w:val="0"/>
          <w:lang w:val="fr-CH"/>
        </w:rPr>
        <w:t> </w:t>
      </w:r>
      <w:r w:rsidR="005728D7" w:rsidRPr="00612A18">
        <w:rPr>
          <w:snapToGrid w:val="0"/>
          <w:lang w:val="fr-CH"/>
        </w:rPr>
        <w:t>TG</w:t>
      </w:r>
      <w:r w:rsidR="0071075D" w:rsidRPr="00612A18">
        <w:rPr>
          <w:snapToGrid w:val="0"/>
          <w:lang w:val="fr-CH"/>
        </w:rPr>
        <w:t>P/15 afin d</w:t>
      </w:r>
      <w:r w:rsidR="005728D7">
        <w:rPr>
          <w:snapToGrid w:val="0"/>
          <w:lang w:val="fr-CH"/>
        </w:rPr>
        <w:t>’</w:t>
      </w:r>
      <w:r w:rsidR="0071075D" w:rsidRPr="00612A18">
        <w:rPr>
          <w:snapToGrid w:val="0"/>
          <w:lang w:val="fr-CH"/>
        </w:rPr>
        <w:t xml:space="preserve">illustrer le cas où </w:t>
      </w:r>
      <w:r w:rsidR="007E40B7">
        <w:rPr>
          <w:snapToGrid w:val="0"/>
          <w:lang w:val="fr-CH"/>
        </w:rPr>
        <w:t xml:space="preserve">le </w:t>
      </w:r>
      <w:r w:rsidR="0071075D" w:rsidRPr="00612A18">
        <w:rPr>
          <w:snapToGrid w:val="0"/>
          <w:lang w:val="fr-CH"/>
        </w:rPr>
        <w:t xml:space="preserve">marqueur </w:t>
      </w:r>
      <w:r w:rsidR="007E40B7">
        <w:rPr>
          <w:snapToGrid w:val="0"/>
          <w:lang w:val="fr-CH"/>
        </w:rPr>
        <w:t xml:space="preserve">propre aux </w:t>
      </w:r>
      <w:r w:rsidR="007E40B7" w:rsidRPr="00612A18">
        <w:rPr>
          <w:snapToGrid w:val="0"/>
          <w:lang w:val="fr-CH"/>
        </w:rPr>
        <w:t>caractère</w:t>
      </w:r>
      <w:r w:rsidR="007E40B7">
        <w:rPr>
          <w:snapToGrid w:val="0"/>
          <w:lang w:val="fr-CH"/>
        </w:rPr>
        <w:t>s</w:t>
      </w:r>
      <w:r w:rsidR="007E40B7" w:rsidRPr="00612A18">
        <w:rPr>
          <w:snapToGrid w:val="0"/>
          <w:lang w:val="fr-CH"/>
        </w:rPr>
        <w:t xml:space="preserve"> </w:t>
      </w:r>
      <w:r w:rsidR="0071075D" w:rsidRPr="00612A18">
        <w:rPr>
          <w:snapToGrid w:val="0"/>
          <w:lang w:val="fr-CH"/>
        </w:rPr>
        <w:t>ne fournit pas toutes les informatio</w:t>
      </w:r>
      <w:r w:rsidR="007E40B7">
        <w:rPr>
          <w:snapToGrid w:val="0"/>
          <w:lang w:val="fr-CH"/>
        </w:rPr>
        <w:t>ns sur le niveau d</w:t>
      </w:r>
      <w:r w:rsidR="005728D7">
        <w:rPr>
          <w:snapToGrid w:val="0"/>
          <w:lang w:val="fr-CH"/>
        </w:rPr>
        <w:t>’</w:t>
      </w:r>
      <w:r w:rsidR="007E40B7">
        <w:rPr>
          <w:snapToGrid w:val="0"/>
          <w:lang w:val="fr-CH"/>
        </w:rPr>
        <w:t>expression d</w:t>
      </w:r>
      <w:r w:rsidR="005728D7">
        <w:rPr>
          <w:snapToGrid w:val="0"/>
          <w:lang w:val="fr-CH"/>
        </w:rPr>
        <w:t>’</w:t>
      </w:r>
      <w:r w:rsidR="007E40B7">
        <w:rPr>
          <w:snapToGrid w:val="0"/>
          <w:lang w:val="fr-CH"/>
        </w:rPr>
        <w:t>un</w:t>
      </w:r>
      <w:r w:rsidR="0071075D" w:rsidRPr="00612A18">
        <w:rPr>
          <w:snapToGrid w:val="0"/>
          <w:lang w:val="fr-CH"/>
        </w:rPr>
        <w:t xml:space="preserve"> caractère.</w:t>
      </w:r>
    </w:p>
    <w:p w:rsidR="0034055D" w:rsidRPr="00612A18" w:rsidRDefault="0034055D" w:rsidP="003F57DE">
      <w:pPr>
        <w:rPr>
          <w:rFonts w:cs="Arial"/>
          <w:lang w:val="fr-CH"/>
        </w:rPr>
      </w:pPr>
    </w:p>
    <w:p w:rsidR="0034055D" w:rsidRPr="00612A18" w:rsidRDefault="00543967" w:rsidP="0071075D">
      <w:pPr>
        <w:rPr>
          <w:lang w:val="fr-CH"/>
        </w:rPr>
      </w:pPr>
      <w:r w:rsidRPr="00612A18">
        <w:rPr>
          <w:lang w:val="fr-CH"/>
        </w:rPr>
        <w:fldChar w:fldCharType="begin"/>
      </w:r>
      <w:r w:rsidRPr="00612A18">
        <w:rPr>
          <w:lang w:val="fr-CH"/>
        </w:rPr>
        <w:instrText xml:space="preserve"> AUTONUM  </w:instrText>
      </w:r>
      <w:r w:rsidRPr="00612A18">
        <w:rPr>
          <w:lang w:val="fr-CH"/>
        </w:rPr>
        <w:fldChar w:fldCharType="end"/>
      </w:r>
      <w:r w:rsidRPr="00612A18">
        <w:rPr>
          <w:lang w:val="fr-CH"/>
        </w:rPr>
        <w:tab/>
      </w:r>
      <w:r w:rsidR="0071075D" w:rsidRPr="00612A18">
        <w:rPr>
          <w:lang w:val="fr-CH"/>
        </w:rPr>
        <w:t>Le</w:t>
      </w:r>
      <w:r w:rsidR="005728D7">
        <w:rPr>
          <w:lang w:val="fr-CH"/>
        </w:rPr>
        <w:t> TC</w:t>
      </w:r>
      <w:r w:rsidR="0071075D" w:rsidRPr="00612A18">
        <w:rPr>
          <w:lang w:val="fr-CH"/>
        </w:rPr>
        <w:t xml:space="preserve"> souhaitera peut</w:t>
      </w:r>
      <w:r w:rsidR="005728D7">
        <w:rPr>
          <w:lang w:val="fr-CH"/>
        </w:rPr>
        <w:t>-</w:t>
      </w:r>
      <w:r w:rsidR="0071075D" w:rsidRPr="00612A18">
        <w:rPr>
          <w:lang w:val="fr-CH"/>
        </w:rPr>
        <w:t xml:space="preserve">être </w:t>
      </w:r>
      <w:r w:rsidR="000F711F">
        <w:rPr>
          <w:lang w:val="fr-CH"/>
        </w:rPr>
        <w:t>vérifier</w:t>
      </w:r>
      <w:r w:rsidR="0071075D" w:rsidRPr="00612A18">
        <w:rPr>
          <w:lang w:val="fr-CH"/>
        </w:rPr>
        <w:t xml:space="preserve"> si </w:t>
      </w:r>
      <w:r w:rsidR="000F711F">
        <w:rPr>
          <w:lang w:val="fr-CH"/>
        </w:rPr>
        <w:t>la phrase ci</w:t>
      </w:r>
      <w:r w:rsidR="005728D7">
        <w:rPr>
          <w:lang w:val="fr-CH"/>
        </w:rPr>
        <w:t>-</w:t>
      </w:r>
      <w:r w:rsidR="000F711F">
        <w:rPr>
          <w:lang w:val="fr-CH"/>
        </w:rPr>
        <w:t>après du</w:t>
      </w:r>
      <w:r w:rsidR="007E40B7" w:rsidRPr="00612A18">
        <w:rPr>
          <w:lang w:val="fr-CH"/>
        </w:rPr>
        <w:t xml:space="preserve"> projet de conseils </w:t>
      </w:r>
      <w:r w:rsidR="007E40B7">
        <w:rPr>
          <w:lang w:val="fr-CH"/>
        </w:rPr>
        <w:t xml:space="preserve">répond à </w:t>
      </w:r>
      <w:r w:rsidR="0071075D" w:rsidRPr="00612A18">
        <w:rPr>
          <w:lang w:val="fr-CH"/>
        </w:rPr>
        <w:t>la demande</w:t>
      </w:r>
      <w:r w:rsidR="005728D7" w:rsidRPr="00612A18">
        <w:rPr>
          <w:lang w:val="fr-CH"/>
        </w:rPr>
        <w:t xml:space="preserve"> du</w:t>
      </w:r>
      <w:r w:rsidR="005728D7">
        <w:rPr>
          <w:lang w:val="fr-CH"/>
        </w:rPr>
        <w:t> </w:t>
      </w:r>
      <w:r w:rsidR="005728D7" w:rsidRPr="00612A18">
        <w:rPr>
          <w:lang w:val="fr-CH"/>
        </w:rPr>
        <w:t>TWV</w:t>
      </w:r>
      <w:r w:rsidR="0071075D" w:rsidRPr="00612A18">
        <w:rPr>
          <w:lang w:val="fr-CH"/>
        </w:rPr>
        <w:t xml:space="preserve"> </w:t>
      </w:r>
      <w:r w:rsidR="007E40B7">
        <w:rPr>
          <w:lang w:val="fr-CH"/>
        </w:rPr>
        <w:t xml:space="preserve">figurant </w:t>
      </w:r>
      <w:r w:rsidR="0071075D" w:rsidRPr="00612A18">
        <w:rPr>
          <w:lang w:val="fr-CH"/>
        </w:rPr>
        <w:t xml:space="preserve">dans le </w:t>
      </w:r>
      <w:r w:rsidR="0071075D" w:rsidRPr="00220087">
        <w:rPr>
          <w:lang w:val="fr-CH"/>
        </w:rPr>
        <w:t>paragraphe</w:t>
      </w:r>
      <w:r w:rsidR="00612A18" w:rsidRPr="00220087">
        <w:rPr>
          <w:lang w:val="fr-CH"/>
        </w:rPr>
        <w:t> </w:t>
      </w:r>
      <w:r w:rsidR="0071075D" w:rsidRPr="00220087">
        <w:rPr>
          <w:lang w:val="fr-CH"/>
        </w:rPr>
        <w:t>10</w:t>
      </w:r>
      <w:r w:rsidR="005728D7" w:rsidRPr="00220087">
        <w:rPr>
          <w:lang w:val="fr-CH"/>
        </w:rPr>
        <w:t> :</w:t>
      </w:r>
    </w:p>
    <w:p w:rsidR="0034055D" w:rsidRPr="00612A18" w:rsidRDefault="0034055D" w:rsidP="00543967">
      <w:pPr>
        <w:autoSpaceDE w:val="0"/>
        <w:autoSpaceDN w:val="0"/>
        <w:adjustRightInd w:val="0"/>
        <w:rPr>
          <w:rFonts w:eastAsia="Calibri" w:cs="Arial"/>
          <w:lang w:val="fr-CH"/>
        </w:rPr>
      </w:pPr>
    </w:p>
    <w:p w:rsidR="0034055D" w:rsidRPr="00612A18" w:rsidRDefault="00BF3FC8" w:rsidP="00BF3FC8">
      <w:pPr>
        <w:autoSpaceDE w:val="0"/>
        <w:autoSpaceDN w:val="0"/>
        <w:adjustRightInd w:val="0"/>
        <w:ind w:left="567" w:right="567"/>
        <w:rPr>
          <w:rFonts w:eastAsia="Calibri" w:cs="Arial"/>
          <w:sz w:val="18"/>
          <w:lang w:val="fr-CH"/>
        </w:rPr>
      </w:pPr>
      <w:r w:rsidRPr="00612A18">
        <w:rPr>
          <w:rFonts w:eastAsia="Calibri" w:cs="Arial"/>
          <w:sz w:val="18"/>
          <w:lang w:val="fr-CH"/>
        </w:rPr>
        <w:t>“6.</w:t>
      </w:r>
      <w:r w:rsidRPr="00612A18">
        <w:rPr>
          <w:rFonts w:eastAsia="Calibri" w:cs="Arial"/>
          <w:sz w:val="18"/>
          <w:lang w:val="fr-CH"/>
        </w:rPr>
        <w:tab/>
        <w:t>Si une variété est censée être résistante à la souche</w:t>
      </w:r>
      <w:r w:rsidR="00612A18">
        <w:rPr>
          <w:rFonts w:eastAsia="Calibri" w:cs="Arial"/>
          <w:sz w:val="18"/>
          <w:lang w:val="fr-CH"/>
        </w:rPr>
        <w:t> </w:t>
      </w:r>
      <w:r w:rsidRPr="00612A18">
        <w:rPr>
          <w:rFonts w:eastAsia="Calibri" w:cs="Arial"/>
          <w:sz w:val="18"/>
          <w:lang w:val="fr-CH"/>
        </w:rPr>
        <w:t>0 du virus de la mosaïque de la tomate et que les résultats du test avec marqueurs d</w:t>
      </w:r>
      <w:r w:rsidR="005728D7">
        <w:rPr>
          <w:rFonts w:eastAsia="Calibri" w:cs="Arial"/>
          <w:sz w:val="18"/>
          <w:lang w:val="fr-CH"/>
        </w:rPr>
        <w:t>’</w:t>
      </w:r>
      <w:r w:rsidRPr="00612A18">
        <w:rPr>
          <w:rFonts w:eastAsia="Calibri" w:cs="Arial"/>
          <w:sz w:val="18"/>
          <w:lang w:val="fr-CH"/>
        </w:rPr>
        <w:t>ADN sont tm2/tm2 (homozygote sensible), un essai biologique doit être effectué pour déterminer si la variété est résistante sur la base d</w:t>
      </w:r>
      <w:r w:rsidR="005728D7">
        <w:rPr>
          <w:rFonts w:eastAsia="Calibri" w:cs="Arial"/>
          <w:sz w:val="18"/>
          <w:lang w:val="fr-CH"/>
        </w:rPr>
        <w:t>’</w:t>
      </w:r>
      <w:r w:rsidRPr="00612A18">
        <w:rPr>
          <w:rFonts w:eastAsia="Calibri" w:cs="Arial"/>
          <w:sz w:val="18"/>
          <w:lang w:val="fr-CH"/>
        </w:rPr>
        <w:t>un autre gène, tel que Tm1.”</w:t>
      </w:r>
    </w:p>
    <w:p w:rsidR="0034055D" w:rsidRPr="00612A18" w:rsidRDefault="0034055D" w:rsidP="00B41AC5">
      <w:pPr>
        <w:jc w:val="left"/>
        <w:rPr>
          <w:snapToGrid w:val="0"/>
          <w:lang w:val="fr-CH"/>
        </w:rPr>
      </w:pPr>
    </w:p>
    <w:p w:rsidR="005728D7" w:rsidRDefault="00B41AC5" w:rsidP="00BF3FC8">
      <w:pPr>
        <w:pStyle w:val="DecisionParagraphs"/>
        <w:rPr>
          <w:lang w:val="fr-CH"/>
        </w:rPr>
      </w:pPr>
      <w:r w:rsidRPr="00612A18">
        <w:rPr>
          <w:snapToGrid w:val="0"/>
          <w:lang w:val="fr-CH"/>
        </w:rPr>
        <w:fldChar w:fldCharType="begin"/>
      </w:r>
      <w:r w:rsidRPr="00612A18">
        <w:rPr>
          <w:snapToGrid w:val="0"/>
          <w:lang w:val="fr-CH"/>
        </w:rPr>
        <w:instrText xml:space="preserve"> AUTONUM  </w:instrText>
      </w:r>
      <w:r w:rsidRPr="00612A18">
        <w:rPr>
          <w:snapToGrid w:val="0"/>
          <w:lang w:val="fr-CH"/>
        </w:rPr>
        <w:fldChar w:fldCharType="end"/>
      </w:r>
      <w:r w:rsidRPr="00612A18">
        <w:rPr>
          <w:snapToGrid w:val="0"/>
          <w:lang w:val="fr-CH"/>
        </w:rPr>
        <w:tab/>
      </w:r>
      <w:r w:rsidR="00BF3FC8" w:rsidRPr="00612A18">
        <w:rPr>
          <w:snapToGrid w:val="0"/>
          <w:lang w:val="fr-CH"/>
        </w:rPr>
        <w:t>Le</w:t>
      </w:r>
      <w:r w:rsidR="005728D7">
        <w:rPr>
          <w:snapToGrid w:val="0"/>
          <w:lang w:val="fr-CH"/>
        </w:rPr>
        <w:t> TC</w:t>
      </w:r>
      <w:r w:rsidR="00BF3FC8" w:rsidRPr="00612A18">
        <w:rPr>
          <w:snapToGrid w:val="0"/>
          <w:lang w:val="fr-CH"/>
        </w:rPr>
        <w:t xml:space="preserve"> est invité à examiner la proposition concernant un nouvel exemple à inclure dans le document TGP/15 afin d</w:t>
      </w:r>
      <w:r w:rsidR="005728D7">
        <w:rPr>
          <w:snapToGrid w:val="0"/>
          <w:lang w:val="fr-CH"/>
        </w:rPr>
        <w:t>’</w:t>
      </w:r>
      <w:r w:rsidR="00BF3FC8" w:rsidRPr="00612A18">
        <w:rPr>
          <w:snapToGrid w:val="0"/>
          <w:lang w:val="fr-CH"/>
        </w:rPr>
        <w:t xml:space="preserve">illustrer le cas où </w:t>
      </w:r>
      <w:r w:rsidR="007E40B7">
        <w:rPr>
          <w:snapToGrid w:val="0"/>
          <w:lang w:val="fr-CH"/>
        </w:rPr>
        <w:t>le</w:t>
      </w:r>
      <w:r w:rsidR="00BF3FC8" w:rsidRPr="00612A18">
        <w:rPr>
          <w:snapToGrid w:val="0"/>
          <w:lang w:val="fr-CH"/>
        </w:rPr>
        <w:t xml:space="preserve"> marqueur </w:t>
      </w:r>
      <w:r w:rsidR="007E40B7">
        <w:rPr>
          <w:snapToGrid w:val="0"/>
          <w:lang w:val="fr-CH"/>
        </w:rPr>
        <w:t xml:space="preserve">propre aux </w:t>
      </w:r>
      <w:r w:rsidR="00BF3FC8" w:rsidRPr="00612A18">
        <w:rPr>
          <w:snapToGrid w:val="0"/>
          <w:lang w:val="fr-CH"/>
        </w:rPr>
        <w:t>caractère</w:t>
      </w:r>
      <w:r w:rsidR="007E40B7">
        <w:rPr>
          <w:snapToGrid w:val="0"/>
          <w:lang w:val="fr-CH"/>
        </w:rPr>
        <w:t>s</w:t>
      </w:r>
      <w:r w:rsidR="00BF3FC8" w:rsidRPr="00612A18">
        <w:rPr>
          <w:snapToGrid w:val="0"/>
          <w:lang w:val="fr-CH"/>
        </w:rPr>
        <w:t xml:space="preserve"> ne fournit pas toutes les informatio</w:t>
      </w:r>
      <w:r w:rsidR="007E40B7">
        <w:rPr>
          <w:snapToGrid w:val="0"/>
          <w:lang w:val="fr-CH"/>
        </w:rPr>
        <w:t>ns sur le niveau d</w:t>
      </w:r>
      <w:r w:rsidR="005728D7">
        <w:rPr>
          <w:snapToGrid w:val="0"/>
          <w:lang w:val="fr-CH"/>
        </w:rPr>
        <w:t>’</w:t>
      </w:r>
      <w:r w:rsidR="007E40B7">
        <w:rPr>
          <w:snapToGrid w:val="0"/>
          <w:lang w:val="fr-CH"/>
        </w:rPr>
        <w:t>expression d</w:t>
      </w:r>
      <w:r w:rsidR="005728D7">
        <w:rPr>
          <w:snapToGrid w:val="0"/>
          <w:lang w:val="fr-CH"/>
        </w:rPr>
        <w:t>’</w:t>
      </w:r>
      <w:r w:rsidR="007E40B7">
        <w:rPr>
          <w:snapToGrid w:val="0"/>
          <w:lang w:val="fr-CH"/>
        </w:rPr>
        <w:t>un</w:t>
      </w:r>
      <w:r w:rsidR="00BF3FC8" w:rsidRPr="00612A18">
        <w:rPr>
          <w:snapToGrid w:val="0"/>
          <w:lang w:val="fr-CH"/>
        </w:rPr>
        <w:t xml:space="preserve"> caractère, comme indiqué dans l</w:t>
      </w:r>
      <w:r w:rsidR="005728D7">
        <w:rPr>
          <w:snapToGrid w:val="0"/>
          <w:lang w:val="fr-CH"/>
        </w:rPr>
        <w:t>’</w:t>
      </w:r>
      <w:r w:rsidR="00BF3FC8" w:rsidRPr="00612A18">
        <w:rPr>
          <w:snapToGrid w:val="0"/>
          <w:lang w:val="fr-CH"/>
        </w:rPr>
        <w:t>annexe du présent document, en tenant compte des observations formulées par</w:t>
      </w:r>
      <w:r w:rsidR="005728D7" w:rsidRPr="00612A18">
        <w:rPr>
          <w:snapToGrid w:val="0"/>
          <w:lang w:val="fr-CH"/>
        </w:rPr>
        <w:t xml:space="preserve"> le</w:t>
      </w:r>
      <w:r w:rsidR="005728D7">
        <w:rPr>
          <w:snapToGrid w:val="0"/>
          <w:lang w:val="fr-CH"/>
        </w:rPr>
        <w:t> </w:t>
      </w:r>
      <w:r w:rsidR="005728D7" w:rsidRPr="00612A18">
        <w:rPr>
          <w:snapToGrid w:val="0"/>
          <w:lang w:val="fr-CH"/>
        </w:rPr>
        <w:t>TWA</w:t>
      </w:r>
      <w:r w:rsidR="00BF3FC8" w:rsidRPr="00612A18">
        <w:rPr>
          <w:snapToGrid w:val="0"/>
          <w:lang w:val="fr-CH"/>
        </w:rPr>
        <w:t>,</w:t>
      </w:r>
      <w:r w:rsidR="005728D7" w:rsidRPr="00612A18">
        <w:rPr>
          <w:snapToGrid w:val="0"/>
          <w:lang w:val="fr-CH"/>
        </w:rPr>
        <w:t xml:space="preserve"> le</w:t>
      </w:r>
      <w:r w:rsidR="005728D7">
        <w:rPr>
          <w:snapToGrid w:val="0"/>
          <w:lang w:val="fr-CH"/>
        </w:rPr>
        <w:t> </w:t>
      </w:r>
      <w:r w:rsidR="005728D7" w:rsidRPr="00612A18">
        <w:rPr>
          <w:snapToGrid w:val="0"/>
          <w:lang w:val="fr-CH"/>
        </w:rPr>
        <w:t>TWC</w:t>
      </w:r>
      <w:r w:rsidR="00BF3FC8" w:rsidRPr="00612A18">
        <w:rPr>
          <w:snapToGrid w:val="0"/>
          <w:lang w:val="fr-CH"/>
        </w:rPr>
        <w:t xml:space="preserve"> et</w:t>
      </w:r>
      <w:r w:rsidR="005728D7" w:rsidRPr="00612A18">
        <w:rPr>
          <w:snapToGrid w:val="0"/>
          <w:lang w:val="fr-CH"/>
        </w:rPr>
        <w:t xml:space="preserve"> le</w:t>
      </w:r>
      <w:r w:rsidR="005728D7">
        <w:rPr>
          <w:snapToGrid w:val="0"/>
          <w:lang w:val="fr-CH"/>
        </w:rPr>
        <w:t> </w:t>
      </w:r>
      <w:r w:rsidR="005728D7" w:rsidRPr="00612A18">
        <w:rPr>
          <w:snapToGrid w:val="0"/>
          <w:lang w:val="fr-CH"/>
        </w:rPr>
        <w:t>BMT</w:t>
      </w:r>
      <w:r w:rsidR="00BF3FC8" w:rsidRPr="00612A18">
        <w:rPr>
          <w:snapToGrid w:val="0"/>
          <w:lang w:val="fr-CH"/>
        </w:rPr>
        <w:t>.</w:t>
      </w:r>
    </w:p>
    <w:p w:rsidR="0034055D" w:rsidRPr="00612A18" w:rsidRDefault="0034055D" w:rsidP="00B41AC5">
      <w:pPr>
        <w:tabs>
          <w:tab w:val="left" w:pos="5954"/>
        </w:tabs>
        <w:ind w:left="4820" w:firstLine="570"/>
        <w:rPr>
          <w:i/>
          <w:lang w:val="fr-CH"/>
        </w:rPr>
      </w:pPr>
    </w:p>
    <w:p w:rsidR="0034055D" w:rsidRPr="00612A18" w:rsidRDefault="0034055D" w:rsidP="00B41AC5">
      <w:pPr>
        <w:rPr>
          <w:lang w:val="fr-CH"/>
        </w:rPr>
      </w:pPr>
    </w:p>
    <w:p w:rsidR="0034055D" w:rsidRPr="009F5B61" w:rsidRDefault="0034055D" w:rsidP="00B41AC5">
      <w:pPr>
        <w:rPr>
          <w:lang w:val="fr-CH"/>
        </w:rPr>
      </w:pPr>
    </w:p>
    <w:p w:rsidR="0034055D" w:rsidRPr="009F5B61" w:rsidRDefault="00BF3FC8" w:rsidP="00BF3FC8">
      <w:pPr>
        <w:jc w:val="right"/>
        <w:rPr>
          <w:snapToGrid w:val="0"/>
          <w:lang w:val="fr-CH"/>
        </w:rPr>
      </w:pPr>
      <w:r w:rsidRPr="009F5B61">
        <w:rPr>
          <w:snapToGrid w:val="0"/>
          <w:lang w:val="fr-CH"/>
        </w:rPr>
        <w:t>[L</w:t>
      </w:r>
      <w:r w:rsidR="005728D7">
        <w:rPr>
          <w:snapToGrid w:val="0"/>
          <w:lang w:val="fr-CH"/>
        </w:rPr>
        <w:t>’</w:t>
      </w:r>
      <w:r w:rsidRPr="009F5B61">
        <w:rPr>
          <w:snapToGrid w:val="0"/>
          <w:lang w:val="fr-CH"/>
        </w:rPr>
        <w:t>annexe suit]</w:t>
      </w:r>
    </w:p>
    <w:p w:rsidR="0034055D" w:rsidRPr="00612A18" w:rsidRDefault="0034055D" w:rsidP="00B41AC5">
      <w:pPr>
        <w:jc w:val="left"/>
        <w:rPr>
          <w:snapToGrid w:val="0"/>
          <w:sz w:val="18"/>
          <w:szCs w:val="18"/>
          <w:lang w:val="fr-CH"/>
        </w:rPr>
      </w:pPr>
    </w:p>
    <w:p w:rsidR="00B41AC5" w:rsidRPr="00612A18" w:rsidRDefault="00B41AC5" w:rsidP="00B41AC5">
      <w:pPr>
        <w:jc w:val="left"/>
        <w:rPr>
          <w:lang w:val="fr-CH"/>
        </w:rPr>
        <w:sectPr w:rsidR="00B41AC5" w:rsidRPr="00612A18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34055D" w:rsidRPr="00612A18" w:rsidRDefault="007E40B7" w:rsidP="00BF3FC8">
      <w:pPr>
        <w:spacing w:after="160" w:line="259" w:lineRule="auto"/>
        <w:jc w:val="center"/>
        <w:rPr>
          <w:rFonts w:eastAsia="Calibri" w:cs="Arial"/>
          <w:lang w:val="fr-CH"/>
        </w:rPr>
      </w:pPr>
      <w:r w:rsidRPr="00612A18">
        <w:rPr>
          <w:rFonts w:eastAsia="Calibri" w:cs="Arial"/>
          <w:lang w:val="fr-CH"/>
        </w:rPr>
        <w:lastRenderedPageBreak/>
        <w:t>EXEMPLE</w:t>
      </w:r>
      <w:r>
        <w:rPr>
          <w:rFonts w:eastAsia="Calibri" w:cs="Arial"/>
          <w:lang w:val="fr-CH"/>
        </w:rPr>
        <w:t> </w:t>
      </w:r>
      <w:r w:rsidRPr="00612A18">
        <w:rPr>
          <w:rFonts w:eastAsia="Calibri" w:cs="Arial"/>
          <w:lang w:val="fr-CH"/>
        </w:rPr>
        <w:t>2</w:t>
      </w:r>
      <w:r w:rsidR="005728D7">
        <w:rPr>
          <w:rFonts w:eastAsia="Calibri" w:cs="Arial"/>
          <w:lang w:val="fr-CH"/>
        </w:rPr>
        <w:t> :</w:t>
      </w:r>
      <w:r w:rsidRPr="00612A18">
        <w:rPr>
          <w:rFonts w:eastAsia="Calibri" w:cs="Arial"/>
          <w:lang w:val="fr-CH"/>
        </w:rPr>
        <w:t xml:space="preserve"> MARQUEUR DE GÈNE CONCERNANT LA RÉSISTANCE À LA MALADIE DE LA TOMATE</w:t>
      </w:r>
    </w:p>
    <w:p w:rsidR="0034055D" w:rsidRPr="00612A18" w:rsidRDefault="00BF3FC8" w:rsidP="00BF3FC8">
      <w:pPr>
        <w:spacing w:after="160" w:line="259" w:lineRule="auto"/>
        <w:jc w:val="center"/>
        <w:rPr>
          <w:rFonts w:eastAsia="Calibri" w:cs="Arial"/>
          <w:i/>
          <w:iCs/>
          <w:lang w:val="fr-CH"/>
        </w:rPr>
      </w:pPr>
      <w:proofErr w:type="gramStart"/>
      <w:r w:rsidRPr="00612A18">
        <w:rPr>
          <w:rFonts w:eastAsia="Calibri" w:cs="Arial"/>
          <w:i/>
          <w:iCs/>
          <w:lang w:val="fr-CH"/>
        </w:rPr>
        <w:t>établi</w:t>
      </w:r>
      <w:proofErr w:type="gramEnd"/>
      <w:r w:rsidRPr="00612A18">
        <w:rPr>
          <w:rFonts w:eastAsia="Calibri" w:cs="Arial"/>
          <w:i/>
          <w:iCs/>
          <w:lang w:val="fr-CH"/>
        </w:rPr>
        <w:t xml:space="preserve"> par des experts des Pays</w:t>
      </w:r>
      <w:r w:rsidR="005728D7">
        <w:rPr>
          <w:rFonts w:eastAsia="Calibri" w:cs="Arial"/>
          <w:i/>
          <w:iCs/>
          <w:lang w:val="fr-CH"/>
        </w:rPr>
        <w:t>-</w:t>
      </w:r>
      <w:r w:rsidRPr="00612A18">
        <w:rPr>
          <w:rFonts w:eastAsia="Calibri" w:cs="Arial"/>
          <w:i/>
          <w:iCs/>
          <w:lang w:val="fr-CH"/>
        </w:rPr>
        <w:t>Bas</w:t>
      </w:r>
    </w:p>
    <w:p w:rsidR="0034055D" w:rsidRPr="00612A18" w:rsidRDefault="0034055D" w:rsidP="00B41AC5">
      <w:pPr>
        <w:autoSpaceDE w:val="0"/>
        <w:autoSpaceDN w:val="0"/>
        <w:adjustRightInd w:val="0"/>
        <w:rPr>
          <w:rFonts w:eastAsia="Calibri" w:cs="Arial"/>
          <w:lang w:val="fr-CH"/>
        </w:rPr>
      </w:pPr>
    </w:p>
    <w:p w:rsidR="0034055D" w:rsidRPr="00612A18" w:rsidRDefault="00BF3FC8" w:rsidP="00BF3FC8">
      <w:pPr>
        <w:autoSpaceDE w:val="0"/>
        <w:autoSpaceDN w:val="0"/>
        <w:adjustRightInd w:val="0"/>
        <w:rPr>
          <w:rFonts w:eastAsia="Calibri" w:cs="Arial"/>
          <w:lang w:val="fr-CH"/>
        </w:rPr>
      </w:pPr>
      <w:r w:rsidRPr="00612A18">
        <w:rPr>
          <w:rFonts w:eastAsia="Calibri" w:cs="Arial"/>
          <w:lang w:val="fr-CH"/>
        </w:rPr>
        <w:t>Exemple</w:t>
      </w:r>
    </w:p>
    <w:p w:rsidR="0034055D" w:rsidRPr="00612A18" w:rsidRDefault="0034055D" w:rsidP="00B41AC5">
      <w:pPr>
        <w:autoSpaceDE w:val="0"/>
        <w:autoSpaceDN w:val="0"/>
        <w:adjustRightInd w:val="0"/>
        <w:rPr>
          <w:rFonts w:eastAsia="Calibri" w:cs="Arial"/>
          <w:lang w:val="fr-CH"/>
        </w:rPr>
      </w:pPr>
    </w:p>
    <w:p w:rsidR="0034055D" w:rsidRPr="00612A18" w:rsidRDefault="00BF3FC8" w:rsidP="00BF3FC8">
      <w:pPr>
        <w:autoSpaceDE w:val="0"/>
        <w:autoSpaceDN w:val="0"/>
        <w:adjustRightInd w:val="0"/>
        <w:rPr>
          <w:rFonts w:eastAsia="Calibri" w:cs="Arial"/>
          <w:lang w:val="fr-CH"/>
        </w:rPr>
      </w:pPr>
      <w:r w:rsidRPr="00612A18">
        <w:rPr>
          <w:rFonts w:eastAsia="Calibri" w:cs="Arial"/>
          <w:lang w:val="fr-CH"/>
        </w:rPr>
        <w:t>1.</w:t>
      </w:r>
      <w:r w:rsidRPr="00612A18">
        <w:rPr>
          <w:rFonts w:eastAsia="Calibri" w:cs="Arial"/>
          <w:lang w:val="fr-CH"/>
        </w:rPr>
        <w:tab/>
        <w:t>La résistance au virus de la mosaïque de la tomate (</w:t>
      </w:r>
      <w:proofErr w:type="spellStart"/>
      <w:r w:rsidRPr="00612A18">
        <w:rPr>
          <w:rFonts w:eastAsia="Calibri" w:cs="Arial"/>
          <w:lang w:val="fr-CH"/>
        </w:rPr>
        <w:t>ToMV</w:t>
      </w:r>
      <w:proofErr w:type="spellEnd"/>
      <w:r w:rsidRPr="00612A18">
        <w:rPr>
          <w:rFonts w:eastAsia="Calibri" w:cs="Arial"/>
          <w:lang w:val="fr-CH"/>
        </w:rPr>
        <w:t>) figure dans les principes directeurs d</w:t>
      </w:r>
      <w:r w:rsidR="005728D7">
        <w:rPr>
          <w:rFonts w:eastAsia="Calibri" w:cs="Arial"/>
          <w:lang w:val="fr-CH"/>
        </w:rPr>
        <w:t>’</w:t>
      </w:r>
      <w:r w:rsidRPr="00612A18">
        <w:rPr>
          <w:rFonts w:eastAsia="Calibri" w:cs="Arial"/>
          <w:lang w:val="fr-CH"/>
        </w:rPr>
        <w:t>examen de la tomate.</w:t>
      </w:r>
    </w:p>
    <w:p w:rsidR="0034055D" w:rsidRPr="00612A18" w:rsidRDefault="0034055D" w:rsidP="00B41AC5">
      <w:pPr>
        <w:autoSpaceDE w:val="0"/>
        <w:autoSpaceDN w:val="0"/>
        <w:adjustRightInd w:val="0"/>
        <w:rPr>
          <w:rFonts w:eastAsia="Calibri" w:cs="Arial"/>
          <w:lang w:val="fr-CH"/>
        </w:rPr>
      </w:pPr>
    </w:p>
    <w:p w:rsidR="0034055D" w:rsidRPr="00612A18" w:rsidRDefault="009A1FDE" w:rsidP="009A1FDE">
      <w:pPr>
        <w:autoSpaceDE w:val="0"/>
        <w:autoSpaceDN w:val="0"/>
        <w:adjustRightInd w:val="0"/>
        <w:rPr>
          <w:rFonts w:eastAsia="Calibri" w:cs="Arial"/>
          <w:lang w:val="fr-CH"/>
        </w:rPr>
      </w:pPr>
      <w:r w:rsidRPr="00612A18">
        <w:rPr>
          <w:rFonts w:eastAsia="Calibri" w:cs="Arial"/>
          <w:lang w:val="fr-CH"/>
        </w:rPr>
        <w:t>2.</w:t>
      </w:r>
      <w:r w:rsidRPr="00612A18">
        <w:rPr>
          <w:rFonts w:eastAsia="Calibri" w:cs="Arial"/>
          <w:lang w:val="fr-CH"/>
        </w:rPr>
        <w:tab/>
        <w:t>La résistance à la souche</w:t>
      </w:r>
      <w:r w:rsidR="00612A18">
        <w:rPr>
          <w:rFonts w:eastAsia="Calibri" w:cs="Arial"/>
          <w:lang w:val="fr-CH"/>
        </w:rPr>
        <w:t> </w:t>
      </w:r>
      <w:r w:rsidRPr="00612A18">
        <w:rPr>
          <w:rFonts w:eastAsia="Calibri" w:cs="Arial"/>
          <w:lang w:val="fr-CH"/>
        </w:rPr>
        <w:t xml:space="preserve">0 du </w:t>
      </w:r>
      <w:proofErr w:type="spellStart"/>
      <w:r w:rsidR="007E40B7">
        <w:rPr>
          <w:rFonts w:eastAsia="Calibri" w:cs="Arial"/>
          <w:lang w:val="fr-CH"/>
        </w:rPr>
        <w:t>ToMV</w:t>
      </w:r>
      <w:proofErr w:type="spellEnd"/>
      <w:r w:rsidRPr="00612A18">
        <w:rPr>
          <w:rFonts w:eastAsia="Calibri" w:cs="Arial"/>
          <w:lang w:val="fr-CH"/>
        </w:rPr>
        <w:t xml:space="preserve"> est conférée par la présence d</w:t>
      </w:r>
      <w:r w:rsidR="005728D7">
        <w:rPr>
          <w:rFonts w:eastAsia="Calibri" w:cs="Arial"/>
          <w:lang w:val="fr-CH"/>
        </w:rPr>
        <w:t>’</w:t>
      </w:r>
      <w:r w:rsidRPr="00612A18">
        <w:rPr>
          <w:rFonts w:eastAsia="Calibri" w:cs="Arial"/>
          <w:lang w:val="fr-CH"/>
        </w:rPr>
        <w:t>un ou plusieurs gènes, notamment Tm</w:t>
      </w:r>
      <w:proofErr w:type="gramStart"/>
      <w:r w:rsidRPr="00612A18">
        <w:rPr>
          <w:rFonts w:eastAsia="Calibri" w:cs="Arial"/>
          <w:lang w:val="fr-CH"/>
        </w:rPr>
        <w:t>1;  Tm</w:t>
      </w:r>
      <w:proofErr w:type="gramEnd"/>
      <w:r w:rsidRPr="00612A18">
        <w:rPr>
          <w:rFonts w:eastAsia="Calibri" w:cs="Arial"/>
          <w:lang w:val="fr-CH"/>
        </w:rPr>
        <w:t>2;  et Tm2</w:t>
      </w:r>
      <w:r w:rsidRPr="00C47172">
        <w:rPr>
          <w:rFonts w:eastAsia="Calibri" w:cs="Arial"/>
          <w:vertAlign w:val="superscript"/>
          <w:lang w:val="fr-CH"/>
        </w:rPr>
        <w:t>2</w:t>
      </w:r>
      <w:r w:rsidRPr="00612A18">
        <w:rPr>
          <w:rFonts w:eastAsia="Calibri" w:cs="Arial"/>
          <w:lang w:val="fr-CH"/>
        </w:rPr>
        <w:t>.</w:t>
      </w:r>
    </w:p>
    <w:p w:rsidR="0034055D" w:rsidRPr="00612A18" w:rsidRDefault="0034055D" w:rsidP="00F51AF8">
      <w:pPr>
        <w:autoSpaceDE w:val="0"/>
        <w:autoSpaceDN w:val="0"/>
        <w:adjustRightInd w:val="0"/>
        <w:rPr>
          <w:rFonts w:eastAsia="Calibri" w:cs="Arial"/>
          <w:lang w:val="fr-CH"/>
        </w:rPr>
      </w:pPr>
    </w:p>
    <w:p w:rsidR="0034055D" w:rsidRPr="00612A18" w:rsidRDefault="0034055D" w:rsidP="0034055D">
      <w:pPr>
        <w:autoSpaceDE w:val="0"/>
        <w:autoSpaceDN w:val="0"/>
        <w:adjustRightInd w:val="0"/>
        <w:rPr>
          <w:rFonts w:eastAsia="Calibri" w:cs="Arial"/>
          <w:lang w:val="fr-CH"/>
        </w:rPr>
      </w:pPr>
      <w:r w:rsidRPr="00612A18">
        <w:rPr>
          <w:rFonts w:eastAsia="Calibri" w:cs="Arial"/>
          <w:lang w:val="fr-CH"/>
        </w:rPr>
        <w:t>Tableau</w:t>
      </w:r>
      <w:r w:rsidR="00612A18">
        <w:rPr>
          <w:rFonts w:eastAsia="Calibri" w:cs="Arial"/>
          <w:lang w:val="fr-CH"/>
        </w:rPr>
        <w:t> </w:t>
      </w:r>
      <w:r w:rsidRPr="00612A18">
        <w:rPr>
          <w:rFonts w:eastAsia="Calibri" w:cs="Arial"/>
          <w:lang w:val="fr-CH"/>
        </w:rPr>
        <w:t>1</w:t>
      </w:r>
      <w:r w:rsidR="005728D7">
        <w:rPr>
          <w:rFonts w:eastAsia="Calibri" w:cs="Arial"/>
          <w:lang w:val="fr-CH"/>
        </w:rPr>
        <w:t> :</w:t>
      </w:r>
      <w:r w:rsidRPr="00612A18">
        <w:rPr>
          <w:rFonts w:eastAsia="Calibri" w:cs="Arial"/>
          <w:lang w:val="fr-CH"/>
        </w:rPr>
        <w:t xml:space="preserve"> Présentation synthétique de la résistance au virus de la mosaïque de la tomate et des allèles </w:t>
      </w:r>
      <w:r w:rsidR="007E40B7">
        <w:rPr>
          <w:rFonts w:eastAsia="Calibri" w:cs="Arial"/>
          <w:lang w:val="fr-CH"/>
        </w:rPr>
        <w:t>de résistance</w:t>
      </w:r>
      <w:r w:rsidR="005728D7">
        <w:rPr>
          <w:rFonts w:eastAsia="Calibri" w:cs="Arial"/>
          <w:lang w:val="fr-CH"/>
        </w:rPr>
        <w:t> :</w:t>
      </w:r>
    </w:p>
    <w:p w:rsidR="00F51AF8" w:rsidRPr="00612A18" w:rsidRDefault="00F51AF8" w:rsidP="00F51AF8">
      <w:pPr>
        <w:autoSpaceDE w:val="0"/>
        <w:autoSpaceDN w:val="0"/>
        <w:adjustRightInd w:val="0"/>
        <w:rPr>
          <w:rFonts w:eastAsia="Calibri" w:cs="Arial"/>
          <w:sz w:val="19"/>
          <w:szCs w:val="19"/>
          <w:lang w:val="fr-CH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122"/>
        <w:gridCol w:w="1842"/>
        <w:gridCol w:w="1985"/>
        <w:gridCol w:w="1843"/>
        <w:gridCol w:w="1842"/>
      </w:tblGrid>
      <w:tr w:rsidR="00612A18" w:rsidRPr="00C07F28" w:rsidTr="003042D8">
        <w:tc>
          <w:tcPr>
            <w:tcW w:w="2122" w:type="dxa"/>
            <w:vAlign w:val="center"/>
          </w:tcPr>
          <w:p w:rsidR="00F51AF8" w:rsidRPr="00612A18" w:rsidRDefault="0034055D" w:rsidP="0034055D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>Données génétiques</w:t>
            </w:r>
          </w:p>
        </w:tc>
        <w:tc>
          <w:tcPr>
            <w:tcW w:w="1842" w:type="dxa"/>
            <w:vAlign w:val="center"/>
          </w:tcPr>
          <w:p w:rsidR="005728D7" w:rsidRDefault="00F51AF8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proofErr w:type="gramStart"/>
            <w:r w:rsidRPr="00612A18">
              <w:rPr>
                <w:rFonts w:cs="Arial"/>
                <w:sz w:val="19"/>
                <w:szCs w:val="19"/>
                <w:lang w:val="fr-CH"/>
              </w:rPr>
              <w:t>tm</w:t>
            </w:r>
            <w:proofErr w:type="gramEnd"/>
            <w:r w:rsidRPr="00612A18">
              <w:rPr>
                <w:rFonts w:cs="Arial"/>
                <w:sz w:val="19"/>
                <w:szCs w:val="19"/>
                <w:lang w:val="fr-CH"/>
              </w:rPr>
              <w:t>2/tm2</w:t>
            </w:r>
          </w:p>
          <w:p w:rsidR="0034055D" w:rsidRPr="00612A18" w:rsidRDefault="0034055D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  <w:p w:rsidR="005728D7" w:rsidRDefault="0034055D" w:rsidP="0034055D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proofErr w:type="gramStart"/>
            <w:r w:rsidRPr="00612A18">
              <w:rPr>
                <w:rFonts w:cs="Arial"/>
                <w:sz w:val="19"/>
                <w:szCs w:val="19"/>
                <w:lang w:val="fr-CH"/>
              </w:rPr>
              <w:t>et</w:t>
            </w:r>
            <w:proofErr w:type="gramEnd"/>
          </w:p>
          <w:p w:rsidR="0034055D" w:rsidRPr="00612A18" w:rsidRDefault="0034055D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  <w:p w:rsidR="0034055D" w:rsidRPr="00612A18" w:rsidRDefault="00F51AF8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proofErr w:type="gramStart"/>
            <w:r w:rsidRPr="00612A18">
              <w:rPr>
                <w:rFonts w:cs="Arial"/>
                <w:sz w:val="19"/>
                <w:szCs w:val="19"/>
                <w:lang w:val="fr-CH"/>
              </w:rPr>
              <w:t>tm</w:t>
            </w:r>
            <w:proofErr w:type="gramEnd"/>
            <w:r w:rsidRPr="00612A18">
              <w:rPr>
                <w:rFonts w:cs="Arial"/>
                <w:sz w:val="19"/>
                <w:szCs w:val="19"/>
                <w:lang w:val="fr-CH"/>
              </w:rPr>
              <w:t>1/tm1</w:t>
            </w:r>
          </w:p>
          <w:p w:rsidR="00F51AF8" w:rsidRPr="00612A18" w:rsidRDefault="00F51AF8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</w:tc>
        <w:tc>
          <w:tcPr>
            <w:tcW w:w="1985" w:type="dxa"/>
            <w:vAlign w:val="center"/>
          </w:tcPr>
          <w:p w:rsidR="005728D7" w:rsidRDefault="00F51AF8" w:rsidP="003042D8">
            <w:pPr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>Tm2/Tm2 o</w:t>
            </w:r>
            <w:r w:rsidR="0034055D" w:rsidRPr="00612A18">
              <w:rPr>
                <w:rFonts w:cs="Arial"/>
                <w:sz w:val="19"/>
                <w:szCs w:val="19"/>
                <w:lang w:val="fr-CH"/>
              </w:rPr>
              <w:t>u</w:t>
            </w:r>
            <w:r w:rsidRPr="00612A18">
              <w:rPr>
                <w:rFonts w:cs="Arial"/>
                <w:sz w:val="19"/>
                <w:szCs w:val="19"/>
                <w:lang w:val="fr-CH"/>
              </w:rPr>
              <w:t xml:space="preserve"> Tm2/tm2</w:t>
            </w:r>
          </w:p>
          <w:p w:rsidR="0034055D" w:rsidRPr="00612A18" w:rsidRDefault="0034055D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  <w:p w:rsidR="005728D7" w:rsidRDefault="0034055D" w:rsidP="0034055D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proofErr w:type="gramStart"/>
            <w:r w:rsidRPr="00612A18">
              <w:rPr>
                <w:rFonts w:cs="Arial"/>
                <w:sz w:val="19"/>
                <w:szCs w:val="19"/>
                <w:lang w:val="fr-CH"/>
              </w:rPr>
              <w:t>et</w:t>
            </w:r>
            <w:proofErr w:type="gramEnd"/>
          </w:p>
          <w:p w:rsidR="0034055D" w:rsidRPr="00612A18" w:rsidRDefault="0034055D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  <w:p w:rsidR="00F51AF8" w:rsidRPr="00612A18" w:rsidRDefault="0034055D" w:rsidP="003042D8">
            <w:pPr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>Tm1/Tm1 ou Tm1/tm1 ou</w:t>
            </w:r>
            <w:r w:rsidR="00F51AF8" w:rsidRPr="00612A18">
              <w:rPr>
                <w:rFonts w:cs="Arial"/>
                <w:sz w:val="19"/>
                <w:szCs w:val="19"/>
                <w:lang w:val="fr-CH"/>
              </w:rPr>
              <w:t xml:space="preserve">   tm1/tm1</w:t>
            </w:r>
          </w:p>
        </w:tc>
        <w:tc>
          <w:tcPr>
            <w:tcW w:w="1843" w:type="dxa"/>
            <w:vAlign w:val="center"/>
          </w:tcPr>
          <w:p w:rsidR="0034055D" w:rsidRPr="00612A18" w:rsidRDefault="0034055D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  <w:p w:rsidR="0034055D" w:rsidRPr="00612A18" w:rsidRDefault="00F51AF8" w:rsidP="003042D8">
            <w:pPr>
              <w:autoSpaceDE w:val="0"/>
              <w:autoSpaceDN w:val="0"/>
              <w:adjustRightInd w:val="0"/>
              <w:spacing w:before="6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>Tm2</w:t>
            </w:r>
            <w:r w:rsidRPr="00612A18">
              <w:rPr>
                <w:rFonts w:cs="Arial"/>
                <w:sz w:val="19"/>
                <w:szCs w:val="19"/>
                <w:vertAlign w:val="superscript"/>
                <w:lang w:val="fr-CH"/>
              </w:rPr>
              <w:t>2</w:t>
            </w:r>
            <w:r w:rsidRPr="00612A18">
              <w:rPr>
                <w:rFonts w:cs="Arial"/>
                <w:sz w:val="19"/>
                <w:szCs w:val="19"/>
                <w:lang w:val="fr-CH"/>
              </w:rPr>
              <w:t>/Tm2</w:t>
            </w:r>
            <w:r w:rsidRPr="00612A18">
              <w:rPr>
                <w:rFonts w:cs="Arial"/>
                <w:sz w:val="19"/>
                <w:szCs w:val="19"/>
                <w:vertAlign w:val="superscript"/>
                <w:lang w:val="fr-CH"/>
              </w:rPr>
              <w:t>2</w:t>
            </w:r>
            <w:r w:rsidRPr="00612A18">
              <w:rPr>
                <w:rFonts w:cs="Arial"/>
                <w:sz w:val="19"/>
                <w:szCs w:val="19"/>
                <w:lang w:val="fr-CH"/>
              </w:rPr>
              <w:t xml:space="preserve"> o</w:t>
            </w:r>
            <w:r w:rsidR="0034055D" w:rsidRPr="00612A18">
              <w:rPr>
                <w:rFonts w:cs="Arial"/>
                <w:sz w:val="19"/>
                <w:szCs w:val="19"/>
                <w:lang w:val="fr-CH"/>
              </w:rPr>
              <w:t>u</w:t>
            </w:r>
            <w:r w:rsidRPr="00612A18">
              <w:rPr>
                <w:rFonts w:cs="Arial"/>
                <w:sz w:val="19"/>
                <w:szCs w:val="19"/>
                <w:lang w:val="fr-CH"/>
              </w:rPr>
              <w:t xml:space="preserve"> Tm2</w:t>
            </w:r>
            <w:r w:rsidRPr="00612A18">
              <w:rPr>
                <w:rFonts w:cs="Arial"/>
                <w:sz w:val="19"/>
                <w:szCs w:val="19"/>
                <w:vertAlign w:val="superscript"/>
                <w:lang w:val="fr-CH"/>
              </w:rPr>
              <w:t>2</w:t>
            </w:r>
            <w:r w:rsidR="0034055D" w:rsidRPr="00612A18">
              <w:rPr>
                <w:rFonts w:cs="Arial"/>
                <w:sz w:val="19"/>
                <w:szCs w:val="19"/>
                <w:lang w:val="fr-CH"/>
              </w:rPr>
              <w:t>/Tm2 ou</w:t>
            </w:r>
            <w:r w:rsidR="005E4765">
              <w:rPr>
                <w:rFonts w:cs="Arial"/>
                <w:sz w:val="19"/>
                <w:szCs w:val="19"/>
                <w:lang w:val="fr-CH"/>
              </w:rPr>
              <w:t xml:space="preserve"> </w:t>
            </w:r>
            <w:r w:rsidRPr="00612A18">
              <w:rPr>
                <w:rFonts w:cs="Arial"/>
                <w:sz w:val="19"/>
                <w:szCs w:val="19"/>
                <w:lang w:val="fr-CH"/>
              </w:rPr>
              <w:t>Tm2</w:t>
            </w:r>
            <w:r w:rsidRPr="00612A18">
              <w:rPr>
                <w:rFonts w:cs="Arial"/>
                <w:sz w:val="19"/>
                <w:szCs w:val="19"/>
                <w:vertAlign w:val="superscript"/>
                <w:lang w:val="fr-CH"/>
              </w:rPr>
              <w:t>2</w:t>
            </w:r>
            <w:r w:rsidRPr="00612A18">
              <w:rPr>
                <w:rFonts w:cs="Arial"/>
                <w:sz w:val="19"/>
                <w:szCs w:val="19"/>
                <w:lang w:val="fr-CH"/>
              </w:rPr>
              <w:t>/tm2</w:t>
            </w:r>
          </w:p>
          <w:p w:rsidR="0034055D" w:rsidRPr="00612A18" w:rsidRDefault="0034055D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  <w:p w:rsidR="005728D7" w:rsidRDefault="0034055D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proofErr w:type="gramStart"/>
            <w:r w:rsidRPr="00612A18">
              <w:rPr>
                <w:rFonts w:cs="Arial"/>
                <w:sz w:val="19"/>
                <w:szCs w:val="19"/>
                <w:lang w:val="fr-CH"/>
              </w:rPr>
              <w:t>et</w:t>
            </w:r>
            <w:proofErr w:type="gramEnd"/>
          </w:p>
          <w:p w:rsidR="0034055D" w:rsidRPr="00612A18" w:rsidRDefault="0034055D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  <w:p w:rsidR="005728D7" w:rsidRDefault="00F51AF8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>Tm1/Tm1 o</w:t>
            </w:r>
            <w:r w:rsidR="0034055D" w:rsidRPr="00612A18">
              <w:rPr>
                <w:rFonts w:cs="Arial"/>
                <w:sz w:val="19"/>
                <w:szCs w:val="19"/>
                <w:lang w:val="fr-CH"/>
              </w:rPr>
              <w:t xml:space="preserve">u Tm1/tm1 </w:t>
            </w:r>
            <w:proofErr w:type="gramStart"/>
            <w:r w:rsidR="0034055D" w:rsidRPr="00612A18">
              <w:rPr>
                <w:rFonts w:cs="Arial"/>
                <w:sz w:val="19"/>
                <w:szCs w:val="19"/>
                <w:lang w:val="fr-CH"/>
              </w:rPr>
              <w:t>o</w:t>
            </w:r>
            <w:r w:rsidR="00612A18">
              <w:rPr>
                <w:rFonts w:cs="Arial"/>
                <w:sz w:val="19"/>
                <w:szCs w:val="19"/>
                <w:lang w:val="fr-CH"/>
              </w:rPr>
              <w:t>u</w:t>
            </w:r>
            <w:proofErr w:type="gramEnd"/>
          </w:p>
          <w:p w:rsidR="0034055D" w:rsidRPr="00612A18" w:rsidRDefault="00F51AF8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proofErr w:type="gramStart"/>
            <w:r w:rsidRPr="00612A18">
              <w:rPr>
                <w:rFonts w:cs="Arial"/>
                <w:sz w:val="19"/>
                <w:szCs w:val="19"/>
                <w:lang w:val="fr-CH"/>
              </w:rPr>
              <w:t>tm</w:t>
            </w:r>
            <w:proofErr w:type="gramEnd"/>
            <w:r w:rsidRPr="00612A18">
              <w:rPr>
                <w:rFonts w:cs="Arial"/>
                <w:sz w:val="19"/>
                <w:szCs w:val="19"/>
                <w:lang w:val="fr-CH"/>
              </w:rPr>
              <w:t>1/tm1</w:t>
            </w:r>
          </w:p>
          <w:p w:rsidR="00F51AF8" w:rsidRPr="00612A18" w:rsidRDefault="00F51AF8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</w:tc>
        <w:tc>
          <w:tcPr>
            <w:tcW w:w="1842" w:type="dxa"/>
            <w:vAlign w:val="center"/>
          </w:tcPr>
          <w:p w:rsidR="005728D7" w:rsidRDefault="00F51AF8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proofErr w:type="gramStart"/>
            <w:r w:rsidRPr="00612A18">
              <w:rPr>
                <w:rFonts w:cs="Arial"/>
                <w:sz w:val="19"/>
                <w:szCs w:val="19"/>
                <w:lang w:val="fr-CH"/>
              </w:rPr>
              <w:t>tm</w:t>
            </w:r>
            <w:proofErr w:type="gramEnd"/>
            <w:r w:rsidRPr="00612A18">
              <w:rPr>
                <w:rFonts w:cs="Arial"/>
                <w:sz w:val="19"/>
                <w:szCs w:val="19"/>
                <w:lang w:val="fr-CH"/>
              </w:rPr>
              <w:t>2tm2</w:t>
            </w:r>
          </w:p>
          <w:p w:rsidR="0034055D" w:rsidRPr="00612A18" w:rsidRDefault="0034055D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  <w:p w:rsidR="0034055D" w:rsidRPr="00612A18" w:rsidRDefault="0034055D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proofErr w:type="gramStart"/>
            <w:r w:rsidRPr="00612A18">
              <w:rPr>
                <w:rFonts w:cs="Arial"/>
                <w:sz w:val="19"/>
                <w:szCs w:val="19"/>
                <w:lang w:val="fr-CH"/>
              </w:rPr>
              <w:t>et</w:t>
            </w:r>
            <w:proofErr w:type="gramEnd"/>
          </w:p>
          <w:p w:rsidR="0034055D" w:rsidRPr="00612A18" w:rsidRDefault="0034055D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</w:p>
          <w:p w:rsidR="005728D7" w:rsidRDefault="00F51AF8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 xml:space="preserve">Tm1/Tm1 </w:t>
            </w:r>
            <w:proofErr w:type="gramStart"/>
            <w:r w:rsidRPr="00612A18">
              <w:rPr>
                <w:rFonts w:cs="Arial"/>
                <w:sz w:val="19"/>
                <w:szCs w:val="19"/>
                <w:lang w:val="fr-CH"/>
              </w:rPr>
              <w:t>o</w:t>
            </w:r>
            <w:r w:rsidR="0034055D" w:rsidRPr="00612A18">
              <w:rPr>
                <w:rFonts w:cs="Arial"/>
                <w:sz w:val="19"/>
                <w:szCs w:val="19"/>
                <w:lang w:val="fr-CH"/>
              </w:rPr>
              <w:t>u</w:t>
            </w:r>
            <w:proofErr w:type="gramEnd"/>
          </w:p>
          <w:p w:rsidR="00F51AF8" w:rsidRPr="00612A18" w:rsidRDefault="00F51AF8" w:rsidP="003042D8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 xml:space="preserve">Tm1/tm1 </w:t>
            </w:r>
          </w:p>
        </w:tc>
      </w:tr>
      <w:tr w:rsidR="00612A18" w:rsidRPr="00612A18" w:rsidTr="003042D8">
        <w:trPr>
          <w:trHeight w:val="606"/>
        </w:trPr>
        <w:tc>
          <w:tcPr>
            <w:tcW w:w="2122" w:type="dxa"/>
            <w:vAlign w:val="center"/>
          </w:tcPr>
          <w:p w:rsidR="00F51AF8" w:rsidRPr="00612A18" w:rsidRDefault="00F51AF8" w:rsidP="0034055D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>Mar</w:t>
            </w:r>
            <w:r w:rsidR="0034055D" w:rsidRPr="00612A18">
              <w:rPr>
                <w:rFonts w:cs="Arial"/>
                <w:sz w:val="19"/>
                <w:szCs w:val="19"/>
                <w:lang w:val="fr-CH"/>
              </w:rPr>
              <w:t>queur</w:t>
            </w:r>
            <w:r w:rsidR="00612A18">
              <w:rPr>
                <w:rFonts w:cs="Arial"/>
                <w:sz w:val="19"/>
                <w:szCs w:val="19"/>
                <w:lang w:val="fr-CH"/>
              </w:rPr>
              <w:t> </w:t>
            </w:r>
            <w:r w:rsidRPr="00612A18">
              <w:rPr>
                <w:rFonts w:cs="Arial"/>
                <w:sz w:val="19"/>
                <w:szCs w:val="19"/>
                <w:lang w:val="fr-CH"/>
              </w:rPr>
              <w:t>Tm2/2</w:t>
            </w:r>
            <w:r w:rsidRPr="00612A18">
              <w:rPr>
                <w:rFonts w:cs="Arial"/>
                <w:sz w:val="19"/>
                <w:szCs w:val="19"/>
                <w:vertAlign w:val="superscript"/>
                <w:lang w:val="fr-CH"/>
              </w:rPr>
              <w:t>2</w:t>
            </w:r>
          </w:p>
        </w:tc>
        <w:tc>
          <w:tcPr>
            <w:tcW w:w="1842" w:type="dxa"/>
            <w:vAlign w:val="center"/>
          </w:tcPr>
          <w:p w:rsidR="00F51AF8" w:rsidRPr="00612A18" w:rsidRDefault="0034055D" w:rsidP="0034055D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 xml:space="preserve">allèle </w:t>
            </w:r>
            <w:r w:rsidR="007E40B7">
              <w:rPr>
                <w:rFonts w:cs="Arial"/>
                <w:sz w:val="19"/>
                <w:szCs w:val="19"/>
                <w:lang w:val="fr-CH"/>
              </w:rPr>
              <w:t>de sensibilité</w:t>
            </w:r>
          </w:p>
        </w:tc>
        <w:tc>
          <w:tcPr>
            <w:tcW w:w="1985" w:type="dxa"/>
            <w:vAlign w:val="center"/>
          </w:tcPr>
          <w:p w:rsidR="00F51AF8" w:rsidRPr="00612A18" w:rsidRDefault="0034055D" w:rsidP="0034055D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>allèle</w:t>
            </w:r>
            <w:r w:rsidR="007E40B7">
              <w:rPr>
                <w:rFonts w:cs="Arial"/>
                <w:sz w:val="19"/>
                <w:szCs w:val="19"/>
                <w:lang w:val="fr-CH"/>
              </w:rPr>
              <w:t xml:space="preserve"> de résistance</w:t>
            </w:r>
          </w:p>
        </w:tc>
        <w:tc>
          <w:tcPr>
            <w:tcW w:w="1843" w:type="dxa"/>
            <w:vAlign w:val="center"/>
          </w:tcPr>
          <w:p w:rsidR="00F51AF8" w:rsidRPr="00612A18" w:rsidRDefault="0034055D" w:rsidP="0034055D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 xml:space="preserve">allèle </w:t>
            </w:r>
            <w:r w:rsidR="007E40B7">
              <w:rPr>
                <w:rFonts w:cs="Arial"/>
                <w:sz w:val="19"/>
                <w:szCs w:val="19"/>
                <w:lang w:val="fr-CH"/>
              </w:rPr>
              <w:t>de résistance</w:t>
            </w:r>
          </w:p>
        </w:tc>
        <w:tc>
          <w:tcPr>
            <w:tcW w:w="1842" w:type="dxa"/>
            <w:vAlign w:val="center"/>
          </w:tcPr>
          <w:p w:rsidR="00F51AF8" w:rsidRPr="00612A18" w:rsidRDefault="0034055D" w:rsidP="0034055D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 xml:space="preserve">allèle </w:t>
            </w:r>
            <w:r w:rsidR="007E40B7">
              <w:rPr>
                <w:rFonts w:cs="Arial"/>
                <w:sz w:val="19"/>
                <w:szCs w:val="19"/>
                <w:lang w:val="fr-CH"/>
              </w:rPr>
              <w:t>de sensibilité</w:t>
            </w:r>
          </w:p>
        </w:tc>
      </w:tr>
      <w:tr w:rsidR="00612A18" w:rsidRPr="00612A18" w:rsidTr="003042D8">
        <w:trPr>
          <w:trHeight w:val="558"/>
        </w:trPr>
        <w:tc>
          <w:tcPr>
            <w:tcW w:w="2122" w:type="dxa"/>
            <w:vAlign w:val="center"/>
          </w:tcPr>
          <w:p w:rsidR="00F51AF8" w:rsidRPr="00612A18" w:rsidRDefault="00F51AF8" w:rsidP="00612A18">
            <w:pPr>
              <w:autoSpaceDE w:val="0"/>
              <w:autoSpaceDN w:val="0"/>
              <w:adjustRightInd w:val="0"/>
              <w:spacing w:before="120" w:after="12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>R</w:t>
            </w:r>
            <w:r w:rsidR="0034055D" w:rsidRPr="00612A18">
              <w:rPr>
                <w:rFonts w:cs="Arial"/>
                <w:sz w:val="19"/>
                <w:szCs w:val="19"/>
                <w:lang w:val="fr-CH"/>
              </w:rPr>
              <w:t>é</w:t>
            </w:r>
            <w:r w:rsidRPr="00612A18">
              <w:rPr>
                <w:rFonts w:cs="Arial"/>
                <w:sz w:val="19"/>
                <w:szCs w:val="19"/>
                <w:lang w:val="fr-CH"/>
              </w:rPr>
              <w:t xml:space="preserve">sistance </w:t>
            </w:r>
            <w:r w:rsidR="0034055D" w:rsidRPr="00612A18">
              <w:rPr>
                <w:rFonts w:cs="Arial"/>
                <w:sz w:val="19"/>
                <w:szCs w:val="19"/>
                <w:lang w:val="fr-CH"/>
              </w:rPr>
              <w:t>à la souche</w:t>
            </w:r>
            <w:r w:rsidR="00612A18">
              <w:rPr>
                <w:rFonts w:cs="Arial"/>
                <w:sz w:val="19"/>
                <w:szCs w:val="19"/>
                <w:lang w:val="fr-CH"/>
              </w:rPr>
              <w:t> </w:t>
            </w:r>
            <w:r w:rsidR="0034055D" w:rsidRPr="00612A18">
              <w:rPr>
                <w:rFonts w:cs="Arial"/>
                <w:sz w:val="19"/>
                <w:szCs w:val="19"/>
                <w:lang w:val="fr-CH"/>
              </w:rPr>
              <w:t xml:space="preserve">0 du virus </w:t>
            </w:r>
            <w:proofErr w:type="spellStart"/>
            <w:r w:rsidR="00612A18">
              <w:rPr>
                <w:rFonts w:cs="Arial"/>
                <w:sz w:val="19"/>
                <w:szCs w:val="19"/>
                <w:lang w:val="fr-CH"/>
              </w:rPr>
              <w:t>ToMV</w:t>
            </w:r>
            <w:proofErr w:type="spellEnd"/>
            <w:r w:rsidR="0034055D" w:rsidRPr="00612A18">
              <w:rPr>
                <w:rFonts w:cs="Arial"/>
                <w:sz w:val="19"/>
                <w:szCs w:val="19"/>
                <w:lang w:val="fr-CH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F51AF8" w:rsidRPr="00612A18" w:rsidRDefault="0034055D" w:rsidP="0034055D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>nulle</w:t>
            </w:r>
          </w:p>
        </w:tc>
        <w:tc>
          <w:tcPr>
            <w:tcW w:w="1985" w:type="dxa"/>
            <w:vAlign w:val="center"/>
          </w:tcPr>
          <w:p w:rsidR="00F51AF8" w:rsidRPr="00612A18" w:rsidRDefault="0034055D" w:rsidP="0034055D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>présente</w:t>
            </w:r>
          </w:p>
        </w:tc>
        <w:tc>
          <w:tcPr>
            <w:tcW w:w="1843" w:type="dxa"/>
            <w:vAlign w:val="center"/>
          </w:tcPr>
          <w:p w:rsidR="00F51AF8" w:rsidRPr="00612A18" w:rsidRDefault="0034055D" w:rsidP="0034055D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>présente</w:t>
            </w:r>
          </w:p>
        </w:tc>
        <w:tc>
          <w:tcPr>
            <w:tcW w:w="1842" w:type="dxa"/>
            <w:vAlign w:val="center"/>
          </w:tcPr>
          <w:p w:rsidR="00F51AF8" w:rsidRPr="00612A18" w:rsidRDefault="0034055D" w:rsidP="0034055D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lang w:val="fr-CH"/>
              </w:rPr>
            </w:pPr>
            <w:r w:rsidRPr="00612A18">
              <w:rPr>
                <w:rFonts w:cs="Arial"/>
                <w:sz w:val="19"/>
                <w:szCs w:val="19"/>
                <w:lang w:val="fr-CH"/>
              </w:rPr>
              <w:t>présente</w:t>
            </w:r>
          </w:p>
        </w:tc>
      </w:tr>
    </w:tbl>
    <w:p w:rsidR="0034055D" w:rsidRPr="00612A18" w:rsidRDefault="0034055D" w:rsidP="00B41AC5">
      <w:pPr>
        <w:autoSpaceDE w:val="0"/>
        <w:autoSpaceDN w:val="0"/>
        <w:adjustRightInd w:val="0"/>
        <w:jc w:val="left"/>
        <w:rPr>
          <w:rFonts w:eastAsia="Calibri" w:cs="Arial"/>
          <w:sz w:val="19"/>
          <w:szCs w:val="19"/>
          <w:lang w:val="fr-CH"/>
        </w:rPr>
      </w:pPr>
    </w:p>
    <w:p w:rsidR="0034055D" w:rsidRPr="00612A18" w:rsidRDefault="0034055D" w:rsidP="00247764">
      <w:pPr>
        <w:autoSpaceDE w:val="0"/>
        <w:autoSpaceDN w:val="0"/>
        <w:adjustRightInd w:val="0"/>
        <w:rPr>
          <w:rFonts w:eastAsia="Calibri" w:cs="Arial"/>
          <w:lang w:val="fr-CH"/>
        </w:rPr>
      </w:pPr>
      <w:r w:rsidRPr="00612A18">
        <w:rPr>
          <w:rFonts w:eastAsia="Calibri" w:cs="Arial"/>
          <w:lang w:val="fr-CH"/>
        </w:rPr>
        <w:t>3.</w:t>
      </w:r>
      <w:r w:rsidRPr="00612A18">
        <w:rPr>
          <w:rFonts w:eastAsia="Calibri" w:cs="Arial"/>
          <w:lang w:val="fr-CH"/>
        </w:rPr>
        <w:tab/>
        <w:t>Un marqueur identifie la présence des allèles</w:t>
      </w:r>
      <w:r w:rsidR="007E40B7">
        <w:rPr>
          <w:rFonts w:eastAsia="Calibri" w:cs="Arial"/>
          <w:lang w:val="fr-CH"/>
        </w:rPr>
        <w:t xml:space="preserve"> de résistance</w:t>
      </w:r>
      <w:r w:rsidR="00612A18">
        <w:rPr>
          <w:rFonts w:eastAsia="Calibri" w:cs="Arial"/>
          <w:lang w:val="fr-CH"/>
        </w:rPr>
        <w:t> </w:t>
      </w:r>
      <w:r w:rsidRPr="00612A18">
        <w:rPr>
          <w:rFonts w:eastAsia="Calibri" w:cs="Arial"/>
          <w:lang w:val="fr-CH"/>
        </w:rPr>
        <w:t>Tm2 et Tm2</w:t>
      </w:r>
      <w:r w:rsidRPr="00C47172">
        <w:rPr>
          <w:rFonts w:eastAsia="Calibri" w:cs="Arial"/>
          <w:vertAlign w:val="superscript"/>
          <w:lang w:val="fr-CH"/>
        </w:rPr>
        <w:t>2</w:t>
      </w:r>
      <w:r w:rsidRPr="00612A18">
        <w:rPr>
          <w:rFonts w:eastAsia="Calibri" w:cs="Arial"/>
          <w:lang w:val="fr-CH"/>
        </w:rPr>
        <w:t xml:space="preserve"> et de l</w:t>
      </w:r>
      <w:r w:rsidR="005728D7">
        <w:rPr>
          <w:rFonts w:eastAsia="Calibri" w:cs="Arial"/>
          <w:lang w:val="fr-CH"/>
        </w:rPr>
        <w:t>’</w:t>
      </w:r>
      <w:r w:rsidRPr="00612A18">
        <w:rPr>
          <w:rFonts w:eastAsia="Calibri" w:cs="Arial"/>
          <w:lang w:val="fr-CH"/>
        </w:rPr>
        <w:t>allèle</w:t>
      </w:r>
      <w:r w:rsidR="007E40B7">
        <w:rPr>
          <w:rFonts w:eastAsia="Calibri" w:cs="Arial"/>
          <w:lang w:val="fr-CH"/>
        </w:rPr>
        <w:t xml:space="preserve"> de sensibilité</w:t>
      </w:r>
      <w:r w:rsidR="00612A18">
        <w:rPr>
          <w:rFonts w:eastAsia="Calibri" w:cs="Arial"/>
          <w:lang w:val="fr-CH"/>
        </w:rPr>
        <w:t> </w:t>
      </w:r>
      <w:r w:rsidRPr="00612A18">
        <w:rPr>
          <w:rFonts w:eastAsia="Calibri" w:cs="Arial"/>
          <w:lang w:val="fr-CH"/>
        </w:rPr>
        <w:t>tm2.</w:t>
      </w:r>
      <w:r w:rsidR="00B41AC5" w:rsidRPr="00612A18">
        <w:rPr>
          <w:rFonts w:eastAsia="Calibri" w:cs="Arial"/>
          <w:lang w:val="fr-CH"/>
        </w:rPr>
        <w:t xml:space="preserve">  </w:t>
      </w:r>
      <w:r w:rsidR="00247764" w:rsidRPr="00612A18">
        <w:rPr>
          <w:rFonts w:eastAsia="Calibri" w:cs="Arial"/>
          <w:lang w:val="fr-CH"/>
        </w:rPr>
        <w:t>Le marqueur</w:t>
      </w:r>
      <w:r w:rsidR="00612A18">
        <w:rPr>
          <w:rFonts w:eastAsia="Calibri" w:cs="Arial"/>
          <w:lang w:val="fr-CH"/>
        </w:rPr>
        <w:t> </w:t>
      </w:r>
      <w:r w:rsidR="00247764" w:rsidRPr="00612A18">
        <w:rPr>
          <w:rFonts w:eastAsia="Calibri" w:cs="Arial"/>
          <w:lang w:val="fr-CH"/>
        </w:rPr>
        <w:t>Tm2/2</w:t>
      </w:r>
      <w:r w:rsidR="00247764" w:rsidRPr="00C47172">
        <w:rPr>
          <w:rFonts w:eastAsia="Calibri" w:cs="Arial"/>
          <w:vertAlign w:val="superscript"/>
          <w:lang w:val="fr-CH"/>
        </w:rPr>
        <w:t>2</w:t>
      </w:r>
      <w:r w:rsidR="00247764" w:rsidRPr="00612A18">
        <w:rPr>
          <w:rFonts w:eastAsia="Calibri" w:cs="Arial"/>
          <w:lang w:val="fr-CH"/>
        </w:rPr>
        <w:t xml:space="preserve"> se situe dans la séquence codante de la protéine.</w:t>
      </w:r>
    </w:p>
    <w:p w:rsidR="0034055D" w:rsidRPr="00612A18" w:rsidRDefault="0034055D" w:rsidP="00B41AC5">
      <w:pPr>
        <w:autoSpaceDE w:val="0"/>
        <w:autoSpaceDN w:val="0"/>
        <w:adjustRightInd w:val="0"/>
        <w:rPr>
          <w:rFonts w:eastAsia="Calibri" w:cs="Arial"/>
          <w:lang w:val="fr-CH"/>
        </w:rPr>
      </w:pPr>
    </w:p>
    <w:p w:rsidR="0034055D" w:rsidRPr="00612A18" w:rsidRDefault="003A12A1" w:rsidP="003A12A1">
      <w:pPr>
        <w:autoSpaceDE w:val="0"/>
        <w:autoSpaceDN w:val="0"/>
        <w:adjustRightInd w:val="0"/>
        <w:rPr>
          <w:rFonts w:eastAsia="Calibri" w:cs="Arial"/>
          <w:lang w:val="fr-CH"/>
        </w:rPr>
      </w:pPr>
      <w:r w:rsidRPr="00612A18">
        <w:rPr>
          <w:rFonts w:eastAsia="Calibri" w:cs="Arial"/>
          <w:lang w:val="fr-CH"/>
        </w:rPr>
        <w:t>4.</w:t>
      </w:r>
      <w:r w:rsidRPr="00612A18">
        <w:rPr>
          <w:rFonts w:eastAsia="Calibri" w:cs="Arial"/>
          <w:lang w:val="fr-CH"/>
        </w:rPr>
        <w:tab/>
        <w:t>Une variété sera résistante à la souche</w:t>
      </w:r>
      <w:r w:rsidR="00612A18">
        <w:rPr>
          <w:rFonts w:eastAsia="Calibri" w:cs="Arial"/>
          <w:lang w:val="fr-CH"/>
        </w:rPr>
        <w:t> </w:t>
      </w:r>
      <w:r w:rsidRPr="00612A18">
        <w:rPr>
          <w:rFonts w:eastAsia="Calibri" w:cs="Arial"/>
          <w:lang w:val="fr-CH"/>
        </w:rPr>
        <w:t xml:space="preserve">0 du </w:t>
      </w:r>
      <w:proofErr w:type="spellStart"/>
      <w:r w:rsidRPr="00612A18">
        <w:rPr>
          <w:rFonts w:eastAsia="Calibri" w:cs="Arial"/>
          <w:lang w:val="fr-CH"/>
        </w:rPr>
        <w:t>ToMV</w:t>
      </w:r>
      <w:proofErr w:type="spellEnd"/>
      <w:r w:rsidRPr="00612A18">
        <w:rPr>
          <w:rFonts w:eastAsia="Calibri" w:cs="Arial"/>
          <w:lang w:val="fr-CH"/>
        </w:rPr>
        <w:t xml:space="preserve"> si l</w:t>
      </w:r>
      <w:r w:rsidR="005728D7">
        <w:rPr>
          <w:rFonts w:eastAsia="Calibri" w:cs="Arial"/>
          <w:lang w:val="fr-CH"/>
        </w:rPr>
        <w:t>’</w:t>
      </w:r>
      <w:r w:rsidRPr="00612A18">
        <w:rPr>
          <w:rFonts w:eastAsia="Calibri" w:cs="Arial"/>
          <w:lang w:val="fr-CH"/>
        </w:rPr>
        <w:t>allèle</w:t>
      </w:r>
      <w:r w:rsidR="007E40B7">
        <w:rPr>
          <w:rFonts w:eastAsia="Calibri" w:cs="Arial"/>
          <w:lang w:val="fr-CH"/>
        </w:rPr>
        <w:t xml:space="preserve"> de résistance</w:t>
      </w:r>
      <w:r w:rsidR="00612A18">
        <w:rPr>
          <w:rFonts w:eastAsia="Calibri" w:cs="Arial"/>
          <w:lang w:val="fr-CH"/>
        </w:rPr>
        <w:t> </w:t>
      </w:r>
      <w:r w:rsidRPr="00612A18">
        <w:rPr>
          <w:rFonts w:eastAsia="Calibri" w:cs="Arial"/>
          <w:lang w:val="fr-CH"/>
        </w:rPr>
        <w:t>Tm2 ou Tm2</w:t>
      </w:r>
      <w:r w:rsidRPr="007E40B7">
        <w:rPr>
          <w:rFonts w:eastAsia="Calibri" w:cs="Arial"/>
          <w:vertAlign w:val="superscript"/>
          <w:lang w:val="fr-CH"/>
        </w:rPr>
        <w:t>2</w:t>
      </w:r>
      <w:r w:rsidRPr="00612A18">
        <w:rPr>
          <w:rFonts w:eastAsia="Calibri" w:cs="Arial"/>
          <w:lang w:val="fr-CH"/>
        </w:rPr>
        <w:t xml:space="preserve"> est prése</w:t>
      </w:r>
      <w:r w:rsidR="005D3E9B" w:rsidRPr="00612A18">
        <w:rPr>
          <w:rFonts w:eastAsia="Calibri" w:cs="Arial"/>
          <w:lang w:val="fr-CH"/>
        </w:rPr>
        <w:t>nt</w:t>
      </w:r>
      <w:r w:rsidR="005D3E9B">
        <w:rPr>
          <w:rFonts w:eastAsia="Calibri" w:cs="Arial"/>
          <w:lang w:val="fr-CH"/>
        </w:rPr>
        <w:t xml:space="preserve">.  </w:t>
      </w:r>
      <w:r w:rsidR="005D3E9B" w:rsidRPr="00612A18">
        <w:rPr>
          <w:rFonts w:eastAsia="Calibri" w:cs="Arial"/>
          <w:lang w:val="fr-CH"/>
        </w:rPr>
        <w:t>Da</w:t>
      </w:r>
      <w:r w:rsidRPr="00612A18">
        <w:rPr>
          <w:rFonts w:eastAsia="Calibri" w:cs="Arial"/>
          <w:lang w:val="fr-CH"/>
        </w:rPr>
        <w:t>ns ce cas, le test avec marqueurs d</w:t>
      </w:r>
      <w:r w:rsidR="005728D7">
        <w:rPr>
          <w:rFonts w:eastAsia="Calibri" w:cs="Arial"/>
          <w:lang w:val="fr-CH"/>
        </w:rPr>
        <w:t>’</w:t>
      </w:r>
      <w:r w:rsidRPr="00612A18">
        <w:rPr>
          <w:rFonts w:eastAsia="Calibri" w:cs="Arial"/>
          <w:lang w:val="fr-CH"/>
        </w:rPr>
        <w:t>ADN pourrait remplacer l</w:t>
      </w:r>
      <w:r w:rsidR="005728D7">
        <w:rPr>
          <w:rFonts w:eastAsia="Calibri" w:cs="Arial"/>
          <w:lang w:val="fr-CH"/>
        </w:rPr>
        <w:t>’</w:t>
      </w:r>
      <w:r w:rsidRPr="00612A18">
        <w:rPr>
          <w:rFonts w:eastAsia="Calibri" w:cs="Arial"/>
          <w:lang w:val="fr-CH"/>
        </w:rPr>
        <w:t>essai biologique traditionnel pour déterminer la résistance à la souche</w:t>
      </w:r>
      <w:r w:rsidR="00612A18">
        <w:rPr>
          <w:rFonts w:eastAsia="Calibri" w:cs="Arial"/>
          <w:lang w:val="fr-CH"/>
        </w:rPr>
        <w:t> </w:t>
      </w:r>
      <w:r w:rsidRPr="00612A18">
        <w:rPr>
          <w:rFonts w:eastAsia="Calibri" w:cs="Arial"/>
          <w:lang w:val="fr-CH"/>
        </w:rPr>
        <w:t xml:space="preserve">0 du </w:t>
      </w:r>
      <w:proofErr w:type="spellStart"/>
      <w:r w:rsidRPr="00612A18">
        <w:rPr>
          <w:rFonts w:eastAsia="Calibri" w:cs="Arial"/>
          <w:lang w:val="fr-CH"/>
        </w:rPr>
        <w:t>ToMV</w:t>
      </w:r>
      <w:proofErr w:type="spellEnd"/>
      <w:r w:rsidRPr="00612A18">
        <w:rPr>
          <w:rFonts w:eastAsia="Calibri" w:cs="Arial"/>
          <w:lang w:val="fr-CH"/>
        </w:rPr>
        <w:t>.</w:t>
      </w:r>
    </w:p>
    <w:p w:rsidR="0034055D" w:rsidRPr="00612A18" w:rsidRDefault="0034055D" w:rsidP="00B41AC5">
      <w:pPr>
        <w:autoSpaceDE w:val="0"/>
        <w:autoSpaceDN w:val="0"/>
        <w:adjustRightInd w:val="0"/>
        <w:rPr>
          <w:rFonts w:eastAsia="Calibri" w:cs="Arial"/>
          <w:lang w:val="fr-CH"/>
        </w:rPr>
      </w:pPr>
    </w:p>
    <w:p w:rsidR="005728D7" w:rsidRDefault="00436F76" w:rsidP="00436F76">
      <w:pPr>
        <w:autoSpaceDE w:val="0"/>
        <w:autoSpaceDN w:val="0"/>
        <w:adjustRightInd w:val="0"/>
        <w:rPr>
          <w:rFonts w:eastAsia="Calibri" w:cs="Arial"/>
          <w:lang w:val="fr-CH"/>
        </w:rPr>
      </w:pPr>
      <w:r w:rsidRPr="00612A18">
        <w:rPr>
          <w:rFonts w:eastAsia="Calibri" w:cs="Arial"/>
          <w:lang w:val="fr-CH"/>
        </w:rPr>
        <w:t>5.</w:t>
      </w:r>
      <w:r w:rsidRPr="00612A18">
        <w:rPr>
          <w:rFonts w:eastAsia="Calibri" w:cs="Arial"/>
          <w:lang w:val="fr-CH"/>
        </w:rPr>
        <w:tab/>
        <w:t>Une variété avec l</w:t>
      </w:r>
      <w:r w:rsidR="005728D7">
        <w:rPr>
          <w:rFonts w:eastAsia="Calibri" w:cs="Arial"/>
          <w:lang w:val="fr-CH"/>
        </w:rPr>
        <w:t>’</w:t>
      </w:r>
      <w:r w:rsidRPr="00612A18">
        <w:rPr>
          <w:rFonts w:eastAsia="Calibri" w:cs="Arial"/>
          <w:lang w:val="fr-CH"/>
        </w:rPr>
        <w:t>allèle homozygote</w:t>
      </w:r>
      <w:r w:rsidR="00612A18">
        <w:rPr>
          <w:rFonts w:eastAsia="Calibri" w:cs="Arial"/>
          <w:lang w:val="fr-CH"/>
        </w:rPr>
        <w:t> </w:t>
      </w:r>
      <w:r w:rsidRPr="00612A18">
        <w:rPr>
          <w:rFonts w:eastAsia="Calibri" w:cs="Arial"/>
          <w:lang w:val="fr-CH"/>
        </w:rPr>
        <w:t>tm2 sera sensible à la souche</w:t>
      </w:r>
      <w:r w:rsidR="00612A18">
        <w:rPr>
          <w:rFonts w:eastAsia="Calibri" w:cs="Arial"/>
          <w:lang w:val="fr-CH"/>
        </w:rPr>
        <w:t> </w:t>
      </w:r>
      <w:r w:rsidRPr="00612A18">
        <w:rPr>
          <w:rFonts w:eastAsia="Calibri" w:cs="Arial"/>
          <w:lang w:val="fr-CH"/>
        </w:rPr>
        <w:t xml:space="preserve">0 du </w:t>
      </w:r>
      <w:proofErr w:type="spellStart"/>
      <w:r w:rsidRPr="00612A18">
        <w:rPr>
          <w:rFonts w:eastAsia="Calibri" w:cs="Arial"/>
          <w:lang w:val="fr-CH"/>
        </w:rPr>
        <w:t>ToMV</w:t>
      </w:r>
      <w:proofErr w:type="spellEnd"/>
      <w:r w:rsidRPr="00612A18">
        <w:rPr>
          <w:rFonts w:eastAsia="Calibri" w:cs="Arial"/>
          <w:lang w:val="fr-CH"/>
        </w:rPr>
        <w:t xml:space="preserve"> à moins que la résistance ne soit codée par l</w:t>
      </w:r>
      <w:r w:rsidR="005728D7">
        <w:rPr>
          <w:rFonts w:eastAsia="Calibri" w:cs="Arial"/>
          <w:lang w:val="fr-CH"/>
        </w:rPr>
        <w:t>’</w:t>
      </w:r>
      <w:r w:rsidRPr="00612A18">
        <w:rPr>
          <w:rFonts w:eastAsia="Calibri" w:cs="Arial"/>
          <w:lang w:val="fr-CH"/>
        </w:rPr>
        <w:t>allèle</w:t>
      </w:r>
      <w:r w:rsidR="007E40B7" w:rsidRPr="007E40B7">
        <w:rPr>
          <w:rFonts w:eastAsia="Calibri" w:cs="Arial"/>
          <w:lang w:val="fr-CH"/>
        </w:rPr>
        <w:t xml:space="preserve"> </w:t>
      </w:r>
      <w:r w:rsidR="007E40B7">
        <w:rPr>
          <w:rFonts w:eastAsia="Calibri" w:cs="Arial"/>
          <w:lang w:val="fr-CH"/>
        </w:rPr>
        <w:t>de résistance</w:t>
      </w:r>
      <w:r w:rsidR="00612A18">
        <w:rPr>
          <w:rFonts w:eastAsia="Calibri" w:cs="Arial"/>
          <w:lang w:val="fr-CH"/>
        </w:rPr>
        <w:t> </w:t>
      </w:r>
      <w:r w:rsidRPr="00612A18">
        <w:rPr>
          <w:rFonts w:eastAsia="Calibri" w:cs="Arial"/>
          <w:lang w:val="fr-CH"/>
        </w:rPr>
        <w:t>Tm1.</w:t>
      </w:r>
      <w:r w:rsidR="00B41AC5" w:rsidRPr="00612A18">
        <w:rPr>
          <w:rFonts w:eastAsia="Calibri" w:cs="Arial"/>
          <w:lang w:val="fr-CH"/>
        </w:rPr>
        <w:t xml:space="preserve">  </w:t>
      </w:r>
      <w:r w:rsidRPr="00612A18">
        <w:rPr>
          <w:rFonts w:eastAsia="Calibri" w:cs="Arial"/>
          <w:lang w:val="fr-CH"/>
        </w:rPr>
        <w:t>Dans ce cas, la résistance à la souche</w:t>
      </w:r>
      <w:r w:rsidR="00612A18">
        <w:rPr>
          <w:rFonts w:eastAsia="Calibri" w:cs="Arial"/>
          <w:lang w:val="fr-CH"/>
        </w:rPr>
        <w:t> </w:t>
      </w:r>
      <w:r w:rsidRPr="00612A18">
        <w:rPr>
          <w:rFonts w:eastAsia="Calibri" w:cs="Arial"/>
          <w:lang w:val="fr-CH"/>
        </w:rPr>
        <w:t xml:space="preserve">0 du </w:t>
      </w:r>
      <w:proofErr w:type="spellStart"/>
      <w:r w:rsidRPr="00612A18">
        <w:rPr>
          <w:rFonts w:eastAsia="Calibri" w:cs="Arial"/>
          <w:lang w:val="fr-CH"/>
        </w:rPr>
        <w:t>ToMV</w:t>
      </w:r>
      <w:proofErr w:type="spellEnd"/>
      <w:r w:rsidRPr="00612A18">
        <w:rPr>
          <w:rFonts w:eastAsia="Calibri" w:cs="Arial"/>
          <w:lang w:val="fr-CH"/>
        </w:rPr>
        <w:t xml:space="preserve"> ne peut pas être déterminée par un test avec marqueurs d</w:t>
      </w:r>
      <w:r w:rsidR="005728D7">
        <w:rPr>
          <w:rFonts w:eastAsia="Calibri" w:cs="Arial"/>
          <w:lang w:val="fr-CH"/>
        </w:rPr>
        <w:t>’</w:t>
      </w:r>
      <w:r w:rsidRPr="00612A18">
        <w:rPr>
          <w:rFonts w:eastAsia="Calibri" w:cs="Arial"/>
          <w:lang w:val="fr-CH"/>
        </w:rPr>
        <w:t>ADN car il n</w:t>
      </w:r>
      <w:r w:rsidR="005728D7">
        <w:rPr>
          <w:rFonts w:eastAsia="Calibri" w:cs="Arial"/>
          <w:lang w:val="fr-CH"/>
        </w:rPr>
        <w:t>’</w:t>
      </w:r>
      <w:r w:rsidRPr="00612A18">
        <w:rPr>
          <w:rFonts w:eastAsia="Calibri" w:cs="Arial"/>
          <w:lang w:val="fr-CH"/>
        </w:rPr>
        <w:t>y a pas de marqueur fiable pour le gène</w:t>
      </w:r>
      <w:r w:rsidR="00612A18">
        <w:rPr>
          <w:rFonts w:eastAsia="Calibri" w:cs="Arial"/>
          <w:lang w:val="fr-CH"/>
        </w:rPr>
        <w:t> </w:t>
      </w:r>
      <w:r w:rsidRPr="00612A18">
        <w:rPr>
          <w:rFonts w:eastAsia="Calibri" w:cs="Arial"/>
          <w:lang w:val="fr-CH"/>
        </w:rPr>
        <w:t>Tm1.</w:t>
      </w:r>
    </w:p>
    <w:p w:rsidR="0034055D" w:rsidRPr="00612A18" w:rsidRDefault="0034055D" w:rsidP="00B41AC5">
      <w:pPr>
        <w:autoSpaceDE w:val="0"/>
        <w:autoSpaceDN w:val="0"/>
        <w:adjustRightInd w:val="0"/>
        <w:rPr>
          <w:rFonts w:eastAsia="Calibri" w:cs="Arial"/>
          <w:lang w:val="fr-CH"/>
        </w:rPr>
      </w:pPr>
    </w:p>
    <w:p w:rsidR="005728D7" w:rsidRDefault="00436F76" w:rsidP="00436F76">
      <w:pPr>
        <w:autoSpaceDE w:val="0"/>
        <w:autoSpaceDN w:val="0"/>
        <w:adjustRightInd w:val="0"/>
        <w:rPr>
          <w:rFonts w:eastAsia="Calibri" w:cs="Arial"/>
          <w:lang w:val="fr-CH"/>
        </w:rPr>
      </w:pPr>
      <w:r w:rsidRPr="00612A18">
        <w:rPr>
          <w:rFonts w:eastAsia="Calibri" w:cs="Arial"/>
          <w:lang w:val="fr-CH"/>
        </w:rPr>
        <w:t>6.</w:t>
      </w:r>
      <w:r w:rsidRPr="00612A18">
        <w:rPr>
          <w:rFonts w:eastAsia="Calibri" w:cs="Arial"/>
          <w:lang w:val="fr-CH"/>
        </w:rPr>
        <w:tab/>
        <w:t>Si une variété est censée être résistante à la souche</w:t>
      </w:r>
      <w:r w:rsidR="00612A18">
        <w:rPr>
          <w:rFonts w:eastAsia="Calibri" w:cs="Arial"/>
          <w:lang w:val="fr-CH"/>
        </w:rPr>
        <w:t> </w:t>
      </w:r>
      <w:r w:rsidRPr="00612A18">
        <w:rPr>
          <w:rFonts w:eastAsia="Calibri" w:cs="Arial"/>
          <w:lang w:val="fr-CH"/>
        </w:rPr>
        <w:t xml:space="preserve">0 du </w:t>
      </w:r>
      <w:proofErr w:type="spellStart"/>
      <w:r w:rsidR="007E40B7">
        <w:rPr>
          <w:rFonts w:eastAsia="Calibri" w:cs="Arial"/>
          <w:lang w:val="fr-CH"/>
        </w:rPr>
        <w:t>ToMV</w:t>
      </w:r>
      <w:proofErr w:type="spellEnd"/>
      <w:r w:rsidRPr="00612A18">
        <w:rPr>
          <w:rFonts w:eastAsia="Calibri" w:cs="Arial"/>
          <w:lang w:val="fr-CH"/>
        </w:rPr>
        <w:t xml:space="preserve"> et que les résultats du test avec marqueurs d</w:t>
      </w:r>
      <w:r w:rsidR="005728D7">
        <w:rPr>
          <w:rFonts w:eastAsia="Calibri" w:cs="Arial"/>
          <w:lang w:val="fr-CH"/>
        </w:rPr>
        <w:t>’</w:t>
      </w:r>
      <w:r w:rsidRPr="00612A18">
        <w:rPr>
          <w:rFonts w:eastAsia="Calibri" w:cs="Arial"/>
          <w:lang w:val="fr-CH"/>
        </w:rPr>
        <w:t>ADN sont tm2/tm2 (homozygote sensible), un essai biologique doit être effectué pour déterminer si la variété est résistante sur la base d</w:t>
      </w:r>
      <w:r w:rsidR="005728D7">
        <w:rPr>
          <w:rFonts w:eastAsia="Calibri" w:cs="Arial"/>
          <w:lang w:val="fr-CH"/>
        </w:rPr>
        <w:t>’</w:t>
      </w:r>
      <w:r w:rsidRPr="00612A18">
        <w:rPr>
          <w:rFonts w:eastAsia="Calibri" w:cs="Arial"/>
          <w:lang w:val="fr-CH"/>
        </w:rPr>
        <w:t>un autre gène, tel que Tm1.</w:t>
      </w:r>
      <w:r w:rsidR="00315619" w:rsidRPr="00612A18">
        <w:rPr>
          <w:rFonts w:eastAsia="Calibri" w:cs="Arial"/>
          <w:lang w:val="fr-CH"/>
        </w:rPr>
        <w:t xml:space="preserve">  </w:t>
      </w:r>
      <w:r w:rsidRPr="00612A18">
        <w:rPr>
          <w:rFonts w:eastAsia="Calibri" w:cs="Arial"/>
          <w:highlight w:val="lightGray"/>
          <w:u w:val="single"/>
          <w:lang w:val="fr-CH"/>
        </w:rPr>
        <w:t>Si une variété est censée être sensible à la souche</w:t>
      </w:r>
      <w:r w:rsidR="00612A18">
        <w:rPr>
          <w:rFonts w:eastAsia="Calibri" w:cs="Arial"/>
          <w:highlight w:val="lightGray"/>
          <w:u w:val="single"/>
          <w:lang w:val="fr-CH"/>
        </w:rPr>
        <w:t> </w:t>
      </w:r>
      <w:r w:rsidRPr="00612A18">
        <w:rPr>
          <w:rFonts w:eastAsia="Calibri" w:cs="Arial"/>
          <w:highlight w:val="lightGray"/>
          <w:u w:val="single"/>
          <w:lang w:val="fr-CH"/>
        </w:rPr>
        <w:t xml:space="preserve">0 du </w:t>
      </w:r>
      <w:proofErr w:type="spellStart"/>
      <w:r w:rsidRPr="00612A18">
        <w:rPr>
          <w:rFonts w:eastAsia="Calibri" w:cs="Arial"/>
          <w:highlight w:val="lightGray"/>
          <w:u w:val="single"/>
          <w:lang w:val="fr-CH"/>
        </w:rPr>
        <w:t>ToMV</w:t>
      </w:r>
      <w:proofErr w:type="spellEnd"/>
      <w:r w:rsidRPr="00612A18">
        <w:rPr>
          <w:rFonts w:eastAsia="Calibri" w:cs="Arial"/>
          <w:highlight w:val="lightGray"/>
          <w:u w:val="single"/>
          <w:lang w:val="fr-CH"/>
        </w:rPr>
        <w:t>, un essai biologique doit être effectué pour déterminer si la variété est résistante</w:t>
      </w:r>
      <w:r w:rsidRPr="00612A18">
        <w:rPr>
          <w:rFonts w:eastAsia="Calibri" w:cs="Arial"/>
          <w:lang w:val="fr-CH"/>
        </w:rPr>
        <w:t>.</w:t>
      </w:r>
    </w:p>
    <w:p w:rsidR="0034055D" w:rsidRPr="00612A18" w:rsidRDefault="0034055D" w:rsidP="00B41AC5">
      <w:pPr>
        <w:autoSpaceDE w:val="0"/>
        <w:autoSpaceDN w:val="0"/>
        <w:adjustRightInd w:val="0"/>
        <w:rPr>
          <w:rFonts w:eastAsia="Calibri" w:cs="Arial"/>
          <w:lang w:val="fr-CH"/>
        </w:rPr>
      </w:pPr>
    </w:p>
    <w:p w:rsidR="0034055D" w:rsidRPr="00612A18" w:rsidRDefault="0034055D" w:rsidP="00B41AC5">
      <w:pPr>
        <w:rPr>
          <w:lang w:val="fr-CH"/>
        </w:rPr>
      </w:pPr>
      <w:bookmarkStart w:id="12" w:name="_GoBack"/>
      <w:bookmarkEnd w:id="12"/>
    </w:p>
    <w:p w:rsidR="0034055D" w:rsidRPr="00612A18" w:rsidRDefault="0034055D" w:rsidP="00B41AC5">
      <w:pPr>
        <w:rPr>
          <w:lang w:val="fr-CH"/>
        </w:rPr>
      </w:pPr>
    </w:p>
    <w:p w:rsidR="0034055D" w:rsidRPr="00612A18" w:rsidRDefault="00436F76" w:rsidP="00436F76">
      <w:pPr>
        <w:jc w:val="right"/>
        <w:rPr>
          <w:lang w:val="fr-CH"/>
        </w:rPr>
      </w:pPr>
      <w:r w:rsidRPr="00612A18">
        <w:rPr>
          <w:lang w:val="fr-CH"/>
        </w:rPr>
        <w:t>[Fin de l</w:t>
      </w:r>
      <w:r w:rsidR="005728D7">
        <w:rPr>
          <w:lang w:val="fr-CH"/>
        </w:rPr>
        <w:t>’</w:t>
      </w:r>
      <w:r w:rsidRPr="00612A18">
        <w:rPr>
          <w:lang w:val="fr-CH"/>
        </w:rPr>
        <w:t>annexe et du document]</w:t>
      </w:r>
    </w:p>
    <w:p w:rsidR="0034055D" w:rsidRPr="00612A18" w:rsidRDefault="0034055D" w:rsidP="00321EB4">
      <w:pPr>
        <w:jc w:val="right"/>
        <w:rPr>
          <w:lang w:val="fr-CH"/>
        </w:rPr>
      </w:pPr>
    </w:p>
    <w:p w:rsidR="0034055D" w:rsidRPr="00612A18" w:rsidRDefault="0034055D" w:rsidP="00321EB4">
      <w:pPr>
        <w:jc w:val="right"/>
        <w:rPr>
          <w:lang w:val="fr-CH"/>
        </w:rPr>
      </w:pPr>
    </w:p>
    <w:p w:rsidR="00050E16" w:rsidRPr="00612A18" w:rsidRDefault="00050E16" w:rsidP="00321EB4">
      <w:pPr>
        <w:jc w:val="right"/>
        <w:rPr>
          <w:lang w:val="fr-CH"/>
        </w:rPr>
      </w:pPr>
    </w:p>
    <w:sectPr w:rsidR="00050E16" w:rsidRPr="00612A18" w:rsidSect="00906D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A26" w:rsidRDefault="00A04A26" w:rsidP="006655D3">
      <w:r>
        <w:separator/>
      </w:r>
    </w:p>
    <w:p w:rsidR="00A04A26" w:rsidRDefault="00A04A26" w:rsidP="006655D3"/>
    <w:p w:rsidR="00A04A26" w:rsidRDefault="00A04A26" w:rsidP="006655D3"/>
  </w:endnote>
  <w:endnote w:type="continuationSeparator" w:id="0">
    <w:p w:rsidR="00A04A26" w:rsidRDefault="00A04A26" w:rsidP="006655D3">
      <w:r>
        <w:separator/>
      </w:r>
    </w:p>
    <w:p w:rsidR="00A04A26" w:rsidRPr="00294751" w:rsidRDefault="00A04A2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04A26" w:rsidRPr="00294751" w:rsidRDefault="00A04A26" w:rsidP="006655D3">
      <w:pPr>
        <w:rPr>
          <w:lang w:val="fr-FR"/>
        </w:rPr>
      </w:pPr>
    </w:p>
    <w:p w:rsidR="00A04A26" w:rsidRPr="00294751" w:rsidRDefault="00A04A26" w:rsidP="006655D3">
      <w:pPr>
        <w:rPr>
          <w:lang w:val="fr-FR"/>
        </w:rPr>
      </w:pPr>
    </w:p>
  </w:endnote>
  <w:endnote w:type="continuationNotice" w:id="1">
    <w:p w:rsidR="00A04A26" w:rsidRPr="00294751" w:rsidRDefault="00A04A2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04A26" w:rsidRPr="00294751" w:rsidRDefault="00A04A26" w:rsidP="006655D3">
      <w:pPr>
        <w:rPr>
          <w:lang w:val="fr-FR"/>
        </w:rPr>
      </w:pPr>
    </w:p>
    <w:p w:rsidR="00A04A26" w:rsidRPr="00294751" w:rsidRDefault="00A04A2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2B" w:rsidRDefault="00143A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2B" w:rsidRDefault="00143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2B" w:rsidRDefault="00143A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A26" w:rsidRDefault="00A04A26" w:rsidP="006655D3">
      <w:r>
        <w:separator/>
      </w:r>
    </w:p>
  </w:footnote>
  <w:footnote w:type="continuationSeparator" w:id="0">
    <w:p w:rsidR="00A04A26" w:rsidRDefault="00A04A26" w:rsidP="006655D3">
      <w:r>
        <w:separator/>
      </w:r>
    </w:p>
  </w:footnote>
  <w:footnote w:type="continuationNotice" w:id="1">
    <w:p w:rsidR="00A04A26" w:rsidRPr="00AB530F" w:rsidRDefault="00A04A2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AC5" w:rsidRPr="00C5280D" w:rsidRDefault="003F57DE" w:rsidP="00EB048E">
    <w:pPr>
      <w:pStyle w:val="Header"/>
      <w:rPr>
        <w:rStyle w:val="PageNumber"/>
        <w:lang w:val="en-US"/>
      </w:rPr>
    </w:pPr>
    <w:r>
      <w:t>TC/55/15</w:t>
    </w:r>
  </w:p>
  <w:p w:rsidR="00B41AC5" w:rsidRDefault="00B41AC5" w:rsidP="00EB048E">
    <w:pPr>
      <w:pStyle w:val="Header"/>
      <w:rPr>
        <w:rStyle w:val="PageNumber"/>
        <w:lang w:val="en-US"/>
      </w:rPr>
    </w:pPr>
    <w:proofErr w:type="gramStart"/>
    <w:r w:rsidRPr="00C5280D">
      <w:rPr>
        <w:lang w:val="en-US"/>
      </w:rPr>
      <w:t>page</w:t>
    </w:r>
    <w:proofErr w:type="gramEnd"/>
    <w:r w:rsidR="00612A18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2008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612A18" w:rsidRPr="00C5280D" w:rsidRDefault="00612A18" w:rsidP="00EB048E">
    <w:pPr>
      <w:pStyle w:val="Header"/>
      <w:rPr>
        <w:lang w:val="en-US"/>
      </w:rPr>
    </w:pPr>
  </w:p>
  <w:p w:rsidR="00B41AC5" w:rsidRPr="00C5280D" w:rsidRDefault="00B41AC5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2B" w:rsidRDefault="00143A2B">
    <w:pPr>
      <w:pStyle w:val="Header"/>
    </w:pPr>
  </w:p>
  <w:p w:rsidR="00CB6AEA" w:rsidRDefault="00CB6A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4A6CF8">
      <w:rPr>
        <w:rStyle w:val="PageNumber"/>
        <w:lang w:val="en-US"/>
      </w:rPr>
      <w:t>55/1</w:t>
    </w:r>
    <w:r w:rsidR="00143A2B">
      <w:rPr>
        <w:rStyle w:val="PageNumber"/>
        <w:lang w:val="en-US"/>
      </w:rPr>
      <w:t>5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F5B61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  <w:p w:rsidR="00CB6AEA" w:rsidRDefault="00CB6AE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2B" w:rsidRDefault="003F57DE">
    <w:pPr>
      <w:pStyle w:val="Header"/>
    </w:pPr>
    <w:r>
      <w:t>TC/55/15</w:t>
    </w:r>
  </w:p>
  <w:p w:rsidR="003F57DE" w:rsidRDefault="003F57DE">
    <w:pPr>
      <w:pStyle w:val="Header"/>
    </w:pPr>
  </w:p>
  <w:p w:rsidR="003F57DE" w:rsidRDefault="003F57DE">
    <w:pPr>
      <w:pStyle w:val="Header"/>
    </w:pPr>
    <w:r>
      <w:t>ANNEX</w:t>
    </w:r>
    <w:r w:rsidR="00612A18">
      <w:t>E</w:t>
    </w:r>
  </w:p>
  <w:p w:rsidR="00612A18" w:rsidRDefault="00612A18">
    <w:pPr>
      <w:pStyle w:val="Header"/>
    </w:pPr>
  </w:p>
  <w:p w:rsidR="00612A18" w:rsidRDefault="00612A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10D99"/>
    <w:multiLevelType w:val="hybridMultilevel"/>
    <w:tmpl w:val="41CEC9F2"/>
    <w:lvl w:ilvl="0" w:tplc="6B7860B4">
      <w:start w:val="1"/>
      <w:numFmt w:val="lowerLetter"/>
      <w:lvlText w:val="(%1)"/>
      <w:lvlJc w:val="left"/>
      <w:pPr>
        <w:ind w:left="5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" w15:restartNumberingAfterBreak="0">
    <w:nsid w:val="245754D9"/>
    <w:multiLevelType w:val="hybridMultilevel"/>
    <w:tmpl w:val="41CEC9F2"/>
    <w:lvl w:ilvl="0" w:tplc="6B7860B4">
      <w:start w:val="1"/>
      <w:numFmt w:val="lowerLetter"/>
      <w:lvlText w:val="(%1)"/>
      <w:lvlJc w:val="left"/>
      <w:pPr>
        <w:ind w:left="5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A04A26"/>
    <w:rsid w:val="00010CF3"/>
    <w:rsid w:val="00011E27"/>
    <w:rsid w:val="000148BC"/>
    <w:rsid w:val="00024AB8"/>
    <w:rsid w:val="00027D8B"/>
    <w:rsid w:val="00030854"/>
    <w:rsid w:val="00036028"/>
    <w:rsid w:val="00044642"/>
    <w:rsid w:val="000446B9"/>
    <w:rsid w:val="00047E21"/>
    <w:rsid w:val="00050E16"/>
    <w:rsid w:val="000724B0"/>
    <w:rsid w:val="00085505"/>
    <w:rsid w:val="000C4E25"/>
    <w:rsid w:val="000C7021"/>
    <w:rsid w:val="000D6BBC"/>
    <w:rsid w:val="000D7780"/>
    <w:rsid w:val="000E636A"/>
    <w:rsid w:val="000F2F11"/>
    <w:rsid w:val="000F711F"/>
    <w:rsid w:val="001043B3"/>
    <w:rsid w:val="00105929"/>
    <w:rsid w:val="001077EC"/>
    <w:rsid w:val="00110C36"/>
    <w:rsid w:val="001131D5"/>
    <w:rsid w:val="00141DB8"/>
    <w:rsid w:val="00143A2B"/>
    <w:rsid w:val="001548C8"/>
    <w:rsid w:val="00172084"/>
    <w:rsid w:val="0017474A"/>
    <w:rsid w:val="001758C6"/>
    <w:rsid w:val="00182B99"/>
    <w:rsid w:val="00183D24"/>
    <w:rsid w:val="001A473A"/>
    <w:rsid w:val="001D36AC"/>
    <w:rsid w:val="002106F9"/>
    <w:rsid w:val="0021332C"/>
    <w:rsid w:val="00213982"/>
    <w:rsid w:val="00220087"/>
    <w:rsid w:val="00220931"/>
    <w:rsid w:val="002368AA"/>
    <w:rsid w:val="0024416D"/>
    <w:rsid w:val="00247764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15619"/>
    <w:rsid w:val="00321EB4"/>
    <w:rsid w:val="00321EDE"/>
    <w:rsid w:val="00327436"/>
    <w:rsid w:val="0034055D"/>
    <w:rsid w:val="003418E6"/>
    <w:rsid w:val="00344BD6"/>
    <w:rsid w:val="00352B9A"/>
    <w:rsid w:val="0035528D"/>
    <w:rsid w:val="00361821"/>
    <w:rsid w:val="00361E9E"/>
    <w:rsid w:val="00382007"/>
    <w:rsid w:val="00384702"/>
    <w:rsid w:val="00395F1C"/>
    <w:rsid w:val="003965E8"/>
    <w:rsid w:val="003A12A1"/>
    <w:rsid w:val="003C7FBE"/>
    <w:rsid w:val="003D227C"/>
    <w:rsid w:val="003D2B4D"/>
    <w:rsid w:val="003D41CD"/>
    <w:rsid w:val="003E1CC4"/>
    <w:rsid w:val="003E646B"/>
    <w:rsid w:val="003F57DE"/>
    <w:rsid w:val="00436F76"/>
    <w:rsid w:val="00444A88"/>
    <w:rsid w:val="0045516B"/>
    <w:rsid w:val="00474DA4"/>
    <w:rsid w:val="00476B4D"/>
    <w:rsid w:val="004805FA"/>
    <w:rsid w:val="004935D2"/>
    <w:rsid w:val="004A6CF8"/>
    <w:rsid w:val="004B1215"/>
    <w:rsid w:val="004B5CF9"/>
    <w:rsid w:val="004D047D"/>
    <w:rsid w:val="004F1E9E"/>
    <w:rsid w:val="004F305A"/>
    <w:rsid w:val="004F6F55"/>
    <w:rsid w:val="00512164"/>
    <w:rsid w:val="00520297"/>
    <w:rsid w:val="005338F9"/>
    <w:rsid w:val="00536FFD"/>
    <w:rsid w:val="0054281C"/>
    <w:rsid w:val="00543967"/>
    <w:rsid w:val="00544581"/>
    <w:rsid w:val="0055268D"/>
    <w:rsid w:val="005728D7"/>
    <w:rsid w:val="00576BE4"/>
    <w:rsid w:val="005A400A"/>
    <w:rsid w:val="005B46E9"/>
    <w:rsid w:val="005D3E9B"/>
    <w:rsid w:val="005E4765"/>
    <w:rsid w:val="005F640E"/>
    <w:rsid w:val="005F69D1"/>
    <w:rsid w:val="005F7B92"/>
    <w:rsid w:val="00612379"/>
    <w:rsid w:val="00612A18"/>
    <w:rsid w:val="006153B6"/>
    <w:rsid w:val="0061555F"/>
    <w:rsid w:val="006312D6"/>
    <w:rsid w:val="00636CA6"/>
    <w:rsid w:val="00641200"/>
    <w:rsid w:val="00641E3A"/>
    <w:rsid w:val="00645CA8"/>
    <w:rsid w:val="006655D3"/>
    <w:rsid w:val="00667404"/>
    <w:rsid w:val="006779E2"/>
    <w:rsid w:val="00687EB4"/>
    <w:rsid w:val="00695C56"/>
    <w:rsid w:val="006A5CDE"/>
    <w:rsid w:val="006A644A"/>
    <w:rsid w:val="006B17D2"/>
    <w:rsid w:val="006B182E"/>
    <w:rsid w:val="006C224E"/>
    <w:rsid w:val="006C3EFD"/>
    <w:rsid w:val="006D7435"/>
    <w:rsid w:val="006D780A"/>
    <w:rsid w:val="0071075D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40B7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82762"/>
    <w:rsid w:val="00890DF8"/>
    <w:rsid w:val="008A31C9"/>
    <w:rsid w:val="008A743F"/>
    <w:rsid w:val="008B6E60"/>
    <w:rsid w:val="008C0970"/>
    <w:rsid w:val="008D0BC5"/>
    <w:rsid w:val="008D2CF7"/>
    <w:rsid w:val="008D7E86"/>
    <w:rsid w:val="008F223E"/>
    <w:rsid w:val="00900C26"/>
    <w:rsid w:val="00900C6F"/>
    <w:rsid w:val="0090197F"/>
    <w:rsid w:val="00906DDC"/>
    <w:rsid w:val="00934E09"/>
    <w:rsid w:val="00936253"/>
    <w:rsid w:val="00940D46"/>
    <w:rsid w:val="00952DD4"/>
    <w:rsid w:val="00965AE7"/>
    <w:rsid w:val="00970FED"/>
    <w:rsid w:val="00983ED6"/>
    <w:rsid w:val="00992D82"/>
    <w:rsid w:val="00997029"/>
    <w:rsid w:val="009A1FDE"/>
    <w:rsid w:val="009A7339"/>
    <w:rsid w:val="009B440E"/>
    <w:rsid w:val="009D083B"/>
    <w:rsid w:val="009D690D"/>
    <w:rsid w:val="009E65B6"/>
    <w:rsid w:val="009F5253"/>
    <w:rsid w:val="009F5B61"/>
    <w:rsid w:val="00A0132D"/>
    <w:rsid w:val="00A04A26"/>
    <w:rsid w:val="00A24C10"/>
    <w:rsid w:val="00A25888"/>
    <w:rsid w:val="00A37713"/>
    <w:rsid w:val="00A37C2B"/>
    <w:rsid w:val="00A42AC3"/>
    <w:rsid w:val="00A430CF"/>
    <w:rsid w:val="00A54309"/>
    <w:rsid w:val="00AB2B93"/>
    <w:rsid w:val="00AB530F"/>
    <w:rsid w:val="00AB7E5B"/>
    <w:rsid w:val="00AC2491"/>
    <w:rsid w:val="00AC2883"/>
    <w:rsid w:val="00AE0EF1"/>
    <w:rsid w:val="00AE2937"/>
    <w:rsid w:val="00AF039A"/>
    <w:rsid w:val="00B07301"/>
    <w:rsid w:val="00B11F3E"/>
    <w:rsid w:val="00B15B96"/>
    <w:rsid w:val="00B224DE"/>
    <w:rsid w:val="00B324D4"/>
    <w:rsid w:val="00B41AC5"/>
    <w:rsid w:val="00B46575"/>
    <w:rsid w:val="00B61777"/>
    <w:rsid w:val="00B65691"/>
    <w:rsid w:val="00B74056"/>
    <w:rsid w:val="00B84BBD"/>
    <w:rsid w:val="00B90D32"/>
    <w:rsid w:val="00B91C9D"/>
    <w:rsid w:val="00BA43FB"/>
    <w:rsid w:val="00BC127D"/>
    <w:rsid w:val="00BC1FE6"/>
    <w:rsid w:val="00BF11ED"/>
    <w:rsid w:val="00BF3FC8"/>
    <w:rsid w:val="00C061B6"/>
    <w:rsid w:val="00C07F28"/>
    <w:rsid w:val="00C2446C"/>
    <w:rsid w:val="00C36AE5"/>
    <w:rsid w:val="00C41F17"/>
    <w:rsid w:val="00C47172"/>
    <w:rsid w:val="00C527FA"/>
    <w:rsid w:val="00C5280D"/>
    <w:rsid w:val="00C53EB3"/>
    <w:rsid w:val="00C5791C"/>
    <w:rsid w:val="00C66290"/>
    <w:rsid w:val="00C72254"/>
    <w:rsid w:val="00C72B7A"/>
    <w:rsid w:val="00C973F2"/>
    <w:rsid w:val="00C97512"/>
    <w:rsid w:val="00CA248A"/>
    <w:rsid w:val="00CA304C"/>
    <w:rsid w:val="00CA774A"/>
    <w:rsid w:val="00CB5DAA"/>
    <w:rsid w:val="00CB6AEA"/>
    <w:rsid w:val="00CC11B0"/>
    <w:rsid w:val="00CC2841"/>
    <w:rsid w:val="00CF1330"/>
    <w:rsid w:val="00CF7E36"/>
    <w:rsid w:val="00D1514A"/>
    <w:rsid w:val="00D326F9"/>
    <w:rsid w:val="00D3708D"/>
    <w:rsid w:val="00D40426"/>
    <w:rsid w:val="00D57C96"/>
    <w:rsid w:val="00D57D18"/>
    <w:rsid w:val="00D8568A"/>
    <w:rsid w:val="00D91203"/>
    <w:rsid w:val="00D95174"/>
    <w:rsid w:val="00DA4973"/>
    <w:rsid w:val="00DA6F36"/>
    <w:rsid w:val="00DB596E"/>
    <w:rsid w:val="00DB7773"/>
    <w:rsid w:val="00DC00EA"/>
    <w:rsid w:val="00DC3802"/>
    <w:rsid w:val="00DF67C6"/>
    <w:rsid w:val="00E07D87"/>
    <w:rsid w:val="00E2109F"/>
    <w:rsid w:val="00E32F7E"/>
    <w:rsid w:val="00E5267B"/>
    <w:rsid w:val="00E63C0E"/>
    <w:rsid w:val="00E72D49"/>
    <w:rsid w:val="00E7593C"/>
    <w:rsid w:val="00E7678A"/>
    <w:rsid w:val="00E935F1"/>
    <w:rsid w:val="00E94A81"/>
    <w:rsid w:val="00EA06CE"/>
    <w:rsid w:val="00EA1FFB"/>
    <w:rsid w:val="00EB048E"/>
    <w:rsid w:val="00EB4E9C"/>
    <w:rsid w:val="00EC40E5"/>
    <w:rsid w:val="00EE1141"/>
    <w:rsid w:val="00EE34DF"/>
    <w:rsid w:val="00EF2F89"/>
    <w:rsid w:val="00F03E98"/>
    <w:rsid w:val="00F1237A"/>
    <w:rsid w:val="00F22CBD"/>
    <w:rsid w:val="00F269E6"/>
    <w:rsid w:val="00F272F1"/>
    <w:rsid w:val="00F45372"/>
    <w:rsid w:val="00F51AF8"/>
    <w:rsid w:val="00F524E3"/>
    <w:rsid w:val="00F560F7"/>
    <w:rsid w:val="00F6334D"/>
    <w:rsid w:val="00FA49AB"/>
    <w:rsid w:val="00FB6BDA"/>
    <w:rsid w:val="00FC18B5"/>
    <w:rsid w:val="00FC69B5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127C1AD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2368AA"/>
    <w:pPr>
      <w:tabs>
        <w:tab w:val="right" w:leader="dot" w:pos="9639"/>
      </w:tabs>
      <w:spacing w:before="60"/>
      <w:ind w:right="1418"/>
      <w:contextualSpacing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uiPriority w:val="39"/>
    <w:rsid w:val="00B41AC5"/>
    <w:rPr>
      <w:rFonts w:ascii="Calibri" w:eastAsia="Calibri" w:hAnsi="Calibri"/>
      <w:sz w:val="22"/>
      <w:szCs w:val="22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1329</Words>
  <Characters>7243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TC/55/16</vt:lpstr>
    </vt:vector>
  </TitlesOfParts>
  <Company>UPOV</Company>
  <LinksUpToDate>false</LinksUpToDate>
  <CharactersWithSpaces>8555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TC/55/16</dc:title>
  <dc:creator>SANCHEZ VIZCAINO GOMEZ Rosa Maria</dc:creator>
  <cp:lastModifiedBy>MAY Jessica</cp:lastModifiedBy>
  <cp:revision>3</cp:revision>
  <cp:lastPrinted>2019-09-02T13:08:00Z</cp:lastPrinted>
  <dcterms:created xsi:type="dcterms:W3CDTF">2019-09-04T12:24:00Z</dcterms:created>
  <dcterms:modified xsi:type="dcterms:W3CDTF">2019-09-04T12:32:00Z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f9a8ad6c-7115-46a8-b3fe-f2c81523cb8f</vt:lpwstr>
  </property>
</Properties>
</file>