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85833" w:rsidRPr="00815738" w:rsidTr="009A6367">
        <w:tc>
          <w:tcPr>
            <w:tcW w:w="6522" w:type="dxa"/>
          </w:tcPr>
          <w:p w:rsidR="00285833" w:rsidRPr="00AC2883" w:rsidRDefault="00285833" w:rsidP="009A6367">
            <w:r w:rsidRPr="00D250C5">
              <w:rPr>
                <w:noProof/>
              </w:rPr>
              <w:drawing>
                <wp:inline distT="0" distB="0" distL="0" distR="0" wp14:anchorId="543FBAA4" wp14:editId="2BE7FCF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85833" w:rsidRPr="007C1D92" w:rsidRDefault="00285833" w:rsidP="009A6367">
            <w:pPr>
              <w:pStyle w:val="Lettrine"/>
            </w:pPr>
            <w:r>
              <w:t>F</w:t>
            </w:r>
          </w:p>
        </w:tc>
      </w:tr>
      <w:tr w:rsidR="00285833" w:rsidRPr="004B699C" w:rsidTr="009A6367">
        <w:trPr>
          <w:trHeight w:val="219"/>
        </w:trPr>
        <w:tc>
          <w:tcPr>
            <w:tcW w:w="6522" w:type="dxa"/>
          </w:tcPr>
          <w:p w:rsidR="00285833" w:rsidRPr="00285833" w:rsidRDefault="00285833" w:rsidP="009A6367">
            <w:pPr>
              <w:pStyle w:val="upove"/>
              <w:rPr>
                <w:lang w:val="fr-CH"/>
              </w:rPr>
            </w:pPr>
            <w:r w:rsidRPr="00285833">
              <w:rPr>
                <w:lang w:val="fr-CH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285833" w:rsidRPr="00285833" w:rsidRDefault="00285833" w:rsidP="009A6367">
            <w:pPr>
              <w:rPr>
                <w:lang w:val="fr-CH"/>
              </w:rPr>
            </w:pPr>
          </w:p>
        </w:tc>
      </w:tr>
    </w:tbl>
    <w:p w:rsidR="00285833" w:rsidRPr="00285833" w:rsidRDefault="00285833" w:rsidP="00285833">
      <w:pPr>
        <w:rPr>
          <w:lang w:val="fr-CH"/>
        </w:rPr>
      </w:pPr>
    </w:p>
    <w:p w:rsidR="00285833" w:rsidRPr="00285833" w:rsidRDefault="00285833" w:rsidP="00285833">
      <w:pPr>
        <w:rPr>
          <w:lang w:val="fr-CH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85833" w:rsidRPr="004B699C" w:rsidTr="009A6367">
        <w:tc>
          <w:tcPr>
            <w:tcW w:w="6512" w:type="dxa"/>
          </w:tcPr>
          <w:p w:rsidR="00285833" w:rsidRPr="00285833" w:rsidRDefault="00285833" w:rsidP="009A6367">
            <w:pPr>
              <w:pStyle w:val="Sessiontc"/>
              <w:spacing w:line="240" w:lineRule="auto"/>
              <w:rPr>
                <w:lang w:val="fr-CH"/>
              </w:rPr>
            </w:pPr>
            <w:r w:rsidRPr="00285833">
              <w:rPr>
                <w:lang w:val="fr-CH"/>
              </w:rPr>
              <w:t>Comité technique</w:t>
            </w:r>
          </w:p>
          <w:p w:rsidR="00285833" w:rsidRPr="00285833" w:rsidRDefault="00285833" w:rsidP="009A6367">
            <w:pPr>
              <w:pStyle w:val="Sessiontcplacedate"/>
              <w:rPr>
                <w:sz w:val="22"/>
                <w:lang w:val="fr-CH"/>
              </w:rPr>
            </w:pPr>
            <w:r w:rsidRPr="00285833">
              <w:rPr>
                <w:lang w:val="fr-CH"/>
              </w:rPr>
              <w:t>Cinquante</w:t>
            </w:r>
            <w:r w:rsidR="003B7821">
              <w:rPr>
                <w:lang w:val="fr-CH"/>
              </w:rPr>
              <w:t>-</w:t>
            </w:r>
            <w:r w:rsidRPr="00285833">
              <w:rPr>
                <w:lang w:val="fr-CH"/>
              </w:rPr>
              <w:t>cinqu</w:t>
            </w:r>
            <w:r w:rsidR="003B7821">
              <w:rPr>
                <w:lang w:val="fr-CH"/>
              </w:rPr>
              <w:t>ième session</w:t>
            </w:r>
            <w:r w:rsidRPr="00285833">
              <w:rPr>
                <w:lang w:val="fr-CH"/>
              </w:rPr>
              <w:br/>
              <w:t>Genève, 28 et 2</w:t>
            </w:r>
            <w:r w:rsidR="003B7821" w:rsidRPr="00285833">
              <w:rPr>
                <w:lang w:val="fr-CH"/>
              </w:rPr>
              <w:t>9</w:t>
            </w:r>
            <w:r w:rsidR="003B7821">
              <w:rPr>
                <w:lang w:val="fr-CH"/>
              </w:rPr>
              <w:t> </w:t>
            </w:r>
            <w:r w:rsidR="003B7821" w:rsidRPr="00285833">
              <w:rPr>
                <w:lang w:val="fr-CH"/>
              </w:rPr>
              <w:t>octobre</w:t>
            </w:r>
            <w:r w:rsidR="003B7821">
              <w:rPr>
                <w:lang w:val="fr-CH"/>
              </w:rPr>
              <w:t> </w:t>
            </w:r>
            <w:r w:rsidR="003B7821" w:rsidRPr="00285833">
              <w:rPr>
                <w:lang w:val="fr-CH"/>
              </w:rPr>
              <w:t>20</w:t>
            </w:r>
            <w:r w:rsidRPr="00285833">
              <w:rPr>
                <w:lang w:val="fr-CH"/>
              </w:rPr>
              <w:t>19</w:t>
            </w:r>
          </w:p>
        </w:tc>
        <w:tc>
          <w:tcPr>
            <w:tcW w:w="3127" w:type="dxa"/>
          </w:tcPr>
          <w:p w:rsidR="00285833" w:rsidRPr="00E73115" w:rsidRDefault="00285833" w:rsidP="009A6367">
            <w:pPr>
              <w:pStyle w:val="Doccode"/>
              <w:rPr>
                <w:lang w:val="fr-CH"/>
              </w:rPr>
            </w:pPr>
            <w:r w:rsidRPr="00E73115">
              <w:rPr>
                <w:lang w:val="fr-CH"/>
              </w:rPr>
              <w:t>TC/55/</w:t>
            </w:r>
            <w:r>
              <w:rPr>
                <w:lang w:val="fr-CH"/>
              </w:rPr>
              <w:t>12 </w:t>
            </w:r>
            <w:proofErr w:type="spellStart"/>
            <w:r>
              <w:rPr>
                <w:lang w:val="fr-CH"/>
              </w:rPr>
              <w:t>Add</w:t>
            </w:r>
            <w:proofErr w:type="spellEnd"/>
            <w:r>
              <w:rPr>
                <w:lang w:val="fr-CH"/>
              </w:rPr>
              <w:t>.</w:t>
            </w:r>
          </w:p>
          <w:p w:rsidR="00285833" w:rsidRPr="00285833" w:rsidRDefault="00285833" w:rsidP="009A6367">
            <w:pPr>
              <w:pStyle w:val="Docoriginal"/>
              <w:rPr>
                <w:lang w:val="fr-CH"/>
              </w:rPr>
            </w:pPr>
            <w:r w:rsidRPr="00285833">
              <w:rPr>
                <w:lang w:val="fr-CH"/>
              </w:rPr>
              <w:t>Original</w:t>
            </w:r>
            <w:r w:rsidR="003B7821">
              <w:rPr>
                <w:lang w:val="fr-CH"/>
              </w:rPr>
              <w:t> :</w:t>
            </w:r>
            <w:r w:rsidRPr="00285833">
              <w:rPr>
                <w:b w:val="0"/>
                <w:spacing w:val="0"/>
                <w:lang w:val="fr-CH"/>
              </w:rPr>
              <w:t xml:space="preserve"> anglais</w:t>
            </w:r>
          </w:p>
          <w:p w:rsidR="00285833" w:rsidRPr="00285833" w:rsidRDefault="00285833" w:rsidP="009A6367">
            <w:pPr>
              <w:pStyle w:val="Docoriginal"/>
              <w:rPr>
                <w:lang w:val="fr-CH"/>
              </w:rPr>
            </w:pPr>
            <w:r w:rsidRPr="00285833">
              <w:rPr>
                <w:lang w:val="fr-CH"/>
              </w:rPr>
              <w:t>Date</w:t>
            </w:r>
            <w:r w:rsidR="003B7821">
              <w:rPr>
                <w:lang w:val="fr-CH"/>
              </w:rPr>
              <w:t> </w:t>
            </w:r>
            <w:r w:rsidR="003B7821" w:rsidRPr="004B699C">
              <w:rPr>
                <w:lang w:val="fr-CH"/>
              </w:rPr>
              <w:t>:</w:t>
            </w:r>
            <w:r w:rsidRPr="004B699C">
              <w:rPr>
                <w:b w:val="0"/>
                <w:spacing w:val="0"/>
                <w:lang w:val="fr-CH"/>
              </w:rPr>
              <w:t xml:space="preserve"> </w:t>
            </w:r>
            <w:r w:rsidR="004B699C" w:rsidRPr="004B699C">
              <w:rPr>
                <w:b w:val="0"/>
                <w:spacing w:val="0"/>
                <w:lang w:val="fr-CH"/>
              </w:rPr>
              <w:t>3</w:t>
            </w:r>
            <w:r w:rsidR="003B7821" w:rsidRPr="004B699C">
              <w:rPr>
                <w:b w:val="0"/>
                <w:spacing w:val="0"/>
                <w:lang w:val="fr-CH"/>
              </w:rPr>
              <w:t> octobre 20</w:t>
            </w:r>
            <w:r w:rsidRPr="004B699C">
              <w:rPr>
                <w:b w:val="0"/>
                <w:spacing w:val="0"/>
                <w:lang w:val="fr-CH"/>
              </w:rPr>
              <w:t>19</w:t>
            </w:r>
          </w:p>
        </w:tc>
      </w:tr>
    </w:tbl>
    <w:p w:rsidR="00285833" w:rsidRPr="00E73115" w:rsidRDefault="00285833" w:rsidP="00285833">
      <w:pPr>
        <w:pStyle w:val="Titleofdoc0"/>
        <w:rPr>
          <w:lang w:val="fr-CH"/>
        </w:rPr>
      </w:pPr>
      <w:bookmarkStart w:id="0" w:name="TitleOfDoc"/>
      <w:bookmarkStart w:id="1" w:name="Prepared"/>
      <w:bookmarkEnd w:id="0"/>
      <w:bookmarkEnd w:id="1"/>
      <w:r w:rsidRPr="00E73115">
        <w:rPr>
          <w:lang w:val="fr-CH"/>
        </w:rPr>
        <w:t>additif aux caractères applicables à certaines variétés seulement</w:t>
      </w:r>
    </w:p>
    <w:p w:rsidR="00285833" w:rsidRPr="00285833" w:rsidRDefault="00285833" w:rsidP="00285833">
      <w:pPr>
        <w:pStyle w:val="preparedby1"/>
        <w:jc w:val="left"/>
        <w:rPr>
          <w:lang w:val="fr-CH"/>
        </w:rPr>
      </w:pPr>
      <w:r w:rsidRPr="00285833">
        <w:rPr>
          <w:lang w:val="fr-CH"/>
        </w:rPr>
        <w:t>Document établi par le Bureau de l</w:t>
      </w:r>
      <w:r w:rsidR="003B7821">
        <w:rPr>
          <w:lang w:val="fr-CH"/>
        </w:rPr>
        <w:t>’</w:t>
      </w:r>
      <w:r w:rsidRPr="00285833">
        <w:rPr>
          <w:lang w:val="fr-CH"/>
        </w:rPr>
        <w:t>Union</w:t>
      </w:r>
    </w:p>
    <w:p w:rsidR="00285833" w:rsidRPr="00285833" w:rsidRDefault="00285833" w:rsidP="00285833">
      <w:pPr>
        <w:pStyle w:val="Disclaimer"/>
        <w:rPr>
          <w:lang w:val="fr-CH"/>
        </w:rPr>
      </w:pPr>
      <w:r w:rsidRPr="00285833">
        <w:rPr>
          <w:lang w:val="fr-CH"/>
        </w:rPr>
        <w:t>Avertissement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le présent document ne représente pas les principes ou les orientations de l</w:t>
      </w:r>
      <w:r w:rsidR="003B7821">
        <w:rPr>
          <w:lang w:val="fr-CH"/>
        </w:rPr>
        <w:t>’</w:t>
      </w:r>
      <w:r w:rsidRPr="00285833">
        <w:rPr>
          <w:lang w:val="fr-CH"/>
        </w:rPr>
        <w:t>UPOV</w:t>
      </w:r>
    </w:p>
    <w:p w:rsidR="005B235D" w:rsidRPr="00172517" w:rsidRDefault="00B7634F" w:rsidP="00172517">
      <w:pPr>
        <w:pStyle w:val="Heading1"/>
      </w:pPr>
      <w:bookmarkStart w:id="2" w:name="_Toc21516863"/>
      <w:r w:rsidRPr="00172517">
        <w:t>Résumé</w:t>
      </w:r>
      <w:bookmarkEnd w:id="2"/>
    </w:p>
    <w:p w:rsidR="005B235D" w:rsidRDefault="005B235D" w:rsidP="00025F28">
      <w:pPr>
        <w:rPr>
          <w:snapToGrid w:val="0"/>
          <w:lang w:val="fr-CH"/>
        </w:rPr>
      </w:pPr>
    </w:p>
    <w:p w:rsidR="005B235D" w:rsidRPr="00285833" w:rsidRDefault="001031C0" w:rsidP="00B7634F">
      <w:pPr>
        <w:rPr>
          <w:snapToGrid w:val="0"/>
          <w:lang w:val="fr-CH"/>
        </w:rPr>
      </w:pPr>
      <w:r w:rsidRPr="00285833">
        <w:rPr>
          <w:snapToGrid w:val="0"/>
        </w:rPr>
        <w:fldChar w:fldCharType="begin"/>
      </w:r>
      <w:r w:rsidRPr="00285833">
        <w:rPr>
          <w:snapToGrid w:val="0"/>
          <w:lang w:val="fr-CH"/>
        </w:rPr>
        <w:instrText xml:space="preserve"> AUTONUM  </w:instrText>
      </w:r>
      <w:r w:rsidRPr="00285833">
        <w:rPr>
          <w:snapToGrid w:val="0"/>
        </w:rPr>
        <w:fldChar w:fldCharType="end"/>
      </w:r>
      <w:r w:rsidRPr="00285833">
        <w:rPr>
          <w:snapToGrid w:val="0"/>
          <w:lang w:val="fr-CH"/>
        </w:rPr>
        <w:tab/>
      </w:r>
      <w:r w:rsidR="00B7634F" w:rsidRPr="00285833">
        <w:rPr>
          <w:snapToGrid w:val="0"/>
          <w:lang w:val="fr-CH"/>
        </w:rPr>
        <w:t>Le présent additif a pour objet de rendre compte des faits nouveaux intervenus à la quarante</w:t>
      </w:r>
      <w:r w:rsidR="006F6585">
        <w:rPr>
          <w:snapToGrid w:val="0"/>
          <w:lang w:val="fr-CH"/>
        </w:rPr>
        <w:noBreakHyphen/>
      </w:r>
      <w:r w:rsidR="00B7634F" w:rsidRPr="00285833">
        <w:rPr>
          <w:snapToGrid w:val="0"/>
          <w:lang w:val="fr-CH"/>
        </w:rPr>
        <w:t>huit</w:t>
      </w:r>
      <w:r w:rsidR="003B7821">
        <w:rPr>
          <w:snapToGrid w:val="0"/>
          <w:lang w:val="fr-CH"/>
        </w:rPr>
        <w:t>ième session</w:t>
      </w:r>
      <w:r w:rsidR="00B7634F" w:rsidRPr="00285833">
        <w:rPr>
          <w:snapToGrid w:val="0"/>
          <w:lang w:val="fr-CH"/>
        </w:rPr>
        <w:t xml:space="preserve"> du Groupe de travail technique sur les plantes agricoles (TWA) et de présenter une proposition révisée de modification des conseils figurant actuellement dans le document</w:t>
      </w:r>
      <w:r w:rsidR="00235DF8">
        <w:rPr>
          <w:snapToGrid w:val="0"/>
          <w:lang w:val="fr-CH"/>
        </w:rPr>
        <w:t> </w:t>
      </w:r>
      <w:r w:rsidR="00B7634F" w:rsidRPr="00285833">
        <w:rPr>
          <w:snapToGrid w:val="0"/>
          <w:lang w:val="fr-CH"/>
        </w:rPr>
        <w:t xml:space="preserve">TGP/7 </w:t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É</w:t>
      </w:r>
      <w:r w:rsidR="00B7634F" w:rsidRPr="00285833">
        <w:rPr>
          <w:snapToGrid w:val="0"/>
          <w:lang w:val="fr-CH"/>
        </w:rPr>
        <w:t>laboration des principes directeurs d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exame</w:t>
      </w:r>
      <w:r w:rsidR="003B7821" w:rsidRPr="00285833">
        <w:rPr>
          <w:snapToGrid w:val="0"/>
          <w:lang w:val="fr-CH"/>
        </w:rPr>
        <w:t>n</w:t>
      </w:r>
      <w:r w:rsidR="003B7821">
        <w:rPr>
          <w:snapToGrid w:val="0"/>
          <w:lang w:val="fr-CH"/>
        </w:rPr>
        <w:t>”</w:t>
      </w:r>
      <w:r w:rsidR="00B7634F" w:rsidRPr="00285833">
        <w:rPr>
          <w:snapToGrid w:val="0"/>
          <w:lang w:val="fr-CH"/>
        </w:rPr>
        <w:t xml:space="preserve"> afin de permettre l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exclusion d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un caractère de l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observation sur la base d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un niveau d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expression d</w:t>
      </w:r>
      <w:r w:rsidR="003B7821">
        <w:rPr>
          <w:snapToGrid w:val="0"/>
          <w:lang w:val="fr-CH"/>
        </w:rPr>
        <w:t>’</w:t>
      </w:r>
      <w:r w:rsidR="00B7634F" w:rsidRPr="00285833">
        <w:rPr>
          <w:snapToGrid w:val="0"/>
          <w:lang w:val="fr-CH"/>
        </w:rPr>
        <w:t>un caractère quantitatif ou pseudo</w:t>
      </w:r>
      <w:r w:rsidR="003B7821">
        <w:rPr>
          <w:snapToGrid w:val="0"/>
          <w:lang w:val="fr-CH"/>
        </w:rPr>
        <w:t>-</w:t>
      </w:r>
      <w:r w:rsidR="00B7634F" w:rsidRPr="00285833">
        <w:rPr>
          <w:snapToGrid w:val="0"/>
          <w:lang w:val="fr-CH"/>
        </w:rPr>
        <w:t>qualitatif précédent.</w:t>
      </w:r>
    </w:p>
    <w:p w:rsidR="005B235D" w:rsidRPr="00285833" w:rsidRDefault="005B235D" w:rsidP="004B1215">
      <w:pPr>
        <w:rPr>
          <w:snapToGrid w:val="0"/>
          <w:lang w:val="fr-CH"/>
        </w:rPr>
      </w:pPr>
    </w:p>
    <w:p w:rsidR="005B235D" w:rsidRPr="00285833" w:rsidRDefault="00025F28" w:rsidP="00B7634F">
      <w:pPr>
        <w:rPr>
          <w:rFonts w:cs="Arial"/>
          <w:bCs/>
          <w:snapToGrid w:val="0"/>
          <w:lang w:val="fr-CH"/>
        </w:rPr>
      </w:pPr>
      <w:r w:rsidRPr="00285833">
        <w:rPr>
          <w:rFonts w:cs="Arial"/>
          <w:bCs/>
          <w:snapToGrid w:val="0"/>
        </w:rPr>
        <w:fldChar w:fldCharType="begin"/>
      </w:r>
      <w:r w:rsidRPr="00285833">
        <w:rPr>
          <w:rFonts w:cs="Arial"/>
          <w:bCs/>
          <w:snapToGrid w:val="0"/>
          <w:lang w:val="fr-CH"/>
        </w:rPr>
        <w:instrText xml:space="preserve"> AUTONUM  </w:instrText>
      </w:r>
      <w:r w:rsidRPr="00285833">
        <w:rPr>
          <w:rFonts w:cs="Arial"/>
          <w:bCs/>
          <w:snapToGrid w:val="0"/>
        </w:rPr>
        <w:fldChar w:fldCharType="end"/>
      </w:r>
      <w:r w:rsidRPr="00285833">
        <w:rPr>
          <w:rFonts w:cs="Arial"/>
          <w:bCs/>
          <w:snapToGrid w:val="0"/>
          <w:lang w:val="fr-CH"/>
        </w:rPr>
        <w:tab/>
      </w:r>
      <w:r w:rsidR="00B7634F" w:rsidRPr="00285833">
        <w:rPr>
          <w:rFonts w:cs="Arial"/>
          <w:bCs/>
          <w:snapToGrid w:val="0"/>
          <w:lang w:val="fr-CH"/>
        </w:rPr>
        <w:t>Le</w:t>
      </w:r>
      <w:r w:rsidR="003B7821">
        <w:rPr>
          <w:rFonts w:cs="Arial"/>
          <w:bCs/>
          <w:snapToGrid w:val="0"/>
          <w:lang w:val="fr-CH"/>
        </w:rPr>
        <w:t> TC</w:t>
      </w:r>
      <w:r w:rsidR="00B7634F" w:rsidRPr="00285833">
        <w:rPr>
          <w:rFonts w:cs="Arial"/>
          <w:bCs/>
          <w:snapToGrid w:val="0"/>
          <w:lang w:val="fr-CH"/>
        </w:rPr>
        <w:t xml:space="preserve"> est invité à examiner</w:t>
      </w:r>
    </w:p>
    <w:p w:rsidR="005B235D" w:rsidRPr="00285833" w:rsidRDefault="005B235D" w:rsidP="00025F28">
      <w:pPr>
        <w:rPr>
          <w:rFonts w:cs="Arial"/>
          <w:bCs/>
          <w:snapToGrid w:val="0"/>
          <w:lang w:val="fr-CH"/>
        </w:rPr>
      </w:pPr>
    </w:p>
    <w:p w:rsidR="005B235D" w:rsidRPr="00B23878" w:rsidRDefault="00025F28" w:rsidP="00B7634F">
      <w:pPr>
        <w:rPr>
          <w:rFonts w:cs="Arial"/>
          <w:bCs/>
          <w:snapToGrid w:val="0"/>
          <w:lang w:val="fr-CH"/>
        </w:rPr>
      </w:pPr>
      <w:r w:rsidRPr="00285833">
        <w:rPr>
          <w:rFonts w:cs="Arial"/>
          <w:bCs/>
          <w:snapToGrid w:val="0"/>
          <w:lang w:val="fr-CH"/>
        </w:rPr>
        <w:tab/>
      </w:r>
      <w:r w:rsidR="00B7634F" w:rsidRPr="00285833">
        <w:rPr>
          <w:rFonts w:cs="Arial"/>
          <w:bCs/>
          <w:snapToGrid w:val="0"/>
          <w:lang w:val="fr-CH"/>
        </w:rPr>
        <w:t>a)</w:t>
      </w:r>
      <w:r w:rsidR="00B7634F" w:rsidRPr="00285833">
        <w:rPr>
          <w:rFonts w:cs="Arial"/>
          <w:bCs/>
          <w:snapToGrid w:val="0"/>
          <w:lang w:val="fr-CH"/>
        </w:rPr>
        <w:tab/>
        <w:t>les exemples de caractères quantitatif et pseudo</w:t>
      </w:r>
      <w:r w:rsidR="003B7821">
        <w:rPr>
          <w:rFonts w:cs="Arial"/>
          <w:bCs/>
          <w:snapToGrid w:val="0"/>
          <w:lang w:val="fr-CH"/>
        </w:rPr>
        <w:t>-</w:t>
      </w:r>
      <w:r w:rsidR="00B7634F" w:rsidRPr="00285833">
        <w:rPr>
          <w:rFonts w:cs="Arial"/>
          <w:bCs/>
          <w:snapToGrid w:val="0"/>
          <w:lang w:val="fr-CH"/>
        </w:rPr>
        <w:t>qualitatif fournis par</w:t>
      </w:r>
      <w:r w:rsidR="003B7821" w:rsidRPr="00285833">
        <w:rPr>
          <w:rFonts w:cs="Arial"/>
          <w:bCs/>
          <w:snapToGrid w:val="0"/>
          <w:lang w:val="fr-CH"/>
        </w:rPr>
        <w:t xml:space="preserve"> les</w:t>
      </w:r>
      <w:r w:rsidR="003B7821">
        <w:rPr>
          <w:rFonts w:cs="Arial"/>
          <w:bCs/>
          <w:snapToGrid w:val="0"/>
          <w:lang w:val="fr-CH"/>
        </w:rPr>
        <w:t> </w:t>
      </w:r>
      <w:r w:rsidR="003B7821" w:rsidRPr="00285833">
        <w:rPr>
          <w:rFonts w:cs="Arial"/>
          <w:bCs/>
          <w:snapToGrid w:val="0"/>
          <w:lang w:val="fr-CH"/>
        </w:rPr>
        <w:t>TWP</w:t>
      </w:r>
      <w:r w:rsidR="00B7634F" w:rsidRPr="00285833">
        <w:rPr>
          <w:rFonts w:cs="Arial"/>
          <w:bCs/>
          <w:snapToGrid w:val="0"/>
          <w:lang w:val="fr-CH"/>
        </w:rPr>
        <w:t xml:space="preserve"> à leurs sessions tenues </w:t>
      </w:r>
      <w:r w:rsidR="003B7821" w:rsidRPr="00285833">
        <w:rPr>
          <w:rFonts w:cs="Arial"/>
          <w:bCs/>
          <w:snapToGrid w:val="0"/>
          <w:lang w:val="fr-CH"/>
        </w:rPr>
        <w:t>en</w:t>
      </w:r>
      <w:r w:rsidR="003B7821">
        <w:rPr>
          <w:rFonts w:cs="Arial"/>
          <w:bCs/>
          <w:snapToGrid w:val="0"/>
          <w:lang w:val="fr-CH"/>
        </w:rPr>
        <w:t> </w:t>
      </w:r>
      <w:r w:rsidR="003B7821" w:rsidRPr="00285833">
        <w:rPr>
          <w:rFonts w:cs="Arial"/>
          <w:bCs/>
          <w:snapToGrid w:val="0"/>
          <w:lang w:val="fr-CH"/>
        </w:rPr>
        <w:t>2019</w:t>
      </w:r>
      <w:r w:rsidR="00B7634F" w:rsidRPr="00285833">
        <w:rPr>
          <w:rFonts w:cs="Arial"/>
          <w:bCs/>
          <w:snapToGrid w:val="0"/>
          <w:lang w:val="fr-CH"/>
        </w:rPr>
        <w:t xml:space="preserve"> pour expliquer comment la méthode peut être utilisée d</w:t>
      </w:r>
      <w:r w:rsidR="003B7821">
        <w:rPr>
          <w:rFonts w:cs="Arial"/>
          <w:bCs/>
          <w:snapToGrid w:val="0"/>
          <w:lang w:val="fr-CH"/>
        </w:rPr>
        <w:t>’</w:t>
      </w:r>
      <w:r w:rsidR="00B7634F" w:rsidRPr="00285833">
        <w:rPr>
          <w:rFonts w:cs="Arial"/>
          <w:bCs/>
          <w:snapToGrid w:val="0"/>
          <w:lang w:val="fr-CH"/>
        </w:rPr>
        <w:t xml:space="preserve">une manière qui ne présente pas de risque pour les décisions sur la distinction, comme indiqué </w:t>
      </w:r>
      <w:r w:rsidR="00B7634F" w:rsidRPr="00B23878">
        <w:rPr>
          <w:rFonts w:cs="Arial"/>
          <w:bCs/>
          <w:snapToGrid w:val="0"/>
          <w:lang w:val="fr-CH"/>
        </w:rPr>
        <w:t xml:space="preserve">au </w:t>
      </w:r>
      <w:r w:rsidR="003B7821" w:rsidRPr="00B23878">
        <w:rPr>
          <w:rFonts w:cs="Arial"/>
          <w:bCs/>
          <w:snapToGrid w:val="0"/>
          <w:lang w:val="fr-CH"/>
        </w:rPr>
        <w:t>paragraphe 1</w:t>
      </w:r>
      <w:r w:rsidR="00B7634F" w:rsidRPr="00B23878">
        <w:rPr>
          <w:rFonts w:cs="Arial"/>
          <w:bCs/>
          <w:snapToGrid w:val="0"/>
          <w:lang w:val="fr-CH"/>
        </w:rPr>
        <w:t>3 du présent document et</w:t>
      </w:r>
    </w:p>
    <w:p w:rsidR="005B235D" w:rsidRPr="00B23878" w:rsidRDefault="005B235D" w:rsidP="00025F28">
      <w:pPr>
        <w:rPr>
          <w:rFonts w:cs="Arial"/>
          <w:bCs/>
          <w:snapToGrid w:val="0"/>
          <w:lang w:val="fr-CH"/>
        </w:rPr>
      </w:pPr>
    </w:p>
    <w:p w:rsidR="005B235D" w:rsidRPr="00285833" w:rsidRDefault="00025F28" w:rsidP="00B7634F">
      <w:pPr>
        <w:rPr>
          <w:rFonts w:cs="Arial"/>
          <w:bCs/>
          <w:snapToGrid w:val="0"/>
          <w:lang w:val="fr-CH"/>
        </w:rPr>
      </w:pPr>
      <w:r w:rsidRPr="00B23878">
        <w:rPr>
          <w:rFonts w:cs="Arial"/>
          <w:bCs/>
          <w:snapToGrid w:val="0"/>
          <w:lang w:val="fr-CH"/>
        </w:rPr>
        <w:tab/>
      </w:r>
      <w:r w:rsidR="00B7634F" w:rsidRPr="00B23878">
        <w:rPr>
          <w:rFonts w:cs="Arial"/>
          <w:bCs/>
          <w:snapToGrid w:val="0"/>
          <w:lang w:val="fr-CH"/>
        </w:rPr>
        <w:t>b)</w:t>
      </w:r>
      <w:r w:rsidR="00B7634F" w:rsidRPr="00B23878">
        <w:rPr>
          <w:rFonts w:cs="Arial"/>
          <w:bCs/>
          <w:snapToGrid w:val="0"/>
          <w:lang w:val="fr-CH"/>
        </w:rPr>
        <w:tab/>
        <w:t>la proposition de modification des conseils figurant dans la note indicative</w:t>
      </w:r>
      <w:r w:rsidR="00235DF8" w:rsidRPr="00B23878">
        <w:rPr>
          <w:rFonts w:cs="Arial"/>
          <w:bCs/>
          <w:snapToGrid w:val="0"/>
          <w:lang w:val="fr-CH"/>
        </w:rPr>
        <w:t> </w:t>
      </w:r>
      <w:r w:rsidR="00B7634F" w:rsidRPr="00B23878">
        <w:rPr>
          <w:rFonts w:cs="Arial"/>
          <w:bCs/>
          <w:snapToGrid w:val="0"/>
          <w:lang w:val="fr-CH"/>
        </w:rPr>
        <w:t>18 (GN</w:t>
      </w:r>
      <w:r w:rsidR="00235DF8" w:rsidRPr="00B23878">
        <w:rPr>
          <w:rFonts w:cs="Arial"/>
          <w:bCs/>
          <w:snapToGrid w:val="0"/>
          <w:lang w:val="fr-CH"/>
        </w:rPr>
        <w:t> </w:t>
      </w:r>
      <w:r w:rsidR="00B7634F" w:rsidRPr="00B23878">
        <w:rPr>
          <w:rFonts w:cs="Arial"/>
          <w:bCs/>
          <w:snapToGrid w:val="0"/>
          <w:lang w:val="fr-CH"/>
        </w:rPr>
        <w:t>18) du document TGP/7 afin de permettre l</w:t>
      </w:r>
      <w:r w:rsidR="003B7821" w:rsidRPr="00B23878">
        <w:rPr>
          <w:rFonts w:cs="Arial"/>
          <w:bCs/>
          <w:snapToGrid w:val="0"/>
          <w:lang w:val="fr-CH"/>
        </w:rPr>
        <w:t>’</w:t>
      </w:r>
      <w:r w:rsidR="00B7634F" w:rsidRPr="00B23878">
        <w:rPr>
          <w:rFonts w:cs="Arial"/>
          <w:bCs/>
          <w:snapToGrid w:val="0"/>
          <w:lang w:val="fr-CH"/>
        </w:rPr>
        <w:t>exclusion d</w:t>
      </w:r>
      <w:r w:rsidR="003B7821" w:rsidRPr="00B23878">
        <w:rPr>
          <w:rFonts w:cs="Arial"/>
          <w:bCs/>
          <w:snapToGrid w:val="0"/>
          <w:lang w:val="fr-CH"/>
        </w:rPr>
        <w:t>’</w:t>
      </w:r>
      <w:r w:rsidR="00B7634F" w:rsidRPr="00B23878">
        <w:rPr>
          <w:rFonts w:cs="Arial"/>
          <w:bCs/>
          <w:snapToGrid w:val="0"/>
          <w:lang w:val="fr-CH"/>
        </w:rPr>
        <w:t>un caractère de l</w:t>
      </w:r>
      <w:r w:rsidR="003B7821" w:rsidRPr="00B23878">
        <w:rPr>
          <w:rFonts w:cs="Arial"/>
          <w:bCs/>
          <w:snapToGrid w:val="0"/>
          <w:lang w:val="fr-CH"/>
        </w:rPr>
        <w:t>’</w:t>
      </w:r>
      <w:r w:rsidR="00B7634F" w:rsidRPr="00B23878">
        <w:rPr>
          <w:rFonts w:cs="Arial"/>
          <w:bCs/>
          <w:snapToGrid w:val="0"/>
          <w:lang w:val="fr-CH"/>
        </w:rPr>
        <w:t>observation sur la base du niveau d</w:t>
      </w:r>
      <w:r w:rsidR="003B7821" w:rsidRPr="00B23878">
        <w:rPr>
          <w:rFonts w:cs="Arial"/>
          <w:bCs/>
          <w:snapToGrid w:val="0"/>
          <w:lang w:val="fr-CH"/>
        </w:rPr>
        <w:t>’</w:t>
      </w:r>
      <w:r w:rsidR="00B7634F" w:rsidRPr="00B23878">
        <w:rPr>
          <w:rFonts w:cs="Arial"/>
          <w:bCs/>
          <w:snapToGrid w:val="0"/>
          <w:lang w:val="fr-CH"/>
        </w:rPr>
        <w:t>expression d</w:t>
      </w:r>
      <w:r w:rsidR="003B7821" w:rsidRPr="00B23878">
        <w:rPr>
          <w:rFonts w:cs="Arial"/>
          <w:bCs/>
          <w:snapToGrid w:val="0"/>
          <w:lang w:val="fr-CH"/>
        </w:rPr>
        <w:t>’</w:t>
      </w:r>
      <w:r w:rsidR="00B7634F" w:rsidRPr="00B23878">
        <w:rPr>
          <w:rFonts w:cs="Arial"/>
          <w:bCs/>
          <w:snapToGrid w:val="0"/>
          <w:lang w:val="fr-CH"/>
        </w:rPr>
        <w:t>un caractère pseudo</w:t>
      </w:r>
      <w:r w:rsidR="003B7821" w:rsidRPr="00B23878">
        <w:rPr>
          <w:rFonts w:cs="Arial"/>
          <w:bCs/>
          <w:snapToGrid w:val="0"/>
          <w:lang w:val="fr-CH"/>
        </w:rPr>
        <w:t>-</w:t>
      </w:r>
      <w:r w:rsidR="00B7634F" w:rsidRPr="00B23878">
        <w:rPr>
          <w:rFonts w:cs="Arial"/>
          <w:bCs/>
          <w:snapToGrid w:val="0"/>
          <w:lang w:val="fr-CH"/>
        </w:rPr>
        <w:t xml:space="preserve">qualitatif ou quantitatif précédent, comme indiqué au </w:t>
      </w:r>
      <w:r w:rsidR="003B7821" w:rsidRPr="00B23878">
        <w:rPr>
          <w:rFonts w:cs="Arial"/>
          <w:bCs/>
          <w:snapToGrid w:val="0"/>
          <w:lang w:val="fr-CH"/>
        </w:rPr>
        <w:t>paragraphe 1</w:t>
      </w:r>
      <w:r w:rsidR="00B7634F" w:rsidRPr="00B23878">
        <w:rPr>
          <w:rFonts w:cs="Arial"/>
          <w:bCs/>
          <w:snapToGrid w:val="0"/>
          <w:lang w:val="fr-CH"/>
        </w:rPr>
        <w:t>4 du présent document.</w:t>
      </w:r>
    </w:p>
    <w:p w:rsidR="005B235D" w:rsidRPr="00285833" w:rsidRDefault="005B235D" w:rsidP="004B1215">
      <w:pPr>
        <w:rPr>
          <w:snapToGrid w:val="0"/>
          <w:lang w:val="fr-CH"/>
        </w:rPr>
      </w:pPr>
    </w:p>
    <w:p w:rsidR="005B235D" w:rsidRPr="00285833" w:rsidRDefault="00000F72" w:rsidP="008B609B">
      <w:pPr>
        <w:jc w:val="left"/>
        <w:rPr>
          <w:rFonts w:cs="Arial"/>
          <w:lang w:val="fr-CH"/>
        </w:rPr>
      </w:pPr>
      <w:r w:rsidRPr="00285833">
        <w:rPr>
          <w:rFonts w:cs="Arial"/>
        </w:rPr>
        <w:fldChar w:fldCharType="begin"/>
      </w:r>
      <w:r w:rsidRPr="00285833">
        <w:rPr>
          <w:rFonts w:cs="Arial"/>
          <w:lang w:val="fr-CH"/>
        </w:rPr>
        <w:instrText xml:space="preserve"> AUTONUM  </w:instrText>
      </w:r>
      <w:r w:rsidRPr="00285833">
        <w:rPr>
          <w:rFonts w:cs="Arial"/>
        </w:rPr>
        <w:fldChar w:fldCharType="end"/>
      </w:r>
      <w:r w:rsidRPr="00285833">
        <w:rPr>
          <w:rFonts w:cs="Arial"/>
          <w:lang w:val="fr-CH"/>
        </w:rPr>
        <w:tab/>
      </w:r>
      <w:r w:rsidR="008B609B" w:rsidRPr="00285833">
        <w:rPr>
          <w:rFonts w:cs="Arial"/>
          <w:lang w:val="fr-CH"/>
        </w:rPr>
        <w:t>Les abréviations suivantes sont utilisées dans le présent document</w:t>
      </w:r>
      <w:r w:rsidR="003B7821">
        <w:rPr>
          <w:rFonts w:cs="Arial"/>
          <w:lang w:val="fr-CH"/>
        </w:rPr>
        <w:t> :</w:t>
      </w:r>
    </w:p>
    <w:p w:rsidR="005B235D" w:rsidRPr="00285833" w:rsidRDefault="005B235D" w:rsidP="00000F72">
      <w:pPr>
        <w:jc w:val="left"/>
        <w:rPr>
          <w:rFonts w:cs="Arial"/>
          <w:lang w:val="fr-CH"/>
        </w:rPr>
      </w:pPr>
    </w:p>
    <w:p w:rsidR="005B235D" w:rsidRPr="00285833" w:rsidRDefault="008B609B" w:rsidP="008B609B">
      <w:pPr>
        <w:tabs>
          <w:tab w:val="left" w:pos="1134"/>
        </w:tabs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TC</w:t>
      </w:r>
      <w:r w:rsidR="003B7821">
        <w:rPr>
          <w:rFonts w:cs="Arial"/>
          <w:lang w:val="fr-CH"/>
        </w:rPr>
        <w:t> :</w:t>
      </w:r>
      <w:r w:rsidR="0099223E"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Comité technique</w:t>
      </w:r>
    </w:p>
    <w:p w:rsidR="005B235D" w:rsidRPr="00285833" w:rsidRDefault="0099223E" w:rsidP="0099223E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TC</w:t>
      </w:r>
      <w:r w:rsidR="003B7821">
        <w:rPr>
          <w:rFonts w:cs="Arial"/>
          <w:lang w:val="fr-CH"/>
        </w:rPr>
        <w:t>-</w:t>
      </w:r>
      <w:r w:rsidRPr="00285833">
        <w:rPr>
          <w:rFonts w:cs="Arial"/>
          <w:lang w:val="fr-CH"/>
        </w:rPr>
        <w:t>EDC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Comité de rédaction élargi</w:t>
      </w:r>
    </w:p>
    <w:p w:rsidR="005B235D" w:rsidRPr="00285833" w:rsidRDefault="00023CB0" w:rsidP="00023CB0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TWA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Groupe de travail technique sur les plantes agricoles</w:t>
      </w:r>
    </w:p>
    <w:p w:rsidR="005B235D" w:rsidRPr="00285833" w:rsidRDefault="00023CB0" w:rsidP="00023CB0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TWC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Groupe de travail technique sur les systèmes d</w:t>
      </w:r>
      <w:r w:rsidR="003B7821">
        <w:rPr>
          <w:rFonts w:cs="Arial"/>
          <w:lang w:val="fr-CH"/>
        </w:rPr>
        <w:t>’</w:t>
      </w:r>
      <w:r w:rsidRPr="00285833">
        <w:rPr>
          <w:rFonts w:cs="Arial"/>
          <w:lang w:val="fr-CH"/>
        </w:rPr>
        <w:t>automatisation et les programmes d</w:t>
      </w:r>
      <w:r w:rsidR="003B7821">
        <w:rPr>
          <w:rFonts w:cs="Arial"/>
          <w:lang w:val="fr-CH"/>
        </w:rPr>
        <w:t>’</w:t>
      </w:r>
      <w:r w:rsidRPr="00285833">
        <w:rPr>
          <w:rFonts w:cs="Arial"/>
          <w:lang w:val="fr-CH"/>
        </w:rPr>
        <w:t>ordinateur</w:t>
      </w:r>
    </w:p>
    <w:p w:rsidR="003B7821" w:rsidRDefault="00023CB0" w:rsidP="00023CB0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TWF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Groupe de travail technique sur les plantes fruitières</w:t>
      </w:r>
    </w:p>
    <w:p w:rsidR="003B7821" w:rsidRDefault="00023CB0" w:rsidP="00023CB0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TWO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Groupe de travail technique sur les plantes ornementales et les arbres forestiers</w:t>
      </w:r>
    </w:p>
    <w:p w:rsidR="005B235D" w:rsidRPr="00285833" w:rsidRDefault="00023CB0" w:rsidP="00023CB0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TWV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Groupe de travail technique sur les plantes potagères</w:t>
      </w:r>
    </w:p>
    <w:p w:rsidR="005B235D" w:rsidRPr="00285833" w:rsidRDefault="00023CB0" w:rsidP="00023CB0">
      <w:pPr>
        <w:jc w:val="left"/>
        <w:rPr>
          <w:rFonts w:cs="Arial"/>
          <w:lang w:val="fr-CH"/>
        </w:rPr>
      </w:pPr>
      <w:r w:rsidRPr="00285833">
        <w:rPr>
          <w:rFonts w:cs="Arial"/>
          <w:lang w:val="fr-CH"/>
        </w:rPr>
        <w:t>TWP</w:t>
      </w:r>
      <w:r w:rsidR="003B7821">
        <w:rPr>
          <w:rFonts w:cs="Arial"/>
          <w:lang w:val="fr-CH"/>
        </w:rPr>
        <w:t> :</w:t>
      </w:r>
      <w:r w:rsidRPr="00285833">
        <w:rPr>
          <w:rFonts w:cs="Arial"/>
          <w:lang w:val="fr-CH"/>
        </w:rPr>
        <w:t xml:space="preserve"> </w:t>
      </w:r>
      <w:r w:rsidRPr="00285833">
        <w:rPr>
          <w:rFonts w:cs="Arial"/>
          <w:lang w:val="fr-CH"/>
        </w:rPr>
        <w:tab/>
        <w:t>Groupe(s) de travail technique(s)</w:t>
      </w:r>
    </w:p>
    <w:p w:rsidR="005B235D" w:rsidRPr="00285833" w:rsidRDefault="005B235D" w:rsidP="00000F72">
      <w:pPr>
        <w:tabs>
          <w:tab w:val="left" w:pos="567"/>
          <w:tab w:val="left" w:pos="1134"/>
        </w:tabs>
        <w:rPr>
          <w:snapToGrid w:val="0"/>
          <w:highlight w:val="yellow"/>
          <w:lang w:val="fr-CH"/>
        </w:rPr>
      </w:pPr>
    </w:p>
    <w:p w:rsidR="005B235D" w:rsidRPr="00285833" w:rsidRDefault="00000F72" w:rsidP="00023CB0">
      <w:pPr>
        <w:rPr>
          <w:lang w:val="fr-CH" w:eastAsia="ja-JP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023CB0" w:rsidRPr="00285833">
        <w:rPr>
          <w:lang w:val="fr-CH"/>
        </w:rPr>
        <w:t>Le présent document est structuré comme suit</w:t>
      </w:r>
      <w:r w:rsidR="003B7821">
        <w:rPr>
          <w:lang w:val="fr-CH"/>
        </w:rPr>
        <w:t> :</w:t>
      </w:r>
    </w:p>
    <w:p w:rsidR="005B235D" w:rsidRDefault="005B235D" w:rsidP="00000F72">
      <w:pPr>
        <w:rPr>
          <w:lang w:val="fr-CH" w:eastAsia="ja-JP"/>
        </w:rPr>
      </w:pPr>
    </w:p>
    <w:p w:rsidR="00285833" w:rsidRDefault="00000F7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r w:rsidRPr="008B1AC5">
        <w:rPr>
          <w:b/>
          <w:bCs/>
          <w:noProof/>
          <w:sz w:val="20"/>
          <w:highlight w:val="yellow"/>
        </w:rPr>
        <w:fldChar w:fldCharType="begin"/>
      </w:r>
      <w:r w:rsidRPr="008B1AC5">
        <w:rPr>
          <w:rFonts w:cs="Arial"/>
          <w:b/>
          <w:bCs/>
          <w:noProof/>
          <w:highlight w:val="yellow"/>
        </w:rPr>
        <w:instrText xml:space="preserve"> TOC \o "1-3" \h \z \u </w:instrText>
      </w:r>
      <w:r w:rsidRPr="008B1AC5">
        <w:rPr>
          <w:b/>
          <w:bCs/>
          <w:noProof/>
          <w:sz w:val="20"/>
          <w:highlight w:val="yellow"/>
        </w:rPr>
        <w:fldChar w:fldCharType="separate"/>
      </w:r>
      <w:hyperlink w:anchor="_Toc21516863" w:history="1">
        <w:r w:rsidR="00285833" w:rsidRPr="00CD19D4">
          <w:rPr>
            <w:rStyle w:val="Hyperlink"/>
            <w:noProof/>
            <w:snapToGrid w:val="0"/>
            <w:lang w:val="fr-CH"/>
          </w:rPr>
          <w:t>Résumé</w:t>
        </w:r>
        <w:r w:rsidR="00285833">
          <w:rPr>
            <w:noProof/>
            <w:webHidden/>
          </w:rPr>
          <w:tab/>
        </w:r>
        <w:r w:rsidR="00285833">
          <w:rPr>
            <w:noProof/>
            <w:webHidden/>
          </w:rPr>
          <w:fldChar w:fldCharType="begin"/>
        </w:r>
        <w:r w:rsidR="00285833">
          <w:rPr>
            <w:noProof/>
            <w:webHidden/>
          </w:rPr>
          <w:instrText xml:space="preserve"> PAGEREF _Toc21516863 \h </w:instrText>
        </w:r>
        <w:r w:rsidR="00285833">
          <w:rPr>
            <w:noProof/>
            <w:webHidden/>
          </w:rPr>
        </w:r>
        <w:r w:rsidR="00285833">
          <w:rPr>
            <w:noProof/>
            <w:webHidden/>
          </w:rPr>
          <w:fldChar w:fldCharType="separate"/>
        </w:r>
        <w:r w:rsidR="00285833">
          <w:rPr>
            <w:noProof/>
            <w:webHidden/>
          </w:rPr>
          <w:t>1</w:t>
        </w:r>
        <w:r w:rsidR="00285833">
          <w:rPr>
            <w:noProof/>
            <w:webHidden/>
          </w:rPr>
          <w:fldChar w:fldCharType="end"/>
        </w:r>
      </w:hyperlink>
    </w:p>
    <w:p w:rsidR="00285833" w:rsidRDefault="00B2387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21516864" w:history="1">
        <w:r w:rsidR="00285833" w:rsidRPr="00CD19D4">
          <w:rPr>
            <w:rStyle w:val="Hyperlink"/>
            <w:noProof/>
            <w:snapToGrid w:val="0"/>
            <w:lang w:val="fr-CH"/>
          </w:rPr>
          <w:t>Faits nouveaux survenus au sein du Groupe de travail technique sur l</w:t>
        </w:r>
        <w:r>
          <w:rPr>
            <w:rStyle w:val="Hyperlink"/>
            <w:noProof/>
            <w:snapToGrid w:val="0"/>
            <w:lang w:val="fr-CH"/>
          </w:rPr>
          <w:t xml:space="preserve">es </w:t>
        </w:r>
        <w:r w:rsidR="00285833" w:rsidRPr="00CD19D4">
          <w:rPr>
            <w:rStyle w:val="Hyperlink"/>
            <w:noProof/>
            <w:snapToGrid w:val="0"/>
            <w:lang w:val="fr-CH"/>
          </w:rPr>
          <w:t>plantes agricoles</w:t>
        </w:r>
        <w:r w:rsidR="00285833">
          <w:rPr>
            <w:noProof/>
            <w:webHidden/>
          </w:rPr>
          <w:tab/>
        </w:r>
        <w:r w:rsidR="00285833">
          <w:rPr>
            <w:noProof/>
            <w:webHidden/>
          </w:rPr>
          <w:fldChar w:fldCharType="begin"/>
        </w:r>
        <w:r w:rsidR="00285833">
          <w:rPr>
            <w:noProof/>
            <w:webHidden/>
          </w:rPr>
          <w:instrText xml:space="preserve"> PAGEREF _Toc21516864 \h </w:instrText>
        </w:r>
        <w:r w:rsidR="00285833">
          <w:rPr>
            <w:noProof/>
            <w:webHidden/>
          </w:rPr>
        </w:r>
        <w:r w:rsidR="00285833">
          <w:rPr>
            <w:noProof/>
            <w:webHidden/>
          </w:rPr>
          <w:fldChar w:fldCharType="separate"/>
        </w:r>
        <w:r w:rsidR="00285833">
          <w:rPr>
            <w:noProof/>
            <w:webHidden/>
          </w:rPr>
          <w:t>1</w:t>
        </w:r>
        <w:r w:rsidR="00285833">
          <w:rPr>
            <w:noProof/>
            <w:webHidden/>
          </w:rPr>
          <w:fldChar w:fldCharType="end"/>
        </w:r>
      </w:hyperlink>
    </w:p>
    <w:p w:rsidR="00285833" w:rsidRDefault="00B23878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fr-CH"/>
        </w:rPr>
      </w:pPr>
      <w:hyperlink w:anchor="_Toc21516865" w:history="1">
        <w:r w:rsidR="00285833" w:rsidRPr="00CD19D4">
          <w:rPr>
            <w:rStyle w:val="Hyperlink"/>
            <w:noProof/>
            <w:lang w:val="fr-CH"/>
          </w:rPr>
          <w:t>Proposition</w:t>
        </w:r>
        <w:r w:rsidR="00285833">
          <w:rPr>
            <w:noProof/>
            <w:webHidden/>
          </w:rPr>
          <w:tab/>
        </w:r>
        <w:r w:rsidR="00285833">
          <w:rPr>
            <w:noProof/>
            <w:webHidden/>
          </w:rPr>
          <w:fldChar w:fldCharType="begin"/>
        </w:r>
        <w:r w:rsidR="00285833">
          <w:rPr>
            <w:noProof/>
            <w:webHidden/>
          </w:rPr>
          <w:instrText xml:space="preserve"> PAGEREF _Toc21516865 \h </w:instrText>
        </w:r>
        <w:r w:rsidR="00285833">
          <w:rPr>
            <w:noProof/>
            <w:webHidden/>
          </w:rPr>
        </w:r>
        <w:r w:rsidR="00285833">
          <w:rPr>
            <w:noProof/>
            <w:webHidden/>
          </w:rPr>
          <w:fldChar w:fldCharType="separate"/>
        </w:r>
        <w:r w:rsidR="00285833">
          <w:rPr>
            <w:noProof/>
            <w:webHidden/>
          </w:rPr>
          <w:t>2</w:t>
        </w:r>
        <w:r w:rsidR="00285833">
          <w:rPr>
            <w:noProof/>
            <w:webHidden/>
          </w:rPr>
          <w:fldChar w:fldCharType="end"/>
        </w:r>
      </w:hyperlink>
    </w:p>
    <w:p w:rsidR="005B235D" w:rsidRDefault="00000F72" w:rsidP="004B1215">
      <w:pPr>
        <w:rPr>
          <w:sz w:val="18"/>
          <w:szCs w:val="18"/>
        </w:rPr>
      </w:pPr>
      <w:r w:rsidRPr="008B1AC5">
        <w:rPr>
          <w:sz w:val="18"/>
          <w:szCs w:val="18"/>
          <w:highlight w:val="yellow"/>
        </w:rPr>
        <w:fldChar w:fldCharType="end"/>
      </w:r>
    </w:p>
    <w:p w:rsidR="005B235D" w:rsidRDefault="005B235D" w:rsidP="004B1215">
      <w:pPr>
        <w:rPr>
          <w:sz w:val="18"/>
          <w:szCs w:val="18"/>
        </w:rPr>
      </w:pPr>
    </w:p>
    <w:p w:rsidR="005B235D" w:rsidRPr="00285833" w:rsidRDefault="00023CB0" w:rsidP="00172517">
      <w:pPr>
        <w:pStyle w:val="Heading1"/>
      </w:pPr>
      <w:bookmarkStart w:id="3" w:name="_Toc21516864"/>
      <w:r w:rsidRPr="00285833">
        <w:t>Faits nouveaux survenus au sein du Groupe de travail technique sur les plantes agricoles</w:t>
      </w:r>
      <w:bookmarkEnd w:id="3"/>
    </w:p>
    <w:p w:rsidR="005B235D" w:rsidRPr="00285833" w:rsidRDefault="005B235D" w:rsidP="004B1215">
      <w:pPr>
        <w:rPr>
          <w:snapToGrid w:val="0"/>
          <w:lang w:val="fr-CH"/>
        </w:rPr>
      </w:pPr>
    </w:p>
    <w:p w:rsidR="005B235D" w:rsidRPr="00285833" w:rsidRDefault="0094406E" w:rsidP="00023CB0">
      <w:pPr>
        <w:rPr>
          <w:lang w:val="fr-CH"/>
        </w:rPr>
      </w:pPr>
      <w:r w:rsidRPr="00285833">
        <w:rPr>
          <w:snapToGrid w:val="0"/>
        </w:rPr>
        <w:fldChar w:fldCharType="begin"/>
      </w:r>
      <w:r w:rsidRPr="00285833">
        <w:rPr>
          <w:snapToGrid w:val="0"/>
          <w:lang w:val="fr-CH"/>
        </w:rPr>
        <w:instrText xml:space="preserve"> AUTONUM  </w:instrText>
      </w:r>
      <w:r w:rsidRPr="00285833">
        <w:rPr>
          <w:snapToGrid w:val="0"/>
        </w:rPr>
        <w:fldChar w:fldCharType="end"/>
      </w:r>
      <w:r w:rsidRPr="00285833">
        <w:rPr>
          <w:snapToGrid w:val="0"/>
          <w:lang w:val="fr-CH"/>
        </w:rPr>
        <w:tab/>
      </w:r>
      <w:r w:rsidR="00023CB0" w:rsidRPr="00285833">
        <w:rPr>
          <w:snapToGrid w:val="0"/>
          <w:lang w:val="fr-CH"/>
        </w:rPr>
        <w:t>À sa quarante</w:t>
      </w:r>
      <w:r w:rsidR="003B7821">
        <w:rPr>
          <w:snapToGrid w:val="0"/>
          <w:lang w:val="fr-CH"/>
        </w:rPr>
        <w:t>-</w:t>
      </w:r>
      <w:r w:rsidR="00023CB0" w:rsidRPr="00285833">
        <w:rPr>
          <w:snapToGrid w:val="0"/>
          <w:lang w:val="fr-CH"/>
        </w:rPr>
        <w:t>huit</w:t>
      </w:r>
      <w:r w:rsidR="003B7821">
        <w:rPr>
          <w:snapToGrid w:val="0"/>
          <w:lang w:val="fr-CH"/>
        </w:rPr>
        <w:t>ième session</w:t>
      </w:r>
      <w:r w:rsidR="00023CB0" w:rsidRPr="00285833">
        <w:rPr>
          <w:snapToGrid w:val="0"/>
          <w:lang w:val="fr-CH"/>
        </w:rPr>
        <w:t xml:space="preserve"> tenue à Montevideo (Uruguay) du 16 au 2</w:t>
      </w:r>
      <w:r w:rsidR="003B7821" w:rsidRPr="00285833">
        <w:rPr>
          <w:snapToGrid w:val="0"/>
          <w:lang w:val="fr-CH"/>
        </w:rPr>
        <w:t>0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septembre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20</w:t>
      </w:r>
      <w:r w:rsidR="00023CB0" w:rsidRPr="00285833">
        <w:rPr>
          <w:snapToGrid w:val="0"/>
          <w:lang w:val="fr-CH"/>
        </w:rPr>
        <w:t>19,</w:t>
      </w:r>
      <w:r w:rsidR="003B7821" w:rsidRPr="00285833">
        <w:rPr>
          <w:snapToGrid w:val="0"/>
          <w:lang w:val="fr-CH"/>
        </w:rPr>
        <w:t xml:space="preserve"> le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TWA</w:t>
      </w:r>
      <w:r w:rsidR="00023CB0" w:rsidRPr="00285833">
        <w:rPr>
          <w:snapToGrid w:val="0"/>
          <w:lang w:val="fr-CH"/>
        </w:rPr>
        <w:t xml:space="preserve"> a examiné le document TWP/3/9 </w:t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C</w:t>
      </w:r>
      <w:r w:rsidR="00023CB0" w:rsidRPr="00285833">
        <w:rPr>
          <w:snapToGrid w:val="0"/>
          <w:lang w:val="fr-CH"/>
        </w:rPr>
        <w:t>aractères applicables à certaines variétés seulemen</w:t>
      </w:r>
      <w:r w:rsidR="003B7821" w:rsidRPr="00285833">
        <w:rPr>
          <w:snapToGrid w:val="0"/>
          <w:lang w:val="fr-CH"/>
        </w:rPr>
        <w:t>t</w:t>
      </w:r>
      <w:r w:rsidR="003B7821">
        <w:rPr>
          <w:snapToGrid w:val="0"/>
          <w:lang w:val="fr-CH"/>
        </w:rPr>
        <w:t>”</w:t>
      </w:r>
      <w:r w:rsidR="00023CB0" w:rsidRPr="00285833">
        <w:rPr>
          <w:snapToGrid w:val="0"/>
          <w:lang w:val="fr-CH"/>
        </w:rPr>
        <w:t xml:space="preserve"> (voir les </w:t>
      </w:r>
      <w:r w:rsidR="003B7821" w:rsidRPr="00285833">
        <w:rPr>
          <w:snapToGrid w:val="0"/>
          <w:lang w:val="fr-CH"/>
        </w:rPr>
        <w:t>paragraphes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1</w:t>
      </w:r>
      <w:r w:rsidR="00023CB0" w:rsidRPr="00285833">
        <w:rPr>
          <w:snapToGrid w:val="0"/>
          <w:lang w:val="fr-CH"/>
        </w:rPr>
        <w:t xml:space="preserve">0 à 17 du document TWA/48/9 </w:t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R</w:t>
      </w:r>
      <w:r w:rsidR="00023CB0" w:rsidRPr="00285833">
        <w:rPr>
          <w:snapToGrid w:val="0"/>
          <w:lang w:val="fr-CH"/>
        </w:rPr>
        <w:t>epor</w:t>
      </w:r>
      <w:r w:rsidR="003B7821" w:rsidRPr="00285833">
        <w:rPr>
          <w:snapToGrid w:val="0"/>
          <w:lang w:val="fr-CH"/>
        </w:rPr>
        <w:t>t</w:t>
      </w:r>
      <w:r w:rsidR="003B7821">
        <w:rPr>
          <w:snapToGrid w:val="0"/>
          <w:lang w:val="fr-CH"/>
        </w:rPr>
        <w:t>”</w:t>
      </w:r>
      <w:r w:rsidR="00023CB0" w:rsidRPr="00285833">
        <w:rPr>
          <w:snapToGrid w:val="0"/>
          <w:lang w:val="fr-CH"/>
        </w:rPr>
        <w:t>).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915DF2" w:rsidP="00B85B68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B85B68" w:rsidRPr="00285833">
        <w:rPr>
          <w:lang w:val="fr-CH"/>
        </w:rPr>
        <w:t>Le TWA a examiné la demande concernant la fourniture d</w:t>
      </w:r>
      <w:r w:rsidR="003B7821">
        <w:rPr>
          <w:lang w:val="fr-CH"/>
        </w:rPr>
        <w:t>’</w:t>
      </w:r>
      <w:r w:rsidR="00B85B68" w:rsidRPr="00285833">
        <w:rPr>
          <w:lang w:val="fr-CH"/>
        </w:rPr>
        <w:t>exemples de caractères quantitatifs et pseudo</w:t>
      </w:r>
      <w:r w:rsidR="003B7821">
        <w:rPr>
          <w:lang w:val="fr-CH"/>
        </w:rPr>
        <w:t>-</w:t>
      </w:r>
      <w:r w:rsidR="00B85B68" w:rsidRPr="00285833">
        <w:rPr>
          <w:lang w:val="fr-CH"/>
        </w:rPr>
        <w:t>qualitatifs qui expliquent comment la méthode peut être utilisée d</w:t>
      </w:r>
      <w:r w:rsidR="003B7821">
        <w:rPr>
          <w:lang w:val="fr-CH"/>
        </w:rPr>
        <w:t>’</w:t>
      </w:r>
      <w:r w:rsidR="00B85B68" w:rsidRPr="00285833">
        <w:rPr>
          <w:lang w:val="fr-CH"/>
        </w:rPr>
        <w:t>une manière qui ne présente pas de risque pour les décisions sur la distinction.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915DF2" w:rsidP="00B85B68">
      <w:pPr>
        <w:rPr>
          <w:snapToGrid w:val="0"/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B85B68" w:rsidRPr="00285833">
        <w:rPr>
          <w:lang w:val="fr-CH"/>
        </w:rPr>
        <w:t>Le TWA est convenu avec</w:t>
      </w:r>
      <w:r w:rsidR="003B7821" w:rsidRPr="00285833">
        <w:rPr>
          <w:lang w:val="fr-CH"/>
        </w:rPr>
        <w:t xml:space="preserve"> le</w:t>
      </w:r>
      <w:r w:rsidR="003B7821">
        <w:rPr>
          <w:lang w:val="fr-CH"/>
        </w:rPr>
        <w:t> </w:t>
      </w:r>
      <w:r w:rsidR="003B7821" w:rsidRPr="00285833">
        <w:rPr>
          <w:lang w:val="fr-CH"/>
        </w:rPr>
        <w:t>TWO</w:t>
      </w:r>
      <w:r w:rsidR="00B85B68" w:rsidRPr="00285833">
        <w:rPr>
          <w:lang w:val="fr-CH"/>
        </w:rPr>
        <w:t xml:space="preserve"> que lorsqu</w:t>
      </w:r>
      <w:r w:rsidR="003B7821">
        <w:rPr>
          <w:lang w:val="fr-CH"/>
        </w:rPr>
        <w:t>’</w:t>
      </w:r>
      <w:r w:rsidR="00B85B68" w:rsidRPr="00285833">
        <w:rPr>
          <w:lang w:val="fr-CH"/>
        </w:rPr>
        <w:t>une structure était “absente ou très faible” sur une partie de la plante, l</w:t>
      </w:r>
      <w:r w:rsidR="003B7821">
        <w:rPr>
          <w:lang w:val="fr-CH"/>
        </w:rPr>
        <w:t>’</w:t>
      </w:r>
      <w:r w:rsidR="00B85B68" w:rsidRPr="00285833">
        <w:rPr>
          <w:lang w:val="fr-CH"/>
        </w:rPr>
        <w:t>observation d</w:t>
      </w:r>
      <w:r w:rsidR="003B7821">
        <w:rPr>
          <w:lang w:val="fr-CH"/>
        </w:rPr>
        <w:t>’</w:t>
      </w:r>
      <w:r w:rsidR="00B85B68" w:rsidRPr="00285833">
        <w:rPr>
          <w:lang w:val="fr-CH"/>
        </w:rPr>
        <w:t>autres caractères sur cette structure pouvait être difficile ou irréalisable.</w:t>
      </w:r>
      <w:r w:rsidRPr="00285833">
        <w:rPr>
          <w:snapToGrid w:val="0"/>
          <w:lang w:val="fr-CH"/>
        </w:rPr>
        <w:t xml:space="preserve"> </w:t>
      </w:r>
      <w:r w:rsidR="003B7821" w:rsidRPr="00285833">
        <w:rPr>
          <w:snapToGrid w:val="0"/>
          <w:lang w:val="fr-CH"/>
        </w:rPr>
        <w:t xml:space="preserve"> Le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TWA</w:t>
      </w:r>
      <w:r w:rsidR="00B85B68" w:rsidRPr="00285833">
        <w:rPr>
          <w:snapToGrid w:val="0"/>
          <w:lang w:val="fr-CH"/>
        </w:rPr>
        <w:t xml:space="preserve"> est convenu que l</w:t>
      </w:r>
      <w:r w:rsidR="003B7821">
        <w:rPr>
          <w:snapToGrid w:val="0"/>
          <w:lang w:val="fr-CH"/>
        </w:rPr>
        <w:t>’</w:t>
      </w:r>
      <w:r w:rsidR="00B85B68" w:rsidRPr="00285833">
        <w:rPr>
          <w:snapToGrid w:val="0"/>
          <w:lang w:val="fr-CH"/>
        </w:rPr>
        <w:t>exemple ci</w:t>
      </w:r>
      <w:r w:rsidR="003B7821">
        <w:rPr>
          <w:snapToGrid w:val="0"/>
          <w:lang w:val="fr-CH"/>
        </w:rPr>
        <w:t>-</w:t>
      </w:r>
      <w:r w:rsidR="00B85B68" w:rsidRPr="00285833">
        <w:rPr>
          <w:snapToGrid w:val="0"/>
          <w:lang w:val="fr-CH"/>
        </w:rPr>
        <w:t>après fourni par</w:t>
      </w:r>
      <w:r w:rsidR="003B7821" w:rsidRPr="00285833">
        <w:rPr>
          <w:snapToGrid w:val="0"/>
          <w:lang w:val="fr-CH"/>
        </w:rPr>
        <w:t xml:space="preserve"> le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TWO</w:t>
      </w:r>
      <w:r w:rsidR="00B85B68" w:rsidRPr="00285833">
        <w:rPr>
          <w:snapToGrid w:val="0"/>
          <w:lang w:val="fr-CH"/>
        </w:rPr>
        <w:t xml:space="preserve"> expliquait comment la méthode peut être utilisée d</w:t>
      </w:r>
      <w:r w:rsidR="003B7821">
        <w:rPr>
          <w:snapToGrid w:val="0"/>
          <w:lang w:val="fr-CH"/>
        </w:rPr>
        <w:t>’</w:t>
      </w:r>
      <w:r w:rsidR="00B85B68" w:rsidRPr="00285833">
        <w:rPr>
          <w:snapToGrid w:val="0"/>
          <w:lang w:val="fr-CH"/>
        </w:rPr>
        <w:t>une manière qui ne présente pas de risque pour les décisions sur la distinction</w:t>
      </w:r>
      <w:r w:rsidR="003B7821">
        <w:rPr>
          <w:snapToGrid w:val="0"/>
          <w:lang w:val="fr-CH"/>
        </w:rPr>
        <w:t> :</w:t>
      </w:r>
    </w:p>
    <w:p w:rsidR="005B235D" w:rsidRPr="00285833" w:rsidRDefault="005B235D" w:rsidP="00915DF2">
      <w:pPr>
        <w:rPr>
          <w:snapToGrid w:val="0"/>
          <w:lang w:val="fr-CH"/>
        </w:rPr>
      </w:pPr>
    </w:p>
    <w:p w:rsidR="005B235D" w:rsidRPr="00285833" w:rsidRDefault="00B85B68" w:rsidP="00B85B68">
      <w:pPr>
        <w:ind w:left="567"/>
        <w:rPr>
          <w:snapToGrid w:val="0"/>
          <w:lang w:val="fr-CH"/>
        </w:rPr>
      </w:pPr>
      <w:r w:rsidRPr="00285833">
        <w:rPr>
          <w:snapToGrid w:val="0"/>
          <w:lang w:val="fr-CH"/>
        </w:rPr>
        <w:t>(QN)</w:t>
      </w:r>
      <w:r w:rsidRPr="00285833">
        <w:rPr>
          <w:snapToGrid w:val="0"/>
          <w:lang w:val="fr-CH"/>
        </w:rPr>
        <w:tab/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P</w:t>
      </w:r>
      <w:r w:rsidRPr="00285833">
        <w:rPr>
          <w:snapToGrid w:val="0"/>
          <w:lang w:val="fr-CH"/>
        </w:rPr>
        <w:t>ilosité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absente ou très faible</w:t>
      </w:r>
      <w:r w:rsidR="003B7821" w:rsidRPr="00285833">
        <w:rPr>
          <w:snapToGrid w:val="0"/>
          <w:lang w:val="fr-CH"/>
        </w:rPr>
        <w:t>.</w:t>
      </w:r>
      <w:r w:rsidR="003B7821">
        <w:rPr>
          <w:snapToGrid w:val="0"/>
          <w:lang w:val="fr-CH"/>
        </w:rPr>
        <w:t>”</w:t>
      </w:r>
    </w:p>
    <w:p w:rsidR="005B235D" w:rsidRPr="00285833" w:rsidRDefault="00B85B68" w:rsidP="00B85B68">
      <w:pPr>
        <w:ind w:left="567"/>
        <w:rPr>
          <w:snapToGrid w:val="0"/>
          <w:lang w:val="fr-CH"/>
        </w:rPr>
      </w:pPr>
      <w:r w:rsidRPr="00285833">
        <w:rPr>
          <w:snapToGrid w:val="0"/>
          <w:lang w:val="fr-CH"/>
        </w:rPr>
        <w:t>(PQ)</w:t>
      </w:r>
      <w:r w:rsidRPr="00285833">
        <w:rPr>
          <w:snapToGrid w:val="0"/>
          <w:lang w:val="fr-CH"/>
        </w:rPr>
        <w:tab/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c</w:t>
      </w:r>
      <w:r w:rsidRPr="00285833">
        <w:rPr>
          <w:snapToGrid w:val="0"/>
          <w:lang w:val="fr-CH"/>
        </w:rPr>
        <w:t>ouleur de la pilosit</w:t>
      </w:r>
      <w:r w:rsidR="003B7821" w:rsidRPr="00285833">
        <w:rPr>
          <w:snapToGrid w:val="0"/>
          <w:lang w:val="fr-CH"/>
        </w:rPr>
        <w:t>é</w:t>
      </w:r>
      <w:r w:rsidR="003B7821">
        <w:rPr>
          <w:snapToGrid w:val="0"/>
          <w:lang w:val="fr-CH"/>
        </w:rPr>
        <w:t>”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915DF2" w:rsidP="00306A4C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306A4C" w:rsidRPr="00285833">
        <w:rPr>
          <w:lang w:val="fr-CH"/>
        </w:rPr>
        <w:t>Le TWA a noté que l</w:t>
      </w:r>
      <w:r w:rsidR="003B7821">
        <w:rPr>
          <w:lang w:val="fr-CH"/>
        </w:rPr>
        <w:t>’</w:t>
      </w:r>
      <w:r w:rsidR="00306A4C" w:rsidRPr="00285833">
        <w:rPr>
          <w:lang w:val="fr-CH"/>
        </w:rPr>
        <w:t>exemple ci</w:t>
      </w:r>
      <w:r w:rsidR="003B7821">
        <w:rPr>
          <w:lang w:val="fr-CH"/>
        </w:rPr>
        <w:t>-</w:t>
      </w:r>
      <w:r w:rsidR="00306A4C" w:rsidRPr="00285833">
        <w:rPr>
          <w:lang w:val="fr-CH"/>
        </w:rPr>
        <w:t>après fourni par</w:t>
      </w:r>
      <w:r w:rsidR="003B7821" w:rsidRPr="00285833">
        <w:rPr>
          <w:lang w:val="fr-CH"/>
        </w:rPr>
        <w:t xml:space="preserve"> le</w:t>
      </w:r>
      <w:r w:rsidR="003B7821">
        <w:rPr>
          <w:lang w:val="fr-CH"/>
        </w:rPr>
        <w:t> </w:t>
      </w:r>
      <w:r w:rsidR="003B7821" w:rsidRPr="00285833">
        <w:rPr>
          <w:lang w:val="fr-CH"/>
        </w:rPr>
        <w:t>TWF</w:t>
      </w:r>
      <w:r w:rsidR="00306A4C" w:rsidRPr="00285833">
        <w:rPr>
          <w:lang w:val="fr-CH"/>
        </w:rPr>
        <w:t xml:space="preserve"> contenait un caractère qualitatif et est convenu qu</w:t>
      </w:r>
      <w:r w:rsidR="003B7821">
        <w:rPr>
          <w:lang w:val="fr-CH"/>
        </w:rPr>
        <w:t>’</w:t>
      </w:r>
      <w:r w:rsidR="00306A4C" w:rsidRPr="00285833">
        <w:rPr>
          <w:lang w:val="fr-CH"/>
        </w:rPr>
        <w:t>il ne constituait pas un exemple approprié pour expliquer comment la méthode pouvait être utilisée sans de plus amples informations sur le caractère</w:t>
      </w:r>
      <w:r w:rsidR="003B7821">
        <w:rPr>
          <w:lang w:val="fr-CH"/>
        </w:rPr>
        <w:t> :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6C1FFA" w:rsidP="006C1FFA">
      <w:pPr>
        <w:ind w:firstLine="567"/>
        <w:rPr>
          <w:lang w:val="fr-CH"/>
        </w:rPr>
      </w:pPr>
      <w:r w:rsidRPr="00285833">
        <w:rPr>
          <w:lang w:val="fr-CH"/>
        </w:rPr>
        <w:t>Caractère</w:t>
      </w:r>
      <w:r w:rsidR="00235DF8">
        <w:rPr>
          <w:lang w:val="fr-CH"/>
        </w:rPr>
        <w:t> </w:t>
      </w:r>
      <w:r w:rsidRPr="00285833">
        <w:rPr>
          <w:lang w:val="fr-CH"/>
        </w:rPr>
        <w:t>17 (QN)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“Feuille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type prédominant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entière (1</w:t>
      </w:r>
      <w:proofErr w:type="gramStart"/>
      <w:r w:rsidRPr="00285833">
        <w:rPr>
          <w:lang w:val="fr-CH"/>
        </w:rPr>
        <w:t xml:space="preserve">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à</w:t>
      </w:r>
      <w:proofErr w:type="gramEnd"/>
      <w:r w:rsidRPr="00285833">
        <w:rPr>
          <w:lang w:val="fr-CH"/>
        </w:rPr>
        <w:t xml:space="preserve"> trois</w:t>
      </w:r>
      <w:r w:rsidR="002A045E">
        <w:rPr>
          <w:lang w:val="fr-CH"/>
        </w:rPr>
        <w:t> </w:t>
      </w:r>
      <w:r w:rsidRPr="00285833">
        <w:rPr>
          <w:lang w:val="fr-CH"/>
        </w:rPr>
        <w:t xml:space="preserve">lobes (2);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à cinq</w:t>
      </w:r>
      <w:r w:rsidR="002A045E">
        <w:rPr>
          <w:lang w:val="fr-CH"/>
        </w:rPr>
        <w:t> </w:t>
      </w:r>
      <w:r w:rsidRPr="00285833">
        <w:rPr>
          <w:lang w:val="fr-CH"/>
        </w:rPr>
        <w:t>lobes (3)</w:t>
      </w:r>
    </w:p>
    <w:p w:rsidR="005B235D" w:rsidRPr="00285833" w:rsidRDefault="006C1FFA" w:rsidP="006C1FFA">
      <w:pPr>
        <w:ind w:firstLine="567"/>
        <w:rPr>
          <w:lang w:val="fr-CH"/>
        </w:rPr>
      </w:pPr>
      <w:r w:rsidRPr="00285833">
        <w:rPr>
          <w:lang w:val="fr-CH"/>
        </w:rPr>
        <w:t>Caractère 18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</w:t>
      </w:r>
      <w:r w:rsidR="003B7821">
        <w:rPr>
          <w:lang w:val="fr-CH"/>
        </w:rPr>
        <w:t>“</w:t>
      </w:r>
      <w:r w:rsidR="003B7821" w:rsidRPr="00285833">
        <w:rPr>
          <w:u w:val="single"/>
          <w:lang w:val="fr-CH"/>
        </w:rPr>
        <w:t>S</w:t>
      </w:r>
      <w:r w:rsidRPr="00285833">
        <w:rPr>
          <w:u w:val="single"/>
          <w:lang w:val="fr-CH"/>
        </w:rPr>
        <w:t>eulement les variétés à type de feuille prédominant</w:t>
      </w:r>
      <w:r w:rsidR="003B7821">
        <w:rPr>
          <w:u w:val="single"/>
          <w:lang w:val="fr-CH"/>
        </w:rPr>
        <w:t> :</w:t>
      </w:r>
      <w:r w:rsidRPr="00285833">
        <w:rPr>
          <w:u w:val="single"/>
          <w:lang w:val="fr-CH"/>
        </w:rPr>
        <w:t xml:space="preserve"> feuille entière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forme…</w:t>
      </w:r>
      <w:r w:rsidR="00235DF8">
        <w:rPr>
          <w:lang w:val="fr-CH"/>
        </w:rPr>
        <w:t>”</w:t>
      </w:r>
    </w:p>
    <w:p w:rsidR="005B235D" w:rsidRDefault="005B235D" w:rsidP="00915DF2">
      <w:pPr>
        <w:rPr>
          <w:lang w:val="fr-CH"/>
        </w:rPr>
      </w:pPr>
    </w:p>
    <w:p w:rsidR="003B7821" w:rsidRDefault="00915DF2" w:rsidP="00B70727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B70727" w:rsidRPr="00285833">
        <w:rPr>
          <w:lang w:val="fr-CH"/>
        </w:rPr>
        <w:t>Le TWA a examiné la demande concernant la fourniture d</w:t>
      </w:r>
      <w:r w:rsidR="003B7821">
        <w:rPr>
          <w:lang w:val="fr-CH"/>
        </w:rPr>
        <w:t>’</w:t>
      </w:r>
      <w:r w:rsidR="00B70727" w:rsidRPr="00285833">
        <w:rPr>
          <w:lang w:val="fr-CH"/>
        </w:rPr>
        <w:t>exemples de cas inadaptés pour démontrer les risques pour les décisions sur la distinction de l</w:t>
      </w:r>
      <w:r w:rsidR="003B7821">
        <w:rPr>
          <w:lang w:val="fr-CH"/>
        </w:rPr>
        <w:t>’</w:t>
      </w:r>
      <w:r w:rsidR="00B70727" w:rsidRPr="00285833">
        <w:rPr>
          <w:lang w:val="fr-CH"/>
        </w:rPr>
        <w:t>exclusion de variétés de l</w:t>
      </w:r>
      <w:r w:rsidR="003B7821">
        <w:rPr>
          <w:lang w:val="fr-CH"/>
        </w:rPr>
        <w:t>’</w:t>
      </w:r>
      <w:r w:rsidR="00B70727" w:rsidRPr="00285833">
        <w:rPr>
          <w:lang w:val="fr-CH"/>
        </w:rPr>
        <w:t>observation sur la base d</w:t>
      </w:r>
      <w:r w:rsidR="003B7821">
        <w:rPr>
          <w:lang w:val="fr-CH"/>
        </w:rPr>
        <w:t>’</w:t>
      </w:r>
      <w:r w:rsidR="00B70727" w:rsidRPr="00285833">
        <w:rPr>
          <w:lang w:val="fr-CH"/>
        </w:rPr>
        <w:t>un caractère quantitatif ou pseudo</w:t>
      </w:r>
      <w:r w:rsidR="003B7821">
        <w:rPr>
          <w:lang w:val="fr-CH"/>
        </w:rPr>
        <w:t>-</w:t>
      </w:r>
      <w:r w:rsidR="00B70727" w:rsidRPr="00285833">
        <w:rPr>
          <w:lang w:val="fr-CH"/>
        </w:rPr>
        <w:t>qualitatif précédent.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915DF2" w:rsidP="004D657C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4D657C" w:rsidRPr="00285833">
        <w:rPr>
          <w:lang w:val="fr-CH"/>
        </w:rPr>
        <w:t xml:space="preserve">Le TWA est convenu que le risque pour les décisions sur la distinction </w:t>
      </w:r>
      <w:r w:rsidR="003E0332" w:rsidRPr="00285833">
        <w:rPr>
          <w:lang w:val="fr-CH"/>
        </w:rPr>
        <w:t>imputable</w:t>
      </w:r>
      <w:r w:rsidR="004D657C" w:rsidRPr="00285833">
        <w:rPr>
          <w:lang w:val="fr-CH"/>
        </w:rPr>
        <w:t xml:space="preserve"> à la méthode utilisée était faible dans la mesure où une variété ne pourrait être considérée comme distincte d</w:t>
      </w:r>
      <w:r w:rsidR="003B7821">
        <w:rPr>
          <w:lang w:val="fr-CH"/>
        </w:rPr>
        <w:t>’</w:t>
      </w:r>
      <w:r w:rsidR="004D657C" w:rsidRPr="00285833">
        <w:rPr>
          <w:lang w:val="fr-CH"/>
        </w:rPr>
        <w:t>une autre sur la base d</w:t>
      </w:r>
      <w:r w:rsidR="003B7821">
        <w:rPr>
          <w:lang w:val="fr-CH"/>
        </w:rPr>
        <w:t>’</w:t>
      </w:r>
      <w:r w:rsidR="004D657C" w:rsidRPr="00285833">
        <w:rPr>
          <w:lang w:val="fr-CH"/>
        </w:rPr>
        <w:t>informations manquantes concernant un caractère et que les variétés devraient être cultivées à des fins de comparaison côte à côte.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915DF2" w:rsidP="003E0332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3E0332" w:rsidRPr="00285833">
        <w:rPr>
          <w:lang w:val="fr-CH"/>
        </w:rPr>
        <w:t>Le TWA est convenu que la méthode utilisée pourrait rendre plus difficile l</w:t>
      </w:r>
      <w:r w:rsidR="003B7821">
        <w:rPr>
          <w:lang w:val="fr-CH"/>
        </w:rPr>
        <w:t>’</w:t>
      </w:r>
      <w:r w:rsidR="003E0332" w:rsidRPr="00285833">
        <w:rPr>
          <w:lang w:val="fr-CH"/>
        </w:rPr>
        <w:t>exclusion de variétés à des fins de comparaison et augmenter la taille des essais en culture, mais qu</w:t>
      </w:r>
      <w:r w:rsidR="003B7821">
        <w:rPr>
          <w:lang w:val="fr-CH"/>
        </w:rPr>
        <w:t>’</w:t>
      </w:r>
      <w:r w:rsidR="003E0332" w:rsidRPr="00285833">
        <w:rPr>
          <w:lang w:val="fr-CH"/>
        </w:rPr>
        <w:t>il était peu probable qu</w:t>
      </w:r>
      <w:r w:rsidR="003B7821">
        <w:rPr>
          <w:lang w:val="fr-CH"/>
        </w:rPr>
        <w:t>’</w:t>
      </w:r>
      <w:r w:rsidR="003E0332" w:rsidRPr="00285833">
        <w:rPr>
          <w:lang w:val="fr-CH"/>
        </w:rPr>
        <w:t>elle ait un effet significatif.</w:t>
      </w:r>
    </w:p>
    <w:p w:rsidR="005B235D" w:rsidRPr="00285833" w:rsidRDefault="005B235D" w:rsidP="00915DF2">
      <w:pPr>
        <w:rPr>
          <w:lang w:val="fr-CH"/>
        </w:rPr>
      </w:pPr>
    </w:p>
    <w:p w:rsidR="005B235D" w:rsidRPr="00285833" w:rsidRDefault="00915DF2" w:rsidP="003E0332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3E0332" w:rsidRPr="00285833">
        <w:rPr>
          <w:lang w:val="fr-CH"/>
        </w:rPr>
        <w:t>Le TWA est convenu qu</w:t>
      </w:r>
      <w:r w:rsidR="003B7821">
        <w:rPr>
          <w:lang w:val="fr-CH"/>
        </w:rPr>
        <w:t>’</w:t>
      </w:r>
      <w:r w:rsidR="003E0332" w:rsidRPr="00285833">
        <w:rPr>
          <w:lang w:val="fr-CH"/>
        </w:rPr>
        <w:t>il existait un risque que deux</w:t>
      </w:r>
      <w:r w:rsidR="002A045E">
        <w:rPr>
          <w:lang w:val="fr-CH"/>
        </w:rPr>
        <w:t> </w:t>
      </w:r>
      <w:r w:rsidR="003E0332" w:rsidRPr="00285833">
        <w:rPr>
          <w:lang w:val="fr-CH"/>
        </w:rPr>
        <w:t>examinateurs prennent des décisions différentes, mais que la probabilité était faible que la méthode utilisée ait une incidence sur la décision finale sur la distinction.</w:t>
      </w:r>
    </w:p>
    <w:p w:rsidR="005B235D" w:rsidRPr="00285833" w:rsidRDefault="005B235D">
      <w:pPr>
        <w:jc w:val="left"/>
        <w:rPr>
          <w:lang w:val="fr-CH"/>
        </w:rPr>
      </w:pPr>
    </w:p>
    <w:p w:rsidR="005B235D" w:rsidRDefault="005B235D">
      <w:pPr>
        <w:jc w:val="left"/>
        <w:rPr>
          <w:lang w:val="fr-CH"/>
        </w:rPr>
      </w:pPr>
    </w:p>
    <w:p w:rsidR="005B235D" w:rsidRPr="00285833" w:rsidRDefault="003E0332" w:rsidP="00172517">
      <w:pPr>
        <w:pStyle w:val="Heading1"/>
      </w:pPr>
      <w:bookmarkStart w:id="4" w:name="_Toc21516865"/>
      <w:r w:rsidRPr="00285833">
        <w:t>Proposition</w:t>
      </w:r>
      <w:bookmarkEnd w:id="4"/>
    </w:p>
    <w:p w:rsidR="005B235D" w:rsidRPr="00285833" w:rsidRDefault="005B235D" w:rsidP="0094406E">
      <w:pPr>
        <w:keepNext/>
        <w:rPr>
          <w:lang w:val="fr-CH"/>
        </w:rPr>
      </w:pPr>
    </w:p>
    <w:p w:rsidR="005B235D" w:rsidRPr="00285833" w:rsidRDefault="0094406E" w:rsidP="003E0332">
      <w:pPr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3E0332" w:rsidRPr="00285833">
        <w:rPr>
          <w:lang w:val="fr-CH"/>
        </w:rPr>
        <w:t>Sur la base des observations formulées par</w:t>
      </w:r>
      <w:r w:rsidR="003B7821" w:rsidRPr="00285833">
        <w:rPr>
          <w:lang w:val="fr-CH"/>
        </w:rPr>
        <w:t xml:space="preserve"> les</w:t>
      </w:r>
      <w:r w:rsidR="003B7821">
        <w:rPr>
          <w:lang w:val="fr-CH"/>
        </w:rPr>
        <w:t> </w:t>
      </w:r>
      <w:r w:rsidR="003B7821" w:rsidRPr="00285833">
        <w:rPr>
          <w:lang w:val="fr-CH"/>
        </w:rPr>
        <w:t>TWP</w:t>
      </w:r>
      <w:r w:rsidR="003E0332" w:rsidRPr="00285833">
        <w:rPr>
          <w:lang w:val="fr-CH"/>
        </w:rPr>
        <w:t xml:space="preserve"> à leurs sessions tenues </w:t>
      </w:r>
      <w:r w:rsidR="003B7821" w:rsidRPr="00285833">
        <w:rPr>
          <w:lang w:val="fr-CH"/>
        </w:rPr>
        <w:t>en</w:t>
      </w:r>
      <w:r w:rsidR="003B7821">
        <w:rPr>
          <w:lang w:val="fr-CH"/>
        </w:rPr>
        <w:t> </w:t>
      </w:r>
      <w:r w:rsidR="003B7821" w:rsidRPr="00285833">
        <w:rPr>
          <w:lang w:val="fr-CH"/>
        </w:rPr>
        <w:t>2019</w:t>
      </w:r>
      <w:r w:rsidR="003E0332" w:rsidRPr="00285833">
        <w:rPr>
          <w:lang w:val="fr-CH"/>
        </w:rPr>
        <w:t>, le</w:t>
      </w:r>
      <w:r w:rsidR="003B7821">
        <w:rPr>
          <w:lang w:val="fr-CH"/>
        </w:rPr>
        <w:t> TC</w:t>
      </w:r>
      <w:r w:rsidR="003E0332" w:rsidRPr="00285833">
        <w:rPr>
          <w:lang w:val="fr-CH"/>
        </w:rPr>
        <w:t xml:space="preserve"> est invité à examiner les exemples de caractères quantitatif et pseudo</w:t>
      </w:r>
      <w:r w:rsidR="003B7821">
        <w:rPr>
          <w:lang w:val="fr-CH"/>
        </w:rPr>
        <w:t>-</w:t>
      </w:r>
      <w:r w:rsidR="003E0332" w:rsidRPr="00285833">
        <w:rPr>
          <w:lang w:val="fr-CH"/>
        </w:rPr>
        <w:t>qualitatif ci</w:t>
      </w:r>
      <w:r w:rsidR="003B7821">
        <w:rPr>
          <w:lang w:val="fr-CH"/>
        </w:rPr>
        <w:t>-</w:t>
      </w:r>
      <w:r w:rsidR="003E0332" w:rsidRPr="00285833">
        <w:rPr>
          <w:lang w:val="fr-CH"/>
        </w:rPr>
        <w:t>après qui expliquent comment la méthode peut être utilisée d</w:t>
      </w:r>
      <w:r w:rsidR="003B7821">
        <w:rPr>
          <w:lang w:val="fr-CH"/>
        </w:rPr>
        <w:t>’</w:t>
      </w:r>
      <w:r w:rsidR="003E0332" w:rsidRPr="00285833">
        <w:rPr>
          <w:lang w:val="fr-CH"/>
        </w:rPr>
        <w:t>une manière qui ne présente pas de risque pour les décisions sur la distinction</w:t>
      </w:r>
      <w:r w:rsidR="003B7821">
        <w:rPr>
          <w:lang w:val="fr-CH"/>
        </w:rPr>
        <w:t> :</w:t>
      </w:r>
    </w:p>
    <w:p w:rsidR="005B235D" w:rsidRPr="00285833" w:rsidRDefault="005B235D" w:rsidP="0094406E">
      <w:pPr>
        <w:rPr>
          <w:lang w:val="fr-CH"/>
        </w:rPr>
      </w:pPr>
    </w:p>
    <w:p w:rsidR="005B235D" w:rsidRPr="00285833" w:rsidRDefault="003E0332" w:rsidP="003E0332">
      <w:pPr>
        <w:keepNext/>
        <w:keepLines/>
        <w:ind w:left="1276" w:hanging="567"/>
        <w:rPr>
          <w:i/>
          <w:snapToGrid w:val="0"/>
          <w:lang w:val="fr-CH"/>
        </w:rPr>
      </w:pPr>
      <w:r w:rsidRPr="00285833">
        <w:rPr>
          <w:i/>
          <w:snapToGrid w:val="0"/>
          <w:lang w:val="fr-CH"/>
        </w:rPr>
        <w:t>Principes directeurs d</w:t>
      </w:r>
      <w:r w:rsidR="003B7821">
        <w:rPr>
          <w:i/>
          <w:snapToGrid w:val="0"/>
          <w:lang w:val="fr-CH"/>
        </w:rPr>
        <w:t>’</w:t>
      </w:r>
      <w:r w:rsidRPr="00285833">
        <w:rPr>
          <w:i/>
          <w:snapToGrid w:val="0"/>
          <w:lang w:val="fr-CH"/>
        </w:rPr>
        <w:t>examen du dahlia (TG/226/1)</w:t>
      </w:r>
      <w:r w:rsidR="003B7821">
        <w:rPr>
          <w:i/>
          <w:snapToGrid w:val="0"/>
          <w:lang w:val="fr-CH"/>
        </w:rPr>
        <w:t> :</w:t>
      </w:r>
    </w:p>
    <w:p w:rsidR="005B235D" w:rsidRPr="00285833" w:rsidRDefault="005B235D" w:rsidP="0094406E">
      <w:pPr>
        <w:keepNext/>
        <w:keepLines/>
        <w:ind w:left="1276" w:hanging="567"/>
        <w:rPr>
          <w:snapToGrid w:val="0"/>
          <w:lang w:val="fr-CH"/>
        </w:rPr>
      </w:pPr>
    </w:p>
    <w:p w:rsidR="005B235D" w:rsidRPr="00285833" w:rsidRDefault="00A43F7B" w:rsidP="00A43F7B">
      <w:pPr>
        <w:keepNext/>
        <w:keepLines/>
        <w:ind w:left="1276" w:hanging="567"/>
        <w:rPr>
          <w:snapToGrid w:val="0"/>
          <w:lang w:val="fr-CH"/>
        </w:rPr>
      </w:pPr>
      <w:r w:rsidRPr="00285833">
        <w:rPr>
          <w:snapToGrid w:val="0"/>
          <w:lang w:val="fr-CH"/>
        </w:rPr>
        <w:t>(PQ)</w:t>
      </w:r>
      <w:r w:rsidRPr="00285833">
        <w:rPr>
          <w:snapToGrid w:val="0"/>
          <w:lang w:val="fr-CH"/>
        </w:rPr>
        <w:tab/>
        <w:t>Caractère</w:t>
      </w:r>
      <w:r w:rsidR="00235DF8">
        <w:rPr>
          <w:snapToGrid w:val="0"/>
          <w:lang w:val="fr-CH"/>
        </w:rPr>
        <w:t> </w:t>
      </w:r>
      <w:r w:rsidRPr="00285833">
        <w:rPr>
          <w:snapToGrid w:val="0"/>
          <w:lang w:val="fr-CH"/>
        </w:rPr>
        <w:t>21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Capitule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type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simple (1</w:t>
      </w:r>
      <w:proofErr w:type="gramStart"/>
      <w:r w:rsidRPr="00285833">
        <w:rPr>
          <w:snapToGrid w:val="0"/>
          <w:lang w:val="fr-CH"/>
        </w:rPr>
        <w:t xml:space="preserve">); </w:t>
      </w:r>
      <w:r w:rsidR="002A045E">
        <w:rPr>
          <w:snapToGrid w:val="0"/>
          <w:lang w:val="fr-CH"/>
        </w:rPr>
        <w:t xml:space="preserve"> </w:t>
      </w:r>
      <w:r w:rsidRPr="00285833">
        <w:rPr>
          <w:snapToGrid w:val="0"/>
          <w:lang w:val="fr-CH"/>
        </w:rPr>
        <w:t>semi</w:t>
      </w:r>
      <w:proofErr w:type="gramEnd"/>
      <w:r w:rsidR="003B7821">
        <w:rPr>
          <w:snapToGrid w:val="0"/>
          <w:lang w:val="fr-CH"/>
        </w:rPr>
        <w:t>-</w:t>
      </w:r>
      <w:r w:rsidRPr="00285833">
        <w:rPr>
          <w:snapToGrid w:val="0"/>
          <w:lang w:val="fr-CH"/>
        </w:rPr>
        <w:t xml:space="preserve">double (2); </w:t>
      </w:r>
      <w:r w:rsidR="002A045E">
        <w:rPr>
          <w:snapToGrid w:val="0"/>
          <w:lang w:val="fr-CH"/>
        </w:rPr>
        <w:t xml:space="preserve"> </w:t>
      </w:r>
      <w:r w:rsidRPr="00285833">
        <w:rPr>
          <w:snapToGrid w:val="0"/>
          <w:lang w:val="fr-CH"/>
        </w:rPr>
        <w:t>double à œil de marguerite (3);</w:t>
      </w:r>
      <w:r w:rsidR="002A045E">
        <w:rPr>
          <w:snapToGrid w:val="0"/>
          <w:lang w:val="fr-CH"/>
        </w:rPr>
        <w:t xml:space="preserve"> </w:t>
      </w:r>
      <w:r w:rsidRPr="00285833">
        <w:rPr>
          <w:snapToGrid w:val="0"/>
          <w:lang w:val="fr-CH"/>
        </w:rPr>
        <w:t xml:space="preserve"> double (4)</w:t>
      </w:r>
    </w:p>
    <w:p w:rsidR="005B235D" w:rsidRPr="00285833" w:rsidRDefault="00A43F7B" w:rsidP="00A43F7B">
      <w:pPr>
        <w:keepNext/>
        <w:keepLines/>
        <w:ind w:left="1276" w:hanging="567"/>
        <w:rPr>
          <w:snapToGrid w:val="0"/>
          <w:lang w:val="fr-CH"/>
        </w:rPr>
      </w:pPr>
      <w:r w:rsidRPr="00285833">
        <w:rPr>
          <w:snapToGrid w:val="0"/>
          <w:lang w:val="fr-CH"/>
        </w:rPr>
        <w:t>(QN)</w:t>
      </w:r>
      <w:r w:rsidRPr="00285833">
        <w:rPr>
          <w:snapToGrid w:val="0"/>
          <w:lang w:val="fr-CH"/>
        </w:rPr>
        <w:tab/>
        <w:t>Caractère 26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</w:t>
      </w:r>
      <w:r w:rsidRPr="00285833">
        <w:rPr>
          <w:snapToGrid w:val="0"/>
          <w:u w:val="single"/>
          <w:lang w:val="fr-CH"/>
        </w:rPr>
        <w:t>Seulement les variétés doubles et doubles à œil de marguerite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Capitule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hauteur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court (3</w:t>
      </w:r>
      <w:proofErr w:type="gramStart"/>
      <w:r w:rsidRPr="00285833">
        <w:rPr>
          <w:snapToGrid w:val="0"/>
          <w:lang w:val="fr-CH"/>
        </w:rPr>
        <w:t xml:space="preserve">); </w:t>
      </w:r>
      <w:r w:rsidR="002A045E">
        <w:rPr>
          <w:snapToGrid w:val="0"/>
          <w:lang w:val="fr-CH"/>
        </w:rPr>
        <w:t xml:space="preserve"> </w:t>
      </w:r>
      <w:r w:rsidRPr="00285833">
        <w:rPr>
          <w:snapToGrid w:val="0"/>
          <w:lang w:val="fr-CH"/>
        </w:rPr>
        <w:t>moyen</w:t>
      </w:r>
      <w:proofErr w:type="gramEnd"/>
      <w:r w:rsidRPr="00285833">
        <w:rPr>
          <w:snapToGrid w:val="0"/>
          <w:lang w:val="fr-CH"/>
        </w:rPr>
        <w:t xml:space="preserve"> (5);</w:t>
      </w:r>
      <w:r w:rsidR="002A045E">
        <w:rPr>
          <w:snapToGrid w:val="0"/>
          <w:lang w:val="fr-CH"/>
        </w:rPr>
        <w:t xml:space="preserve"> </w:t>
      </w:r>
      <w:r w:rsidRPr="00285833">
        <w:rPr>
          <w:snapToGrid w:val="0"/>
          <w:lang w:val="fr-CH"/>
        </w:rPr>
        <w:t xml:space="preserve"> haut (7)</w:t>
      </w:r>
    </w:p>
    <w:p w:rsidR="005B235D" w:rsidRPr="00285833" w:rsidRDefault="005B235D" w:rsidP="0094406E">
      <w:pPr>
        <w:ind w:left="1276" w:hanging="567"/>
        <w:rPr>
          <w:lang w:val="fr-CH"/>
        </w:rPr>
      </w:pPr>
    </w:p>
    <w:p w:rsidR="005B235D" w:rsidRPr="00285833" w:rsidRDefault="00A43F7B" w:rsidP="00A43F7B">
      <w:pPr>
        <w:keepNext/>
        <w:ind w:left="1276" w:hanging="567"/>
        <w:rPr>
          <w:i/>
          <w:lang w:val="fr-CH"/>
        </w:rPr>
      </w:pPr>
      <w:r w:rsidRPr="00285833">
        <w:rPr>
          <w:i/>
          <w:lang w:val="fr-CH"/>
        </w:rPr>
        <w:t>Principes directeurs d</w:t>
      </w:r>
      <w:r w:rsidR="003B7821">
        <w:rPr>
          <w:i/>
          <w:lang w:val="fr-CH"/>
        </w:rPr>
        <w:t>’</w:t>
      </w:r>
      <w:r w:rsidRPr="00285833">
        <w:rPr>
          <w:i/>
          <w:lang w:val="fr-CH"/>
        </w:rPr>
        <w:t>examen de la chicorée à feuilles (TG/154/4)</w:t>
      </w:r>
      <w:r w:rsidR="003B7821">
        <w:rPr>
          <w:i/>
          <w:lang w:val="fr-CH"/>
        </w:rPr>
        <w:t> :</w:t>
      </w:r>
    </w:p>
    <w:p w:rsidR="005B235D" w:rsidRPr="00285833" w:rsidRDefault="005B235D" w:rsidP="0094406E">
      <w:pPr>
        <w:keepNext/>
        <w:ind w:left="1276" w:hanging="567"/>
        <w:rPr>
          <w:lang w:val="fr-CH"/>
        </w:rPr>
      </w:pPr>
    </w:p>
    <w:p w:rsidR="005B235D" w:rsidRPr="00285833" w:rsidRDefault="00A43F7B" w:rsidP="00A43F7B">
      <w:pPr>
        <w:keepNext/>
        <w:ind w:left="1276" w:hanging="567"/>
        <w:rPr>
          <w:lang w:val="fr-CH"/>
        </w:rPr>
      </w:pPr>
      <w:r w:rsidRPr="00285833">
        <w:rPr>
          <w:lang w:val="fr-CH"/>
        </w:rPr>
        <w:t>(PQ)</w:t>
      </w:r>
      <w:r w:rsidRPr="00285833">
        <w:rPr>
          <w:lang w:val="fr-CH"/>
        </w:rPr>
        <w:tab/>
        <w:t>Caractère 16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“Plante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formation d</w:t>
      </w:r>
      <w:r w:rsidR="003B7821">
        <w:rPr>
          <w:lang w:val="fr-CH"/>
        </w:rPr>
        <w:t>’</w:t>
      </w:r>
      <w:r w:rsidRPr="00285833">
        <w:rPr>
          <w:lang w:val="fr-CH"/>
        </w:rPr>
        <w:t>une pomme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absente (1</w:t>
      </w:r>
      <w:proofErr w:type="gramStart"/>
      <w:r w:rsidRPr="00285833">
        <w:rPr>
          <w:lang w:val="fr-CH"/>
        </w:rPr>
        <w:t xml:space="preserve">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ouverte</w:t>
      </w:r>
      <w:proofErr w:type="gramEnd"/>
      <w:r w:rsidRPr="00285833">
        <w:rPr>
          <w:lang w:val="fr-CH"/>
        </w:rPr>
        <w:t xml:space="preserve"> (2);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 xml:space="preserve"> fermée (3)</w:t>
      </w:r>
    </w:p>
    <w:p w:rsidR="005B235D" w:rsidRPr="00285833" w:rsidRDefault="00A43F7B" w:rsidP="00A43F7B">
      <w:pPr>
        <w:keepNext/>
        <w:ind w:left="1276" w:hanging="567"/>
        <w:rPr>
          <w:lang w:val="fr-CH"/>
        </w:rPr>
      </w:pPr>
      <w:r w:rsidRPr="00285833">
        <w:rPr>
          <w:lang w:val="fr-CH"/>
        </w:rPr>
        <w:t>(QN)</w:t>
      </w:r>
      <w:r w:rsidRPr="00285833">
        <w:rPr>
          <w:lang w:val="fr-CH"/>
        </w:rPr>
        <w:tab/>
        <w:t>Caractère17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“</w:t>
      </w:r>
      <w:r w:rsidRPr="00285833">
        <w:rPr>
          <w:u w:val="single"/>
          <w:lang w:val="fr-CH"/>
        </w:rPr>
        <w:t>Seulement pour les variétés qui forment une pomme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Époque de formation de la pomme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très précoce (1</w:t>
      </w:r>
      <w:proofErr w:type="gramStart"/>
      <w:r w:rsidRPr="00285833">
        <w:rPr>
          <w:lang w:val="fr-CH"/>
        </w:rPr>
        <w:t xml:space="preserve">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précoce</w:t>
      </w:r>
      <w:proofErr w:type="gramEnd"/>
      <w:r w:rsidRPr="00285833">
        <w:rPr>
          <w:lang w:val="fr-CH"/>
        </w:rPr>
        <w:t xml:space="preserve"> (3);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 xml:space="preserve">moyenne (5);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tardive (7);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 xml:space="preserve"> très tardive (9)”</w:t>
      </w:r>
    </w:p>
    <w:p w:rsidR="005B235D" w:rsidRPr="00285833" w:rsidRDefault="005B235D" w:rsidP="0094406E">
      <w:pPr>
        <w:ind w:left="1276" w:hanging="567"/>
        <w:rPr>
          <w:lang w:val="fr-CH"/>
        </w:rPr>
      </w:pPr>
    </w:p>
    <w:p w:rsidR="005B235D" w:rsidRPr="00285833" w:rsidRDefault="00A43F7B" w:rsidP="00A43F7B">
      <w:pPr>
        <w:ind w:left="1276" w:hanging="567"/>
        <w:rPr>
          <w:i/>
          <w:lang w:val="fr-CH"/>
        </w:rPr>
      </w:pPr>
      <w:r w:rsidRPr="00285833">
        <w:rPr>
          <w:i/>
          <w:lang w:val="fr-CH"/>
        </w:rPr>
        <w:t>Principes directeurs d</w:t>
      </w:r>
      <w:r w:rsidR="003B7821">
        <w:rPr>
          <w:i/>
          <w:lang w:val="fr-CH"/>
        </w:rPr>
        <w:t>’</w:t>
      </w:r>
      <w:r w:rsidRPr="00285833">
        <w:rPr>
          <w:i/>
          <w:lang w:val="fr-CH"/>
        </w:rPr>
        <w:t>examen du figuier (TG/265/1)</w:t>
      </w:r>
      <w:r w:rsidR="003B7821">
        <w:rPr>
          <w:i/>
          <w:lang w:val="fr-CH"/>
        </w:rPr>
        <w:t> :</w:t>
      </w:r>
    </w:p>
    <w:p w:rsidR="005B235D" w:rsidRPr="00285833" w:rsidRDefault="005B235D" w:rsidP="0094406E">
      <w:pPr>
        <w:ind w:left="1276" w:hanging="567"/>
        <w:rPr>
          <w:lang w:val="fr-CH"/>
        </w:rPr>
      </w:pPr>
    </w:p>
    <w:p w:rsidR="005B235D" w:rsidRPr="00285833" w:rsidRDefault="00A91720" w:rsidP="00A91720">
      <w:pPr>
        <w:ind w:left="1276" w:hanging="567"/>
        <w:rPr>
          <w:lang w:val="fr-CH"/>
        </w:rPr>
      </w:pPr>
      <w:r w:rsidRPr="00285833">
        <w:rPr>
          <w:lang w:val="fr-CH"/>
        </w:rPr>
        <w:t>(QN)</w:t>
      </w:r>
      <w:r w:rsidRPr="00285833">
        <w:rPr>
          <w:lang w:val="fr-CH"/>
        </w:rPr>
        <w:tab/>
        <w:t>Caractère 17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“Feuille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type prédominant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entière (1</w:t>
      </w:r>
      <w:proofErr w:type="gramStart"/>
      <w:r w:rsidRPr="00285833">
        <w:rPr>
          <w:lang w:val="fr-CH"/>
        </w:rPr>
        <w:t xml:space="preserve">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à</w:t>
      </w:r>
      <w:proofErr w:type="gramEnd"/>
      <w:r w:rsidRPr="00285833">
        <w:rPr>
          <w:lang w:val="fr-CH"/>
        </w:rPr>
        <w:t xml:space="preserve"> trois</w:t>
      </w:r>
      <w:r w:rsidR="002A045E">
        <w:rPr>
          <w:lang w:val="fr-CH"/>
        </w:rPr>
        <w:t> </w:t>
      </w:r>
      <w:r w:rsidRPr="00285833">
        <w:rPr>
          <w:lang w:val="fr-CH"/>
        </w:rPr>
        <w:t xml:space="preserve">lobes (2);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à cinq</w:t>
      </w:r>
      <w:r w:rsidR="002A045E">
        <w:rPr>
          <w:lang w:val="fr-CH"/>
        </w:rPr>
        <w:t> </w:t>
      </w:r>
      <w:r w:rsidRPr="00285833">
        <w:rPr>
          <w:lang w:val="fr-CH"/>
        </w:rPr>
        <w:t>lobes (3)</w:t>
      </w:r>
    </w:p>
    <w:p w:rsidR="005B235D" w:rsidRPr="00285833" w:rsidRDefault="00A91720" w:rsidP="00A91720">
      <w:pPr>
        <w:ind w:left="1276" w:hanging="567"/>
        <w:rPr>
          <w:lang w:val="fr-CH"/>
        </w:rPr>
      </w:pPr>
      <w:r w:rsidRPr="00285833">
        <w:rPr>
          <w:lang w:val="fr-CH"/>
        </w:rPr>
        <w:t>(PQ)</w:t>
      </w:r>
      <w:r w:rsidRPr="00285833">
        <w:rPr>
          <w:lang w:val="fr-CH"/>
        </w:rPr>
        <w:tab/>
        <w:t>Caractère 18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“</w:t>
      </w:r>
      <w:r w:rsidRPr="00285833">
        <w:rPr>
          <w:u w:val="single"/>
          <w:lang w:val="fr-CH"/>
        </w:rPr>
        <w:t>Seulement les variétés à type de feuille prédominant</w:t>
      </w:r>
      <w:r w:rsidR="003B7821">
        <w:rPr>
          <w:u w:val="single"/>
          <w:lang w:val="fr-CH"/>
        </w:rPr>
        <w:t> :</w:t>
      </w:r>
      <w:r w:rsidRPr="00285833">
        <w:rPr>
          <w:u w:val="single"/>
          <w:lang w:val="fr-CH"/>
        </w:rPr>
        <w:t xml:space="preserve"> feuille entière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Feuille</w:t>
      </w:r>
      <w:r w:rsidR="003B7821">
        <w:rPr>
          <w:lang w:val="fr-CH"/>
        </w:rPr>
        <w:t> :</w:t>
      </w:r>
      <w:r w:rsidRPr="00285833">
        <w:rPr>
          <w:lang w:val="fr-CH"/>
        </w:rPr>
        <w:t xml:space="preserve"> forme cordiforme (1</w:t>
      </w:r>
      <w:proofErr w:type="gramStart"/>
      <w:r w:rsidRPr="00285833">
        <w:rPr>
          <w:lang w:val="fr-CH"/>
        </w:rPr>
        <w:t xml:space="preserve">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triangulaire</w:t>
      </w:r>
      <w:proofErr w:type="gramEnd"/>
      <w:r w:rsidRPr="00285833">
        <w:rPr>
          <w:lang w:val="fr-CH"/>
        </w:rPr>
        <w:t xml:space="preserve"> (2); 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>lancéolée (3);</w:t>
      </w:r>
      <w:r w:rsidR="002A045E">
        <w:rPr>
          <w:lang w:val="fr-CH"/>
        </w:rPr>
        <w:t xml:space="preserve"> </w:t>
      </w:r>
      <w:r w:rsidRPr="00285833">
        <w:rPr>
          <w:lang w:val="fr-CH"/>
        </w:rPr>
        <w:t xml:space="preserve"> elliptique (4)”</w:t>
      </w:r>
    </w:p>
    <w:p w:rsidR="005B235D" w:rsidRDefault="005B235D" w:rsidP="0094406E">
      <w:pPr>
        <w:ind w:left="709"/>
        <w:rPr>
          <w:snapToGrid w:val="0"/>
          <w:lang w:val="fr-CH"/>
        </w:rPr>
      </w:pPr>
    </w:p>
    <w:p w:rsidR="005B235D" w:rsidRPr="00285833" w:rsidRDefault="00A91720" w:rsidP="00A91720">
      <w:pPr>
        <w:ind w:left="709"/>
        <w:rPr>
          <w:i/>
          <w:snapToGrid w:val="0"/>
          <w:lang w:val="fr-CH"/>
        </w:rPr>
      </w:pPr>
      <w:r w:rsidRPr="00285833">
        <w:rPr>
          <w:i/>
          <w:snapToGrid w:val="0"/>
          <w:lang w:val="fr-CH"/>
        </w:rPr>
        <w:t>Exemple hypothétique</w:t>
      </w:r>
      <w:r w:rsidR="003B7821">
        <w:rPr>
          <w:i/>
          <w:snapToGrid w:val="0"/>
          <w:lang w:val="fr-CH"/>
        </w:rPr>
        <w:t> :</w:t>
      </w:r>
    </w:p>
    <w:p w:rsidR="005B235D" w:rsidRPr="00285833" w:rsidRDefault="005B235D" w:rsidP="0094406E">
      <w:pPr>
        <w:ind w:left="709"/>
        <w:rPr>
          <w:snapToGrid w:val="0"/>
          <w:lang w:val="fr-CH"/>
        </w:rPr>
      </w:pPr>
    </w:p>
    <w:p w:rsidR="005B235D" w:rsidRPr="00285833" w:rsidRDefault="00A91720" w:rsidP="00A91720">
      <w:pPr>
        <w:ind w:left="709"/>
        <w:rPr>
          <w:snapToGrid w:val="0"/>
          <w:lang w:val="fr-CH"/>
        </w:rPr>
      </w:pPr>
      <w:r w:rsidRPr="00285833">
        <w:rPr>
          <w:snapToGrid w:val="0"/>
          <w:lang w:val="fr-CH"/>
        </w:rPr>
        <w:t>(QN)</w:t>
      </w:r>
      <w:r w:rsidRPr="00285833">
        <w:rPr>
          <w:snapToGrid w:val="0"/>
          <w:lang w:val="fr-CH"/>
        </w:rPr>
        <w:tab/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P</w:t>
      </w:r>
      <w:r w:rsidRPr="00285833">
        <w:rPr>
          <w:snapToGrid w:val="0"/>
          <w:lang w:val="fr-CH"/>
        </w:rPr>
        <w:t>ilosité</w:t>
      </w:r>
      <w:r w:rsidR="003B7821">
        <w:rPr>
          <w:snapToGrid w:val="0"/>
          <w:lang w:val="fr-CH"/>
        </w:rPr>
        <w:t> :</w:t>
      </w:r>
      <w:r w:rsidRPr="00285833">
        <w:rPr>
          <w:snapToGrid w:val="0"/>
          <w:lang w:val="fr-CH"/>
        </w:rPr>
        <w:t xml:space="preserve"> absente ou très faibl</w:t>
      </w:r>
      <w:r w:rsidR="003B7821" w:rsidRPr="00285833">
        <w:rPr>
          <w:snapToGrid w:val="0"/>
          <w:lang w:val="fr-CH"/>
        </w:rPr>
        <w:t>e</w:t>
      </w:r>
      <w:r w:rsidR="003B7821">
        <w:rPr>
          <w:snapToGrid w:val="0"/>
          <w:lang w:val="fr-CH"/>
        </w:rPr>
        <w:t>”</w:t>
      </w:r>
      <w:r w:rsidRPr="00285833">
        <w:rPr>
          <w:snapToGrid w:val="0"/>
          <w:lang w:val="fr-CH"/>
        </w:rPr>
        <w:t>.</w:t>
      </w:r>
    </w:p>
    <w:p w:rsidR="005B235D" w:rsidRPr="00285833" w:rsidRDefault="00A91720" w:rsidP="00A91720">
      <w:pPr>
        <w:ind w:left="709"/>
        <w:rPr>
          <w:snapToGrid w:val="0"/>
          <w:lang w:val="fr-CH"/>
        </w:rPr>
      </w:pPr>
      <w:r w:rsidRPr="00285833">
        <w:rPr>
          <w:snapToGrid w:val="0"/>
          <w:lang w:val="fr-CH"/>
        </w:rPr>
        <w:t>(P</w:t>
      </w:r>
      <w:r w:rsidR="00235DF8">
        <w:rPr>
          <w:snapToGrid w:val="0"/>
          <w:lang w:val="fr-CH"/>
        </w:rPr>
        <w:t>Q</w:t>
      </w:r>
      <w:r w:rsidRPr="00285833">
        <w:rPr>
          <w:snapToGrid w:val="0"/>
          <w:lang w:val="fr-CH"/>
        </w:rPr>
        <w:t>)</w:t>
      </w:r>
      <w:r w:rsidRPr="00285833">
        <w:rPr>
          <w:snapToGrid w:val="0"/>
          <w:lang w:val="fr-CH"/>
        </w:rPr>
        <w:tab/>
      </w:r>
      <w:r w:rsidRPr="00285833">
        <w:rPr>
          <w:snapToGrid w:val="0"/>
          <w:lang w:val="fr-CH"/>
        </w:rPr>
        <w:tab/>
      </w:r>
      <w:r w:rsidR="003B7821">
        <w:rPr>
          <w:snapToGrid w:val="0"/>
          <w:lang w:val="fr-CH"/>
        </w:rPr>
        <w:t>“</w:t>
      </w:r>
      <w:r w:rsidR="003B7821" w:rsidRPr="00285833">
        <w:rPr>
          <w:snapToGrid w:val="0"/>
          <w:lang w:val="fr-CH"/>
        </w:rPr>
        <w:t>c</w:t>
      </w:r>
      <w:r w:rsidRPr="00285833">
        <w:rPr>
          <w:snapToGrid w:val="0"/>
          <w:lang w:val="fr-CH"/>
        </w:rPr>
        <w:t>ouleur de la pilosit</w:t>
      </w:r>
      <w:r w:rsidR="003B7821" w:rsidRPr="00285833">
        <w:rPr>
          <w:snapToGrid w:val="0"/>
          <w:lang w:val="fr-CH"/>
        </w:rPr>
        <w:t>é</w:t>
      </w:r>
      <w:r w:rsidR="003B7821">
        <w:rPr>
          <w:snapToGrid w:val="0"/>
          <w:lang w:val="fr-CH"/>
        </w:rPr>
        <w:t>”</w:t>
      </w:r>
    </w:p>
    <w:p w:rsidR="005B235D" w:rsidRDefault="005B235D" w:rsidP="0094406E">
      <w:pPr>
        <w:rPr>
          <w:lang w:val="fr-CH"/>
        </w:rPr>
      </w:pPr>
    </w:p>
    <w:p w:rsidR="005B235D" w:rsidRPr="00285833" w:rsidRDefault="0094406E" w:rsidP="00A91720">
      <w:pPr>
        <w:keepLines/>
        <w:rPr>
          <w:lang w:val="fr-CH"/>
        </w:rPr>
      </w:pPr>
      <w:r w:rsidRPr="00285833">
        <w:fldChar w:fldCharType="begin"/>
      </w:r>
      <w:r w:rsidRPr="00285833">
        <w:rPr>
          <w:lang w:val="fr-CH"/>
        </w:rPr>
        <w:instrText xml:space="preserve"> AUTONUM  </w:instrText>
      </w:r>
      <w:r w:rsidRPr="00285833">
        <w:fldChar w:fldCharType="end"/>
      </w:r>
      <w:r w:rsidRPr="00285833">
        <w:rPr>
          <w:lang w:val="fr-CH"/>
        </w:rPr>
        <w:tab/>
      </w:r>
      <w:r w:rsidR="00A91720" w:rsidRPr="00285833">
        <w:rPr>
          <w:lang w:val="fr-CH"/>
        </w:rPr>
        <w:t>Sur la base des observations formulées par</w:t>
      </w:r>
      <w:r w:rsidR="003B7821" w:rsidRPr="00285833">
        <w:rPr>
          <w:lang w:val="fr-CH"/>
        </w:rPr>
        <w:t xml:space="preserve"> les</w:t>
      </w:r>
      <w:r w:rsidR="003B7821">
        <w:rPr>
          <w:lang w:val="fr-CH"/>
        </w:rPr>
        <w:t> </w:t>
      </w:r>
      <w:r w:rsidR="003B7821" w:rsidRPr="00285833">
        <w:rPr>
          <w:lang w:val="fr-CH"/>
        </w:rPr>
        <w:t>TWP</w:t>
      </w:r>
      <w:r w:rsidR="00A91720" w:rsidRPr="00285833">
        <w:rPr>
          <w:lang w:val="fr-CH"/>
        </w:rPr>
        <w:t xml:space="preserve"> à leurs sessions tenues </w:t>
      </w:r>
      <w:r w:rsidR="003B7821" w:rsidRPr="00285833">
        <w:rPr>
          <w:lang w:val="fr-CH"/>
        </w:rPr>
        <w:t>en</w:t>
      </w:r>
      <w:r w:rsidR="003B7821">
        <w:rPr>
          <w:lang w:val="fr-CH"/>
        </w:rPr>
        <w:t> </w:t>
      </w:r>
      <w:r w:rsidR="003B7821" w:rsidRPr="00285833">
        <w:rPr>
          <w:lang w:val="fr-CH"/>
        </w:rPr>
        <w:t>2019</w:t>
      </w:r>
      <w:r w:rsidR="00A91720" w:rsidRPr="00285833">
        <w:rPr>
          <w:lang w:val="fr-CH"/>
        </w:rPr>
        <w:t>, le</w:t>
      </w:r>
      <w:r w:rsidR="003B7821">
        <w:rPr>
          <w:lang w:val="fr-CH"/>
        </w:rPr>
        <w:t> TC</w:t>
      </w:r>
      <w:r w:rsidR="00A91720" w:rsidRPr="00285833">
        <w:rPr>
          <w:lang w:val="fr-CH"/>
        </w:rPr>
        <w:t xml:space="preserve"> est invité à examiner la proposition tendant à modifier comme suit les conseils figurant dans la note indicative</w:t>
      </w:r>
      <w:r w:rsidR="00235DF8">
        <w:rPr>
          <w:lang w:val="fr-CH"/>
        </w:rPr>
        <w:t> </w:t>
      </w:r>
      <w:r w:rsidR="00A91720" w:rsidRPr="00285833">
        <w:rPr>
          <w:lang w:val="fr-CH"/>
        </w:rPr>
        <w:t>18 (GN</w:t>
      </w:r>
      <w:r w:rsidR="00235DF8">
        <w:rPr>
          <w:lang w:val="fr-CH"/>
        </w:rPr>
        <w:t> </w:t>
      </w:r>
      <w:r w:rsidR="00A91720" w:rsidRPr="00285833">
        <w:rPr>
          <w:lang w:val="fr-CH"/>
        </w:rPr>
        <w:t>18) du document TGP/7 afin de permettre l</w:t>
      </w:r>
      <w:r w:rsidR="003B7821">
        <w:rPr>
          <w:lang w:val="fr-CH"/>
        </w:rPr>
        <w:t>’</w:t>
      </w:r>
      <w:r w:rsidR="00A91720" w:rsidRPr="00285833">
        <w:rPr>
          <w:lang w:val="fr-CH"/>
        </w:rPr>
        <w:t>exclusion d</w:t>
      </w:r>
      <w:r w:rsidR="003B7821">
        <w:rPr>
          <w:lang w:val="fr-CH"/>
        </w:rPr>
        <w:t>’</w:t>
      </w:r>
      <w:r w:rsidR="00A91720" w:rsidRPr="00285833">
        <w:rPr>
          <w:lang w:val="fr-CH"/>
        </w:rPr>
        <w:t>un caractère de l</w:t>
      </w:r>
      <w:r w:rsidR="003B7821">
        <w:rPr>
          <w:lang w:val="fr-CH"/>
        </w:rPr>
        <w:t>’</w:t>
      </w:r>
      <w:r w:rsidR="00A91720" w:rsidRPr="00285833">
        <w:rPr>
          <w:lang w:val="fr-CH"/>
        </w:rPr>
        <w:t>observation sur la base du niveau d</w:t>
      </w:r>
      <w:r w:rsidR="003B7821">
        <w:rPr>
          <w:lang w:val="fr-CH"/>
        </w:rPr>
        <w:t>’</w:t>
      </w:r>
      <w:r w:rsidR="00A91720" w:rsidRPr="00285833">
        <w:rPr>
          <w:lang w:val="fr-CH"/>
        </w:rPr>
        <w:t>expression d</w:t>
      </w:r>
      <w:r w:rsidR="003B7821">
        <w:rPr>
          <w:lang w:val="fr-CH"/>
        </w:rPr>
        <w:t>’</w:t>
      </w:r>
      <w:r w:rsidR="00A91720" w:rsidRPr="00285833">
        <w:rPr>
          <w:lang w:val="fr-CH"/>
        </w:rPr>
        <w:t>un caractère pseudo</w:t>
      </w:r>
      <w:r w:rsidR="003B7821">
        <w:rPr>
          <w:lang w:val="fr-CH"/>
        </w:rPr>
        <w:t>-</w:t>
      </w:r>
      <w:r w:rsidR="00A91720" w:rsidRPr="00285833">
        <w:rPr>
          <w:lang w:val="fr-CH"/>
        </w:rPr>
        <w:t xml:space="preserve">qualitatif ou quantitatif précédent (les éléments à supprimer sont </w:t>
      </w:r>
      <w:r w:rsidR="00A91720" w:rsidRPr="00E55590">
        <w:rPr>
          <w:strike/>
          <w:highlight w:val="lightGray"/>
          <w:lang w:val="fr-CH"/>
        </w:rPr>
        <w:t>surlignés et biffés</w:t>
      </w:r>
      <w:r w:rsidR="00A91720" w:rsidRPr="00E55590">
        <w:rPr>
          <w:strike/>
          <w:lang w:val="fr-CH"/>
        </w:rPr>
        <w:t xml:space="preserve"> </w:t>
      </w:r>
      <w:r w:rsidR="00A91720" w:rsidRPr="00285833">
        <w:rPr>
          <w:lang w:val="fr-CH"/>
        </w:rPr>
        <w:t xml:space="preserve">et les éléments à ajouter sont </w:t>
      </w:r>
      <w:r w:rsidR="00A91720" w:rsidRPr="00E55590">
        <w:rPr>
          <w:highlight w:val="lightGray"/>
          <w:u w:val="single"/>
          <w:lang w:val="fr-CH"/>
        </w:rPr>
        <w:t>surlignés et soulignés</w:t>
      </w:r>
      <w:r w:rsidR="00A91720" w:rsidRPr="00285833">
        <w:rPr>
          <w:lang w:val="fr-CH"/>
        </w:rPr>
        <w:t>)</w:t>
      </w:r>
      <w:r w:rsidR="003B7821">
        <w:rPr>
          <w:lang w:val="fr-CH"/>
        </w:rPr>
        <w:t> :</w:t>
      </w:r>
    </w:p>
    <w:p w:rsidR="005B235D" w:rsidRPr="00285833" w:rsidRDefault="005B235D" w:rsidP="0094406E">
      <w:pPr>
        <w:rPr>
          <w:lang w:val="fr-CH"/>
        </w:rPr>
      </w:pPr>
    </w:p>
    <w:p w:rsidR="005B235D" w:rsidRPr="00285833" w:rsidRDefault="00A91720" w:rsidP="00A91720">
      <w:pPr>
        <w:ind w:left="567" w:right="565"/>
        <w:rPr>
          <w:rFonts w:cs="Arial"/>
          <w:bCs/>
          <w:i/>
          <w:snapToGrid w:val="0"/>
          <w:sz w:val="18"/>
          <w:lang w:val="fr-CH"/>
        </w:rPr>
      </w:pPr>
      <w:r w:rsidRPr="00285833">
        <w:rPr>
          <w:rFonts w:cs="Arial"/>
          <w:bCs/>
          <w:i/>
          <w:snapToGrid w:val="0"/>
          <w:sz w:val="18"/>
          <w:lang w:val="fr-CH"/>
        </w:rPr>
        <w:t>3.</w:t>
      </w:r>
      <w:r w:rsidRPr="00285833">
        <w:rPr>
          <w:rFonts w:cs="Arial"/>
          <w:bCs/>
          <w:snapToGrid w:val="0"/>
          <w:sz w:val="18"/>
          <w:lang w:val="fr-CH"/>
        </w:rPr>
        <w:tab/>
      </w:r>
      <w:r w:rsidRPr="00285833">
        <w:rPr>
          <w:rFonts w:cs="Arial"/>
          <w:bCs/>
          <w:i/>
          <w:snapToGrid w:val="0"/>
          <w:sz w:val="18"/>
          <w:lang w:val="fr-CH"/>
        </w:rPr>
        <w:t>Caractères applicables à certaines variétés seulement</w:t>
      </w:r>
    </w:p>
    <w:p w:rsidR="005B235D" w:rsidRPr="00285833" w:rsidRDefault="005B235D" w:rsidP="0094406E">
      <w:pPr>
        <w:ind w:left="567" w:right="565"/>
        <w:rPr>
          <w:rFonts w:cs="Arial"/>
          <w:bCs/>
          <w:snapToGrid w:val="0"/>
          <w:sz w:val="18"/>
          <w:lang w:val="fr-CH"/>
        </w:rPr>
      </w:pPr>
    </w:p>
    <w:p w:rsidR="003B7821" w:rsidRDefault="00DD0DD1" w:rsidP="00DD0DD1">
      <w:pPr>
        <w:ind w:left="567" w:right="565"/>
        <w:rPr>
          <w:rFonts w:cs="Arial"/>
          <w:bCs/>
          <w:snapToGrid w:val="0"/>
          <w:sz w:val="18"/>
          <w:lang w:val="fr-CH"/>
        </w:rPr>
      </w:pPr>
      <w:r w:rsidRPr="00285833">
        <w:rPr>
          <w:rFonts w:cs="Arial"/>
          <w:bCs/>
          <w:snapToGrid w:val="0"/>
          <w:sz w:val="18"/>
          <w:lang w:val="fr-CH"/>
        </w:rPr>
        <w:t>Dans certains cas, le niveau d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>expression d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 xml:space="preserve">un caractère </w:t>
      </w:r>
      <w:r w:rsidRPr="00285833">
        <w:rPr>
          <w:rFonts w:cs="Arial"/>
          <w:bCs/>
          <w:strike/>
          <w:snapToGrid w:val="0"/>
          <w:sz w:val="18"/>
          <w:highlight w:val="lightGray"/>
          <w:lang w:val="fr-CH"/>
        </w:rPr>
        <w:t>qualitatif</w:t>
      </w:r>
      <w:r w:rsidRPr="00285833">
        <w:rPr>
          <w:rFonts w:cs="Arial"/>
          <w:bCs/>
          <w:snapToGrid w:val="0"/>
          <w:sz w:val="18"/>
          <w:lang w:val="fr-CH"/>
        </w:rPr>
        <w:t xml:space="preserve"> précédent fait qu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>un caractère donné ne s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 xml:space="preserve">applique pas à un caractère </w:t>
      </w:r>
      <w:proofErr w:type="gramStart"/>
      <w:r w:rsidRPr="00285833">
        <w:rPr>
          <w:rFonts w:cs="Arial"/>
          <w:bCs/>
          <w:snapToGrid w:val="0"/>
          <w:sz w:val="18"/>
          <w:lang w:val="fr-CH"/>
        </w:rPr>
        <w:t xml:space="preserve">ultérieur; </w:t>
      </w:r>
      <w:r w:rsidR="002A045E">
        <w:rPr>
          <w:rFonts w:cs="Arial"/>
          <w:bCs/>
          <w:snapToGrid w:val="0"/>
          <w:sz w:val="18"/>
          <w:lang w:val="fr-CH"/>
        </w:rPr>
        <w:t xml:space="preserve"> </w:t>
      </w:r>
      <w:r w:rsidRPr="00285833">
        <w:rPr>
          <w:rFonts w:cs="Arial"/>
          <w:bCs/>
          <w:snapToGrid w:val="0"/>
          <w:sz w:val="18"/>
          <w:lang w:val="fr-CH"/>
        </w:rPr>
        <w:t>par</w:t>
      </w:r>
      <w:proofErr w:type="gramEnd"/>
      <w:r w:rsidRPr="00285833">
        <w:rPr>
          <w:rFonts w:cs="Arial"/>
          <w:bCs/>
          <w:snapToGrid w:val="0"/>
          <w:sz w:val="18"/>
          <w:lang w:val="fr-CH"/>
        </w:rPr>
        <w:t xml:space="preserve"> exemple, il ne serait pas possible de décrire la forme des lobes des feuilles d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>une variété dont les feuilles ne possèdent pas de lobes.</w:t>
      </w:r>
    </w:p>
    <w:p w:rsidR="005B235D" w:rsidRPr="00285833" w:rsidRDefault="005B235D" w:rsidP="0094406E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</w:pPr>
    </w:p>
    <w:p w:rsidR="005B235D" w:rsidRPr="00285833" w:rsidRDefault="00DD0DD1" w:rsidP="00DD0DD1">
      <w:pPr>
        <w:ind w:left="567" w:right="565"/>
        <w:rPr>
          <w:rFonts w:cs="Arial"/>
          <w:bCs/>
          <w:snapToGrid w:val="0"/>
          <w:sz w:val="18"/>
          <w:lang w:val="fr-CH"/>
        </w:rPr>
      </w:pPr>
      <w:r w:rsidRPr="00285833">
        <w:rPr>
          <w:rFonts w:cs="Arial"/>
          <w:bCs/>
          <w:snapToGrid w:val="0"/>
          <w:sz w:val="18"/>
          <w:lang w:val="fr-CH"/>
        </w:rPr>
        <w:t>Dans les cas où ce n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>est pas évident, ou lorsque les caractères sont séparés dans le tableau des caractères, la désignation du caractère suivant est précédée d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>une mention soulignée des types de variétés auxquels elle s</w:t>
      </w:r>
      <w:r w:rsidR="003B7821">
        <w:rPr>
          <w:rFonts w:cs="Arial"/>
          <w:bCs/>
          <w:snapToGrid w:val="0"/>
          <w:sz w:val="18"/>
          <w:lang w:val="fr-CH"/>
        </w:rPr>
        <w:t>’</w:t>
      </w:r>
      <w:r w:rsidRPr="00285833">
        <w:rPr>
          <w:rFonts w:cs="Arial"/>
          <w:bCs/>
          <w:snapToGrid w:val="0"/>
          <w:sz w:val="18"/>
          <w:lang w:val="fr-CH"/>
        </w:rPr>
        <w:t>applique, sur la base du caractère précédent.</w:t>
      </w:r>
    </w:p>
    <w:p w:rsidR="005B235D" w:rsidRPr="00285833" w:rsidRDefault="005B235D" w:rsidP="0094406E">
      <w:pPr>
        <w:ind w:left="567" w:right="565"/>
        <w:rPr>
          <w:rFonts w:cs="Arial"/>
          <w:bCs/>
          <w:snapToGrid w:val="0"/>
          <w:sz w:val="18"/>
          <w:lang w:val="fr-CH"/>
        </w:rPr>
      </w:pPr>
    </w:p>
    <w:p w:rsidR="005B235D" w:rsidRPr="00285833" w:rsidRDefault="005B235D" w:rsidP="005B235D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</w:pPr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Les exemples ci</w:t>
      </w:r>
      <w:r w:rsidR="003B7821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-</w:t>
      </w:r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après expliquent comment la méthode peut être utilisée pour les caractères qualitatif (QL), pseudo</w:t>
      </w:r>
      <w:r w:rsidR="003B7821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-</w:t>
      </w:r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qualitatif (PQ) et quantitatif (QN) d</w:t>
      </w:r>
      <w:r w:rsidR="003B7821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’</w:t>
      </w:r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une manière qui ne présente pas de risque pour les décisions sur la distinction</w:t>
      </w:r>
    </w:p>
    <w:p w:rsidR="005B235D" w:rsidRPr="00285833" w:rsidRDefault="005B235D" w:rsidP="0094406E">
      <w:pPr>
        <w:ind w:left="567" w:right="565"/>
        <w:rPr>
          <w:rFonts w:cs="Arial"/>
          <w:bCs/>
          <w:snapToGrid w:val="0"/>
          <w:sz w:val="18"/>
          <w:lang w:val="fr-CH"/>
        </w:rPr>
      </w:pPr>
    </w:p>
    <w:p w:rsidR="005B235D" w:rsidRPr="00285833" w:rsidRDefault="005B235D" w:rsidP="005B235D">
      <w:pPr>
        <w:ind w:left="1134" w:right="565"/>
        <w:rPr>
          <w:rFonts w:cs="Arial"/>
          <w:bCs/>
          <w:snapToGrid w:val="0"/>
          <w:sz w:val="18"/>
          <w:lang w:val="fr-CH"/>
        </w:rPr>
      </w:pPr>
      <w:r w:rsidRPr="00285833">
        <w:rPr>
          <w:rFonts w:cs="Arial"/>
          <w:bCs/>
          <w:snapToGrid w:val="0"/>
          <w:sz w:val="18"/>
          <w:highlight w:val="lightGray"/>
          <w:u w:val="single"/>
          <w:lang w:val="fr-CH"/>
        </w:rPr>
        <w:t>(QL)</w:t>
      </w:r>
      <w:r w:rsidRPr="00285833">
        <w:rPr>
          <w:rFonts w:cs="Arial"/>
          <w:bCs/>
          <w:snapToGrid w:val="0"/>
          <w:sz w:val="18"/>
          <w:u w:val="single"/>
          <w:lang w:val="fr-CH"/>
        </w:rPr>
        <w:tab/>
        <w:t>Seulement les variétés à type de fleur</w:t>
      </w:r>
      <w:r w:rsidR="003B7821">
        <w:rPr>
          <w:rFonts w:cs="Arial"/>
          <w:bCs/>
          <w:snapToGrid w:val="0"/>
          <w:sz w:val="18"/>
          <w:u w:val="single"/>
          <w:lang w:val="fr-CH"/>
        </w:rPr>
        <w:t> :</w:t>
      </w:r>
      <w:r w:rsidRPr="00285833">
        <w:rPr>
          <w:rFonts w:cs="Arial"/>
          <w:bCs/>
          <w:snapToGrid w:val="0"/>
          <w:sz w:val="18"/>
          <w:u w:val="single"/>
          <w:lang w:val="fr-CH"/>
        </w:rPr>
        <w:t xml:space="preserve"> simple</w:t>
      </w:r>
      <w:r w:rsidR="003B7821">
        <w:rPr>
          <w:rFonts w:cs="Arial"/>
          <w:bCs/>
          <w:snapToGrid w:val="0"/>
          <w:sz w:val="18"/>
          <w:lang w:val="fr-CH"/>
        </w:rPr>
        <w:t> :</w:t>
      </w:r>
      <w:r w:rsidRPr="00285833">
        <w:rPr>
          <w:rFonts w:cs="Arial"/>
          <w:bCs/>
          <w:snapToGrid w:val="0"/>
          <w:sz w:val="18"/>
          <w:lang w:val="fr-CH"/>
        </w:rPr>
        <w:t xml:space="preserve"> Fleur</w:t>
      </w:r>
      <w:r w:rsidR="002A045E">
        <w:rPr>
          <w:rFonts w:cs="Arial"/>
          <w:bCs/>
          <w:snapToGrid w:val="0"/>
          <w:sz w:val="18"/>
          <w:lang w:val="fr-CH"/>
        </w:rPr>
        <w:t> </w:t>
      </w:r>
      <w:r w:rsidRPr="00285833">
        <w:rPr>
          <w:rFonts w:cs="Arial"/>
          <w:bCs/>
          <w:snapToGrid w:val="0"/>
          <w:sz w:val="18"/>
          <w:lang w:val="fr-CH"/>
        </w:rPr>
        <w:t>: forme</w:t>
      </w:r>
    </w:p>
    <w:p w:rsidR="005B235D" w:rsidRPr="00285833" w:rsidRDefault="005B235D" w:rsidP="0094406E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</w:pPr>
    </w:p>
    <w:p w:rsidR="005B235D" w:rsidRPr="00285833" w:rsidRDefault="005B235D" w:rsidP="005B235D">
      <w:pPr>
        <w:ind w:left="567" w:right="565" w:firstLine="567"/>
        <w:rPr>
          <w:rFonts w:cs="Arial"/>
          <w:bCs/>
          <w:snapToGrid w:val="0"/>
          <w:sz w:val="18"/>
          <w:szCs w:val="18"/>
          <w:u w:val="single"/>
          <w:lang w:val="fr-CH"/>
        </w:rPr>
      </w:pPr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[</w:t>
      </w:r>
      <w:proofErr w:type="gramStart"/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>à</w:t>
      </w:r>
      <w:proofErr w:type="gramEnd"/>
      <w:r w:rsidRPr="00285833"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  <w:t xml:space="preserve"> compléter par des exemples de caractères QN et PQ]</w:t>
      </w:r>
    </w:p>
    <w:p w:rsidR="005B235D" w:rsidRPr="00285833" w:rsidRDefault="005B235D" w:rsidP="0094406E">
      <w:pPr>
        <w:ind w:left="567" w:right="565"/>
        <w:rPr>
          <w:rFonts w:cs="Arial"/>
          <w:bCs/>
          <w:snapToGrid w:val="0"/>
          <w:sz w:val="18"/>
          <w:szCs w:val="18"/>
          <w:highlight w:val="lightGray"/>
          <w:u w:val="single"/>
          <w:lang w:val="fr-CH"/>
        </w:rPr>
      </w:pPr>
    </w:p>
    <w:p w:rsidR="005B235D" w:rsidRPr="00285833" w:rsidRDefault="005B235D" w:rsidP="005B235D">
      <w:pPr>
        <w:ind w:left="567" w:right="565"/>
        <w:rPr>
          <w:rFonts w:cs="Arial"/>
          <w:bCs/>
          <w:snapToGrid w:val="0"/>
          <w:sz w:val="18"/>
          <w:u w:val="single"/>
          <w:lang w:val="fr-CH"/>
        </w:rPr>
      </w:pPr>
      <w:r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L</w:t>
      </w:r>
      <w:r w:rsidR="003B7821"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’</w:t>
      </w:r>
      <w:r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exclusion des caractères de l</w:t>
      </w:r>
      <w:r w:rsidR="003B7821"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’</w:t>
      </w:r>
      <w:r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observation sur la base d</w:t>
      </w:r>
      <w:r w:rsidR="003B7821"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’</w:t>
      </w:r>
      <w:r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un caractère pseudo</w:t>
      </w:r>
      <w:r w:rsidR="003B7821"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-</w:t>
      </w:r>
      <w:r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qualitatif (PQ) ou quantitatif (QN) précédent dans certaines circonstances doit être appliquée avec prudence, compte tenu des conséquences pour l</w:t>
      </w:r>
      <w:r w:rsidR="003B7821"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’</w:t>
      </w:r>
      <w:r w:rsidRPr="0095383A">
        <w:rPr>
          <w:rFonts w:cs="Arial"/>
          <w:bCs/>
          <w:snapToGrid w:val="0"/>
          <w:sz w:val="18"/>
          <w:highlight w:val="lightGray"/>
          <w:u w:val="single"/>
          <w:lang w:val="fr-CH"/>
        </w:rPr>
        <w:t>examen de la distinction</w:t>
      </w:r>
      <w:r w:rsidRPr="0095383A">
        <w:rPr>
          <w:rFonts w:cs="Arial"/>
          <w:bCs/>
          <w:snapToGrid w:val="0"/>
          <w:sz w:val="18"/>
          <w:highlight w:val="lightGray"/>
          <w:lang w:val="fr-CH"/>
        </w:rPr>
        <w:t>.</w:t>
      </w:r>
    </w:p>
    <w:p w:rsidR="005B235D" w:rsidRPr="00285833" w:rsidRDefault="005B235D" w:rsidP="0094406E">
      <w:pPr>
        <w:rPr>
          <w:lang w:val="fr-CH"/>
        </w:rPr>
      </w:pPr>
    </w:p>
    <w:p w:rsidR="005B235D" w:rsidRPr="005B235D" w:rsidRDefault="005B235D" w:rsidP="0094406E">
      <w:pPr>
        <w:rPr>
          <w:lang w:val="fr-CH"/>
        </w:rPr>
      </w:pPr>
    </w:p>
    <w:p w:rsidR="005B235D" w:rsidRPr="00285833" w:rsidRDefault="0094406E" w:rsidP="005B235D">
      <w:pPr>
        <w:pStyle w:val="DecisionParagraphs"/>
        <w:rPr>
          <w:snapToGrid w:val="0"/>
          <w:lang w:val="fr-CH"/>
        </w:rPr>
      </w:pPr>
      <w:r w:rsidRPr="00285833">
        <w:rPr>
          <w:snapToGrid w:val="0"/>
        </w:rPr>
        <w:fldChar w:fldCharType="begin"/>
      </w:r>
      <w:r w:rsidRPr="00285833">
        <w:rPr>
          <w:snapToGrid w:val="0"/>
          <w:lang w:val="fr-CH"/>
        </w:rPr>
        <w:instrText xml:space="preserve"> AUTONUM  </w:instrText>
      </w:r>
      <w:r w:rsidRPr="00285833">
        <w:rPr>
          <w:snapToGrid w:val="0"/>
        </w:rPr>
        <w:fldChar w:fldCharType="end"/>
      </w:r>
      <w:r w:rsidRPr="00285833">
        <w:rPr>
          <w:snapToGrid w:val="0"/>
          <w:lang w:val="fr-CH"/>
        </w:rPr>
        <w:tab/>
      </w:r>
      <w:r w:rsidR="005B235D" w:rsidRPr="00285833">
        <w:rPr>
          <w:snapToGrid w:val="0"/>
          <w:lang w:val="fr-CH"/>
        </w:rPr>
        <w:t>Le</w:t>
      </w:r>
      <w:r w:rsidR="003B7821">
        <w:rPr>
          <w:snapToGrid w:val="0"/>
          <w:lang w:val="fr-CH"/>
        </w:rPr>
        <w:t> TC</w:t>
      </w:r>
      <w:r w:rsidR="005B235D" w:rsidRPr="00285833">
        <w:rPr>
          <w:snapToGrid w:val="0"/>
          <w:lang w:val="fr-CH"/>
        </w:rPr>
        <w:t xml:space="preserve"> est invité à examiner</w:t>
      </w:r>
    </w:p>
    <w:p w:rsidR="005B235D" w:rsidRPr="00285833" w:rsidRDefault="005B235D" w:rsidP="0094406E">
      <w:pPr>
        <w:pStyle w:val="DecisionParagraphs"/>
        <w:rPr>
          <w:snapToGrid w:val="0"/>
          <w:lang w:val="fr-CH"/>
        </w:rPr>
      </w:pPr>
    </w:p>
    <w:p w:rsidR="005B235D" w:rsidRPr="00B23878" w:rsidRDefault="0094406E" w:rsidP="007E2CDB">
      <w:pPr>
        <w:pStyle w:val="DecisionParagraphs"/>
        <w:tabs>
          <w:tab w:val="left" w:pos="5954"/>
        </w:tabs>
        <w:rPr>
          <w:snapToGrid w:val="0"/>
          <w:lang w:val="fr-CH"/>
        </w:rPr>
      </w:pPr>
      <w:r w:rsidRPr="00285833">
        <w:rPr>
          <w:snapToGrid w:val="0"/>
          <w:lang w:val="fr-CH"/>
        </w:rPr>
        <w:tab/>
      </w:r>
      <w:r w:rsidR="007E2CDB" w:rsidRPr="00285833">
        <w:rPr>
          <w:snapToGrid w:val="0"/>
          <w:lang w:val="fr-CH"/>
        </w:rPr>
        <w:t>a)</w:t>
      </w:r>
      <w:r w:rsidR="007E2CDB" w:rsidRPr="00285833">
        <w:rPr>
          <w:snapToGrid w:val="0"/>
          <w:lang w:val="fr-CH"/>
        </w:rPr>
        <w:tab/>
        <w:t>les exemples de caractères quantitatif et pseudo</w:t>
      </w:r>
      <w:r w:rsidR="003B7821">
        <w:rPr>
          <w:snapToGrid w:val="0"/>
          <w:lang w:val="fr-CH"/>
        </w:rPr>
        <w:t>-</w:t>
      </w:r>
      <w:r w:rsidR="007E2CDB" w:rsidRPr="00285833">
        <w:rPr>
          <w:snapToGrid w:val="0"/>
          <w:lang w:val="fr-CH"/>
        </w:rPr>
        <w:t>qualitatif fournis par</w:t>
      </w:r>
      <w:r w:rsidR="003B7821" w:rsidRPr="00285833">
        <w:rPr>
          <w:snapToGrid w:val="0"/>
          <w:lang w:val="fr-CH"/>
        </w:rPr>
        <w:t xml:space="preserve"> les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TWP</w:t>
      </w:r>
      <w:r w:rsidR="007E2CDB" w:rsidRPr="00285833">
        <w:rPr>
          <w:snapToGrid w:val="0"/>
          <w:lang w:val="fr-CH"/>
        </w:rPr>
        <w:t xml:space="preserve"> à leurs sessions tenues </w:t>
      </w:r>
      <w:r w:rsidR="003B7821" w:rsidRPr="00285833">
        <w:rPr>
          <w:snapToGrid w:val="0"/>
          <w:lang w:val="fr-CH"/>
        </w:rPr>
        <w:t>en</w:t>
      </w:r>
      <w:r w:rsidR="003B7821">
        <w:rPr>
          <w:snapToGrid w:val="0"/>
          <w:lang w:val="fr-CH"/>
        </w:rPr>
        <w:t> </w:t>
      </w:r>
      <w:r w:rsidR="003B7821" w:rsidRPr="00285833">
        <w:rPr>
          <w:snapToGrid w:val="0"/>
          <w:lang w:val="fr-CH"/>
        </w:rPr>
        <w:t>2019</w:t>
      </w:r>
      <w:r w:rsidR="007E2CDB" w:rsidRPr="00285833">
        <w:rPr>
          <w:snapToGrid w:val="0"/>
          <w:lang w:val="fr-CH"/>
        </w:rPr>
        <w:t xml:space="preserve"> pour expliquer comment la méthode peut être utilisée d</w:t>
      </w:r>
      <w:r w:rsidR="003B7821">
        <w:rPr>
          <w:snapToGrid w:val="0"/>
          <w:lang w:val="fr-CH"/>
        </w:rPr>
        <w:t>’</w:t>
      </w:r>
      <w:r w:rsidR="007E2CDB" w:rsidRPr="00285833">
        <w:rPr>
          <w:snapToGrid w:val="0"/>
          <w:lang w:val="fr-CH"/>
        </w:rPr>
        <w:t xml:space="preserve">une manière qui ne présente pas de risque pour les décisions sur la distinction, comme indiqué </w:t>
      </w:r>
      <w:r w:rsidR="007E2CDB" w:rsidRPr="00B23878">
        <w:rPr>
          <w:snapToGrid w:val="0"/>
          <w:lang w:val="fr-CH"/>
        </w:rPr>
        <w:t xml:space="preserve">au </w:t>
      </w:r>
      <w:r w:rsidR="003B7821" w:rsidRPr="00B23878">
        <w:rPr>
          <w:snapToGrid w:val="0"/>
          <w:lang w:val="fr-CH"/>
        </w:rPr>
        <w:t>paragraphe 1</w:t>
      </w:r>
      <w:r w:rsidR="007E2CDB" w:rsidRPr="00B23878">
        <w:rPr>
          <w:snapToGrid w:val="0"/>
          <w:lang w:val="fr-CH"/>
        </w:rPr>
        <w:t>3 du présent document</w:t>
      </w:r>
      <w:r w:rsidR="00B23878">
        <w:rPr>
          <w:snapToGrid w:val="0"/>
          <w:lang w:val="fr-CH"/>
        </w:rPr>
        <w:t> ;</w:t>
      </w:r>
      <w:bookmarkStart w:id="5" w:name="_GoBack"/>
      <w:bookmarkEnd w:id="5"/>
      <w:r w:rsidR="007E2CDB" w:rsidRPr="00B23878">
        <w:rPr>
          <w:snapToGrid w:val="0"/>
          <w:lang w:val="fr-CH"/>
        </w:rPr>
        <w:t xml:space="preserve"> et</w:t>
      </w:r>
    </w:p>
    <w:p w:rsidR="005B235D" w:rsidRPr="00B23878" w:rsidRDefault="005B235D" w:rsidP="0094406E">
      <w:pPr>
        <w:pStyle w:val="DecisionParagraphs"/>
        <w:rPr>
          <w:snapToGrid w:val="0"/>
          <w:lang w:val="fr-CH"/>
        </w:rPr>
      </w:pPr>
    </w:p>
    <w:p w:rsidR="005B235D" w:rsidRPr="00285833" w:rsidRDefault="0094406E" w:rsidP="007E2CDB">
      <w:pPr>
        <w:pStyle w:val="DecisionParagraphs"/>
        <w:tabs>
          <w:tab w:val="left" w:pos="5954"/>
        </w:tabs>
        <w:rPr>
          <w:snapToGrid w:val="0"/>
          <w:lang w:val="fr-CH"/>
        </w:rPr>
      </w:pPr>
      <w:r w:rsidRPr="00B23878">
        <w:rPr>
          <w:snapToGrid w:val="0"/>
          <w:lang w:val="fr-CH"/>
        </w:rPr>
        <w:tab/>
      </w:r>
      <w:r w:rsidR="007E2CDB" w:rsidRPr="00B23878">
        <w:rPr>
          <w:snapToGrid w:val="0"/>
          <w:lang w:val="fr-CH"/>
        </w:rPr>
        <w:t>b)</w:t>
      </w:r>
      <w:r w:rsidR="007E2CDB" w:rsidRPr="00B23878">
        <w:rPr>
          <w:snapToGrid w:val="0"/>
          <w:lang w:val="fr-CH"/>
        </w:rPr>
        <w:tab/>
        <w:t>la proposition de modification des conseils figurant dans la note indicative</w:t>
      </w:r>
      <w:r w:rsidR="00235DF8" w:rsidRPr="00B23878">
        <w:rPr>
          <w:snapToGrid w:val="0"/>
          <w:lang w:val="fr-CH"/>
        </w:rPr>
        <w:t> </w:t>
      </w:r>
      <w:r w:rsidR="007E2CDB" w:rsidRPr="00B23878">
        <w:rPr>
          <w:snapToGrid w:val="0"/>
          <w:lang w:val="fr-CH"/>
        </w:rPr>
        <w:t>18 (GN</w:t>
      </w:r>
      <w:r w:rsidR="00235DF8" w:rsidRPr="00B23878">
        <w:rPr>
          <w:snapToGrid w:val="0"/>
          <w:lang w:val="fr-CH"/>
        </w:rPr>
        <w:t> </w:t>
      </w:r>
      <w:r w:rsidR="007E2CDB" w:rsidRPr="00B23878">
        <w:rPr>
          <w:snapToGrid w:val="0"/>
          <w:lang w:val="fr-CH"/>
        </w:rPr>
        <w:t>18) du document</w:t>
      </w:r>
      <w:r w:rsidR="00235DF8" w:rsidRPr="00B23878">
        <w:rPr>
          <w:snapToGrid w:val="0"/>
          <w:lang w:val="fr-CH"/>
        </w:rPr>
        <w:t> </w:t>
      </w:r>
      <w:r w:rsidR="007E2CDB" w:rsidRPr="00B23878">
        <w:rPr>
          <w:snapToGrid w:val="0"/>
          <w:lang w:val="fr-CH"/>
        </w:rPr>
        <w:t>TGP/7 afin de permettre l</w:t>
      </w:r>
      <w:r w:rsidR="003B7821" w:rsidRPr="00B23878">
        <w:rPr>
          <w:snapToGrid w:val="0"/>
          <w:lang w:val="fr-CH"/>
        </w:rPr>
        <w:t>’</w:t>
      </w:r>
      <w:r w:rsidR="007E2CDB" w:rsidRPr="00B23878">
        <w:rPr>
          <w:snapToGrid w:val="0"/>
          <w:lang w:val="fr-CH"/>
        </w:rPr>
        <w:t>exclusion d</w:t>
      </w:r>
      <w:r w:rsidR="003B7821" w:rsidRPr="00B23878">
        <w:rPr>
          <w:snapToGrid w:val="0"/>
          <w:lang w:val="fr-CH"/>
        </w:rPr>
        <w:t>’</w:t>
      </w:r>
      <w:r w:rsidR="007E2CDB" w:rsidRPr="00B23878">
        <w:rPr>
          <w:snapToGrid w:val="0"/>
          <w:lang w:val="fr-CH"/>
        </w:rPr>
        <w:t>un caractère de l</w:t>
      </w:r>
      <w:r w:rsidR="003B7821" w:rsidRPr="00B23878">
        <w:rPr>
          <w:snapToGrid w:val="0"/>
          <w:lang w:val="fr-CH"/>
        </w:rPr>
        <w:t>’</w:t>
      </w:r>
      <w:r w:rsidR="007E2CDB" w:rsidRPr="00B23878">
        <w:rPr>
          <w:snapToGrid w:val="0"/>
          <w:lang w:val="fr-CH"/>
        </w:rPr>
        <w:t>observation sur la base du niveau d</w:t>
      </w:r>
      <w:r w:rsidR="003B7821" w:rsidRPr="00B23878">
        <w:rPr>
          <w:snapToGrid w:val="0"/>
          <w:lang w:val="fr-CH"/>
        </w:rPr>
        <w:t>’</w:t>
      </w:r>
      <w:r w:rsidR="007E2CDB" w:rsidRPr="00B23878">
        <w:rPr>
          <w:snapToGrid w:val="0"/>
          <w:lang w:val="fr-CH"/>
        </w:rPr>
        <w:t>expression d</w:t>
      </w:r>
      <w:r w:rsidR="003B7821" w:rsidRPr="00B23878">
        <w:rPr>
          <w:snapToGrid w:val="0"/>
          <w:lang w:val="fr-CH"/>
        </w:rPr>
        <w:t>’</w:t>
      </w:r>
      <w:r w:rsidR="007E2CDB" w:rsidRPr="00B23878">
        <w:rPr>
          <w:snapToGrid w:val="0"/>
          <w:lang w:val="fr-CH"/>
        </w:rPr>
        <w:t>un caractère pseudo</w:t>
      </w:r>
      <w:r w:rsidR="003B7821" w:rsidRPr="00B23878">
        <w:rPr>
          <w:snapToGrid w:val="0"/>
          <w:lang w:val="fr-CH"/>
        </w:rPr>
        <w:t>-</w:t>
      </w:r>
      <w:r w:rsidR="007E2CDB" w:rsidRPr="00B23878">
        <w:rPr>
          <w:snapToGrid w:val="0"/>
          <w:lang w:val="fr-CH"/>
        </w:rPr>
        <w:t>qualitatif ou quantitatif précédent, comme indiqué au paragraphe</w:t>
      </w:r>
      <w:r w:rsidR="00285833" w:rsidRPr="00B23878">
        <w:rPr>
          <w:snapToGrid w:val="0"/>
          <w:lang w:val="fr-CH"/>
        </w:rPr>
        <w:t> </w:t>
      </w:r>
      <w:r w:rsidR="007E2CDB" w:rsidRPr="00B23878">
        <w:rPr>
          <w:snapToGrid w:val="0"/>
          <w:lang w:val="fr-CH"/>
        </w:rPr>
        <w:t>14 du présent document.</w:t>
      </w:r>
    </w:p>
    <w:p w:rsidR="005B235D" w:rsidRPr="007E2CDB" w:rsidRDefault="005B235D" w:rsidP="0094406E">
      <w:pPr>
        <w:rPr>
          <w:lang w:val="fr-CH"/>
        </w:rPr>
      </w:pPr>
    </w:p>
    <w:p w:rsidR="005B235D" w:rsidRPr="007E2CDB" w:rsidRDefault="005B235D" w:rsidP="00050E16">
      <w:pPr>
        <w:rPr>
          <w:lang w:val="fr-CH"/>
        </w:rPr>
      </w:pPr>
    </w:p>
    <w:p w:rsidR="005B235D" w:rsidRPr="00285833" w:rsidRDefault="005B235D" w:rsidP="00050E16">
      <w:pPr>
        <w:rPr>
          <w:lang w:val="fr-CH"/>
        </w:rPr>
      </w:pPr>
    </w:p>
    <w:p w:rsidR="00050E16" w:rsidRPr="00285833" w:rsidRDefault="007E2CDB" w:rsidP="007E2CDB">
      <w:pPr>
        <w:jc w:val="right"/>
      </w:pPr>
      <w:r w:rsidRPr="00285833">
        <w:rPr>
          <w:lang w:val="fr-CH"/>
        </w:rPr>
        <w:t>[Fin du document]</w:t>
      </w:r>
    </w:p>
    <w:sectPr w:rsidR="00050E16" w:rsidRPr="00285833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DF2" w:rsidRDefault="00915DF2" w:rsidP="006655D3">
      <w:r>
        <w:separator/>
      </w:r>
    </w:p>
    <w:p w:rsidR="00915DF2" w:rsidRDefault="00915DF2" w:rsidP="006655D3"/>
    <w:p w:rsidR="00915DF2" w:rsidRDefault="00915DF2" w:rsidP="006655D3"/>
  </w:endnote>
  <w:endnote w:type="continuationSeparator" w:id="0">
    <w:p w:rsidR="00915DF2" w:rsidRDefault="00915DF2" w:rsidP="006655D3">
      <w:r>
        <w:separator/>
      </w:r>
    </w:p>
    <w:p w:rsidR="00915DF2" w:rsidRPr="00294751" w:rsidRDefault="00915DF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15DF2" w:rsidRPr="00294751" w:rsidRDefault="00915DF2" w:rsidP="006655D3">
      <w:pPr>
        <w:rPr>
          <w:lang w:val="fr-FR"/>
        </w:rPr>
      </w:pPr>
    </w:p>
    <w:p w:rsidR="00915DF2" w:rsidRPr="00294751" w:rsidRDefault="00915DF2" w:rsidP="006655D3">
      <w:pPr>
        <w:rPr>
          <w:lang w:val="fr-FR"/>
        </w:rPr>
      </w:pPr>
    </w:p>
  </w:endnote>
  <w:endnote w:type="continuationNotice" w:id="1">
    <w:p w:rsidR="00915DF2" w:rsidRPr="00294751" w:rsidRDefault="00915DF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15DF2" w:rsidRPr="00294751" w:rsidRDefault="00915DF2" w:rsidP="006655D3">
      <w:pPr>
        <w:rPr>
          <w:lang w:val="fr-FR"/>
        </w:rPr>
      </w:pPr>
    </w:p>
    <w:p w:rsidR="00915DF2" w:rsidRPr="00294751" w:rsidRDefault="00915DF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F8" w:rsidRDefault="00235D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F8" w:rsidRDefault="00235DF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F8" w:rsidRDefault="00235D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DF2" w:rsidRDefault="00915DF2" w:rsidP="006655D3">
      <w:r>
        <w:separator/>
      </w:r>
    </w:p>
  </w:footnote>
  <w:footnote w:type="continuationSeparator" w:id="0">
    <w:p w:rsidR="00915DF2" w:rsidRDefault="00915DF2" w:rsidP="006655D3">
      <w:r>
        <w:separator/>
      </w:r>
    </w:p>
  </w:footnote>
  <w:footnote w:type="continuationNotice" w:id="1">
    <w:p w:rsidR="00915DF2" w:rsidRPr="00AB530F" w:rsidRDefault="00915DF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F8" w:rsidRDefault="00235D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D743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TC/55</w:t>
    </w:r>
    <w:r w:rsidR="00667404">
      <w:rPr>
        <w:rStyle w:val="PageNumber"/>
        <w:lang w:val="en-US"/>
      </w:rPr>
      <w:t>/</w:t>
    </w:r>
    <w:r w:rsidR="001031C0">
      <w:rPr>
        <w:rStyle w:val="PageNumber"/>
        <w:lang w:val="en-US"/>
      </w:rPr>
      <w:t>12 Add.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2387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F8" w:rsidRDefault="00235D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915DF2"/>
    <w:rsid w:val="00000F72"/>
    <w:rsid w:val="00010CF3"/>
    <w:rsid w:val="00011E27"/>
    <w:rsid w:val="000148BC"/>
    <w:rsid w:val="00023CB0"/>
    <w:rsid w:val="00024AB8"/>
    <w:rsid w:val="00025F28"/>
    <w:rsid w:val="00030854"/>
    <w:rsid w:val="00036028"/>
    <w:rsid w:val="00044642"/>
    <w:rsid w:val="000446B9"/>
    <w:rsid w:val="00047E21"/>
    <w:rsid w:val="00050E16"/>
    <w:rsid w:val="00085505"/>
    <w:rsid w:val="000C4E25"/>
    <w:rsid w:val="000C7021"/>
    <w:rsid w:val="000D3722"/>
    <w:rsid w:val="000D6BBC"/>
    <w:rsid w:val="000D7780"/>
    <w:rsid w:val="000E636A"/>
    <w:rsid w:val="000F2F11"/>
    <w:rsid w:val="00102B4A"/>
    <w:rsid w:val="001031C0"/>
    <w:rsid w:val="00105929"/>
    <w:rsid w:val="00110C36"/>
    <w:rsid w:val="001131D5"/>
    <w:rsid w:val="00141DB8"/>
    <w:rsid w:val="00172084"/>
    <w:rsid w:val="00172517"/>
    <w:rsid w:val="0017474A"/>
    <w:rsid w:val="001758C6"/>
    <w:rsid w:val="00182B99"/>
    <w:rsid w:val="001E74BE"/>
    <w:rsid w:val="0021332C"/>
    <w:rsid w:val="00213982"/>
    <w:rsid w:val="00227AC8"/>
    <w:rsid w:val="00235DF8"/>
    <w:rsid w:val="0024416D"/>
    <w:rsid w:val="00271911"/>
    <w:rsid w:val="002800A0"/>
    <w:rsid w:val="002801B3"/>
    <w:rsid w:val="00281060"/>
    <w:rsid w:val="00285833"/>
    <w:rsid w:val="002940E8"/>
    <w:rsid w:val="00294751"/>
    <w:rsid w:val="002A045E"/>
    <w:rsid w:val="002A6E50"/>
    <w:rsid w:val="002B4298"/>
    <w:rsid w:val="002C256A"/>
    <w:rsid w:val="00304827"/>
    <w:rsid w:val="00305A7F"/>
    <w:rsid w:val="00306A4C"/>
    <w:rsid w:val="003152FE"/>
    <w:rsid w:val="00327436"/>
    <w:rsid w:val="00344BD6"/>
    <w:rsid w:val="0035528D"/>
    <w:rsid w:val="00361821"/>
    <w:rsid w:val="00361E9E"/>
    <w:rsid w:val="003B7821"/>
    <w:rsid w:val="003C7FBE"/>
    <w:rsid w:val="003D227C"/>
    <w:rsid w:val="003D2B4D"/>
    <w:rsid w:val="003E0332"/>
    <w:rsid w:val="00444A88"/>
    <w:rsid w:val="00474DA4"/>
    <w:rsid w:val="00476B4D"/>
    <w:rsid w:val="004805FA"/>
    <w:rsid w:val="00487C2A"/>
    <w:rsid w:val="004935D2"/>
    <w:rsid w:val="004B1215"/>
    <w:rsid w:val="004B699C"/>
    <w:rsid w:val="004D047D"/>
    <w:rsid w:val="004D657C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806AA"/>
    <w:rsid w:val="005A400A"/>
    <w:rsid w:val="005B235D"/>
    <w:rsid w:val="005E1CF3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1FFA"/>
    <w:rsid w:val="006C224E"/>
    <w:rsid w:val="006D7435"/>
    <w:rsid w:val="006D780A"/>
    <w:rsid w:val="006F6585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E2CDB"/>
    <w:rsid w:val="007F498F"/>
    <w:rsid w:val="007F513B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B609B"/>
    <w:rsid w:val="008B6E60"/>
    <w:rsid w:val="008C0970"/>
    <w:rsid w:val="008D0BC5"/>
    <w:rsid w:val="008D2CF7"/>
    <w:rsid w:val="008D7E86"/>
    <w:rsid w:val="00900C26"/>
    <w:rsid w:val="0090197F"/>
    <w:rsid w:val="00906DDC"/>
    <w:rsid w:val="00915DF2"/>
    <w:rsid w:val="00926B80"/>
    <w:rsid w:val="00934E09"/>
    <w:rsid w:val="00936253"/>
    <w:rsid w:val="00940D46"/>
    <w:rsid w:val="0094406E"/>
    <w:rsid w:val="00952DD4"/>
    <w:rsid w:val="0095383A"/>
    <w:rsid w:val="00965AE7"/>
    <w:rsid w:val="00970FED"/>
    <w:rsid w:val="0099223E"/>
    <w:rsid w:val="00992D82"/>
    <w:rsid w:val="00997029"/>
    <w:rsid w:val="009A7339"/>
    <w:rsid w:val="009B440E"/>
    <w:rsid w:val="009D690D"/>
    <w:rsid w:val="009E65B6"/>
    <w:rsid w:val="00A212BE"/>
    <w:rsid w:val="00A24C10"/>
    <w:rsid w:val="00A37C2B"/>
    <w:rsid w:val="00A42AC3"/>
    <w:rsid w:val="00A430CF"/>
    <w:rsid w:val="00A43F7B"/>
    <w:rsid w:val="00A54309"/>
    <w:rsid w:val="00A91720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23878"/>
    <w:rsid w:val="00B324D4"/>
    <w:rsid w:val="00B46575"/>
    <w:rsid w:val="00B61777"/>
    <w:rsid w:val="00B70727"/>
    <w:rsid w:val="00B7634F"/>
    <w:rsid w:val="00B84BBD"/>
    <w:rsid w:val="00B85B68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67881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72930"/>
    <w:rsid w:val="00D91203"/>
    <w:rsid w:val="00D95174"/>
    <w:rsid w:val="00DA4973"/>
    <w:rsid w:val="00DA6F36"/>
    <w:rsid w:val="00DB31CC"/>
    <w:rsid w:val="00DB596E"/>
    <w:rsid w:val="00DB7773"/>
    <w:rsid w:val="00DC00EA"/>
    <w:rsid w:val="00DC3802"/>
    <w:rsid w:val="00DD0DD1"/>
    <w:rsid w:val="00E07D87"/>
    <w:rsid w:val="00E32F7E"/>
    <w:rsid w:val="00E5267B"/>
    <w:rsid w:val="00E55590"/>
    <w:rsid w:val="00E63C0E"/>
    <w:rsid w:val="00E72D49"/>
    <w:rsid w:val="00E7593C"/>
    <w:rsid w:val="00E7678A"/>
    <w:rsid w:val="00E935F1"/>
    <w:rsid w:val="00E94A81"/>
    <w:rsid w:val="00EA1FFB"/>
    <w:rsid w:val="00EB048E"/>
    <w:rsid w:val="00EB07F5"/>
    <w:rsid w:val="00EB4E9C"/>
    <w:rsid w:val="00EE34DF"/>
    <w:rsid w:val="00EF2F89"/>
    <w:rsid w:val="00F03E98"/>
    <w:rsid w:val="00F1237A"/>
    <w:rsid w:val="00F22CBD"/>
    <w:rsid w:val="00F272F1"/>
    <w:rsid w:val="00F32D33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4422E88C"/>
  <w15:docId w15:val="{520272E0-A811-4D34-9346-B722C0CDE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172517"/>
    <w:pPr>
      <w:keepNext/>
      <w:jc w:val="both"/>
      <w:outlineLvl w:val="0"/>
    </w:pPr>
    <w:rPr>
      <w:rFonts w:ascii="Arial" w:hAnsi="Arial"/>
      <w:caps/>
      <w:snapToGrid w:val="0"/>
      <w:lang w:val="fr-CH"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DB31CC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7729</Characters>
  <Application>Microsoft Office Word</Application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TC/55</vt:lpstr>
      <vt:lpstr>TC/55</vt:lpstr>
    </vt:vector>
  </TitlesOfParts>
  <Company>UPOV</Company>
  <LinksUpToDate>false</LinksUpToDate>
  <CharactersWithSpaces>9076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TC/55</dc:title>
  <dc:creator>REZENDE TAVEIRA Leontino</dc:creator>
  <cp:lastModifiedBy>MAY Jessica</cp:lastModifiedBy>
  <cp:revision>6</cp:revision>
  <cp:lastPrinted>2019-10-01T14:21:00Z</cp:lastPrinted>
  <dcterms:created xsi:type="dcterms:W3CDTF">2019-10-15T08:47:00Z</dcterms:created>
  <dcterms:modified xsi:type="dcterms:W3CDTF">2019-10-15T09:13:00Z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4ffd194e-8eed-487e-87a3-7c505bebec92</vt:lpwstr>
  </property>
</Properties>
</file>