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1"/>
        <w:gridCol w:w="3116"/>
      </w:tblGrid>
      <w:tr w:rsidR="001314CC" w:rsidRPr="0049135F" w:rsidTr="00892A8A">
        <w:tc>
          <w:tcPr>
            <w:tcW w:w="6522" w:type="dxa"/>
          </w:tcPr>
          <w:p w:rsidR="001314CC" w:rsidRPr="0049135F" w:rsidRDefault="001314CC" w:rsidP="00892A8A">
            <w:pPr>
              <w:rPr>
                <w:lang w:val="fr-FR"/>
              </w:rPr>
            </w:pPr>
            <w:bookmarkStart w:id="0" w:name="TitleOfDoc"/>
            <w:bookmarkEnd w:id="0"/>
            <w:r w:rsidRPr="0049135F">
              <w:rPr>
                <w:noProof/>
              </w:rPr>
              <w:drawing>
                <wp:inline distT="0" distB="0" distL="0" distR="0" wp14:anchorId="08F30CF0" wp14:editId="6F440BA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314CC" w:rsidRPr="0049135F" w:rsidRDefault="001314CC" w:rsidP="00892A8A">
            <w:pPr>
              <w:pStyle w:val="Lettrine"/>
              <w:rPr>
                <w:lang w:val="fr-FR"/>
              </w:rPr>
            </w:pPr>
            <w:r w:rsidRPr="0049135F">
              <w:rPr>
                <w:lang w:val="fr-FR"/>
              </w:rPr>
              <w:t>F</w:t>
            </w:r>
          </w:p>
        </w:tc>
      </w:tr>
      <w:tr w:rsidR="001314CC" w:rsidRPr="005D2258" w:rsidTr="00892A8A">
        <w:trPr>
          <w:trHeight w:val="219"/>
        </w:trPr>
        <w:tc>
          <w:tcPr>
            <w:tcW w:w="6522" w:type="dxa"/>
          </w:tcPr>
          <w:p w:rsidR="001314CC" w:rsidRPr="0049135F" w:rsidRDefault="001314CC" w:rsidP="00892A8A">
            <w:pPr>
              <w:pStyle w:val="upove"/>
              <w:rPr>
                <w:lang w:val="fr-FR"/>
              </w:rPr>
            </w:pPr>
            <w:r w:rsidRPr="0049135F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1314CC" w:rsidRPr="0049135F" w:rsidRDefault="001314CC" w:rsidP="00892A8A">
            <w:pPr>
              <w:rPr>
                <w:lang w:val="fr-FR"/>
              </w:rPr>
            </w:pPr>
          </w:p>
        </w:tc>
      </w:tr>
    </w:tbl>
    <w:p w:rsidR="001314CC" w:rsidRPr="0049135F" w:rsidRDefault="001314CC" w:rsidP="001314CC">
      <w:pPr>
        <w:rPr>
          <w:lang w:val="fr-FR"/>
        </w:rPr>
      </w:pPr>
    </w:p>
    <w:p w:rsidR="001314CC" w:rsidRPr="0049135F" w:rsidRDefault="001314CC" w:rsidP="001314C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1"/>
        <w:gridCol w:w="3126"/>
      </w:tblGrid>
      <w:tr w:rsidR="001314CC" w:rsidRPr="005D2258" w:rsidTr="00892A8A">
        <w:tc>
          <w:tcPr>
            <w:tcW w:w="6512" w:type="dxa"/>
          </w:tcPr>
          <w:p w:rsidR="001314CC" w:rsidRPr="0049135F" w:rsidRDefault="001314CC" w:rsidP="00892A8A">
            <w:pPr>
              <w:pStyle w:val="Sessiontc"/>
              <w:spacing w:line="240" w:lineRule="auto"/>
              <w:rPr>
                <w:lang w:val="fr-FR"/>
              </w:rPr>
            </w:pPr>
            <w:r w:rsidRPr="0049135F">
              <w:rPr>
                <w:lang w:val="fr-FR"/>
              </w:rPr>
              <w:t>Comité technique</w:t>
            </w:r>
          </w:p>
          <w:p w:rsidR="001314CC" w:rsidRPr="0049135F" w:rsidRDefault="001314CC" w:rsidP="00892A8A">
            <w:pPr>
              <w:pStyle w:val="Sessiontcplacedate"/>
              <w:rPr>
                <w:sz w:val="22"/>
                <w:lang w:val="fr-FR"/>
              </w:rPr>
            </w:pPr>
            <w:r w:rsidRPr="0049135F">
              <w:rPr>
                <w:lang w:val="fr-FR"/>
              </w:rPr>
              <w:t>Cinquante</w:t>
            </w:r>
            <w:r w:rsidR="00771BA0">
              <w:rPr>
                <w:lang w:val="fr-FR"/>
              </w:rPr>
              <w:t>-</w:t>
            </w:r>
            <w:r w:rsidRPr="0049135F">
              <w:rPr>
                <w:lang w:val="fr-FR"/>
              </w:rPr>
              <w:t>cinqu</w:t>
            </w:r>
            <w:r w:rsidR="00771BA0">
              <w:rPr>
                <w:lang w:val="fr-FR"/>
              </w:rPr>
              <w:t>ième session</w:t>
            </w:r>
            <w:r w:rsidRPr="0049135F">
              <w:rPr>
                <w:lang w:val="fr-FR"/>
              </w:rPr>
              <w:br/>
              <w:t>Genève, 28 et 29 octobre 2019</w:t>
            </w:r>
          </w:p>
        </w:tc>
        <w:tc>
          <w:tcPr>
            <w:tcW w:w="3127" w:type="dxa"/>
          </w:tcPr>
          <w:p w:rsidR="001314CC" w:rsidRPr="0049135F" w:rsidRDefault="001314CC" w:rsidP="00892A8A">
            <w:pPr>
              <w:pStyle w:val="Doccode"/>
              <w:rPr>
                <w:lang w:val="fr-FR"/>
              </w:rPr>
            </w:pPr>
            <w:r w:rsidRPr="0049135F">
              <w:rPr>
                <w:lang w:val="fr-FR"/>
              </w:rPr>
              <w:t>TC/55/12</w:t>
            </w:r>
          </w:p>
          <w:p w:rsidR="001314CC" w:rsidRPr="0049135F" w:rsidRDefault="001314CC" w:rsidP="00892A8A">
            <w:pPr>
              <w:pStyle w:val="Docoriginal"/>
              <w:rPr>
                <w:lang w:val="fr-FR"/>
              </w:rPr>
            </w:pPr>
            <w:r w:rsidRPr="0049135F">
              <w:rPr>
                <w:lang w:val="fr-FR"/>
              </w:rPr>
              <w:t>Original</w:t>
            </w:r>
            <w:r w:rsidR="00771BA0">
              <w:rPr>
                <w:lang w:val="fr-FR"/>
              </w:rPr>
              <w:t> :</w:t>
            </w:r>
            <w:r w:rsidRPr="0049135F">
              <w:rPr>
                <w:b w:val="0"/>
                <w:spacing w:val="0"/>
                <w:lang w:val="fr-FR"/>
              </w:rPr>
              <w:t xml:space="preserve"> anglais</w:t>
            </w:r>
          </w:p>
          <w:p w:rsidR="001314CC" w:rsidRPr="0049135F" w:rsidRDefault="001314CC" w:rsidP="00743A8D">
            <w:pPr>
              <w:pStyle w:val="Docoriginal"/>
              <w:rPr>
                <w:lang w:val="fr-FR"/>
              </w:rPr>
            </w:pPr>
            <w:r w:rsidRPr="0049135F">
              <w:rPr>
                <w:lang w:val="fr-FR"/>
              </w:rPr>
              <w:t>Date</w:t>
            </w:r>
            <w:r w:rsidR="00771BA0">
              <w:rPr>
                <w:lang w:val="fr-FR"/>
              </w:rPr>
              <w:t> :</w:t>
            </w:r>
            <w:r w:rsidRPr="0049135F">
              <w:rPr>
                <w:b w:val="0"/>
                <w:spacing w:val="0"/>
                <w:lang w:val="fr-FR"/>
              </w:rPr>
              <w:t xml:space="preserve"> </w:t>
            </w:r>
            <w:r w:rsidR="00743A8D">
              <w:rPr>
                <w:b w:val="0"/>
                <w:spacing w:val="0"/>
                <w:lang w:val="fr-FR"/>
              </w:rPr>
              <w:t>5 septembre 2019</w:t>
            </w:r>
          </w:p>
        </w:tc>
      </w:tr>
    </w:tbl>
    <w:p w:rsidR="00FA628E" w:rsidRPr="0049135F" w:rsidRDefault="001314CC" w:rsidP="00A45C3B">
      <w:pPr>
        <w:pStyle w:val="Titleofdoc0"/>
        <w:rPr>
          <w:lang w:val="fr-FR"/>
        </w:rPr>
      </w:pPr>
      <w:r w:rsidRPr="0049135F">
        <w:rPr>
          <w:lang w:val="fr-FR"/>
        </w:rPr>
        <w:t>caractères applicables à certaines variétés seulement</w:t>
      </w:r>
    </w:p>
    <w:p w:rsidR="001314CC" w:rsidRPr="0049135F" w:rsidRDefault="003B6DA6" w:rsidP="001314CC">
      <w:pPr>
        <w:pStyle w:val="preparedby1"/>
        <w:jc w:val="left"/>
        <w:rPr>
          <w:lang w:val="fr-FR"/>
        </w:rPr>
      </w:pPr>
      <w:r>
        <w:rPr>
          <w:lang w:val="fr-FR"/>
        </w:rPr>
        <w:t xml:space="preserve">Document </w:t>
      </w:r>
      <w:r w:rsidR="001314CC" w:rsidRPr="0049135F">
        <w:rPr>
          <w:lang w:val="fr-FR"/>
        </w:rPr>
        <w:t>établi par le Bureau de l</w:t>
      </w:r>
      <w:r w:rsidR="00771BA0">
        <w:rPr>
          <w:lang w:val="fr-FR"/>
        </w:rPr>
        <w:t>’</w:t>
      </w:r>
      <w:r w:rsidR="001314CC" w:rsidRPr="0049135F">
        <w:rPr>
          <w:lang w:val="fr-FR"/>
        </w:rPr>
        <w:t>Union</w:t>
      </w:r>
    </w:p>
    <w:p w:rsidR="001314CC" w:rsidRPr="0049135F" w:rsidRDefault="001314CC" w:rsidP="001314CC">
      <w:pPr>
        <w:pStyle w:val="Disclaimer"/>
        <w:rPr>
          <w:lang w:val="fr-FR"/>
        </w:rPr>
      </w:pPr>
      <w:r w:rsidRPr="0049135F">
        <w:rPr>
          <w:lang w:val="fr-FR"/>
        </w:rPr>
        <w:t>Avertissement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le présent document ne représente pas les principes ou les orientations de l</w:t>
      </w:r>
      <w:r w:rsidR="00771BA0">
        <w:rPr>
          <w:lang w:val="fr-FR"/>
        </w:rPr>
        <w:t>’</w:t>
      </w:r>
      <w:r w:rsidRPr="0049135F">
        <w:rPr>
          <w:lang w:val="fr-FR"/>
        </w:rPr>
        <w:t>UPOV</w:t>
      </w:r>
    </w:p>
    <w:p w:rsidR="00FA628E" w:rsidRPr="00A4183E" w:rsidRDefault="001314CC" w:rsidP="00F609A3">
      <w:pPr>
        <w:pStyle w:val="Heading1"/>
        <w:rPr>
          <w:snapToGrid w:val="0"/>
          <w:lang w:val="fr-FR"/>
        </w:rPr>
      </w:pPr>
      <w:bookmarkStart w:id="1" w:name="_Toc18418623"/>
      <w:r w:rsidRPr="00A4183E">
        <w:rPr>
          <w:snapToGrid w:val="0"/>
          <w:lang w:val="fr-FR"/>
        </w:rPr>
        <w:t>résumé</w:t>
      </w:r>
      <w:bookmarkEnd w:id="1"/>
    </w:p>
    <w:p w:rsidR="00FA628E" w:rsidRPr="00A4183E" w:rsidRDefault="00FA628E" w:rsidP="00FA628E">
      <w:pPr>
        <w:rPr>
          <w:snapToGrid w:val="0"/>
          <w:lang w:val="fr-FR"/>
        </w:rPr>
      </w:pPr>
    </w:p>
    <w:p w:rsidR="00FA628E" w:rsidRPr="00A4183E" w:rsidRDefault="00FA628E" w:rsidP="00FA628E">
      <w:pPr>
        <w:rPr>
          <w:snapToGrid w:val="0"/>
          <w:lang w:val="fr-FR"/>
        </w:rPr>
      </w:pPr>
      <w:r w:rsidRPr="00A4183E">
        <w:rPr>
          <w:snapToGrid w:val="0"/>
          <w:lang w:val="fr-FR"/>
        </w:rPr>
        <w:fldChar w:fldCharType="begin"/>
      </w:r>
      <w:r w:rsidRPr="00A4183E">
        <w:rPr>
          <w:snapToGrid w:val="0"/>
          <w:lang w:val="fr-FR"/>
        </w:rPr>
        <w:instrText xml:space="preserve"> AUTONUM  </w:instrText>
      </w:r>
      <w:r w:rsidRPr="00A4183E">
        <w:rPr>
          <w:snapToGrid w:val="0"/>
          <w:lang w:val="fr-FR"/>
        </w:rPr>
        <w:fldChar w:fldCharType="end"/>
      </w:r>
      <w:r w:rsidRPr="00A4183E">
        <w:rPr>
          <w:snapToGrid w:val="0"/>
          <w:lang w:val="fr-FR"/>
        </w:rPr>
        <w:tab/>
      </w:r>
      <w:r w:rsidR="001314CC" w:rsidRPr="00A4183E">
        <w:rPr>
          <w:snapToGrid w:val="0"/>
          <w:lang w:val="fr-FR"/>
        </w:rPr>
        <w:t xml:space="preserve">Le présent document a pour objet de présenter une proposition de modification des </w:t>
      </w:r>
      <w:r w:rsidR="009D3AB3" w:rsidRPr="00A4183E">
        <w:rPr>
          <w:snapToGrid w:val="0"/>
          <w:lang w:val="fr-FR"/>
        </w:rPr>
        <w:t>conseils</w:t>
      </w:r>
      <w:r w:rsidR="001314CC" w:rsidRPr="00A4183E">
        <w:rPr>
          <w:snapToGrid w:val="0"/>
          <w:lang w:val="fr-FR"/>
        </w:rPr>
        <w:t xml:space="preserve"> figurant actuellement dans le</w:t>
      </w:r>
      <w:r w:rsidRPr="00A4183E">
        <w:rPr>
          <w:snapToGrid w:val="0"/>
          <w:lang w:val="fr-FR"/>
        </w:rPr>
        <w:t xml:space="preserve"> </w:t>
      </w:r>
      <w:r w:rsidR="00771BA0" w:rsidRPr="00A4183E">
        <w:rPr>
          <w:snapToGrid w:val="0"/>
          <w:lang w:val="fr-FR"/>
        </w:rPr>
        <w:t>document</w:t>
      </w:r>
      <w:r w:rsidR="00373552" w:rsidRPr="00A4183E">
        <w:rPr>
          <w:snapToGrid w:val="0"/>
          <w:lang w:val="fr-FR"/>
        </w:rPr>
        <w:t> </w:t>
      </w:r>
      <w:r w:rsidR="00771BA0" w:rsidRPr="00A4183E">
        <w:rPr>
          <w:snapToGrid w:val="0"/>
          <w:lang w:val="fr-FR"/>
        </w:rPr>
        <w:t>TG</w:t>
      </w:r>
      <w:r w:rsidRPr="00A4183E">
        <w:rPr>
          <w:snapToGrid w:val="0"/>
          <w:lang w:val="fr-FR"/>
        </w:rPr>
        <w:t>P/7 “</w:t>
      </w:r>
      <w:r w:rsidR="001314CC" w:rsidRPr="00A4183E">
        <w:rPr>
          <w:snapToGrid w:val="0"/>
          <w:lang w:val="fr-FR"/>
        </w:rPr>
        <w:t>Élaboration des principes directeurs d</w:t>
      </w:r>
      <w:r w:rsidR="00771BA0" w:rsidRPr="00A4183E">
        <w:rPr>
          <w:snapToGrid w:val="0"/>
          <w:lang w:val="fr-FR"/>
        </w:rPr>
        <w:t>’</w:t>
      </w:r>
      <w:r w:rsidR="001314CC" w:rsidRPr="00A4183E">
        <w:rPr>
          <w:snapToGrid w:val="0"/>
          <w:lang w:val="fr-FR"/>
        </w:rPr>
        <w:t>examen</w:t>
      </w:r>
      <w:r w:rsidRPr="00A4183E">
        <w:rPr>
          <w:snapToGrid w:val="0"/>
          <w:lang w:val="fr-FR"/>
        </w:rPr>
        <w:t xml:space="preserve">” </w:t>
      </w:r>
      <w:r w:rsidR="00A854B8" w:rsidRPr="00A4183E">
        <w:rPr>
          <w:rFonts w:cs="Arial"/>
          <w:bCs/>
          <w:snapToGrid w:val="0"/>
          <w:lang w:val="fr-FR"/>
        </w:rPr>
        <w:t>afin de permettre l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exclusion d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un caractère de l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observation sur la base du niveau d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expression d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un caractère pseudo</w:t>
      </w:r>
      <w:r w:rsidR="00771BA0" w:rsidRPr="00A4183E">
        <w:rPr>
          <w:rFonts w:cs="Arial"/>
          <w:bCs/>
          <w:snapToGrid w:val="0"/>
          <w:lang w:val="fr-FR"/>
        </w:rPr>
        <w:t>-</w:t>
      </w:r>
      <w:r w:rsidR="00A854B8" w:rsidRPr="00A4183E">
        <w:rPr>
          <w:rFonts w:cs="Arial"/>
          <w:bCs/>
          <w:snapToGrid w:val="0"/>
          <w:lang w:val="fr-FR"/>
        </w:rPr>
        <w:t>qualitatif ou quantitatif précédent</w:t>
      </w:r>
      <w:r w:rsidRPr="00A4183E">
        <w:rPr>
          <w:snapToGrid w:val="0"/>
          <w:lang w:val="fr-FR"/>
        </w:rPr>
        <w:t>.</w:t>
      </w:r>
    </w:p>
    <w:p w:rsidR="00FA628E" w:rsidRPr="00A4183E" w:rsidRDefault="00FA628E" w:rsidP="00FA628E">
      <w:pPr>
        <w:tabs>
          <w:tab w:val="left" w:pos="567"/>
          <w:tab w:val="left" w:pos="1134"/>
        </w:tabs>
        <w:rPr>
          <w:lang w:val="fr-FR"/>
        </w:rPr>
      </w:pPr>
    </w:p>
    <w:p w:rsidR="00A35554" w:rsidRPr="00A4183E" w:rsidRDefault="00A35554" w:rsidP="00A35554">
      <w:pPr>
        <w:rPr>
          <w:rFonts w:cs="Arial"/>
          <w:bCs/>
          <w:snapToGrid w:val="0"/>
          <w:lang w:val="fr-FR"/>
        </w:rPr>
      </w:pPr>
      <w:r w:rsidRPr="00A4183E">
        <w:rPr>
          <w:rFonts w:cs="Arial"/>
          <w:bCs/>
          <w:snapToGrid w:val="0"/>
          <w:lang w:val="fr-FR"/>
        </w:rPr>
        <w:fldChar w:fldCharType="begin"/>
      </w:r>
      <w:r w:rsidRPr="00A4183E">
        <w:rPr>
          <w:rFonts w:cs="Arial"/>
          <w:bCs/>
          <w:snapToGrid w:val="0"/>
          <w:lang w:val="fr-FR"/>
        </w:rPr>
        <w:instrText xml:space="preserve"> AUTONUM  </w:instrText>
      </w:r>
      <w:r w:rsidRPr="00A4183E">
        <w:rPr>
          <w:rFonts w:cs="Arial"/>
          <w:bCs/>
          <w:snapToGrid w:val="0"/>
          <w:lang w:val="fr-FR"/>
        </w:rPr>
        <w:fldChar w:fldCharType="end"/>
      </w:r>
      <w:r w:rsidRPr="00A4183E">
        <w:rPr>
          <w:rFonts w:cs="Arial"/>
          <w:bCs/>
          <w:snapToGrid w:val="0"/>
          <w:lang w:val="fr-FR"/>
        </w:rPr>
        <w:tab/>
      </w:r>
      <w:r w:rsidR="00B62F1B" w:rsidRPr="00A4183E">
        <w:rPr>
          <w:rFonts w:cs="Arial"/>
          <w:bCs/>
          <w:snapToGrid w:val="0"/>
          <w:lang w:val="fr-FR"/>
        </w:rPr>
        <w:t>Le</w:t>
      </w:r>
      <w:r w:rsidR="00771BA0" w:rsidRPr="00A4183E">
        <w:rPr>
          <w:rFonts w:cs="Arial"/>
          <w:bCs/>
          <w:snapToGrid w:val="0"/>
          <w:lang w:val="fr-FR"/>
        </w:rPr>
        <w:t> TC</w:t>
      </w:r>
      <w:r w:rsidR="00B62F1B" w:rsidRPr="00A4183E">
        <w:rPr>
          <w:rFonts w:cs="Arial"/>
          <w:bCs/>
          <w:snapToGrid w:val="0"/>
          <w:lang w:val="fr-FR"/>
        </w:rPr>
        <w:t xml:space="preserve"> est invité à examiner</w:t>
      </w:r>
    </w:p>
    <w:p w:rsidR="00A35554" w:rsidRPr="00A4183E" w:rsidRDefault="00A35554" w:rsidP="00A35554">
      <w:pPr>
        <w:rPr>
          <w:rFonts w:cs="Arial"/>
          <w:bCs/>
          <w:snapToGrid w:val="0"/>
          <w:lang w:val="fr-FR"/>
        </w:rPr>
      </w:pPr>
    </w:p>
    <w:p w:rsidR="00A35554" w:rsidRPr="00A4183E" w:rsidRDefault="00A35554" w:rsidP="00A35554">
      <w:pPr>
        <w:rPr>
          <w:rFonts w:cs="Arial"/>
          <w:bCs/>
          <w:snapToGrid w:val="0"/>
          <w:lang w:val="fr-FR"/>
        </w:rPr>
      </w:pPr>
      <w:r w:rsidRPr="00A4183E">
        <w:rPr>
          <w:rFonts w:cs="Arial"/>
          <w:bCs/>
          <w:snapToGrid w:val="0"/>
          <w:lang w:val="fr-FR"/>
        </w:rPr>
        <w:tab/>
        <w:t>a)</w:t>
      </w:r>
      <w:r w:rsidRPr="00A4183E">
        <w:rPr>
          <w:rFonts w:cs="Arial"/>
          <w:bCs/>
          <w:snapToGrid w:val="0"/>
          <w:lang w:val="fr-FR"/>
        </w:rPr>
        <w:tab/>
      </w:r>
      <w:r w:rsidR="00A854B8" w:rsidRPr="00A4183E">
        <w:rPr>
          <w:rFonts w:cs="Arial"/>
          <w:bCs/>
          <w:snapToGrid w:val="0"/>
          <w:lang w:val="fr-FR"/>
        </w:rPr>
        <w:t>les exemples de caractères quantitatif et pseudo</w:t>
      </w:r>
      <w:r w:rsidR="00771BA0" w:rsidRPr="00A4183E">
        <w:rPr>
          <w:rFonts w:cs="Arial"/>
          <w:bCs/>
          <w:snapToGrid w:val="0"/>
          <w:lang w:val="fr-FR"/>
        </w:rPr>
        <w:t>-</w:t>
      </w:r>
      <w:r w:rsidR="00A854B8" w:rsidRPr="00A4183E">
        <w:rPr>
          <w:rFonts w:cs="Arial"/>
          <w:bCs/>
          <w:snapToGrid w:val="0"/>
          <w:lang w:val="fr-FR"/>
        </w:rPr>
        <w:t>qualitatif fournis par</w:t>
      </w:r>
      <w:r w:rsidR="00771BA0" w:rsidRPr="00A4183E">
        <w:rPr>
          <w:rFonts w:cs="Arial"/>
          <w:bCs/>
          <w:snapToGrid w:val="0"/>
          <w:lang w:val="fr-FR"/>
        </w:rPr>
        <w:t xml:space="preserve"> les TWP</w:t>
      </w:r>
      <w:r w:rsidR="00A854B8" w:rsidRPr="00A4183E">
        <w:rPr>
          <w:rFonts w:cs="Arial"/>
          <w:bCs/>
          <w:snapToGrid w:val="0"/>
          <w:lang w:val="fr-FR"/>
        </w:rPr>
        <w:t xml:space="preserve"> à leurs sessions </w:t>
      </w:r>
      <w:r w:rsidR="006F659B" w:rsidRPr="00A4183E">
        <w:rPr>
          <w:rFonts w:cs="Arial"/>
          <w:bCs/>
          <w:snapToGrid w:val="0"/>
          <w:lang w:val="fr-FR"/>
        </w:rPr>
        <w:t xml:space="preserve">tenues </w:t>
      </w:r>
      <w:r w:rsidR="00771BA0" w:rsidRPr="00A4183E">
        <w:rPr>
          <w:rFonts w:cs="Arial"/>
          <w:bCs/>
          <w:snapToGrid w:val="0"/>
          <w:lang w:val="fr-FR"/>
        </w:rPr>
        <w:t>en 2019</w:t>
      </w:r>
      <w:r w:rsidR="00A854B8" w:rsidRPr="00A4183E">
        <w:rPr>
          <w:rFonts w:cs="Arial"/>
          <w:bCs/>
          <w:snapToGrid w:val="0"/>
          <w:lang w:val="fr-FR"/>
        </w:rPr>
        <w:t xml:space="preserve"> pour expliquer comment la méthode peut être utilisée d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une manière qui ne présente pas de risque pour les décisions sur la distinction</w:t>
      </w:r>
      <w:r w:rsidR="000A2B49" w:rsidRPr="00A4183E">
        <w:rPr>
          <w:rFonts w:cs="Arial"/>
          <w:bCs/>
          <w:snapToGrid w:val="0"/>
          <w:lang w:val="fr-FR"/>
        </w:rPr>
        <w:t>,</w:t>
      </w:r>
      <w:r w:rsidR="000A2B49" w:rsidRPr="00A4183E">
        <w:rPr>
          <w:lang w:val="fr-FR"/>
        </w:rPr>
        <w:t xml:space="preserve"> </w:t>
      </w:r>
      <w:r w:rsidR="00A854B8" w:rsidRPr="00A4183E">
        <w:rPr>
          <w:lang w:val="fr-FR"/>
        </w:rPr>
        <w:t xml:space="preserve">comme indiqué au </w:t>
      </w:r>
      <w:r w:rsidR="00771BA0" w:rsidRPr="00A4183E">
        <w:rPr>
          <w:rFonts w:cs="Arial"/>
          <w:bCs/>
          <w:snapToGrid w:val="0"/>
          <w:lang w:val="fr-FR"/>
        </w:rPr>
        <w:t>paragraphe 2</w:t>
      </w:r>
      <w:r w:rsidR="000A2B49" w:rsidRPr="00A4183E">
        <w:rPr>
          <w:rFonts w:cs="Arial"/>
          <w:bCs/>
          <w:snapToGrid w:val="0"/>
          <w:lang w:val="fr-FR"/>
        </w:rPr>
        <w:t xml:space="preserve">0 </w:t>
      </w:r>
      <w:r w:rsidR="00A854B8" w:rsidRPr="00A4183E">
        <w:rPr>
          <w:rFonts w:cs="Arial"/>
          <w:bCs/>
          <w:snapToGrid w:val="0"/>
          <w:lang w:val="fr-FR"/>
        </w:rPr>
        <w:t>du présent document et</w:t>
      </w:r>
    </w:p>
    <w:p w:rsidR="00A35554" w:rsidRPr="00A4183E" w:rsidRDefault="00A35554" w:rsidP="00A35554">
      <w:pPr>
        <w:rPr>
          <w:rFonts w:cs="Arial"/>
          <w:bCs/>
          <w:snapToGrid w:val="0"/>
          <w:lang w:val="fr-FR"/>
        </w:rPr>
      </w:pPr>
    </w:p>
    <w:p w:rsidR="00A35554" w:rsidRPr="00A4183E" w:rsidRDefault="00A35554" w:rsidP="00A35554">
      <w:pPr>
        <w:rPr>
          <w:rFonts w:cs="Arial"/>
          <w:bCs/>
          <w:snapToGrid w:val="0"/>
          <w:lang w:val="fr-FR"/>
        </w:rPr>
      </w:pPr>
      <w:r w:rsidRPr="00A4183E">
        <w:rPr>
          <w:rFonts w:cs="Arial"/>
          <w:bCs/>
          <w:snapToGrid w:val="0"/>
          <w:lang w:val="fr-FR"/>
        </w:rPr>
        <w:tab/>
        <w:t>b)</w:t>
      </w:r>
      <w:r w:rsidRPr="00A4183E">
        <w:rPr>
          <w:rFonts w:cs="Arial"/>
          <w:bCs/>
          <w:snapToGrid w:val="0"/>
          <w:lang w:val="fr-FR"/>
        </w:rPr>
        <w:tab/>
      </w:r>
      <w:r w:rsidR="00A854B8" w:rsidRPr="00A4183E">
        <w:rPr>
          <w:rFonts w:cs="Arial"/>
          <w:bCs/>
          <w:snapToGrid w:val="0"/>
          <w:lang w:val="fr-FR"/>
        </w:rPr>
        <w:t xml:space="preserve">la proposition de modification des </w:t>
      </w:r>
      <w:r w:rsidR="009D3AB3" w:rsidRPr="00A4183E">
        <w:rPr>
          <w:rFonts w:cs="Arial"/>
          <w:bCs/>
          <w:snapToGrid w:val="0"/>
          <w:lang w:val="fr-FR"/>
        </w:rPr>
        <w:t>conseils</w:t>
      </w:r>
      <w:r w:rsidR="00A854B8" w:rsidRPr="00A4183E">
        <w:rPr>
          <w:rFonts w:cs="Arial"/>
          <w:bCs/>
          <w:snapToGrid w:val="0"/>
          <w:lang w:val="fr-FR"/>
        </w:rPr>
        <w:t xml:space="preserve"> figurant dans la note </w:t>
      </w:r>
      <w:r w:rsidR="009D3AB3" w:rsidRPr="00A4183E">
        <w:rPr>
          <w:rFonts w:cs="Arial"/>
          <w:bCs/>
          <w:snapToGrid w:val="0"/>
          <w:lang w:val="fr-FR"/>
        </w:rPr>
        <w:t>indicative</w:t>
      </w:r>
      <w:r w:rsidR="00373552" w:rsidRPr="00A4183E">
        <w:rPr>
          <w:rFonts w:cs="Arial"/>
          <w:bCs/>
          <w:snapToGrid w:val="0"/>
          <w:lang w:val="fr-FR"/>
        </w:rPr>
        <w:t> </w:t>
      </w:r>
      <w:r w:rsidR="00A854B8" w:rsidRPr="00A4183E">
        <w:rPr>
          <w:rFonts w:cs="Arial"/>
          <w:bCs/>
          <w:snapToGrid w:val="0"/>
          <w:lang w:val="fr-FR"/>
        </w:rPr>
        <w:t xml:space="preserve">18 (GN 18) du </w:t>
      </w:r>
      <w:r w:rsidRPr="00A4183E">
        <w:rPr>
          <w:rFonts w:cs="Arial"/>
          <w:bCs/>
          <w:snapToGrid w:val="0"/>
          <w:lang w:val="fr-FR"/>
        </w:rPr>
        <w:t>document</w:t>
      </w:r>
      <w:r w:rsidR="00373552" w:rsidRPr="00A4183E">
        <w:rPr>
          <w:rFonts w:cs="Arial"/>
          <w:bCs/>
          <w:snapToGrid w:val="0"/>
          <w:lang w:val="fr-FR"/>
        </w:rPr>
        <w:t> </w:t>
      </w:r>
      <w:r w:rsidRPr="00A4183E">
        <w:rPr>
          <w:rFonts w:cs="Arial"/>
          <w:bCs/>
          <w:snapToGrid w:val="0"/>
          <w:lang w:val="fr-FR"/>
        </w:rPr>
        <w:t>TGP/7</w:t>
      </w:r>
      <w:r w:rsidR="00A854B8" w:rsidRPr="00A4183E">
        <w:rPr>
          <w:rFonts w:cs="Arial"/>
          <w:bCs/>
          <w:snapToGrid w:val="0"/>
          <w:lang w:val="fr-FR"/>
        </w:rPr>
        <w:t xml:space="preserve"> afin de permettre l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exclusion d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un caractère de l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observation sur la base du niveau d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expression d</w:t>
      </w:r>
      <w:r w:rsidR="00771BA0" w:rsidRPr="00A4183E">
        <w:rPr>
          <w:rFonts w:cs="Arial"/>
          <w:bCs/>
          <w:snapToGrid w:val="0"/>
          <w:lang w:val="fr-FR"/>
        </w:rPr>
        <w:t>’</w:t>
      </w:r>
      <w:r w:rsidR="00A854B8" w:rsidRPr="00A4183E">
        <w:rPr>
          <w:rFonts w:cs="Arial"/>
          <w:bCs/>
          <w:snapToGrid w:val="0"/>
          <w:lang w:val="fr-FR"/>
        </w:rPr>
        <w:t>un caractère pseudo</w:t>
      </w:r>
      <w:r w:rsidR="00771BA0" w:rsidRPr="00A4183E">
        <w:rPr>
          <w:rFonts w:cs="Arial"/>
          <w:bCs/>
          <w:snapToGrid w:val="0"/>
          <w:lang w:val="fr-FR"/>
        </w:rPr>
        <w:t>-</w:t>
      </w:r>
      <w:r w:rsidR="00A854B8" w:rsidRPr="00A4183E">
        <w:rPr>
          <w:rFonts w:cs="Arial"/>
          <w:bCs/>
          <w:snapToGrid w:val="0"/>
          <w:lang w:val="fr-FR"/>
        </w:rPr>
        <w:t>qualitatif ou quantitatif précédent</w:t>
      </w:r>
      <w:r w:rsidRPr="00A4183E">
        <w:rPr>
          <w:rFonts w:cs="Arial"/>
          <w:bCs/>
          <w:snapToGrid w:val="0"/>
          <w:lang w:val="fr-FR"/>
        </w:rPr>
        <w:t xml:space="preserve">, </w:t>
      </w:r>
      <w:r w:rsidR="00A854B8" w:rsidRPr="00A4183E">
        <w:rPr>
          <w:rFonts w:cs="Arial"/>
          <w:bCs/>
          <w:snapToGrid w:val="0"/>
          <w:lang w:val="fr-FR"/>
        </w:rPr>
        <w:t xml:space="preserve">comme indiqué au </w:t>
      </w:r>
      <w:r w:rsidR="00771BA0" w:rsidRPr="00A4183E">
        <w:rPr>
          <w:rFonts w:cs="Arial"/>
          <w:bCs/>
          <w:snapToGrid w:val="0"/>
          <w:lang w:val="fr-FR"/>
        </w:rPr>
        <w:t>paragraphe 2</w:t>
      </w:r>
      <w:r w:rsidR="00AF0152" w:rsidRPr="00A4183E">
        <w:rPr>
          <w:rFonts w:cs="Arial"/>
          <w:bCs/>
          <w:snapToGrid w:val="0"/>
          <w:lang w:val="fr-FR"/>
        </w:rPr>
        <w:t>1</w:t>
      </w:r>
      <w:r w:rsidRPr="00A4183E">
        <w:rPr>
          <w:rFonts w:cs="Arial"/>
          <w:bCs/>
          <w:snapToGrid w:val="0"/>
          <w:lang w:val="fr-FR"/>
        </w:rPr>
        <w:t xml:space="preserve"> </w:t>
      </w:r>
      <w:r w:rsidR="00A854B8" w:rsidRPr="00A4183E">
        <w:rPr>
          <w:rFonts w:cs="Arial"/>
          <w:bCs/>
          <w:snapToGrid w:val="0"/>
          <w:lang w:val="fr-FR"/>
        </w:rPr>
        <w:t>du présent document</w:t>
      </w:r>
      <w:r w:rsidRPr="00A4183E">
        <w:rPr>
          <w:rFonts w:cs="Arial"/>
          <w:bCs/>
          <w:snapToGrid w:val="0"/>
          <w:lang w:val="fr-FR"/>
        </w:rPr>
        <w:t>.</w:t>
      </w:r>
    </w:p>
    <w:p w:rsidR="00FA628E" w:rsidRPr="00A4183E" w:rsidRDefault="00FA628E" w:rsidP="00FA628E">
      <w:pPr>
        <w:rPr>
          <w:rFonts w:cs="Arial"/>
          <w:color w:val="000000"/>
          <w:lang w:val="fr-FR"/>
        </w:rPr>
      </w:pPr>
    </w:p>
    <w:p w:rsidR="00FA628E" w:rsidRPr="00A4183E" w:rsidRDefault="00FA628E" w:rsidP="00FA628E">
      <w:pPr>
        <w:jc w:val="left"/>
        <w:rPr>
          <w:rFonts w:cs="Arial"/>
          <w:color w:val="000000"/>
          <w:lang w:val="fr-FR"/>
        </w:rPr>
      </w:pPr>
      <w:r w:rsidRPr="00A4183E">
        <w:rPr>
          <w:rFonts w:cs="Arial"/>
          <w:color w:val="000000"/>
          <w:lang w:val="fr-FR"/>
        </w:rPr>
        <w:fldChar w:fldCharType="begin"/>
      </w:r>
      <w:r w:rsidRPr="00A4183E">
        <w:rPr>
          <w:rFonts w:cs="Arial"/>
          <w:color w:val="000000"/>
          <w:lang w:val="fr-FR"/>
        </w:rPr>
        <w:instrText xml:space="preserve"> AUTONUM  </w:instrText>
      </w:r>
      <w:r w:rsidRPr="00A4183E">
        <w:rPr>
          <w:rFonts w:cs="Arial"/>
          <w:color w:val="000000"/>
          <w:lang w:val="fr-FR"/>
        </w:rPr>
        <w:fldChar w:fldCharType="end"/>
      </w:r>
      <w:r w:rsidRPr="00A4183E">
        <w:rPr>
          <w:rFonts w:cs="Arial"/>
          <w:color w:val="000000"/>
          <w:lang w:val="fr-FR"/>
        </w:rPr>
        <w:tab/>
      </w:r>
      <w:r w:rsidR="00A854B8" w:rsidRPr="00A4183E">
        <w:rPr>
          <w:rFonts w:cs="Arial"/>
          <w:color w:val="000000"/>
          <w:lang w:val="fr-FR"/>
        </w:rPr>
        <w:t>Les abréviations ci</w:t>
      </w:r>
      <w:r w:rsidR="00771BA0" w:rsidRPr="00A4183E">
        <w:rPr>
          <w:rFonts w:cs="Arial"/>
          <w:color w:val="000000"/>
          <w:lang w:val="fr-FR"/>
        </w:rPr>
        <w:t>-</w:t>
      </w:r>
      <w:r w:rsidR="00A854B8" w:rsidRPr="00A4183E">
        <w:rPr>
          <w:rFonts w:cs="Arial"/>
          <w:color w:val="000000"/>
          <w:lang w:val="fr-FR"/>
        </w:rPr>
        <w:t>après sont utilisées dans le présent document</w:t>
      </w:r>
      <w:r w:rsidR="00771BA0" w:rsidRPr="00A4183E">
        <w:rPr>
          <w:rFonts w:cs="Arial"/>
          <w:color w:val="000000"/>
          <w:lang w:val="fr-FR"/>
        </w:rPr>
        <w:t> :</w:t>
      </w:r>
    </w:p>
    <w:p w:rsidR="00FA628E" w:rsidRPr="00A4183E" w:rsidRDefault="00FA628E" w:rsidP="00FA628E">
      <w:pPr>
        <w:jc w:val="left"/>
        <w:rPr>
          <w:rFonts w:cs="Arial"/>
          <w:color w:val="000000"/>
          <w:lang w:val="fr-FR"/>
        </w:rPr>
      </w:pPr>
    </w:p>
    <w:p w:rsidR="00A854B8" w:rsidRPr="00A4183E" w:rsidRDefault="00A854B8" w:rsidP="00A854B8">
      <w:pPr>
        <w:tabs>
          <w:tab w:val="left" w:pos="1134"/>
        </w:tabs>
        <w:jc w:val="left"/>
        <w:rPr>
          <w:rFonts w:cs="Arial"/>
          <w:lang w:val="fr-FR"/>
        </w:rPr>
      </w:pPr>
      <w:r w:rsidRPr="00A4183E">
        <w:rPr>
          <w:rFonts w:cs="Arial"/>
          <w:lang w:val="fr-FR"/>
        </w:rPr>
        <w:t>TC</w:t>
      </w:r>
      <w:r w:rsidR="00771BA0" w:rsidRPr="00A4183E">
        <w:rPr>
          <w:rFonts w:cs="Arial"/>
          <w:lang w:val="fr-FR"/>
        </w:rPr>
        <w:t> :</w:t>
      </w:r>
      <w:r w:rsidRPr="00A4183E">
        <w:rPr>
          <w:rFonts w:cs="Arial"/>
          <w:lang w:val="fr-FR"/>
        </w:rPr>
        <w:t xml:space="preserve"> </w:t>
      </w:r>
      <w:r w:rsidRPr="00A4183E">
        <w:rPr>
          <w:rFonts w:cs="Arial"/>
          <w:lang w:val="fr-FR"/>
        </w:rPr>
        <w:tab/>
        <w:t>Comité technique</w:t>
      </w:r>
    </w:p>
    <w:p w:rsidR="00A854B8" w:rsidRPr="00A4183E" w:rsidRDefault="00A854B8" w:rsidP="00A854B8">
      <w:pPr>
        <w:jc w:val="left"/>
        <w:rPr>
          <w:rFonts w:cs="Arial"/>
          <w:lang w:val="fr-FR"/>
        </w:rPr>
      </w:pPr>
      <w:r w:rsidRPr="00A4183E">
        <w:rPr>
          <w:rFonts w:cs="Arial"/>
          <w:lang w:val="fr-FR"/>
        </w:rPr>
        <w:t>TC</w:t>
      </w:r>
      <w:r w:rsidR="00771BA0" w:rsidRPr="00A4183E">
        <w:rPr>
          <w:rFonts w:cs="Arial"/>
          <w:lang w:val="fr-FR"/>
        </w:rPr>
        <w:t>-</w:t>
      </w:r>
      <w:r w:rsidRPr="00A4183E">
        <w:rPr>
          <w:rFonts w:cs="Arial"/>
          <w:lang w:val="fr-FR"/>
        </w:rPr>
        <w:t>EDC</w:t>
      </w:r>
      <w:r w:rsidR="00771BA0" w:rsidRPr="00A4183E">
        <w:rPr>
          <w:rFonts w:cs="Arial"/>
          <w:lang w:val="fr-FR"/>
        </w:rPr>
        <w:t> :</w:t>
      </w:r>
      <w:r w:rsidRPr="00A4183E">
        <w:rPr>
          <w:rFonts w:cs="Arial"/>
          <w:lang w:val="fr-FR"/>
        </w:rPr>
        <w:t xml:space="preserve"> </w:t>
      </w:r>
      <w:r w:rsidRPr="00A4183E">
        <w:rPr>
          <w:rFonts w:cs="Arial"/>
          <w:lang w:val="fr-FR"/>
        </w:rPr>
        <w:tab/>
        <w:t>Comité de rédaction élargi</w:t>
      </w:r>
    </w:p>
    <w:p w:rsidR="00A854B8" w:rsidRPr="0049135F" w:rsidRDefault="00A854B8" w:rsidP="00A854B8">
      <w:pPr>
        <w:jc w:val="left"/>
        <w:rPr>
          <w:rFonts w:cs="Arial"/>
          <w:lang w:val="fr-FR"/>
        </w:rPr>
      </w:pPr>
      <w:r w:rsidRPr="00A4183E">
        <w:rPr>
          <w:rFonts w:cs="Arial"/>
          <w:lang w:val="fr-FR"/>
        </w:rPr>
        <w:t>TWA</w:t>
      </w:r>
      <w:r w:rsidR="00771BA0" w:rsidRPr="00A4183E">
        <w:rPr>
          <w:rFonts w:cs="Arial"/>
          <w:lang w:val="fr-FR"/>
        </w:rPr>
        <w:t> :</w:t>
      </w:r>
      <w:r w:rsidRPr="00A4183E">
        <w:rPr>
          <w:rFonts w:cs="Arial"/>
          <w:lang w:val="fr-FR"/>
        </w:rPr>
        <w:t xml:space="preserve"> </w:t>
      </w:r>
      <w:r w:rsidRPr="00A4183E">
        <w:rPr>
          <w:rFonts w:cs="Arial"/>
          <w:lang w:val="fr-FR"/>
        </w:rPr>
        <w:tab/>
        <w:t>Groupe de travail technique sur les plantes agricoles</w:t>
      </w:r>
    </w:p>
    <w:p w:rsidR="00A854B8" w:rsidRPr="0049135F" w:rsidRDefault="00A854B8" w:rsidP="00A854B8">
      <w:pPr>
        <w:jc w:val="left"/>
        <w:rPr>
          <w:rFonts w:cs="Arial"/>
          <w:lang w:val="fr-FR"/>
        </w:rPr>
      </w:pPr>
      <w:r w:rsidRPr="0049135F">
        <w:rPr>
          <w:rFonts w:cs="Arial"/>
          <w:lang w:val="fr-FR"/>
        </w:rPr>
        <w:t>TWC</w:t>
      </w:r>
      <w:r w:rsidR="00771BA0">
        <w:rPr>
          <w:rFonts w:cs="Arial"/>
          <w:lang w:val="fr-FR"/>
        </w:rPr>
        <w:t> :</w:t>
      </w:r>
      <w:r w:rsidRPr="0049135F">
        <w:rPr>
          <w:rFonts w:cs="Arial"/>
          <w:lang w:val="fr-FR"/>
        </w:rPr>
        <w:t xml:space="preserve"> </w:t>
      </w:r>
      <w:r w:rsidRPr="0049135F">
        <w:rPr>
          <w:rFonts w:cs="Arial"/>
          <w:lang w:val="fr-FR"/>
        </w:rPr>
        <w:tab/>
        <w:t>Groupe de travail technique sur les systèmes d</w:t>
      </w:r>
      <w:r w:rsidR="00771BA0">
        <w:rPr>
          <w:rFonts w:cs="Arial"/>
          <w:lang w:val="fr-FR"/>
        </w:rPr>
        <w:t>’</w:t>
      </w:r>
      <w:r w:rsidRPr="0049135F">
        <w:rPr>
          <w:rFonts w:cs="Arial"/>
          <w:lang w:val="fr-FR"/>
        </w:rPr>
        <w:t>automatisation et les programmes d</w:t>
      </w:r>
      <w:r w:rsidR="00771BA0">
        <w:rPr>
          <w:rFonts w:cs="Arial"/>
          <w:lang w:val="fr-FR"/>
        </w:rPr>
        <w:t>’</w:t>
      </w:r>
      <w:r w:rsidRPr="0049135F">
        <w:rPr>
          <w:rFonts w:cs="Arial"/>
          <w:lang w:val="fr-FR"/>
        </w:rPr>
        <w:t>ordinateur</w:t>
      </w:r>
    </w:p>
    <w:p w:rsidR="00A854B8" w:rsidRPr="0049135F" w:rsidRDefault="00A854B8" w:rsidP="00A854B8">
      <w:pPr>
        <w:jc w:val="left"/>
        <w:rPr>
          <w:rFonts w:cs="Arial"/>
          <w:lang w:val="fr-FR"/>
        </w:rPr>
      </w:pPr>
      <w:r w:rsidRPr="0049135F">
        <w:rPr>
          <w:rFonts w:cs="Arial"/>
          <w:lang w:val="fr-FR"/>
        </w:rPr>
        <w:t>TWF</w:t>
      </w:r>
      <w:r w:rsidR="00771BA0">
        <w:rPr>
          <w:rFonts w:cs="Arial"/>
          <w:lang w:val="fr-FR"/>
        </w:rPr>
        <w:t> :</w:t>
      </w:r>
      <w:r w:rsidRPr="0049135F">
        <w:rPr>
          <w:rFonts w:cs="Arial"/>
          <w:lang w:val="fr-FR"/>
        </w:rPr>
        <w:t xml:space="preserve"> </w:t>
      </w:r>
      <w:r w:rsidRPr="0049135F">
        <w:rPr>
          <w:rFonts w:cs="Arial"/>
          <w:lang w:val="fr-FR"/>
        </w:rPr>
        <w:tab/>
        <w:t>Groupe de travail technique sur les plantes fruitières</w:t>
      </w:r>
    </w:p>
    <w:p w:rsidR="00A854B8" w:rsidRPr="0049135F" w:rsidRDefault="00A854B8" w:rsidP="00A854B8">
      <w:pPr>
        <w:jc w:val="left"/>
        <w:rPr>
          <w:rFonts w:cs="Arial"/>
          <w:lang w:val="fr-FR"/>
        </w:rPr>
      </w:pPr>
      <w:r w:rsidRPr="0049135F">
        <w:rPr>
          <w:rFonts w:cs="Arial"/>
          <w:lang w:val="fr-FR"/>
        </w:rPr>
        <w:t>TWO</w:t>
      </w:r>
      <w:r w:rsidR="00771BA0">
        <w:rPr>
          <w:rFonts w:cs="Arial"/>
          <w:lang w:val="fr-FR"/>
        </w:rPr>
        <w:t> :</w:t>
      </w:r>
      <w:r w:rsidRPr="0049135F">
        <w:rPr>
          <w:rFonts w:cs="Arial"/>
          <w:lang w:val="fr-FR"/>
        </w:rPr>
        <w:t xml:space="preserve"> </w:t>
      </w:r>
      <w:r w:rsidRPr="0049135F">
        <w:rPr>
          <w:rFonts w:cs="Arial"/>
          <w:lang w:val="fr-FR"/>
        </w:rPr>
        <w:tab/>
        <w:t>Groupe de travail technique sur les plantes ornementales et les arbres forestiers</w:t>
      </w:r>
    </w:p>
    <w:p w:rsidR="00A854B8" w:rsidRPr="0049135F" w:rsidRDefault="00A854B8" w:rsidP="00A854B8">
      <w:pPr>
        <w:jc w:val="left"/>
        <w:rPr>
          <w:rFonts w:cs="Arial"/>
          <w:lang w:val="fr-FR"/>
        </w:rPr>
      </w:pPr>
      <w:r w:rsidRPr="0049135F">
        <w:rPr>
          <w:rFonts w:cs="Arial"/>
          <w:lang w:val="fr-FR"/>
        </w:rPr>
        <w:t>TWV</w:t>
      </w:r>
      <w:r w:rsidR="00771BA0">
        <w:rPr>
          <w:rFonts w:cs="Arial"/>
          <w:lang w:val="fr-FR"/>
        </w:rPr>
        <w:t> :</w:t>
      </w:r>
      <w:r w:rsidRPr="0049135F">
        <w:rPr>
          <w:rFonts w:cs="Arial"/>
          <w:lang w:val="fr-FR"/>
        </w:rPr>
        <w:t xml:space="preserve"> </w:t>
      </w:r>
      <w:r w:rsidRPr="0049135F">
        <w:rPr>
          <w:rFonts w:cs="Arial"/>
          <w:lang w:val="fr-FR"/>
        </w:rPr>
        <w:tab/>
        <w:t>Groupe de travail technique sur les plantes potagères</w:t>
      </w:r>
    </w:p>
    <w:p w:rsidR="00A854B8" w:rsidRPr="0049135F" w:rsidRDefault="00A854B8" w:rsidP="00A854B8">
      <w:pPr>
        <w:jc w:val="left"/>
        <w:rPr>
          <w:rFonts w:cs="Arial"/>
          <w:lang w:val="fr-FR"/>
        </w:rPr>
      </w:pPr>
      <w:r w:rsidRPr="0049135F">
        <w:rPr>
          <w:rFonts w:cs="Arial"/>
          <w:lang w:val="fr-FR"/>
        </w:rPr>
        <w:t>TWP</w:t>
      </w:r>
      <w:r w:rsidR="00771BA0">
        <w:rPr>
          <w:rFonts w:cs="Arial"/>
          <w:lang w:val="fr-FR"/>
        </w:rPr>
        <w:t> :</w:t>
      </w:r>
      <w:r w:rsidRPr="0049135F">
        <w:rPr>
          <w:rFonts w:cs="Arial"/>
          <w:lang w:val="fr-FR"/>
        </w:rPr>
        <w:t xml:space="preserve"> </w:t>
      </w:r>
      <w:r w:rsidRPr="0049135F">
        <w:rPr>
          <w:rFonts w:cs="Arial"/>
          <w:lang w:val="fr-FR"/>
        </w:rPr>
        <w:tab/>
        <w:t>Groupe de travail technique</w:t>
      </w:r>
    </w:p>
    <w:p w:rsidR="00FA628E" w:rsidRPr="0049135F" w:rsidRDefault="00FA628E" w:rsidP="00FA628E">
      <w:pPr>
        <w:tabs>
          <w:tab w:val="left" w:pos="567"/>
          <w:tab w:val="left" w:pos="1134"/>
        </w:tabs>
        <w:rPr>
          <w:snapToGrid w:val="0"/>
          <w:highlight w:val="yellow"/>
          <w:lang w:val="fr-FR"/>
        </w:rPr>
      </w:pPr>
    </w:p>
    <w:p w:rsidR="00FA628E" w:rsidRPr="0049135F" w:rsidRDefault="00FA628E" w:rsidP="00FA628E">
      <w:pPr>
        <w:rPr>
          <w:lang w:val="fr-FR" w:eastAsia="ja-JP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A854B8" w:rsidRPr="0049135F">
        <w:rPr>
          <w:lang w:val="fr-FR"/>
        </w:rPr>
        <w:t>La structure du présent document est la suivante</w:t>
      </w:r>
      <w:r w:rsidR="00771BA0">
        <w:rPr>
          <w:lang w:val="fr-FR"/>
        </w:rPr>
        <w:t> :</w:t>
      </w:r>
    </w:p>
    <w:p w:rsidR="009913DE" w:rsidRPr="0049135F" w:rsidRDefault="009913DE" w:rsidP="00FA628E">
      <w:pPr>
        <w:rPr>
          <w:lang w:val="fr-FR" w:eastAsia="ja-JP"/>
        </w:rPr>
      </w:pPr>
    </w:p>
    <w:p w:rsidR="00CD7374" w:rsidRDefault="00FA628E" w:rsidP="00743A8D">
      <w:pPr>
        <w:pStyle w:val="TOC1"/>
        <w:ind w:right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r w:rsidRPr="0049135F">
        <w:rPr>
          <w:b/>
          <w:bCs/>
          <w:szCs w:val="18"/>
          <w:highlight w:val="yellow"/>
          <w:lang w:val="fr-FR"/>
        </w:rPr>
        <w:fldChar w:fldCharType="begin"/>
      </w:r>
      <w:r w:rsidRPr="0049135F">
        <w:rPr>
          <w:rFonts w:cs="Arial"/>
          <w:b/>
          <w:bCs/>
          <w:szCs w:val="18"/>
          <w:highlight w:val="yellow"/>
          <w:lang w:val="fr-FR"/>
        </w:rPr>
        <w:instrText xml:space="preserve"> TOC \o "1-3" \h \z \u </w:instrText>
      </w:r>
      <w:r w:rsidRPr="0049135F">
        <w:rPr>
          <w:b/>
          <w:bCs/>
          <w:szCs w:val="18"/>
          <w:highlight w:val="yellow"/>
          <w:lang w:val="fr-FR"/>
        </w:rPr>
        <w:fldChar w:fldCharType="separate"/>
      </w:r>
      <w:hyperlink w:anchor="_Toc18418623" w:history="1">
        <w:r w:rsidR="00CD7374" w:rsidRPr="00710144">
          <w:rPr>
            <w:rStyle w:val="Hyperlink"/>
            <w:noProof/>
            <w:snapToGrid w:val="0"/>
            <w:lang w:val="fr-FR"/>
          </w:rPr>
          <w:t>résumé</w:t>
        </w:r>
        <w:r w:rsidR="00CD7374">
          <w:rPr>
            <w:noProof/>
            <w:webHidden/>
          </w:rPr>
          <w:tab/>
        </w:r>
        <w:r w:rsidR="00CD7374">
          <w:rPr>
            <w:noProof/>
            <w:webHidden/>
          </w:rPr>
          <w:fldChar w:fldCharType="begin"/>
        </w:r>
        <w:r w:rsidR="00CD7374">
          <w:rPr>
            <w:noProof/>
            <w:webHidden/>
          </w:rPr>
          <w:instrText xml:space="preserve"> PAGEREF _Toc18418623 \h </w:instrText>
        </w:r>
        <w:r w:rsidR="00CD7374">
          <w:rPr>
            <w:noProof/>
            <w:webHidden/>
          </w:rPr>
        </w:r>
        <w:r w:rsidR="00CD7374">
          <w:rPr>
            <w:noProof/>
            <w:webHidden/>
          </w:rPr>
          <w:fldChar w:fldCharType="separate"/>
        </w:r>
        <w:r w:rsidR="005D2258">
          <w:rPr>
            <w:noProof/>
            <w:webHidden/>
          </w:rPr>
          <w:t>1</w:t>
        </w:r>
        <w:r w:rsidR="00CD7374">
          <w:rPr>
            <w:noProof/>
            <w:webHidden/>
          </w:rPr>
          <w:fldChar w:fldCharType="end"/>
        </w:r>
      </w:hyperlink>
    </w:p>
    <w:p w:rsidR="00CD7374" w:rsidRDefault="005643B1" w:rsidP="00743A8D">
      <w:pPr>
        <w:pStyle w:val="TOC1"/>
        <w:ind w:right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18418624" w:history="1">
        <w:r w:rsidR="00CD7374" w:rsidRPr="00710144">
          <w:rPr>
            <w:rStyle w:val="Hyperlink"/>
            <w:noProof/>
            <w:snapToGrid w:val="0"/>
            <w:lang w:val="fr-FR"/>
          </w:rPr>
          <w:t>RAPPEL</w:t>
        </w:r>
        <w:r w:rsidR="00CD7374">
          <w:rPr>
            <w:noProof/>
            <w:webHidden/>
          </w:rPr>
          <w:tab/>
        </w:r>
        <w:r w:rsidR="00CD7374">
          <w:rPr>
            <w:noProof/>
            <w:webHidden/>
          </w:rPr>
          <w:fldChar w:fldCharType="begin"/>
        </w:r>
        <w:r w:rsidR="00CD7374">
          <w:rPr>
            <w:noProof/>
            <w:webHidden/>
          </w:rPr>
          <w:instrText xml:space="preserve"> PAGEREF _Toc18418624 \h </w:instrText>
        </w:r>
        <w:r w:rsidR="00CD7374">
          <w:rPr>
            <w:noProof/>
            <w:webHidden/>
          </w:rPr>
        </w:r>
        <w:r w:rsidR="00CD7374">
          <w:rPr>
            <w:noProof/>
            <w:webHidden/>
          </w:rPr>
          <w:fldChar w:fldCharType="separate"/>
        </w:r>
        <w:r w:rsidR="005D2258">
          <w:rPr>
            <w:noProof/>
            <w:webHidden/>
          </w:rPr>
          <w:t>1</w:t>
        </w:r>
        <w:r w:rsidR="00CD7374">
          <w:rPr>
            <w:noProof/>
            <w:webHidden/>
          </w:rPr>
          <w:fldChar w:fldCharType="end"/>
        </w:r>
      </w:hyperlink>
    </w:p>
    <w:p w:rsidR="00CD7374" w:rsidRDefault="005643B1" w:rsidP="00743A8D">
      <w:pPr>
        <w:pStyle w:val="TOC1"/>
        <w:ind w:right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18418625" w:history="1">
        <w:r w:rsidR="00CD7374" w:rsidRPr="00710144">
          <w:rPr>
            <w:rStyle w:val="Hyperlink"/>
            <w:noProof/>
            <w:lang w:val="fr-FR"/>
          </w:rPr>
          <w:t xml:space="preserve">observations formulées par les groupes de travail techniques à leurs </w:t>
        </w:r>
        <w:r w:rsidR="00743A8D">
          <w:rPr>
            <w:rStyle w:val="Hyperlink"/>
            <w:noProof/>
            <w:lang w:val="fr-FR"/>
          </w:rPr>
          <w:br/>
        </w:r>
        <w:r w:rsidR="00CD7374" w:rsidRPr="00710144">
          <w:rPr>
            <w:rStyle w:val="Hyperlink"/>
            <w:noProof/>
            <w:lang w:val="fr-FR"/>
          </w:rPr>
          <w:t>sessions tenues en 2019</w:t>
        </w:r>
        <w:r w:rsidR="00CD7374">
          <w:rPr>
            <w:noProof/>
            <w:webHidden/>
          </w:rPr>
          <w:tab/>
        </w:r>
        <w:r w:rsidR="00CD7374">
          <w:rPr>
            <w:noProof/>
            <w:webHidden/>
          </w:rPr>
          <w:fldChar w:fldCharType="begin"/>
        </w:r>
        <w:r w:rsidR="00CD7374">
          <w:rPr>
            <w:noProof/>
            <w:webHidden/>
          </w:rPr>
          <w:instrText xml:space="preserve"> PAGEREF _Toc18418625 \h </w:instrText>
        </w:r>
        <w:r w:rsidR="00CD7374">
          <w:rPr>
            <w:noProof/>
            <w:webHidden/>
          </w:rPr>
        </w:r>
        <w:r w:rsidR="00CD7374">
          <w:rPr>
            <w:noProof/>
            <w:webHidden/>
          </w:rPr>
          <w:fldChar w:fldCharType="separate"/>
        </w:r>
        <w:r w:rsidR="005D2258">
          <w:rPr>
            <w:noProof/>
            <w:webHidden/>
          </w:rPr>
          <w:t>3</w:t>
        </w:r>
        <w:r w:rsidR="00CD7374">
          <w:rPr>
            <w:noProof/>
            <w:webHidden/>
          </w:rPr>
          <w:fldChar w:fldCharType="end"/>
        </w:r>
      </w:hyperlink>
    </w:p>
    <w:p w:rsidR="00CD7374" w:rsidRDefault="005643B1" w:rsidP="00743A8D">
      <w:pPr>
        <w:pStyle w:val="TOC1"/>
        <w:ind w:right="0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18418626" w:history="1">
        <w:r w:rsidR="00CD7374" w:rsidRPr="00710144">
          <w:rPr>
            <w:rStyle w:val="Hyperlink"/>
            <w:noProof/>
            <w:lang w:val="fr-FR"/>
          </w:rPr>
          <w:t>PROPOSition</w:t>
        </w:r>
        <w:r w:rsidR="00CD7374">
          <w:rPr>
            <w:noProof/>
            <w:webHidden/>
          </w:rPr>
          <w:tab/>
        </w:r>
        <w:r w:rsidR="00CD7374">
          <w:rPr>
            <w:noProof/>
            <w:webHidden/>
          </w:rPr>
          <w:fldChar w:fldCharType="begin"/>
        </w:r>
        <w:r w:rsidR="00CD7374">
          <w:rPr>
            <w:noProof/>
            <w:webHidden/>
          </w:rPr>
          <w:instrText xml:space="preserve"> PAGEREF _Toc18418626 \h </w:instrText>
        </w:r>
        <w:r w:rsidR="00CD7374">
          <w:rPr>
            <w:noProof/>
            <w:webHidden/>
          </w:rPr>
        </w:r>
        <w:r w:rsidR="00CD7374">
          <w:rPr>
            <w:noProof/>
            <w:webHidden/>
          </w:rPr>
          <w:fldChar w:fldCharType="separate"/>
        </w:r>
        <w:r w:rsidR="005D2258">
          <w:rPr>
            <w:noProof/>
            <w:webHidden/>
          </w:rPr>
          <w:t>4</w:t>
        </w:r>
        <w:r w:rsidR="00CD7374">
          <w:rPr>
            <w:noProof/>
            <w:webHidden/>
          </w:rPr>
          <w:fldChar w:fldCharType="end"/>
        </w:r>
      </w:hyperlink>
    </w:p>
    <w:p w:rsidR="00FA628E" w:rsidRPr="0049135F" w:rsidRDefault="00FA628E" w:rsidP="00FA628E">
      <w:pPr>
        <w:rPr>
          <w:sz w:val="18"/>
          <w:szCs w:val="18"/>
          <w:lang w:val="fr-FR"/>
        </w:rPr>
      </w:pPr>
      <w:r w:rsidRPr="0049135F">
        <w:rPr>
          <w:sz w:val="18"/>
          <w:szCs w:val="18"/>
          <w:highlight w:val="yellow"/>
          <w:lang w:val="fr-FR"/>
        </w:rPr>
        <w:fldChar w:fldCharType="end"/>
      </w:r>
      <w:r w:rsidRPr="0049135F">
        <w:rPr>
          <w:caps/>
          <w:sz w:val="18"/>
          <w:szCs w:val="18"/>
          <w:lang w:val="fr-FR"/>
        </w:rPr>
        <w:t>ANNEX</w:t>
      </w:r>
      <w:r w:rsidR="00A854B8" w:rsidRPr="0049135F">
        <w:rPr>
          <w:caps/>
          <w:sz w:val="18"/>
          <w:szCs w:val="18"/>
          <w:lang w:val="fr-FR"/>
        </w:rPr>
        <w:t>E</w:t>
      </w:r>
      <w:r w:rsidRPr="0049135F">
        <w:rPr>
          <w:sz w:val="18"/>
          <w:szCs w:val="18"/>
          <w:lang w:val="fr-FR"/>
        </w:rPr>
        <w:tab/>
      </w:r>
      <w:r w:rsidR="00A854B8" w:rsidRPr="0049135F">
        <w:rPr>
          <w:sz w:val="18"/>
          <w:szCs w:val="18"/>
          <w:lang w:val="fr-FR"/>
        </w:rPr>
        <w:t>EXTRAIT DU</w:t>
      </w:r>
      <w:r w:rsidRPr="0049135F">
        <w:rPr>
          <w:sz w:val="18"/>
          <w:szCs w:val="18"/>
          <w:lang w:val="fr-FR"/>
        </w:rPr>
        <w:t xml:space="preserve"> DOCUMENT</w:t>
      </w:r>
      <w:r w:rsidR="00373552">
        <w:rPr>
          <w:sz w:val="18"/>
          <w:szCs w:val="18"/>
          <w:lang w:val="fr-FR"/>
        </w:rPr>
        <w:t> </w:t>
      </w:r>
      <w:r w:rsidRPr="0049135F">
        <w:rPr>
          <w:sz w:val="18"/>
          <w:szCs w:val="18"/>
          <w:lang w:val="fr-FR"/>
        </w:rPr>
        <w:t>TG/13/11 (L</w:t>
      </w:r>
      <w:r w:rsidR="00A854B8" w:rsidRPr="0049135F">
        <w:rPr>
          <w:sz w:val="18"/>
          <w:szCs w:val="18"/>
          <w:lang w:val="fr-FR"/>
        </w:rPr>
        <w:t>AITUE</w:t>
      </w:r>
      <w:r w:rsidRPr="0049135F">
        <w:rPr>
          <w:sz w:val="18"/>
          <w:szCs w:val="18"/>
          <w:lang w:val="fr-FR"/>
        </w:rPr>
        <w:t>)</w:t>
      </w:r>
    </w:p>
    <w:p w:rsidR="00FA628E" w:rsidRPr="0049135F" w:rsidRDefault="00FA628E" w:rsidP="00FA628E">
      <w:pPr>
        <w:rPr>
          <w:rFonts w:cs="Arial"/>
          <w:color w:val="000000"/>
          <w:lang w:val="fr-FR"/>
        </w:rPr>
      </w:pPr>
    </w:p>
    <w:p w:rsidR="00FA628E" w:rsidRDefault="00FA628E" w:rsidP="009913DE">
      <w:pPr>
        <w:rPr>
          <w:snapToGrid w:val="0"/>
          <w:lang w:val="fr-FR"/>
        </w:rPr>
      </w:pPr>
    </w:p>
    <w:p w:rsidR="00743A8D" w:rsidRPr="0049135F" w:rsidRDefault="00743A8D" w:rsidP="009913DE">
      <w:pPr>
        <w:rPr>
          <w:snapToGrid w:val="0"/>
          <w:lang w:val="fr-FR"/>
        </w:rPr>
      </w:pPr>
    </w:p>
    <w:p w:rsidR="00FA628E" w:rsidRPr="0049135F" w:rsidRDefault="00CA3A8E" w:rsidP="009913DE">
      <w:pPr>
        <w:keepNext/>
        <w:outlineLvl w:val="0"/>
        <w:rPr>
          <w:caps/>
          <w:snapToGrid w:val="0"/>
          <w:lang w:val="fr-FR"/>
        </w:rPr>
      </w:pPr>
      <w:bookmarkStart w:id="2" w:name="_Toc18418624"/>
      <w:r w:rsidRPr="0049135F">
        <w:rPr>
          <w:caps/>
          <w:snapToGrid w:val="0"/>
          <w:lang w:val="fr-FR"/>
        </w:rPr>
        <w:t>RAPPEL</w:t>
      </w:r>
      <w:bookmarkEnd w:id="2"/>
    </w:p>
    <w:p w:rsidR="00FA628E" w:rsidRPr="0049135F" w:rsidRDefault="00FA628E" w:rsidP="009913DE">
      <w:pPr>
        <w:keepNext/>
        <w:rPr>
          <w:snapToGrid w:val="0"/>
          <w:lang w:val="fr-FR"/>
        </w:rPr>
      </w:pPr>
    </w:p>
    <w:p w:rsidR="00FA628E" w:rsidRPr="0049135F" w:rsidRDefault="00FA628E" w:rsidP="009913DE">
      <w:pPr>
        <w:keepNext/>
        <w:rPr>
          <w:rFonts w:cs="Arial"/>
          <w:lang w:val="fr-FR"/>
        </w:rPr>
      </w:pPr>
      <w:r w:rsidRPr="0049135F">
        <w:rPr>
          <w:rFonts w:cs="Arial"/>
          <w:lang w:val="fr-FR"/>
        </w:rPr>
        <w:fldChar w:fldCharType="begin"/>
      </w:r>
      <w:r w:rsidRPr="0049135F">
        <w:rPr>
          <w:rFonts w:cs="Arial"/>
          <w:lang w:val="fr-FR"/>
        </w:rPr>
        <w:instrText xml:space="preserve"> AUTONUM  </w:instrText>
      </w:r>
      <w:r w:rsidRPr="0049135F">
        <w:rPr>
          <w:rFonts w:cs="Arial"/>
          <w:lang w:val="fr-FR"/>
        </w:rPr>
        <w:fldChar w:fldCharType="end"/>
      </w:r>
      <w:r w:rsidRPr="0049135F">
        <w:rPr>
          <w:rFonts w:cs="Arial"/>
          <w:lang w:val="fr-FR"/>
        </w:rPr>
        <w:tab/>
      </w:r>
      <w:r w:rsidR="009713D6" w:rsidRPr="0049135F">
        <w:rPr>
          <w:rFonts w:cs="Arial"/>
          <w:lang w:val="fr-FR"/>
        </w:rPr>
        <w:t xml:space="preserve">Les </w:t>
      </w:r>
      <w:r w:rsidR="009D3AB3">
        <w:rPr>
          <w:rFonts w:cs="Arial"/>
          <w:lang w:val="fr-FR"/>
        </w:rPr>
        <w:t>conseils</w:t>
      </w:r>
      <w:r w:rsidR="009713D6" w:rsidRPr="0049135F">
        <w:rPr>
          <w:rFonts w:cs="Arial"/>
          <w:lang w:val="fr-FR"/>
        </w:rPr>
        <w:t xml:space="preserve"> ci</w:t>
      </w:r>
      <w:r w:rsidR="00771BA0">
        <w:rPr>
          <w:rFonts w:cs="Arial"/>
          <w:lang w:val="fr-FR"/>
        </w:rPr>
        <w:t>-</w:t>
      </w:r>
      <w:r w:rsidR="009713D6" w:rsidRPr="0049135F">
        <w:rPr>
          <w:rFonts w:cs="Arial"/>
          <w:lang w:val="fr-FR"/>
        </w:rPr>
        <w:t>après figurent dans le document</w:t>
      </w:r>
      <w:r w:rsidR="00373552">
        <w:rPr>
          <w:rFonts w:cs="Arial"/>
          <w:lang w:val="fr-FR"/>
        </w:rPr>
        <w:t> </w:t>
      </w:r>
      <w:r w:rsidR="009713D6" w:rsidRPr="0049135F">
        <w:rPr>
          <w:rFonts w:cs="Arial"/>
          <w:lang w:val="fr-FR"/>
        </w:rPr>
        <w:t>TGP/7 sur les caractères applicables à certaines variétés seulement</w:t>
      </w:r>
      <w:r w:rsidR="00771BA0">
        <w:rPr>
          <w:rFonts w:cs="Arial"/>
          <w:lang w:val="fr-FR"/>
        </w:rPr>
        <w:t> :</w:t>
      </w:r>
    </w:p>
    <w:p w:rsidR="009713D6" w:rsidRPr="0049135F" w:rsidRDefault="009713D6" w:rsidP="009713D6">
      <w:pPr>
        <w:rPr>
          <w:lang w:val="fr-FR"/>
        </w:rPr>
      </w:pPr>
    </w:p>
    <w:p w:rsidR="009713D6" w:rsidRPr="0049135F" w:rsidRDefault="009713D6" w:rsidP="009713D6">
      <w:pPr>
        <w:tabs>
          <w:tab w:val="left" w:pos="1134"/>
        </w:tabs>
        <w:ind w:left="1701" w:right="567" w:hanging="1134"/>
        <w:rPr>
          <w:sz w:val="18"/>
          <w:u w:val="single"/>
          <w:lang w:val="fr-FR"/>
        </w:rPr>
      </w:pPr>
      <w:r w:rsidRPr="0049135F">
        <w:rPr>
          <w:sz w:val="18"/>
          <w:u w:val="single"/>
          <w:lang w:val="fr-FR"/>
        </w:rPr>
        <w:t>“GN</w:t>
      </w:r>
      <w:r w:rsidR="00373552">
        <w:rPr>
          <w:sz w:val="18"/>
          <w:u w:val="single"/>
          <w:lang w:val="fr-FR"/>
        </w:rPr>
        <w:t> </w:t>
      </w:r>
      <w:r w:rsidRPr="0049135F">
        <w:rPr>
          <w:sz w:val="18"/>
          <w:u w:val="single"/>
          <w:lang w:val="fr-FR"/>
        </w:rPr>
        <w:t>18</w:t>
      </w:r>
      <w:r w:rsidRPr="0049135F">
        <w:rPr>
          <w:sz w:val="18"/>
          <w:u w:val="single"/>
          <w:lang w:val="fr-FR"/>
        </w:rPr>
        <w:tab/>
        <w:t>(Chapitre 7 du modèle</w:t>
      </w:r>
      <w:r w:rsidR="00771BA0">
        <w:rPr>
          <w:sz w:val="18"/>
          <w:u w:val="single"/>
          <w:lang w:val="fr-FR"/>
        </w:rPr>
        <w:t> :</w:t>
      </w:r>
      <w:r w:rsidRPr="0049135F">
        <w:rPr>
          <w:sz w:val="18"/>
          <w:u w:val="single"/>
          <w:lang w:val="fr-FR"/>
        </w:rPr>
        <w:t xml:space="preserve"> colonne</w:t>
      </w:r>
      <w:r w:rsidR="00373552">
        <w:rPr>
          <w:sz w:val="18"/>
          <w:u w:val="single"/>
          <w:lang w:val="fr-FR"/>
        </w:rPr>
        <w:t> </w:t>
      </w:r>
      <w:r w:rsidRPr="0049135F">
        <w:rPr>
          <w:sz w:val="18"/>
          <w:u w:val="single"/>
          <w:lang w:val="fr-FR"/>
        </w:rPr>
        <w:t>3) – Présentation des caractères</w:t>
      </w:r>
      <w:r w:rsidR="00771BA0">
        <w:rPr>
          <w:sz w:val="18"/>
          <w:u w:val="single"/>
          <w:lang w:val="fr-FR"/>
        </w:rPr>
        <w:t> :</w:t>
      </w:r>
      <w:r w:rsidRPr="0049135F">
        <w:rPr>
          <w:sz w:val="18"/>
          <w:u w:val="single"/>
          <w:lang w:val="fr-FR"/>
        </w:rPr>
        <w:t xml:space="preserve"> désignation du caractère</w:t>
      </w:r>
    </w:p>
    <w:p w:rsidR="009713D6" w:rsidRPr="0049135F" w:rsidRDefault="009713D6" w:rsidP="009713D6">
      <w:pPr>
        <w:tabs>
          <w:tab w:val="left" w:pos="1134"/>
        </w:tabs>
        <w:ind w:left="567" w:right="567"/>
        <w:rPr>
          <w:sz w:val="18"/>
          <w:lang w:val="fr-FR"/>
        </w:rPr>
      </w:pPr>
      <w:r w:rsidRPr="0049135F">
        <w:rPr>
          <w:sz w:val="18"/>
          <w:lang w:val="fr-FR"/>
        </w:rPr>
        <w:lastRenderedPageBreak/>
        <w:t>[…]</w:t>
      </w:r>
    </w:p>
    <w:p w:rsidR="009713D6" w:rsidRPr="0049135F" w:rsidRDefault="009713D6" w:rsidP="009713D6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9713D6" w:rsidRPr="0049135F" w:rsidRDefault="009713D6" w:rsidP="009713D6">
      <w:pPr>
        <w:tabs>
          <w:tab w:val="left" w:pos="1134"/>
        </w:tabs>
        <w:ind w:left="567" w:right="567"/>
        <w:rPr>
          <w:i/>
          <w:sz w:val="18"/>
          <w:lang w:val="fr-FR"/>
        </w:rPr>
      </w:pPr>
      <w:r w:rsidRPr="0049135F">
        <w:rPr>
          <w:sz w:val="18"/>
          <w:lang w:val="fr-FR"/>
        </w:rPr>
        <w:t>“</w:t>
      </w:r>
      <w:r w:rsidRPr="0049135F">
        <w:rPr>
          <w:i/>
          <w:sz w:val="18"/>
          <w:lang w:val="fr-FR"/>
        </w:rPr>
        <w:t>3.</w:t>
      </w:r>
      <w:r w:rsidRPr="0049135F">
        <w:rPr>
          <w:sz w:val="18"/>
          <w:lang w:val="fr-FR"/>
        </w:rPr>
        <w:tab/>
      </w:r>
      <w:r w:rsidRPr="0049135F">
        <w:rPr>
          <w:i/>
          <w:sz w:val="18"/>
          <w:lang w:val="fr-FR"/>
        </w:rPr>
        <w:t>Caractères applicables à certaines variétés seulement</w:t>
      </w:r>
    </w:p>
    <w:p w:rsidR="009713D6" w:rsidRPr="0049135F" w:rsidRDefault="009713D6" w:rsidP="009713D6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9713D6" w:rsidRPr="0049135F" w:rsidRDefault="009713D6" w:rsidP="009713D6">
      <w:pPr>
        <w:tabs>
          <w:tab w:val="left" w:pos="1134"/>
        </w:tabs>
        <w:ind w:left="567" w:right="567"/>
        <w:rPr>
          <w:sz w:val="18"/>
          <w:lang w:val="fr-FR"/>
        </w:rPr>
      </w:pPr>
      <w:r w:rsidRPr="0049135F">
        <w:rPr>
          <w:sz w:val="18"/>
          <w:lang w:val="fr-FR"/>
        </w:rPr>
        <w:t>“Dans certains cas, le niveau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expression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 caractère qualitatif précédent fait qu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 caractère donné ne s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applique pas à un caractère ultérieur;  par exemple, il ne serait pas possible de décrire la forme des lobes des feuilles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une variété dont les feuilles ne possèdent pas de lobes.  Dans les cas où ce n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est pas évident, ou lorsque les caractères sont séparés dans le tableau des caractères, la désignation du caractère suivant est précédée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une mention soulignée des types de variétés auxquels elle s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applique, sur la base du caractère précédent, comme indiqué ci</w:t>
      </w:r>
      <w:r w:rsidR="00771BA0">
        <w:rPr>
          <w:sz w:val="18"/>
          <w:lang w:val="fr-FR"/>
        </w:rPr>
        <w:t>-</w:t>
      </w:r>
      <w:r w:rsidRPr="0049135F">
        <w:rPr>
          <w:sz w:val="18"/>
          <w:lang w:val="fr-FR"/>
        </w:rPr>
        <w:t>dessous</w:t>
      </w:r>
      <w:r w:rsidR="00771BA0">
        <w:rPr>
          <w:sz w:val="18"/>
          <w:lang w:val="fr-FR"/>
        </w:rPr>
        <w:t> :</w:t>
      </w:r>
    </w:p>
    <w:p w:rsidR="009713D6" w:rsidRPr="0049135F" w:rsidRDefault="009713D6" w:rsidP="009713D6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9713D6" w:rsidRPr="0049135F" w:rsidRDefault="009713D6" w:rsidP="009713D6">
      <w:pPr>
        <w:tabs>
          <w:tab w:val="left" w:pos="1134"/>
        </w:tabs>
        <w:ind w:left="1134" w:right="567"/>
        <w:rPr>
          <w:sz w:val="18"/>
          <w:lang w:val="fr-FR"/>
        </w:rPr>
      </w:pPr>
      <w:r w:rsidRPr="0049135F">
        <w:rPr>
          <w:sz w:val="18"/>
          <w:lang w:val="fr-FR"/>
        </w:rPr>
        <w:t>“</w:t>
      </w:r>
      <w:r w:rsidR="00771BA0">
        <w:rPr>
          <w:sz w:val="18"/>
          <w:lang w:val="fr-FR"/>
        </w:rPr>
        <w:t>‘</w:t>
      </w:r>
      <w:r w:rsidRPr="0049135F">
        <w:rPr>
          <w:sz w:val="18"/>
          <w:u w:val="single"/>
          <w:lang w:val="fr-FR"/>
        </w:rPr>
        <w:t>Variétés à type de fleur simple seulement</w:t>
      </w:r>
      <w:r w:rsidR="00771BA0">
        <w:rPr>
          <w:sz w:val="18"/>
          <w:lang w:val="fr-FR"/>
        </w:rPr>
        <w:t> :</w:t>
      </w:r>
      <w:r w:rsidRPr="0049135F">
        <w:rPr>
          <w:sz w:val="18"/>
          <w:lang w:val="fr-FR"/>
        </w:rPr>
        <w:t xml:space="preserve"> Fleur</w:t>
      </w:r>
      <w:r w:rsidR="00771BA0">
        <w:rPr>
          <w:sz w:val="18"/>
          <w:lang w:val="fr-FR"/>
        </w:rPr>
        <w:t> :</w:t>
      </w:r>
      <w:r w:rsidRPr="0049135F">
        <w:rPr>
          <w:sz w:val="18"/>
          <w:lang w:val="fr-FR"/>
        </w:rPr>
        <w:t xml:space="preserve"> forme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”</w:t>
      </w:r>
    </w:p>
    <w:p w:rsidR="009713D6" w:rsidRPr="0049135F" w:rsidRDefault="009713D6" w:rsidP="009713D6">
      <w:pPr>
        <w:rPr>
          <w:snapToGrid w:val="0"/>
          <w:lang w:val="fr-FR"/>
        </w:rPr>
      </w:pPr>
    </w:p>
    <w:p w:rsidR="00FA628E" w:rsidRPr="0049135F" w:rsidRDefault="00FA628E" w:rsidP="00FA628E">
      <w:pPr>
        <w:rPr>
          <w:snapToGrid w:val="0"/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9713D6" w:rsidRPr="0049135F">
        <w:rPr>
          <w:lang w:val="fr-FR"/>
        </w:rPr>
        <w:t>À sa cinquante</w:t>
      </w:r>
      <w:r w:rsidR="00771BA0">
        <w:rPr>
          <w:lang w:val="fr-FR"/>
        </w:rPr>
        <w:t>-</w:t>
      </w:r>
      <w:r w:rsidR="009713D6" w:rsidRPr="0049135F">
        <w:rPr>
          <w:lang w:val="fr-FR"/>
        </w:rPr>
        <w:t>trois</w:t>
      </w:r>
      <w:r w:rsidR="00771BA0">
        <w:rPr>
          <w:lang w:val="fr-FR"/>
        </w:rPr>
        <w:t>ième session</w:t>
      </w:r>
      <w:r w:rsidR="009713D6" w:rsidRPr="0049135F">
        <w:rPr>
          <w:lang w:val="fr-FR"/>
        </w:rPr>
        <w:t xml:space="preserve"> tenue à Genève du 3 au 5 avril 2017, le</w:t>
      </w:r>
      <w:r w:rsidR="00771BA0">
        <w:rPr>
          <w:lang w:val="fr-FR"/>
        </w:rPr>
        <w:t> TC</w:t>
      </w:r>
      <w:r w:rsidR="009713D6" w:rsidRPr="0049135F">
        <w:rPr>
          <w:lang w:val="fr-FR"/>
        </w:rPr>
        <w:t xml:space="preserve"> a examiné s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il convenait de modifier la note indicative</w:t>
      </w:r>
      <w:r w:rsidR="00373552">
        <w:rPr>
          <w:lang w:val="fr-FR"/>
        </w:rPr>
        <w:t> </w:t>
      </w:r>
      <w:r w:rsidR="009713D6" w:rsidRPr="0049135F">
        <w:rPr>
          <w:lang w:val="fr-FR"/>
        </w:rPr>
        <w:t>18.3) du document</w:t>
      </w:r>
      <w:r w:rsidR="00373552">
        <w:rPr>
          <w:lang w:val="fr-FR"/>
        </w:rPr>
        <w:t> </w:t>
      </w:r>
      <w:r w:rsidR="009713D6" w:rsidRPr="0049135F">
        <w:rPr>
          <w:lang w:val="fr-FR"/>
        </w:rPr>
        <w:t>TGP/7, “Caractères applicables à certaines variétés seulement”, dans le but de préciser que, outre le niveau d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expression d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un caractère pseudo</w:t>
      </w:r>
      <w:r w:rsidR="00771BA0">
        <w:rPr>
          <w:lang w:val="fr-FR"/>
        </w:rPr>
        <w:t>-</w:t>
      </w:r>
      <w:r w:rsidR="009713D6" w:rsidRPr="0049135F">
        <w:rPr>
          <w:lang w:val="fr-FR"/>
        </w:rPr>
        <w:t>qualitatif précédent, dans certains cas, le niveau d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expression d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un caractère pseudo</w:t>
      </w:r>
      <w:r w:rsidR="00771BA0">
        <w:rPr>
          <w:lang w:val="fr-FR"/>
        </w:rPr>
        <w:t>-</w:t>
      </w:r>
      <w:r w:rsidR="009713D6" w:rsidRPr="0049135F">
        <w:rPr>
          <w:lang w:val="fr-FR"/>
        </w:rPr>
        <w:t>qualitatif ou quantitatif précédent aura aussi pour conséquence qu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un caractère ultérieur n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 xml:space="preserve">est pas applicable (voir les paragraphes 134 et 135 du </w:t>
      </w:r>
      <w:r w:rsidR="00771BA0" w:rsidRPr="0049135F">
        <w:rPr>
          <w:lang w:val="fr-FR"/>
        </w:rPr>
        <w:t>document</w:t>
      </w:r>
      <w:r w:rsidR="00373552">
        <w:rPr>
          <w:lang w:val="fr-FR"/>
        </w:rPr>
        <w:t> </w:t>
      </w:r>
      <w:r w:rsidR="00771BA0">
        <w:rPr>
          <w:lang w:val="fr-FR"/>
        </w:rPr>
        <w:t>TC</w:t>
      </w:r>
      <w:r w:rsidR="009713D6" w:rsidRPr="0049135F">
        <w:rPr>
          <w:lang w:val="fr-FR"/>
        </w:rPr>
        <w:t>/53/31 “Compte rendu”).</w:t>
      </w:r>
    </w:p>
    <w:p w:rsidR="00FA628E" w:rsidRPr="0049135F" w:rsidRDefault="00FA628E" w:rsidP="00FA628E">
      <w:pPr>
        <w:rPr>
          <w:snapToGrid w:val="0"/>
          <w:lang w:val="fr-FR"/>
        </w:rPr>
      </w:pPr>
    </w:p>
    <w:p w:rsidR="00FA628E" w:rsidRPr="0049135F" w:rsidRDefault="00FA628E" w:rsidP="00FA628E">
      <w:pPr>
        <w:keepNext/>
        <w:keepLines/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9713D6" w:rsidRPr="0049135F">
        <w:rPr>
          <w:lang w:val="fr-FR"/>
        </w:rPr>
        <w:t>À sa cinquante</w:t>
      </w:r>
      <w:r w:rsidR="00771BA0">
        <w:rPr>
          <w:lang w:val="fr-FR"/>
        </w:rPr>
        <w:t>-</w:t>
      </w:r>
      <w:r w:rsidR="009713D6" w:rsidRPr="0049135F">
        <w:rPr>
          <w:lang w:val="fr-FR"/>
        </w:rPr>
        <w:t>quatr</w:t>
      </w:r>
      <w:r w:rsidR="00771BA0">
        <w:rPr>
          <w:lang w:val="fr-FR"/>
        </w:rPr>
        <w:t>ième session</w:t>
      </w:r>
      <w:r w:rsidR="009713D6" w:rsidRPr="0049135F">
        <w:rPr>
          <w:lang w:val="fr-FR"/>
        </w:rPr>
        <w:t xml:space="preserve"> tenue à Genève les 29 et 3</w:t>
      </w:r>
      <w:r w:rsidR="00771BA0" w:rsidRPr="0049135F">
        <w:rPr>
          <w:lang w:val="fr-FR"/>
        </w:rPr>
        <w:t>0</w:t>
      </w:r>
      <w:r w:rsidR="00771BA0">
        <w:rPr>
          <w:lang w:val="fr-FR"/>
        </w:rPr>
        <w:t> </w:t>
      </w:r>
      <w:r w:rsidR="00771BA0" w:rsidRPr="0049135F">
        <w:rPr>
          <w:lang w:val="fr-FR"/>
        </w:rPr>
        <w:t>octobre</w:t>
      </w:r>
      <w:r w:rsidR="00771BA0">
        <w:rPr>
          <w:lang w:val="fr-FR"/>
        </w:rPr>
        <w:t> </w:t>
      </w:r>
      <w:r w:rsidR="00771BA0" w:rsidRPr="0049135F">
        <w:rPr>
          <w:lang w:val="fr-FR"/>
        </w:rPr>
        <w:t>20</w:t>
      </w:r>
      <w:r w:rsidR="009713D6" w:rsidRPr="0049135F">
        <w:rPr>
          <w:lang w:val="fr-FR"/>
        </w:rPr>
        <w:t>18, le</w:t>
      </w:r>
      <w:r w:rsidR="00771BA0">
        <w:rPr>
          <w:lang w:val="fr-FR"/>
        </w:rPr>
        <w:t> TC</w:t>
      </w:r>
      <w:r w:rsidR="009713D6" w:rsidRPr="0049135F">
        <w:rPr>
          <w:lang w:val="fr-FR"/>
        </w:rPr>
        <w:t xml:space="preserve"> a examiné le</w:t>
      </w:r>
      <w:r w:rsidRPr="0049135F">
        <w:rPr>
          <w:lang w:val="fr-FR"/>
        </w:rPr>
        <w:t xml:space="preserve"> </w:t>
      </w:r>
      <w:r w:rsidR="00771BA0" w:rsidRPr="0049135F">
        <w:rPr>
          <w:lang w:val="fr-FR"/>
        </w:rPr>
        <w:t>document</w:t>
      </w:r>
      <w:r w:rsidR="00373552">
        <w:rPr>
          <w:lang w:val="fr-FR"/>
        </w:rPr>
        <w:t> </w:t>
      </w:r>
      <w:r w:rsidR="00771BA0">
        <w:rPr>
          <w:lang w:val="fr-FR"/>
        </w:rPr>
        <w:t>TC</w:t>
      </w:r>
      <w:r w:rsidRPr="0049135F">
        <w:rPr>
          <w:lang w:val="fr-FR"/>
        </w:rPr>
        <w:t>/54/15 “</w:t>
      </w:r>
      <w:r w:rsidR="009713D6" w:rsidRPr="0049135F">
        <w:rPr>
          <w:lang w:val="fr-FR"/>
        </w:rPr>
        <w:t>Caractères applicables à certaines variétés seulement</w:t>
      </w:r>
      <w:r w:rsidRPr="0049135F">
        <w:rPr>
          <w:lang w:val="fr-FR"/>
        </w:rPr>
        <w:t>” (</w:t>
      </w:r>
      <w:r w:rsidR="009713D6" w:rsidRPr="0049135F">
        <w:rPr>
          <w:lang w:val="fr-FR"/>
        </w:rPr>
        <w:t xml:space="preserve">voir les paragraphes 213 à 216 du </w:t>
      </w:r>
      <w:r w:rsidR="00771BA0" w:rsidRPr="0049135F">
        <w:rPr>
          <w:lang w:val="fr-FR"/>
        </w:rPr>
        <w:t>document</w:t>
      </w:r>
      <w:r w:rsidR="00373552">
        <w:rPr>
          <w:lang w:val="fr-FR"/>
        </w:rPr>
        <w:t> </w:t>
      </w:r>
      <w:r w:rsidR="00771BA0">
        <w:rPr>
          <w:lang w:val="fr-FR"/>
        </w:rPr>
        <w:t>TC</w:t>
      </w:r>
      <w:r w:rsidRPr="0049135F">
        <w:rPr>
          <w:lang w:val="fr-FR"/>
        </w:rPr>
        <w:t>/54/31 “</w:t>
      </w:r>
      <w:r w:rsidR="009713D6" w:rsidRPr="0049135F">
        <w:rPr>
          <w:lang w:val="fr-FR"/>
        </w:rPr>
        <w:t>Compte rendu</w:t>
      </w:r>
      <w:r w:rsidRPr="0049135F">
        <w:rPr>
          <w:lang w:val="fr-FR"/>
        </w:rPr>
        <w:t>”).</w:t>
      </w:r>
    </w:p>
    <w:p w:rsidR="00FA628E" w:rsidRPr="0049135F" w:rsidRDefault="00FA628E" w:rsidP="00FA628E">
      <w:pPr>
        <w:rPr>
          <w:lang w:val="fr-FR"/>
        </w:rPr>
      </w:pPr>
    </w:p>
    <w:p w:rsidR="00FA628E" w:rsidRPr="0049135F" w:rsidRDefault="00FA628E" w:rsidP="00FA628E">
      <w:pPr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9713D6" w:rsidRPr="0049135F">
        <w:rPr>
          <w:lang w:val="fr-FR"/>
        </w:rPr>
        <w:t>À sa cinquante</w:t>
      </w:r>
      <w:r w:rsidR="00771BA0">
        <w:rPr>
          <w:lang w:val="fr-FR"/>
        </w:rPr>
        <w:t>-</w:t>
      </w:r>
      <w:r w:rsidR="009713D6" w:rsidRPr="0049135F">
        <w:rPr>
          <w:lang w:val="fr-FR"/>
        </w:rPr>
        <w:t>quatr</w:t>
      </w:r>
      <w:r w:rsidR="00771BA0">
        <w:rPr>
          <w:lang w:val="fr-FR"/>
        </w:rPr>
        <w:t>ième session</w:t>
      </w:r>
      <w:r w:rsidR="009713D6" w:rsidRPr="0049135F">
        <w:rPr>
          <w:lang w:val="fr-FR"/>
        </w:rPr>
        <w:t>, le</w:t>
      </w:r>
      <w:r w:rsidR="00771BA0">
        <w:rPr>
          <w:lang w:val="fr-FR"/>
        </w:rPr>
        <w:t> TC</w:t>
      </w:r>
      <w:r w:rsidR="009713D6" w:rsidRPr="0049135F">
        <w:rPr>
          <w:lang w:val="fr-FR"/>
        </w:rPr>
        <w:t xml:space="preserve"> a examiné la proposition tendant à modifier comme suit les </w:t>
      </w:r>
      <w:r w:rsidR="009D3AB3">
        <w:rPr>
          <w:lang w:val="fr-FR"/>
        </w:rPr>
        <w:t>conseils</w:t>
      </w:r>
      <w:r w:rsidR="009713D6" w:rsidRPr="0049135F">
        <w:rPr>
          <w:lang w:val="fr-FR"/>
        </w:rPr>
        <w:t xml:space="preserve"> f</w:t>
      </w:r>
      <w:r w:rsidR="007A18AA">
        <w:rPr>
          <w:lang w:val="fr-FR"/>
        </w:rPr>
        <w:t xml:space="preserve">igurant dans la note indicative 18 </w:t>
      </w:r>
      <w:r w:rsidR="009713D6" w:rsidRPr="0049135F">
        <w:rPr>
          <w:lang w:val="fr-FR"/>
        </w:rPr>
        <w:t>(GN 18) du document</w:t>
      </w:r>
      <w:r w:rsidR="00373552">
        <w:rPr>
          <w:lang w:val="fr-FR"/>
        </w:rPr>
        <w:t> </w:t>
      </w:r>
      <w:r w:rsidR="009713D6" w:rsidRPr="0049135F">
        <w:rPr>
          <w:lang w:val="fr-FR"/>
        </w:rPr>
        <w:t>TGP/7</w:t>
      </w:r>
      <w:r w:rsidRPr="0049135F">
        <w:rPr>
          <w:lang w:val="fr-FR"/>
        </w:rPr>
        <w:t xml:space="preserve"> </w:t>
      </w:r>
      <w:r w:rsidR="009713D6" w:rsidRPr="0049135F">
        <w:rPr>
          <w:lang w:val="fr-FR"/>
        </w:rPr>
        <w:t>afin de permettre l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exclusion d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un caractère de l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observation sur la base du niveau d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expression d</w:t>
      </w:r>
      <w:r w:rsidR="00771BA0">
        <w:rPr>
          <w:lang w:val="fr-FR"/>
        </w:rPr>
        <w:t>’</w:t>
      </w:r>
      <w:r w:rsidR="009713D6" w:rsidRPr="0049135F">
        <w:rPr>
          <w:lang w:val="fr-FR"/>
        </w:rPr>
        <w:t>un caractère pseudo</w:t>
      </w:r>
      <w:r w:rsidR="00771BA0">
        <w:rPr>
          <w:lang w:val="fr-FR"/>
        </w:rPr>
        <w:t>-</w:t>
      </w:r>
      <w:r w:rsidR="009713D6" w:rsidRPr="0049135F">
        <w:rPr>
          <w:lang w:val="fr-FR"/>
        </w:rPr>
        <w:t>qualitatif ou quantitatif précédent</w:t>
      </w:r>
      <w:r w:rsidRPr="0049135F">
        <w:rPr>
          <w:lang w:val="fr-FR"/>
        </w:rPr>
        <w:t xml:space="preserve"> </w:t>
      </w:r>
      <w:r w:rsidRPr="0049135F">
        <w:rPr>
          <w:rFonts w:cs="Arial"/>
          <w:bCs/>
          <w:snapToGrid w:val="0"/>
          <w:lang w:val="fr-FR"/>
        </w:rPr>
        <w:t>(</w:t>
      </w:r>
      <w:r w:rsidR="009713D6" w:rsidRPr="0049135F">
        <w:rPr>
          <w:rFonts w:cs="Arial"/>
          <w:bCs/>
          <w:snapToGrid w:val="0"/>
          <w:lang w:val="fr-FR"/>
        </w:rPr>
        <w:t xml:space="preserve">les éléments à supprimer sont </w:t>
      </w:r>
      <w:r w:rsidR="009713D6" w:rsidRPr="0049135F">
        <w:rPr>
          <w:rFonts w:cs="Arial"/>
          <w:bCs/>
          <w:strike/>
          <w:snapToGrid w:val="0"/>
          <w:highlight w:val="lightGray"/>
          <w:lang w:val="fr-FR"/>
        </w:rPr>
        <w:t>surlignées et biffés</w:t>
      </w:r>
      <w:r w:rsidRPr="0049135F">
        <w:rPr>
          <w:rFonts w:cs="Arial"/>
          <w:bCs/>
          <w:snapToGrid w:val="0"/>
          <w:lang w:val="fr-FR"/>
        </w:rPr>
        <w:t>)</w:t>
      </w:r>
      <w:r w:rsidR="00771BA0">
        <w:rPr>
          <w:rFonts w:cs="Arial"/>
          <w:bCs/>
          <w:snapToGrid w:val="0"/>
          <w:lang w:val="fr-FR"/>
        </w:rPr>
        <w:t> :</w:t>
      </w:r>
    </w:p>
    <w:p w:rsidR="00FA628E" w:rsidRPr="0049135F" w:rsidRDefault="00FA628E" w:rsidP="00FA628E">
      <w:pPr>
        <w:rPr>
          <w:lang w:val="fr-FR"/>
        </w:rPr>
      </w:pPr>
    </w:p>
    <w:p w:rsidR="0049135F" w:rsidRPr="0049135F" w:rsidRDefault="0049135F" w:rsidP="0049135F">
      <w:pPr>
        <w:tabs>
          <w:tab w:val="left" w:pos="1134"/>
        </w:tabs>
        <w:ind w:left="567" w:right="567"/>
        <w:rPr>
          <w:i/>
          <w:sz w:val="18"/>
          <w:lang w:val="fr-FR"/>
        </w:rPr>
      </w:pPr>
      <w:r w:rsidRPr="0049135F">
        <w:rPr>
          <w:sz w:val="18"/>
          <w:lang w:val="fr-FR"/>
        </w:rPr>
        <w:t>“</w:t>
      </w:r>
      <w:r w:rsidRPr="0049135F">
        <w:rPr>
          <w:i/>
          <w:sz w:val="18"/>
          <w:lang w:val="fr-FR"/>
        </w:rPr>
        <w:t>3.</w:t>
      </w:r>
      <w:r w:rsidRPr="0049135F">
        <w:rPr>
          <w:sz w:val="18"/>
          <w:lang w:val="fr-FR"/>
        </w:rPr>
        <w:tab/>
      </w:r>
      <w:r w:rsidRPr="0049135F">
        <w:rPr>
          <w:i/>
          <w:sz w:val="18"/>
          <w:lang w:val="fr-FR"/>
        </w:rPr>
        <w:t>Caractères applicables à certaines variétés seulement</w:t>
      </w:r>
    </w:p>
    <w:p w:rsidR="0049135F" w:rsidRPr="0049135F" w:rsidRDefault="0049135F" w:rsidP="0049135F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49135F" w:rsidRPr="0049135F" w:rsidRDefault="0049135F" w:rsidP="0049135F">
      <w:pPr>
        <w:tabs>
          <w:tab w:val="left" w:pos="1134"/>
        </w:tabs>
        <w:ind w:left="567" w:right="567"/>
        <w:rPr>
          <w:sz w:val="18"/>
          <w:lang w:val="fr-FR"/>
        </w:rPr>
      </w:pPr>
      <w:r w:rsidRPr="0049135F">
        <w:rPr>
          <w:sz w:val="18"/>
          <w:lang w:val="fr-FR"/>
        </w:rPr>
        <w:t>“Dans certains cas, le niveau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expression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 xml:space="preserve">un caractère </w:t>
      </w:r>
      <w:r w:rsidRPr="0049135F">
        <w:rPr>
          <w:strike/>
          <w:sz w:val="18"/>
          <w:highlight w:val="lightGray"/>
          <w:lang w:val="fr-FR"/>
        </w:rPr>
        <w:t>qualitatif</w:t>
      </w:r>
      <w:r w:rsidRPr="0049135F">
        <w:rPr>
          <w:sz w:val="18"/>
          <w:lang w:val="fr-FR"/>
        </w:rPr>
        <w:t xml:space="preserve"> précédent fait qu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 caractère donné ne s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applique pas à un caractère ultérieur;  par exemple, il ne serait pas possible de décrire la forme des lobes des feuilles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une variété dont les feuilles ne possèdent pas de lobes.  Dans les cas où ce n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est pas évident, ou lorsque les caractères sont séparés dans le tableau des caractères, la désignation du caractère suivant est précédée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une mention soulignée des types de variétés auxquels elle s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applique, sur la base du caractère précédent, comme indiqué ci</w:t>
      </w:r>
      <w:r w:rsidR="00771BA0">
        <w:rPr>
          <w:sz w:val="18"/>
          <w:lang w:val="fr-FR"/>
        </w:rPr>
        <w:t>-</w:t>
      </w:r>
      <w:r w:rsidRPr="0049135F">
        <w:rPr>
          <w:sz w:val="18"/>
          <w:lang w:val="fr-FR"/>
        </w:rPr>
        <w:t>dessous</w:t>
      </w:r>
      <w:r w:rsidR="00771BA0">
        <w:rPr>
          <w:sz w:val="18"/>
          <w:lang w:val="fr-FR"/>
        </w:rPr>
        <w:t> :</w:t>
      </w:r>
    </w:p>
    <w:p w:rsidR="0049135F" w:rsidRPr="0049135F" w:rsidRDefault="0049135F" w:rsidP="0049135F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49135F" w:rsidRPr="0049135F" w:rsidRDefault="0049135F" w:rsidP="0049135F">
      <w:pPr>
        <w:tabs>
          <w:tab w:val="left" w:pos="1134"/>
        </w:tabs>
        <w:ind w:left="1134" w:right="567"/>
        <w:rPr>
          <w:sz w:val="18"/>
          <w:lang w:val="fr-FR"/>
        </w:rPr>
      </w:pPr>
      <w:r w:rsidRPr="0049135F">
        <w:rPr>
          <w:sz w:val="18"/>
          <w:lang w:val="fr-FR"/>
        </w:rPr>
        <w:t>“</w:t>
      </w:r>
      <w:r w:rsidR="00771BA0">
        <w:rPr>
          <w:sz w:val="18"/>
          <w:lang w:val="fr-FR"/>
        </w:rPr>
        <w:t>‘</w:t>
      </w:r>
      <w:r w:rsidRPr="0049135F">
        <w:rPr>
          <w:sz w:val="18"/>
          <w:u w:val="single"/>
          <w:lang w:val="fr-FR"/>
        </w:rPr>
        <w:t>Variétés à type de fleur simple seulement</w:t>
      </w:r>
      <w:r w:rsidR="00771BA0">
        <w:rPr>
          <w:sz w:val="18"/>
          <w:lang w:val="fr-FR"/>
        </w:rPr>
        <w:t> :</w:t>
      </w:r>
      <w:r w:rsidRPr="0049135F">
        <w:rPr>
          <w:sz w:val="18"/>
          <w:lang w:val="fr-FR"/>
        </w:rPr>
        <w:t xml:space="preserve"> Fleur</w:t>
      </w:r>
      <w:r w:rsidR="00771BA0">
        <w:rPr>
          <w:sz w:val="18"/>
          <w:lang w:val="fr-FR"/>
        </w:rPr>
        <w:t> :</w:t>
      </w:r>
      <w:r w:rsidRPr="0049135F">
        <w:rPr>
          <w:sz w:val="18"/>
          <w:lang w:val="fr-FR"/>
        </w:rPr>
        <w:t xml:space="preserve"> forme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”</w:t>
      </w:r>
    </w:p>
    <w:p w:rsidR="00FA628E" w:rsidRPr="0049135F" w:rsidRDefault="00FA628E" w:rsidP="00FA628E">
      <w:pPr>
        <w:ind w:right="565"/>
        <w:rPr>
          <w:lang w:val="fr-FR"/>
        </w:rPr>
      </w:pPr>
    </w:p>
    <w:p w:rsidR="00FA628E" w:rsidRPr="0049135F" w:rsidRDefault="00FA628E" w:rsidP="00FA628E">
      <w:pPr>
        <w:ind w:right="-2"/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49135F" w:rsidRPr="0049135F">
        <w:rPr>
          <w:lang w:val="fr-FR"/>
        </w:rPr>
        <w:t>Le</w:t>
      </w:r>
      <w:r w:rsidR="00771BA0">
        <w:rPr>
          <w:lang w:val="fr-FR"/>
        </w:rPr>
        <w:t> TC</w:t>
      </w:r>
      <w:r w:rsidR="0049135F" w:rsidRPr="0049135F">
        <w:rPr>
          <w:lang w:val="fr-FR"/>
        </w:rPr>
        <w:t xml:space="preserve"> a examiné la proposition tendant à modifier comme suit la note indicative</w:t>
      </w:r>
      <w:r w:rsidR="00373552">
        <w:rPr>
          <w:lang w:val="fr-FR"/>
        </w:rPr>
        <w:t> </w:t>
      </w:r>
      <w:r w:rsidR="0049135F" w:rsidRPr="0049135F">
        <w:rPr>
          <w:lang w:val="fr-FR"/>
        </w:rPr>
        <w:t>18 du</w:t>
      </w:r>
      <w:r w:rsidRPr="0049135F">
        <w:rPr>
          <w:lang w:val="fr-FR"/>
        </w:rPr>
        <w:t xml:space="preserve"> document</w:t>
      </w:r>
      <w:r w:rsidR="00373552">
        <w:rPr>
          <w:lang w:val="fr-FR"/>
        </w:rPr>
        <w:t> </w:t>
      </w:r>
      <w:r w:rsidRPr="0049135F">
        <w:rPr>
          <w:lang w:val="fr-FR"/>
        </w:rPr>
        <w:t xml:space="preserve">TGP/7 </w:t>
      </w:r>
      <w:r w:rsidR="0049135F" w:rsidRPr="0049135F">
        <w:rPr>
          <w:lang w:val="fr-FR"/>
        </w:rPr>
        <w:t>parallèlement à l</w:t>
      </w:r>
      <w:r w:rsidR="00771BA0">
        <w:rPr>
          <w:lang w:val="fr-FR"/>
        </w:rPr>
        <w:t>’</w:t>
      </w:r>
      <w:r w:rsidR="0049135F" w:rsidRPr="0049135F">
        <w:rPr>
          <w:lang w:val="fr-FR"/>
        </w:rPr>
        <w:t>inclusion d</w:t>
      </w:r>
      <w:r w:rsidR="00771BA0">
        <w:rPr>
          <w:lang w:val="fr-FR"/>
        </w:rPr>
        <w:t>’</w:t>
      </w:r>
      <w:r w:rsidR="0049135F" w:rsidRPr="0049135F">
        <w:rPr>
          <w:lang w:val="fr-FR"/>
        </w:rPr>
        <w:t>un avertissement concernant les conséquences de l</w:t>
      </w:r>
      <w:r w:rsidR="00771BA0">
        <w:rPr>
          <w:lang w:val="fr-FR"/>
        </w:rPr>
        <w:t>’</w:t>
      </w:r>
      <w:r w:rsidR="0049135F" w:rsidRPr="0049135F">
        <w:rPr>
          <w:lang w:val="fr-FR"/>
        </w:rPr>
        <w:t>application de la méthode</w:t>
      </w:r>
      <w:r w:rsidR="00771BA0">
        <w:rPr>
          <w:lang w:val="fr-FR"/>
        </w:rPr>
        <w:t> :</w:t>
      </w:r>
    </w:p>
    <w:p w:rsidR="00FA628E" w:rsidRPr="0049135F" w:rsidRDefault="00FA628E" w:rsidP="00FA628E">
      <w:pPr>
        <w:ind w:right="565"/>
        <w:rPr>
          <w:lang w:val="fr-FR"/>
        </w:rPr>
      </w:pPr>
    </w:p>
    <w:p w:rsidR="00FA628E" w:rsidRPr="0049135F" w:rsidRDefault="0049135F" w:rsidP="00FA628E">
      <w:pPr>
        <w:ind w:left="567" w:right="565"/>
        <w:rPr>
          <w:rFonts w:cs="Arial"/>
          <w:bCs/>
          <w:snapToGrid w:val="0"/>
          <w:sz w:val="18"/>
          <w:u w:val="single"/>
          <w:lang w:val="fr-FR"/>
        </w:rPr>
      </w:pPr>
      <w:r w:rsidRPr="0049135F">
        <w:rPr>
          <w:sz w:val="18"/>
          <w:highlight w:val="lightGray"/>
          <w:u w:val="single"/>
          <w:lang w:val="fr-FR"/>
        </w:rPr>
        <w:t>“L</w:t>
      </w:r>
      <w:r w:rsidR="00771BA0"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exclusion des caractères de l</w:t>
      </w:r>
      <w:r w:rsidR="00771BA0"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observation sur la base d</w:t>
      </w:r>
      <w:r w:rsidR="00771BA0"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un caractère pseudo</w:t>
      </w:r>
      <w:r w:rsidR="00771BA0">
        <w:rPr>
          <w:sz w:val="18"/>
          <w:highlight w:val="lightGray"/>
          <w:u w:val="single"/>
          <w:lang w:val="fr-FR"/>
        </w:rPr>
        <w:t>-</w:t>
      </w:r>
      <w:r w:rsidRPr="0049135F">
        <w:rPr>
          <w:sz w:val="18"/>
          <w:highlight w:val="lightGray"/>
          <w:u w:val="single"/>
          <w:lang w:val="fr-FR"/>
        </w:rPr>
        <w:t>qualitatif ou quantitatif précédent dans certaines circonstances doit être appliquée avec prudence, compte tenu des conséquences pour l</w:t>
      </w:r>
      <w:r w:rsidR="00771BA0"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 xml:space="preserve">examen de la distinction. </w:t>
      </w:r>
      <w:r w:rsidR="007E1DE5">
        <w:rPr>
          <w:sz w:val="18"/>
          <w:highlight w:val="lightGray"/>
          <w:u w:val="single"/>
          <w:lang w:val="fr-FR"/>
        </w:rPr>
        <w:t xml:space="preserve"> </w:t>
      </w:r>
      <w:r w:rsidRPr="0049135F">
        <w:rPr>
          <w:sz w:val="18"/>
          <w:highlight w:val="lightGray"/>
          <w:u w:val="single"/>
          <w:lang w:val="fr-FR"/>
        </w:rPr>
        <w:t>Un tableau des caractères de groupement pourrait être utilisé pour veiller à ce que les caractères ne soient exclus de l</w:t>
      </w:r>
      <w:r w:rsidR="00771BA0"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observation que sur une base solide”.</w:t>
      </w:r>
    </w:p>
    <w:p w:rsidR="00FA628E" w:rsidRPr="0049135F" w:rsidRDefault="00FA628E" w:rsidP="00FA628E">
      <w:pPr>
        <w:ind w:left="567" w:right="565"/>
        <w:rPr>
          <w:rFonts w:cs="Arial"/>
          <w:bCs/>
          <w:snapToGrid w:val="0"/>
          <w:sz w:val="18"/>
          <w:u w:val="single"/>
          <w:lang w:val="fr-FR"/>
        </w:rPr>
      </w:pPr>
    </w:p>
    <w:p w:rsidR="00FA628E" w:rsidRDefault="00FA628E" w:rsidP="00FA628E">
      <w:pPr>
        <w:ind w:right="-2"/>
        <w:rPr>
          <w:lang w:val="fr-FR"/>
        </w:rPr>
      </w:pPr>
      <w:r w:rsidRPr="0049135F">
        <w:rPr>
          <w:rFonts w:cs="Arial"/>
          <w:bCs/>
          <w:snapToGrid w:val="0"/>
          <w:lang w:val="fr-FR"/>
        </w:rPr>
        <w:fldChar w:fldCharType="begin"/>
      </w:r>
      <w:r w:rsidRPr="0049135F">
        <w:rPr>
          <w:rFonts w:cs="Arial"/>
          <w:bCs/>
          <w:snapToGrid w:val="0"/>
          <w:lang w:val="fr-FR"/>
        </w:rPr>
        <w:instrText xml:space="preserve"> AUTONUM  </w:instrText>
      </w:r>
      <w:r w:rsidRPr="0049135F">
        <w:rPr>
          <w:rFonts w:cs="Arial"/>
          <w:bCs/>
          <w:snapToGrid w:val="0"/>
          <w:lang w:val="fr-FR"/>
        </w:rPr>
        <w:fldChar w:fldCharType="end"/>
      </w:r>
      <w:r w:rsidRPr="0049135F">
        <w:rPr>
          <w:rFonts w:cs="Arial"/>
          <w:bCs/>
          <w:snapToGrid w:val="0"/>
          <w:lang w:val="fr-FR"/>
        </w:rPr>
        <w:tab/>
      </w:r>
      <w:r w:rsidR="0049135F">
        <w:rPr>
          <w:rFonts w:cs="Arial"/>
          <w:bCs/>
          <w:snapToGrid w:val="0"/>
          <w:lang w:val="fr-FR"/>
        </w:rPr>
        <w:t>Le</w:t>
      </w:r>
      <w:r w:rsidR="00771BA0">
        <w:rPr>
          <w:rFonts w:cs="Arial"/>
          <w:bCs/>
          <w:snapToGrid w:val="0"/>
          <w:lang w:val="fr-FR"/>
        </w:rPr>
        <w:t> TC</w:t>
      </w:r>
      <w:r w:rsidR="0049135F">
        <w:rPr>
          <w:rFonts w:cs="Arial"/>
          <w:bCs/>
          <w:snapToGrid w:val="0"/>
          <w:lang w:val="fr-FR"/>
        </w:rPr>
        <w:t xml:space="preserve"> est convenu que le tableau des caractères constituait un exemple complexe</w:t>
      </w:r>
      <w:r w:rsidRPr="0049135F">
        <w:rPr>
          <w:lang w:val="fr-FR"/>
        </w:rPr>
        <w:t xml:space="preserve"> (</w:t>
      </w:r>
      <w:r w:rsidR="0049135F">
        <w:rPr>
          <w:lang w:val="fr-FR"/>
        </w:rPr>
        <w:t>voir l</w:t>
      </w:r>
      <w:r w:rsidR="00771BA0">
        <w:rPr>
          <w:lang w:val="fr-FR"/>
        </w:rPr>
        <w:t>’</w:t>
      </w:r>
      <w:r w:rsidR="0049135F">
        <w:rPr>
          <w:lang w:val="fr-FR"/>
        </w:rPr>
        <w:t>annexe du présent document).  Il est également convenu qu</w:t>
      </w:r>
      <w:r w:rsidR="00771BA0">
        <w:rPr>
          <w:lang w:val="fr-FR"/>
        </w:rPr>
        <w:t>’</w:t>
      </w:r>
      <w:r w:rsidR="0049135F">
        <w:rPr>
          <w:lang w:val="fr-FR"/>
        </w:rPr>
        <w:t>il serait nécessaire de fournir des exemples de caractères quantitatif et pseudo</w:t>
      </w:r>
      <w:r w:rsidR="00771BA0">
        <w:rPr>
          <w:lang w:val="fr-FR"/>
        </w:rPr>
        <w:t>-</w:t>
      </w:r>
      <w:r w:rsidR="0049135F">
        <w:rPr>
          <w:lang w:val="fr-FR"/>
        </w:rPr>
        <w:t>qualitatif qui expliquent comment la méthode peut être utilisée d</w:t>
      </w:r>
      <w:r w:rsidR="00771BA0">
        <w:rPr>
          <w:lang w:val="fr-FR"/>
        </w:rPr>
        <w:t>’</w:t>
      </w:r>
      <w:r w:rsidR="0049135F">
        <w:rPr>
          <w:lang w:val="fr-FR"/>
        </w:rPr>
        <w:t>une manière qui ne présente pas de risque pour les décisions sur la distinction.</w:t>
      </w:r>
      <w:r w:rsidRPr="0049135F">
        <w:rPr>
          <w:lang w:val="fr-FR"/>
        </w:rPr>
        <w:t xml:space="preserve">  </w:t>
      </w:r>
      <w:r w:rsidR="0049135F">
        <w:rPr>
          <w:lang w:val="fr-FR"/>
        </w:rPr>
        <w:t>Il serait également nécessaire de fournir des exemples de cas inadaptés pour en démontrer les risques</w:t>
      </w:r>
      <w:r w:rsidRPr="0049135F">
        <w:rPr>
          <w:lang w:val="fr-FR"/>
        </w:rPr>
        <w:t>.</w:t>
      </w:r>
    </w:p>
    <w:p w:rsidR="0049135F" w:rsidRDefault="0049135F" w:rsidP="00FA628E">
      <w:pPr>
        <w:ind w:right="-2"/>
        <w:rPr>
          <w:lang w:val="fr-FR"/>
        </w:rPr>
      </w:pPr>
    </w:p>
    <w:p w:rsidR="00743A8D" w:rsidRDefault="00743A8D" w:rsidP="00FA628E">
      <w:pPr>
        <w:ind w:right="-2"/>
        <w:rPr>
          <w:lang w:val="fr-FR"/>
        </w:rPr>
      </w:pPr>
    </w:p>
    <w:p w:rsidR="0049135F" w:rsidRPr="0049135F" w:rsidRDefault="0049135F" w:rsidP="00FA628E">
      <w:pPr>
        <w:ind w:right="-2"/>
        <w:rPr>
          <w:lang w:val="fr-FR"/>
        </w:rPr>
      </w:pPr>
    </w:p>
    <w:p w:rsidR="000D60EF" w:rsidRPr="0049135F" w:rsidRDefault="0049135F" w:rsidP="00270E19">
      <w:pPr>
        <w:pStyle w:val="Heading1"/>
        <w:rPr>
          <w:lang w:val="fr-FR"/>
        </w:rPr>
      </w:pPr>
      <w:bookmarkStart w:id="3" w:name="_Toc18418625"/>
      <w:r>
        <w:rPr>
          <w:lang w:val="fr-FR"/>
        </w:rPr>
        <w:lastRenderedPageBreak/>
        <w:t xml:space="preserve">observations formulées par les groupes de travail techniques à leurs sessions tenues </w:t>
      </w:r>
      <w:r w:rsidR="00771BA0">
        <w:rPr>
          <w:lang w:val="fr-FR"/>
        </w:rPr>
        <w:t>en 2019</w:t>
      </w:r>
      <w:bookmarkEnd w:id="3"/>
    </w:p>
    <w:p w:rsidR="00FA628E" w:rsidRPr="0049135F" w:rsidRDefault="00FA628E" w:rsidP="000C5228">
      <w:pPr>
        <w:keepNext/>
        <w:keepLines/>
        <w:rPr>
          <w:lang w:val="fr-FR"/>
        </w:rPr>
      </w:pPr>
    </w:p>
    <w:p w:rsidR="0009734F" w:rsidRPr="0049135F" w:rsidRDefault="0009734F" w:rsidP="000C5228">
      <w:pPr>
        <w:keepNext/>
        <w:keepLines/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EF7BB5">
        <w:rPr>
          <w:lang w:val="fr-FR"/>
        </w:rPr>
        <w:t>Le </w:t>
      </w:r>
      <w:r w:rsidRPr="0049135F">
        <w:rPr>
          <w:lang w:val="fr-FR"/>
        </w:rPr>
        <w:t xml:space="preserve">TWO, </w:t>
      </w:r>
      <w:r w:rsidR="00EF7BB5">
        <w:rPr>
          <w:lang w:val="fr-FR"/>
        </w:rPr>
        <w:t>à sa cinquante</w:t>
      </w:r>
      <w:r w:rsidR="00771BA0">
        <w:rPr>
          <w:lang w:val="fr-FR"/>
        </w:rPr>
        <w:t> et unième session</w:t>
      </w:r>
      <w:r w:rsidR="00EF7BB5">
        <w:rPr>
          <w:lang w:val="fr-FR"/>
        </w:rPr>
        <w:t xml:space="preserve"> tenue à</w:t>
      </w:r>
      <w:r w:rsidRPr="0049135F">
        <w:rPr>
          <w:lang w:val="fr-FR"/>
        </w:rPr>
        <w:t xml:space="preserve"> Christchurch</w:t>
      </w:r>
      <w:r w:rsidR="00EF7BB5">
        <w:rPr>
          <w:lang w:val="fr-FR"/>
        </w:rPr>
        <w:t xml:space="preserve"> (Nouvelle</w:t>
      </w:r>
      <w:r w:rsidR="00771BA0">
        <w:rPr>
          <w:lang w:val="fr-FR"/>
        </w:rPr>
        <w:t>-</w:t>
      </w:r>
      <w:r w:rsidR="00EF7BB5">
        <w:rPr>
          <w:lang w:val="fr-FR"/>
        </w:rPr>
        <w:t>Zélande) du</w:t>
      </w:r>
      <w:r w:rsidRPr="0049135F">
        <w:rPr>
          <w:lang w:val="fr-FR"/>
        </w:rPr>
        <w:t xml:space="preserve"> 18 </w:t>
      </w:r>
      <w:r w:rsidR="00EF7BB5">
        <w:rPr>
          <w:lang w:val="fr-FR"/>
        </w:rPr>
        <w:t>au</w:t>
      </w:r>
      <w:r w:rsidRPr="0049135F">
        <w:rPr>
          <w:lang w:val="fr-FR"/>
        </w:rPr>
        <w:t xml:space="preserve"> 2</w:t>
      </w:r>
      <w:r w:rsidR="00771BA0" w:rsidRPr="0049135F">
        <w:rPr>
          <w:lang w:val="fr-FR"/>
        </w:rPr>
        <w:t>2</w:t>
      </w:r>
      <w:r w:rsidR="00771BA0">
        <w:rPr>
          <w:lang w:val="fr-FR"/>
        </w:rPr>
        <w:t> février </w:t>
      </w:r>
      <w:r w:rsidR="00771BA0" w:rsidRPr="0049135F">
        <w:rPr>
          <w:lang w:val="fr-FR"/>
        </w:rPr>
        <w:t>20</w:t>
      </w:r>
      <w:r w:rsidRPr="0049135F">
        <w:rPr>
          <w:lang w:val="fr-FR"/>
        </w:rPr>
        <w:t xml:space="preserve">19, </w:t>
      </w:r>
      <w:r w:rsidR="00EF7BB5">
        <w:rPr>
          <w:lang w:val="fr-FR"/>
        </w:rPr>
        <w:t>le </w:t>
      </w:r>
      <w:r w:rsidRPr="0049135F">
        <w:rPr>
          <w:lang w:val="fr-FR"/>
        </w:rPr>
        <w:t xml:space="preserve">TWV, </w:t>
      </w:r>
      <w:r w:rsidR="00EF7BB5">
        <w:rPr>
          <w:lang w:val="fr-FR"/>
        </w:rPr>
        <w:t>à sa cinquante</w:t>
      </w:r>
      <w:r w:rsidR="00771BA0">
        <w:rPr>
          <w:lang w:val="fr-FR"/>
        </w:rPr>
        <w:t>-</w:t>
      </w:r>
      <w:r w:rsidR="00EF7BB5">
        <w:rPr>
          <w:lang w:val="fr-FR"/>
        </w:rPr>
        <w:t>trois</w:t>
      </w:r>
      <w:r w:rsidR="00771BA0">
        <w:rPr>
          <w:lang w:val="fr-FR"/>
        </w:rPr>
        <w:t>ième session</w:t>
      </w:r>
      <w:r w:rsidR="00EF7BB5">
        <w:rPr>
          <w:lang w:val="fr-FR"/>
        </w:rPr>
        <w:t xml:space="preserve"> tenue à</w:t>
      </w:r>
      <w:r w:rsidRPr="0049135F">
        <w:rPr>
          <w:lang w:val="fr-FR"/>
        </w:rPr>
        <w:t xml:space="preserve"> S</w:t>
      </w:r>
      <w:r w:rsidR="00EF7BB5">
        <w:rPr>
          <w:lang w:val="fr-FR"/>
        </w:rPr>
        <w:t>é</w:t>
      </w:r>
      <w:r w:rsidRPr="0049135F">
        <w:rPr>
          <w:lang w:val="fr-FR"/>
        </w:rPr>
        <w:t>oul</w:t>
      </w:r>
      <w:r w:rsidR="00EF7BB5">
        <w:rPr>
          <w:lang w:val="fr-FR"/>
        </w:rPr>
        <w:t xml:space="preserve"> (République de Corée) du 20 au 2</w:t>
      </w:r>
      <w:r w:rsidR="00771BA0">
        <w:rPr>
          <w:lang w:val="fr-FR"/>
        </w:rPr>
        <w:t>4 mai </w:t>
      </w:r>
      <w:r w:rsidR="00771BA0" w:rsidRPr="0049135F">
        <w:rPr>
          <w:lang w:val="fr-FR"/>
        </w:rPr>
        <w:t>20</w:t>
      </w:r>
      <w:r w:rsidRPr="0049135F">
        <w:rPr>
          <w:lang w:val="fr-FR"/>
        </w:rPr>
        <w:t>19</w:t>
      </w:r>
      <w:r w:rsidR="00EF7BB5">
        <w:rPr>
          <w:lang w:val="fr-FR"/>
        </w:rPr>
        <w:t xml:space="preserve"> et le </w:t>
      </w:r>
      <w:r w:rsidRPr="0049135F">
        <w:rPr>
          <w:lang w:val="fr-FR"/>
        </w:rPr>
        <w:t xml:space="preserve">TWF, </w:t>
      </w:r>
      <w:r w:rsidR="00EF7BB5">
        <w:rPr>
          <w:lang w:val="fr-FR"/>
        </w:rPr>
        <w:t>à sa cinquant</w:t>
      </w:r>
      <w:r w:rsidR="00771BA0">
        <w:rPr>
          <w:lang w:val="fr-FR"/>
        </w:rPr>
        <w:t>ième session</w:t>
      </w:r>
      <w:r w:rsidR="00EF7BB5">
        <w:rPr>
          <w:lang w:val="fr-FR"/>
        </w:rPr>
        <w:t xml:space="preserve"> tenue à</w:t>
      </w:r>
      <w:r w:rsidRPr="0049135F">
        <w:rPr>
          <w:lang w:val="fr-FR"/>
        </w:rPr>
        <w:t xml:space="preserve"> Budapest</w:t>
      </w:r>
      <w:r w:rsidR="00EF7BB5">
        <w:rPr>
          <w:lang w:val="fr-FR"/>
        </w:rPr>
        <w:t xml:space="preserve"> (Hongrie)</w:t>
      </w:r>
      <w:r w:rsidRPr="0049135F">
        <w:rPr>
          <w:lang w:val="fr-FR"/>
        </w:rPr>
        <w:t xml:space="preserve"> </w:t>
      </w:r>
      <w:r w:rsidR="00EF7BB5">
        <w:rPr>
          <w:lang w:val="fr-FR"/>
        </w:rPr>
        <w:t>du 24 au 2</w:t>
      </w:r>
      <w:r w:rsidR="00771BA0">
        <w:rPr>
          <w:lang w:val="fr-FR"/>
        </w:rPr>
        <w:t>8 juin </w:t>
      </w:r>
      <w:r w:rsidR="00771BA0" w:rsidRPr="0049135F">
        <w:rPr>
          <w:lang w:val="fr-FR"/>
        </w:rPr>
        <w:t>20</w:t>
      </w:r>
      <w:r w:rsidRPr="0049135F">
        <w:rPr>
          <w:lang w:val="fr-FR"/>
        </w:rPr>
        <w:t xml:space="preserve">19, </w:t>
      </w:r>
      <w:r w:rsidR="00EF7BB5">
        <w:rPr>
          <w:lang w:val="fr-FR"/>
        </w:rPr>
        <w:t>ont examiné le document</w:t>
      </w:r>
      <w:r w:rsidR="00373552">
        <w:rPr>
          <w:lang w:val="fr-FR"/>
        </w:rPr>
        <w:t> </w:t>
      </w:r>
      <w:r w:rsidRPr="0049135F">
        <w:rPr>
          <w:lang w:val="fr-FR"/>
        </w:rPr>
        <w:t>TWP/3/9 “Characteristics which only apply to certain varieties” (</w:t>
      </w:r>
      <w:r w:rsidR="00EF7BB5">
        <w:rPr>
          <w:lang w:val="fr-FR"/>
        </w:rPr>
        <w:t xml:space="preserve">voir les </w:t>
      </w:r>
      <w:r w:rsidR="00771BA0">
        <w:rPr>
          <w:lang w:val="fr-FR"/>
        </w:rPr>
        <w:t>paragraphes 1</w:t>
      </w:r>
      <w:r w:rsidR="00EF7BB5">
        <w:rPr>
          <w:lang w:val="fr-FR"/>
        </w:rPr>
        <w:t>9 à 23 du</w:t>
      </w:r>
      <w:r w:rsidRPr="0049135F">
        <w:rPr>
          <w:lang w:val="fr-FR"/>
        </w:rPr>
        <w:t xml:space="preserve"> document</w:t>
      </w:r>
      <w:r w:rsidR="00373552">
        <w:rPr>
          <w:lang w:val="fr-FR"/>
        </w:rPr>
        <w:t> </w:t>
      </w:r>
      <w:r w:rsidRPr="0049135F">
        <w:rPr>
          <w:lang w:val="fr-FR"/>
        </w:rPr>
        <w:t xml:space="preserve">TWO/51/12 “Report”, </w:t>
      </w:r>
      <w:r w:rsidR="00EF7BB5">
        <w:rPr>
          <w:lang w:val="fr-FR"/>
        </w:rPr>
        <w:t xml:space="preserve">les </w:t>
      </w:r>
      <w:r w:rsidR="00771BA0" w:rsidRPr="0049135F">
        <w:rPr>
          <w:lang w:val="fr-FR"/>
        </w:rPr>
        <w:t>paragraph</w:t>
      </w:r>
      <w:r w:rsidR="00771BA0">
        <w:rPr>
          <w:lang w:val="fr-FR"/>
        </w:rPr>
        <w:t>es 1</w:t>
      </w:r>
      <w:r w:rsidR="00EF7BB5">
        <w:rPr>
          <w:lang w:val="fr-FR"/>
        </w:rPr>
        <w:t>2 à 16 du document</w:t>
      </w:r>
      <w:r w:rsidR="00373552">
        <w:rPr>
          <w:lang w:val="fr-FR"/>
        </w:rPr>
        <w:t> </w:t>
      </w:r>
      <w:r w:rsidRPr="0049135F">
        <w:rPr>
          <w:lang w:val="fr-FR"/>
        </w:rPr>
        <w:t>TWV/53/14 “Report”</w:t>
      </w:r>
      <w:r w:rsidR="00EF7BB5">
        <w:rPr>
          <w:lang w:val="fr-FR"/>
        </w:rPr>
        <w:t xml:space="preserve"> et les </w:t>
      </w:r>
      <w:r w:rsidR="00771BA0">
        <w:rPr>
          <w:lang w:val="fr-FR"/>
        </w:rPr>
        <w:t>paragraphes 1</w:t>
      </w:r>
      <w:r w:rsidR="00EF7BB5">
        <w:rPr>
          <w:lang w:val="fr-FR"/>
        </w:rPr>
        <w:t>1 à 13 du document</w:t>
      </w:r>
      <w:r w:rsidR="00373552">
        <w:rPr>
          <w:lang w:val="fr-FR"/>
        </w:rPr>
        <w:t> </w:t>
      </w:r>
      <w:r w:rsidRPr="0049135F">
        <w:rPr>
          <w:lang w:val="fr-FR"/>
        </w:rPr>
        <w:t>TWF/50/13 “Report”).</w:t>
      </w:r>
    </w:p>
    <w:p w:rsidR="000D60EF" w:rsidRPr="0049135F" w:rsidRDefault="000D60EF" w:rsidP="0009734F">
      <w:pPr>
        <w:rPr>
          <w:lang w:val="fr-FR"/>
        </w:rPr>
      </w:pPr>
    </w:p>
    <w:p w:rsidR="0009734F" w:rsidRPr="0049135F" w:rsidRDefault="0009734F" w:rsidP="0009734F">
      <w:pPr>
        <w:rPr>
          <w:snapToGrid w:val="0"/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EF7BB5">
        <w:rPr>
          <w:lang w:val="fr-FR"/>
        </w:rPr>
        <w:t>Le </w:t>
      </w:r>
      <w:r w:rsidRPr="0049135F">
        <w:rPr>
          <w:lang w:val="fr-FR"/>
        </w:rPr>
        <w:t>TWO</w:t>
      </w:r>
      <w:r w:rsidR="007D574E" w:rsidRPr="0049135F">
        <w:rPr>
          <w:lang w:val="fr-FR"/>
        </w:rPr>
        <w:t xml:space="preserve">, </w:t>
      </w:r>
      <w:r w:rsidR="00EF7BB5">
        <w:rPr>
          <w:lang w:val="fr-FR"/>
        </w:rPr>
        <w:t>le TWV et le </w:t>
      </w:r>
      <w:r w:rsidR="007D574E" w:rsidRPr="0049135F">
        <w:rPr>
          <w:lang w:val="fr-FR"/>
        </w:rPr>
        <w:t>TWF</w:t>
      </w:r>
      <w:r w:rsidRPr="0049135F">
        <w:rPr>
          <w:lang w:val="fr-FR"/>
        </w:rPr>
        <w:t xml:space="preserve"> </w:t>
      </w:r>
      <w:r w:rsidR="00EF7BB5">
        <w:rPr>
          <w:lang w:val="fr-FR"/>
        </w:rPr>
        <w:t>ont examiné la demande concernant la fourniture d</w:t>
      </w:r>
      <w:r w:rsidR="00771BA0">
        <w:rPr>
          <w:lang w:val="fr-FR"/>
        </w:rPr>
        <w:t>’</w:t>
      </w:r>
      <w:r w:rsidR="00EF7BB5">
        <w:rPr>
          <w:lang w:val="fr-FR"/>
        </w:rPr>
        <w:t>exemples de caractères quantitatif et pseudo</w:t>
      </w:r>
      <w:r w:rsidR="00771BA0">
        <w:rPr>
          <w:lang w:val="fr-FR"/>
        </w:rPr>
        <w:t>-</w:t>
      </w:r>
      <w:r w:rsidR="00EF7BB5">
        <w:rPr>
          <w:lang w:val="fr-FR"/>
        </w:rPr>
        <w:t>qualitatif qui expliquent comment la méthode peut être utilisée d</w:t>
      </w:r>
      <w:r w:rsidR="00771BA0">
        <w:rPr>
          <w:lang w:val="fr-FR"/>
        </w:rPr>
        <w:t>’</w:t>
      </w:r>
      <w:r w:rsidR="00EF7BB5">
        <w:rPr>
          <w:lang w:val="fr-FR"/>
        </w:rPr>
        <w:t>une manière qui ne présente pas de risque pour les décisions sur la distinction.</w:t>
      </w:r>
    </w:p>
    <w:p w:rsidR="0009734F" w:rsidRPr="0049135F" w:rsidRDefault="0009734F" w:rsidP="0009734F">
      <w:pPr>
        <w:rPr>
          <w:snapToGrid w:val="0"/>
          <w:lang w:val="fr-FR"/>
        </w:rPr>
      </w:pPr>
    </w:p>
    <w:p w:rsidR="0009734F" w:rsidRPr="0049135F" w:rsidRDefault="0009734F" w:rsidP="0009734F">
      <w:pPr>
        <w:rPr>
          <w:snapToGrid w:val="0"/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EF7BB5">
        <w:rPr>
          <w:lang w:val="fr-FR"/>
        </w:rPr>
        <w:t>Le </w:t>
      </w:r>
      <w:r w:rsidRPr="0049135F">
        <w:rPr>
          <w:lang w:val="fr-FR"/>
        </w:rPr>
        <w:t xml:space="preserve">TWO </w:t>
      </w:r>
      <w:r w:rsidR="00EF7BB5">
        <w:rPr>
          <w:lang w:val="fr-FR"/>
        </w:rPr>
        <w:t>est convenu que lorsqu</w:t>
      </w:r>
      <w:r w:rsidR="00771BA0">
        <w:rPr>
          <w:lang w:val="fr-FR"/>
        </w:rPr>
        <w:t>’</w:t>
      </w:r>
      <w:r w:rsidR="00EF7BB5">
        <w:rPr>
          <w:lang w:val="fr-FR"/>
        </w:rPr>
        <w:t xml:space="preserve">une structure était </w:t>
      </w:r>
      <w:r w:rsidRPr="0049135F">
        <w:rPr>
          <w:snapToGrid w:val="0"/>
          <w:lang w:val="fr-FR"/>
        </w:rPr>
        <w:t>“absent</w:t>
      </w:r>
      <w:r w:rsidR="00EF7BB5">
        <w:rPr>
          <w:snapToGrid w:val="0"/>
          <w:lang w:val="fr-FR"/>
        </w:rPr>
        <w:t>e ou très faible</w:t>
      </w:r>
      <w:r w:rsidRPr="0049135F">
        <w:rPr>
          <w:snapToGrid w:val="0"/>
          <w:lang w:val="fr-FR"/>
        </w:rPr>
        <w:t xml:space="preserve">” </w:t>
      </w:r>
      <w:r w:rsidR="00EF7BB5">
        <w:rPr>
          <w:snapToGrid w:val="0"/>
          <w:lang w:val="fr-FR"/>
        </w:rPr>
        <w:t>sur une partie de la plante, l</w:t>
      </w:r>
      <w:r w:rsidR="00771BA0">
        <w:rPr>
          <w:snapToGrid w:val="0"/>
          <w:lang w:val="fr-FR"/>
        </w:rPr>
        <w:t>’</w:t>
      </w:r>
      <w:r w:rsidR="00EF7BB5">
        <w:rPr>
          <w:snapToGrid w:val="0"/>
          <w:lang w:val="fr-FR"/>
        </w:rPr>
        <w:t>observation d</w:t>
      </w:r>
      <w:r w:rsidR="00771BA0">
        <w:rPr>
          <w:snapToGrid w:val="0"/>
          <w:lang w:val="fr-FR"/>
        </w:rPr>
        <w:t>’</w:t>
      </w:r>
      <w:r w:rsidR="00EF7BB5">
        <w:rPr>
          <w:snapToGrid w:val="0"/>
          <w:lang w:val="fr-FR"/>
        </w:rPr>
        <w:t>autres caractères sur cette structure pouvait être difficile ou irréalisable</w:t>
      </w:r>
      <w:r w:rsidRPr="0049135F">
        <w:rPr>
          <w:snapToGrid w:val="0"/>
          <w:lang w:val="fr-FR"/>
        </w:rPr>
        <w:t xml:space="preserve">.  </w:t>
      </w:r>
      <w:r w:rsidR="00EF7BB5">
        <w:rPr>
          <w:snapToGrid w:val="0"/>
          <w:lang w:val="fr-FR"/>
        </w:rPr>
        <w:t xml:space="preserve">Par exemple, il </w:t>
      </w:r>
      <w:r w:rsidR="004A707B">
        <w:rPr>
          <w:snapToGrid w:val="0"/>
          <w:lang w:val="fr-FR"/>
        </w:rPr>
        <w:t>serait difficile d</w:t>
      </w:r>
      <w:r w:rsidR="00771BA0">
        <w:rPr>
          <w:snapToGrid w:val="0"/>
          <w:lang w:val="fr-FR"/>
        </w:rPr>
        <w:t>’</w:t>
      </w:r>
      <w:r w:rsidR="004A707B">
        <w:rPr>
          <w:snapToGrid w:val="0"/>
          <w:lang w:val="fr-FR"/>
        </w:rPr>
        <w:t xml:space="preserve">observer le caractère </w:t>
      </w:r>
      <w:r w:rsidRPr="0049135F">
        <w:rPr>
          <w:snapToGrid w:val="0"/>
          <w:lang w:val="fr-FR"/>
        </w:rPr>
        <w:t>“</w:t>
      </w:r>
      <w:r w:rsidR="004A707B">
        <w:rPr>
          <w:snapToGrid w:val="0"/>
          <w:lang w:val="fr-FR"/>
        </w:rPr>
        <w:t>couleur de la pilosité</w:t>
      </w:r>
      <w:r w:rsidRPr="0049135F">
        <w:rPr>
          <w:snapToGrid w:val="0"/>
          <w:lang w:val="fr-FR"/>
        </w:rPr>
        <w:t xml:space="preserve">” </w:t>
      </w:r>
      <w:r w:rsidR="004A707B">
        <w:rPr>
          <w:snapToGrid w:val="0"/>
          <w:lang w:val="fr-FR"/>
        </w:rPr>
        <w:t xml:space="preserve">sur une partie de la plante avec </w:t>
      </w:r>
      <w:r w:rsidRPr="0049135F">
        <w:rPr>
          <w:snapToGrid w:val="0"/>
          <w:lang w:val="fr-FR"/>
        </w:rPr>
        <w:t>“</w:t>
      </w:r>
      <w:r w:rsidR="004A707B">
        <w:rPr>
          <w:snapToGrid w:val="0"/>
          <w:lang w:val="fr-FR"/>
        </w:rPr>
        <w:t>pilosité</w:t>
      </w:r>
      <w:r w:rsidR="00771BA0">
        <w:rPr>
          <w:snapToGrid w:val="0"/>
          <w:lang w:val="fr-FR"/>
        </w:rPr>
        <w:t> :</w:t>
      </w:r>
      <w:r w:rsidR="004A707B">
        <w:rPr>
          <w:snapToGrid w:val="0"/>
          <w:lang w:val="fr-FR"/>
        </w:rPr>
        <w:t xml:space="preserve"> absente ou très faible</w:t>
      </w:r>
      <w:r w:rsidRPr="0049135F">
        <w:rPr>
          <w:snapToGrid w:val="0"/>
          <w:lang w:val="fr-FR"/>
        </w:rPr>
        <w:t>”</w:t>
      </w:r>
      <w:r w:rsidR="004A707B">
        <w:rPr>
          <w:snapToGrid w:val="0"/>
          <w:lang w:val="fr-FR"/>
        </w:rPr>
        <w:t>.</w:t>
      </w:r>
    </w:p>
    <w:p w:rsidR="0009734F" w:rsidRPr="0049135F" w:rsidRDefault="0009734F" w:rsidP="0009734F">
      <w:pPr>
        <w:rPr>
          <w:snapToGrid w:val="0"/>
          <w:lang w:val="fr-FR"/>
        </w:rPr>
      </w:pPr>
    </w:p>
    <w:p w:rsidR="0009734F" w:rsidRPr="0049135F" w:rsidRDefault="0009734F" w:rsidP="0009734F">
      <w:pPr>
        <w:rPr>
          <w:snapToGrid w:val="0"/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3D1A28">
        <w:rPr>
          <w:lang w:val="fr-FR"/>
        </w:rPr>
        <w:t>Le TWO est convenu que le caractère pseudo</w:t>
      </w:r>
      <w:r w:rsidR="00771BA0">
        <w:rPr>
          <w:lang w:val="fr-FR"/>
        </w:rPr>
        <w:t>-</w:t>
      </w:r>
      <w:r w:rsidR="003D1A28">
        <w:rPr>
          <w:lang w:val="fr-FR"/>
        </w:rPr>
        <w:t>qualitatif ci</w:t>
      </w:r>
      <w:r w:rsidR="00771BA0">
        <w:rPr>
          <w:lang w:val="fr-FR"/>
        </w:rPr>
        <w:t>-</w:t>
      </w:r>
      <w:r w:rsidR="003D1A28">
        <w:rPr>
          <w:lang w:val="fr-FR"/>
        </w:rPr>
        <w:t xml:space="preserve">après </w:t>
      </w:r>
      <w:r w:rsidR="00A60432">
        <w:rPr>
          <w:lang w:val="fr-FR"/>
        </w:rPr>
        <w:t>tiré</w:t>
      </w:r>
      <w:r w:rsidR="003D1A28">
        <w:rPr>
          <w:lang w:val="fr-FR"/>
        </w:rPr>
        <w:t xml:space="preserve"> des pr</w:t>
      </w:r>
      <w:r w:rsidR="006F659B">
        <w:rPr>
          <w:lang w:val="fr-FR"/>
        </w:rPr>
        <w:t>incipes directeurs d</w:t>
      </w:r>
      <w:r w:rsidR="00771BA0">
        <w:rPr>
          <w:lang w:val="fr-FR"/>
        </w:rPr>
        <w:t>’</w:t>
      </w:r>
      <w:r w:rsidR="006F659B">
        <w:rPr>
          <w:lang w:val="fr-FR"/>
        </w:rPr>
        <w:t>examen du d</w:t>
      </w:r>
      <w:r w:rsidR="003D1A28">
        <w:rPr>
          <w:lang w:val="fr-FR"/>
        </w:rPr>
        <w:t>ahlia</w:t>
      </w:r>
      <w:r w:rsidRPr="0049135F">
        <w:rPr>
          <w:lang w:val="fr-FR"/>
        </w:rPr>
        <w:t xml:space="preserve"> (TG/226/1) </w:t>
      </w:r>
      <w:r w:rsidR="003D1A28">
        <w:rPr>
          <w:lang w:val="fr-FR"/>
        </w:rPr>
        <w:t xml:space="preserve">offrait un bon exemple </w:t>
      </w:r>
      <w:r w:rsidR="00A60432">
        <w:rPr>
          <w:lang w:val="fr-FR"/>
        </w:rPr>
        <w:t>pour expliquer</w:t>
      </w:r>
      <w:r w:rsidR="003D1A28">
        <w:rPr>
          <w:lang w:val="fr-FR"/>
        </w:rPr>
        <w:t xml:space="preserve"> comment la méthode pouvait être utilisée d</w:t>
      </w:r>
      <w:r w:rsidR="00771BA0">
        <w:rPr>
          <w:lang w:val="fr-FR"/>
        </w:rPr>
        <w:t>’</w:t>
      </w:r>
      <w:r w:rsidR="003D1A28">
        <w:rPr>
          <w:lang w:val="fr-FR"/>
        </w:rPr>
        <w:t>une manière qui ne présente pas de risque pour les décisions sur la distinction</w:t>
      </w:r>
      <w:r w:rsidRPr="0049135F">
        <w:rPr>
          <w:snapToGrid w:val="0"/>
          <w:lang w:val="fr-FR"/>
        </w:rPr>
        <w:t>.</w:t>
      </w:r>
    </w:p>
    <w:p w:rsidR="0009734F" w:rsidRPr="0049135F" w:rsidRDefault="0009734F" w:rsidP="0009734F">
      <w:pPr>
        <w:rPr>
          <w:snapToGrid w:val="0"/>
          <w:lang w:val="fr-FR"/>
        </w:rPr>
      </w:pPr>
    </w:p>
    <w:p w:rsidR="0009734F" w:rsidRPr="0049135F" w:rsidRDefault="0009734F" w:rsidP="003D1A28">
      <w:pPr>
        <w:ind w:left="993" w:hanging="426"/>
        <w:rPr>
          <w:snapToGrid w:val="0"/>
          <w:lang w:val="fr-FR"/>
        </w:rPr>
      </w:pPr>
      <w:r w:rsidRPr="0049135F">
        <w:rPr>
          <w:snapToGrid w:val="0"/>
          <w:lang w:val="fr-FR"/>
        </w:rPr>
        <w:t xml:space="preserve">(PQ) </w:t>
      </w:r>
      <w:r w:rsidR="003D1A28">
        <w:rPr>
          <w:snapToGrid w:val="0"/>
          <w:lang w:val="fr-FR"/>
        </w:rPr>
        <w:t>Caractère</w:t>
      </w:r>
      <w:r w:rsidR="00373552">
        <w:rPr>
          <w:snapToGrid w:val="0"/>
          <w:lang w:val="fr-FR"/>
        </w:rPr>
        <w:t> </w:t>
      </w:r>
      <w:r w:rsidR="004B705C" w:rsidRPr="0049135F">
        <w:rPr>
          <w:snapToGrid w:val="0"/>
          <w:lang w:val="fr-FR"/>
        </w:rPr>
        <w:t>21</w:t>
      </w:r>
      <w:r w:rsidR="00771BA0">
        <w:rPr>
          <w:snapToGrid w:val="0"/>
          <w:lang w:val="fr-FR"/>
        </w:rPr>
        <w:t> :</w:t>
      </w:r>
      <w:r w:rsidR="004B705C" w:rsidRPr="0049135F">
        <w:rPr>
          <w:snapToGrid w:val="0"/>
          <w:lang w:val="fr-FR"/>
        </w:rPr>
        <w:t xml:space="preserve"> </w:t>
      </w:r>
      <w:r w:rsidR="003D1A28">
        <w:rPr>
          <w:snapToGrid w:val="0"/>
          <w:lang w:val="fr-FR"/>
        </w:rPr>
        <w:t>Capitule</w:t>
      </w:r>
      <w:r w:rsidR="00771BA0">
        <w:rPr>
          <w:snapToGrid w:val="0"/>
          <w:lang w:val="fr-FR"/>
        </w:rPr>
        <w:t> :</w:t>
      </w:r>
      <w:r w:rsidR="003D1A28">
        <w:rPr>
          <w:snapToGrid w:val="0"/>
          <w:lang w:val="fr-FR"/>
        </w:rPr>
        <w:t xml:space="preserve"> type</w:t>
      </w:r>
      <w:r w:rsidR="00771BA0">
        <w:rPr>
          <w:snapToGrid w:val="0"/>
          <w:lang w:val="fr-FR"/>
        </w:rPr>
        <w:t> :</w:t>
      </w:r>
      <w:r w:rsidR="003D1A28">
        <w:rPr>
          <w:snapToGrid w:val="0"/>
          <w:lang w:val="fr-FR"/>
        </w:rPr>
        <w:t xml:space="preserve"> simple</w:t>
      </w:r>
      <w:r w:rsidRPr="0049135F">
        <w:rPr>
          <w:snapToGrid w:val="0"/>
          <w:lang w:val="fr-FR"/>
        </w:rPr>
        <w:t xml:space="preserve"> (1); </w:t>
      </w:r>
      <w:r w:rsidR="003D1A28">
        <w:rPr>
          <w:snapToGrid w:val="0"/>
          <w:lang w:val="fr-FR"/>
        </w:rPr>
        <w:t xml:space="preserve"> </w:t>
      </w:r>
      <w:r w:rsidRPr="0049135F">
        <w:rPr>
          <w:snapToGrid w:val="0"/>
          <w:lang w:val="fr-FR"/>
        </w:rPr>
        <w:t>semi</w:t>
      </w:r>
      <w:r w:rsidR="00771BA0">
        <w:rPr>
          <w:snapToGrid w:val="0"/>
          <w:lang w:val="fr-FR"/>
        </w:rPr>
        <w:t>-</w:t>
      </w:r>
      <w:r w:rsidRPr="0049135F">
        <w:rPr>
          <w:snapToGrid w:val="0"/>
          <w:lang w:val="fr-FR"/>
        </w:rPr>
        <w:t xml:space="preserve">double (2); </w:t>
      </w:r>
      <w:r w:rsidR="003D1A28">
        <w:rPr>
          <w:snapToGrid w:val="0"/>
          <w:lang w:val="fr-FR"/>
        </w:rPr>
        <w:t xml:space="preserve"> double à œil de marguerite</w:t>
      </w:r>
      <w:r w:rsidRPr="0049135F">
        <w:rPr>
          <w:snapToGrid w:val="0"/>
          <w:lang w:val="fr-FR"/>
        </w:rPr>
        <w:t xml:space="preserve"> (3); </w:t>
      </w:r>
      <w:r w:rsidR="003D1A28">
        <w:rPr>
          <w:snapToGrid w:val="0"/>
          <w:lang w:val="fr-FR"/>
        </w:rPr>
        <w:t xml:space="preserve"> </w:t>
      </w:r>
      <w:r w:rsidRPr="0049135F">
        <w:rPr>
          <w:snapToGrid w:val="0"/>
          <w:lang w:val="fr-FR"/>
        </w:rPr>
        <w:t>double</w:t>
      </w:r>
      <w:r w:rsidR="003D1A28">
        <w:rPr>
          <w:snapToGrid w:val="0"/>
          <w:lang w:val="fr-FR"/>
        </w:rPr>
        <w:t> </w:t>
      </w:r>
      <w:r w:rsidRPr="0049135F">
        <w:rPr>
          <w:snapToGrid w:val="0"/>
          <w:lang w:val="fr-FR"/>
        </w:rPr>
        <w:t>(4)</w:t>
      </w:r>
    </w:p>
    <w:p w:rsidR="004B705C" w:rsidRPr="0049135F" w:rsidRDefault="004B705C" w:rsidP="004B705C">
      <w:pPr>
        <w:ind w:left="1134" w:hanging="567"/>
        <w:rPr>
          <w:snapToGrid w:val="0"/>
          <w:lang w:val="fr-FR"/>
        </w:rPr>
      </w:pPr>
      <w:r w:rsidRPr="0049135F">
        <w:rPr>
          <w:snapToGrid w:val="0"/>
          <w:lang w:val="fr-FR"/>
        </w:rPr>
        <w:t>(QN) Caract</w:t>
      </w:r>
      <w:r w:rsidR="003D1A28">
        <w:rPr>
          <w:snapToGrid w:val="0"/>
          <w:lang w:val="fr-FR"/>
        </w:rPr>
        <w:t>è</w:t>
      </w:r>
      <w:r w:rsidRPr="0049135F">
        <w:rPr>
          <w:snapToGrid w:val="0"/>
          <w:lang w:val="fr-FR"/>
        </w:rPr>
        <w:t>r</w:t>
      </w:r>
      <w:r w:rsidR="003D1A28">
        <w:rPr>
          <w:snapToGrid w:val="0"/>
          <w:lang w:val="fr-FR"/>
        </w:rPr>
        <w:t>e</w:t>
      </w:r>
      <w:r w:rsidR="00373552">
        <w:rPr>
          <w:snapToGrid w:val="0"/>
          <w:lang w:val="fr-FR"/>
        </w:rPr>
        <w:t> </w:t>
      </w:r>
      <w:r w:rsidRPr="0049135F">
        <w:rPr>
          <w:snapToGrid w:val="0"/>
          <w:lang w:val="fr-FR"/>
        </w:rPr>
        <w:t>26</w:t>
      </w:r>
      <w:r w:rsidR="00771BA0">
        <w:rPr>
          <w:snapToGrid w:val="0"/>
          <w:lang w:val="fr-FR"/>
        </w:rPr>
        <w:t> :</w:t>
      </w:r>
      <w:r w:rsidRPr="0049135F">
        <w:rPr>
          <w:snapToGrid w:val="0"/>
          <w:lang w:val="fr-FR"/>
        </w:rPr>
        <w:t xml:space="preserve"> </w:t>
      </w:r>
      <w:r w:rsidR="003D1A28">
        <w:rPr>
          <w:u w:val="single"/>
          <w:lang w:val="fr-FR"/>
        </w:rPr>
        <w:t>Seulement les variétés doubles et doubles à œil de marguerite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 w:rsidR="003D1A28">
        <w:rPr>
          <w:lang w:val="fr-FR"/>
        </w:rPr>
        <w:t>Capitule</w:t>
      </w:r>
      <w:r w:rsidR="00771BA0">
        <w:rPr>
          <w:lang w:val="fr-FR"/>
        </w:rPr>
        <w:t> :</w:t>
      </w:r>
      <w:r w:rsidR="003D1A28">
        <w:rPr>
          <w:lang w:val="fr-FR"/>
        </w:rPr>
        <w:t xml:space="preserve"> hauteur</w:t>
      </w:r>
      <w:r w:rsidR="00771BA0">
        <w:rPr>
          <w:lang w:val="fr-FR"/>
        </w:rPr>
        <w:t> :</w:t>
      </w:r>
      <w:r w:rsidR="003D1A28">
        <w:rPr>
          <w:lang w:val="fr-FR"/>
        </w:rPr>
        <w:t xml:space="preserve"> court</w:t>
      </w:r>
      <w:r w:rsidRPr="0049135F">
        <w:rPr>
          <w:lang w:val="fr-FR"/>
        </w:rPr>
        <w:t xml:space="preserve"> (3); </w:t>
      </w:r>
      <w:r w:rsidR="003D1A28">
        <w:rPr>
          <w:lang w:val="fr-FR"/>
        </w:rPr>
        <w:t xml:space="preserve"> moyen </w:t>
      </w:r>
      <w:r w:rsidRPr="0049135F">
        <w:rPr>
          <w:lang w:val="fr-FR"/>
        </w:rPr>
        <w:t xml:space="preserve">(5); </w:t>
      </w:r>
      <w:r w:rsidR="003D1A28">
        <w:rPr>
          <w:lang w:val="fr-FR"/>
        </w:rPr>
        <w:t xml:space="preserve"> haut</w:t>
      </w:r>
      <w:r w:rsidRPr="0049135F">
        <w:rPr>
          <w:lang w:val="fr-FR"/>
        </w:rPr>
        <w:t xml:space="preserve"> (7)</w:t>
      </w:r>
    </w:p>
    <w:p w:rsidR="0009734F" w:rsidRPr="0049135F" w:rsidRDefault="0009734F" w:rsidP="0009734F">
      <w:pPr>
        <w:rPr>
          <w:snapToGrid w:val="0"/>
          <w:lang w:val="fr-FR"/>
        </w:rPr>
      </w:pPr>
    </w:p>
    <w:p w:rsidR="0009734F" w:rsidRPr="0049135F" w:rsidRDefault="0009734F" w:rsidP="0009734F">
      <w:pPr>
        <w:rPr>
          <w:snapToGrid w:val="0"/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7D0137">
        <w:rPr>
          <w:lang w:val="fr-FR"/>
        </w:rPr>
        <w:t xml:space="preserve">Le TWO est convenu </w:t>
      </w:r>
      <w:r w:rsidR="0004029E">
        <w:rPr>
          <w:lang w:val="fr-FR"/>
        </w:rPr>
        <w:t>que l</w:t>
      </w:r>
      <w:r w:rsidR="00771BA0">
        <w:rPr>
          <w:lang w:val="fr-FR"/>
        </w:rPr>
        <w:t>’</w:t>
      </w:r>
      <w:r w:rsidR="0004029E">
        <w:rPr>
          <w:lang w:val="fr-FR"/>
        </w:rPr>
        <w:t>en</w:t>
      </w:r>
      <w:r w:rsidR="00771BA0">
        <w:rPr>
          <w:lang w:val="fr-FR"/>
        </w:rPr>
        <w:t>-</w:t>
      </w:r>
      <w:r w:rsidR="0004029E">
        <w:rPr>
          <w:lang w:val="fr-FR"/>
        </w:rPr>
        <w:t>tête du caractère devrait, de préférence, contenir l</w:t>
      </w:r>
      <w:r w:rsidR="00771BA0">
        <w:rPr>
          <w:lang w:val="fr-FR"/>
        </w:rPr>
        <w:t>’</w:t>
      </w:r>
      <w:r w:rsidR="0004029E">
        <w:rPr>
          <w:lang w:val="fr-FR"/>
        </w:rPr>
        <w:t>exclusion et, selon que de besoin, une explication pourrait être fournie dans les principes directeurs d</w:t>
      </w:r>
      <w:r w:rsidR="00771BA0">
        <w:rPr>
          <w:lang w:val="fr-FR"/>
        </w:rPr>
        <w:t>’</w:t>
      </w:r>
      <w:r w:rsidR="0004029E">
        <w:rPr>
          <w:lang w:val="fr-FR"/>
        </w:rPr>
        <w:t>examen</w:t>
      </w:r>
      <w:r w:rsidRPr="0049135F">
        <w:rPr>
          <w:snapToGrid w:val="0"/>
          <w:lang w:val="fr-FR"/>
        </w:rPr>
        <w:t>.</w:t>
      </w:r>
    </w:p>
    <w:p w:rsidR="0009734F" w:rsidRPr="0049135F" w:rsidRDefault="0009734F" w:rsidP="0009734F">
      <w:pPr>
        <w:rPr>
          <w:lang w:val="fr-FR"/>
        </w:rPr>
      </w:pPr>
    </w:p>
    <w:p w:rsidR="0009734F" w:rsidRPr="0049135F" w:rsidRDefault="0009734F" w:rsidP="0009734F">
      <w:pPr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892A8A">
        <w:rPr>
          <w:lang w:val="fr-FR"/>
        </w:rPr>
        <w:t>Le </w:t>
      </w:r>
      <w:r w:rsidRPr="0049135F">
        <w:rPr>
          <w:lang w:val="fr-FR"/>
        </w:rPr>
        <w:t xml:space="preserve">TWV </w:t>
      </w:r>
      <w:r w:rsidR="00892A8A">
        <w:rPr>
          <w:lang w:val="fr-FR"/>
        </w:rPr>
        <w:t>est convenu que lorsqu</w:t>
      </w:r>
      <w:r w:rsidR="00771BA0">
        <w:rPr>
          <w:lang w:val="fr-FR"/>
        </w:rPr>
        <w:t>’</w:t>
      </w:r>
      <w:r w:rsidR="00892A8A">
        <w:rPr>
          <w:lang w:val="fr-FR"/>
        </w:rPr>
        <w:t>une structure était</w:t>
      </w:r>
      <w:r w:rsidRPr="0049135F">
        <w:rPr>
          <w:lang w:val="fr-FR"/>
        </w:rPr>
        <w:t xml:space="preserve"> “absent</w:t>
      </w:r>
      <w:r w:rsidR="00892A8A">
        <w:rPr>
          <w:lang w:val="fr-FR"/>
        </w:rPr>
        <w:t>e ou faible</w:t>
      </w:r>
      <w:r w:rsidRPr="0049135F">
        <w:rPr>
          <w:lang w:val="fr-FR"/>
        </w:rPr>
        <w:t xml:space="preserve">” </w:t>
      </w:r>
      <w:r w:rsidR="00892A8A">
        <w:rPr>
          <w:lang w:val="fr-FR"/>
        </w:rPr>
        <w:t>sur une partie de la plante</w:t>
      </w:r>
      <w:r w:rsidRPr="0049135F">
        <w:rPr>
          <w:lang w:val="fr-FR"/>
        </w:rPr>
        <w:t xml:space="preserve">, </w:t>
      </w:r>
      <w:r w:rsidR="00892A8A">
        <w:rPr>
          <w:lang w:val="fr-FR"/>
        </w:rPr>
        <w:t>l</w:t>
      </w:r>
      <w:r w:rsidR="00771BA0">
        <w:rPr>
          <w:lang w:val="fr-FR"/>
        </w:rPr>
        <w:t>’</w:t>
      </w:r>
      <w:r w:rsidR="00892A8A">
        <w:rPr>
          <w:lang w:val="fr-FR"/>
        </w:rPr>
        <w:t>observation d</w:t>
      </w:r>
      <w:r w:rsidR="00771BA0">
        <w:rPr>
          <w:lang w:val="fr-FR"/>
        </w:rPr>
        <w:t>’</w:t>
      </w:r>
      <w:r w:rsidR="00892A8A">
        <w:rPr>
          <w:lang w:val="fr-FR"/>
        </w:rPr>
        <w:t>autres caractères sur cette structure pouvait être difficile</w:t>
      </w:r>
      <w:r w:rsidRPr="0049135F">
        <w:rPr>
          <w:lang w:val="fr-FR"/>
        </w:rPr>
        <w:t xml:space="preserve">. </w:t>
      </w:r>
      <w:r w:rsidR="00892A8A">
        <w:rPr>
          <w:lang w:val="fr-FR"/>
        </w:rPr>
        <w:t xml:space="preserve"> Par exemple, dans les principes directeurs de la laitue</w:t>
      </w:r>
      <w:r w:rsidRPr="0049135F">
        <w:rPr>
          <w:lang w:val="fr-FR"/>
        </w:rPr>
        <w:t xml:space="preserve"> (TG 13/11), </w:t>
      </w:r>
      <w:r w:rsidR="00892A8A">
        <w:rPr>
          <w:lang w:val="fr-FR"/>
        </w:rPr>
        <w:t>le caractère</w:t>
      </w:r>
      <w:r w:rsidR="00373552">
        <w:rPr>
          <w:lang w:val="fr-FR"/>
        </w:rPr>
        <w:t> </w:t>
      </w:r>
      <w:r w:rsidRPr="0049135F">
        <w:rPr>
          <w:lang w:val="fr-FR"/>
        </w:rPr>
        <w:t>3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“Plant</w:t>
      </w:r>
      <w:r w:rsidR="00892A8A">
        <w:rPr>
          <w:lang w:val="fr-FR"/>
        </w:rPr>
        <w:t>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 w:rsidR="00892A8A">
        <w:rPr>
          <w:lang w:val="fr-FR"/>
        </w:rPr>
        <w:t>degré du chevauchement de la partie supérieure des feuilles</w:t>
      </w:r>
      <w:r w:rsidRPr="0049135F">
        <w:rPr>
          <w:lang w:val="fr-FR"/>
        </w:rPr>
        <w:t xml:space="preserve">”, </w:t>
      </w:r>
      <w:r w:rsidR="00892A8A">
        <w:rPr>
          <w:lang w:val="fr-FR"/>
        </w:rPr>
        <w:t>portant l</w:t>
      </w:r>
      <w:r w:rsidR="00771BA0">
        <w:rPr>
          <w:lang w:val="fr-FR"/>
        </w:rPr>
        <w:t>’</w:t>
      </w:r>
      <w:r w:rsidR="00892A8A">
        <w:rPr>
          <w:lang w:val="fr-FR"/>
        </w:rPr>
        <w:t>indication QN, indiqu</w:t>
      </w:r>
      <w:r w:rsidR="00A60432">
        <w:rPr>
          <w:lang w:val="fr-FR"/>
        </w:rPr>
        <w:t>ait</w:t>
      </w:r>
      <w:r w:rsidRPr="0049135F">
        <w:rPr>
          <w:lang w:val="fr-FR"/>
        </w:rPr>
        <w:t xml:space="preserve"> (1) “</w:t>
      </w:r>
      <w:r w:rsidR="00892A8A">
        <w:rPr>
          <w:lang w:val="fr-FR"/>
        </w:rPr>
        <w:t>nul ou faible</w:t>
      </w:r>
      <w:r w:rsidRPr="0049135F">
        <w:rPr>
          <w:lang w:val="fr-FR"/>
        </w:rPr>
        <w:t xml:space="preserve">, (2) </w:t>
      </w:r>
      <w:r w:rsidR="00892A8A">
        <w:rPr>
          <w:lang w:val="fr-FR"/>
        </w:rPr>
        <w:t>moyen</w:t>
      </w:r>
      <w:r w:rsidRPr="0049135F">
        <w:rPr>
          <w:lang w:val="fr-FR"/>
        </w:rPr>
        <w:t xml:space="preserve">, (3) </w:t>
      </w:r>
      <w:r w:rsidR="00892A8A">
        <w:rPr>
          <w:lang w:val="fr-FR"/>
        </w:rPr>
        <w:t>fort</w:t>
      </w:r>
      <w:r w:rsidRPr="0049135F">
        <w:rPr>
          <w:lang w:val="fr-FR"/>
        </w:rPr>
        <w:t xml:space="preserve">. </w:t>
      </w:r>
      <w:r w:rsidR="00892A8A">
        <w:rPr>
          <w:lang w:val="fr-FR"/>
        </w:rPr>
        <w:t xml:space="preserve"> Toutefois, le </w:t>
      </w:r>
      <w:r w:rsidRPr="0049135F">
        <w:rPr>
          <w:lang w:val="fr-FR"/>
        </w:rPr>
        <w:t xml:space="preserve">TWV </w:t>
      </w:r>
      <w:r w:rsidR="00892A8A">
        <w:rPr>
          <w:lang w:val="fr-FR"/>
        </w:rPr>
        <w:t>est convenu que si l</w:t>
      </w:r>
      <w:r w:rsidR="00771BA0">
        <w:rPr>
          <w:lang w:val="fr-FR"/>
        </w:rPr>
        <w:t>’</w:t>
      </w:r>
      <w:r w:rsidR="00892A8A">
        <w:rPr>
          <w:lang w:val="fr-FR"/>
        </w:rPr>
        <w:t xml:space="preserve">on tenait compte du tableau fourni au </w:t>
      </w:r>
      <w:r w:rsidR="00771BA0">
        <w:rPr>
          <w:lang w:val="fr-FR"/>
        </w:rPr>
        <w:t>chapitre </w:t>
      </w:r>
      <w:r w:rsidR="00771BA0" w:rsidRPr="0049135F">
        <w:rPr>
          <w:lang w:val="fr-FR"/>
        </w:rPr>
        <w:t>5</w:t>
      </w:r>
      <w:r w:rsidRPr="0049135F">
        <w:rPr>
          <w:lang w:val="fr-FR"/>
        </w:rPr>
        <w:t xml:space="preserve">.3 </w:t>
      </w:r>
      <w:r w:rsidR="00892A8A">
        <w:rPr>
          <w:lang w:val="fr-FR"/>
        </w:rPr>
        <w:t>des principes directeurs d</w:t>
      </w:r>
      <w:r w:rsidR="00771BA0">
        <w:rPr>
          <w:lang w:val="fr-FR"/>
        </w:rPr>
        <w:t>’</w:t>
      </w:r>
      <w:r w:rsidR="00892A8A">
        <w:rPr>
          <w:lang w:val="fr-FR"/>
        </w:rPr>
        <w:t xml:space="preserve">examen, </w:t>
      </w:r>
      <w:r w:rsidR="00A60432">
        <w:rPr>
          <w:lang w:val="fr-FR"/>
        </w:rPr>
        <w:t>il était possible de réduire le risque pour les décisions sur la distinction et encourageait donc l</w:t>
      </w:r>
      <w:r w:rsidR="00771BA0">
        <w:rPr>
          <w:lang w:val="fr-FR"/>
        </w:rPr>
        <w:t>’</w:t>
      </w:r>
      <w:r w:rsidR="00A60432">
        <w:rPr>
          <w:lang w:val="fr-FR"/>
        </w:rPr>
        <w:t>utilisation de ces tableaux selon que de besoin</w:t>
      </w:r>
      <w:r w:rsidRPr="0049135F">
        <w:rPr>
          <w:lang w:val="fr-FR"/>
        </w:rPr>
        <w:t>.</w:t>
      </w:r>
    </w:p>
    <w:p w:rsidR="0009734F" w:rsidRPr="0049135F" w:rsidRDefault="0009734F" w:rsidP="0009734F">
      <w:pPr>
        <w:rPr>
          <w:lang w:val="fr-FR"/>
        </w:rPr>
      </w:pPr>
    </w:p>
    <w:p w:rsidR="0009734F" w:rsidRPr="0049135F" w:rsidRDefault="0009734F" w:rsidP="0009734F">
      <w:pPr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A60432">
        <w:rPr>
          <w:lang w:val="fr-FR"/>
        </w:rPr>
        <w:t>Le TWV est convenu que le caractère pseudo</w:t>
      </w:r>
      <w:r w:rsidR="00771BA0">
        <w:rPr>
          <w:lang w:val="fr-FR"/>
        </w:rPr>
        <w:t>-</w:t>
      </w:r>
      <w:r w:rsidR="00A60432">
        <w:rPr>
          <w:lang w:val="fr-FR"/>
        </w:rPr>
        <w:t>qualitatif ci</w:t>
      </w:r>
      <w:r w:rsidR="00771BA0">
        <w:rPr>
          <w:lang w:val="fr-FR"/>
        </w:rPr>
        <w:t>-</w:t>
      </w:r>
      <w:r w:rsidR="00A60432">
        <w:rPr>
          <w:lang w:val="fr-FR"/>
        </w:rPr>
        <w:t>après tiré des principes directeurs d</w:t>
      </w:r>
      <w:r w:rsidR="00771BA0">
        <w:rPr>
          <w:lang w:val="fr-FR"/>
        </w:rPr>
        <w:t>’</w:t>
      </w:r>
      <w:r w:rsidR="00A60432">
        <w:rPr>
          <w:lang w:val="fr-FR"/>
        </w:rPr>
        <w:t xml:space="preserve">examen de la chicorée à feuilles </w:t>
      </w:r>
      <w:r w:rsidRPr="0049135F">
        <w:rPr>
          <w:lang w:val="fr-FR"/>
        </w:rPr>
        <w:t>(TG/154/4)</w:t>
      </w:r>
      <w:r w:rsidR="00A60432">
        <w:rPr>
          <w:lang w:val="fr-FR"/>
        </w:rPr>
        <w:t xml:space="preserve"> offrait un bon exemple pour expliquer comment la méthode pouvait être utilisée d</w:t>
      </w:r>
      <w:r w:rsidR="00771BA0">
        <w:rPr>
          <w:lang w:val="fr-FR"/>
        </w:rPr>
        <w:t>’</w:t>
      </w:r>
      <w:r w:rsidR="00A60432">
        <w:rPr>
          <w:lang w:val="fr-FR"/>
        </w:rPr>
        <w:t>une manière qui ne présente pas de risque pour les décisions sur la distinction</w:t>
      </w:r>
      <w:r w:rsidRPr="0049135F">
        <w:rPr>
          <w:lang w:val="fr-FR"/>
        </w:rPr>
        <w:t>.</w:t>
      </w:r>
    </w:p>
    <w:p w:rsidR="007D574E" w:rsidRPr="0049135F" w:rsidRDefault="007D574E" w:rsidP="0009734F">
      <w:pPr>
        <w:rPr>
          <w:lang w:val="fr-FR"/>
        </w:rPr>
      </w:pPr>
    </w:p>
    <w:p w:rsidR="0009734F" w:rsidRPr="0049135F" w:rsidRDefault="00590CDC" w:rsidP="0009734F">
      <w:pPr>
        <w:ind w:firstLine="567"/>
        <w:rPr>
          <w:lang w:val="fr-FR"/>
        </w:rPr>
      </w:pPr>
      <w:r w:rsidRPr="0049135F">
        <w:rPr>
          <w:lang w:val="fr-FR"/>
        </w:rPr>
        <w:t xml:space="preserve">(PQ) </w:t>
      </w:r>
      <w:r w:rsidR="0009734F" w:rsidRPr="0049135F">
        <w:rPr>
          <w:lang w:val="fr-FR"/>
        </w:rPr>
        <w:t>C</w:t>
      </w:r>
      <w:r w:rsidR="00A60432">
        <w:rPr>
          <w:lang w:val="fr-FR"/>
        </w:rPr>
        <w:t>aractère</w:t>
      </w:r>
      <w:r w:rsidR="00373552">
        <w:rPr>
          <w:lang w:val="fr-FR"/>
        </w:rPr>
        <w:t> </w:t>
      </w:r>
      <w:r w:rsidR="0009734F" w:rsidRPr="0049135F">
        <w:rPr>
          <w:lang w:val="fr-FR"/>
        </w:rPr>
        <w:t>16</w:t>
      </w:r>
      <w:r w:rsidR="00771BA0">
        <w:rPr>
          <w:lang w:val="fr-FR"/>
        </w:rPr>
        <w:t> :</w:t>
      </w:r>
      <w:r w:rsidR="0009734F" w:rsidRPr="0049135F">
        <w:rPr>
          <w:lang w:val="fr-FR"/>
        </w:rPr>
        <w:t xml:space="preserve"> “Plant</w:t>
      </w:r>
      <w:r w:rsidR="00A60432">
        <w:rPr>
          <w:lang w:val="fr-FR"/>
        </w:rPr>
        <w:t>e</w:t>
      </w:r>
      <w:r w:rsidR="00771BA0">
        <w:rPr>
          <w:lang w:val="fr-FR"/>
        </w:rPr>
        <w:t> :</w:t>
      </w:r>
      <w:r w:rsidR="0009734F" w:rsidRPr="0049135F">
        <w:rPr>
          <w:lang w:val="fr-FR"/>
        </w:rPr>
        <w:t xml:space="preserve"> </w:t>
      </w:r>
      <w:r w:rsidR="00A60432">
        <w:rPr>
          <w:lang w:val="fr-FR"/>
        </w:rPr>
        <w:t>formation d</w:t>
      </w:r>
      <w:r w:rsidR="00771BA0">
        <w:rPr>
          <w:lang w:val="fr-FR"/>
        </w:rPr>
        <w:t>’</w:t>
      </w:r>
      <w:r w:rsidR="00A60432">
        <w:rPr>
          <w:lang w:val="fr-FR"/>
        </w:rPr>
        <w:t>une pomme</w:t>
      </w:r>
      <w:r w:rsidR="00771BA0">
        <w:rPr>
          <w:lang w:val="fr-FR"/>
        </w:rPr>
        <w:t> :</w:t>
      </w:r>
      <w:r w:rsidR="0009734F" w:rsidRPr="0049135F">
        <w:rPr>
          <w:lang w:val="fr-FR"/>
        </w:rPr>
        <w:t xml:space="preserve"> absent</w:t>
      </w:r>
      <w:r w:rsidR="00A60432">
        <w:rPr>
          <w:lang w:val="fr-FR"/>
        </w:rPr>
        <w:t>e</w:t>
      </w:r>
      <w:r w:rsidR="0009734F" w:rsidRPr="0049135F">
        <w:rPr>
          <w:lang w:val="fr-FR"/>
        </w:rPr>
        <w:t xml:space="preserve"> (1); </w:t>
      </w:r>
      <w:r w:rsidR="00A60432">
        <w:rPr>
          <w:lang w:val="fr-FR"/>
        </w:rPr>
        <w:t xml:space="preserve"> ouverte</w:t>
      </w:r>
      <w:r w:rsidR="0009734F" w:rsidRPr="0049135F">
        <w:rPr>
          <w:lang w:val="fr-FR"/>
        </w:rPr>
        <w:t xml:space="preserve"> (2); </w:t>
      </w:r>
      <w:r w:rsidR="00A60432">
        <w:rPr>
          <w:lang w:val="fr-FR"/>
        </w:rPr>
        <w:t xml:space="preserve"> fermée</w:t>
      </w:r>
      <w:r w:rsidR="0009734F" w:rsidRPr="0049135F">
        <w:rPr>
          <w:lang w:val="fr-FR"/>
        </w:rPr>
        <w:t xml:space="preserve"> (3)</w:t>
      </w:r>
    </w:p>
    <w:p w:rsidR="0009734F" w:rsidRPr="0049135F" w:rsidRDefault="00590CDC" w:rsidP="00B1091F">
      <w:pPr>
        <w:ind w:left="1134" w:hanging="567"/>
        <w:rPr>
          <w:lang w:val="fr-FR"/>
        </w:rPr>
      </w:pPr>
      <w:r w:rsidRPr="0049135F">
        <w:rPr>
          <w:lang w:val="fr-FR"/>
        </w:rPr>
        <w:t xml:space="preserve">(QN) </w:t>
      </w:r>
      <w:r w:rsidR="0009734F" w:rsidRPr="0049135F">
        <w:rPr>
          <w:lang w:val="fr-FR"/>
        </w:rPr>
        <w:t>Caract</w:t>
      </w:r>
      <w:r w:rsidR="00A60432">
        <w:rPr>
          <w:lang w:val="fr-FR"/>
        </w:rPr>
        <w:t>ère</w:t>
      </w:r>
      <w:r w:rsidR="0009734F" w:rsidRPr="0049135F">
        <w:rPr>
          <w:lang w:val="fr-FR"/>
        </w:rPr>
        <w:t>17</w:t>
      </w:r>
      <w:r w:rsidR="00771BA0">
        <w:rPr>
          <w:lang w:val="fr-FR"/>
        </w:rPr>
        <w:t> :</w:t>
      </w:r>
      <w:r w:rsidR="0009734F" w:rsidRPr="0049135F">
        <w:rPr>
          <w:lang w:val="fr-FR"/>
        </w:rPr>
        <w:t xml:space="preserve"> “</w:t>
      </w:r>
      <w:r w:rsidR="00A60432">
        <w:rPr>
          <w:u w:val="single"/>
          <w:lang w:val="fr-FR"/>
        </w:rPr>
        <w:t>Seulement pour les variétés qui forment une pomme</w:t>
      </w:r>
      <w:r w:rsidR="00771BA0">
        <w:rPr>
          <w:lang w:val="fr-FR"/>
        </w:rPr>
        <w:t> :</w:t>
      </w:r>
      <w:r w:rsidR="00B1091F" w:rsidRPr="0049135F">
        <w:rPr>
          <w:lang w:val="fr-FR"/>
        </w:rPr>
        <w:t xml:space="preserve"> </w:t>
      </w:r>
      <w:r w:rsidR="00A60432">
        <w:rPr>
          <w:lang w:val="fr-FR"/>
        </w:rPr>
        <w:t>Époque de formation de la pomme</w:t>
      </w:r>
      <w:r w:rsidR="00771BA0">
        <w:rPr>
          <w:lang w:val="fr-FR"/>
        </w:rPr>
        <w:t> :</w:t>
      </w:r>
      <w:r w:rsidR="00B1091F" w:rsidRPr="0049135F">
        <w:rPr>
          <w:lang w:val="fr-FR"/>
        </w:rPr>
        <w:t xml:space="preserve"> </w:t>
      </w:r>
      <w:r w:rsidR="00A60432">
        <w:rPr>
          <w:lang w:val="fr-FR"/>
        </w:rPr>
        <w:t>très précoce</w:t>
      </w:r>
      <w:r w:rsidR="00B1091F" w:rsidRPr="0049135F">
        <w:rPr>
          <w:lang w:val="fr-FR"/>
        </w:rPr>
        <w:t xml:space="preserve"> (1); </w:t>
      </w:r>
      <w:r w:rsidR="00E46D28">
        <w:rPr>
          <w:lang w:val="fr-FR"/>
        </w:rPr>
        <w:t xml:space="preserve"> </w:t>
      </w:r>
      <w:r w:rsidR="00A60432">
        <w:rPr>
          <w:lang w:val="fr-FR"/>
        </w:rPr>
        <w:t>précoce</w:t>
      </w:r>
      <w:r w:rsidR="00B1091F" w:rsidRPr="0049135F">
        <w:rPr>
          <w:lang w:val="fr-FR"/>
        </w:rPr>
        <w:t xml:space="preserve"> (3); </w:t>
      </w:r>
      <w:r w:rsidR="00A60432">
        <w:rPr>
          <w:lang w:val="fr-FR"/>
        </w:rPr>
        <w:t xml:space="preserve"> moyenne</w:t>
      </w:r>
      <w:r w:rsidR="00B1091F" w:rsidRPr="0049135F">
        <w:rPr>
          <w:lang w:val="fr-FR"/>
        </w:rPr>
        <w:t xml:space="preserve"> (5); </w:t>
      </w:r>
      <w:r w:rsidR="00A60432">
        <w:rPr>
          <w:lang w:val="fr-FR"/>
        </w:rPr>
        <w:t xml:space="preserve"> tardive</w:t>
      </w:r>
      <w:r w:rsidR="00B1091F" w:rsidRPr="0049135F">
        <w:rPr>
          <w:lang w:val="fr-FR"/>
        </w:rPr>
        <w:t xml:space="preserve"> (7); </w:t>
      </w:r>
      <w:r w:rsidR="00A60432">
        <w:rPr>
          <w:lang w:val="fr-FR"/>
        </w:rPr>
        <w:t xml:space="preserve"> très tardive</w:t>
      </w:r>
      <w:r w:rsidR="00B1091F" w:rsidRPr="0049135F">
        <w:rPr>
          <w:lang w:val="fr-FR"/>
        </w:rPr>
        <w:t xml:space="preserve"> (9)”</w:t>
      </w:r>
    </w:p>
    <w:p w:rsidR="00FA628E" w:rsidRPr="0049135F" w:rsidRDefault="00FA628E" w:rsidP="00FA628E">
      <w:pPr>
        <w:rPr>
          <w:lang w:val="fr-FR"/>
        </w:rPr>
      </w:pPr>
    </w:p>
    <w:p w:rsidR="0078445C" w:rsidRPr="0049135F" w:rsidRDefault="0078445C" w:rsidP="0078445C">
      <w:pPr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5814B1">
        <w:rPr>
          <w:lang w:val="fr-FR"/>
        </w:rPr>
        <w:t>Le </w:t>
      </w:r>
      <w:r w:rsidRPr="0049135F">
        <w:rPr>
          <w:lang w:val="fr-FR"/>
        </w:rPr>
        <w:t xml:space="preserve">TWF </w:t>
      </w:r>
      <w:r w:rsidR="005814B1">
        <w:rPr>
          <w:lang w:val="fr-FR"/>
        </w:rPr>
        <w:t>est convenu que le caractère quantitatif ci</w:t>
      </w:r>
      <w:r w:rsidR="00771BA0">
        <w:rPr>
          <w:lang w:val="fr-FR"/>
        </w:rPr>
        <w:t>-</w:t>
      </w:r>
      <w:r w:rsidR="005814B1">
        <w:rPr>
          <w:lang w:val="fr-FR"/>
        </w:rPr>
        <w:t>après tiré des principes directeurs d</w:t>
      </w:r>
      <w:r w:rsidR="00771BA0">
        <w:rPr>
          <w:lang w:val="fr-FR"/>
        </w:rPr>
        <w:t>’</w:t>
      </w:r>
      <w:r w:rsidR="005814B1">
        <w:rPr>
          <w:lang w:val="fr-FR"/>
        </w:rPr>
        <w:t xml:space="preserve">examen du figuier </w:t>
      </w:r>
      <w:r w:rsidRPr="0049135F">
        <w:rPr>
          <w:lang w:val="fr-FR"/>
        </w:rPr>
        <w:t xml:space="preserve">(TG/265/1) </w:t>
      </w:r>
      <w:r w:rsidR="005814B1">
        <w:rPr>
          <w:lang w:val="fr-FR"/>
        </w:rPr>
        <w:t>offrait un bon exemple pour expliquer comment la méthode pouvait être utilisée d</w:t>
      </w:r>
      <w:r w:rsidR="00771BA0">
        <w:rPr>
          <w:lang w:val="fr-FR"/>
        </w:rPr>
        <w:t>’</w:t>
      </w:r>
      <w:r w:rsidR="005814B1">
        <w:rPr>
          <w:lang w:val="fr-FR"/>
        </w:rPr>
        <w:t>une manière qui ne présente pas de risque pour les décisions sur la distinction</w:t>
      </w:r>
      <w:r w:rsidRPr="0049135F">
        <w:rPr>
          <w:lang w:val="fr-FR"/>
        </w:rPr>
        <w:t>.</w:t>
      </w:r>
    </w:p>
    <w:p w:rsidR="0078445C" w:rsidRPr="0049135F" w:rsidRDefault="0078445C" w:rsidP="0078445C">
      <w:pPr>
        <w:rPr>
          <w:lang w:val="fr-FR"/>
        </w:rPr>
      </w:pPr>
    </w:p>
    <w:p w:rsidR="0078445C" w:rsidRPr="0049135F" w:rsidRDefault="00590CDC" w:rsidP="0078445C">
      <w:pPr>
        <w:ind w:firstLine="567"/>
        <w:rPr>
          <w:lang w:val="fr-FR"/>
        </w:rPr>
      </w:pPr>
      <w:r w:rsidRPr="0049135F">
        <w:rPr>
          <w:lang w:val="fr-FR"/>
        </w:rPr>
        <w:t xml:space="preserve">(QN) </w:t>
      </w:r>
      <w:r w:rsidR="005814B1">
        <w:rPr>
          <w:lang w:val="fr-FR"/>
        </w:rPr>
        <w:t>Caractère</w:t>
      </w:r>
      <w:r w:rsidR="0078445C" w:rsidRPr="0049135F">
        <w:rPr>
          <w:lang w:val="fr-FR"/>
        </w:rPr>
        <w:t xml:space="preserve"> 17</w:t>
      </w:r>
      <w:r w:rsidR="00771BA0">
        <w:rPr>
          <w:lang w:val="fr-FR"/>
        </w:rPr>
        <w:t> :</w:t>
      </w:r>
      <w:r w:rsidR="0078445C" w:rsidRPr="0049135F">
        <w:rPr>
          <w:lang w:val="fr-FR"/>
        </w:rPr>
        <w:t xml:space="preserve"> “</w:t>
      </w:r>
      <w:r w:rsidR="005814B1">
        <w:rPr>
          <w:lang w:val="fr-FR"/>
        </w:rPr>
        <w:t>Feuille</w:t>
      </w:r>
      <w:r w:rsidR="00771BA0">
        <w:rPr>
          <w:lang w:val="fr-FR"/>
        </w:rPr>
        <w:t> :</w:t>
      </w:r>
      <w:r w:rsidR="0078445C" w:rsidRPr="0049135F">
        <w:rPr>
          <w:lang w:val="fr-FR"/>
        </w:rPr>
        <w:t xml:space="preserve"> </w:t>
      </w:r>
      <w:r w:rsidR="005814B1">
        <w:rPr>
          <w:lang w:val="fr-FR"/>
        </w:rPr>
        <w:t>type prédominant</w:t>
      </w:r>
      <w:r w:rsidR="00771BA0">
        <w:rPr>
          <w:lang w:val="fr-FR"/>
        </w:rPr>
        <w:t> :</w:t>
      </w:r>
      <w:r w:rsidR="0078445C" w:rsidRPr="0049135F">
        <w:rPr>
          <w:lang w:val="fr-FR"/>
        </w:rPr>
        <w:t xml:space="preserve"> </w:t>
      </w:r>
      <w:r w:rsidR="005814B1">
        <w:rPr>
          <w:lang w:val="fr-FR"/>
        </w:rPr>
        <w:t>entière</w:t>
      </w:r>
      <w:r w:rsidR="0078445C" w:rsidRPr="0049135F">
        <w:rPr>
          <w:lang w:val="fr-FR"/>
        </w:rPr>
        <w:t xml:space="preserve"> (1); </w:t>
      </w:r>
      <w:r w:rsidR="005814B1">
        <w:rPr>
          <w:lang w:val="fr-FR"/>
        </w:rPr>
        <w:t xml:space="preserve"> à trois</w:t>
      </w:r>
      <w:r w:rsidR="007E1DE5">
        <w:rPr>
          <w:lang w:val="fr-FR"/>
        </w:rPr>
        <w:t> </w:t>
      </w:r>
      <w:r w:rsidR="005814B1">
        <w:rPr>
          <w:lang w:val="fr-FR"/>
        </w:rPr>
        <w:t>lobes</w:t>
      </w:r>
      <w:r w:rsidR="0078445C" w:rsidRPr="0049135F">
        <w:rPr>
          <w:lang w:val="fr-FR"/>
        </w:rPr>
        <w:t xml:space="preserve"> (2); </w:t>
      </w:r>
      <w:r w:rsidR="005814B1">
        <w:rPr>
          <w:lang w:val="fr-FR"/>
        </w:rPr>
        <w:t xml:space="preserve"> à cinq</w:t>
      </w:r>
      <w:r w:rsidR="007E1DE5">
        <w:rPr>
          <w:lang w:val="fr-FR"/>
        </w:rPr>
        <w:t> </w:t>
      </w:r>
      <w:r w:rsidR="005814B1">
        <w:rPr>
          <w:lang w:val="fr-FR"/>
        </w:rPr>
        <w:t>lobes</w:t>
      </w:r>
      <w:r w:rsidR="0078445C" w:rsidRPr="0049135F">
        <w:rPr>
          <w:lang w:val="fr-FR"/>
        </w:rPr>
        <w:t xml:space="preserve"> (3)</w:t>
      </w:r>
    </w:p>
    <w:p w:rsidR="0078445C" w:rsidRPr="0049135F" w:rsidRDefault="00A35554" w:rsidP="00441172">
      <w:pPr>
        <w:ind w:left="1134" w:hanging="567"/>
        <w:rPr>
          <w:lang w:val="fr-FR"/>
        </w:rPr>
      </w:pPr>
      <w:r w:rsidRPr="0049135F">
        <w:rPr>
          <w:lang w:val="fr-FR"/>
        </w:rPr>
        <w:t xml:space="preserve">(PQ) </w:t>
      </w:r>
      <w:r w:rsidR="005814B1">
        <w:rPr>
          <w:lang w:val="fr-FR"/>
        </w:rPr>
        <w:t>Caractère</w:t>
      </w:r>
      <w:r w:rsidR="00373552">
        <w:rPr>
          <w:lang w:val="fr-FR"/>
        </w:rPr>
        <w:t> </w:t>
      </w:r>
      <w:r w:rsidR="0078445C" w:rsidRPr="0049135F">
        <w:rPr>
          <w:lang w:val="fr-FR"/>
        </w:rPr>
        <w:t>18</w:t>
      </w:r>
      <w:r w:rsidR="00771BA0">
        <w:rPr>
          <w:lang w:val="fr-FR"/>
        </w:rPr>
        <w:t> :</w:t>
      </w:r>
      <w:r w:rsidR="0078445C" w:rsidRPr="0049135F">
        <w:rPr>
          <w:lang w:val="fr-FR"/>
        </w:rPr>
        <w:t xml:space="preserve"> “</w:t>
      </w:r>
      <w:r w:rsidR="005814B1">
        <w:rPr>
          <w:u w:val="single"/>
          <w:lang w:val="fr-FR"/>
        </w:rPr>
        <w:t>Seulement les variétés à type de feuille prédominant</w:t>
      </w:r>
      <w:r w:rsidR="00771BA0">
        <w:rPr>
          <w:u w:val="single"/>
          <w:lang w:val="fr-FR"/>
        </w:rPr>
        <w:t> :</w:t>
      </w:r>
      <w:r w:rsidR="005814B1">
        <w:rPr>
          <w:u w:val="single"/>
          <w:lang w:val="fr-FR"/>
        </w:rPr>
        <w:t xml:space="preserve"> feuille entière</w:t>
      </w:r>
      <w:r w:rsidR="00771BA0">
        <w:rPr>
          <w:lang w:val="fr-FR"/>
        </w:rPr>
        <w:t> :</w:t>
      </w:r>
      <w:r w:rsidR="0078445C" w:rsidRPr="0049135F">
        <w:rPr>
          <w:lang w:val="fr-FR"/>
        </w:rPr>
        <w:t xml:space="preserve"> </w:t>
      </w:r>
      <w:r w:rsidR="005814B1">
        <w:rPr>
          <w:lang w:val="fr-FR"/>
        </w:rPr>
        <w:t>Feuille</w:t>
      </w:r>
      <w:r w:rsidR="00771BA0">
        <w:rPr>
          <w:lang w:val="fr-FR"/>
        </w:rPr>
        <w:t> :</w:t>
      </w:r>
      <w:r w:rsidR="005814B1">
        <w:rPr>
          <w:lang w:val="fr-FR"/>
        </w:rPr>
        <w:t xml:space="preserve"> forme</w:t>
      </w:r>
      <w:r w:rsidR="00441172" w:rsidRPr="0049135F">
        <w:rPr>
          <w:lang w:val="fr-FR"/>
        </w:rPr>
        <w:t xml:space="preserve"> cord</w:t>
      </w:r>
      <w:r w:rsidR="005814B1">
        <w:rPr>
          <w:lang w:val="fr-FR"/>
        </w:rPr>
        <w:t>iforme</w:t>
      </w:r>
      <w:r w:rsidR="00441172" w:rsidRPr="0049135F">
        <w:rPr>
          <w:lang w:val="fr-FR"/>
        </w:rPr>
        <w:t xml:space="preserve"> (1); </w:t>
      </w:r>
      <w:r w:rsidR="005814B1">
        <w:rPr>
          <w:lang w:val="fr-FR"/>
        </w:rPr>
        <w:t xml:space="preserve"> triangulaire</w:t>
      </w:r>
      <w:r w:rsidR="00441172" w:rsidRPr="0049135F">
        <w:rPr>
          <w:lang w:val="fr-FR"/>
        </w:rPr>
        <w:t xml:space="preserve"> (2); </w:t>
      </w:r>
      <w:r w:rsidR="005814B1">
        <w:rPr>
          <w:lang w:val="fr-FR"/>
        </w:rPr>
        <w:t xml:space="preserve"> lancéolée</w:t>
      </w:r>
      <w:r w:rsidR="00441172" w:rsidRPr="0049135F">
        <w:rPr>
          <w:lang w:val="fr-FR"/>
        </w:rPr>
        <w:t xml:space="preserve"> (3); </w:t>
      </w:r>
      <w:r w:rsidR="005814B1">
        <w:rPr>
          <w:lang w:val="fr-FR"/>
        </w:rPr>
        <w:t xml:space="preserve"> elliptique</w:t>
      </w:r>
      <w:r w:rsidR="00441172" w:rsidRPr="0049135F">
        <w:rPr>
          <w:lang w:val="fr-FR"/>
        </w:rPr>
        <w:t xml:space="preserve"> (4)”</w:t>
      </w:r>
    </w:p>
    <w:p w:rsidR="004B705C" w:rsidRPr="0049135F" w:rsidRDefault="004B705C" w:rsidP="004B705C">
      <w:pPr>
        <w:rPr>
          <w:rFonts w:cs="Arial"/>
          <w:lang w:val="fr-FR"/>
        </w:rPr>
      </w:pPr>
    </w:p>
    <w:p w:rsidR="004B705C" w:rsidRPr="0049135F" w:rsidRDefault="004B705C" w:rsidP="004B705C">
      <w:pPr>
        <w:rPr>
          <w:rFonts w:cs="Arial"/>
          <w:lang w:val="fr-FR"/>
        </w:rPr>
      </w:pPr>
      <w:r w:rsidRPr="0049135F">
        <w:rPr>
          <w:rFonts w:cs="Arial"/>
          <w:lang w:val="fr-FR"/>
        </w:rPr>
        <w:fldChar w:fldCharType="begin"/>
      </w:r>
      <w:r w:rsidRPr="0049135F">
        <w:rPr>
          <w:rFonts w:cs="Arial"/>
          <w:lang w:val="fr-FR"/>
        </w:rPr>
        <w:instrText xml:space="preserve"> AUTONUM  </w:instrText>
      </w:r>
      <w:r w:rsidRPr="0049135F">
        <w:rPr>
          <w:rFonts w:cs="Arial"/>
          <w:lang w:val="fr-FR"/>
        </w:rPr>
        <w:fldChar w:fldCharType="end"/>
      </w:r>
      <w:r w:rsidRPr="0049135F">
        <w:rPr>
          <w:rFonts w:cs="Arial"/>
          <w:lang w:val="fr-FR"/>
        </w:rPr>
        <w:tab/>
      </w:r>
      <w:r w:rsidR="00433C8F">
        <w:rPr>
          <w:rFonts w:cs="Arial"/>
          <w:lang w:val="fr-FR"/>
        </w:rPr>
        <w:t>Les observations formulées par le TWA à sa quarante</w:t>
      </w:r>
      <w:r w:rsidR="00771BA0">
        <w:rPr>
          <w:rFonts w:cs="Arial"/>
          <w:lang w:val="fr-FR"/>
        </w:rPr>
        <w:t>-</w:t>
      </w:r>
      <w:r w:rsidR="00433C8F">
        <w:rPr>
          <w:rFonts w:cs="Arial"/>
          <w:lang w:val="fr-FR"/>
        </w:rPr>
        <w:t>huit</w:t>
      </w:r>
      <w:r w:rsidR="00771BA0">
        <w:rPr>
          <w:rFonts w:cs="Arial"/>
          <w:lang w:val="fr-FR"/>
        </w:rPr>
        <w:t>ième session</w:t>
      </w:r>
      <w:r w:rsidR="00433C8F">
        <w:rPr>
          <w:rFonts w:cs="Arial"/>
          <w:lang w:val="fr-FR"/>
        </w:rPr>
        <w:t xml:space="preserve"> qui se tiendra à</w:t>
      </w:r>
      <w:r w:rsidRPr="0049135F">
        <w:rPr>
          <w:rFonts w:cs="Arial"/>
          <w:lang w:val="fr-FR"/>
        </w:rPr>
        <w:t xml:space="preserve"> Montevideo</w:t>
      </w:r>
      <w:r w:rsidR="00433C8F">
        <w:rPr>
          <w:rFonts w:cs="Arial"/>
          <w:lang w:val="fr-FR"/>
        </w:rPr>
        <w:t xml:space="preserve"> (Uruguay) du 16 au 2</w:t>
      </w:r>
      <w:r w:rsidR="00771BA0">
        <w:rPr>
          <w:rFonts w:cs="Arial"/>
          <w:lang w:val="fr-FR"/>
        </w:rPr>
        <w:t>0 septembre 20</w:t>
      </w:r>
      <w:r w:rsidR="00433C8F">
        <w:rPr>
          <w:rFonts w:cs="Arial"/>
          <w:lang w:val="fr-FR"/>
        </w:rPr>
        <w:t>19</w:t>
      </w:r>
      <w:r w:rsidRPr="0049135F">
        <w:rPr>
          <w:rFonts w:cs="Arial"/>
          <w:lang w:val="fr-FR"/>
        </w:rPr>
        <w:t xml:space="preserve">, </w:t>
      </w:r>
      <w:r w:rsidR="00433C8F">
        <w:rPr>
          <w:rFonts w:cs="Arial"/>
          <w:lang w:val="fr-FR"/>
        </w:rPr>
        <w:t>ainsi que par le TWC à sa trente</w:t>
      </w:r>
      <w:r w:rsidR="00771BA0">
        <w:rPr>
          <w:rFonts w:cs="Arial"/>
          <w:lang w:val="fr-FR"/>
        </w:rPr>
        <w:t>-</w:t>
      </w:r>
      <w:r w:rsidR="00433C8F">
        <w:rPr>
          <w:rFonts w:cs="Arial"/>
          <w:lang w:val="fr-FR"/>
        </w:rPr>
        <w:t>sept</w:t>
      </w:r>
      <w:r w:rsidR="00771BA0">
        <w:rPr>
          <w:rFonts w:cs="Arial"/>
          <w:lang w:val="fr-FR"/>
        </w:rPr>
        <w:t>ième session</w:t>
      </w:r>
      <w:r w:rsidR="00433C8F">
        <w:rPr>
          <w:rFonts w:cs="Arial"/>
          <w:lang w:val="fr-FR"/>
        </w:rPr>
        <w:t xml:space="preserve"> qui se tiendra à</w:t>
      </w:r>
      <w:r w:rsidRPr="0049135F">
        <w:rPr>
          <w:rFonts w:cs="Arial"/>
          <w:lang w:val="fr-FR"/>
        </w:rPr>
        <w:t xml:space="preserve"> Hangzhou</w:t>
      </w:r>
      <w:r w:rsidR="00433C8F">
        <w:rPr>
          <w:rFonts w:cs="Arial"/>
          <w:lang w:val="fr-FR"/>
        </w:rPr>
        <w:t xml:space="preserve"> (</w:t>
      </w:r>
      <w:r w:rsidRPr="0049135F">
        <w:rPr>
          <w:rFonts w:cs="Arial"/>
          <w:lang w:val="fr-FR"/>
        </w:rPr>
        <w:t>Chin</w:t>
      </w:r>
      <w:r w:rsidR="00433C8F">
        <w:rPr>
          <w:rFonts w:cs="Arial"/>
          <w:lang w:val="fr-FR"/>
        </w:rPr>
        <w:t>e) du 14 au 1</w:t>
      </w:r>
      <w:r w:rsidR="00771BA0">
        <w:rPr>
          <w:rFonts w:cs="Arial"/>
          <w:lang w:val="fr-FR"/>
        </w:rPr>
        <w:t>6 octobre </w:t>
      </w:r>
      <w:r w:rsidR="00771BA0" w:rsidRPr="0049135F">
        <w:rPr>
          <w:rFonts w:cs="Arial"/>
          <w:lang w:val="fr-FR"/>
        </w:rPr>
        <w:t>20</w:t>
      </w:r>
      <w:r w:rsidRPr="0049135F">
        <w:rPr>
          <w:rFonts w:cs="Arial"/>
          <w:lang w:val="fr-FR"/>
        </w:rPr>
        <w:t xml:space="preserve">19, </w:t>
      </w:r>
      <w:r w:rsidR="00C17075">
        <w:rPr>
          <w:rFonts w:cs="Arial"/>
          <w:lang w:val="fr-FR"/>
        </w:rPr>
        <w:t>seront présentées dans un additif au présent document</w:t>
      </w:r>
      <w:r w:rsidRPr="0049135F">
        <w:rPr>
          <w:rFonts w:cs="Arial"/>
          <w:lang w:val="fr-FR"/>
        </w:rPr>
        <w:t>.</w:t>
      </w:r>
    </w:p>
    <w:p w:rsidR="00FA628E" w:rsidRPr="0049135F" w:rsidRDefault="00FA628E" w:rsidP="00FA628E">
      <w:pPr>
        <w:rPr>
          <w:lang w:val="fr-FR"/>
        </w:rPr>
      </w:pPr>
    </w:p>
    <w:p w:rsidR="002C262B" w:rsidRPr="0049135F" w:rsidRDefault="002C262B" w:rsidP="00CD7374">
      <w:pPr>
        <w:pStyle w:val="Heading1"/>
        <w:rPr>
          <w:lang w:val="fr-FR"/>
        </w:rPr>
      </w:pPr>
      <w:bookmarkStart w:id="4" w:name="_Toc18418626"/>
      <w:r w:rsidRPr="0049135F">
        <w:rPr>
          <w:lang w:val="fr-FR"/>
        </w:rPr>
        <w:lastRenderedPageBreak/>
        <w:t>PROPOS</w:t>
      </w:r>
      <w:r w:rsidR="00C17075">
        <w:rPr>
          <w:lang w:val="fr-FR"/>
        </w:rPr>
        <w:t>ition</w:t>
      </w:r>
      <w:bookmarkEnd w:id="4"/>
    </w:p>
    <w:p w:rsidR="002C262B" w:rsidRPr="0049135F" w:rsidRDefault="002C262B" w:rsidP="00CD7374">
      <w:pPr>
        <w:keepNext/>
        <w:rPr>
          <w:lang w:val="fr-FR"/>
        </w:rPr>
      </w:pPr>
    </w:p>
    <w:p w:rsidR="00D31688" w:rsidRPr="0049135F" w:rsidRDefault="00D31688" w:rsidP="00CD7374">
      <w:pPr>
        <w:keepNext/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C17075">
        <w:rPr>
          <w:lang w:val="fr-FR"/>
        </w:rPr>
        <w:t xml:space="preserve">Sur la base des observations formulées par les TWP à leurs sessions </w:t>
      </w:r>
      <w:r w:rsidR="006F659B">
        <w:rPr>
          <w:lang w:val="fr-FR"/>
        </w:rPr>
        <w:t xml:space="preserve">tenues </w:t>
      </w:r>
      <w:r w:rsidR="00771BA0">
        <w:rPr>
          <w:lang w:val="fr-FR"/>
        </w:rPr>
        <w:t>en 2019</w:t>
      </w:r>
      <w:r w:rsidR="00C17075">
        <w:rPr>
          <w:lang w:val="fr-FR"/>
        </w:rPr>
        <w:t>, le</w:t>
      </w:r>
      <w:r w:rsidR="00771BA0">
        <w:rPr>
          <w:lang w:val="fr-FR"/>
        </w:rPr>
        <w:t> TC</w:t>
      </w:r>
      <w:r w:rsidR="00C17075">
        <w:rPr>
          <w:lang w:val="fr-FR"/>
        </w:rPr>
        <w:t xml:space="preserve"> est invité à examiner </w:t>
      </w:r>
      <w:r w:rsidR="006F659B">
        <w:rPr>
          <w:lang w:val="fr-FR"/>
        </w:rPr>
        <w:t>les exemples de caractères quantitatif et pseudo</w:t>
      </w:r>
      <w:r w:rsidR="00771BA0">
        <w:rPr>
          <w:lang w:val="fr-FR"/>
        </w:rPr>
        <w:t>-</w:t>
      </w:r>
      <w:r w:rsidR="006F659B">
        <w:rPr>
          <w:lang w:val="fr-FR"/>
        </w:rPr>
        <w:t xml:space="preserve">qualitatif </w:t>
      </w:r>
      <w:r w:rsidR="00CD7374">
        <w:rPr>
          <w:lang w:val="fr-FR"/>
        </w:rPr>
        <w:t>ci</w:t>
      </w:r>
      <w:r w:rsidR="00CD7374">
        <w:rPr>
          <w:lang w:val="fr-FR"/>
        </w:rPr>
        <w:noBreakHyphen/>
        <w:t xml:space="preserve">après </w:t>
      </w:r>
      <w:r w:rsidR="006F659B">
        <w:rPr>
          <w:lang w:val="fr-FR"/>
        </w:rPr>
        <w:t>qui expliquent comment la méthode peut être utilisée d</w:t>
      </w:r>
      <w:r w:rsidR="00771BA0">
        <w:rPr>
          <w:lang w:val="fr-FR"/>
        </w:rPr>
        <w:t>’</w:t>
      </w:r>
      <w:r w:rsidR="006F659B">
        <w:rPr>
          <w:lang w:val="fr-FR"/>
        </w:rPr>
        <w:t>une manière qui ne présente pas de risque pour les décisions sur la distinction</w:t>
      </w:r>
      <w:r w:rsidR="00771BA0">
        <w:rPr>
          <w:lang w:val="fr-FR"/>
        </w:rPr>
        <w:t> :</w:t>
      </w:r>
    </w:p>
    <w:p w:rsidR="00AF0152" w:rsidRPr="0049135F" w:rsidRDefault="00AF0152" w:rsidP="00E860CB">
      <w:pPr>
        <w:ind w:left="1276" w:right="565" w:hanging="567"/>
        <w:rPr>
          <w:lang w:val="fr-FR"/>
        </w:rPr>
      </w:pPr>
    </w:p>
    <w:p w:rsidR="00AF0152" w:rsidRPr="0049135F" w:rsidRDefault="006F659B" w:rsidP="000C5228">
      <w:pPr>
        <w:keepNext/>
        <w:keepLines/>
        <w:ind w:left="1276" w:hanging="567"/>
        <w:rPr>
          <w:i/>
          <w:snapToGrid w:val="0"/>
          <w:lang w:val="fr-FR"/>
        </w:rPr>
      </w:pPr>
      <w:r>
        <w:rPr>
          <w:i/>
          <w:lang w:val="fr-FR"/>
        </w:rPr>
        <w:t>Principes directeurs d</w:t>
      </w:r>
      <w:r w:rsidR="00771BA0">
        <w:rPr>
          <w:i/>
          <w:lang w:val="fr-FR"/>
        </w:rPr>
        <w:t>’</w:t>
      </w:r>
      <w:r>
        <w:rPr>
          <w:i/>
          <w:lang w:val="fr-FR"/>
        </w:rPr>
        <w:t>examen du dahlia (TG/226/1)</w:t>
      </w:r>
      <w:r w:rsidR="00771BA0">
        <w:rPr>
          <w:i/>
          <w:lang w:val="fr-FR"/>
        </w:rPr>
        <w:t> :</w:t>
      </w:r>
    </w:p>
    <w:p w:rsidR="006F659B" w:rsidRPr="0049135F" w:rsidRDefault="006F659B" w:rsidP="006F659B">
      <w:pPr>
        <w:rPr>
          <w:snapToGrid w:val="0"/>
          <w:lang w:val="fr-FR"/>
        </w:rPr>
      </w:pPr>
    </w:p>
    <w:p w:rsidR="006F659B" w:rsidRPr="0049135F" w:rsidRDefault="006F659B" w:rsidP="006F659B">
      <w:pPr>
        <w:ind w:left="1134" w:hanging="426"/>
        <w:rPr>
          <w:snapToGrid w:val="0"/>
          <w:lang w:val="fr-FR"/>
        </w:rPr>
      </w:pPr>
      <w:r w:rsidRPr="0049135F">
        <w:rPr>
          <w:snapToGrid w:val="0"/>
          <w:lang w:val="fr-FR"/>
        </w:rPr>
        <w:t xml:space="preserve">(PQ) </w:t>
      </w:r>
      <w:r>
        <w:rPr>
          <w:snapToGrid w:val="0"/>
          <w:lang w:val="fr-FR"/>
        </w:rPr>
        <w:t>Caractère</w:t>
      </w:r>
      <w:r w:rsidR="00373552">
        <w:rPr>
          <w:snapToGrid w:val="0"/>
          <w:lang w:val="fr-FR"/>
        </w:rPr>
        <w:t> </w:t>
      </w:r>
      <w:r w:rsidRPr="0049135F">
        <w:rPr>
          <w:snapToGrid w:val="0"/>
          <w:lang w:val="fr-FR"/>
        </w:rPr>
        <w:t>21</w:t>
      </w:r>
      <w:r w:rsidR="00771BA0">
        <w:rPr>
          <w:snapToGrid w:val="0"/>
          <w:lang w:val="fr-FR"/>
        </w:rPr>
        <w:t> :</w:t>
      </w:r>
      <w:r w:rsidRPr="0049135F">
        <w:rPr>
          <w:snapToGrid w:val="0"/>
          <w:lang w:val="fr-FR"/>
        </w:rPr>
        <w:t xml:space="preserve"> </w:t>
      </w:r>
      <w:r>
        <w:rPr>
          <w:snapToGrid w:val="0"/>
          <w:lang w:val="fr-FR"/>
        </w:rPr>
        <w:t>Capitule</w:t>
      </w:r>
      <w:r w:rsidR="00771BA0">
        <w:rPr>
          <w:snapToGrid w:val="0"/>
          <w:lang w:val="fr-FR"/>
        </w:rPr>
        <w:t> :</w:t>
      </w:r>
      <w:r>
        <w:rPr>
          <w:snapToGrid w:val="0"/>
          <w:lang w:val="fr-FR"/>
        </w:rPr>
        <w:t xml:space="preserve"> type</w:t>
      </w:r>
      <w:r w:rsidR="00771BA0">
        <w:rPr>
          <w:snapToGrid w:val="0"/>
          <w:lang w:val="fr-FR"/>
        </w:rPr>
        <w:t> :</w:t>
      </w:r>
      <w:r>
        <w:rPr>
          <w:snapToGrid w:val="0"/>
          <w:lang w:val="fr-FR"/>
        </w:rPr>
        <w:t xml:space="preserve"> simple</w:t>
      </w:r>
      <w:r w:rsidRPr="0049135F">
        <w:rPr>
          <w:snapToGrid w:val="0"/>
          <w:lang w:val="fr-FR"/>
        </w:rPr>
        <w:t xml:space="preserve"> (1); </w:t>
      </w:r>
      <w:r>
        <w:rPr>
          <w:snapToGrid w:val="0"/>
          <w:lang w:val="fr-FR"/>
        </w:rPr>
        <w:t xml:space="preserve"> </w:t>
      </w:r>
      <w:r w:rsidRPr="0049135F">
        <w:rPr>
          <w:snapToGrid w:val="0"/>
          <w:lang w:val="fr-FR"/>
        </w:rPr>
        <w:t>semi</w:t>
      </w:r>
      <w:r w:rsidR="00771BA0">
        <w:rPr>
          <w:snapToGrid w:val="0"/>
          <w:lang w:val="fr-FR"/>
        </w:rPr>
        <w:t>-</w:t>
      </w:r>
      <w:r w:rsidRPr="0049135F">
        <w:rPr>
          <w:snapToGrid w:val="0"/>
          <w:lang w:val="fr-FR"/>
        </w:rPr>
        <w:t xml:space="preserve">double (2); </w:t>
      </w:r>
      <w:r>
        <w:rPr>
          <w:snapToGrid w:val="0"/>
          <w:lang w:val="fr-FR"/>
        </w:rPr>
        <w:t xml:space="preserve"> double à œil de marguerite</w:t>
      </w:r>
      <w:r w:rsidRPr="0049135F">
        <w:rPr>
          <w:snapToGrid w:val="0"/>
          <w:lang w:val="fr-FR"/>
        </w:rPr>
        <w:t xml:space="preserve"> (3); </w:t>
      </w:r>
      <w:r>
        <w:rPr>
          <w:snapToGrid w:val="0"/>
          <w:lang w:val="fr-FR"/>
        </w:rPr>
        <w:t xml:space="preserve"> </w:t>
      </w:r>
      <w:r w:rsidRPr="0049135F">
        <w:rPr>
          <w:snapToGrid w:val="0"/>
          <w:lang w:val="fr-FR"/>
        </w:rPr>
        <w:t>double</w:t>
      </w:r>
      <w:r>
        <w:rPr>
          <w:snapToGrid w:val="0"/>
          <w:lang w:val="fr-FR"/>
        </w:rPr>
        <w:t> </w:t>
      </w:r>
      <w:r w:rsidRPr="0049135F">
        <w:rPr>
          <w:snapToGrid w:val="0"/>
          <w:lang w:val="fr-FR"/>
        </w:rPr>
        <w:t>(4)</w:t>
      </w:r>
    </w:p>
    <w:p w:rsidR="006F659B" w:rsidRPr="0049135F" w:rsidRDefault="006F659B" w:rsidP="006F659B">
      <w:pPr>
        <w:ind w:left="1276" w:hanging="567"/>
        <w:rPr>
          <w:snapToGrid w:val="0"/>
          <w:lang w:val="fr-FR"/>
        </w:rPr>
      </w:pPr>
      <w:r w:rsidRPr="0049135F">
        <w:rPr>
          <w:snapToGrid w:val="0"/>
          <w:lang w:val="fr-FR"/>
        </w:rPr>
        <w:t>(QN) Caract</w:t>
      </w:r>
      <w:r>
        <w:rPr>
          <w:snapToGrid w:val="0"/>
          <w:lang w:val="fr-FR"/>
        </w:rPr>
        <w:t>è</w:t>
      </w:r>
      <w:r w:rsidRPr="0049135F">
        <w:rPr>
          <w:snapToGrid w:val="0"/>
          <w:lang w:val="fr-FR"/>
        </w:rPr>
        <w:t>r</w:t>
      </w:r>
      <w:r>
        <w:rPr>
          <w:snapToGrid w:val="0"/>
          <w:lang w:val="fr-FR"/>
        </w:rPr>
        <w:t>e</w:t>
      </w:r>
      <w:r w:rsidR="00373552">
        <w:rPr>
          <w:snapToGrid w:val="0"/>
          <w:lang w:val="fr-FR"/>
        </w:rPr>
        <w:t> </w:t>
      </w:r>
      <w:r w:rsidRPr="0049135F">
        <w:rPr>
          <w:snapToGrid w:val="0"/>
          <w:lang w:val="fr-FR"/>
        </w:rPr>
        <w:t>26</w:t>
      </w:r>
      <w:r w:rsidR="00771BA0">
        <w:rPr>
          <w:snapToGrid w:val="0"/>
          <w:lang w:val="fr-FR"/>
        </w:rPr>
        <w:t> :</w:t>
      </w:r>
      <w:r w:rsidRPr="0049135F">
        <w:rPr>
          <w:snapToGrid w:val="0"/>
          <w:lang w:val="fr-FR"/>
        </w:rPr>
        <w:t xml:space="preserve"> </w:t>
      </w:r>
      <w:r>
        <w:rPr>
          <w:u w:val="single"/>
          <w:lang w:val="fr-FR"/>
        </w:rPr>
        <w:t>Seulement les variétés doubles et doubles à œil de marguerite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>
        <w:rPr>
          <w:lang w:val="fr-FR"/>
        </w:rPr>
        <w:t>Capitule</w:t>
      </w:r>
      <w:r w:rsidR="00771BA0">
        <w:rPr>
          <w:lang w:val="fr-FR"/>
        </w:rPr>
        <w:t> :</w:t>
      </w:r>
      <w:r>
        <w:rPr>
          <w:lang w:val="fr-FR"/>
        </w:rPr>
        <w:t xml:space="preserve"> hauteur</w:t>
      </w:r>
      <w:r w:rsidR="00771BA0">
        <w:rPr>
          <w:lang w:val="fr-FR"/>
        </w:rPr>
        <w:t> :</w:t>
      </w:r>
      <w:r>
        <w:rPr>
          <w:lang w:val="fr-FR"/>
        </w:rPr>
        <w:t xml:space="preserve"> court</w:t>
      </w:r>
      <w:r w:rsidRPr="0049135F">
        <w:rPr>
          <w:lang w:val="fr-FR"/>
        </w:rPr>
        <w:t xml:space="preserve"> (3); </w:t>
      </w:r>
      <w:r>
        <w:rPr>
          <w:lang w:val="fr-FR"/>
        </w:rPr>
        <w:t xml:space="preserve"> moyen </w:t>
      </w:r>
      <w:r w:rsidRPr="0049135F">
        <w:rPr>
          <w:lang w:val="fr-FR"/>
        </w:rPr>
        <w:t xml:space="preserve">(5); </w:t>
      </w:r>
      <w:r>
        <w:rPr>
          <w:lang w:val="fr-FR"/>
        </w:rPr>
        <w:t xml:space="preserve"> haut</w:t>
      </w:r>
      <w:r w:rsidRPr="0049135F">
        <w:rPr>
          <w:lang w:val="fr-FR"/>
        </w:rPr>
        <w:t xml:space="preserve"> (7)</w:t>
      </w:r>
    </w:p>
    <w:p w:rsidR="006F659B" w:rsidRPr="0049135F" w:rsidRDefault="006F659B" w:rsidP="006F659B">
      <w:pPr>
        <w:rPr>
          <w:snapToGrid w:val="0"/>
          <w:lang w:val="fr-FR"/>
        </w:rPr>
      </w:pPr>
    </w:p>
    <w:p w:rsidR="00AF0152" w:rsidRPr="0049135F" w:rsidRDefault="006F659B" w:rsidP="00E860CB">
      <w:pPr>
        <w:keepNext/>
        <w:ind w:left="1276" w:hanging="567"/>
        <w:rPr>
          <w:i/>
          <w:lang w:val="fr-FR"/>
        </w:rPr>
      </w:pPr>
      <w:r>
        <w:rPr>
          <w:i/>
          <w:lang w:val="fr-FR"/>
        </w:rPr>
        <w:t>Principes directeurs d</w:t>
      </w:r>
      <w:r w:rsidR="00771BA0">
        <w:rPr>
          <w:i/>
          <w:lang w:val="fr-FR"/>
        </w:rPr>
        <w:t>’</w:t>
      </w:r>
      <w:r>
        <w:rPr>
          <w:i/>
          <w:lang w:val="fr-FR"/>
        </w:rPr>
        <w:t>examen de la chicorée à feuilles</w:t>
      </w:r>
      <w:r w:rsidR="00AF0152" w:rsidRPr="0049135F">
        <w:rPr>
          <w:i/>
          <w:lang w:val="fr-FR"/>
        </w:rPr>
        <w:t xml:space="preserve"> (TG/154/4)</w:t>
      </w:r>
      <w:r w:rsidR="00771BA0">
        <w:rPr>
          <w:i/>
          <w:lang w:val="fr-FR"/>
        </w:rPr>
        <w:t> :</w:t>
      </w:r>
    </w:p>
    <w:p w:rsidR="006F659B" w:rsidRPr="0049135F" w:rsidRDefault="006F659B" w:rsidP="006F659B">
      <w:pPr>
        <w:rPr>
          <w:lang w:val="fr-FR"/>
        </w:rPr>
      </w:pPr>
    </w:p>
    <w:p w:rsidR="006F659B" w:rsidRPr="0049135F" w:rsidRDefault="006F659B" w:rsidP="00CD7374">
      <w:pPr>
        <w:ind w:left="142" w:firstLine="567"/>
        <w:rPr>
          <w:lang w:val="fr-FR"/>
        </w:rPr>
      </w:pPr>
      <w:r w:rsidRPr="0049135F">
        <w:rPr>
          <w:lang w:val="fr-FR"/>
        </w:rPr>
        <w:t>(PQ) C</w:t>
      </w:r>
      <w:r>
        <w:rPr>
          <w:lang w:val="fr-FR"/>
        </w:rPr>
        <w:t>aractère</w:t>
      </w:r>
      <w:r w:rsidR="00373552">
        <w:rPr>
          <w:lang w:val="fr-FR"/>
        </w:rPr>
        <w:t> </w:t>
      </w:r>
      <w:r w:rsidRPr="0049135F">
        <w:rPr>
          <w:lang w:val="fr-FR"/>
        </w:rPr>
        <w:t>16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“Plant</w:t>
      </w:r>
      <w:r>
        <w:rPr>
          <w:lang w:val="fr-FR"/>
        </w:rPr>
        <w:t>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>
        <w:rPr>
          <w:lang w:val="fr-FR"/>
        </w:rPr>
        <w:t>formation d</w:t>
      </w:r>
      <w:r w:rsidR="00771BA0">
        <w:rPr>
          <w:lang w:val="fr-FR"/>
        </w:rPr>
        <w:t>’</w:t>
      </w:r>
      <w:r>
        <w:rPr>
          <w:lang w:val="fr-FR"/>
        </w:rPr>
        <w:t>une pomme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absent</w:t>
      </w:r>
      <w:r>
        <w:rPr>
          <w:lang w:val="fr-FR"/>
        </w:rPr>
        <w:t>e</w:t>
      </w:r>
      <w:r w:rsidRPr="0049135F">
        <w:rPr>
          <w:lang w:val="fr-FR"/>
        </w:rPr>
        <w:t xml:space="preserve"> (1); </w:t>
      </w:r>
      <w:r>
        <w:rPr>
          <w:lang w:val="fr-FR"/>
        </w:rPr>
        <w:t xml:space="preserve"> ouverte</w:t>
      </w:r>
      <w:r w:rsidRPr="0049135F">
        <w:rPr>
          <w:lang w:val="fr-FR"/>
        </w:rPr>
        <w:t xml:space="preserve"> (2); </w:t>
      </w:r>
      <w:r>
        <w:rPr>
          <w:lang w:val="fr-FR"/>
        </w:rPr>
        <w:t xml:space="preserve"> fermée</w:t>
      </w:r>
      <w:r w:rsidRPr="0049135F">
        <w:rPr>
          <w:lang w:val="fr-FR"/>
        </w:rPr>
        <w:t xml:space="preserve"> (3)</w:t>
      </w:r>
    </w:p>
    <w:p w:rsidR="006F659B" w:rsidRPr="0049135F" w:rsidRDefault="006F659B" w:rsidP="00CD7374">
      <w:pPr>
        <w:ind w:left="1276" w:hanging="567"/>
        <w:rPr>
          <w:lang w:val="fr-FR"/>
        </w:rPr>
      </w:pPr>
      <w:r w:rsidRPr="0049135F">
        <w:rPr>
          <w:lang w:val="fr-FR"/>
        </w:rPr>
        <w:t>(QN) Caract</w:t>
      </w:r>
      <w:r>
        <w:rPr>
          <w:lang w:val="fr-FR"/>
        </w:rPr>
        <w:t>ère</w:t>
      </w:r>
      <w:r w:rsidRPr="0049135F">
        <w:rPr>
          <w:lang w:val="fr-FR"/>
        </w:rPr>
        <w:t>17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“</w:t>
      </w:r>
      <w:r>
        <w:rPr>
          <w:u w:val="single"/>
          <w:lang w:val="fr-FR"/>
        </w:rPr>
        <w:t>Seulement pour les variétés qui forment une pomme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>
        <w:rPr>
          <w:lang w:val="fr-FR"/>
        </w:rPr>
        <w:t>Époque de formation de la pomme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>
        <w:rPr>
          <w:lang w:val="fr-FR"/>
        </w:rPr>
        <w:t>très précoce</w:t>
      </w:r>
      <w:r w:rsidRPr="0049135F">
        <w:rPr>
          <w:lang w:val="fr-FR"/>
        </w:rPr>
        <w:t xml:space="preserve"> (1); </w:t>
      </w:r>
      <w:r>
        <w:rPr>
          <w:lang w:val="fr-FR"/>
        </w:rPr>
        <w:t xml:space="preserve"> précoce</w:t>
      </w:r>
      <w:r w:rsidRPr="0049135F">
        <w:rPr>
          <w:lang w:val="fr-FR"/>
        </w:rPr>
        <w:t xml:space="preserve"> (3); </w:t>
      </w:r>
      <w:r>
        <w:rPr>
          <w:lang w:val="fr-FR"/>
        </w:rPr>
        <w:t xml:space="preserve"> moyenne</w:t>
      </w:r>
      <w:r w:rsidRPr="0049135F">
        <w:rPr>
          <w:lang w:val="fr-FR"/>
        </w:rPr>
        <w:t xml:space="preserve"> (5); </w:t>
      </w:r>
      <w:r>
        <w:rPr>
          <w:lang w:val="fr-FR"/>
        </w:rPr>
        <w:t xml:space="preserve"> tardive</w:t>
      </w:r>
      <w:r w:rsidRPr="0049135F">
        <w:rPr>
          <w:lang w:val="fr-FR"/>
        </w:rPr>
        <w:t xml:space="preserve"> (7); </w:t>
      </w:r>
      <w:r>
        <w:rPr>
          <w:lang w:val="fr-FR"/>
        </w:rPr>
        <w:t xml:space="preserve"> très tardive</w:t>
      </w:r>
      <w:r w:rsidRPr="0049135F">
        <w:rPr>
          <w:lang w:val="fr-FR"/>
        </w:rPr>
        <w:t xml:space="preserve"> (9)”</w:t>
      </w:r>
    </w:p>
    <w:p w:rsidR="006F659B" w:rsidRPr="0049135F" w:rsidRDefault="006F659B" w:rsidP="006F659B">
      <w:pPr>
        <w:rPr>
          <w:lang w:val="fr-FR"/>
        </w:rPr>
      </w:pPr>
    </w:p>
    <w:p w:rsidR="00AF0152" w:rsidRPr="0049135F" w:rsidRDefault="006F659B" w:rsidP="00E860CB">
      <w:pPr>
        <w:ind w:left="1276" w:hanging="567"/>
        <w:rPr>
          <w:i/>
          <w:lang w:val="fr-FR"/>
        </w:rPr>
      </w:pPr>
      <w:r>
        <w:rPr>
          <w:i/>
          <w:lang w:val="fr-FR"/>
        </w:rPr>
        <w:t>Principes directeurs d</w:t>
      </w:r>
      <w:r w:rsidR="00771BA0">
        <w:rPr>
          <w:i/>
          <w:lang w:val="fr-FR"/>
        </w:rPr>
        <w:t>’</w:t>
      </w:r>
      <w:r>
        <w:rPr>
          <w:i/>
          <w:lang w:val="fr-FR"/>
        </w:rPr>
        <w:t>examen du figuier (TG/265/1)</w:t>
      </w:r>
      <w:r w:rsidR="00771BA0">
        <w:rPr>
          <w:i/>
          <w:lang w:val="fr-FR"/>
        </w:rPr>
        <w:t> :</w:t>
      </w:r>
    </w:p>
    <w:p w:rsidR="006F659B" w:rsidRPr="0049135F" w:rsidRDefault="006F659B" w:rsidP="006F659B">
      <w:pPr>
        <w:rPr>
          <w:lang w:val="fr-FR"/>
        </w:rPr>
      </w:pPr>
    </w:p>
    <w:p w:rsidR="006F659B" w:rsidRPr="0049135F" w:rsidRDefault="006F659B" w:rsidP="006F659B">
      <w:pPr>
        <w:ind w:left="142" w:firstLine="567"/>
        <w:rPr>
          <w:lang w:val="fr-FR"/>
        </w:rPr>
      </w:pPr>
      <w:r w:rsidRPr="0049135F">
        <w:rPr>
          <w:lang w:val="fr-FR"/>
        </w:rPr>
        <w:t xml:space="preserve">(QN) </w:t>
      </w:r>
      <w:r>
        <w:rPr>
          <w:lang w:val="fr-FR"/>
        </w:rPr>
        <w:t>Caractère</w:t>
      </w:r>
      <w:r w:rsidRPr="0049135F">
        <w:rPr>
          <w:lang w:val="fr-FR"/>
        </w:rPr>
        <w:t xml:space="preserve"> 17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“</w:t>
      </w:r>
      <w:r>
        <w:rPr>
          <w:lang w:val="fr-FR"/>
        </w:rPr>
        <w:t>Feuille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>
        <w:rPr>
          <w:lang w:val="fr-FR"/>
        </w:rPr>
        <w:t>type prédominant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>
        <w:rPr>
          <w:lang w:val="fr-FR"/>
        </w:rPr>
        <w:t>entière</w:t>
      </w:r>
      <w:r w:rsidRPr="0049135F">
        <w:rPr>
          <w:lang w:val="fr-FR"/>
        </w:rPr>
        <w:t xml:space="preserve"> (1); </w:t>
      </w:r>
      <w:r>
        <w:rPr>
          <w:lang w:val="fr-FR"/>
        </w:rPr>
        <w:t xml:space="preserve"> à trois</w:t>
      </w:r>
      <w:r w:rsidR="007E1DE5">
        <w:rPr>
          <w:lang w:val="fr-FR"/>
        </w:rPr>
        <w:t> </w:t>
      </w:r>
      <w:r>
        <w:rPr>
          <w:lang w:val="fr-FR"/>
        </w:rPr>
        <w:t>lobes</w:t>
      </w:r>
      <w:r w:rsidRPr="0049135F">
        <w:rPr>
          <w:lang w:val="fr-FR"/>
        </w:rPr>
        <w:t xml:space="preserve"> (2); </w:t>
      </w:r>
      <w:r>
        <w:rPr>
          <w:lang w:val="fr-FR"/>
        </w:rPr>
        <w:t xml:space="preserve"> à cinq</w:t>
      </w:r>
      <w:r w:rsidR="007E1DE5">
        <w:rPr>
          <w:lang w:val="fr-FR"/>
        </w:rPr>
        <w:t> </w:t>
      </w:r>
      <w:r>
        <w:rPr>
          <w:lang w:val="fr-FR"/>
        </w:rPr>
        <w:t>lobes</w:t>
      </w:r>
      <w:r w:rsidRPr="0049135F">
        <w:rPr>
          <w:lang w:val="fr-FR"/>
        </w:rPr>
        <w:t xml:space="preserve"> (3)</w:t>
      </w:r>
    </w:p>
    <w:p w:rsidR="006F659B" w:rsidRPr="0049135F" w:rsidRDefault="006F659B" w:rsidP="006F659B">
      <w:pPr>
        <w:ind w:left="1276" w:hanging="567"/>
        <w:rPr>
          <w:lang w:val="fr-FR"/>
        </w:rPr>
      </w:pPr>
      <w:r w:rsidRPr="0049135F">
        <w:rPr>
          <w:lang w:val="fr-FR"/>
        </w:rPr>
        <w:t xml:space="preserve">(PQ) </w:t>
      </w:r>
      <w:r>
        <w:rPr>
          <w:lang w:val="fr-FR"/>
        </w:rPr>
        <w:t>Caractère</w:t>
      </w:r>
      <w:r w:rsidR="00373552">
        <w:rPr>
          <w:lang w:val="fr-FR"/>
        </w:rPr>
        <w:t> </w:t>
      </w:r>
      <w:r w:rsidRPr="0049135F">
        <w:rPr>
          <w:lang w:val="fr-FR"/>
        </w:rPr>
        <w:t>18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“</w:t>
      </w:r>
      <w:r>
        <w:rPr>
          <w:u w:val="single"/>
          <w:lang w:val="fr-FR"/>
        </w:rPr>
        <w:t>Seulement les variétés à type de feuille prédominant</w:t>
      </w:r>
      <w:r w:rsidR="00771BA0">
        <w:rPr>
          <w:u w:val="single"/>
          <w:lang w:val="fr-FR"/>
        </w:rPr>
        <w:t> :</w:t>
      </w:r>
      <w:r>
        <w:rPr>
          <w:u w:val="single"/>
          <w:lang w:val="fr-FR"/>
        </w:rPr>
        <w:t xml:space="preserve"> feuille entière</w:t>
      </w:r>
      <w:r w:rsidR="00771BA0">
        <w:rPr>
          <w:lang w:val="fr-FR"/>
        </w:rPr>
        <w:t> :</w:t>
      </w:r>
      <w:r w:rsidRPr="0049135F">
        <w:rPr>
          <w:lang w:val="fr-FR"/>
        </w:rPr>
        <w:t xml:space="preserve"> </w:t>
      </w:r>
      <w:r>
        <w:rPr>
          <w:lang w:val="fr-FR"/>
        </w:rPr>
        <w:t>Feuille</w:t>
      </w:r>
      <w:r w:rsidR="00771BA0">
        <w:rPr>
          <w:lang w:val="fr-FR"/>
        </w:rPr>
        <w:t> :</w:t>
      </w:r>
      <w:r>
        <w:rPr>
          <w:lang w:val="fr-FR"/>
        </w:rPr>
        <w:t xml:space="preserve"> forme</w:t>
      </w:r>
      <w:r w:rsidRPr="0049135F">
        <w:rPr>
          <w:lang w:val="fr-FR"/>
        </w:rPr>
        <w:t xml:space="preserve"> cord</w:t>
      </w:r>
      <w:r>
        <w:rPr>
          <w:lang w:val="fr-FR"/>
        </w:rPr>
        <w:t>iforme</w:t>
      </w:r>
      <w:r w:rsidRPr="0049135F">
        <w:rPr>
          <w:lang w:val="fr-FR"/>
        </w:rPr>
        <w:t xml:space="preserve"> (1); </w:t>
      </w:r>
      <w:r>
        <w:rPr>
          <w:lang w:val="fr-FR"/>
        </w:rPr>
        <w:t xml:space="preserve"> triangulaire</w:t>
      </w:r>
      <w:r w:rsidRPr="0049135F">
        <w:rPr>
          <w:lang w:val="fr-FR"/>
        </w:rPr>
        <w:t xml:space="preserve"> (2); </w:t>
      </w:r>
      <w:r>
        <w:rPr>
          <w:lang w:val="fr-FR"/>
        </w:rPr>
        <w:t xml:space="preserve"> lancéolée</w:t>
      </w:r>
      <w:r w:rsidRPr="0049135F">
        <w:rPr>
          <w:lang w:val="fr-FR"/>
        </w:rPr>
        <w:t xml:space="preserve"> (3); </w:t>
      </w:r>
      <w:r>
        <w:rPr>
          <w:lang w:val="fr-FR"/>
        </w:rPr>
        <w:t xml:space="preserve"> elliptique</w:t>
      </w:r>
      <w:r w:rsidRPr="0049135F">
        <w:rPr>
          <w:lang w:val="fr-FR"/>
        </w:rPr>
        <w:t xml:space="preserve"> (4)”</w:t>
      </w:r>
    </w:p>
    <w:p w:rsidR="006F659B" w:rsidRPr="0049135F" w:rsidRDefault="006F659B" w:rsidP="006F659B">
      <w:pPr>
        <w:rPr>
          <w:rFonts w:cs="Arial"/>
          <w:lang w:val="fr-FR"/>
        </w:rPr>
      </w:pPr>
    </w:p>
    <w:p w:rsidR="002C262B" w:rsidRPr="0049135F" w:rsidRDefault="002C262B" w:rsidP="002C262B">
      <w:pPr>
        <w:rPr>
          <w:lang w:val="fr-FR"/>
        </w:rPr>
      </w:pPr>
      <w:r w:rsidRPr="0049135F">
        <w:rPr>
          <w:lang w:val="fr-FR"/>
        </w:rPr>
        <w:fldChar w:fldCharType="begin"/>
      </w:r>
      <w:r w:rsidRPr="0049135F">
        <w:rPr>
          <w:lang w:val="fr-FR"/>
        </w:rPr>
        <w:instrText xml:space="preserve"> AUTONUM  </w:instrText>
      </w:r>
      <w:r w:rsidRPr="0049135F">
        <w:rPr>
          <w:lang w:val="fr-FR"/>
        </w:rPr>
        <w:fldChar w:fldCharType="end"/>
      </w:r>
      <w:r w:rsidRPr="0049135F">
        <w:rPr>
          <w:lang w:val="fr-FR"/>
        </w:rPr>
        <w:tab/>
      </w:r>
      <w:r w:rsidR="006F659B">
        <w:rPr>
          <w:lang w:val="fr-FR"/>
        </w:rPr>
        <w:t xml:space="preserve">Sur la base des observations formulées par les TWP à leurs sessions tenues </w:t>
      </w:r>
      <w:r w:rsidR="00771BA0">
        <w:rPr>
          <w:lang w:val="fr-FR"/>
        </w:rPr>
        <w:t>en 2019</w:t>
      </w:r>
      <w:r w:rsidRPr="0049135F">
        <w:rPr>
          <w:lang w:val="fr-FR"/>
        </w:rPr>
        <w:t xml:space="preserve">, </w:t>
      </w:r>
      <w:r w:rsidR="006F659B">
        <w:rPr>
          <w:lang w:val="fr-FR"/>
        </w:rPr>
        <w:t>le</w:t>
      </w:r>
      <w:r w:rsidR="00771BA0">
        <w:rPr>
          <w:lang w:val="fr-FR"/>
        </w:rPr>
        <w:t> TC</w:t>
      </w:r>
      <w:r w:rsidR="006F659B">
        <w:rPr>
          <w:lang w:val="fr-FR"/>
        </w:rPr>
        <w:t xml:space="preserve"> est invité </w:t>
      </w:r>
      <w:r w:rsidR="009D3AB3">
        <w:rPr>
          <w:lang w:val="fr-FR"/>
        </w:rPr>
        <w:t xml:space="preserve">à examiner </w:t>
      </w:r>
      <w:r w:rsidR="006F659B" w:rsidRPr="0049135F">
        <w:rPr>
          <w:lang w:val="fr-FR"/>
        </w:rPr>
        <w:t xml:space="preserve">la proposition tendant à modifier comme suit les </w:t>
      </w:r>
      <w:r w:rsidR="009D3AB3">
        <w:rPr>
          <w:lang w:val="fr-FR"/>
        </w:rPr>
        <w:t>conseils</w:t>
      </w:r>
      <w:r w:rsidR="006F659B" w:rsidRPr="0049135F">
        <w:rPr>
          <w:lang w:val="fr-FR"/>
        </w:rPr>
        <w:t xml:space="preserve"> f</w:t>
      </w:r>
      <w:r w:rsidR="007A18AA">
        <w:rPr>
          <w:lang w:val="fr-FR"/>
        </w:rPr>
        <w:t xml:space="preserve">igurant dans la note indicative 18 </w:t>
      </w:r>
      <w:r w:rsidR="006F659B" w:rsidRPr="0049135F">
        <w:rPr>
          <w:lang w:val="fr-FR"/>
        </w:rPr>
        <w:t>(GN 18) du document</w:t>
      </w:r>
      <w:r w:rsidR="00373552">
        <w:rPr>
          <w:lang w:val="fr-FR"/>
        </w:rPr>
        <w:t> </w:t>
      </w:r>
      <w:r w:rsidR="006F659B" w:rsidRPr="0049135F">
        <w:rPr>
          <w:lang w:val="fr-FR"/>
        </w:rPr>
        <w:t>TGP/7 afin de permettre l</w:t>
      </w:r>
      <w:r w:rsidR="00771BA0">
        <w:rPr>
          <w:lang w:val="fr-FR"/>
        </w:rPr>
        <w:t>’</w:t>
      </w:r>
      <w:r w:rsidR="006F659B" w:rsidRPr="0049135F">
        <w:rPr>
          <w:lang w:val="fr-FR"/>
        </w:rPr>
        <w:t>exclusion d</w:t>
      </w:r>
      <w:r w:rsidR="00771BA0">
        <w:rPr>
          <w:lang w:val="fr-FR"/>
        </w:rPr>
        <w:t>’</w:t>
      </w:r>
      <w:r w:rsidR="006F659B" w:rsidRPr="0049135F">
        <w:rPr>
          <w:lang w:val="fr-FR"/>
        </w:rPr>
        <w:t>un caractère de l</w:t>
      </w:r>
      <w:r w:rsidR="00771BA0">
        <w:rPr>
          <w:lang w:val="fr-FR"/>
        </w:rPr>
        <w:t>’</w:t>
      </w:r>
      <w:r w:rsidR="006F659B" w:rsidRPr="0049135F">
        <w:rPr>
          <w:lang w:val="fr-FR"/>
        </w:rPr>
        <w:t>observation sur la base du niveau d</w:t>
      </w:r>
      <w:r w:rsidR="00771BA0">
        <w:rPr>
          <w:lang w:val="fr-FR"/>
        </w:rPr>
        <w:t>’</w:t>
      </w:r>
      <w:r w:rsidR="006F659B" w:rsidRPr="0049135F">
        <w:rPr>
          <w:lang w:val="fr-FR"/>
        </w:rPr>
        <w:t>expression d</w:t>
      </w:r>
      <w:r w:rsidR="00771BA0">
        <w:rPr>
          <w:lang w:val="fr-FR"/>
        </w:rPr>
        <w:t>’</w:t>
      </w:r>
      <w:r w:rsidR="006F659B" w:rsidRPr="0049135F">
        <w:rPr>
          <w:lang w:val="fr-FR"/>
        </w:rPr>
        <w:t>un caractère pseudo</w:t>
      </w:r>
      <w:r w:rsidR="00771BA0">
        <w:rPr>
          <w:lang w:val="fr-FR"/>
        </w:rPr>
        <w:t>-</w:t>
      </w:r>
      <w:r w:rsidR="006F659B" w:rsidRPr="0049135F">
        <w:rPr>
          <w:lang w:val="fr-FR"/>
        </w:rPr>
        <w:t xml:space="preserve">qualitatif ou quantitatif précédent </w:t>
      </w:r>
      <w:r w:rsidR="006F659B" w:rsidRPr="0049135F">
        <w:rPr>
          <w:rFonts w:cs="Arial"/>
          <w:bCs/>
          <w:snapToGrid w:val="0"/>
          <w:lang w:val="fr-FR"/>
        </w:rPr>
        <w:t>(</w:t>
      </w:r>
      <w:r w:rsidR="00D2718A" w:rsidRPr="000B02CF">
        <w:rPr>
          <w:rFonts w:cs="Arial"/>
          <w:bCs/>
          <w:snapToGrid w:val="0"/>
          <w:lang w:val="fr-FR"/>
        </w:rPr>
        <w:t xml:space="preserve">les éléments à supprimer sont </w:t>
      </w:r>
      <w:r w:rsidR="00D2718A" w:rsidRPr="000B02CF">
        <w:rPr>
          <w:rFonts w:cs="Arial"/>
          <w:bCs/>
          <w:strike/>
          <w:snapToGrid w:val="0"/>
          <w:highlight w:val="lightGray"/>
          <w:lang w:val="fr-FR"/>
        </w:rPr>
        <w:t>surlignés et biffés</w:t>
      </w:r>
      <w:r w:rsidR="00D2718A" w:rsidRPr="000B02CF">
        <w:rPr>
          <w:rFonts w:cs="Arial"/>
          <w:bCs/>
          <w:snapToGrid w:val="0"/>
          <w:lang w:val="fr-FR"/>
        </w:rPr>
        <w:t xml:space="preserve"> et les éléments à ajouter sont </w:t>
      </w:r>
      <w:r w:rsidR="00D2718A" w:rsidRPr="000B02CF">
        <w:rPr>
          <w:rFonts w:cs="Arial"/>
          <w:bCs/>
          <w:snapToGrid w:val="0"/>
          <w:highlight w:val="lightGray"/>
          <w:u w:val="single"/>
          <w:lang w:val="fr-FR"/>
        </w:rPr>
        <w:t>surlignés et soulignés</w:t>
      </w:r>
      <w:r w:rsidR="006F659B" w:rsidRPr="0049135F">
        <w:rPr>
          <w:rFonts w:cs="Arial"/>
          <w:bCs/>
          <w:snapToGrid w:val="0"/>
          <w:lang w:val="fr-FR"/>
        </w:rPr>
        <w:t>)</w:t>
      </w:r>
      <w:r w:rsidR="00771BA0">
        <w:rPr>
          <w:rFonts w:cs="Arial"/>
          <w:bCs/>
          <w:snapToGrid w:val="0"/>
          <w:lang w:val="fr-FR"/>
        </w:rPr>
        <w:t> :</w:t>
      </w:r>
    </w:p>
    <w:p w:rsidR="002C262B" w:rsidRPr="0049135F" w:rsidRDefault="002C262B" w:rsidP="002C262B">
      <w:pPr>
        <w:rPr>
          <w:lang w:val="fr-FR"/>
        </w:rPr>
      </w:pPr>
    </w:p>
    <w:p w:rsidR="006A4A9C" w:rsidRPr="0049135F" w:rsidRDefault="006A4A9C" w:rsidP="006A4A9C">
      <w:pPr>
        <w:tabs>
          <w:tab w:val="left" w:pos="1134"/>
        </w:tabs>
        <w:ind w:left="567" w:right="567"/>
        <w:rPr>
          <w:i/>
          <w:sz w:val="18"/>
          <w:lang w:val="fr-FR"/>
        </w:rPr>
      </w:pPr>
      <w:r w:rsidRPr="0049135F">
        <w:rPr>
          <w:i/>
          <w:sz w:val="18"/>
          <w:lang w:val="fr-FR"/>
        </w:rPr>
        <w:t>3.</w:t>
      </w:r>
      <w:r w:rsidRPr="0049135F">
        <w:rPr>
          <w:sz w:val="18"/>
          <w:lang w:val="fr-FR"/>
        </w:rPr>
        <w:tab/>
      </w:r>
      <w:r w:rsidRPr="0049135F">
        <w:rPr>
          <w:i/>
          <w:sz w:val="18"/>
          <w:lang w:val="fr-FR"/>
        </w:rPr>
        <w:t>Caractères applicables à certaines variétés seulement</w:t>
      </w:r>
    </w:p>
    <w:p w:rsidR="006A4A9C" w:rsidRPr="0049135F" w:rsidRDefault="006A4A9C" w:rsidP="006A4A9C">
      <w:pPr>
        <w:tabs>
          <w:tab w:val="left" w:pos="1134"/>
        </w:tabs>
        <w:ind w:left="567" w:right="567"/>
        <w:rPr>
          <w:sz w:val="18"/>
          <w:lang w:val="fr-FR"/>
        </w:rPr>
      </w:pPr>
    </w:p>
    <w:p w:rsidR="00771BA0" w:rsidRDefault="006A4A9C" w:rsidP="006A4A9C">
      <w:pPr>
        <w:ind w:left="567" w:right="565"/>
        <w:rPr>
          <w:sz w:val="18"/>
          <w:lang w:val="fr-FR"/>
        </w:rPr>
      </w:pPr>
      <w:r w:rsidRPr="0049135F">
        <w:rPr>
          <w:sz w:val="18"/>
          <w:lang w:val="fr-FR"/>
        </w:rPr>
        <w:t>Dans certains cas, le niveau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expression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 xml:space="preserve">un caractère </w:t>
      </w:r>
      <w:r w:rsidRPr="0049135F">
        <w:rPr>
          <w:strike/>
          <w:sz w:val="18"/>
          <w:highlight w:val="lightGray"/>
          <w:lang w:val="fr-FR"/>
        </w:rPr>
        <w:t>qualitatif</w:t>
      </w:r>
      <w:r w:rsidRPr="0049135F">
        <w:rPr>
          <w:sz w:val="18"/>
          <w:lang w:val="fr-FR"/>
        </w:rPr>
        <w:t xml:space="preserve"> précédent fait qu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 caractère donné ne s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applique pas à un caractère ultérieur;  par exemple, il ne serait pas possible de décrire la forme des lobes des feuilles d</w:t>
      </w:r>
      <w:r w:rsidR="00771BA0">
        <w:rPr>
          <w:sz w:val="18"/>
          <w:lang w:val="fr-FR"/>
        </w:rPr>
        <w:t>’</w:t>
      </w:r>
      <w:r w:rsidRPr="0049135F">
        <w:rPr>
          <w:sz w:val="18"/>
          <w:lang w:val="fr-FR"/>
        </w:rPr>
        <w:t>une variété dont les feuilles ne possèdent pas de lobes.</w:t>
      </w:r>
    </w:p>
    <w:p w:rsidR="0069010F" w:rsidRDefault="0069010F" w:rsidP="002C262B">
      <w:pPr>
        <w:ind w:left="567" w:right="565"/>
        <w:rPr>
          <w:rFonts w:cs="Arial"/>
          <w:bCs/>
          <w:snapToGrid w:val="0"/>
          <w:sz w:val="18"/>
          <w:lang w:val="fr-FR"/>
        </w:rPr>
      </w:pPr>
    </w:p>
    <w:p w:rsidR="005D2258" w:rsidRPr="0049135F" w:rsidRDefault="005D2258" w:rsidP="005D2258">
      <w:pPr>
        <w:ind w:left="567" w:right="565"/>
        <w:rPr>
          <w:rFonts w:cs="Arial"/>
          <w:bCs/>
          <w:snapToGrid w:val="0"/>
          <w:sz w:val="18"/>
          <w:lang w:val="fr-FR"/>
        </w:rPr>
      </w:pPr>
      <w:r w:rsidRPr="0049135F">
        <w:rPr>
          <w:sz w:val="18"/>
          <w:lang w:val="fr-FR"/>
        </w:rPr>
        <w:t>Dans les cas où ce n</w:t>
      </w:r>
      <w:r>
        <w:rPr>
          <w:sz w:val="18"/>
          <w:lang w:val="fr-FR"/>
        </w:rPr>
        <w:t>’</w:t>
      </w:r>
      <w:r w:rsidRPr="0049135F">
        <w:rPr>
          <w:sz w:val="18"/>
          <w:lang w:val="fr-FR"/>
        </w:rPr>
        <w:t>est pas évident, ou lorsque les caractères sont séparés dans le tableau des caractères, la désignation du caractère suivant est précédée d</w:t>
      </w:r>
      <w:r>
        <w:rPr>
          <w:sz w:val="18"/>
          <w:lang w:val="fr-FR"/>
        </w:rPr>
        <w:t>’</w:t>
      </w:r>
      <w:r w:rsidRPr="0049135F">
        <w:rPr>
          <w:sz w:val="18"/>
          <w:lang w:val="fr-FR"/>
        </w:rPr>
        <w:t>une mention soulignée des types de variétés auxquels elle s</w:t>
      </w:r>
      <w:r>
        <w:rPr>
          <w:sz w:val="18"/>
          <w:lang w:val="fr-FR"/>
        </w:rPr>
        <w:t>’</w:t>
      </w:r>
      <w:r w:rsidRPr="0049135F">
        <w:rPr>
          <w:sz w:val="18"/>
          <w:lang w:val="fr-FR"/>
        </w:rPr>
        <w:t>applique, sur la base du caractère précédent</w:t>
      </w:r>
      <w:r>
        <w:rPr>
          <w:sz w:val="18"/>
          <w:lang w:val="fr-FR"/>
        </w:rPr>
        <w:t>.</w:t>
      </w:r>
    </w:p>
    <w:p w:rsidR="005D2258" w:rsidRPr="0049135F" w:rsidRDefault="005D2258" w:rsidP="002C262B">
      <w:pPr>
        <w:ind w:left="567" w:right="565"/>
        <w:rPr>
          <w:rFonts w:cs="Arial"/>
          <w:bCs/>
          <w:snapToGrid w:val="0"/>
          <w:sz w:val="18"/>
          <w:lang w:val="fr-FR"/>
        </w:rPr>
      </w:pPr>
    </w:p>
    <w:p w:rsidR="00810E06" w:rsidRPr="0049135F" w:rsidRDefault="006A4A9C" w:rsidP="002C262B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  <w:r>
        <w:rPr>
          <w:bCs/>
          <w:sz w:val="18"/>
          <w:szCs w:val="18"/>
          <w:highlight w:val="lightGray"/>
          <w:u w:val="single"/>
          <w:lang w:val="fr-FR"/>
        </w:rPr>
        <w:t>Les e</w:t>
      </w:r>
      <w:r w:rsidRPr="006A4A9C">
        <w:rPr>
          <w:bCs/>
          <w:sz w:val="18"/>
          <w:szCs w:val="18"/>
          <w:highlight w:val="lightGray"/>
          <w:u w:val="single"/>
          <w:lang w:val="fr-FR"/>
        </w:rPr>
        <w:t xml:space="preserve">xemples </w:t>
      </w:r>
      <w:r>
        <w:rPr>
          <w:bCs/>
          <w:sz w:val="18"/>
          <w:szCs w:val="18"/>
          <w:highlight w:val="lightGray"/>
          <w:u w:val="single"/>
          <w:lang w:val="fr-FR"/>
        </w:rPr>
        <w:t>ci</w:t>
      </w:r>
      <w:r w:rsidR="00771BA0">
        <w:rPr>
          <w:bCs/>
          <w:sz w:val="18"/>
          <w:szCs w:val="18"/>
          <w:highlight w:val="lightGray"/>
          <w:u w:val="single"/>
          <w:lang w:val="fr-FR"/>
        </w:rPr>
        <w:t>-</w:t>
      </w:r>
      <w:r>
        <w:rPr>
          <w:bCs/>
          <w:sz w:val="18"/>
          <w:szCs w:val="18"/>
          <w:highlight w:val="lightGray"/>
          <w:u w:val="single"/>
          <w:lang w:val="fr-FR"/>
        </w:rPr>
        <w:t xml:space="preserve">après </w:t>
      </w:r>
      <w:r w:rsidRPr="006A4A9C">
        <w:rPr>
          <w:bCs/>
          <w:sz w:val="18"/>
          <w:szCs w:val="18"/>
          <w:highlight w:val="lightGray"/>
          <w:u w:val="single"/>
          <w:lang w:val="fr-FR"/>
        </w:rPr>
        <w:t>explique</w:t>
      </w:r>
      <w:r>
        <w:rPr>
          <w:bCs/>
          <w:sz w:val="18"/>
          <w:szCs w:val="18"/>
          <w:highlight w:val="lightGray"/>
          <w:u w:val="single"/>
          <w:lang w:val="fr-FR"/>
        </w:rPr>
        <w:t>nt</w:t>
      </w:r>
      <w:r w:rsidRPr="006A4A9C">
        <w:rPr>
          <w:bCs/>
          <w:sz w:val="18"/>
          <w:szCs w:val="18"/>
          <w:highlight w:val="lightGray"/>
          <w:u w:val="single"/>
          <w:lang w:val="fr-FR"/>
        </w:rPr>
        <w:t xml:space="preserve"> comment la méthode peut être utilisée </w:t>
      </w:r>
      <w:r>
        <w:rPr>
          <w:bCs/>
          <w:sz w:val="18"/>
          <w:szCs w:val="18"/>
          <w:highlight w:val="lightGray"/>
          <w:u w:val="single"/>
          <w:lang w:val="fr-FR"/>
        </w:rPr>
        <w:t>pour les caractères</w:t>
      </w:r>
      <w:r w:rsidR="005D2258">
        <w:rPr>
          <w:bCs/>
          <w:sz w:val="18"/>
          <w:szCs w:val="18"/>
          <w:highlight w:val="lightGray"/>
          <w:u w:val="single"/>
          <w:lang w:val="fr-FR"/>
        </w:rPr>
        <w:t xml:space="preserve"> qualitatif (QL)</w:t>
      </w:r>
      <w:r w:rsidR="005643B1">
        <w:rPr>
          <w:bCs/>
          <w:sz w:val="18"/>
          <w:szCs w:val="18"/>
          <w:highlight w:val="lightGray"/>
          <w:u w:val="single"/>
          <w:lang w:val="fr-FR"/>
        </w:rPr>
        <w:t>,</w:t>
      </w:r>
      <w:bookmarkStart w:id="5" w:name="_GoBack"/>
      <w:bookmarkEnd w:id="5"/>
      <w:r>
        <w:rPr>
          <w:bCs/>
          <w:sz w:val="18"/>
          <w:szCs w:val="18"/>
          <w:highlight w:val="lightGray"/>
          <w:u w:val="single"/>
          <w:lang w:val="fr-FR"/>
        </w:rPr>
        <w:t xml:space="preserve"> pseudo</w:t>
      </w:r>
      <w:r w:rsidR="00771BA0">
        <w:rPr>
          <w:bCs/>
          <w:sz w:val="18"/>
          <w:szCs w:val="18"/>
          <w:highlight w:val="lightGray"/>
          <w:u w:val="single"/>
          <w:lang w:val="fr-FR"/>
        </w:rPr>
        <w:t>-</w:t>
      </w:r>
      <w:r>
        <w:rPr>
          <w:bCs/>
          <w:sz w:val="18"/>
          <w:szCs w:val="18"/>
          <w:highlight w:val="lightGray"/>
          <w:u w:val="single"/>
          <w:lang w:val="fr-FR"/>
        </w:rPr>
        <w:t xml:space="preserve">qualitatif (PG) et quantitatif (QN) </w:t>
      </w:r>
      <w:r w:rsidRPr="006A4A9C">
        <w:rPr>
          <w:bCs/>
          <w:sz w:val="18"/>
          <w:szCs w:val="18"/>
          <w:highlight w:val="lightGray"/>
          <w:u w:val="single"/>
          <w:lang w:val="fr-FR"/>
        </w:rPr>
        <w:t>d</w:t>
      </w:r>
      <w:r w:rsidR="00771BA0">
        <w:rPr>
          <w:bCs/>
          <w:sz w:val="18"/>
          <w:szCs w:val="18"/>
          <w:highlight w:val="lightGray"/>
          <w:u w:val="single"/>
          <w:lang w:val="fr-FR"/>
        </w:rPr>
        <w:t>’</w:t>
      </w:r>
      <w:r w:rsidRPr="006A4A9C">
        <w:rPr>
          <w:bCs/>
          <w:sz w:val="18"/>
          <w:szCs w:val="18"/>
          <w:highlight w:val="lightGray"/>
          <w:u w:val="single"/>
          <w:lang w:val="fr-FR"/>
        </w:rPr>
        <w:t>une manière qui ne présente pas de risque pour les décisions sur la distinction</w:t>
      </w:r>
    </w:p>
    <w:p w:rsidR="00810E06" w:rsidRDefault="00810E06" w:rsidP="002C262B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</w:p>
    <w:p w:rsidR="005D2258" w:rsidRDefault="005D2258" w:rsidP="005D2258">
      <w:pPr>
        <w:ind w:left="1134" w:right="565"/>
        <w:rPr>
          <w:sz w:val="18"/>
          <w:lang w:val="fr-FR"/>
        </w:rPr>
      </w:pPr>
      <w:r w:rsidRPr="005D2258">
        <w:rPr>
          <w:sz w:val="18"/>
          <w:highlight w:val="lightGray"/>
          <w:u w:val="single"/>
          <w:lang w:val="fr-FR"/>
        </w:rPr>
        <w:t>(QL)</w:t>
      </w:r>
      <w:r>
        <w:rPr>
          <w:sz w:val="18"/>
          <w:u w:val="single"/>
          <w:lang w:val="fr-FR"/>
        </w:rPr>
        <w:t xml:space="preserve"> </w:t>
      </w:r>
      <w:r w:rsidRPr="0049135F">
        <w:rPr>
          <w:sz w:val="18"/>
          <w:u w:val="single"/>
          <w:lang w:val="fr-FR"/>
        </w:rPr>
        <w:t>Variétés à type de fleur simple seulement</w:t>
      </w:r>
      <w:r>
        <w:rPr>
          <w:sz w:val="18"/>
          <w:lang w:val="fr-FR"/>
        </w:rPr>
        <w:t> :</w:t>
      </w:r>
      <w:r w:rsidRPr="0049135F">
        <w:rPr>
          <w:sz w:val="18"/>
          <w:lang w:val="fr-FR"/>
        </w:rPr>
        <w:t xml:space="preserve"> Fleur</w:t>
      </w:r>
      <w:r>
        <w:rPr>
          <w:sz w:val="18"/>
          <w:lang w:val="fr-FR"/>
        </w:rPr>
        <w:t> :</w:t>
      </w:r>
      <w:r w:rsidRPr="0049135F">
        <w:rPr>
          <w:sz w:val="18"/>
          <w:lang w:val="fr-FR"/>
        </w:rPr>
        <w:t xml:space="preserve"> forme</w:t>
      </w:r>
    </w:p>
    <w:p w:rsidR="005D2258" w:rsidRPr="0049135F" w:rsidRDefault="005D2258" w:rsidP="002C262B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</w:p>
    <w:p w:rsidR="00D217C6" w:rsidRPr="0049135F" w:rsidRDefault="00D217C6" w:rsidP="00B10E9F">
      <w:pPr>
        <w:ind w:left="567" w:right="565" w:firstLine="567"/>
        <w:rPr>
          <w:rFonts w:cs="Arial"/>
          <w:bCs/>
          <w:snapToGrid w:val="0"/>
          <w:sz w:val="18"/>
          <w:szCs w:val="18"/>
          <w:u w:val="single"/>
          <w:lang w:val="fr-FR"/>
        </w:rPr>
      </w:pPr>
      <w:r w:rsidRPr="0049135F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[</w:t>
      </w:r>
      <w:r w:rsidR="006A4A9C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à comp</w:t>
      </w:r>
      <w:r w:rsidR="00D2718A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l</w:t>
      </w:r>
      <w:r w:rsidR="006A4A9C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éter</w:t>
      </w:r>
      <w:r w:rsidRPr="0049135F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]</w:t>
      </w:r>
    </w:p>
    <w:p w:rsidR="00D217C6" w:rsidRPr="0049135F" w:rsidRDefault="00D217C6" w:rsidP="002C262B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</w:p>
    <w:p w:rsidR="00D217C6" w:rsidRPr="0049135F" w:rsidRDefault="00D2718A" w:rsidP="002C262B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  <w:r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On trouvera ci</w:t>
      </w:r>
      <w:r w:rsidR="00771BA0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-</w:t>
      </w:r>
      <w:r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après des exemples de cas de caractères pseudo</w:t>
      </w:r>
      <w:r w:rsidR="00771BA0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-</w:t>
      </w:r>
      <w:r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qualitatif (PQ) et quantitatif (QN) pour lesquels il n</w:t>
      </w:r>
      <w:r w:rsidR="00771BA0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’</w:t>
      </w:r>
      <w:r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est pas indiqué d</w:t>
      </w:r>
      <w:r w:rsidR="00771BA0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’</w:t>
      </w:r>
      <w:r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exclure les caractères ultérieurs pour les raisons expliquées</w:t>
      </w:r>
      <w:r w:rsidR="00D217C6" w:rsidRPr="0049135F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.</w:t>
      </w:r>
    </w:p>
    <w:p w:rsidR="00D217C6" w:rsidRPr="0049135F" w:rsidRDefault="00D217C6" w:rsidP="002C262B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</w:p>
    <w:p w:rsidR="00D217C6" w:rsidRPr="0049135F" w:rsidRDefault="00D217C6" w:rsidP="00B10E9F">
      <w:pPr>
        <w:ind w:left="567" w:right="565" w:firstLine="567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  <w:r w:rsidRPr="0049135F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[</w:t>
      </w:r>
      <w:r w:rsidR="00D2718A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à compléter</w:t>
      </w:r>
      <w:r w:rsidRPr="0049135F"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  <w:t>]</w:t>
      </w:r>
    </w:p>
    <w:p w:rsidR="00D217C6" w:rsidRPr="0049135F" w:rsidRDefault="00D217C6" w:rsidP="002C262B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FR"/>
        </w:rPr>
      </w:pPr>
    </w:p>
    <w:p w:rsidR="005D2258" w:rsidRPr="0049135F" w:rsidRDefault="005D2258" w:rsidP="005D2258">
      <w:pPr>
        <w:ind w:left="567" w:right="565"/>
        <w:rPr>
          <w:rFonts w:cs="Arial"/>
          <w:bCs/>
          <w:snapToGrid w:val="0"/>
          <w:sz w:val="18"/>
          <w:u w:val="single"/>
          <w:lang w:val="fr-FR"/>
        </w:rPr>
      </w:pPr>
      <w:r w:rsidRPr="0049135F">
        <w:rPr>
          <w:sz w:val="18"/>
          <w:highlight w:val="lightGray"/>
          <w:u w:val="single"/>
          <w:lang w:val="fr-FR"/>
        </w:rPr>
        <w:t>L</w:t>
      </w:r>
      <w:r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exclusion des caractères de l</w:t>
      </w:r>
      <w:r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observation sur la base d</w:t>
      </w:r>
      <w:r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un caractère pseudo</w:t>
      </w:r>
      <w:r>
        <w:rPr>
          <w:sz w:val="18"/>
          <w:highlight w:val="lightGray"/>
          <w:u w:val="single"/>
          <w:lang w:val="fr-FR"/>
        </w:rPr>
        <w:t>-</w:t>
      </w:r>
      <w:r w:rsidRPr="0049135F">
        <w:rPr>
          <w:sz w:val="18"/>
          <w:highlight w:val="lightGray"/>
          <w:u w:val="single"/>
          <w:lang w:val="fr-FR"/>
        </w:rPr>
        <w:t xml:space="preserve">qualitatif </w:t>
      </w:r>
      <w:r>
        <w:rPr>
          <w:sz w:val="18"/>
          <w:highlight w:val="lightGray"/>
          <w:u w:val="single"/>
          <w:lang w:val="fr-FR"/>
        </w:rPr>
        <w:t xml:space="preserve">(PQ) </w:t>
      </w:r>
      <w:r w:rsidRPr="0049135F">
        <w:rPr>
          <w:sz w:val="18"/>
          <w:highlight w:val="lightGray"/>
          <w:u w:val="single"/>
          <w:lang w:val="fr-FR"/>
        </w:rPr>
        <w:t xml:space="preserve">ou quantitatif </w:t>
      </w:r>
      <w:r>
        <w:rPr>
          <w:sz w:val="18"/>
          <w:highlight w:val="lightGray"/>
          <w:u w:val="single"/>
          <w:lang w:val="fr-FR"/>
        </w:rPr>
        <w:t xml:space="preserve">(QN) </w:t>
      </w:r>
      <w:r w:rsidRPr="0049135F">
        <w:rPr>
          <w:sz w:val="18"/>
          <w:highlight w:val="lightGray"/>
          <w:u w:val="single"/>
          <w:lang w:val="fr-FR"/>
        </w:rPr>
        <w:t>précédent dans certaines circonstances doit être appliquée avec prudence, compte tenu des conséquences pour l</w:t>
      </w:r>
      <w:r>
        <w:rPr>
          <w:sz w:val="18"/>
          <w:highlight w:val="lightGray"/>
          <w:u w:val="single"/>
          <w:lang w:val="fr-FR"/>
        </w:rPr>
        <w:t>’</w:t>
      </w:r>
      <w:r w:rsidRPr="0049135F">
        <w:rPr>
          <w:sz w:val="18"/>
          <w:highlight w:val="lightGray"/>
          <w:u w:val="single"/>
          <w:lang w:val="fr-FR"/>
        </w:rPr>
        <w:t>examen de la distinction.</w:t>
      </w:r>
    </w:p>
    <w:p w:rsidR="00FA628E" w:rsidRPr="0049135F" w:rsidRDefault="00FA628E" w:rsidP="00FA628E">
      <w:pPr>
        <w:rPr>
          <w:lang w:val="fr-FR"/>
        </w:rPr>
      </w:pPr>
    </w:p>
    <w:p w:rsidR="00FA628E" w:rsidRPr="00743A8D" w:rsidRDefault="00FA628E" w:rsidP="00270E19">
      <w:pPr>
        <w:pStyle w:val="DecisionParagraphs"/>
        <w:rPr>
          <w:snapToGrid w:val="0"/>
          <w:lang w:val="fr-FR"/>
        </w:rPr>
      </w:pPr>
      <w:r w:rsidRPr="00743A8D">
        <w:rPr>
          <w:snapToGrid w:val="0"/>
          <w:lang w:val="fr-FR"/>
        </w:rPr>
        <w:fldChar w:fldCharType="begin"/>
      </w:r>
      <w:r w:rsidRPr="00743A8D">
        <w:rPr>
          <w:snapToGrid w:val="0"/>
          <w:lang w:val="fr-FR"/>
        </w:rPr>
        <w:instrText xml:space="preserve"> AUTONUM  </w:instrText>
      </w:r>
      <w:r w:rsidRPr="00743A8D">
        <w:rPr>
          <w:snapToGrid w:val="0"/>
          <w:lang w:val="fr-FR"/>
        </w:rPr>
        <w:fldChar w:fldCharType="end"/>
      </w:r>
      <w:r w:rsidRPr="00743A8D">
        <w:rPr>
          <w:snapToGrid w:val="0"/>
          <w:lang w:val="fr-FR"/>
        </w:rPr>
        <w:tab/>
      </w:r>
      <w:r w:rsidR="0051665D" w:rsidRPr="00743A8D">
        <w:rPr>
          <w:snapToGrid w:val="0"/>
          <w:lang w:val="fr-FR"/>
        </w:rPr>
        <w:t>Le</w:t>
      </w:r>
      <w:r w:rsidR="00771BA0" w:rsidRPr="00743A8D">
        <w:rPr>
          <w:snapToGrid w:val="0"/>
          <w:lang w:val="fr-FR"/>
        </w:rPr>
        <w:t> TC</w:t>
      </w:r>
      <w:r w:rsidR="0051665D" w:rsidRPr="00743A8D">
        <w:rPr>
          <w:snapToGrid w:val="0"/>
          <w:lang w:val="fr-FR"/>
        </w:rPr>
        <w:t xml:space="preserve"> est invité à examiner</w:t>
      </w:r>
    </w:p>
    <w:p w:rsidR="00FA628E" w:rsidRPr="00743A8D" w:rsidRDefault="00FA628E" w:rsidP="00270E19">
      <w:pPr>
        <w:pStyle w:val="DecisionParagraphs"/>
        <w:rPr>
          <w:snapToGrid w:val="0"/>
          <w:lang w:val="fr-FR"/>
        </w:rPr>
      </w:pPr>
    </w:p>
    <w:p w:rsidR="00FA628E" w:rsidRPr="00743A8D" w:rsidRDefault="0051665D" w:rsidP="00270E19">
      <w:pPr>
        <w:pStyle w:val="DecisionParagraphs"/>
        <w:tabs>
          <w:tab w:val="left" w:pos="5954"/>
        </w:tabs>
        <w:rPr>
          <w:snapToGrid w:val="0"/>
          <w:lang w:val="fr-FR"/>
        </w:rPr>
      </w:pPr>
      <w:r w:rsidRPr="00743A8D">
        <w:rPr>
          <w:snapToGrid w:val="0"/>
          <w:lang w:val="fr-FR"/>
        </w:rPr>
        <w:tab/>
      </w:r>
      <w:r w:rsidR="00FA628E" w:rsidRPr="00743A8D">
        <w:rPr>
          <w:snapToGrid w:val="0"/>
          <w:lang w:val="fr-FR"/>
        </w:rPr>
        <w:t>a)</w:t>
      </w:r>
      <w:r w:rsidR="00FA628E" w:rsidRPr="00743A8D">
        <w:rPr>
          <w:snapToGrid w:val="0"/>
          <w:lang w:val="fr-FR"/>
        </w:rPr>
        <w:tab/>
      </w:r>
      <w:r w:rsidRPr="00743A8D">
        <w:rPr>
          <w:rFonts w:cs="Arial"/>
          <w:bCs/>
          <w:snapToGrid w:val="0"/>
          <w:lang w:val="fr-FR"/>
        </w:rPr>
        <w:t>les exemples de caractères quantitatif et pseudo</w:t>
      </w:r>
      <w:r w:rsidR="00771BA0" w:rsidRPr="00743A8D">
        <w:rPr>
          <w:rFonts w:cs="Arial"/>
          <w:bCs/>
          <w:snapToGrid w:val="0"/>
          <w:lang w:val="fr-FR"/>
        </w:rPr>
        <w:t>-</w:t>
      </w:r>
      <w:r w:rsidRPr="00743A8D">
        <w:rPr>
          <w:rFonts w:cs="Arial"/>
          <w:bCs/>
          <w:snapToGrid w:val="0"/>
          <w:lang w:val="fr-FR"/>
        </w:rPr>
        <w:t>qualitatif fournis par</w:t>
      </w:r>
      <w:r w:rsidR="00771BA0" w:rsidRPr="00743A8D">
        <w:rPr>
          <w:rFonts w:cs="Arial"/>
          <w:bCs/>
          <w:snapToGrid w:val="0"/>
          <w:lang w:val="fr-FR"/>
        </w:rPr>
        <w:t xml:space="preserve"> les TWP</w:t>
      </w:r>
      <w:r w:rsidRPr="00743A8D">
        <w:rPr>
          <w:rFonts w:cs="Arial"/>
          <w:bCs/>
          <w:snapToGrid w:val="0"/>
          <w:lang w:val="fr-FR"/>
        </w:rPr>
        <w:t xml:space="preserve"> à leurs sessions </w:t>
      </w:r>
      <w:r w:rsidR="006F659B" w:rsidRPr="00743A8D">
        <w:rPr>
          <w:rFonts w:cs="Arial"/>
          <w:bCs/>
          <w:snapToGrid w:val="0"/>
          <w:lang w:val="fr-FR"/>
        </w:rPr>
        <w:t xml:space="preserve">tenues </w:t>
      </w:r>
      <w:r w:rsidR="00771BA0" w:rsidRPr="00743A8D">
        <w:rPr>
          <w:rFonts w:cs="Arial"/>
          <w:bCs/>
          <w:snapToGrid w:val="0"/>
          <w:lang w:val="fr-FR"/>
        </w:rPr>
        <w:t>en 2019</w:t>
      </w:r>
      <w:r w:rsidRPr="00743A8D">
        <w:rPr>
          <w:rFonts w:cs="Arial"/>
          <w:bCs/>
          <w:snapToGrid w:val="0"/>
          <w:lang w:val="fr-FR"/>
        </w:rPr>
        <w:t xml:space="preserve"> pour expliquer comment la méthode peut être utilisée d</w:t>
      </w:r>
      <w:r w:rsidR="00771BA0" w:rsidRPr="00743A8D">
        <w:rPr>
          <w:rFonts w:cs="Arial"/>
          <w:bCs/>
          <w:snapToGrid w:val="0"/>
          <w:lang w:val="fr-FR"/>
        </w:rPr>
        <w:t>’</w:t>
      </w:r>
      <w:r w:rsidRPr="00743A8D">
        <w:rPr>
          <w:rFonts w:cs="Arial"/>
          <w:bCs/>
          <w:snapToGrid w:val="0"/>
          <w:lang w:val="fr-FR"/>
        </w:rPr>
        <w:t xml:space="preserve">une manière qui ne présente pas de </w:t>
      </w:r>
      <w:r w:rsidRPr="00743A8D">
        <w:rPr>
          <w:rFonts w:cs="Arial"/>
          <w:bCs/>
          <w:snapToGrid w:val="0"/>
          <w:lang w:val="fr-FR"/>
        </w:rPr>
        <w:lastRenderedPageBreak/>
        <w:t>risque pour les décisions sur la distinction,</w:t>
      </w:r>
      <w:r w:rsidRPr="00743A8D">
        <w:rPr>
          <w:lang w:val="fr-FR"/>
        </w:rPr>
        <w:t xml:space="preserve"> comme indiqué au </w:t>
      </w:r>
      <w:r w:rsidR="00771BA0" w:rsidRPr="00743A8D">
        <w:rPr>
          <w:rFonts w:cs="Arial"/>
          <w:bCs/>
          <w:snapToGrid w:val="0"/>
          <w:lang w:val="fr-FR"/>
        </w:rPr>
        <w:t>paragraphe 2</w:t>
      </w:r>
      <w:r w:rsidRPr="00743A8D">
        <w:rPr>
          <w:rFonts w:cs="Arial"/>
          <w:bCs/>
          <w:snapToGrid w:val="0"/>
          <w:lang w:val="fr-FR"/>
        </w:rPr>
        <w:t>0 du présent document et</w:t>
      </w:r>
    </w:p>
    <w:p w:rsidR="00FA628E" w:rsidRPr="00743A8D" w:rsidRDefault="00FA628E" w:rsidP="00270E19">
      <w:pPr>
        <w:pStyle w:val="DecisionParagraphs"/>
        <w:rPr>
          <w:snapToGrid w:val="0"/>
          <w:lang w:val="fr-FR"/>
        </w:rPr>
      </w:pPr>
    </w:p>
    <w:p w:rsidR="00FA628E" w:rsidRPr="00743A8D" w:rsidRDefault="00FA628E" w:rsidP="00AB5562">
      <w:pPr>
        <w:pStyle w:val="DecisionParagraphs"/>
        <w:keepNext/>
        <w:keepLines/>
        <w:tabs>
          <w:tab w:val="left" w:pos="5954"/>
        </w:tabs>
        <w:rPr>
          <w:snapToGrid w:val="0"/>
          <w:lang w:val="fr-FR"/>
        </w:rPr>
      </w:pPr>
      <w:r w:rsidRPr="00743A8D">
        <w:rPr>
          <w:snapToGrid w:val="0"/>
          <w:lang w:val="fr-FR"/>
        </w:rPr>
        <w:tab/>
        <w:t>b)</w:t>
      </w:r>
      <w:r w:rsidRPr="00743A8D">
        <w:rPr>
          <w:snapToGrid w:val="0"/>
          <w:lang w:val="fr-FR"/>
        </w:rPr>
        <w:tab/>
      </w:r>
      <w:r w:rsidR="0051665D" w:rsidRPr="00743A8D">
        <w:rPr>
          <w:rFonts w:cs="Arial"/>
          <w:bCs/>
          <w:snapToGrid w:val="0"/>
          <w:lang w:val="fr-FR"/>
        </w:rPr>
        <w:t xml:space="preserve">la proposition de modification des </w:t>
      </w:r>
      <w:r w:rsidR="009D3AB3" w:rsidRPr="00743A8D">
        <w:rPr>
          <w:rFonts w:cs="Arial"/>
          <w:bCs/>
          <w:snapToGrid w:val="0"/>
          <w:lang w:val="fr-FR"/>
        </w:rPr>
        <w:t>conseils</w:t>
      </w:r>
      <w:r w:rsidR="0051665D" w:rsidRPr="00743A8D">
        <w:rPr>
          <w:rFonts w:cs="Arial"/>
          <w:bCs/>
          <w:snapToGrid w:val="0"/>
          <w:lang w:val="fr-FR"/>
        </w:rPr>
        <w:t xml:space="preserve"> figurant dans la note </w:t>
      </w:r>
      <w:r w:rsidR="009D3AB3" w:rsidRPr="00743A8D">
        <w:rPr>
          <w:rFonts w:cs="Arial"/>
          <w:bCs/>
          <w:snapToGrid w:val="0"/>
          <w:lang w:val="fr-FR"/>
        </w:rPr>
        <w:t>indicative</w:t>
      </w:r>
      <w:r w:rsidR="00373552" w:rsidRPr="00743A8D">
        <w:rPr>
          <w:rFonts w:cs="Arial"/>
          <w:bCs/>
          <w:snapToGrid w:val="0"/>
          <w:lang w:val="fr-FR"/>
        </w:rPr>
        <w:t> </w:t>
      </w:r>
      <w:r w:rsidR="0051665D" w:rsidRPr="00743A8D">
        <w:rPr>
          <w:rFonts w:cs="Arial"/>
          <w:bCs/>
          <w:snapToGrid w:val="0"/>
          <w:lang w:val="fr-FR"/>
        </w:rPr>
        <w:t>18 (GN 18) du document</w:t>
      </w:r>
      <w:r w:rsidR="00373552" w:rsidRPr="00743A8D">
        <w:rPr>
          <w:rFonts w:cs="Arial"/>
          <w:bCs/>
          <w:snapToGrid w:val="0"/>
          <w:lang w:val="fr-FR"/>
        </w:rPr>
        <w:t> </w:t>
      </w:r>
      <w:r w:rsidR="0051665D" w:rsidRPr="00743A8D">
        <w:rPr>
          <w:rFonts w:cs="Arial"/>
          <w:bCs/>
          <w:snapToGrid w:val="0"/>
          <w:lang w:val="fr-FR"/>
        </w:rPr>
        <w:t>TGP/7 afin de permettre l</w:t>
      </w:r>
      <w:r w:rsidR="00771BA0" w:rsidRPr="00743A8D">
        <w:rPr>
          <w:rFonts w:cs="Arial"/>
          <w:bCs/>
          <w:snapToGrid w:val="0"/>
          <w:lang w:val="fr-FR"/>
        </w:rPr>
        <w:t>’</w:t>
      </w:r>
      <w:r w:rsidR="0051665D" w:rsidRPr="00743A8D">
        <w:rPr>
          <w:rFonts w:cs="Arial"/>
          <w:bCs/>
          <w:snapToGrid w:val="0"/>
          <w:lang w:val="fr-FR"/>
        </w:rPr>
        <w:t>exclusion d</w:t>
      </w:r>
      <w:r w:rsidR="00771BA0" w:rsidRPr="00743A8D">
        <w:rPr>
          <w:rFonts w:cs="Arial"/>
          <w:bCs/>
          <w:snapToGrid w:val="0"/>
          <w:lang w:val="fr-FR"/>
        </w:rPr>
        <w:t>’</w:t>
      </w:r>
      <w:r w:rsidR="0051665D" w:rsidRPr="00743A8D">
        <w:rPr>
          <w:rFonts w:cs="Arial"/>
          <w:bCs/>
          <w:snapToGrid w:val="0"/>
          <w:lang w:val="fr-FR"/>
        </w:rPr>
        <w:t>un caractère de l</w:t>
      </w:r>
      <w:r w:rsidR="00771BA0" w:rsidRPr="00743A8D">
        <w:rPr>
          <w:rFonts w:cs="Arial"/>
          <w:bCs/>
          <w:snapToGrid w:val="0"/>
          <w:lang w:val="fr-FR"/>
        </w:rPr>
        <w:t>’</w:t>
      </w:r>
      <w:r w:rsidR="0051665D" w:rsidRPr="00743A8D">
        <w:rPr>
          <w:rFonts w:cs="Arial"/>
          <w:bCs/>
          <w:snapToGrid w:val="0"/>
          <w:lang w:val="fr-FR"/>
        </w:rPr>
        <w:t>observation sur la base du niveau d</w:t>
      </w:r>
      <w:r w:rsidR="00771BA0" w:rsidRPr="00743A8D">
        <w:rPr>
          <w:rFonts w:cs="Arial"/>
          <w:bCs/>
          <w:snapToGrid w:val="0"/>
          <w:lang w:val="fr-FR"/>
        </w:rPr>
        <w:t>’</w:t>
      </w:r>
      <w:r w:rsidR="0051665D" w:rsidRPr="00743A8D">
        <w:rPr>
          <w:rFonts w:cs="Arial"/>
          <w:bCs/>
          <w:snapToGrid w:val="0"/>
          <w:lang w:val="fr-FR"/>
        </w:rPr>
        <w:t>expression d</w:t>
      </w:r>
      <w:r w:rsidR="00771BA0" w:rsidRPr="00743A8D">
        <w:rPr>
          <w:rFonts w:cs="Arial"/>
          <w:bCs/>
          <w:snapToGrid w:val="0"/>
          <w:lang w:val="fr-FR"/>
        </w:rPr>
        <w:t>’</w:t>
      </w:r>
      <w:r w:rsidR="0051665D" w:rsidRPr="00743A8D">
        <w:rPr>
          <w:rFonts w:cs="Arial"/>
          <w:bCs/>
          <w:snapToGrid w:val="0"/>
          <w:lang w:val="fr-FR"/>
        </w:rPr>
        <w:t>un caractère pseudo</w:t>
      </w:r>
      <w:r w:rsidR="00771BA0" w:rsidRPr="00743A8D">
        <w:rPr>
          <w:rFonts w:cs="Arial"/>
          <w:bCs/>
          <w:snapToGrid w:val="0"/>
          <w:lang w:val="fr-FR"/>
        </w:rPr>
        <w:t>-</w:t>
      </w:r>
      <w:r w:rsidR="0051665D" w:rsidRPr="00743A8D">
        <w:rPr>
          <w:rFonts w:cs="Arial"/>
          <w:bCs/>
          <w:snapToGrid w:val="0"/>
          <w:lang w:val="fr-FR"/>
        </w:rPr>
        <w:t xml:space="preserve">qualitatif ou quantitatif précédent, comme indiqué au </w:t>
      </w:r>
      <w:r w:rsidR="00771BA0" w:rsidRPr="00743A8D">
        <w:rPr>
          <w:rFonts w:cs="Arial"/>
          <w:bCs/>
          <w:snapToGrid w:val="0"/>
          <w:lang w:val="fr-FR"/>
        </w:rPr>
        <w:t>paragraphe 2</w:t>
      </w:r>
      <w:r w:rsidR="0051665D" w:rsidRPr="00743A8D">
        <w:rPr>
          <w:rFonts w:cs="Arial"/>
          <w:bCs/>
          <w:snapToGrid w:val="0"/>
          <w:lang w:val="fr-FR"/>
        </w:rPr>
        <w:t>1 du présent document</w:t>
      </w:r>
      <w:r w:rsidRPr="00743A8D">
        <w:rPr>
          <w:snapToGrid w:val="0"/>
          <w:lang w:val="fr-FR"/>
        </w:rPr>
        <w:t>.</w:t>
      </w:r>
    </w:p>
    <w:p w:rsidR="00FA628E" w:rsidRPr="00743A8D" w:rsidRDefault="00FA628E" w:rsidP="00FA628E">
      <w:pPr>
        <w:rPr>
          <w:lang w:val="fr-FR"/>
        </w:rPr>
      </w:pPr>
    </w:p>
    <w:p w:rsidR="00FA628E" w:rsidRPr="00743A8D" w:rsidRDefault="00FA628E" w:rsidP="00FA628E">
      <w:pPr>
        <w:rPr>
          <w:lang w:val="fr-FR"/>
        </w:rPr>
      </w:pPr>
    </w:p>
    <w:p w:rsidR="00FA628E" w:rsidRPr="0049135F" w:rsidRDefault="00FA628E" w:rsidP="00FA628E">
      <w:pPr>
        <w:jc w:val="right"/>
        <w:rPr>
          <w:lang w:val="fr-FR"/>
        </w:rPr>
      </w:pPr>
      <w:r w:rsidRPr="00743A8D">
        <w:rPr>
          <w:lang w:val="fr-FR"/>
        </w:rPr>
        <w:t>[</w:t>
      </w:r>
      <w:r w:rsidR="0051665D" w:rsidRPr="00743A8D">
        <w:rPr>
          <w:lang w:val="fr-FR"/>
        </w:rPr>
        <w:t>L</w:t>
      </w:r>
      <w:r w:rsidR="00771BA0" w:rsidRPr="00743A8D">
        <w:rPr>
          <w:lang w:val="fr-FR"/>
        </w:rPr>
        <w:t>’</w:t>
      </w:r>
      <w:r w:rsidR="0051665D" w:rsidRPr="00743A8D">
        <w:rPr>
          <w:lang w:val="fr-FR"/>
        </w:rPr>
        <w:t>annexe suit</w:t>
      </w:r>
      <w:r w:rsidRPr="00743A8D">
        <w:rPr>
          <w:lang w:val="fr-FR"/>
        </w:rPr>
        <w:t>]</w:t>
      </w:r>
    </w:p>
    <w:p w:rsidR="00FA628E" w:rsidRPr="0049135F" w:rsidRDefault="00FA628E" w:rsidP="00FA628E">
      <w:pPr>
        <w:rPr>
          <w:lang w:val="fr-FR"/>
        </w:rPr>
        <w:sectPr w:rsidR="00FA628E" w:rsidRPr="0049135F" w:rsidSect="00892A8A">
          <w:headerReference w:type="default" r:id="rId7"/>
          <w:footerReference w:type="default" r:id="rId8"/>
          <w:pgSz w:w="11905" w:h="16837"/>
          <w:pgMar w:top="510" w:right="1134" w:bottom="1134" w:left="1134" w:header="510" w:footer="1133" w:gutter="0"/>
          <w:cols w:space="720"/>
          <w:titlePg/>
          <w:docGrid w:linePitch="272"/>
        </w:sectPr>
      </w:pPr>
    </w:p>
    <w:p w:rsidR="00FA628E" w:rsidRPr="0049135F" w:rsidRDefault="0051665D" w:rsidP="00FA628E">
      <w:pPr>
        <w:jc w:val="center"/>
        <w:rPr>
          <w:caps/>
          <w:lang w:val="fr-FR"/>
        </w:rPr>
      </w:pPr>
      <w:r>
        <w:rPr>
          <w:caps/>
          <w:lang w:val="fr-FR"/>
        </w:rPr>
        <w:lastRenderedPageBreak/>
        <w:t>extrait du</w:t>
      </w:r>
      <w:r w:rsidR="00FA628E" w:rsidRPr="0049135F">
        <w:rPr>
          <w:caps/>
          <w:lang w:val="fr-FR"/>
        </w:rPr>
        <w:t xml:space="preserve"> document</w:t>
      </w:r>
      <w:r w:rsidR="00373552">
        <w:rPr>
          <w:caps/>
          <w:lang w:val="fr-FR"/>
        </w:rPr>
        <w:t> </w:t>
      </w:r>
      <w:r w:rsidR="00FA628E" w:rsidRPr="0049135F">
        <w:rPr>
          <w:caps/>
          <w:lang w:val="fr-FR"/>
        </w:rPr>
        <w:t>TG/13/11 (</w:t>
      </w:r>
      <w:r>
        <w:rPr>
          <w:caps/>
          <w:lang w:val="fr-FR"/>
        </w:rPr>
        <w:t>laitue</w:t>
      </w:r>
      <w:r w:rsidR="00FA628E" w:rsidRPr="0049135F">
        <w:rPr>
          <w:caps/>
          <w:lang w:val="fr-FR"/>
        </w:rPr>
        <w:t>)</w:t>
      </w:r>
    </w:p>
    <w:p w:rsidR="00090567" w:rsidRPr="00166D6B" w:rsidRDefault="00090567" w:rsidP="00090567">
      <w:pPr>
        <w:rPr>
          <w:lang w:val="fr-FR"/>
        </w:rPr>
      </w:pPr>
    </w:p>
    <w:tbl>
      <w:tblPr>
        <w:tblW w:w="14848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1"/>
        <w:gridCol w:w="1955"/>
        <w:gridCol w:w="1579"/>
        <w:gridCol w:w="1751"/>
        <w:gridCol w:w="1751"/>
        <w:gridCol w:w="1751"/>
        <w:gridCol w:w="1751"/>
        <w:gridCol w:w="2559"/>
      </w:tblGrid>
      <w:tr w:rsidR="00090567" w:rsidRPr="00A670F3" w:rsidTr="00181040">
        <w:trPr>
          <w:trHeight w:val="947"/>
        </w:trPr>
        <w:tc>
          <w:tcPr>
            <w:tcW w:w="17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Type</w:t>
            </w:r>
          </w:p>
        </w:tc>
        <w:tc>
          <w:tcPr>
            <w:tcW w:w="1955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Exemples de variétés</w:t>
            </w:r>
          </w:p>
        </w:tc>
        <w:tc>
          <w:tcPr>
            <w:tcW w:w="1579" w:type="dxa"/>
            <w:tcBorders>
              <w:top w:val="single" w:sz="12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Plante</w:t>
            </w:r>
            <w:r w:rsidR="00771BA0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</w:t>
            </w: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 xml:space="preserve">degré du chevauchement de la partie supérieure des feuilles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(car. </w:t>
            </w:r>
            <w:r w:rsidR="007E1DE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3)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>Feuille</w:t>
            </w:r>
            <w:r w:rsidR="00771BA0">
              <w:rPr>
                <w:rFonts w:cs="Arial"/>
                <w:b/>
                <w:sz w:val="16"/>
                <w:szCs w:val="16"/>
                <w:lang w:val="fr-FR"/>
              </w:rPr>
              <w:t> :</w:t>
            </w:r>
            <w:r w:rsidRPr="00606535">
              <w:rPr>
                <w:rFonts w:cs="Arial"/>
                <w:b/>
                <w:sz w:val="16"/>
                <w:szCs w:val="16"/>
                <w:lang w:val="fr-FR"/>
              </w:rPr>
              <w:t xml:space="preserve"> nombre de divisions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(car. </w:t>
            </w:r>
            <w:r w:rsidR="007E1DE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6)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Feuille</w:t>
            </w:r>
            <w:r w:rsidR="00771BA0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épaisseur (car. </w:t>
            </w:r>
            <w:r w:rsidR="007E1DE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17)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Feuille</w:t>
            </w:r>
            <w:r w:rsidR="00771BA0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ondulation du bord (car. </w:t>
            </w:r>
            <w:r w:rsidR="007E1DE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20)</w:t>
            </w:r>
          </w:p>
        </w:tc>
        <w:tc>
          <w:tcPr>
            <w:tcW w:w="17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Feuille</w:t>
            </w:r>
            <w:r w:rsidR="00771BA0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 :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nervation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br/>
              <w:t xml:space="preserve">(car. </w:t>
            </w:r>
            <w:r w:rsidR="007E1DE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 xml:space="preserve"> </w:t>
            </w:r>
            <w:r w:rsidRPr="00606535">
              <w:rPr>
                <w:rFonts w:cs="Arial"/>
                <w:b/>
                <w:bCs/>
                <w:sz w:val="16"/>
                <w:szCs w:val="16"/>
                <w:lang w:val="fr-FR" w:eastAsia="nl-NL"/>
              </w:rPr>
              <w:t>25)</w:t>
            </w:r>
          </w:p>
        </w:tc>
        <w:tc>
          <w:tcPr>
            <w:tcW w:w="2559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090567" w:rsidP="00181040">
            <w:pPr>
              <w:jc w:val="left"/>
              <w:rPr>
                <w:rFonts w:cs="Arial"/>
                <w:b/>
                <w:bCs/>
                <w:sz w:val="16"/>
                <w:szCs w:val="16"/>
                <w:lang w:val="fr-CH" w:eastAsia="nl-NL"/>
              </w:rPr>
            </w:pPr>
            <w:r w:rsidRPr="00606535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>Seulement les variétés avec Plante</w:t>
            </w:r>
            <w:r w:rsidR="00771BA0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 xml:space="preserve"> degré du chevauchement de la partie supérieure des feuilles</w:t>
            </w:r>
            <w:r w:rsidR="00771BA0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u w:val="single"/>
                <w:lang w:val="fr-CH"/>
              </w:rPr>
              <w:t xml:space="preserve"> moyen ou fort</w:t>
            </w:r>
            <w:r w:rsidR="00771BA0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 xml:space="preserve"> Pomme</w:t>
            </w:r>
            <w:r w:rsidR="00771BA0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> :</w:t>
            </w:r>
            <w:r w:rsidRPr="00606535">
              <w:rPr>
                <w:rFonts w:eastAsia="Arial" w:cs="Arial"/>
                <w:b/>
                <w:bCs/>
                <w:sz w:val="16"/>
                <w:szCs w:val="16"/>
                <w:lang w:val="fr-CH"/>
              </w:rPr>
              <w:t xml:space="preserve"> forme en section longitudinale</w:t>
            </w:r>
            <w:r w:rsidRPr="00606535">
              <w:rPr>
                <w:rFonts w:cs="Arial"/>
                <w:b/>
                <w:sz w:val="16"/>
                <w:szCs w:val="16"/>
                <w:lang w:val="fr-CH"/>
              </w:rPr>
              <w:t xml:space="preserve"> (car.</w:t>
            </w:r>
            <w:r w:rsidR="007E1DE5">
              <w:rPr>
                <w:rFonts w:cs="Arial"/>
                <w:b/>
                <w:sz w:val="16"/>
                <w:szCs w:val="16"/>
                <w:lang w:val="fr-CH"/>
              </w:rPr>
              <w:t xml:space="preserve">  </w:t>
            </w:r>
            <w:r w:rsidRPr="00606535">
              <w:rPr>
                <w:rFonts w:cs="Arial"/>
                <w:b/>
                <w:sz w:val="16"/>
                <w:szCs w:val="16"/>
                <w:lang w:val="fr-CH"/>
              </w:rPr>
              <w:t>27)</w:t>
            </w:r>
          </w:p>
        </w:tc>
      </w:tr>
      <w:tr w:rsidR="00090567" w:rsidRPr="005D2258" w:rsidTr="00181040">
        <w:trPr>
          <w:trHeight w:val="493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pommée beurre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Clarion, Maikönig, Sartre</w:t>
            </w:r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 à fort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 à 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circulaire ou arrondie aplatie étroite </w:t>
            </w:r>
          </w:p>
        </w:tc>
      </w:tr>
      <w:tr w:rsidR="00090567" w:rsidRPr="00166D6B" w:rsidTr="00181040">
        <w:trPr>
          <w:trHeight w:val="700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Novita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Norvick</w:t>
            </w:r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très faible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771BA0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090567" w:rsidRPr="005D2258" w:rsidTr="00181040">
        <w:trPr>
          <w:trHeight w:val="700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Iceberg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eastAsia="nl-NL"/>
              </w:rPr>
            </w:pPr>
            <w:r w:rsidRPr="00606535">
              <w:rPr>
                <w:rFonts w:cs="Arial"/>
                <w:sz w:val="16"/>
                <w:szCs w:val="16"/>
                <w:lang w:eastAsia="nl-NL"/>
              </w:rPr>
              <w:t>Great Lakes 659, Roxette, Saladin, Vanguard 75</w:t>
            </w:r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fort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circulaire ou arrondie aplatie étroite</w:t>
            </w:r>
          </w:p>
        </w:tc>
      </w:tr>
      <w:tr w:rsidR="00090567" w:rsidRPr="005D2258" w:rsidTr="00181040">
        <w:trPr>
          <w:trHeight w:val="473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Batavia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eastAsia="nl-NL"/>
              </w:rPr>
            </w:pPr>
            <w:r w:rsidRPr="00606535">
              <w:rPr>
                <w:rFonts w:cs="Arial"/>
                <w:sz w:val="16"/>
                <w:szCs w:val="16"/>
                <w:lang w:eastAsia="nl-NL"/>
              </w:rPr>
              <w:t>Aquarel, Curtis, Funnice, Felucca, Grand Rapids, Masaida, Visyon</w:t>
            </w:r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 à fort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moyenne à 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faible à très forte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elliptique large, circulaire ou arrondie aplatie étroite</w:t>
            </w:r>
          </w:p>
        </w:tc>
      </w:tr>
      <w:tr w:rsidR="00090567" w:rsidRPr="00166D6B" w:rsidTr="0018104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Type Frisée d</w:t>
            </w:r>
            <w:r w:rsidR="00771BA0">
              <w:rPr>
                <w:rFonts w:cs="Arial"/>
                <w:sz w:val="16"/>
                <w:szCs w:val="16"/>
                <w:lang w:val="fr-FR" w:eastAsia="nl-NL"/>
              </w:rPr>
              <w:t>’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Amérique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Bijou, Blonde à couper améliorée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forte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 ou non flabelliforme ou semi</w:t>
            </w:r>
            <w:r w:rsidR="00771BA0">
              <w:rPr>
                <w:rFonts w:cs="Arial"/>
                <w:sz w:val="16"/>
                <w:szCs w:val="16"/>
                <w:lang w:val="fr-FR" w:eastAsia="nl-NL"/>
              </w:rPr>
              <w:t>-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771BA0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090567" w:rsidRPr="00166D6B" w:rsidTr="0018104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Lollo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Lollo rossa, Revolution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forte à très forte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771BA0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090567" w:rsidRPr="00166D6B" w:rsidTr="0018104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Feuille de chêne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Catalogna, Kipling, Muraï, Salad Bowl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petit à grand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 ou non flabelliforme ou semi</w:t>
            </w:r>
            <w:r w:rsidR="00771BA0">
              <w:rPr>
                <w:rFonts w:cs="Arial"/>
                <w:sz w:val="16"/>
                <w:szCs w:val="16"/>
                <w:lang w:val="fr-FR" w:eastAsia="nl-NL"/>
              </w:rPr>
              <w:t>-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 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771BA0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090567" w:rsidRPr="00166D6B" w:rsidTr="0018104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multidivisée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Curletta, Duplex, Jadigon, Rodagio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 à très grand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faible à très forte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771BA0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090567" w:rsidRPr="00166D6B" w:rsidTr="0018104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Frillice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Frilett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épaisse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faible à forte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flabelliforme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771BA0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  <w:tr w:rsidR="00090567" w:rsidRPr="00166D6B" w:rsidTr="00181040">
        <w:trPr>
          <w:trHeight w:val="473"/>
        </w:trPr>
        <w:tc>
          <w:tcPr>
            <w:tcW w:w="1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romaine 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Actarus, </w:t>
            </w:r>
            <w:r w:rsidRPr="00606535">
              <w:rPr>
                <w:rFonts w:cs="Arial"/>
                <w:sz w:val="16"/>
                <w:szCs w:val="16"/>
                <w:lang w:val="fr-FR" w:eastAsia="nl-NL"/>
              </w:rPr>
              <w:br/>
              <w:t>Blonde maraîchère, Pinokkio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absent ou faible à moyen 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moyenne à épaisse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arrondie aplatie étroite</w:t>
            </w:r>
          </w:p>
        </w:tc>
      </w:tr>
      <w:tr w:rsidR="00090567" w:rsidRPr="005D2258" w:rsidTr="00181040">
        <w:trPr>
          <w:trHeight w:val="614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Gem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Craquerelle du Midi, Sucrine, Xanadu</w:t>
            </w:r>
          </w:p>
        </w:tc>
        <w:tc>
          <w:tcPr>
            <w:tcW w:w="1579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 à moyen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moyenne à épaisse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elliptique large, circulaire ou arrondie aplatie étroite</w:t>
            </w:r>
          </w:p>
        </w:tc>
      </w:tr>
      <w:tr w:rsidR="00090567" w:rsidRPr="00166D6B" w:rsidTr="00181040">
        <w:trPr>
          <w:trHeight w:val="442"/>
        </w:trPr>
        <w:tc>
          <w:tcPr>
            <w:tcW w:w="17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Type tige 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Celtuce, Guasihong</w:t>
            </w:r>
          </w:p>
        </w:tc>
        <w:tc>
          <w:tcPr>
            <w:tcW w:w="1579" w:type="dxa"/>
            <w:tcBorders>
              <w:top w:val="nil"/>
              <w:left w:val="double" w:sz="6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absent ou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 ou très petit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mince à moyenne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>nulle à faible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567" w:rsidRPr="00606535" w:rsidRDefault="00090567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 w:rsidRPr="00606535">
              <w:rPr>
                <w:rFonts w:cs="Arial"/>
                <w:sz w:val="16"/>
                <w:szCs w:val="16"/>
                <w:lang w:val="fr-FR" w:eastAsia="nl-NL"/>
              </w:rPr>
              <w:t xml:space="preserve">non flabelliforme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567" w:rsidRPr="00606535" w:rsidRDefault="00771BA0" w:rsidP="004F0E23">
            <w:pPr>
              <w:jc w:val="left"/>
              <w:rPr>
                <w:rFonts w:cs="Arial"/>
                <w:sz w:val="16"/>
                <w:szCs w:val="16"/>
                <w:lang w:val="fr-FR" w:eastAsia="nl-NL"/>
              </w:rPr>
            </w:pPr>
            <w:r>
              <w:rPr>
                <w:rFonts w:cs="Arial"/>
                <w:sz w:val="16"/>
                <w:szCs w:val="16"/>
                <w:lang w:val="fr-FR" w:eastAsia="nl-NL"/>
              </w:rPr>
              <w:t>-</w:t>
            </w:r>
          </w:p>
        </w:tc>
      </w:tr>
    </w:tbl>
    <w:p w:rsidR="00090567" w:rsidRDefault="00090567" w:rsidP="00090567">
      <w:pPr>
        <w:rPr>
          <w:lang w:val="fr-FR"/>
        </w:rPr>
      </w:pPr>
    </w:p>
    <w:p w:rsidR="00090567" w:rsidRDefault="00090567" w:rsidP="00090567">
      <w:pPr>
        <w:rPr>
          <w:lang w:val="fr-FR"/>
        </w:rPr>
      </w:pPr>
    </w:p>
    <w:p w:rsidR="00090567" w:rsidRDefault="00090567" w:rsidP="00090567">
      <w:pPr>
        <w:rPr>
          <w:lang w:val="fr-FR"/>
        </w:rPr>
      </w:pPr>
    </w:p>
    <w:p w:rsidR="00090567" w:rsidRPr="00166D6B" w:rsidRDefault="00090567" w:rsidP="00090567">
      <w:pPr>
        <w:ind w:right="312"/>
        <w:jc w:val="right"/>
        <w:rPr>
          <w:lang w:val="fr-FR"/>
        </w:rPr>
      </w:pPr>
      <w:r w:rsidRPr="00166D6B">
        <w:rPr>
          <w:lang w:val="fr-FR"/>
        </w:rPr>
        <w:t>[</w:t>
      </w:r>
      <w:r>
        <w:rPr>
          <w:lang w:val="fr-FR"/>
        </w:rPr>
        <w:t>Fin de l</w:t>
      </w:r>
      <w:r w:rsidR="00771BA0">
        <w:rPr>
          <w:lang w:val="fr-FR"/>
        </w:rPr>
        <w:t>’</w:t>
      </w:r>
      <w:r>
        <w:rPr>
          <w:lang w:val="fr-FR"/>
        </w:rPr>
        <w:t xml:space="preserve">annexe et du </w:t>
      </w:r>
      <w:r w:rsidRPr="00166D6B">
        <w:rPr>
          <w:lang w:val="fr-FR"/>
        </w:rPr>
        <w:t>document]</w:t>
      </w:r>
    </w:p>
    <w:sectPr w:rsidR="00090567" w:rsidRPr="00166D6B" w:rsidSect="00FA628E">
      <w:headerReference w:type="default" r:id="rId9"/>
      <w:headerReference w:type="first" r:id="rId10"/>
      <w:pgSz w:w="16840" w:h="11907" w:orient="landscape" w:code="9"/>
      <w:pgMar w:top="1134" w:right="510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8A" w:rsidRDefault="00892A8A" w:rsidP="006655D3">
      <w:r>
        <w:separator/>
      </w:r>
    </w:p>
    <w:p w:rsidR="00892A8A" w:rsidRDefault="00892A8A" w:rsidP="006655D3"/>
    <w:p w:rsidR="00892A8A" w:rsidRDefault="00892A8A" w:rsidP="006655D3"/>
  </w:endnote>
  <w:endnote w:type="continuationSeparator" w:id="0">
    <w:p w:rsidR="00892A8A" w:rsidRDefault="00892A8A" w:rsidP="006655D3">
      <w:r>
        <w:separator/>
      </w:r>
    </w:p>
    <w:p w:rsidR="00892A8A" w:rsidRPr="00294751" w:rsidRDefault="00892A8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92A8A" w:rsidRPr="00294751" w:rsidRDefault="00892A8A" w:rsidP="006655D3">
      <w:pPr>
        <w:rPr>
          <w:lang w:val="fr-FR"/>
        </w:rPr>
      </w:pPr>
    </w:p>
    <w:p w:rsidR="00892A8A" w:rsidRPr="00294751" w:rsidRDefault="00892A8A" w:rsidP="006655D3">
      <w:pPr>
        <w:rPr>
          <w:lang w:val="fr-FR"/>
        </w:rPr>
      </w:pPr>
    </w:p>
  </w:endnote>
  <w:endnote w:type="continuationNotice" w:id="1">
    <w:p w:rsidR="00892A8A" w:rsidRPr="00294751" w:rsidRDefault="00892A8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92A8A" w:rsidRPr="00294751" w:rsidRDefault="00892A8A" w:rsidP="006655D3">
      <w:pPr>
        <w:rPr>
          <w:lang w:val="fr-FR"/>
        </w:rPr>
      </w:pPr>
    </w:p>
    <w:p w:rsidR="00892A8A" w:rsidRPr="00294751" w:rsidRDefault="00892A8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5643B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8A" w:rsidRDefault="00892A8A" w:rsidP="006655D3">
      <w:r>
        <w:separator/>
      </w:r>
    </w:p>
  </w:footnote>
  <w:footnote w:type="continuationSeparator" w:id="0">
    <w:p w:rsidR="00892A8A" w:rsidRDefault="00892A8A" w:rsidP="006655D3">
      <w:r>
        <w:separator/>
      </w:r>
    </w:p>
  </w:footnote>
  <w:footnote w:type="continuationNotice" w:id="1">
    <w:p w:rsidR="00892A8A" w:rsidRPr="00AB530F" w:rsidRDefault="00892A8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8A" w:rsidRDefault="00892A8A">
    <w:pPr>
      <w:pStyle w:val="Header"/>
      <w:rPr>
        <w:lang w:val="pt-BR"/>
      </w:rPr>
    </w:pPr>
    <w:r w:rsidRPr="00615677">
      <w:rPr>
        <w:lang w:val="en-US"/>
      </w:rPr>
      <w:t>TC/5</w:t>
    </w:r>
    <w:r>
      <w:rPr>
        <w:lang w:val="en-US"/>
      </w:rPr>
      <w:t>5</w:t>
    </w:r>
    <w:r w:rsidRPr="00615677">
      <w:rPr>
        <w:lang w:val="en-US"/>
      </w:rPr>
      <w:t>/</w:t>
    </w:r>
    <w:r>
      <w:rPr>
        <w:lang w:val="en-US"/>
      </w:rPr>
      <w:t>12</w:t>
    </w:r>
  </w:p>
  <w:p w:rsidR="00892A8A" w:rsidRPr="00697707" w:rsidRDefault="00892A8A" w:rsidP="00892A8A">
    <w:pPr>
      <w:pStyle w:val="Header"/>
    </w:pPr>
    <w:r w:rsidRPr="00063469">
      <w:rPr>
        <w:lang w:val="en-AU"/>
      </w:rPr>
      <w:t>page</w:t>
    </w:r>
    <w:r w:rsidR="00373552">
      <w:rPr>
        <w:lang w:val="en-AU"/>
      </w:rPr>
      <w:t> </w:t>
    </w:r>
    <w:r w:rsidRPr="00697707">
      <w:rPr>
        <w:lang w:val="en-AU"/>
      </w:rPr>
      <w:fldChar w:fldCharType="begin"/>
    </w:r>
    <w:r w:rsidRPr="00063469">
      <w:rPr>
        <w:lang w:val="en-AU"/>
      </w:rPr>
      <w:instrText xml:space="preserve"> PAGE </w:instrText>
    </w:r>
    <w:r w:rsidRPr="00697707">
      <w:rPr>
        <w:lang w:val="en-AU"/>
      </w:rPr>
      <w:fldChar w:fldCharType="separate"/>
    </w:r>
    <w:r w:rsidR="005643B1">
      <w:rPr>
        <w:noProof/>
        <w:lang w:val="en-AU"/>
      </w:rPr>
      <w:t>5</w:t>
    </w:r>
    <w:r w:rsidRPr="00697707">
      <w:rPr>
        <w:lang w:val="pt-BR"/>
      </w:rPr>
      <w:fldChar w:fldCharType="end"/>
    </w:r>
  </w:p>
  <w:p w:rsidR="00892A8A" w:rsidRPr="00697707" w:rsidRDefault="00892A8A">
    <w:pPr>
      <w:pStyle w:val="Header"/>
      <w:rPr>
        <w:lang w:val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8A" w:rsidRPr="00C5280D" w:rsidRDefault="00892A8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TC/55/12</w:t>
    </w:r>
  </w:p>
  <w:p w:rsidR="00892A8A" w:rsidRPr="00C5280D" w:rsidRDefault="00892A8A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D2258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892A8A" w:rsidRPr="00C5280D" w:rsidRDefault="00892A8A" w:rsidP="006655D3"/>
  <w:p w:rsidR="00892A8A" w:rsidRDefault="00892A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A8A" w:rsidRDefault="00892A8A">
    <w:pPr>
      <w:pStyle w:val="Header"/>
      <w:rPr>
        <w:lang w:val="en-US"/>
      </w:rPr>
    </w:pPr>
    <w:r>
      <w:rPr>
        <w:lang w:val="en-US"/>
      </w:rPr>
      <w:t>TC/55/12</w:t>
    </w:r>
  </w:p>
  <w:p w:rsidR="00892A8A" w:rsidRDefault="00892A8A">
    <w:pPr>
      <w:pStyle w:val="Header"/>
      <w:rPr>
        <w:lang w:val="en-US"/>
      </w:rPr>
    </w:pPr>
  </w:p>
  <w:p w:rsidR="00892A8A" w:rsidRDefault="00892A8A">
    <w:pPr>
      <w:pStyle w:val="Header"/>
      <w:rPr>
        <w:lang w:val="en-US"/>
      </w:rPr>
    </w:pPr>
    <w:r>
      <w:rPr>
        <w:lang w:val="en-US"/>
      </w:rPr>
      <w:t>ANNEX</w:t>
    </w:r>
    <w:r w:rsidR="00D2718A">
      <w:rPr>
        <w:lang w:val="en-US"/>
      </w:rPr>
      <w:t>E</w:t>
    </w:r>
  </w:p>
  <w:p w:rsidR="00892A8A" w:rsidRPr="00FA628E" w:rsidRDefault="00892A8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10CF3"/>
    <w:rsid w:val="00011E27"/>
    <w:rsid w:val="000148BC"/>
    <w:rsid w:val="00024AB8"/>
    <w:rsid w:val="00030854"/>
    <w:rsid w:val="00036028"/>
    <w:rsid w:val="0004029E"/>
    <w:rsid w:val="00044642"/>
    <w:rsid w:val="000446B9"/>
    <w:rsid w:val="00047E21"/>
    <w:rsid w:val="00050E16"/>
    <w:rsid w:val="00085505"/>
    <w:rsid w:val="00090567"/>
    <w:rsid w:val="0009734F"/>
    <w:rsid w:val="000A2B49"/>
    <w:rsid w:val="000C4E25"/>
    <w:rsid w:val="000C5228"/>
    <w:rsid w:val="000C7021"/>
    <w:rsid w:val="000D60EF"/>
    <w:rsid w:val="000D6BBC"/>
    <w:rsid w:val="000D7780"/>
    <w:rsid w:val="000E5C47"/>
    <w:rsid w:val="000E636A"/>
    <w:rsid w:val="000F2F11"/>
    <w:rsid w:val="00105929"/>
    <w:rsid w:val="00110C36"/>
    <w:rsid w:val="001131D5"/>
    <w:rsid w:val="001314CC"/>
    <w:rsid w:val="00141DB8"/>
    <w:rsid w:val="00146F34"/>
    <w:rsid w:val="001548C8"/>
    <w:rsid w:val="00172084"/>
    <w:rsid w:val="0017474A"/>
    <w:rsid w:val="001758C6"/>
    <w:rsid w:val="00182B99"/>
    <w:rsid w:val="001A473A"/>
    <w:rsid w:val="001D36AC"/>
    <w:rsid w:val="0021332C"/>
    <w:rsid w:val="00213982"/>
    <w:rsid w:val="0024416D"/>
    <w:rsid w:val="00270E19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62B"/>
    <w:rsid w:val="002F5ADD"/>
    <w:rsid w:val="00304827"/>
    <w:rsid w:val="00305A7F"/>
    <w:rsid w:val="00306F6F"/>
    <w:rsid w:val="003152FE"/>
    <w:rsid w:val="00321EDE"/>
    <w:rsid w:val="00327436"/>
    <w:rsid w:val="00344BD6"/>
    <w:rsid w:val="0035528D"/>
    <w:rsid w:val="00361821"/>
    <w:rsid w:val="00361E9E"/>
    <w:rsid w:val="00373552"/>
    <w:rsid w:val="00382007"/>
    <w:rsid w:val="003A338F"/>
    <w:rsid w:val="003B6DA6"/>
    <w:rsid w:val="003C7FBE"/>
    <w:rsid w:val="003D1A28"/>
    <w:rsid w:val="003D227C"/>
    <w:rsid w:val="003D2B4D"/>
    <w:rsid w:val="003D41CD"/>
    <w:rsid w:val="003E646B"/>
    <w:rsid w:val="003F40BB"/>
    <w:rsid w:val="004167EA"/>
    <w:rsid w:val="00433C41"/>
    <w:rsid w:val="00433C8F"/>
    <w:rsid w:val="00441172"/>
    <w:rsid w:val="00444A88"/>
    <w:rsid w:val="00474DA4"/>
    <w:rsid w:val="00476B4D"/>
    <w:rsid w:val="004805FA"/>
    <w:rsid w:val="0049135F"/>
    <w:rsid w:val="004935D2"/>
    <w:rsid w:val="004A707B"/>
    <w:rsid w:val="004B1215"/>
    <w:rsid w:val="004B705C"/>
    <w:rsid w:val="004D047D"/>
    <w:rsid w:val="004F0E23"/>
    <w:rsid w:val="004F1E9E"/>
    <w:rsid w:val="004F305A"/>
    <w:rsid w:val="00512164"/>
    <w:rsid w:val="0051665D"/>
    <w:rsid w:val="00520297"/>
    <w:rsid w:val="00524CC8"/>
    <w:rsid w:val="005338F9"/>
    <w:rsid w:val="00536FFD"/>
    <w:rsid w:val="005378E6"/>
    <w:rsid w:val="0054281C"/>
    <w:rsid w:val="00544581"/>
    <w:rsid w:val="0055268D"/>
    <w:rsid w:val="005643B1"/>
    <w:rsid w:val="00576BE4"/>
    <w:rsid w:val="005814B1"/>
    <w:rsid w:val="00590CDC"/>
    <w:rsid w:val="005A400A"/>
    <w:rsid w:val="005B46E9"/>
    <w:rsid w:val="005D2258"/>
    <w:rsid w:val="005F7B92"/>
    <w:rsid w:val="00612379"/>
    <w:rsid w:val="006153B6"/>
    <w:rsid w:val="0061555F"/>
    <w:rsid w:val="00636CA6"/>
    <w:rsid w:val="00641200"/>
    <w:rsid w:val="00645CA8"/>
    <w:rsid w:val="006655D3"/>
    <w:rsid w:val="00667300"/>
    <w:rsid w:val="00667404"/>
    <w:rsid w:val="00687EB4"/>
    <w:rsid w:val="0069010F"/>
    <w:rsid w:val="00695C56"/>
    <w:rsid w:val="006A4A9C"/>
    <w:rsid w:val="006A5CDE"/>
    <w:rsid w:val="006A644A"/>
    <w:rsid w:val="006B17D2"/>
    <w:rsid w:val="006C224E"/>
    <w:rsid w:val="006D7435"/>
    <w:rsid w:val="006D780A"/>
    <w:rsid w:val="006F61EF"/>
    <w:rsid w:val="006F659B"/>
    <w:rsid w:val="00707059"/>
    <w:rsid w:val="0071271E"/>
    <w:rsid w:val="00732DEC"/>
    <w:rsid w:val="00735BD5"/>
    <w:rsid w:val="00743A8D"/>
    <w:rsid w:val="00751613"/>
    <w:rsid w:val="007556F6"/>
    <w:rsid w:val="00760EEF"/>
    <w:rsid w:val="00771BA0"/>
    <w:rsid w:val="00777EE5"/>
    <w:rsid w:val="0078445C"/>
    <w:rsid w:val="00784836"/>
    <w:rsid w:val="0079023E"/>
    <w:rsid w:val="007A18AA"/>
    <w:rsid w:val="007A2854"/>
    <w:rsid w:val="007C1D92"/>
    <w:rsid w:val="007C4CB9"/>
    <w:rsid w:val="007D0137"/>
    <w:rsid w:val="007D0B9D"/>
    <w:rsid w:val="007D19B0"/>
    <w:rsid w:val="007D574E"/>
    <w:rsid w:val="007E1DE5"/>
    <w:rsid w:val="007F498F"/>
    <w:rsid w:val="0080679D"/>
    <w:rsid w:val="008108B0"/>
    <w:rsid w:val="00810E06"/>
    <w:rsid w:val="00811B20"/>
    <w:rsid w:val="008211B5"/>
    <w:rsid w:val="0082296E"/>
    <w:rsid w:val="00824099"/>
    <w:rsid w:val="00846D7C"/>
    <w:rsid w:val="008545EB"/>
    <w:rsid w:val="00867AC1"/>
    <w:rsid w:val="008851B3"/>
    <w:rsid w:val="00885D61"/>
    <w:rsid w:val="00890DF8"/>
    <w:rsid w:val="00892A8A"/>
    <w:rsid w:val="008A31C9"/>
    <w:rsid w:val="008A743F"/>
    <w:rsid w:val="008B1AC5"/>
    <w:rsid w:val="008B6E60"/>
    <w:rsid w:val="008C0970"/>
    <w:rsid w:val="008D0BC5"/>
    <w:rsid w:val="008D2CF7"/>
    <w:rsid w:val="008D7E86"/>
    <w:rsid w:val="00900C26"/>
    <w:rsid w:val="00900C6F"/>
    <w:rsid w:val="0090197F"/>
    <w:rsid w:val="00906DDC"/>
    <w:rsid w:val="00934E09"/>
    <w:rsid w:val="00936253"/>
    <w:rsid w:val="00940D46"/>
    <w:rsid w:val="00952DD4"/>
    <w:rsid w:val="0096304B"/>
    <w:rsid w:val="00965AE7"/>
    <w:rsid w:val="00970FED"/>
    <w:rsid w:val="009713D6"/>
    <w:rsid w:val="00983ED6"/>
    <w:rsid w:val="009913DE"/>
    <w:rsid w:val="00992D82"/>
    <w:rsid w:val="00997029"/>
    <w:rsid w:val="009A7339"/>
    <w:rsid w:val="009B440E"/>
    <w:rsid w:val="009D083B"/>
    <w:rsid w:val="009D3AB3"/>
    <w:rsid w:val="009D690D"/>
    <w:rsid w:val="009E65B6"/>
    <w:rsid w:val="00A04A26"/>
    <w:rsid w:val="00A24C10"/>
    <w:rsid w:val="00A24D75"/>
    <w:rsid w:val="00A35554"/>
    <w:rsid w:val="00A37C2B"/>
    <w:rsid w:val="00A4183E"/>
    <w:rsid w:val="00A42AC3"/>
    <w:rsid w:val="00A430CF"/>
    <w:rsid w:val="00A45C3B"/>
    <w:rsid w:val="00A54309"/>
    <w:rsid w:val="00A60432"/>
    <w:rsid w:val="00A62674"/>
    <w:rsid w:val="00A851F8"/>
    <w:rsid w:val="00A854B8"/>
    <w:rsid w:val="00A946D6"/>
    <w:rsid w:val="00AB2B93"/>
    <w:rsid w:val="00AB530F"/>
    <w:rsid w:val="00AB5562"/>
    <w:rsid w:val="00AB7E5B"/>
    <w:rsid w:val="00AC0E87"/>
    <w:rsid w:val="00AC2491"/>
    <w:rsid w:val="00AC2883"/>
    <w:rsid w:val="00AE0EF1"/>
    <w:rsid w:val="00AE2937"/>
    <w:rsid w:val="00AF0152"/>
    <w:rsid w:val="00B07301"/>
    <w:rsid w:val="00B1091F"/>
    <w:rsid w:val="00B10E9F"/>
    <w:rsid w:val="00B11F3E"/>
    <w:rsid w:val="00B224DE"/>
    <w:rsid w:val="00B324D4"/>
    <w:rsid w:val="00B46575"/>
    <w:rsid w:val="00B61777"/>
    <w:rsid w:val="00B62F1B"/>
    <w:rsid w:val="00B65691"/>
    <w:rsid w:val="00B74056"/>
    <w:rsid w:val="00B84BBD"/>
    <w:rsid w:val="00B91C9D"/>
    <w:rsid w:val="00BA43FB"/>
    <w:rsid w:val="00BC127D"/>
    <w:rsid w:val="00BC1FE6"/>
    <w:rsid w:val="00BF11ED"/>
    <w:rsid w:val="00C061B6"/>
    <w:rsid w:val="00C17075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3A8E"/>
    <w:rsid w:val="00CA524C"/>
    <w:rsid w:val="00CA774A"/>
    <w:rsid w:val="00CC11B0"/>
    <w:rsid w:val="00CC2841"/>
    <w:rsid w:val="00CD7374"/>
    <w:rsid w:val="00CF1330"/>
    <w:rsid w:val="00CF7E36"/>
    <w:rsid w:val="00D217C6"/>
    <w:rsid w:val="00D22CF2"/>
    <w:rsid w:val="00D2718A"/>
    <w:rsid w:val="00D31688"/>
    <w:rsid w:val="00D326F9"/>
    <w:rsid w:val="00D3708D"/>
    <w:rsid w:val="00D37D78"/>
    <w:rsid w:val="00D40426"/>
    <w:rsid w:val="00D57C96"/>
    <w:rsid w:val="00D57D18"/>
    <w:rsid w:val="00D848FC"/>
    <w:rsid w:val="00D91203"/>
    <w:rsid w:val="00D95174"/>
    <w:rsid w:val="00DA4973"/>
    <w:rsid w:val="00DA6F36"/>
    <w:rsid w:val="00DB596E"/>
    <w:rsid w:val="00DB7773"/>
    <w:rsid w:val="00DC00EA"/>
    <w:rsid w:val="00DC3802"/>
    <w:rsid w:val="00DF0099"/>
    <w:rsid w:val="00DF67C6"/>
    <w:rsid w:val="00E07D87"/>
    <w:rsid w:val="00E153E4"/>
    <w:rsid w:val="00E2109F"/>
    <w:rsid w:val="00E32F7E"/>
    <w:rsid w:val="00E34690"/>
    <w:rsid w:val="00E36945"/>
    <w:rsid w:val="00E46D28"/>
    <w:rsid w:val="00E5267B"/>
    <w:rsid w:val="00E63C0E"/>
    <w:rsid w:val="00E72D49"/>
    <w:rsid w:val="00E7593C"/>
    <w:rsid w:val="00E7678A"/>
    <w:rsid w:val="00E81B7D"/>
    <w:rsid w:val="00E860CB"/>
    <w:rsid w:val="00E935F1"/>
    <w:rsid w:val="00E94A81"/>
    <w:rsid w:val="00EA1FFB"/>
    <w:rsid w:val="00EB048E"/>
    <w:rsid w:val="00EB4E9C"/>
    <w:rsid w:val="00EE34DF"/>
    <w:rsid w:val="00EF2F89"/>
    <w:rsid w:val="00EF7BB5"/>
    <w:rsid w:val="00F03E98"/>
    <w:rsid w:val="00F1237A"/>
    <w:rsid w:val="00F22CBD"/>
    <w:rsid w:val="00F272F1"/>
    <w:rsid w:val="00F45372"/>
    <w:rsid w:val="00F560F7"/>
    <w:rsid w:val="00F609A3"/>
    <w:rsid w:val="00F6334D"/>
    <w:rsid w:val="00FA49AB"/>
    <w:rsid w:val="00FA628E"/>
    <w:rsid w:val="00FB6BDA"/>
    <w:rsid w:val="00FC269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74553A99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743A8D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FA628E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1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2539</Words>
  <Characters>14477</Characters>
  <Application>Microsoft Office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TC/55/12</vt:lpstr>
      <vt:lpstr>TC/55/12</vt:lpstr>
    </vt:vector>
  </TitlesOfParts>
  <Company>UPOV</Company>
  <LinksUpToDate>false</LinksUpToDate>
  <CharactersWithSpaces>16983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TC/55/12</dc:title>
  <dc:creator>SANCHEZ VIZCAINO GOMEZ Rosa Maria</dc:creator>
  <cp:lastModifiedBy>BESSE Ariane</cp:lastModifiedBy>
  <cp:revision>31</cp:revision>
  <cp:lastPrinted>2019-09-06T16:44:00Z</cp:lastPrinted>
  <dcterms:created xsi:type="dcterms:W3CDTF">2019-09-03T08:15:00Z</dcterms:created>
  <dcterms:modified xsi:type="dcterms:W3CDTF">2019-09-06T16:45:00Z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f4c77b39-24e3-4abe-b075-0d90e5516d9f</vt:lpwstr>
  </property>
</Properties>
</file>