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A1B18" w:rsidTr="00EB4E9C">
        <w:tc>
          <w:tcPr>
            <w:tcW w:w="6522" w:type="dxa"/>
          </w:tcPr>
          <w:p w:rsidR="00DC3802" w:rsidRPr="003A1B18" w:rsidRDefault="00DC3802" w:rsidP="00AC2883">
            <w:r w:rsidRPr="003A1B18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3A1B18" w:rsidRDefault="00A706D3" w:rsidP="00AC2883">
            <w:pPr>
              <w:pStyle w:val="Lettrine"/>
            </w:pPr>
            <w:r w:rsidRPr="003A1B18">
              <w:t>F</w:t>
            </w:r>
          </w:p>
        </w:tc>
      </w:tr>
      <w:tr w:rsidR="00DC3802" w:rsidRPr="003A1B18" w:rsidTr="00645CA8">
        <w:trPr>
          <w:trHeight w:val="219"/>
        </w:trPr>
        <w:tc>
          <w:tcPr>
            <w:tcW w:w="6522" w:type="dxa"/>
          </w:tcPr>
          <w:p w:rsidR="00DC3802" w:rsidRPr="003A1B18" w:rsidRDefault="00DC3802" w:rsidP="00A706D3">
            <w:pPr>
              <w:pStyle w:val="upove"/>
            </w:pPr>
            <w:r w:rsidRPr="003A1B18">
              <w:t xml:space="preserve">Union </w:t>
            </w:r>
            <w:r w:rsidR="00A706D3" w:rsidRPr="003A1B18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3A1B18" w:rsidRDefault="00DC3802" w:rsidP="00DA4973"/>
        </w:tc>
      </w:tr>
    </w:tbl>
    <w:p w:rsidR="008056E6" w:rsidRPr="003A1B18" w:rsidRDefault="008056E6" w:rsidP="00DC3802"/>
    <w:p w:rsidR="00DA4973" w:rsidRPr="003A1B18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A1B18" w:rsidTr="00EB4E9C">
        <w:tc>
          <w:tcPr>
            <w:tcW w:w="6512" w:type="dxa"/>
          </w:tcPr>
          <w:p w:rsidR="008056E6" w:rsidRPr="003A1B18" w:rsidRDefault="00A706D3" w:rsidP="00AC2883">
            <w:pPr>
              <w:pStyle w:val="Sessiontc"/>
              <w:spacing w:line="240" w:lineRule="auto"/>
            </w:pPr>
            <w:r w:rsidRPr="003A1B18">
              <w:t>Comité technique</w:t>
            </w:r>
          </w:p>
          <w:p w:rsidR="00EB4E9C" w:rsidRPr="003A1B18" w:rsidRDefault="00A706D3" w:rsidP="001C1F2F">
            <w:pPr>
              <w:pStyle w:val="Sessiontcplacedate"/>
              <w:rPr>
                <w:sz w:val="22"/>
              </w:rPr>
            </w:pPr>
            <w:r w:rsidRPr="003A1B18">
              <w:t>Cinquante-</w:t>
            </w:r>
            <w:r w:rsidR="001C1F2F" w:rsidRPr="003A1B18">
              <w:t>cin</w:t>
            </w:r>
            <w:r w:rsidR="00897A4D" w:rsidRPr="003A1B18">
              <w:t>q</w:t>
            </w:r>
            <w:r w:rsidR="001C1F2F" w:rsidRPr="003A1B18">
              <w:t>u</w:t>
            </w:r>
            <w:r w:rsidRPr="003A1B18">
              <w:t>ième s</w:t>
            </w:r>
            <w:r w:rsidR="00EB4E9C" w:rsidRPr="003A1B18">
              <w:t>ession</w:t>
            </w:r>
            <w:r w:rsidR="00EB4E9C" w:rsidRPr="003A1B18">
              <w:br/>
              <w:t>Gen</w:t>
            </w:r>
            <w:r w:rsidRPr="003A1B18">
              <w:t>è</w:t>
            </w:r>
            <w:r w:rsidR="00EB4E9C" w:rsidRPr="003A1B18">
              <w:t>v</w:t>
            </w:r>
            <w:r w:rsidRPr="003A1B18">
              <w:t>e</w:t>
            </w:r>
            <w:r w:rsidR="00EB4E9C" w:rsidRPr="003A1B18">
              <w:t xml:space="preserve">, </w:t>
            </w:r>
            <w:r w:rsidR="00897A4D" w:rsidRPr="003A1B18">
              <w:t>2</w:t>
            </w:r>
            <w:r w:rsidR="001C1F2F" w:rsidRPr="003A1B18">
              <w:t>8</w:t>
            </w:r>
            <w:r w:rsidR="00897A4D" w:rsidRPr="003A1B18">
              <w:t xml:space="preserve"> et </w:t>
            </w:r>
            <w:r w:rsidR="001C1F2F" w:rsidRPr="003A1B18">
              <w:t>29</w:t>
            </w:r>
            <w:r w:rsidR="00897A4D" w:rsidRPr="003A1B18">
              <w:t xml:space="preserve"> octobre</w:t>
            </w:r>
            <w:r w:rsidRPr="003A1B18">
              <w:t xml:space="preserve"> </w:t>
            </w:r>
            <w:r w:rsidR="001C1F2F" w:rsidRPr="003A1B18">
              <w:t>2019</w:t>
            </w:r>
          </w:p>
        </w:tc>
        <w:tc>
          <w:tcPr>
            <w:tcW w:w="3127" w:type="dxa"/>
          </w:tcPr>
          <w:p w:rsidR="008056E6" w:rsidRPr="00E57CA3" w:rsidRDefault="001C1F2F" w:rsidP="003C7FBE">
            <w:pPr>
              <w:pStyle w:val="Doccode"/>
              <w:rPr>
                <w:lang w:val="fr-CH"/>
              </w:rPr>
            </w:pPr>
            <w:r w:rsidRPr="00E57CA3">
              <w:rPr>
                <w:lang w:val="fr-CH"/>
              </w:rPr>
              <w:t>TC/55</w:t>
            </w:r>
            <w:r w:rsidR="00EB4E9C" w:rsidRPr="00E57CA3">
              <w:rPr>
                <w:lang w:val="fr-CH"/>
              </w:rPr>
              <w:t>/</w:t>
            </w:r>
            <w:r w:rsidR="00A67D3A" w:rsidRPr="00E57CA3">
              <w:rPr>
                <w:lang w:val="fr-CH"/>
              </w:rPr>
              <w:t xml:space="preserve">10 </w:t>
            </w:r>
            <w:proofErr w:type="spellStart"/>
            <w:r w:rsidR="00A67D3A" w:rsidRPr="00E57CA3">
              <w:rPr>
                <w:lang w:val="fr-CH"/>
              </w:rPr>
              <w:t>Add</w:t>
            </w:r>
            <w:proofErr w:type="spellEnd"/>
            <w:r w:rsidR="00A67D3A" w:rsidRPr="00E57CA3">
              <w:rPr>
                <w:lang w:val="fr-CH"/>
              </w:rPr>
              <w:t>.</w:t>
            </w:r>
          </w:p>
          <w:p w:rsidR="008056E6" w:rsidRPr="003A1B18" w:rsidRDefault="00EB4E9C" w:rsidP="003C7FBE">
            <w:pPr>
              <w:pStyle w:val="Docoriginal"/>
            </w:pPr>
            <w:r w:rsidRPr="003A1B18">
              <w:t>Original:</w:t>
            </w:r>
            <w:r w:rsidRPr="003A1B18">
              <w:rPr>
                <w:b w:val="0"/>
                <w:spacing w:val="0"/>
              </w:rPr>
              <w:t xml:space="preserve">  </w:t>
            </w:r>
            <w:r w:rsidR="00A706D3" w:rsidRPr="003A1B18">
              <w:rPr>
                <w:b w:val="0"/>
                <w:spacing w:val="0"/>
              </w:rPr>
              <w:t>anglais</w:t>
            </w:r>
          </w:p>
          <w:p w:rsidR="00EB4E9C" w:rsidRPr="003A1B18" w:rsidRDefault="00EB4E9C" w:rsidP="00A67D3A">
            <w:pPr>
              <w:pStyle w:val="Docoriginal"/>
            </w:pPr>
            <w:r w:rsidRPr="003A1B18">
              <w:t>Date:</w:t>
            </w:r>
            <w:r w:rsidR="00897A4D" w:rsidRPr="003A1B18">
              <w:rPr>
                <w:b w:val="0"/>
                <w:spacing w:val="0"/>
              </w:rPr>
              <w:t xml:space="preserve">  </w:t>
            </w:r>
            <w:r w:rsidR="00A67D3A" w:rsidRPr="003A1B18">
              <w:rPr>
                <w:b w:val="0"/>
                <w:spacing w:val="0"/>
              </w:rPr>
              <w:t>20 octobre</w:t>
            </w:r>
            <w:r w:rsidR="00897A4D" w:rsidRPr="003A1B18">
              <w:rPr>
                <w:b w:val="0"/>
                <w:spacing w:val="0"/>
              </w:rPr>
              <w:t xml:space="preserve"> 201</w:t>
            </w:r>
            <w:r w:rsidR="001C1F2F" w:rsidRPr="003A1B18">
              <w:rPr>
                <w:b w:val="0"/>
                <w:spacing w:val="0"/>
              </w:rPr>
              <w:t>9</w:t>
            </w:r>
          </w:p>
        </w:tc>
      </w:tr>
    </w:tbl>
    <w:p w:rsidR="008056E6" w:rsidRPr="003A1B18" w:rsidRDefault="00CD2813" w:rsidP="00CD2813">
      <w:pPr>
        <w:pStyle w:val="Titleofdoc0"/>
      </w:pPr>
      <w:bookmarkStart w:id="0" w:name="TitleOfDoc"/>
      <w:bookmarkEnd w:id="0"/>
      <w:r w:rsidRPr="003A1B18">
        <w:t xml:space="preserve">Additif </w:t>
      </w:r>
      <w:r w:rsidR="0057014D">
        <w:rPr>
          <w:rFonts w:cs="Arial"/>
        </w:rPr>
        <w:t>À</w:t>
      </w:r>
      <w:r w:rsidRPr="003A1B18">
        <w:t xml:space="preserve"> la coop</w:t>
      </w:r>
      <w:r w:rsidR="0057014D">
        <w:rPr>
          <w:rFonts w:cs="Arial"/>
        </w:rPr>
        <w:t>É</w:t>
      </w:r>
      <w:r w:rsidRPr="003A1B18">
        <w:t>ration internationale en mati</w:t>
      </w:r>
      <w:r w:rsidR="0057014D">
        <w:rPr>
          <w:rFonts w:cs="Arial"/>
        </w:rPr>
        <w:t>È</w:t>
      </w:r>
      <w:r w:rsidRPr="003A1B18">
        <w:t>re d</w:t>
      </w:r>
      <w:r w:rsidR="004A07D6">
        <w:t>’</w:t>
      </w:r>
      <w:r w:rsidRPr="003A1B18">
        <w:t>examen</w:t>
      </w:r>
    </w:p>
    <w:p w:rsidR="008056E6" w:rsidRPr="003A1B18" w:rsidRDefault="00AE0EF1" w:rsidP="006A644A">
      <w:pPr>
        <w:pStyle w:val="preparedby1"/>
        <w:jc w:val="left"/>
      </w:pPr>
      <w:bookmarkStart w:id="1" w:name="Prepared"/>
      <w:bookmarkEnd w:id="1"/>
      <w:r w:rsidRPr="003A1B18">
        <w:t xml:space="preserve">Document </w:t>
      </w:r>
      <w:r w:rsidR="00A706D3" w:rsidRPr="003A1B18">
        <w:t>établi par le Bureau de l’Union</w:t>
      </w:r>
    </w:p>
    <w:p w:rsidR="008056E6" w:rsidRPr="003A1B18" w:rsidRDefault="00A706D3" w:rsidP="006A644A">
      <w:pPr>
        <w:pStyle w:val="Disclaimer"/>
      </w:pPr>
      <w:r w:rsidRPr="003A1B18">
        <w:t>Avertissement</w:t>
      </w:r>
      <w:r w:rsidR="004A07D6">
        <w:t> </w:t>
      </w:r>
      <w:r w:rsidRPr="003A1B18">
        <w:t>: le présent document ne représente pas les principes ou les orientations de l’UPOV</w:t>
      </w:r>
    </w:p>
    <w:p w:rsidR="008056E6" w:rsidRPr="003A1B18" w:rsidRDefault="00A67D3A" w:rsidP="002F4985">
      <w:r w:rsidRPr="003A1B18">
        <w:rPr>
          <w:lang w:eastAsia="ja-JP"/>
        </w:rPr>
        <w:fldChar w:fldCharType="begin"/>
      </w:r>
      <w:r w:rsidRPr="003A1B18">
        <w:rPr>
          <w:lang w:eastAsia="ja-JP"/>
        </w:rPr>
        <w:instrText xml:space="preserve"> AUTONUM  </w:instrText>
      </w:r>
      <w:r w:rsidRPr="003A1B18">
        <w:rPr>
          <w:lang w:eastAsia="ja-JP"/>
        </w:rPr>
        <w:fldChar w:fldCharType="end"/>
      </w:r>
      <w:r w:rsidRPr="003A1B18">
        <w:rPr>
          <w:lang w:eastAsia="ja-JP"/>
        </w:rPr>
        <w:tab/>
      </w:r>
      <w:r w:rsidR="002F4985" w:rsidRPr="003A1B18">
        <w:rPr>
          <w:lang w:eastAsia="ja-JP"/>
        </w:rPr>
        <w:t xml:space="preserve">Le présent additif vise à rendre compte </w:t>
      </w:r>
      <w:r w:rsidR="004A07D6">
        <w:rPr>
          <w:lang w:eastAsia="ja-JP"/>
        </w:rPr>
        <w:t>des faits nouveaux</w:t>
      </w:r>
      <w:r w:rsidR="002F4985" w:rsidRPr="003A1B18">
        <w:rPr>
          <w:lang w:eastAsia="ja-JP"/>
        </w:rPr>
        <w:t xml:space="preserve"> </w:t>
      </w:r>
      <w:r w:rsidR="004A07D6">
        <w:rPr>
          <w:lang w:eastAsia="ja-JP"/>
        </w:rPr>
        <w:t>intervenus à</w:t>
      </w:r>
      <w:r w:rsidR="002F4985" w:rsidRPr="003A1B18">
        <w:rPr>
          <w:lang w:eastAsia="ja-JP"/>
        </w:rPr>
        <w:t xml:space="preserve"> la trente-septième session du Groupe de travail technique sur les systèmes d</w:t>
      </w:r>
      <w:r w:rsidR="004A07D6">
        <w:rPr>
          <w:lang w:eastAsia="ja-JP"/>
        </w:rPr>
        <w:t>’</w:t>
      </w:r>
      <w:r w:rsidR="002F4985" w:rsidRPr="003A1B18">
        <w:rPr>
          <w:lang w:eastAsia="ja-JP"/>
        </w:rPr>
        <w:t>automatisation et les programmes d</w:t>
      </w:r>
      <w:r w:rsidR="004A07D6">
        <w:rPr>
          <w:lang w:eastAsia="ja-JP"/>
        </w:rPr>
        <w:t>’</w:t>
      </w:r>
      <w:r w:rsidR="002F4985" w:rsidRPr="003A1B18">
        <w:rPr>
          <w:lang w:eastAsia="ja-JP"/>
        </w:rPr>
        <w:t>ordinateur (TWC) concernant la coopération internationale en matière d</w:t>
      </w:r>
      <w:r w:rsidR="004A07D6">
        <w:rPr>
          <w:lang w:eastAsia="ja-JP"/>
        </w:rPr>
        <w:t>’</w:t>
      </w:r>
      <w:r w:rsidR="002F4985" w:rsidRPr="003A1B18">
        <w:rPr>
          <w:lang w:eastAsia="ja-JP"/>
        </w:rPr>
        <w:t>examen de la distinction, de l</w:t>
      </w:r>
      <w:r w:rsidR="004A07D6">
        <w:rPr>
          <w:lang w:eastAsia="ja-JP"/>
        </w:rPr>
        <w:t>’</w:t>
      </w:r>
      <w:r w:rsidR="002F4985" w:rsidRPr="003A1B18">
        <w:rPr>
          <w:lang w:eastAsia="ja-JP"/>
        </w:rPr>
        <w:t>homogénéité et de la stabilité (DHS).</w:t>
      </w:r>
    </w:p>
    <w:p w:rsidR="008056E6" w:rsidRPr="003A1B18" w:rsidRDefault="008056E6" w:rsidP="00A67D3A"/>
    <w:p w:rsidR="008056E6" w:rsidRPr="003A1B18" w:rsidRDefault="00A67D3A" w:rsidP="002F4985">
      <w:pPr>
        <w:rPr>
          <w:rFonts w:cs="Arial"/>
          <w:color w:val="000000" w:themeColor="text1"/>
        </w:rPr>
      </w:pPr>
      <w:r w:rsidRPr="003A1B18">
        <w:rPr>
          <w:rFonts w:cs="Arial"/>
          <w:color w:val="000000" w:themeColor="text1"/>
        </w:rPr>
        <w:fldChar w:fldCharType="begin"/>
      </w:r>
      <w:r w:rsidRPr="003A1B18">
        <w:rPr>
          <w:rFonts w:cs="Arial"/>
          <w:color w:val="000000" w:themeColor="text1"/>
        </w:rPr>
        <w:instrText xml:space="preserve"> AUTONUM  </w:instrText>
      </w:r>
      <w:r w:rsidRPr="003A1B18">
        <w:rPr>
          <w:rFonts w:cs="Arial"/>
          <w:color w:val="000000" w:themeColor="text1"/>
        </w:rPr>
        <w:fldChar w:fldCharType="end"/>
      </w:r>
      <w:r w:rsidRPr="003A1B18">
        <w:rPr>
          <w:rFonts w:cs="Arial"/>
          <w:color w:val="000000" w:themeColor="text1"/>
        </w:rPr>
        <w:tab/>
      </w:r>
      <w:r w:rsidR="002F4985" w:rsidRPr="003A1B18">
        <w:rPr>
          <w:rFonts w:cs="Arial"/>
          <w:color w:val="000000" w:themeColor="text1"/>
        </w:rPr>
        <w:t>Le TWC a examiné le document</w:t>
      </w:r>
      <w:r w:rsidR="004A07D6">
        <w:rPr>
          <w:rFonts w:cs="Arial"/>
          <w:color w:val="000000" w:themeColor="text1"/>
        </w:rPr>
        <w:t> </w:t>
      </w:r>
      <w:r w:rsidR="002F4985" w:rsidRPr="003A1B18">
        <w:rPr>
          <w:rFonts w:cs="Arial"/>
          <w:color w:val="000000" w:themeColor="text1"/>
        </w:rPr>
        <w:t>TWP/3/14 “Coopération en matière d</w:t>
      </w:r>
      <w:r w:rsidR="004A07D6">
        <w:rPr>
          <w:rFonts w:cs="Arial"/>
          <w:color w:val="000000" w:themeColor="text1"/>
        </w:rPr>
        <w:t>’</w:t>
      </w:r>
      <w:r w:rsidR="002F4985" w:rsidRPr="003A1B18">
        <w:rPr>
          <w:rFonts w:cs="Arial"/>
          <w:color w:val="000000" w:themeColor="text1"/>
        </w:rPr>
        <w:t>examen” (voir les paragraphes</w:t>
      </w:r>
      <w:r w:rsidR="004A07D6">
        <w:rPr>
          <w:rFonts w:cs="Arial"/>
          <w:color w:val="000000" w:themeColor="text1"/>
        </w:rPr>
        <w:t> </w:t>
      </w:r>
      <w:r w:rsidR="002F4985" w:rsidRPr="003A1B18">
        <w:rPr>
          <w:rFonts w:cs="Arial"/>
          <w:color w:val="000000" w:themeColor="text1"/>
        </w:rPr>
        <w:t>94 à 100 du document</w:t>
      </w:r>
      <w:r w:rsidR="004A07D6">
        <w:rPr>
          <w:rFonts w:cs="Arial"/>
          <w:color w:val="000000" w:themeColor="text1"/>
        </w:rPr>
        <w:t> </w:t>
      </w:r>
      <w:r w:rsidR="002F4985" w:rsidRPr="003A1B18">
        <w:rPr>
          <w:rFonts w:cs="Arial"/>
          <w:color w:val="000000" w:themeColor="text1"/>
        </w:rPr>
        <w:t>TWC/37/12 “Compte rendu”).</w:t>
      </w:r>
    </w:p>
    <w:p w:rsidR="008056E6" w:rsidRPr="003A1B18" w:rsidRDefault="008056E6" w:rsidP="00A67D3A"/>
    <w:p w:rsidR="008056E6" w:rsidRPr="003A1B18" w:rsidRDefault="00A67D3A" w:rsidP="002F4985">
      <w:r w:rsidRPr="003A1B18">
        <w:fldChar w:fldCharType="begin"/>
      </w:r>
      <w:r w:rsidRPr="003A1B18">
        <w:instrText xml:space="preserve"> AUTONUM  </w:instrText>
      </w:r>
      <w:r w:rsidRPr="003A1B18">
        <w:fldChar w:fldCharType="end"/>
      </w:r>
      <w:r w:rsidRPr="003A1B18">
        <w:tab/>
      </w:r>
      <w:r w:rsidR="002F4985" w:rsidRPr="003A1B18">
        <w:t>Le TWC a pris note portant sur la situation actuelle des membres de l’Union par rapport à la coopération en matière d’examen, comme indiqué dans l</w:t>
      </w:r>
      <w:r w:rsidR="004A07D6">
        <w:t>’</w:t>
      </w:r>
      <w:r w:rsidR="002F4985" w:rsidRPr="003A1B18">
        <w:t>annexe du document</w:t>
      </w:r>
      <w:r w:rsidR="004A07D6">
        <w:t> </w:t>
      </w:r>
      <w:r w:rsidR="002F4985" w:rsidRPr="003A1B18">
        <w:t>TWP/3/14.</w:t>
      </w:r>
    </w:p>
    <w:p w:rsidR="008056E6" w:rsidRPr="003A1B18" w:rsidRDefault="008056E6" w:rsidP="00A67D3A"/>
    <w:p w:rsidR="008056E6" w:rsidRPr="003A1B18" w:rsidRDefault="00A67D3A" w:rsidP="004162FB">
      <w:r w:rsidRPr="003A1B18">
        <w:fldChar w:fldCharType="begin"/>
      </w:r>
      <w:r w:rsidRPr="003A1B18">
        <w:instrText xml:space="preserve"> AUTONUM  </w:instrText>
      </w:r>
      <w:r w:rsidRPr="003A1B18">
        <w:fldChar w:fldCharType="end"/>
      </w:r>
      <w:r w:rsidRPr="003A1B18">
        <w:tab/>
      </w:r>
      <w:r w:rsidR="004162FB" w:rsidRPr="003A1B18">
        <w:t>Le TWC a noté que le Bureau de l</w:t>
      </w:r>
      <w:r w:rsidR="004A07D6">
        <w:t>’</w:t>
      </w:r>
      <w:r w:rsidR="004162FB" w:rsidRPr="003A1B18">
        <w:t>UPOV inviterait les représentants du Conseil à identifier les personnes à contacter pour la coopération internationale en matière d</w:t>
      </w:r>
      <w:r w:rsidR="004A07D6">
        <w:t>’</w:t>
      </w:r>
      <w:r w:rsidR="004162FB" w:rsidRPr="003A1B18">
        <w:t>examen DHS et que les informations reçues seraient mises à disposition sur le site Web de l</w:t>
      </w:r>
      <w:r w:rsidR="004A07D6">
        <w:t>’</w:t>
      </w:r>
      <w:r w:rsidR="004162FB" w:rsidRPr="003A1B18">
        <w:t>UPOV.</w:t>
      </w:r>
    </w:p>
    <w:p w:rsidR="008056E6" w:rsidRPr="003A1B18" w:rsidRDefault="008056E6" w:rsidP="00A67D3A"/>
    <w:p w:rsidR="008056E6" w:rsidRPr="003A1B18" w:rsidRDefault="00A67D3A" w:rsidP="004162FB">
      <w:r w:rsidRPr="003A1B18">
        <w:fldChar w:fldCharType="begin"/>
      </w:r>
      <w:r w:rsidRPr="003A1B18">
        <w:instrText xml:space="preserve"> AUTONUM  </w:instrText>
      </w:r>
      <w:r w:rsidRPr="003A1B18">
        <w:fldChar w:fldCharType="end"/>
      </w:r>
      <w:r w:rsidRPr="003A1B18">
        <w:tab/>
      </w:r>
      <w:r w:rsidR="004162FB" w:rsidRPr="003A1B18">
        <w:t>Le TWC a noté que le thème de la coopération internationale en matière d</w:t>
      </w:r>
      <w:r w:rsidR="004A07D6">
        <w:t>’</w:t>
      </w:r>
      <w:r w:rsidR="004162FB" w:rsidRPr="003A1B18">
        <w:t>examen DHS serait présenté dans le cadre du point de l</w:t>
      </w:r>
      <w:r w:rsidR="004A07D6">
        <w:t>’</w:t>
      </w:r>
      <w:r w:rsidR="004162FB" w:rsidRPr="003A1B18">
        <w:t xml:space="preserve">ordre du jour intitulé </w:t>
      </w:r>
      <w:r w:rsidR="004A07D6">
        <w:t>“</w:t>
      </w:r>
      <w:r w:rsidR="004162FB" w:rsidRPr="003A1B18">
        <w:t>Coopération en matière d</w:t>
      </w:r>
      <w:r w:rsidR="004A07D6">
        <w:t>’</w:t>
      </w:r>
      <w:r w:rsidR="004162FB" w:rsidRPr="003A1B18">
        <w:t>examen</w:t>
      </w:r>
      <w:r w:rsidR="004A07D6">
        <w:t>”</w:t>
      </w:r>
      <w:r w:rsidR="004162FB" w:rsidRPr="003A1B18">
        <w:t xml:space="preserve"> au cours du déroulement normal des sessions pour que le TWP puisse expliquer les possibilités existantes de coopération entre les membres de l</w:t>
      </w:r>
      <w:r w:rsidR="004A07D6">
        <w:t>’</w:t>
      </w:r>
      <w:r w:rsidR="004162FB" w:rsidRPr="003A1B18">
        <w:t>UPOV.</w:t>
      </w:r>
    </w:p>
    <w:p w:rsidR="008056E6" w:rsidRPr="003A1B18" w:rsidRDefault="008056E6" w:rsidP="00A67D3A"/>
    <w:p w:rsidR="008056E6" w:rsidRPr="003A1B18" w:rsidRDefault="00A67D3A" w:rsidP="004162FB">
      <w:r w:rsidRPr="003A1B18">
        <w:fldChar w:fldCharType="begin"/>
      </w:r>
      <w:r w:rsidRPr="003A1B18">
        <w:instrText xml:space="preserve"> AUTONUM  </w:instrText>
      </w:r>
      <w:r w:rsidRPr="003A1B18">
        <w:fldChar w:fldCharType="end"/>
      </w:r>
      <w:r w:rsidRPr="003A1B18">
        <w:tab/>
      </w:r>
      <w:r w:rsidR="004162FB" w:rsidRPr="003A1B18">
        <w:t>Le TWC a constitué des groupes de discussion chargés de se pencher sur les difficultés techniques qui ont empêché la coopération en matière d’examen DHS et de proposer des solutions pour y remédier.</w:t>
      </w:r>
    </w:p>
    <w:p w:rsidR="008056E6" w:rsidRPr="003A1B18" w:rsidRDefault="008056E6" w:rsidP="00A67D3A"/>
    <w:p w:rsidR="008056E6" w:rsidRPr="003A1B18" w:rsidRDefault="00A67D3A" w:rsidP="004162FB">
      <w:r w:rsidRPr="003A1B18">
        <w:fldChar w:fldCharType="begin"/>
      </w:r>
      <w:r w:rsidRPr="003A1B18">
        <w:instrText xml:space="preserve"> AUTONUM  </w:instrText>
      </w:r>
      <w:r w:rsidRPr="003A1B18">
        <w:fldChar w:fldCharType="end"/>
      </w:r>
      <w:r w:rsidRPr="003A1B18">
        <w:tab/>
      </w:r>
      <w:r w:rsidR="004162FB" w:rsidRPr="003A1B18">
        <w:t>Le TWC a pris note des difficultés techniques ci-après soulevées par les participants des groupes de discussion</w:t>
      </w:r>
      <w:r w:rsidR="004A07D6">
        <w:t> </w:t>
      </w:r>
      <w:r w:rsidR="004162FB" w:rsidRPr="003A1B18">
        <w:t>:</w:t>
      </w:r>
      <w:r w:rsidRPr="003A1B18">
        <w:t xml:space="preserve">  </w:t>
      </w:r>
    </w:p>
    <w:p w:rsidR="00A67D3A" w:rsidRDefault="00A67D3A" w:rsidP="00A67D3A">
      <w:pPr>
        <w:rPr>
          <w:rFonts w:eastAsiaTheme="minorEastAsia"/>
        </w:rPr>
      </w:pPr>
    </w:p>
    <w:p w:rsidR="0057014D" w:rsidRPr="0057014D" w:rsidRDefault="0057014D" w:rsidP="00A67D3A">
      <w:pPr>
        <w:rPr>
          <w:rFonts w:eastAsiaTheme="minorEastAsia"/>
        </w:rPr>
      </w:pPr>
    </w:p>
    <w:tbl>
      <w:tblPr>
        <w:tblW w:w="8897" w:type="dxa"/>
        <w:tblInd w:w="4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67D3A" w:rsidRPr="003A1B18" w:rsidTr="00430206">
        <w:tc>
          <w:tcPr>
            <w:tcW w:w="8897" w:type="dxa"/>
            <w:shd w:val="clear" w:color="auto" w:fill="auto"/>
          </w:tcPr>
          <w:p w:rsidR="00A67D3A" w:rsidRPr="003A1B18" w:rsidRDefault="00CF5D26" w:rsidP="00CF5D26">
            <w:pPr>
              <w:jc w:val="lef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Différences de </w:t>
            </w:r>
            <w:r w:rsidRPr="00562363">
              <w:rPr>
                <w:sz w:val="18"/>
                <w:lang w:eastAsia="zh-CN"/>
              </w:rPr>
              <w:t xml:space="preserve">tailles et </w:t>
            </w:r>
            <w:r>
              <w:rPr>
                <w:sz w:val="18"/>
                <w:lang w:eastAsia="zh-CN"/>
              </w:rPr>
              <w:t xml:space="preserve">de </w:t>
            </w:r>
            <w:r w:rsidRPr="00562363">
              <w:rPr>
                <w:sz w:val="18"/>
                <w:lang w:eastAsia="zh-CN"/>
              </w:rPr>
              <w:t>compositions</w:t>
            </w:r>
            <w:r>
              <w:rPr>
                <w:sz w:val="18"/>
                <w:lang w:eastAsia="zh-CN"/>
              </w:rPr>
              <w:t xml:space="preserve"> des c</w:t>
            </w:r>
            <w:r w:rsidR="004162FB" w:rsidRPr="00562363">
              <w:rPr>
                <w:sz w:val="18"/>
                <w:lang w:eastAsia="zh-CN"/>
              </w:rPr>
              <w:t>ollections de variétés</w:t>
            </w:r>
          </w:p>
        </w:tc>
      </w:tr>
      <w:tr w:rsidR="00A67D3A" w:rsidRPr="003A1B18" w:rsidTr="00430206">
        <w:tc>
          <w:tcPr>
            <w:tcW w:w="8897" w:type="dxa"/>
            <w:shd w:val="clear" w:color="auto" w:fill="auto"/>
          </w:tcPr>
          <w:p w:rsidR="00A67D3A" w:rsidRPr="003A1B18" w:rsidRDefault="00CF5D26" w:rsidP="00CF5D26">
            <w:pPr>
              <w:jc w:val="lef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Différences de p</w:t>
            </w:r>
            <w:r w:rsidR="004162FB" w:rsidRPr="003A1B18">
              <w:rPr>
                <w:sz w:val="18"/>
                <w:lang w:eastAsia="zh-CN"/>
              </w:rPr>
              <w:t>rotocoles pour les marqueurs moléculaires</w:t>
            </w:r>
            <w:r w:rsidR="00562363">
              <w:rPr>
                <w:sz w:val="18"/>
                <w:lang w:eastAsia="zh-CN"/>
              </w:rPr>
              <w:t xml:space="preserve"> </w:t>
            </w:r>
          </w:p>
        </w:tc>
      </w:tr>
      <w:tr w:rsidR="00A67D3A" w:rsidRPr="003A1B18" w:rsidTr="00430206">
        <w:tc>
          <w:tcPr>
            <w:tcW w:w="8897" w:type="dxa"/>
            <w:shd w:val="clear" w:color="auto" w:fill="auto"/>
          </w:tcPr>
          <w:p w:rsidR="00A67D3A" w:rsidRPr="003A1B18" w:rsidRDefault="00CF5D26" w:rsidP="00CF5D26">
            <w:pPr>
              <w:jc w:val="lef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Différences de c</w:t>
            </w:r>
            <w:r w:rsidR="004162FB" w:rsidRPr="003A1B18">
              <w:rPr>
                <w:sz w:val="18"/>
                <w:lang w:eastAsia="zh-CN"/>
              </w:rPr>
              <w:t xml:space="preserve">ritères </w:t>
            </w:r>
            <w:r>
              <w:rPr>
                <w:sz w:val="18"/>
                <w:lang w:eastAsia="zh-CN"/>
              </w:rPr>
              <w:t>pour l’</w:t>
            </w:r>
            <w:r w:rsidR="004162FB" w:rsidRPr="003A1B18">
              <w:rPr>
                <w:sz w:val="18"/>
                <w:lang w:eastAsia="zh-CN"/>
              </w:rPr>
              <w:t>évaluation de la distinction</w:t>
            </w:r>
          </w:p>
        </w:tc>
      </w:tr>
      <w:tr w:rsidR="00A67D3A" w:rsidRPr="003A1B18" w:rsidTr="00430206">
        <w:tc>
          <w:tcPr>
            <w:tcW w:w="8897" w:type="dxa"/>
            <w:shd w:val="clear" w:color="auto" w:fill="auto"/>
          </w:tcPr>
          <w:p w:rsidR="00A67D3A" w:rsidRPr="003A1B18" w:rsidRDefault="00CF5D26" w:rsidP="00CF5D26">
            <w:pPr>
              <w:jc w:val="lef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Différences de p</w:t>
            </w:r>
            <w:r w:rsidR="004162FB" w:rsidRPr="003A1B18">
              <w:rPr>
                <w:sz w:val="18"/>
                <w:lang w:eastAsia="zh-CN"/>
              </w:rPr>
              <w:t>rincipes directeurs d</w:t>
            </w:r>
            <w:r w:rsidR="004A07D6">
              <w:rPr>
                <w:sz w:val="18"/>
                <w:lang w:eastAsia="zh-CN"/>
              </w:rPr>
              <w:t>’</w:t>
            </w:r>
            <w:r w:rsidR="004162FB" w:rsidRPr="003A1B18">
              <w:rPr>
                <w:sz w:val="18"/>
                <w:lang w:eastAsia="zh-CN"/>
              </w:rPr>
              <w:t>examen nationaux</w:t>
            </w:r>
          </w:p>
        </w:tc>
      </w:tr>
      <w:tr w:rsidR="00A67D3A" w:rsidRPr="003A1B18" w:rsidTr="00430206">
        <w:tc>
          <w:tcPr>
            <w:tcW w:w="8897" w:type="dxa"/>
            <w:shd w:val="clear" w:color="auto" w:fill="auto"/>
          </w:tcPr>
          <w:p w:rsidR="00A67D3A" w:rsidRPr="003A1B18" w:rsidRDefault="004162FB" w:rsidP="004162FB">
            <w:pPr>
              <w:jc w:val="left"/>
              <w:rPr>
                <w:sz w:val="18"/>
                <w:lang w:eastAsia="zh-CN"/>
              </w:rPr>
            </w:pPr>
            <w:r w:rsidRPr="003A1B18">
              <w:rPr>
                <w:sz w:val="18"/>
                <w:lang w:eastAsia="zh-CN"/>
              </w:rPr>
              <w:t>Barrières linguistiques</w:t>
            </w:r>
          </w:p>
        </w:tc>
      </w:tr>
      <w:tr w:rsidR="00A67D3A" w:rsidRPr="003A1B18" w:rsidTr="00430206">
        <w:tc>
          <w:tcPr>
            <w:tcW w:w="8897" w:type="dxa"/>
            <w:shd w:val="clear" w:color="auto" w:fill="auto"/>
          </w:tcPr>
          <w:p w:rsidR="00A67D3A" w:rsidRPr="003A1B18" w:rsidRDefault="008056E6" w:rsidP="008056E6">
            <w:pPr>
              <w:jc w:val="left"/>
              <w:rPr>
                <w:sz w:val="18"/>
                <w:lang w:eastAsia="zh-CN"/>
              </w:rPr>
            </w:pPr>
            <w:r w:rsidRPr="003A1B18">
              <w:rPr>
                <w:sz w:val="18"/>
                <w:lang w:eastAsia="zh-CN"/>
              </w:rPr>
              <w:t>Exigences phytosanitaires</w:t>
            </w:r>
          </w:p>
        </w:tc>
      </w:tr>
      <w:tr w:rsidR="00A67D3A" w:rsidRPr="003A1B18" w:rsidTr="00430206">
        <w:tc>
          <w:tcPr>
            <w:tcW w:w="8897" w:type="dxa"/>
            <w:shd w:val="clear" w:color="auto" w:fill="auto"/>
          </w:tcPr>
          <w:p w:rsidR="00A67D3A" w:rsidRPr="003A1B18" w:rsidRDefault="008056E6" w:rsidP="00562363">
            <w:pPr>
              <w:jc w:val="left"/>
              <w:rPr>
                <w:sz w:val="18"/>
                <w:lang w:eastAsia="zh-CN"/>
              </w:rPr>
            </w:pPr>
            <w:r w:rsidRPr="003A1B18">
              <w:rPr>
                <w:sz w:val="18"/>
                <w:lang w:eastAsia="zh-CN"/>
              </w:rPr>
              <w:t xml:space="preserve">Difficultés </w:t>
            </w:r>
            <w:r w:rsidR="00562363">
              <w:rPr>
                <w:sz w:val="18"/>
                <w:lang w:eastAsia="zh-CN"/>
              </w:rPr>
              <w:t>dans les</w:t>
            </w:r>
            <w:r w:rsidRPr="003A1B18">
              <w:rPr>
                <w:sz w:val="18"/>
                <w:lang w:eastAsia="zh-CN"/>
              </w:rPr>
              <w:t xml:space="preserve"> procédures administratives</w:t>
            </w:r>
          </w:p>
        </w:tc>
      </w:tr>
    </w:tbl>
    <w:p w:rsidR="0057014D" w:rsidRDefault="0057014D" w:rsidP="00A67D3A"/>
    <w:p w:rsidR="0057014D" w:rsidRDefault="0057014D">
      <w:pPr>
        <w:jc w:val="left"/>
      </w:pPr>
      <w:r>
        <w:br w:type="page"/>
      </w:r>
    </w:p>
    <w:p w:rsidR="008056E6" w:rsidRPr="003A1B18" w:rsidRDefault="00A67D3A" w:rsidP="008056E6">
      <w:pPr>
        <w:rPr>
          <w:rFonts w:eastAsiaTheme="minorEastAsia"/>
          <w:u w:val="single"/>
        </w:rPr>
      </w:pPr>
      <w:r w:rsidRPr="003A1B18">
        <w:lastRenderedPageBreak/>
        <w:fldChar w:fldCharType="begin"/>
      </w:r>
      <w:r w:rsidRPr="003A1B18">
        <w:instrText xml:space="preserve"> AUTONUM  </w:instrText>
      </w:r>
      <w:r w:rsidRPr="003A1B18">
        <w:fldChar w:fldCharType="end"/>
      </w:r>
      <w:r w:rsidRPr="003A1B18">
        <w:tab/>
      </w:r>
      <w:r w:rsidR="008056E6" w:rsidRPr="003A1B18">
        <w:t>Le TWC a pris note des propositions ci-après formulées par les participants des groupes de discussion pour remédier aux difficultés techniques soulevées</w:t>
      </w:r>
      <w:r w:rsidR="004A07D6">
        <w:t> </w:t>
      </w:r>
      <w:r w:rsidR="008056E6" w:rsidRPr="003A1B18">
        <w:t>:</w:t>
      </w:r>
    </w:p>
    <w:p w:rsidR="00A67D3A" w:rsidRDefault="00A67D3A" w:rsidP="00A67D3A">
      <w:pPr>
        <w:ind w:left="567"/>
        <w:outlineLvl w:val="3"/>
        <w:rPr>
          <w:rFonts w:eastAsiaTheme="minorEastAsia"/>
          <w:u w:val="single"/>
        </w:rPr>
      </w:pPr>
    </w:p>
    <w:p w:rsidR="0057014D" w:rsidRPr="0057014D" w:rsidRDefault="0057014D" w:rsidP="00A67D3A">
      <w:pPr>
        <w:ind w:left="567"/>
        <w:outlineLvl w:val="3"/>
        <w:rPr>
          <w:rFonts w:eastAsiaTheme="minorEastAsia"/>
          <w:u w:val="single"/>
        </w:rPr>
      </w:pPr>
    </w:p>
    <w:tbl>
      <w:tblPr>
        <w:tblW w:w="8897" w:type="dxa"/>
        <w:tblInd w:w="4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A67D3A" w:rsidRPr="003A1B18" w:rsidTr="00430206">
        <w:tc>
          <w:tcPr>
            <w:tcW w:w="8897" w:type="dxa"/>
          </w:tcPr>
          <w:p w:rsidR="00A67D3A" w:rsidRPr="003A1B18" w:rsidRDefault="008056E6" w:rsidP="008056E6">
            <w:pPr>
              <w:jc w:val="left"/>
              <w:rPr>
                <w:sz w:val="18"/>
                <w:lang w:eastAsia="zh-CN"/>
              </w:rPr>
            </w:pPr>
            <w:r w:rsidRPr="003A1B18">
              <w:rPr>
                <w:sz w:val="18"/>
                <w:lang w:eastAsia="zh-CN"/>
              </w:rPr>
              <w:t>Élaboration de la structure générale des bases de données</w:t>
            </w:r>
          </w:p>
        </w:tc>
      </w:tr>
      <w:tr w:rsidR="00A67D3A" w:rsidRPr="003A1B18" w:rsidTr="00430206">
        <w:tc>
          <w:tcPr>
            <w:tcW w:w="8897" w:type="dxa"/>
          </w:tcPr>
          <w:p w:rsidR="00A67D3A" w:rsidRPr="003A1B18" w:rsidRDefault="008056E6" w:rsidP="008056E6">
            <w:pPr>
              <w:jc w:val="left"/>
              <w:rPr>
                <w:sz w:val="18"/>
                <w:lang w:eastAsia="zh-CN"/>
              </w:rPr>
            </w:pPr>
            <w:r w:rsidRPr="003A1B18">
              <w:rPr>
                <w:sz w:val="18"/>
                <w:lang w:eastAsia="zh-CN"/>
              </w:rPr>
              <w:t>Principes directeurs pour l</w:t>
            </w:r>
            <w:r w:rsidR="004A07D6">
              <w:rPr>
                <w:sz w:val="18"/>
                <w:lang w:eastAsia="zh-CN"/>
              </w:rPr>
              <w:t>’</w:t>
            </w:r>
            <w:r w:rsidRPr="003A1B18">
              <w:rPr>
                <w:sz w:val="18"/>
                <w:lang w:eastAsia="zh-CN"/>
              </w:rPr>
              <w:t>élaboration des bases de données</w:t>
            </w:r>
            <w:r w:rsidR="00A67D3A" w:rsidRPr="003A1B18">
              <w:rPr>
                <w:sz w:val="18"/>
                <w:lang w:eastAsia="zh-CN"/>
              </w:rPr>
              <w:t xml:space="preserve"> </w:t>
            </w:r>
          </w:p>
        </w:tc>
      </w:tr>
      <w:tr w:rsidR="00A67D3A" w:rsidRPr="003A1B18" w:rsidTr="00430206">
        <w:tc>
          <w:tcPr>
            <w:tcW w:w="8897" w:type="dxa"/>
          </w:tcPr>
          <w:p w:rsidR="00A67D3A" w:rsidRPr="003A1B18" w:rsidRDefault="00296B9D" w:rsidP="00E52450">
            <w:pPr>
              <w:jc w:val="lef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Validation des données pour les profils SNP de variétés de différentes plantes</w:t>
            </w:r>
          </w:p>
        </w:tc>
      </w:tr>
      <w:tr w:rsidR="00A67D3A" w:rsidRPr="003A1B18" w:rsidTr="00430206">
        <w:tc>
          <w:tcPr>
            <w:tcW w:w="8897" w:type="dxa"/>
          </w:tcPr>
          <w:p w:rsidR="00A67D3A" w:rsidRPr="003A1B18" w:rsidRDefault="00296B9D" w:rsidP="00CF5D26">
            <w:pPr>
              <w:jc w:val="lef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Élaboration</w:t>
            </w:r>
            <w:r w:rsidR="00E52450" w:rsidRPr="003A1B18">
              <w:rPr>
                <w:sz w:val="18"/>
                <w:lang w:eastAsia="zh-CN"/>
              </w:rPr>
              <w:t xml:space="preserve"> d</w:t>
            </w:r>
            <w:r w:rsidR="004A07D6">
              <w:rPr>
                <w:sz w:val="18"/>
                <w:lang w:eastAsia="zh-CN"/>
              </w:rPr>
              <w:t>’</w:t>
            </w:r>
            <w:r w:rsidR="00E52450" w:rsidRPr="003A1B18">
              <w:rPr>
                <w:sz w:val="18"/>
                <w:lang w:eastAsia="zh-CN"/>
              </w:rPr>
              <w:t xml:space="preserve">une plateforme </w:t>
            </w:r>
            <w:r>
              <w:rPr>
                <w:sz w:val="18"/>
                <w:lang w:eastAsia="zh-CN"/>
              </w:rPr>
              <w:t>pour l’</w:t>
            </w:r>
            <w:r w:rsidR="00E52450" w:rsidRPr="003A1B18">
              <w:rPr>
                <w:sz w:val="18"/>
                <w:lang w:eastAsia="zh-CN"/>
              </w:rPr>
              <w:t xml:space="preserve">harmonisation des </w:t>
            </w:r>
            <w:r>
              <w:rPr>
                <w:sz w:val="18"/>
                <w:lang w:eastAsia="zh-CN"/>
              </w:rPr>
              <w:t xml:space="preserve">séries de </w:t>
            </w:r>
            <w:r w:rsidR="00E52450" w:rsidRPr="003A1B18">
              <w:rPr>
                <w:sz w:val="18"/>
                <w:lang w:eastAsia="zh-CN"/>
              </w:rPr>
              <w:t>SNP et logiciels</w:t>
            </w:r>
            <w:r>
              <w:rPr>
                <w:sz w:val="18"/>
                <w:lang w:eastAsia="zh-CN"/>
              </w:rPr>
              <w:t xml:space="preserve"> correspondants</w:t>
            </w:r>
          </w:p>
        </w:tc>
      </w:tr>
      <w:tr w:rsidR="00A67D3A" w:rsidRPr="003A1B18" w:rsidTr="00430206">
        <w:tc>
          <w:tcPr>
            <w:tcW w:w="8897" w:type="dxa"/>
          </w:tcPr>
          <w:p w:rsidR="00A67D3A" w:rsidRPr="003A1B18" w:rsidRDefault="00E52450" w:rsidP="00E52450">
            <w:pPr>
              <w:jc w:val="left"/>
              <w:rPr>
                <w:sz w:val="18"/>
                <w:lang w:eastAsia="zh-CN"/>
              </w:rPr>
            </w:pPr>
            <w:r w:rsidRPr="003A1B18">
              <w:rPr>
                <w:sz w:val="18"/>
                <w:lang w:eastAsia="zh-CN"/>
              </w:rPr>
              <w:t>Échange d</w:t>
            </w:r>
            <w:r w:rsidR="004A07D6">
              <w:rPr>
                <w:sz w:val="18"/>
                <w:lang w:eastAsia="zh-CN"/>
              </w:rPr>
              <w:t>’</w:t>
            </w:r>
            <w:r w:rsidRPr="003A1B18">
              <w:rPr>
                <w:sz w:val="18"/>
                <w:lang w:eastAsia="zh-CN"/>
              </w:rPr>
              <w:t>informations sur les machines et le matériel utilisés pour l</w:t>
            </w:r>
            <w:r w:rsidR="004A07D6">
              <w:rPr>
                <w:sz w:val="18"/>
                <w:lang w:eastAsia="zh-CN"/>
              </w:rPr>
              <w:t>’</w:t>
            </w:r>
            <w:r w:rsidRPr="003A1B18">
              <w:rPr>
                <w:sz w:val="18"/>
                <w:lang w:eastAsia="zh-CN"/>
              </w:rPr>
              <w:t>examen DHS</w:t>
            </w:r>
          </w:p>
        </w:tc>
      </w:tr>
      <w:tr w:rsidR="00A67D3A" w:rsidRPr="003A1B18" w:rsidTr="00430206">
        <w:tc>
          <w:tcPr>
            <w:tcW w:w="8897" w:type="dxa"/>
          </w:tcPr>
          <w:p w:rsidR="00A67D3A" w:rsidRPr="003A1B18" w:rsidRDefault="00A67D3A" w:rsidP="00430206">
            <w:pPr>
              <w:jc w:val="left"/>
              <w:rPr>
                <w:sz w:val="18"/>
                <w:lang w:eastAsia="zh-CN"/>
              </w:rPr>
            </w:pPr>
          </w:p>
        </w:tc>
      </w:tr>
      <w:tr w:rsidR="00A67D3A" w:rsidRPr="003A1B18" w:rsidTr="00430206">
        <w:tc>
          <w:tcPr>
            <w:tcW w:w="8897" w:type="dxa"/>
          </w:tcPr>
          <w:p w:rsidR="00A67D3A" w:rsidRPr="00562363" w:rsidRDefault="00562363" w:rsidP="00E52450">
            <w:pPr>
              <w:jc w:val="left"/>
              <w:rPr>
                <w:sz w:val="18"/>
                <w:u w:val="single"/>
                <w:lang w:eastAsia="zh-CN"/>
              </w:rPr>
            </w:pPr>
            <w:r w:rsidRPr="00562363">
              <w:rPr>
                <w:sz w:val="18"/>
                <w:u w:val="single"/>
                <w:lang w:eastAsia="zh-CN"/>
              </w:rPr>
              <w:t>M</w:t>
            </w:r>
            <w:r w:rsidR="00E52450" w:rsidRPr="00562363">
              <w:rPr>
                <w:sz w:val="18"/>
                <w:u w:val="single"/>
                <w:lang w:eastAsia="zh-CN"/>
              </w:rPr>
              <w:t>oyens électroniques</w:t>
            </w:r>
          </w:p>
        </w:tc>
      </w:tr>
      <w:tr w:rsidR="00A67D3A" w:rsidRPr="003A1B18" w:rsidTr="00430206">
        <w:tc>
          <w:tcPr>
            <w:tcW w:w="8897" w:type="dxa"/>
          </w:tcPr>
          <w:p w:rsidR="00A67D3A" w:rsidRPr="003A1B18" w:rsidRDefault="00E52450" w:rsidP="00CF5D26">
            <w:pPr>
              <w:jc w:val="left"/>
              <w:rPr>
                <w:sz w:val="18"/>
                <w:lang w:eastAsia="zh-CN"/>
              </w:rPr>
            </w:pPr>
            <w:r w:rsidRPr="003A1B18">
              <w:rPr>
                <w:sz w:val="18"/>
                <w:lang w:eastAsia="zh-CN"/>
              </w:rPr>
              <w:t>Plateforme harmonisée en XML</w:t>
            </w:r>
          </w:p>
        </w:tc>
      </w:tr>
      <w:tr w:rsidR="00A67D3A" w:rsidRPr="003A1B18" w:rsidTr="00430206">
        <w:tc>
          <w:tcPr>
            <w:tcW w:w="8897" w:type="dxa"/>
          </w:tcPr>
          <w:p w:rsidR="00A67D3A" w:rsidRPr="003A1B18" w:rsidRDefault="00E52450" w:rsidP="00E52450">
            <w:pPr>
              <w:jc w:val="left"/>
              <w:rPr>
                <w:sz w:val="18"/>
                <w:lang w:eastAsia="zh-CN"/>
              </w:rPr>
            </w:pPr>
            <w:r w:rsidRPr="003A1B18">
              <w:rPr>
                <w:sz w:val="18"/>
                <w:lang w:eastAsia="zh-CN"/>
              </w:rPr>
              <w:t>Ensemble de données sur les plantes dans le nuage</w:t>
            </w:r>
          </w:p>
        </w:tc>
      </w:tr>
      <w:tr w:rsidR="00A67D3A" w:rsidRPr="003A1B18" w:rsidTr="00430206">
        <w:tc>
          <w:tcPr>
            <w:tcW w:w="8897" w:type="dxa"/>
          </w:tcPr>
          <w:p w:rsidR="00A67D3A" w:rsidRPr="003A1B18" w:rsidRDefault="00562363" w:rsidP="003A1B18">
            <w:pPr>
              <w:jc w:val="left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Mise au point</w:t>
            </w:r>
            <w:r w:rsidR="003A1B18" w:rsidRPr="003A1B18">
              <w:rPr>
                <w:sz w:val="18"/>
                <w:lang w:eastAsia="zh-CN"/>
              </w:rPr>
              <w:t xml:space="preserve"> et utilisation conjointes de</w:t>
            </w:r>
            <w:r>
              <w:rPr>
                <w:sz w:val="18"/>
                <w:lang w:eastAsia="zh-CN"/>
              </w:rPr>
              <w:t>s</w:t>
            </w:r>
            <w:r w:rsidR="003A1B18" w:rsidRPr="003A1B18">
              <w:rPr>
                <w:sz w:val="18"/>
                <w:lang w:eastAsia="zh-CN"/>
              </w:rPr>
              <w:t xml:space="preserve"> moyens électroniques</w:t>
            </w:r>
          </w:p>
        </w:tc>
      </w:tr>
      <w:tr w:rsidR="00A67D3A" w:rsidRPr="003A1B18" w:rsidTr="00430206">
        <w:tc>
          <w:tcPr>
            <w:tcW w:w="8897" w:type="dxa"/>
          </w:tcPr>
          <w:p w:rsidR="00A67D3A" w:rsidRPr="003A1B18" w:rsidRDefault="003A1B18" w:rsidP="00296B9D">
            <w:pPr>
              <w:jc w:val="left"/>
              <w:rPr>
                <w:sz w:val="18"/>
                <w:lang w:eastAsia="zh-CN"/>
              </w:rPr>
            </w:pPr>
            <w:r w:rsidRPr="003A1B18">
              <w:rPr>
                <w:sz w:val="18"/>
                <w:lang w:eastAsia="zh-CN"/>
              </w:rPr>
              <w:t>Passeport ADN pour l</w:t>
            </w:r>
            <w:r w:rsidR="004A07D6">
              <w:rPr>
                <w:sz w:val="18"/>
                <w:lang w:eastAsia="zh-CN"/>
              </w:rPr>
              <w:t>’</w:t>
            </w:r>
            <w:r w:rsidRPr="003A1B18">
              <w:rPr>
                <w:sz w:val="18"/>
                <w:lang w:eastAsia="zh-CN"/>
              </w:rPr>
              <w:t xml:space="preserve">identification </w:t>
            </w:r>
            <w:r w:rsidR="00296B9D" w:rsidRPr="003A1B18">
              <w:rPr>
                <w:sz w:val="18"/>
                <w:lang w:eastAsia="zh-CN"/>
              </w:rPr>
              <w:t xml:space="preserve">des variétés </w:t>
            </w:r>
            <w:r w:rsidRPr="003A1B18">
              <w:rPr>
                <w:sz w:val="18"/>
                <w:lang w:eastAsia="zh-CN"/>
              </w:rPr>
              <w:t>et l</w:t>
            </w:r>
            <w:r w:rsidR="004A07D6">
              <w:rPr>
                <w:sz w:val="18"/>
                <w:lang w:eastAsia="zh-CN"/>
              </w:rPr>
              <w:t>’</w:t>
            </w:r>
            <w:r w:rsidRPr="003A1B18">
              <w:rPr>
                <w:sz w:val="18"/>
                <w:lang w:eastAsia="zh-CN"/>
              </w:rPr>
              <w:t>application des droits</w:t>
            </w:r>
          </w:p>
        </w:tc>
      </w:tr>
    </w:tbl>
    <w:p w:rsidR="008056E6" w:rsidRPr="003A1B18" w:rsidRDefault="008056E6" w:rsidP="00A67D3A">
      <w:pPr>
        <w:jc w:val="right"/>
        <w:rPr>
          <w:sz w:val="14"/>
        </w:rPr>
      </w:pPr>
    </w:p>
    <w:p w:rsidR="008056E6" w:rsidRPr="003A1B18" w:rsidRDefault="008056E6" w:rsidP="00050E16">
      <w:pPr>
        <w:rPr>
          <w:snapToGrid w:val="0"/>
        </w:rPr>
      </w:pPr>
    </w:p>
    <w:p w:rsidR="008056E6" w:rsidRPr="003A1B18" w:rsidRDefault="008056E6" w:rsidP="00050E16"/>
    <w:p w:rsidR="008056E6" w:rsidRPr="003A1B18" w:rsidRDefault="008056E6" w:rsidP="00050E16">
      <w:bookmarkStart w:id="2" w:name="_GoBack"/>
      <w:bookmarkEnd w:id="2"/>
    </w:p>
    <w:p w:rsidR="008056E6" w:rsidRDefault="00050E16" w:rsidP="00050E16">
      <w:pPr>
        <w:jc w:val="right"/>
      </w:pPr>
      <w:r w:rsidRPr="003A1B18">
        <w:t>[</w:t>
      </w:r>
      <w:r w:rsidR="00A706D3" w:rsidRPr="003A1B18">
        <w:t xml:space="preserve">Fin du </w:t>
      </w:r>
      <w:r w:rsidRPr="003A1B18">
        <w:t>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3A" w:rsidRDefault="00A67D3A" w:rsidP="006655D3">
      <w:r>
        <w:separator/>
      </w:r>
    </w:p>
    <w:p w:rsidR="00A67D3A" w:rsidRDefault="00A67D3A" w:rsidP="006655D3"/>
    <w:p w:rsidR="00A67D3A" w:rsidRDefault="00A67D3A" w:rsidP="006655D3"/>
  </w:endnote>
  <w:endnote w:type="continuationSeparator" w:id="0">
    <w:p w:rsidR="00A67D3A" w:rsidRDefault="00A67D3A" w:rsidP="006655D3">
      <w:r>
        <w:separator/>
      </w:r>
    </w:p>
    <w:p w:rsidR="00A67D3A" w:rsidRPr="00294751" w:rsidRDefault="00A67D3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67D3A" w:rsidRPr="00294751" w:rsidRDefault="00A67D3A" w:rsidP="006655D3"/>
    <w:p w:rsidR="00A67D3A" w:rsidRPr="00294751" w:rsidRDefault="00A67D3A" w:rsidP="006655D3"/>
  </w:endnote>
  <w:endnote w:type="continuationNotice" w:id="1">
    <w:p w:rsidR="00A67D3A" w:rsidRPr="00294751" w:rsidRDefault="00A67D3A" w:rsidP="006655D3">
      <w:r w:rsidRPr="00294751">
        <w:t>[Suite de la note page suivante]</w:t>
      </w:r>
    </w:p>
    <w:p w:rsidR="00A67D3A" w:rsidRPr="00294751" w:rsidRDefault="00A67D3A" w:rsidP="006655D3"/>
    <w:p w:rsidR="00A67D3A" w:rsidRPr="00294751" w:rsidRDefault="00A67D3A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18" w:rsidRDefault="003A1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18" w:rsidRDefault="003A1B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18" w:rsidRDefault="003A1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3A" w:rsidRDefault="00A67D3A" w:rsidP="006655D3">
      <w:r>
        <w:separator/>
      </w:r>
    </w:p>
  </w:footnote>
  <w:footnote w:type="continuationSeparator" w:id="0">
    <w:p w:rsidR="00A67D3A" w:rsidRDefault="00A67D3A" w:rsidP="006655D3">
      <w:r>
        <w:separator/>
      </w:r>
    </w:p>
  </w:footnote>
  <w:footnote w:type="continuationNotice" w:id="1">
    <w:p w:rsidR="00A67D3A" w:rsidRPr="00AB530F" w:rsidRDefault="00A67D3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18" w:rsidRDefault="003A1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3A1B18" w:rsidP="003A1B1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TC/55/10 Add.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4A07D6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C305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18" w:rsidRDefault="003A1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|TextBase TMs\WorkspaceFTS\xLegacy\UPOV"/>
    <w:docVar w:name="TextBaseURL" w:val="empty"/>
    <w:docVar w:name="UILng" w:val="en"/>
  </w:docVars>
  <w:rsids>
    <w:rsidRoot w:val="00A67D3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F2F"/>
    <w:rsid w:val="001F3D6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96B9D"/>
    <w:rsid w:val="002A6E50"/>
    <w:rsid w:val="002B4298"/>
    <w:rsid w:val="002C256A"/>
    <w:rsid w:val="002F4985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A1B18"/>
    <w:rsid w:val="003C7FBE"/>
    <w:rsid w:val="003D227C"/>
    <w:rsid w:val="003D2B4D"/>
    <w:rsid w:val="0040557F"/>
    <w:rsid w:val="004162FB"/>
    <w:rsid w:val="00444A88"/>
    <w:rsid w:val="00474DA4"/>
    <w:rsid w:val="00476B4D"/>
    <w:rsid w:val="004805FA"/>
    <w:rsid w:val="004935D2"/>
    <w:rsid w:val="004A07D6"/>
    <w:rsid w:val="004A494C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2363"/>
    <w:rsid w:val="0057014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D2BAB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3059"/>
    <w:rsid w:val="007C4CB9"/>
    <w:rsid w:val="007D0B9D"/>
    <w:rsid w:val="007D19B0"/>
    <w:rsid w:val="007F498F"/>
    <w:rsid w:val="008056E6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92780"/>
    <w:rsid w:val="00897A4D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67D3A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813"/>
    <w:rsid w:val="00CF1330"/>
    <w:rsid w:val="00CF5D26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450"/>
    <w:rsid w:val="00E5267B"/>
    <w:rsid w:val="00E57CA3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59D2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8840F2"/>
  <w15:docId w15:val="{74F1D4EF-376A-4D3F-994E-E65A1305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F5087-260B-4E58-905F-F27E3BA7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BARBU Caroline</dc:creator>
  <cp:lastModifiedBy>MAY Jessica</cp:lastModifiedBy>
  <cp:revision>4</cp:revision>
  <cp:lastPrinted>2016-11-22T15:41:00Z</cp:lastPrinted>
  <dcterms:created xsi:type="dcterms:W3CDTF">2019-10-30T11:45:00Z</dcterms:created>
  <dcterms:modified xsi:type="dcterms:W3CDTF">2019-10-30T11:50:00Z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49f6ac92-bf82-41ff-a4e4-0bed4dcbfbdd</vt:lpwstr>
  </property>
</Properties>
</file>