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EA3338" w:rsidRPr="0016157A" w:rsidTr="00C249E4">
        <w:tc>
          <w:tcPr>
            <w:tcW w:w="6522" w:type="dxa"/>
          </w:tcPr>
          <w:p w:rsidR="00EA3338" w:rsidRPr="0016157A" w:rsidRDefault="00EA3338" w:rsidP="00C249E4">
            <w:pPr>
              <w:rPr>
                <w:lang w:val="fr-FR"/>
              </w:rPr>
            </w:pPr>
            <w:r w:rsidRPr="0016157A">
              <w:rPr>
                <w:noProof/>
              </w:rPr>
              <w:drawing>
                <wp:inline distT="0" distB="0" distL="0" distR="0" wp14:anchorId="0C3C7E98" wp14:editId="07D1528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EA3338" w:rsidRPr="0016157A" w:rsidRDefault="00EA3338" w:rsidP="00C249E4">
            <w:pPr>
              <w:pStyle w:val="Lettrine"/>
              <w:rPr>
                <w:lang w:val="fr-FR"/>
              </w:rPr>
            </w:pPr>
            <w:r w:rsidRPr="0016157A">
              <w:rPr>
                <w:lang w:val="fr-FR"/>
              </w:rPr>
              <w:t>F</w:t>
            </w:r>
          </w:p>
        </w:tc>
      </w:tr>
      <w:tr w:rsidR="00EA3338" w:rsidRPr="008D1C5B" w:rsidTr="00C249E4">
        <w:trPr>
          <w:trHeight w:val="219"/>
        </w:trPr>
        <w:tc>
          <w:tcPr>
            <w:tcW w:w="6522" w:type="dxa"/>
          </w:tcPr>
          <w:p w:rsidR="00EA3338" w:rsidRPr="0016157A" w:rsidRDefault="00EA3338" w:rsidP="00C249E4">
            <w:pPr>
              <w:pStyle w:val="upove"/>
              <w:rPr>
                <w:lang w:val="fr-FR"/>
              </w:rPr>
            </w:pPr>
            <w:r w:rsidRPr="0016157A">
              <w:rPr>
                <w:lang w:val="fr-FR"/>
              </w:rPr>
              <w:t>Union internationale pour la protection des obtentions végétales</w:t>
            </w:r>
          </w:p>
        </w:tc>
        <w:tc>
          <w:tcPr>
            <w:tcW w:w="3117" w:type="dxa"/>
          </w:tcPr>
          <w:p w:rsidR="00EA3338" w:rsidRPr="0016157A" w:rsidRDefault="00EA3338" w:rsidP="00C249E4">
            <w:pPr>
              <w:rPr>
                <w:lang w:val="fr-FR"/>
              </w:rPr>
            </w:pPr>
          </w:p>
        </w:tc>
      </w:tr>
    </w:tbl>
    <w:p w:rsidR="00EA3338" w:rsidRPr="0016157A" w:rsidRDefault="00EA3338" w:rsidP="00C249E4">
      <w:pPr>
        <w:rPr>
          <w:lang w:val="fr-FR"/>
        </w:rPr>
      </w:pPr>
    </w:p>
    <w:p w:rsidR="00EA3338" w:rsidRPr="0016157A" w:rsidRDefault="00EA3338" w:rsidP="00C249E4">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A3338" w:rsidRPr="008D1C5B" w:rsidTr="00C249E4">
        <w:tc>
          <w:tcPr>
            <w:tcW w:w="6512" w:type="dxa"/>
          </w:tcPr>
          <w:p w:rsidR="00EA3338" w:rsidRPr="0016157A" w:rsidRDefault="00EA3338" w:rsidP="00C249E4">
            <w:pPr>
              <w:pStyle w:val="Sessiontc"/>
              <w:spacing w:line="240" w:lineRule="auto"/>
              <w:rPr>
                <w:lang w:val="fr-FR"/>
              </w:rPr>
            </w:pPr>
            <w:r w:rsidRPr="0016157A">
              <w:rPr>
                <w:lang w:val="fr-FR"/>
              </w:rPr>
              <w:t>Comité technique</w:t>
            </w:r>
          </w:p>
          <w:p w:rsidR="00EA3338" w:rsidRPr="0016157A" w:rsidRDefault="00EA3338" w:rsidP="00C249E4">
            <w:pPr>
              <w:pStyle w:val="Sessiontcplacedate"/>
              <w:rPr>
                <w:sz w:val="22"/>
                <w:lang w:val="fr-FR"/>
              </w:rPr>
            </w:pPr>
            <w:r w:rsidRPr="0016157A">
              <w:rPr>
                <w:lang w:val="fr-FR"/>
              </w:rPr>
              <w:t>Cinquante-quatrième session</w:t>
            </w:r>
            <w:r w:rsidRPr="0016157A">
              <w:rPr>
                <w:lang w:val="fr-FR"/>
              </w:rPr>
              <w:br/>
              <w:t>Genève, 29 et 30 octobre 2018</w:t>
            </w:r>
          </w:p>
        </w:tc>
        <w:tc>
          <w:tcPr>
            <w:tcW w:w="3127" w:type="dxa"/>
          </w:tcPr>
          <w:p w:rsidR="00EA3338" w:rsidRPr="0016157A" w:rsidRDefault="00EA3338" w:rsidP="00C249E4">
            <w:pPr>
              <w:pStyle w:val="Doccode"/>
              <w:rPr>
                <w:lang w:val="fr-FR"/>
              </w:rPr>
            </w:pPr>
            <w:r w:rsidRPr="0016157A">
              <w:rPr>
                <w:lang w:val="fr-FR"/>
              </w:rPr>
              <w:t>TC/54/5</w:t>
            </w:r>
            <w:r w:rsidR="008D1C5B">
              <w:rPr>
                <w:lang w:val="fr-FR"/>
              </w:rPr>
              <w:t xml:space="preserve"> </w:t>
            </w:r>
            <w:proofErr w:type="spellStart"/>
            <w:r w:rsidR="008D1C5B">
              <w:rPr>
                <w:lang w:val="fr-FR"/>
              </w:rPr>
              <w:t>Rev</w:t>
            </w:r>
            <w:proofErr w:type="spellEnd"/>
            <w:r w:rsidR="008D1C5B">
              <w:rPr>
                <w:lang w:val="fr-FR"/>
              </w:rPr>
              <w:t>.</w:t>
            </w:r>
          </w:p>
          <w:p w:rsidR="00EA3338" w:rsidRPr="0016157A" w:rsidRDefault="00EA3338" w:rsidP="00C249E4">
            <w:pPr>
              <w:pStyle w:val="Docoriginal"/>
              <w:rPr>
                <w:lang w:val="fr-FR"/>
              </w:rPr>
            </w:pPr>
            <w:proofErr w:type="gramStart"/>
            <w:r w:rsidRPr="0016157A">
              <w:rPr>
                <w:lang w:val="fr-FR"/>
              </w:rPr>
              <w:t>Original:</w:t>
            </w:r>
            <w:proofErr w:type="gramEnd"/>
            <w:r>
              <w:rPr>
                <w:b w:val="0"/>
                <w:spacing w:val="0"/>
                <w:lang w:val="fr-FR"/>
              </w:rPr>
              <w:t xml:space="preserve"> </w:t>
            </w:r>
            <w:r w:rsidRPr="0016157A">
              <w:rPr>
                <w:b w:val="0"/>
                <w:spacing w:val="0"/>
                <w:lang w:val="fr-FR"/>
              </w:rPr>
              <w:t>anglais</w:t>
            </w:r>
          </w:p>
          <w:p w:rsidR="00EA3338" w:rsidRPr="0016157A" w:rsidRDefault="00EA3338" w:rsidP="00883650">
            <w:pPr>
              <w:pStyle w:val="Docoriginal"/>
              <w:rPr>
                <w:lang w:val="fr-FR"/>
              </w:rPr>
            </w:pPr>
            <w:r w:rsidRPr="0016157A">
              <w:rPr>
                <w:lang w:val="fr-FR"/>
              </w:rPr>
              <w:t>Date:</w:t>
            </w:r>
            <w:r>
              <w:rPr>
                <w:b w:val="0"/>
                <w:spacing w:val="0"/>
                <w:lang w:val="fr-FR"/>
              </w:rPr>
              <w:t xml:space="preserve"> </w:t>
            </w:r>
            <w:r w:rsidR="008D1C5B">
              <w:rPr>
                <w:b w:val="0"/>
                <w:spacing w:val="0"/>
                <w:lang w:val="fr-FR"/>
              </w:rPr>
              <w:t>2</w:t>
            </w:r>
            <w:r w:rsidR="008D1C5B" w:rsidRPr="004A3F2C">
              <w:rPr>
                <w:b w:val="0"/>
                <w:spacing w:val="0"/>
                <w:lang w:val="fr-FR"/>
              </w:rPr>
              <w:t>8</w:t>
            </w:r>
            <w:r w:rsidR="008D1C5B">
              <w:rPr>
                <w:b w:val="0"/>
                <w:spacing w:val="0"/>
                <w:lang w:val="fr-FR"/>
              </w:rPr>
              <w:t xml:space="preserve"> septembre 2018</w:t>
            </w:r>
          </w:p>
        </w:tc>
      </w:tr>
    </w:tbl>
    <w:p w:rsidR="00EA3338" w:rsidRPr="0016157A" w:rsidRDefault="00EA3338" w:rsidP="00C249E4">
      <w:pPr>
        <w:pStyle w:val="Titleofdoc0"/>
        <w:rPr>
          <w:lang w:val="fr-FR"/>
        </w:rPr>
      </w:pPr>
      <w:bookmarkStart w:id="0" w:name="TitleOfDoc"/>
      <w:bookmarkEnd w:id="0"/>
      <w:r w:rsidRPr="0016157A">
        <w:rPr>
          <w:lang w:val="fr-FR"/>
        </w:rPr>
        <w:t>documents tpg</w:t>
      </w:r>
    </w:p>
    <w:p w:rsidR="00EA3338" w:rsidRPr="0016157A" w:rsidRDefault="00EA3338" w:rsidP="00C249E4">
      <w:pPr>
        <w:pStyle w:val="preparedby1"/>
        <w:jc w:val="left"/>
        <w:rPr>
          <w:lang w:val="fr-FR"/>
        </w:rPr>
      </w:pPr>
      <w:bookmarkStart w:id="1" w:name="Prepared"/>
      <w:bookmarkEnd w:id="1"/>
      <w:r w:rsidRPr="0016157A">
        <w:rPr>
          <w:lang w:val="fr-FR"/>
        </w:rPr>
        <w:t>Document établi par le Bureau de l</w:t>
      </w:r>
      <w:r w:rsidR="00B4091E">
        <w:rPr>
          <w:lang w:val="fr-FR"/>
        </w:rPr>
        <w:t>’</w:t>
      </w:r>
      <w:r w:rsidRPr="0016157A">
        <w:rPr>
          <w:lang w:val="fr-FR"/>
        </w:rPr>
        <w:t>Union</w:t>
      </w:r>
    </w:p>
    <w:p w:rsidR="00EA3338" w:rsidRPr="0016157A" w:rsidRDefault="00EA3338" w:rsidP="00C249E4">
      <w:pPr>
        <w:pStyle w:val="Disclaimer"/>
        <w:rPr>
          <w:lang w:val="fr-FR"/>
        </w:rPr>
      </w:pPr>
      <w:r w:rsidRPr="0016157A">
        <w:rPr>
          <w:lang w:val="fr-FR"/>
        </w:rPr>
        <w:t>Avertissement : le présent document ne représente pas les principes ou les orientations de l</w:t>
      </w:r>
      <w:r w:rsidR="00B4091E">
        <w:rPr>
          <w:lang w:val="fr-FR"/>
        </w:rPr>
        <w:t>’</w:t>
      </w:r>
      <w:r w:rsidRPr="0016157A">
        <w:rPr>
          <w:lang w:val="fr-FR"/>
        </w:rPr>
        <w:t>UPOV</w:t>
      </w:r>
    </w:p>
    <w:p w:rsidR="00EA3338" w:rsidRPr="0016157A" w:rsidRDefault="00EA3338" w:rsidP="00857E46">
      <w:pPr>
        <w:pStyle w:val="Heading1"/>
        <w:rPr>
          <w:lang w:val="fr-FR"/>
        </w:rPr>
      </w:pPr>
      <w:bookmarkStart w:id="2" w:name="_Toc521492790"/>
      <w:r w:rsidRPr="0016157A">
        <w:rPr>
          <w:lang w:val="fr-FR"/>
        </w:rPr>
        <w:t>RÉSUMÉ</w:t>
      </w:r>
      <w:bookmarkEnd w:id="2"/>
    </w:p>
    <w:p w:rsidR="00EA3338" w:rsidRPr="0016157A" w:rsidRDefault="00EA3338" w:rsidP="00C249E4">
      <w:pPr>
        <w:rPr>
          <w:snapToGrid w:val="0"/>
          <w:lang w:val="fr-FR"/>
        </w:rPr>
      </w:pPr>
    </w:p>
    <w:p w:rsidR="00EA3338" w:rsidRPr="0016157A" w:rsidRDefault="00EA3338" w:rsidP="00C249E4">
      <w:pPr>
        <w:rPr>
          <w:rFonts w:cs="Arial"/>
          <w:lang w:val="fr-FR"/>
        </w:rPr>
      </w:pPr>
      <w:r w:rsidRPr="0016157A">
        <w:rPr>
          <w:snapToGrid w:val="0"/>
          <w:lang w:val="fr-FR"/>
        </w:rPr>
        <w:fldChar w:fldCharType="begin"/>
      </w:r>
      <w:r w:rsidRPr="0016157A">
        <w:rPr>
          <w:snapToGrid w:val="0"/>
          <w:lang w:val="fr-FR"/>
        </w:rPr>
        <w:instrText xml:space="preserve"> AUTONUM  </w:instrText>
      </w:r>
      <w:r w:rsidRPr="0016157A">
        <w:rPr>
          <w:snapToGrid w:val="0"/>
          <w:lang w:val="fr-FR"/>
        </w:rPr>
        <w:fldChar w:fldCharType="end"/>
      </w:r>
      <w:r w:rsidRPr="0016157A">
        <w:rPr>
          <w:snapToGrid w:val="0"/>
          <w:lang w:val="fr-FR"/>
        </w:rPr>
        <w:tab/>
      </w:r>
      <w:r w:rsidRPr="0016157A">
        <w:rPr>
          <w:lang w:val="fr-FR"/>
        </w:rPr>
        <w:t>Le présent document vise à donner un aperçu général des révisions des documents TGP</w:t>
      </w:r>
      <w:r w:rsidRPr="0016157A">
        <w:rPr>
          <w:rFonts w:cs="Arial"/>
          <w:lang w:val="fr-FR"/>
        </w:rPr>
        <w:t>.</w:t>
      </w:r>
    </w:p>
    <w:p w:rsidR="00EA3338" w:rsidRPr="0016157A" w:rsidRDefault="00EA3338" w:rsidP="00C249E4">
      <w:pPr>
        <w:tabs>
          <w:tab w:val="left" w:pos="567"/>
          <w:tab w:val="left" w:pos="1134"/>
        </w:tabs>
        <w:rPr>
          <w:lang w:val="fr-FR"/>
        </w:rPr>
      </w:pPr>
    </w:p>
    <w:p w:rsidR="00EA3338" w:rsidRPr="0016157A" w:rsidRDefault="00EA3338" w:rsidP="00C249E4">
      <w:pPr>
        <w:keepNext/>
        <w:tabs>
          <w:tab w:val="left" w:pos="567"/>
          <w:tab w:val="left" w:pos="1134"/>
          <w:tab w:val="left" w:pos="5387"/>
        </w:tabs>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TC est invité à :</w:t>
      </w:r>
    </w:p>
    <w:p w:rsidR="00EA3338" w:rsidRPr="0016157A" w:rsidRDefault="00EA3338" w:rsidP="00C249E4">
      <w:pPr>
        <w:keepNext/>
        <w:tabs>
          <w:tab w:val="left" w:pos="567"/>
          <w:tab w:val="left" w:pos="1134"/>
          <w:tab w:val="left" w:pos="5387"/>
        </w:tabs>
        <w:rPr>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a)</w:t>
      </w:r>
      <w:r w:rsidRPr="0016157A">
        <w:rPr>
          <w:lang w:val="fr-FR"/>
        </w:rPr>
        <w:tab/>
        <w:t xml:space="preserve">prendre note que les propositions de révision des sections </w:t>
      </w:r>
      <w:r w:rsidR="00B4091E">
        <w:rPr>
          <w:lang w:val="fr-FR"/>
        </w:rPr>
        <w:t>“</w:t>
      </w:r>
      <w:r w:rsidRPr="0016157A">
        <w:rPr>
          <w:lang w:val="fr-FR"/>
        </w:rPr>
        <w:t>Matériel pour les rédacteurs de principes directeurs d</w:t>
      </w:r>
      <w:r w:rsidR="00B4091E">
        <w:rPr>
          <w:lang w:val="fr-FR"/>
        </w:rPr>
        <w:t>’</w:t>
      </w:r>
      <w:r w:rsidRPr="0016157A">
        <w:rPr>
          <w:lang w:val="fr-FR"/>
        </w:rPr>
        <w:t>examen</w:t>
      </w:r>
      <w:r w:rsidR="00B4091E">
        <w:rPr>
          <w:lang w:val="fr-FR"/>
        </w:rPr>
        <w:t>”</w:t>
      </w:r>
      <w:r w:rsidRPr="0016157A">
        <w:rPr>
          <w:lang w:val="fr-FR"/>
        </w:rPr>
        <w:t xml:space="preserve"> et </w:t>
      </w:r>
      <w:r w:rsidR="00B4091E">
        <w:rPr>
          <w:lang w:val="fr-FR"/>
        </w:rPr>
        <w:t>“</w:t>
      </w:r>
      <w:r w:rsidRPr="0016157A">
        <w:rPr>
          <w:lang w:val="fr-FR"/>
        </w:rPr>
        <w:t>Présentation de différents types d</w:t>
      </w:r>
      <w:r w:rsidR="00B4091E">
        <w:rPr>
          <w:lang w:val="fr-FR"/>
        </w:rPr>
        <w:t>’</w:t>
      </w:r>
      <w:r w:rsidRPr="0016157A">
        <w:rPr>
          <w:lang w:val="fr-FR"/>
        </w:rPr>
        <w:t>exemples de variétés</w:t>
      </w:r>
      <w:r w:rsidR="00B4091E">
        <w:rPr>
          <w:lang w:val="fr-FR"/>
        </w:rPr>
        <w:t>”</w:t>
      </w:r>
      <w:r w:rsidRPr="0016157A">
        <w:rPr>
          <w:lang w:val="fr-FR"/>
        </w:rPr>
        <w:t xml:space="preserve"> du document TGP/7, approuvées par le TC à sa cinquante</w:t>
      </w:r>
      <w:r w:rsidRPr="0016157A">
        <w:rPr>
          <w:lang w:val="fr-FR"/>
        </w:rPr>
        <w:noBreakHyphen/>
        <w:t>troisième session, seront présentées pour adoption par le Conseil à sa cinquante</w:t>
      </w:r>
      <w:r w:rsidRPr="0016157A">
        <w:rPr>
          <w:lang w:val="fr-FR"/>
        </w:rPr>
        <w:noBreakHyphen/>
        <w:t>deuxième session qui se tiendra à Genève le 2 novembre 2018, sous réserve de l</w:t>
      </w:r>
      <w:r w:rsidR="00B4091E">
        <w:rPr>
          <w:lang w:val="fr-FR"/>
        </w:rPr>
        <w:t>’</w:t>
      </w:r>
      <w:r w:rsidRPr="0016157A">
        <w:rPr>
          <w:lang w:val="fr-FR"/>
        </w:rPr>
        <w:t>approbation par le CAJ à sa soixante</w:t>
      </w:r>
      <w:r w:rsidRPr="0016157A">
        <w:rPr>
          <w:lang w:val="fr-FR"/>
        </w:rPr>
        <w:noBreakHyphen/>
        <w:t xml:space="preserve">quinzième session qui se tiendra à Genève le 31 octobre 2018, sur la base du document TGP/7/6 </w:t>
      </w:r>
      <w:proofErr w:type="spellStart"/>
      <w:r w:rsidRPr="0016157A">
        <w:rPr>
          <w:lang w:val="fr-FR"/>
        </w:rPr>
        <w:t>Draft</w:t>
      </w:r>
      <w:proofErr w:type="spellEnd"/>
      <w:r w:rsidRPr="0016157A">
        <w:rPr>
          <w:lang w:val="fr-FR"/>
        </w:rPr>
        <w:t> 1;</w:t>
      </w:r>
    </w:p>
    <w:p w:rsidR="00EA3338" w:rsidRPr="0016157A" w:rsidRDefault="00EA3338" w:rsidP="00EA3338">
      <w:pPr>
        <w:tabs>
          <w:tab w:val="left" w:pos="567"/>
          <w:tab w:val="left" w:pos="1134"/>
          <w:tab w:val="left" w:pos="1701"/>
          <w:tab w:val="left" w:pos="5387"/>
        </w:tabs>
        <w:rPr>
          <w:sz w:val="14"/>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b)</w:t>
      </w:r>
      <w:r w:rsidRPr="0016157A">
        <w:rPr>
          <w:lang w:val="fr-FR"/>
        </w:rPr>
        <w:tab/>
        <w:t>examiner les orientations proposées en matière de confidentialité des informations moléculaires telles qu</w:t>
      </w:r>
      <w:r w:rsidR="00B4091E">
        <w:rPr>
          <w:lang w:val="fr-FR"/>
        </w:rPr>
        <w:t>’</w:t>
      </w:r>
      <w:r w:rsidRPr="0016157A">
        <w:rPr>
          <w:lang w:val="fr-FR"/>
        </w:rPr>
        <w:t xml:space="preserve">elles figurent à la section 1/3 </w:t>
      </w:r>
      <w:proofErr w:type="spellStart"/>
      <w:r w:rsidRPr="0016157A">
        <w:rPr>
          <w:lang w:val="fr-FR"/>
        </w:rPr>
        <w:t>Draft</w:t>
      </w:r>
      <w:proofErr w:type="spellEnd"/>
      <w:r w:rsidRPr="0016157A">
        <w:rPr>
          <w:lang w:val="fr-FR"/>
        </w:rPr>
        <w:t xml:space="preserve"> 1 du document TGP/5 : </w:t>
      </w:r>
      <w:r w:rsidR="00B4091E">
        <w:rPr>
          <w:lang w:val="fr-FR"/>
        </w:rPr>
        <w:t>“</w:t>
      </w:r>
      <w:r w:rsidRPr="0016157A">
        <w:rPr>
          <w:lang w:val="fr-FR"/>
        </w:rPr>
        <w:t>Accord administratif type pour la coopération internationale en matière d</w:t>
      </w:r>
      <w:r w:rsidR="00B4091E">
        <w:rPr>
          <w:lang w:val="fr-FR"/>
        </w:rPr>
        <w:t>’</w:t>
      </w:r>
      <w:r w:rsidRPr="0016157A">
        <w:rPr>
          <w:lang w:val="fr-FR"/>
        </w:rPr>
        <w:t>examen des variétés</w:t>
      </w:r>
      <w:r w:rsidR="00B4091E">
        <w:rPr>
          <w:lang w:val="fr-FR"/>
        </w:rPr>
        <w:t>”</w:t>
      </w:r>
      <w:r w:rsidRPr="0016157A">
        <w:rPr>
          <w:lang w:val="fr-FR"/>
        </w:rPr>
        <w:t>;</w:t>
      </w:r>
    </w:p>
    <w:p w:rsidR="00EA3338" w:rsidRPr="0016157A" w:rsidRDefault="00EA3338" w:rsidP="00EA3338">
      <w:pPr>
        <w:tabs>
          <w:tab w:val="left" w:pos="567"/>
          <w:tab w:val="left" w:pos="1134"/>
          <w:tab w:val="left" w:pos="1701"/>
          <w:tab w:val="left" w:pos="5387"/>
        </w:tabs>
        <w:rPr>
          <w:sz w:val="14"/>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c)</w:t>
      </w:r>
      <w:r w:rsidRPr="0016157A">
        <w:rPr>
          <w:lang w:val="fr-FR"/>
        </w:rPr>
        <w:tab/>
        <w:t>prendre note que, sous réserve de l</w:t>
      </w:r>
      <w:r w:rsidR="00B4091E">
        <w:rPr>
          <w:lang w:val="fr-FR"/>
        </w:rPr>
        <w:t>’</w:t>
      </w:r>
      <w:r w:rsidRPr="0016157A">
        <w:rPr>
          <w:lang w:val="fr-FR"/>
        </w:rPr>
        <w:t>approbation du CAJ à sa session qui se tiendra le 31 octobre 2018, les orientations proposées en matière de confidentialité des informations moléculaires seront soumises au Conseil pour adoption à sa session de 2018;</w:t>
      </w:r>
    </w:p>
    <w:p w:rsidR="00EA3338" w:rsidRPr="0016157A" w:rsidRDefault="00EA3338" w:rsidP="00EA3338">
      <w:pPr>
        <w:tabs>
          <w:tab w:val="left" w:pos="1134"/>
          <w:tab w:val="left" w:pos="1701"/>
          <w:tab w:val="left" w:pos="5387"/>
          <w:tab w:val="left" w:pos="5954"/>
        </w:tabs>
        <w:ind w:left="1701" w:hanging="1134"/>
        <w:rPr>
          <w:sz w:val="14"/>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d)</w:t>
      </w:r>
      <w:r w:rsidRPr="0016157A">
        <w:rPr>
          <w:lang w:val="fr-FR"/>
        </w:rPr>
        <w:tab/>
        <w:t>prendre note des révisions déjà approuvées par le TC pour les documents TGP/8 et TGP/14, comme indiqué dans les annexes II et III du présent document;</w:t>
      </w:r>
    </w:p>
    <w:p w:rsidR="00EA3338" w:rsidRPr="0016157A" w:rsidRDefault="00EA3338" w:rsidP="00EA3338">
      <w:pPr>
        <w:tabs>
          <w:tab w:val="left" w:pos="567"/>
          <w:tab w:val="left" w:pos="1134"/>
          <w:tab w:val="left" w:pos="1701"/>
          <w:tab w:val="left" w:pos="5387"/>
          <w:tab w:val="left" w:pos="5954"/>
          <w:tab w:val="left" w:pos="6521"/>
        </w:tabs>
        <w:ind w:left="1701" w:hanging="567"/>
        <w:rPr>
          <w:sz w:val="16"/>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e)</w:t>
      </w:r>
      <w:r w:rsidRPr="0016157A">
        <w:rPr>
          <w:lang w:val="fr-FR"/>
        </w:rPr>
        <w:tab/>
        <w:t>prendre note des questions concernant une éventuelle future révision des documents TGP qui seront examinées dans des documents distincts;</w:t>
      </w:r>
    </w:p>
    <w:p w:rsidR="00EA3338" w:rsidRPr="0016157A" w:rsidRDefault="00EA3338" w:rsidP="00EA3338">
      <w:pPr>
        <w:tabs>
          <w:tab w:val="left" w:pos="567"/>
          <w:tab w:val="left" w:pos="1134"/>
          <w:tab w:val="left" w:pos="1701"/>
          <w:tab w:val="left" w:pos="5387"/>
          <w:tab w:val="left" w:pos="5954"/>
        </w:tabs>
        <w:ind w:firstLine="567"/>
        <w:rPr>
          <w:sz w:val="14"/>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f)</w:t>
      </w:r>
      <w:r w:rsidRPr="0016157A">
        <w:rPr>
          <w:lang w:val="fr-FR"/>
        </w:rPr>
        <w:tab/>
        <w:t>examiner s</w:t>
      </w:r>
      <w:r w:rsidR="00B4091E">
        <w:rPr>
          <w:lang w:val="fr-FR"/>
        </w:rPr>
        <w:t>’</w:t>
      </w:r>
      <w:r w:rsidRPr="0016157A">
        <w:rPr>
          <w:lang w:val="fr-FR"/>
        </w:rPr>
        <w:t>il convient d</w:t>
      </w:r>
      <w:r w:rsidR="00B4091E">
        <w:rPr>
          <w:lang w:val="fr-FR"/>
        </w:rPr>
        <w:t>’</w:t>
      </w:r>
      <w:r w:rsidRPr="0016157A">
        <w:rPr>
          <w:lang w:val="fr-FR"/>
        </w:rPr>
        <w:t>inviter le TWV à réviser les principes directeurs d</w:t>
      </w:r>
      <w:r w:rsidR="00B4091E">
        <w:rPr>
          <w:lang w:val="fr-FR"/>
        </w:rPr>
        <w:t>’</w:t>
      </w:r>
      <w:r w:rsidRPr="0016157A">
        <w:rPr>
          <w:lang w:val="fr-FR"/>
        </w:rPr>
        <w:t>examen pour le brocoli pour accepter l</w:t>
      </w:r>
      <w:r w:rsidR="00B4091E">
        <w:rPr>
          <w:lang w:val="fr-FR"/>
        </w:rPr>
        <w:t>’</w:t>
      </w:r>
      <w:r w:rsidRPr="0016157A">
        <w:rPr>
          <w:lang w:val="fr-FR"/>
        </w:rPr>
        <w:t>utilisation de toute autre méthode d</w:t>
      </w:r>
      <w:r w:rsidR="00B4091E">
        <w:rPr>
          <w:lang w:val="fr-FR"/>
        </w:rPr>
        <w:t>’</w:t>
      </w:r>
      <w:r w:rsidRPr="0016157A">
        <w:rPr>
          <w:lang w:val="fr-FR"/>
        </w:rPr>
        <w:t>examen pour tester la stérilité mâle dans le cadre d</w:t>
      </w:r>
      <w:r w:rsidR="00B4091E">
        <w:rPr>
          <w:lang w:val="fr-FR"/>
        </w:rPr>
        <w:t>’</w:t>
      </w:r>
      <w:r w:rsidRPr="0016157A">
        <w:rPr>
          <w:lang w:val="fr-FR"/>
        </w:rPr>
        <w:t>un test avec marqueurs d</w:t>
      </w:r>
      <w:r w:rsidR="00B4091E">
        <w:rPr>
          <w:lang w:val="fr-FR"/>
        </w:rPr>
        <w:t>’</w:t>
      </w:r>
      <w:r w:rsidRPr="0016157A">
        <w:rPr>
          <w:lang w:val="fr-FR"/>
        </w:rPr>
        <w:t>ADN, y compris les marqueurs alternatifs pour les tests avec marqueurs d</w:t>
      </w:r>
      <w:r w:rsidR="00B4091E">
        <w:rPr>
          <w:lang w:val="fr-FR"/>
        </w:rPr>
        <w:t>’</w:t>
      </w:r>
      <w:r w:rsidRPr="0016157A">
        <w:rPr>
          <w:lang w:val="fr-FR"/>
        </w:rPr>
        <w:t>ADN, après validation par les services d</w:t>
      </w:r>
      <w:r w:rsidR="00B4091E">
        <w:rPr>
          <w:lang w:val="fr-FR"/>
        </w:rPr>
        <w:t>’</w:t>
      </w:r>
      <w:r w:rsidRPr="0016157A">
        <w:rPr>
          <w:lang w:val="fr-FR"/>
        </w:rPr>
        <w:t>examen des membres de l</w:t>
      </w:r>
      <w:r w:rsidR="00B4091E">
        <w:rPr>
          <w:lang w:val="fr-FR"/>
        </w:rPr>
        <w:t>’</w:t>
      </w:r>
      <w:r w:rsidRPr="0016157A">
        <w:rPr>
          <w:lang w:val="fr-FR"/>
        </w:rPr>
        <w:t>UPOV.</w:t>
      </w:r>
    </w:p>
    <w:p w:rsidR="00EA3338" w:rsidRPr="0016157A" w:rsidRDefault="00EA3338" w:rsidP="00EA3338">
      <w:pPr>
        <w:tabs>
          <w:tab w:val="left" w:pos="567"/>
          <w:tab w:val="left" w:pos="1134"/>
          <w:tab w:val="left" w:pos="1701"/>
          <w:tab w:val="left" w:pos="5387"/>
          <w:tab w:val="left" w:pos="5954"/>
        </w:tabs>
        <w:ind w:firstLine="567"/>
        <w:rPr>
          <w:sz w:val="16"/>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g)</w:t>
      </w:r>
      <w:r w:rsidRPr="0016157A">
        <w:rPr>
          <w:lang w:val="fr-FR"/>
        </w:rPr>
        <w:tab/>
        <w:t>examiner une situation dans laquelle les caractères figurant dans les principes directeurs d</w:t>
      </w:r>
      <w:r w:rsidR="00B4091E">
        <w:rPr>
          <w:lang w:val="fr-FR"/>
        </w:rPr>
        <w:t>’</w:t>
      </w:r>
      <w:r w:rsidRPr="0016157A">
        <w:rPr>
          <w:lang w:val="fr-FR"/>
        </w:rPr>
        <w:t>examen ne remplissent pas les conditions énoncées dans le document TGP/7;</w:t>
      </w:r>
    </w:p>
    <w:p w:rsidR="00EA3338" w:rsidRPr="0016157A" w:rsidRDefault="00EA3338" w:rsidP="00EA3338">
      <w:pPr>
        <w:tabs>
          <w:tab w:val="left" w:pos="567"/>
          <w:tab w:val="left" w:pos="1134"/>
          <w:tab w:val="left" w:pos="1701"/>
          <w:tab w:val="left" w:pos="5387"/>
          <w:tab w:val="left" w:pos="5954"/>
        </w:tabs>
        <w:ind w:firstLine="567"/>
        <w:rPr>
          <w:sz w:val="16"/>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h)</w:t>
      </w:r>
      <w:r w:rsidRPr="0016157A">
        <w:rPr>
          <w:lang w:val="fr-FR"/>
        </w:rPr>
        <w:tab/>
        <w:t>examiner s</w:t>
      </w:r>
      <w:r w:rsidR="00B4091E">
        <w:rPr>
          <w:lang w:val="fr-FR"/>
        </w:rPr>
        <w:t>’</w:t>
      </w:r>
      <w:r w:rsidRPr="0016157A">
        <w:rPr>
          <w:lang w:val="fr-FR"/>
        </w:rPr>
        <w:t>il convient d</w:t>
      </w:r>
      <w:r w:rsidR="00B4091E">
        <w:rPr>
          <w:lang w:val="fr-FR"/>
        </w:rPr>
        <w:t>’</w:t>
      </w:r>
      <w:r w:rsidRPr="0016157A">
        <w:rPr>
          <w:lang w:val="fr-FR"/>
        </w:rPr>
        <w:t>inviter les TWP à élaborer des conseils supplémentaires pour l</w:t>
      </w:r>
      <w:r w:rsidR="00B4091E">
        <w:rPr>
          <w:lang w:val="fr-FR"/>
        </w:rPr>
        <w:t>’</w:t>
      </w:r>
      <w:r w:rsidRPr="0016157A">
        <w:rPr>
          <w:lang w:val="fr-FR"/>
        </w:rPr>
        <w:t>élaboration d</w:t>
      </w:r>
      <w:r w:rsidR="00B4091E">
        <w:rPr>
          <w:lang w:val="fr-FR"/>
        </w:rPr>
        <w:t>’</w:t>
      </w:r>
      <w:r w:rsidRPr="0016157A">
        <w:rPr>
          <w:lang w:val="fr-FR"/>
        </w:rPr>
        <w:t>explications des caractères de résistance aux maladies dans les principes directeurs d</w:t>
      </w:r>
      <w:r w:rsidR="00B4091E">
        <w:rPr>
          <w:lang w:val="fr-FR"/>
        </w:rPr>
        <w:t>’</w:t>
      </w:r>
      <w:r w:rsidRPr="0016157A">
        <w:rPr>
          <w:lang w:val="fr-FR"/>
        </w:rPr>
        <w:t xml:space="preserve">examen utilisant le protocole type de résistance fourni dans le document TGP/12 </w:t>
      </w:r>
      <w:r w:rsidR="00B4091E">
        <w:rPr>
          <w:lang w:val="fr-FR"/>
        </w:rPr>
        <w:t>“</w:t>
      </w:r>
      <w:r w:rsidRPr="0016157A">
        <w:rPr>
          <w:lang w:val="fr-FR"/>
        </w:rPr>
        <w:t>Conseils en ce qui concerne certains caractères physiologiques</w:t>
      </w:r>
      <w:r w:rsidR="00B4091E">
        <w:rPr>
          <w:lang w:val="fr-FR"/>
        </w:rPr>
        <w:t>”</w:t>
      </w:r>
      <w:r w:rsidRPr="0016157A">
        <w:rPr>
          <w:lang w:val="fr-FR"/>
        </w:rPr>
        <w:t>, y compris les éléments qui ne doivent pas obligatoirement être inclus;</w:t>
      </w:r>
    </w:p>
    <w:p w:rsidR="00EA3338" w:rsidRPr="0016157A" w:rsidRDefault="00EA3338" w:rsidP="00EA3338">
      <w:pPr>
        <w:tabs>
          <w:tab w:val="left" w:pos="567"/>
          <w:tab w:val="left" w:pos="1134"/>
          <w:tab w:val="left" w:pos="1701"/>
          <w:tab w:val="left" w:pos="5387"/>
          <w:tab w:val="left" w:pos="5954"/>
        </w:tabs>
        <w:ind w:firstLine="567"/>
        <w:rPr>
          <w:sz w:val="16"/>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i)</w:t>
      </w:r>
      <w:r w:rsidRPr="0016157A">
        <w:rPr>
          <w:lang w:val="fr-FR"/>
        </w:rPr>
        <w:tab/>
        <w:t>examiner s</w:t>
      </w:r>
      <w:r w:rsidR="00B4091E">
        <w:rPr>
          <w:lang w:val="fr-FR"/>
        </w:rPr>
        <w:t>’</w:t>
      </w:r>
      <w:r w:rsidRPr="0016157A">
        <w:rPr>
          <w:lang w:val="fr-FR"/>
        </w:rPr>
        <w:t>il convient de demander au Bureau de l</w:t>
      </w:r>
      <w:r w:rsidR="00B4091E">
        <w:rPr>
          <w:lang w:val="fr-FR"/>
        </w:rPr>
        <w:t>’</w:t>
      </w:r>
      <w:r w:rsidRPr="0016157A">
        <w:rPr>
          <w:lang w:val="fr-FR"/>
        </w:rPr>
        <w:t>Union et aux experts compétents de dispenser aux TWP intéressés une formation sur les explications des caractères de résistance aux maladies dans les principes directeurs;  et</w:t>
      </w:r>
    </w:p>
    <w:p w:rsidR="00EA3338" w:rsidRPr="0016157A" w:rsidRDefault="00EA3338" w:rsidP="00EA3338">
      <w:pPr>
        <w:tabs>
          <w:tab w:val="left" w:pos="567"/>
          <w:tab w:val="left" w:pos="1134"/>
          <w:tab w:val="left" w:pos="1701"/>
          <w:tab w:val="left" w:pos="5387"/>
          <w:tab w:val="left" w:pos="5954"/>
        </w:tabs>
        <w:ind w:firstLine="567"/>
        <w:rPr>
          <w:sz w:val="16"/>
          <w:lang w:val="fr-FR"/>
        </w:rPr>
      </w:pPr>
    </w:p>
    <w:p w:rsidR="00EA3338" w:rsidRPr="0016157A" w:rsidRDefault="00EA3338" w:rsidP="00EA3338">
      <w:pPr>
        <w:tabs>
          <w:tab w:val="left" w:pos="567"/>
          <w:tab w:val="left" w:pos="1134"/>
          <w:tab w:val="left" w:pos="1701"/>
          <w:tab w:val="left" w:pos="5387"/>
          <w:tab w:val="left" w:pos="5954"/>
        </w:tabs>
        <w:ind w:firstLine="567"/>
        <w:rPr>
          <w:lang w:val="fr-FR"/>
        </w:rPr>
      </w:pPr>
      <w:r w:rsidRPr="0016157A">
        <w:rPr>
          <w:lang w:val="fr-FR"/>
        </w:rPr>
        <w:t>j)</w:t>
      </w:r>
      <w:r w:rsidRPr="0016157A">
        <w:rPr>
          <w:lang w:val="fr-FR"/>
        </w:rPr>
        <w:tab/>
        <w:t>examiner le programme d</w:t>
      </w:r>
      <w:r w:rsidR="00B4091E">
        <w:rPr>
          <w:lang w:val="fr-FR"/>
        </w:rPr>
        <w:t>’</w:t>
      </w:r>
      <w:r w:rsidRPr="0016157A">
        <w:rPr>
          <w:lang w:val="fr-FR"/>
        </w:rPr>
        <w:t>élaboration des documents TGP, qui figure à l</w:t>
      </w:r>
      <w:r w:rsidR="00B4091E">
        <w:rPr>
          <w:lang w:val="fr-FR"/>
        </w:rPr>
        <w:t>’</w:t>
      </w:r>
      <w:r w:rsidRPr="0016157A">
        <w:rPr>
          <w:lang w:val="fr-FR"/>
        </w:rPr>
        <w:t>annexe IV du présent document.</w:t>
      </w:r>
    </w:p>
    <w:p w:rsidR="00EA3338" w:rsidRPr="0016157A" w:rsidRDefault="00EA3338" w:rsidP="00C249E4">
      <w:pPr>
        <w:rPr>
          <w:rFonts w:cs="Arial"/>
          <w:lang w:val="fr-FR"/>
        </w:rPr>
      </w:pPr>
      <w:r w:rsidRPr="0016157A">
        <w:rPr>
          <w:rFonts w:cs="Arial"/>
          <w:lang w:val="fr-FR"/>
        </w:rPr>
        <w:lastRenderedPageBreak/>
        <w:fldChar w:fldCharType="begin"/>
      </w:r>
      <w:r w:rsidRPr="0016157A">
        <w:rPr>
          <w:rFonts w:cs="Arial"/>
          <w:lang w:val="fr-FR"/>
        </w:rPr>
        <w:instrText xml:space="preserve"> AUTONUM  </w:instrText>
      </w:r>
      <w:r w:rsidRPr="0016157A">
        <w:rPr>
          <w:rFonts w:cs="Arial"/>
          <w:lang w:val="fr-FR"/>
        </w:rPr>
        <w:fldChar w:fldCharType="end"/>
      </w:r>
      <w:r w:rsidRPr="0016157A">
        <w:rPr>
          <w:rFonts w:cs="Arial"/>
          <w:lang w:val="fr-FR"/>
        </w:rPr>
        <w:tab/>
        <w:t>Le présent document est structuré comme suit :</w:t>
      </w:r>
    </w:p>
    <w:p w:rsidR="00EA3338" w:rsidRPr="00C60F0D" w:rsidRDefault="00EA3338" w:rsidP="00C249E4">
      <w:pPr>
        <w:rPr>
          <w:rFonts w:cs="Arial"/>
          <w:sz w:val="8"/>
          <w:lang w:val="fr-FR"/>
        </w:rPr>
      </w:pPr>
    </w:p>
    <w:p w:rsidR="007E18E6" w:rsidRDefault="00EA3338">
      <w:pPr>
        <w:pStyle w:val="TOC1"/>
        <w:rPr>
          <w:rFonts w:asciiTheme="minorHAnsi" w:eastAsiaTheme="minorEastAsia" w:hAnsiTheme="minorHAnsi" w:cstheme="minorBidi"/>
          <w:bCs w:val="0"/>
          <w:caps w:val="0"/>
          <w:sz w:val="22"/>
          <w:szCs w:val="22"/>
        </w:rPr>
      </w:pPr>
      <w:r w:rsidRPr="0016157A">
        <w:rPr>
          <w:snapToGrid w:val="0"/>
          <w:highlight w:val="cyan"/>
          <w:lang w:val="fr-FR"/>
        </w:rPr>
        <w:fldChar w:fldCharType="begin"/>
      </w:r>
      <w:r w:rsidRPr="0016157A">
        <w:rPr>
          <w:snapToGrid w:val="0"/>
          <w:highlight w:val="cyan"/>
          <w:lang w:val="fr-FR"/>
        </w:rPr>
        <w:instrText xml:space="preserve"> TOC \o "1-4" \h \z \u </w:instrText>
      </w:r>
      <w:r w:rsidRPr="0016157A">
        <w:rPr>
          <w:snapToGrid w:val="0"/>
          <w:highlight w:val="cyan"/>
          <w:lang w:val="fr-FR"/>
        </w:rPr>
        <w:fldChar w:fldCharType="separate"/>
      </w:r>
      <w:hyperlink w:anchor="_Toc521492790" w:history="1">
        <w:r w:rsidR="007E18E6" w:rsidRPr="00880F12">
          <w:rPr>
            <w:rStyle w:val="Hyperlink"/>
            <w:lang w:val="fr-FR"/>
          </w:rPr>
          <w:t>RÉSUMÉ</w:t>
        </w:r>
        <w:r w:rsidR="007E18E6">
          <w:rPr>
            <w:webHidden/>
          </w:rPr>
          <w:tab/>
        </w:r>
        <w:r w:rsidR="007E18E6">
          <w:rPr>
            <w:webHidden/>
          </w:rPr>
          <w:fldChar w:fldCharType="begin"/>
        </w:r>
        <w:r w:rsidR="007E18E6">
          <w:rPr>
            <w:webHidden/>
          </w:rPr>
          <w:instrText xml:space="preserve"> PAGEREF _Toc521492790 \h </w:instrText>
        </w:r>
        <w:r w:rsidR="007E18E6">
          <w:rPr>
            <w:webHidden/>
          </w:rPr>
        </w:r>
        <w:r w:rsidR="007E18E6">
          <w:rPr>
            <w:webHidden/>
          </w:rPr>
          <w:fldChar w:fldCharType="separate"/>
        </w:r>
        <w:r w:rsidR="007E18E6">
          <w:rPr>
            <w:webHidden/>
          </w:rPr>
          <w:t>1</w:t>
        </w:r>
        <w:r w:rsidR="007E18E6">
          <w:rPr>
            <w:webHidden/>
          </w:rPr>
          <w:fldChar w:fldCharType="end"/>
        </w:r>
      </w:hyperlink>
    </w:p>
    <w:p w:rsidR="007E18E6" w:rsidRDefault="008D1C5B">
      <w:pPr>
        <w:pStyle w:val="TOC1"/>
        <w:rPr>
          <w:rFonts w:asciiTheme="minorHAnsi" w:eastAsiaTheme="minorEastAsia" w:hAnsiTheme="minorHAnsi" w:cstheme="minorBidi"/>
          <w:bCs w:val="0"/>
          <w:caps w:val="0"/>
          <w:sz w:val="22"/>
          <w:szCs w:val="22"/>
        </w:rPr>
      </w:pPr>
      <w:hyperlink w:anchor="_Toc521492791" w:history="1">
        <w:r w:rsidR="007E18E6" w:rsidRPr="00880F12">
          <w:rPr>
            <w:rStyle w:val="Hyperlink"/>
            <w:lang w:val="fr-FR"/>
          </w:rPr>
          <w:t>Rappel</w:t>
        </w:r>
        <w:r w:rsidR="007E18E6">
          <w:rPr>
            <w:webHidden/>
          </w:rPr>
          <w:tab/>
        </w:r>
        <w:r w:rsidR="007E18E6">
          <w:rPr>
            <w:webHidden/>
          </w:rPr>
          <w:fldChar w:fldCharType="begin"/>
        </w:r>
        <w:r w:rsidR="007E18E6">
          <w:rPr>
            <w:webHidden/>
          </w:rPr>
          <w:instrText xml:space="preserve"> PAGEREF _Toc521492791 \h </w:instrText>
        </w:r>
        <w:r w:rsidR="007E18E6">
          <w:rPr>
            <w:webHidden/>
          </w:rPr>
        </w:r>
        <w:r w:rsidR="007E18E6">
          <w:rPr>
            <w:webHidden/>
          </w:rPr>
          <w:fldChar w:fldCharType="separate"/>
        </w:r>
        <w:r w:rsidR="007E18E6">
          <w:rPr>
            <w:webHidden/>
          </w:rPr>
          <w:t>3</w:t>
        </w:r>
        <w:r w:rsidR="007E18E6">
          <w:rPr>
            <w:webHidden/>
          </w:rPr>
          <w:fldChar w:fldCharType="end"/>
        </w:r>
      </w:hyperlink>
    </w:p>
    <w:p w:rsidR="007E18E6" w:rsidRDefault="008D1C5B">
      <w:pPr>
        <w:pStyle w:val="TOC1"/>
        <w:rPr>
          <w:rFonts w:asciiTheme="minorHAnsi" w:eastAsiaTheme="minorEastAsia" w:hAnsiTheme="minorHAnsi" w:cstheme="minorBidi"/>
          <w:bCs w:val="0"/>
          <w:caps w:val="0"/>
          <w:sz w:val="22"/>
          <w:szCs w:val="22"/>
        </w:rPr>
      </w:pPr>
      <w:hyperlink w:anchor="_Toc521492792" w:history="1">
        <w:r w:rsidR="007E18E6" w:rsidRPr="00880F12">
          <w:rPr>
            <w:rStyle w:val="Hyperlink"/>
            <w:lang w:val="fr-FR"/>
          </w:rPr>
          <w:t>QUESTIONS POUR ADOPTION PAR LE CONSEIL EN 2018</w:t>
        </w:r>
        <w:r w:rsidR="007E18E6">
          <w:rPr>
            <w:webHidden/>
          </w:rPr>
          <w:tab/>
        </w:r>
        <w:r w:rsidR="007E18E6">
          <w:rPr>
            <w:webHidden/>
          </w:rPr>
          <w:fldChar w:fldCharType="begin"/>
        </w:r>
        <w:r w:rsidR="007E18E6">
          <w:rPr>
            <w:webHidden/>
          </w:rPr>
          <w:instrText xml:space="preserve"> PAGEREF _Toc521492792 \h </w:instrText>
        </w:r>
        <w:r w:rsidR="007E18E6">
          <w:rPr>
            <w:webHidden/>
          </w:rPr>
        </w:r>
        <w:r w:rsidR="007E18E6">
          <w:rPr>
            <w:webHidden/>
          </w:rPr>
          <w:fldChar w:fldCharType="separate"/>
        </w:r>
        <w:r w:rsidR="007E18E6">
          <w:rPr>
            <w:webHidden/>
          </w:rPr>
          <w:t>3</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793" w:history="1">
        <w:r w:rsidR="007E18E6" w:rsidRPr="00880F12">
          <w:rPr>
            <w:rStyle w:val="Hyperlink"/>
          </w:rPr>
          <w:t>Questions précédemment approuvées par le Comité technique</w:t>
        </w:r>
        <w:r w:rsidR="007E18E6">
          <w:rPr>
            <w:webHidden/>
          </w:rPr>
          <w:tab/>
        </w:r>
        <w:r w:rsidR="007E18E6">
          <w:rPr>
            <w:webHidden/>
          </w:rPr>
          <w:fldChar w:fldCharType="begin"/>
        </w:r>
        <w:r w:rsidR="007E18E6">
          <w:rPr>
            <w:webHidden/>
          </w:rPr>
          <w:instrText xml:space="preserve"> PAGEREF _Toc521492793 \h </w:instrText>
        </w:r>
        <w:r w:rsidR="007E18E6">
          <w:rPr>
            <w:webHidden/>
          </w:rPr>
        </w:r>
        <w:r w:rsidR="007E18E6">
          <w:rPr>
            <w:webHidden/>
          </w:rPr>
          <w:fldChar w:fldCharType="separate"/>
        </w:r>
        <w:r w:rsidR="007E18E6">
          <w:rPr>
            <w:webHidden/>
          </w:rPr>
          <w:t>3</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794" w:history="1">
        <w:r w:rsidR="007E18E6" w:rsidRPr="00880F12">
          <w:rPr>
            <w:rStyle w:val="Hyperlink"/>
            <w:lang w:val="fr-FR"/>
          </w:rPr>
          <w:t>TGP/7 : Élaboration des principes directeurs d</w:t>
        </w:r>
        <w:r w:rsidR="00B4091E">
          <w:rPr>
            <w:rStyle w:val="Hyperlink"/>
            <w:lang w:val="fr-FR"/>
          </w:rPr>
          <w:t>’</w:t>
        </w:r>
        <w:r w:rsidR="007E18E6" w:rsidRPr="00880F12">
          <w:rPr>
            <w:rStyle w:val="Hyperlink"/>
            <w:lang w:val="fr-FR"/>
          </w:rPr>
          <w:t>examen</w:t>
        </w:r>
        <w:r w:rsidR="007E18E6">
          <w:rPr>
            <w:webHidden/>
          </w:rPr>
          <w:tab/>
        </w:r>
        <w:r w:rsidR="007E18E6">
          <w:rPr>
            <w:webHidden/>
          </w:rPr>
          <w:fldChar w:fldCharType="begin"/>
        </w:r>
        <w:r w:rsidR="007E18E6">
          <w:rPr>
            <w:webHidden/>
          </w:rPr>
          <w:instrText xml:space="preserve"> PAGEREF _Toc521492794 \h </w:instrText>
        </w:r>
        <w:r w:rsidR="007E18E6">
          <w:rPr>
            <w:webHidden/>
          </w:rPr>
        </w:r>
        <w:r w:rsidR="007E18E6">
          <w:rPr>
            <w:webHidden/>
          </w:rPr>
          <w:fldChar w:fldCharType="separate"/>
        </w:r>
        <w:r w:rsidR="007E18E6">
          <w:rPr>
            <w:webHidden/>
          </w:rPr>
          <w:t>3</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795" w:history="1">
        <w:r w:rsidR="007E18E6" w:rsidRPr="00880F12">
          <w:rPr>
            <w:rStyle w:val="Hyperlink"/>
          </w:rPr>
          <w:t>i)</w:t>
        </w:r>
        <w:r w:rsidR="007E18E6">
          <w:rPr>
            <w:rFonts w:asciiTheme="minorHAnsi" w:eastAsiaTheme="minorEastAsia" w:hAnsiTheme="minorHAnsi" w:cstheme="minorBidi"/>
            <w:i w:val="0"/>
            <w:sz w:val="22"/>
            <w:szCs w:val="22"/>
            <w:lang w:val="en-US"/>
          </w:rPr>
          <w:tab/>
        </w:r>
        <w:r w:rsidR="007E18E6" w:rsidRPr="00880F12">
          <w:rPr>
            <w:rStyle w:val="Hyperlink"/>
          </w:rPr>
          <w:t>Matériel pour les rédacteurs de principes directeurs d</w:t>
        </w:r>
        <w:r w:rsidR="00B4091E">
          <w:rPr>
            <w:rStyle w:val="Hyperlink"/>
          </w:rPr>
          <w:t>’</w:t>
        </w:r>
        <w:r w:rsidR="007E18E6" w:rsidRPr="00880F12">
          <w:rPr>
            <w:rStyle w:val="Hyperlink"/>
          </w:rPr>
          <w:t>examen</w:t>
        </w:r>
        <w:r w:rsidR="007E18E6">
          <w:rPr>
            <w:webHidden/>
          </w:rPr>
          <w:tab/>
        </w:r>
        <w:r w:rsidR="007E18E6">
          <w:rPr>
            <w:webHidden/>
          </w:rPr>
          <w:fldChar w:fldCharType="begin"/>
        </w:r>
        <w:r w:rsidR="007E18E6">
          <w:rPr>
            <w:webHidden/>
          </w:rPr>
          <w:instrText xml:space="preserve"> PAGEREF _Toc521492795 \h </w:instrText>
        </w:r>
        <w:r w:rsidR="007E18E6">
          <w:rPr>
            <w:webHidden/>
          </w:rPr>
        </w:r>
        <w:r w:rsidR="007E18E6">
          <w:rPr>
            <w:webHidden/>
          </w:rPr>
          <w:fldChar w:fldCharType="separate"/>
        </w:r>
        <w:r w:rsidR="007E18E6">
          <w:rPr>
            <w:webHidden/>
          </w:rPr>
          <w:t>3</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796" w:history="1">
        <w:r w:rsidR="007E18E6" w:rsidRPr="00880F12">
          <w:rPr>
            <w:rStyle w:val="Hyperlink"/>
          </w:rPr>
          <w:t>ii)</w:t>
        </w:r>
        <w:r w:rsidR="007E18E6">
          <w:rPr>
            <w:rFonts w:asciiTheme="minorHAnsi" w:eastAsiaTheme="minorEastAsia" w:hAnsiTheme="minorHAnsi" w:cstheme="minorBidi"/>
            <w:i w:val="0"/>
            <w:sz w:val="22"/>
            <w:szCs w:val="22"/>
            <w:lang w:val="en-US"/>
          </w:rPr>
          <w:tab/>
        </w:r>
        <w:r w:rsidR="007E18E6" w:rsidRPr="00880F12">
          <w:rPr>
            <w:rStyle w:val="Hyperlink"/>
          </w:rPr>
          <w:t>Présentation de différents types d</w:t>
        </w:r>
        <w:r w:rsidR="00B4091E">
          <w:rPr>
            <w:rStyle w:val="Hyperlink"/>
          </w:rPr>
          <w:t>’</w:t>
        </w:r>
        <w:r w:rsidR="007E18E6" w:rsidRPr="00880F12">
          <w:rPr>
            <w:rStyle w:val="Hyperlink"/>
          </w:rPr>
          <w:t>exemples de variétés</w:t>
        </w:r>
        <w:r w:rsidR="007E18E6">
          <w:rPr>
            <w:webHidden/>
          </w:rPr>
          <w:tab/>
        </w:r>
        <w:r w:rsidR="007E18E6">
          <w:rPr>
            <w:webHidden/>
          </w:rPr>
          <w:fldChar w:fldCharType="begin"/>
        </w:r>
        <w:r w:rsidR="007E18E6">
          <w:rPr>
            <w:webHidden/>
          </w:rPr>
          <w:instrText xml:space="preserve"> PAGEREF _Toc521492796 \h </w:instrText>
        </w:r>
        <w:r w:rsidR="007E18E6">
          <w:rPr>
            <w:webHidden/>
          </w:rPr>
        </w:r>
        <w:r w:rsidR="007E18E6">
          <w:rPr>
            <w:webHidden/>
          </w:rPr>
          <w:fldChar w:fldCharType="separate"/>
        </w:r>
        <w:r w:rsidR="007E18E6">
          <w:rPr>
            <w:webHidden/>
          </w:rPr>
          <w:t>4</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797" w:history="1">
        <w:r w:rsidR="007E18E6" w:rsidRPr="00880F12">
          <w:rPr>
            <w:rStyle w:val="Hyperlink"/>
          </w:rPr>
          <w:t>Questions devant être examinées par le Comité technique</w:t>
        </w:r>
        <w:r w:rsidR="007E18E6">
          <w:rPr>
            <w:webHidden/>
          </w:rPr>
          <w:tab/>
        </w:r>
        <w:r w:rsidR="007E18E6">
          <w:rPr>
            <w:webHidden/>
          </w:rPr>
          <w:fldChar w:fldCharType="begin"/>
        </w:r>
        <w:r w:rsidR="007E18E6">
          <w:rPr>
            <w:webHidden/>
          </w:rPr>
          <w:instrText xml:space="preserve"> PAGEREF _Toc521492797 \h </w:instrText>
        </w:r>
        <w:r w:rsidR="007E18E6">
          <w:rPr>
            <w:webHidden/>
          </w:rPr>
        </w:r>
        <w:r w:rsidR="007E18E6">
          <w:rPr>
            <w:webHidden/>
          </w:rPr>
          <w:fldChar w:fldCharType="separate"/>
        </w:r>
        <w:r w:rsidR="007E18E6">
          <w:rPr>
            <w:webHidden/>
          </w:rPr>
          <w:t>4</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798" w:history="1">
        <w:r w:rsidR="007E18E6" w:rsidRPr="00880F12">
          <w:rPr>
            <w:rStyle w:val="Hyperlink"/>
          </w:rPr>
          <w:t xml:space="preserve">TGP/5 : Section 1 : </w:t>
        </w:r>
        <w:r w:rsidR="00B4091E">
          <w:rPr>
            <w:rStyle w:val="Hyperlink"/>
          </w:rPr>
          <w:t>“</w:t>
        </w:r>
        <w:r w:rsidR="007E18E6" w:rsidRPr="00880F12">
          <w:rPr>
            <w:rStyle w:val="Hyperlink"/>
          </w:rPr>
          <w:t>Accord administratif type pour la coopération internationale en matière d</w:t>
        </w:r>
        <w:r w:rsidR="00B4091E">
          <w:rPr>
            <w:rStyle w:val="Hyperlink"/>
          </w:rPr>
          <w:t>’</w:t>
        </w:r>
        <w:r w:rsidR="007E18E6" w:rsidRPr="00880F12">
          <w:rPr>
            <w:rStyle w:val="Hyperlink"/>
          </w:rPr>
          <w:t>examen de variétés</w:t>
        </w:r>
        <w:r w:rsidR="00B4091E">
          <w:rPr>
            <w:rStyle w:val="Hyperlink"/>
          </w:rPr>
          <w:t>”</w:t>
        </w:r>
        <w:r w:rsidR="007E18E6">
          <w:rPr>
            <w:webHidden/>
          </w:rPr>
          <w:tab/>
        </w:r>
        <w:r w:rsidR="007E18E6">
          <w:rPr>
            <w:webHidden/>
          </w:rPr>
          <w:fldChar w:fldCharType="begin"/>
        </w:r>
        <w:r w:rsidR="007E18E6">
          <w:rPr>
            <w:webHidden/>
          </w:rPr>
          <w:instrText xml:space="preserve"> PAGEREF _Toc521492798 \h </w:instrText>
        </w:r>
        <w:r w:rsidR="007E18E6">
          <w:rPr>
            <w:webHidden/>
          </w:rPr>
        </w:r>
        <w:r w:rsidR="007E18E6">
          <w:rPr>
            <w:webHidden/>
          </w:rPr>
          <w:fldChar w:fldCharType="separate"/>
        </w:r>
        <w:r w:rsidR="007E18E6">
          <w:rPr>
            <w:webHidden/>
          </w:rPr>
          <w:t>4</w:t>
        </w:r>
        <w:r w:rsidR="007E18E6">
          <w:rPr>
            <w:webHidden/>
          </w:rPr>
          <w:fldChar w:fldCharType="end"/>
        </w:r>
      </w:hyperlink>
    </w:p>
    <w:p w:rsidR="007E18E6" w:rsidRDefault="008D1C5B">
      <w:pPr>
        <w:pStyle w:val="TOC1"/>
        <w:rPr>
          <w:rFonts w:asciiTheme="minorHAnsi" w:eastAsiaTheme="minorEastAsia" w:hAnsiTheme="minorHAnsi" w:cstheme="minorBidi"/>
          <w:bCs w:val="0"/>
          <w:caps w:val="0"/>
          <w:sz w:val="22"/>
          <w:szCs w:val="22"/>
        </w:rPr>
      </w:pPr>
      <w:hyperlink w:anchor="_Toc521492799" w:history="1">
        <w:r w:rsidR="007E18E6" w:rsidRPr="00880F12">
          <w:rPr>
            <w:rStyle w:val="Hyperlink"/>
            <w:lang w:val="fr-FR"/>
          </w:rPr>
          <w:t>FUTURES RÉVISIONS DES DOCUMENTS TGP</w:t>
        </w:r>
        <w:r w:rsidR="007E18E6">
          <w:rPr>
            <w:webHidden/>
          </w:rPr>
          <w:tab/>
        </w:r>
        <w:r w:rsidR="007E18E6">
          <w:rPr>
            <w:webHidden/>
          </w:rPr>
          <w:fldChar w:fldCharType="begin"/>
        </w:r>
        <w:r w:rsidR="007E18E6">
          <w:rPr>
            <w:webHidden/>
          </w:rPr>
          <w:instrText xml:space="preserve"> PAGEREF _Toc521492799 \h </w:instrText>
        </w:r>
        <w:r w:rsidR="007E18E6">
          <w:rPr>
            <w:webHidden/>
          </w:rPr>
        </w:r>
        <w:r w:rsidR="007E18E6">
          <w:rPr>
            <w:webHidden/>
          </w:rPr>
          <w:fldChar w:fldCharType="separate"/>
        </w:r>
        <w:r w:rsidR="007E18E6">
          <w:rPr>
            <w:webHidden/>
          </w:rPr>
          <w:t>5</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800" w:history="1">
        <w:r w:rsidR="007E18E6" w:rsidRPr="00880F12">
          <w:rPr>
            <w:rStyle w:val="Hyperlink"/>
          </w:rPr>
          <w:t>Questions précédemment approuvées par le Comité technique</w:t>
        </w:r>
        <w:r w:rsidR="007E18E6">
          <w:rPr>
            <w:webHidden/>
          </w:rPr>
          <w:tab/>
        </w:r>
        <w:r w:rsidR="007E18E6">
          <w:rPr>
            <w:webHidden/>
          </w:rPr>
          <w:fldChar w:fldCharType="begin"/>
        </w:r>
        <w:r w:rsidR="007E18E6">
          <w:rPr>
            <w:webHidden/>
          </w:rPr>
          <w:instrText xml:space="preserve"> PAGEREF _Toc521492800 \h </w:instrText>
        </w:r>
        <w:r w:rsidR="007E18E6">
          <w:rPr>
            <w:webHidden/>
          </w:rPr>
        </w:r>
        <w:r w:rsidR="007E18E6">
          <w:rPr>
            <w:webHidden/>
          </w:rPr>
          <w:fldChar w:fldCharType="separate"/>
        </w:r>
        <w:r w:rsidR="007E18E6">
          <w:rPr>
            <w:webHidden/>
          </w:rPr>
          <w:t>5</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01" w:history="1">
        <w:r w:rsidR="007E18E6" w:rsidRPr="00880F12">
          <w:rPr>
            <w:rStyle w:val="Hyperlink"/>
            <w:lang w:val="fr-FR"/>
          </w:rPr>
          <w:t>TGP/8 : Protocole d</w:t>
        </w:r>
        <w:r w:rsidR="00B4091E">
          <w:rPr>
            <w:rStyle w:val="Hyperlink"/>
            <w:lang w:val="fr-FR"/>
          </w:rPr>
          <w:t>’</w:t>
        </w:r>
        <w:r w:rsidR="007E18E6" w:rsidRPr="00880F12">
          <w:rPr>
            <w:rStyle w:val="Hyperlink"/>
            <w:lang w:val="fr-FR"/>
          </w:rPr>
          <w:t>essai et techniques utilisés dans l</w:t>
        </w:r>
        <w:r w:rsidR="00B4091E">
          <w:rPr>
            <w:rStyle w:val="Hyperlink"/>
            <w:lang w:val="fr-FR"/>
          </w:rPr>
          <w:t>’</w:t>
        </w:r>
        <w:r w:rsidR="007E18E6" w:rsidRPr="00880F12">
          <w:rPr>
            <w:rStyle w:val="Hyperlink"/>
            <w:lang w:val="fr-FR"/>
          </w:rPr>
          <w:t>examen de la distinction, de l</w:t>
        </w:r>
        <w:r w:rsidR="00B4091E">
          <w:rPr>
            <w:rStyle w:val="Hyperlink"/>
            <w:lang w:val="fr-FR"/>
          </w:rPr>
          <w:t>’</w:t>
        </w:r>
        <w:r w:rsidR="007E18E6" w:rsidRPr="00880F12">
          <w:rPr>
            <w:rStyle w:val="Hyperlink"/>
            <w:lang w:val="fr-FR"/>
          </w:rPr>
          <w:t>homogénéité et de la stabilité</w:t>
        </w:r>
        <w:r w:rsidR="007E18E6">
          <w:rPr>
            <w:webHidden/>
          </w:rPr>
          <w:tab/>
        </w:r>
        <w:r w:rsidR="007E18E6">
          <w:rPr>
            <w:webHidden/>
          </w:rPr>
          <w:fldChar w:fldCharType="begin"/>
        </w:r>
        <w:r w:rsidR="007E18E6">
          <w:rPr>
            <w:webHidden/>
          </w:rPr>
          <w:instrText xml:space="preserve"> PAGEREF _Toc521492801 \h </w:instrText>
        </w:r>
        <w:r w:rsidR="007E18E6">
          <w:rPr>
            <w:webHidden/>
          </w:rPr>
        </w:r>
        <w:r w:rsidR="007E18E6">
          <w:rPr>
            <w:webHidden/>
          </w:rPr>
          <w:fldChar w:fldCharType="separate"/>
        </w:r>
        <w:r w:rsidR="007E18E6">
          <w:rPr>
            <w:webHidden/>
          </w:rPr>
          <w:t>5</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02" w:history="1">
        <w:r w:rsidR="007E18E6" w:rsidRPr="00880F12">
          <w:rPr>
            <w:rStyle w:val="Hyperlink"/>
          </w:rPr>
          <w:t>iii)</w:t>
        </w:r>
        <w:r w:rsidR="007E18E6">
          <w:rPr>
            <w:rFonts w:asciiTheme="minorHAnsi" w:eastAsiaTheme="minorEastAsia" w:hAnsiTheme="minorHAnsi" w:cstheme="minorBidi"/>
            <w:i w:val="0"/>
            <w:sz w:val="22"/>
            <w:szCs w:val="22"/>
            <w:lang w:val="en-US"/>
          </w:rPr>
          <w:tab/>
        </w:r>
        <w:r w:rsidR="007E18E6" w:rsidRPr="00880F12">
          <w:rPr>
            <w:rStyle w:val="Hyperlink"/>
          </w:rPr>
          <w:t>Examen DHS sur des Échantillons globaux</w:t>
        </w:r>
        <w:r w:rsidR="007E18E6">
          <w:rPr>
            <w:webHidden/>
          </w:rPr>
          <w:tab/>
        </w:r>
        <w:r w:rsidR="007E18E6">
          <w:rPr>
            <w:webHidden/>
          </w:rPr>
          <w:fldChar w:fldCharType="begin"/>
        </w:r>
        <w:r w:rsidR="007E18E6">
          <w:rPr>
            <w:webHidden/>
          </w:rPr>
          <w:instrText xml:space="preserve"> PAGEREF _Toc521492802 \h </w:instrText>
        </w:r>
        <w:r w:rsidR="007E18E6">
          <w:rPr>
            <w:webHidden/>
          </w:rPr>
        </w:r>
        <w:r w:rsidR="007E18E6">
          <w:rPr>
            <w:webHidden/>
          </w:rPr>
          <w:fldChar w:fldCharType="separate"/>
        </w:r>
        <w:r w:rsidR="007E18E6">
          <w:rPr>
            <w:webHidden/>
          </w:rPr>
          <w:t>5</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03" w:history="1">
        <w:r w:rsidR="007E18E6" w:rsidRPr="00880F12">
          <w:rPr>
            <w:rStyle w:val="Hyperlink"/>
          </w:rPr>
          <w:t>iv)</w:t>
        </w:r>
        <w:r w:rsidR="007E18E6">
          <w:rPr>
            <w:rFonts w:asciiTheme="minorHAnsi" w:eastAsiaTheme="minorEastAsia" w:hAnsiTheme="minorHAnsi" w:cstheme="minorBidi"/>
            <w:i w:val="0"/>
            <w:sz w:val="22"/>
            <w:szCs w:val="22"/>
            <w:lang w:val="en-US"/>
          </w:rPr>
          <w:tab/>
        </w:r>
        <w:r w:rsidR="007E18E6" w:rsidRPr="00880F12">
          <w:rPr>
            <w:rStyle w:val="Hyperlink"/>
          </w:rPr>
          <w:t>Illustration des caractères liés à la forme et au ratio</w:t>
        </w:r>
        <w:r w:rsidR="007E18E6">
          <w:rPr>
            <w:webHidden/>
          </w:rPr>
          <w:tab/>
        </w:r>
        <w:r w:rsidR="007E18E6">
          <w:rPr>
            <w:webHidden/>
          </w:rPr>
          <w:fldChar w:fldCharType="begin"/>
        </w:r>
        <w:r w:rsidR="007E18E6">
          <w:rPr>
            <w:webHidden/>
          </w:rPr>
          <w:instrText xml:space="preserve"> PAGEREF _Toc521492803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804" w:history="1">
        <w:r w:rsidR="007E18E6" w:rsidRPr="00880F12">
          <w:rPr>
            <w:rStyle w:val="Hyperlink"/>
          </w:rPr>
          <w:t>Questions devant être examinées par le Comité technique</w:t>
        </w:r>
        <w:r w:rsidR="007E18E6">
          <w:rPr>
            <w:webHidden/>
          </w:rPr>
          <w:tab/>
        </w:r>
        <w:r w:rsidR="007E18E6">
          <w:rPr>
            <w:webHidden/>
          </w:rPr>
          <w:fldChar w:fldCharType="begin"/>
        </w:r>
        <w:r w:rsidR="007E18E6">
          <w:rPr>
            <w:webHidden/>
          </w:rPr>
          <w:instrText xml:space="preserve"> PAGEREF _Toc521492804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05" w:history="1">
        <w:r w:rsidR="007E18E6" w:rsidRPr="00880F12">
          <w:rPr>
            <w:rStyle w:val="Hyperlink"/>
          </w:rPr>
          <w:t>TGP/7 : Élaboration des principes directeurs d</w:t>
        </w:r>
        <w:r w:rsidR="00B4091E">
          <w:rPr>
            <w:rStyle w:val="Hyperlink"/>
          </w:rPr>
          <w:t>’</w:t>
        </w:r>
        <w:r w:rsidR="007E18E6" w:rsidRPr="00880F12">
          <w:rPr>
            <w:rStyle w:val="Hyperlink"/>
          </w:rPr>
          <w:t>examen</w:t>
        </w:r>
        <w:r w:rsidR="007E18E6">
          <w:rPr>
            <w:webHidden/>
          </w:rPr>
          <w:tab/>
        </w:r>
        <w:r w:rsidR="007E18E6">
          <w:rPr>
            <w:webHidden/>
          </w:rPr>
          <w:fldChar w:fldCharType="begin"/>
        </w:r>
        <w:r w:rsidR="007E18E6">
          <w:rPr>
            <w:webHidden/>
          </w:rPr>
          <w:instrText xml:space="preserve"> PAGEREF _Toc521492805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06" w:history="1">
        <w:r w:rsidR="007E18E6" w:rsidRPr="00880F12">
          <w:rPr>
            <w:rStyle w:val="Hyperlink"/>
          </w:rPr>
          <w:t>i)</w:t>
        </w:r>
        <w:r w:rsidR="007E18E6">
          <w:rPr>
            <w:rFonts w:asciiTheme="minorHAnsi" w:eastAsiaTheme="minorEastAsia" w:hAnsiTheme="minorHAnsi" w:cstheme="minorBidi"/>
            <w:i w:val="0"/>
            <w:sz w:val="22"/>
            <w:szCs w:val="22"/>
            <w:lang w:val="en-US"/>
          </w:rPr>
          <w:tab/>
        </w:r>
        <w:r w:rsidR="007E18E6" w:rsidRPr="00880F12">
          <w:rPr>
            <w:rStyle w:val="Hyperlink"/>
          </w:rPr>
          <w:t>Durée de l</w:t>
        </w:r>
        <w:r w:rsidR="00B4091E">
          <w:rPr>
            <w:rStyle w:val="Hyperlink"/>
          </w:rPr>
          <w:t>’</w:t>
        </w:r>
        <w:r w:rsidR="007E18E6" w:rsidRPr="00880F12">
          <w:rPr>
            <w:rStyle w:val="Hyperlink"/>
          </w:rPr>
          <w:t>examen DHS</w:t>
        </w:r>
        <w:r w:rsidR="007E18E6">
          <w:rPr>
            <w:webHidden/>
          </w:rPr>
          <w:tab/>
        </w:r>
        <w:r w:rsidR="007E18E6">
          <w:rPr>
            <w:webHidden/>
          </w:rPr>
          <w:fldChar w:fldCharType="begin"/>
        </w:r>
        <w:r w:rsidR="007E18E6">
          <w:rPr>
            <w:webHidden/>
          </w:rPr>
          <w:instrText xml:space="preserve"> PAGEREF _Toc521492806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07" w:history="1">
        <w:r w:rsidR="007E18E6" w:rsidRPr="00880F12">
          <w:rPr>
            <w:rStyle w:val="Hyperlink"/>
          </w:rPr>
          <w:t>ii)</w:t>
        </w:r>
        <w:r w:rsidR="007E18E6">
          <w:rPr>
            <w:rFonts w:asciiTheme="minorHAnsi" w:eastAsiaTheme="minorEastAsia" w:hAnsiTheme="minorHAnsi" w:cstheme="minorBidi"/>
            <w:i w:val="0"/>
            <w:sz w:val="22"/>
            <w:szCs w:val="22"/>
            <w:lang w:val="en-US"/>
          </w:rPr>
          <w:tab/>
        </w:r>
        <w:r w:rsidR="007E18E6" w:rsidRPr="00880F12">
          <w:rPr>
            <w:rStyle w:val="Hyperlink"/>
          </w:rPr>
          <w:t>Caractères qui ne s</w:t>
        </w:r>
        <w:r w:rsidR="00B4091E">
          <w:rPr>
            <w:rStyle w:val="Hyperlink"/>
          </w:rPr>
          <w:t>’</w:t>
        </w:r>
        <w:r w:rsidR="007E18E6" w:rsidRPr="00880F12">
          <w:rPr>
            <w:rStyle w:val="Hyperlink"/>
          </w:rPr>
          <w:t>appliquent qu</w:t>
        </w:r>
        <w:r w:rsidR="00B4091E">
          <w:rPr>
            <w:rStyle w:val="Hyperlink"/>
          </w:rPr>
          <w:t>’</w:t>
        </w:r>
        <w:r w:rsidR="007E18E6" w:rsidRPr="00880F12">
          <w:rPr>
            <w:rStyle w:val="Hyperlink"/>
          </w:rPr>
          <w:t>à certaines variétés</w:t>
        </w:r>
        <w:r w:rsidR="007E18E6">
          <w:rPr>
            <w:webHidden/>
          </w:rPr>
          <w:tab/>
        </w:r>
        <w:r w:rsidR="007E18E6">
          <w:rPr>
            <w:webHidden/>
          </w:rPr>
          <w:fldChar w:fldCharType="begin"/>
        </w:r>
        <w:r w:rsidR="007E18E6">
          <w:rPr>
            <w:webHidden/>
          </w:rPr>
          <w:instrText xml:space="preserve"> PAGEREF _Toc521492807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08" w:history="1">
        <w:r w:rsidR="007E18E6" w:rsidRPr="00880F12">
          <w:rPr>
            <w:rStyle w:val="Hyperlink"/>
          </w:rPr>
          <w:t>iii)</w:t>
        </w:r>
        <w:r w:rsidR="007E18E6">
          <w:rPr>
            <w:rFonts w:asciiTheme="minorHAnsi" w:eastAsiaTheme="minorEastAsia" w:hAnsiTheme="minorHAnsi" w:cstheme="minorBidi"/>
            <w:i w:val="0"/>
            <w:sz w:val="22"/>
            <w:szCs w:val="22"/>
            <w:lang w:val="en-US"/>
          </w:rPr>
          <w:tab/>
        </w:r>
        <w:r w:rsidR="007E18E6" w:rsidRPr="00880F12">
          <w:rPr>
            <w:rStyle w:val="Hyperlink"/>
          </w:rPr>
          <w:t>Procédure d</w:t>
        </w:r>
        <w:r w:rsidR="00B4091E">
          <w:rPr>
            <w:rStyle w:val="Hyperlink"/>
          </w:rPr>
          <w:t>’</w:t>
        </w:r>
        <w:r w:rsidR="007E18E6" w:rsidRPr="00880F12">
          <w:rPr>
            <w:rStyle w:val="Hyperlink"/>
          </w:rPr>
          <w:t>adoption des principes directeurs d</w:t>
        </w:r>
        <w:r w:rsidR="00B4091E">
          <w:rPr>
            <w:rStyle w:val="Hyperlink"/>
          </w:rPr>
          <w:t>’</w:t>
        </w:r>
        <w:r w:rsidR="007E18E6" w:rsidRPr="00880F12">
          <w:rPr>
            <w:rStyle w:val="Hyperlink"/>
          </w:rPr>
          <w:t>examen par correspondance</w:t>
        </w:r>
        <w:r w:rsidR="007E18E6">
          <w:rPr>
            <w:webHidden/>
          </w:rPr>
          <w:tab/>
        </w:r>
        <w:r w:rsidR="007E18E6">
          <w:rPr>
            <w:webHidden/>
          </w:rPr>
          <w:fldChar w:fldCharType="begin"/>
        </w:r>
        <w:r w:rsidR="007E18E6">
          <w:rPr>
            <w:webHidden/>
          </w:rPr>
          <w:instrText xml:space="preserve"> PAGEREF _Toc521492808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09" w:history="1">
        <w:r w:rsidR="007E18E6" w:rsidRPr="00880F12">
          <w:rPr>
            <w:rStyle w:val="Hyperlink"/>
          </w:rPr>
          <w:t>TGP/8 : Protocole d</w:t>
        </w:r>
        <w:r w:rsidR="00B4091E">
          <w:rPr>
            <w:rStyle w:val="Hyperlink"/>
          </w:rPr>
          <w:t>’</w:t>
        </w:r>
        <w:r w:rsidR="007E18E6" w:rsidRPr="00880F12">
          <w:rPr>
            <w:rStyle w:val="Hyperlink"/>
          </w:rPr>
          <w:t>essai et techniques utilisés dans l</w:t>
        </w:r>
        <w:r w:rsidR="00B4091E">
          <w:rPr>
            <w:rStyle w:val="Hyperlink"/>
          </w:rPr>
          <w:t>’</w:t>
        </w:r>
        <w:r w:rsidR="007E18E6" w:rsidRPr="00880F12">
          <w:rPr>
            <w:rStyle w:val="Hyperlink"/>
          </w:rPr>
          <w:t>examen de la distinction, de l</w:t>
        </w:r>
        <w:r w:rsidR="00B4091E">
          <w:rPr>
            <w:rStyle w:val="Hyperlink"/>
          </w:rPr>
          <w:t>’</w:t>
        </w:r>
        <w:r w:rsidR="007E18E6" w:rsidRPr="00880F12">
          <w:rPr>
            <w:rStyle w:val="Hyperlink"/>
          </w:rPr>
          <w:t>homogénéité et de la stabilité</w:t>
        </w:r>
        <w:r w:rsidR="007E18E6">
          <w:rPr>
            <w:webHidden/>
          </w:rPr>
          <w:tab/>
        </w:r>
        <w:r w:rsidR="007E18E6">
          <w:rPr>
            <w:webHidden/>
          </w:rPr>
          <w:fldChar w:fldCharType="begin"/>
        </w:r>
        <w:r w:rsidR="007E18E6">
          <w:rPr>
            <w:webHidden/>
          </w:rPr>
          <w:instrText xml:space="preserve"> PAGEREF _Toc521492809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0" w:history="1">
        <w:r w:rsidR="007E18E6" w:rsidRPr="00880F12">
          <w:rPr>
            <w:rStyle w:val="Hyperlink"/>
          </w:rPr>
          <w:t>iv)</w:t>
        </w:r>
        <w:r w:rsidR="007E18E6">
          <w:rPr>
            <w:rFonts w:asciiTheme="minorHAnsi" w:eastAsiaTheme="minorEastAsia" w:hAnsiTheme="minorHAnsi" w:cstheme="minorBidi"/>
            <w:i w:val="0"/>
            <w:sz w:val="22"/>
            <w:szCs w:val="22"/>
            <w:lang w:val="en-US"/>
          </w:rPr>
          <w:tab/>
        </w:r>
        <w:r w:rsidR="007E18E6" w:rsidRPr="00880F12">
          <w:rPr>
            <w:rStyle w:val="Hyperlink"/>
          </w:rPr>
          <w:t>Analyse globale de l</w:t>
        </w:r>
        <w:r w:rsidR="00B4091E">
          <w:rPr>
            <w:rStyle w:val="Hyperlink"/>
          </w:rPr>
          <w:t>’</w:t>
        </w:r>
        <w:r w:rsidR="007E18E6" w:rsidRPr="00880F12">
          <w:rPr>
            <w:rStyle w:val="Hyperlink"/>
          </w:rPr>
          <w:t>homogénéité sur plusieurs années (méthode d</w:t>
        </w:r>
        <w:r w:rsidR="00B4091E">
          <w:rPr>
            <w:rStyle w:val="Hyperlink"/>
          </w:rPr>
          <w:t>’</w:t>
        </w:r>
        <w:r w:rsidR="007E18E6" w:rsidRPr="00880F12">
          <w:rPr>
            <w:rStyle w:val="Hyperlink"/>
          </w:rPr>
          <w:t>analyse COYU)</w:t>
        </w:r>
        <w:r w:rsidR="007E18E6">
          <w:rPr>
            <w:webHidden/>
          </w:rPr>
          <w:tab/>
        </w:r>
        <w:r w:rsidR="007E18E6">
          <w:rPr>
            <w:webHidden/>
          </w:rPr>
          <w:fldChar w:fldCharType="begin"/>
        </w:r>
        <w:r w:rsidR="007E18E6">
          <w:rPr>
            <w:webHidden/>
          </w:rPr>
          <w:instrText xml:space="preserve"> PAGEREF _Toc521492810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1" w:history="1">
        <w:r w:rsidR="007E18E6" w:rsidRPr="00880F12">
          <w:rPr>
            <w:rStyle w:val="Hyperlink"/>
          </w:rPr>
          <w:t>v)</w:t>
        </w:r>
        <w:r w:rsidR="007E18E6">
          <w:rPr>
            <w:rFonts w:asciiTheme="minorHAnsi" w:eastAsiaTheme="minorEastAsia" w:hAnsiTheme="minorHAnsi" w:cstheme="minorBidi"/>
            <w:i w:val="0"/>
            <w:sz w:val="22"/>
            <w:szCs w:val="22"/>
            <w:lang w:val="en-US"/>
          </w:rPr>
          <w:tab/>
        </w:r>
        <w:r w:rsidR="007E18E6" w:rsidRPr="00880F12">
          <w:rPr>
            <w:rStyle w:val="Hyperlink"/>
          </w:rPr>
          <w:t>Traitement des données pour l</w:t>
        </w:r>
        <w:r w:rsidR="00B4091E">
          <w:rPr>
            <w:rStyle w:val="Hyperlink"/>
          </w:rPr>
          <w:t>’</w:t>
        </w:r>
        <w:r w:rsidR="007E18E6" w:rsidRPr="00880F12">
          <w:rPr>
            <w:rStyle w:val="Hyperlink"/>
          </w:rPr>
          <w:t>évaluation de la distinction et l</w:t>
        </w:r>
        <w:r w:rsidR="00B4091E">
          <w:rPr>
            <w:rStyle w:val="Hyperlink"/>
          </w:rPr>
          <w:t>’</w:t>
        </w:r>
        <w:r w:rsidR="007E18E6" w:rsidRPr="00880F12">
          <w:rPr>
            <w:rStyle w:val="Hyperlink"/>
          </w:rPr>
          <w:t>établissement de descriptions variétales</w:t>
        </w:r>
        <w:r w:rsidR="007E18E6">
          <w:rPr>
            <w:webHidden/>
          </w:rPr>
          <w:tab/>
        </w:r>
        <w:r w:rsidR="007E18E6">
          <w:rPr>
            <w:webHidden/>
          </w:rPr>
          <w:fldChar w:fldCharType="begin"/>
        </w:r>
        <w:r w:rsidR="007E18E6">
          <w:rPr>
            <w:webHidden/>
          </w:rPr>
          <w:instrText xml:space="preserve"> PAGEREF _Toc521492811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2" w:history="1">
        <w:r w:rsidR="007E18E6" w:rsidRPr="00880F12">
          <w:rPr>
            <w:rStyle w:val="Hyperlink"/>
          </w:rPr>
          <w:t>vi)</w:t>
        </w:r>
        <w:r w:rsidR="007E18E6">
          <w:rPr>
            <w:rFonts w:asciiTheme="minorHAnsi" w:eastAsiaTheme="minorEastAsia" w:hAnsiTheme="minorHAnsi" w:cstheme="minorBidi"/>
            <w:i w:val="0"/>
            <w:sz w:val="22"/>
            <w:szCs w:val="22"/>
            <w:lang w:val="en-US"/>
          </w:rPr>
          <w:tab/>
        </w:r>
        <w:r w:rsidR="007E18E6" w:rsidRPr="00880F12">
          <w:rPr>
            <w:rStyle w:val="Hyperlink"/>
          </w:rPr>
          <w:t>Méthode au</w:t>
        </w:r>
        <w:r w:rsidR="007E18E6" w:rsidRPr="00880F12">
          <w:rPr>
            <w:rStyle w:val="Hyperlink"/>
          </w:rPr>
          <w:noBreakHyphen/>
          <w:t>delà d</w:t>
        </w:r>
        <w:r w:rsidR="00B4091E">
          <w:rPr>
            <w:rStyle w:val="Hyperlink"/>
          </w:rPr>
          <w:t>’</w:t>
        </w:r>
        <w:r w:rsidR="007E18E6" w:rsidRPr="00880F12">
          <w:rPr>
            <w:rStyle w:val="Hyperlink"/>
          </w:rPr>
          <w:t>un essai unique (année)</w:t>
        </w:r>
        <w:r w:rsidR="007E18E6">
          <w:rPr>
            <w:webHidden/>
          </w:rPr>
          <w:tab/>
        </w:r>
        <w:r w:rsidR="007E18E6">
          <w:rPr>
            <w:webHidden/>
          </w:rPr>
          <w:fldChar w:fldCharType="begin"/>
        </w:r>
        <w:r w:rsidR="007E18E6">
          <w:rPr>
            <w:webHidden/>
          </w:rPr>
          <w:instrText xml:space="preserve"> PAGEREF _Toc521492812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13" w:history="1">
        <w:r w:rsidR="007E18E6" w:rsidRPr="00880F12">
          <w:rPr>
            <w:rStyle w:val="Hyperlink"/>
          </w:rPr>
          <w:t>TGP/10 : Examen de l</w:t>
        </w:r>
        <w:r w:rsidR="00B4091E">
          <w:rPr>
            <w:rStyle w:val="Hyperlink"/>
          </w:rPr>
          <w:t>’</w:t>
        </w:r>
        <w:r w:rsidR="007E18E6" w:rsidRPr="00880F12">
          <w:rPr>
            <w:rStyle w:val="Hyperlink"/>
          </w:rPr>
          <w:t>homogénéité</w:t>
        </w:r>
        <w:r w:rsidR="007E18E6">
          <w:rPr>
            <w:webHidden/>
          </w:rPr>
          <w:tab/>
        </w:r>
        <w:r w:rsidR="007E18E6">
          <w:rPr>
            <w:webHidden/>
          </w:rPr>
          <w:fldChar w:fldCharType="begin"/>
        </w:r>
        <w:r w:rsidR="007E18E6">
          <w:rPr>
            <w:webHidden/>
          </w:rPr>
          <w:instrText xml:space="preserve"> PAGEREF _Toc521492813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4" w:history="1">
        <w:r w:rsidR="007E18E6" w:rsidRPr="00880F12">
          <w:rPr>
            <w:rStyle w:val="Hyperlink"/>
          </w:rPr>
          <w:t>vii)</w:t>
        </w:r>
        <w:r w:rsidR="007E18E6">
          <w:rPr>
            <w:rFonts w:asciiTheme="minorHAnsi" w:eastAsiaTheme="minorEastAsia" w:hAnsiTheme="minorHAnsi" w:cstheme="minorBidi"/>
            <w:i w:val="0"/>
            <w:sz w:val="22"/>
            <w:szCs w:val="22"/>
            <w:lang w:val="en-US"/>
          </w:rPr>
          <w:tab/>
        </w:r>
        <w:r w:rsidR="007E18E6" w:rsidRPr="00880F12">
          <w:rPr>
            <w:rStyle w:val="Hyperlink"/>
          </w:rPr>
          <w:t>Évaluation de l</w:t>
        </w:r>
        <w:r w:rsidR="00B4091E">
          <w:rPr>
            <w:rStyle w:val="Hyperlink"/>
          </w:rPr>
          <w:t>’</w:t>
        </w:r>
        <w:r w:rsidR="007E18E6" w:rsidRPr="00880F12">
          <w:rPr>
            <w:rStyle w:val="Hyperlink"/>
          </w:rPr>
          <w:t>homogénéité au moyen des plantes hors</w:t>
        </w:r>
        <w:r w:rsidR="007E18E6" w:rsidRPr="00880F12">
          <w:rPr>
            <w:rStyle w:val="Hyperlink"/>
          </w:rPr>
          <w:noBreakHyphen/>
          <w:t>type sur la base de plusieurs cycles de végétation ou sous</w:t>
        </w:r>
        <w:r w:rsidR="007E18E6" w:rsidRPr="00880F12">
          <w:rPr>
            <w:rStyle w:val="Hyperlink"/>
          </w:rPr>
          <w:noBreakHyphen/>
          <w:t>échantillons</w:t>
        </w:r>
        <w:r w:rsidR="007E18E6">
          <w:rPr>
            <w:webHidden/>
          </w:rPr>
          <w:tab/>
        </w:r>
        <w:r w:rsidR="007E18E6">
          <w:rPr>
            <w:webHidden/>
          </w:rPr>
          <w:fldChar w:fldCharType="begin"/>
        </w:r>
        <w:r w:rsidR="007E18E6">
          <w:rPr>
            <w:webHidden/>
          </w:rPr>
          <w:instrText xml:space="preserve"> PAGEREF _Toc521492814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15" w:history="1">
        <w:r w:rsidR="007E18E6" w:rsidRPr="00880F12">
          <w:rPr>
            <w:rStyle w:val="Hyperlink"/>
          </w:rPr>
          <w:t>TGP/14 : Glossaire de termes utilisés dans les documents de l</w:t>
        </w:r>
        <w:r w:rsidR="00B4091E">
          <w:rPr>
            <w:rStyle w:val="Hyperlink"/>
          </w:rPr>
          <w:t>’</w:t>
        </w:r>
        <w:r w:rsidR="007E18E6" w:rsidRPr="00880F12">
          <w:rPr>
            <w:rStyle w:val="Hyperlink"/>
          </w:rPr>
          <w:t>UPOV</w:t>
        </w:r>
        <w:r w:rsidR="007E18E6">
          <w:rPr>
            <w:webHidden/>
          </w:rPr>
          <w:tab/>
        </w:r>
        <w:r w:rsidR="007E18E6">
          <w:rPr>
            <w:webHidden/>
          </w:rPr>
          <w:fldChar w:fldCharType="begin"/>
        </w:r>
        <w:r w:rsidR="007E18E6">
          <w:rPr>
            <w:webHidden/>
          </w:rPr>
          <w:instrText xml:space="preserve"> PAGEREF _Toc521492815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440"/>
        </w:tabs>
        <w:rPr>
          <w:rFonts w:asciiTheme="minorHAnsi" w:eastAsiaTheme="minorEastAsia" w:hAnsiTheme="minorHAnsi" w:cstheme="minorBidi"/>
          <w:i w:val="0"/>
          <w:sz w:val="22"/>
          <w:szCs w:val="22"/>
          <w:lang w:val="en-US"/>
        </w:rPr>
      </w:pPr>
      <w:hyperlink w:anchor="_Toc521492816" w:history="1">
        <w:r w:rsidR="007E18E6" w:rsidRPr="00880F12">
          <w:rPr>
            <w:rStyle w:val="Hyperlink"/>
          </w:rPr>
          <w:t>viii)</w:t>
        </w:r>
        <w:r w:rsidR="007E18E6">
          <w:rPr>
            <w:rFonts w:asciiTheme="minorHAnsi" w:eastAsiaTheme="minorEastAsia" w:hAnsiTheme="minorHAnsi" w:cstheme="minorBidi"/>
            <w:i w:val="0"/>
            <w:sz w:val="22"/>
            <w:szCs w:val="22"/>
            <w:lang w:val="en-US"/>
          </w:rPr>
          <w:tab/>
        </w:r>
        <w:r w:rsidR="007E18E6" w:rsidRPr="00880F12">
          <w:rPr>
            <w:rStyle w:val="Hyperlink"/>
          </w:rPr>
          <w:t>Illustrations des caractères liés à la forme et au ratio</w:t>
        </w:r>
        <w:r w:rsidR="007E18E6">
          <w:rPr>
            <w:webHidden/>
          </w:rPr>
          <w:tab/>
        </w:r>
        <w:r w:rsidR="007E18E6">
          <w:rPr>
            <w:webHidden/>
          </w:rPr>
          <w:fldChar w:fldCharType="begin"/>
        </w:r>
        <w:r w:rsidR="007E18E6">
          <w:rPr>
            <w:webHidden/>
          </w:rPr>
          <w:instrText xml:space="preserve"> PAGEREF _Toc521492816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7" w:history="1">
        <w:r w:rsidR="007E18E6" w:rsidRPr="00880F12">
          <w:rPr>
            <w:rStyle w:val="Hyperlink"/>
          </w:rPr>
          <w:t>ix)</w:t>
        </w:r>
        <w:r w:rsidR="007E18E6">
          <w:rPr>
            <w:rFonts w:asciiTheme="minorHAnsi" w:eastAsiaTheme="minorEastAsia" w:hAnsiTheme="minorHAnsi" w:cstheme="minorBidi"/>
            <w:i w:val="0"/>
            <w:sz w:val="22"/>
            <w:szCs w:val="22"/>
            <w:lang w:val="en-US"/>
          </w:rPr>
          <w:tab/>
        </w:r>
        <w:r w:rsidR="007E18E6" w:rsidRPr="00880F12">
          <w:rPr>
            <w:rStyle w:val="Hyperlink"/>
          </w:rPr>
          <w:t>Groupes de couleurs de l</w:t>
        </w:r>
        <w:r w:rsidR="00B4091E">
          <w:rPr>
            <w:rStyle w:val="Hyperlink"/>
          </w:rPr>
          <w:t>’</w:t>
        </w:r>
        <w:r w:rsidR="007E18E6" w:rsidRPr="00880F12">
          <w:rPr>
            <w:rStyle w:val="Hyperlink"/>
          </w:rPr>
          <w:t>UPOV</w:t>
        </w:r>
        <w:r w:rsidR="007E18E6">
          <w:rPr>
            <w:webHidden/>
          </w:rPr>
          <w:tab/>
        </w:r>
        <w:r w:rsidR="007E18E6">
          <w:rPr>
            <w:webHidden/>
          </w:rPr>
          <w:fldChar w:fldCharType="begin"/>
        </w:r>
        <w:r w:rsidR="007E18E6">
          <w:rPr>
            <w:webHidden/>
          </w:rPr>
          <w:instrText xml:space="preserve"> PAGEREF _Toc521492817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18" w:history="1">
        <w:r w:rsidR="007E18E6" w:rsidRPr="00880F12">
          <w:rPr>
            <w:rStyle w:val="Hyperlink"/>
          </w:rPr>
          <w:t>TGP/15 : Conseils en ce qui concerne l</w:t>
        </w:r>
        <w:r w:rsidR="00B4091E">
          <w:rPr>
            <w:rStyle w:val="Hyperlink"/>
          </w:rPr>
          <w:t>’</w:t>
        </w:r>
        <w:r w:rsidR="007E18E6" w:rsidRPr="00880F12">
          <w:rPr>
            <w:rStyle w:val="Hyperlink"/>
          </w:rPr>
          <w:t>utilisation des marqueurs biochimiques et moléculaires dans l</w:t>
        </w:r>
        <w:r w:rsidR="00B4091E">
          <w:rPr>
            <w:rStyle w:val="Hyperlink"/>
          </w:rPr>
          <w:t>’</w:t>
        </w:r>
        <w:r w:rsidR="007E18E6" w:rsidRPr="00880F12">
          <w:rPr>
            <w:rStyle w:val="Hyperlink"/>
          </w:rPr>
          <w:t>examen de la distinction, de l</w:t>
        </w:r>
        <w:r w:rsidR="00B4091E">
          <w:rPr>
            <w:rStyle w:val="Hyperlink"/>
          </w:rPr>
          <w:t>’</w:t>
        </w:r>
        <w:r w:rsidR="007E18E6" w:rsidRPr="00880F12">
          <w:rPr>
            <w:rStyle w:val="Hyperlink"/>
          </w:rPr>
          <w:t>homogénéité et de la stabilité (DHS)</w:t>
        </w:r>
        <w:r w:rsidR="007E18E6">
          <w:rPr>
            <w:webHidden/>
          </w:rPr>
          <w:tab/>
        </w:r>
        <w:r w:rsidR="007E18E6">
          <w:rPr>
            <w:webHidden/>
          </w:rPr>
          <w:fldChar w:fldCharType="begin"/>
        </w:r>
        <w:r w:rsidR="007E18E6">
          <w:rPr>
            <w:webHidden/>
          </w:rPr>
          <w:instrText xml:space="preserve"> PAGEREF _Toc521492818 \h </w:instrText>
        </w:r>
        <w:r w:rsidR="007E18E6">
          <w:rPr>
            <w:webHidden/>
          </w:rPr>
        </w:r>
        <w:r w:rsidR="007E18E6">
          <w:rPr>
            <w:webHidden/>
          </w:rPr>
          <w:fldChar w:fldCharType="separate"/>
        </w:r>
        <w:r w:rsidR="007E18E6">
          <w:rPr>
            <w:webHidden/>
          </w:rPr>
          <w:t>6</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19" w:history="1">
        <w:r w:rsidR="007E18E6" w:rsidRPr="00880F12">
          <w:rPr>
            <w:rStyle w:val="Hyperlink"/>
          </w:rPr>
          <w:t>x)</w:t>
        </w:r>
        <w:r w:rsidR="007E18E6">
          <w:rPr>
            <w:rFonts w:asciiTheme="minorHAnsi" w:eastAsiaTheme="minorEastAsia" w:hAnsiTheme="minorHAnsi" w:cstheme="minorBidi"/>
            <w:i w:val="0"/>
            <w:sz w:val="22"/>
            <w:szCs w:val="22"/>
            <w:lang w:val="en-US"/>
          </w:rPr>
          <w:tab/>
        </w:r>
        <w:r w:rsidR="007E18E6" w:rsidRPr="00880F12">
          <w:rPr>
            <w:rStyle w:val="Hyperlink"/>
          </w:rPr>
          <w:t>Illustrations des caractères liés à la forme et au ratio</w:t>
        </w:r>
        <w:r w:rsidR="007E18E6">
          <w:rPr>
            <w:webHidden/>
          </w:rPr>
          <w:tab/>
        </w:r>
        <w:r w:rsidR="007E18E6">
          <w:rPr>
            <w:webHidden/>
          </w:rPr>
          <w:fldChar w:fldCharType="begin"/>
        </w:r>
        <w:r w:rsidR="007E18E6">
          <w:rPr>
            <w:webHidden/>
          </w:rPr>
          <w:instrText xml:space="preserve"> PAGEREF _Toc521492819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4"/>
        <w:tabs>
          <w:tab w:val="left" w:pos="1200"/>
        </w:tabs>
        <w:rPr>
          <w:rFonts w:asciiTheme="minorHAnsi" w:eastAsiaTheme="minorEastAsia" w:hAnsiTheme="minorHAnsi" w:cstheme="minorBidi"/>
          <w:i w:val="0"/>
          <w:sz w:val="22"/>
          <w:szCs w:val="22"/>
          <w:lang w:val="en-US"/>
        </w:rPr>
      </w:pPr>
      <w:hyperlink w:anchor="_Toc521492820" w:history="1">
        <w:r w:rsidR="007E18E6" w:rsidRPr="00880F12">
          <w:rPr>
            <w:rStyle w:val="Hyperlink"/>
          </w:rPr>
          <w:t>xi)</w:t>
        </w:r>
        <w:r w:rsidR="007E18E6">
          <w:rPr>
            <w:rFonts w:asciiTheme="minorHAnsi" w:eastAsiaTheme="minorEastAsia" w:hAnsiTheme="minorHAnsi" w:cstheme="minorBidi"/>
            <w:i w:val="0"/>
            <w:sz w:val="22"/>
            <w:szCs w:val="22"/>
            <w:lang w:val="en-US"/>
          </w:rPr>
          <w:tab/>
        </w:r>
        <w:r w:rsidR="007E18E6" w:rsidRPr="00880F12">
          <w:rPr>
            <w:rStyle w:val="Hyperlink"/>
          </w:rPr>
          <w:t>Groupes de couleurs de l</w:t>
        </w:r>
        <w:r w:rsidR="00B4091E">
          <w:rPr>
            <w:rStyle w:val="Hyperlink"/>
          </w:rPr>
          <w:t>’</w:t>
        </w:r>
        <w:r w:rsidR="007E18E6" w:rsidRPr="00880F12">
          <w:rPr>
            <w:rStyle w:val="Hyperlink"/>
          </w:rPr>
          <w:t>UPOV</w:t>
        </w:r>
        <w:r w:rsidR="007E18E6">
          <w:rPr>
            <w:webHidden/>
          </w:rPr>
          <w:tab/>
        </w:r>
        <w:r w:rsidR="007E18E6">
          <w:rPr>
            <w:webHidden/>
          </w:rPr>
          <w:fldChar w:fldCharType="begin"/>
        </w:r>
        <w:r w:rsidR="007E18E6">
          <w:rPr>
            <w:webHidden/>
          </w:rPr>
          <w:instrText xml:space="preserve"> PAGEREF _Toc521492820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1"/>
        <w:rPr>
          <w:rFonts w:asciiTheme="minorHAnsi" w:eastAsiaTheme="minorEastAsia" w:hAnsiTheme="minorHAnsi" w:cstheme="minorBidi"/>
          <w:bCs w:val="0"/>
          <w:caps w:val="0"/>
          <w:sz w:val="22"/>
          <w:szCs w:val="22"/>
        </w:rPr>
      </w:pPr>
      <w:hyperlink w:anchor="_Toc521492821" w:history="1">
        <w:r w:rsidR="007E18E6" w:rsidRPr="00880F12">
          <w:rPr>
            <w:rStyle w:val="Hyperlink"/>
            <w:lang w:val="fr-FR"/>
          </w:rPr>
          <w:t>Éventuelles futures révisions des documents TGP</w:t>
        </w:r>
        <w:r w:rsidR="007E18E6">
          <w:rPr>
            <w:webHidden/>
          </w:rPr>
          <w:tab/>
        </w:r>
        <w:r w:rsidR="007E18E6">
          <w:rPr>
            <w:webHidden/>
          </w:rPr>
          <w:fldChar w:fldCharType="begin"/>
        </w:r>
        <w:r w:rsidR="007E18E6">
          <w:rPr>
            <w:webHidden/>
          </w:rPr>
          <w:instrText xml:space="preserve"> PAGEREF _Toc521492821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822" w:history="1">
        <w:r w:rsidR="007E18E6" w:rsidRPr="00880F12">
          <w:rPr>
            <w:rStyle w:val="Hyperlink"/>
            <w:lang w:val="fr-FR"/>
          </w:rPr>
          <w:t>TGP/7 : Élaboration des principes directeurs d</w:t>
        </w:r>
        <w:r w:rsidR="00B4091E">
          <w:rPr>
            <w:rStyle w:val="Hyperlink"/>
            <w:lang w:val="fr-FR"/>
          </w:rPr>
          <w:t>’</w:t>
        </w:r>
        <w:r w:rsidR="007E18E6" w:rsidRPr="00880F12">
          <w:rPr>
            <w:rStyle w:val="Hyperlink"/>
            <w:lang w:val="fr-FR"/>
          </w:rPr>
          <w:t>examen</w:t>
        </w:r>
        <w:r w:rsidR="007E18E6">
          <w:rPr>
            <w:webHidden/>
          </w:rPr>
          <w:tab/>
        </w:r>
        <w:r w:rsidR="007E18E6">
          <w:rPr>
            <w:webHidden/>
          </w:rPr>
          <w:fldChar w:fldCharType="begin"/>
        </w:r>
        <w:r w:rsidR="007E18E6">
          <w:rPr>
            <w:webHidden/>
          </w:rPr>
          <w:instrText xml:space="preserve"> PAGEREF _Toc521492822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23" w:history="1">
        <w:r w:rsidR="007E18E6" w:rsidRPr="00880F12">
          <w:rPr>
            <w:rStyle w:val="Hyperlink"/>
            <w:snapToGrid w:val="0"/>
            <w:lang w:val="fr-FR"/>
          </w:rPr>
          <w:t>Méthode exclusive pour l</w:t>
        </w:r>
        <w:r w:rsidR="00B4091E">
          <w:rPr>
            <w:rStyle w:val="Hyperlink"/>
            <w:snapToGrid w:val="0"/>
            <w:lang w:val="fr-FR"/>
          </w:rPr>
          <w:t>’</w:t>
        </w:r>
        <w:r w:rsidR="007E18E6" w:rsidRPr="00880F12">
          <w:rPr>
            <w:rStyle w:val="Hyperlink"/>
            <w:snapToGrid w:val="0"/>
            <w:lang w:val="fr-FR"/>
          </w:rPr>
          <w:t>examen de la stérilité mâle</w:t>
        </w:r>
        <w:r w:rsidR="007E18E6">
          <w:rPr>
            <w:webHidden/>
          </w:rPr>
          <w:tab/>
        </w:r>
        <w:r w:rsidR="007E18E6">
          <w:rPr>
            <w:webHidden/>
          </w:rPr>
          <w:fldChar w:fldCharType="begin"/>
        </w:r>
        <w:r w:rsidR="007E18E6">
          <w:rPr>
            <w:webHidden/>
          </w:rPr>
          <w:instrText xml:space="preserve"> PAGEREF _Toc521492823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24" w:history="1">
        <w:r w:rsidR="007E18E6" w:rsidRPr="00880F12">
          <w:rPr>
            <w:rStyle w:val="Hyperlink"/>
            <w:snapToGrid w:val="0"/>
            <w:lang w:val="fr-FR"/>
          </w:rPr>
          <w:t>Pertinence des caractères dans les versions précédentes des principes directeurs d</w:t>
        </w:r>
        <w:r w:rsidR="00B4091E">
          <w:rPr>
            <w:rStyle w:val="Hyperlink"/>
            <w:snapToGrid w:val="0"/>
            <w:lang w:val="fr-FR"/>
          </w:rPr>
          <w:t>’</w:t>
        </w:r>
        <w:r w:rsidR="007E18E6" w:rsidRPr="00880F12">
          <w:rPr>
            <w:rStyle w:val="Hyperlink"/>
            <w:snapToGrid w:val="0"/>
            <w:lang w:val="fr-FR"/>
          </w:rPr>
          <w:t>examen</w:t>
        </w:r>
        <w:r w:rsidR="007E18E6">
          <w:rPr>
            <w:webHidden/>
          </w:rPr>
          <w:tab/>
        </w:r>
        <w:r w:rsidR="007E18E6">
          <w:rPr>
            <w:webHidden/>
          </w:rPr>
          <w:fldChar w:fldCharType="begin"/>
        </w:r>
        <w:r w:rsidR="007E18E6">
          <w:rPr>
            <w:webHidden/>
          </w:rPr>
          <w:instrText xml:space="preserve"> PAGEREF _Toc521492824 \h </w:instrText>
        </w:r>
        <w:r w:rsidR="007E18E6">
          <w:rPr>
            <w:webHidden/>
          </w:rPr>
        </w:r>
        <w:r w:rsidR="007E18E6">
          <w:rPr>
            <w:webHidden/>
          </w:rPr>
          <w:fldChar w:fldCharType="separate"/>
        </w:r>
        <w:r w:rsidR="007E18E6">
          <w:rPr>
            <w:webHidden/>
          </w:rPr>
          <w:t>7</w:t>
        </w:r>
        <w:r w:rsidR="007E18E6">
          <w:rPr>
            <w:webHidden/>
          </w:rPr>
          <w:fldChar w:fldCharType="end"/>
        </w:r>
      </w:hyperlink>
    </w:p>
    <w:p w:rsidR="007E18E6" w:rsidRDefault="008D1C5B">
      <w:pPr>
        <w:pStyle w:val="TOC2"/>
        <w:rPr>
          <w:rFonts w:asciiTheme="minorHAnsi" w:eastAsiaTheme="minorEastAsia" w:hAnsiTheme="minorHAnsi" w:cstheme="minorBidi"/>
          <w:sz w:val="22"/>
          <w:szCs w:val="22"/>
        </w:rPr>
      </w:pPr>
      <w:hyperlink w:anchor="_Toc521492825" w:history="1">
        <w:r w:rsidR="007E18E6" w:rsidRPr="00880F12">
          <w:rPr>
            <w:rStyle w:val="Hyperlink"/>
            <w:snapToGrid w:val="0"/>
            <w:lang w:val="fr-FR"/>
          </w:rPr>
          <w:t>TGP/12 : Conseils en ce qui concerne certains caractères physiologiques</w:t>
        </w:r>
        <w:r w:rsidR="007E18E6">
          <w:rPr>
            <w:webHidden/>
          </w:rPr>
          <w:tab/>
        </w:r>
        <w:r w:rsidR="007E18E6">
          <w:rPr>
            <w:webHidden/>
          </w:rPr>
          <w:fldChar w:fldCharType="begin"/>
        </w:r>
        <w:r w:rsidR="007E18E6">
          <w:rPr>
            <w:webHidden/>
          </w:rPr>
          <w:instrText xml:space="preserve"> PAGEREF _Toc521492825 \h </w:instrText>
        </w:r>
        <w:r w:rsidR="007E18E6">
          <w:rPr>
            <w:webHidden/>
          </w:rPr>
        </w:r>
        <w:r w:rsidR="007E18E6">
          <w:rPr>
            <w:webHidden/>
          </w:rPr>
          <w:fldChar w:fldCharType="separate"/>
        </w:r>
        <w:r w:rsidR="007E18E6">
          <w:rPr>
            <w:webHidden/>
          </w:rPr>
          <w:t>8</w:t>
        </w:r>
        <w:r w:rsidR="007E18E6">
          <w:rPr>
            <w:webHidden/>
          </w:rPr>
          <w:fldChar w:fldCharType="end"/>
        </w:r>
      </w:hyperlink>
    </w:p>
    <w:p w:rsidR="007E18E6" w:rsidRDefault="008D1C5B">
      <w:pPr>
        <w:pStyle w:val="TOC3"/>
        <w:rPr>
          <w:rFonts w:asciiTheme="minorHAnsi" w:eastAsiaTheme="minorEastAsia" w:hAnsiTheme="minorHAnsi" w:cstheme="minorBidi"/>
          <w:i w:val="0"/>
          <w:sz w:val="22"/>
          <w:szCs w:val="22"/>
        </w:rPr>
      </w:pPr>
      <w:hyperlink w:anchor="_Toc521492826" w:history="1">
        <w:r w:rsidR="007E18E6" w:rsidRPr="00880F12">
          <w:rPr>
            <w:rStyle w:val="Hyperlink"/>
            <w:lang w:val="fr-FR"/>
          </w:rPr>
          <w:t>Explications sur les caractères de résistance aux maladies</w:t>
        </w:r>
        <w:r w:rsidR="007E18E6">
          <w:rPr>
            <w:webHidden/>
          </w:rPr>
          <w:tab/>
        </w:r>
        <w:r w:rsidR="007E18E6">
          <w:rPr>
            <w:webHidden/>
          </w:rPr>
          <w:fldChar w:fldCharType="begin"/>
        </w:r>
        <w:r w:rsidR="007E18E6">
          <w:rPr>
            <w:webHidden/>
          </w:rPr>
          <w:instrText xml:space="preserve"> PAGEREF _Toc521492826 \h </w:instrText>
        </w:r>
        <w:r w:rsidR="007E18E6">
          <w:rPr>
            <w:webHidden/>
          </w:rPr>
        </w:r>
        <w:r w:rsidR="007E18E6">
          <w:rPr>
            <w:webHidden/>
          </w:rPr>
          <w:fldChar w:fldCharType="separate"/>
        </w:r>
        <w:r w:rsidR="007E18E6">
          <w:rPr>
            <w:webHidden/>
          </w:rPr>
          <w:t>8</w:t>
        </w:r>
        <w:r w:rsidR="007E18E6">
          <w:rPr>
            <w:webHidden/>
          </w:rPr>
          <w:fldChar w:fldCharType="end"/>
        </w:r>
      </w:hyperlink>
    </w:p>
    <w:p w:rsidR="007E18E6" w:rsidRDefault="008D1C5B">
      <w:pPr>
        <w:pStyle w:val="TOC1"/>
        <w:rPr>
          <w:rFonts w:asciiTheme="minorHAnsi" w:eastAsiaTheme="minorEastAsia" w:hAnsiTheme="minorHAnsi" w:cstheme="minorBidi"/>
          <w:bCs w:val="0"/>
          <w:caps w:val="0"/>
          <w:sz w:val="22"/>
          <w:szCs w:val="22"/>
        </w:rPr>
      </w:pPr>
      <w:hyperlink w:anchor="_Toc521492827" w:history="1">
        <w:r w:rsidR="007E18E6" w:rsidRPr="00880F12">
          <w:rPr>
            <w:rStyle w:val="Hyperlink"/>
            <w:lang w:val="fr-FR"/>
          </w:rPr>
          <w:t>PROGRAMME D</w:t>
        </w:r>
        <w:r w:rsidR="00B4091E">
          <w:rPr>
            <w:rStyle w:val="Hyperlink"/>
            <w:lang w:val="fr-FR"/>
          </w:rPr>
          <w:t>’</w:t>
        </w:r>
        <w:r w:rsidR="007E18E6" w:rsidRPr="00880F12">
          <w:rPr>
            <w:rStyle w:val="Hyperlink"/>
            <w:lang w:val="fr-FR"/>
          </w:rPr>
          <w:t>ÉLABORATION DES DOCUMENTS TGP</w:t>
        </w:r>
        <w:r w:rsidR="007E18E6">
          <w:rPr>
            <w:webHidden/>
          </w:rPr>
          <w:tab/>
        </w:r>
        <w:r w:rsidR="007E18E6">
          <w:rPr>
            <w:webHidden/>
          </w:rPr>
          <w:fldChar w:fldCharType="begin"/>
        </w:r>
        <w:r w:rsidR="007E18E6">
          <w:rPr>
            <w:webHidden/>
          </w:rPr>
          <w:instrText xml:space="preserve"> PAGEREF _Toc521492827 \h </w:instrText>
        </w:r>
        <w:r w:rsidR="007E18E6">
          <w:rPr>
            <w:webHidden/>
          </w:rPr>
        </w:r>
        <w:r w:rsidR="007E18E6">
          <w:rPr>
            <w:webHidden/>
          </w:rPr>
          <w:fldChar w:fldCharType="separate"/>
        </w:r>
        <w:r w:rsidR="007E18E6">
          <w:rPr>
            <w:webHidden/>
          </w:rPr>
          <w:t>8</w:t>
        </w:r>
        <w:r w:rsidR="007E18E6">
          <w:rPr>
            <w:webHidden/>
          </w:rPr>
          <w:fldChar w:fldCharType="end"/>
        </w:r>
      </w:hyperlink>
    </w:p>
    <w:p w:rsidR="00EA3338" w:rsidRPr="008D1C5B" w:rsidRDefault="00EA3338" w:rsidP="00C249E4">
      <w:pPr>
        <w:rPr>
          <w:caps/>
          <w:noProof/>
          <w:snapToGrid w:val="0"/>
          <w:sz w:val="16"/>
          <w:lang w:val="fr-FR"/>
        </w:rPr>
      </w:pPr>
      <w:r w:rsidRPr="0016157A">
        <w:rPr>
          <w:caps/>
          <w:noProof/>
          <w:snapToGrid w:val="0"/>
          <w:highlight w:val="cyan"/>
          <w:lang w:val="fr-FR"/>
        </w:rPr>
        <w:fldChar w:fldCharType="end"/>
      </w:r>
      <w:r w:rsidR="008D1C5B">
        <w:rPr>
          <w:caps/>
          <w:noProof/>
          <w:snapToGrid w:val="0"/>
          <w:lang w:val="fr-FR"/>
        </w:rPr>
        <w:t xml:space="preserve"> </w:t>
      </w:r>
    </w:p>
    <w:p w:rsidR="00EA3338" w:rsidRPr="0016157A" w:rsidRDefault="00EA3338" w:rsidP="008D1C5B">
      <w:pPr>
        <w:spacing w:after="60"/>
        <w:ind w:left="1276" w:hanging="1276"/>
        <w:rPr>
          <w:sz w:val="18"/>
          <w:lang w:val="fr-FR"/>
        </w:rPr>
      </w:pPr>
      <w:r w:rsidRPr="0016157A">
        <w:rPr>
          <w:sz w:val="18"/>
          <w:lang w:val="fr-FR"/>
        </w:rPr>
        <w:t xml:space="preserve">ANNEXE I : </w:t>
      </w:r>
      <w:r w:rsidRPr="0016157A">
        <w:rPr>
          <w:sz w:val="18"/>
          <w:lang w:val="fr-FR"/>
        </w:rPr>
        <w:tab/>
        <w:t>Révisions du document TGP/7 précédemment approuvées par le TC</w:t>
      </w:r>
    </w:p>
    <w:p w:rsidR="00EA3338" w:rsidRPr="0016157A" w:rsidRDefault="00EA3338" w:rsidP="008D1C5B">
      <w:pPr>
        <w:spacing w:after="60"/>
        <w:ind w:left="1276" w:hanging="1276"/>
        <w:rPr>
          <w:sz w:val="18"/>
          <w:lang w:val="fr-FR"/>
        </w:rPr>
      </w:pPr>
      <w:r w:rsidRPr="0016157A">
        <w:rPr>
          <w:sz w:val="18"/>
          <w:lang w:val="fr-FR"/>
        </w:rPr>
        <w:t xml:space="preserve">ANNEXE II : </w:t>
      </w:r>
      <w:r w:rsidRPr="0016157A">
        <w:rPr>
          <w:sz w:val="18"/>
          <w:lang w:val="fr-FR"/>
        </w:rPr>
        <w:tab/>
        <w:t>Révision du document TGP/8 précédemment approuvée par le TC</w:t>
      </w:r>
    </w:p>
    <w:p w:rsidR="00EA3338" w:rsidRPr="0016157A" w:rsidRDefault="00EA3338" w:rsidP="008D1C5B">
      <w:pPr>
        <w:spacing w:after="60"/>
        <w:ind w:left="1276" w:hanging="1276"/>
        <w:rPr>
          <w:sz w:val="18"/>
          <w:lang w:val="fr-FR"/>
        </w:rPr>
      </w:pPr>
      <w:bookmarkStart w:id="3" w:name="_Toc386185971"/>
      <w:bookmarkStart w:id="4" w:name="_Toc419124859"/>
      <w:r w:rsidRPr="0016157A">
        <w:rPr>
          <w:sz w:val="18"/>
          <w:lang w:val="fr-FR"/>
        </w:rPr>
        <w:t xml:space="preserve">ANNEXE III : </w:t>
      </w:r>
      <w:r w:rsidRPr="0016157A">
        <w:rPr>
          <w:sz w:val="18"/>
          <w:lang w:val="fr-FR"/>
        </w:rPr>
        <w:tab/>
        <w:t>Révision du document TGP/14 précédemment approuvée par le TC</w:t>
      </w:r>
    </w:p>
    <w:p w:rsidR="008D1C5B" w:rsidRDefault="00EA3338" w:rsidP="008D1C5B">
      <w:pPr>
        <w:spacing w:after="60"/>
        <w:ind w:left="1276" w:hanging="1276"/>
        <w:rPr>
          <w:sz w:val="18"/>
          <w:lang w:val="fr-FR"/>
        </w:rPr>
      </w:pPr>
      <w:r w:rsidRPr="0016157A">
        <w:rPr>
          <w:sz w:val="18"/>
          <w:lang w:val="fr-FR"/>
        </w:rPr>
        <w:t xml:space="preserve">ANNEXE IV : </w:t>
      </w:r>
      <w:r w:rsidRPr="0016157A">
        <w:rPr>
          <w:sz w:val="18"/>
          <w:lang w:val="fr-FR"/>
        </w:rPr>
        <w:tab/>
        <w:t>Programme d</w:t>
      </w:r>
      <w:r w:rsidR="00B4091E">
        <w:rPr>
          <w:sz w:val="18"/>
          <w:lang w:val="fr-FR"/>
        </w:rPr>
        <w:t>’</w:t>
      </w:r>
      <w:r w:rsidRPr="0016157A">
        <w:rPr>
          <w:sz w:val="18"/>
          <w:lang w:val="fr-FR"/>
        </w:rPr>
        <w:t>élaboration des documents TGP sur la base des commentaires des TWP,</w:t>
      </w:r>
      <w:r w:rsidR="007E18E6">
        <w:rPr>
          <w:sz w:val="18"/>
          <w:lang w:val="fr-FR"/>
        </w:rPr>
        <w:br/>
      </w:r>
      <w:r w:rsidRPr="0016157A">
        <w:rPr>
          <w:sz w:val="18"/>
          <w:lang w:val="fr-FR"/>
        </w:rPr>
        <w:t>à leurs sessions de 2017</w:t>
      </w:r>
    </w:p>
    <w:p w:rsidR="00EA3338" w:rsidRDefault="00EA3338" w:rsidP="008D1C5B">
      <w:pPr>
        <w:rPr>
          <w:sz w:val="18"/>
          <w:lang w:val="fr-FR"/>
        </w:rPr>
      </w:pPr>
      <w:r>
        <w:rPr>
          <w:sz w:val="18"/>
          <w:lang w:val="fr-FR"/>
        </w:rPr>
        <w:br w:type="page"/>
      </w:r>
    </w:p>
    <w:p w:rsidR="00EA3338" w:rsidRPr="0016157A" w:rsidRDefault="00EA3338" w:rsidP="00C249E4">
      <w:pPr>
        <w:rPr>
          <w:rFonts w:cs="Arial"/>
          <w:lang w:val="fr-FR"/>
        </w:rPr>
      </w:pPr>
      <w:r w:rsidRPr="0016157A">
        <w:rPr>
          <w:rFonts w:cs="Arial"/>
          <w:lang w:val="fr-FR"/>
        </w:rPr>
        <w:fldChar w:fldCharType="begin"/>
      </w:r>
      <w:r w:rsidRPr="0016157A">
        <w:rPr>
          <w:rFonts w:cs="Arial"/>
          <w:lang w:val="fr-FR"/>
        </w:rPr>
        <w:instrText xml:space="preserve"> AUTONUM  </w:instrText>
      </w:r>
      <w:r w:rsidRPr="0016157A">
        <w:rPr>
          <w:rFonts w:cs="Arial"/>
          <w:lang w:val="fr-FR"/>
        </w:rPr>
        <w:fldChar w:fldCharType="end"/>
      </w:r>
      <w:r w:rsidRPr="0016157A">
        <w:rPr>
          <w:rFonts w:cs="Arial"/>
          <w:lang w:val="fr-FR"/>
        </w:rPr>
        <w:tab/>
        <w:t>Les abréviations ci</w:t>
      </w:r>
      <w:r w:rsidRPr="0016157A">
        <w:rPr>
          <w:rFonts w:cs="Arial"/>
          <w:lang w:val="fr-FR"/>
        </w:rPr>
        <w:noBreakHyphen/>
        <w:t>après sont utilisées dans le présent document :</w:t>
      </w:r>
    </w:p>
    <w:p w:rsidR="00EA3338" w:rsidRPr="008D1C5B" w:rsidRDefault="00EA3338" w:rsidP="00C249E4">
      <w:pPr>
        <w:ind w:left="1701" w:hanging="1134"/>
        <w:rPr>
          <w:rFonts w:cs="Arial"/>
          <w:sz w:val="18"/>
          <w:szCs w:val="19"/>
          <w:lang w:val="fr-FR"/>
        </w:rPr>
      </w:pPr>
    </w:p>
    <w:p w:rsidR="00EA3338" w:rsidRPr="008D1C5B" w:rsidRDefault="00EA3338" w:rsidP="00C249E4">
      <w:pPr>
        <w:ind w:left="1701" w:hanging="1134"/>
        <w:rPr>
          <w:rFonts w:cs="Arial"/>
          <w:spacing w:val="-2"/>
          <w:lang w:val="fr-FR"/>
        </w:rPr>
      </w:pPr>
      <w:r w:rsidRPr="008D1C5B">
        <w:rPr>
          <w:rFonts w:cs="Arial"/>
          <w:spacing w:val="-2"/>
          <w:lang w:val="fr-FR"/>
        </w:rPr>
        <w:t xml:space="preserve">BMT : </w:t>
      </w:r>
      <w:r w:rsidRPr="008D1C5B">
        <w:rPr>
          <w:rFonts w:cs="Arial"/>
          <w:spacing w:val="-2"/>
          <w:lang w:val="fr-FR"/>
        </w:rPr>
        <w:tab/>
        <w:t>Groupe de travail sur les techniques biochimiques et moléculaires, notamment les profils d</w:t>
      </w:r>
      <w:r w:rsidR="00B4091E" w:rsidRPr="008D1C5B">
        <w:rPr>
          <w:rFonts w:cs="Arial"/>
          <w:spacing w:val="-2"/>
          <w:lang w:val="fr-FR"/>
        </w:rPr>
        <w:t>’</w:t>
      </w:r>
      <w:r w:rsidRPr="008D1C5B">
        <w:rPr>
          <w:rFonts w:cs="Arial"/>
          <w:spacing w:val="-2"/>
          <w:lang w:val="fr-FR"/>
        </w:rPr>
        <w:t>ADN</w:t>
      </w:r>
    </w:p>
    <w:p w:rsidR="00EA3338" w:rsidRPr="0016157A" w:rsidRDefault="00EA3338" w:rsidP="00C249E4">
      <w:pPr>
        <w:ind w:left="1701" w:hanging="1134"/>
        <w:rPr>
          <w:rFonts w:cs="Arial"/>
          <w:lang w:val="fr-FR"/>
        </w:rPr>
      </w:pPr>
      <w:r w:rsidRPr="0016157A">
        <w:rPr>
          <w:rFonts w:cs="Arial"/>
          <w:lang w:val="fr-FR"/>
        </w:rPr>
        <w:t xml:space="preserve">TC : </w:t>
      </w:r>
      <w:r w:rsidRPr="0016157A">
        <w:rPr>
          <w:rFonts w:cs="Arial"/>
          <w:lang w:val="fr-FR"/>
        </w:rPr>
        <w:tab/>
        <w:t>Comité technique</w:t>
      </w:r>
    </w:p>
    <w:p w:rsidR="00EA3338" w:rsidRPr="0016157A" w:rsidRDefault="00EA3338" w:rsidP="00C249E4">
      <w:pPr>
        <w:ind w:left="1701" w:hanging="1134"/>
        <w:rPr>
          <w:rFonts w:cs="Arial"/>
          <w:lang w:val="fr-FR"/>
        </w:rPr>
      </w:pPr>
      <w:r w:rsidRPr="0016157A">
        <w:rPr>
          <w:rFonts w:cs="Arial"/>
          <w:lang w:val="fr-FR"/>
        </w:rPr>
        <w:t>TC</w:t>
      </w:r>
      <w:r w:rsidRPr="0016157A">
        <w:rPr>
          <w:rFonts w:cs="Arial"/>
          <w:lang w:val="fr-FR"/>
        </w:rPr>
        <w:noBreakHyphen/>
        <w:t xml:space="preserve">EDC : </w:t>
      </w:r>
      <w:r w:rsidRPr="0016157A">
        <w:rPr>
          <w:rFonts w:cs="Arial"/>
          <w:lang w:val="fr-FR"/>
        </w:rPr>
        <w:tab/>
        <w:t>Comité de rédaction élargi du Comité technique</w:t>
      </w:r>
    </w:p>
    <w:p w:rsidR="00EA3338" w:rsidRPr="0016157A" w:rsidRDefault="00EA3338" w:rsidP="00C249E4">
      <w:pPr>
        <w:ind w:left="1701" w:hanging="1134"/>
        <w:rPr>
          <w:rFonts w:cs="Arial"/>
          <w:lang w:val="fr-FR"/>
        </w:rPr>
      </w:pPr>
      <w:r w:rsidRPr="0016157A">
        <w:rPr>
          <w:rFonts w:cs="Arial"/>
          <w:lang w:val="fr-FR"/>
        </w:rPr>
        <w:t xml:space="preserve">TWA : </w:t>
      </w:r>
      <w:r w:rsidRPr="0016157A">
        <w:rPr>
          <w:rFonts w:cs="Arial"/>
          <w:lang w:val="fr-FR"/>
        </w:rPr>
        <w:tab/>
        <w:t>Groupe de travail technique sur les plantes agricoles</w:t>
      </w:r>
    </w:p>
    <w:p w:rsidR="00EA3338" w:rsidRPr="008D1C5B" w:rsidRDefault="00EA3338" w:rsidP="00C249E4">
      <w:pPr>
        <w:ind w:left="1701" w:hanging="1134"/>
        <w:rPr>
          <w:rFonts w:cs="Arial"/>
          <w:spacing w:val="-4"/>
          <w:lang w:val="fr-FR"/>
        </w:rPr>
      </w:pPr>
      <w:r w:rsidRPr="008D1C5B">
        <w:rPr>
          <w:rFonts w:cs="Arial"/>
          <w:spacing w:val="-4"/>
          <w:lang w:val="fr-FR"/>
        </w:rPr>
        <w:t xml:space="preserve">TWC : </w:t>
      </w:r>
      <w:r w:rsidRPr="008D1C5B">
        <w:rPr>
          <w:rFonts w:cs="Arial"/>
          <w:spacing w:val="-4"/>
          <w:lang w:val="fr-FR"/>
        </w:rPr>
        <w:tab/>
        <w:t>Groupe de travail technique sur les systèmes d</w:t>
      </w:r>
      <w:r w:rsidR="00B4091E" w:rsidRPr="008D1C5B">
        <w:rPr>
          <w:rFonts w:cs="Arial"/>
          <w:spacing w:val="-4"/>
          <w:lang w:val="fr-FR"/>
        </w:rPr>
        <w:t>’</w:t>
      </w:r>
      <w:r w:rsidRPr="008D1C5B">
        <w:rPr>
          <w:rFonts w:cs="Arial"/>
          <w:spacing w:val="-4"/>
          <w:lang w:val="fr-FR"/>
        </w:rPr>
        <w:t>automatisation et les programmes d</w:t>
      </w:r>
      <w:r w:rsidR="00B4091E" w:rsidRPr="008D1C5B">
        <w:rPr>
          <w:rFonts w:cs="Arial"/>
          <w:spacing w:val="-4"/>
          <w:lang w:val="fr-FR"/>
        </w:rPr>
        <w:t>’</w:t>
      </w:r>
      <w:r w:rsidRPr="008D1C5B">
        <w:rPr>
          <w:rFonts w:cs="Arial"/>
          <w:spacing w:val="-4"/>
          <w:lang w:val="fr-FR"/>
        </w:rPr>
        <w:t>ordinateur</w:t>
      </w:r>
    </w:p>
    <w:p w:rsidR="00EA3338" w:rsidRPr="0016157A" w:rsidRDefault="00EA3338" w:rsidP="00C249E4">
      <w:pPr>
        <w:ind w:left="1701" w:hanging="1134"/>
        <w:rPr>
          <w:rFonts w:cs="Arial"/>
          <w:lang w:val="fr-FR"/>
        </w:rPr>
      </w:pPr>
      <w:r w:rsidRPr="0016157A">
        <w:rPr>
          <w:rFonts w:cs="Arial"/>
          <w:lang w:val="fr-FR"/>
        </w:rPr>
        <w:t xml:space="preserve">TWF : </w:t>
      </w:r>
      <w:r w:rsidRPr="0016157A">
        <w:rPr>
          <w:rFonts w:cs="Arial"/>
          <w:lang w:val="fr-FR"/>
        </w:rPr>
        <w:tab/>
        <w:t>Groupe de travail technique sur les plantes fruitières</w:t>
      </w:r>
    </w:p>
    <w:p w:rsidR="00EA3338" w:rsidRPr="0016157A" w:rsidRDefault="00EA3338" w:rsidP="00C249E4">
      <w:pPr>
        <w:ind w:left="1701" w:hanging="1134"/>
        <w:rPr>
          <w:rFonts w:cs="Arial"/>
          <w:lang w:val="fr-FR"/>
        </w:rPr>
      </w:pPr>
      <w:proofErr w:type="gramStart"/>
      <w:r w:rsidRPr="0016157A">
        <w:rPr>
          <w:rFonts w:cs="Arial"/>
          <w:lang w:val="fr-FR"/>
        </w:rPr>
        <w:t>TWO:</w:t>
      </w:r>
      <w:proofErr w:type="gramEnd"/>
      <w:r w:rsidRPr="0016157A">
        <w:rPr>
          <w:rFonts w:cs="Arial"/>
          <w:lang w:val="fr-FR"/>
        </w:rPr>
        <w:t xml:space="preserve"> </w:t>
      </w:r>
      <w:r w:rsidRPr="0016157A">
        <w:rPr>
          <w:rFonts w:cs="Arial"/>
          <w:lang w:val="fr-FR"/>
        </w:rPr>
        <w:tab/>
        <w:t>Groupe de travail technique sur les plantes ornementales et les arbres forestiers</w:t>
      </w:r>
    </w:p>
    <w:p w:rsidR="00EA3338" w:rsidRPr="0016157A" w:rsidRDefault="00EA3338" w:rsidP="00C249E4">
      <w:pPr>
        <w:ind w:left="1701" w:hanging="1134"/>
        <w:rPr>
          <w:rFonts w:cs="Arial"/>
          <w:lang w:val="fr-FR"/>
        </w:rPr>
      </w:pPr>
      <w:r w:rsidRPr="0016157A">
        <w:rPr>
          <w:rFonts w:cs="Arial"/>
          <w:lang w:val="fr-FR"/>
        </w:rPr>
        <w:t xml:space="preserve">TWV : </w:t>
      </w:r>
      <w:r w:rsidRPr="0016157A">
        <w:rPr>
          <w:rFonts w:cs="Arial"/>
          <w:lang w:val="fr-FR"/>
        </w:rPr>
        <w:tab/>
        <w:t>Groupe de travail technique sur les plantes potagères</w:t>
      </w:r>
    </w:p>
    <w:p w:rsidR="00EA3338" w:rsidRPr="0016157A" w:rsidRDefault="00EA3338" w:rsidP="00C249E4">
      <w:pPr>
        <w:ind w:left="1701" w:hanging="1134"/>
        <w:rPr>
          <w:rFonts w:cs="Arial"/>
          <w:color w:val="000000"/>
          <w:lang w:val="fr-FR"/>
        </w:rPr>
      </w:pPr>
      <w:r w:rsidRPr="0016157A">
        <w:rPr>
          <w:rFonts w:cs="Arial"/>
          <w:color w:val="000000"/>
          <w:lang w:val="fr-FR"/>
        </w:rPr>
        <w:t xml:space="preserve">TWP : </w:t>
      </w:r>
      <w:r w:rsidRPr="0016157A">
        <w:rPr>
          <w:rFonts w:cs="Arial"/>
          <w:color w:val="000000"/>
          <w:lang w:val="fr-FR"/>
        </w:rPr>
        <w:tab/>
        <w:t>Groupes de travail techniques</w:t>
      </w:r>
    </w:p>
    <w:p w:rsidR="00EA3338" w:rsidRPr="008D1C5B" w:rsidRDefault="00EA3338" w:rsidP="00C249E4">
      <w:pPr>
        <w:rPr>
          <w:sz w:val="18"/>
          <w:lang w:val="fr-FR"/>
        </w:rPr>
      </w:pPr>
    </w:p>
    <w:p w:rsidR="00EA3338" w:rsidRPr="008D1C5B" w:rsidRDefault="00EA3338" w:rsidP="00C249E4">
      <w:pPr>
        <w:rPr>
          <w:sz w:val="18"/>
          <w:lang w:val="fr-FR"/>
        </w:rPr>
      </w:pPr>
    </w:p>
    <w:p w:rsidR="00EA3338" w:rsidRPr="0016157A" w:rsidRDefault="00EA3338" w:rsidP="00857E46">
      <w:pPr>
        <w:pStyle w:val="Heading1"/>
        <w:rPr>
          <w:lang w:val="fr-FR"/>
        </w:rPr>
      </w:pPr>
      <w:bookmarkStart w:id="5" w:name="_Toc521492791"/>
      <w:r w:rsidRPr="0016157A">
        <w:rPr>
          <w:lang w:val="fr-FR"/>
        </w:rPr>
        <w:t>Rappel</w:t>
      </w:r>
      <w:bookmarkEnd w:id="5"/>
    </w:p>
    <w:p w:rsidR="00EA3338" w:rsidRPr="008D1C5B" w:rsidRDefault="00EA3338" w:rsidP="00C249E4">
      <w:pPr>
        <w:keepNext/>
        <w:rPr>
          <w:rFonts w:cs="Arial"/>
          <w:sz w:val="18"/>
          <w:szCs w:val="19"/>
          <w:lang w:val="fr-FR"/>
        </w:rPr>
      </w:pPr>
    </w:p>
    <w:p w:rsidR="00EA3338" w:rsidRPr="0016157A" w:rsidRDefault="00EA3338" w:rsidP="00C249E4">
      <w:pPr>
        <w:keepNext/>
        <w:tabs>
          <w:tab w:val="left" w:pos="709"/>
        </w:tabs>
        <w:rPr>
          <w:rFonts w:cs="Arial"/>
          <w:lang w:val="fr-FR"/>
        </w:rPr>
      </w:pPr>
      <w:r w:rsidRPr="0016157A">
        <w:rPr>
          <w:rFonts w:cs="Arial"/>
          <w:lang w:val="fr-FR"/>
        </w:rPr>
        <w:fldChar w:fldCharType="begin"/>
      </w:r>
      <w:r w:rsidRPr="0016157A">
        <w:rPr>
          <w:rFonts w:cs="Arial"/>
          <w:lang w:val="fr-FR"/>
        </w:rPr>
        <w:instrText xml:space="preserve"> AUTONUM  </w:instrText>
      </w:r>
      <w:r w:rsidRPr="0016157A">
        <w:rPr>
          <w:rFonts w:cs="Arial"/>
          <w:lang w:val="fr-FR"/>
        </w:rPr>
        <w:fldChar w:fldCharType="end"/>
      </w:r>
      <w:r w:rsidRPr="0016157A">
        <w:rPr>
          <w:rFonts w:cs="Arial"/>
          <w:lang w:val="fr-FR"/>
        </w:rPr>
        <w:tab/>
      </w:r>
      <w:r w:rsidRPr="0016157A">
        <w:rPr>
          <w:lang w:val="fr-FR"/>
        </w:rPr>
        <w:t>Le TC, à sa cinquante</w:t>
      </w:r>
      <w:r w:rsidRPr="0016157A">
        <w:rPr>
          <w:lang w:val="fr-FR"/>
        </w:rPr>
        <w:noBreakHyphen/>
        <w:t>troisième session, et le CAJ, à sa soixante</w:t>
      </w:r>
      <w:r w:rsidRPr="0016157A">
        <w:rPr>
          <w:lang w:val="fr-FR"/>
        </w:rPr>
        <w:noBreakHyphen/>
        <w:t>quatorzième session, ont approuvé le programme d</w:t>
      </w:r>
      <w:r w:rsidR="00B4091E">
        <w:rPr>
          <w:lang w:val="fr-FR"/>
        </w:rPr>
        <w:t>’</w:t>
      </w:r>
      <w:r w:rsidRPr="0016157A">
        <w:rPr>
          <w:lang w:val="fr-FR"/>
        </w:rPr>
        <w:t>élaboration des documents TGP, tel qu</w:t>
      </w:r>
      <w:r w:rsidR="00B4091E">
        <w:rPr>
          <w:lang w:val="fr-FR"/>
        </w:rPr>
        <w:t>’</w:t>
      </w:r>
      <w:r w:rsidRPr="0016157A">
        <w:rPr>
          <w:lang w:val="fr-FR"/>
        </w:rPr>
        <w:t xml:space="preserve">il figure dans </w:t>
      </w:r>
      <w:proofErr w:type="gramStart"/>
      <w:r w:rsidRPr="0016157A">
        <w:rPr>
          <w:lang w:val="fr-FR"/>
        </w:rPr>
        <w:t>les annexes respectifs</w:t>
      </w:r>
      <w:proofErr w:type="gramEnd"/>
      <w:r w:rsidRPr="0016157A">
        <w:rPr>
          <w:lang w:val="fr-FR"/>
        </w:rPr>
        <w:t xml:space="preserve"> des documents TC/53/5 et CAJ/74/7 (voir le paragraphe 145 du document TC/53/31 </w:t>
      </w:r>
      <w:r w:rsidR="00B4091E">
        <w:rPr>
          <w:lang w:val="fr-FR"/>
        </w:rPr>
        <w:t>“</w:t>
      </w:r>
      <w:r w:rsidRPr="0016157A">
        <w:rPr>
          <w:lang w:val="fr-FR"/>
        </w:rPr>
        <w:t>Compte rendu</w:t>
      </w:r>
      <w:r w:rsidR="00B4091E">
        <w:rPr>
          <w:lang w:val="fr-FR"/>
        </w:rPr>
        <w:t>”</w:t>
      </w:r>
      <w:r w:rsidRPr="0016157A">
        <w:rPr>
          <w:lang w:val="fr-FR"/>
        </w:rPr>
        <w:t xml:space="preserve"> et le paragraphe 39 du document CAJ/74/10 </w:t>
      </w:r>
      <w:r w:rsidR="00B4091E">
        <w:rPr>
          <w:lang w:val="fr-FR"/>
        </w:rPr>
        <w:t>“</w:t>
      </w:r>
      <w:r w:rsidRPr="0016157A">
        <w:rPr>
          <w:lang w:val="fr-FR"/>
        </w:rPr>
        <w:t>Compte rendu</w:t>
      </w:r>
      <w:r w:rsidR="00B4091E">
        <w:rPr>
          <w:lang w:val="fr-FR"/>
        </w:rPr>
        <w:t>”</w:t>
      </w:r>
      <w:r w:rsidRPr="0016157A">
        <w:rPr>
          <w:lang w:val="fr-FR"/>
        </w:rPr>
        <w:t>).</w:t>
      </w:r>
    </w:p>
    <w:p w:rsidR="00EA3338" w:rsidRPr="008D1C5B" w:rsidRDefault="00EA3338" w:rsidP="00C249E4">
      <w:pPr>
        <w:keepNext/>
        <w:rPr>
          <w:rFonts w:cs="Arial"/>
          <w:sz w:val="18"/>
          <w:szCs w:val="19"/>
          <w:lang w:val="fr-FR"/>
        </w:rPr>
      </w:pPr>
    </w:p>
    <w:p w:rsidR="00EA3338" w:rsidRPr="0016157A" w:rsidRDefault="00EA3338" w:rsidP="00C249E4">
      <w:pPr>
        <w:rPr>
          <w:rFonts w:cs="Arial"/>
          <w:lang w:val="fr-FR"/>
        </w:rPr>
      </w:pPr>
      <w:r w:rsidRPr="0016157A">
        <w:rPr>
          <w:rFonts w:cs="Arial"/>
          <w:lang w:val="fr-FR"/>
        </w:rPr>
        <w:fldChar w:fldCharType="begin"/>
      </w:r>
      <w:r w:rsidRPr="0016157A">
        <w:rPr>
          <w:rFonts w:cs="Arial"/>
          <w:lang w:val="fr-FR"/>
        </w:rPr>
        <w:instrText xml:space="preserve"> AUTONUM  </w:instrText>
      </w:r>
      <w:r w:rsidRPr="0016157A">
        <w:rPr>
          <w:rFonts w:cs="Arial"/>
          <w:lang w:val="fr-FR"/>
        </w:rPr>
        <w:fldChar w:fldCharType="end"/>
      </w:r>
      <w:r w:rsidRPr="0016157A">
        <w:rPr>
          <w:rFonts w:cs="Arial"/>
          <w:color w:val="000000"/>
          <w:lang w:val="fr-FR"/>
        </w:rPr>
        <w:tab/>
      </w:r>
      <w:r w:rsidRPr="0016157A">
        <w:rPr>
          <w:rFonts w:cs="Arial"/>
          <w:spacing w:val="-2"/>
          <w:lang w:val="fr-FR"/>
        </w:rPr>
        <w:t>Les documents TGP approuvés sont publiés sur le site Web de l</w:t>
      </w:r>
      <w:r w:rsidR="00B4091E">
        <w:rPr>
          <w:rFonts w:cs="Arial"/>
          <w:spacing w:val="-2"/>
          <w:lang w:val="fr-FR"/>
        </w:rPr>
        <w:t>’</w:t>
      </w:r>
      <w:r w:rsidRPr="0016157A">
        <w:rPr>
          <w:rFonts w:cs="Arial"/>
          <w:spacing w:val="-2"/>
          <w:lang w:val="fr-FR"/>
        </w:rPr>
        <w:t>UPOV à l</w:t>
      </w:r>
      <w:r w:rsidR="00B4091E">
        <w:rPr>
          <w:rFonts w:cs="Arial"/>
          <w:spacing w:val="-2"/>
          <w:lang w:val="fr-FR"/>
        </w:rPr>
        <w:t>’</w:t>
      </w:r>
      <w:r w:rsidRPr="0016157A">
        <w:rPr>
          <w:rFonts w:cs="Arial"/>
          <w:spacing w:val="-2"/>
          <w:lang w:val="fr-FR"/>
        </w:rPr>
        <w:t>adresse</w:t>
      </w:r>
      <w:r w:rsidRPr="0016157A">
        <w:rPr>
          <w:rFonts w:cs="Arial"/>
          <w:lang w:val="fr-FR"/>
        </w:rPr>
        <w:t xml:space="preserve"> </w:t>
      </w:r>
      <w:hyperlink r:id="rId9" w:history="1">
        <w:r w:rsidRPr="0016157A">
          <w:rPr>
            <w:rStyle w:val="Hyperlink"/>
            <w:rFonts w:cs="Arial"/>
            <w:lang w:val="fr-FR"/>
          </w:rPr>
          <w:t>http://www.upov.int/upov_collection/fr/</w:t>
        </w:r>
      </w:hyperlink>
      <w:r w:rsidRPr="0016157A">
        <w:rPr>
          <w:rFonts w:cs="Arial"/>
          <w:lang w:val="fr-FR"/>
        </w:rPr>
        <w:t>.</w:t>
      </w:r>
    </w:p>
    <w:p w:rsidR="00EA3338" w:rsidRPr="008D1C5B" w:rsidRDefault="00EA3338" w:rsidP="00C249E4">
      <w:pPr>
        <w:rPr>
          <w:rFonts w:cs="Arial"/>
          <w:iCs/>
          <w:sz w:val="18"/>
          <w:szCs w:val="19"/>
          <w:lang w:val="fr-FR"/>
        </w:rPr>
      </w:pPr>
      <w:bookmarkStart w:id="6" w:name="_Toc386185983"/>
      <w:bookmarkStart w:id="7" w:name="_Toc419124871"/>
      <w:bookmarkStart w:id="8" w:name="_Toc378251517"/>
      <w:bookmarkStart w:id="9" w:name="_Toc381279978"/>
      <w:bookmarkEnd w:id="3"/>
      <w:bookmarkEnd w:id="4"/>
    </w:p>
    <w:p w:rsidR="00EA3338" w:rsidRPr="0016157A" w:rsidRDefault="00EA3338" w:rsidP="00C249E4">
      <w:pPr>
        <w:keepNext/>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À sa trente</w:t>
      </w:r>
      <w:r w:rsidRPr="0016157A">
        <w:rPr>
          <w:lang w:val="fr-FR"/>
        </w:rPr>
        <w:noBreakHyphen/>
        <w:t>quatrième session extraordinaire tenue à Genève le 6 avril 2017, le Conseil a décidé d</w:t>
      </w:r>
      <w:r w:rsidR="00B4091E">
        <w:rPr>
          <w:lang w:val="fr-FR"/>
        </w:rPr>
        <w:t>’</w:t>
      </w:r>
      <w:r w:rsidRPr="0016157A">
        <w:rPr>
          <w:lang w:val="fr-FR"/>
        </w:rPr>
        <w:t>organiser une seule série de sessions à partir de 2018, en octobre</w:t>
      </w:r>
      <w:r w:rsidRPr="0016157A">
        <w:rPr>
          <w:lang w:val="fr-FR"/>
        </w:rPr>
        <w:noBreakHyphen/>
        <w:t>novembre (voir les paragraphes 12 à 14 du document C(</w:t>
      </w:r>
      <w:proofErr w:type="spellStart"/>
      <w:r w:rsidRPr="0016157A">
        <w:rPr>
          <w:lang w:val="fr-FR"/>
        </w:rPr>
        <w:t>Extr</w:t>
      </w:r>
      <w:proofErr w:type="spellEnd"/>
      <w:proofErr w:type="gramStart"/>
      <w:r w:rsidRPr="0016157A">
        <w:rPr>
          <w:lang w:val="fr-FR"/>
        </w:rPr>
        <w:t>.)/</w:t>
      </w:r>
      <w:proofErr w:type="gramEnd"/>
      <w:r w:rsidRPr="0016157A">
        <w:rPr>
          <w:lang w:val="fr-FR"/>
        </w:rPr>
        <w:t xml:space="preserve">34/6 </w:t>
      </w:r>
      <w:r w:rsidR="00B4091E">
        <w:rPr>
          <w:lang w:val="fr-FR"/>
        </w:rPr>
        <w:t>“</w:t>
      </w:r>
      <w:r w:rsidRPr="0016157A">
        <w:rPr>
          <w:lang w:val="fr-FR"/>
        </w:rPr>
        <w:t>Compte rendu des décisions</w:t>
      </w:r>
      <w:r w:rsidR="00B4091E">
        <w:rPr>
          <w:lang w:val="fr-FR"/>
        </w:rPr>
        <w:t>”</w:t>
      </w:r>
      <w:r w:rsidRPr="0016157A">
        <w:rPr>
          <w:lang w:val="fr-FR"/>
        </w:rPr>
        <w:t>).  À partir de 2018, les réunions du TC qui se tenaient en mars</w:t>
      </w:r>
      <w:r w:rsidRPr="0016157A">
        <w:rPr>
          <w:lang w:val="fr-FR"/>
        </w:rPr>
        <w:noBreakHyphen/>
        <w:t>avril auront lieu en octobre</w:t>
      </w:r>
      <w:r w:rsidRPr="0016157A">
        <w:rPr>
          <w:lang w:val="fr-FR"/>
        </w:rPr>
        <w:noBreakHyphen/>
        <w:t>novembre.  Le TC</w:t>
      </w:r>
      <w:r w:rsidRPr="0016157A">
        <w:rPr>
          <w:lang w:val="fr-FR"/>
        </w:rPr>
        <w:noBreakHyphen/>
        <w:t xml:space="preserve">EDC se réunira deux fois par </w:t>
      </w:r>
      <w:proofErr w:type="gramStart"/>
      <w:r w:rsidRPr="0016157A">
        <w:rPr>
          <w:lang w:val="fr-FR"/>
        </w:rPr>
        <w:t>an;  une</w:t>
      </w:r>
      <w:proofErr w:type="gramEnd"/>
      <w:r w:rsidRPr="0016157A">
        <w:rPr>
          <w:lang w:val="fr-FR"/>
        </w:rPr>
        <w:t xml:space="preserve"> fois en mars</w:t>
      </w:r>
      <w:r w:rsidRPr="0016157A">
        <w:rPr>
          <w:lang w:val="fr-FR"/>
        </w:rPr>
        <w:noBreakHyphen/>
        <w:t>avril et une fois dans le cadre des sessions du TC plus tard dans l</w:t>
      </w:r>
      <w:r w:rsidR="00B4091E">
        <w:rPr>
          <w:lang w:val="fr-FR"/>
        </w:rPr>
        <w:t>’</w:t>
      </w:r>
      <w:r w:rsidRPr="0016157A">
        <w:rPr>
          <w:lang w:val="fr-FR"/>
        </w:rPr>
        <w:t>année.</w:t>
      </w:r>
    </w:p>
    <w:p w:rsidR="00EA3338" w:rsidRPr="008D1C5B" w:rsidRDefault="00EA3338" w:rsidP="00C249E4">
      <w:pPr>
        <w:rPr>
          <w:sz w:val="18"/>
          <w:szCs w:val="19"/>
          <w:lang w:val="fr-FR"/>
        </w:rPr>
      </w:pPr>
    </w:p>
    <w:p w:rsidR="00EA3338" w:rsidRPr="0016157A" w:rsidRDefault="00EA3338" w:rsidP="00C249E4">
      <w:pPr>
        <w:rPr>
          <w:rFonts w:cs="Arial"/>
          <w:iCs/>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Conseil a décidé, sur recommandation du Comité consultatif, d</w:t>
      </w:r>
      <w:r w:rsidR="00B4091E">
        <w:rPr>
          <w:lang w:val="fr-FR"/>
        </w:rPr>
        <w:t>’</w:t>
      </w:r>
      <w:r w:rsidRPr="0016157A">
        <w:rPr>
          <w:lang w:val="fr-FR"/>
        </w:rPr>
        <w:t>adopter les propositions formulées par le TC à sa cinquante</w:t>
      </w:r>
      <w:r w:rsidRPr="0016157A">
        <w:rPr>
          <w:lang w:val="fr-FR"/>
        </w:rPr>
        <w:noBreakHyphen/>
        <w:t>troisième session, de prendre des mesures d</w:t>
      </w:r>
      <w:r w:rsidR="00B4091E">
        <w:rPr>
          <w:lang w:val="fr-FR"/>
        </w:rPr>
        <w:t>’</w:t>
      </w:r>
      <w:r w:rsidRPr="0016157A">
        <w:rPr>
          <w:lang w:val="fr-FR"/>
        </w:rPr>
        <w:t>urgence durant la période de transition précédant la cinquante</w:t>
      </w:r>
      <w:r w:rsidRPr="0016157A">
        <w:rPr>
          <w:lang w:val="fr-FR"/>
        </w:rPr>
        <w:noBreakHyphen/>
        <w:t>quatrième session du TC qui se tiendra en octobre 2018;  pour les documents TGP, le TC</w:t>
      </w:r>
      <w:r w:rsidRPr="0016157A">
        <w:rPr>
          <w:lang w:val="fr-FR"/>
        </w:rPr>
        <w:noBreakHyphen/>
        <w:t>EDC</w:t>
      </w:r>
      <w:r w:rsidRPr="0016157A">
        <w:rPr>
          <w:rFonts w:cs="Arial"/>
          <w:iCs/>
          <w:snapToGrid w:val="0"/>
          <w:lang w:val="fr-FR"/>
        </w:rPr>
        <w:t xml:space="preserve"> synthétisera les observations faites par les TWP à leurs sessions de 2017 et, en l</w:t>
      </w:r>
      <w:r w:rsidR="00B4091E">
        <w:rPr>
          <w:rFonts w:cs="Arial"/>
          <w:iCs/>
          <w:snapToGrid w:val="0"/>
          <w:lang w:val="fr-FR"/>
        </w:rPr>
        <w:t>’</w:t>
      </w:r>
      <w:r w:rsidRPr="0016157A">
        <w:rPr>
          <w:rFonts w:cs="Arial"/>
          <w:iCs/>
          <w:snapToGrid w:val="0"/>
          <w:lang w:val="fr-FR"/>
        </w:rPr>
        <w:t xml:space="preserve">absence de consensus entre les TWP, il élaborera des propositions pour un examen ultérieur par les TWP à leurs sessions de 2018 </w:t>
      </w:r>
      <w:r w:rsidRPr="0016157A">
        <w:rPr>
          <w:lang w:val="fr-FR"/>
        </w:rPr>
        <w:t>(voir les paragraphes 12 à 14 du document C(</w:t>
      </w:r>
      <w:proofErr w:type="spellStart"/>
      <w:r w:rsidRPr="0016157A">
        <w:rPr>
          <w:lang w:val="fr-FR"/>
        </w:rPr>
        <w:t>Extr</w:t>
      </w:r>
      <w:proofErr w:type="spellEnd"/>
      <w:r w:rsidRPr="0016157A">
        <w:rPr>
          <w:lang w:val="fr-FR"/>
        </w:rPr>
        <w:t xml:space="preserve">.)/34/6 </w:t>
      </w:r>
      <w:r w:rsidR="00B4091E">
        <w:rPr>
          <w:lang w:val="fr-FR"/>
        </w:rPr>
        <w:t>“</w:t>
      </w:r>
      <w:r w:rsidRPr="0016157A">
        <w:rPr>
          <w:lang w:val="fr-FR"/>
        </w:rPr>
        <w:t>Compte rendu des décisions</w:t>
      </w:r>
      <w:r w:rsidR="00B4091E">
        <w:rPr>
          <w:lang w:val="fr-FR"/>
        </w:rPr>
        <w:t>”</w:t>
      </w:r>
      <w:r w:rsidRPr="0016157A">
        <w:rPr>
          <w:lang w:val="fr-FR"/>
        </w:rPr>
        <w:t>)</w:t>
      </w:r>
      <w:r w:rsidRPr="0016157A">
        <w:rPr>
          <w:rFonts w:cs="Arial"/>
          <w:iCs/>
          <w:snapToGrid w:val="0"/>
          <w:lang w:val="fr-FR"/>
        </w:rPr>
        <w:t>.</w:t>
      </w:r>
    </w:p>
    <w:p w:rsidR="00EA3338" w:rsidRPr="008D1C5B" w:rsidRDefault="00EA3338" w:rsidP="00C249E4">
      <w:pPr>
        <w:rPr>
          <w:sz w:val="19"/>
          <w:szCs w:val="19"/>
          <w:lang w:val="fr-FR"/>
        </w:rPr>
      </w:pPr>
    </w:p>
    <w:p w:rsidR="00EA3338" w:rsidRPr="008D1C5B" w:rsidRDefault="00EA3338" w:rsidP="00C249E4">
      <w:pPr>
        <w:rPr>
          <w:sz w:val="19"/>
          <w:szCs w:val="19"/>
          <w:lang w:val="fr-FR"/>
        </w:rPr>
      </w:pPr>
    </w:p>
    <w:p w:rsidR="00EA3338" w:rsidRPr="0016157A" w:rsidRDefault="00EA3338" w:rsidP="00857E46">
      <w:pPr>
        <w:pStyle w:val="Heading1"/>
        <w:rPr>
          <w:lang w:val="fr-FR"/>
        </w:rPr>
      </w:pPr>
      <w:bookmarkStart w:id="10" w:name="_Toc521492792"/>
      <w:r w:rsidRPr="0016157A">
        <w:rPr>
          <w:lang w:val="fr-FR"/>
        </w:rPr>
        <w:t>QUESTIONS POUR ADOPTION PAR LE CONSEIL EN 2018</w:t>
      </w:r>
      <w:bookmarkEnd w:id="10"/>
    </w:p>
    <w:p w:rsidR="00EA3338" w:rsidRPr="008D1C5B" w:rsidRDefault="00EA3338" w:rsidP="00C249E4">
      <w:pPr>
        <w:rPr>
          <w:sz w:val="19"/>
          <w:szCs w:val="19"/>
          <w:lang w:val="fr-FR"/>
        </w:rPr>
      </w:pPr>
    </w:p>
    <w:p w:rsidR="00EA3338" w:rsidRPr="00883650" w:rsidRDefault="00EA3338" w:rsidP="00C249E4">
      <w:pPr>
        <w:pStyle w:val="Heading2"/>
        <w:rPr>
          <w:lang w:val="fr-CH"/>
        </w:rPr>
      </w:pPr>
      <w:bookmarkStart w:id="11" w:name="_Toc521492793"/>
      <w:r w:rsidRPr="00883650">
        <w:rPr>
          <w:lang w:val="fr-CH"/>
        </w:rPr>
        <w:t>Questions précédemment approuvées par le Comité technique</w:t>
      </w:r>
      <w:bookmarkEnd w:id="11"/>
    </w:p>
    <w:p w:rsidR="00EA3338" w:rsidRPr="008D1C5B" w:rsidRDefault="00EA3338" w:rsidP="00C249E4">
      <w:pPr>
        <w:keepNext/>
        <w:outlineLvl w:val="2"/>
        <w:rPr>
          <w:i/>
          <w:sz w:val="19"/>
          <w:szCs w:val="19"/>
          <w:lang w:val="fr-FR"/>
        </w:rPr>
      </w:pPr>
    </w:p>
    <w:p w:rsidR="00EA3338" w:rsidRPr="0016157A" w:rsidRDefault="00EA3338" w:rsidP="00C249E4">
      <w:pPr>
        <w:keepNext/>
        <w:outlineLvl w:val="2"/>
        <w:rPr>
          <w:i/>
          <w:lang w:val="fr-FR"/>
        </w:rPr>
      </w:pPr>
      <w:bookmarkStart w:id="12" w:name="_Toc521492794"/>
      <w:r w:rsidRPr="0016157A">
        <w:rPr>
          <w:i/>
          <w:lang w:val="fr-FR"/>
        </w:rPr>
        <w:t>TGP/7 : Élaboration des principes directeurs d</w:t>
      </w:r>
      <w:r w:rsidR="00B4091E">
        <w:rPr>
          <w:i/>
          <w:lang w:val="fr-FR"/>
        </w:rPr>
        <w:t>’</w:t>
      </w:r>
      <w:r w:rsidRPr="0016157A">
        <w:rPr>
          <w:i/>
          <w:lang w:val="fr-FR"/>
        </w:rPr>
        <w:t>examen</w:t>
      </w:r>
      <w:bookmarkEnd w:id="12"/>
    </w:p>
    <w:p w:rsidR="00EA3338" w:rsidRPr="008D1C5B" w:rsidRDefault="00EA3338" w:rsidP="00C249E4">
      <w:pPr>
        <w:rPr>
          <w:sz w:val="19"/>
          <w:szCs w:val="19"/>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Les révisions ci</w:t>
      </w:r>
      <w:r w:rsidRPr="0016157A">
        <w:rPr>
          <w:lang w:val="fr-FR"/>
        </w:rPr>
        <w:noBreakHyphen/>
        <w:t xml:space="preserve">après du document TGP/7 </w:t>
      </w:r>
      <w:r w:rsidR="00B4091E">
        <w:rPr>
          <w:lang w:val="fr-FR"/>
        </w:rPr>
        <w:t>“</w:t>
      </w:r>
      <w:r w:rsidRPr="0016157A">
        <w:rPr>
          <w:lang w:val="fr-FR"/>
        </w:rPr>
        <w:t>Élaboration des principes directeurs d</w:t>
      </w:r>
      <w:r w:rsidR="00B4091E">
        <w:rPr>
          <w:lang w:val="fr-FR"/>
        </w:rPr>
        <w:t>’</w:t>
      </w:r>
      <w:r w:rsidRPr="0016157A">
        <w:rPr>
          <w:lang w:val="fr-FR"/>
        </w:rPr>
        <w:t>examen</w:t>
      </w:r>
      <w:r w:rsidR="00B4091E">
        <w:rPr>
          <w:lang w:val="fr-FR"/>
        </w:rPr>
        <w:t>”</w:t>
      </w:r>
      <w:r w:rsidRPr="0016157A">
        <w:rPr>
          <w:lang w:val="fr-FR"/>
        </w:rPr>
        <w:t xml:space="preserve"> ont été approuvées par le Comité technique à sa cinquante</w:t>
      </w:r>
      <w:r w:rsidRPr="0016157A">
        <w:rPr>
          <w:lang w:val="fr-FR"/>
        </w:rPr>
        <w:noBreakHyphen/>
        <w:t>troisième session tenue à Genève du 3 au 5 avril 2017, et seront proposées au Conseil pour adoption à sa cinquante</w:t>
      </w:r>
      <w:r w:rsidRPr="0016157A">
        <w:rPr>
          <w:lang w:val="fr-FR"/>
        </w:rPr>
        <w:noBreakHyphen/>
        <w:t>deuxième session ordinaire qui se tiendra à Genève le 2 novembre 2018, sous réserve de l</w:t>
      </w:r>
      <w:r w:rsidR="00B4091E">
        <w:rPr>
          <w:lang w:val="fr-FR"/>
        </w:rPr>
        <w:t>’</w:t>
      </w:r>
      <w:r w:rsidRPr="0016157A">
        <w:rPr>
          <w:lang w:val="fr-FR"/>
        </w:rPr>
        <w:t>approbation du CAJ à sa soixante</w:t>
      </w:r>
      <w:r w:rsidRPr="0016157A">
        <w:rPr>
          <w:lang w:val="fr-FR"/>
        </w:rPr>
        <w:noBreakHyphen/>
        <w:t>quinzième session qui se tiendra à Genève le 31 octobre 2018 :</w:t>
      </w:r>
    </w:p>
    <w:p w:rsidR="00EA3338" w:rsidRPr="008D1C5B" w:rsidRDefault="00EA3338" w:rsidP="00C249E4">
      <w:pPr>
        <w:keepNext/>
        <w:rPr>
          <w:sz w:val="19"/>
          <w:szCs w:val="19"/>
          <w:lang w:val="fr-FR"/>
        </w:rPr>
      </w:pPr>
    </w:p>
    <w:p w:rsidR="00EA3338" w:rsidRPr="0016157A" w:rsidRDefault="00EA3338" w:rsidP="00C249E4">
      <w:pPr>
        <w:keepNext/>
        <w:ind w:left="1134" w:hanging="567"/>
        <w:outlineLvl w:val="3"/>
        <w:rPr>
          <w:u w:val="single"/>
          <w:lang w:val="fr-FR"/>
        </w:rPr>
      </w:pPr>
      <w:bookmarkStart w:id="13" w:name="_Toc521492795"/>
      <w:r w:rsidRPr="00EE4E60">
        <w:rPr>
          <w:lang w:val="fr-FR"/>
        </w:rPr>
        <w:t>i)</w:t>
      </w:r>
      <w:r w:rsidRPr="00EE4E60">
        <w:rPr>
          <w:lang w:val="fr-FR"/>
        </w:rPr>
        <w:tab/>
      </w:r>
      <w:r w:rsidRPr="0016157A">
        <w:rPr>
          <w:u w:val="single"/>
          <w:lang w:val="fr-FR"/>
        </w:rPr>
        <w:t>Matériel pour les rédacteurs de principes directeurs d</w:t>
      </w:r>
      <w:r w:rsidR="00B4091E">
        <w:rPr>
          <w:u w:val="single"/>
          <w:lang w:val="fr-FR"/>
        </w:rPr>
        <w:t>’</w:t>
      </w:r>
      <w:r w:rsidRPr="0016157A">
        <w:rPr>
          <w:u w:val="single"/>
          <w:lang w:val="fr-FR"/>
        </w:rPr>
        <w:t>examen</w:t>
      </w:r>
      <w:bookmarkEnd w:id="13"/>
    </w:p>
    <w:p w:rsidR="00EA3338" w:rsidRPr="008D1C5B" w:rsidRDefault="00EA3338" w:rsidP="00C249E4">
      <w:pPr>
        <w:keepNext/>
        <w:rPr>
          <w:bCs/>
          <w:sz w:val="19"/>
          <w:szCs w:val="19"/>
          <w:lang w:val="fr-FR"/>
        </w:rPr>
      </w:pPr>
    </w:p>
    <w:p w:rsidR="00EA3338" w:rsidRPr="0016157A" w:rsidRDefault="00EA3338" w:rsidP="00C249E4">
      <w:pPr>
        <w:keepNext/>
        <w:keepLines/>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À sa cinquante</w:t>
      </w:r>
      <w:r w:rsidRPr="0016157A">
        <w:rPr>
          <w:lang w:val="fr-FR"/>
        </w:rPr>
        <w:noBreakHyphen/>
        <w:t xml:space="preserve">troisième session, le TC a approuvé les propositions de révision du document TGP/7 </w:t>
      </w:r>
      <w:r w:rsidR="00B4091E">
        <w:rPr>
          <w:lang w:val="fr-FR"/>
        </w:rPr>
        <w:t>“</w:t>
      </w:r>
      <w:r w:rsidRPr="0016157A">
        <w:rPr>
          <w:lang w:val="fr-FR"/>
        </w:rPr>
        <w:t>Élaboration des principes directeurs d</w:t>
      </w:r>
      <w:r w:rsidR="00B4091E">
        <w:rPr>
          <w:lang w:val="fr-FR"/>
        </w:rPr>
        <w:t>’</w:t>
      </w:r>
      <w:r w:rsidRPr="0016157A">
        <w:rPr>
          <w:lang w:val="fr-FR"/>
        </w:rPr>
        <w:t>examen</w:t>
      </w:r>
      <w:r w:rsidR="00B4091E">
        <w:rPr>
          <w:lang w:val="fr-FR"/>
        </w:rPr>
        <w:t>”</w:t>
      </w:r>
      <w:r w:rsidRPr="0016157A">
        <w:rPr>
          <w:lang w:val="fr-FR"/>
        </w:rPr>
        <w:t xml:space="preserve"> afin de tenir compte de l</w:t>
      </w:r>
      <w:r w:rsidR="00B4091E">
        <w:rPr>
          <w:lang w:val="fr-FR"/>
        </w:rPr>
        <w:t>’</w:t>
      </w:r>
      <w:r w:rsidRPr="0016157A">
        <w:rPr>
          <w:lang w:val="fr-FR"/>
        </w:rPr>
        <w:t>introduction du modèle de principes directeurs d</w:t>
      </w:r>
      <w:r w:rsidR="00B4091E">
        <w:rPr>
          <w:lang w:val="fr-FR"/>
        </w:rPr>
        <w:t>’</w:t>
      </w:r>
      <w:r w:rsidRPr="0016157A">
        <w:rPr>
          <w:lang w:val="fr-FR"/>
        </w:rPr>
        <w:t>examen fondé sur le Web, comme indiqué à l</w:t>
      </w:r>
      <w:r w:rsidR="00B4091E">
        <w:rPr>
          <w:lang w:val="fr-FR"/>
        </w:rPr>
        <w:t>’</w:t>
      </w:r>
      <w:r w:rsidRPr="0016157A">
        <w:rPr>
          <w:lang w:val="fr-FR"/>
        </w:rPr>
        <w:t>Annexe I du présent document, et est convenu qu</w:t>
      </w:r>
      <w:r w:rsidR="00B4091E">
        <w:rPr>
          <w:lang w:val="fr-FR"/>
        </w:rPr>
        <w:t>’</w:t>
      </w:r>
      <w:r w:rsidRPr="0016157A">
        <w:rPr>
          <w:lang w:val="fr-FR"/>
        </w:rPr>
        <w:t>une version révisée du document TGP/7 doit être présentée au Conseil pour adoption en 2018 sur cette base, sous réserve de l</w:t>
      </w:r>
      <w:r w:rsidR="00B4091E">
        <w:rPr>
          <w:lang w:val="fr-FR"/>
        </w:rPr>
        <w:t>’</w:t>
      </w:r>
      <w:r w:rsidRPr="0016157A">
        <w:rPr>
          <w:lang w:val="fr-FR"/>
        </w:rPr>
        <w:t xml:space="preserve">approbation par le Comité administratif et juridique (CAJ) (voir les paragraphes 107 à 109 du document TC/53/31 </w:t>
      </w:r>
      <w:r w:rsidR="00B4091E">
        <w:rPr>
          <w:lang w:val="fr-FR"/>
        </w:rPr>
        <w:t>“</w:t>
      </w:r>
      <w:r w:rsidRPr="0016157A">
        <w:rPr>
          <w:lang w:val="fr-FR"/>
        </w:rPr>
        <w:t>Compte rendu</w:t>
      </w:r>
      <w:r w:rsidR="00B4091E">
        <w:rPr>
          <w:lang w:val="fr-FR"/>
        </w:rPr>
        <w:t>”</w:t>
      </w:r>
      <w:r w:rsidRPr="0016157A">
        <w:rPr>
          <w:lang w:val="fr-FR"/>
        </w:rPr>
        <w:t>).</w:t>
      </w:r>
    </w:p>
    <w:p w:rsidR="00EA3338" w:rsidRPr="008D1C5B" w:rsidRDefault="00EA3338" w:rsidP="00C249E4">
      <w:pPr>
        <w:keepLines/>
        <w:rPr>
          <w:sz w:val="19"/>
          <w:szCs w:val="19"/>
          <w:lang w:val="fr-FR"/>
        </w:rPr>
      </w:pPr>
    </w:p>
    <w:p w:rsidR="00EA3338" w:rsidRPr="0016157A" w:rsidRDefault="00EA3338" w:rsidP="00C249E4">
      <w:pPr>
        <w:keepLines/>
        <w:rPr>
          <w:rFonts w:cs="Arial"/>
          <w:iCs/>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Les révisions apportées au matériel pour les rédacteurs de principes directeurs d</w:t>
      </w:r>
      <w:r w:rsidR="00B4091E">
        <w:rPr>
          <w:lang w:val="fr-FR"/>
        </w:rPr>
        <w:t>’</w:t>
      </w:r>
      <w:r w:rsidRPr="0016157A">
        <w:rPr>
          <w:lang w:val="fr-FR"/>
        </w:rPr>
        <w:t>examen, approuvées par le TC à sa cinquante</w:t>
      </w:r>
      <w:r w:rsidRPr="0016157A">
        <w:rPr>
          <w:lang w:val="fr-FR"/>
        </w:rPr>
        <w:noBreakHyphen/>
        <w:t>troisième session, figurent dans le document </w:t>
      </w:r>
      <w:r w:rsidRPr="0016157A">
        <w:rPr>
          <w:rFonts w:cs="Arial"/>
          <w:iCs/>
          <w:snapToGrid w:val="0"/>
          <w:lang w:val="fr-FR"/>
        </w:rPr>
        <w:t>TGP/7/6 </w:t>
      </w:r>
      <w:proofErr w:type="spellStart"/>
      <w:r w:rsidRPr="0016157A">
        <w:rPr>
          <w:rFonts w:cs="Arial"/>
          <w:iCs/>
          <w:snapToGrid w:val="0"/>
          <w:lang w:val="fr-FR"/>
        </w:rPr>
        <w:t>Draft</w:t>
      </w:r>
      <w:proofErr w:type="spellEnd"/>
      <w:r w:rsidRPr="0016157A">
        <w:rPr>
          <w:rFonts w:cs="Arial"/>
          <w:iCs/>
          <w:snapToGrid w:val="0"/>
          <w:lang w:val="fr-FR"/>
        </w:rPr>
        <w:t> 1.</w:t>
      </w:r>
    </w:p>
    <w:p w:rsidR="00EA3338" w:rsidRPr="008D1C5B" w:rsidRDefault="00EA3338" w:rsidP="006A65DF">
      <w:pPr>
        <w:rPr>
          <w:sz w:val="19"/>
          <w:szCs w:val="19"/>
          <w:lang w:val="fr-FR"/>
        </w:rPr>
      </w:pPr>
    </w:p>
    <w:p w:rsidR="00EA3338" w:rsidRPr="0016157A" w:rsidRDefault="00EA3338" w:rsidP="00C249E4">
      <w:pPr>
        <w:keepNext/>
        <w:ind w:left="1134" w:hanging="567"/>
        <w:outlineLvl w:val="3"/>
        <w:rPr>
          <w:u w:val="single"/>
          <w:lang w:val="fr-FR"/>
        </w:rPr>
      </w:pPr>
      <w:bookmarkStart w:id="14" w:name="_Toc521492796"/>
      <w:r w:rsidRPr="00EE4E60">
        <w:rPr>
          <w:lang w:val="fr-FR"/>
        </w:rPr>
        <w:t>ii)</w:t>
      </w:r>
      <w:r w:rsidRPr="00EE4E60">
        <w:rPr>
          <w:lang w:val="fr-FR"/>
        </w:rPr>
        <w:tab/>
      </w:r>
      <w:r w:rsidRPr="0016157A">
        <w:rPr>
          <w:u w:val="single"/>
          <w:lang w:val="fr-FR"/>
        </w:rPr>
        <w:t>Présentation de différents types d</w:t>
      </w:r>
      <w:r w:rsidR="00B4091E">
        <w:rPr>
          <w:u w:val="single"/>
          <w:lang w:val="fr-FR"/>
        </w:rPr>
        <w:t>’</w:t>
      </w:r>
      <w:r w:rsidRPr="0016157A">
        <w:rPr>
          <w:u w:val="single"/>
          <w:lang w:val="fr-FR"/>
        </w:rPr>
        <w:t>exemples de variétés</w:t>
      </w:r>
      <w:bookmarkEnd w:id="14"/>
    </w:p>
    <w:p w:rsidR="00EA3338" w:rsidRPr="0016157A" w:rsidRDefault="00EA3338" w:rsidP="00C249E4">
      <w:pPr>
        <w:rPr>
          <w:lang w:val="fr-FR"/>
        </w:rPr>
      </w:pPr>
    </w:p>
    <w:p w:rsidR="00EA3338" w:rsidRPr="0016157A" w:rsidRDefault="00EA3338" w:rsidP="00C249E4">
      <w:pPr>
        <w:rPr>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À sa cinquante</w:t>
      </w:r>
      <w:r w:rsidRPr="0016157A">
        <w:rPr>
          <w:lang w:val="fr-FR"/>
        </w:rPr>
        <w:noBreakHyphen/>
        <w:t xml:space="preserve">troisième session, le TC est convenu que les conseils présentés dans le document TGP/7 </w:t>
      </w:r>
      <w:r w:rsidR="00B4091E">
        <w:rPr>
          <w:lang w:val="fr-FR"/>
        </w:rPr>
        <w:t>“</w:t>
      </w:r>
      <w:r w:rsidRPr="0016157A">
        <w:rPr>
          <w:lang w:val="fr-FR"/>
        </w:rPr>
        <w:t>Élaboration des principes directeurs d</w:t>
      </w:r>
      <w:r w:rsidR="00B4091E">
        <w:rPr>
          <w:lang w:val="fr-FR"/>
        </w:rPr>
        <w:t>’</w:t>
      </w:r>
      <w:r w:rsidRPr="0016157A">
        <w:rPr>
          <w:lang w:val="fr-FR"/>
        </w:rPr>
        <w:t>examen</w:t>
      </w:r>
      <w:r w:rsidR="00B4091E">
        <w:rPr>
          <w:lang w:val="fr-FR"/>
        </w:rPr>
        <w:t>”</w:t>
      </w:r>
      <w:r w:rsidRPr="0016157A">
        <w:rPr>
          <w:lang w:val="fr-FR"/>
        </w:rPr>
        <w:t xml:space="preserve">, GN 28, section 3.2 : </w:t>
      </w:r>
      <w:r w:rsidR="00B4091E">
        <w:rPr>
          <w:lang w:val="fr-FR"/>
        </w:rPr>
        <w:t>“</w:t>
      </w:r>
      <w:r w:rsidRPr="0016157A">
        <w:rPr>
          <w:lang w:val="fr-FR"/>
        </w:rPr>
        <w:t>Différents types de variétés</w:t>
      </w:r>
      <w:r w:rsidR="00B4091E">
        <w:rPr>
          <w:lang w:val="fr-FR"/>
        </w:rPr>
        <w:t>”</w:t>
      </w:r>
      <w:r w:rsidRPr="0016157A">
        <w:rPr>
          <w:lang w:val="fr-FR"/>
        </w:rPr>
        <w:t xml:space="preserve"> doivent être révisés afin que l</w:t>
      </w:r>
      <w:r w:rsidR="00B4091E">
        <w:rPr>
          <w:lang w:val="fr-FR"/>
        </w:rPr>
        <w:t>’</w:t>
      </w:r>
      <w:r w:rsidRPr="0016157A">
        <w:rPr>
          <w:lang w:val="fr-FR"/>
        </w:rPr>
        <w:t xml:space="preserve">indication du type précède la dénomination de chaque exemple de variété (p. ex. (h) hiver 1, (h) hiver 2, (p) printemps 1, (p) printemps 2) (voir le paragraphe 131 du document TC/53/31 </w:t>
      </w:r>
      <w:r w:rsidR="00B4091E">
        <w:rPr>
          <w:lang w:val="fr-FR"/>
        </w:rPr>
        <w:t>“</w:t>
      </w:r>
      <w:r w:rsidRPr="0016157A">
        <w:rPr>
          <w:lang w:val="fr-FR"/>
        </w:rPr>
        <w:t>Compte rendu</w:t>
      </w:r>
      <w:r w:rsidR="00B4091E">
        <w:rPr>
          <w:lang w:val="fr-FR"/>
        </w:rPr>
        <w:t>”</w:t>
      </w:r>
      <w:r w:rsidRPr="0016157A">
        <w:rPr>
          <w:lang w:val="fr-FR"/>
        </w:rPr>
        <w:t>)</w:t>
      </w:r>
      <w:r w:rsidRPr="0016157A">
        <w:rPr>
          <w:snapToGrid w:val="0"/>
          <w:lang w:val="fr-FR"/>
        </w:rPr>
        <w:t>.</w:t>
      </w:r>
    </w:p>
    <w:p w:rsidR="00EA3338" w:rsidRPr="0016157A" w:rsidRDefault="00EA3338" w:rsidP="00C249E4">
      <w:pPr>
        <w:keepLines/>
        <w:rPr>
          <w:lang w:val="fr-FR"/>
        </w:rPr>
      </w:pPr>
    </w:p>
    <w:p w:rsidR="00EA3338" w:rsidRPr="0016157A" w:rsidRDefault="00EA3338" w:rsidP="00C249E4">
      <w:pPr>
        <w:keepLines/>
        <w:rPr>
          <w:rFonts w:cs="Arial"/>
          <w:iCs/>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 xml:space="preserve">La proposition de révision de la note indicative (GN) 28, section 3.2 : </w:t>
      </w:r>
      <w:r w:rsidR="00B4091E">
        <w:rPr>
          <w:lang w:val="fr-FR"/>
        </w:rPr>
        <w:t>“</w:t>
      </w:r>
      <w:r w:rsidRPr="0016157A">
        <w:rPr>
          <w:lang w:val="fr-FR"/>
        </w:rPr>
        <w:t>Différents types de variétés</w:t>
      </w:r>
      <w:r w:rsidR="00B4091E">
        <w:rPr>
          <w:lang w:val="fr-FR"/>
        </w:rPr>
        <w:t>”</w:t>
      </w:r>
      <w:r w:rsidRPr="0016157A">
        <w:rPr>
          <w:lang w:val="fr-FR"/>
        </w:rPr>
        <w:t>, approuvée par le TC à sa cinquante</w:t>
      </w:r>
      <w:r w:rsidRPr="0016157A">
        <w:rPr>
          <w:lang w:val="fr-FR"/>
        </w:rPr>
        <w:noBreakHyphen/>
        <w:t>troisième session, figure à l</w:t>
      </w:r>
      <w:r w:rsidR="00B4091E">
        <w:rPr>
          <w:lang w:val="fr-FR"/>
        </w:rPr>
        <w:t>’</w:t>
      </w:r>
      <w:r w:rsidRPr="0016157A">
        <w:rPr>
          <w:lang w:val="fr-FR"/>
        </w:rPr>
        <w:t>annexe I du présent document et dans le document </w:t>
      </w:r>
      <w:r w:rsidRPr="0016157A">
        <w:rPr>
          <w:rFonts w:cs="Arial"/>
          <w:iCs/>
          <w:snapToGrid w:val="0"/>
          <w:lang w:val="fr-FR"/>
        </w:rPr>
        <w:t>TGP/7/6 </w:t>
      </w:r>
      <w:proofErr w:type="spellStart"/>
      <w:r w:rsidRPr="0016157A">
        <w:rPr>
          <w:rFonts w:cs="Arial"/>
          <w:iCs/>
          <w:snapToGrid w:val="0"/>
          <w:lang w:val="fr-FR"/>
        </w:rPr>
        <w:t>Draft</w:t>
      </w:r>
      <w:proofErr w:type="spellEnd"/>
      <w:r w:rsidRPr="0016157A">
        <w:rPr>
          <w:rFonts w:cs="Arial"/>
          <w:iCs/>
          <w:snapToGrid w:val="0"/>
          <w:lang w:val="fr-FR"/>
        </w:rPr>
        <w:t> 1.</w:t>
      </w:r>
    </w:p>
    <w:p w:rsidR="00EA3338" w:rsidRPr="0016157A" w:rsidRDefault="00EA3338" w:rsidP="00C249E4">
      <w:pPr>
        <w:keepNext/>
        <w:keepLines/>
        <w:rPr>
          <w:lang w:val="fr-FR"/>
        </w:rPr>
      </w:pPr>
    </w:p>
    <w:p w:rsidR="00EA3338" w:rsidRPr="0016157A" w:rsidRDefault="00EA3338" w:rsidP="00C249E4">
      <w:pPr>
        <w:keepNext/>
        <w:keepLines/>
        <w:tabs>
          <w:tab w:val="left" w:pos="5387"/>
          <w:tab w:val="left" w:pos="5954"/>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 xml:space="preserve">Le TC est invité à prendre note que les propositions de révision du document TGP/7 à apporter aux sections </w:t>
      </w:r>
      <w:r w:rsidR="00B4091E">
        <w:rPr>
          <w:i/>
          <w:lang w:val="fr-FR"/>
        </w:rPr>
        <w:t>“</w:t>
      </w:r>
      <w:r w:rsidRPr="0016157A">
        <w:rPr>
          <w:i/>
          <w:lang w:val="fr-FR"/>
        </w:rPr>
        <w:t>Matériel pour les rédacteurs de principes directeurs d</w:t>
      </w:r>
      <w:r w:rsidR="00B4091E">
        <w:rPr>
          <w:i/>
          <w:lang w:val="fr-FR"/>
        </w:rPr>
        <w:t>’</w:t>
      </w:r>
      <w:r w:rsidRPr="0016157A">
        <w:rPr>
          <w:i/>
          <w:lang w:val="fr-FR"/>
        </w:rPr>
        <w:t>examen</w:t>
      </w:r>
      <w:r w:rsidR="00B4091E">
        <w:rPr>
          <w:i/>
          <w:lang w:val="fr-FR"/>
        </w:rPr>
        <w:t>”</w:t>
      </w:r>
      <w:r w:rsidRPr="0016157A">
        <w:rPr>
          <w:i/>
          <w:lang w:val="fr-FR"/>
        </w:rPr>
        <w:t xml:space="preserve"> et </w:t>
      </w:r>
      <w:r w:rsidR="00B4091E">
        <w:rPr>
          <w:i/>
          <w:lang w:val="fr-FR"/>
        </w:rPr>
        <w:t>“</w:t>
      </w:r>
      <w:r w:rsidRPr="0016157A">
        <w:rPr>
          <w:i/>
          <w:lang w:val="fr-FR"/>
        </w:rPr>
        <w:t>Présentation de différents types d</w:t>
      </w:r>
      <w:r w:rsidR="00B4091E">
        <w:rPr>
          <w:i/>
          <w:lang w:val="fr-FR"/>
        </w:rPr>
        <w:t>’</w:t>
      </w:r>
      <w:r w:rsidRPr="0016157A">
        <w:rPr>
          <w:i/>
          <w:lang w:val="fr-FR"/>
        </w:rPr>
        <w:t>exemples de variétés</w:t>
      </w:r>
      <w:r w:rsidR="00B4091E">
        <w:rPr>
          <w:i/>
          <w:lang w:val="fr-FR"/>
        </w:rPr>
        <w:t>”</w:t>
      </w:r>
      <w:r w:rsidRPr="0016157A">
        <w:rPr>
          <w:i/>
          <w:lang w:val="fr-FR"/>
        </w:rPr>
        <w:t>, approuvées par le TC à sa cinquante</w:t>
      </w:r>
      <w:r w:rsidRPr="0016157A">
        <w:rPr>
          <w:i/>
          <w:lang w:val="fr-FR"/>
        </w:rPr>
        <w:noBreakHyphen/>
        <w:t>troisième session, seront présentées pour adoption au Conseil à sa cinquante</w:t>
      </w:r>
      <w:r w:rsidRPr="0016157A">
        <w:rPr>
          <w:i/>
          <w:lang w:val="fr-FR"/>
        </w:rPr>
        <w:noBreakHyphen/>
        <w:t>deuxième session qui se tiendra à Genève le 2 novembre 2018, sous réserve de l</w:t>
      </w:r>
      <w:r w:rsidR="00B4091E">
        <w:rPr>
          <w:i/>
          <w:lang w:val="fr-FR"/>
        </w:rPr>
        <w:t>’</w:t>
      </w:r>
      <w:r w:rsidRPr="0016157A">
        <w:rPr>
          <w:i/>
          <w:lang w:val="fr-FR"/>
        </w:rPr>
        <w:t>approbation par le CAJ à sa soixante</w:t>
      </w:r>
      <w:r w:rsidRPr="0016157A">
        <w:rPr>
          <w:i/>
          <w:lang w:val="fr-FR"/>
        </w:rPr>
        <w:noBreakHyphen/>
        <w:t xml:space="preserve">quinzième session qui se tiendra à Genève le 31 octobre 2018, sur la base du document TGP/7/6 </w:t>
      </w:r>
      <w:proofErr w:type="spellStart"/>
      <w:r w:rsidRPr="0016157A">
        <w:rPr>
          <w:i/>
          <w:lang w:val="fr-FR"/>
        </w:rPr>
        <w:t>Draft</w:t>
      </w:r>
      <w:proofErr w:type="spellEnd"/>
      <w:r w:rsidRPr="0016157A">
        <w:rPr>
          <w:i/>
          <w:lang w:val="fr-FR"/>
        </w:rPr>
        <w:t> 1.</w:t>
      </w:r>
    </w:p>
    <w:p w:rsidR="00EA3338" w:rsidRDefault="00EA3338" w:rsidP="00C249E4">
      <w:pPr>
        <w:tabs>
          <w:tab w:val="left" w:pos="5387"/>
          <w:tab w:val="left" w:pos="5954"/>
        </w:tabs>
        <w:ind w:left="4820"/>
        <w:rPr>
          <w:lang w:val="fr-FR"/>
        </w:rPr>
      </w:pPr>
    </w:p>
    <w:p w:rsidR="003B1AAB" w:rsidRPr="0016157A" w:rsidRDefault="003B1AAB" w:rsidP="00C249E4">
      <w:pPr>
        <w:tabs>
          <w:tab w:val="left" w:pos="5387"/>
          <w:tab w:val="left" w:pos="5954"/>
        </w:tabs>
        <w:ind w:left="4820"/>
        <w:rPr>
          <w:lang w:val="fr-FR"/>
        </w:rPr>
      </w:pPr>
    </w:p>
    <w:p w:rsidR="00EA3338" w:rsidRPr="00883650" w:rsidRDefault="00EA3338" w:rsidP="00C249E4">
      <w:pPr>
        <w:pStyle w:val="Heading2"/>
        <w:rPr>
          <w:b/>
          <w:lang w:val="fr-CH"/>
        </w:rPr>
      </w:pPr>
      <w:bookmarkStart w:id="15" w:name="_Toc521492797"/>
      <w:r w:rsidRPr="00883650">
        <w:rPr>
          <w:lang w:val="fr-CH"/>
        </w:rPr>
        <w:t>Questions devant être examinées par le Comité technique</w:t>
      </w:r>
      <w:bookmarkEnd w:id="15"/>
    </w:p>
    <w:p w:rsidR="00EA3338" w:rsidRPr="0016157A" w:rsidRDefault="00EA3338" w:rsidP="00C249E4">
      <w:pPr>
        <w:rPr>
          <w:lang w:val="fr-FR"/>
        </w:rPr>
      </w:pPr>
    </w:p>
    <w:p w:rsidR="00EA3338" w:rsidRPr="00883650" w:rsidRDefault="00EA3338" w:rsidP="00C249E4">
      <w:pPr>
        <w:pStyle w:val="Heading3"/>
        <w:rPr>
          <w:i w:val="0"/>
          <w:lang w:val="fr-CH"/>
        </w:rPr>
      </w:pPr>
      <w:bookmarkStart w:id="16" w:name="_Toc521492798"/>
      <w:r w:rsidRPr="00883650">
        <w:rPr>
          <w:lang w:val="fr-CH"/>
        </w:rPr>
        <w:t xml:space="preserve">TGP/5 : Section 1 : </w:t>
      </w:r>
      <w:r w:rsidR="00B4091E">
        <w:rPr>
          <w:lang w:val="fr-CH"/>
        </w:rPr>
        <w:t>“</w:t>
      </w:r>
      <w:r w:rsidRPr="00883650">
        <w:rPr>
          <w:lang w:val="fr-CH"/>
        </w:rPr>
        <w:t>Accord administratif type pour la coopération internationale en matière d</w:t>
      </w:r>
      <w:r w:rsidR="00B4091E">
        <w:rPr>
          <w:lang w:val="fr-CH"/>
        </w:rPr>
        <w:t>’</w:t>
      </w:r>
      <w:r w:rsidRPr="00883650">
        <w:rPr>
          <w:lang w:val="fr-CH"/>
        </w:rPr>
        <w:t>examen de variétés</w:t>
      </w:r>
      <w:r w:rsidR="00B4091E">
        <w:rPr>
          <w:lang w:val="fr-CH"/>
        </w:rPr>
        <w:t>”</w:t>
      </w:r>
      <w:bookmarkEnd w:id="16"/>
    </w:p>
    <w:p w:rsidR="00EA3338" w:rsidRPr="0016157A" w:rsidRDefault="00EA3338" w:rsidP="00C249E4">
      <w:pPr>
        <w:rPr>
          <w:lang w:val="fr-FR"/>
        </w:rPr>
      </w:pPr>
    </w:p>
    <w:p w:rsidR="00EA3338" w:rsidRPr="0016157A" w:rsidRDefault="00EA3338" w:rsidP="00C249E4">
      <w:pPr>
        <w:rPr>
          <w:snapToGrid w:val="0"/>
          <w:lang w:val="fr-FR"/>
        </w:rPr>
      </w:pPr>
      <w:r w:rsidRPr="0016157A">
        <w:rPr>
          <w:snapToGrid w:val="0"/>
          <w:lang w:val="fr-FR"/>
        </w:rPr>
        <w:fldChar w:fldCharType="begin"/>
      </w:r>
      <w:r w:rsidRPr="0016157A">
        <w:rPr>
          <w:snapToGrid w:val="0"/>
          <w:lang w:val="fr-FR"/>
        </w:rPr>
        <w:instrText xml:space="preserve"> AUTONUM  </w:instrText>
      </w:r>
      <w:r w:rsidRPr="0016157A">
        <w:rPr>
          <w:snapToGrid w:val="0"/>
          <w:lang w:val="fr-FR"/>
        </w:rPr>
        <w:fldChar w:fldCharType="end"/>
      </w:r>
      <w:r w:rsidRPr="0016157A">
        <w:rPr>
          <w:snapToGrid w:val="0"/>
          <w:lang w:val="fr-FR"/>
        </w:rPr>
        <w:tab/>
        <w:t>Le TC, à sa cinquante</w:t>
      </w:r>
      <w:r w:rsidRPr="0016157A">
        <w:rPr>
          <w:snapToGrid w:val="0"/>
          <w:lang w:val="fr-FR"/>
        </w:rPr>
        <w:noBreakHyphen/>
        <w:t xml:space="preserve">troisième session tenue à Genève du 3 au 5 avril 2017, est convenu que les orientations sur le matériel végétal figurant à la section 1 </w:t>
      </w:r>
      <w:r w:rsidR="00B4091E">
        <w:rPr>
          <w:lang w:val="fr-FR"/>
        </w:rPr>
        <w:t>“</w:t>
      </w:r>
      <w:r w:rsidRPr="0016157A">
        <w:rPr>
          <w:lang w:val="fr-FR"/>
        </w:rPr>
        <w:t>Accord administratif type pour la coopération internationale en matière d</w:t>
      </w:r>
      <w:r w:rsidR="00B4091E">
        <w:rPr>
          <w:lang w:val="fr-FR"/>
        </w:rPr>
        <w:t>’</w:t>
      </w:r>
      <w:r w:rsidRPr="0016157A">
        <w:rPr>
          <w:lang w:val="fr-FR"/>
        </w:rPr>
        <w:t>examen de variétés</w:t>
      </w:r>
      <w:r w:rsidR="00B4091E">
        <w:rPr>
          <w:lang w:val="fr-FR"/>
        </w:rPr>
        <w:t>”</w:t>
      </w:r>
      <w:r w:rsidRPr="0016157A">
        <w:rPr>
          <w:snapToGrid w:val="0"/>
          <w:lang w:val="fr-FR"/>
        </w:rPr>
        <w:t xml:space="preserve"> du document TGP/5</w:t>
      </w:r>
      <w:r w:rsidRPr="0016157A">
        <w:rPr>
          <w:lang w:val="fr-FR"/>
        </w:rPr>
        <w:t xml:space="preserve"> : </w:t>
      </w:r>
      <w:r w:rsidR="00B4091E">
        <w:rPr>
          <w:lang w:val="fr-FR"/>
        </w:rPr>
        <w:t>“</w:t>
      </w:r>
      <w:r w:rsidRPr="0016157A">
        <w:rPr>
          <w:lang w:val="fr-FR"/>
        </w:rPr>
        <w:t>Expérience et coopération en matière d</w:t>
      </w:r>
      <w:r w:rsidR="00B4091E">
        <w:rPr>
          <w:lang w:val="fr-FR"/>
        </w:rPr>
        <w:t>’</w:t>
      </w:r>
      <w:r w:rsidRPr="0016157A">
        <w:rPr>
          <w:lang w:val="fr-FR"/>
        </w:rPr>
        <w:t>examen DHS</w:t>
      </w:r>
      <w:r w:rsidR="00B4091E">
        <w:rPr>
          <w:lang w:val="fr-FR"/>
        </w:rPr>
        <w:t>”</w:t>
      </w:r>
      <w:r w:rsidRPr="0016157A">
        <w:rPr>
          <w:lang w:val="fr-FR"/>
        </w:rPr>
        <w:t xml:space="preserve"> pourraient aussi constituer une base appropriée pour les données moléculaires et a demandé au Bureau de l</w:t>
      </w:r>
      <w:r w:rsidR="00B4091E">
        <w:rPr>
          <w:lang w:val="fr-FR"/>
        </w:rPr>
        <w:t>’</w:t>
      </w:r>
      <w:r w:rsidRPr="0016157A">
        <w:rPr>
          <w:lang w:val="fr-FR"/>
        </w:rPr>
        <w:t>Union de proposer des orientations sur la confidentialité des informations moléculaires aux fins de leur inclusion dans la section 1 du document </w:t>
      </w:r>
      <w:r w:rsidRPr="0016157A">
        <w:rPr>
          <w:snapToGrid w:val="0"/>
          <w:lang w:val="fr-FR"/>
        </w:rPr>
        <w:t xml:space="preserve">TGP/5, sur cette base (voir le paragraphe 182 du document TC/53/31 </w:t>
      </w:r>
      <w:r w:rsidR="00B4091E">
        <w:rPr>
          <w:snapToGrid w:val="0"/>
          <w:lang w:val="fr-FR"/>
        </w:rPr>
        <w:t>“</w:t>
      </w:r>
      <w:r w:rsidRPr="0016157A">
        <w:rPr>
          <w:snapToGrid w:val="0"/>
          <w:lang w:val="fr-FR"/>
        </w:rPr>
        <w:t>Compte rendu</w:t>
      </w:r>
      <w:r w:rsidR="00B4091E">
        <w:rPr>
          <w:snapToGrid w:val="0"/>
          <w:lang w:val="fr-FR"/>
        </w:rPr>
        <w:t>”</w:t>
      </w:r>
      <w:r w:rsidRPr="0016157A">
        <w:rPr>
          <w:snapToGrid w:val="0"/>
          <w:lang w:val="fr-FR"/>
        </w:rPr>
        <w:t>).</w:t>
      </w:r>
    </w:p>
    <w:p w:rsidR="00EA3338" w:rsidRPr="0016157A" w:rsidRDefault="00EA3338" w:rsidP="00C249E4">
      <w:pPr>
        <w:rPr>
          <w:snapToGrid w:val="0"/>
          <w:highlight w:val="cyan"/>
          <w:lang w:val="fr-FR"/>
        </w:rPr>
      </w:pPr>
    </w:p>
    <w:p w:rsidR="00EA3338" w:rsidRPr="0016157A" w:rsidRDefault="00EA3338" w:rsidP="00C249E4">
      <w:pPr>
        <w:rPr>
          <w:lang w:val="fr-FR"/>
        </w:rPr>
      </w:pPr>
      <w:r w:rsidRPr="0016157A">
        <w:rPr>
          <w:snapToGrid w:val="0"/>
          <w:lang w:val="fr-FR"/>
        </w:rPr>
        <w:fldChar w:fldCharType="begin"/>
      </w:r>
      <w:r w:rsidRPr="0016157A">
        <w:rPr>
          <w:snapToGrid w:val="0"/>
          <w:lang w:val="fr-FR"/>
        </w:rPr>
        <w:instrText xml:space="preserve"> AUTONUM  </w:instrText>
      </w:r>
      <w:r w:rsidRPr="0016157A">
        <w:rPr>
          <w:snapToGrid w:val="0"/>
          <w:lang w:val="fr-FR"/>
        </w:rPr>
        <w:fldChar w:fldCharType="end"/>
      </w:r>
      <w:r w:rsidRPr="0016157A">
        <w:rPr>
          <w:snapToGrid w:val="0"/>
          <w:lang w:val="fr-FR"/>
        </w:rPr>
        <w:tab/>
        <w:t xml:space="preserve">Les TWA, TWV, TWO, TWF et TWC ont examiné le </w:t>
      </w:r>
      <w:r w:rsidRPr="0016157A">
        <w:rPr>
          <w:lang w:val="fr-FR"/>
        </w:rPr>
        <w:t xml:space="preserve">document TWP/1/9 </w:t>
      </w:r>
      <w:r w:rsidR="00B4091E">
        <w:rPr>
          <w:lang w:val="fr-FR"/>
        </w:rPr>
        <w:t>“</w:t>
      </w:r>
      <w:r w:rsidRPr="0016157A">
        <w:rPr>
          <w:lang w:val="fr-FR"/>
        </w:rPr>
        <w:t>Confidentialité des informations moléculaires</w:t>
      </w:r>
      <w:r w:rsidR="00B4091E">
        <w:rPr>
          <w:lang w:val="fr-FR"/>
        </w:rPr>
        <w:t>”</w:t>
      </w:r>
      <w:r w:rsidRPr="0016157A">
        <w:rPr>
          <w:lang w:val="fr-FR"/>
        </w:rPr>
        <w:t xml:space="preserve"> et sont convenus de proposer que les articles 4 et 6 du document TGP/5, section 1 soient révisés comme suit : (voir les paragraphes 18 et 19 du document TWA/46/10 </w:t>
      </w:r>
      <w:r w:rsidR="00B4091E">
        <w:rPr>
          <w:lang w:val="fr-FR"/>
        </w:rPr>
        <w:t>“</w:t>
      </w:r>
      <w:r w:rsidRPr="0016157A">
        <w:rPr>
          <w:lang w:val="fr-FR"/>
        </w:rPr>
        <w:t>Compte rendu</w:t>
      </w:r>
      <w:r w:rsidR="00B4091E">
        <w:rPr>
          <w:lang w:val="fr-FR"/>
        </w:rPr>
        <w:t>”</w:t>
      </w:r>
      <w:r w:rsidRPr="0016157A">
        <w:rPr>
          <w:lang w:val="fr-FR"/>
        </w:rPr>
        <w:t xml:space="preserve">;  les paragraphes 22 à 25 du document TWV/51/16 </w:t>
      </w:r>
      <w:r w:rsidR="00B4091E">
        <w:rPr>
          <w:lang w:val="fr-FR"/>
        </w:rPr>
        <w:t>“</w:t>
      </w:r>
      <w:r w:rsidRPr="0016157A">
        <w:rPr>
          <w:lang w:val="fr-FR"/>
        </w:rPr>
        <w:t>Compte rendu</w:t>
      </w:r>
      <w:r w:rsidR="00B4091E">
        <w:rPr>
          <w:lang w:val="fr-FR"/>
        </w:rPr>
        <w:t>”</w:t>
      </w:r>
      <w:r w:rsidRPr="0016157A">
        <w:rPr>
          <w:lang w:val="fr-FR"/>
        </w:rPr>
        <w:t xml:space="preserve">;  les paragraphes 19 à 21 du document TWO/50/14 </w:t>
      </w:r>
      <w:r w:rsidR="00B4091E">
        <w:rPr>
          <w:lang w:val="fr-FR"/>
        </w:rPr>
        <w:t>“</w:t>
      </w:r>
      <w:r w:rsidRPr="0016157A">
        <w:rPr>
          <w:lang w:val="fr-FR"/>
        </w:rPr>
        <w:t>Compte rendu</w:t>
      </w:r>
      <w:r w:rsidR="00B4091E">
        <w:rPr>
          <w:lang w:val="fr-FR"/>
        </w:rPr>
        <w:t>”</w:t>
      </w:r>
      <w:r w:rsidRPr="0016157A">
        <w:rPr>
          <w:lang w:val="fr-FR"/>
        </w:rPr>
        <w:t xml:space="preserve">;  les paragraphes 22 à 25 du document TWF/48/13 </w:t>
      </w:r>
      <w:r w:rsidR="00B4091E">
        <w:rPr>
          <w:lang w:val="fr-FR"/>
        </w:rPr>
        <w:t>“</w:t>
      </w:r>
      <w:r w:rsidRPr="0016157A">
        <w:rPr>
          <w:lang w:val="fr-FR"/>
        </w:rPr>
        <w:t>Compte rendu</w:t>
      </w:r>
      <w:r w:rsidR="00B4091E">
        <w:rPr>
          <w:lang w:val="fr-FR"/>
        </w:rPr>
        <w:t>”</w:t>
      </w:r>
      <w:r w:rsidRPr="0016157A">
        <w:rPr>
          <w:lang w:val="fr-FR"/>
        </w:rPr>
        <w:t xml:space="preserve">;  et les paragraphes 32 à 35 du document TWC/35/21 </w:t>
      </w:r>
      <w:r w:rsidR="00B4091E">
        <w:rPr>
          <w:lang w:val="fr-FR"/>
        </w:rPr>
        <w:t>“</w:t>
      </w:r>
      <w:r w:rsidRPr="0016157A">
        <w:rPr>
          <w:lang w:val="fr-FR"/>
        </w:rPr>
        <w:t>Compte rendu</w:t>
      </w:r>
      <w:r w:rsidR="00B4091E">
        <w:rPr>
          <w:lang w:val="fr-FR"/>
        </w:rPr>
        <w:t>”</w:t>
      </w:r>
      <w:r w:rsidRPr="0016157A">
        <w:rPr>
          <w:lang w:val="fr-FR"/>
        </w:rPr>
        <w:t xml:space="preserve">) (le texte </w:t>
      </w:r>
      <w:r w:rsidRPr="0016157A">
        <w:rPr>
          <w:highlight w:val="lightGray"/>
          <w:u w:val="single"/>
          <w:lang w:val="fr-FR"/>
        </w:rPr>
        <w:t xml:space="preserve">en surbrillance et souligné </w:t>
      </w:r>
      <w:r w:rsidRPr="0016157A">
        <w:rPr>
          <w:lang w:val="fr-FR"/>
        </w:rPr>
        <w:t>indique une proposition d</w:t>
      </w:r>
      <w:r w:rsidR="00B4091E">
        <w:rPr>
          <w:lang w:val="fr-FR"/>
        </w:rPr>
        <w:t>’</w:t>
      </w:r>
      <w:r w:rsidRPr="0016157A">
        <w:rPr>
          <w:lang w:val="fr-FR"/>
        </w:rPr>
        <w:t>insertion) :</w:t>
      </w:r>
    </w:p>
    <w:p w:rsidR="00EA3338" w:rsidRPr="0016157A" w:rsidRDefault="00EA3338" w:rsidP="00C249E4">
      <w:pPr>
        <w:rPr>
          <w:lang w:val="fr-FR"/>
        </w:rPr>
      </w:pPr>
    </w:p>
    <w:p w:rsidR="00EA3338" w:rsidRPr="0016157A" w:rsidRDefault="00B4091E" w:rsidP="00C249E4">
      <w:pPr>
        <w:keepNext/>
        <w:ind w:left="567" w:right="567"/>
        <w:rPr>
          <w:sz w:val="18"/>
          <w:lang w:val="fr-FR"/>
        </w:rPr>
      </w:pPr>
      <w:r>
        <w:rPr>
          <w:sz w:val="18"/>
          <w:u w:val="single"/>
          <w:lang w:val="fr-FR"/>
        </w:rPr>
        <w:t>“</w:t>
      </w:r>
      <w:r w:rsidR="00EA3338" w:rsidRPr="0016157A">
        <w:rPr>
          <w:sz w:val="18"/>
          <w:u w:val="single"/>
          <w:lang w:val="fr-FR"/>
        </w:rPr>
        <w:t>Article 4</w:t>
      </w:r>
    </w:p>
    <w:p w:rsidR="00EA3338" w:rsidRPr="0016157A" w:rsidRDefault="00EA3338" w:rsidP="00C249E4">
      <w:pPr>
        <w:keepNext/>
        <w:ind w:left="567" w:right="567"/>
        <w:rPr>
          <w:sz w:val="18"/>
          <w:lang w:val="fr-FR"/>
        </w:rPr>
      </w:pPr>
    </w:p>
    <w:p w:rsidR="00EA3338" w:rsidRPr="0016157A" w:rsidRDefault="00B4091E" w:rsidP="00C249E4">
      <w:pPr>
        <w:keepNext/>
        <w:ind w:left="567" w:right="567"/>
        <w:rPr>
          <w:sz w:val="18"/>
          <w:lang w:val="fr-FR"/>
        </w:rPr>
      </w:pPr>
      <w:r>
        <w:rPr>
          <w:sz w:val="18"/>
          <w:lang w:val="fr-FR"/>
        </w:rPr>
        <w:t>“</w:t>
      </w:r>
      <w:r w:rsidR="00EA3338" w:rsidRPr="0016157A">
        <w:rPr>
          <w:sz w:val="18"/>
          <w:lang w:val="fr-FR"/>
        </w:rPr>
        <w:t>1)</w:t>
      </w:r>
      <w:r w:rsidR="00EA3338" w:rsidRPr="0016157A">
        <w:rPr>
          <w:sz w:val="18"/>
          <w:lang w:val="fr-FR"/>
        </w:rPr>
        <w:tab/>
        <w:t>Les services prennent toutes les mesures nécessaires pour protéger les droits du déposant.</w:t>
      </w:r>
    </w:p>
    <w:p w:rsidR="00EA3338" w:rsidRPr="0016157A" w:rsidRDefault="00EA3338" w:rsidP="00C249E4">
      <w:pPr>
        <w:keepNext/>
        <w:ind w:left="567" w:right="567"/>
        <w:rPr>
          <w:sz w:val="18"/>
          <w:lang w:val="fr-FR"/>
        </w:rPr>
      </w:pPr>
    </w:p>
    <w:p w:rsidR="00EA3338" w:rsidRPr="0016157A" w:rsidRDefault="00B4091E" w:rsidP="00C249E4">
      <w:pPr>
        <w:keepNext/>
        <w:ind w:left="567" w:right="567"/>
        <w:rPr>
          <w:sz w:val="18"/>
          <w:lang w:val="fr-FR"/>
        </w:rPr>
      </w:pPr>
      <w:r>
        <w:rPr>
          <w:sz w:val="18"/>
          <w:lang w:val="fr-FR"/>
        </w:rPr>
        <w:t>“</w:t>
      </w:r>
      <w:r w:rsidR="00EA3338" w:rsidRPr="0016157A">
        <w:rPr>
          <w:sz w:val="18"/>
          <w:lang w:val="fr-FR"/>
        </w:rPr>
        <w:t>2)</w:t>
      </w:r>
      <w:r w:rsidR="00EA3338" w:rsidRPr="0016157A">
        <w:rPr>
          <w:sz w:val="18"/>
          <w:lang w:val="fr-FR"/>
        </w:rPr>
        <w:tab/>
        <w:t>Sauf autorisation expresse du service récepteur et du déposant, le service prestataire droit s</w:t>
      </w:r>
      <w:r>
        <w:rPr>
          <w:sz w:val="18"/>
          <w:lang w:val="fr-FR"/>
        </w:rPr>
        <w:t>’</w:t>
      </w:r>
      <w:r w:rsidR="00EA3338" w:rsidRPr="0016157A">
        <w:rPr>
          <w:sz w:val="18"/>
          <w:lang w:val="fr-FR"/>
        </w:rPr>
        <w:t>abstenir de fournir à un tiers du matériel</w:t>
      </w:r>
      <w:r w:rsidR="00EA3338" w:rsidRPr="0016157A">
        <w:rPr>
          <w:sz w:val="18"/>
          <w:highlight w:val="lightGray"/>
          <w:u w:val="single"/>
          <w:lang w:val="fr-FR"/>
        </w:rPr>
        <w:t>, y compris l</w:t>
      </w:r>
      <w:r>
        <w:rPr>
          <w:sz w:val="18"/>
          <w:highlight w:val="lightGray"/>
          <w:u w:val="single"/>
          <w:lang w:val="fr-FR"/>
        </w:rPr>
        <w:t>’</w:t>
      </w:r>
      <w:r w:rsidR="00EA3338" w:rsidRPr="0016157A">
        <w:rPr>
          <w:sz w:val="18"/>
          <w:highlight w:val="lightGray"/>
          <w:u w:val="single"/>
          <w:lang w:val="fr-FR"/>
        </w:rPr>
        <w:t>ADN, ou les informations moléculaires,</w:t>
      </w:r>
      <w:r w:rsidR="00EA3338" w:rsidRPr="0016157A">
        <w:rPr>
          <w:sz w:val="18"/>
          <w:u w:val="single"/>
          <w:lang w:val="fr-FR"/>
        </w:rPr>
        <w:t xml:space="preserve"> </w:t>
      </w:r>
      <w:r w:rsidR="00EA3338" w:rsidRPr="0016157A">
        <w:rPr>
          <w:sz w:val="18"/>
          <w:lang w:val="fr-FR"/>
        </w:rPr>
        <w:t>des variétés dont l</w:t>
      </w:r>
      <w:r>
        <w:rPr>
          <w:sz w:val="18"/>
          <w:lang w:val="fr-FR"/>
        </w:rPr>
        <w:t>’</w:t>
      </w:r>
      <w:r w:rsidR="00EA3338" w:rsidRPr="0016157A">
        <w:rPr>
          <w:sz w:val="18"/>
          <w:lang w:val="fr-FR"/>
        </w:rPr>
        <w:t>examen a été sollicité.</w:t>
      </w:r>
      <w:r>
        <w:rPr>
          <w:sz w:val="18"/>
          <w:lang w:val="fr-FR"/>
        </w:rPr>
        <w:t>”</w:t>
      </w:r>
    </w:p>
    <w:p w:rsidR="00EA3338" w:rsidRPr="0016157A" w:rsidRDefault="00EA3338" w:rsidP="00C249E4">
      <w:pPr>
        <w:ind w:left="567" w:right="567"/>
        <w:rPr>
          <w:sz w:val="18"/>
          <w:lang w:val="fr-FR"/>
        </w:rPr>
      </w:pPr>
    </w:p>
    <w:p w:rsidR="00EA3338" w:rsidRPr="0016157A" w:rsidRDefault="00EA3338" w:rsidP="00C249E4">
      <w:pPr>
        <w:ind w:left="567" w:right="567"/>
        <w:rPr>
          <w:sz w:val="18"/>
          <w:lang w:val="fr-FR"/>
        </w:rPr>
      </w:pPr>
      <w:r w:rsidRPr="0016157A">
        <w:rPr>
          <w:sz w:val="18"/>
          <w:lang w:val="fr-FR"/>
        </w:rPr>
        <w:t>[…]</w:t>
      </w:r>
    </w:p>
    <w:p w:rsidR="00EA3338" w:rsidRPr="0016157A" w:rsidRDefault="00EA3338" w:rsidP="00C249E4">
      <w:pPr>
        <w:ind w:left="567" w:right="567"/>
        <w:rPr>
          <w:sz w:val="18"/>
          <w:lang w:val="fr-FR"/>
        </w:rPr>
      </w:pPr>
    </w:p>
    <w:p w:rsidR="00EA3338" w:rsidRPr="0016157A" w:rsidRDefault="00B4091E" w:rsidP="00C249E4">
      <w:pPr>
        <w:keepNext/>
        <w:keepLines/>
        <w:ind w:left="567" w:right="567"/>
        <w:rPr>
          <w:sz w:val="18"/>
          <w:lang w:val="fr-FR"/>
        </w:rPr>
      </w:pPr>
      <w:r>
        <w:rPr>
          <w:sz w:val="18"/>
          <w:u w:val="single"/>
          <w:lang w:val="fr-FR"/>
        </w:rPr>
        <w:t>“</w:t>
      </w:r>
      <w:r w:rsidR="00EA3338" w:rsidRPr="0016157A">
        <w:rPr>
          <w:sz w:val="18"/>
          <w:u w:val="single"/>
          <w:lang w:val="fr-FR"/>
        </w:rPr>
        <w:t>Article 6</w:t>
      </w:r>
    </w:p>
    <w:p w:rsidR="00EA3338" w:rsidRPr="0016157A" w:rsidRDefault="00EA3338" w:rsidP="00C249E4">
      <w:pPr>
        <w:keepNext/>
        <w:keepLines/>
        <w:ind w:left="567" w:right="567"/>
        <w:rPr>
          <w:sz w:val="18"/>
          <w:lang w:val="fr-FR"/>
        </w:rPr>
      </w:pPr>
    </w:p>
    <w:p w:rsidR="00EA3338" w:rsidRPr="0016157A" w:rsidRDefault="00EA3338" w:rsidP="00C249E4">
      <w:pPr>
        <w:keepNext/>
        <w:keepLines/>
        <w:ind w:left="567" w:right="567"/>
        <w:rPr>
          <w:sz w:val="18"/>
          <w:lang w:val="fr-FR"/>
        </w:rPr>
      </w:pPr>
      <w:r w:rsidRPr="0016157A">
        <w:rPr>
          <w:sz w:val="18"/>
          <w:lang w:val="fr-FR"/>
        </w:rPr>
        <w:tab/>
      </w:r>
      <w:r w:rsidR="00B4091E">
        <w:rPr>
          <w:sz w:val="18"/>
          <w:lang w:val="fr-FR"/>
        </w:rPr>
        <w:t>“</w:t>
      </w:r>
      <w:r w:rsidRPr="0016157A">
        <w:rPr>
          <w:sz w:val="18"/>
          <w:lang w:val="fr-FR"/>
        </w:rPr>
        <w:t>Les détails pratiques relatifs à l</w:t>
      </w:r>
      <w:r w:rsidR="00B4091E">
        <w:rPr>
          <w:sz w:val="18"/>
          <w:lang w:val="fr-FR"/>
        </w:rPr>
        <w:t>’</w:t>
      </w:r>
      <w:r w:rsidRPr="0016157A">
        <w:rPr>
          <w:sz w:val="18"/>
          <w:lang w:val="fr-FR"/>
        </w:rPr>
        <w:t>application du présent Accord – notamment toutes dispositions ayant trait aux émoluments, aux formulaires de demande, aux questionnaires techniques et aux conditions prescrites en ce qui concerne le matériel de reproduction ou de multiplication, les méthodes à appliquer pour les essais, les échanges de contre</w:t>
      </w:r>
      <w:r w:rsidRPr="0016157A">
        <w:rPr>
          <w:sz w:val="18"/>
          <w:lang w:val="fr-FR"/>
        </w:rPr>
        <w:noBreakHyphen/>
        <w:t xml:space="preserve">échantillons, </w:t>
      </w:r>
      <w:r w:rsidRPr="0016157A">
        <w:rPr>
          <w:sz w:val="18"/>
          <w:highlight w:val="lightGray"/>
          <w:u w:val="single"/>
          <w:lang w:val="fr-FR"/>
        </w:rPr>
        <w:t>les échanges d</w:t>
      </w:r>
      <w:r w:rsidR="00B4091E">
        <w:rPr>
          <w:sz w:val="18"/>
          <w:highlight w:val="lightGray"/>
          <w:u w:val="single"/>
          <w:lang w:val="fr-FR"/>
        </w:rPr>
        <w:t>’</w:t>
      </w:r>
      <w:r w:rsidRPr="0016157A">
        <w:rPr>
          <w:sz w:val="18"/>
          <w:highlight w:val="lightGray"/>
          <w:u w:val="single"/>
          <w:lang w:val="fr-FR"/>
        </w:rPr>
        <w:t>informations moléculaires,</w:t>
      </w:r>
      <w:r w:rsidRPr="0016157A">
        <w:rPr>
          <w:sz w:val="18"/>
          <w:lang w:val="fr-FR"/>
        </w:rPr>
        <w:t xml:space="preserve"> l</w:t>
      </w:r>
      <w:r w:rsidR="00B4091E">
        <w:rPr>
          <w:sz w:val="18"/>
          <w:lang w:val="fr-FR"/>
        </w:rPr>
        <w:t>’</w:t>
      </w:r>
      <w:r w:rsidRPr="0016157A">
        <w:rPr>
          <w:sz w:val="18"/>
          <w:lang w:val="fr-FR"/>
        </w:rPr>
        <w:t>entretien de collections de référence et la présentation des résultats – sont indiqués dans le présent Accord ou fixés d</w:t>
      </w:r>
      <w:r w:rsidR="00B4091E">
        <w:rPr>
          <w:sz w:val="18"/>
          <w:lang w:val="fr-FR"/>
        </w:rPr>
        <w:t>’</w:t>
      </w:r>
      <w:r w:rsidRPr="0016157A">
        <w:rPr>
          <w:sz w:val="18"/>
          <w:lang w:val="fr-FR"/>
        </w:rPr>
        <w:t>entente, par correspondance, entre les deux services.</w:t>
      </w:r>
    </w:p>
    <w:p w:rsidR="00EA3338" w:rsidRPr="0016157A" w:rsidRDefault="00EA3338" w:rsidP="00C249E4">
      <w:pPr>
        <w:rPr>
          <w:lang w:val="fr-FR"/>
        </w:rPr>
      </w:pPr>
    </w:p>
    <w:p w:rsidR="00EA3338" w:rsidRPr="0016157A" w:rsidRDefault="00EA3338" w:rsidP="00C249E4">
      <w:pPr>
        <w:spacing w:after="120"/>
        <w:rPr>
          <w:snapToGrid w:val="0"/>
          <w:lang w:val="fr-FR"/>
        </w:rPr>
      </w:pPr>
      <w:r w:rsidRPr="0016157A">
        <w:rPr>
          <w:snapToGrid w:val="0"/>
          <w:lang w:val="fr-FR"/>
        </w:rPr>
        <w:fldChar w:fldCharType="begin"/>
      </w:r>
      <w:r w:rsidRPr="0016157A">
        <w:rPr>
          <w:snapToGrid w:val="0"/>
          <w:lang w:val="fr-FR"/>
        </w:rPr>
        <w:instrText xml:space="preserve"> AUTONUM  </w:instrText>
      </w:r>
      <w:r w:rsidRPr="0016157A">
        <w:rPr>
          <w:snapToGrid w:val="0"/>
          <w:lang w:val="fr-FR"/>
        </w:rPr>
        <w:fldChar w:fldCharType="end"/>
      </w:r>
      <w:r w:rsidRPr="0016157A">
        <w:rPr>
          <w:snapToGrid w:val="0"/>
          <w:lang w:val="fr-FR"/>
        </w:rPr>
        <w:tab/>
        <w:t>Le TWV a rappelé la décision du TC à sa cinquante</w:t>
      </w:r>
      <w:r w:rsidRPr="0016157A">
        <w:rPr>
          <w:snapToGrid w:val="0"/>
          <w:lang w:val="fr-FR"/>
        </w:rPr>
        <w:noBreakHyphen/>
        <w:t>troisième session (voir les paragraphes 180 et 182 du document TC/53/31 </w:t>
      </w:r>
      <w:r w:rsidR="00B4091E">
        <w:rPr>
          <w:snapToGrid w:val="0"/>
          <w:lang w:val="fr-FR"/>
        </w:rPr>
        <w:t>”</w:t>
      </w:r>
      <w:r w:rsidRPr="0016157A">
        <w:rPr>
          <w:snapToGrid w:val="0"/>
          <w:lang w:val="fr-FR"/>
        </w:rPr>
        <w:t>Compte rendu</w:t>
      </w:r>
      <w:r w:rsidR="00B4091E">
        <w:rPr>
          <w:snapToGrid w:val="0"/>
          <w:lang w:val="fr-FR"/>
        </w:rPr>
        <w:t>”</w:t>
      </w:r>
      <w:r w:rsidRPr="0016157A">
        <w:rPr>
          <w:snapToGrid w:val="0"/>
          <w:lang w:val="fr-FR"/>
        </w:rPr>
        <w:t>), et a invité le TC à préciser son point de vue concernant d</w:t>
      </w:r>
      <w:r w:rsidR="00B4091E">
        <w:rPr>
          <w:snapToGrid w:val="0"/>
          <w:lang w:val="fr-FR"/>
        </w:rPr>
        <w:t>’</w:t>
      </w:r>
      <w:r w:rsidRPr="0016157A">
        <w:rPr>
          <w:snapToGrid w:val="0"/>
          <w:lang w:val="fr-FR"/>
        </w:rPr>
        <w:t>une part la demande faite aux membres de mettre à disposition les informations moléculaires aux fins de leur inclusion dans les bases de données accessibles au public (p. ex. GENIE) et d</w:t>
      </w:r>
      <w:r w:rsidR="00B4091E">
        <w:rPr>
          <w:snapToGrid w:val="0"/>
          <w:lang w:val="fr-FR"/>
        </w:rPr>
        <w:t>’</w:t>
      </w:r>
      <w:r w:rsidRPr="0016157A">
        <w:rPr>
          <w:snapToGrid w:val="0"/>
          <w:lang w:val="fr-FR"/>
        </w:rPr>
        <w:t>autre part la demande de révision des orientations existantes pour améliorer la confidentialité des informations moléculaires.</w:t>
      </w: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TWC et le TWF sont convenus que certaines informations fournies par le déposant pourraient ne pas être mises à disposition en raison des accords relatifs au secret d</w:t>
      </w:r>
      <w:r w:rsidR="00B4091E">
        <w:rPr>
          <w:lang w:val="fr-FR"/>
        </w:rPr>
        <w:t>’</w:t>
      </w:r>
      <w:r w:rsidRPr="0016157A">
        <w:rPr>
          <w:lang w:val="fr-FR"/>
        </w:rPr>
        <w:t>affaires conclus entre le service chargé de l</w:t>
      </w:r>
      <w:r w:rsidR="00B4091E">
        <w:rPr>
          <w:lang w:val="fr-FR"/>
        </w:rPr>
        <w:t>’</w:t>
      </w:r>
      <w:r w:rsidRPr="0016157A">
        <w:rPr>
          <w:lang w:val="fr-FR"/>
        </w:rPr>
        <w:t>examen DHS</w:t>
      </w:r>
      <w:r w:rsidRPr="0016157A">
        <w:rPr>
          <w:color w:val="FF0000"/>
          <w:lang w:val="fr-FR"/>
        </w:rPr>
        <w:t xml:space="preserve"> </w:t>
      </w:r>
      <w:r w:rsidRPr="0016157A">
        <w:rPr>
          <w:lang w:val="fr-FR"/>
        </w:rPr>
        <w:t xml:space="preserve">et le déposant.  </w:t>
      </w:r>
      <w:r w:rsidRPr="0016157A">
        <w:rPr>
          <w:i/>
          <w:lang w:val="fr-FR"/>
        </w:rPr>
        <w:t>A contrario,</w:t>
      </w:r>
      <w:r w:rsidRPr="0016157A">
        <w:rPr>
          <w:lang w:val="fr-FR"/>
        </w:rPr>
        <w:t xml:space="preserve"> la législation nationale relative aux informations officielles peut exiger de transmettre d</w:t>
      </w:r>
      <w:r w:rsidR="00B4091E">
        <w:rPr>
          <w:lang w:val="fr-FR"/>
        </w:rPr>
        <w:t>’</w:t>
      </w:r>
      <w:r w:rsidRPr="0016157A">
        <w:rPr>
          <w:lang w:val="fr-FR"/>
        </w:rPr>
        <w:t>autres informations à un tiers</w:t>
      </w:r>
      <w:r w:rsidRPr="0016157A">
        <w:rPr>
          <w:color w:val="FF0000"/>
          <w:lang w:val="fr-FR"/>
        </w:rPr>
        <w:t xml:space="preserve"> </w:t>
      </w:r>
      <w:r w:rsidRPr="0016157A">
        <w:rPr>
          <w:lang w:val="fr-FR"/>
        </w:rPr>
        <w:t xml:space="preserve">(voir le paragraphe 25 du document TWF/48/13 </w:t>
      </w:r>
      <w:r w:rsidR="00B4091E">
        <w:rPr>
          <w:lang w:val="fr-FR"/>
        </w:rPr>
        <w:t>“</w:t>
      </w:r>
      <w:r w:rsidRPr="0016157A">
        <w:rPr>
          <w:lang w:val="fr-FR"/>
        </w:rPr>
        <w:t>Compte rendu</w:t>
      </w:r>
      <w:r w:rsidR="00B4091E">
        <w:rPr>
          <w:lang w:val="fr-FR"/>
        </w:rPr>
        <w:t>”</w:t>
      </w:r>
      <w:r w:rsidRPr="0016157A">
        <w:rPr>
          <w:lang w:val="fr-FR"/>
        </w:rPr>
        <w:t xml:space="preserve">, et le paragraphe 35 du document TWC/35/21 </w:t>
      </w:r>
      <w:r w:rsidR="00B4091E">
        <w:rPr>
          <w:lang w:val="fr-FR"/>
        </w:rPr>
        <w:t>“</w:t>
      </w:r>
      <w:r w:rsidRPr="0016157A">
        <w:rPr>
          <w:lang w:val="fr-FR"/>
        </w:rPr>
        <w:t>Compte rendu</w:t>
      </w:r>
      <w:r w:rsidR="00B4091E">
        <w:rPr>
          <w:lang w:val="fr-FR"/>
        </w:rPr>
        <w:t>”</w:t>
      </w:r>
      <w:r w:rsidRPr="0016157A">
        <w:rPr>
          <w:lang w:val="fr-FR"/>
        </w:rPr>
        <w:t>).</w:t>
      </w:r>
    </w:p>
    <w:p w:rsidR="00EA3338" w:rsidRPr="0016157A" w:rsidRDefault="00EA3338" w:rsidP="00C249E4">
      <w:pPr>
        <w:rPr>
          <w:lang w:val="fr-FR"/>
        </w:rPr>
      </w:pPr>
    </w:p>
    <w:p w:rsidR="00EA3338" w:rsidRPr="0016157A" w:rsidRDefault="00EA3338" w:rsidP="00C249E4">
      <w:pPr>
        <w:keepLines/>
        <w:rPr>
          <w:rFonts w:cs="Arial"/>
          <w:iCs/>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Les propositions de révision du document</w:t>
      </w:r>
      <w:r w:rsidRPr="0016157A">
        <w:rPr>
          <w:snapToGrid w:val="0"/>
          <w:lang w:val="fr-FR"/>
        </w:rPr>
        <w:t> TGP/5</w:t>
      </w:r>
      <w:r w:rsidRPr="0016157A">
        <w:rPr>
          <w:lang w:val="fr-FR"/>
        </w:rPr>
        <w:t xml:space="preserve">, section 1 : </w:t>
      </w:r>
      <w:r w:rsidR="00B4091E">
        <w:rPr>
          <w:lang w:val="fr-FR"/>
        </w:rPr>
        <w:t>“</w:t>
      </w:r>
      <w:r w:rsidRPr="0016157A">
        <w:rPr>
          <w:lang w:val="fr-FR"/>
        </w:rPr>
        <w:t>Accord administratif type pour la coopération internationale en matière d</w:t>
      </w:r>
      <w:r w:rsidR="00B4091E">
        <w:rPr>
          <w:lang w:val="fr-FR"/>
        </w:rPr>
        <w:t>’</w:t>
      </w:r>
      <w:r w:rsidRPr="0016157A">
        <w:rPr>
          <w:lang w:val="fr-FR"/>
        </w:rPr>
        <w:t>examen des variétés</w:t>
      </w:r>
      <w:r w:rsidR="00B4091E">
        <w:rPr>
          <w:lang w:val="fr-FR"/>
        </w:rPr>
        <w:t>”</w:t>
      </w:r>
      <w:r w:rsidRPr="0016157A">
        <w:rPr>
          <w:color w:val="FF0000"/>
          <w:lang w:val="fr-FR"/>
        </w:rPr>
        <w:t xml:space="preserve"> </w:t>
      </w:r>
      <w:r w:rsidRPr="0016157A">
        <w:rPr>
          <w:lang w:val="fr-FR"/>
        </w:rPr>
        <w:t>sont présentées dans le document </w:t>
      </w:r>
      <w:r w:rsidRPr="0016157A">
        <w:rPr>
          <w:rFonts w:cs="Arial"/>
          <w:iCs/>
          <w:snapToGrid w:val="0"/>
          <w:lang w:val="fr-FR"/>
        </w:rPr>
        <w:t xml:space="preserve">TGP/5 : section 1/3 </w:t>
      </w:r>
      <w:proofErr w:type="spellStart"/>
      <w:r w:rsidRPr="0016157A">
        <w:rPr>
          <w:rFonts w:cs="Arial"/>
          <w:iCs/>
          <w:snapToGrid w:val="0"/>
          <w:lang w:val="fr-FR"/>
        </w:rPr>
        <w:t>Draft</w:t>
      </w:r>
      <w:proofErr w:type="spellEnd"/>
      <w:r w:rsidRPr="0016157A">
        <w:rPr>
          <w:rFonts w:cs="Arial"/>
          <w:iCs/>
          <w:snapToGrid w:val="0"/>
          <w:lang w:val="fr-FR"/>
        </w:rPr>
        <w:t xml:space="preserve"> 1.</w:t>
      </w:r>
    </w:p>
    <w:p w:rsidR="00EA3338" w:rsidRPr="0016157A" w:rsidRDefault="00EA3338" w:rsidP="00C249E4">
      <w:pPr>
        <w:tabs>
          <w:tab w:val="left" w:pos="5387"/>
        </w:tabs>
        <w:ind w:left="4820"/>
        <w:rPr>
          <w:i/>
          <w:lang w:val="fr-FR"/>
        </w:rPr>
      </w:pPr>
    </w:p>
    <w:p w:rsidR="00EA3338" w:rsidRPr="0016157A" w:rsidRDefault="00EA3338" w:rsidP="00C249E4">
      <w:pPr>
        <w:keepNext/>
        <w:keepLines/>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w:t>
      </w:r>
    </w:p>
    <w:p w:rsidR="00EA3338" w:rsidRPr="0016157A" w:rsidRDefault="00EA3338" w:rsidP="00C249E4">
      <w:pPr>
        <w:keepNext/>
        <w:keepLines/>
        <w:tabs>
          <w:tab w:val="left" w:pos="5387"/>
        </w:tabs>
        <w:ind w:left="4820"/>
        <w:rPr>
          <w:i/>
          <w:lang w:val="fr-FR"/>
        </w:rPr>
      </w:pPr>
    </w:p>
    <w:p w:rsidR="00EA3338" w:rsidRPr="00EE4E60" w:rsidRDefault="00EA3338" w:rsidP="00C249E4">
      <w:pPr>
        <w:keepNext/>
        <w:keepLines/>
        <w:tabs>
          <w:tab w:val="left" w:pos="5387"/>
          <w:tab w:val="left" w:pos="5954"/>
        </w:tabs>
        <w:ind w:left="4820" w:firstLine="567"/>
        <w:rPr>
          <w:i/>
          <w:lang w:val="fr-FR"/>
        </w:rPr>
      </w:pPr>
      <w:r w:rsidRPr="0016157A">
        <w:rPr>
          <w:i/>
          <w:lang w:val="fr-FR"/>
        </w:rPr>
        <w:t>a)</w:t>
      </w:r>
      <w:r w:rsidRPr="0016157A">
        <w:rPr>
          <w:i/>
          <w:lang w:val="fr-FR"/>
        </w:rPr>
        <w:tab/>
        <w:t>à examiner</w:t>
      </w:r>
      <w:r w:rsidRPr="0016157A">
        <w:rPr>
          <w:i/>
          <w:color w:val="FF0000"/>
          <w:lang w:val="fr-FR"/>
        </w:rPr>
        <w:t xml:space="preserve"> </w:t>
      </w:r>
      <w:r w:rsidRPr="0016157A">
        <w:rPr>
          <w:i/>
          <w:lang w:val="fr-FR"/>
        </w:rPr>
        <w:t>la proposition d</w:t>
      </w:r>
      <w:r w:rsidR="00B4091E">
        <w:rPr>
          <w:i/>
          <w:lang w:val="fr-FR"/>
        </w:rPr>
        <w:t>’</w:t>
      </w:r>
      <w:r w:rsidRPr="0016157A">
        <w:rPr>
          <w:i/>
          <w:lang w:val="fr-FR"/>
        </w:rPr>
        <w:t>orientations sur la confidentialité des informations moléculaires telle qu</w:t>
      </w:r>
      <w:r w:rsidR="00B4091E">
        <w:rPr>
          <w:i/>
          <w:lang w:val="fr-FR"/>
        </w:rPr>
        <w:t>’</w:t>
      </w:r>
      <w:r w:rsidRPr="0016157A">
        <w:rPr>
          <w:i/>
          <w:lang w:val="fr-FR"/>
        </w:rPr>
        <w:t xml:space="preserve">elle figure à la section 1/3 </w:t>
      </w:r>
      <w:proofErr w:type="spellStart"/>
      <w:r w:rsidRPr="0016157A">
        <w:rPr>
          <w:i/>
          <w:lang w:val="fr-FR"/>
        </w:rPr>
        <w:t>Draft</w:t>
      </w:r>
      <w:proofErr w:type="spellEnd"/>
      <w:r w:rsidRPr="0016157A">
        <w:rPr>
          <w:i/>
          <w:lang w:val="fr-FR"/>
        </w:rPr>
        <w:t xml:space="preserve"> 1 du document TGP/5 : </w:t>
      </w:r>
      <w:r w:rsidR="00B4091E">
        <w:rPr>
          <w:i/>
          <w:lang w:val="fr-FR"/>
        </w:rPr>
        <w:t>“</w:t>
      </w:r>
      <w:r w:rsidRPr="0016157A">
        <w:rPr>
          <w:i/>
          <w:lang w:val="fr-FR"/>
        </w:rPr>
        <w:t>Accord administratif type pour la coopération internationale en matière d</w:t>
      </w:r>
      <w:r w:rsidR="00B4091E">
        <w:rPr>
          <w:i/>
          <w:lang w:val="fr-FR"/>
        </w:rPr>
        <w:t>’</w:t>
      </w:r>
      <w:r w:rsidRPr="0016157A">
        <w:rPr>
          <w:i/>
          <w:lang w:val="fr-FR"/>
        </w:rPr>
        <w:t xml:space="preserve">examen des </w:t>
      </w:r>
      <w:r w:rsidRPr="00EE4E60">
        <w:rPr>
          <w:i/>
          <w:lang w:val="fr-FR"/>
        </w:rPr>
        <w:t>variétés</w:t>
      </w:r>
      <w:r w:rsidR="00B4091E">
        <w:rPr>
          <w:i/>
          <w:lang w:val="fr-FR"/>
        </w:rPr>
        <w:t>”</w:t>
      </w:r>
      <w:r w:rsidRPr="00EE4E60">
        <w:rPr>
          <w:i/>
          <w:lang w:val="fr-FR"/>
        </w:rPr>
        <w:t xml:space="preserve"> et</w:t>
      </w:r>
    </w:p>
    <w:p w:rsidR="00EA3338" w:rsidRPr="00EE4E60" w:rsidRDefault="00EA3338" w:rsidP="00C249E4">
      <w:pPr>
        <w:keepNext/>
        <w:keepLines/>
        <w:tabs>
          <w:tab w:val="left" w:pos="5387"/>
          <w:tab w:val="left" w:pos="5954"/>
        </w:tabs>
        <w:ind w:left="4820"/>
        <w:rPr>
          <w:i/>
          <w:lang w:val="fr-FR"/>
        </w:rPr>
      </w:pPr>
    </w:p>
    <w:p w:rsidR="00EA3338" w:rsidRPr="00EE4E60" w:rsidRDefault="00EA3338" w:rsidP="00C249E4">
      <w:pPr>
        <w:keepNext/>
        <w:keepLines/>
        <w:tabs>
          <w:tab w:val="left" w:pos="5387"/>
          <w:tab w:val="left" w:pos="5954"/>
        </w:tabs>
        <w:ind w:left="4820" w:firstLine="567"/>
        <w:rPr>
          <w:i/>
          <w:lang w:val="fr-FR"/>
        </w:rPr>
      </w:pPr>
      <w:r w:rsidRPr="00EE4E60">
        <w:rPr>
          <w:i/>
          <w:lang w:val="fr-FR"/>
        </w:rPr>
        <w:t>b)</w:t>
      </w:r>
      <w:r w:rsidRPr="00EE4E60">
        <w:rPr>
          <w:i/>
          <w:lang w:val="fr-FR"/>
        </w:rPr>
        <w:tab/>
        <w:t>à noter que, sous réserve de l</w:t>
      </w:r>
      <w:r w:rsidR="00B4091E">
        <w:rPr>
          <w:i/>
          <w:lang w:val="fr-FR"/>
        </w:rPr>
        <w:t>’</w:t>
      </w:r>
      <w:r w:rsidRPr="00EE4E60">
        <w:rPr>
          <w:i/>
          <w:lang w:val="fr-FR"/>
        </w:rPr>
        <w:t>approbation du CAJ à sa session qui se tiendra le 31 octobre 2018, les orientations proposées sur la confidentialité des informations moléculaires seront soumises au Conseil pour adoption à sa session de 2018.</w:t>
      </w:r>
    </w:p>
    <w:p w:rsidR="00EA3338" w:rsidRPr="00EE4E60" w:rsidRDefault="00EA3338" w:rsidP="00C249E4">
      <w:pPr>
        <w:rPr>
          <w:lang w:val="fr-FR"/>
        </w:rPr>
      </w:pPr>
    </w:p>
    <w:p w:rsidR="00EA3338" w:rsidRPr="00EE4E60" w:rsidRDefault="00EA3338" w:rsidP="00C249E4">
      <w:pPr>
        <w:rPr>
          <w:lang w:val="fr-FR"/>
        </w:rPr>
      </w:pPr>
    </w:p>
    <w:p w:rsidR="00EA3338" w:rsidRPr="0016157A" w:rsidRDefault="00EA3338" w:rsidP="00857E46">
      <w:pPr>
        <w:pStyle w:val="Heading1"/>
        <w:rPr>
          <w:lang w:val="fr-FR"/>
        </w:rPr>
      </w:pPr>
      <w:bookmarkStart w:id="17" w:name="_Toc521492799"/>
      <w:r>
        <w:rPr>
          <w:lang w:val="fr-FR"/>
        </w:rPr>
        <w:t>FUTURES RÉVISIONS DES</w:t>
      </w:r>
      <w:r w:rsidRPr="0016157A">
        <w:rPr>
          <w:lang w:val="fr-FR"/>
        </w:rPr>
        <w:t xml:space="preserve"> DOCUMENTS TGP</w:t>
      </w:r>
      <w:bookmarkEnd w:id="17"/>
    </w:p>
    <w:p w:rsidR="00EA3338" w:rsidRPr="0016157A" w:rsidRDefault="00EA3338" w:rsidP="00C249E4">
      <w:pPr>
        <w:rPr>
          <w:lang w:val="fr-FR"/>
        </w:rPr>
      </w:pPr>
    </w:p>
    <w:p w:rsidR="00EA3338" w:rsidRPr="00883650" w:rsidRDefault="00EA3338" w:rsidP="00C249E4">
      <w:pPr>
        <w:pStyle w:val="Heading2"/>
        <w:rPr>
          <w:lang w:val="fr-CH"/>
        </w:rPr>
      </w:pPr>
      <w:bookmarkStart w:id="18" w:name="_Toc521492800"/>
      <w:r w:rsidRPr="00883650">
        <w:rPr>
          <w:lang w:val="fr-CH"/>
        </w:rPr>
        <w:t>Questions précédemment approuvées par le Comité technique</w:t>
      </w:r>
      <w:bookmarkEnd w:id="18"/>
    </w:p>
    <w:p w:rsidR="00EA3338" w:rsidRPr="0016157A" w:rsidRDefault="00EA3338" w:rsidP="00C249E4">
      <w:pPr>
        <w:rPr>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Les révisions ci</w:t>
      </w:r>
      <w:r w:rsidRPr="0016157A">
        <w:rPr>
          <w:lang w:val="fr-FR"/>
        </w:rPr>
        <w:noBreakHyphen/>
        <w:t>après des documents TGP ont été approuvées par le Comité technique à sa cinquante</w:t>
      </w:r>
      <w:r w:rsidRPr="0016157A">
        <w:rPr>
          <w:lang w:val="fr-FR"/>
        </w:rPr>
        <w:noBreakHyphen/>
        <w:t>troisième session tenue à Genève du 3 au 5 avril 2017 et seront proposées pour adoption par le Conseil :</w:t>
      </w:r>
    </w:p>
    <w:p w:rsidR="00EA3338" w:rsidRPr="0016157A" w:rsidRDefault="00EA3338" w:rsidP="00C249E4">
      <w:pPr>
        <w:rPr>
          <w:lang w:val="fr-FR"/>
        </w:rPr>
      </w:pPr>
    </w:p>
    <w:p w:rsidR="00EA3338" w:rsidRPr="0016157A" w:rsidRDefault="00EA3338" w:rsidP="003B1AAB">
      <w:pPr>
        <w:outlineLvl w:val="2"/>
        <w:rPr>
          <w:i/>
          <w:lang w:val="fr-FR"/>
        </w:rPr>
      </w:pPr>
      <w:bookmarkStart w:id="19" w:name="_Toc521492801"/>
      <w:r w:rsidRPr="0016157A">
        <w:rPr>
          <w:i/>
          <w:lang w:val="fr-FR"/>
        </w:rPr>
        <w:t>TGP/8 : Protocole d</w:t>
      </w:r>
      <w:r w:rsidR="00B4091E">
        <w:rPr>
          <w:i/>
          <w:lang w:val="fr-FR"/>
        </w:rPr>
        <w:t>’</w:t>
      </w:r>
      <w:r w:rsidRPr="0016157A">
        <w:rPr>
          <w:i/>
          <w:lang w:val="fr-FR"/>
        </w:rPr>
        <w:t>essai et techniques utilisés dans l</w:t>
      </w:r>
      <w:r w:rsidR="00B4091E">
        <w:rPr>
          <w:i/>
          <w:lang w:val="fr-FR"/>
        </w:rPr>
        <w:t>’</w:t>
      </w:r>
      <w:r w:rsidRPr="0016157A">
        <w:rPr>
          <w:i/>
          <w:lang w:val="fr-FR"/>
        </w:rPr>
        <w:t>examen de la distinction, de l</w:t>
      </w:r>
      <w:r w:rsidR="00B4091E">
        <w:rPr>
          <w:i/>
          <w:lang w:val="fr-FR"/>
        </w:rPr>
        <w:t>’</w:t>
      </w:r>
      <w:r w:rsidRPr="0016157A">
        <w:rPr>
          <w:i/>
          <w:lang w:val="fr-FR"/>
        </w:rPr>
        <w:t>homogénéité et de la stabilité</w:t>
      </w:r>
      <w:bookmarkEnd w:id="19"/>
    </w:p>
    <w:p w:rsidR="00EA3338" w:rsidRPr="0016157A" w:rsidRDefault="00EA3338" w:rsidP="003B1AAB">
      <w:pPr>
        <w:ind w:left="1134" w:firstLine="567"/>
        <w:rPr>
          <w:lang w:val="fr-FR"/>
        </w:rPr>
      </w:pPr>
    </w:p>
    <w:p w:rsidR="00EA3338" w:rsidRPr="0016157A" w:rsidRDefault="00EA3338" w:rsidP="003B1AAB">
      <w:pPr>
        <w:ind w:left="1134" w:hanging="567"/>
        <w:outlineLvl w:val="3"/>
        <w:rPr>
          <w:u w:val="single"/>
          <w:lang w:val="fr-FR"/>
        </w:rPr>
      </w:pPr>
      <w:bookmarkStart w:id="20" w:name="_Toc521492802"/>
      <w:r w:rsidRPr="00EE4E60">
        <w:rPr>
          <w:lang w:val="fr-FR"/>
        </w:rPr>
        <w:t>iii)</w:t>
      </w:r>
      <w:r w:rsidRPr="00EE4E60">
        <w:rPr>
          <w:lang w:val="fr-FR"/>
        </w:rPr>
        <w:tab/>
      </w:r>
      <w:r w:rsidRPr="0016157A">
        <w:rPr>
          <w:u w:val="single"/>
          <w:lang w:val="fr-FR"/>
        </w:rPr>
        <w:t>Examen DHS sur des Échantillons globaux</w:t>
      </w:r>
      <w:bookmarkEnd w:id="20"/>
    </w:p>
    <w:p w:rsidR="00EA3338" w:rsidRPr="0016157A" w:rsidRDefault="00EA3338" w:rsidP="003B1AAB">
      <w:pPr>
        <w:rPr>
          <w:lang w:val="fr-FR"/>
        </w:rPr>
      </w:pPr>
    </w:p>
    <w:p w:rsidR="00EA3338" w:rsidRDefault="00EA3338" w:rsidP="003B1AAB">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TC, à sa cinquante</w:t>
      </w:r>
      <w:r w:rsidRPr="0016157A">
        <w:rPr>
          <w:lang w:val="fr-FR"/>
        </w:rPr>
        <w:noBreakHyphen/>
        <w:t>troisième session, a approuvé une liste de critères qui servira de base à l</w:t>
      </w:r>
      <w:r w:rsidR="00B4091E">
        <w:rPr>
          <w:lang w:val="fr-FR"/>
        </w:rPr>
        <w:t>’</w:t>
      </w:r>
      <w:r w:rsidRPr="0016157A">
        <w:rPr>
          <w:lang w:val="fr-FR"/>
        </w:rPr>
        <w:t>élaboration de principes directeurs qui seront inclus dans une future version révisée du document TGP/8, telle qu</w:t>
      </w:r>
      <w:r w:rsidR="00B4091E">
        <w:rPr>
          <w:lang w:val="fr-FR"/>
        </w:rPr>
        <w:t>’</w:t>
      </w:r>
      <w:r w:rsidRPr="0016157A">
        <w:rPr>
          <w:lang w:val="fr-FR"/>
        </w:rPr>
        <w:t>elle figure dans l</w:t>
      </w:r>
      <w:r w:rsidR="00B4091E">
        <w:rPr>
          <w:lang w:val="fr-FR"/>
        </w:rPr>
        <w:t>’</w:t>
      </w:r>
      <w:r w:rsidRPr="0016157A">
        <w:rPr>
          <w:lang w:val="fr-FR"/>
        </w:rPr>
        <w:t xml:space="preserve">annexe II du présent document (voir les paragraphes 113 à 116 du document TC/53/31 </w:t>
      </w:r>
      <w:r w:rsidR="00B4091E">
        <w:rPr>
          <w:lang w:val="fr-FR"/>
        </w:rPr>
        <w:t>“</w:t>
      </w:r>
      <w:r w:rsidRPr="0016157A">
        <w:rPr>
          <w:lang w:val="fr-FR"/>
        </w:rPr>
        <w:t>Compte rendu</w:t>
      </w:r>
      <w:r w:rsidR="00B4091E">
        <w:rPr>
          <w:lang w:val="fr-FR"/>
        </w:rPr>
        <w:t>”</w:t>
      </w:r>
      <w:r w:rsidRPr="0016157A">
        <w:rPr>
          <w:lang w:val="fr-FR"/>
        </w:rPr>
        <w:t>).</w:t>
      </w:r>
    </w:p>
    <w:p w:rsidR="003B1AAB" w:rsidRPr="0016157A" w:rsidRDefault="003B1AAB" w:rsidP="003B1AAB">
      <w:pPr>
        <w:rPr>
          <w:lang w:val="fr-FR"/>
        </w:rPr>
      </w:pPr>
    </w:p>
    <w:p w:rsidR="00EA3338" w:rsidRPr="00B70EF4" w:rsidRDefault="00EA3338" w:rsidP="003B1AAB">
      <w:pPr>
        <w:keepNext/>
        <w:rPr>
          <w:i/>
          <w:lang w:val="fr-FR"/>
        </w:rPr>
      </w:pPr>
      <w:r w:rsidRPr="00B70EF4">
        <w:rPr>
          <w:i/>
          <w:lang w:val="fr-FR"/>
        </w:rPr>
        <w:t>TPG/14 : Glossaire des termes utilisés dans les documents</w:t>
      </w:r>
      <w:r>
        <w:rPr>
          <w:i/>
          <w:lang w:val="fr-FR"/>
        </w:rPr>
        <w:t xml:space="preserve"> de l</w:t>
      </w:r>
      <w:r w:rsidR="00B4091E">
        <w:rPr>
          <w:i/>
          <w:lang w:val="fr-FR"/>
        </w:rPr>
        <w:t>’</w:t>
      </w:r>
      <w:r w:rsidRPr="00B70EF4">
        <w:rPr>
          <w:i/>
          <w:lang w:val="fr-FR"/>
        </w:rPr>
        <w:t>UPOV</w:t>
      </w:r>
    </w:p>
    <w:p w:rsidR="00EA3338" w:rsidRDefault="00EA3338" w:rsidP="003B1AAB">
      <w:pPr>
        <w:keepNext/>
        <w:jc w:val="left"/>
        <w:rPr>
          <w:lang w:val="fr-FR"/>
        </w:rPr>
      </w:pPr>
    </w:p>
    <w:p w:rsidR="00EA3338" w:rsidRPr="0016157A" w:rsidRDefault="00EA3338" w:rsidP="003B1AAB">
      <w:pPr>
        <w:keepNext/>
        <w:ind w:left="1134" w:hanging="567"/>
        <w:outlineLvl w:val="3"/>
        <w:rPr>
          <w:u w:val="single"/>
          <w:lang w:val="fr-FR"/>
        </w:rPr>
      </w:pPr>
      <w:bookmarkStart w:id="21" w:name="_Toc521492803"/>
      <w:r w:rsidRPr="00EE4E60">
        <w:rPr>
          <w:lang w:val="fr-FR"/>
        </w:rPr>
        <w:t>iv)</w:t>
      </w:r>
      <w:r w:rsidRPr="00EE4E60">
        <w:rPr>
          <w:lang w:val="fr-FR"/>
        </w:rPr>
        <w:tab/>
      </w:r>
      <w:r w:rsidRPr="0016157A">
        <w:rPr>
          <w:u w:val="single"/>
          <w:lang w:val="fr-FR"/>
        </w:rPr>
        <w:t>Illustration des caractères liés à la forme et au ratio</w:t>
      </w:r>
      <w:bookmarkEnd w:id="21"/>
    </w:p>
    <w:p w:rsidR="00EA3338" w:rsidRPr="0016157A" w:rsidRDefault="00EA3338" w:rsidP="003B1AAB">
      <w:pPr>
        <w:keepNext/>
        <w:rPr>
          <w:snapToGrid w:val="0"/>
          <w:lang w:val="fr-FR"/>
        </w:rPr>
      </w:pPr>
    </w:p>
    <w:p w:rsidR="00EA3338" w:rsidRPr="0016157A" w:rsidRDefault="00EA3338" w:rsidP="003B1AAB">
      <w:pPr>
        <w:keepNext/>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TC, à sa cinquante</w:t>
      </w:r>
      <w:r w:rsidRPr="0016157A">
        <w:rPr>
          <w:lang w:val="fr-FR"/>
        </w:rPr>
        <w:noBreakHyphen/>
        <w:t>troisième session, est convenu de réviser le document TGP/14 : section 2 : sous</w:t>
      </w:r>
      <w:r w:rsidRPr="0016157A">
        <w:rPr>
          <w:lang w:val="fr-FR"/>
        </w:rPr>
        <w:noBreakHyphen/>
        <w:t>section 2 : Formes et structures pour modifier le tableau des positions de la partie la plus large et des rapports longueur/largeur présenté dans l</w:t>
      </w:r>
      <w:r w:rsidR="00B4091E">
        <w:rPr>
          <w:lang w:val="fr-FR"/>
        </w:rPr>
        <w:t>’</w:t>
      </w:r>
      <w:r w:rsidRPr="0016157A">
        <w:rPr>
          <w:lang w:val="fr-FR"/>
        </w:rPr>
        <w:t xml:space="preserve">exemple 5, variante 2 afin de supprimer le terme </w:t>
      </w:r>
      <w:r w:rsidR="00B4091E">
        <w:rPr>
          <w:lang w:val="fr-FR"/>
        </w:rPr>
        <w:t>“</w:t>
      </w:r>
      <w:r w:rsidRPr="0016157A">
        <w:rPr>
          <w:lang w:val="fr-FR"/>
        </w:rPr>
        <w:t>rapport</w:t>
      </w:r>
      <w:r w:rsidR="00B4091E">
        <w:rPr>
          <w:lang w:val="fr-FR"/>
        </w:rPr>
        <w:t>”</w:t>
      </w:r>
      <w:r w:rsidRPr="0016157A">
        <w:rPr>
          <w:lang w:val="fr-FR"/>
        </w:rPr>
        <w:t xml:space="preserve"> et de faire figurer </w:t>
      </w:r>
      <w:r w:rsidR="00B4091E">
        <w:rPr>
          <w:lang w:val="fr-FR"/>
        </w:rPr>
        <w:t>“</w:t>
      </w:r>
      <w:r w:rsidRPr="0016157A">
        <w:rPr>
          <w:lang w:val="fr-FR"/>
        </w:rPr>
        <w:t>largeur relative</w:t>
      </w:r>
      <w:r w:rsidR="00B4091E">
        <w:rPr>
          <w:lang w:val="fr-FR"/>
        </w:rPr>
        <w:t>”</w:t>
      </w:r>
      <w:r w:rsidRPr="0016157A">
        <w:rPr>
          <w:lang w:val="fr-FR"/>
        </w:rPr>
        <w:t xml:space="preserve"> dans une colonne distincte de l</w:t>
      </w:r>
      <w:r w:rsidR="00B4091E">
        <w:rPr>
          <w:lang w:val="fr-FR"/>
        </w:rPr>
        <w:t>’</w:t>
      </w:r>
      <w:r w:rsidRPr="0016157A">
        <w:rPr>
          <w:lang w:val="fr-FR"/>
        </w:rPr>
        <w:t xml:space="preserve">échelle </w:t>
      </w:r>
      <w:r w:rsidR="00B4091E">
        <w:rPr>
          <w:lang w:val="fr-FR"/>
        </w:rPr>
        <w:t>“</w:t>
      </w:r>
      <w:r w:rsidRPr="0016157A">
        <w:rPr>
          <w:lang w:val="fr-FR"/>
        </w:rPr>
        <w:t>large à étroit</w:t>
      </w:r>
      <w:r w:rsidR="00B4091E">
        <w:rPr>
          <w:lang w:val="fr-FR"/>
        </w:rPr>
        <w:t>”</w:t>
      </w:r>
      <w:r w:rsidRPr="0016157A">
        <w:rPr>
          <w:lang w:val="fr-FR"/>
        </w:rPr>
        <w:t>, comme indiqué dans l</w:t>
      </w:r>
      <w:r w:rsidR="00B4091E">
        <w:rPr>
          <w:lang w:val="fr-FR"/>
        </w:rPr>
        <w:t>’</w:t>
      </w:r>
      <w:r w:rsidRPr="0016157A">
        <w:rPr>
          <w:lang w:val="fr-FR"/>
        </w:rPr>
        <w:t xml:space="preserve">annexe III du présent document (voir le paragraphe 141 du document TC/53/31 </w:t>
      </w:r>
      <w:r w:rsidR="00B4091E">
        <w:rPr>
          <w:lang w:val="fr-FR"/>
        </w:rPr>
        <w:t>“</w:t>
      </w:r>
      <w:r w:rsidRPr="0016157A">
        <w:rPr>
          <w:lang w:val="fr-FR"/>
        </w:rPr>
        <w:t>Compte rendu</w:t>
      </w:r>
      <w:r w:rsidR="00B4091E">
        <w:rPr>
          <w:lang w:val="fr-FR"/>
        </w:rPr>
        <w:t>”</w:t>
      </w:r>
      <w:r w:rsidRPr="0016157A">
        <w:rPr>
          <w:lang w:val="fr-FR"/>
        </w:rPr>
        <w:t>).</w:t>
      </w:r>
    </w:p>
    <w:p w:rsidR="00EA3338" w:rsidRPr="0016157A" w:rsidRDefault="00EA3338" w:rsidP="00C249E4">
      <w:pPr>
        <w:rPr>
          <w:snapToGrid w:val="0"/>
          <w:lang w:val="fr-FR"/>
        </w:rPr>
      </w:pPr>
    </w:p>
    <w:p w:rsidR="00EA3338" w:rsidRPr="0016157A" w:rsidRDefault="00EA3338" w:rsidP="008D1C5B">
      <w:pPr>
        <w:keepNext/>
        <w:keepLines/>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prendre note des révisions</w:t>
      </w:r>
      <w:r w:rsidRPr="0016157A">
        <w:rPr>
          <w:i/>
          <w:color w:val="FF0000"/>
          <w:lang w:val="fr-FR"/>
        </w:rPr>
        <w:t xml:space="preserve"> </w:t>
      </w:r>
      <w:r w:rsidRPr="0016157A">
        <w:rPr>
          <w:i/>
          <w:lang w:val="fr-FR"/>
        </w:rPr>
        <w:t>déjà approuvées par le TC pour les documents TGP/8 et TGP/14, telles que figurant dans les Annexes II et III du présent document.</w:t>
      </w:r>
    </w:p>
    <w:p w:rsidR="00EA3338" w:rsidRPr="0016157A" w:rsidRDefault="00EA3338" w:rsidP="00C249E4">
      <w:pPr>
        <w:keepNext/>
        <w:tabs>
          <w:tab w:val="left" w:pos="5387"/>
        </w:tabs>
        <w:ind w:left="4820"/>
        <w:rPr>
          <w:i/>
          <w:lang w:val="fr-FR"/>
        </w:rPr>
      </w:pPr>
    </w:p>
    <w:p w:rsidR="00EA3338" w:rsidRPr="0016157A" w:rsidRDefault="00EA3338" w:rsidP="00C249E4">
      <w:pPr>
        <w:rPr>
          <w:lang w:val="fr-FR"/>
        </w:rPr>
      </w:pPr>
    </w:p>
    <w:p w:rsidR="00EA3338" w:rsidRPr="00883650" w:rsidRDefault="00EA3338" w:rsidP="00C249E4">
      <w:pPr>
        <w:pStyle w:val="Heading2"/>
        <w:rPr>
          <w:lang w:val="fr-CH"/>
        </w:rPr>
      </w:pPr>
      <w:bookmarkStart w:id="22" w:name="_Toc521492804"/>
      <w:r w:rsidRPr="00883650">
        <w:rPr>
          <w:lang w:val="fr-CH"/>
        </w:rPr>
        <w:t>Questions devant être examinées par le Comité technique</w:t>
      </w:r>
      <w:bookmarkEnd w:id="22"/>
    </w:p>
    <w:p w:rsidR="00EA3338" w:rsidRPr="0016157A" w:rsidRDefault="00EA3338" w:rsidP="00C249E4">
      <w:pPr>
        <w:rPr>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TC, à sa cinquante</w:t>
      </w:r>
      <w:r w:rsidRPr="0016157A">
        <w:rPr>
          <w:lang w:val="fr-FR"/>
        </w:rPr>
        <w:noBreakHyphen/>
        <w:t>troisième session, a approuvé les questions pour d</w:t>
      </w:r>
      <w:r w:rsidR="00B4091E">
        <w:rPr>
          <w:lang w:val="fr-FR"/>
        </w:rPr>
        <w:t>’</w:t>
      </w:r>
      <w:r w:rsidRPr="0016157A">
        <w:rPr>
          <w:lang w:val="fr-FR"/>
        </w:rPr>
        <w:t xml:space="preserve">éventuelles futures révisions des documents TGP que les TWP devront examiner à leurs sessions de 2017 (voir les paragraphes 107 à 145 du document TC/53/31 </w:t>
      </w:r>
      <w:r w:rsidR="00B4091E">
        <w:rPr>
          <w:lang w:val="fr-FR"/>
        </w:rPr>
        <w:t>“</w:t>
      </w:r>
      <w:r w:rsidRPr="0016157A">
        <w:rPr>
          <w:lang w:val="fr-FR"/>
        </w:rPr>
        <w:t>Compte rendu</w:t>
      </w:r>
      <w:r w:rsidR="00B4091E">
        <w:rPr>
          <w:lang w:val="fr-FR"/>
        </w:rPr>
        <w:t>”</w:t>
      </w:r>
      <w:r w:rsidRPr="0016157A">
        <w:rPr>
          <w:lang w:val="fr-FR"/>
        </w:rPr>
        <w:t>).</w:t>
      </w:r>
    </w:p>
    <w:p w:rsidR="00EA3338" w:rsidRPr="0016157A" w:rsidRDefault="00EA3338" w:rsidP="00C249E4">
      <w:pPr>
        <w:rPr>
          <w:lang w:val="fr-FR"/>
        </w:rPr>
      </w:pPr>
    </w:p>
    <w:p w:rsidR="00EA3338" w:rsidRPr="00883650" w:rsidRDefault="00EA3338" w:rsidP="00C249E4">
      <w:pPr>
        <w:pStyle w:val="Heading3"/>
        <w:rPr>
          <w:i w:val="0"/>
          <w:lang w:val="fr-CH"/>
        </w:rPr>
      </w:pPr>
      <w:bookmarkStart w:id="23" w:name="_Toc521492805"/>
      <w:r w:rsidRPr="00883650">
        <w:rPr>
          <w:lang w:val="fr-CH"/>
        </w:rPr>
        <w:t>TGP/7 : Élaboration des principes directeurs d</w:t>
      </w:r>
      <w:r w:rsidR="00B4091E">
        <w:rPr>
          <w:lang w:val="fr-CH"/>
        </w:rPr>
        <w:t>’</w:t>
      </w:r>
      <w:r w:rsidRPr="00883650">
        <w:rPr>
          <w:lang w:val="fr-CH"/>
        </w:rPr>
        <w:t>examen</w:t>
      </w:r>
      <w:bookmarkEnd w:id="23"/>
    </w:p>
    <w:p w:rsidR="00EA3338" w:rsidRPr="0016157A" w:rsidRDefault="00EA3338" w:rsidP="00C249E4">
      <w:pPr>
        <w:keepNext/>
        <w:keepLines/>
        <w:rPr>
          <w:lang w:val="fr-FR"/>
        </w:rPr>
      </w:pPr>
    </w:p>
    <w:p w:rsidR="00EA3338" w:rsidRPr="0016157A" w:rsidRDefault="00EA3338" w:rsidP="00C249E4">
      <w:pPr>
        <w:pStyle w:val="Heading4"/>
      </w:pPr>
      <w:bookmarkStart w:id="24" w:name="_Toc521492806"/>
      <w:r w:rsidRPr="00DB14D6">
        <w:rPr>
          <w:u w:val="none"/>
        </w:rPr>
        <w:t>i)</w:t>
      </w:r>
      <w:r w:rsidRPr="00DB14D6">
        <w:rPr>
          <w:u w:val="none"/>
        </w:rPr>
        <w:tab/>
      </w:r>
      <w:r w:rsidRPr="0016157A">
        <w:t>Durée de l</w:t>
      </w:r>
      <w:r w:rsidR="00B4091E">
        <w:t>’</w:t>
      </w:r>
      <w:r w:rsidRPr="0016157A">
        <w:t>examen DHS</w:t>
      </w:r>
      <w:bookmarkEnd w:id="24"/>
    </w:p>
    <w:p w:rsidR="00EA3338" w:rsidRPr="0016157A" w:rsidRDefault="00EA3338" w:rsidP="00C249E4">
      <w:pPr>
        <w:keepNext/>
        <w:keepLines/>
        <w:ind w:left="1134"/>
        <w:rPr>
          <w:lang w:val="fr-FR"/>
        </w:rPr>
      </w:pPr>
      <w:r w:rsidRPr="0016157A">
        <w:rPr>
          <w:lang w:val="fr-FR"/>
        </w:rPr>
        <w:t>Voir document TC/54/14</w:t>
      </w:r>
    </w:p>
    <w:p w:rsidR="00EA3338" w:rsidRPr="0016157A" w:rsidRDefault="00EA3338" w:rsidP="00C249E4">
      <w:pPr>
        <w:ind w:left="567"/>
        <w:rPr>
          <w:lang w:val="fr-FR"/>
        </w:rPr>
      </w:pPr>
    </w:p>
    <w:p w:rsidR="00EA3338" w:rsidRPr="0016157A" w:rsidRDefault="00EA3338" w:rsidP="00C249E4">
      <w:pPr>
        <w:pStyle w:val="Heading4"/>
      </w:pPr>
      <w:bookmarkStart w:id="25" w:name="_Toc521492807"/>
      <w:r w:rsidRPr="00DB14D6">
        <w:rPr>
          <w:u w:val="none"/>
        </w:rPr>
        <w:t>ii)</w:t>
      </w:r>
      <w:r w:rsidRPr="00DB14D6">
        <w:rPr>
          <w:u w:val="none"/>
        </w:rPr>
        <w:tab/>
      </w:r>
      <w:r w:rsidRPr="0016157A">
        <w:t>Caractères qui ne s</w:t>
      </w:r>
      <w:r w:rsidR="00B4091E">
        <w:t>’</w:t>
      </w:r>
      <w:r w:rsidRPr="0016157A">
        <w:t>appliquent qu</w:t>
      </w:r>
      <w:r w:rsidR="00B4091E">
        <w:t>’</w:t>
      </w:r>
      <w:r w:rsidRPr="0016157A">
        <w:t>à certaines variétés</w:t>
      </w:r>
      <w:bookmarkEnd w:id="25"/>
    </w:p>
    <w:p w:rsidR="00EA3338" w:rsidRPr="0016157A" w:rsidRDefault="00EA3338" w:rsidP="00C249E4">
      <w:pPr>
        <w:keepNext/>
        <w:keepLines/>
        <w:ind w:left="1134"/>
        <w:rPr>
          <w:lang w:val="fr-FR"/>
        </w:rPr>
      </w:pPr>
      <w:r w:rsidRPr="0016157A">
        <w:rPr>
          <w:lang w:val="fr-FR"/>
        </w:rPr>
        <w:t>Voir document TC/54/15</w:t>
      </w:r>
    </w:p>
    <w:p w:rsidR="00EA3338" w:rsidRPr="0016157A" w:rsidRDefault="00EA3338" w:rsidP="00C249E4">
      <w:pPr>
        <w:ind w:left="567"/>
        <w:rPr>
          <w:lang w:val="fr-FR"/>
        </w:rPr>
      </w:pPr>
      <w:bookmarkStart w:id="26" w:name="_Toc352678059"/>
      <w:bookmarkStart w:id="27" w:name="_Toc353797740"/>
      <w:bookmarkStart w:id="28" w:name="_Toc374385120"/>
      <w:bookmarkStart w:id="29" w:name="_Toc374631058"/>
      <w:bookmarkStart w:id="30" w:name="_Toc374632530"/>
      <w:bookmarkStart w:id="31" w:name="_Toc374635730"/>
      <w:bookmarkStart w:id="32" w:name="_Toc378251520"/>
      <w:bookmarkStart w:id="33" w:name="_Toc381279981"/>
      <w:bookmarkStart w:id="34" w:name="_Toc386185984"/>
    </w:p>
    <w:p w:rsidR="00EA3338" w:rsidRPr="0016157A" w:rsidRDefault="00EA3338" w:rsidP="00C249E4">
      <w:pPr>
        <w:pStyle w:val="Heading4"/>
      </w:pPr>
      <w:bookmarkStart w:id="35" w:name="_Toc521492808"/>
      <w:r w:rsidRPr="00DB14D6">
        <w:rPr>
          <w:u w:val="none"/>
        </w:rPr>
        <w:t>iii)</w:t>
      </w:r>
      <w:r w:rsidRPr="00DB14D6">
        <w:rPr>
          <w:u w:val="none"/>
        </w:rPr>
        <w:tab/>
      </w:r>
      <w:r w:rsidRPr="0016157A">
        <w:t>Procédure d</w:t>
      </w:r>
      <w:r w:rsidR="00B4091E">
        <w:t>’</w:t>
      </w:r>
      <w:r w:rsidRPr="0016157A">
        <w:t>adoption des principes directeurs d</w:t>
      </w:r>
      <w:r w:rsidR="00B4091E">
        <w:t>’</w:t>
      </w:r>
      <w:r w:rsidRPr="0016157A">
        <w:t>examen par correspondance</w:t>
      </w:r>
      <w:bookmarkEnd w:id="35"/>
    </w:p>
    <w:p w:rsidR="00EA3338" w:rsidRPr="0016157A" w:rsidRDefault="00EA3338" w:rsidP="00C249E4">
      <w:pPr>
        <w:keepNext/>
        <w:keepLines/>
        <w:ind w:left="567" w:firstLine="567"/>
        <w:rPr>
          <w:lang w:val="fr-FR"/>
        </w:rPr>
      </w:pPr>
      <w:r w:rsidRPr="0016157A">
        <w:rPr>
          <w:lang w:val="fr-FR"/>
        </w:rPr>
        <w:t>Voir document TC/54/16</w:t>
      </w:r>
    </w:p>
    <w:p w:rsidR="00EA3338" w:rsidRPr="0016157A" w:rsidRDefault="00EA3338" w:rsidP="00C249E4">
      <w:pPr>
        <w:keepNext/>
        <w:keepLines/>
        <w:ind w:left="1134"/>
        <w:rPr>
          <w:lang w:val="fr-FR"/>
        </w:rPr>
      </w:pPr>
    </w:p>
    <w:p w:rsidR="00EA3338" w:rsidRPr="00883650" w:rsidRDefault="00EA3338" w:rsidP="00C249E4">
      <w:pPr>
        <w:pStyle w:val="Heading3"/>
        <w:rPr>
          <w:i w:val="0"/>
          <w:lang w:val="fr-CH"/>
        </w:rPr>
      </w:pPr>
      <w:bookmarkStart w:id="36" w:name="_Toc521492809"/>
      <w:r w:rsidRPr="00883650">
        <w:rPr>
          <w:lang w:val="fr-CH"/>
        </w:rPr>
        <w:t>TGP/8 : Protocole d</w:t>
      </w:r>
      <w:r w:rsidR="00B4091E">
        <w:rPr>
          <w:lang w:val="fr-CH"/>
        </w:rPr>
        <w:t>’</w:t>
      </w:r>
      <w:r w:rsidRPr="00883650">
        <w:rPr>
          <w:lang w:val="fr-CH"/>
        </w:rPr>
        <w:t>essai et techniques utilisés dans l</w:t>
      </w:r>
      <w:r w:rsidR="00B4091E">
        <w:rPr>
          <w:lang w:val="fr-CH"/>
        </w:rPr>
        <w:t>’</w:t>
      </w:r>
      <w:r w:rsidRPr="00883650">
        <w:rPr>
          <w:lang w:val="fr-CH"/>
        </w:rPr>
        <w:t>examen de la distinction, de l</w:t>
      </w:r>
      <w:r w:rsidR="00B4091E">
        <w:rPr>
          <w:lang w:val="fr-CH"/>
        </w:rPr>
        <w:t>’</w:t>
      </w:r>
      <w:r w:rsidRPr="00883650">
        <w:rPr>
          <w:lang w:val="fr-CH"/>
        </w:rPr>
        <w:t>homogénéité et de la stabilité</w:t>
      </w:r>
      <w:bookmarkEnd w:id="36"/>
    </w:p>
    <w:p w:rsidR="00EA3338" w:rsidRPr="0016157A" w:rsidRDefault="00EA3338" w:rsidP="00C249E4">
      <w:pPr>
        <w:rPr>
          <w:lang w:val="fr-FR"/>
        </w:rPr>
      </w:pPr>
    </w:p>
    <w:p w:rsidR="00EA3338" w:rsidRPr="0016157A" w:rsidRDefault="00EA3338" w:rsidP="00C249E4">
      <w:pPr>
        <w:pStyle w:val="Heading4"/>
      </w:pPr>
      <w:bookmarkStart w:id="37" w:name="_Toc521492810"/>
      <w:r w:rsidRPr="00DB14D6">
        <w:rPr>
          <w:u w:val="none"/>
        </w:rPr>
        <w:t>iv)</w:t>
      </w:r>
      <w:r w:rsidRPr="00DB14D6">
        <w:rPr>
          <w:u w:val="none"/>
        </w:rPr>
        <w:tab/>
      </w:r>
      <w:r w:rsidRPr="0016157A">
        <w:t>Analyse globale de l</w:t>
      </w:r>
      <w:r w:rsidR="00B4091E">
        <w:t>’</w:t>
      </w:r>
      <w:r w:rsidRPr="0016157A">
        <w:t>homogénéité sur plusieurs années (méthode d</w:t>
      </w:r>
      <w:r w:rsidR="00B4091E">
        <w:t>’</w:t>
      </w:r>
      <w:r w:rsidRPr="0016157A">
        <w:t>analyse COYU)</w:t>
      </w:r>
      <w:bookmarkEnd w:id="37"/>
    </w:p>
    <w:p w:rsidR="00EA3338" w:rsidRPr="0016157A" w:rsidRDefault="00EA3338" w:rsidP="00C249E4">
      <w:pPr>
        <w:keepNext/>
        <w:keepLines/>
        <w:ind w:left="1134"/>
        <w:rPr>
          <w:lang w:val="fr-FR"/>
        </w:rPr>
      </w:pPr>
      <w:r w:rsidRPr="0016157A">
        <w:rPr>
          <w:lang w:val="fr-FR"/>
        </w:rPr>
        <w:t>Voir document TC/54/17</w:t>
      </w:r>
    </w:p>
    <w:p w:rsidR="00EA3338" w:rsidRPr="0016157A" w:rsidRDefault="00EA3338" w:rsidP="00C249E4">
      <w:pPr>
        <w:ind w:left="567"/>
        <w:rPr>
          <w:lang w:val="fr-FR"/>
        </w:rPr>
      </w:pPr>
    </w:p>
    <w:p w:rsidR="00EA3338" w:rsidRPr="0016157A" w:rsidRDefault="00EA3338" w:rsidP="00C249E4">
      <w:pPr>
        <w:pStyle w:val="Heading4"/>
      </w:pPr>
      <w:bookmarkStart w:id="38" w:name="_Toc521492811"/>
      <w:r w:rsidRPr="00DB14D6">
        <w:rPr>
          <w:u w:val="none"/>
        </w:rPr>
        <w:t>v)</w:t>
      </w:r>
      <w:r w:rsidRPr="00DB14D6">
        <w:rPr>
          <w:u w:val="none"/>
        </w:rPr>
        <w:tab/>
      </w:r>
      <w:r w:rsidRPr="0016157A">
        <w:t>Traitement des données pour l</w:t>
      </w:r>
      <w:r w:rsidR="00B4091E">
        <w:t>’</w:t>
      </w:r>
      <w:r w:rsidRPr="0016157A">
        <w:t>évaluation de la distinction et l</w:t>
      </w:r>
      <w:r w:rsidR="00B4091E">
        <w:t>’</w:t>
      </w:r>
      <w:r w:rsidRPr="0016157A">
        <w:t>établissement de descriptions variétales</w:t>
      </w:r>
      <w:bookmarkEnd w:id="38"/>
    </w:p>
    <w:bookmarkEnd w:id="26"/>
    <w:bookmarkEnd w:id="27"/>
    <w:bookmarkEnd w:id="28"/>
    <w:bookmarkEnd w:id="29"/>
    <w:bookmarkEnd w:id="30"/>
    <w:bookmarkEnd w:id="31"/>
    <w:bookmarkEnd w:id="32"/>
    <w:bookmarkEnd w:id="33"/>
    <w:bookmarkEnd w:id="34"/>
    <w:p w:rsidR="00EA3338" w:rsidRPr="0016157A" w:rsidRDefault="00EA3338" w:rsidP="00C249E4">
      <w:pPr>
        <w:keepNext/>
        <w:keepLines/>
        <w:ind w:left="1134"/>
        <w:rPr>
          <w:lang w:val="fr-FR"/>
        </w:rPr>
      </w:pPr>
      <w:r w:rsidRPr="0016157A">
        <w:rPr>
          <w:lang w:val="fr-FR"/>
        </w:rPr>
        <w:t>Voir document TC/54/18</w:t>
      </w:r>
    </w:p>
    <w:p w:rsidR="00EA3338" w:rsidRPr="0016157A" w:rsidRDefault="00EA3338" w:rsidP="00C249E4">
      <w:pPr>
        <w:rPr>
          <w:lang w:val="fr-FR"/>
        </w:rPr>
      </w:pPr>
    </w:p>
    <w:p w:rsidR="00EA3338" w:rsidRPr="0016157A" w:rsidRDefault="00EA3338" w:rsidP="00C249E4">
      <w:pPr>
        <w:pStyle w:val="Heading4"/>
      </w:pPr>
      <w:bookmarkStart w:id="39" w:name="_Toc521492812"/>
      <w:r w:rsidRPr="00DB14D6">
        <w:rPr>
          <w:u w:val="none"/>
        </w:rPr>
        <w:t>vi)</w:t>
      </w:r>
      <w:r w:rsidRPr="00DB14D6">
        <w:rPr>
          <w:u w:val="none"/>
        </w:rPr>
        <w:tab/>
      </w:r>
      <w:r w:rsidRPr="0016157A">
        <w:t>Méthode au</w:t>
      </w:r>
      <w:r w:rsidRPr="0016157A">
        <w:noBreakHyphen/>
        <w:t>delà d</w:t>
      </w:r>
      <w:r w:rsidR="00B4091E">
        <w:t>’</w:t>
      </w:r>
      <w:r w:rsidRPr="0016157A">
        <w:t>un essai unique (année)</w:t>
      </w:r>
      <w:bookmarkEnd w:id="39"/>
    </w:p>
    <w:p w:rsidR="00EA3338" w:rsidRPr="0016157A" w:rsidRDefault="00EA3338" w:rsidP="00C249E4">
      <w:pPr>
        <w:ind w:left="1134"/>
        <w:rPr>
          <w:lang w:val="fr-FR"/>
        </w:rPr>
      </w:pPr>
      <w:r w:rsidRPr="0016157A">
        <w:rPr>
          <w:lang w:val="fr-FR"/>
        </w:rPr>
        <w:t>Voir document TC/54/19</w:t>
      </w:r>
    </w:p>
    <w:p w:rsidR="00EA3338" w:rsidRPr="0016157A" w:rsidRDefault="00EA3338" w:rsidP="00C249E4">
      <w:pPr>
        <w:rPr>
          <w:lang w:val="fr-FR"/>
        </w:rPr>
      </w:pPr>
    </w:p>
    <w:p w:rsidR="00EA3338" w:rsidRPr="00883650" w:rsidRDefault="00EA3338" w:rsidP="00C249E4">
      <w:pPr>
        <w:pStyle w:val="Heading3"/>
        <w:rPr>
          <w:i w:val="0"/>
          <w:lang w:val="fr-CH"/>
        </w:rPr>
      </w:pPr>
      <w:bookmarkStart w:id="40" w:name="_Toc521492813"/>
      <w:r w:rsidRPr="00883650">
        <w:rPr>
          <w:lang w:val="fr-CH"/>
        </w:rPr>
        <w:t>TGP/10 : Examen de l</w:t>
      </w:r>
      <w:r w:rsidR="00B4091E">
        <w:rPr>
          <w:lang w:val="fr-CH"/>
        </w:rPr>
        <w:t>’</w:t>
      </w:r>
      <w:r w:rsidRPr="00883650">
        <w:rPr>
          <w:lang w:val="fr-CH"/>
        </w:rPr>
        <w:t>homogénéité</w:t>
      </w:r>
      <w:bookmarkEnd w:id="40"/>
    </w:p>
    <w:p w:rsidR="00EA3338" w:rsidRPr="0016157A" w:rsidRDefault="00EA3338" w:rsidP="00C249E4">
      <w:pPr>
        <w:rPr>
          <w:snapToGrid w:val="0"/>
          <w:lang w:val="fr-FR"/>
        </w:rPr>
      </w:pPr>
    </w:p>
    <w:p w:rsidR="00EA3338" w:rsidRPr="0016157A" w:rsidRDefault="00EA3338" w:rsidP="00C249E4">
      <w:pPr>
        <w:pStyle w:val="Heading4"/>
      </w:pPr>
      <w:bookmarkStart w:id="41" w:name="_Toc521492814"/>
      <w:r w:rsidRPr="00DB14D6">
        <w:rPr>
          <w:u w:val="none"/>
        </w:rPr>
        <w:t>vii)</w:t>
      </w:r>
      <w:r w:rsidRPr="00DB14D6">
        <w:rPr>
          <w:u w:val="none"/>
        </w:rPr>
        <w:tab/>
      </w:r>
      <w:r w:rsidRPr="0016157A">
        <w:t>Évaluation de l</w:t>
      </w:r>
      <w:r w:rsidR="00B4091E">
        <w:t>’</w:t>
      </w:r>
      <w:r w:rsidRPr="0016157A">
        <w:t>homogénéité au moyen des plantes hors</w:t>
      </w:r>
      <w:r w:rsidRPr="0016157A">
        <w:noBreakHyphen/>
        <w:t>type sur la base de plusieurs cycles de végétation ou sous</w:t>
      </w:r>
      <w:r w:rsidRPr="0016157A">
        <w:noBreakHyphen/>
        <w:t>échantillons</w:t>
      </w:r>
      <w:bookmarkEnd w:id="41"/>
    </w:p>
    <w:p w:rsidR="00EA3338" w:rsidRPr="0016157A" w:rsidRDefault="00EA3338" w:rsidP="00C249E4">
      <w:pPr>
        <w:ind w:left="1134"/>
        <w:rPr>
          <w:lang w:val="fr-FR"/>
        </w:rPr>
      </w:pPr>
      <w:r w:rsidRPr="0016157A">
        <w:rPr>
          <w:lang w:val="fr-FR"/>
        </w:rPr>
        <w:t>Voir document TC/54/20</w:t>
      </w:r>
    </w:p>
    <w:p w:rsidR="00EA3338" w:rsidRDefault="00EA3338" w:rsidP="00C249E4">
      <w:pPr>
        <w:outlineLvl w:val="1"/>
        <w:rPr>
          <w:u w:val="single"/>
          <w:lang w:val="fr-FR"/>
        </w:rPr>
      </w:pPr>
    </w:p>
    <w:p w:rsidR="00EA3338" w:rsidRPr="0016157A" w:rsidRDefault="00EA3338" w:rsidP="00C249E4">
      <w:pPr>
        <w:outlineLvl w:val="1"/>
        <w:rPr>
          <w:u w:val="single"/>
          <w:lang w:val="fr-FR"/>
        </w:rPr>
      </w:pPr>
    </w:p>
    <w:p w:rsidR="00EA3338" w:rsidRPr="00883650" w:rsidRDefault="00EA3338" w:rsidP="00C249E4">
      <w:pPr>
        <w:pStyle w:val="Heading3"/>
        <w:rPr>
          <w:i w:val="0"/>
          <w:lang w:val="fr-CH"/>
        </w:rPr>
      </w:pPr>
      <w:bookmarkStart w:id="42" w:name="_Toc521492815"/>
      <w:r w:rsidRPr="00883650">
        <w:rPr>
          <w:lang w:val="fr-CH"/>
        </w:rPr>
        <w:t>TGP/14 : Glossaire de termes utilisés dans les documents de l</w:t>
      </w:r>
      <w:r w:rsidR="00B4091E">
        <w:rPr>
          <w:lang w:val="fr-CH"/>
        </w:rPr>
        <w:t>’</w:t>
      </w:r>
      <w:r w:rsidRPr="00883650">
        <w:rPr>
          <w:lang w:val="fr-CH"/>
        </w:rPr>
        <w:t>UPOV</w:t>
      </w:r>
      <w:bookmarkEnd w:id="42"/>
    </w:p>
    <w:p w:rsidR="00EA3338" w:rsidRPr="0016157A" w:rsidRDefault="00EA3338" w:rsidP="00C249E4">
      <w:pPr>
        <w:rPr>
          <w:lang w:val="fr-FR"/>
        </w:rPr>
      </w:pPr>
    </w:p>
    <w:p w:rsidR="00EA3338" w:rsidRPr="0016157A" w:rsidRDefault="00EA3338" w:rsidP="00C249E4">
      <w:pPr>
        <w:pStyle w:val="Heading4"/>
      </w:pPr>
      <w:bookmarkStart w:id="43" w:name="_Toc521492816"/>
      <w:r w:rsidRPr="00DB14D6">
        <w:rPr>
          <w:u w:val="none"/>
        </w:rPr>
        <w:t>viii)</w:t>
      </w:r>
      <w:r w:rsidRPr="00DB14D6">
        <w:rPr>
          <w:u w:val="none"/>
        </w:rPr>
        <w:tab/>
      </w:r>
      <w:r w:rsidRPr="0016157A">
        <w:t>Illustrations des caractères liés à la forme et au ratio</w:t>
      </w:r>
      <w:bookmarkEnd w:id="43"/>
    </w:p>
    <w:p w:rsidR="00EA3338" w:rsidRPr="0016157A" w:rsidRDefault="00EA3338" w:rsidP="00C249E4">
      <w:pPr>
        <w:ind w:left="1134"/>
        <w:rPr>
          <w:lang w:val="fr-FR"/>
        </w:rPr>
      </w:pPr>
      <w:r w:rsidRPr="0016157A">
        <w:rPr>
          <w:lang w:val="fr-FR"/>
        </w:rPr>
        <w:t>Voir document TC/54/21</w:t>
      </w:r>
    </w:p>
    <w:p w:rsidR="00EA3338" w:rsidRPr="0016157A" w:rsidRDefault="00EA3338" w:rsidP="00C249E4">
      <w:pPr>
        <w:tabs>
          <w:tab w:val="left" w:pos="1720"/>
        </w:tabs>
        <w:rPr>
          <w:snapToGrid w:val="0"/>
          <w:lang w:val="fr-FR"/>
        </w:rPr>
      </w:pPr>
      <w:r w:rsidRPr="0016157A">
        <w:rPr>
          <w:snapToGrid w:val="0"/>
          <w:lang w:val="fr-FR"/>
        </w:rPr>
        <w:tab/>
      </w:r>
    </w:p>
    <w:p w:rsidR="00EA3338" w:rsidRPr="0016157A" w:rsidRDefault="00EA3338" w:rsidP="00C249E4">
      <w:pPr>
        <w:pStyle w:val="Heading4"/>
      </w:pPr>
      <w:bookmarkStart w:id="44" w:name="_Toc521492817"/>
      <w:r w:rsidRPr="00DB14D6">
        <w:rPr>
          <w:u w:val="none"/>
        </w:rPr>
        <w:t>ix)</w:t>
      </w:r>
      <w:r w:rsidRPr="00DB14D6">
        <w:rPr>
          <w:u w:val="none"/>
        </w:rPr>
        <w:tab/>
      </w:r>
      <w:r w:rsidRPr="0016157A">
        <w:t>Groupes de couleurs de l</w:t>
      </w:r>
      <w:r w:rsidR="00B4091E">
        <w:t>’</w:t>
      </w:r>
      <w:r w:rsidRPr="0016157A">
        <w:t>UPOV</w:t>
      </w:r>
      <w:bookmarkEnd w:id="44"/>
    </w:p>
    <w:p w:rsidR="00EA3338" w:rsidRPr="0016157A" w:rsidRDefault="00EA3338" w:rsidP="00C249E4">
      <w:pPr>
        <w:ind w:left="1134"/>
        <w:rPr>
          <w:lang w:val="fr-FR"/>
        </w:rPr>
      </w:pPr>
      <w:r w:rsidRPr="0016157A">
        <w:rPr>
          <w:lang w:val="fr-FR"/>
        </w:rPr>
        <w:t>Voir document TC/54/22</w:t>
      </w:r>
    </w:p>
    <w:p w:rsidR="00EA3338" w:rsidRPr="0016157A" w:rsidRDefault="00EA3338" w:rsidP="00C249E4">
      <w:pPr>
        <w:tabs>
          <w:tab w:val="left" w:pos="5387"/>
        </w:tabs>
        <w:rPr>
          <w:lang w:val="fr-FR"/>
        </w:rPr>
      </w:pPr>
    </w:p>
    <w:p w:rsidR="00EA3338" w:rsidRPr="00883650" w:rsidRDefault="00EA3338" w:rsidP="00C249E4">
      <w:pPr>
        <w:pStyle w:val="Heading3"/>
        <w:rPr>
          <w:i w:val="0"/>
          <w:lang w:val="fr-CH"/>
        </w:rPr>
      </w:pPr>
      <w:bookmarkStart w:id="45" w:name="_Toc521492818"/>
      <w:r w:rsidRPr="00883650">
        <w:rPr>
          <w:lang w:val="fr-CH"/>
        </w:rPr>
        <w:t>TGP/15 : Conseils en ce qui concerne l</w:t>
      </w:r>
      <w:r w:rsidR="00B4091E">
        <w:rPr>
          <w:lang w:val="fr-CH"/>
        </w:rPr>
        <w:t>’</w:t>
      </w:r>
      <w:r w:rsidRPr="00883650">
        <w:rPr>
          <w:lang w:val="fr-CH"/>
        </w:rPr>
        <w:t>utilisation des marqueurs biochimiques et moléculaires dans l</w:t>
      </w:r>
      <w:r w:rsidR="00B4091E">
        <w:rPr>
          <w:lang w:val="fr-CH"/>
        </w:rPr>
        <w:t>’</w:t>
      </w:r>
      <w:r w:rsidRPr="00883650">
        <w:rPr>
          <w:lang w:val="fr-CH"/>
        </w:rPr>
        <w:t>examen de la distinction, de l</w:t>
      </w:r>
      <w:r w:rsidR="00B4091E">
        <w:rPr>
          <w:lang w:val="fr-CH"/>
        </w:rPr>
        <w:t>’</w:t>
      </w:r>
      <w:r w:rsidRPr="00883650">
        <w:rPr>
          <w:lang w:val="fr-CH"/>
        </w:rPr>
        <w:t>homogénéité et de la stabilité (DHS)</w:t>
      </w:r>
      <w:bookmarkEnd w:id="45"/>
    </w:p>
    <w:p w:rsidR="00EA3338" w:rsidRPr="0016157A" w:rsidRDefault="00EA3338" w:rsidP="00C249E4">
      <w:pPr>
        <w:rPr>
          <w:lang w:val="fr-FR"/>
        </w:rPr>
      </w:pPr>
    </w:p>
    <w:p w:rsidR="00EA3338" w:rsidRPr="008D1C5B" w:rsidRDefault="00EA3338" w:rsidP="008D1C5B">
      <w:pPr>
        <w:pStyle w:val="Heading4"/>
      </w:pPr>
      <w:bookmarkStart w:id="46" w:name="_Toc521492819"/>
      <w:r w:rsidRPr="00DB14D6">
        <w:rPr>
          <w:u w:val="none"/>
        </w:rPr>
        <w:t>x)</w:t>
      </w:r>
      <w:r w:rsidRPr="00DB14D6">
        <w:rPr>
          <w:u w:val="none"/>
        </w:rPr>
        <w:tab/>
      </w:r>
      <w:bookmarkEnd w:id="46"/>
      <w:r w:rsidR="008D1C5B" w:rsidRPr="008D1C5B">
        <w:t>Révision du document</w:t>
      </w:r>
      <w:r w:rsidR="008D1C5B">
        <w:t xml:space="preserve"> TGP/15</w:t>
      </w:r>
    </w:p>
    <w:p w:rsidR="00EA3338" w:rsidRPr="0016157A" w:rsidRDefault="00EA3338" w:rsidP="00C249E4">
      <w:pPr>
        <w:ind w:left="1134"/>
        <w:rPr>
          <w:lang w:val="fr-FR"/>
        </w:rPr>
      </w:pPr>
      <w:r w:rsidRPr="0016157A">
        <w:rPr>
          <w:lang w:val="fr-FR"/>
        </w:rPr>
        <w:t xml:space="preserve">Voir documents TC/54/23 et TGP/15/2 </w:t>
      </w:r>
      <w:proofErr w:type="spellStart"/>
      <w:r w:rsidRPr="0016157A">
        <w:rPr>
          <w:lang w:val="fr-FR"/>
        </w:rPr>
        <w:t>Draft</w:t>
      </w:r>
      <w:proofErr w:type="spellEnd"/>
      <w:r w:rsidRPr="0016157A">
        <w:rPr>
          <w:lang w:val="fr-FR"/>
        </w:rPr>
        <w:t> 1</w:t>
      </w:r>
    </w:p>
    <w:p w:rsidR="00EA3338" w:rsidRPr="0016157A" w:rsidRDefault="00EA3338" w:rsidP="00C249E4">
      <w:pPr>
        <w:rPr>
          <w:snapToGrid w:val="0"/>
          <w:lang w:val="fr-FR"/>
        </w:rPr>
      </w:pPr>
    </w:p>
    <w:p w:rsidR="00EA3338" w:rsidRPr="004F6BFF" w:rsidRDefault="00EA3338" w:rsidP="00C249E4">
      <w:pPr>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prendre note des questions pour d</w:t>
      </w:r>
      <w:r w:rsidR="00B4091E">
        <w:rPr>
          <w:i/>
          <w:lang w:val="fr-FR"/>
        </w:rPr>
        <w:t>’</w:t>
      </w:r>
      <w:r w:rsidRPr="0016157A">
        <w:rPr>
          <w:i/>
          <w:lang w:val="fr-FR"/>
        </w:rPr>
        <w:t>éventuelles futures révisions de documents TGP qui seront examinées dans des documents distincts.</w:t>
      </w: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857E46">
      <w:pPr>
        <w:pStyle w:val="Heading1"/>
        <w:rPr>
          <w:lang w:val="fr-FR"/>
        </w:rPr>
      </w:pPr>
      <w:bookmarkStart w:id="47" w:name="_Toc521492821"/>
      <w:r w:rsidRPr="0016157A">
        <w:rPr>
          <w:lang w:val="fr-FR"/>
        </w:rPr>
        <w:t>Éventuelles futures révisions des documents TGP</w:t>
      </w:r>
      <w:bookmarkEnd w:id="47"/>
    </w:p>
    <w:p w:rsidR="00EA3338" w:rsidRPr="0016157A" w:rsidRDefault="00EA3338" w:rsidP="00C249E4">
      <w:pPr>
        <w:rPr>
          <w:lang w:val="fr-FR"/>
        </w:rPr>
      </w:pPr>
    </w:p>
    <w:p w:rsidR="00EA3338" w:rsidRPr="0016157A" w:rsidRDefault="00EA3338" w:rsidP="00C249E4">
      <w:pPr>
        <w:keepNext/>
        <w:outlineLvl w:val="1"/>
        <w:rPr>
          <w:u w:val="single"/>
          <w:lang w:val="fr-FR"/>
        </w:rPr>
      </w:pPr>
      <w:bookmarkStart w:id="48" w:name="_Toc521492822"/>
      <w:r w:rsidRPr="0016157A">
        <w:rPr>
          <w:u w:val="single"/>
          <w:lang w:val="fr-FR"/>
        </w:rPr>
        <w:t>TGP/7 : Élaboration des principes directeurs d</w:t>
      </w:r>
      <w:r w:rsidR="00B4091E">
        <w:rPr>
          <w:u w:val="single"/>
          <w:lang w:val="fr-FR"/>
        </w:rPr>
        <w:t>’</w:t>
      </w:r>
      <w:r w:rsidRPr="0016157A">
        <w:rPr>
          <w:u w:val="single"/>
          <w:lang w:val="fr-FR"/>
        </w:rPr>
        <w:t>examen</w:t>
      </w:r>
      <w:bookmarkEnd w:id="48"/>
    </w:p>
    <w:p w:rsidR="00EA3338" w:rsidRPr="0016157A" w:rsidRDefault="00EA3338" w:rsidP="00C249E4">
      <w:pPr>
        <w:rPr>
          <w:rFonts w:cs="Arial"/>
          <w:bCs/>
          <w:snapToGrid w:val="0"/>
          <w:lang w:val="fr-FR"/>
        </w:rPr>
      </w:pPr>
      <w:bookmarkStart w:id="49" w:name="_Toc352678076"/>
      <w:bookmarkStart w:id="50" w:name="_Toc353797757"/>
      <w:bookmarkStart w:id="51" w:name="_Toc386185988"/>
      <w:bookmarkStart w:id="52" w:name="_Toc419124879"/>
      <w:bookmarkEnd w:id="6"/>
      <w:bookmarkEnd w:id="7"/>
      <w:bookmarkEnd w:id="8"/>
      <w:bookmarkEnd w:id="9"/>
    </w:p>
    <w:p w:rsidR="00EA3338" w:rsidRPr="0016157A" w:rsidRDefault="00EA3338" w:rsidP="00C249E4">
      <w:pPr>
        <w:keepNext/>
        <w:outlineLvl w:val="2"/>
        <w:rPr>
          <w:i/>
          <w:snapToGrid w:val="0"/>
          <w:lang w:val="fr-FR"/>
        </w:rPr>
      </w:pPr>
      <w:bookmarkStart w:id="53" w:name="_Toc521492823"/>
      <w:r w:rsidRPr="0016157A">
        <w:rPr>
          <w:i/>
          <w:snapToGrid w:val="0"/>
          <w:lang w:val="fr-FR"/>
        </w:rPr>
        <w:t>Méthode exclusive pour l</w:t>
      </w:r>
      <w:r w:rsidR="00B4091E">
        <w:rPr>
          <w:i/>
          <w:snapToGrid w:val="0"/>
          <w:lang w:val="fr-FR"/>
        </w:rPr>
        <w:t>’</w:t>
      </w:r>
      <w:r w:rsidRPr="0016157A">
        <w:rPr>
          <w:i/>
          <w:snapToGrid w:val="0"/>
          <w:lang w:val="fr-FR"/>
        </w:rPr>
        <w:t>examen de la stérilité mâle</w:t>
      </w:r>
      <w:bookmarkEnd w:id="53"/>
    </w:p>
    <w:p w:rsidR="00EA3338" w:rsidRPr="0016157A" w:rsidRDefault="00EA3338" w:rsidP="00C249E4">
      <w:pPr>
        <w:rPr>
          <w:rFonts w:cs="Arial"/>
          <w:bCs/>
          <w:snapToGrid w:val="0"/>
          <w:lang w:val="fr-FR"/>
        </w:rPr>
      </w:pPr>
    </w:p>
    <w:p w:rsidR="00EA3338" w:rsidRPr="0016157A" w:rsidRDefault="00EA3338" w:rsidP="00C249E4">
      <w:pPr>
        <w:rPr>
          <w:rFonts w:cs="Arial"/>
          <w:bCs/>
          <w:snapToGrid w:val="0"/>
          <w:lang w:val="fr-FR"/>
        </w:rPr>
      </w:pPr>
      <w:r w:rsidRPr="0016157A">
        <w:rPr>
          <w:rFonts w:cs="Arial"/>
          <w:bCs/>
          <w:snapToGrid w:val="0"/>
          <w:lang w:val="fr-FR"/>
        </w:rPr>
        <w:fldChar w:fldCharType="begin"/>
      </w:r>
      <w:r w:rsidRPr="0016157A">
        <w:rPr>
          <w:rFonts w:cs="Arial"/>
          <w:bCs/>
          <w:snapToGrid w:val="0"/>
          <w:lang w:val="fr-FR"/>
        </w:rPr>
        <w:instrText xml:space="preserve"> AUTONUM  </w:instrText>
      </w:r>
      <w:r w:rsidRPr="0016157A">
        <w:rPr>
          <w:rFonts w:cs="Arial"/>
          <w:bCs/>
          <w:snapToGrid w:val="0"/>
          <w:lang w:val="fr-FR"/>
        </w:rPr>
        <w:fldChar w:fldCharType="end"/>
      </w:r>
      <w:r w:rsidRPr="0016157A">
        <w:rPr>
          <w:rFonts w:cs="Arial"/>
          <w:bCs/>
          <w:snapToGrid w:val="0"/>
          <w:lang w:val="fr-FR"/>
        </w:rPr>
        <w:tab/>
        <w:t>Le TC</w:t>
      </w:r>
      <w:r w:rsidRPr="0016157A">
        <w:rPr>
          <w:rFonts w:cs="Arial"/>
          <w:bCs/>
          <w:snapToGrid w:val="0"/>
          <w:lang w:val="fr-FR"/>
        </w:rPr>
        <w:noBreakHyphen/>
        <w:t>EDC a examiné les projets de principes directeurs d</w:t>
      </w:r>
      <w:r w:rsidR="00B4091E">
        <w:rPr>
          <w:rFonts w:cs="Arial"/>
          <w:bCs/>
          <w:snapToGrid w:val="0"/>
          <w:lang w:val="fr-FR"/>
        </w:rPr>
        <w:t>’</w:t>
      </w:r>
      <w:r w:rsidRPr="0016157A">
        <w:rPr>
          <w:rFonts w:cs="Arial"/>
          <w:bCs/>
          <w:snapToGrid w:val="0"/>
          <w:lang w:val="fr-FR"/>
        </w:rPr>
        <w:t>examen du brocoli et la méthodologie pour l</w:t>
      </w:r>
      <w:r w:rsidR="00B4091E">
        <w:rPr>
          <w:rFonts w:cs="Arial"/>
          <w:bCs/>
          <w:snapToGrid w:val="0"/>
          <w:lang w:val="fr-FR"/>
        </w:rPr>
        <w:t>’</w:t>
      </w:r>
      <w:r w:rsidRPr="0016157A">
        <w:rPr>
          <w:rFonts w:cs="Arial"/>
          <w:bCs/>
          <w:snapToGrid w:val="0"/>
          <w:lang w:val="fr-FR"/>
        </w:rPr>
        <w:t>examen de la stérilité mâle dans le cadre d</w:t>
      </w:r>
      <w:r w:rsidR="00B4091E">
        <w:rPr>
          <w:rFonts w:cs="Arial"/>
          <w:bCs/>
          <w:snapToGrid w:val="0"/>
          <w:lang w:val="fr-FR"/>
        </w:rPr>
        <w:t>’</w:t>
      </w:r>
      <w:r w:rsidRPr="0016157A">
        <w:rPr>
          <w:rFonts w:cs="Arial"/>
          <w:bCs/>
          <w:snapToGrid w:val="0"/>
          <w:lang w:val="fr-FR"/>
        </w:rPr>
        <w:t>un test avec marqueurs d</w:t>
      </w:r>
      <w:r w:rsidR="00B4091E">
        <w:rPr>
          <w:rFonts w:cs="Arial"/>
          <w:bCs/>
          <w:snapToGrid w:val="0"/>
          <w:lang w:val="fr-FR"/>
        </w:rPr>
        <w:t>’</w:t>
      </w:r>
      <w:r w:rsidRPr="0016157A">
        <w:rPr>
          <w:rFonts w:cs="Arial"/>
          <w:bCs/>
          <w:snapToGrid w:val="0"/>
          <w:lang w:val="fr-FR"/>
        </w:rPr>
        <w:t>ADN.  Le TC</w:t>
      </w:r>
      <w:r w:rsidRPr="0016157A">
        <w:rPr>
          <w:rFonts w:cs="Arial"/>
          <w:bCs/>
          <w:snapToGrid w:val="0"/>
          <w:lang w:val="fr-FR"/>
        </w:rPr>
        <w:noBreakHyphen/>
        <w:t>EDC a noté que le test avec marqueurs d</w:t>
      </w:r>
      <w:r w:rsidR="00B4091E">
        <w:rPr>
          <w:rFonts w:cs="Arial"/>
          <w:bCs/>
          <w:snapToGrid w:val="0"/>
          <w:lang w:val="fr-FR"/>
        </w:rPr>
        <w:t>’</w:t>
      </w:r>
      <w:r w:rsidRPr="0016157A">
        <w:rPr>
          <w:rFonts w:cs="Arial"/>
          <w:bCs/>
          <w:snapToGrid w:val="0"/>
          <w:lang w:val="fr-FR"/>
        </w:rPr>
        <w:t>ADN pouvait être utilisé comme test alternatif à l</w:t>
      </w:r>
      <w:r w:rsidR="00B4091E">
        <w:rPr>
          <w:rFonts w:cs="Arial"/>
          <w:bCs/>
          <w:snapToGrid w:val="0"/>
          <w:lang w:val="fr-FR"/>
        </w:rPr>
        <w:t>’</w:t>
      </w:r>
      <w:r w:rsidRPr="0016157A">
        <w:rPr>
          <w:rFonts w:cs="Arial"/>
          <w:bCs/>
          <w:snapToGrid w:val="0"/>
          <w:lang w:val="fr-FR"/>
        </w:rPr>
        <w:t>essai en plein champ (voir les paragraphes 49 à 51 du document TC</w:t>
      </w:r>
      <w:r w:rsidRPr="0016157A">
        <w:rPr>
          <w:rFonts w:cs="Arial"/>
          <w:bCs/>
          <w:snapToGrid w:val="0"/>
          <w:lang w:val="fr-FR"/>
        </w:rPr>
        <w:noBreakHyphen/>
        <w:t xml:space="preserve">EDC/Mar18/11 </w:t>
      </w:r>
      <w:r w:rsidR="00B4091E">
        <w:rPr>
          <w:rFonts w:cs="Arial"/>
          <w:bCs/>
          <w:snapToGrid w:val="0"/>
          <w:lang w:val="fr-FR"/>
        </w:rPr>
        <w:t>“</w:t>
      </w:r>
      <w:r w:rsidRPr="0016157A">
        <w:rPr>
          <w:rFonts w:cs="Arial"/>
          <w:bCs/>
          <w:snapToGrid w:val="0"/>
          <w:lang w:val="fr-FR"/>
        </w:rPr>
        <w:t>Compte rendu</w:t>
      </w:r>
      <w:r w:rsidR="00B4091E">
        <w:rPr>
          <w:rFonts w:cs="Arial"/>
          <w:bCs/>
          <w:snapToGrid w:val="0"/>
          <w:lang w:val="fr-FR"/>
        </w:rPr>
        <w:t>”</w:t>
      </w:r>
      <w:r w:rsidRPr="0016157A">
        <w:rPr>
          <w:rFonts w:cs="Arial"/>
          <w:bCs/>
          <w:snapToGrid w:val="0"/>
          <w:lang w:val="fr-FR"/>
        </w:rPr>
        <w:t>).</w:t>
      </w:r>
    </w:p>
    <w:p w:rsidR="00EA3338" w:rsidRPr="0016157A" w:rsidRDefault="00EA3338" w:rsidP="00C249E4">
      <w:pPr>
        <w:rPr>
          <w:rFonts w:cs="Arial"/>
          <w:bCs/>
          <w:snapToGrid w:val="0"/>
          <w:lang w:val="fr-FR"/>
        </w:rPr>
      </w:pPr>
    </w:p>
    <w:p w:rsidR="00EA3338" w:rsidRPr="0016157A" w:rsidRDefault="00EA3338" w:rsidP="00C249E4">
      <w:pPr>
        <w:rPr>
          <w:rFonts w:cs="Arial"/>
          <w:bCs/>
          <w:snapToGrid w:val="0"/>
          <w:lang w:val="fr-FR"/>
        </w:rPr>
      </w:pPr>
      <w:r w:rsidRPr="0016157A">
        <w:rPr>
          <w:rFonts w:cs="Arial"/>
          <w:bCs/>
          <w:snapToGrid w:val="0"/>
          <w:lang w:val="fr-FR"/>
        </w:rPr>
        <w:fldChar w:fldCharType="begin"/>
      </w:r>
      <w:r w:rsidRPr="0016157A">
        <w:rPr>
          <w:rFonts w:cs="Arial"/>
          <w:bCs/>
          <w:snapToGrid w:val="0"/>
          <w:lang w:val="fr-FR"/>
        </w:rPr>
        <w:instrText xml:space="preserve"> AUTONUM  </w:instrText>
      </w:r>
      <w:r w:rsidRPr="0016157A">
        <w:rPr>
          <w:rFonts w:cs="Arial"/>
          <w:bCs/>
          <w:snapToGrid w:val="0"/>
          <w:lang w:val="fr-FR"/>
        </w:rPr>
        <w:fldChar w:fldCharType="end"/>
      </w:r>
      <w:r w:rsidRPr="0016157A">
        <w:rPr>
          <w:rFonts w:cs="Arial"/>
          <w:bCs/>
          <w:snapToGrid w:val="0"/>
          <w:lang w:val="fr-FR"/>
        </w:rPr>
        <w:tab/>
        <w:t>Le TC</w:t>
      </w:r>
      <w:r w:rsidRPr="0016157A">
        <w:rPr>
          <w:rFonts w:cs="Arial"/>
          <w:bCs/>
          <w:snapToGrid w:val="0"/>
          <w:lang w:val="fr-FR"/>
        </w:rPr>
        <w:noBreakHyphen/>
        <w:t>EDC a noté l</w:t>
      </w:r>
      <w:r w:rsidR="00B4091E">
        <w:rPr>
          <w:rFonts w:cs="Arial"/>
          <w:bCs/>
          <w:snapToGrid w:val="0"/>
          <w:lang w:val="fr-FR"/>
        </w:rPr>
        <w:t>’</w:t>
      </w:r>
      <w:r w:rsidRPr="0016157A">
        <w:rPr>
          <w:rFonts w:cs="Arial"/>
          <w:bCs/>
          <w:snapToGrid w:val="0"/>
          <w:lang w:val="fr-FR"/>
        </w:rPr>
        <w:t>avertissement suivant :</w:t>
      </w:r>
    </w:p>
    <w:p w:rsidR="00EA3338" w:rsidRPr="0016157A" w:rsidRDefault="00EA3338" w:rsidP="00C249E4">
      <w:pPr>
        <w:rPr>
          <w:rFonts w:cs="Arial"/>
          <w:bCs/>
          <w:snapToGrid w:val="0"/>
          <w:lang w:val="fr-FR"/>
        </w:rPr>
      </w:pPr>
    </w:p>
    <w:p w:rsidR="00EA3338" w:rsidRPr="0016157A" w:rsidRDefault="00B4091E" w:rsidP="00C249E4">
      <w:pPr>
        <w:tabs>
          <w:tab w:val="left" w:pos="567"/>
        </w:tabs>
        <w:ind w:left="567" w:right="567"/>
        <w:rPr>
          <w:sz w:val="18"/>
          <w:lang w:val="fr-FR"/>
        </w:rPr>
      </w:pPr>
      <w:r>
        <w:rPr>
          <w:rFonts w:cs="Arial"/>
          <w:sz w:val="16"/>
          <w:szCs w:val="16"/>
          <w:lang w:val="fr-FR"/>
        </w:rPr>
        <w:t>“</w:t>
      </w:r>
      <w:r w:rsidR="00EA3338" w:rsidRPr="0016157A">
        <w:rPr>
          <w:rFonts w:cs="Arial"/>
          <w:sz w:val="16"/>
          <w:szCs w:val="16"/>
          <w:lang w:val="fr-FR"/>
        </w:rPr>
        <w:t>La description de la méthode d</w:t>
      </w:r>
      <w:r>
        <w:rPr>
          <w:rFonts w:cs="Arial"/>
          <w:sz w:val="16"/>
          <w:szCs w:val="16"/>
          <w:lang w:val="fr-FR"/>
        </w:rPr>
        <w:t>’</w:t>
      </w:r>
      <w:r w:rsidR="00EA3338" w:rsidRPr="0016157A">
        <w:rPr>
          <w:rFonts w:cs="Arial"/>
          <w:sz w:val="16"/>
          <w:szCs w:val="16"/>
          <w:lang w:val="fr-FR"/>
        </w:rPr>
        <w:t xml:space="preserve">examen pour tester la stérilité mâle de </w:t>
      </w:r>
      <w:proofErr w:type="spellStart"/>
      <w:r w:rsidR="00EA3338" w:rsidRPr="0016157A">
        <w:rPr>
          <w:rFonts w:cs="Arial"/>
          <w:sz w:val="16"/>
          <w:szCs w:val="16"/>
          <w:lang w:val="fr-FR"/>
        </w:rPr>
        <w:t>Brassica</w:t>
      </w:r>
      <w:proofErr w:type="spellEnd"/>
      <w:r w:rsidR="00EA3338" w:rsidRPr="0016157A">
        <w:rPr>
          <w:rFonts w:cs="Arial"/>
          <w:sz w:val="16"/>
          <w:szCs w:val="16"/>
          <w:lang w:val="fr-FR"/>
        </w:rPr>
        <w:t xml:space="preserve"> (le marqueur CMS) est couverte par le secret d</w:t>
      </w:r>
      <w:r>
        <w:rPr>
          <w:rFonts w:cs="Arial"/>
          <w:sz w:val="16"/>
          <w:szCs w:val="16"/>
          <w:lang w:val="fr-FR"/>
        </w:rPr>
        <w:t>’</w:t>
      </w:r>
      <w:r w:rsidR="00EA3338" w:rsidRPr="0016157A">
        <w:rPr>
          <w:rFonts w:cs="Arial"/>
          <w:sz w:val="16"/>
          <w:szCs w:val="16"/>
          <w:lang w:val="fr-FR"/>
        </w:rPr>
        <w:t>affaires.  Le détenteur du secret d</w:t>
      </w:r>
      <w:r>
        <w:rPr>
          <w:rFonts w:cs="Arial"/>
          <w:sz w:val="16"/>
          <w:szCs w:val="16"/>
          <w:lang w:val="fr-FR"/>
        </w:rPr>
        <w:t>’</w:t>
      </w:r>
      <w:r w:rsidR="00EA3338" w:rsidRPr="0016157A">
        <w:rPr>
          <w:rFonts w:cs="Arial"/>
          <w:sz w:val="16"/>
          <w:szCs w:val="16"/>
          <w:lang w:val="fr-FR"/>
        </w:rPr>
        <w:t xml:space="preserve">affaires, </w:t>
      </w:r>
      <w:proofErr w:type="spellStart"/>
      <w:r w:rsidR="00EA3338" w:rsidRPr="0016157A">
        <w:rPr>
          <w:rFonts w:cs="Arial"/>
          <w:sz w:val="16"/>
          <w:szCs w:val="16"/>
          <w:lang w:val="fr-FR"/>
        </w:rPr>
        <w:t>Syngenta</w:t>
      </w:r>
      <w:proofErr w:type="spellEnd"/>
      <w:r w:rsidR="00EA3338" w:rsidRPr="0016157A">
        <w:rPr>
          <w:rFonts w:cs="Arial"/>
          <w:sz w:val="16"/>
          <w:szCs w:val="16"/>
          <w:lang w:val="fr-FR"/>
        </w:rPr>
        <w:t xml:space="preserve"> </w:t>
      </w:r>
      <w:proofErr w:type="spellStart"/>
      <w:r w:rsidR="00EA3338" w:rsidRPr="0016157A">
        <w:rPr>
          <w:rFonts w:cs="Arial"/>
          <w:sz w:val="16"/>
          <w:szCs w:val="16"/>
          <w:lang w:val="fr-FR"/>
        </w:rPr>
        <w:t>Seeds</w:t>
      </w:r>
      <w:proofErr w:type="spellEnd"/>
      <w:r w:rsidR="00EA3338" w:rsidRPr="0016157A">
        <w:rPr>
          <w:rFonts w:cs="Arial"/>
          <w:sz w:val="16"/>
          <w:szCs w:val="16"/>
          <w:lang w:val="fr-FR"/>
        </w:rPr>
        <w:t xml:space="preserve"> B.V., a donné son consentement pour l</w:t>
      </w:r>
      <w:r>
        <w:rPr>
          <w:rFonts w:cs="Arial"/>
          <w:sz w:val="16"/>
          <w:szCs w:val="16"/>
          <w:lang w:val="fr-FR"/>
        </w:rPr>
        <w:t>’</w:t>
      </w:r>
      <w:r w:rsidR="00EA3338" w:rsidRPr="0016157A">
        <w:rPr>
          <w:rFonts w:cs="Arial"/>
          <w:sz w:val="16"/>
          <w:szCs w:val="16"/>
          <w:lang w:val="fr-FR"/>
        </w:rPr>
        <w:t>utilisation aux seules fins de l</w:t>
      </w:r>
      <w:r>
        <w:rPr>
          <w:rFonts w:cs="Arial"/>
          <w:sz w:val="16"/>
          <w:szCs w:val="16"/>
          <w:lang w:val="fr-FR"/>
        </w:rPr>
        <w:t>’</w:t>
      </w:r>
      <w:r w:rsidR="00EA3338" w:rsidRPr="0016157A">
        <w:rPr>
          <w:rFonts w:cs="Arial"/>
          <w:sz w:val="16"/>
          <w:szCs w:val="16"/>
          <w:lang w:val="fr-FR"/>
        </w:rPr>
        <w:t>examen de la distinction, de l</w:t>
      </w:r>
      <w:r>
        <w:rPr>
          <w:rFonts w:cs="Arial"/>
          <w:sz w:val="16"/>
          <w:szCs w:val="16"/>
          <w:lang w:val="fr-FR"/>
        </w:rPr>
        <w:t>’</w:t>
      </w:r>
      <w:r w:rsidR="00EA3338" w:rsidRPr="0016157A">
        <w:rPr>
          <w:rFonts w:cs="Arial"/>
          <w:sz w:val="16"/>
          <w:szCs w:val="16"/>
          <w:lang w:val="fr-FR"/>
        </w:rPr>
        <w:t>homogénéité et de la stabilité (examen DHS) et de l</w:t>
      </w:r>
      <w:r>
        <w:rPr>
          <w:rFonts w:cs="Arial"/>
          <w:sz w:val="16"/>
          <w:szCs w:val="16"/>
          <w:lang w:val="fr-FR"/>
        </w:rPr>
        <w:t>’</w:t>
      </w:r>
      <w:r w:rsidR="00EA3338" w:rsidRPr="0016157A">
        <w:rPr>
          <w:rFonts w:cs="Arial"/>
          <w:sz w:val="16"/>
          <w:szCs w:val="16"/>
          <w:lang w:val="fr-FR"/>
        </w:rPr>
        <w:t>élaboration des descriptions variétales par l</w:t>
      </w:r>
      <w:r>
        <w:rPr>
          <w:rFonts w:cs="Arial"/>
          <w:sz w:val="16"/>
          <w:szCs w:val="16"/>
          <w:lang w:val="fr-FR"/>
        </w:rPr>
        <w:t>’</w:t>
      </w:r>
      <w:r w:rsidR="00EA3338" w:rsidRPr="0016157A">
        <w:rPr>
          <w:rFonts w:cs="Arial"/>
          <w:sz w:val="16"/>
          <w:szCs w:val="16"/>
          <w:lang w:val="fr-FR"/>
        </w:rPr>
        <w:t>UPOV et les services des membres de l</w:t>
      </w:r>
      <w:r>
        <w:rPr>
          <w:rFonts w:cs="Arial"/>
          <w:sz w:val="16"/>
          <w:szCs w:val="16"/>
          <w:lang w:val="fr-FR"/>
        </w:rPr>
        <w:t>’</w:t>
      </w:r>
      <w:r w:rsidR="00EA3338" w:rsidRPr="0016157A">
        <w:rPr>
          <w:rFonts w:cs="Arial"/>
          <w:sz w:val="16"/>
          <w:szCs w:val="16"/>
          <w:lang w:val="fr-FR"/>
        </w:rPr>
        <w:t xml:space="preserve">UPOV.  </w:t>
      </w:r>
      <w:proofErr w:type="spellStart"/>
      <w:r w:rsidR="00EA3338" w:rsidRPr="0016157A">
        <w:rPr>
          <w:rFonts w:cs="Arial"/>
          <w:sz w:val="16"/>
          <w:szCs w:val="16"/>
          <w:lang w:val="fr-FR"/>
        </w:rPr>
        <w:t>Syngenta</w:t>
      </w:r>
      <w:proofErr w:type="spellEnd"/>
      <w:r w:rsidR="00EA3338" w:rsidRPr="0016157A">
        <w:rPr>
          <w:rFonts w:cs="Arial"/>
          <w:sz w:val="16"/>
          <w:szCs w:val="16"/>
          <w:lang w:val="fr-FR"/>
        </w:rPr>
        <w:t xml:space="preserve"> </w:t>
      </w:r>
      <w:proofErr w:type="spellStart"/>
      <w:r w:rsidR="00EA3338" w:rsidRPr="0016157A">
        <w:rPr>
          <w:rFonts w:cs="Arial"/>
          <w:sz w:val="16"/>
          <w:szCs w:val="16"/>
          <w:lang w:val="fr-FR"/>
        </w:rPr>
        <w:t>Seeds</w:t>
      </w:r>
      <w:proofErr w:type="spellEnd"/>
      <w:r w:rsidR="00EA3338" w:rsidRPr="0016157A">
        <w:rPr>
          <w:rFonts w:cs="Arial"/>
          <w:sz w:val="16"/>
          <w:szCs w:val="16"/>
          <w:lang w:val="fr-FR"/>
        </w:rPr>
        <w:t xml:space="preserve"> B.V. déclare que ni l</w:t>
      </w:r>
      <w:r>
        <w:rPr>
          <w:rFonts w:cs="Arial"/>
          <w:sz w:val="16"/>
          <w:szCs w:val="16"/>
          <w:lang w:val="fr-FR"/>
        </w:rPr>
        <w:t>’</w:t>
      </w:r>
      <w:r w:rsidR="00EA3338" w:rsidRPr="0016157A">
        <w:rPr>
          <w:rFonts w:cs="Arial"/>
          <w:sz w:val="16"/>
          <w:szCs w:val="16"/>
          <w:lang w:val="fr-FR"/>
        </w:rPr>
        <w:t>UPOV ni les services des membres de l</w:t>
      </w:r>
      <w:r>
        <w:rPr>
          <w:rFonts w:cs="Arial"/>
          <w:sz w:val="16"/>
          <w:szCs w:val="16"/>
          <w:lang w:val="fr-FR"/>
        </w:rPr>
        <w:t>’</w:t>
      </w:r>
      <w:r w:rsidR="00EA3338" w:rsidRPr="0016157A">
        <w:rPr>
          <w:rFonts w:cs="Arial"/>
          <w:sz w:val="16"/>
          <w:szCs w:val="16"/>
          <w:lang w:val="fr-FR"/>
        </w:rPr>
        <w:t>UPOV qui utilisent le marqueur CMS aux fins susmentionnées ne seront tenus pour responsables pour l</w:t>
      </w:r>
      <w:r>
        <w:rPr>
          <w:rFonts w:cs="Arial"/>
          <w:sz w:val="16"/>
          <w:szCs w:val="16"/>
          <w:lang w:val="fr-FR"/>
        </w:rPr>
        <w:t>’</w:t>
      </w:r>
      <w:r w:rsidR="00EA3338" w:rsidRPr="0016157A">
        <w:rPr>
          <w:rFonts w:cs="Arial"/>
          <w:sz w:val="16"/>
          <w:szCs w:val="16"/>
          <w:lang w:val="fr-FR"/>
        </w:rPr>
        <w:t xml:space="preserve">éventuelle utilisation abusive du marqueur CMS par des tiers.  Veuillez contacter </w:t>
      </w:r>
      <w:proofErr w:type="spellStart"/>
      <w:r w:rsidR="00EA3338" w:rsidRPr="0016157A">
        <w:rPr>
          <w:rFonts w:cs="Arial"/>
          <w:sz w:val="16"/>
          <w:szCs w:val="16"/>
          <w:lang w:val="fr-FR"/>
        </w:rPr>
        <w:t>Naktuinbouw</w:t>
      </w:r>
      <w:proofErr w:type="spellEnd"/>
      <w:r w:rsidR="00EA3338" w:rsidRPr="0016157A">
        <w:rPr>
          <w:rFonts w:cs="Arial"/>
          <w:sz w:val="16"/>
          <w:szCs w:val="16"/>
          <w:lang w:val="fr-FR"/>
        </w:rPr>
        <w:t xml:space="preserve"> (Pays</w:t>
      </w:r>
      <w:r w:rsidR="00EA3338" w:rsidRPr="0016157A">
        <w:rPr>
          <w:rFonts w:cs="Arial"/>
          <w:sz w:val="16"/>
          <w:szCs w:val="16"/>
          <w:lang w:val="fr-FR"/>
        </w:rPr>
        <w:noBreakHyphen/>
        <w:t>Bas) pour obtenir la méthode et des informations concernant le marqueur CMS aux fins susmentionnées.</w:t>
      </w:r>
      <w:r>
        <w:rPr>
          <w:rFonts w:cs="Arial"/>
          <w:sz w:val="16"/>
          <w:szCs w:val="16"/>
          <w:lang w:val="fr-FR"/>
        </w:rPr>
        <w:t>”</w:t>
      </w:r>
    </w:p>
    <w:p w:rsidR="00EA3338" w:rsidRPr="0016157A" w:rsidRDefault="00EA3338" w:rsidP="00C249E4">
      <w:pPr>
        <w:rPr>
          <w:rFonts w:cs="Arial"/>
          <w:bCs/>
          <w:snapToGrid w:val="0"/>
          <w:lang w:val="fr-FR"/>
        </w:rPr>
      </w:pPr>
    </w:p>
    <w:p w:rsidR="00EA3338" w:rsidRPr="0016157A" w:rsidRDefault="00EA3338" w:rsidP="00C249E4">
      <w:pPr>
        <w:rPr>
          <w:rFonts w:cs="Arial"/>
          <w:bCs/>
          <w:snapToGrid w:val="0"/>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t>Le TC</w:t>
      </w:r>
      <w:r w:rsidRPr="0016157A">
        <w:rPr>
          <w:lang w:val="fr-FR"/>
        </w:rPr>
        <w:noBreakHyphen/>
        <w:t xml:space="preserve">EDC </w:t>
      </w:r>
      <w:r w:rsidRPr="0016157A">
        <w:rPr>
          <w:rFonts w:cs="Arial"/>
          <w:bCs/>
          <w:snapToGrid w:val="0"/>
          <w:lang w:val="fr-FR"/>
        </w:rPr>
        <w:t>a recommandé que le TC examine la possibilité d</w:t>
      </w:r>
      <w:r w:rsidR="00B4091E">
        <w:rPr>
          <w:rFonts w:cs="Arial"/>
          <w:bCs/>
          <w:snapToGrid w:val="0"/>
          <w:lang w:val="fr-FR"/>
        </w:rPr>
        <w:t>’</w:t>
      </w:r>
      <w:r w:rsidRPr="0016157A">
        <w:rPr>
          <w:rFonts w:cs="Arial"/>
          <w:bCs/>
          <w:snapToGrid w:val="0"/>
          <w:lang w:val="fr-FR"/>
        </w:rPr>
        <w:t>accepter l</w:t>
      </w:r>
      <w:r w:rsidR="00B4091E">
        <w:rPr>
          <w:rFonts w:cs="Arial"/>
          <w:bCs/>
          <w:snapToGrid w:val="0"/>
          <w:lang w:val="fr-FR"/>
        </w:rPr>
        <w:t>’</w:t>
      </w:r>
      <w:r w:rsidRPr="0016157A">
        <w:rPr>
          <w:rFonts w:cs="Arial"/>
          <w:bCs/>
          <w:snapToGrid w:val="0"/>
          <w:lang w:val="fr-FR"/>
        </w:rPr>
        <w:t>utilisation de toute autre méthode, y compris l</w:t>
      </w:r>
      <w:r w:rsidR="00B4091E">
        <w:rPr>
          <w:rFonts w:cs="Arial"/>
          <w:bCs/>
          <w:snapToGrid w:val="0"/>
          <w:lang w:val="fr-FR"/>
        </w:rPr>
        <w:t>’</w:t>
      </w:r>
      <w:r w:rsidRPr="0016157A">
        <w:rPr>
          <w:rFonts w:cs="Arial"/>
          <w:bCs/>
          <w:snapToGrid w:val="0"/>
          <w:lang w:val="fr-FR"/>
        </w:rPr>
        <w:t>utilisation de marqueurs alternatifs pour le test avec marqueurs d</w:t>
      </w:r>
      <w:r w:rsidR="00B4091E">
        <w:rPr>
          <w:rFonts w:cs="Arial"/>
          <w:bCs/>
          <w:snapToGrid w:val="0"/>
          <w:lang w:val="fr-FR"/>
        </w:rPr>
        <w:t>’</w:t>
      </w:r>
      <w:r w:rsidRPr="0016157A">
        <w:rPr>
          <w:rFonts w:cs="Arial"/>
          <w:bCs/>
          <w:snapToGrid w:val="0"/>
          <w:lang w:val="fr-FR"/>
        </w:rPr>
        <w:t>ADN, après validation par les services d</w:t>
      </w:r>
      <w:r w:rsidR="00B4091E">
        <w:rPr>
          <w:rFonts w:cs="Arial"/>
          <w:bCs/>
          <w:snapToGrid w:val="0"/>
          <w:lang w:val="fr-FR"/>
        </w:rPr>
        <w:t>’</w:t>
      </w:r>
      <w:r w:rsidRPr="0016157A">
        <w:rPr>
          <w:rFonts w:cs="Arial"/>
          <w:bCs/>
          <w:snapToGrid w:val="0"/>
          <w:lang w:val="fr-FR"/>
        </w:rPr>
        <w:t>examen des membres de l</w:t>
      </w:r>
      <w:r w:rsidR="00B4091E">
        <w:rPr>
          <w:rFonts w:cs="Arial"/>
          <w:bCs/>
          <w:snapToGrid w:val="0"/>
          <w:lang w:val="fr-FR"/>
        </w:rPr>
        <w:t>’</w:t>
      </w:r>
      <w:r w:rsidRPr="0016157A">
        <w:rPr>
          <w:rFonts w:cs="Arial"/>
          <w:bCs/>
          <w:snapToGrid w:val="0"/>
          <w:lang w:val="fr-FR"/>
        </w:rPr>
        <w:t>UPOV.</w:t>
      </w:r>
    </w:p>
    <w:p w:rsidR="00EA3338" w:rsidRPr="0016157A" w:rsidRDefault="00EA3338" w:rsidP="00C249E4">
      <w:pPr>
        <w:rPr>
          <w:rFonts w:cs="Arial"/>
          <w:bCs/>
          <w:snapToGrid w:val="0"/>
          <w:lang w:val="fr-FR"/>
        </w:rPr>
      </w:pPr>
    </w:p>
    <w:p w:rsidR="00EA3338" w:rsidRPr="0016157A" w:rsidRDefault="00EA3338" w:rsidP="00C249E4">
      <w:pPr>
        <w:keepLines/>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examiner s</w:t>
      </w:r>
      <w:r w:rsidR="00B4091E">
        <w:rPr>
          <w:i/>
          <w:lang w:val="fr-FR"/>
        </w:rPr>
        <w:t>’</w:t>
      </w:r>
      <w:r w:rsidRPr="0016157A">
        <w:rPr>
          <w:i/>
          <w:lang w:val="fr-FR"/>
        </w:rPr>
        <w:t>il convient d</w:t>
      </w:r>
      <w:r w:rsidR="00B4091E">
        <w:rPr>
          <w:i/>
          <w:lang w:val="fr-FR"/>
        </w:rPr>
        <w:t>’</w:t>
      </w:r>
      <w:r w:rsidRPr="0016157A">
        <w:rPr>
          <w:i/>
          <w:lang w:val="fr-FR"/>
        </w:rPr>
        <w:t>inviter le TWV à réviser les principes directeurs d</w:t>
      </w:r>
      <w:r w:rsidR="00B4091E">
        <w:rPr>
          <w:i/>
          <w:lang w:val="fr-FR"/>
        </w:rPr>
        <w:t>’</w:t>
      </w:r>
      <w:r w:rsidRPr="0016157A">
        <w:rPr>
          <w:i/>
          <w:lang w:val="fr-FR"/>
        </w:rPr>
        <w:t>examen du brocoli pour accepter l</w:t>
      </w:r>
      <w:r w:rsidR="00B4091E">
        <w:rPr>
          <w:i/>
          <w:lang w:val="fr-FR"/>
        </w:rPr>
        <w:t>’</w:t>
      </w:r>
      <w:r w:rsidRPr="0016157A">
        <w:rPr>
          <w:i/>
          <w:lang w:val="fr-FR"/>
        </w:rPr>
        <w:t>utilisation de toute autre méthode d</w:t>
      </w:r>
      <w:r w:rsidR="00B4091E">
        <w:rPr>
          <w:i/>
          <w:lang w:val="fr-FR"/>
        </w:rPr>
        <w:t>’</w:t>
      </w:r>
      <w:r w:rsidRPr="0016157A">
        <w:rPr>
          <w:i/>
          <w:lang w:val="fr-FR"/>
        </w:rPr>
        <w:t>examen de la stérilité mâle dans le cadre d</w:t>
      </w:r>
      <w:r w:rsidR="00B4091E">
        <w:rPr>
          <w:i/>
          <w:lang w:val="fr-FR"/>
        </w:rPr>
        <w:t>’</w:t>
      </w:r>
      <w:r w:rsidRPr="0016157A">
        <w:rPr>
          <w:i/>
          <w:lang w:val="fr-FR"/>
        </w:rPr>
        <w:t>un test avec marqueurs d</w:t>
      </w:r>
      <w:r w:rsidR="00B4091E">
        <w:rPr>
          <w:i/>
          <w:lang w:val="fr-FR"/>
        </w:rPr>
        <w:t>’</w:t>
      </w:r>
      <w:r w:rsidRPr="0016157A">
        <w:rPr>
          <w:i/>
          <w:lang w:val="fr-FR"/>
        </w:rPr>
        <w:t>ADN, y compris les marqueurs alternatifs pour le test avec marqueurs d</w:t>
      </w:r>
      <w:r w:rsidR="00B4091E">
        <w:rPr>
          <w:i/>
          <w:lang w:val="fr-FR"/>
        </w:rPr>
        <w:t>’</w:t>
      </w:r>
      <w:r w:rsidRPr="0016157A">
        <w:rPr>
          <w:i/>
          <w:lang w:val="fr-FR"/>
        </w:rPr>
        <w:t>ADN, après validation par les services d</w:t>
      </w:r>
      <w:r w:rsidR="00B4091E">
        <w:rPr>
          <w:i/>
          <w:lang w:val="fr-FR"/>
        </w:rPr>
        <w:t>’</w:t>
      </w:r>
      <w:r w:rsidRPr="0016157A">
        <w:rPr>
          <w:i/>
          <w:lang w:val="fr-FR"/>
        </w:rPr>
        <w:t>examen des membres de l</w:t>
      </w:r>
      <w:r w:rsidR="00B4091E">
        <w:rPr>
          <w:i/>
          <w:lang w:val="fr-FR"/>
        </w:rPr>
        <w:t>’</w:t>
      </w:r>
      <w:r w:rsidRPr="0016157A">
        <w:rPr>
          <w:i/>
          <w:lang w:val="fr-FR"/>
        </w:rPr>
        <w:t>UPOV.</w:t>
      </w:r>
    </w:p>
    <w:p w:rsidR="00EA3338" w:rsidRPr="0016157A" w:rsidRDefault="00EA3338" w:rsidP="00C249E4">
      <w:pPr>
        <w:rPr>
          <w:rFonts w:cs="Arial"/>
          <w:bCs/>
          <w:snapToGrid w:val="0"/>
          <w:lang w:val="fr-FR"/>
        </w:rPr>
      </w:pPr>
    </w:p>
    <w:p w:rsidR="00EA3338" w:rsidRPr="0016157A" w:rsidRDefault="00EA3338" w:rsidP="00C249E4">
      <w:pPr>
        <w:keepNext/>
        <w:outlineLvl w:val="2"/>
        <w:rPr>
          <w:i/>
          <w:snapToGrid w:val="0"/>
          <w:lang w:val="fr-FR"/>
        </w:rPr>
      </w:pPr>
      <w:bookmarkStart w:id="54" w:name="_Toc521492824"/>
      <w:r w:rsidRPr="0016157A">
        <w:rPr>
          <w:i/>
          <w:snapToGrid w:val="0"/>
          <w:lang w:val="fr-FR"/>
        </w:rPr>
        <w:t>Pertinence des caractères dans les versions précédentes des principes directeurs d</w:t>
      </w:r>
      <w:r w:rsidR="00B4091E">
        <w:rPr>
          <w:i/>
          <w:snapToGrid w:val="0"/>
          <w:lang w:val="fr-FR"/>
        </w:rPr>
        <w:t>’</w:t>
      </w:r>
      <w:r w:rsidRPr="0016157A">
        <w:rPr>
          <w:i/>
          <w:snapToGrid w:val="0"/>
          <w:lang w:val="fr-FR"/>
        </w:rPr>
        <w:t>examen</w:t>
      </w:r>
      <w:bookmarkEnd w:id="54"/>
    </w:p>
    <w:p w:rsidR="00EA3338" w:rsidRPr="0016157A" w:rsidRDefault="00EA3338" w:rsidP="00C249E4">
      <w:pPr>
        <w:rPr>
          <w:rFonts w:cs="Arial"/>
          <w:bCs/>
          <w:snapToGrid w:val="0"/>
          <w:lang w:val="fr-FR"/>
        </w:rPr>
      </w:pPr>
    </w:p>
    <w:p w:rsidR="00EA3338" w:rsidRPr="0016157A" w:rsidRDefault="00EA3338" w:rsidP="00C249E4">
      <w:pPr>
        <w:rPr>
          <w:rFonts w:cs="Arial"/>
          <w:bCs/>
          <w:snapToGrid w:val="0"/>
          <w:lang w:val="fr-FR"/>
        </w:rPr>
      </w:pPr>
      <w:r w:rsidRPr="0016157A">
        <w:rPr>
          <w:rFonts w:cs="Arial"/>
          <w:bCs/>
          <w:snapToGrid w:val="0"/>
          <w:lang w:val="fr-FR"/>
        </w:rPr>
        <w:fldChar w:fldCharType="begin"/>
      </w:r>
      <w:r w:rsidRPr="0016157A">
        <w:rPr>
          <w:rFonts w:cs="Arial"/>
          <w:bCs/>
          <w:snapToGrid w:val="0"/>
          <w:lang w:val="fr-FR"/>
        </w:rPr>
        <w:instrText xml:space="preserve"> AUTONUM  </w:instrText>
      </w:r>
      <w:r w:rsidRPr="0016157A">
        <w:rPr>
          <w:rFonts w:cs="Arial"/>
          <w:bCs/>
          <w:snapToGrid w:val="0"/>
          <w:lang w:val="fr-FR"/>
        </w:rPr>
        <w:fldChar w:fldCharType="end"/>
      </w:r>
      <w:r w:rsidRPr="0016157A">
        <w:rPr>
          <w:rFonts w:cs="Arial"/>
          <w:bCs/>
          <w:snapToGrid w:val="0"/>
          <w:lang w:val="fr-FR"/>
        </w:rPr>
        <w:tab/>
        <w:t>Le TC</w:t>
      </w:r>
      <w:r w:rsidRPr="0016157A">
        <w:rPr>
          <w:rFonts w:cs="Arial"/>
          <w:bCs/>
          <w:snapToGrid w:val="0"/>
          <w:lang w:val="fr-FR"/>
        </w:rPr>
        <w:noBreakHyphen/>
        <w:t>EDC a examiné le projet de principes directeurs d</w:t>
      </w:r>
      <w:r w:rsidR="00B4091E">
        <w:rPr>
          <w:rFonts w:cs="Arial"/>
          <w:bCs/>
          <w:snapToGrid w:val="0"/>
          <w:lang w:val="fr-FR"/>
        </w:rPr>
        <w:t>’</w:t>
      </w:r>
      <w:r w:rsidRPr="0016157A">
        <w:rPr>
          <w:rFonts w:cs="Arial"/>
          <w:bCs/>
          <w:snapToGrid w:val="0"/>
          <w:lang w:val="fr-FR"/>
        </w:rPr>
        <w:t>examen pour le cotonnier et l</w:t>
      </w:r>
      <w:r w:rsidR="00B4091E">
        <w:rPr>
          <w:rFonts w:cs="Arial"/>
          <w:bCs/>
          <w:snapToGrid w:val="0"/>
          <w:lang w:val="fr-FR"/>
        </w:rPr>
        <w:t>’</w:t>
      </w:r>
      <w:r w:rsidRPr="0016157A">
        <w:rPr>
          <w:rFonts w:cs="Arial"/>
          <w:bCs/>
          <w:snapToGrid w:val="0"/>
          <w:lang w:val="fr-FR"/>
        </w:rPr>
        <w:t>utilisation de caractères tels que longueur de la fibre, l</w:t>
      </w:r>
      <w:r w:rsidR="00B4091E">
        <w:rPr>
          <w:rFonts w:cs="Arial"/>
          <w:bCs/>
          <w:snapToGrid w:val="0"/>
          <w:lang w:val="fr-FR"/>
        </w:rPr>
        <w:t>’</w:t>
      </w:r>
      <w:r w:rsidRPr="0016157A">
        <w:rPr>
          <w:rFonts w:cs="Arial"/>
          <w:bCs/>
          <w:snapToGrid w:val="0"/>
          <w:lang w:val="fr-FR"/>
        </w:rPr>
        <w:t>élongation de la fibre, la finesse de la fibre et l</w:t>
      </w:r>
      <w:r w:rsidR="00B4091E">
        <w:rPr>
          <w:rFonts w:cs="Arial"/>
          <w:bCs/>
          <w:snapToGrid w:val="0"/>
          <w:lang w:val="fr-FR"/>
        </w:rPr>
        <w:t>’</w:t>
      </w:r>
      <w:r w:rsidRPr="0016157A">
        <w:rPr>
          <w:rFonts w:cs="Arial"/>
          <w:bCs/>
          <w:snapToGrid w:val="0"/>
          <w:lang w:val="fr-FR"/>
        </w:rPr>
        <w:t>uniformité de la longueur de la fibre.  Le TC</w:t>
      </w:r>
      <w:r w:rsidRPr="0016157A">
        <w:rPr>
          <w:rFonts w:cs="Arial"/>
          <w:bCs/>
          <w:snapToGrid w:val="0"/>
          <w:lang w:val="fr-FR"/>
        </w:rPr>
        <w:noBreakHyphen/>
        <w:t>EDC a noté que ces caractères avaient été inclus dans les premiers principes directeurs d</w:t>
      </w:r>
      <w:r w:rsidR="00B4091E">
        <w:rPr>
          <w:rFonts w:cs="Arial"/>
          <w:bCs/>
          <w:snapToGrid w:val="0"/>
          <w:lang w:val="fr-FR"/>
        </w:rPr>
        <w:t>’</w:t>
      </w:r>
      <w:r w:rsidRPr="0016157A">
        <w:rPr>
          <w:rFonts w:cs="Arial"/>
          <w:bCs/>
          <w:snapToGrid w:val="0"/>
          <w:lang w:val="fr-FR"/>
        </w:rPr>
        <w:t xml:space="preserve">examen pour le cotonnier adoptés en 1985 ou dans la version révisée de 2001.  </w:t>
      </w:r>
      <w:r w:rsidRPr="0016157A">
        <w:rPr>
          <w:rFonts w:cstheme="minorBidi"/>
          <w:szCs w:val="22"/>
          <w:lang w:val="fr-FR"/>
        </w:rPr>
        <w:t>Le TC</w:t>
      </w:r>
      <w:r w:rsidRPr="0016157A">
        <w:rPr>
          <w:rFonts w:cstheme="minorBidi"/>
          <w:szCs w:val="22"/>
          <w:lang w:val="fr-FR"/>
        </w:rPr>
        <w:noBreakHyphen/>
        <w:t>EDC a recommandé de demander à l</w:t>
      </w:r>
      <w:r w:rsidR="00B4091E">
        <w:rPr>
          <w:rFonts w:cstheme="minorBidi"/>
          <w:szCs w:val="22"/>
          <w:lang w:val="fr-FR"/>
        </w:rPr>
        <w:t>’</w:t>
      </w:r>
      <w:r w:rsidRPr="0016157A">
        <w:rPr>
          <w:rFonts w:cstheme="minorBidi"/>
          <w:szCs w:val="22"/>
          <w:lang w:val="fr-FR"/>
        </w:rPr>
        <w:t>expert principal pour les principes directeurs d</w:t>
      </w:r>
      <w:r w:rsidR="00B4091E">
        <w:rPr>
          <w:rFonts w:cstheme="minorBidi"/>
          <w:szCs w:val="22"/>
          <w:lang w:val="fr-FR"/>
        </w:rPr>
        <w:t>’</w:t>
      </w:r>
      <w:r w:rsidRPr="0016157A">
        <w:rPr>
          <w:rFonts w:cstheme="minorBidi"/>
          <w:szCs w:val="22"/>
          <w:lang w:val="fr-FR"/>
        </w:rPr>
        <w:t>examen pour le cotonnier de fournir des informations supplémentaires concernant la manière dont les caractères 30 à 34 sont évalués, dans le chapitre 8</w:t>
      </w:r>
      <w:r w:rsidRPr="0016157A">
        <w:rPr>
          <w:rFonts w:cs="Arial"/>
          <w:bCs/>
          <w:snapToGrid w:val="0"/>
          <w:lang w:val="fr-FR"/>
        </w:rPr>
        <w:t xml:space="preserve"> (voir les paragraphes 52 et 53 du document TC</w:t>
      </w:r>
      <w:r w:rsidRPr="0016157A">
        <w:rPr>
          <w:rFonts w:cs="Arial"/>
          <w:bCs/>
          <w:snapToGrid w:val="0"/>
          <w:lang w:val="fr-FR"/>
        </w:rPr>
        <w:noBreakHyphen/>
        <w:t xml:space="preserve">EDC/Mar18/11 </w:t>
      </w:r>
      <w:r w:rsidR="00B4091E">
        <w:rPr>
          <w:rFonts w:cs="Arial"/>
          <w:bCs/>
          <w:snapToGrid w:val="0"/>
          <w:lang w:val="fr-FR"/>
        </w:rPr>
        <w:t>“</w:t>
      </w:r>
      <w:r w:rsidRPr="0016157A">
        <w:rPr>
          <w:rFonts w:cs="Arial"/>
          <w:bCs/>
          <w:snapToGrid w:val="0"/>
          <w:lang w:val="fr-FR"/>
        </w:rPr>
        <w:t>Compte rendu</w:t>
      </w:r>
      <w:r w:rsidR="00B4091E">
        <w:rPr>
          <w:rFonts w:cs="Arial"/>
          <w:bCs/>
          <w:snapToGrid w:val="0"/>
          <w:lang w:val="fr-FR"/>
        </w:rPr>
        <w:t>”</w:t>
      </w:r>
      <w:r w:rsidRPr="0016157A">
        <w:rPr>
          <w:rFonts w:cs="Arial"/>
          <w:bCs/>
          <w:snapToGrid w:val="0"/>
          <w:lang w:val="fr-FR"/>
        </w:rPr>
        <w:t>).</w:t>
      </w:r>
    </w:p>
    <w:p w:rsidR="00EA3338" w:rsidRPr="0016157A" w:rsidRDefault="00EA3338" w:rsidP="00C249E4">
      <w:pPr>
        <w:rPr>
          <w:rFonts w:cs="Arial"/>
          <w:bCs/>
          <w:snapToGrid w:val="0"/>
          <w:lang w:val="fr-FR"/>
        </w:rPr>
      </w:pPr>
    </w:p>
    <w:p w:rsidR="00EA3338" w:rsidRPr="0016157A" w:rsidRDefault="00EA3338" w:rsidP="00C249E4">
      <w:pPr>
        <w:rPr>
          <w:rFonts w:cs="Arial"/>
          <w:bCs/>
          <w:snapToGrid w:val="0"/>
          <w:lang w:val="fr-FR"/>
        </w:rPr>
      </w:pPr>
      <w:r w:rsidRPr="0016157A">
        <w:rPr>
          <w:rFonts w:cs="Arial"/>
          <w:bCs/>
          <w:snapToGrid w:val="0"/>
          <w:lang w:val="fr-FR"/>
        </w:rPr>
        <w:fldChar w:fldCharType="begin"/>
      </w:r>
      <w:r w:rsidRPr="0016157A">
        <w:rPr>
          <w:rFonts w:cs="Arial"/>
          <w:bCs/>
          <w:snapToGrid w:val="0"/>
          <w:lang w:val="fr-FR"/>
        </w:rPr>
        <w:instrText xml:space="preserve"> AUTONUM  </w:instrText>
      </w:r>
      <w:r w:rsidRPr="0016157A">
        <w:rPr>
          <w:rFonts w:cs="Arial"/>
          <w:bCs/>
          <w:snapToGrid w:val="0"/>
          <w:lang w:val="fr-FR"/>
        </w:rPr>
        <w:fldChar w:fldCharType="end"/>
      </w:r>
      <w:r w:rsidRPr="0016157A">
        <w:rPr>
          <w:rFonts w:cs="Arial"/>
          <w:bCs/>
          <w:snapToGrid w:val="0"/>
          <w:lang w:val="fr-FR"/>
        </w:rPr>
        <w:tab/>
        <w:t>Le TC</w:t>
      </w:r>
      <w:r w:rsidRPr="0016157A">
        <w:rPr>
          <w:rFonts w:cs="Arial"/>
          <w:bCs/>
          <w:snapToGrid w:val="0"/>
          <w:lang w:val="fr-FR"/>
        </w:rPr>
        <w:noBreakHyphen/>
        <w:t>EDC est convenu de recommander au TC d</w:t>
      </w:r>
      <w:r w:rsidR="00B4091E">
        <w:rPr>
          <w:rFonts w:cs="Arial"/>
          <w:bCs/>
          <w:snapToGrid w:val="0"/>
          <w:lang w:val="fr-FR"/>
        </w:rPr>
        <w:t>’</w:t>
      </w:r>
      <w:r w:rsidRPr="0016157A">
        <w:rPr>
          <w:rFonts w:cs="Arial"/>
          <w:bCs/>
          <w:snapToGrid w:val="0"/>
          <w:lang w:val="fr-FR"/>
        </w:rPr>
        <w:t>examiner une situation dans laquelle les caractères des principes directeurs d</w:t>
      </w:r>
      <w:r w:rsidR="00B4091E">
        <w:rPr>
          <w:rFonts w:cs="Arial"/>
          <w:bCs/>
          <w:snapToGrid w:val="0"/>
          <w:lang w:val="fr-FR"/>
        </w:rPr>
        <w:t>’</w:t>
      </w:r>
      <w:r w:rsidRPr="0016157A">
        <w:rPr>
          <w:rFonts w:cs="Arial"/>
          <w:bCs/>
          <w:snapToGrid w:val="0"/>
          <w:lang w:val="fr-FR"/>
        </w:rPr>
        <w:t>examen existants ne remplissent pas exigences énoncées dans le document TGP/7.</w:t>
      </w:r>
    </w:p>
    <w:p w:rsidR="00EA3338" w:rsidRPr="0016157A" w:rsidRDefault="00EA3338" w:rsidP="00C249E4">
      <w:pPr>
        <w:keepNext/>
        <w:outlineLvl w:val="1"/>
        <w:rPr>
          <w:u w:val="single"/>
          <w:lang w:val="fr-FR"/>
        </w:rPr>
      </w:pPr>
    </w:p>
    <w:p w:rsidR="00EA3338" w:rsidRPr="0016157A" w:rsidRDefault="00EA3338" w:rsidP="00C249E4">
      <w:pPr>
        <w:keepLines/>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examiner une situation dans laquelle les caractères des principes directeurs d</w:t>
      </w:r>
      <w:r w:rsidR="00B4091E">
        <w:rPr>
          <w:i/>
          <w:lang w:val="fr-FR"/>
        </w:rPr>
        <w:t>’</w:t>
      </w:r>
      <w:r w:rsidRPr="0016157A">
        <w:rPr>
          <w:i/>
          <w:lang w:val="fr-FR"/>
        </w:rPr>
        <w:t>examen ne remplissent pas les exigences énoncées dans le document TGP/7.</w:t>
      </w:r>
    </w:p>
    <w:p w:rsidR="00EA3338" w:rsidRPr="0016157A" w:rsidRDefault="00EA3338" w:rsidP="00C249E4">
      <w:pPr>
        <w:rPr>
          <w:rFonts w:cs="Arial"/>
          <w:bCs/>
          <w:snapToGrid w:val="0"/>
          <w:lang w:val="fr-FR"/>
        </w:rPr>
      </w:pPr>
    </w:p>
    <w:p w:rsidR="00EA3338" w:rsidRPr="0016157A" w:rsidRDefault="00EA3338" w:rsidP="00C249E4">
      <w:pPr>
        <w:keepNext/>
        <w:outlineLvl w:val="1"/>
        <w:rPr>
          <w:snapToGrid w:val="0"/>
          <w:u w:val="single"/>
          <w:lang w:val="fr-FR"/>
        </w:rPr>
      </w:pPr>
      <w:bookmarkStart w:id="55" w:name="_Toc521492825"/>
      <w:r w:rsidRPr="0016157A">
        <w:rPr>
          <w:snapToGrid w:val="0"/>
          <w:u w:val="single"/>
          <w:lang w:val="fr-FR"/>
        </w:rPr>
        <w:t>TGP/12 : Conseils en ce qui concerne certains caractères physiologiques</w:t>
      </w:r>
      <w:bookmarkEnd w:id="55"/>
    </w:p>
    <w:p w:rsidR="00EA3338" w:rsidRPr="0016157A" w:rsidRDefault="00EA3338" w:rsidP="00C249E4">
      <w:pPr>
        <w:rPr>
          <w:rFonts w:cs="Arial"/>
          <w:bCs/>
          <w:snapToGrid w:val="0"/>
          <w:lang w:val="fr-FR"/>
        </w:rPr>
      </w:pPr>
    </w:p>
    <w:p w:rsidR="00EA3338" w:rsidRPr="0016157A" w:rsidRDefault="00EA3338" w:rsidP="00C249E4">
      <w:pPr>
        <w:keepNext/>
        <w:outlineLvl w:val="2"/>
        <w:rPr>
          <w:i/>
          <w:lang w:val="fr-FR"/>
        </w:rPr>
      </w:pPr>
      <w:bookmarkStart w:id="56" w:name="_Toc521492826"/>
      <w:r w:rsidRPr="0016157A">
        <w:rPr>
          <w:i/>
          <w:lang w:val="fr-FR"/>
        </w:rPr>
        <w:t>Explications sur les caractères de résistance aux maladies</w:t>
      </w:r>
      <w:bookmarkEnd w:id="56"/>
    </w:p>
    <w:p w:rsidR="00EA3338" w:rsidRPr="0016157A" w:rsidRDefault="00EA3338" w:rsidP="00C249E4">
      <w:pPr>
        <w:rPr>
          <w:lang w:val="fr-FR"/>
        </w:rPr>
      </w:pPr>
    </w:p>
    <w:p w:rsidR="00EA3338" w:rsidRPr="0016157A" w:rsidRDefault="00EA3338" w:rsidP="00C249E4">
      <w:pPr>
        <w:rPr>
          <w:bCs/>
          <w:lang w:val="fr-FR"/>
        </w:rPr>
      </w:pPr>
      <w:r w:rsidRPr="0016157A">
        <w:rPr>
          <w:bCs/>
          <w:lang w:val="fr-FR"/>
        </w:rPr>
        <w:fldChar w:fldCharType="begin"/>
      </w:r>
      <w:r w:rsidRPr="0016157A">
        <w:rPr>
          <w:bCs/>
          <w:lang w:val="fr-FR"/>
        </w:rPr>
        <w:instrText xml:space="preserve"> AUTONUM  </w:instrText>
      </w:r>
      <w:r w:rsidRPr="0016157A">
        <w:rPr>
          <w:lang w:val="fr-FR"/>
        </w:rPr>
        <w:fldChar w:fldCharType="end"/>
      </w:r>
      <w:r w:rsidRPr="0016157A">
        <w:rPr>
          <w:bCs/>
          <w:lang w:val="fr-FR"/>
        </w:rPr>
        <w:tab/>
        <w:t>Le TC</w:t>
      </w:r>
      <w:r w:rsidRPr="0016157A">
        <w:rPr>
          <w:bCs/>
          <w:lang w:val="fr-FR"/>
        </w:rPr>
        <w:noBreakHyphen/>
        <w:t>EDC est convenu d</w:t>
      </w:r>
      <w:r w:rsidR="00B4091E">
        <w:rPr>
          <w:bCs/>
          <w:lang w:val="fr-FR"/>
        </w:rPr>
        <w:t>’</w:t>
      </w:r>
      <w:r w:rsidRPr="0016157A">
        <w:rPr>
          <w:bCs/>
          <w:lang w:val="fr-FR"/>
        </w:rPr>
        <w:t>inviter le TC à examiner s</w:t>
      </w:r>
      <w:r w:rsidR="00B4091E">
        <w:rPr>
          <w:bCs/>
          <w:lang w:val="fr-FR"/>
        </w:rPr>
        <w:t>’</w:t>
      </w:r>
      <w:r w:rsidRPr="0016157A">
        <w:rPr>
          <w:bCs/>
          <w:lang w:val="fr-FR"/>
        </w:rPr>
        <w:t>il convient de fournir des conseils supplémentaires en ce qui concerne les éléments qui ne doivent pas obligatoirement être inclus dans les explications des caractères de résistance aux maladies dans les principes directeurs d</w:t>
      </w:r>
      <w:r w:rsidR="00B4091E">
        <w:rPr>
          <w:bCs/>
          <w:lang w:val="fr-FR"/>
        </w:rPr>
        <w:t>’</w:t>
      </w:r>
      <w:r w:rsidRPr="0016157A">
        <w:rPr>
          <w:bCs/>
          <w:lang w:val="fr-FR"/>
        </w:rPr>
        <w:t xml:space="preserve">examen utilisant le protocole type de résistance présenté dans le document TGP/12 </w:t>
      </w:r>
      <w:r w:rsidR="00B4091E">
        <w:rPr>
          <w:bCs/>
          <w:lang w:val="fr-FR"/>
        </w:rPr>
        <w:t>“</w:t>
      </w:r>
      <w:r w:rsidRPr="0016157A">
        <w:rPr>
          <w:bCs/>
          <w:lang w:val="fr-FR"/>
        </w:rPr>
        <w:t>Conseils en ce qui concerne certains caractères physiologiques</w:t>
      </w:r>
      <w:r w:rsidR="00B4091E">
        <w:rPr>
          <w:bCs/>
          <w:lang w:val="fr-FR"/>
        </w:rPr>
        <w:t>”</w:t>
      </w:r>
      <w:r w:rsidRPr="0016157A">
        <w:rPr>
          <w:bCs/>
          <w:lang w:val="fr-FR"/>
        </w:rPr>
        <w:t>.  Le TC</w:t>
      </w:r>
      <w:r w:rsidRPr="0016157A">
        <w:rPr>
          <w:bCs/>
          <w:lang w:val="fr-FR"/>
        </w:rPr>
        <w:noBreakHyphen/>
        <w:t>EDC a recommandé que le TC envisage de proposer aux TWP intéressés des formations portant sur les explications à fournir pour les caractères de résistance aux maladies dans les principes directeurs d</w:t>
      </w:r>
      <w:r w:rsidR="00B4091E">
        <w:rPr>
          <w:bCs/>
          <w:lang w:val="fr-FR"/>
        </w:rPr>
        <w:t>’</w:t>
      </w:r>
      <w:r w:rsidRPr="0016157A">
        <w:rPr>
          <w:bCs/>
          <w:lang w:val="fr-FR"/>
        </w:rPr>
        <w:t xml:space="preserve">examen </w:t>
      </w:r>
      <w:r w:rsidRPr="0016157A">
        <w:rPr>
          <w:rFonts w:cs="Arial"/>
          <w:bCs/>
          <w:snapToGrid w:val="0"/>
          <w:lang w:val="fr-FR"/>
        </w:rPr>
        <w:t>(voir le paragraphe 48 du document TC</w:t>
      </w:r>
      <w:r w:rsidRPr="0016157A">
        <w:rPr>
          <w:rFonts w:cs="Arial"/>
          <w:bCs/>
          <w:snapToGrid w:val="0"/>
          <w:lang w:val="fr-FR"/>
        </w:rPr>
        <w:noBreakHyphen/>
        <w:t xml:space="preserve">EDC/Mar18/11 </w:t>
      </w:r>
      <w:r w:rsidR="00B4091E">
        <w:rPr>
          <w:rFonts w:cs="Arial"/>
          <w:bCs/>
          <w:snapToGrid w:val="0"/>
          <w:lang w:val="fr-FR"/>
        </w:rPr>
        <w:t>“</w:t>
      </w:r>
      <w:r w:rsidRPr="0016157A">
        <w:rPr>
          <w:rFonts w:cs="Arial"/>
          <w:bCs/>
          <w:snapToGrid w:val="0"/>
          <w:lang w:val="fr-FR"/>
        </w:rPr>
        <w:t>Compte rendu</w:t>
      </w:r>
      <w:r w:rsidR="00B4091E">
        <w:rPr>
          <w:rFonts w:cs="Arial"/>
          <w:bCs/>
          <w:snapToGrid w:val="0"/>
          <w:lang w:val="fr-FR"/>
        </w:rPr>
        <w:t>”</w:t>
      </w:r>
      <w:r w:rsidRPr="0016157A">
        <w:rPr>
          <w:rFonts w:cs="Arial"/>
          <w:bCs/>
          <w:snapToGrid w:val="0"/>
          <w:lang w:val="fr-FR"/>
        </w:rPr>
        <w:t>)</w:t>
      </w:r>
      <w:r w:rsidRPr="0016157A">
        <w:rPr>
          <w:bCs/>
          <w:lang w:val="fr-FR"/>
        </w:rPr>
        <w:t>.</w:t>
      </w:r>
    </w:p>
    <w:p w:rsidR="00EA3338" w:rsidRPr="0016157A" w:rsidRDefault="00EA3338" w:rsidP="00C249E4">
      <w:pPr>
        <w:rPr>
          <w:lang w:val="fr-FR"/>
        </w:rPr>
      </w:pPr>
    </w:p>
    <w:p w:rsidR="00EA3338" w:rsidRPr="0016157A" w:rsidRDefault="00EA3338" w:rsidP="00C249E4">
      <w:pPr>
        <w:keepNext/>
        <w:keepLines/>
        <w:tabs>
          <w:tab w:val="left" w:pos="5387"/>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examiner s</w:t>
      </w:r>
      <w:r w:rsidR="00B4091E">
        <w:rPr>
          <w:i/>
          <w:lang w:val="fr-FR"/>
        </w:rPr>
        <w:t>’</w:t>
      </w:r>
      <w:r w:rsidRPr="0016157A">
        <w:rPr>
          <w:i/>
          <w:lang w:val="fr-FR"/>
        </w:rPr>
        <w:t>il convient</w:t>
      </w:r>
    </w:p>
    <w:p w:rsidR="00EA3338" w:rsidRPr="0016157A" w:rsidRDefault="00EA3338" w:rsidP="00C249E4">
      <w:pPr>
        <w:keepNext/>
        <w:keepLines/>
        <w:tabs>
          <w:tab w:val="left" w:pos="5387"/>
        </w:tabs>
        <w:ind w:left="4820"/>
        <w:rPr>
          <w:i/>
          <w:lang w:val="fr-FR"/>
        </w:rPr>
      </w:pPr>
    </w:p>
    <w:p w:rsidR="00EA3338" w:rsidRPr="004F6BFF" w:rsidRDefault="00EA3338" w:rsidP="00C249E4">
      <w:pPr>
        <w:keepNext/>
        <w:keepLines/>
        <w:tabs>
          <w:tab w:val="left" w:pos="5387"/>
          <w:tab w:val="left" w:pos="5954"/>
        </w:tabs>
        <w:ind w:left="4820" w:firstLine="567"/>
        <w:rPr>
          <w:i/>
          <w:lang w:val="fr-FR"/>
        </w:rPr>
      </w:pPr>
      <w:r w:rsidRPr="0016157A">
        <w:rPr>
          <w:i/>
          <w:lang w:val="fr-FR"/>
        </w:rPr>
        <w:t>a)</w:t>
      </w:r>
      <w:r w:rsidRPr="0016157A">
        <w:rPr>
          <w:i/>
          <w:lang w:val="fr-FR"/>
        </w:rPr>
        <w:tab/>
        <w:t>d</w:t>
      </w:r>
      <w:r w:rsidR="00B4091E">
        <w:rPr>
          <w:i/>
          <w:lang w:val="fr-FR"/>
        </w:rPr>
        <w:t>’</w:t>
      </w:r>
      <w:r w:rsidRPr="0016157A">
        <w:rPr>
          <w:i/>
          <w:lang w:val="fr-FR"/>
        </w:rPr>
        <w:t>inviter les TWP à élaborer des conseils supplémentaires concernant les explications à fournir pour les caractères de résistance aux maladies dans les principes directeurs d</w:t>
      </w:r>
      <w:r w:rsidR="00B4091E">
        <w:rPr>
          <w:i/>
          <w:lang w:val="fr-FR"/>
        </w:rPr>
        <w:t>’</w:t>
      </w:r>
      <w:r w:rsidRPr="0016157A">
        <w:rPr>
          <w:i/>
          <w:lang w:val="fr-FR"/>
        </w:rPr>
        <w:t xml:space="preserve">examen utilisant le protocole type de résistance fourni dans le document TGP/12 </w:t>
      </w:r>
      <w:r w:rsidR="00B4091E">
        <w:rPr>
          <w:i/>
          <w:lang w:val="fr-FR"/>
        </w:rPr>
        <w:t>“</w:t>
      </w:r>
      <w:r w:rsidRPr="0016157A">
        <w:rPr>
          <w:i/>
          <w:lang w:val="fr-FR"/>
        </w:rPr>
        <w:t>Conseils en ce qui concerne certains caractères physiologiques</w:t>
      </w:r>
      <w:r w:rsidR="00B4091E">
        <w:rPr>
          <w:i/>
          <w:lang w:val="fr-FR"/>
        </w:rPr>
        <w:t>”</w:t>
      </w:r>
      <w:r w:rsidRPr="0016157A">
        <w:rPr>
          <w:i/>
          <w:lang w:val="fr-FR"/>
        </w:rPr>
        <w:t>, comprenant les éléments qui ne doivent pas obligatoirement être inclus et</w:t>
      </w:r>
    </w:p>
    <w:p w:rsidR="00EA3338" w:rsidRPr="0016157A" w:rsidRDefault="00EA3338" w:rsidP="00C249E4">
      <w:pPr>
        <w:keepLines/>
        <w:tabs>
          <w:tab w:val="left" w:pos="5387"/>
          <w:tab w:val="left" w:pos="5954"/>
        </w:tabs>
        <w:ind w:left="4820"/>
        <w:rPr>
          <w:i/>
          <w:lang w:val="fr-FR"/>
        </w:rPr>
      </w:pPr>
    </w:p>
    <w:p w:rsidR="00EA3338" w:rsidRPr="0016157A" w:rsidRDefault="00EA3338" w:rsidP="00C249E4">
      <w:pPr>
        <w:keepLines/>
        <w:tabs>
          <w:tab w:val="left" w:pos="5387"/>
          <w:tab w:val="left" w:pos="5954"/>
        </w:tabs>
        <w:ind w:left="4820" w:firstLine="567"/>
        <w:rPr>
          <w:i/>
          <w:lang w:val="fr-FR"/>
        </w:rPr>
      </w:pPr>
      <w:r w:rsidRPr="0016157A">
        <w:rPr>
          <w:i/>
          <w:lang w:val="fr-FR"/>
        </w:rPr>
        <w:t>b)</w:t>
      </w:r>
      <w:r w:rsidRPr="0016157A">
        <w:rPr>
          <w:i/>
          <w:lang w:val="fr-FR"/>
        </w:rPr>
        <w:tab/>
        <w:t>de demander au Bureau de l</w:t>
      </w:r>
      <w:r w:rsidR="00B4091E">
        <w:rPr>
          <w:i/>
          <w:lang w:val="fr-FR"/>
        </w:rPr>
        <w:t>’</w:t>
      </w:r>
      <w:r w:rsidRPr="0016157A">
        <w:rPr>
          <w:i/>
          <w:lang w:val="fr-FR"/>
        </w:rPr>
        <w:t>Union et aux experts compétents de proposer aux TWP concernés une formation portant sur les explications à fournir pour les caractères de résistance aux maladies dans les principes directeurs d</w:t>
      </w:r>
      <w:r w:rsidR="00B4091E">
        <w:rPr>
          <w:i/>
          <w:lang w:val="fr-FR"/>
        </w:rPr>
        <w:t>’</w:t>
      </w:r>
      <w:r w:rsidRPr="0016157A">
        <w:rPr>
          <w:i/>
          <w:lang w:val="fr-FR"/>
        </w:rPr>
        <w:t>examen.</w:t>
      </w:r>
    </w:p>
    <w:p w:rsidR="00EA3338" w:rsidRDefault="00EA3338" w:rsidP="00C249E4">
      <w:pPr>
        <w:rPr>
          <w:lang w:val="fr-FR"/>
        </w:rPr>
      </w:pPr>
    </w:p>
    <w:p w:rsidR="00B4091E" w:rsidRPr="0016157A" w:rsidRDefault="00B4091E" w:rsidP="00C249E4">
      <w:pPr>
        <w:rPr>
          <w:lang w:val="fr-FR"/>
        </w:rPr>
      </w:pPr>
    </w:p>
    <w:p w:rsidR="00EA3338" w:rsidRPr="0016157A" w:rsidRDefault="00EA3338" w:rsidP="00857E46">
      <w:pPr>
        <w:pStyle w:val="Heading1"/>
        <w:rPr>
          <w:lang w:val="fr-FR"/>
        </w:rPr>
      </w:pPr>
      <w:bookmarkStart w:id="57" w:name="_Toc521492827"/>
      <w:bookmarkEnd w:id="49"/>
      <w:bookmarkEnd w:id="50"/>
      <w:bookmarkEnd w:id="51"/>
      <w:bookmarkEnd w:id="52"/>
      <w:r w:rsidRPr="0016157A">
        <w:rPr>
          <w:lang w:val="fr-FR"/>
        </w:rPr>
        <w:t>PROGRAMME D</w:t>
      </w:r>
      <w:r w:rsidR="00B4091E">
        <w:rPr>
          <w:lang w:val="fr-FR"/>
        </w:rPr>
        <w:t>’</w:t>
      </w:r>
      <w:r w:rsidRPr="0016157A">
        <w:rPr>
          <w:lang w:val="fr-FR"/>
        </w:rPr>
        <w:t>ÉLABORATION DES DOCUMENTS TGP</w:t>
      </w:r>
      <w:bookmarkEnd w:id="57"/>
    </w:p>
    <w:p w:rsidR="00EA3338" w:rsidRPr="0016157A" w:rsidRDefault="00EA3338" w:rsidP="00C249E4">
      <w:pPr>
        <w:keepNext/>
        <w:keepLines/>
        <w:rPr>
          <w:rFonts w:cs="Arial"/>
          <w:lang w:val="fr-FR"/>
        </w:rPr>
      </w:pPr>
      <w:bookmarkStart w:id="58" w:name="OLE_LINK10"/>
    </w:p>
    <w:p w:rsidR="00EA3338" w:rsidRPr="0016157A" w:rsidRDefault="00EA3338" w:rsidP="00C249E4">
      <w:pPr>
        <w:keepNext/>
        <w:keepLines/>
        <w:rPr>
          <w:rFonts w:cs="Arial"/>
          <w:color w:val="000000"/>
          <w:lang w:val="fr-FR" w:eastAsia="ja-JP"/>
        </w:rPr>
      </w:pPr>
      <w:r w:rsidRPr="0016157A">
        <w:rPr>
          <w:rFonts w:cs="Arial"/>
          <w:lang w:val="fr-FR"/>
        </w:rPr>
        <w:fldChar w:fldCharType="begin"/>
      </w:r>
      <w:r w:rsidRPr="0016157A">
        <w:rPr>
          <w:rFonts w:cs="Arial"/>
          <w:lang w:val="fr-FR"/>
        </w:rPr>
        <w:instrText xml:space="preserve"> AUTONUM  </w:instrText>
      </w:r>
      <w:r w:rsidRPr="0016157A">
        <w:rPr>
          <w:rFonts w:cs="Arial"/>
          <w:lang w:val="fr-FR"/>
        </w:rPr>
        <w:fldChar w:fldCharType="end"/>
      </w:r>
      <w:r w:rsidRPr="0016157A">
        <w:rPr>
          <w:rFonts w:cs="Arial"/>
          <w:lang w:val="fr-FR"/>
        </w:rPr>
        <w:tab/>
        <w:t>On trouvera dans l</w:t>
      </w:r>
      <w:r w:rsidR="00B4091E">
        <w:rPr>
          <w:rFonts w:cs="Arial"/>
          <w:lang w:val="fr-FR"/>
        </w:rPr>
        <w:t>’</w:t>
      </w:r>
      <w:r w:rsidRPr="0016157A">
        <w:rPr>
          <w:rFonts w:cs="Arial"/>
          <w:lang w:val="fr-FR"/>
        </w:rPr>
        <w:t>annexe IV du présent document le programme d</w:t>
      </w:r>
      <w:r w:rsidR="00B4091E">
        <w:rPr>
          <w:rFonts w:cs="Arial"/>
          <w:lang w:val="fr-FR"/>
        </w:rPr>
        <w:t>’</w:t>
      </w:r>
      <w:r w:rsidRPr="0016157A">
        <w:rPr>
          <w:rFonts w:cs="Arial"/>
          <w:lang w:val="fr-FR"/>
        </w:rPr>
        <w:t>élaboration des documents TGP tel que modifié sur la base des commentaires des TWP à leurs sessions de 2017 et des recommandations formulées par le TC</w:t>
      </w:r>
      <w:r w:rsidRPr="0016157A">
        <w:rPr>
          <w:rFonts w:cs="Arial"/>
          <w:lang w:val="fr-FR"/>
        </w:rPr>
        <w:noBreakHyphen/>
        <w:t>EDC</w:t>
      </w:r>
      <w:bookmarkEnd w:id="58"/>
      <w:r w:rsidRPr="0016157A">
        <w:rPr>
          <w:rFonts w:cs="Arial"/>
          <w:lang w:val="fr-FR"/>
        </w:rPr>
        <w:t xml:space="preserve"> à sa réunion tenue les 26 et 27 mars 2018.</w:t>
      </w:r>
    </w:p>
    <w:p w:rsidR="00EA3338" w:rsidRPr="0016157A" w:rsidRDefault="00EA3338" w:rsidP="00C249E4">
      <w:pPr>
        <w:rPr>
          <w:lang w:val="fr-FR"/>
        </w:rPr>
      </w:pPr>
    </w:p>
    <w:p w:rsidR="00EA3338" w:rsidRPr="0016157A" w:rsidRDefault="00EA3338" w:rsidP="00C249E4">
      <w:pPr>
        <w:tabs>
          <w:tab w:val="left" w:pos="567"/>
          <w:tab w:val="left" w:pos="1134"/>
          <w:tab w:val="left" w:pos="5387"/>
          <w:tab w:val="left" w:pos="5954"/>
        </w:tabs>
        <w:ind w:left="4820"/>
        <w:rPr>
          <w:i/>
          <w:lang w:val="fr-FR"/>
        </w:rPr>
      </w:pPr>
      <w:r w:rsidRPr="0016157A">
        <w:rPr>
          <w:i/>
          <w:lang w:val="fr-FR"/>
        </w:rPr>
        <w:fldChar w:fldCharType="begin"/>
      </w:r>
      <w:r w:rsidRPr="0016157A">
        <w:rPr>
          <w:i/>
          <w:lang w:val="fr-FR"/>
        </w:rPr>
        <w:instrText xml:space="preserve"> AUTONUM  </w:instrText>
      </w:r>
      <w:r w:rsidRPr="0016157A">
        <w:rPr>
          <w:i/>
          <w:lang w:val="fr-FR"/>
        </w:rPr>
        <w:fldChar w:fldCharType="end"/>
      </w:r>
      <w:r w:rsidRPr="0016157A">
        <w:rPr>
          <w:i/>
          <w:lang w:val="fr-FR"/>
        </w:rPr>
        <w:tab/>
        <w:t>Le TC est invité à examiner le programme d</w:t>
      </w:r>
      <w:r w:rsidR="00B4091E">
        <w:rPr>
          <w:i/>
          <w:lang w:val="fr-FR"/>
        </w:rPr>
        <w:t>’</w:t>
      </w:r>
      <w:r w:rsidRPr="0016157A">
        <w:rPr>
          <w:i/>
          <w:lang w:val="fr-FR"/>
        </w:rPr>
        <w:t>élaboration des documents TGP, tel qu</w:t>
      </w:r>
      <w:r w:rsidR="00B4091E">
        <w:rPr>
          <w:i/>
          <w:lang w:val="fr-FR"/>
        </w:rPr>
        <w:t>’</w:t>
      </w:r>
      <w:r w:rsidRPr="0016157A">
        <w:rPr>
          <w:i/>
          <w:lang w:val="fr-FR"/>
        </w:rPr>
        <w:t>il figure dans l</w:t>
      </w:r>
      <w:r w:rsidR="00B4091E">
        <w:rPr>
          <w:i/>
          <w:lang w:val="fr-FR"/>
        </w:rPr>
        <w:t>’</w:t>
      </w:r>
      <w:r w:rsidRPr="0016157A">
        <w:rPr>
          <w:i/>
          <w:lang w:val="fr-FR"/>
        </w:rPr>
        <w:t>annexe IV du présent document.</w:t>
      </w:r>
    </w:p>
    <w:p w:rsidR="00EA3338" w:rsidRDefault="00EA3338" w:rsidP="00C249E4">
      <w:pPr>
        <w:jc w:val="right"/>
        <w:rPr>
          <w:snapToGrid w:val="0"/>
          <w:lang w:val="fr-FR"/>
        </w:rPr>
      </w:pPr>
    </w:p>
    <w:p w:rsidR="00EA3338" w:rsidRDefault="00EA3338" w:rsidP="00C249E4">
      <w:pPr>
        <w:jc w:val="right"/>
        <w:rPr>
          <w:snapToGrid w:val="0"/>
          <w:lang w:val="fr-FR"/>
        </w:rPr>
      </w:pPr>
    </w:p>
    <w:p w:rsidR="00EA3338" w:rsidRDefault="00EA3338" w:rsidP="00C249E4">
      <w:pPr>
        <w:jc w:val="right"/>
        <w:rPr>
          <w:snapToGrid w:val="0"/>
          <w:lang w:val="fr-FR"/>
        </w:rPr>
      </w:pPr>
    </w:p>
    <w:p w:rsidR="00EA3338" w:rsidRPr="0016157A" w:rsidRDefault="00EA3338" w:rsidP="00C249E4">
      <w:pPr>
        <w:jc w:val="right"/>
        <w:rPr>
          <w:snapToGrid w:val="0"/>
          <w:lang w:val="fr-FR"/>
        </w:rPr>
      </w:pPr>
      <w:r w:rsidRPr="0016157A">
        <w:rPr>
          <w:snapToGrid w:val="0"/>
          <w:lang w:val="fr-FR"/>
        </w:rPr>
        <w:t>[Les annexes suivent]</w:t>
      </w:r>
    </w:p>
    <w:p w:rsidR="00EA3338" w:rsidRPr="0016157A" w:rsidRDefault="00EA3338" w:rsidP="00C249E4">
      <w:pPr>
        <w:jc w:val="right"/>
        <w:rPr>
          <w:snapToGrid w:val="0"/>
          <w:lang w:val="fr-FR"/>
        </w:rPr>
        <w:sectPr w:rsidR="00EA3338" w:rsidRPr="0016157A" w:rsidSect="00C249E4">
          <w:headerReference w:type="default" r:id="rId10"/>
          <w:pgSz w:w="11907" w:h="16840" w:code="9"/>
          <w:pgMar w:top="510" w:right="1134" w:bottom="1134" w:left="1134" w:header="510" w:footer="624" w:gutter="0"/>
          <w:cols w:space="720"/>
          <w:titlePg/>
        </w:sectPr>
      </w:pPr>
    </w:p>
    <w:p w:rsidR="00EA3338" w:rsidRPr="0016157A" w:rsidRDefault="00C249E4" w:rsidP="00C249E4">
      <w:pPr>
        <w:jc w:val="center"/>
        <w:rPr>
          <w:lang w:val="fr-FR"/>
        </w:rPr>
      </w:pPr>
      <w:r w:rsidRPr="0016157A">
        <w:rPr>
          <w:lang w:val="fr-FR"/>
        </w:rPr>
        <w:t xml:space="preserve">RÉVISIONS DU DOCUMENT TGP/7 </w:t>
      </w:r>
      <w:r w:rsidR="00B4091E">
        <w:rPr>
          <w:lang w:val="fr-FR"/>
        </w:rPr>
        <w:t>“</w:t>
      </w:r>
      <w:r w:rsidRPr="0016157A">
        <w:rPr>
          <w:lang w:val="fr-FR"/>
        </w:rPr>
        <w:t>ÉLABORATION DES PRINCIPES DIRECTEURS D</w:t>
      </w:r>
      <w:r w:rsidR="00B4091E">
        <w:rPr>
          <w:lang w:val="fr-FR"/>
        </w:rPr>
        <w:t>’</w:t>
      </w:r>
      <w:r w:rsidRPr="0016157A">
        <w:rPr>
          <w:lang w:val="fr-FR"/>
        </w:rPr>
        <w:t>EXAMEN</w:t>
      </w:r>
      <w:r w:rsidR="00B4091E">
        <w:rPr>
          <w:lang w:val="fr-FR"/>
        </w:rPr>
        <w:t>”</w:t>
      </w:r>
      <w:r>
        <w:rPr>
          <w:lang w:val="fr-FR"/>
        </w:rPr>
        <w:t xml:space="preserve"> </w:t>
      </w:r>
      <w:r w:rsidRPr="0016157A">
        <w:rPr>
          <w:lang w:val="fr-FR"/>
        </w:rPr>
        <w:t>PRÉCÉDEMMENT APPROUVÉES PAR LE TC</w:t>
      </w:r>
    </w:p>
    <w:p w:rsidR="00EA3338" w:rsidRPr="0016157A" w:rsidRDefault="00EA3338" w:rsidP="00C249E4">
      <w:pPr>
        <w:jc w:val="center"/>
        <w:rPr>
          <w:lang w:val="fr-FR"/>
        </w:rPr>
      </w:pPr>
    </w:p>
    <w:p w:rsidR="00EA3338" w:rsidRPr="0016157A" w:rsidRDefault="00EA3338" w:rsidP="00C249E4">
      <w:pPr>
        <w:rPr>
          <w:lang w:val="fr-FR"/>
        </w:rPr>
      </w:pPr>
      <w:r w:rsidRPr="0016157A">
        <w:rPr>
          <w:noProof/>
        </w:rPr>
        <mc:AlternateContent>
          <mc:Choice Requires="wps">
            <w:drawing>
              <wp:anchor distT="0" distB="0" distL="114300" distR="114300" simplePos="0" relativeHeight="251659264" behindDoc="0" locked="0" layoutInCell="1" allowOverlap="1" wp14:anchorId="2C9E5BF6" wp14:editId="523AB95B">
                <wp:simplePos x="0" y="0"/>
                <wp:positionH relativeFrom="column">
                  <wp:align>center</wp:align>
                </wp:positionH>
                <wp:positionV relativeFrom="paragraph">
                  <wp:posOffset>0</wp:posOffset>
                </wp:positionV>
                <wp:extent cx="4119842" cy="402609"/>
                <wp:effectExtent l="0" t="0" r="14605" b="165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9842" cy="402609"/>
                        </a:xfrm>
                        <a:prstGeom prst="rect">
                          <a:avLst/>
                        </a:prstGeom>
                        <a:solidFill>
                          <a:srgbClr val="FFFFFF"/>
                        </a:solidFill>
                        <a:ln w="9525">
                          <a:solidFill>
                            <a:srgbClr val="000000"/>
                          </a:solidFill>
                          <a:miter lim="800000"/>
                          <a:headEnd/>
                          <a:tailEnd/>
                        </a:ln>
                      </wps:spPr>
                      <wps:txbx>
                        <w:txbxContent>
                          <w:p w:rsidR="003B1AAB" w:rsidRPr="008E5756" w:rsidRDefault="003B1AAB" w:rsidP="00C249E4">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3B1AAB" w:rsidRPr="008E5756" w:rsidRDefault="003B1AAB" w:rsidP="00C249E4">
                            <w:pPr>
                              <w:rPr>
                                <w:lang w:val="fr-CH"/>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9E5BF6" id="_x0000_t202" coordsize="21600,21600" o:spt="202" path="m,l,21600r21600,l21600,xe">
                <v:stroke joinstyle="miter"/>
                <v:path gradientshapeok="t" o:connecttype="rect"/>
              </v:shapetype>
              <v:shape id="Text Box 2" o:spid="_x0000_s1026" type="#_x0000_t202" style="position:absolute;left:0;text-align:left;margin-left:0;margin-top:0;width:324.4pt;height:31.7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">
                <v:textbox>
                  <w:txbxContent>
                    <w:p w:rsidR="003B1AAB" w:rsidRPr="008E5756" w:rsidRDefault="003B1AAB" w:rsidP="00C249E4">
                      <w:pPr>
                        <w:jc w:val="center"/>
                        <w:rPr>
                          <w:lang w:val="fr-CH"/>
                        </w:rPr>
                      </w:pPr>
                      <w:r w:rsidRPr="008E5756">
                        <w:rPr>
                          <w:strike/>
                          <w:highlight w:val="lightGray"/>
                          <w:lang w:val="fr-CH"/>
                        </w:rPr>
                        <w:t>Le texte biffé</w:t>
                      </w:r>
                      <w:r w:rsidRPr="008E5756">
                        <w:rPr>
                          <w:highlight w:val="lightGray"/>
                          <w:lang w:val="fr-CH"/>
                        </w:rPr>
                        <w:t xml:space="preserve"> en surbrillance </w:t>
                      </w:r>
                      <w:r w:rsidRPr="008E5756">
                        <w:rPr>
                          <w:lang w:val="fr-CH"/>
                        </w:rPr>
                        <w:t xml:space="preserve">a été supprimé et </w:t>
                      </w:r>
                      <w:r w:rsidRPr="008E5756">
                        <w:rPr>
                          <w:highlight w:val="lightGray"/>
                          <w:u w:val="single"/>
                          <w:lang w:val="fr-CH"/>
                        </w:rPr>
                        <w:t>le texte souligné</w:t>
                      </w:r>
                      <w:r w:rsidRPr="008E5756">
                        <w:rPr>
                          <w:highlight w:val="lightGray"/>
                          <w:lang w:val="fr-CH"/>
                        </w:rPr>
                        <w:t xml:space="preserve"> en surbrillance </w:t>
                      </w:r>
                      <w:r w:rsidRPr="008E5756">
                        <w:rPr>
                          <w:lang w:val="fr-CH"/>
                        </w:rPr>
                        <w:t>a été ajouté.</w:t>
                      </w:r>
                    </w:p>
                    <w:p w:rsidR="003B1AAB" w:rsidRPr="008E5756" w:rsidRDefault="003B1AAB" w:rsidP="00C249E4">
                      <w:pPr>
                        <w:rPr>
                          <w:lang w:val="fr-CH"/>
                        </w:rPr>
                      </w:pPr>
                    </w:p>
                  </w:txbxContent>
                </v:textbox>
              </v:shape>
            </w:pict>
          </mc:Fallback>
        </mc:AlternateContent>
      </w: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lang w:val="fr-FR"/>
        </w:rPr>
      </w:pPr>
    </w:p>
    <w:p w:rsidR="00EA3338" w:rsidRPr="003B368D" w:rsidRDefault="00EA3338" w:rsidP="00C249E4">
      <w:pPr>
        <w:rPr>
          <w:sz w:val="18"/>
          <w:u w:val="single"/>
          <w:lang w:val="fr-FR"/>
        </w:rPr>
      </w:pPr>
      <w:bookmarkStart w:id="59" w:name="_Toc478118262"/>
      <w:r w:rsidRPr="003B368D">
        <w:rPr>
          <w:sz w:val="18"/>
          <w:u w:val="single"/>
          <w:lang w:val="fr-FR"/>
        </w:rPr>
        <w:t>Section 1 : Introduction</w:t>
      </w:r>
      <w:bookmarkEnd w:id="59"/>
    </w:p>
    <w:p w:rsidR="00EA3338" w:rsidRPr="0016157A" w:rsidRDefault="00EA3338" w:rsidP="00C249E4">
      <w:pPr>
        <w:keepNext/>
        <w:ind w:left="567" w:right="567"/>
        <w:outlineLvl w:val="1"/>
        <w:rPr>
          <w:sz w:val="18"/>
          <w:u w:val="single"/>
          <w:lang w:val="fr-FR"/>
        </w:rPr>
      </w:pPr>
    </w:p>
    <w:p w:rsidR="00EA3338" w:rsidRPr="0016157A" w:rsidRDefault="00EA3338" w:rsidP="00C249E4">
      <w:pPr>
        <w:ind w:left="567"/>
        <w:rPr>
          <w:sz w:val="18"/>
          <w:lang w:val="fr-FR"/>
        </w:rPr>
      </w:pPr>
      <w:bookmarkStart w:id="60" w:name="_Toc478118263"/>
      <w:r w:rsidRPr="0016157A">
        <w:rPr>
          <w:sz w:val="18"/>
          <w:lang w:val="fr-FR"/>
        </w:rPr>
        <w:t>1.3 Structure du document TGP/7</w:t>
      </w:r>
      <w:bookmarkEnd w:id="60"/>
    </w:p>
    <w:p w:rsidR="00EA3338" w:rsidRPr="0016157A" w:rsidRDefault="00EA3338" w:rsidP="00C249E4">
      <w:pPr>
        <w:ind w:left="567"/>
        <w:rPr>
          <w:sz w:val="18"/>
          <w:lang w:val="fr-FR"/>
        </w:rPr>
      </w:pPr>
      <w:r w:rsidRPr="0016157A">
        <w:rPr>
          <w:sz w:val="18"/>
          <w:lang w:val="fr-FR"/>
        </w:rPr>
        <w:t>[…]</w:t>
      </w:r>
    </w:p>
    <w:p w:rsidR="00EA3338" w:rsidRPr="0016157A" w:rsidRDefault="00EA3338" w:rsidP="00C249E4">
      <w:pPr>
        <w:ind w:left="567"/>
        <w:rPr>
          <w:sz w:val="18"/>
          <w:u w:val="single"/>
          <w:lang w:val="fr-FR"/>
        </w:rPr>
      </w:pPr>
      <w:r w:rsidRPr="00DB14D6">
        <w:rPr>
          <w:sz w:val="18"/>
          <w:lang w:val="fr-FR"/>
        </w:rPr>
        <w:t>3.1</w:t>
      </w:r>
      <w:r w:rsidRPr="00DB14D6">
        <w:rPr>
          <w:sz w:val="18"/>
          <w:lang w:val="fr-FR"/>
        </w:rPr>
        <w:tab/>
      </w:r>
      <w:r w:rsidRPr="0016157A">
        <w:rPr>
          <w:rFonts w:cs="Arial"/>
          <w:sz w:val="18"/>
          <w:szCs w:val="18"/>
          <w:highlight w:val="lightGray"/>
          <w:u w:val="single"/>
          <w:lang w:val="fr-FR"/>
        </w:rPr>
        <w:t xml:space="preserve">Structure des </w:t>
      </w:r>
      <w:r w:rsidRPr="0016157A">
        <w:rPr>
          <w:rFonts w:cs="Arial"/>
          <w:strike/>
          <w:sz w:val="18"/>
          <w:szCs w:val="18"/>
          <w:highlight w:val="lightGray"/>
          <w:u w:val="single"/>
          <w:lang w:val="fr-FR"/>
        </w:rPr>
        <w:t xml:space="preserve">Modèle de </w:t>
      </w:r>
      <w:r w:rsidRPr="0016157A">
        <w:rPr>
          <w:rFonts w:cs="Arial"/>
          <w:sz w:val="18"/>
          <w:szCs w:val="18"/>
          <w:u w:val="single"/>
          <w:lang w:val="fr-FR"/>
        </w:rPr>
        <w:t>principes directeurs d</w:t>
      </w:r>
      <w:r w:rsidR="00B4091E">
        <w:rPr>
          <w:rFonts w:cs="Arial"/>
          <w:sz w:val="18"/>
          <w:szCs w:val="18"/>
          <w:u w:val="single"/>
          <w:lang w:val="fr-FR"/>
        </w:rPr>
        <w:t>’</w:t>
      </w:r>
      <w:r w:rsidRPr="0016157A">
        <w:rPr>
          <w:rFonts w:cs="Arial"/>
          <w:sz w:val="18"/>
          <w:szCs w:val="18"/>
          <w:u w:val="single"/>
          <w:lang w:val="fr-FR"/>
        </w:rPr>
        <w:t xml:space="preserve">examen </w:t>
      </w:r>
      <w:r w:rsidRPr="0016157A">
        <w:rPr>
          <w:rFonts w:cs="Arial"/>
          <w:sz w:val="18"/>
          <w:szCs w:val="18"/>
          <w:highlight w:val="lightGray"/>
          <w:u w:val="single"/>
          <w:lang w:val="fr-FR"/>
        </w:rPr>
        <w:t>et texte standard général</w:t>
      </w:r>
    </w:p>
    <w:p w:rsidR="00EA3338" w:rsidRPr="0016157A" w:rsidRDefault="00EA3338" w:rsidP="00C249E4">
      <w:pPr>
        <w:ind w:left="567" w:right="567"/>
        <w:rPr>
          <w:sz w:val="18"/>
          <w:u w:val="single"/>
          <w:lang w:val="fr-FR"/>
        </w:rPr>
      </w:pPr>
    </w:p>
    <w:p w:rsidR="00EA3338" w:rsidRPr="0016157A" w:rsidRDefault="00B4091E" w:rsidP="00C249E4">
      <w:pPr>
        <w:tabs>
          <w:tab w:val="left" w:pos="1418"/>
        </w:tabs>
        <w:spacing w:after="240"/>
        <w:ind w:left="567" w:right="567"/>
        <w:rPr>
          <w:sz w:val="18"/>
          <w:u w:val="single"/>
          <w:lang w:val="fr-FR"/>
        </w:rPr>
      </w:pPr>
      <w:r>
        <w:rPr>
          <w:rFonts w:cs="Arial"/>
          <w:sz w:val="18"/>
          <w:szCs w:val="18"/>
          <w:lang w:val="fr-FR"/>
        </w:rPr>
        <w:t>“</w:t>
      </w:r>
      <w:r w:rsidR="00EA3338" w:rsidRPr="0016157A">
        <w:rPr>
          <w:rFonts w:cs="Arial"/>
          <w:sz w:val="18"/>
          <w:szCs w:val="18"/>
          <w:lang w:val="fr-FR"/>
        </w:rPr>
        <w:t xml:space="preserve">Cette section décrit </w:t>
      </w:r>
      <w:r w:rsidR="00EA3338" w:rsidRPr="0016157A">
        <w:rPr>
          <w:rFonts w:cs="Arial"/>
          <w:strike/>
          <w:sz w:val="18"/>
          <w:szCs w:val="18"/>
          <w:highlight w:val="lightGray"/>
          <w:lang w:val="fr-FR"/>
        </w:rPr>
        <w:t xml:space="preserve">le </w:t>
      </w:r>
      <w:r>
        <w:rPr>
          <w:rFonts w:cs="Arial"/>
          <w:strike/>
          <w:sz w:val="18"/>
          <w:szCs w:val="18"/>
          <w:highlight w:val="lightGray"/>
          <w:lang w:val="fr-FR"/>
        </w:rPr>
        <w:t>“</w:t>
      </w:r>
      <w:r w:rsidR="00EA3338" w:rsidRPr="0016157A">
        <w:rPr>
          <w:rFonts w:cs="Arial"/>
          <w:strike/>
          <w:sz w:val="18"/>
          <w:szCs w:val="18"/>
          <w:highlight w:val="lightGray"/>
          <w:lang w:val="fr-FR"/>
        </w:rPr>
        <w:t>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Pr>
          <w:rFonts w:cs="Arial"/>
          <w:strike/>
          <w:sz w:val="18"/>
          <w:szCs w:val="18"/>
          <w:highlight w:val="lightGray"/>
          <w:lang w:val="fr-FR"/>
        </w:rPr>
        <w:t>”</w:t>
      </w:r>
      <w:r w:rsidR="00EA3338" w:rsidRPr="0016157A">
        <w:rPr>
          <w:rFonts w:cs="Arial"/>
          <w:strike/>
          <w:sz w:val="18"/>
          <w:szCs w:val="18"/>
          <w:highlight w:val="lightGray"/>
          <w:lang w:val="fr-FR"/>
        </w:rPr>
        <w:t>, qui fournit</w:t>
      </w:r>
      <w:r w:rsidR="00EA3338" w:rsidRPr="0016157A">
        <w:rPr>
          <w:rFonts w:cs="Arial"/>
          <w:sz w:val="18"/>
          <w:szCs w:val="18"/>
          <w:lang w:val="fr-FR"/>
        </w:rPr>
        <w:t xml:space="preserve"> la structure de base </w:t>
      </w:r>
      <w:r w:rsidR="00EA3338" w:rsidRPr="0016157A">
        <w:rPr>
          <w:rFonts w:cs="Arial"/>
          <w:strike/>
          <w:sz w:val="18"/>
          <w:szCs w:val="18"/>
          <w:highlight w:val="lightGray"/>
          <w:lang w:val="fr-FR"/>
        </w:rPr>
        <w:t>de ces</w:t>
      </w:r>
      <w:r w:rsidR="00EA3338" w:rsidRPr="0016157A">
        <w:rPr>
          <w:rFonts w:cs="Arial"/>
          <w:sz w:val="18"/>
          <w:szCs w:val="18"/>
          <w:lang w:val="fr-FR"/>
        </w:rPr>
        <w:t xml:space="preserve"> </w:t>
      </w:r>
      <w:r w:rsidR="00EA3338" w:rsidRPr="0016157A">
        <w:rPr>
          <w:rFonts w:cs="Arial"/>
          <w:sz w:val="18"/>
          <w:szCs w:val="18"/>
          <w:highlight w:val="lightGray"/>
          <w:u w:val="single"/>
          <w:lang w:val="fr-FR"/>
        </w:rPr>
        <w:t>des</w:t>
      </w:r>
      <w:r w:rsidR="00EA3338" w:rsidRPr="0016157A">
        <w:rPr>
          <w:rFonts w:cs="Arial"/>
          <w:sz w:val="18"/>
          <w:szCs w:val="18"/>
          <w:lang w:val="fr-FR"/>
        </w:rPr>
        <w:t xml:space="preserve"> principes </w:t>
      </w:r>
      <w:r w:rsidR="00EA3338" w:rsidRPr="0016157A">
        <w:rPr>
          <w:rFonts w:cs="Arial"/>
          <w:sz w:val="18"/>
          <w:szCs w:val="18"/>
          <w:highlight w:val="lightGray"/>
          <w:u w:val="single"/>
          <w:lang w:val="fr-FR"/>
        </w:rPr>
        <w:t>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w:t>
      </w:r>
      <w:r w:rsidR="00EA3338" w:rsidRPr="0016157A">
        <w:rPr>
          <w:rFonts w:cs="Arial"/>
          <w:sz w:val="18"/>
          <w:szCs w:val="18"/>
          <w:lang w:val="fr-FR"/>
        </w:rPr>
        <w:t xml:space="preserve"> </w:t>
      </w:r>
      <w:r w:rsidR="00EA3338" w:rsidRPr="0016157A">
        <w:rPr>
          <w:rFonts w:cs="Arial"/>
          <w:strike/>
          <w:sz w:val="18"/>
          <w:szCs w:val="18"/>
          <w:highlight w:val="lightGray"/>
          <w:lang w:val="fr-FR"/>
        </w:rPr>
        <w:t>ainsi que</w:t>
      </w:r>
      <w:r w:rsidR="00EA3338" w:rsidRPr="0016157A">
        <w:rPr>
          <w:rFonts w:cs="Arial"/>
          <w:sz w:val="18"/>
          <w:szCs w:val="18"/>
          <w:lang w:val="fr-FR"/>
        </w:rPr>
        <w:t xml:space="preserve"> </w:t>
      </w:r>
      <w:r w:rsidR="00EA3338" w:rsidRPr="0016157A">
        <w:rPr>
          <w:rFonts w:cs="Arial"/>
          <w:sz w:val="18"/>
          <w:szCs w:val="18"/>
          <w:highlight w:val="lightGray"/>
          <w:lang w:val="fr-FR"/>
        </w:rPr>
        <w:t>et</w:t>
      </w:r>
      <w:r w:rsidR="00EA3338" w:rsidRPr="0016157A">
        <w:rPr>
          <w:rFonts w:cs="Arial"/>
          <w:sz w:val="18"/>
          <w:szCs w:val="18"/>
          <w:lang w:val="fr-FR"/>
        </w:rPr>
        <w:t xml:space="preserve"> le texte standard général applicable à tous les principes directeurs d</w:t>
      </w:r>
      <w:r>
        <w:rPr>
          <w:rFonts w:cs="Arial"/>
          <w:sz w:val="18"/>
          <w:szCs w:val="18"/>
          <w:lang w:val="fr-FR"/>
        </w:rPr>
        <w:t>’</w:t>
      </w:r>
      <w:r w:rsidR="00EA3338" w:rsidRPr="0016157A">
        <w:rPr>
          <w:rFonts w:cs="Arial"/>
          <w:sz w:val="18"/>
          <w:szCs w:val="18"/>
          <w:lang w:val="fr-FR"/>
        </w:rPr>
        <w:t xml:space="preserve">examen.  </w:t>
      </w:r>
      <w:r w:rsidR="00EA3338" w:rsidRPr="0016157A">
        <w:rPr>
          <w:rFonts w:cs="Arial"/>
          <w:strike/>
          <w:sz w:val="18"/>
          <w:szCs w:val="18"/>
          <w:highlight w:val="lightGray"/>
          <w:lang w:val="fr-FR"/>
        </w:rPr>
        <w:t>Ledit modèle figure</w:t>
      </w:r>
      <w:r w:rsidR="00EA3338" w:rsidRPr="0016157A">
        <w:rPr>
          <w:rFonts w:cs="Arial"/>
          <w:sz w:val="18"/>
          <w:szCs w:val="18"/>
          <w:highlight w:val="lightGray"/>
          <w:u w:val="single"/>
          <w:lang w:val="fr-FR"/>
        </w:rPr>
        <w:t>, comme indiqué</w:t>
      </w:r>
      <w:r w:rsidR="00EA3338" w:rsidRPr="0016157A">
        <w:rPr>
          <w:rFonts w:cs="Arial"/>
          <w:sz w:val="18"/>
          <w:szCs w:val="18"/>
          <w:lang w:val="fr-FR"/>
        </w:rPr>
        <w:t xml:space="preserve"> à l</w:t>
      </w:r>
      <w:r>
        <w:rPr>
          <w:rFonts w:cs="Arial"/>
          <w:sz w:val="18"/>
          <w:szCs w:val="18"/>
          <w:lang w:val="fr-FR"/>
        </w:rPr>
        <w:t>’</w:t>
      </w:r>
      <w:r w:rsidR="00EA3338" w:rsidRPr="0016157A">
        <w:rPr>
          <w:rFonts w:cs="Arial"/>
          <w:sz w:val="18"/>
          <w:szCs w:val="18"/>
          <w:lang w:val="fr-FR"/>
        </w:rPr>
        <w:t>annexe 1 du présent document.</w:t>
      </w:r>
      <w:r>
        <w:rPr>
          <w:rFonts w:cs="Arial"/>
          <w:sz w:val="18"/>
          <w:szCs w:val="18"/>
          <w:lang w:val="fr-FR"/>
        </w:rPr>
        <w:t>”</w:t>
      </w:r>
    </w:p>
    <w:p w:rsidR="00EA3338" w:rsidRPr="0016157A" w:rsidRDefault="00EA3338" w:rsidP="00C249E4">
      <w:pPr>
        <w:ind w:left="567"/>
        <w:rPr>
          <w:sz w:val="18"/>
          <w:u w:val="single"/>
          <w:lang w:val="fr-FR"/>
        </w:rPr>
      </w:pPr>
      <w:r w:rsidRPr="00DB14D6">
        <w:rPr>
          <w:sz w:val="18"/>
          <w:lang w:val="fr-FR"/>
        </w:rPr>
        <w:t>3.2</w:t>
      </w:r>
      <w:r w:rsidRPr="00DB14D6">
        <w:rPr>
          <w:sz w:val="18"/>
          <w:lang w:val="fr-FR"/>
        </w:rPr>
        <w:tab/>
      </w:r>
      <w:r w:rsidRPr="0016157A">
        <w:rPr>
          <w:rFonts w:cs="Arial"/>
          <w:sz w:val="18"/>
          <w:szCs w:val="18"/>
          <w:u w:val="single"/>
          <w:lang w:val="fr-FR"/>
        </w:rPr>
        <w:t xml:space="preserve">Texte standard supplémentaire (ASW) </w:t>
      </w:r>
      <w:r w:rsidRPr="0016157A">
        <w:rPr>
          <w:rFonts w:cs="Arial"/>
          <w:strike/>
          <w:sz w:val="18"/>
          <w:szCs w:val="18"/>
          <w:highlight w:val="lightGray"/>
          <w:u w:val="single"/>
          <w:lang w:val="fr-FR"/>
        </w:rPr>
        <w:t>pour le modèle de principes directeurs d</w:t>
      </w:r>
      <w:r w:rsidR="00B4091E">
        <w:rPr>
          <w:rFonts w:cs="Arial"/>
          <w:strike/>
          <w:sz w:val="18"/>
          <w:szCs w:val="18"/>
          <w:highlight w:val="lightGray"/>
          <w:u w:val="single"/>
          <w:lang w:val="fr-FR"/>
        </w:rPr>
        <w:t>’</w:t>
      </w:r>
      <w:r w:rsidRPr="0016157A">
        <w:rPr>
          <w:rFonts w:cs="Arial"/>
          <w:strike/>
          <w:sz w:val="18"/>
          <w:szCs w:val="18"/>
          <w:highlight w:val="lightGray"/>
          <w:u w:val="single"/>
          <w:lang w:val="fr-FR"/>
        </w:rPr>
        <w:t>examen</w:t>
      </w:r>
    </w:p>
    <w:p w:rsidR="00EA3338" w:rsidRPr="0016157A" w:rsidRDefault="00EA3338" w:rsidP="00C249E4">
      <w:pPr>
        <w:keepNext/>
        <w:ind w:left="567" w:right="567"/>
        <w:rPr>
          <w:sz w:val="18"/>
          <w:lang w:val="fr-FR"/>
        </w:rPr>
      </w:pPr>
    </w:p>
    <w:p w:rsidR="00EA3338" w:rsidRPr="0016157A" w:rsidRDefault="00B4091E" w:rsidP="00C249E4">
      <w:pPr>
        <w:keepNext/>
        <w:tabs>
          <w:tab w:val="left" w:pos="1418"/>
        </w:tabs>
        <w:spacing w:after="240"/>
        <w:ind w:left="567" w:right="567"/>
        <w:rPr>
          <w:sz w:val="18"/>
          <w:lang w:val="fr-FR"/>
        </w:rPr>
      </w:pPr>
      <w:r>
        <w:rPr>
          <w:rFonts w:cs="Arial"/>
          <w:sz w:val="18"/>
          <w:szCs w:val="18"/>
          <w:lang w:val="fr-FR"/>
        </w:rPr>
        <w:t>“</w:t>
      </w:r>
      <w:r w:rsidR="00EA3338" w:rsidRPr="0016157A">
        <w:rPr>
          <w:rFonts w:cs="Arial"/>
          <w:strike/>
          <w:sz w:val="18"/>
          <w:szCs w:val="18"/>
          <w:highlight w:val="lightGray"/>
          <w:lang w:val="fr-FR"/>
        </w:rPr>
        <w:t xml:space="preserve">Le </w:t>
      </w:r>
      <w:r>
        <w:rPr>
          <w:rFonts w:cs="Arial"/>
          <w:strike/>
          <w:sz w:val="18"/>
          <w:szCs w:val="18"/>
          <w:highlight w:val="lightGray"/>
          <w:lang w:val="fr-FR"/>
        </w:rPr>
        <w:t>‘</w:t>
      </w:r>
      <w:r w:rsidR="00EA3338" w:rsidRPr="0016157A">
        <w:rPr>
          <w:rFonts w:cs="Arial"/>
          <w:strike/>
          <w:sz w:val="18"/>
          <w:szCs w:val="18"/>
          <w:highlight w:val="lightGray"/>
          <w:lang w:val="fr-FR"/>
        </w:rPr>
        <w:t>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Pr>
          <w:rFonts w:cs="Arial"/>
          <w:strike/>
          <w:sz w:val="18"/>
          <w:szCs w:val="18"/>
          <w:highlight w:val="lightGray"/>
          <w:lang w:val="fr-FR"/>
        </w:rPr>
        <w:t>’</w:t>
      </w:r>
      <w:r w:rsidR="00EA3338" w:rsidRPr="0016157A">
        <w:rPr>
          <w:rFonts w:cs="Arial"/>
          <w:sz w:val="18"/>
          <w:szCs w:val="18"/>
          <w:lang w:val="fr-FR"/>
        </w:rPr>
        <w:t xml:space="preserve"> </w:t>
      </w:r>
      <w:r w:rsidR="00EA3338" w:rsidRPr="0016157A">
        <w:rPr>
          <w:rFonts w:cs="Arial"/>
          <w:sz w:val="18"/>
          <w:szCs w:val="18"/>
          <w:highlight w:val="lightGray"/>
          <w:u w:val="single"/>
          <w:lang w:val="fr-FR"/>
        </w:rPr>
        <w:t>L</w:t>
      </w:r>
      <w:r>
        <w:rPr>
          <w:rFonts w:cs="Arial"/>
          <w:sz w:val="18"/>
          <w:szCs w:val="18"/>
          <w:highlight w:val="lightGray"/>
          <w:u w:val="single"/>
          <w:lang w:val="fr-FR"/>
        </w:rPr>
        <w:t>’</w:t>
      </w:r>
      <w:r w:rsidR="00EA3338" w:rsidRPr="0016157A">
        <w:rPr>
          <w:rFonts w:cs="Arial"/>
          <w:sz w:val="18"/>
          <w:szCs w:val="18"/>
          <w:highlight w:val="lightGray"/>
          <w:u w:val="single"/>
          <w:lang w:val="fr-FR"/>
        </w:rPr>
        <w:t>annexe I</w:t>
      </w:r>
      <w:r w:rsidR="00EA3338" w:rsidRPr="0016157A">
        <w:rPr>
          <w:rFonts w:cs="Arial"/>
          <w:sz w:val="18"/>
          <w:szCs w:val="18"/>
          <w:lang w:val="fr-FR"/>
        </w:rPr>
        <w:t xml:space="preserve"> contient le texte standard général</w:t>
      </w:r>
      <w:r w:rsidR="00EA3338" w:rsidRPr="0016157A">
        <w:rPr>
          <w:rFonts w:cs="Arial"/>
          <w:i/>
          <w:sz w:val="18"/>
          <w:szCs w:val="18"/>
          <w:lang w:val="fr-FR"/>
        </w:rPr>
        <w:t xml:space="preserve"> </w:t>
      </w:r>
      <w:r w:rsidR="00EA3338" w:rsidRPr="0016157A">
        <w:rPr>
          <w:rFonts w:cs="Arial"/>
          <w:sz w:val="18"/>
          <w:szCs w:val="18"/>
          <w:lang w:val="fr-FR"/>
        </w:rPr>
        <w:t>applicable à tous ces principes.  Néanmoins, cette section indique que l</w:t>
      </w:r>
      <w:r>
        <w:rPr>
          <w:rFonts w:cs="Arial"/>
          <w:sz w:val="18"/>
          <w:szCs w:val="18"/>
          <w:lang w:val="fr-FR"/>
        </w:rPr>
        <w:t>’</w:t>
      </w:r>
      <w:r w:rsidR="00EA3338" w:rsidRPr="0016157A">
        <w:rPr>
          <w:rFonts w:cs="Arial"/>
          <w:sz w:val="18"/>
          <w:szCs w:val="18"/>
          <w:lang w:val="fr-FR"/>
        </w:rPr>
        <w:t>UPOV a élaboré un texte standard supplémentaire</w:t>
      </w:r>
      <w:r w:rsidR="00EA3338" w:rsidRPr="0016157A">
        <w:rPr>
          <w:rFonts w:cs="Arial"/>
          <w:i/>
          <w:sz w:val="18"/>
          <w:szCs w:val="18"/>
          <w:lang w:val="fr-FR"/>
        </w:rPr>
        <w:t xml:space="preserve"> </w:t>
      </w:r>
      <w:r w:rsidR="00EA3338" w:rsidRPr="0016157A">
        <w:rPr>
          <w:rFonts w:cs="Arial"/>
          <w:sz w:val="18"/>
          <w:szCs w:val="18"/>
          <w:lang w:val="fr-FR"/>
        </w:rPr>
        <w:t>(ASW) qu</w:t>
      </w:r>
      <w:r>
        <w:rPr>
          <w:rFonts w:cs="Arial"/>
          <w:sz w:val="18"/>
          <w:szCs w:val="18"/>
          <w:lang w:val="fr-FR"/>
        </w:rPr>
        <w:t>’</w:t>
      </w:r>
      <w:r w:rsidR="00EA3338" w:rsidRPr="0016157A">
        <w:rPr>
          <w:rFonts w:cs="Arial"/>
          <w:sz w:val="18"/>
          <w:szCs w:val="18"/>
          <w:lang w:val="fr-FR"/>
        </w:rPr>
        <w:t>il convient d</w:t>
      </w:r>
      <w:r>
        <w:rPr>
          <w:rFonts w:cs="Arial"/>
          <w:sz w:val="18"/>
          <w:szCs w:val="18"/>
          <w:lang w:val="fr-FR"/>
        </w:rPr>
        <w:t>’</w:t>
      </w:r>
      <w:r w:rsidR="00EA3338" w:rsidRPr="0016157A">
        <w:rPr>
          <w:rFonts w:cs="Arial"/>
          <w:sz w:val="18"/>
          <w:szCs w:val="18"/>
          <w:lang w:val="fr-FR"/>
        </w:rPr>
        <w:t>utiliser, s</w:t>
      </w:r>
      <w:r>
        <w:rPr>
          <w:rFonts w:cs="Arial"/>
          <w:sz w:val="18"/>
          <w:szCs w:val="18"/>
          <w:lang w:val="fr-FR"/>
        </w:rPr>
        <w:t>’</w:t>
      </w:r>
      <w:r w:rsidR="00EA3338" w:rsidRPr="0016157A">
        <w:rPr>
          <w:rFonts w:cs="Arial"/>
          <w:sz w:val="18"/>
          <w:szCs w:val="18"/>
          <w:lang w:val="fr-FR"/>
        </w:rPr>
        <w:t>il y a lieu, pour les principes directeurs d</w:t>
      </w:r>
      <w:r>
        <w:rPr>
          <w:rFonts w:cs="Arial"/>
          <w:sz w:val="18"/>
          <w:szCs w:val="18"/>
          <w:lang w:val="fr-FR"/>
        </w:rPr>
        <w:t>’</w:t>
      </w:r>
      <w:r w:rsidR="00EA3338" w:rsidRPr="0016157A">
        <w:rPr>
          <w:rFonts w:cs="Arial"/>
          <w:sz w:val="18"/>
          <w:szCs w:val="18"/>
          <w:lang w:val="fr-FR"/>
        </w:rPr>
        <w:t>examen concernés.  Le texte standard supplémentaire figure à l</w:t>
      </w:r>
      <w:r>
        <w:rPr>
          <w:rFonts w:cs="Arial"/>
          <w:sz w:val="18"/>
          <w:szCs w:val="18"/>
          <w:lang w:val="fr-FR"/>
        </w:rPr>
        <w:t>’</w:t>
      </w:r>
      <w:r w:rsidR="00EA3338" w:rsidRPr="0016157A">
        <w:rPr>
          <w:rFonts w:cs="Arial"/>
          <w:sz w:val="18"/>
          <w:szCs w:val="18"/>
          <w:lang w:val="fr-FR"/>
        </w:rPr>
        <w:t>annexe 2</w:t>
      </w:r>
      <w:r w:rsidR="00EA3338" w:rsidRPr="0016157A">
        <w:rPr>
          <w:rFonts w:cs="Arial"/>
          <w:i/>
          <w:sz w:val="18"/>
          <w:szCs w:val="18"/>
          <w:lang w:val="fr-FR"/>
        </w:rPr>
        <w:t xml:space="preserve"> </w:t>
      </w:r>
      <w:r w:rsidR="00EA3338" w:rsidRPr="0016157A">
        <w:rPr>
          <w:rFonts w:cs="Arial"/>
          <w:sz w:val="18"/>
          <w:szCs w:val="18"/>
          <w:lang w:val="fr-FR"/>
        </w:rPr>
        <w:t>du présent document.</w:t>
      </w:r>
      <w:r>
        <w:rPr>
          <w:rFonts w:cs="Arial"/>
          <w:sz w:val="18"/>
          <w:szCs w:val="18"/>
          <w:lang w:val="fr-FR"/>
        </w:rPr>
        <w:t>”</w:t>
      </w:r>
    </w:p>
    <w:p w:rsidR="00EA3338" w:rsidRPr="0016157A" w:rsidRDefault="00EA3338" w:rsidP="00C249E4">
      <w:pPr>
        <w:ind w:left="567"/>
        <w:rPr>
          <w:sz w:val="18"/>
          <w:highlight w:val="lightGray"/>
          <w:u w:val="single"/>
          <w:lang w:val="fr-FR"/>
        </w:rPr>
      </w:pPr>
      <w:r w:rsidRPr="00DB14D6">
        <w:rPr>
          <w:sz w:val="18"/>
          <w:lang w:val="fr-FR"/>
        </w:rPr>
        <w:t>3.3</w:t>
      </w:r>
      <w:r w:rsidRPr="00DB14D6">
        <w:rPr>
          <w:sz w:val="18"/>
          <w:lang w:val="fr-FR"/>
        </w:rPr>
        <w:tab/>
      </w:r>
      <w:r w:rsidRPr="0016157A">
        <w:rPr>
          <w:rFonts w:cs="Arial"/>
          <w:sz w:val="18"/>
          <w:szCs w:val="18"/>
          <w:u w:val="single"/>
          <w:lang w:val="fr-FR"/>
        </w:rPr>
        <w:t xml:space="preserve">Notes indicatives (GN) </w:t>
      </w:r>
      <w:r w:rsidRPr="0016157A">
        <w:rPr>
          <w:rFonts w:cs="Arial"/>
          <w:strike/>
          <w:sz w:val="18"/>
          <w:szCs w:val="18"/>
          <w:highlight w:val="lightGray"/>
          <w:u w:val="single"/>
          <w:lang w:val="fr-FR"/>
        </w:rPr>
        <w:t>concernant le modèle de principes directeurs d</w:t>
      </w:r>
      <w:r w:rsidR="00B4091E">
        <w:rPr>
          <w:rFonts w:cs="Arial"/>
          <w:strike/>
          <w:sz w:val="18"/>
          <w:szCs w:val="18"/>
          <w:highlight w:val="lightGray"/>
          <w:u w:val="single"/>
          <w:lang w:val="fr-FR"/>
        </w:rPr>
        <w:t>’</w:t>
      </w:r>
      <w:r w:rsidRPr="0016157A">
        <w:rPr>
          <w:rFonts w:cs="Arial"/>
          <w:strike/>
          <w:sz w:val="18"/>
          <w:szCs w:val="18"/>
          <w:highlight w:val="lightGray"/>
          <w:u w:val="single"/>
          <w:lang w:val="fr-FR"/>
        </w:rPr>
        <w:t>examen</w:t>
      </w:r>
    </w:p>
    <w:p w:rsidR="00EA3338" w:rsidRPr="0016157A" w:rsidRDefault="00EA3338" w:rsidP="00C249E4">
      <w:pPr>
        <w:ind w:left="567" w:right="567"/>
        <w:rPr>
          <w:sz w:val="18"/>
          <w:lang w:val="fr-FR"/>
        </w:rPr>
      </w:pPr>
    </w:p>
    <w:p w:rsidR="00EA3338" w:rsidRPr="0016157A" w:rsidRDefault="00B4091E" w:rsidP="00C249E4">
      <w:pPr>
        <w:tabs>
          <w:tab w:val="left" w:pos="1418"/>
        </w:tabs>
        <w:spacing w:after="240"/>
        <w:ind w:left="567" w:right="567"/>
        <w:rPr>
          <w:sz w:val="18"/>
          <w:lang w:val="fr-FR"/>
        </w:rPr>
      </w:pPr>
      <w:r>
        <w:rPr>
          <w:rFonts w:cs="Arial"/>
          <w:sz w:val="18"/>
          <w:szCs w:val="18"/>
          <w:lang w:val="fr-FR"/>
        </w:rPr>
        <w:t>“</w:t>
      </w:r>
      <w:r w:rsidR="00EA3338" w:rsidRPr="0016157A">
        <w:rPr>
          <w:rFonts w:cs="Arial"/>
          <w:sz w:val="18"/>
          <w:szCs w:val="18"/>
          <w:lang w:val="fr-FR"/>
        </w:rPr>
        <w:t>De nombreux aspects des principes directeurs d</w:t>
      </w:r>
      <w:r>
        <w:rPr>
          <w:rFonts w:cs="Arial"/>
          <w:sz w:val="18"/>
          <w:szCs w:val="18"/>
          <w:lang w:val="fr-FR"/>
        </w:rPr>
        <w:t>’</w:t>
      </w:r>
      <w:r w:rsidR="00EA3338" w:rsidRPr="0016157A">
        <w:rPr>
          <w:rFonts w:cs="Arial"/>
          <w:sz w:val="18"/>
          <w:szCs w:val="18"/>
          <w:lang w:val="fr-FR"/>
        </w:rPr>
        <w:t>examen font appel à l</w:t>
      </w:r>
      <w:r>
        <w:rPr>
          <w:rFonts w:cs="Arial"/>
          <w:sz w:val="18"/>
          <w:szCs w:val="18"/>
          <w:lang w:val="fr-FR"/>
        </w:rPr>
        <w:t>’</w:t>
      </w:r>
      <w:r w:rsidR="00EA3338" w:rsidRPr="0016157A">
        <w:rPr>
          <w:rFonts w:cs="Arial"/>
          <w:sz w:val="18"/>
          <w:szCs w:val="18"/>
          <w:lang w:val="fr-FR"/>
        </w:rPr>
        <w:t>expérience et aux connaissances des experts chargés de leur rédaction.  C</w:t>
      </w:r>
      <w:r>
        <w:rPr>
          <w:rFonts w:cs="Arial"/>
          <w:sz w:val="18"/>
          <w:szCs w:val="18"/>
          <w:lang w:val="fr-FR"/>
        </w:rPr>
        <w:t>’</w:t>
      </w:r>
      <w:r w:rsidR="00EA3338" w:rsidRPr="0016157A">
        <w:rPr>
          <w:rFonts w:cs="Arial"/>
          <w:sz w:val="18"/>
          <w:szCs w:val="18"/>
          <w:lang w:val="fr-FR"/>
        </w:rPr>
        <w:t>est notamment le cas du choix de l</w:t>
      </w:r>
      <w:r>
        <w:rPr>
          <w:rFonts w:cs="Arial"/>
          <w:sz w:val="18"/>
          <w:szCs w:val="18"/>
          <w:lang w:val="fr-FR"/>
        </w:rPr>
        <w:t>’</w:t>
      </w:r>
      <w:r w:rsidR="00EA3338" w:rsidRPr="0016157A">
        <w:rPr>
          <w:rFonts w:cs="Arial"/>
          <w:sz w:val="18"/>
          <w:szCs w:val="18"/>
          <w:lang w:val="fr-FR"/>
        </w:rPr>
        <w:t>ASW approprié, du protocole d</w:t>
      </w:r>
      <w:r>
        <w:rPr>
          <w:rFonts w:cs="Arial"/>
          <w:sz w:val="18"/>
          <w:szCs w:val="18"/>
          <w:lang w:val="fr-FR"/>
        </w:rPr>
        <w:t>’</w:t>
      </w:r>
      <w:r w:rsidR="00EA3338" w:rsidRPr="0016157A">
        <w:rPr>
          <w:rFonts w:cs="Arial"/>
          <w:sz w:val="18"/>
          <w:szCs w:val="18"/>
          <w:lang w:val="fr-FR"/>
        </w:rPr>
        <w:t>essai, de l</w:t>
      </w:r>
      <w:r>
        <w:rPr>
          <w:rFonts w:cs="Arial"/>
          <w:sz w:val="18"/>
          <w:szCs w:val="18"/>
          <w:lang w:val="fr-FR"/>
        </w:rPr>
        <w:t>’</w:t>
      </w:r>
      <w:r w:rsidR="00EA3338" w:rsidRPr="0016157A">
        <w:rPr>
          <w:rFonts w:cs="Arial"/>
          <w:sz w:val="18"/>
          <w:szCs w:val="18"/>
          <w:lang w:val="fr-FR"/>
        </w:rPr>
        <w:t>identification des caractères et du choix des variétés indiquées à titre d</w:t>
      </w:r>
      <w:r>
        <w:rPr>
          <w:rFonts w:cs="Arial"/>
          <w:sz w:val="18"/>
          <w:szCs w:val="18"/>
          <w:lang w:val="fr-FR"/>
        </w:rPr>
        <w:t>’</w:t>
      </w:r>
      <w:r w:rsidR="00EA3338" w:rsidRPr="0016157A">
        <w:rPr>
          <w:rFonts w:cs="Arial"/>
          <w:sz w:val="18"/>
          <w:szCs w:val="18"/>
          <w:lang w:val="fr-FR"/>
        </w:rPr>
        <w:t>exemples.  Cette section contient des notes indicatives sur la manière de traiter ces aspects d</w:t>
      </w:r>
      <w:r>
        <w:rPr>
          <w:rFonts w:cs="Arial"/>
          <w:sz w:val="18"/>
          <w:szCs w:val="18"/>
          <w:lang w:val="fr-FR"/>
        </w:rPr>
        <w:t>’</w:t>
      </w:r>
      <w:r w:rsidR="00EA3338" w:rsidRPr="0016157A">
        <w:rPr>
          <w:rFonts w:cs="Arial"/>
          <w:sz w:val="18"/>
          <w:szCs w:val="18"/>
          <w:lang w:val="fr-FR"/>
        </w:rPr>
        <w:t>une façon harmonisée.  Ces notes sont présentées dans l</w:t>
      </w:r>
      <w:r>
        <w:rPr>
          <w:rFonts w:cs="Arial"/>
          <w:sz w:val="18"/>
          <w:szCs w:val="18"/>
          <w:lang w:val="fr-FR"/>
        </w:rPr>
        <w:t>’</w:t>
      </w:r>
      <w:r w:rsidR="00EA3338" w:rsidRPr="0016157A">
        <w:rPr>
          <w:rFonts w:cs="Arial"/>
          <w:sz w:val="18"/>
          <w:szCs w:val="18"/>
          <w:lang w:val="fr-FR"/>
        </w:rPr>
        <w:t>annexe 3 du présent document et comprennent des conseils sur l</w:t>
      </w:r>
      <w:r>
        <w:rPr>
          <w:rFonts w:cs="Arial"/>
          <w:sz w:val="18"/>
          <w:szCs w:val="18"/>
          <w:lang w:val="fr-FR"/>
        </w:rPr>
        <w:t>’</w:t>
      </w:r>
      <w:r w:rsidR="00EA3338" w:rsidRPr="0016157A">
        <w:rPr>
          <w:rFonts w:cs="Arial"/>
          <w:sz w:val="18"/>
          <w:szCs w:val="18"/>
          <w:lang w:val="fr-FR"/>
        </w:rPr>
        <w:t xml:space="preserve">utilisation </w:t>
      </w:r>
      <w:r w:rsidR="00EA3338" w:rsidRPr="0016157A">
        <w:rPr>
          <w:rFonts w:cs="Arial"/>
          <w:strike/>
          <w:sz w:val="18"/>
          <w:szCs w:val="18"/>
          <w:highlight w:val="lightGray"/>
          <w:lang w:val="fr-FR"/>
        </w:rPr>
        <w:t>de la liste</w:t>
      </w:r>
      <w:r w:rsidR="00EA3338" w:rsidRPr="0016157A">
        <w:rPr>
          <w:rFonts w:cs="Arial"/>
          <w:sz w:val="18"/>
          <w:szCs w:val="18"/>
          <w:lang w:val="fr-FR"/>
        </w:rPr>
        <w:t xml:space="preserve"> des caractères </w:t>
      </w:r>
      <w:r w:rsidR="00EA3338" w:rsidRPr="0016157A">
        <w:rPr>
          <w:rFonts w:cs="Arial"/>
          <w:strike/>
          <w:sz w:val="18"/>
          <w:szCs w:val="18"/>
          <w:highlight w:val="lightGray"/>
          <w:lang w:val="fr-FR"/>
        </w:rPr>
        <w:t>approuvés</w:t>
      </w:r>
      <w:r w:rsidR="00EA3338" w:rsidRPr="0016157A">
        <w:rPr>
          <w:rFonts w:cs="Arial"/>
          <w:sz w:val="18"/>
          <w:szCs w:val="18"/>
          <w:lang w:val="fr-FR"/>
        </w:rPr>
        <w:t xml:space="preserve"> </w:t>
      </w:r>
      <w:r w:rsidR="00EA3338" w:rsidRPr="0016157A">
        <w:rPr>
          <w:rFonts w:cs="Arial"/>
          <w:sz w:val="18"/>
          <w:szCs w:val="18"/>
          <w:highlight w:val="lightGray"/>
          <w:u w:val="single"/>
          <w:lang w:val="fr-FR"/>
        </w:rPr>
        <w:t>qui ont été inclus dans les 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 adoptés [après l</w:t>
      </w:r>
      <w:r>
        <w:rPr>
          <w:rFonts w:cs="Arial"/>
          <w:sz w:val="18"/>
          <w:szCs w:val="18"/>
          <w:highlight w:val="lightGray"/>
          <w:u w:val="single"/>
          <w:lang w:val="fr-FR"/>
        </w:rPr>
        <w:t>’</w:t>
      </w:r>
      <w:r w:rsidR="00EA3338" w:rsidRPr="0016157A">
        <w:rPr>
          <w:rFonts w:cs="Arial"/>
          <w:sz w:val="18"/>
          <w:szCs w:val="18"/>
          <w:highlight w:val="lightGray"/>
          <w:u w:val="single"/>
          <w:lang w:val="fr-FR"/>
        </w:rPr>
        <w:t>adoption du</w:t>
      </w:r>
      <w:r w:rsidR="00EA3338" w:rsidRPr="0016157A">
        <w:rPr>
          <w:rFonts w:cs="Arial"/>
          <w:sz w:val="18"/>
          <w:szCs w:val="18"/>
          <w:lang w:val="fr-FR"/>
        </w:rPr>
        <w:t xml:space="preserve"> </w:t>
      </w:r>
      <w:r w:rsidR="00EA3338" w:rsidRPr="0016157A">
        <w:rPr>
          <w:rFonts w:cs="Arial"/>
          <w:sz w:val="18"/>
          <w:szCs w:val="18"/>
          <w:highlight w:val="lightGray"/>
          <w:u w:val="single"/>
          <w:lang w:val="fr-FR"/>
        </w:rPr>
        <w:t>document TGP/7] (</w:t>
      </w:r>
      <w:r>
        <w:rPr>
          <w:rFonts w:cs="Arial"/>
          <w:sz w:val="18"/>
          <w:szCs w:val="18"/>
          <w:highlight w:val="lightGray"/>
          <w:u w:val="single"/>
          <w:lang w:val="fr-FR"/>
        </w:rPr>
        <w:t>“</w:t>
      </w:r>
      <w:r w:rsidR="00EA3338" w:rsidRPr="0016157A">
        <w:rPr>
          <w:rFonts w:cs="Arial"/>
          <w:sz w:val="18"/>
          <w:szCs w:val="18"/>
          <w:highlight w:val="lightGray"/>
          <w:u w:val="single"/>
          <w:lang w:val="fr-FR"/>
        </w:rPr>
        <w:t>caractères approuvés</w:t>
      </w:r>
      <w:proofErr w:type="gramStart"/>
      <w:r>
        <w:rPr>
          <w:rFonts w:cs="Arial"/>
          <w:sz w:val="18"/>
          <w:szCs w:val="18"/>
          <w:highlight w:val="lightGray"/>
          <w:u w:val="single"/>
          <w:lang w:val="fr-FR"/>
        </w:rPr>
        <w:t>”</w:t>
      </w:r>
      <w:r w:rsidR="00EA3338" w:rsidRPr="0016157A">
        <w:rPr>
          <w:rFonts w:cs="Arial"/>
          <w:sz w:val="18"/>
          <w:szCs w:val="18"/>
          <w:highlight w:val="lightGray"/>
          <w:u w:val="single"/>
          <w:lang w:val="fr-FR"/>
        </w:rPr>
        <w:t>)</w:t>
      </w:r>
      <w:r w:rsidR="00EA3338" w:rsidRPr="0016157A">
        <w:rPr>
          <w:rFonts w:cs="Arial"/>
          <w:strike/>
          <w:sz w:val="18"/>
          <w:szCs w:val="18"/>
          <w:highlight w:val="lightGray"/>
          <w:lang w:val="fr-FR"/>
        </w:rPr>
        <w:t>figurant</w:t>
      </w:r>
      <w:proofErr w:type="gramEnd"/>
      <w:r w:rsidR="00EA3338" w:rsidRPr="0016157A">
        <w:rPr>
          <w:rFonts w:cs="Arial"/>
          <w:strike/>
          <w:sz w:val="18"/>
          <w:szCs w:val="18"/>
          <w:highlight w:val="lightGray"/>
          <w:lang w:val="fr-FR"/>
        </w:rPr>
        <w:t xml:space="preserve"> dans l</w:t>
      </w:r>
      <w:r>
        <w:rPr>
          <w:rFonts w:cs="Arial"/>
          <w:strike/>
          <w:sz w:val="18"/>
          <w:szCs w:val="18"/>
          <w:highlight w:val="lightGray"/>
          <w:lang w:val="fr-FR"/>
        </w:rPr>
        <w:t>’</w:t>
      </w:r>
      <w:r w:rsidR="00EA3338" w:rsidRPr="0016157A">
        <w:rPr>
          <w:rFonts w:cs="Arial"/>
          <w:strike/>
          <w:sz w:val="18"/>
          <w:szCs w:val="18"/>
          <w:highlight w:val="lightGray"/>
          <w:lang w:val="fr-FR"/>
        </w:rPr>
        <w:t>annexe 4</w:t>
      </w:r>
      <w:r w:rsidR="00EA3338" w:rsidRPr="0016157A">
        <w:rPr>
          <w:rFonts w:cs="Arial"/>
          <w:sz w:val="18"/>
          <w:szCs w:val="18"/>
          <w:lang w:val="fr-FR"/>
        </w:rPr>
        <w:t xml:space="preserve"> (voir GN 17).</w:t>
      </w:r>
      <w:r>
        <w:rPr>
          <w:rFonts w:cs="Arial"/>
          <w:sz w:val="18"/>
          <w:szCs w:val="18"/>
          <w:lang w:val="fr-FR"/>
        </w:rPr>
        <w:t>”</w:t>
      </w:r>
    </w:p>
    <w:p w:rsidR="00EA3338" w:rsidRPr="0016157A" w:rsidRDefault="00EA3338" w:rsidP="00C249E4">
      <w:pPr>
        <w:contextualSpacing/>
        <w:rPr>
          <w:sz w:val="18"/>
          <w:lang w:val="fr-FR"/>
        </w:rPr>
      </w:pPr>
      <w:r w:rsidRPr="0016157A">
        <w:rPr>
          <w:sz w:val="18"/>
          <w:lang w:val="fr-FR"/>
        </w:rPr>
        <w:tab/>
        <w:t>[…]</w:t>
      </w:r>
    </w:p>
    <w:p w:rsidR="00EA3338" w:rsidRPr="0016157A" w:rsidRDefault="00EA3338" w:rsidP="00C249E4">
      <w:pPr>
        <w:contextualSpacing/>
        <w:rPr>
          <w:sz w:val="18"/>
          <w:u w:val="single"/>
          <w:lang w:val="fr-FR"/>
        </w:rPr>
      </w:pPr>
    </w:p>
    <w:p w:rsidR="00EA3338" w:rsidRPr="0016157A" w:rsidRDefault="00EA3338" w:rsidP="00C249E4">
      <w:pPr>
        <w:rPr>
          <w:sz w:val="18"/>
          <w:u w:val="single"/>
          <w:lang w:val="fr-FR"/>
        </w:rPr>
      </w:pPr>
      <w:bookmarkStart w:id="61" w:name="_Toc478118876"/>
      <w:r w:rsidRPr="0016157A">
        <w:rPr>
          <w:rFonts w:cs="Arial"/>
          <w:sz w:val="18"/>
          <w:szCs w:val="18"/>
          <w:u w:val="single"/>
          <w:lang w:val="fr-FR"/>
        </w:rPr>
        <w:t>Section 2 : Procédure applicable à l</w:t>
      </w:r>
      <w:r w:rsidR="00B4091E">
        <w:rPr>
          <w:rFonts w:cs="Arial"/>
          <w:sz w:val="18"/>
          <w:szCs w:val="18"/>
          <w:u w:val="single"/>
          <w:lang w:val="fr-FR"/>
        </w:rPr>
        <w:t>’</w:t>
      </w:r>
      <w:r w:rsidRPr="0016157A">
        <w:rPr>
          <w:rFonts w:cs="Arial"/>
          <w:sz w:val="18"/>
          <w:szCs w:val="18"/>
          <w:u w:val="single"/>
          <w:lang w:val="fr-FR"/>
        </w:rPr>
        <w:t>adoption et à la révision des principes directeurs d</w:t>
      </w:r>
      <w:r w:rsidR="00B4091E">
        <w:rPr>
          <w:rFonts w:cs="Arial"/>
          <w:sz w:val="18"/>
          <w:szCs w:val="18"/>
          <w:u w:val="single"/>
          <w:lang w:val="fr-FR"/>
        </w:rPr>
        <w:t>’</w:t>
      </w:r>
      <w:r w:rsidRPr="0016157A">
        <w:rPr>
          <w:rFonts w:cs="Arial"/>
          <w:sz w:val="18"/>
          <w:szCs w:val="18"/>
          <w:u w:val="single"/>
          <w:lang w:val="fr-FR"/>
        </w:rPr>
        <w:t>examen</w:t>
      </w:r>
      <w:bookmarkEnd w:id="61"/>
    </w:p>
    <w:p w:rsidR="00EA3338" w:rsidRPr="0016157A" w:rsidRDefault="00EA3338" w:rsidP="00C249E4">
      <w:pPr>
        <w:ind w:left="567" w:right="567"/>
        <w:rPr>
          <w:sz w:val="18"/>
          <w:lang w:val="fr-FR"/>
        </w:rPr>
      </w:pPr>
    </w:p>
    <w:p w:rsidR="00EA3338" w:rsidRPr="0016157A" w:rsidRDefault="00EA3338" w:rsidP="00C249E4">
      <w:pPr>
        <w:ind w:left="567" w:right="567"/>
        <w:rPr>
          <w:sz w:val="18"/>
          <w:lang w:val="fr-FR"/>
        </w:rPr>
      </w:pPr>
      <w:r w:rsidRPr="0016157A">
        <w:rPr>
          <w:sz w:val="18"/>
          <w:lang w:val="fr-FR"/>
        </w:rPr>
        <w:t>[…]</w:t>
      </w:r>
    </w:p>
    <w:p w:rsidR="00EA3338" w:rsidRPr="0016157A" w:rsidRDefault="00EA3338" w:rsidP="00C249E4">
      <w:pPr>
        <w:ind w:left="567" w:right="567"/>
        <w:rPr>
          <w:sz w:val="18"/>
          <w:lang w:val="fr-FR"/>
        </w:rPr>
      </w:pPr>
    </w:p>
    <w:p w:rsidR="00EA3338" w:rsidRPr="00350E7A" w:rsidRDefault="00EA3338" w:rsidP="00C249E4">
      <w:pPr>
        <w:ind w:left="567"/>
        <w:rPr>
          <w:sz w:val="18"/>
          <w:lang w:val="fr-FR"/>
        </w:rPr>
      </w:pPr>
      <w:bookmarkStart w:id="62" w:name="_Toc478118877"/>
      <w:r w:rsidRPr="00350E7A">
        <w:rPr>
          <w:sz w:val="18"/>
          <w:lang w:val="fr-FR"/>
        </w:rPr>
        <w:t>2.2.4.4 Élaboration du ou des projet(s) par l</w:t>
      </w:r>
      <w:r w:rsidR="00B4091E">
        <w:rPr>
          <w:sz w:val="18"/>
          <w:lang w:val="fr-FR"/>
        </w:rPr>
        <w:t>’</w:t>
      </w:r>
      <w:r w:rsidRPr="00350E7A">
        <w:rPr>
          <w:sz w:val="18"/>
          <w:lang w:val="fr-FR"/>
        </w:rPr>
        <w:t>expert principal en collaboration avec le sous</w:t>
      </w:r>
      <w:r w:rsidRPr="00350E7A">
        <w:rPr>
          <w:sz w:val="18"/>
          <w:lang w:val="fr-FR"/>
        </w:rPr>
        <w:noBreakHyphen/>
        <w:t>groupe</w:t>
      </w:r>
      <w:bookmarkEnd w:id="62"/>
    </w:p>
    <w:p w:rsidR="00EA3338" w:rsidRPr="0016157A" w:rsidRDefault="00EA3338" w:rsidP="00C249E4">
      <w:pPr>
        <w:tabs>
          <w:tab w:val="left" w:pos="1418"/>
        </w:tabs>
        <w:ind w:left="567" w:right="567"/>
        <w:rPr>
          <w:sz w:val="18"/>
          <w:highlight w:val="lightGray"/>
          <w:u w:val="single"/>
          <w:lang w:val="fr-FR"/>
        </w:rPr>
      </w:pPr>
    </w:p>
    <w:p w:rsidR="00EA3338" w:rsidRPr="0016157A" w:rsidRDefault="00EA3338" w:rsidP="00C249E4">
      <w:pPr>
        <w:tabs>
          <w:tab w:val="left" w:pos="1418"/>
        </w:tabs>
        <w:ind w:left="567" w:right="567"/>
        <w:rPr>
          <w:rFonts w:cs="Arial"/>
          <w:sz w:val="18"/>
          <w:szCs w:val="18"/>
          <w:u w:val="single"/>
          <w:lang w:val="fr-FR"/>
        </w:rPr>
      </w:pPr>
      <w:r w:rsidRPr="0016157A">
        <w:rPr>
          <w:rFonts w:cs="Arial"/>
          <w:sz w:val="18"/>
          <w:szCs w:val="18"/>
          <w:highlight w:val="lightGray"/>
          <w:u w:val="single"/>
          <w:lang w:val="fr-FR"/>
        </w:rPr>
        <w:t>Le modèle de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fondé sur le Web est à utiliser pour établir les projets de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de l</w:t>
      </w:r>
      <w:r w:rsidR="00B4091E">
        <w:rPr>
          <w:rFonts w:cs="Arial"/>
          <w:sz w:val="18"/>
          <w:szCs w:val="18"/>
          <w:highlight w:val="lightGray"/>
          <w:u w:val="single"/>
          <w:lang w:val="fr-FR"/>
        </w:rPr>
        <w:t>’</w:t>
      </w:r>
      <w:r w:rsidRPr="0016157A">
        <w:rPr>
          <w:rFonts w:cs="Arial"/>
          <w:sz w:val="18"/>
          <w:szCs w:val="18"/>
          <w:highlight w:val="lightGray"/>
          <w:u w:val="single"/>
          <w:lang w:val="fr-FR"/>
        </w:rPr>
        <w:t>UPOV (voir : https://www3.wipo.int/upovtg/).</w:t>
      </w:r>
    </w:p>
    <w:p w:rsidR="00EA3338" w:rsidRPr="0016157A" w:rsidRDefault="00EA3338" w:rsidP="00C249E4">
      <w:pPr>
        <w:tabs>
          <w:tab w:val="left" w:pos="1988"/>
        </w:tabs>
        <w:ind w:left="567" w:right="567"/>
        <w:rPr>
          <w:rFonts w:cs="Arial"/>
          <w:sz w:val="18"/>
          <w:szCs w:val="18"/>
          <w:lang w:val="fr-FR"/>
        </w:rPr>
      </w:pPr>
      <w:r w:rsidRPr="0016157A">
        <w:rPr>
          <w:rFonts w:cs="Arial"/>
          <w:sz w:val="18"/>
          <w:szCs w:val="18"/>
          <w:lang w:val="fr-FR"/>
        </w:rPr>
        <w:tab/>
      </w:r>
    </w:p>
    <w:p w:rsidR="00EA3338" w:rsidRPr="0016157A" w:rsidRDefault="00B4091E" w:rsidP="00C249E4">
      <w:pPr>
        <w:tabs>
          <w:tab w:val="left" w:pos="1418"/>
        </w:tabs>
        <w:ind w:left="567" w:right="567"/>
        <w:rPr>
          <w:rFonts w:cs="Arial"/>
          <w:sz w:val="18"/>
          <w:szCs w:val="18"/>
          <w:lang w:val="fr-FR"/>
        </w:rPr>
      </w:pPr>
      <w:r>
        <w:rPr>
          <w:rFonts w:cs="Arial"/>
          <w:sz w:val="18"/>
          <w:szCs w:val="18"/>
          <w:lang w:val="fr-FR"/>
        </w:rPr>
        <w:t>“</w:t>
      </w:r>
      <w:r w:rsidR="00EA3338" w:rsidRPr="0016157A">
        <w:rPr>
          <w:rFonts w:cs="Arial"/>
          <w:sz w:val="18"/>
          <w:szCs w:val="18"/>
          <w:lang w:val="fr-FR"/>
        </w:rPr>
        <w:t>Avant la session du TWP, l</w:t>
      </w:r>
      <w:r>
        <w:rPr>
          <w:rFonts w:cs="Arial"/>
          <w:sz w:val="18"/>
          <w:szCs w:val="18"/>
          <w:lang w:val="fr-FR"/>
        </w:rPr>
        <w:t>’</w:t>
      </w:r>
      <w:r w:rsidR="00EA3338" w:rsidRPr="0016157A">
        <w:rPr>
          <w:rFonts w:cs="Arial"/>
          <w:sz w:val="18"/>
          <w:szCs w:val="18"/>
          <w:lang w:val="fr-FR"/>
        </w:rPr>
        <w:t>expert principal établit un projet préliminaire de principes directeurs d</w:t>
      </w:r>
      <w:r>
        <w:rPr>
          <w:rFonts w:cs="Arial"/>
          <w:sz w:val="18"/>
          <w:szCs w:val="18"/>
          <w:lang w:val="fr-FR"/>
        </w:rPr>
        <w:t>’</w:t>
      </w:r>
      <w:r w:rsidR="00EA3338" w:rsidRPr="0016157A">
        <w:rPr>
          <w:rFonts w:cs="Arial"/>
          <w:sz w:val="18"/>
          <w:szCs w:val="18"/>
          <w:lang w:val="fr-FR"/>
        </w:rPr>
        <w:t>examen (ci</w:t>
      </w:r>
      <w:r w:rsidR="00EA3338" w:rsidRPr="0016157A">
        <w:rPr>
          <w:rFonts w:cs="Arial"/>
          <w:sz w:val="18"/>
          <w:szCs w:val="18"/>
          <w:lang w:val="fr-FR"/>
        </w:rPr>
        <w:noBreakHyphen/>
        <w:t xml:space="preserve">après dénommé </w:t>
      </w:r>
      <w:r>
        <w:rPr>
          <w:rFonts w:cs="Arial"/>
          <w:sz w:val="18"/>
          <w:szCs w:val="18"/>
          <w:lang w:val="fr-FR"/>
        </w:rPr>
        <w:t>“</w:t>
      </w:r>
      <w:r w:rsidR="00EA3338" w:rsidRPr="0016157A">
        <w:rPr>
          <w:rFonts w:cs="Arial"/>
          <w:sz w:val="18"/>
          <w:szCs w:val="18"/>
          <w:lang w:val="fr-FR"/>
        </w:rPr>
        <w:t>projet à l</w:t>
      </w:r>
      <w:r>
        <w:rPr>
          <w:rFonts w:cs="Arial"/>
          <w:sz w:val="18"/>
          <w:szCs w:val="18"/>
          <w:lang w:val="fr-FR"/>
        </w:rPr>
        <w:t>’</w:t>
      </w:r>
      <w:r w:rsidR="00EA3338" w:rsidRPr="0016157A">
        <w:rPr>
          <w:rFonts w:cs="Arial"/>
          <w:sz w:val="18"/>
          <w:szCs w:val="18"/>
          <w:lang w:val="fr-FR"/>
        </w:rPr>
        <w:t>intention du sous</w:t>
      </w:r>
      <w:r w:rsidR="00EA3338" w:rsidRPr="0016157A">
        <w:rPr>
          <w:rFonts w:cs="Arial"/>
          <w:sz w:val="18"/>
          <w:szCs w:val="18"/>
          <w:lang w:val="fr-FR"/>
        </w:rPr>
        <w:noBreakHyphen/>
        <w:t>groupe</w:t>
      </w:r>
      <w:r>
        <w:rPr>
          <w:rFonts w:cs="Arial"/>
          <w:sz w:val="18"/>
          <w:szCs w:val="18"/>
          <w:lang w:val="fr-FR"/>
        </w:rPr>
        <w:t>”</w:t>
      </w:r>
      <w:r w:rsidR="00EA3338" w:rsidRPr="0016157A">
        <w:rPr>
          <w:rFonts w:cs="Arial"/>
          <w:sz w:val="18"/>
          <w:szCs w:val="18"/>
          <w:lang w:val="fr-FR"/>
        </w:rPr>
        <w:t>) aux fins d</w:t>
      </w:r>
      <w:r>
        <w:rPr>
          <w:rFonts w:cs="Arial"/>
          <w:sz w:val="18"/>
          <w:szCs w:val="18"/>
          <w:lang w:val="fr-FR"/>
        </w:rPr>
        <w:t>’</w:t>
      </w:r>
      <w:r w:rsidR="00EA3338" w:rsidRPr="0016157A">
        <w:rPr>
          <w:rFonts w:cs="Arial"/>
          <w:sz w:val="18"/>
          <w:szCs w:val="18"/>
          <w:lang w:val="fr-FR"/>
        </w:rPr>
        <w:t>observations par le sous</w:t>
      </w:r>
      <w:r w:rsidR="00EA3338" w:rsidRPr="0016157A">
        <w:rPr>
          <w:rFonts w:cs="Arial"/>
          <w:sz w:val="18"/>
          <w:szCs w:val="18"/>
          <w:lang w:val="fr-FR"/>
        </w:rPr>
        <w:noBreakHyphen/>
        <w:t>groupe</w:t>
      </w:r>
      <w:r w:rsidR="00EA3338" w:rsidRPr="0016157A">
        <w:rPr>
          <w:rFonts w:cs="Arial"/>
          <w:sz w:val="18"/>
          <w:szCs w:val="18"/>
          <w:u w:val="single"/>
          <w:lang w:val="fr-FR"/>
        </w:rPr>
        <w:t xml:space="preserve"> </w:t>
      </w:r>
      <w:r w:rsidR="00EA3338" w:rsidRPr="0016157A">
        <w:rPr>
          <w:rFonts w:cs="Arial"/>
          <w:sz w:val="18"/>
          <w:szCs w:val="18"/>
          <w:highlight w:val="lightGray"/>
          <w:u w:val="single"/>
          <w:lang w:val="fr-FR"/>
        </w:rPr>
        <w:t>à l</w:t>
      </w:r>
      <w:r>
        <w:rPr>
          <w:rFonts w:cs="Arial"/>
          <w:sz w:val="18"/>
          <w:szCs w:val="18"/>
          <w:highlight w:val="lightGray"/>
          <w:u w:val="single"/>
          <w:lang w:val="fr-FR"/>
        </w:rPr>
        <w:t>’</w:t>
      </w:r>
      <w:r w:rsidR="00EA3338" w:rsidRPr="0016157A">
        <w:rPr>
          <w:rFonts w:cs="Arial"/>
          <w:sz w:val="18"/>
          <w:szCs w:val="18"/>
          <w:highlight w:val="lightGray"/>
          <w:u w:val="single"/>
          <w:lang w:val="fr-FR"/>
        </w:rPr>
        <w:t>aide du modèle de 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 xml:space="preserve">examen fondé sur le Web.  </w:t>
      </w:r>
      <w:r w:rsidR="00EA3338" w:rsidRPr="0016157A">
        <w:rPr>
          <w:rFonts w:cs="Arial"/>
          <w:strike/>
          <w:sz w:val="18"/>
          <w:szCs w:val="18"/>
          <w:highlight w:val="lightGray"/>
          <w:lang w:val="fr-FR"/>
        </w:rPr>
        <w:t>Dans le cas où des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auront été élaborés par plusieurs TWP, le projet à l</w:t>
      </w:r>
      <w:r>
        <w:rPr>
          <w:rFonts w:cs="Arial"/>
          <w:strike/>
          <w:sz w:val="18"/>
          <w:szCs w:val="18"/>
          <w:highlight w:val="lightGray"/>
          <w:lang w:val="fr-FR"/>
        </w:rPr>
        <w:t>’</w:t>
      </w:r>
      <w:r w:rsidR="00EA3338" w:rsidRPr="0016157A">
        <w:rPr>
          <w:rFonts w:cs="Arial"/>
          <w:strike/>
          <w:sz w:val="18"/>
          <w:szCs w:val="18"/>
          <w:highlight w:val="lightGray"/>
          <w:lang w:val="fr-FR"/>
        </w:rPr>
        <w:t>intention du sous</w:t>
      </w:r>
      <w:r w:rsidR="00EA3338" w:rsidRPr="0016157A">
        <w:rPr>
          <w:rFonts w:cs="Arial"/>
          <w:strike/>
          <w:sz w:val="18"/>
          <w:szCs w:val="18"/>
          <w:highlight w:val="lightGray"/>
          <w:lang w:val="fr-FR"/>
        </w:rPr>
        <w:noBreakHyphen/>
        <w:t xml:space="preserve">groupe devrait être communiqué en même temps aux experts </w:t>
      </w:r>
      <w:r w:rsidR="00EA3338" w:rsidRPr="00930989">
        <w:rPr>
          <w:rFonts w:cs="Arial"/>
          <w:strike/>
          <w:sz w:val="18"/>
          <w:szCs w:val="18"/>
          <w:highlight w:val="lightGray"/>
          <w:lang w:val="fr-FR"/>
        </w:rPr>
        <w:t>intéressés des TWP compétents</w:t>
      </w:r>
      <w:r w:rsidR="00EA3338" w:rsidRPr="0016157A">
        <w:rPr>
          <w:rFonts w:cs="Arial"/>
          <w:strike/>
          <w:sz w:val="18"/>
          <w:szCs w:val="18"/>
          <w:highlight w:val="lightGray"/>
          <w:lang w:val="fr-FR"/>
        </w:rPr>
        <w:t>.</w:t>
      </w:r>
    </w:p>
    <w:p w:rsidR="00EA3338" w:rsidRPr="0016157A" w:rsidRDefault="00EA3338" w:rsidP="00C249E4">
      <w:pPr>
        <w:tabs>
          <w:tab w:val="left" w:pos="1418"/>
        </w:tabs>
        <w:ind w:left="567" w:right="567"/>
        <w:rPr>
          <w:rFonts w:cs="Arial"/>
          <w:sz w:val="18"/>
          <w:szCs w:val="18"/>
          <w:lang w:val="fr-FR"/>
        </w:rPr>
      </w:pPr>
    </w:p>
    <w:p w:rsidR="00EA3338" w:rsidRPr="0016157A" w:rsidRDefault="00EA3338" w:rsidP="00C249E4">
      <w:pPr>
        <w:tabs>
          <w:tab w:val="left" w:pos="1418"/>
        </w:tabs>
        <w:ind w:left="567" w:right="567"/>
        <w:rPr>
          <w:rFonts w:cs="Arial"/>
          <w:sz w:val="18"/>
          <w:szCs w:val="18"/>
          <w:lang w:val="fr-FR"/>
        </w:rPr>
      </w:pPr>
      <w:r w:rsidRPr="0016157A">
        <w:rPr>
          <w:rFonts w:cs="Arial"/>
          <w:sz w:val="18"/>
          <w:szCs w:val="18"/>
          <w:highlight w:val="lightGray"/>
          <w:u w:val="single"/>
          <w:lang w:val="fr-FR"/>
        </w:rPr>
        <w:t>Le sous</w:t>
      </w:r>
      <w:r w:rsidRPr="0016157A">
        <w:rPr>
          <w:rFonts w:cs="Arial"/>
          <w:sz w:val="18"/>
          <w:szCs w:val="18"/>
          <w:highlight w:val="lightGray"/>
          <w:u w:val="single"/>
          <w:lang w:val="fr-FR"/>
        </w:rPr>
        <w:noBreakHyphen/>
        <w:t>groupe des experts intéressés participant à la rédaction des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sera invité à fournir des commentaires à l</w:t>
      </w:r>
      <w:r w:rsidR="00B4091E">
        <w:rPr>
          <w:rFonts w:cs="Arial"/>
          <w:sz w:val="18"/>
          <w:szCs w:val="18"/>
          <w:highlight w:val="lightGray"/>
          <w:u w:val="single"/>
          <w:lang w:val="fr-FR"/>
        </w:rPr>
        <w:t>’</w:t>
      </w:r>
      <w:r w:rsidRPr="0016157A">
        <w:rPr>
          <w:rFonts w:cs="Arial"/>
          <w:sz w:val="18"/>
          <w:szCs w:val="18"/>
          <w:highlight w:val="lightGray"/>
          <w:u w:val="single"/>
          <w:lang w:val="fr-FR"/>
        </w:rPr>
        <w:t>expert principal à l</w:t>
      </w:r>
      <w:r w:rsidR="00B4091E">
        <w:rPr>
          <w:rFonts w:cs="Arial"/>
          <w:sz w:val="18"/>
          <w:szCs w:val="18"/>
          <w:highlight w:val="lightGray"/>
          <w:u w:val="single"/>
          <w:lang w:val="fr-FR"/>
        </w:rPr>
        <w:t>’</w:t>
      </w:r>
      <w:r w:rsidRPr="0016157A">
        <w:rPr>
          <w:rFonts w:cs="Arial"/>
          <w:sz w:val="18"/>
          <w:szCs w:val="18"/>
          <w:highlight w:val="lightGray"/>
          <w:u w:val="single"/>
          <w:lang w:val="fr-FR"/>
        </w:rPr>
        <w:t>aide du modèle de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fondé sur le Web</w:t>
      </w:r>
      <w:r w:rsidRPr="0016157A">
        <w:rPr>
          <w:rFonts w:cs="Arial"/>
          <w:sz w:val="18"/>
          <w:szCs w:val="18"/>
          <w:highlight w:val="lightGray"/>
          <w:lang w:val="fr-FR"/>
        </w:rPr>
        <w:t>.</w:t>
      </w:r>
    </w:p>
    <w:p w:rsidR="00EA3338" w:rsidRPr="0016157A" w:rsidRDefault="00EA3338" w:rsidP="00C249E4">
      <w:pPr>
        <w:tabs>
          <w:tab w:val="left" w:pos="1418"/>
        </w:tabs>
        <w:ind w:left="567" w:right="567"/>
        <w:rPr>
          <w:rFonts w:cs="Arial"/>
          <w:sz w:val="18"/>
          <w:szCs w:val="18"/>
          <w:lang w:val="fr-FR"/>
        </w:rPr>
      </w:pPr>
    </w:p>
    <w:p w:rsidR="00EA3338" w:rsidRPr="0016157A" w:rsidRDefault="00EA3338" w:rsidP="00C249E4">
      <w:pPr>
        <w:tabs>
          <w:tab w:val="left" w:pos="1418"/>
        </w:tabs>
        <w:ind w:left="567" w:right="567"/>
        <w:rPr>
          <w:rFonts w:cs="Arial"/>
          <w:sz w:val="18"/>
          <w:szCs w:val="18"/>
          <w:lang w:val="fr-FR"/>
        </w:rPr>
      </w:pPr>
      <w:r w:rsidRPr="0016157A">
        <w:rPr>
          <w:rFonts w:cs="Arial"/>
          <w:sz w:val="18"/>
          <w:szCs w:val="18"/>
          <w:lang w:val="fr-FR"/>
        </w:rPr>
        <w:t>Sur la base des observations reçues du sous</w:t>
      </w:r>
      <w:r w:rsidRPr="0016157A">
        <w:rPr>
          <w:rFonts w:cs="Arial"/>
          <w:sz w:val="18"/>
          <w:szCs w:val="18"/>
          <w:lang w:val="fr-FR"/>
        </w:rPr>
        <w:noBreakHyphen/>
        <w:t>groupe, l</w:t>
      </w:r>
      <w:r w:rsidR="00B4091E">
        <w:rPr>
          <w:rFonts w:cs="Arial"/>
          <w:sz w:val="18"/>
          <w:szCs w:val="18"/>
          <w:lang w:val="fr-FR"/>
        </w:rPr>
        <w:t>’</w:t>
      </w:r>
      <w:r w:rsidRPr="0016157A">
        <w:rPr>
          <w:rFonts w:cs="Arial"/>
          <w:sz w:val="18"/>
          <w:szCs w:val="18"/>
          <w:lang w:val="fr-FR"/>
        </w:rPr>
        <w:t xml:space="preserve">expert principal établit un premier projet pour le(s) TWP.  Ce projet est </w:t>
      </w:r>
      <w:r w:rsidRPr="0016157A">
        <w:rPr>
          <w:rFonts w:cs="Arial"/>
          <w:strike/>
          <w:sz w:val="18"/>
          <w:szCs w:val="18"/>
          <w:highlight w:val="lightGray"/>
          <w:lang w:val="fr-FR"/>
        </w:rPr>
        <w:t>envoyé</w:t>
      </w:r>
      <w:r w:rsidRPr="0016157A">
        <w:rPr>
          <w:rFonts w:cs="Arial"/>
          <w:sz w:val="18"/>
          <w:szCs w:val="18"/>
          <w:lang w:val="fr-FR"/>
        </w:rPr>
        <w:t xml:space="preserve"> </w:t>
      </w:r>
      <w:r w:rsidRPr="0016157A">
        <w:rPr>
          <w:rFonts w:cs="Arial"/>
          <w:sz w:val="18"/>
          <w:szCs w:val="18"/>
          <w:highlight w:val="lightGray"/>
          <w:u w:val="single"/>
          <w:lang w:val="fr-FR"/>
        </w:rPr>
        <w:t>remis</w:t>
      </w:r>
      <w:r w:rsidRPr="0016157A">
        <w:rPr>
          <w:rFonts w:cs="Arial"/>
          <w:sz w:val="18"/>
          <w:szCs w:val="18"/>
          <w:lang w:val="fr-FR"/>
        </w:rPr>
        <w:t xml:space="preserve"> au Bureau, qui établira un document à distribuer aux membres du ou des groupes de travail techniques concernés pour examen au cours de leur session.  Avant la session du groupe de travail technique, le Bureau vérifiera à titre préliminaire qu</w:t>
      </w:r>
      <w:r w:rsidR="00B4091E">
        <w:rPr>
          <w:rFonts w:cs="Arial"/>
          <w:sz w:val="18"/>
          <w:szCs w:val="18"/>
          <w:lang w:val="fr-FR"/>
        </w:rPr>
        <w:t>’</w:t>
      </w:r>
      <w:r w:rsidRPr="0016157A">
        <w:rPr>
          <w:rFonts w:cs="Arial"/>
          <w:sz w:val="18"/>
          <w:szCs w:val="18"/>
          <w:lang w:val="fr-FR"/>
        </w:rPr>
        <w:t xml:space="preserve">il a été établi conformément </w:t>
      </w:r>
      <w:r w:rsidRPr="0016157A">
        <w:rPr>
          <w:rFonts w:cs="Arial"/>
          <w:sz w:val="18"/>
          <w:szCs w:val="18"/>
          <w:highlight w:val="lightGray"/>
          <w:u w:val="single"/>
          <w:lang w:val="fr-FR"/>
        </w:rPr>
        <w:t>aux conseils fournis dans le</w:t>
      </w:r>
      <w:r w:rsidRPr="0016157A">
        <w:rPr>
          <w:rFonts w:cs="Arial"/>
          <w:sz w:val="18"/>
          <w:szCs w:val="18"/>
          <w:u w:val="single"/>
          <w:lang w:val="fr-FR"/>
        </w:rPr>
        <w:t xml:space="preserve"> </w:t>
      </w:r>
      <w:proofErr w:type="spellStart"/>
      <w:r w:rsidRPr="0016157A">
        <w:rPr>
          <w:rFonts w:cs="Arial"/>
          <w:strike/>
          <w:sz w:val="18"/>
          <w:szCs w:val="18"/>
          <w:highlight w:val="lightGray"/>
          <w:lang w:val="fr-FR"/>
        </w:rPr>
        <w:t>au</w:t>
      </w:r>
      <w:proofErr w:type="spellEnd"/>
      <w:r w:rsidRPr="0016157A">
        <w:rPr>
          <w:rFonts w:cs="Arial"/>
          <w:sz w:val="18"/>
          <w:szCs w:val="18"/>
          <w:lang w:val="fr-FR"/>
        </w:rPr>
        <w:t xml:space="preserve"> document TGP/7 </w:t>
      </w:r>
      <w:r w:rsidRPr="0016157A">
        <w:rPr>
          <w:rFonts w:cs="Arial"/>
          <w:strike/>
          <w:sz w:val="18"/>
          <w:szCs w:val="18"/>
          <w:highlight w:val="lightGray"/>
          <w:lang w:val="fr-FR"/>
        </w:rPr>
        <w:t>et, en particulier, au modèle de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(annexe 1)</w:t>
      </w:r>
      <w:r w:rsidRPr="0016157A">
        <w:rPr>
          <w:rFonts w:cs="Arial"/>
          <w:sz w:val="18"/>
          <w:szCs w:val="18"/>
          <w:lang w:val="fr-FR"/>
        </w:rPr>
        <w:t>.  Les résultats de cette vérification seront communiqués à l</w:t>
      </w:r>
      <w:r w:rsidR="00B4091E">
        <w:rPr>
          <w:rFonts w:cs="Arial"/>
          <w:sz w:val="18"/>
          <w:szCs w:val="18"/>
          <w:lang w:val="fr-FR"/>
        </w:rPr>
        <w:t>’</w:t>
      </w:r>
      <w:r w:rsidRPr="0016157A">
        <w:rPr>
          <w:rFonts w:cs="Arial"/>
          <w:sz w:val="18"/>
          <w:szCs w:val="18"/>
          <w:lang w:val="fr-FR"/>
        </w:rPr>
        <w:t>expert principal une semaine au moins avant la session.</w:t>
      </w:r>
    </w:p>
    <w:p w:rsidR="00EA3338" w:rsidRPr="0016157A" w:rsidRDefault="00EA3338" w:rsidP="00C249E4">
      <w:pPr>
        <w:tabs>
          <w:tab w:val="left" w:pos="1418"/>
        </w:tabs>
        <w:ind w:left="567" w:right="567"/>
        <w:rPr>
          <w:rFonts w:cs="Arial"/>
          <w:sz w:val="18"/>
          <w:szCs w:val="18"/>
          <w:lang w:val="fr-FR"/>
        </w:rPr>
      </w:pPr>
    </w:p>
    <w:p w:rsidR="00EA3338" w:rsidRPr="0016157A" w:rsidRDefault="00EA3338" w:rsidP="00C249E4">
      <w:pPr>
        <w:tabs>
          <w:tab w:val="left" w:pos="1418"/>
        </w:tabs>
        <w:ind w:left="567" w:right="567"/>
        <w:rPr>
          <w:rFonts w:cs="Arial"/>
          <w:sz w:val="18"/>
          <w:szCs w:val="18"/>
          <w:lang w:val="fr-FR"/>
        </w:rPr>
      </w:pPr>
      <w:r w:rsidRPr="0016157A">
        <w:rPr>
          <w:rFonts w:cs="Arial"/>
          <w:sz w:val="18"/>
          <w:szCs w:val="18"/>
          <w:lang w:val="fr-FR"/>
        </w:rPr>
        <w:t>En ce qui concerne les principes directeurs d</w:t>
      </w:r>
      <w:r w:rsidR="00B4091E">
        <w:rPr>
          <w:rFonts w:cs="Arial"/>
          <w:sz w:val="18"/>
          <w:szCs w:val="18"/>
          <w:lang w:val="fr-FR"/>
        </w:rPr>
        <w:t>’</w:t>
      </w:r>
      <w:r w:rsidRPr="0016157A">
        <w:rPr>
          <w:rFonts w:cs="Arial"/>
          <w:sz w:val="18"/>
          <w:szCs w:val="18"/>
          <w:lang w:val="fr-FR"/>
        </w:rPr>
        <w:t>examen qui ont été examinés par le ou les TWP compétents (étape 5) et dont le TWP responsable a demandé la modification, l</w:t>
      </w:r>
      <w:r w:rsidR="00B4091E">
        <w:rPr>
          <w:rFonts w:cs="Arial"/>
          <w:sz w:val="18"/>
          <w:szCs w:val="18"/>
          <w:lang w:val="fr-FR"/>
        </w:rPr>
        <w:t>’</w:t>
      </w:r>
      <w:r w:rsidRPr="0016157A">
        <w:rPr>
          <w:rFonts w:cs="Arial"/>
          <w:sz w:val="18"/>
          <w:szCs w:val="18"/>
          <w:lang w:val="fr-FR"/>
        </w:rPr>
        <w:t>expert principal doit, après consultation des membres du sous</w:t>
      </w:r>
      <w:r w:rsidRPr="0016157A">
        <w:rPr>
          <w:rFonts w:cs="Arial"/>
          <w:sz w:val="18"/>
          <w:szCs w:val="18"/>
          <w:lang w:val="fr-FR"/>
        </w:rPr>
        <w:noBreakHyphen/>
        <w:t>groupe, établir un nouveau projet pour examen à la réunion suivante du TWP selon les modalités indiquées ci</w:t>
      </w:r>
      <w:r w:rsidRPr="0016157A">
        <w:rPr>
          <w:rFonts w:cs="Arial"/>
          <w:sz w:val="18"/>
          <w:szCs w:val="18"/>
          <w:lang w:val="fr-FR"/>
        </w:rPr>
        <w:noBreakHyphen/>
        <w:t xml:space="preserve">dessus.  </w:t>
      </w:r>
      <w:r w:rsidRPr="0016157A">
        <w:rPr>
          <w:rFonts w:cs="Arial"/>
          <w:sz w:val="18"/>
          <w:szCs w:val="18"/>
          <w:highlight w:val="lightGray"/>
          <w:u w:val="single"/>
          <w:lang w:val="fr-FR"/>
        </w:rPr>
        <w:t>Pour aider les experts principaux à élaborer les projets de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les</w:t>
      </w:r>
      <w:r w:rsidRPr="0016157A">
        <w:rPr>
          <w:rFonts w:cs="Arial"/>
          <w:sz w:val="18"/>
          <w:szCs w:val="18"/>
          <w:lang w:val="fr-FR"/>
        </w:rPr>
        <w:t xml:space="preserve"> </w:t>
      </w:r>
      <w:r w:rsidRPr="0016157A">
        <w:rPr>
          <w:rFonts w:cs="Arial"/>
          <w:strike/>
          <w:sz w:val="18"/>
          <w:szCs w:val="18"/>
          <w:highlight w:val="lightGray"/>
          <w:lang w:val="fr-FR"/>
        </w:rPr>
        <w:t>Des</w:t>
      </w:r>
      <w:r w:rsidRPr="0016157A">
        <w:rPr>
          <w:rFonts w:cs="Arial"/>
          <w:sz w:val="18"/>
          <w:szCs w:val="18"/>
          <w:lang w:val="fr-FR"/>
        </w:rPr>
        <w:t xml:space="preserve"> informations et </w:t>
      </w:r>
      <w:r w:rsidRPr="0016157A">
        <w:rPr>
          <w:rFonts w:cs="Arial"/>
          <w:strike/>
          <w:sz w:val="18"/>
          <w:szCs w:val="18"/>
          <w:highlight w:val="lightGray"/>
          <w:lang w:val="fr-FR"/>
        </w:rPr>
        <w:t>des</w:t>
      </w:r>
      <w:r w:rsidRPr="0016157A">
        <w:rPr>
          <w:rFonts w:cs="Arial"/>
          <w:sz w:val="18"/>
          <w:szCs w:val="18"/>
          <w:lang w:val="fr-FR"/>
        </w:rPr>
        <w:t xml:space="preserve"> documents </w:t>
      </w:r>
      <w:r w:rsidRPr="0016157A">
        <w:rPr>
          <w:rFonts w:cs="Arial"/>
          <w:sz w:val="18"/>
          <w:szCs w:val="18"/>
          <w:highlight w:val="lightGray"/>
          <w:u w:val="single"/>
          <w:lang w:val="fr-FR"/>
        </w:rPr>
        <w:t>ci</w:t>
      </w:r>
      <w:r w:rsidRPr="0016157A">
        <w:rPr>
          <w:rFonts w:cs="Arial"/>
          <w:sz w:val="18"/>
          <w:szCs w:val="18"/>
          <w:highlight w:val="lightGray"/>
          <w:u w:val="single"/>
          <w:lang w:val="fr-FR"/>
        </w:rPr>
        <w:noBreakHyphen/>
        <w:t>après</w:t>
      </w:r>
      <w:r w:rsidRPr="0016157A">
        <w:rPr>
          <w:rFonts w:cs="Arial"/>
          <w:sz w:val="18"/>
          <w:szCs w:val="18"/>
          <w:lang w:val="fr-FR"/>
        </w:rPr>
        <w:t xml:space="preserve"> </w:t>
      </w:r>
      <w:r w:rsidRPr="0016157A">
        <w:rPr>
          <w:rFonts w:cs="Arial"/>
          <w:strike/>
          <w:sz w:val="18"/>
          <w:szCs w:val="18"/>
          <w:highlight w:val="lightGray"/>
          <w:lang w:val="fr-FR"/>
        </w:rPr>
        <w:t>visant à aider les experts principaux à élaborer les projets de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w:t>
      </w:r>
      <w:r w:rsidRPr="0016157A">
        <w:rPr>
          <w:rFonts w:cs="Arial"/>
          <w:sz w:val="18"/>
          <w:szCs w:val="18"/>
          <w:lang w:val="fr-FR"/>
        </w:rPr>
        <w:t xml:space="preserve"> sont accessibles </w:t>
      </w:r>
      <w:r w:rsidRPr="0016157A">
        <w:rPr>
          <w:rFonts w:cs="Arial"/>
          <w:sz w:val="18"/>
          <w:szCs w:val="18"/>
          <w:highlight w:val="lightGray"/>
          <w:u w:val="single"/>
          <w:lang w:val="fr-FR"/>
        </w:rPr>
        <w:t>sur le site Web de l</w:t>
      </w:r>
      <w:r w:rsidR="00B4091E">
        <w:rPr>
          <w:rFonts w:cs="Arial"/>
          <w:sz w:val="18"/>
          <w:szCs w:val="18"/>
          <w:highlight w:val="lightGray"/>
          <w:u w:val="single"/>
          <w:lang w:val="fr-FR"/>
        </w:rPr>
        <w:t>’</w:t>
      </w:r>
      <w:r w:rsidRPr="0016157A">
        <w:rPr>
          <w:rFonts w:cs="Arial"/>
          <w:sz w:val="18"/>
          <w:szCs w:val="18"/>
          <w:highlight w:val="lightGray"/>
          <w:u w:val="single"/>
          <w:lang w:val="fr-FR"/>
        </w:rPr>
        <w:t xml:space="preserve">UPOV (voir : </w:t>
      </w:r>
      <w:r w:rsidRPr="0006352D">
        <w:rPr>
          <w:rFonts w:cs="Arial"/>
          <w:sz w:val="18"/>
          <w:szCs w:val="18"/>
          <w:highlight w:val="lightGray"/>
          <w:u w:val="single"/>
          <w:lang w:val="fr-FR"/>
        </w:rPr>
        <w:t>http://www.upov.int/resource/en/dus_guidance.html)</w:t>
      </w:r>
      <w:r w:rsidRPr="0016157A">
        <w:rPr>
          <w:rFonts w:cs="Arial"/>
          <w:sz w:val="18"/>
          <w:szCs w:val="18"/>
          <w:highlight w:val="lightGray"/>
          <w:u w:val="single"/>
          <w:lang w:val="fr-FR"/>
        </w:rPr>
        <w:t> :</w:t>
      </w:r>
      <w:r w:rsidRPr="0016157A">
        <w:rPr>
          <w:rFonts w:cs="Arial"/>
          <w:sz w:val="18"/>
          <w:szCs w:val="18"/>
          <w:highlight w:val="lightGray"/>
          <w:lang w:val="fr-FR"/>
        </w:rPr>
        <w:t xml:space="preserve"> </w:t>
      </w:r>
      <w:r w:rsidRPr="0016157A">
        <w:rPr>
          <w:rFonts w:cs="Arial"/>
          <w:strike/>
          <w:sz w:val="18"/>
          <w:szCs w:val="18"/>
          <w:highlight w:val="lightGray"/>
          <w:lang w:val="fr-FR"/>
        </w:rPr>
        <w:t>dans une zone du site Web de l</w:t>
      </w:r>
      <w:r w:rsidR="00B4091E">
        <w:rPr>
          <w:rFonts w:cs="Arial"/>
          <w:strike/>
          <w:sz w:val="18"/>
          <w:szCs w:val="18"/>
          <w:highlight w:val="lightGray"/>
          <w:lang w:val="fr-FR"/>
        </w:rPr>
        <w:t>’</w:t>
      </w:r>
      <w:r w:rsidRPr="0016157A">
        <w:rPr>
          <w:rFonts w:cs="Arial"/>
          <w:strike/>
          <w:sz w:val="18"/>
          <w:szCs w:val="18"/>
          <w:highlight w:val="lightGray"/>
          <w:lang w:val="fr-FR"/>
        </w:rPr>
        <w:t>UPOV réservée à leur intention (page Web à l</w:t>
      </w:r>
      <w:r w:rsidR="00B4091E">
        <w:rPr>
          <w:rFonts w:cs="Arial"/>
          <w:strike/>
          <w:sz w:val="18"/>
          <w:szCs w:val="18"/>
          <w:highlight w:val="lightGray"/>
          <w:lang w:val="fr-FR"/>
        </w:rPr>
        <w:t>’</w:t>
      </w:r>
      <w:r w:rsidRPr="0016157A">
        <w:rPr>
          <w:rFonts w:cs="Arial"/>
          <w:strike/>
          <w:sz w:val="18"/>
          <w:szCs w:val="18"/>
          <w:highlight w:val="lightGray"/>
          <w:lang w:val="fr-FR"/>
        </w:rPr>
        <w:t>intention des rédacteurs de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Cette page Web contient les informations suivantes, dont certaines figurent dans le matériel pour les rédacteurs de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(voir la section 4.3) :</w:t>
      </w:r>
    </w:p>
    <w:p w:rsidR="00EA3338" w:rsidRPr="0016157A" w:rsidRDefault="00EA3338" w:rsidP="00C249E4">
      <w:pPr>
        <w:rPr>
          <w:rFonts w:cs="Arial"/>
          <w:lang w:val="fr-FR"/>
        </w:rPr>
      </w:pPr>
    </w:p>
    <w:p w:rsidR="00EA3338" w:rsidRPr="0016157A" w:rsidRDefault="00EA3338" w:rsidP="00C249E4">
      <w:pPr>
        <w:ind w:left="567" w:right="567"/>
        <w:rPr>
          <w:rFonts w:cs="Arial"/>
          <w:strike/>
          <w:sz w:val="18"/>
          <w:szCs w:val="18"/>
          <w:highlight w:val="lightGray"/>
          <w:lang w:val="fr-FR"/>
        </w:rPr>
      </w:pPr>
      <w:r w:rsidRPr="0016157A">
        <w:rPr>
          <w:rFonts w:cs="Arial"/>
          <w:strike/>
          <w:sz w:val="18"/>
          <w:szCs w:val="18"/>
          <w:highlight w:val="lightGray"/>
          <w:lang w:val="fr-FR"/>
        </w:rPr>
        <w:t>a)</w:t>
      </w:r>
      <w:r w:rsidRPr="0016157A">
        <w:rPr>
          <w:rFonts w:cs="Arial"/>
          <w:strike/>
          <w:sz w:val="18"/>
          <w:szCs w:val="18"/>
          <w:highlight w:val="lightGray"/>
          <w:lang w:val="fr-FR"/>
        </w:rPr>
        <w:tab/>
        <w:t>Informations générales :</w:t>
      </w:r>
    </w:p>
    <w:p w:rsidR="00EA3338" w:rsidRPr="0016157A" w:rsidRDefault="00EA3338" w:rsidP="00C249E4">
      <w:pPr>
        <w:ind w:left="567" w:right="567"/>
        <w:rPr>
          <w:rFonts w:cs="Arial"/>
          <w:strike/>
          <w:sz w:val="18"/>
          <w:szCs w:val="18"/>
          <w:highlight w:val="lightGray"/>
          <w:lang w:val="fr-FR"/>
        </w:rPr>
      </w:pPr>
    </w:p>
    <w:p w:rsidR="00EA3338" w:rsidRPr="0016157A" w:rsidRDefault="00B4091E" w:rsidP="00C249E4">
      <w:pPr>
        <w:ind w:left="1843" w:right="567" w:hanging="425"/>
        <w:rPr>
          <w:rFonts w:cs="Arial"/>
          <w:sz w:val="18"/>
          <w:szCs w:val="18"/>
          <w:lang w:val="fr-FR"/>
        </w:rPr>
      </w:pPr>
      <w:r>
        <w:rPr>
          <w:rFonts w:cs="Arial"/>
          <w:sz w:val="18"/>
          <w:szCs w:val="18"/>
          <w:lang w:val="fr-FR"/>
        </w:rPr>
        <w:t>“</w:t>
      </w:r>
      <w:r w:rsidR="00EA3338" w:rsidRPr="0016157A">
        <w:rPr>
          <w:rFonts w:cs="Arial"/>
          <w:sz w:val="18"/>
          <w:szCs w:val="18"/>
          <w:lang w:val="fr-FR"/>
        </w:rPr>
        <w:t>i)</w:t>
      </w:r>
      <w:r w:rsidR="00EA3338" w:rsidRPr="0016157A">
        <w:rPr>
          <w:rFonts w:cs="Arial"/>
          <w:sz w:val="18"/>
          <w:szCs w:val="18"/>
          <w:lang w:val="fr-FR"/>
        </w:rPr>
        <w:tab/>
      </w:r>
      <w:r w:rsidR="00EA3338" w:rsidRPr="0016157A">
        <w:rPr>
          <w:rFonts w:cs="Arial"/>
          <w:strike/>
          <w:sz w:val="18"/>
          <w:szCs w:val="18"/>
          <w:highlight w:val="lightGray"/>
          <w:lang w:val="fr-FR"/>
        </w:rPr>
        <w:t>guide pratique à l</w:t>
      </w:r>
      <w:r>
        <w:rPr>
          <w:rFonts w:cs="Arial"/>
          <w:strike/>
          <w:sz w:val="18"/>
          <w:szCs w:val="18"/>
          <w:highlight w:val="lightGray"/>
          <w:lang w:val="fr-FR"/>
        </w:rPr>
        <w:t>’</w:t>
      </w:r>
      <w:r w:rsidR="00EA3338" w:rsidRPr="0016157A">
        <w:rPr>
          <w:rFonts w:cs="Arial"/>
          <w:strike/>
          <w:sz w:val="18"/>
          <w:szCs w:val="18"/>
          <w:highlight w:val="lightGray"/>
          <w:lang w:val="fr-FR"/>
        </w:rPr>
        <w:t>intention des rédacteurs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(ci</w:t>
      </w:r>
      <w:r w:rsidR="00EA3338" w:rsidRPr="0016157A">
        <w:rPr>
          <w:rFonts w:cs="Arial"/>
          <w:strike/>
          <w:sz w:val="18"/>
          <w:szCs w:val="18"/>
          <w:highlight w:val="lightGray"/>
          <w:lang w:val="fr-FR"/>
        </w:rPr>
        <w:noBreakHyphen/>
        <w:t xml:space="preserve">après dénommé </w:t>
      </w:r>
      <w:r>
        <w:rPr>
          <w:rFonts w:cs="Arial"/>
          <w:strike/>
          <w:sz w:val="18"/>
          <w:szCs w:val="18"/>
          <w:highlight w:val="lightGray"/>
          <w:lang w:val="fr-FR"/>
        </w:rPr>
        <w:t>“</w:t>
      </w:r>
      <w:r w:rsidR="00EA3338" w:rsidRPr="0016157A">
        <w:rPr>
          <w:rFonts w:cs="Arial"/>
          <w:strike/>
          <w:sz w:val="18"/>
          <w:szCs w:val="18"/>
          <w:highlight w:val="lightGray"/>
          <w:lang w:val="fr-FR"/>
        </w:rPr>
        <w:t>guide pratique</w:t>
      </w:r>
      <w:r>
        <w:rPr>
          <w:rFonts w:cs="Arial"/>
          <w:strike/>
          <w:sz w:val="18"/>
          <w:szCs w:val="18"/>
          <w:highlight w:val="lightGray"/>
          <w:lang w:val="fr-FR"/>
        </w:rPr>
        <w:t>”</w:t>
      </w:r>
      <w:r w:rsidR="00EA3338" w:rsidRPr="0016157A">
        <w:rPr>
          <w:rFonts w:cs="Arial"/>
          <w:strike/>
          <w:sz w:val="18"/>
          <w:szCs w:val="18"/>
          <w:highlight w:val="lightGray"/>
          <w:lang w:val="fr-FR"/>
        </w:rPr>
        <w:t xml:space="preserve">) </w:t>
      </w:r>
      <w:r w:rsidR="00EA3338" w:rsidRPr="0016157A">
        <w:rPr>
          <w:rFonts w:cs="Arial"/>
          <w:sz w:val="18"/>
          <w:szCs w:val="18"/>
          <w:highlight w:val="lightGray"/>
          <w:u w:val="single"/>
          <w:lang w:val="fr-FR"/>
        </w:rPr>
        <w:t>introduction</w:t>
      </w:r>
      <w:r w:rsidR="00EA3338" w:rsidRPr="0016157A">
        <w:rPr>
          <w:rFonts w:cs="Arial"/>
          <w:sz w:val="18"/>
          <w:szCs w:val="18"/>
          <w:u w:val="single"/>
          <w:lang w:val="fr-FR"/>
        </w:rPr>
        <w:t xml:space="preserve"> </w:t>
      </w:r>
      <w:r w:rsidR="00EA3338" w:rsidRPr="0016157A">
        <w:rPr>
          <w:rFonts w:cs="Arial"/>
          <w:sz w:val="18"/>
          <w:szCs w:val="18"/>
          <w:highlight w:val="lightGray"/>
          <w:u w:val="single"/>
          <w:lang w:val="fr-FR"/>
        </w:rPr>
        <w:t>générale à l</w:t>
      </w:r>
      <w:r>
        <w:rPr>
          <w:rFonts w:cs="Arial"/>
          <w:sz w:val="18"/>
          <w:szCs w:val="18"/>
          <w:highlight w:val="lightGray"/>
          <w:u w:val="single"/>
          <w:lang w:val="fr-FR"/>
        </w:rPr>
        <w:t>’</w:t>
      </w:r>
      <w:r w:rsidR="00EA3338" w:rsidRPr="0016157A">
        <w:rPr>
          <w:rFonts w:cs="Arial"/>
          <w:sz w:val="18"/>
          <w:szCs w:val="18"/>
          <w:highlight w:val="lightGray"/>
          <w:u w:val="single"/>
          <w:lang w:val="fr-FR"/>
        </w:rPr>
        <w:t>examen DHS</w:t>
      </w:r>
      <w:r w:rsidR="00EA3338" w:rsidRPr="0016157A">
        <w:rPr>
          <w:rFonts w:cs="Arial"/>
          <w:sz w:val="18"/>
          <w:szCs w:val="18"/>
          <w:lang w:val="fr-FR"/>
        </w:rPr>
        <w:t>;</w:t>
      </w:r>
    </w:p>
    <w:p w:rsidR="00EA3338" w:rsidRPr="0016157A" w:rsidRDefault="00B4091E" w:rsidP="00C249E4">
      <w:pPr>
        <w:ind w:left="1843" w:right="567" w:hanging="425"/>
        <w:rPr>
          <w:rFonts w:cs="Arial"/>
          <w:sz w:val="18"/>
          <w:szCs w:val="18"/>
          <w:highlight w:val="lightGray"/>
          <w:lang w:val="fr-FR"/>
        </w:rPr>
      </w:pPr>
      <w:r>
        <w:rPr>
          <w:rFonts w:cs="Arial"/>
          <w:sz w:val="18"/>
          <w:szCs w:val="18"/>
          <w:lang w:val="fr-FR"/>
        </w:rPr>
        <w:t>“</w:t>
      </w:r>
      <w:r w:rsidR="00EA3338" w:rsidRPr="0016157A">
        <w:rPr>
          <w:rFonts w:cs="Arial"/>
          <w:sz w:val="18"/>
          <w:szCs w:val="18"/>
          <w:lang w:val="fr-FR"/>
        </w:rPr>
        <w:t>ii)</w:t>
      </w:r>
      <w:r w:rsidR="00EA3338" w:rsidRPr="0016157A">
        <w:rPr>
          <w:rFonts w:cs="Arial"/>
          <w:sz w:val="18"/>
          <w:szCs w:val="18"/>
          <w:lang w:val="fr-FR"/>
        </w:rPr>
        <w:tab/>
      </w:r>
      <w:r w:rsidR="00EA3338" w:rsidRPr="0016157A">
        <w:rPr>
          <w:rFonts w:cs="Arial"/>
          <w:strike/>
          <w:sz w:val="18"/>
          <w:szCs w:val="18"/>
          <w:highlight w:val="lightGray"/>
          <w:lang w:val="fr-FR"/>
        </w:rPr>
        <w:t>modèle électronique de principes directeurs d</w:t>
      </w:r>
      <w:r>
        <w:rPr>
          <w:rFonts w:cs="Arial"/>
          <w:strike/>
          <w:sz w:val="18"/>
          <w:szCs w:val="18"/>
          <w:highlight w:val="lightGray"/>
          <w:lang w:val="fr-FR"/>
        </w:rPr>
        <w:t>’</w:t>
      </w:r>
      <w:r w:rsidR="00EA3338" w:rsidRPr="0016157A">
        <w:rPr>
          <w:rFonts w:cs="Arial"/>
          <w:strike/>
          <w:sz w:val="18"/>
          <w:szCs w:val="18"/>
          <w:highlight w:val="lightGray"/>
          <w:lang w:val="fr-FR"/>
        </w:rPr>
        <w:t xml:space="preserve">examen (TGP/7 : annexe I) </w:t>
      </w:r>
      <w:r w:rsidR="00EA3338" w:rsidRPr="0016157A">
        <w:rPr>
          <w:rFonts w:cs="Arial"/>
          <w:sz w:val="18"/>
          <w:szCs w:val="18"/>
          <w:highlight w:val="lightGray"/>
          <w:u w:val="single"/>
          <w:lang w:val="fr-FR"/>
        </w:rPr>
        <w:t>documents TGP</w:t>
      </w:r>
      <w:r w:rsidR="00EA3338" w:rsidRPr="0016157A">
        <w:rPr>
          <w:rFonts w:cs="Arial"/>
          <w:sz w:val="18"/>
          <w:szCs w:val="18"/>
          <w:highlight w:val="lightGray"/>
          <w:lang w:val="fr-FR"/>
        </w:rPr>
        <w:t>;</w:t>
      </w:r>
    </w:p>
    <w:p w:rsidR="00EA3338" w:rsidRPr="0016157A" w:rsidRDefault="00B4091E" w:rsidP="00C249E4">
      <w:pPr>
        <w:ind w:left="1843" w:right="567" w:hanging="425"/>
        <w:rPr>
          <w:rFonts w:cs="Arial"/>
          <w:strike/>
          <w:sz w:val="18"/>
          <w:szCs w:val="18"/>
          <w:highlight w:val="lightGray"/>
          <w:lang w:val="fr-FR"/>
        </w:rPr>
      </w:pPr>
      <w:r>
        <w:rPr>
          <w:rFonts w:cs="Arial"/>
          <w:sz w:val="18"/>
          <w:szCs w:val="18"/>
          <w:lang w:val="fr-FR"/>
        </w:rPr>
        <w:t>“</w:t>
      </w:r>
      <w:r w:rsidR="00EA3338" w:rsidRPr="0016157A">
        <w:rPr>
          <w:rFonts w:cs="Arial"/>
          <w:sz w:val="18"/>
          <w:szCs w:val="18"/>
          <w:lang w:val="fr-FR"/>
        </w:rPr>
        <w:t>iii)</w:t>
      </w:r>
      <w:r w:rsidR="00EA3338" w:rsidRPr="0016157A">
        <w:rPr>
          <w:rFonts w:cs="Arial"/>
          <w:sz w:val="18"/>
          <w:szCs w:val="18"/>
          <w:lang w:val="fr-FR"/>
        </w:rPr>
        <w:tab/>
      </w:r>
      <w:r w:rsidR="00EA3338" w:rsidRPr="0016157A">
        <w:rPr>
          <w:rFonts w:cs="Arial"/>
          <w:strike/>
          <w:sz w:val="18"/>
          <w:szCs w:val="18"/>
          <w:highlight w:val="lightGray"/>
          <w:lang w:val="fr-FR"/>
        </w:rPr>
        <w:t>liste des caractères approuvés (TGP/7 : annexe 4)</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w:t>
      </w:r>
      <w:r w:rsidR="00EA3338" w:rsidRPr="0016157A">
        <w:rPr>
          <w:rFonts w:cs="Arial"/>
          <w:sz w:val="18"/>
          <w:szCs w:val="18"/>
          <w:highlight w:val="lightGray"/>
          <w:lang w:val="fr-FR"/>
        </w:rPr>
        <w:t>;</w:t>
      </w:r>
    </w:p>
    <w:p w:rsidR="00EA3338" w:rsidRPr="0016157A" w:rsidRDefault="00B4091E" w:rsidP="00C249E4">
      <w:pPr>
        <w:ind w:left="1843" w:right="567" w:hanging="425"/>
        <w:rPr>
          <w:rFonts w:cs="Arial"/>
          <w:strike/>
          <w:sz w:val="18"/>
          <w:szCs w:val="18"/>
          <w:highlight w:val="lightGray"/>
          <w:lang w:val="fr-FR"/>
        </w:rPr>
      </w:pPr>
      <w:r>
        <w:rPr>
          <w:rFonts w:cs="Arial"/>
          <w:sz w:val="18"/>
          <w:szCs w:val="18"/>
          <w:lang w:val="fr-FR"/>
        </w:rPr>
        <w:t>“</w:t>
      </w:r>
      <w:r w:rsidR="00EA3338" w:rsidRPr="0016157A">
        <w:rPr>
          <w:rFonts w:cs="Arial"/>
          <w:sz w:val="18"/>
          <w:szCs w:val="18"/>
          <w:lang w:val="fr-FR"/>
        </w:rPr>
        <w:t>iv)</w:t>
      </w:r>
      <w:r w:rsidR="00EA3338" w:rsidRPr="0016157A">
        <w:rPr>
          <w:rFonts w:cs="Arial"/>
          <w:sz w:val="18"/>
          <w:szCs w:val="18"/>
          <w:lang w:val="fr-FR"/>
        </w:rPr>
        <w:tab/>
      </w:r>
      <w:r w:rsidR="00EA3338" w:rsidRPr="0016157A">
        <w:rPr>
          <w:rFonts w:cs="Arial"/>
          <w:strike/>
          <w:sz w:val="18"/>
          <w:szCs w:val="18"/>
          <w:highlight w:val="lightGray"/>
          <w:lang w:val="fr-FR"/>
        </w:rPr>
        <w:t>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adoptés au format Word</w:t>
      </w:r>
      <w:r w:rsidR="00EA3338" w:rsidRPr="0016157A">
        <w:rPr>
          <w:rFonts w:cs="Arial"/>
          <w:sz w:val="18"/>
          <w:szCs w:val="18"/>
          <w:highlight w:val="lightGray"/>
          <w:u w:val="single"/>
          <w:lang w:val="fr-FR"/>
        </w:rPr>
        <w:t xml:space="preserve"> connaissances techniques pratiques</w:t>
      </w:r>
      <w:r w:rsidR="00EA3338" w:rsidRPr="0016157A">
        <w:rPr>
          <w:rFonts w:cs="Arial"/>
          <w:sz w:val="18"/>
          <w:szCs w:val="18"/>
          <w:highlight w:val="lightGray"/>
          <w:lang w:val="fr-FR"/>
        </w:rPr>
        <w:t>;</w:t>
      </w:r>
    </w:p>
    <w:p w:rsidR="00EA3338" w:rsidRPr="0016157A" w:rsidRDefault="00B4091E" w:rsidP="00C249E4">
      <w:pPr>
        <w:ind w:left="1843" w:right="567" w:hanging="425"/>
        <w:rPr>
          <w:rFonts w:cs="Arial"/>
          <w:strike/>
          <w:sz w:val="18"/>
          <w:szCs w:val="18"/>
          <w:highlight w:val="lightGray"/>
          <w:lang w:val="fr-FR"/>
        </w:rPr>
      </w:pPr>
      <w:r>
        <w:rPr>
          <w:rFonts w:cs="Arial"/>
          <w:sz w:val="18"/>
          <w:szCs w:val="18"/>
          <w:lang w:val="fr-FR"/>
        </w:rPr>
        <w:t>“</w:t>
      </w:r>
      <w:r w:rsidR="00EA3338" w:rsidRPr="0016157A">
        <w:rPr>
          <w:rFonts w:cs="Arial"/>
          <w:sz w:val="18"/>
          <w:szCs w:val="18"/>
          <w:lang w:val="fr-FR"/>
        </w:rPr>
        <w:t>v)</w:t>
      </w:r>
      <w:r w:rsidR="00EA3338" w:rsidRPr="0016157A">
        <w:rPr>
          <w:rFonts w:cs="Arial"/>
          <w:sz w:val="18"/>
          <w:szCs w:val="18"/>
          <w:lang w:val="fr-FR"/>
        </w:rPr>
        <w:tab/>
      </w:r>
      <w:r w:rsidR="00EA3338" w:rsidRPr="0016157A">
        <w:rPr>
          <w:rFonts w:cs="Arial"/>
          <w:strike/>
          <w:sz w:val="18"/>
          <w:szCs w:val="18"/>
          <w:highlight w:val="lightGray"/>
          <w:lang w:val="fr-FR"/>
        </w:rPr>
        <w:t xml:space="preserve">TGP/14 </w:t>
      </w:r>
      <w:r>
        <w:rPr>
          <w:rFonts w:cs="Arial"/>
          <w:strike/>
          <w:sz w:val="18"/>
          <w:szCs w:val="18"/>
          <w:highlight w:val="lightGray"/>
          <w:lang w:val="fr-FR"/>
        </w:rPr>
        <w:t>“</w:t>
      </w:r>
      <w:r w:rsidR="00EA3338" w:rsidRPr="0016157A">
        <w:rPr>
          <w:rFonts w:cs="Arial"/>
          <w:strike/>
          <w:sz w:val="18"/>
          <w:szCs w:val="18"/>
          <w:highlight w:val="lightGray"/>
          <w:lang w:val="fr-FR"/>
        </w:rPr>
        <w:t>Glossaire des termes utilisés dans les documents de l</w:t>
      </w:r>
      <w:r>
        <w:rPr>
          <w:rFonts w:cs="Arial"/>
          <w:strike/>
          <w:sz w:val="18"/>
          <w:szCs w:val="18"/>
          <w:highlight w:val="lightGray"/>
          <w:lang w:val="fr-FR"/>
        </w:rPr>
        <w:t>’</w:t>
      </w:r>
      <w:r w:rsidR="00EA3338" w:rsidRPr="0016157A">
        <w:rPr>
          <w:rFonts w:cs="Arial"/>
          <w:strike/>
          <w:sz w:val="18"/>
          <w:szCs w:val="18"/>
          <w:highlight w:val="lightGray"/>
          <w:lang w:val="fr-FR"/>
        </w:rPr>
        <w:t>UPOV</w:t>
      </w:r>
      <w:r>
        <w:rPr>
          <w:rFonts w:cs="Arial"/>
          <w:strike/>
          <w:sz w:val="18"/>
          <w:szCs w:val="18"/>
          <w:highlight w:val="lightGray"/>
          <w:lang w:val="fr-FR"/>
        </w:rPr>
        <w:t>”</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coopération en matière d</w:t>
      </w:r>
      <w:r>
        <w:rPr>
          <w:rFonts w:cs="Arial"/>
          <w:sz w:val="18"/>
          <w:szCs w:val="18"/>
          <w:highlight w:val="lightGray"/>
          <w:u w:val="single"/>
          <w:lang w:val="fr-FR"/>
        </w:rPr>
        <w:t>’</w:t>
      </w:r>
      <w:r w:rsidR="00EA3338" w:rsidRPr="0016157A">
        <w:rPr>
          <w:rFonts w:cs="Arial"/>
          <w:sz w:val="18"/>
          <w:szCs w:val="18"/>
          <w:highlight w:val="lightGray"/>
          <w:u w:val="single"/>
          <w:lang w:val="fr-FR"/>
        </w:rPr>
        <w:t>examen</w:t>
      </w:r>
      <w:r w:rsidR="00EA3338" w:rsidRPr="0016157A">
        <w:rPr>
          <w:rFonts w:cs="Arial"/>
          <w:sz w:val="18"/>
          <w:szCs w:val="18"/>
          <w:highlight w:val="lightGray"/>
          <w:lang w:val="fr-FR"/>
        </w:rPr>
        <w:t>;</w:t>
      </w:r>
    </w:p>
    <w:p w:rsidR="00EA3338" w:rsidRPr="0016157A" w:rsidRDefault="00EA3338" w:rsidP="00C249E4">
      <w:pPr>
        <w:ind w:left="567" w:right="567"/>
        <w:rPr>
          <w:rFonts w:cs="Arial"/>
          <w:strike/>
          <w:sz w:val="18"/>
          <w:szCs w:val="18"/>
          <w:highlight w:val="lightGray"/>
          <w:lang w:val="fr-FR"/>
        </w:rPr>
      </w:pPr>
    </w:p>
    <w:p w:rsidR="00EA3338" w:rsidRPr="0016157A" w:rsidRDefault="00EA3338" w:rsidP="00C249E4">
      <w:pPr>
        <w:ind w:left="567" w:right="567"/>
        <w:rPr>
          <w:rFonts w:cs="Arial"/>
          <w:strike/>
          <w:sz w:val="18"/>
          <w:szCs w:val="18"/>
          <w:highlight w:val="lightGray"/>
          <w:lang w:val="fr-FR"/>
        </w:rPr>
      </w:pPr>
      <w:r w:rsidRPr="0016157A">
        <w:rPr>
          <w:rFonts w:cs="Arial"/>
          <w:strike/>
          <w:sz w:val="18"/>
          <w:szCs w:val="18"/>
          <w:highlight w:val="lightGray"/>
          <w:lang w:val="fr-FR"/>
        </w:rPr>
        <w:t>b)</w:t>
      </w:r>
      <w:r w:rsidRPr="0016157A">
        <w:rPr>
          <w:rFonts w:cs="Arial"/>
          <w:strike/>
          <w:sz w:val="18"/>
          <w:szCs w:val="18"/>
          <w:highlight w:val="lightGray"/>
          <w:lang w:val="fr-FR"/>
        </w:rPr>
        <w:tab/>
        <w:t>Informations propres</w:t>
      </w:r>
      <w:r w:rsidRPr="00930989">
        <w:rPr>
          <w:rFonts w:cs="Arial"/>
          <w:strike/>
          <w:sz w:val="18"/>
          <w:szCs w:val="18"/>
          <w:highlight w:val="lightGray"/>
          <w:lang w:val="fr-FR"/>
        </w:rPr>
        <w:t xml:space="preserve"> au TWP</w:t>
      </w:r>
      <w:r w:rsidRPr="0016157A">
        <w:rPr>
          <w:rFonts w:cs="Arial"/>
          <w:strike/>
          <w:sz w:val="18"/>
          <w:szCs w:val="18"/>
          <w:highlight w:val="lightGray"/>
          <w:lang w:val="fr-FR"/>
        </w:rPr>
        <w:t xml:space="preserve"> concerné :</w:t>
      </w:r>
    </w:p>
    <w:p w:rsidR="00EA3338" w:rsidRPr="0016157A" w:rsidRDefault="00EA3338" w:rsidP="00C249E4">
      <w:pPr>
        <w:ind w:left="567" w:right="567"/>
        <w:rPr>
          <w:rFonts w:cs="Arial"/>
          <w:strike/>
          <w:sz w:val="18"/>
          <w:szCs w:val="18"/>
          <w:highlight w:val="lightGray"/>
          <w:lang w:val="fr-FR"/>
        </w:rPr>
      </w:pPr>
    </w:p>
    <w:p w:rsidR="00EA3338" w:rsidRPr="0016157A" w:rsidRDefault="00B4091E" w:rsidP="00C249E4">
      <w:pPr>
        <w:ind w:left="1843" w:right="567" w:hanging="425"/>
        <w:rPr>
          <w:rFonts w:cs="Arial"/>
          <w:sz w:val="18"/>
          <w:szCs w:val="18"/>
          <w:highlight w:val="lightGray"/>
          <w:lang w:val="fr-FR"/>
        </w:rPr>
      </w:pPr>
      <w:r>
        <w:rPr>
          <w:rFonts w:cs="Arial"/>
          <w:sz w:val="18"/>
          <w:szCs w:val="18"/>
          <w:lang w:val="fr-FR"/>
        </w:rPr>
        <w:t>“</w:t>
      </w:r>
      <w:r w:rsidR="00EA3338" w:rsidRPr="0016157A">
        <w:rPr>
          <w:rFonts w:cs="Arial"/>
          <w:sz w:val="18"/>
          <w:szCs w:val="18"/>
          <w:highlight w:val="lightGray"/>
          <w:u w:val="single"/>
          <w:lang w:val="fr-FR"/>
        </w:rPr>
        <w:t>v</w:t>
      </w:r>
      <w:r w:rsidR="00EA3338" w:rsidRPr="0016157A">
        <w:rPr>
          <w:rFonts w:cs="Arial"/>
          <w:sz w:val="18"/>
          <w:szCs w:val="18"/>
          <w:lang w:val="fr-FR"/>
        </w:rPr>
        <w:t>i)</w:t>
      </w:r>
      <w:r w:rsidR="00EA3338" w:rsidRPr="0016157A">
        <w:rPr>
          <w:rFonts w:cs="Arial"/>
          <w:sz w:val="18"/>
          <w:szCs w:val="18"/>
          <w:lang w:val="fr-FR"/>
        </w:rPr>
        <w:tab/>
      </w:r>
      <w:r w:rsidR="00EA3338" w:rsidRPr="0016157A">
        <w:rPr>
          <w:rFonts w:cs="Arial"/>
          <w:strike/>
          <w:sz w:val="18"/>
          <w:szCs w:val="18"/>
          <w:highlight w:val="lightGray"/>
          <w:lang w:val="fr-FR"/>
        </w:rPr>
        <w:t>expert principal et dates pour l</w:t>
      </w:r>
      <w:r>
        <w:rPr>
          <w:rFonts w:cs="Arial"/>
          <w:strike/>
          <w:sz w:val="18"/>
          <w:szCs w:val="18"/>
          <w:highlight w:val="lightGray"/>
          <w:lang w:val="fr-FR"/>
        </w:rPr>
        <w:t>’</w:t>
      </w:r>
      <w:r w:rsidR="00EA3338" w:rsidRPr="0016157A">
        <w:rPr>
          <w:rFonts w:cs="Arial"/>
          <w:strike/>
          <w:sz w:val="18"/>
          <w:szCs w:val="18"/>
          <w:highlight w:val="lightGray"/>
          <w:lang w:val="fr-FR"/>
        </w:rPr>
        <w:t>établissement du projet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modèle de 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 fondé sur le Web</w:t>
      </w:r>
      <w:r w:rsidR="00EA3338" w:rsidRPr="0016157A">
        <w:rPr>
          <w:rFonts w:cs="Arial"/>
          <w:sz w:val="18"/>
          <w:szCs w:val="18"/>
          <w:highlight w:val="lightGray"/>
          <w:lang w:val="fr-FR"/>
        </w:rPr>
        <w:t>;</w:t>
      </w:r>
    </w:p>
    <w:p w:rsidR="00EA3338" w:rsidRPr="0016157A" w:rsidRDefault="00B4091E" w:rsidP="00C249E4">
      <w:pPr>
        <w:ind w:left="1843" w:right="567" w:hanging="425"/>
        <w:rPr>
          <w:rFonts w:cs="Arial"/>
          <w:strike/>
          <w:sz w:val="18"/>
          <w:szCs w:val="18"/>
          <w:highlight w:val="lightGray"/>
          <w:lang w:val="fr-FR"/>
        </w:rPr>
      </w:pPr>
      <w:r>
        <w:rPr>
          <w:rFonts w:cs="Arial"/>
          <w:sz w:val="18"/>
          <w:szCs w:val="18"/>
          <w:lang w:val="fr-FR"/>
        </w:rPr>
        <w:t>“</w:t>
      </w:r>
      <w:r w:rsidR="00EA3338" w:rsidRPr="0016157A">
        <w:rPr>
          <w:rFonts w:cs="Arial"/>
          <w:sz w:val="18"/>
          <w:szCs w:val="18"/>
          <w:highlight w:val="lightGray"/>
          <w:u w:val="single"/>
          <w:lang w:val="fr-FR"/>
        </w:rPr>
        <w:t>v</w:t>
      </w:r>
      <w:r w:rsidR="00EA3338" w:rsidRPr="0016157A">
        <w:rPr>
          <w:rFonts w:cs="Arial"/>
          <w:sz w:val="18"/>
          <w:szCs w:val="18"/>
          <w:lang w:val="fr-FR"/>
        </w:rPr>
        <w:t>ii)</w:t>
      </w:r>
      <w:r w:rsidR="00EA3338" w:rsidRPr="0016157A">
        <w:rPr>
          <w:rFonts w:cs="Arial"/>
          <w:sz w:val="18"/>
          <w:szCs w:val="18"/>
          <w:lang w:val="fr-FR"/>
        </w:rPr>
        <w:tab/>
      </w:r>
      <w:r w:rsidR="00EA3338" w:rsidRPr="0016157A">
        <w:rPr>
          <w:rFonts w:cs="Arial"/>
          <w:strike/>
          <w:sz w:val="18"/>
          <w:szCs w:val="18"/>
          <w:highlight w:val="lightGray"/>
          <w:lang w:val="fr-FR"/>
        </w:rPr>
        <w:t>adresses électroniques du sous</w:t>
      </w:r>
      <w:r w:rsidR="00EA3338" w:rsidRPr="0016157A">
        <w:rPr>
          <w:rFonts w:cs="Arial"/>
          <w:strike/>
          <w:sz w:val="18"/>
          <w:szCs w:val="18"/>
          <w:highlight w:val="lightGray"/>
          <w:lang w:val="fr-FR"/>
        </w:rPr>
        <w:noBreakHyphen/>
        <w:t>groupe d</w:t>
      </w:r>
      <w:r>
        <w:rPr>
          <w:rFonts w:cs="Arial"/>
          <w:strike/>
          <w:sz w:val="18"/>
          <w:szCs w:val="18"/>
          <w:highlight w:val="lightGray"/>
          <w:lang w:val="fr-FR"/>
        </w:rPr>
        <w:t>’</w:t>
      </w:r>
      <w:r w:rsidR="00EA3338" w:rsidRPr="0016157A">
        <w:rPr>
          <w:rFonts w:cs="Arial"/>
          <w:strike/>
          <w:sz w:val="18"/>
          <w:szCs w:val="18"/>
          <w:highlight w:val="lightGray"/>
          <w:lang w:val="fr-FR"/>
        </w:rPr>
        <w:t>experts intéressés</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caractères supplémentaires</w:t>
      </w:r>
      <w:r w:rsidR="00EA3338" w:rsidRPr="0016157A">
        <w:rPr>
          <w:rFonts w:cs="Arial"/>
          <w:sz w:val="18"/>
          <w:szCs w:val="18"/>
          <w:highlight w:val="lightGray"/>
          <w:lang w:val="fr-FR"/>
        </w:rPr>
        <w:t>;</w:t>
      </w:r>
    </w:p>
    <w:p w:rsidR="00EA3338" w:rsidRPr="0016157A" w:rsidRDefault="00B4091E" w:rsidP="00C249E4">
      <w:pPr>
        <w:ind w:left="1843" w:right="567" w:hanging="425"/>
        <w:rPr>
          <w:rFonts w:cs="Arial"/>
          <w:strike/>
          <w:sz w:val="18"/>
          <w:szCs w:val="18"/>
          <w:highlight w:val="lightGray"/>
          <w:lang w:val="fr-FR"/>
        </w:rPr>
      </w:pPr>
      <w:r>
        <w:rPr>
          <w:rFonts w:cs="Arial"/>
          <w:sz w:val="18"/>
          <w:szCs w:val="18"/>
          <w:lang w:val="fr-FR"/>
        </w:rPr>
        <w:t>“</w:t>
      </w:r>
      <w:r w:rsidR="00EA3338" w:rsidRPr="0016157A">
        <w:rPr>
          <w:rFonts w:cs="Arial"/>
          <w:sz w:val="18"/>
          <w:szCs w:val="18"/>
          <w:highlight w:val="lightGray"/>
          <w:u w:val="single"/>
          <w:lang w:val="fr-FR"/>
        </w:rPr>
        <w:t>v</w:t>
      </w:r>
      <w:r w:rsidR="00EA3338" w:rsidRPr="0016157A">
        <w:rPr>
          <w:rFonts w:cs="Arial"/>
          <w:sz w:val="18"/>
          <w:szCs w:val="18"/>
          <w:lang w:val="fr-FR"/>
        </w:rPr>
        <w:t>iii)</w:t>
      </w:r>
      <w:r w:rsidR="00EA3338" w:rsidRPr="0016157A">
        <w:rPr>
          <w:rFonts w:cs="Arial"/>
          <w:sz w:val="18"/>
          <w:szCs w:val="18"/>
          <w:lang w:val="fr-FR"/>
        </w:rPr>
        <w:tab/>
      </w:r>
      <w:r w:rsidR="00EA3338" w:rsidRPr="0016157A">
        <w:rPr>
          <w:rFonts w:cs="Arial"/>
          <w:strike/>
          <w:sz w:val="18"/>
          <w:szCs w:val="18"/>
          <w:highlight w:val="lightGray"/>
          <w:lang w:val="fr-FR"/>
        </w:rPr>
        <w:t>versions Word des projets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présentées à la session précédente du TWP (le cas échéant)</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 en cours d</w:t>
      </w:r>
      <w:r>
        <w:rPr>
          <w:rFonts w:cs="Arial"/>
          <w:sz w:val="18"/>
          <w:szCs w:val="18"/>
          <w:highlight w:val="lightGray"/>
          <w:u w:val="single"/>
          <w:lang w:val="fr-FR"/>
        </w:rPr>
        <w:t>’</w:t>
      </w:r>
      <w:r w:rsidR="00EA3338" w:rsidRPr="0016157A">
        <w:rPr>
          <w:rFonts w:cs="Arial"/>
          <w:sz w:val="18"/>
          <w:szCs w:val="18"/>
          <w:highlight w:val="lightGray"/>
          <w:u w:val="single"/>
          <w:lang w:val="fr-FR"/>
        </w:rPr>
        <w:t>élaboration (TC/xx/2)</w:t>
      </w:r>
      <w:r w:rsidR="00EA3338" w:rsidRPr="0016157A">
        <w:rPr>
          <w:rFonts w:cs="Arial"/>
          <w:sz w:val="18"/>
          <w:szCs w:val="18"/>
          <w:highlight w:val="lightGray"/>
          <w:lang w:val="fr-FR"/>
        </w:rPr>
        <w:t xml:space="preserve">;  </w:t>
      </w:r>
      <w:r w:rsidR="00EA3338" w:rsidRPr="0016157A">
        <w:rPr>
          <w:rFonts w:cs="Arial"/>
          <w:strike/>
          <w:sz w:val="18"/>
          <w:szCs w:val="18"/>
          <w:highlight w:val="lightGray"/>
          <w:lang w:val="fr-FR"/>
        </w:rPr>
        <w:t>et</w:t>
      </w:r>
    </w:p>
    <w:p w:rsidR="00EA3338" w:rsidRPr="0016157A" w:rsidRDefault="00B4091E" w:rsidP="00C249E4">
      <w:pPr>
        <w:ind w:left="1843" w:right="567" w:hanging="425"/>
        <w:rPr>
          <w:rFonts w:cs="Arial"/>
          <w:strike/>
          <w:sz w:val="18"/>
          <w:szCs w:val="18"/>
          <w:u w:val="single"/>
          <w:lang w:val="fr-FR"/>
        </w:rPr>
      </w:pPr>
      <w:r>
        <w:rPr>
          <w:rFonts w:cs="Arial"/>
          <w:sz w:val="18"/>
          <w:szCs w:val="18"/>
          <w:lang w:val="fr-FR"/>
        </w:rPr>
        <w:t>“</w:t>
      </w:r>
      <w:proofErr w:type="spellStart"/>
      <w:r w:rsidR="00EA3338" w:rsidRPr="0016157A">
        <w:rPr>
          <w:rFonts w:cs="Arial"/>
          <w:sz w:val="18"/>
          <w:szCs w:val="18"/>
          <w:lang w:val="fr-FR"/>
        </w:rPr>
        <w:t>i</w:t>
      </w:r>
      <w:r w:rsidR="00EA3338" w:rsidRPr="0016157A">
        <w:rPr>
          <w:rFonts w:cs="Arial"/>
          <w:strike/>
          <w:sz w:val="18"/>
          <w:szCs w:val="18"/>
          <w:highlight w:val="lightGray"/>
          <w:lang w:val="fr-FR"/>
        </w:rPr>
        <w:t>v</w:t>
      </w:r>
      <w:r w:rsidR="00EA3338" w:rsidRPr="0016157A">
        <w:rPr>
          <w:rFonts w:cs="Arial"/>
          <w:sz w:val="18"/>
          <w:szCs w:val="18"/>
          <w:highlight w:val="lightGray"/>
          <w:u w:val="single"/>
          <w:lang w:val="fr-FR"/>
        </w:rPr>
        <w:t>x</w:t>
      </w:r>
      <w:proofErr w:type="spellEnd"/>
      <w:r w:rsidR="00EA3338" w:rsidRPr="0016157A">
        <w:rPr>
          <w:rFonts w:cs="Arial"/>
          <w:sz w:val="18"/>
          <w:szCs w:val="18"/>
          <w:lang w:val="fr-FR"/>
        </w:rPr>
        <w:t>)</w:t>
      </w:r>
      <w:r w:rsidR="00EA3338" w:rsidRPr="0016157A">
        <w:rPr>
          <w:rFonts w:cs="Arial"/>
          <w:sz w:val="18"/>
          <w:szCs w:val="18"/>
          <w:lang w:val="fr-FR"/>
        </w:rPr>
        <w:tab/>
      </w:r>
      <w:r w:rsidR="00EA3338" w:rsidRPr="0016157A">
        <w:rPr>
          <w:rFonts w:cs="Arial"/>
          <w:strike/>
          <w:sz w:val="18"/>
          <w:szCs w:val="18"/>
          <w:highlight w:val="lightGray"/>
          <w:lang w:val="fr-FR"/>
        </w:rPr>
        <w:t>observations du TWP (tirées du compte rendu du TWP) sur le projet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présenté à la session précédente du TWP (le cas échéant)</w:t>
      </w:r>
      <w:r w:rsidR="00EA3338" w:rsidRPr="0016157A">
        <w:rPr>
          <w:rFonts w:cs="Arial"/>
          <w:sz w:val="18"/>
          <w:szCs w:val="18"/>
          <w:highlight w:val="lightGray"/>
          <w:lang w:val="fr-FR"/>
        </w:rPr>
        <w:t xml:space="preserve"> </w:t>
      </w:r>
      <w:r w:rsidR="00EA3338" w:rsidRPr="0016157A">
        <w:rPr>
          <w:rFonts w:cs="Arial"/>
          <w:sz w:val="18"/>
          <w:szCs w:val="18"/>
          <w:highlight w:val="lightGray"/>
          <w:u w:val="single"/>
          <w:lang w:val="fr-FR"/>
        </w:rPr>
        <w:t>informations succinctes sur la quantité de matériel végétal requis dans les principes directeurs d</w:t>
      </w:r>
      <w:r>
        <w:rPr>
          <w:rFonts w:cs="Arial"/>
          <w:sz w:val="18"/>
          <w:szCs w:val="18"/>
          <w:highlight w:val="lightGray"/>
          <w:u w:val="single"/>
          <w:lang w:val="fr-FR"/>
        </w:rPr>
        <w:t>’</w:t>
      </w:r>
      <w:r w:rsidR="00EA3338" w:rsidRPr="0016157A">
        <w:rPr>
          <w:rFonts w:cs="Arial"/>
          <w:sz w:val="18"/>
          <w:szCs w:val="18"/>
          <w:highlight w:val="lightGray"/>
          <w:u w:val="single"/>
          <w:lang w:val="fr-FR"/>
        </w:rPr>
        <w:t>examen adoptés;  et</w:t>
      </w:r>
    </w:p>
    <w:p w:rsidR="00EA3338" w:rsidRPr="0016157A" w:rsidRDefault="00B4091E" w:rsidP="00C249E4">
      <w:pPr>
        <w:ind w:left="1843" w:right="567" w:hanging="425"/>
        <w:rPr>
          <w:sz w:val="18"/>
          <w:u w:val="single"/>
          <w:lang w:val="fr-FR"/>
        </w:rPr>
      </w:pPr>
      <w:r>
        <w:rPr>
          <w:rFonts w:cs="Arial"/>
          <w:sz w:val="18"/>
          <w:szCs w:val="18"/>
          <w:u w:val="single"/>
          <w:lang w:val="fr-FR"/>
        </w:rPr>
        <w:t>“</w:t>
      </w:r>
      <w:r w:rsidR="00EA3338" w:rsidRPr="00930989">
        <w:rPr>
          <w:rFonts w:cs="Arial"/>
          <w:sz w:val="18"/>
          <w:szCs w:val="18"/>
          <w:highlight w:val="lightGray"/>
          <w:u w:val="single"/>
          <w:lang w:val="fr-FR"/>
        </w:rPr>
        <w:t>x)</w:t>
      </w:r>
      <w:r w:rsidR="00EA3338" w:rsidRPr="00930989">
        <w:rPr>
          <w:rFonts w:cs="Arial"/>
          <w:sz w:val="18"/>
          <w:szCs w:val="18"/>
          <w:highlight w:val="lightGray"/>
          <w:u w:val="single"/>
          <w:lang w:val="fr-FR"/>
        </w:rPr>
        <w:tab/>
      </w:r>
      <w:r w:rsidR="00EA3338" w:rsidRPr="0016157A">
        <w:rPr>
          <w:rFonts w:cs="Arial"/>
          <w:sz w:val="18"/>
          <w:szCs w:val="18"/>
          <w:highlight w:val="lightGray"/>
          <w:u w:val="single"/>
          <w:lang w:val="fr-FR"/>
        </w:rPr>
        <w:t xml:space="preserve">TGP/14 </w:t>
      </w:r>
      <w:r>
        <w:rPr>
          <w:rFonts w:cs="Arial"/>
          <w:sz w:val="18"/>
          <w:szCs w:val="18"/>
          <w:highlight w:val="lightGray"/>
          <w:u w:val="single"/>
          <w:lang w:val="fr-FR"/>
        </w:rPr>
        <w:t>“</w:t>
      </w:r>
      <w:r w:rsidR="00EA3338" w:rsidRPr="0016157A">
        <w:rPr>
          <w:rFonts w:cs="Arial"/>
          <w:sz w:val="18"/>
          <w:szCs w:val="18"/>
          <w:highlight w:val="lightGray"/>
          <w:u w:val="single"/>
          <w:lang w:val="fr-FR"/>
        </w:rPr>
        <w:t>Glossaire des termes utilisés dans les documents de l</w:t>
      </w:r>
      <w:r>
        <w:rPr>
          <w:rFonts w:cs="Arial"/>
          <w:sz w:val="18"/>
          <w:szCs w:val="18"/>
          <w:highlight w:val="lightGray"/>
          <w:u w:val="single"/>
          <w:lang w:val="fr-FR"/>
        </w:rPr>
        <w:t>’</w:t>
      </w:r>
      <w:r w:rsidR="00EA3338" w:rsidRPr="0016157A">
        <w:rPr>
          <w:rFonts w:cs="Arial"/>
          <w:sz w:val="18"/>
          <w:szCs w:val="18"/>
          <w:highlight w:val="lightGray"/>
          <w:u w:val="single"/>
          <w:lang w:val="fr-FR"/>
        </w:rPr>
        <w:t>UPOV</w:t>
      </w:r>
      <w:r>
        <w:rPr>
          <w:rFonts w:cs="Arial"/>
          <w:sz w:val="18"/>
          <w:szCs w:val="18"/>
          <w:highlight w:val="lightGray"/>
          <w:u w:val="single"/>
          <w:lang w:val="fr-FR"/>
        </w:rPr>
        <w:t>”</w:t>
      </w:r>
    </w:p>
    <w:p w:rsidR="00EA3338" w:rsidRPr="0016157A" w:rsidRDefault="00EA3338" w:rsidP="00C249E4">
      <w:pPr>
        <w:ind w:left="567" w:right="567"/>
        <w:rPr>
          <w:sz w:val="18"/>
          <w:lang w:val="fr-FR"/>
        </w:rPr>
      </w:pPr>
      <w:r w:rsidRPr="0016157A">
        <w:rPr>
          <w:sz w:val="18"/>
          <w:lang w:val="fr-FR"/>
        </w:rPr>
        <w:t>[…]</w:t>
      </w:r>
    </w:p>
    <w:p w:rsidR="00EA3338" w:rsidRPr="0016157A" w:rsidRDefault="00EA3338" w:rsidP="00C249E4">
      <w:pPr>
        <w:ind w:right="567"/>
        <w:rPr>
          <w:sz w:val="18"/>
          <w:lang w:val="fr-FR"/>
        </w:rPr>
      </w:pPr>
    </w:p>
    <w:p w:rsidR="00EA3338" w:rsidRPr="0016157A" w:rsidRDefault="00EA3338" w:rsidP="00C249E4">
      <w:pPr>
        <w:ind w:left="567"/>
        <w:rPr>
          <w:sz w:val="18"/>
          <w:lang w:val="fr-FR"/>
        </w:rPr>
      </w:pPr>
      <w:bookmarkStart w:id="63" w:name="_Toc478118266"/>
      <w:r w:rsidRPr="0016157A">
        <w:rPr>
          <w:sz w:val="18"/>
          <w:lang w:val="fr-FR"/>
        </w:rPr>
        <w:t xml:space="preserve">2.2.5.3 </w:t>
      </w:r>
      <w:bookmarkEnd w:id="63"/>
      <w:r w:rsidRPr="0016157A">
        <w:rPr>
          <w:rFonts w:cs="Arial"/>
          <w:sz w:val="18"/>
          <w:szCs w:val="18"/>
          <w:lang w:val="fr-FR"/>
        </w:rPr>
        <w:t>Conditions à observer pour les projets de principes directeurs d</w:t>
      </w:r>
      <w:r w:rsidR="00B4091E">
        <w:rPr>
          <w:rFonts w:cs="Arial"/>
          <w:sz w:val="18"/>
          <w:szCs w:val="18"/>
          <w:lang w:val="fr-FR"/>
        </w:rPr>
        <w:t>’</w:t>
      </w:r>
      <w:r w:rsidRPr="0016157A">
        <w:rPr>
          <w:rFonts w:cs="Arial"/>
          <w:sz w:val="18"/>
          <w:szCs w:val="18"/>
          <w:lang w:val="fr-FR"/>
        </w:rPr>
        <w:t>examen soumis aux groupes de travail techniques</w:t>
      </w:r>
    </w:p>
    <w:p w:rsidR="00EA3338" w:rsidRPr="0016157A" w:rsidRDefault="00EA3338" w:rsidP="00C249E4">
      <w:pPr>
        <w:ind w:left="709" w:right="567"/>
        <w:rPr>
          <w:sz w:val="18"/>
          <w:lang w:val="fr-FR"/>
        </w:rPr>
      </w:pPr>
    </w:p>
    <w:p w:rsidR="00EA3338" w:rsidRPr="0016157A" w:rsidRDefault="00B4091E" w:rsidP="00C249E4">
      <w:pPr>
        <w:ind w:left="709" w:right="567"/>
        <w:rPr>
          <w:sz w:val="18"/>
          <w:lang w:val="fr-FR"/>
        </w:rPr>
      </w:pPr>
      <w:r>
        <w:rPr>
          <w:rFonts w:cs="Arial"/>
          <w:sz w:val="18"/>
          <w:szCs w:val="18"/>
          <w:lang w:val="fr-FR"/>
        </w:rPr>
        <w:t>“</w:t>
      </w:r>
      <w:r w:rsidR="00EA3338" w:rsidRPr="0016157A">
        <w:rPr>
          <w:rFonts w:cs="Arial"/>
          <w:sz w:val="18"/>
          <w:szCs w:val="18"/>
          <w:lang w:val="fr-FR"/>
        </w:rPr>
        <w:t>Sauf décision contraire prise durant la session du TWP, ou après par le président du TWP, le calendrier d</w:t>
      </w:r>
      <w:r>
        <w:rPr>
          <w:rFonts w:cs="Arial"/>
          <w:sz w:val="18"/>
          <w:szCs w:val="18"/>
          <w:lang w:val="fr-FR"/>
        </w:rPr>
        <w:t>’</w:t>
      </w:r>
      <w:r w:rsidR="00EA3338" w:rsidRPr="0016157A">
        <w:rPr>
          <w:rFonts w:cs="Arial"/>
          <w:sz w:val="18"/>
          <w:szCs w:val="18"/>
          <w:lang w:val="fr-FR"/>
        </w:rPr>
        <w:t>examen des projets de principes directeurs d</w:t>
      </w:r>
      <w:r>
        <w:rPr>
          <w:rFonts w:cs="Arial"/>
          <w:sz w:val="18"/>
          <w:szCs w:val="18"/>
          <w:lang w:val="fr-FR"/>
        </w:rPr>
        <w:t>’</w:t>
      </w:r>
      <w:r w:rsidR="00EA3338" w:rsidRPr="0016157A">
        <w:rPr>
          <w:rFonts w:cs="Arial"/>
          <w:sz w:val="18"/>
          <w:szCs w:val="18"/>
          <w:lang w:val="fr-FR"/>
        </w:rPr>
        <w:t>examen par les groupes de travail techniques est le suivant :</w:t>
      </w:r>
    </w:p>
    <w:p w:rsidR="00EA3338" w:rsidRPr="0016157A" w:rsidRDefault="00EA3338" w:rsidP="00C249E4">
      <w:pPr>
        <w:ind w:right="567"/>
        <w:rPr>
          <w:sz w:val="18"/>
          <w:lang w:val="fr-FR"/>
        </w:rPr>
      </w:pPr>
    </w:p>
    <w:tbl>
      <w:tblPr>
        <w:tblStyle w:val="TableGrid"/>
        <w:tblW w:w="8930" w:type="dxa"/>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386"/>
        <w:gridCol w:w="3544"/>
      </w:tblGrid>
      <w:tr w:rsidR="00EA3338" w:rsidRPr="008D1C5B" w:rsidTr="00C249E4">
        <w:tc>
          <w:tcPr>
            <w:tcW w:w="5386" w:type="dxa"/>
          </w:tcPr>
          <w:p w:rsidR="00EA3338" w:rsidRPr="0016157A" w:rsidRDefault="00EA3338" w:rsidP="00C249E4">
            <w:pPr>
              <w:keepNext/>
              <w:keepLines/>
              <w:jc w:val="center"/>
              <w:rPr>
                <w:lang w:val="fr-FR"/>
              </w:rPr>
            </w:pPr>
            <w:r w:rsidRPr="0016157A">
              <w:rPr>
                <w:lang w:val="fr-FR"/>
              </w:rPr>
              <w:t>Action</w:t>
            </w:r>
          </w:p>
        </w:tc>
        <w:tc>
          <w:tcPr>
            <w:tcW w:w="3544" w:type="dxa"/>
          </w:tcPr>
          <w:p w:rsidR="00EA3338" w:rsidRPr="0016157A" w:rsidRDefault="00EA3338" w:rsidP="00C249E4">
            <w:pPr>
              <w:keepNext/>
              <w:keepLines/>
              <w:jc w:val="center"/>
              <w:rPr>
                <w:lang w:val="fr-FR"/>
              </w:rPr>
            </w:pPr>
            <w:r w:rsidRPr="0016157A">
              <w:rPr>
                <w:lang w:val="fr-FR"/>
              </w:rPr>
              <w:t xml:space="preserve">Délai </w:t>
            </w:r>
            <w:proofErr w:type="spellStart"/>
            <w:r w:rsidRPr="0016157A">
              <w:rPr>
                <w:lang w:val="fr-FR"/>
              </w:rPr>
              <w:t>minimun</w:t>
            </w:r>
            <w:proofErr w:type="spellEnd"/>
            <w:r w:rsidRPr="0016157A">
              <w:rPr>
                <w:lang w:val="fr-FR"/>
              </w:rPr>
              <w:br/>
              <w:t>avant la session du TWP</w:t>
            </w:r>
          </w:p>
        </w:tc>
      </w:tr>
      <w:tr w:rsidR="00EA3338" w:rsidRPr="0016157A" w:rsidTr="00C249E4">
        <w:tc>
          <w:tcPr>
            <w:tcW w:w="5386" w:type="dxa"/>
          </w:tcPr>
          <w:p w:rsidR="00EA3338" w:rsidRPr="0016157A" w:rsidRDefault="00EA3338" w:rsidP="00C249E4">
            <w:pPr>
              <w:keepNext/>
              <w:keepLines/>
              <w:rPr>
                <w:lang w:val="fr-FR"/>
              </w:rPr>
            </w:pPr>
            <w:r w:rsidRPr="0016157A">
              <w:rPr>
                <w:lang w:val="fr-FR"/>
              </w:rPr>
              <w:t>Diffusion du projet à l</w:t>
            </w:r>
            <w:r w:rsidR="00B4091E">
              <w:rPr>
                <w:lang w:val="fr-FR"/>
              </w:rPr>
              <w:t>’</w:t>
            </w:r>
            <w:r w:rsidRPr="0016157A">
              <w:rPr>
                <w:lang w:val="fr-FR"/>
              </w:rPr>
              <w:t>intention du sous</w:t>
            </w:r>
            <w:r w:rsidRPr="0016157A">
              <w:rPr>
                <w:lang w:val="fr-FR"/>
              </w:rPr>
              <w:noBreakHyphen/>
              <w:t>groupe par l</w:t>
            </w:r>
            <w:r w:rsidR="00B4091E">
              <w:rPr>
                <w:lang w:val="fr-FR"/>
              </w:rPr>
              <w:t>’</w:t>
            </w:r>
            <w:r w:rsidRPr="0016157A">
              <w:rPr>
                <w:lang w:val="fr-FR"/>
              </w:rPr>
              <w:t>expert principal :</w:t>
            </w:r>
          </w:p>
        </w:tc>
        <w:tc>
          <w:tcPr>
            <w:tcW w:w="3544" w:type="dxa"/>
          </w:tcPr>
          <w:p w:rsidR="00EA3338" w:rsidRPr="0016157A" w:rsidRDefault="00EA3338" w:rsidP="00C249E4">
            <w:pPr>
              <w:keepNext/>
              <w:keepLines/>
              <w:jc w:val="center"/>
              <w:rPr>
                <w:lang w:val="fr-FR"/>
              </w:rPr>
            </w:pPr>
            <w:r w:rsidRPr="0016157A">
              <w:rPr>
                <w:lang w:val="fr-FR"/>
              </w:rPr>
              <w:t>14 semaines</w:t>
            </w:r>
          </w:p>
        </w:tc>
      </w:tr>
      <w:tr w:rsidR="00EA3338" w:rsidRPr="0016157A" w:rsidTr="00C249E4">
        <w:tc>
          <w:tcPr>
            <w:tcW w:w="5386" w:type="dxa"/>
          </w:tcPr>
          <w:p w:rsidR="00EA3338" w:rsidRPr="0016157A" w:rsidRDefault="00EA3338" w:rsidP="00C249E4">
            <w:pPr>
              <w:keepNext/>
              <w:keepLines/>
              <w:rPr>
                <w:lang w:val="fr-FR"/>
              </w:rPr>
            </w:pPr>
            <w:r w:rsidRPr="0016157A">
              <w:rPr>
                <w:lang w:val="fr-FR"/>
              </w:rPr>
              <w:t>Observations du sous</w:t>
            </w:r>
            <w:r w:rsidRPr="0016157A">
              <w:rPr>
                <w:lang w:val="fr-FR"/>
              </w:rPr>
              <w:noBreakHyphen/>
              <w:t>groupe :</w:t>
            </w:r>
          </w:p>
        </w:tc>
        <w:tc>
          <w:tcPr>
            <w:tcW w:w="3544" w:type="dxa"/>
          </w:tcPr>
          <w:p w:rsidR="00EA3338" w:rsidRPr="0016157A" w:rsidRDefault="00EA3338" w:rsidP="00C249E4">
            <w:pPr>
              <w:keepNext/>
              <w:keepLines/>
              <w:jc w:val="center"/>
              <w:rPr>
                <w:lang w:val="fr-FR"/>
              </w:rPr>
            </w:pPr>
            <w:r w:rsidRPr="0016157A">
              <w:rPr>
                <w:lang w:val="fr-FR"/>
              </w:rPr>
              <w:t>10 semaines</w:t>
            </w:r>
          </w:p>
        </w:tc>
      </w:tr>
      <w:tr w:rsidR="00EA3338" w:rsidRPr="0016157A" w:rsidTr="00C249E4">
        <w:tc>
          <w:tcPr>
            <w:tcW w:w="5386" w:type="dxa"/>
          </w:tcPr>
          <w:p w:rsidR="00EA3338" w:rsidRPr="0016157A" w:rsidRDefault="00EA3338" w:rsidP="00C249E4">
            <w:pPr>
              <w:keepNext/>
              <w:keepLines/>
              <w:rPr>
                <w:lang w:val="fr-FR"/>
              </w:rPr>
            </w:pPr>
            <w:r w:rsidRPr="0016157A">
              <w:rPr>
                <w:strike/>
                <w:lang w:val="fr-FR"/>
              </w:rPr>
              <w:t>Envoi</w:t>
            </w:r>
            <w:r w:rsidRPr="0016157A">
              <w:rPr>
                <w:lang w:val="fr-FR"/>
              </w:rPr>
              <w:t xml:space="preserve"> </w:t>
            </w:r>
            <w:r w:rsidRPr="0016157A">
              <w:rPr>
                <w:highlight w:val="lightGray"/>
                <w:u w:val="single"/>
                <w:lang w:val="fr-FR"/>
              </w:rPr>
              <w:t>Remise</w:t>
            </w:r>
            <w:r w:rsidRPr="0016157A">
              <w:rPr>
                <w:lang w:val="fr-FR"/>
              </w:rPr>
              <w:t xml:space="preserve"> du projet au Bureau par l</w:t>
            </w:r>
            <w:r w:rsidR="00B4091E">
              <w:rPr>
                <w:lang w:val="fr-FR"/>
              </w:rPr>
              <w:t>’</w:t>
            </w:r>
            <w:r w:rsidRPr="0016157A">
              <w:rPr>
                <w:lang w:val="fr-FR"/>
              </w:rPr>
              <w:t>expert principal :</w:t>
            </w:r>
          </w:p>
        </w:tc>
        <w:tc>
          <w:tcPr>
            <w:tcW w:w="3544" w:type="dxa"/>
          </w:tcPr>
          <w:p w:rsidR="00EA3338" w:rsidRPr="0016157A" w:rsidRDefault="00EA3338" w:rsidP="00C249E4">
            <w:pPr>
              <w:keepNext/>
              <w:keepLines/>
              <w:jc w:val="center"/>
              <w:rPr>
                <w:lang w:val="fr-FR"/>
              </w:rPr>
            </w:pPr>
            <w:r w:rsidRPr="0016157A">
              <w:rPr>
                <w:lang w:val="fr-FR"/>
              </w:rPr>
              <w:t>6 semaines</w:t>
            </w:r>
          </w:p>
        </w:tc>
      </w:tr>
      <w:tr w:rsidR="00EA3338" w:rsidRPr="0016157A" w:rsidTr="00C249E4">
        <w:tc>
          <w:tcPr>
            <w:tcW w:w="5386" w:type="dxa"/>
          </w:tcPr>
          <w:p w:rsidR="00EA3338" w:rsidRPr="0016157A" w:rsidRDefault="00EA3338" w:rsidP="00C249E4">
            <w:pPr>
              <w:keepNext/>
              <w:keepLines/>
              <w:rPr>
                <w:lang w:val="fr-FR"/>
              </w:rPr>
            </w:pPr>
            <w:r w:rsidRPr="0016157A">
              <w:rPr>
                <w:lang w:val="fr-FR"/>
              </w:rPr>
              <w:t>Publication du projet sur le site Web par le Bureau :</w:t>
            </w:r>
          </w:p>
        </w:tc>
        <w:tc>
          <w:tcPr>
            <w:tcW w:w="3544" w:type="dxa"/>
          </w:tcPr>
          <w:p w:rsidR="00EA3338" w:rsidRPr="0016157A" w:rsidRDefault="00EA3338" w:rsidP="00C249E4">
            <w:pPr>
              <w:keepNext/>
              <w:keepLines/>
              <w:jc w:val="center"/>
              <w:rPr>
                <w:lang w:val="fr-FR"/>
              </w:rPr>
            </w:pPr>
            <w:r w:rsidRPr="0016157A">
              <w:rPr>
                <w:lang w:val="fr-FR"/>
              </w:rPr>
              <w:t>4 semaines</w:t>
            </w:r>
          </w:p>
        </w:tc>
      </w:tr>
    </w:tbl>
    <w:p w:rsidR="00EA3338" w:rsidRPr="0016157A" w:rsidRDefault="00EA3338" w:rsidP="00C249E4">
      <w:pPr>
        <w:rPr>
          <w:lang w:val="fr-FR"/>
        </w:rPr>
      </w:pPr>
    </w:p>
    <w:p w:rsidR="00EA3338" w:rsidRPr="0016157A" w:rsidRDefault="00B4091E" w:rsidP="00C249E4">
      <w:pPr>
        <w:ind w:left="567" w:right="567"/>
        <w:rPr>
          <w:sz w:val="18"/>
          <w:lang w:val="fr-FR"/>
        </w:rPr>
      </w:pPr>
      <w:r>
        <w:rPr>
          <w:sz w:val="18"/>
          <w:lang w:val="fr-FR"/>
        </w:rPr>
        <w:t>“</w:t>
      </w:r>
      <w:r w:rsidR="00EA3338" w:rsidRPr="0016157A">
        <w:rPr>
          <w:sz w:val="18"/>
          <w:szCs w:val="18"/>
          <w:lang w:val="fr-FR"/>
        </w:rPr>
        <w:t xml:space="preserve">Dans le cas où le délai imparti </w:t>
      </w:r>
      <w:r w:rsidR="00EA3338" w:rsidRPr="0016157A">
        <w:rPr>
          <w:iCs/>
          <w:sz w:val="18"/>
          <w:szCs w:val="18"/>
          <w:lang w:val="fr-FR"/>
        </w:rPr>
        <w:t>soit</w:t>
      </w:r>
      <w:r w:rsidR="00EA3338" w:rsidRPr="0016157A">
        <w:rPr>
          <w:sz w:val="18"/>
          <w:szCs w:val="18"/>
          <w:lang w:val="fr-FR"/>
        </w:rPr>
        <w:t xml:space="preserve"> pour la diffusion du projet à l</w:t>
      </w:r>
      <w:r>
        <w:rPr>
          <w:sz w:val="18"/>
          <w:szCs w:val="18"/>
          <w:lang w:val="fr-FR"/>
        </w:rPr>
        <w:t>’</w:t>
      </w:r>
      <w:r w:rsidR="00EA3338" w:rsidRPr="0016157A">
        <w:rPr>
          <w:sz w:val="18"/>
          <w:szCs w:val="18"/>
          <w:lang w:val="fr-FR"/>
        </w:rPr>
        <w:t>intention du sous</w:t>
      </w:r>
      <w:r w:rsidR="00EA3338" w:rsidRPr="0016157A">
        <w:rPr>
          <w:sz w:val="18"/>
          <w:szCs w:val="18"/>
          <w:lang w:val="fr-FR"/>
        </w:rPr>
        <w:noBreakHyphen/>
        <w:t xml:space="preserve">groupe soit pour </w:t>
      </w:r>
      <w:r w:rsidR="00EA3338" w:rsidRPr="0016157A">
        <w:rPr>
          <w:strike/>
          <w:sz w:val="18"/>
          <w:szCs w:val="18"/>
          <w:highlight w:val="lightGray"/>
          <w:lang w:val="fr-FR"/>
        </w:rPr>
        <w:t>l</w:t>
      </w:r>
      <w:r>
        <w:rPr>
          <w:strike/>
          <w:sz w:val="18"/>
          <w:szCs w:val="18"/>
          <w:highlight w:val="lightGray"/>
          <w:lang w:val="fr-FR"/>
        </w:rPr>
        <w:t>’</w:t>
      </w:r>
      <w:r w:rsidR="00EA3338" w:rsidRPr="0016157A">
        <w:rPr>
          <w:strike/>
          <w:sz w:val="18"/>
          <w:szCs w:val="18"/>
          <w:highlight w:val="lightGray"/>
          <w:lang w:val="fr-FR"/>
        </w:rPr>
        <w:t>envoi</w:t>
      </w:r>
      <w:r w:rsidR="00EA3338" w:rsidRPr="0016157A">
        <w:rPr>
          <w:sz w:val="18"/>
          <w:szCs w:val="18"/>
          <w:highlight w:val="lightGray"/>
          <w:lang w:val="fr-FR"/>
        </w:rPr>
        <w:t xml:space="preserve"> </w:t>
      </w:r>
      <w:r w:rsidR="00EA3338" w:rsidRPr="0016157A">
        <w:rPr>
          <w:sz w:val="18"/>
          <w:szCs w:val="18"/>
          <w:highlight w:val="lightGray"/>
          <w:u w:val="single"/>
          <w:lang w:val="fr-FR"/>
        </w:rPr>
        <w:t>la remise</w:t>
      </w:r>
      <w:r w:rsidR="00EA3338" w:rsidRPr="0016157A">
        <w:rPr>
          <w:sz w:val="18"/>
          <w:szCs w:val="18"/>
          <w:lang w:val="fr-FR"/>
        </w:rPr>
        <w:t xml:space="preserve"> du projet au Bureau par l</w:t>
      </w:r>
      <w:r>
        <w:rPr>
          <w:sz w:val="18"/>
          <w:szCs w:val="18"/>
          <w:lang w:val="fr-FR"/>
        </w:rPr>
        <w:t>’</w:t>
      </w:r>
      <w:r w:rsidR="00EA3338" w:rsidRPr="0016157A">
        <w:rPr>
          <w:sz w:val="18"/>
          <w:szCs w:val="18"/>
          <w:lang w:val="fr-FR"/>
        </w:rPr>
        <w:t>expert principal n</w:t>
      </w:r>
      <w:r>
        <w:rPr>
          <w:sz w:val="18"/>
          <w:szCs w:val="18"/>
          <w:lang w:val="fr-FR"/>
        </w:rPr>
        <w:t>’</w:t>
      </w:r>
      <w:r w:rsidR="00EA3338" w:rsidRPr="0016157A">
        <w:rPr>
          <w:sz w:val="18"/>
          <w:szCs w:val="18"/>
          <w:lang w:val="fr-FR"/>
        </w:rPr>
        <w:t>est pas respecté, les principes directeurs d</w:t>
      </w:r>
      <w:r>
        <w:rPr>
          <w:sz w:val="18"/>
          <w:szCs w:val="18"/>
          <w:lang w:val="fr-FR"/>
        </w:rPr>
        <w:t>’</w:t>
      </w:r>
      <w:r w:rsidR="00EA3338" w:rsidRPr="0016157A">
        <w:rPr>
          <w:sz w:val="18"/>
          <w:szCs w:val="18"/>
          <w:lang w:val="fr-FR"/>
        </w:rPr>
        <w:t>examen sont retirés de l</w:t>
      </w:r>
      <w:r>
        <w:rPr>
          <w:sz w:val="18"/>
          <w:szCs w:val="18"/>
          <w:lang w:val="fr-FR"/>
        </w:rPr>
        <w:t>’</w:t>
      </w:r>
      <w:r w:rsidR="00EA3338" w:rsidRPr="0016157A">
        <w:rPr>
          <w:sz w:val="18"/>
          <w:szCs w:val="18"/>
          <w:lang w:val="fr-FR"/>
        </w:rPr>
        <w:t>ordre du jour du TWP et le Bureau en informera le TWP à la première occasion (</w:t>
      </w:r>
      <w:r w:rsidR="00EA3338" w:rsidRPr="0016157A">
        <w:rPr>
          <w:snapToGrid w:val="0"/>
          <w:sz w:val="18"/>
          <w:szCs w:val="18"/>
          <w:lang w:val="fr-FR"/>
        </w:rPr>
        <w:t>c</w:t>
      </w:r>
      <w:r>
        <w:rPr>
          <w:snapToGrid w:val="0"/>
          <w:sz w:val="18"/>
          <w:szCs w:val="18"/>
          <w:lang w:val="fr-FR"/>
        </w:rPr>
        <w:t>’</w:t>
      </w:r>
      <w:r w:rsidR="00EA3338" w:rsidRPr="0016157A">
        <w:rPr>
          <w:snapToGrid w:val="0"/>
          <w:sz w:val="18"/>
          <w:szCs w:val="18"/>
          <w:lang w:val="fr-FR"/>
        </w:rPr>
        <w:t>est</w:t>
      </w:r>
      <w:r w:rsidR="00EA3338" w:rsidRPr="0016157A">
        <w:rPr>
          <w:snapToGrid w:val="0"/>
          <w:sz w:val="18"/>
          <w:szCs w:val="18"/>
          <w:lang w:val="fr-FR"/>
        </w:rPr>
        <w:noBreakHyphen/>
        <w:t>à</w:t>
      </w:r>
      <w:r w:rsidR="00EA3338" w:rsidRPr="0016157A">
        <w:rPr>
          <w:snapToGrid w:val="0"/>
          <w:sz w:val="18"/>
          <w:szCs w:val="18"/>
          <w:lang w:val="fr-FR"/>
        </w:rPr>
        <w:noBreakHyphen/>
        <w:t>dire</w:t>
      </w:r>
      <w:r w:rsidR="00EA3338" w:rsidRPr="0016157A">
        <w:rPr>
          <w:sz w:val="18"/>
          <w:szCs w:val="18"/>
          <w:lang w:val="fr-FR"/>
        </w:rPr>
        <w:t>, quatre semaines au moins avant la session du TWP).  Si un projet de principes directeurs d</w:t>
      </w:r>
      <w:r>
        <w:rPr>
          <w:sz w:val="18"/>
          <w:szCs w:val="18"/>
          <w:lang w:val="fr-FR"/>
        </w:rPr>
        <w:t>’</w:t>
      </w:r>
      <w:r w:rsidR="00EA3338" w:rsidRPr="0016157A">
        <w:rPr>
          <w:sz w:val="18"/>
          <w:szCs w:val="18"/>
          <w:lang w:val="fr-FR"/>
        </w:rPr>
        <w:t>examen est retiré de l</w:t>
      </w:r>
      <w:r>
        <w:rPr>
          <w:sz w:val="18"/>
          <w:szCs w:val="18"/>
          <w:lang w:val="fr-FR"/>
        </w:rPr>
        <w:t>’</w:t>
      </w:r>
      <w:r w:rsidR="00EA3338" w:rsidRPr="0016157A">
        <w:rPr>
          <w:sz w:val="18"/>
          <w:szCs w:val="18"/>
          <w:lang w:val="fr-FR"/>
        </w:rPr>
        <w:t>ordre du jour du TWP au motif que l</w:t>
      </w:r>
      <w:r>
        <w:rPr>
          <w:sz w:val="18"/>
          <w:szCs w:val="18"/>
          <w:lang w:val="fr-FR"/>
        </w:rPr>
        <w:t>’</w:t>
      </w:r>
      <w:r w:rsidR="00EA3338" w:rsidRPr="0016157A">
        <w:rPr>
          <w:sz w:val="18"/>
          <w:szCs w:val="18"/>
          <w:lang w:val="fr-FR"/>
        </w:rPr>
        <w:t>expert principal n</w:t>
      </w:r>
      <w:r>
        <w:rPr>
          <w:sz w:val="18"/>
          <w:szCs w:val="18"/>
          <w:lang w:val="fr-FR"/>
        </w:rPr>
        <w:t>’</w:t>
      </w:r>
      <w:r w:rsidR="00EA3338" w:rsidRPr="0016157A">
        <w:rPr>
          <w:sz w:val="18"/>
          <w:szCs w:val="18"/>
          <w:lang w:val="fr-FR"/>
        </w:rPr>
        <w:t>a pas observé le délai applicable, certaines questions particulières concernant ces principes directeurs d</w:t>
      </w:r>
      <w:r>
        <w:rPr>
          <w:sz w:val="18"/>
          <w:szCs w:val="18"/>
          <w:lang w:val="fr-FR"/>
        </w:rPr>
        <w:t>’</w:t>
      </w:r>
      <w:r w:rsidR="00EA3338" w:rsidRPr="0016157A">
        <w:rPr>
          <w:sz w:val="18"/>
          <w:szCs w:val="18"/>
          <w:lang w:val="fr-FR"/>
        </w:rPr>
        <w:t>examen peuvent néanmoins être examinées à la session du TWP.  Toutefois, il convient de soumettre au Bureau un document à cet effet six semaines au moins avant la session du TWP</w:t>
      </w:r>
      <w:r w:rsidR="00EA3338" w:rsidRPr="0016157A">
        <w:rPr>
          <w:sz w:val="18"/>
          <w:lang w:val="fr-FR"/>
        </w:rPr>
        <w:t>.</w:t>
      </w:r>
      <w:r>
        <w:rPr>
          <w:sz w:val="18"/>
          <w:lang w:val="fr-FR"/>
        </w:rPr>
        <w:t>”</w:t>
      </w:r>
    </w:p>
    <w:p w:rsidR="00EA3338" w:rsidRPr="0016157A" w:rsidRDefault="00EA3338" w:rsidP="00C249E4">
      <w:pPr>
        <w:ind w:firstLine="567"/>
        <w:rPr>
          <w:lang w:val="fr-FR"/>
        </w:rPr>
      </w:pPr>
      <w:r w:rsidRPr="0016157A">
        <w:rPr>
          <w:lang w:val="fr-FR"/>
        </w:rPr>
        <w:t>[…]</w:t>
      </w:r>
    </w:p>
    <w:p w:rsidR="00EA3338" w:rsidRPr="0016157A" w:rsidRDefault="00EA3338" w:rsidP="00C249E4">
      <w:pPr>
        <w:rPr>
          <w:lang w:val="fr-FR"/>
        </w:rPr>
      </w:pPr>
    </w:p>
    <w:p w:rsidR="00EA3338" w:rsidRPr="0016157A" w:rsidRDefault="00EA3338" w:rsidP="00C249E4">
      <w:pPr>
        <w:rPr>
          <w:sz w:val="18"/>
          <w:u w:val="single"/>
          <w:lang w:val="fr-FR"/>
        </w:rPr>
      </w:pPr>
      <w:bookmarkStart w:id="64" w:name="_Toc478118267"/>
      <w:r w:rsidRPr="0016157A">
        <w:rPr>
          <w:sz w:val="18"/>
          <w:u w:val="single"/>
          <w:lang w:val="fr-FR"/>
        </w:rPr>
        <w:t xml:space="preserve">Section 3 : </w:t>
      </w:r>
      <w:bookmarkEnd w:id="64"/>
      <w:r w:rsidRPr="0016157A">
        <w:rPr>
          <w:rFonts w:cs="Arial"/>
          <w:sz w:val="18"/>
          <w:szCs w:val="18"/>
          <w:u w:val="single"/>
          <w:lang w:val="fr-FR"/>
        </w:rPr>
        <w:t>Conseils pour l</w:t>
      </w:r>
      <w:r w:rsidR="00B4091E">
        <w:rPr>
          <w:rFonts w:cs="Arial"/>
          <w:sz w:val="18"/>
          <w:szCs w:val="18"/>
          <w:u w:val="single"/>
          <w:lang w:val="fr-FR"/>
        </w:rPr>
        <w:t>’</w:t>
      </w:r>
      <w:r w:rsidRPr="0016157A">
        <w:rPr>
          <w:rFonts w:cs="Arial"/>
          <w:sz w:val="18"/>
          <w:szCs w:val="18"/>
          <w:u w:val="single"/>
          <w:lang w:val="fr-FR"/>
        </w:rPr>
        <w:t>élaboration des principes directeurs d</w:t>
      </w:r>
      <w:r w:rsidR="00B4091E">
        <w:rPr>
          <w:rFonts w:cs="Arial"/>
          <w:sz w:val="18"/>
          <w:szCs w:val="18"/>
          <w:u w:val="single"/>
          <w:lang w:val="fr-FR"/>
        </w:rPr>
        <w:t>’</w:t>
      </w:r>
      <w:r w:rsidRPr="0016157A">
        <w:rPr>
          <w:rFonts w:cs="Arial"/>
          <w:sz w:val="18"/>
          <w:szCs w:val="18"/>
          <w:u w:val="single"/>
          <w:lang w:val="fr-FR"/>
        </w:rPr>
        <w:t>examen</w:t>
      </w:r>
    </w:p>
    <w:p w:rsidR="00EA3338" w:rsidRPr="0016157A" w:rsidRDefault="00EA3338" w:rsidP="00C249E4">
      <w:pPr>
        <w:ind w:left="567" w:right="567"/>
        <w:rPr>
          <w:sz w:val="18"/>
          <w:lang w:val="fr-FR"/>
        </w:rPr>
      </w:pPr>
    </w:p>
    <w:p w:rsidR="00EA3338" w:rsidRPr="0016157A" w:rsidRDefault="00EA3338" w:rsidP="00C249E4">
      <w:pPr>
        <w:ind w:left="567"/>
        <w:rPr>
          <w:sz w:val="18"/>
          <w:lang w:val="fr-FR"/>
        </w:rPr>
      </w:pPr>
      <w:bookmarkStart w:id="65" w:name="_Toc399418831"/>
      <w:bookmarkStart w:id="66" w:name="_Toc478118268"/>
      <w:r w:rsidRPr="0016157A">
        <w:rPr>
          <w:sz w:val="18"/>
          <w:lang w:val="fr-FR"/>
        </w:rPr>
        <w:t>3.1</w:t>
      </w:r>
      <w:r w:rsidRPr="0016157A">
        <w:rPr>
          <w:sz w:val="18"/>
          <w:lang w:val="fr-FR"/>
        </w:rPr>
        <w:tab/>
      </w:r>
      <w:bookmarkEnd w:id="65"/>
      <w:bookmarkEnd w:id="66"/>
      <w:r w:rsidRPr="0016157A">
        <w:rPr>
          <w:rFonts w:cs="Arial"/>
          <w:sz w:val="18"/>
          <w:szCs w:val="18"/>
          <w:highlight w:val="lightGray"/>
          <w:lang w:val="fr-FR"/>
        </w:rPr>
        <w:t xml:space="preserve">Structure des </w:t>
      </w:r>
      <w:r w:rsidRPr="0016157A">
        <w:rPr>
          <w:rFonts w:cs="Arial"/>
          <w:strike/>
          <w:sz w:val="18"/>
          <w:szCs w:val="18"/>
          <w:highlight w:val="lightGray"/>
          <w:lang w:val="fr-FR"/>
        </w:rPr>
        <w:t xml:space="preserve">Modèle de </w:t>
      </w:r>
      <w:r w:rsidRPr="0016157A">
        <w:rPr>
          <w:rFonts w:cs="Arial"/>
          <w:sz w:val="18"/>
          <w:szCs w:val="18"/>
          <w:lang w:val="fr-FR"/>
        </w:rPr>
        <w:t>principes directeurs d</w:t>
      </w:r>
      <w:r w:rsidR="00B4091E">
        <w:rPr>
          <w:rFonts w:cs="Arial"/>
          <w:sz w:val="18"/>
          <w:szCs w:val="18"/>
          <w:lang w:val="fr-FR"/>
        </w:rPr>
        <w:t>’</w:t>
      </w:r>
      <w:r w:rsidRPr="0016157A">
        <w:rPr>
          <w:rFonts w:cs="Arial"/>
          <w:sz w:val="18"/>
          <w:szCs w:val="18"/>
          <w:lang w:val="fr-FR"/>
        </w:rPr>
        <w:t xml:space="preserve">examen </w:t>
      </w:r>
      <w:r w:rsidRPr="0016157A">
        <w:rPr>
          <w:rFonts w:cs="Arial"/>
          <w:sz w:val="18"/>
          <w:szCs w:val="18"/>
          <w:highlight w:val="lightGray"/>
          <w:lang w:val="fr-FR"/>
        </w:rPr>
        <w:t>et texte standard général</w:t>
      </w:r>
    </w:p>
    <w:p w:rsidR="00EA3338" w:rsidRPr="0016157A" w:rsidRDefault="00EA3338" w:rsidP="00C249E4">
      <w:pPr>
        <w:ind w:left="567" w:right="567"/>
        <w:rPr>
          <w:sz w:val="18"/>
          <w:lang w:val="fr-FR"/>
        </w:rPr>
      </w:pPr>
    </w:p>
    <w:p w:rsidR="00EA3338" w:rsidRPr="0016157A" w:rsidRDefault="00B4091E" w:rsidP="00C249E4">
      <w:pPr>
        <w:tabs>
          <w:tab w:val="left" w:pos="567"/>
        </w:tabs>
        <w:ind w:left="567" w:right="567"/>
        <w:rPr>
          <w:sz w:val="18"/>
          <w:lang w:val="fr-FR"/>
        </w:rPr>
      </w:pPr>
      <w:r>
        <w:rPr>
          <w:rFonts w:cs="Arial"/>
          <w:sz w:val="18"/>
          <w:szCs w:val="18"/>
          <w:lang w:val="fr-FR"/>
        </w:rPr>
        <w:t>“</w:t>
      </w:r>
      <w:r w:rsidR="00EA3338" w:rsidRPr="0016157A">
        <w:rPr>
          <w:rFonts w:cs="Arial"/>
          <w:sz w:val="18"/>
          <w:szCs w:val="18"/>
          <w:lang w:val="fr-FR"/>
        </w:rPr>
        <w:t>3.1.1</w:t>
      </w:r>
      <w:r w:rsidR="00EA3338" w:rsidRPr="0016157A">
        <w:rPr>
          <w:rFonts w:cs="Arial"/>
          <w:sz w:val="18"/>
          <w:szCs w:val="18"/>
          <w:lang w:val="fr-FR"/>
        </w:rPr>
        <w:tab/>
        <w:t>L</w:t>
      </w:r>
      <w:r>
        <w:rPr>
          <w:rFonts w:cs="Arial"/>
          <w:sz w:val="18"/>
          <w:szCs w:val="18"/>
          <w:lang w:val="fr-FR"/>
        </w:rPr>
        <w:t>’</w:t>
      </w:r>
      <w:r w:rsidR="00EA3338" w:rsidRPr="0016157A">
        <w:rPr>
          <w:rFonts w:cs="Arial"/>
          <w:sz w:val="18"/>
          <w:szCs w:val="18"/>
          <w:lang w:val="fr-FR"/>
        </w:rPr>
        <w:t xml:space="preserve">UPOV a établi </w:t>
      </w:r>
      <w:r w:rsidR="00EA3338" w:rsidRPr="0016157A">
        <w:rPr>
          <w:rFonts w:cs="Arial"/>
          <w:strike/>
          <w:sz w:val="18"/>
          <w:szCs w:val="18"/>
          <w:highlight w:val="lightGray"/>
          <w:lang w:val="fr-FR"/>
        </w:rPr>
        <w:t>un modèle (ci</w:t>
      </w:r>
      <w:r w:rsidR="00EA3338" w:rsidRPr="0016157A">
        <w:rPr>
          <w:rFonts w:cs="Arial"/>
          <w:strike/>
          <w:sz w:val="18"/>
          <w:szCs w:val="18"/>
          <w:highlight w:val="lightGray"/>
          <w:lang w:val="fr-FR"/>
        </w:rPr>
        <w:noBreakHyphen/>
        <w:t xml:space="preserve">après dénommé </w:t>
      </w:r>
      <w:r>
        <w:rPr>
          <w:rFonts w:cs="Arial"/>
          <w:strike/>
          <w:sz w:val="18"/>
          <w:szCs w:val="18"/>
          <w:highlight w:val="lightGray"/>
          <w:lang w:val="fr-FR"/>
        </w:rPr>
        <w:t>“</w:t>
      </w:r>
      <w:r w:rsidR="00EA3338" w:rsidRPr="0016157A">
        <w:rPr>
          <w:rFonts w:cs="Arial"/>
          <w:strike/>
          <w:sz w:val="18"/>
          <w:szCs w:val="18"/>
          <w:highlight w:val="lightGray"/>
          <w:lang w:val="fr-FR"/>
        </w:rPr>
        <w:t>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Pr>
          <w:rFonts w:cs="Arial"/>
          <w:strike/>
          <w:sz w:val="18"/>
          <w:szCs w:val="18"/>
          <w:highlight w:val="lightGray"/>
          <w:lang w:val="fr-FR"/>
        </w:rPr>
        <w:t>”</w:t>
      </w:r>
      <w:r w:rsidR="00EA3338" w:rsidRPr="0016157A">
        <w:rPr>
          <w:rFonts w:cs="Arial"/>
          <w:strike/>
          <w:sz w:val="18"/>
          <w:szCs w:val="18"/>
          <w:highlight w:val="lightGray"/>
          <w:lang w:val="fr-FR"/>
        </w:rPr>
        <w:t>)</w:t>
      </w:r>
      <w:r w:rsidR="00EA3338" w:rsidRPr="0016157A">
        <w:rPr>
          <w:rFonts w:cs="Arial"/>
          <w:strike/>
          <w:sz w:val="18"/>
          <w:szCs w:val="18"/>
          <w:lang w:val="fr-FR"/>
        </w:rPr>
        <w:t xml:space="preserve"> </w:t>
      </w:r>
      <w:r w:rsidR="00EA3338" w:rsidRPr="0016157A">
        <w:rPr>
          <w:rFonts w:cs="Arial"/>
          <w:strike/>
          <w:sz w:val="18"/>
          <w:szCs w:val="18"/>
          <w:highlight w:val="lightGray"/>
          <w:lang w:val="fr-FR"/>
        </w:rPr>
        <w:t>contenant le</w:t>
      </w:r>
      <w:r w:rsidR="00EA3338" w:rsidRPr="0016157A">
        <w:rPr>
          <w:rFonts w:cs="Arial"/>
          <w:sz w:val="18"/>
          <w:szCs w:val="18"/>
          <w:lang w:val="fr-FR"/>
        </w:rPr>
        <w:t xml:space="preserve"> </w:t>
      </w:r>
      <w:r w:rsidR="00EA3338" w:rsidRPr="0016157A">
        <w:rPr>
          <w:rFonts w:cs="Arial"/>
          <w:sz w:val="18"/>
          <w:szCs w:val="18"/>
          <w:highlight w:val="lightGray"/>
          <w:u w:val="single"/>
          <w:lang w:val="fr-FR"/>
        </w:rPr>
        <w:t>une structure standard et un</w:t>
      </w:r>
      <w:r w:rsidR="00EA3338" w:rsidRPr="0016157A">
        <w:rPr>
          <w:rFonts w:cs="Arial"/>
          <w:sz w:val="18"/>
          <w:szCs w:val="18"/>
          <w:lang w:val="fr-FR"/>
        </w:rPr>
        <w:t xml:space="preserve"> texte standard général adapté à tous les principes directeurs d</w:t>
      </w:r>
      <w:r>
        <w:rPr>
          <w:rFonts w:cs="Arial"/>
          <w:sz w:val="18"/>
          <w:szCs w:val="18"/>
          <w:lang w:val="fr-FR"/>
        </w:rPr>
        <w:t>’</w:t>
      </w:r>
      <w:r w:rsidR="00EA3338" w:rsidRPr="0016157A">
        <w:rPr>
          <w:rFonts w:cs="Arial"/>
          <w:sz w:val="18"/>
          <w:szCs w:val="18"/>
          <w:lang w:val="fr-FR"/>
        </w:rPr>
        <w:t>examen de l</w:t>
      </w:r>
      <w:r>
        <w:rPr>
          <w:rFonts w:cs="Arial"/>
          <w:sz w:val="18"/>
          <w:szCs w:val="18"/>
          <w:lang w:val="fr-FR"/>
        </w:rPr>
        <w:t>’</w:t>
      </w:r>
      <w:r w:rsidR="00EA3338" w:rsidRPr="0016157A">
        <w:rPr>
          <w:rFonts w:cs="Arial"/>
          <w:sz w:val="18"/>
          <w:szCs w:val="18"/>
          <w:lang w:val="fr-FR"/>
        </w:rPr>
        <w:t xml:space="preserve">UPOV </w:t>
      </w:r>
      <w:r w:rsidR="00EA3338" w:rsidRPr="0016157A">
        <w:rPr>
          <w:rFonts w:cs="Arial"/>
          <w:strike/>
          <w:sz w:val="18"/>
          <w:szCs w:val="18"/>
          <w:highlight w:val="lightGray"/>
          <w:lang w:val="fr-FR"/>
        </w:rPr>
        <w:t>et présenté dans le format approprié.  Il convient d</w:t>
      </w:r>
      <w:r>
        <w:rPr>
          <w:rFonts w:cs="Arial"/>
          <w:strike/>
          <w:sz w:val="18"/>
          <w:szCs w:val="18"/>
          <w:highlight w:val="lightGray"/>
          <w:lang w:val="fr-FR"/>
        </w:rPr>
        <w:t>’</w:t>
      </w:r>
      <w:r w:rsidR="00EA3338" w:rsidRPr="0016157A">
        <w:rPr>
          <w:rFonts w:cs="Arial"/>
          <w:strike/>
          <w:sz w:val="18"/>
          <w:szCs w:val="18"/>
          <w:highlight w:val="lightGray"/>
          <w:lang w:val="fr-FR"/>
        </w:rPr>
        <w:t>employer ledit</w:t>
      </w:r>
      <w:r w:rsidR="00EA3338" w:rsidRPr="0016157A">
        <w:rPr>
          <w:rFonts w:cs="Arial"/>
          <w:strike/>
          <w:sz w:val="18"/>
          <w:szCs w:val="18"/>
          <w:lang w:val="fr-FR"/>
        </w:rPr>
        <w:t xml:space="preserve"> </w:t>
      </w:r>
      <w:proofErr w:type="gramStart"/>
      <w:r w:rsidR="00EA3338" w:rsidRPr="0016157A">
        <w:rPr>
          <w:rFonts w:cs="Arial"/>
          <w:strike/>
          <w:sz w:val="18"/>
          <w:szCs w:val="18"/>
          <w:highlight w:val="lightGray"/>
          <w:lang w:val="fr-FR"/>
        </w:rPr>
        <w:t>modèle,</w:t>
      </w:r>
      <w:r w:rsidR="00EA3338" w:rsidRPr="0016157A">
        <w:rPr>
          <w:rFonts w:cs="Arial"/>
          <w:sz w:val="18"/>
          <w:szCs w:val="18"/>
          <w:highlight w:val="lightGray"/>
          <w:u w:val="single"/>
          <w:lang w:val="fr-FR"/>
        </w:rPr>
        <w:t>.</w:t>
      </w:r>
      <w:proofErr w:type="gramEnd"/>
      <w:r w:rsidR="00EA3338" w:rsidRPr="0016157A">
        <w:rPr>
          <w:sz w:val="18"/>
          <w:szCs w:val="18"/>
          <w:highlight w:val="lightGray"/>
          <w:u w:val="single"/>
          <w:lang w:val="fr-FR"/>
        </w:rPr>
        <w:t xml:space="preserve">  </w:t>
      </w:r>
      <w:r w:rsidR="00EA3338" w:rsidRPr="0016157A">
        <w:rPr>
          <w:rFonts w:cs="Arial"/>
          <w:sz w:val="18"/>
          <w:szCs w:val="18"/>
          <w:highlight w:val="lightGray"/>
          <w:u w:val="single"/>
          <w:lang w:val="fr-FR"/>
        </w:rPr>
        <w:t>Ces éléments sont</w:t>
      </w:r>
      <w:r w:rsidR="00EA3338" w:rsidRPr="0016157A">
        <w:rPr>
          <w:rFonts w:cs="Arial"/>
          <w:sz w:val="18"/>
          <w:szCs w:val="18"/>
          <w:lang w:val="fr-FR"/>
        </w:rPr>
        <w:t xml:space="preserve"> reproduit</w:t>
      </w:r>
      <w:r w:rsidR="00EA3338" w:rsidRPr="0016157A">
        <w:rPr>
          <w:rFonts w:cs="Arial"/>
          <w:sz w:val="18"/>
          <w:szCs w:val="18"/>
          <w:highlight w:val="lightGray"/>
          <w:u w:val="single"/>
          <w:lang w:val="fr-FR"/>
        </w:rPr>
        <w:t>s</w:t>
      </w:r>
      <w:r w:rsidR="00EA3338" w:rsidRPr="0016157A">
        <w:rPr>
          <w:rFonts w:cs="Arial"/>
          <w:sz w:val="18"/>
          <w:szCs w:val="18"/>
          <w:lang w:val="fr-FR"/>
        </w:rPr>
        <w:t xml:space="preserve"> dans l</w:t>
      </w:r>
      <w:r>
        <w:rPr>
          <w:rFonts w:cs="Arial"/>
          <w:sz w:val="18"/>
          <w:szCs w:val="18"/>
          <w:lang w:val="fr-FR"/>
        </w:rPr>
        <w:t>’</w:t>
      </w:r>
      <w:r w:rsidR="00EA3338" w:rsidRPr="0016157A">
        <w:rPr>
          <w:rFonts w:cs="Arial"/>
          <w:sz w:val="18"/>
          <w:szCs w:val="18"/>
          <w:lang w:val="fr-FR"/>
        </w:rPr>
        <w:t>annexe 1</w:t>
      </w:r>
      <w:r w:rsidR="00EA3338" w:rsidRPr="0016157A">
        <w:rPr>
          <w:rFonts w:cs="Arial"/>
          <w:strike/>
          <w:sz w:val="18"/>
          <w:szCs w:val="18"/>
          <w:highlight w:val="lightGray"/>
          <w:lang w:val="fr-FR"/>
        </w:rPr>
        <w:t>, comme point de départ pour l</w:t>
      </w:r>
      <w:r>
        <w:rPr>
          <w:rFonts w:cs="Arial"/>
          <w:strike/>
          <w:sz w:val="18"/>
          <w:szCs w:val="18"/>
          <w:highlight w:val="lightGray"/>
          <w:lang w:val="fr-FR"/>
        </w:rPr>
        <w:t>’</w:t>
      </w:r>
      <w:r w:rsidR="00EA3338" w:rsidRPr="0016157A">
        <w:rPr>
          <w:rFonts w:cs="Arial"/>
          <w:strike/>
          <w:sz w:val="18"/>
          <w:szCs w:val="18"/>
          <w:highlight w:val="lightGray"/>
          <w:lang w:val="fr-FR"/>
        </w:rPr>
        <w:t>élaboration ou la révision de tous les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sidR="00EA3338" w:rsidRPr="0016157A">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sz w:val="18"/>
          <w:lang w:val="fr-FR"/>
        </w:rPr>
        <w:t>“</w:t>
      </w:r>
      <w:r w:rsidR="00EA3338" w:rsidRPr="0016157A">
        <w:rPr>
          <w:sz w:val="18"/>
          <w:lang w:val="fr-FR"/>
        </w:rPr>
        <w:t>3.1.2</w:t>
      </w:r>
      <w:r w:rsidR="00EA3338" w:rsidRPr="0016157A">
        <w:rPr>
          <w:sz w:val="18"/>
          <w:lang w:val="fr-FR"/>
        </w:rPr>
        <w:tab/>
      </w:r>
      <w:r w:rsidR="00EA3338" w:rsidRPr="0016157A">
        <w:rPr>
          <w:rFonts w:cs="Arial"/>
          <w:sz w:val="18"/>
          <w:szCs w:val="18"/>
          <w:lang w:val="fr-FR"/>
        </w:rPr>
        <w:t>D</w:t>
      </w:r>
      <w:r>
        <w:rPr>
          <w:rFonts w:cs="Arial"/>
          <w:sz w:val="18"/>
          <w:szCs w:val="18"/>
          <w:lang w:val="fr-FR"/>
        </w:rPr>
        <w:t>’</w:t>
      </w:r>
      <w:r w:rsidR="00EA3338" w:rsidRPr="0016157A">
        <w:rPr>
          <w:rFonts w:cs="Arial"/>
          <w:sz w:val="18"/>
          <w:szCs w:val="18"/>
          <w:lang w:val="fr-FR"/>
        </w:rPr>
        <w:t xml:space="preserve">autres </w:t>
      </w:r>
      <w:r w:rsidR="00EA3338" w:rsidRPr="0016157A">
        <w:rPr>
          <w:rFonts w:cs="Arial"/>
          <w:strike/>
          <w:sz w:val="18"/>
          <w:szCs w:val="18"/>
          <w:highlight w:val="lightGray"/>
          <w:lang w:val="fr-FR"/>
        </w:rPr>
        <w:t>indications sont données</w:t>
      </w:r>
      <w:r w:rsidR="00EA3338" w:rsidRPr="0016157A">
        <w:rPr>
          <w:rFonts w:cs="Arial"/>
          <w:sz w:val="18"/>
          <w:szCs w:val="18"/>
          <w:lang w:val="fr-FR"/>
        </w:rPr>
        <w:t xml:space="preserve"> </w:t>
      </w:r>
      <w:r w:rsidR="00EA3338" w:rsidRPr="0016157A">
        <w:rPr>
          <w:rFonts w:cs="Arial"/>
          <w:sz w:val="18"/>
          <w:szCs w:val="18"/>
          <w:highlight w:val="lightGray"/>
          <w:u w:val="single"/>
          <w:lang w:val="fr-FR"/>
        </w:rPr>
        <w:t>conseils</w:t>
      </w:r>
      <w:r w:rsidR="00EA3338" w:rsidRPr="0016157A">
        <w:rPr>
          <w:rFonts w:cs="Arial"/>
          <w:sz w:val="18"/>
          <w:szCs w:val="18"/>
          <w:lang w:val="fr-FR"/>
        </w:rPr>
        <w:t xml:space="preserve"> aux rédacteurs des principes directeurs d</w:t>
      </w:r>
      <w:r>
        <w:rPr>
          <w:rFonts w:cs="Arial"/>
          <w:sz w:val="18"/>
          <w:szCs w:val="18"/>
          <w:lang w:val="fr-FR"/>
        </w:rPr>
        <w:t>’</w:t>
      </w:r>
      <w:r w:rsidR="00EA3338" w:rsidRPr="0016157A">
        <w:rPr>
          <w:rFonts w:cs="Arial"/>
          <w:sz w:val="18"/>
          <w:szCs w:val="18"/>
          <w:lang w:val="fr-FR"/>
        </w:rPr>
        <w:t xml:space="preserve">examen </w:t>
      </w:r>
      <w:r w:rsidR="00EA3338" w:rsidRPr="0016157A">
        <w:rPr>
          <w:rFonts w:cs="Arial"/>
          <w:strike/>
          <w:sz w:val="18"/>
          <w:szCs w:val="18"/>
          <w:highlight w:val="lightGray"/>
          <w:lang w:val="fr-FR"/>
        </w:rPr>
        <w:t>sur la manière dont il convient d</w:t>
      </w:r>
      <w:r>
        <w:rPr>
          <w:rFonts w:cs="Arial"/>
          <w:strike/>
          <w:sz w:val="18"/>
          <w:szCs w:val="18"/>
          <w:highlight w:val="lightGray"/>
          <w:lang w:val="fr-FR"/>
        </w:rPr>
        <w:t>’</w:t>
      </w:r>
      <w:r w:rsidR="00EA3338" w:rsidRPr="0016157A">
        <w:rPr>
          <w:rFonts w:cs="Arial"/>
          <w:strike/>
          <w:sz w:val="18"/>
          <w:szCs w:val="18"/>
          <w:highlight w:val="lightGray"/>
          <w:lang w:val="fr-FR"/>
        </w:rPr>
        <w:t>utiliser le modèle.  Ces indications peuvent se présenter</w:t>
      </w:r>
      <w:r w:rsidR="00EA3338" w:rsidRPr="0016157A">
        <w:rPr>
          <w:rFonts w:cs="Arial"/>
          <w:sz w:val="18"/>
          <w:szCs w:val="18"/>
          <w:lang w:val="fr-FR"/>
        </w:rPr>
        <w:t xml:space="preserve"> </w:t>
      </w:r>
      <w:r w:rsidR="00EA3338" w:rsidRPr="0016157A">
        <w:rPr>
          <w:rFonts w:cs="Arial"/>
          <w:sz w:val="18"/>
          <w:szCs w:val="18"/>
          <w:highlight w:val="lightGray"/>
          <w:u w:val="single"/>
          <w:lang w:val="fr-FR"/>
        </w:rPr>
        <w:t>sont fournis</w:t>
      </w:r>
      <w:r w:rsidR="00EA3338" w:rsidRPr="0016157A">
        <w:rPr>
          <w:rFonts w:cs="Arial"/>
          <w:sz w:val="18"/>
          <w:szCs w:val="18"/>
          <w:lang w:val="fr-FR"/>
        </w:rPr>
        <w:t xml:space="preserve"> sous la forme d</w:t>
      </w:r>
      <w:r>
        <w:rPr>
          <w:rFonts w:cs="Arial"/>
          <w:sz w:val="18"/>
          <w:szCs w:val="18"/>
          <w:lang w:val="fr-FR"/>
        </w:rPr>
        <w:t>’</w:t>
      </w:r>
      <w:r w:rsidR="00EA3338" w:rsidRPr="0016157A">
        <w:rPr>
          <w:rFonts w:cs="Arial"/>
          <w:sz w:val="18"/>
          <w:szCs w:val="18"/>
          <w:lang w:val="fr-FR"/>
        </w:rPr>
        <w:t xml:space="preserve">un texte standard supplémentaire (ASW) ou de notes indicatives (GN).  On trouvera </w:t>
      </w:r>
      <w:r w:rsidR="00EA3338" w:rsidRPr="0016157A">
        <w:rPr>
          <w:rFonts w:cs="Arial"/>
          <w:strike/>
          <w:sz w:val="18"/>
          <w:szCs w:val="18"/>
          <w:highlight w:val="lightGray"/>
          <w:lang w:val="fr-FR"/>
        </w:rPr>
        <w:t>dans le modèle</w:t>
      </w:r>
      <w:r w:rsidR="00EA3338" w:rsidRPr="0016157A">
        <w:rPr>
          <w:rFonts w:cs="Arial"/>
          <w:sz w:val="18"/>
          <w:szCs w:val="18"/>
          <w:lang w:val="fr-FR"/>
        </w:rPr>
        <w:t xml:space="preserve"> </w:t>
      </w:r>
      <w:r w:rsidR="00EA3338" w:rsidRPr="0016157A">
        <w:rPr>
          <w:rFonts w:cs="Arial"/>
          <w:sz w:val="18"/>
          <w:szCs w:val="18"/>
          <w:highlight w:val="lightGray"/>
          <w:u w:val="single"/>
          <w:lang w:val="fr-FR"/>
        </w:rPr>
        <w:t>à l</w:t>
      </w:r>
      <w:r>
        <w:rPr>
          <w:rFonts w:cs="Arial"/>
          <w:sz w:val="18"/>
          <w:szCs w:val="18"/>
          <w:highlight w:val="lightGray"/>
          <w:u w:val="single"/>
          <w:lang w:val="fr-FR"/>
        </w:rPr>
        <w:t>’</w:t>
      </w:r>
      <w:r w:rsidR="00EA3338" w:rsidRPr="0016157A">
        <w:rPr>
          <w:rFonts w:cs="Arial"/>
          <w:sz w:val="18"/>
          <w:szCs w:val="18"/>
          <w:highlight w:val="lightGray"/>
          <w:u w:val="single"/>
          <w:lang w:val="fr-FR"/>
        </w:rPr>
        <w:t>annexe I</w:t>
      </w:r>
      <w:r w:rsidR="00EA3338" w:rsidRPr="0016157A">
        <w:rPr>
          <w:rFonts w:cs="Arial"/>
          <w:sz w:val="18"/>
          <w:szCs w:val="18"/>
          <w:lang w:val="fr-FR"/>
        </w:rPr>
        <w:t xml:space="preserve"> des renseignements concernant l</w:t>
      </w:r>
      <w:r>
        <w:rPr>
          <w:rFonts w:cs="Arial"/>
          <w:sz w:val="18"/>
          <w:szCs w:val="18"/>
          <w:lang w:val="fr-FR"/>
        </w:rPr>
        <w:t>’</w:t>
      </w:r>
      <w:r w:rsidR="00EA3338" w:rsidRPr="0016157A">
        <w:rPr>
          <w:rFonts w:cs="Arial"/>
          <w:sz w:val="18"/>
          <w:szCs w:val="18"/>
          <w:lang w:val="fr-FR"/>
        </w:rPr>
        <w:t>endroit où l</w:t>
      </w:r>
      <w:r>
        <w:rPr>
          <w:rFonts w:cs="Arial"/>
          <w:sz w:val="18"/>
          <w:szCs w:val="18"/>
          <w:lang w:val="fr-FR"/>
        </w:rPr>
        <w:t>’</w:t>
      </w:r>
      <w:r w:rsidR="00EA3338" w:rsidRPr="0016157A">
        <w:rPr>
          <w:rFonts w:cs="Arial"/>
          <w:sz w:val="18"/>
          <w:szCs w:val="18"/>
          <w:lang w:val="fr-FR"/>
        </w:rPr>
        <w:t>on peut trouver ces indications supplémentaires (voir les sections 3.2 et 3.3).</w:t>
      </w:r>
    </w:p>
    <w:p w:rsidR="00EA3338" w:rsidRPr="0016157A" w:rsidRDefault="00EA3338" w:rsidP="00C249E4">
      <w:pPr>
        <w:ind w:left="567" w:right="567"/>
        <w:rPr>
          <w:sz w:val="18"/>
          <w:lang w:val="fr-FR"/>
        </w:rPr>
      </w:pPr>
    </w:p>
    <w:p w:rsidR="00EA3338" w:rsidRPr="0006352D" w:rsidRDefault="00EA3338" w:rsidP="00C249E4">
      <w:pPr>
        <w:ind w:left="567"/>
        <w:rPr>
          <w:sz w:val="18"/>
          <w:lang w:val="fr-FR"/>
        </w:rPr>
      </w:pPr>
      <w:bookmarkStart w:id="67" w:name="_Toc463342884"/>
      <w:bookmarkStart w:id="68" w:name="_Toc478118269"/>
      <w:r w:rsidRPr="0006352D">
        <w:rPr>
          <w:sz w:val="18"/>
          <w:lang w:val="fr-FR"/>
        </w:rPr>
        <w:t>3.2</w:t>
      </w:r>
      <w:r w:rsidRPr="0006352D">
        <w:rPr>
          <w:sz w:val="18"/>
          <w:lang w:val="fr-FR"/>
        </w:rPr>
        <w:tab/>
      </w:r>
      <w:bookmarkEnd w:id="67"/>
      <w:bookmarkEnd w:id="68"/>
      <w:r w:rsidRPr="0006352D">
        <w:rPr>
          <w:rFonts w:cs="Arial"/>
          <w:sz w:val="18"/>
          <w:szCs w:val="18"/>
          <w:lang w:val="fr-FR"/>
        </w:rPr>
        <w:t xml:space="preserve">Texte standard supplémentaire (ASW) </w:t>
      </w:r>
      <w:r w:rsidRPr="0006352D">
        <w:rPr>
          <w:rFonts w:cs="Arial"/>
          <w:strike/>
          <w:sz w:val="18"/>
          <w:szCs w:val="18"/>
          <w:highlight w:val="lightGray"/>
          <w:lang w:val="fr-FR"/>
        </w:rPr>
        <w:t>pour le modèle de principes directeurs d</w:t>
      </w:r>
      <w:r w:rsidR="00B4091E">
        <w:rPr>
          <w:rFonts w:cs="Arial"/>
          <w:strike/>
          <w:sz w:val="18"/>
          <w:szCs w:val="18"/>
          <w:highlight w:val="lightGray"/>
          <w:lang w:val="fr-FR"/>
        </w:rPr>
        <w:t>’</w:t>
      </w:r>
      <w:r w:rsidRPr="0006352D">
        <w:rPr>
          <w:rFonts w:cs="Arial"/>
          <w:strike/>
          <w:sz w:val="18"/>
          <w:szCs w:val="18"/>
          <w:highlight w:val="lightGray"/>
          <w:lang w:val="fr-FR"/>
        </w:rPr>
        <w:t>examen</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sz w:val="18"/>
          <w:lang w:val="fr-FR"/>
        </w:rPr>
        <w:t>“</w:t>
      </w:r>
      <w:r w:rsidR="00EA3338" w:rsidRPr="0016157A">
        <w:rPr>
          <w:sz w:val="18"/>
          <w:lang w:val="fr-FR"/>
        </w:rPr>
        <w:t>3.2.1</w:t>
      </w:r>
      <w:r w:rsidR="00EA3338" w:rsidRPr="0016157A">
        <w:rPr>
          <w:sz w:val="18"/>
          <w:lang w:val="fr-FR"/>
        </w:rPr>
        <w:tab/>
      </w:r>
      <w:r w:rsidR="00EA3338" w:rsidRPr="0016157A">
        <w:rPr>
          <w:rFonts w:cs="Arial"/>
          <w:strike/>
          <w:sz w:val="18"/>
          <w:szCs w:val="18"/>
          <w:highlight w:val="lightGray"/>
          <w:lang w:val="fr-FR"/>
        </w:rPr>
        <w:t>Comme il est expliqué plus haut, le 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contient le texte standard général adapté à tous ces principes.  Cependant,</w:t>
      </w:r>
      <w:r w:rsidR="00EA3338" w:rsidRPr="0016157A">
        <w:rPr>
          <w:rFonts w:cs="Arial"/>
          <w:sz w:val="18"/>
          <w:szCs w:val="18"/>
          <w:lang w:val="fr-FR"/>
        </w:rPr>
        <w:t xml:space="preserve"> </w:t>
      </w:r>
      <w:r w:rsidR="00EA3338" w:rsidRPr="0016157A">
        <w:rPr>
          <w:rFonts w:cs="Arial"/>
          <w:sz w:val="18"/>
          <w:szCs w:val="18"/>
          <w:highlight w:val="lightGray"/>
          <w:u w:val="single"/>
          <w:lang w:val="fr-FR"/>
        </w:rPr>
        <w:t>Outre le texte standard général,</w:t>
      </w:r>
      <w:r w:rsidR="00EA3338" w:rsidRPr="0016157A">
        <w:rPr>
          <w:rFonts w:cs="Arial"/>
          <w:sz w:val="18"/>
          <w:szCs w:val="18"/>
          <w:lang w:val="fr-FR"/>
        </w:rPr>
        <w:t xml:space="preserve"> l</w:t>
      </w:r>
      <w:r>
        <w:rPr>
          <w:rFonts w:cs="Arial"/>
          <w:sz w:val="18"/>
          <w:szCs w:val="18"/>
          <w:lang w:val="fr-FR"/>
        </w:rPr>
        <w:t>’</w:t>
      </w:r>
      <w:r w:rsidR="00EA3338" w:rsidRPr="0016157A">
        <w:rPr>
          <w:rFonts w:cs="Arial"/>
          <w:sz w:val="18"/>
          <w:szCs w:val="18"/>
          <w:lang w:val="fr-FR"/>
        </w:rPr>
        <w:t>UPOV a établi un texte standard supplémentaire qu</w:t>
      </w:r>
      <w:r>
        <w:rPr>
          <w:rFonts w:cs="Arial"/>
          <w:sz w:val="18"/>
          <w:szCs w:val="18"/>
          <w:lang w:val="fr-FR"/>
        </w:rPr>
        <w:t>’</w:t>
      </w:r>
      <w:r w:rsidR="00EA3338" w:rsidRPr="0016157A">
        <w:rPr>
          <w:rFonts w:cs="Arial"/>
          <w:sz w:val="18"/>
          <w:szCs w:val="18"/>
          <w:lang w:val="fr-FR"/>
        </w:rPr>
        <w:t>il convient d</w:t>
      </w:r>
      <w:r>
        <w:rPr>
          <w:rFonts w:cs="Arial"/>
          <w:sz w:val="18"/>
          <w:szCs w:val="18"/>
          <w:lang w:val="fr-FR"/>
        </w:rPr>
        <w:t>’</w:t>
      </w:r>
      <w:r w:rsidR="00EA3338" w:rsidRPr="0016157A">
        <w:rPr>
          <w:rFonts w:cs="Arial"/>
          <w:sz w:val="18"/>
          <w:szCs w:val="18"/>
          <w:lang w:val="fr-FR"/>
        </w:rPr>
        <w:t>utiliser, le cas échéant, pour certains principes directeurs d</w:t>
      </w:r>
      <w:r>
        <w:rPr>
          <w:rFonts w:cs="Arial"/>
          <w:sz w:val="18"/>
          <w:szCs w:val="18"/>
          <w:lang w:val="fr-FR"/>
        </w:rPr>
        <w:t>’</w:t>
      </w:r>
      <w:r w:rsidR="00EA3338" w:rsidRPr="0016157A">
        <w:rPr>
          <w:rFonts w:cs="Arial"/>
          <w:sz w:val="18"/>
          <w:szCs w:val="18"/>
          <w:lang w:val="fr-FR"/>
        </w:rPr>
        <w:t>examen.  Par exemple, dans le cas de principes directeurs d</w:t>
      </w:r>
      <w:r>
        <w:rPr>
          <w:rFonts w:cs="Arial"/>
          <w:sz w:val="18"/>
          <w:szCs w:val="18"/>
          <w:lang w:val="fr-FR"/>
        </w:rPr>
        <w:t>’</w:t>
      </w:r>
      <w:r w:rsidR="00EA3338" w:rsidRPr="0016157A">
        <w:rPr>
          <w:rFonts w:cs="Arial"/>
          <w:sz w:val="18"/>
          <w:szCs w:val="18"/>
          <w:lang w:val="fr-FR"/>
        </w:rPr>
        <w:t>examen prévoyant la remise du matériel sous forme de semences, un texte standard concernant la qualité des semences à fournir est prévu.  Bien entendu, ce texte standard relatif aux semences ne doit pas figurer dans les principes directeurs d</w:t>
      </w:r>
      <w:r>
        <w:rPr>
          <w:rFonts w:cs="Arial"/>
          <w:sz w:val="18"/>
          <w:szCs w:val="18"/>
          <w:lang w:val="fr-FR"/>
        </w:rPr>
        <w:t>’</w:t>
      </w:r>
      <w:r w:rsidR="00EA3338" w:rsidRPr="0016157A">
        <w:rPr>
          <w:rFonts w:cs="Arial"/>
          <w:sz w:val="18"/>
          <w:szCs w:val="18"/>
          <w:lang w:val="fr-FR"/>
        </w:rPr>
        <w:t xml:space="preserve">examen prévoyant, par exemple, la remise du matériel sous forme de tubercules, raison pour laquelle ce texte standard supplémentaire ne figure pas </w:t>
      </w:r>
      <w:r w:rsidR="00EA3338" w:rsidRPr="0016157A">
        <w:rPr>
          <w:rFonts w:cs="Arial"/>
          <w:strike/>
          <w:sz w:val="18"/>
          <w:szCs w:val="18"/>
          <w:highlight w:val="lightGray"/>
          <w:lang w:val="fr-FR"/>
        </w:rPr>
        <w:t>dans le modèle</w:t>
      </w:r>
      <w:r w:rsidR="00EA3338" w:rsidRPr="0016157A">
        <w:rPr>
          <w:rFonts w:cs="Arial"/>
          <w:sz w:val="18"/>
          <w:szCs w:val="18"/>
          <w:lang w:val="fr-FR"/>
        </w:rPr>
        <w:t xml:space="preserve"> </w:t>
      </w:r>
      <w:r w:rsidR="00EA3338" w:rsidRPr="0016157A">
        <w:rPr>
          <w:rFonts w:cs="Arial"/>
          <w:sz w:val="18"/>
          <w:szCs w:val="18"/>
          <w:highlight w:val="lightGray"/>
          <w:u w:val="single"/>
          <w:lang w:val="fr-FR"/>
        </w:rPr>
        <w:t>en tant que texte standard général</w:t>
      </w:r>
      <w:r w:rsidR="00EA3338" w:rsidRPr="0006352D">
        <w:rPr>
          <w:rFonts w:cs="Arial"/>
          <w:sz w:val="18"/>
          <w:szCs w:val="18"/>
          <w:lang w:val="fr-FR"/>
        </w:rPr>
        <w:t xml:space="preserve">.  </w:t>
      </w:r>
      <w:r w:rsidR="00EA3338" w:rsidRPr="0016157A">
        <w:rPr>
          <w:rFonts w:cs="Arial"/>
          <w:sz w:val="18"/>
          <w:szCs w:val="18"/>
          <w:lang w:val="fr-FR"/>
        </w:rPr>
        <w:t>Le texte standard supplémentaire est présenté dans l</w:t>
      </w:r>
      <w:r>
        <w:rPr>
          <w:rFonts w:cs="Arial"/>
          <w:sz w:val="18"/>
          <w:szCs w:val="18"/>
          <w:lang w:val="fr-FR"/>
        </w:rPr>
        <w:t>’</w:t>
      </w:r>
      <w:r w:rsidR="00EA3338" w:rsidRPr="0016157A">
        <w:rPr>
          <w:rFonts w:cs="Arial"/>
          <w:sz w:val="18"/>
          <w:szCs w:val="18"/>
          <w:lang w:val="fr-FR"/>
        </w:rPr>
        <w:t>annexe 2 (</w:t>
      </w:r>
      <w:r>
        <w:rPr>
          <w:rFonts w:cs="Arial"/>
          <w:sz w:val="18"/>
          <w:szCs w:val="18"/>
          <w:lang w:val="fr-FR"/>
        </w:rPr>
        <w:t>“</w:t>
      </w:r>
      <w:r w:rsidR="00EA3338" w:rsidRPr="0016157A">
        <w:rPr>
          <w:rFonts w:cs="Arial"/>
          <w:sz w:val="18"/>
          <w:szCs w:val="18"/>
          <w:lang w:val="fr-FR"/>
        </w:rPr>
        <w:t>Texte standard supplémentaire (ASW) pour le modèle de principes directeurs d</w:t>
      </w:r>
      <w:r>
        <w:rPr>
          <w:rFonts w:cs="Arial"/>
          <w:sz w:val="18"/>
          <w:szCs w:val="18"/>
          <w:lang w:val="fr-FR"/>
        </w:rPr>
        <w:t>’</w:t>
      </w:r>
      <w:r w:rsidR="00EA3338" w:rsidRPr="0016157A">
        <w:rPr>
          <w:rFonts w:cs="Arial"/>
          <w:sz w:val="18"/>
          <w:szCs w:val="18"/>
          <w:lang w:val="fr-FR"/>
        </w:rPr>
        <w:t>examen</w:t>
      </w:r>
      <w:r>
        <w:rPr>
          <w:rFonts w:cs="Arial"/>
          <w:sz w:val="18"/>
          <w:szCs w:val="18"/>
          <w:lang w:val="fr-FR"/>
        </w:rPr>
        <w:t>”</w:t>
      </w:r>
      <w:r w:rsidR="00EA3338" w:rsidRPr="0016157A">
        <w:rPr>
          <w:rFonts w:cs="Arial"/>
          <w:sz w:val="18"/>
          <w:szCs w:val="18"/>
          <w:lang w:val="fr-FR"/>
        </w:rPr>
        <w:t>)</w:t>
      </w:r>
      <w:r w:rsidR="00EA3338" w:rsidRPr="0016157A">
        <w:rPr>
          <w:sz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rFonts w:cs="Arial"/>
          <w:sz w:val="18"/>
          <w:szCs w:val="18"/>
          <w:lang w:val="fr-FR"/>
        </w:rPr>
      </w:pPr>
      <w:r>
        <w:rPr>
          <w:sz w:val="18"/>
          <w:lang w:val="fr-FR"/>
        </w:rPr>
        <w:t>“</w:t>
      </w:r>
      <w:r w:rsidR="00EA3338" w:rsidRPr="0016157A">
        <w:rPr>
          <w:sz w:val="18"/>
          <w:lang w:val="fr-FR"/>
        </w:rPr>
        <w:t>3.2.2</w:t>
      </w:r>
      <w:r w:rsidR="00EA3338" w:rsidRPr="0016157A">
        <w:rPr>
          <w:sz w:val="18"/>
          <w:lang w:val="fr-FR"/>
        </w:rPr>
        <w:tab/>
      </w:r>
      <w:r w:rsidR="00EA3338" w:rsidRPr="0016157A">
        <w:rPr>
          <w:rFonts w:cs="Arial"/>
          <w:sz w:val="18"/>
          <w:szCs w:val="18"/>
          <w:lang w:val="fr-FR"/>
        </w:rPr>
        <w:t>Lorsqu</w:t>
      </w:r>
      <w:r>
        <w:rPr>
          <w:rFonts w:cs="Arial"/>
          <w:sz w:val="18"/>
          <w:szCs w:val="18"/>
          <w:lang w:val="fr-FR"/>
        </w:rPr>
        <w:t>’</w:t>
      </w:r>
      <w:r w:rsidR="00EA3338" w:rsidRPr="0016157A">
        <w:rPr>
          <w:rFonts w:cs="Arial"/>
          <w:sz w:val="18"/>
          <w:szCs w:val="18"/>
          <w:lang w:val="fr-FR"/>
        </w:rPr>
        <w:t>un texte standard supplémentaire existe, un renvoi est inséré à l</w:t>
      </w:r>
      <w:r>
        <w:rPr>
          <w:rFonts w:cs="Arial"/>
          <w:sz w:val="18"/>
          <w:szCs w:val="18"/>
          <w:lang w:val="fr-FR"/>
        </w:rPr>
        <w:t>’</w:t>
      </w:r>
      <w:r w:rsidR="00EA3338" w:rsidRPr="0016157A">
        <w:rPr>
          <w:rFonts w:cs="Arial"/>
          <w:sz w:val="18"/>
          <w:szCs w:val="18"/>
          <w:lang w:val="fr-FR"/>
        </w:rPr>
        <w:t xml:space="preserve">endroit approprié </w:t>
      </w:r>
      <w:r w:rsidR="00EA3338" w:rsidRPr="0016157A">
        <w:rPr>
          <w:rFonts w:cs="Arial"/>
          <w:strike/>
          <w:sz w:val="18"/>
          <w:szCs w:val="18"/>
          <w:highlight w:val="lightGray"/>
          <w:lang w:val="fr-FR"/>
        </w:rPr>
        <w:t>du modèle</w:t>
      </w:r>
      <w:r w:rsidR="00EA3338" w:rsidRPr="0016157A">
        <w:rPr>
          <w:rFonts w:cs="Arial"/>
          <w:sz w:val="18"/>
          <w:szCs w:val="18"/>
          <w:lang w:val="fr-FR"/>
        </w:rPr>
        <w:t xml:space="preserve"> </w:t>
      </w:r>
      <w:r w:rsidR="00EA3338" w:rsidRPr="0016157A">
        <w:rPr>
          <w:rFonts w:cs="Arial"/>
          <w:sz w:val="18"/>
          <w:szCs w:val="18"/>
          <w:highlight w:val="lightGray"/>
          <w:u w:val="single"/>
          <w:lang w:val="fr-FR"/>
        </w:rPr>
        <w:t>de l</w:t>
      </w:r>
      <w:r>
        <w:rPr>
          <w:rFonts w:cs="Arial"/>
          <w:sz w:val="18"/>
          <w:szCs w:val="18"/>
          <w:highlight w:val="lightGray"/>
          <w:u w:val="single"/>
          <w:lang w:val="fr-FR"/>
        </w:rPr>
        <w:t>’</w:t>
      </w:r>
      <w:r w:rsidR="00EA3338" w:rsidRPr="0016157A">
        <w:rPr>
          <w:rFonts w:cs="Arial"/>
          <w:sz w:val="18"/>
          <w:szCs w:val="18"/>
          <w:highlight w:val="lightGray"/>
          <w:u w:val="single"/>
          <w:lang w:val="fr-FR"/>
        </w:rPr>
        <w:t>annexe I</w:t>
      </w:r>
      <w:r w:rsidR="00EA3338" w:rsidRPr="0016157A">
        <w:rPr>
          <w:rFonts w:cs="Arial"/>
          <w:sz w:val="18"/>
          <w:szCs w:val="18"/>
          <w:lang w:val="fr-FR"/>
        </w:rPr>
        <w:t>, par exemple :</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proofErr w:type="gramStart"/>
      <w:r>
        <w:rPr>
          <w:sz w:val="18"/>
          <w:lang w:val="fr-FR"/>
        </w:rPr>
        <w:t>“</w:t>
      </w:r>
      <w:r w:rsidR="00EA3338" w:rsidRPr="0016157A">
        <w:rPr>
          <w:sz w:val="18"/>
          <w:lang w:val="fr-FR"/>
        </w:rPr>
        <w:t>{</w:t>
      </w:r>
      <w:r w:rsidR="00EA3338" w:rsidRPr="0016157A">
        <w:rPr>
          <w:b/>
          <w:sz w:val="18"/>
          <w:bdr w:val="single" w:sz="12" w:space="0" w:color="auto"/>
          <w:shd w:val="pct12" w:color="auto" w:fill="auto"/>
          <w:lang w:val="fr-FR"/>
        </w:rPr>
        <w:t xml:space="preserve"> ASW</w:t>
      </w:r>
      <w:proofErr w:type="gramEnd"/>
      <w:r w:rsidR="00EA3338" w:rsidRPr="0016157A">
        <w:rPr>
          <w:b/>
          <w:sz w:val="18"/>
          <w:bdr w:val="single" w:sz="12" w:space="0" w:color="auto"/>
          <w:lang w:val="fr-FR"/>
        </w:rPr>
        <w:t xml:space="preserve"> 1</w:t>
      </w:r>
      <w:r w:rsidR="00EA3338" w:rsidRPr="0016157A">
        <w:rPr>
          <w:sz w:val="18"/>
          <w:bdr w:val="single" w:sz="12" w:space="0" w:color="auto"/>
          <w:lang w:val="fr-FR"/>
        </w:rPr>
        <w:t xml:space="preserve"> </w:t>
      </w:r>
      <w:r w:rsidR="00EA3338" w:rsidRPr="0016157A">
        <w:rPr>
          <w:rFonts w:cs="Arial"/>
          <w:sz w:val="18"/>
          <w:szCs w:val="18"/>
          <w:lang w:val="fr-FR"/>
        </w:rPr>
        <w:t>(Chapitre 2.3 du modèle) – Conditions relatives à la qualité des semences}</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EA3338" w:rsidP="00C249E4">
      <w:pPr>
        <w:ind w:left="567"/>
        <w:rPr>
          <w:sz w:val="18"/>
          <w:lang w:val="fr-FR"/>
        </w:rPr>
      </w:pPr>
      <w:bookmarkStart w:id="69" w:name="_Toc463342885"/>
      <w:bookmarkStart w:id="70" w:name="_Toc478118270"/>
      <w:r w:rsidRPr="0016157A">
        <w:rPr>
          <w:sz w:val="18"/>
          <w:lang w:val="fr-FR"/>
        </w:rPr>
        <w:t>3.3</w:t>
      </w:r>
      <w:r w:rsidRPr="0016157A">
        <w:rPr>
          <w:sz w:val="18"/>
          <w:lang w:val="fr-FR"/>
        </w:rPr>
        <w:tab/>
      </w:r>
      <w:bookmarkEnd w:id="69"/>
      <w:bookmarkEnd w:id="70"/>
      <w:r w:rsidRPr="0016157A">
        <w:rPr>
          <w:rFonts w:cs="Arial"/>
          <w:sz w:val="18"/>
          <w:szCs w:val="18"/>
          <w:lang w:val="fr-FR"/>
        </w:rPr>
        <w:t xml:space="preserve">Notes indicatives (GN) </w:t>
      </w:r>
      <w:r w:rsidRPr="0016157A">
        <w:rPr>
          <w:rFonts w:cs="Arial"/>
          <w:strike/>
          <w:sz w:val="18"/>
          <w:szCs w:val="18"/>
          <w:highlight w:val="lightGray"/>
          <w:lang w:val="fr-FR"/>
        </w:rPr>
        <w:t>concernant le modèle de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sz w:val="18"/>
          <w:lang w:val="fr-FR"/>
        </w:rPr>
        <w:t>“</w:t>
      </w:r>
      <w:r w:rsidR="00EA3338" w:rsidRPr="0016157A">
        <w:rPr>
          <w:sz w:val="18"/>
          <w:lang w:val="fr-FR"/>
        </w:rPr>
        <w:t>3.3.1</w:t>
      </w:r>
      <w:r w:rsidR="00EA3338" w:rsidRPr="0016157A">
        <w:rPr>
          <w:sz w:val="18"/>
          <w:lang w:val="fr-FR"/>
        </w:rPr>
        <w:tab/>
      </w:r>
      <w:r w:rsidR="00EA3338" w:rsidRPr="0016157A">
        <w:rPr>
          <w:rFonts w:cs="Arial"/>
          <w:sz w:val="18"/>
          <w:szCs w:val="18"/>
          <w:lang w:val="fr-FR"/>
        </w:rPr>
        <w:t>De nombreux aspects des principes directeurs d</w:t>
      </w:r>
      <w:r>
        <w:rPr>
          <w:rFonts w:cs="Arial"/>
          <w:sz w:val="18"/>
          <w:szCs w:val="18"/>
          <w:lang w:val="fr-FR"/>
        </w:rPr>
        <w:t>’</w:t>
      </w:r>
      <w:r w:rsidR="00EA3338" w:rsidRPr="0016157A">
        <w:rPr>
          <w:rFonts w:cs="Arial"/>
          <w:sz w:val="18"/>
          <w:szCs w:val="18"/>
          <w:lang w:val="fr-FR"/>
        </w:rPr>
        <w:t>examen font appel à l</w:t>
      </w:r>
      <w:r>
        <w:rPr>
          <w:rFonts w:cs="Arial"/>
          <w:sz w:val="18"/>
          <w:szCs w:val="18"/>
          <w:lang w:val="fr-FR"/>
        </w:rPr>
        <w:t>’</w:t>
      </w:r>
      <w:r w:rsidR="00EA3338" w:rsidRPr="0016157A">
        <w:rPr>
          <w:rFonts w:cs="Arial"/>
          <w:sz w:val="18"/>
          <w:szCs w:val="18"/>
          <w:lang w:val="fr-FR"/>
        </w:rPr>
        <w:t>expérience et aux connaissances de la personne chargée de leur rédaction.  C</w:t>
      </w:r>
      <w:r>
        <w:rPr>
          <w:rFonts w:cs="Arial"/>
          <w:sz w:val="18"/>
          <w:szCs w:val="18"/>
          <w:lang w:val="fr-FR"/>
        </w:rPr>
        <w:t>’</w:t>
      </w:r>
      <w:r w:rsidR="00EA3338" w:rsidRPr="0016157A">
        <w:rPr>
          <w:rFonts w:cs="Arial"/>
          <w:sz w:val="18"/>
          <w:szCs w:val="18"/>
          <w:lang w:val="fr-FR"/>
        </w:rPr>
        <w:t>est notamment le cas du choix de l</w:t>
      </w:r>
      <w:r>
        <w:rPr>
          <w:rFonts w:cs="Arial"/>
          <w:sz w:val="18"/>
          <w:szCs w:val="18"/>
          <w:lang w:val="fr-FR"/>
        </w:rPr>
        <w:t>’</w:t>
      </w:r>
      <w:r w:rsidR="00EA3338" w:rsidRPr="0016157A">
        <w:rPr>
          <w:rFonts w:cs="Arial"/>
          <w:sz w:val="18"/>
          <w:szCs w:val="18"/>
          <w:lang w:val="fr-FR"/>
        </w:rPr>
        <w:t>ASW approprié, du protocole d</w:t>
      </w:r>
      <w:r>
        <w:rPr>
          <w:rFonts w:cs="Arial"/>
          <w:sz w:val="18"/>
          <w:szCs w:val="18"/>
          <w:lang w:val="fr-FR"/>
        </w:rPr>
        <w:t>’</w:t>
      </w:r>
      <w:r w:rsidR="00EA3338" w:rsidRPr="0016157A">
        <w:rPr>
          <w:rFonts w:cs="Arial"/>
          <w:sz w:val="18"/>
          <w:szCs w:val="18"/>
          <w:lang w:val="fr-FR"/>
        </w:rPr>
        <w:t>essai, de l</w:t>
      </w:r>
      <w:r>
        <w:rPr>
          <w:rFonts w:cs="Arial"/>
          <w:sz w:val="18"/>
          <w:szCs w:val="18"/>
          <w:lang w:val="fr-FR"/>
        </w:rPr>
        <w:t>’</w:t>
      </w:r>
      <w:r w:rsidR="00EA3338" w:rsidRPr="0016157A">
        <w:rPr>
          <w:rFonts w:cs="Arial"/>
          <w:sz w:val="18"/>
          <w:szCs w:val="18"/>
          <w:lang w:val="fr-FR"/>
        </w:rPr>
        <w:t>identification des caractères et du choix des variétés indiquées à titre d</w:t>
      </w:r>
      <w:r>
        <w:rPr>
          <w:rFonts w:cs="Arial"/>
          <w:sz w:val="18"/>
          <w:szCs w:val="18"/>
          <w:lang w:val="fr-FR"/>
        </w:rPr>
        <w:t>’</w:t>
      </w:r>
      <w:r w:rsidR="00EA3338" w:rsidRPr="0016157A">
        <w:rPr>
          <w:rFonts w:cs="Arial"/>
          <w:sz w:val="18"/>
          <w:szCs w:val="18"/>
          <w:lang w:val="fr-FR"/>
        </w:rPr>
        <w:t>exemples.  Dans ce cas, des indications générales concernant la manière de procéder d</w:t>
      </w:r>
      <w:r>
        <w:rPr>
          <w:rFonts w:cs="Arial"/>
          <w:sz w:val="18"/>
          <w:szCs w:val="18"/>
          <w:lang w:val="fr-FR"/>
        </w:rPr>
        <w:t>’</w:t>
      </w:r>
      <w:r w:rsidR="00EA3338" w:rsidRPr="0016157A">
        <w:rPr>
          <w:rFonts w:cs="Arial"/>
          <w:sz w:val="18"/>
          <w:szCs w:val="18"/>
          <w:lang w:val="fr-FR"/>
        </w:rPr>
        <w:t>une façon harmonisée, compte tenu de l</w:t>
      </w:r>
      <w:r>
        <w:rPr>
          <w:rFonts w:cs="Arial"/>
          <w:sz w:val="18"/>
          <w:szCs w:val="18"/>
          <w:lang w:val="fr-FR"/>
        </w:rPr>
        <w:t>’</w:t>
      </w:r>
      <w:r w:rsidR="00EA3338" w:rsidRPr="0016157A">
        <w:rPr>
          <w:rFonts w:cs="Arial"/>
          <w:sz w:val="18"/>
          <w:szCs w:val="18"/>
          <w:lang w:val="fr-FR"/>
        </w:rPr>
        <w:t>expérience acquise par l</w:t>
      </w:r>
      <w:r>
        <w:rPr>
          <w:rFonts w:cs="Arial"/>
          <w:sz w:val="18"/>
          <w:szCs w:val="18"/>
          <w:lang w:val="fr-FR"/>
        </w:rPr>
        <w:t>’</w:t>
      </w:r>
      <w:r w:rsidR="00EA3338" w:rsidRPr="0016157A">
        <w:rPr>
          <w:rFonts w:cs="Arial"/>
          <w:sz w:val="18"/>
          <w:szCs w:val="18"/>
          <w:lang w:val="fr-FR"/>
        </w:rPr>
        <w:t>UPOV grâce à ses experts techniques, sont données sous la forme de notes indicatives présentées dans l</w:t>
      </w:r>
      <w:r>
        <w:rPr>
          <w:rFonts w:cs="Arial"/>
          <w:sz w:val="18"/>
          <w:szCs w:val="18"/>
          <w:lang w:val="fr-FR"/>
        </w:rPr>
        <w:t>’</w:t>
      </w:r>
      <w:r w:rsidR="00EA3338" w:rsidRPr="0016157A">
        <w:rPr>
          <w:rFonts w:cs="Arial"/>
          <w:sz w:val="18"/>
          <w:szCs w:val="18"/>
          <w:lang w:val="fr-FR"/>
        </w:rPr>
        <w:t>annexe 3 (</w:t>
      </w:r>
      <w:r>
        <w:rPr>
          <w:rFonts w:cs="Arial"/>
          <w:sz w:val="18"/>
          <w:szCs w:val="18"/>
          <w:lang w:val="fr-FR"/>
        </w:rPr>
        <w:t>“</w:t>
      </w:r>
      <w:r w:rsidR="00EA3338" w:rsidRPr="0016157A">
        <w:rPr>
          <w:rFonts w:cs="Arial"/>
          <w:sz w:val="18"/>
          <w:szCs w:val="18"/>
          <w:lang w:val="fr-FR"/>
        </w:rPr>
        <w:t>Notes indicatives (GN)</w:t>
      </w:r>
      <w:r w:rsidR="00EA3338" w:rsidRPr="0016157A">
        <w:rPr>
          <w:rFonts w:cs="Arial"/>
          <w:strike/>
          <w:sz w:val="18"/>
          <w:szCs w:val="18"/>
          <w:lang w:val="fr-FR"/>
        </w:rPr>
        <w:t xml:space="preserve"> </w:t>
      </w:r>
      <w:r w:rsidR="00EA3338" w:rsidRPr="0016157A">
        <w:rPr>
          <w:rFonts w:cs="Arial"/>
          <w:strike/>
          <w:sz w:val="18"/>
          <w:szCs w:val="18"/>
          <w:highlight w:val="lightGray"/>
          <w:lang w:val="fr-FR"/>
        </w:rPr>
        <w:t>concernant le 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w:t>
      </w:r>
      <w:r>
        <w:rPr>
          <w:rFonts w:cs="Arial"/>
          <w:sz w:val="18"/>
          <w:szCs w:val="18"/>
          <w:lang w:val="fr-FR"/>
        </w:rPr>
        <w:t>”</w:t>
      </w:r>
      <w:r w:rsidR="00EA3338" w:rsidRPr="0016157A">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keepNext/>
        <w:ind w:left="567" w:right="567"/>
        <w:rPr>
          <w:sz w:val="18"/>
          <w:lang w:val="fr-FR"/>
        </w:rPr>
      </w:pPr>
      <w:r>
        <w:rPr>
          <w:sz w:val="18"/>
          <w:lang w:val="fr-FR"/>
        </w:rPr>
        <w:t>“</w:t>
      </w:r>
      <w:r w:rsidR="00EA3338" w:rsidRPr="0016157A">
        <w:rPr>
          <w:sz w:val="18"/>
          <w:lang w:val="fr-FR"/>
        </w:rPr>
        <w:t>3.3.2</w:t>
      </w:r>
      <w:r w:rsidR="00EA3338" w:rsidRPr="0016157A">
        <w:rPr>
          <w:sz w:val="18"/>
          <w:lang w:val="fr-FR"/>
        </w:rPr>
        <w:tab/>
      </w:r>
      <w:r w:rsidR="00EA3338" w:rsidRPr="0016157A">
        <w:rPr>
          <w:rFonts w:cs="Arial"/>
          <w:sz w:val="18"/>
          <w:szCs w:val="18"/>
          <w:lang w:val="fr-FR"/>
        </w:rPr>
        <w:t>Lorsqu</w:t>
      </w:r>
      <w:r>
        <w:rPr>
          <w:rFonts w:cs="Arial"/>
          <w:sz w:val="18"/>
          <w:szCs w:val="18"/>
          <w:lang w:val="fr-FR"/>
        </w:rPr>
        <w:t>’</w:t>
      </w:r>
      <w:r w:rsidR="00EA3338" w:rsidRPr="0016157A">
        <w:rPr>
          <w:rFonts w:cs="Arial"/>
          <w:sz w:val="18"/>
          <w:szCs w:val="18"/>
          <w:lang w:val="fr-FR"/>
        </w:rPr>
        <w:t>une note existe, un renvoi est inséré à l</w:t>
      </w:r>
      <w:r>
        <w:rPr>
          <w:rFonts w:cs="Arial"/>
          <w:sz w:val="18"/>
          <w:szCs w:val="18"/>
          <w:lang w:val="fr-FR"/>
        </w:rPr>
        <w:t>’</w:t>
      </w:r>
      <w:r w:rsidR="00EA3338" w:rsidRPr="0016157A">
        <w:rPr>
          <w:rFonts w:cs="Arial"/>
          <w:sz w:val="18"/>
          <w:szCs w:val="18"/>
          <w:lang w:val="fr-FR"/>
        </w:rPr>
        <w:t xml:space="preserve">endroit approprié </w:t>
      </w:r>
      <w:r w:rsidR="00EA3338" w:rsidRPr="0016157A">
        <w:rPr>
          <w:rFonts w:cs="Arial"/>
          <w:strike/>
          <w:sz w:val="18"/>
          <w:szCs w:val="18"/>
          <w:highlight w:val="lightGray"/>
          <w:lang w:val="fr-FR"/>
        </w:rPr>
        <w:t>du modèle</w:t>
      </w:r>
      <w:r w:rsidR="00EA3338" w:rsidRPr="0016157A">
        <w:rPr>
          <w:rFonts w:cs="Arial"/>
          <w:sz w:val="18"/>
          <w:szCs w:val="18"/>
          <w:lang w:val="fr-FR"/>
        </w:rPr>
        <w:t xml:space="preserve"> </w:t>
      </w:r>
      <w:r w:rsidR="00EA3338" w:rsidRPr="0016157A">
        <w:rPr>
          <w:rFonts w:cs="Arial"/>
          <w:sz w:val="18"/>
          <w:szCs w:val="18"/>
          <w:highlight w:val="lightGray"/>
          <w:u w:val="single"/>
          <w:lang w:val="fr-FR"/>
        </w:rPr>
        <w:t>de l</w:t>
      </w:r>
      <w:r>
        <w:rPr>
          <w:rFonts w:cs="Arial"/>
          <w:sz w:val="18"/>
          <w:szCs w:val="18"/>
          <w:highlight w:val="lightGray"/>
          <w:u w:val="single"/>
          <w:lang w:val="fr-FR"/>
        </w:rPr>
        <w:t>’</w:t>
      </w:r>
      <w:r w:rsidR="00EA3338" w:rsidRPr="0016157A">
        <w:rPr>
          <w:rFonts w:cs="Arial"/>
          <w:sz w:val="18"/>
          <w:szCs w:val="18"/>
          <w:highlight w:val="lightGray"/>
          <w:u w:val="single"/>
          <w:lang w:val="fr-FR"/>
        </w:rPr>
        <w:t>annexe I</w:t>
      </w:r>
      <w:r w:rsidR="00EA3338" w:rsidRPr="0016157A">
        <w:rPr>
          <w:rFonts w:cs="Arial"/>
          <w:sz w:val="18"/>
          <w:szCs w:val="18"/>
          <w:lang w:val="fr-FR"/>
        </w:rPr>
        <w:t>, par exemple</w:t>
      </w:r>
    </w:p>
    <w:p w:rsidR="00EA3338" w:rsidRPr="0016157A" w:rsidRDefault="00EA3338" w:rsidP="00C249E4">
      <w:pPr>
        <w:keepNext/>
        <w:ind w:left="567" w:right="567"/>
        <w:rPr>
          <w:sz w:val="18"/>
          <w:lang w:val="fr-FR"/>
        </w:rPr>
      </w:pPr>
    </w:p>
    <w:p w:rsidR="00EA3338" w:rsidRPr="0016157A" w:rsidRDefault="00B4091E" w:rsidP="00C249E4">
      <w:pPr>
        <w:keepNext/>
        <w:ind w:left="567" w:right="567"/>
        <w:rPr>
          <w:sz w:val="18"/>
          <w:lang w:val="fr-FR"/>
        </w:rPr>
      </w:pPr>
      <w:proofErr w:type="gramStart"/>
      <w:r>
        <w:rPr>
          <w:sz w:val="18"/>
          <w:lang w:val="fr-FR"/>
        </w:rPr>
        <w:t>“</w:t>
      </w:r>
      <w:r w:rsidR="00EA3338" w:rsidRPr="0016157A">
        <w:rPr>
          <w:sz w:val="18"/>
          <w:lang w:val="fr-FR"/>
        </w:rPr>
        <w:t>{</w:t>
      </w:r>
      <w:r w:rsidR="00EA3338" w:rsidRPr="0016157A">
        <w:rPr>
          <w:sz w:val="18"/>
          <w:bdr w:val="single" w:sz="12" w:space="0" w:color="auto"/>
          <w:lang w:val="fr-FR"/>
        </w:rPr>
        <w:t xml:space="preserve"> </w:t>
      </w:r>
      <w:r w:rsidR="00EA3338" w:rsidRPr="0016157A">
        <w:rPr>
          <w:sz w:val="18"/>
          <w:highlight w:val="lightGray"/>
          <w:bdr w:val="single" w:sz="12" w:space="0" w:color="auto"/>
          <w:lang w:val="fr-FR"/>
        </w:rPr>
        <w:t>GN</w:t>
      </w:r>
      <w:proofErr w:type="gramEnd"/>
      <w:r w:rsidR="00EA3338" w:rsidRPr="0016157A">
        <w:rPr>
          <w:sz w:val="18"/>
          <w:bdr w:val="single" w:sz="12" w:space="0" w:color="auto"/>
          <w:lang w:val="fr-FR"/>
        </w:rPr>
        <w:t xml:space="preserve"> 5</w:t>
      </w:r>
      <w:r w:rsidR="00EA3338" w:rsidRPr="0016157A">
        <w:rPr>
          <w:sz w:val="18"/>
          <w:lang w:val="fr-FR"/>
        </w:rPr>
        <w:t xml:space="preserve"> </w:t>
      </w:r>
      <w:r w:rsidR="00EA3338" w:rsidRPr="0016157A">
        <w:rPr>
          <w:rFonts w:cs="Arial"/>
          <w:sz w:val="18"/>
          <w:szCs w:val="18"/>
          <w:lang w:val="fr-FR"/>
        </w:rPr>
        <w:t>(Chapitre 1.1 du modèle) – Objet des principes directeurs d</w:t>
      </w:r>
      <w:r>
        <w:rPr>
          <w:rFonts w:cs="Arial"/>
          <w:sz w:val="18"/>
          <w:szCs w:val="18"/>
          <w:lang w:val="fr-FR"/>
        </w:rPr>
        <w:t>’</w:t>
      </w:r>
      <w:r w:rsidR="00EA3338" w:rsidRPr="0016157A">
        <w:rPr>
          <w:rFonts w:cs="Arial"/>
          <w:sz w:val="18"/>
          <w:szCs w:val="18"/>
          <w:lang w:val="fr-FR"/>
        </w:rPr>
        <w:t>examen : nom de famille}</w:t>
      </w:r>
      <w:r>
        <w:rPr>
          <w:rFonts w:cs="Arial"/>
          <w:sz w:val="18"/>
          <w:szCs w:val="18"/>
          <w:lang w:val="fr-FR"/>
        </w:rPr>
        <w:t>”</w:t>
      </w:r>
    </w:p>
    <w:p w:rsidR="00EA3338" w:rsidRPr="0016157A" w:rsidRDefault="00EA3338" w:rsidP="00C249E4">
      <w:pPr>
        <w:ind w:left="567" w:right="567"/>
        <w:contextualSpacing/>
        <w:rPr>
          <w:sz w:val="18"/>
          <w:lang w:val="fr-FR"/>
        </w:rPr>
      </w:pPr>
    </w:p>
    <w:p w:rsidR="00EA3338" w:rsidRPr="0016157A" w:rsidRDefault="00EA3338" w:rsidP="00C249E4">
      <w:pPr>
        <w:ind w:left="567" w:right="567"/>
        <w:contextualSpacing/>
        <w:rPr>
          <w:sz w:val="18"/>
          <w:lang w:val="fr-FR"/>
        </w:rPr>
      </w:pPr>
    </w:p>
    <w:p w:rsidR="00EA3338" w:rsidRPr="0016157A" w:rsidRDefault="00EA3338" w:rsidP="00C249E4">
      <w:pPr>
        <w:ind w:left="567"/>
        <w:rPr>
          <w:sz w:val="18"/>
          <w:u w:val="single"/>
          <w:lang w:val="fr-FR"/>
        </w:rPr>
      </w:pPr>
      <w:bookmarkStart w:id="71" w:name="_Toc478118271"/>
      <w:r w:rsidRPr="0016157A">
        <w:rPr>
          <w:sz w:val="18"/>
          <w:highlight w:val="lightGray"/>
          <w:lang w:val="fr-FR"/>
        </w:rPr>
        <w:t>3.4</w:t>
      </w:r>
      <w:r w:rsidRPr="0016157A">
        <w:rPr>
          <w:sz w:val="18"/>
          <w:highlight w:val="lightGray"/>
          <w:lang w:val="fr-FR"/>
        </w:rPr>
        <w:tab/>
      </w:r>
      <w:bookmarkEnd w:id="71"/>
      <w:r w:rsidRPr="0016157A">
        <w:rPr>
          <w:rFonts w:cs="Arial"/>
          <w:sz w:val="18"/>
          <w:szCs w:val="18"/>
          <w:highlight w:val="lightGray"/>
          <w:lang w:val="fr-FR"/>
        </w:rPr>
        <w:t>[Modèle de principes directeurs d</w:t>
      </w:r>
      <w:r w:rsidR="00B4091E">
        <w:rPr>
          <w:rFonts w:cs="Arial"/>
          <w:sz w:val="18"/>
          <w:szCs w:val="18"/>
          <w:highlight w:val="lightGray"/>
          <w:lang w:val="fr-FR"/>
        </w:rPr>
        <w:t>’</w:t>
      </w:r>
      <w:r w:rsidRPr="0016157A">
        <w:rPr>
          <w:rFonts w:cs="Arial"/>
          <w:sz w:val="18"/>
          <w:szCs w:val="18"/>
          <w:highlight w:val="lightGray"/>
          <w:lang w:val="fr-FR"/>
        </w:rPr>
        <w:t>examen fondé sur le Web]</w:t>
      </w:r>
    </w:p>
    <w:p w:rsidR="00EA3338" w:rsidRPr="0016157A" w:rsidRDefault="00EA3338" w:rsidP="00C249E4">
      <w:pPr>
        <w:ind w:left="567" w:right="567"/>
        <w:contextualSpacing/>
        <w:rPr>
          <w:sz w:val="18"/>
          <w:lang w:val="fr-FR"/>
        </w:rPr>
      </w:pPr>
    </w:p>
    <w:p w:rsidR="00EA3338" w:rsidRPr="0016157A" w:rsidRDefault="00EA3338" w:rsidP="00C249E4">
      <w:pPr>
        <w:ind w:left="567" w:right="567"/>
        <w:contextualSpacing/>
        <w:rPr>
          <w:sz w:val="18"/>
          <w:u w:val="single"/>
          <w:lang w:val="fr-FR"/>
        </w:rPr>
      </w:pPr>
      <w:r w:rsidRPr="0016157A">
        <w:rPr>
          <w:sz w:val="18"/>
          <w:highlight w:val="lightGray"/>
          <w:u w:val="single"/>
          <w:lang w:val="fr-FR"/>
        </w:rPr>
        <w:t>3.4.1</w:t>
      </w:r>
      <w:r w:rsidRPr="0016157A">
        <w:rPr>
          <w:sz w:val="18"/>
          <w:highlight w:val="lightGray"/>
          <w:u w:val="single"/>
          <w:lang w:val="fr-FR"/>
        </w:rPr>
        <w:tab/>
      </w:r>
      <w:r w:rsidRPr="0016157A">
        <w:rPr>
          <w:rFonts w:cs="Arial"/>
          <w:sz w:val="18"/>
          <w:szCs w:val="18"/>
          <w:highlight w:val="lightGray"/>
          <w:u w:val="single"/>
          <w:lang w:val="fr-FR"/>
        </w:rPr>
        <w:t>L</w:t>
      </w:r>
      <w:r w:rsidR="00B4091E">
        <w:rPr>
          <w:rFonts w:cs="Arial"/>
          <w:sz w:val="18"/>
          <w:szCs w:val="18"/>
          <w:highlight w:val="lightGray"/>
          <w:u w:val="single"/>
          <w:lang w:val="fr-FR"/>
        </w:rPr>
        <w:t>’</w:t>
      </w:r>
      <w:r w:rsidRPr="0016157A">
        <w:rPr>
          <w:rFonts w:cs="Arial"/>
          <w:sz w:val="18"/>
          <w:szCs w:val="18"/>
          <w:highlight w:val="lightGray"/>
          <w:u w:val="single"/>
          <w:lang w:val="fr-FR"/>
        </w:rPr>
        <w:t>UPOV a élaboré le modèle de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fondé sur le Web (voir : https://www3.wipo.int/upovtg/) pour mettre en œuvre les conseils pour l</w:t>
      </w:r>
      <w:r w:rsidR="00B4091E">
        <w:rPr>
          <w:rFonts w:cs="Arial"/>
          <w:sz w:val="18"/>
          <w:szCs w:val="18"/>
          <w:highlight w:val="lightGray"/>
          <w:u w:val="single"/>
          <w:lang w:val="fr-FR"/>
        </w:rPr>
        <w:t>’</w:t>
      </w:r>
      <w:r w:rsidRPr="0016157A">
        <w:rPr>
          <w:rFonts w:cs="Arial"/>
          <w:sz w:val="18"/>
          <w:szCs w:val="18"/>
          <w:highlight w:val="lightGray"/>
          <w:u w:val="single"/>
          <w:lang w:val="fr-FR"/>
        </w:rPr>
        <w:t>élaboration des principes directeurs d</w:t>
      </w:r>
      <w:r w:rsidR="00B4091E">
        <w:rPr>
          <w:rFonts w:cs="Arial"/>
          <w:sz w:val="18"/>
          <w:szCs w:val="18"/>
          <w:highlight w:val="lightGray"/>
          <w:u w:val="single"/>
          <w:lang w:val="fr-FR"/>
        </w:rPr>
        <w:t>’</w:t>
      </w:r>
      <w:r w:rsidRPr="0016157A">
        <w:rPr>
          <w:rFonts w:cs="Arial"/>
          <w:sz w:val="18"/>
          <w:szCs w:val="18"/>
          <w:highlight w:val="lightGray"/>
          <w:u w:val="single"/>
          <w:lang w:val="fr-FR"/>
        </w:rPr>
        <w:t>examen figurant dans le document TGP/7.</w:t>
      </w:r>
    </w:p>
    <w:p w:rsidR="00EA3338" w:rsidRPr="0016157A" w:rsidRDefault="00EA3338" w:rsidP="00C249E4">
      <w:pPr>
        <w:ind w:left="567" w:right="567"/>
        <w:contextualSpacing/>
        <w:rPr>
          <w:sz w:val="18"/>
          <w:lang w:val="fr-FR"/>
        </w:rPr>
      </w:pPr>
    </w:p>
    <w:p w:rsidR="00EA3338" w:rsidRPr="0016157A" w:rsidRDefault="00EA3338" w:rsidP="00C249E4">
      <w:pPr>
        <w:ind w:left="567" w:right="567"/>
        <w:contextualSpacing/>
        <w:rPr>
          <w:sz w:val="18"/>
          <w:lang w:val="fr-FR"/>
        </w:rPr>
      </w:pPr>
    </w:p>
    <w:p w:rsidR="00EA3338" w:rsidRPr="0016157A" w:rsidRDefault="00EA3338" w:rsidP="00C249E4">
      <w:pPr>
        <w:rPr>
          <w:sz w:val="18"/>
          <w:u w:val="single"/>
          <w:lang w:val="fr-FR"/>
        </w:rPr>
      </w:pPr>
      <w:bookmarkStart w:id="72" w:name="_Toc478118883"/>
      <w:r w:rsidRPr="0016157A">
        <w:rPr>
          <w:rFonts w:cs="Arial"/>
          <w:sz w:val="18"/>
          <w:szCs w:val="18"/>
          <w:u w:val="single"/>
          <w:lang w:val="fr-FR"/>
        </w:rPr>
        <w:t>Section 4 : Élaboration de principes directeurs d</w:t>
      </w:r>
      <w:r w:rsidR="00B4091E">
        <w:rPr>
          <w:rFonts w:cs="Arial"/>
          <w:sz w:val="18"/>
          <w:szCs w:val="18"/>
          <w:u w:val="single"/>
          <w:lang w:val="fr-FR"/>
        </w:rPr>
        <w:t>’</w:t>
      </w:r>
      <w:r w:rsidRPr="0016157A">
        <w:rPr>
          <w:rFonts w:cs="Arial"/>
          <w:sz w:val="18"/>
          <w:szCs w:val="18"/>
          <w:u w:val="single"/>
          <w:lang w:val="fr-FR"/>
        </w:rPr>
        <w:t>examen propres aux différents services</w:t>
      </w:r>
      <w:bookmarkEnd w:id="72"/>
    </w:p>
    <w:p w:rsidR="00EA3338" w:rsidRPr="0016157A" w:rsidRDefault="00EA3338" w:rsidP="00C249E4">
      <w:pPr>
        <w:keepNext/>
        <w:ind w:left="567" w:right="567"/>
        <w:outlineLvl w:val="2"/>
        <w:rPr>
          <w:sz w:val="18"/>
          <w:lang w:val="fr-FR"/>
        </w:rPr>
      </w:pPr>
    </w:p>
    <w:p w:rsidR="00EA3338" w:rsidRPr="0016157A" w:rsidRDefault="00EA3338" w:rsidP="00C249E4">
      <w:pPr>
        <w:ind w:left="567"/>
        <w:rPr>
          <w:lang w:val="fr-FR"/>
        </w:rPr>
      </w:pPr>
      <w:r w:rsidRPr="0016157A">
        <w:rPr>
          <w:lang w:val="fr-FR"/>
        </w:rPr>
        <w:t>[…]</w:t>
      </w:r>
    </w:p>
    <w:p w:rsidR="00EA3338" w:rsidRPr="0016157A" w:rsidRDefault="00EA3338" w:rsidP="00C249E4">
      <w:pPr>
        <w:rPr>
          <w:lang w:val="fr-FR"/>
        </w:rPr>
      </w:pPr>
    </w:p>
    <w:p w:rsidR="00EA3338" w:rsidRPr="0016157A" w:rsidRDefault="00EA3338" w:rsidP="00C249E4">
      <w:pPr>
        <w:ind w:left="567"/>
        <w:rPr>
          <w:sz w:val="18"/>
          <w:lang w:val="fr-FR"/>
        </w:rPr>
      </w:pPr>
      <w:bookmarkStart w:id="73" w:name="_Toc478118273"/>
      <w:r w:rsidRPr="0016157A">
        <w:rPr>
          <w:sz w:val="18"/>
          <w:lang w:val="fr-FR"/>
        </w:rPr>
        <w:t xml:space="preserve">4.3 </w:t>
      </w:r>
      <w:bookmarkEnd w:id="73"/>
      <w:r w:rsidRPr="0016157A">
        <w:rPr>
          <w:rFonts w:cs="Arial"/>
          <w:strike/>
          <w:sz w:val="18"/>
          <w:szCs w:val="18"/>
          <w:highlight w:val="lightGray"/>
          <w:lang w:val="fr-FR" w:bidi="th-TH"/>
        </w:rPr>
        <w:t>Matériel pour les rédacteurs de principes directeurs d</w:t>
      </w:r>
      <w:r w:rsidR="00B4091E">
        <w:rPr>
          <w:rFonts w:cs="Arial"/>
          <w:strike/>
          <w:sz w:val="18"/>
          <w:szCs w:val="18"/>
          <w:highlight w:val="lightGray"/>
          <w:lang w:val="fr-FR" w:bidi="th-TH"/>
        </w:rPr>
        <w:t>’</w:t>
      </w:r>
      <w:r w:rsidRPr="0016157A">
        <w:rPr>
          <w:rFonts w:cs="Arial"/>
          <w:strike/>
          <w:sz w:val="18"/>
          <w:szCs w:val="18"/>
          <w:highlight w:val="lightGray"/>
          <w:lang w:val="fr-FR" w:bidi="th-TH"/>
        </w:rPr>
        <w:t>examen</w:t>
      </w:r>
      <w:r w:rsidRPr="0016157A">
        <w:rPr>
          <w:rFonts w:cs="Arial"/>
          <w:sz w:val="18"/>
          <w:szCs w:val="18"/>
          <w:highlight w:val="lightGray"/>
          <w:lang w:val="fr-FR"/>
        </w:rPr>
        <w:t xml:space="preserve"> Conseils aux rédacteurs de principes directeurs d</w:t>
      </w:r>
      <w:r w:rsidR="00B4091E">
        <w:rPr>
          <w:rFonts w:cs="Arial"/>
          <w:sz w:val="18"/>
          <w:szCs w:val="18"/>
          <w:highlight w:val="lightGray"/>
          <w:lang w:val="fr-FR"/>
        </w:rPr>
        <w:t>’</w:t>
      </w:r>
      <w:r w:rsidRPr="0016157A">
        <w:rPr>
          <w:rFonts w:cs="Arial"/>
          <w:sz w:val="18"/>
          <w:szCs w:val="18"/>
          <w:highlight w:val="lightGray"/>
          <w:lang w:val="fr-FR"/>
        </w:rPr>
        <w:t>examen propres aux différents services</w:t>
      </w:r>
    </w:p>
    <w:p w:rsidR="00EA3338" w:rsidRPr="0016157A" w:rsidRDefault="00EA3338" w:rsidP="00C249E4">
      <w:pPr>
        <w:ind w:left="567" w:right="567"/>
        <w:contextualSpacing/>
        <w:rPr>
          <w:sz w:val="18"/>
          <w:lang w:val="fr-FR"/>
        </w:rPr>
      </w:pPr>
    </w:p>
    <w:p w:rsidR="00EA3338" w:rsidRPr="0016157A" w:rsidRDefault="00B4091E" w:rsidP="00C249E4">
      <w:pPr>
        <w:ind w:left="567" w:right="567"/>
        <w:contextualSpacing/>
        <w:rPr>
          <w:rFonts w:cs="Arial"/>
          <w:sz w:val="18"/>
          <w:szCs w:val="18"/>
          <w:lang w:val="fr-FR"/>
        </w:rPr>
      </w:pPr>
      <w:r>
        <w:rPr>
          <w:rFonts w:cs="Arial"/>
          <w:sz w:val="18"/>
          <w:szCs w:val="18"/>
          <w:lang w:val="fr-FR"/>
        </w:rPr>
        <w:t>“</w:t>
      </w:r>
      <w:r w:rsidR="00EA3338" w:rsidRPr="0016157A">
        <w:rPr>
          <w:rFonts w:cs="Arial"/>
          <w:sz w:val="18"/>
          <w:szCs w:val="18"/>
          <w:lang w:val="fr-FR"/>
        </w:rPr>
        <w:t>Afin d</w:t>
      </w:r>
      <w:r>
        <w:rPr>
          <w:rFonts w:cs="Arial"/>
          <w:sz w:val="18"/>
          <w:szCs w:val="18"/>
          <w:lang w:val="fr-FR"/>
        </w:rPr>
        <w:t>’</w:t>
      </w:r>
      <w:r w:rsidR="00EA3338" w:rsidRPr="0016157A">
        <w:rPr>
          <w:rFonts w:cs="Arial"/>
          <w:sz w:val="18"/>
          <w:szCs w:val="18"/>
          <w:lang w:val="fr-FR"/>
        </w:rPr>
        <w:t>aider les services à élaborer leurs propres principes directeurs d</w:t>
      </w:r>
      <w:r>
        <w:rPr>
          <w:rFonts w:cs="Arial"/>
          <w:sz w:val="18"/>
          <w:szCs w:val="18"/>
          <w:lang w:val="fr-FR"/>
        </w:rPr>
        <w:t>’</w:t>
      </w:r>
      <w:r w:rsidR="00EA3338" w:rsidRPr="0016157A">
        <w:rPr>
          <w:rFonts w:cs="Arial"/>
          <w:sz w:val="18"/>
          <w:szCs w:val="18"/>
          <w:lang w:val="fr-FR"/>
        </w:rPr>
        <w:t>examen, l</w:t>
      </w:r>
      <w:r>
        <w:rPr>
          <w:rFonts w:cs="Arial"/>
          <w:sz w:val="18"/>
          <w:szCs w:val="18"/>
          <w:lang w:val="fr-FR"/>
        </w:rPr>
        <w:t>’</w:t>
      </w:r>
      <w:r w:rsidR="00EA3338" w:rsidRPr="0016157A">
        <w:rPr>
          <w:rFonts w:cs="Arial"/>
          <w:sz w:val="18"/>
          <w:szCs w:val="18"/>
          <w:lang w:val="fr-FR"/>
        </w:rPr>
        <w:t>UPOV a publié un certain nombre d</w:t>
      </w:r>
      <w:r>
        <w:rPr>
          <w:rFonts w:cs="Arial"/>
          <w:sz w:val="18"/>
          <w:szCs w:val="18"/>
          <w:lang w:val="fr-FR"/>
        </w:rPr>
        <w:t>’</w:t>
      </w:r>
      <w:r w:rsidR="00EA3338" w:rsidRPr="0016157A">
        <w:rPr>
          <w:rFonts w:cs="Arial"/>
          <w:sz w:val="18"/>
          <w:szCs w:val="18"/>
          <w:lang w:val="fr-FR"/>
        </w:rPr>
        <w:t xml:space="preserve">informations pratiques </w:t>
      </w:r>
      <w:r w:rsidR="00EA3338" w:rsidRPr="0016157A">
        <w:rPr>
          <w:rFonts w:cs="Arial"/>
          <w:strike/>
          <w:sz w:val="18"/>
          <w:szCs w:val="18"/>
          <w:highlight w:val="lightGray"/>
          <w:lang w:val="fr-FR"/>
        </w:rPr>
        <w:t>dans la zone d</w:t>
      </w:r>
      <w:r>
        <w:rPr>
          <w:rFonts w:cs="Arial"/>
          <w:strike/>
          <w:sz w:val="18"/>
          <w:szCs w:val="18"/>
          <w:highlight w:val="lightGray"/>
          <w:lang w:val="fr-FR"/>
        </w:rPr>
        <w:t>’</w:t>
      </w:r>
      <w:r w:rsidR="00EA3338" w:rsidRPr="0016157A">
        <w:rPr>
          <w:rFonts w:cs="Arial"/>
          <w:strike/>
          <w:sz w:val="18"/>
          <w:szCs w:val="18"/>
          <w:highlight w:val="lightGray"/>
          <w:lang w:val="fr-FR"/>
        </w:rPr>
        <w:t>accès restreint de</w:t>
      </w:r>
      <w:r w:rsidR="00EA3338" w:rsidRPr="0016157A">
        <w:rPr>
          <w:rFonts w:cs="Arial"/>
          <w:sz w:val="18"/>
          <w:szCs w:val="18"/>
          <w:lang w:val="fr-FR"/>
        </w:rPr>
        <w:t xml:space="preserve"> </w:t>
      </w:r>
      <w:r w:rsidR="00EA3338" w:rsidRPr="0016157A">
        <w:rPr>
          <w:rFonts w:cs="Arial"/>
          <w:sz w:val="18"/>
          <w:szCs w:val="18"/>
          <w:highlight w:val="lightGray"/>
          <w:u w:val="single"/>
          <w:lang w:val="fr-FR"/>
        </w:rPr>
        <w:t>sur</w:t>
      </w:r>
      <w:r w:rsidR="00EA3338" w:rsidRPr="0016157A">
        <w:rPr>
          <w:rFonts w:cs="Arial"/>
          <w:sz w:val="18"/>
          <w:szCs w:val="18"/>
          <w:lang w:val="fr-FR"/>
        </w:rPr>
        <w:t xml:space="preserve"> son site Web </w:t>
      </w:r>
      <w:r w:rsidR="00EA3338" w:rsidRPr="0016157A">
        <w:rPr>
          <w:rFonts w:cs="Arial"/>
          <w:strike/>
          <w:sz w:val="18"/>
          <w:szCs w:val="18"/>
          <w:highlight w:val="lightGray"/>
          <w:lang w:val="fr-FR"/>
        </w:rPr>
        <w:t>(</w:t>
      </w:r>
      <w:hyperlink r:id="rId11" w:history="1">
        <w:r w:rsidR="00EA3338" w:rsidRPr="0016157A">
          <w:rPr>
            <w:rFonts w:cs="Arial"/>
            <w:strike/>
            <w:sz w:val="18"/>
            <w:szCs w:val="18"/>
            <w:highlight w:val="lightGray"/>
            <w:u w:val="single"/>
            <w:lang w:val="fr-FR"/>
          </w:rPr>
          <w:t>http://www.upov.int/restricted_temporary/twptg/fr/Drafters_kit.html</w:t>
        </w:r>
      </w:hyperlink>
      <w:r w:rsidR="00EA3338" w:rsidRPr="0016157A">
        <w:rPr>
          <w:rFonts w:cs="Arial"/>
          <w:strike/>
          <w:sz w:val="18"/>
          <w:szCs w:val="18"/>
          <w:highlight w:val="lightGray"/>
          <w:u w:val="single"/>
          <w:lang w:val="fr-FR"/>
        </w:rPr>
        <w:t xml:space="preserve"> </w:t>
      </w:r>
      <w:hyperlink r:id="rId12" w:history="1">
        <w:r w:rsidR="00EA3338" w:rsidRPr="0016157A">
          <w:rPr>
            <w:rFonts w:cs="Arial"/>
            <w:sz w:val="18"/>
            <w:szCs w:val="18"/>
            <w:highlight w:val="lightGray"/>
            <w:u w:val="single"/>
            <w:lang w:val="fr-FR"/>
          </w:rPr>
          <w:t>http://www.upov.int/resource/en/dus_guidance.html</w:t>
        </w:r>
      </w:hyperlink>
      <w:r w:rsidR="00EA3338" w:rsidRPr="0016157A">
        <w:rPr>
          <w:rFonts w:cs="Arial"/>
          <w:sz w:val="18"/>
          <w:szCs w:val="18"/>
          <w:lang w:val="fr-FR"/>
        </w:rPr>
        <w:t>)</w:t>
      </w:r>
      <w:r w:rsidR="00EA3338" w:rsidRPr="0016157A">
        <w:rPr>
          <w:rFonts w:cs="Arial"/>
          <w:strike/>
          <w:sz w:val="18"/>
          <w:szCs w:val="18"/>
          <w:highlight w:val="lightGray"/>
          <w:lang w:val="fr-FR"/>
        </w:rPr>
        <w:t>.  Pour aider les différents services à convertir les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dans un format approprié à leur utilisation</w:t>
      </w:r>
      <w:r w:rsidR="00EA3338" w:rsidRPr="0016157A">
        <w:rPr>
          <w:rFonts w:cs="Arial"/>
          <w:sz w:val="18"/>
          <w:szCs w:val="18"/>
          <w:lang w:val="fr-FR"/>
        </w:rPr>
        <w:t xml:space="preserve">, </w:t>
      </w:r>
      <w:r w:rsidR="00EA3338" w:rsidRPr="0016157A">
        <w:rPr>
          <w:rFonts w:cs="Arial"/>
          <w:sz w:val="18"/>
          <w:szCs w:val="18"/>
          <w:highlight w:val="lightGray"/>
          <w:u w:val="single"/>
          <w:lang w:val="fr-FR"/>
        </w:rPr>
        <w:t>y compris</w:t>
      </w:r>
      <w:r w:rsidR="00EA3338" w:rsidRPr="0016157A">
        <w:rPr>
          <w:rFonts w:cs="Arial"/>
          <w:sz w:val="18"/>
          <w:szCs w:val="18"/>
          <w:lang w:val="fr-FR"/>
        </w:rPr>
        <w:t xml:space="preserve"> tous les principes directeurs d</w:t>
      </w:r>
      <w:r>
        <w:rPr>
          <w:rFonts w:cs="Arial"/>
          <w:sz w:val="18"/>
          <w:szCs w:val="18"/>
          <w:lang w:val="fr-FR"/>
        </w:rPr>
        <w:t>’</w:t>
      </w:r>
      <w:r w:rsidR="00EA3338" w:rsidRPr="0016157A">
        <w:rPr>
          <w:rFonts w:cs="Arial"/>
          <w:sz w:val="18"/>
          <w:szCs w:val="18"/>
          <w:lang w:val="fr-FR"/>
        </w:rPr>
        <w:t xml:space="preserve">examen adoptés </w:t>
      </w:r>
      <w:r w:rsidR="00EA3338" w:rsidRPr="0016157A">
        <w:rPr>
          <w:rFonts w:cs="Arial"/>
          <w:strike/>
          <w:sz w:val="18"/>
          <w:szCs w:val="18"/>
          <w:highlight w:val="lightGray"/>
          <w:lang w:val="fr-FR"/>
        </w:rPr>
        <w:t xml:space="preserve">ont </w:t>
      </w:r>
      <w:r w:rsidR="00EA3338" w:rsidRPr="0016157A">
        <w:rPr>
          <w:rFonts w:cs="Arial"/>
          <w:sz w:val="18"/>
          <w:szCs w:val="18"/>
          <w:highlight w:val="lightGray"/>
          <w:lang w:val="fr-FR"/>
        </w:rPr>
        <w:t>été publiés</w:t>
      </w:r>
      <w:r w:rsidR="00EA3338" w:rsidRPr="0016157A">
        <w:rPr>
          <w:rFonts w:cs="Arial"/>
          <w:sz w:val="18"/>
          <w:szCs w:val="18"/>
          <w:lang w:val="fr-FR"/>
        </w:rPr>
        <w:t xml:space="preserve"> en format Word.  </w:t>
      </w:r>
      <w:r w:rsidR="00EA3338" w:rsidRPr="0016157A">
        <w:rPr>
          <w:rFonts w:cs="Arial"/>
          <w:sz w:val="18"/>
          <w:szCs w:val="18"/>
          <w:u w:val="single"/>
          <w:shd w:val="clear" w:color="auto" w:fill="D9D9D9" w:themeFill="background1" w:themeFillShade="D9"/>
          <w:lang w:val="fr-FR"/>
        </w:rPr>
        <w:t>Les caractères et les niveaux d</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expression supplémentaires notifiés au Bureau de l</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 xml:space="preserve">Union conformément au document TGP/5, Section 10 </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Notification de caractères et de niveaux d</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expression supplémentaires</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 xml:space="preserve">, sont également fournis.  </w:t>
      </w:r>
      <w:r w:rsidR="00EA3338" w:rsidRPr="0016157A">
        <w:rPr>
          <w:rFonts w:cs="Arial"/>
          <w:strike/>
          <w:sz w:val="18"/>
          <w:szCs w:val="18"/>
          <w:highlight w:val="lightGray"/>
          <w:lang w:val="fr-FR"/>
        </w:rPr>
        <w:t>Pour faciliter l</w:t>
      </w:r>
      <w:r>
        <w:rPr>
          <w:rFonts w:cs="Arial"/>
          <w:strike/>
          <w:sz w:val="18"/>
          <w:szCs w:val="18"/>
          <w:highlight w:val="lightGray"/>
          <w:lang w:val="fr-FR"/>
        </w:rPr>
        <w:t>’</w:t>
      </w:r>
      <w:r w:rsidR="00EA3338" w:rsidRPr="0016157A">
        <w:rPr>
          <w:rFonts w:cs="Arial"/>
          <w:strike/>
          <w:sz w:val="18"/>
          <w:szCs w:val="18"/>
          <w:highlight w:val="lightGray"/>
          <w:lang w:val="fr-FR"/>
        </w:rPr>
        <w:t>élaboration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propres à chaque service en l</w:t>
      </w:r>
      <w:r>
        <w:rPr>
          <w:rFonts w:cs="Arial"/>
          <w:strike/>
          <w:sz w:val="18"/>
          <w:szCs w:val="18"/>
          <w:highlight w:val="lightGray"/>
          <w:lang w:val="fr-FR"/>
        </w:rPr>
        <w:t>’</w:t>
      </w:r>
      <w:r w:rsidR="00EA3338" w:rsidRPr="0016157A">
        <w:rPr>
          <w:rFonts w:cs="Arial"/>
          <w:strike/>
          <w:sz w:val="18"/>
          <w:szCs w:val="18"/>
          <w:highlight w:val="lightGray"/>
          <w:lang w:val="fr-FR"/>
        </w:rPr>
        <w:t>absence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de l</w:t>
      </w:r>
      <w:r>
        <w:rPr>
          <w:rFonts w:cs="Arial"/>
          <w:strike/>
          <w:sz w:val="18"/>
          <w:szCs w:val="18"/>
          <w:highlight w:val="lightGray"/>
          <w:lang w:val="fr-FR"/>
        </w:rPr>
        <w:t>’</w:t>
      </w:r>
      <w:r w:rsidR="00EA3338" w:rsidRPr="0016157A">
        <w:rPr>
          <w:rFonts w:cs="Arial"/>
          <w:strike/>
          <w:sz w:val="18"/>
          <w:szCs w:val="18"/>
          <w:highlight w:val="lightGray"/>
          <w:lang w:val="fr-FR"/>
        </w:rPr>
        <w:t>UPOV, la documentation contient notamment une version électronique du modèle de principes directeurs d</w:t>
      </w:r>
      <w:r>
        <w:rPr>
          <w:rFonts w:cs="Arial"/>
          <w:strike/>
          <w:sz w:val="18"/>
          <w:szCs w:val="18"/>
          <w:highlight w:val="lightGray"/>
          <w:lang w:val="fr-FR"/>
        </w:rPr>
        <w:t>’</w:t>
      </w:r>
      <w:r w:rsidR="00EA3338" w:rsidRPr="0016157A">
        <w:rPr>
          <w:rFonts w:cs="Arial"/>
          <w:strike/>
          <w:sz w:val="18"/>
          <w:szCs w:val="18"/>
          <w:highlight w:val="lightGray"/>
          <w:lang w:val="fr-FR"/>
        </w:rPr>
        <w:t>examen (</w:t>
      </w:r>
      <w:r w:rsidR="00EA3338" w:rsidRPr="0016157A">
        <w:rPr>
          <w:rFonts w:cs="Arial"/>
          <w:strike/>
          <w:sz w:val="18"/>
          <w:szCs w:val="18"/>
          <w:lang w:val="fr-FR"/>
        </w:rPr>
        <w:t>document TG</w:t>
      </w:r>
      <w:r w:rsidR="00EA3338" w:rsidRPr="0016157A">
        <w:rPr>
          <w:rFonts w:cs="Arial"/>
          <w:strike/>
          <w:sz w:val="18"/>
          <w:szCs w:val="18"/>
          <w:highlight w:val="lightGray"/>
          <w:lang w:val="fr-FR"/>
        </w:rPr>
        <w:t xml:space="preserve">P/7, annexe 1) et de la </w:t>
      </w:r>
      <w:r>
        <w:rPr>
          <w:rFonts w:cs="Arial"/>
          <w:strike/>
          <w:sz w:val="18"/>
          <w:szCs w:val="18"/>
          <w:highlight w:val="lightGray"/>
          <w:lang w:val="fr-FR"/>
        </w:rPr>
        <w:t>“</w:t>
      </w:r>
      <w:r w:rsidR="00EA3338" w:rsidRPr="0016157A">
        <w:rPr>
          <w:rFonts w:cs="Arial"/>
          <w:strike/>
          <w:sz w:val="18"/>
          <w:szCs w:val="18"/>
          <w:highlight w:val="lightGray"/>
          <w:lang w:val="fr-FR"/>
        </w:rPr>
        <w:t>Liste des caractères approuvés</w:t>
      </w:r>
      <w:r>
        <w:rPr>
          <w:rFonts w:cs="Arial"/>
          <w:strike/>
          <w:sz w:val="18"/>
          <w:szCs w:val="18"/>
          <w:highlight w:val="lightGray"/>
          <w:lang w:val="fr-FR"/>
        </w:rPr>
        <w:t>”</w:t>
      </w:r>
      <w:r w:rsidR="00EA3338" w:rsidRPr="0016157A">
        <w:rPr>
          <w:rFonts w:cs="Arial"/>
          <w:strike/>
          <w:sz w:val="18"/>
          <w:szCs w:val="18"/>
          <w:highlight w:val="lightGray"/>
          <w:lang w:val="fr-FR"/>
        </w:rPr>
        <w:t xml:space="preserve"> (document TGP/7, annexe 4).</w:t>
      </w:r>
      <w:r>
        <w:rPr>
          <w:rFonts w:cs="Arial"/>
          <w:sz w:val="18"/>
          <w:szCs w:val="18"/>
          <w:lang w:val="fr-FR"/>
        </w:rPr>
        <w:t>”</w:t>
      </w:r>
    </w:p>
    <w:p w:rsidR="00EA3338" w:rsidRPr="0016157A" w:rsidRDefault="00EA3338" w:rsidP="00C249E4">
      <w:pPr>
        <w:ind w:left="567" w:right="567"/>
        <w:contextualSpacing/>
        <w:rPr>
          <w:sz w:val="18"/>
          <w:lang w:val="fr-FR"/>
        </w:rPr>
      </w:pPr>
    </w:p>
    <w:p w:rsidR="00EA3338" w:rsidRPr="0016157A" w:rsidRDefault="00EA3338" w:rsidP="00C249E4">
      <w:pPr>
        <w:ind w:left="567" w:right="567"/>
        <w:rPr>
          <w:sz w:val="18"/>
          <w:lang w:val="fr-FR"/>
        </w:rPr>
      </w:pPr>
    </w:p>
    <w:p w:rsidR="00EA3338" w:rsidRDefault="00EA3338">
      <w:pPr>
        <w:jc w:val="left"/>
        <w:rPr>
          <w:sz w:val="18"/>
          <w:lang w:val="fr-FR"/>
        </w:rPr>
      </w:pPr>
      <w:r>
        <w:rPr>
          <w:sz w:val="18"/>
          <w:lang w:val="fr-FR"/>
        </w:rPr>
        <w:br w:type="page"/>
      </w:r>
    </w:p>
    <w:p w:rsidR="00EA3338" w:rsidRPr="0016157A" w:rsidRDefault="00EA3338" w:rsidP="00C249E4">
      <w:pPr>
        <w:rPr>
          <w:sz w:val="18"/>
          <w:u w:val="single"/>
          <w:lang w:val="fr-FR"/>
        </w:rPr>
      </w:pPr>
      <w:r w:rsidRPr="0016157A">
        <w:rPr>
          <w:rFonts w:cs="Arial"/>
          <w:sz w:val="18"/>
          <w:szCs w:val="18"/>
          <w:u w:val="single"/>
          <w:lang w:val="fr-FR"/>
        </w:rPr>
        <w:t xml:space="preserve">Annexe 1 : </w:t>
      </w:r>
      <w:r w:rsidRPr="0016157A">
        <w:rPr>
          <w:rFonts w:cs="Arial"/>
          <w:strike/>
          <w:sz w:val="18"/>
          <w:szCs w:val="18"/>
          <w:highlight w:val="lightGray"/>
          <w:u w:val="single"/>
          <w:lang w:val="fr-FR"/>
        </w:rPr>
        <w:t>Modèle de</w:t>
      </w:r>
      <w:r w:rsidRPr="0016157A">
        <w:rPr>
          <w:rFonts w:cs="Arial"/>
          <w:sz w:val="18"/>
          <w:szCs w:val="18"/>
          <w:highlight w:val="lightGray"/>
          <w:u w:val="single"/>
          <w:lang w:val="fr-FR"/>
        </w:rPr>
        <w:t xml:space="preserve"> Structure des</w:t>
      </w:r>
      <w:r w:rsidRPr="0016157A">
        <w:rPr>
          <w:rFonts w:cs="Arial"/>
          <w:sz w:val="18"/>
          <w:szCs w:val="18"/>
          <w:u w:val="single"/>
          <w:lang w:val="fr-FR"/>
        </w:rPr>
        <w:t xml:space="preserve"> principes directeurs d</w:t>
      </w:r>
      <w:r w:rsidR="00B4091E">
        <w:rPr>
          <w:rFonts w:cs="Arial"/>
          <w:sz w:val="18"/>
          <w:szCs w:val="18"/>
          <w:u w:val="single"/>
          <w:lang w:val="fr-FR"/>
        </w:rPr>
        <w:t>’</w:t>
      </w:r>
      <w:r w:rsidRPr="0016157A">
        <w:rPr>
          <w:rFonts w:cs="Arial"/>
          <w:sz w:val="18"/>
          <w:szCs w:val="18"/>
          <w:u w:val="single"/>
          <w:lang w:val="fr-FR"/>
        </w:rPr>
        <w:t>examen</w:t>
      </w:r>
      <w:r w:rsidRPr="0016157A">
        <w:rPr>
          <w:rFonts w:cs="Arial"/>
          <w:sz w:val="18"/>
          <w:szCs w:val="18"/>
          <w:highlight w:val="lightGray"/>
          <w:u w:val="single"/>
          <w:lang w:val="fr-FR"/>
        </w:rPr>
        <w:t xml:space="preserve"> et texte supplémentaire général</w:t>
      </w:r>
    </w:p>
    <w:p w:rsidR="00EA3338" w:rsidRPr="0016157A" w:rsidRDefault="00EA3338" w:rsidP="00C249E4">
      <w:pPr>
        <w:ind w:left="567" w:right="567"/>
        <w:rPr>
          <w:sz w:val="18"/>
          <w:lang w:val="fr-FR"/>
        </w:rPr>
      </w:pPr>
    </w:p>
    <w:p w:rsidR="00EA3338" w:rsidRPr="0016157A" w:rsidRDefault="00EA3338" w:rsidP="00C249E4">
      <w:pPr>
        <w:ind w:left="567" w:right="567"/>
        <w:rPr>
          <w:sz w:val="18"/>
          <w:lang w:val="fr-FR"/>
        </w:rPr>
      </w:pPr>
      <w:r w:rsidRPr="0016157A">
        <w:rPr>
          <w:sz w:val="18"/>
          <w:lang w:val="fr-FR"/>
        </w:rPr>
        <w:t>[…]</w:t>
      </w:r>
    </w:p>
    <w:p w:rsidR="00EA3338" w:rsidRPr="0016157A" w:rsidRDefault="00EA3338" w:rsidP="00C249E4">
      <w:pPr>
        <w:ind w:left="567" w:right="567"/>
        <w:rPr>
          <w:sz w:val="18"/>
          <w:lang w:val="fr-FR"/>
        </w:rPr>
      </w:pPr>
    </w:p>
    <w:p w:rsidR="00EA3338" w:rsidRPr="0016157A" w:rsidRDefault="00EA3338" w:rsidP="00C249E4">
      <w:pPr>
        <w:tabs>
          <w:tab w:val="left" w:pos="709"/>
          <w:tab w:val="left" w:pos="1418"/>
        </w:tabs>
        <w:ind w:left="567" w:right="567"/>
        <w:rPr>
          <w:sz w:val="18"/>
          <w:lang w:val="fr-FR"/>
        </w:rPr>
      </w:pPr>
      <w:r w:rsidRPr="0016157A">
        <w:rPr>
          <w:sz w:val="18"/>
          <w:lang w:val="fr-FR"/>
        </w:rPr>
        <w:t>4.1.5</w:t>
      </w:r>
      <w:r w:rsidRPr="0016157A">
        <w:rPr>
          <w:sz w:val="18"/>
          <w:lang w:val="fr-FR"/>
        </w:rPr>
        <w:tab/>
      </w:r>
      <w:r w:rsidRPr="0016157A">
        <w:rPr>
          <w:rFonts w:cs="Arial"/>
          <w:iCs/>
          <w:sz w:val="18"/>
          <w:szCs w:val="18"/>
          <w:lang w:val="fr-FR"/>
        </w:rPr>
        <w:t>Méthode d</w:t>
      </w:r>
      <w:r w:rsidR="00B4091E">
        <w:rPr>
          <w:rFonts w:cs="Arial"/>
          <w:iCs/>
          <w:sz w:val="18"/>
          <w:szCs w:val="18"/>
          <w:lang w:val="fr-FR"/>
        </w:rPr>
        <w:t>’</w:t>
      </w:r>
      <w:r w:rsidRPr="0016157A">
        <w:rPr>
          <w:rFonts w:cs="Arial"/>
          <w:iCs/>
          <w:sz w:val="18"/>
          <w:szCs w:val="18"/>
          <w:lang w:val="fr-FR"/>
        </w:rPr>
        <w:t>observation</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rFonts w:cs="Arial"/>
          <w:sz w:val="18"/>
          <w:szCs w:val="18"/>
          <w:lang w:val="fr-FR"/>
        </w:rPr>
        <w:t>La méthode recommandée pour l</w:t>
      </w:r>
      <w:r>
        <w:rPr>
          <w:rFonts w:cs="Arial"/>
          <w:sz w:val="18"/>
          <w:szCs w:val="18"/>
          <w:lang w:val="fr-FR"/>
        </w:rPr>
        <w:t>’</w:t>
      </w:r>
      <w:r w:rsidR="00EA3338" w:rsidRPr="0016157A">
        <w:rPr>
          <w:rFonts w:cs="Arial"/>
          <w:sz w:val="18"/>
          <w:szCs w:val="18"/>
          <w:lang w:val="fr-FR"/>
        </w:rPr>
        <w:t xml:space="preserve">observation du caractère aux fins de la distinction est indiquée par le code suivant dans </w:t>
      </w:r>
      <w:r w:rsidR="00EA3338" w:rsidRPr="0016157A">
        <w:rPr>
          <w:rFonts w:cs="Arial"/>
          <w:strike/>
          <w:sz w:val="18"/>
          <w:szCs w:val="18"/>
          <w:highlight w:val="lightGray"/>
          <w:lang w:val="fr-FR"/>
        </w:rPr>
        <w:t>la deuxième colonne du</w:t>
      </w:r>
      <w:r w:rsidR="00EA3338" w:rsidRPr="0016157A">
        <w:rPr>
          <w:rFonts w:cs="Arial"/>
          <w:sz w:val="18"/>
          <w:szCs w:val="18"/>
          <w:lang w:val="fr-FR"/>
        </w:rPr>
        <w:t xml:space="preserve"> </w:t>
      </w:r>
      <w:r w:rsidR="00EA3338" w:rsidRPr="0016157A">
        <w:rPr>
          <w:rFonts w:cs="Arial"/>
          <w:sz w:val="18"/>
          <w:szCs w:val="18"/>
          <w:highlight w:val="lightGray"/>
          <w:u w:val="single"/>
          <w:lang w:val="fr-FR"/>
        </w:rPr>
        <w:t>le</w:t>
      </w:r>
      <w:r w:rsidR="00EA3338" w:rsidRPr="0016157A">
        <w:rPr>
          <w:rFonts w:cs="Arial"/>
          <w:sz w:val="18"/>
          <w:szCs w:val="18"/>
          <w:lang w:val="fr-FR"/>
        </w:rPr>
        <w:t xml:space="preserve"> tableau des caractères (voir le document TGP/9 </w:t>
      </w:r>
      <w:r>
        <w:rPr>
          <w:rFonts w:cs="Arial"/>
          <w:sz w:val="18"/>
          <w:szCs w:val="18"/>
          <w:lang w:val="fr-FR"/>
        </w:rPr>
        <w:t>‘</w:t>
      </w:r>
      <w:r w:rsidR="00EA3338" w:rsidRPr="0016157A">
        <w:rPr>
          <w:rFonts w:cs="Arial"/>
          <w:sz w:val="18"/>
          <w:szCs w:val="18"/>
          <w:lang w:val="fr-FR"/>
        </w:rPr>
        <w:t>Examen de la distinction</w:t>
      </w:r>
      <w:r>
        <w:rPr>
          <w:rFonts w:cs="Arial"/>
          <w:sz w:val="18"/>
          <w:szCs w:val="18"/>
          <w:lang w:val="fr-FR"/>
        </w:rPr>
        <w:t>’</w:t>
      </w:r>
      <w:r w:rsidR="00EA3338" w:rsidRPr="0016157A">
        <w:rPr>
          <w:rFonts w:cs="Arial"/>
          <w:sz w:val="18"/>
          <w:szCs w:val="18"/>
          <w:lang w:val="fr-FR"/>
        </w:rPr>
        <w:t xml:space="preserve">, section 4 </w:t>
      </w:r>
      <w:r>
        <w:rPr>
          <w:rFonts w:cs="Arial"/>
          <w:sz w:val="18"/>
          <w:szCs w:val="18"/>
          <w:lang w:val="fr-FR"/>
        </w:rPr>
        <w:t>‘</w:t>
      </w:r>
      <w:r w:rsidR="00EA3338" w:rsidRPr="0016157A">
        <w:rPr>
          <w:rFonts w:cs="Arial"/>
          <w:sz w:val="18"/>
          <w:szCs w:val="18"/>
          <w:lang w:val="fr-FR"/>
        </w:rPr>
        <w:t>Observation des caractères</w:t>
      </w:r>
      <w:r>
        <w:rPr>
          <w:rFonts w:cs="Arial"/>
          <w:sz w:val="18"/>
          <w:szCs w:val="18"/>
          <w:lang w:val="fr-FR"/>
        </w:rPr>
        <w:t>’</w:t>
      </w:r>
      <w:r w:rsidR="00EA3338" w:rsidRPr="0016157A">
        <w:rPr>
          <w:rFonts w:cs="Arial"/>
          <w:sz w:val="18"/>
          <w:szCs w:val="18"/>
          <w:lang w:val="fr-FR"/>
        </w:rPr>
        <w:t>) :</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EA3338" w:rsidP="00C249E4">
      <w:pPr>
        <w:ind w:left="567"/>
        <w:rPr>
          <w:sz w:val="18"/>
          <w:lang w:val="fr-FR"/>
        </w:rPr>
      </w:pPr>
      <w:r w:rsidRPr="0016157A">
        <w:rPr>
          <w:sz w:val="18"/>
          <w:lang w:val="fr-FR"/>
        </w:rPr>
        <w:t>[…]</w:t>
      </w:r>
    </w:p>
    <w:p w:rsidR="00EA3338" w:rsidRPr="0016157A" w:rsidRDefault="00EA3338" w:rsidP="00C249E4">
      <w:pPr>
        <w:jc w:val="left"/>
        <w:rPr>
          <w:lang w:val="fr-FR"/>
        </w:rPr>
      </w:pPr>
    </w:p>
    <w:p w:rsidR="00EA3338" w:rsidRPr="0016157A" w:rsidRDefault="00EA3338" w:rsidP="00C249E4">
      <w:pPr>
        <w:rPr>
          <w:lang w:val="fr-FR"/>
        </w:rPr>
      </w:pPr>
    </w:p>
    <w:tbl>
      <w:tblPr>
        <w:tblW w:w="106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1"/>
        <w:gridCol w:w="1636"/>
        <w:gridCol w:w="1322"/>
        <w:gridCol w:w="1402"/>
        <w:gridCol w:w="1402"/>
        <w:gridCol w:w="1402"/>
        <w:gridCol w:w="1418"/>
        <w:gridCol w:w="664"/>
      </w:tblGrid>
      <w:tr w:rsidR="00EA3338" w:rsidRPr="0016157A" w:rsidTr="00C249E4">
        <w:trPr>
          <w:cantSplit/>
          <w:tblHeader/>
          <w:jc w:val="center"/>
        </w:trPr>
        <w:tc>
          <w:tcPr>
            <w:tcW w:w="1441" w:type="dxa"/>
            <w:tcBorders>
              <w:bottom w:val="single" w:sz="24" w:space="0" w:color="auto"/>
            </w:tcBorders>
          </w:tcPr>
          <w:p w:rsidR="00EA3338" w:rsidRPr="0016157A" w:rsidRDefault="00EA3338" w:rsidP="00C249E4">
            <w:pPr>
              <w:spacing w:before="120" w:after="120"/>
              <w:jc w:val="left"/>
              <w:rPr>
                <w:rFonts w:cs="Arial"/>
                <w:strike/>
                <w:snapToGrid w:val="0"/>
                <w:sz w:val="16"/>
                <w:lang w:val="fr-FR" w:eastAsia="ja-JP" w:bidi="th-TH"/>
              </w:rPr>
            </w:pPr>
            <w:r w:rsidRPr="0016157A">
              <w:rPr>
                <w:rFonts w:cs="Arial"/>
                <w:strike/>
                <w:snapToGrid w:val="0"/>
                <w:sz w:val="16"/>
                <w:lang w:val="fr-FR" w:eastAsia="ja-JP" w:bidi="th-TH"/>
              </w:rPr>
              <w:br/>
              <w:t xml:space="preserve"> </w:t>
            </w:r>
          </w:p>
        </w:tc>
        <w:tc>
          <w:tcPr>
            <w:tcW w:w="1636" w:type="dxa"/>
            <w:tcBorders>
              <w:bottom w:val="single" w:sz="24" w:space="0" w:color="auto"/>
            </w:tcBorders>
          </w:tcPr>
          <w:p w:rsidR="00EA3338" w:rsidRPr="0016157A" w:rsidRDefault="00EA3338" w:rsidP="00C249E4">
            <w:pPr>
              <w:spacing w:before="120" w:after="120"/>
              <w:jc w:val="left"/>
              <w:rPr>
                <w:rFonts w:cs="Arial"/>
                <w:i/>
                <w:strike/>
                <w:snapToGrid w:val="0"/>
                <w:sz w:val="16"/>
                <w:lang w:val="fr-FR" w:eastAsia="ja-JP" w:bidi="th-TH"/>
              </w:rPr>
            </w:pPr>
            <w:r w:rsidRPr="0016157A">
              <w:rPr>
                <w:rFonts w:cs="Arial"/>
                <w:strike/>
                <w:snapToGrid w:val="0"/>
                <w:sz w:val="16"/>
                <w:lang w:val="fr-FR" w:eastAsia="ja-JP" w:bidi="th-TH"/>
              </w:rPr>
              <w:br/>
            </w:r>
          </w:p>
        </w:tc>
        <w:tc>
          <w:tcPr>
            <w:tcW w:w="1322"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r w:rsidRPr="0016157A">
              <w:rPr>
                <w:rFonts w:cs="Arial"/>
                <w:strike/>
                <w:snapToGrid w:val="0"/>
                <w:sz w:val="16"/>
                <w:lang w:val="fr-FR" w:eastAsia="ja-JP" w:bidi="th-TH"/>
              </w:rPr>
              <w:br/>
            </w:r>
            <w:r w:rsidRPr="0016157A">
              <w:rPr>
                <w:rFonts w:cs="Arial"/>
                <w:strike/>
                <w:snapToGrid w:val="0"/>
                <w:sz w:val="16"/>
                <w:highlight w:val="lightGray"/>
                <w:lang w:val="fr-FR" w:eastAsia="ja-JP" w:bidi="th-TH"/>
              </w:rPr>
              <w:t>English</w:t>
            </w:r>
          </w:p>
        </w:tc>
        <w:tc>
          <w:tcPr>
            <w:tcW w:w="1402"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français</w:t>
            </w:r>
          </w:p>
        </w:tc>
        <w:tc>
          <w:tcPr>
            <w:tcW w:w="1402"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r>
            <w:proofErr w:type="spellStart"/>
            <w:r w:rsidRPr="0016157A">
              <w:rPr>
                <w:rFonts w:cs="Arial"/>
                <w:strike/>
                <w:snapToGrid w:val="0"/>
                <w:sz w:val="16"/>
                <w:highlight w:val="lightGray"/>
                <w:lang w:val="fr-FR" w:eastAsia="ja-JP" w:bidi="th-TH"/>
              </w:rPr>
              <w:t>deutsch</w:t>
            </w:r>
            <w:proofErr w:type="spellEnd"/>
          </w:p>
        </w:tc>
        <w:tc>
          <w:tcPr>
            <w:tcW w:w="1402"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r>
            <w:proofErr w:type="spellStart"/>
            <w:r w:rsidRPr="0016157A">
              <w:rPr>
                <w:rFonts w:cs="Arial"/>
                <w:strike/>
                <w:snapToGrid w:val="0"/>
                <w:sz w:val="16"/>
                <w:highlight w:val="lightGray"/>
                <w:lang w:val="fr-FR" w:eastAsia="ja-JP" w:bidi="th-TH"/>
              </w:rPr>
              <w:t>español</w:t>
            </w:r>
            <w:proofErr w:type="spellEnd"/>
          </w:p>
        </w:tc>
        <w:tc>
          <w:tcPr>
            <w:tcW w:w="1418"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proofErr w:type="spellStart"/>
            <w:r w:rsidRPr="0016157A">
              <w:rPr>
                <w:rFonts w:cs="Arial"/>
                <w:strike/>
                <w:snapToGrid w:val="0"/>
                <w:sz w:val="16"/>
                <w:highlight w:val="lightGray"/>
                <w:lang w:val="fr-FR" w:eastAsia="ja-JP" w:bidi="th-TH"/>
              </w:rPr>
              <w:t>Example</w:t>
            </w:r>
            <w:proofErr w:type="spellEnd"/>
            <w:r w:rsidRPr="0016157A">
              <w:rPr>
                <w:rFonts w:cs="Arial"/>
                <w:strike/>
                <w:snapToGrid w:val="0"/>
                <w:sz w:val="16"/>
                <w:highlight w:val="lightGray"/>
                <w:lang w:val="fr-FR" w:eastAsia="ja-JP" w:bidi="th-TH"/>
              </w:rPr>
              <w:t xml:space="preserve"> </w:t>
            </w:r>
            <w:proofErr w:type="spellStart"/>
            <w:r w:rsidRPr="0016157A">
              <w:rPr>
                <w:rFonts w:cs="Arial"/>
                <w:strike/>
                <w:snapToGrid w:val="0"/>
                <w:sz w:val="16"/>
                <w:highlight w:val="lightGray"/>
                <w:lang w:val="fr-FR" w:eastAsia="ja-JP" w:bidi="th-TH"/>
              </w:rPr>
              <w:t>Varieties</w:t>
            </w:r>
            <w:proofErr w:type="spellEnd"/>
            <w:r w:rsidRPr="0016157A">
              <w:rPr>
                <w:rFonts w:cs="Arial"/>
                <w:strike/>
                <w:snapToGrid w:val="0"/>
                <w:sz w:val="16"/>
                <w:highlight w:val="lightGray"/>
                <w:lang w:val="fr-FR" w:eastAsia="ja-JP" w:bidi="th-TH"/>
              </w:rPr>
              <w:t>/</w:t>
            </w:r>
            <w:r w:rsidRPr="0016157A">
              <w:rPr>
                <w:rFonts w:cs="Arial"/>
                <w:strike/>
                <w:snapToGrid w:val="0"/>
                <w:sz w:val="16"/>
                <w:highlight w:val="lightGray"/>
                <w:lang w:val="fr-FR" w:eastAsia="ja-JP" w:bidi="th-TH"/>
              </w:rPr>
              <w:br/>
              <w:t>Exemples/</w:t>
            </w:r>
            <w:r w:rsidRPr="0016157A">
              <w:rPr>
                <w:rFonts w:cs="Arial"/>
                <w:strike/>
                <w:snapToGrid w:val="0"/>
                <w:sz w:val="16"/>
                <w:highlight w:val="lightGray"/>
                <w:lang w:val="fr-FR" w:eastAsia="ja-JP" w:bidi="th-TH"/>
              </w:rPr>
              <w:br/>
            </w:r>
            <w:proofErr w:type="spellStart"/>
            <w:r w:rsidRPr="0016157A">
              <w:rPr>
                <w:rFonts w:cs="Arial"/>
                <w:strike/>
                <w:snapToGrid w:val="0"/>
                <w:sz w:val="16"/>
                <w:highlight w:val="lightGray"/>
                <w:lang w:val="fr-FR" w:eastAsia="ja-JP" w:bidi="th-TH"/>
              </w:rPr>
              <w:t>Beispielssorten</w:t>
            </w:r>
            <w:proofErr w:type="spellEnd"/>
            <w:r w:rsidRPr="0016157A">
              <w:rPr>
                <w:rFonts w:cs="Arial"/>
                <w:strike/>
                <w:snapToGrid w:val="0"/>
                <w:sz w:val="16"/>
                <w:highlight w:val="lightGray"/>
                <w:lang w:val="fr-FR" w:eastAsia="ja-JP" w:bidi="th-TH"/>
              </w:rPr>
              <w:t>/</w:t>
            </w:r>
            <w:r w:rsidRPr="0016157A">
              <w:rPr>
                <w:rFonts w:cs="Arial"/>
                <w:strike/>
                <w:snapToGrid w:val="0"/>
                <w:sz w:val="16"/>
                <w:highlight w:val="lightGray"/>
                <w:lang w:val="fr-FR" w:eastAsia="ja-JP" w:bidi="th-TH"/>
              </w:rPr>
              <w:br/>
            </w:r>
            <w:proofErr w:type="spellStart"/>
            <w:r w:rsidRPr="0016157A">
              <w:rPr>
                <w:rFonts w:cs="Arial"/>
                <w:strike/>
                <w:snapToGrid w:val="0"/>
                <w:sz w:val="16"/>
                <w:highlight w:val="lightGray"/>
                <w:lang w:val="fr-FR" w:eastAsia="ja-JP" w:bidi="th-TH"/>
              </w:rPr>
              <w:t>Variedades</w:t>
            </w:r>
            <w:proofErr w:type="spellEnd"/>
            <w:r w:rsidRPr="0016157A">
              <w:rPr>
                <w:rFonts w:cs="Arial"/>
                <w:strike/>
                <w:snapToGrid w:val="0"/>
                <w:sz w:val="16"/>
                <w:highlight w:val="lightGray"/>
                <w:lang w:val="fr-FR" w:eastAsia="ja-JP" w:bidi="th-TH"/>
              </w:rPr>
              <w:t xml:space="preserve"> </w:t>
            </w:r>
            <w:proofErr w:type="spellStart"/>
            <w:r w:rsidRPr="0016157A">
              <w:rPr>
                <w:rFonts w:cs="Arial"/>
                <w:strike/>
                <w:snapToGrid w:val="0"/>
                <w:sz w:val="16"/>
                <w:highlight w:val="lightGray"/>
                <w:lang w:val="fr-FR" w:eastAsia="ja-JP" w:bidi="th-TH"/>
              </w:rPr>
              <w:t>ejemplo</w:t>
            </w:r>
            <w:proofErr w:type="spellEnd"/>
          </w:p>
        </w:tc>
        <w:tc>
          <w:tcPr>
            <w:tcW w:w="664" w:type="dxa"/>
            <w:tcBorders>
              <w:bottom w:val="single" w:sz="24" w:space="0" w:color="auto"/>
            </w:tcBorders>
          </w:tcPr>
          <w:p w:rsidR="00EA3338" w:rsidRPr="0016157A" w:rsidRDefault="00EA3338" w:rsidP="00C249E4">
            <w:pPr>
              <w:spacing w:before="120" w:after="120"/>
              <w:jc w:val="left"/>
              <w:rPr>
                <w:rFonts w:cs="Arial"/>
                <w:strike/>
                <w:snapToGrid w:val="0"/>
                <w:sz w:val="16"/>
                <w:highlight w:val="lightGray"/>
                <w:lang w:val="fr-FR" w:eastAsia="ja-JP" w:bidi="th-TH"/>
              </w:rPr>
            </w:pPr>
            <w:r w:rsidRPr="0016157A">
              <w:rPr>
                <w:rFonts w:cs="Arial"/>
                <w:strike/>
                <w:snapToGrid w:val="0"/>
                <w:sz w:val="16"/>
                <w:highlight w:val="lightGray"/>
                <w:lang w:val="fr-FR" w:eastAsia="ja-JP" w:bidi="th-TH"/>
              </w:rPr>
              <w:br/>
              <w:t>Note/</w:t>
            </w:r>
            <w:r w:rsidRPr="0016157A">
              <w:rPr>
                <w:rFonts w:cs="Arial"/>
                <w:strike/>
                <w:snapToGrid w:val="0"/>
                <w:sz w:val="16"/>
                <w:highlight w:val="lightGray"/>
                <w:lang w:val="fr-FR" w:eastAsia="ja-JP" w:bidi="th-TH"/>
              </w:rPr>
              <w:br/>
              <w:t>Nota</w:t>
            </w:r>
          </w:p>
        </w:tc>
      </w:tr>
      <w:tr w:rsidR="00EA3338" w:rsidRPr="00204171" w:rsidTr="00C249E4">
        <w:trPr>
          <w:cantSplit/>
          <w:jc w:val="center"/>
        </w:trPr>
        <w:tc>
          <w:tcPr>
            <w:tcW w:w="1441" w:type="dxa"/>
            <w:tcBorders>
              <w:top w:val="single" w:sz="24" w:space="0" w:color="auto"/>
              <w:left w:val="single" w:sz="24" w:space="0" w:color="auto"/>
              <w:bottom w:val="nil"/>
              <w:right w:val="nil"/>
            </w:tcBorders>
            <w:shd w:val="clear" w:color="auto" w:fill="auto"/>
          </w:tcPr>
          <w:p w:rsidR="00EA3338" w:rsidRPr="0016157A" w:rsidRDefault="00EA3338" w:rsidP="00C249E4">
            <w:pPr>
              <w:keepNext/>
              <w:spacing w:before="120" w:after="120"/>
              <w:jc w:val="left"/>
              <w:rPr>
                <w:rFonts w:cs="Arial"/>
                <w:b/>
                <w:bCs/>
                <w:strike/>
                <w:snapToGrid w:val="0"/>
                <w:sz w:val="16"/>
                <w:highlight w:val="lightGray"/>
                <w:lang w:val="fr-FR" w:eastAsia="ja-JP" w:bidi="th-TH"/>
              </w:rPr>
            </w:pPr>
            <w:r w:rsidRPr="0016157A">
              <w:rPr>
                <w:rFonts w:cs="Arial"/>
                <w:b/>
                <w:strike/>
                <w:sz w:val="16"/>
                <w:szCs w:val="16"/>
                <w:highlight w:val="lightGray"/>
                <w:lang w:val="fr-FR"/>
              </w:rPr>
              <w:t>N° de car.</w:t>
            </w:r>
          </w:p>
        </w:tc>
        <w:tc>
          <w:tcPr>
            <w:tcW w:w="1636" w:type="dxa"/>
            <w:vMerge w:val="restart"/>
            <w:tcBorders>
              <w:top w:val="single" w:sz="24" w:space="0" w:color="auto"/>
              <w:left w:val="nil"/>
              <w:bottom w:val="nil"/>
              <w:right w:val="nil"/>
            </w:tcBorders>
            <w:shd w:val="clear" w:color="auto" w:fill="auto"/>
          </w:tcPr>
          <w:p w:rsidR="00EA3338" w:rsidRPr="0016157A" w:rsidRDefault="00EA3338" w:rsidP="00C249E4">
            <w:pPr>
              <w:keepNext/>
              <w:spacing w:before="120" w:after="120"/>
              <w:jc w:val="left"/>
              <w:rPr>
                <w:rFonts w:cs="Arial"/>
                <w:b/>
                <w:bCs/>
                <w:strike/>
                <w:snapToGrid w:val="0"/>
                <w:sz w:val="16"/>
                <w:highlight w:val="lightGray"/>
                <w:lang w:val="fr-FR" w:eastAsia="ja-JP" w:bidi="th-TH"/>
              </w:rPr>
            </w:pPr>
            <w:r w:rsidRPr="0016157A">
              <w:rPr>
                <w:rFonts w:cs="Arial"/>
                <w:b/>
                <w:strike/>
                <w:sz w:val="16"/>
                <w:szCs w:val="16"/>
                <w:highlight w:val="lightGray"/>
                <w:lang w:val="fr-FR"/>
              </w:rPr>
              <w:t>{</w:t>
            </w:r>
            <w:r w:rsidRPr="0016157A">
              <w:rPr>
                <w:rFonts w:cs="Arial"/>
                <w:b/>
                <w:strike/>
                <w:sz w:val="16"/>
                <w:szCs w:val="16"/>
                <w:highlight w:val="lightGray"/>
                <w:bdr w:val="single" w:sz="12" w:space="0" w:color="auto"/>
                <w:lang w:val="fr-FR"/>
              </w:rPr>
              <w:t xml:space="preserve"> GN 24 </w:t>
            </w:r>
            <w:r w:rsidRPr="0016157A">
              <w:rPr>
                <w:rFonts w:cs="Arial"/>
                <w:b/>
                <w:strike/>
                <w:sz w:val="16"/>
                <w:szCs w:val="16"/>
                <w:highlight w:val="lightGray"/>
                <w:lang w:val="fr-FR"/>
              </w:rPr>
              <w:t xml:space="preserve"> </w:t>
            </w:r>
            <w:r w:rsidRPr="0016157A">
              <w:rPr>
                <w:rFonts w:cs="Arial"/>
                <w:b/>
                <w:strike/>
                <w:sz w:val="16"/>
                <w:szCs w:val="16"/>
                <w:highlight w:val="lightGray"/>
                <w:lang w:val="fr-FR"/>
              </w:rPr>
              <w:br/>
              <w:t>Stade de croissance }</w:t>
            </w:r>
          </w:p>
        </w:tc>
        <w:tc>
          <w:tcPr>
            <w:tcW w:w="5528" w:type="dxa"/>
            <w:gridSpan w:val="4"/>
            <w:vMerge w:val="restart"/>
            <w:tcBorders>
              <w:top w:val="single" w:sz="24" w:space="0" w:color="auto"/>
              <w:left w:val="nil"/>
              <w:bottom w:val="nil"/>
              <w:right w:val="nil"/>
            </w:tcBorders>
            <w:shd w:val="clear" w:color="auto" w:fill="auto"/>
          </w:tcPr>
          <w:p w:rsidR="00EA3338" w:rsidRPr="0016157A" w:rsidRDefault="00EA3338" w:rsidP="00C249E4">
            <w:pPr>
              <w:keepNext/>
              <w:spacing w:before="120" w:after="120"/>
              <w:ind w:left="992" w:hanging="992"/>
              <w:jc w:val="left"/>
              <w:rPr>
                <w:rFonts w:cs="Arial"/>
                <w:b/>
                <w:bCs/>
                <w:strike/>
                <w:snapToGrid w:val="0"/>
                <w:sz w:val="16"/>
                <w:highlight w:val="lightGray"/>
                <w:lang w:val="fr-FR" w:eastAsia="ja-JP" w:bidi="th-TH"/>
              </w:rPr>
            </w:pPr>
            <w:r w:rsidRPr="0016157A">
              <w:rPr>
                <w:rFonts w:cs="Arial"/>
                <w:b/>
                <w:strike/>
                <w:sz w:val="16"/>
                <w:szCs w:val="16"/>
                <w:highlight w:val="lightGray"/>
                <w:lang w:val="fr-FR"/>
              </w:rPr>
              <w:t>{</w:t>
            </w:r>
            <w:r w:rsidRPr="0016157A">
              <w:rPr>
                <w:rFonts w:cs="Arial"/>
                <w:b/>
                <w:strike/>
                <w:sz w:val="16"/>
                <w:szCs w:val="16"/>
                <w:highlight w:val="lightGray"/>
                <w:bdr w:val="single" w:sz="12" w:space="0" w:color="auto"/>
                <w:lang w:val="fr-FR"/>
              </w:rPr>
              <w:t xml:space="preserve"> GN 18 </w:t>
            </w:r>
            <w:r w:rsidRPr="0016157A">
              <w:rPr>
                <w:rFonts w:cs="Arial"/>
                <w:b/>
                <w:strike/>
                <w:sz w:val="16"/>
                <w:szCs w:val="16"/>
                <w:highlight w:val="lightGray"/>
                <w:lang w:val="fr-FR"/>
              </w:rPr>
              <w:t xml:space="preserve">  Présentation des caractères : désignation du caractère</w:t>
            </w:r>
            <w:r w:rsidRPr="0016157A">
              <w:rPr>
                <w:rFonts w:cs="Arial"/>
                <w:strike/>
                <w:sz w:val="16"/>
                <w:szCs w:val="16"/>
                <w:highlight w:val="lightGray"/>
                <w:lang w:val="fr-FR"/>
              </w:rPr>
              <w:t> }</w:t>
            </w:r>
          </w:p>
        </w:tc>
        <w:tc>
          <w:tcPr>
            <w:tcW w:w="1418" w:type="dxa"/>
            <w:vMerge w:val="restart"/>
            <w:tcBorders>
              <w:top w:val="single" w:sz="24" w:space="0" w:color="auto"/>
              <w:left w:val="nil"/>
              <w:bottom w:val="nil"/>
              <w:right w:val="nil"/>
            </w:tcBorders>
            <w:shd w:val="clear" w:color="auto" w:fill="auto"/>
          </w:tcPr>
          <w:p w:rsidR="00EA3338" w:rsidRPr="0016157A" w:rsidRDefault="00EA3338" w:rsidP="00C249E4">
            <w:pPr>
              <w:keepNext/>
              <w:spacing w:before="120" w:after="120"/>
              <w:jc w:val="left"/>
              <w:rPr>
                <w:rFonts w:cs="Arial"/>
                <w:b/>
                <w:bCs/>
                <w:strike/>
                <w:snapToGrid w:val="0"/>
                <w:sz w:val="16"/>
                <w:highlight w:val="lightGray"/>
                <w:lang w:val="fr-FR" w:eastAsia="ja-JP" w:bidi="th-TH"/>
              </w:rPr>
            </w:pPr>
          </w:p>
        </w:tc>
        <w:tc>
          <w:tcPr>
            <w:tcW w:w="664" w:type="dxa"/>
            <w:vMerge w:val="restart"/>
            <w:tcBorders>
              <w:top w:val="single" w:sz="24" w:space="0" w:color="auto"/>
              <w:left w:val="nil"/>
              <w:bottom w:val="nil"/>
              <w:right w:val="single" w:sz="24" w:space="0" w:color="auto"/>
            </w:tcBorders>
            <w:shd w:val="clear" w:color="auto" w:fill="auto"/>
          </w:tcPr>
          <w:p w:rsidR="00EA3338" w:rsidRPr="0016157A" w:rsidRDefault="00EA3338" w:rsidP="00C249E4">
            <w:pPr>
              <w:keepNext/>
              <w:spacing w:before="120" w:after="120"/>
              <w:jc w:val="left"/>
              <w:rPr>
                <w:rFonts w:cs="Arial"/>
                <w:b/>
                <w:bCs/>
                <w:strike/>
                <w:snapToGrid w:val="0"/>
                <w:sz w:val="16"/>
                <w:highlight w:val="lightGray"/>
                <w:lang w:val="fr-FR" w:eastAsia="ja-JP" w:bidi="th-TH"/>
              </w:rPr>
            </w:pPr>
          </w:p>
        </w:tc>
      </w:tr>
      <w:tr w:rsidR="00EA3338" w:rsidRPr="0016157A" w:rsidTr="00C249E4">
        <w:trPr>
          <w:cantSplit/>
          <w:trHeight w:val="495"/>
          <w:jc w:val="center"/>
        </w:trPr>
        <w:tc>
          <w:tcPr>
            <w:tcW w:w="1441" w:type="dxa"/>
            <w:vMerge w:val="restart"/>
            <w:tcBorders>
              <w:top w:val="nil"/>
              <w:left w:val="single" w:sz="24" w:space="0" w:color="auto"/>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13.1, 13.4 </w:t>
            </w:r>
            <w:r w:rsidRPr="0016157A">
              <w:rPr>
                <w:rFonts w:cs="Arial"/>
                <w:b/>
                <w:bCs/>
                <w:strike/>
                <w:sz w:val="16"/>
                <w:szCs w:val="16"/>
                <w:highlight w:val="lightGray"/>
                <w:lang w:val="fr-FR"/>
              </w:rPr>
              <w:t>Caractères avec astérisque}</w:t>
            </w:r>
          </w:p>
        </w:tc>
        <w:tc>
          <w:tcPr>
            <w:tcW w:w="1636" w:type="dxa"/>
            <w:vMerge/>
            <w:tcBorders>
              <w:top w:val="nil"/>
              <w:left w:val="nil"/>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EA3338" w:rsidRPr="0016157A" w:rsidRDefault="00EA3338" w:rsidP="00C249E4">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r>
      <w:tr w:rsidR="00EA3338" w:rsidRPr="00204171" w:rsidTr="00C249E4">
        <w:trPr>
          <w:cantSplit/>
          <w:trHeight w:val="495"/>
          <w:jc w:val="center"/>
        </w:trPr>
        <w:tc>
          <w:tcPr>
            <w:tcW w:w="1441" w:type="dxa"/>
            <w:vMerge/>
            <w:tcBorders>
              <w:top w:val="nil"/>
              <w:left w:val="single" w:sz="24" w:space="0" w:color="auto"/>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1636" w:type="dxa"/>
            <w:vMerge w:val="restart"/>
            <w:tcBorders>
              <w:top w:val="nil"/>
              <w:left w:val="nil"/>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25   </w:t>
            </w:r>
            <w:r w:rsidRPr="0016157A">
              <w:rPr>
                <w:rFonts w:cs="Arial"/>
                <w:b/>
                <w:bCs/>
                <w:strike/>
                <w:sz w:val="16"/>
                <w:szCs w:val="16"/>
                <w:highlight w:val="lightGray"/>
                <w:lang w:val="fr-FR"/>
              </w:rPr>
              <w:t>Recommandations relatives à la conduite de l</w:t>
            </w:r>
            <w:r w:rsidR="00B4091E">
              <w:rPr>
                <w:rFonts w:cs="Arial"/>
                <w:b/>
                <w:bCs/>
                <w:strike/>
                <w:sz w:val="16"/>
                <w:szCs w:val="16"/>
                <w:highlight w:val="lightGray"/>
                <w:lang w:val="fr-FR"/>
              </w:rPr>
              <w:t>’</w:t>
            </w:r>
            <w:r w:rsidRPr="0016157A">
              <w:rPr>
                <w:rFonts w:cs="Arial"/>
                <w:b/>
                <w:bCs/>
                <w:strike/>
                <w:sz w:val="16"/>
                <w:szCs w:val="16"/>
                <w:highlight w:val="lightGray"/>
                <w:lang w:val="fr-FR"/>
              </w:rPr>
              <w:t>examen }</w:t>
            </w:r>
          </w:p>
        </w:tc>
        <w:tc>
          <w:tcPr>
            <w:tcW w:w="5528" w:type="dxa"/>
            <w:gridSpan w:val="4"/>
            <w:vMerge/>
            <w:tcBorders>
              <w:top w:val="nil"/>
              <w:left w:val="nil"/>
              <w:bottom w:val="nil"/>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nil"/>
              <w:right w:val="nil"/>
            </w:tcBorders>
            <w:shd w:val="clear" w:color="auto" w:fill="auto"/>
          </w:tcPr>
          <w:p w:rsidR="00EA3338" w:rsidRPr="0016157A" w:rsidRDefault="00EA3338" w:rsidP="00C249E4">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nil"/>
              <w:right w:val="single" w:sz="24" w:space="0" w:color="auto"/>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r>
      <w:tr w:rsidR="00EA3338" w:rsidRPr="00204171" w:rsidTr="00C249E4">
        <w:trPr>
          <w:cantSplit/>
          <w:jc w:val="center"/>
        </w:trPr>
        <w:tc>
          <w:tcPr>
            <w:tcW w:w="1441" w:type="dxa"/>
            <w:tcBorders>
              <w:top w:val="nil"/>
              <w:left w:val="single" w:sz="24" w:space="0" w:color="auto"/>
              <w:bottom w:val="single" w:sz="24" w:space="0" w:color="auto"/>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b/>
                <w:bCs/>
                <w:strike/>
                <w:sz w:val="16"/>
                <w:szCs w:val="16"/>
                <w:highlight w:val="lightGray"/>
                <w:lang w:val="fr-FR"/>
              </w:rPr>
              <w:t>{</w:t>
            </w:r>
            <w:r w:rsidRPr="0016157A">
              <w:rPr>
                <w:rFonts w:cs="Arial"/>
                <w:b/>
                <w:bCs/>
                <w:strike/>
                <w:sz w:val="16"/>
                <w:szCs w:val="16"/>
                <w:highlight w:val="lightGray"/>
                <w:bdr w:val="single" w:sz="12" w:space="0" w:color="auto"/>
                <w:lang w:val="fr-FR"/>
              </w:rPr>
              <w:t xml:space="preserve"> GN 22 </w:t>
            </w:r>
            <w:r w:rsidRPr="0016157A">
              <w:rPr>
                <w:rFonts w:cs="Arial"/>
                <w:b/>
                <w:bCs/>
                <w:strike/>
                <w:sz w:val="16"/>
                <w:szCs w:val="16"/>
                <w:highlight w:val="lightGray"/>
                <w:lang w:val="fr-FR"/>
              </w:rPr>
              <w:t>Explication des certains caractères}</w:t>
            </w:r>
          </w:p>
        </w:tc>
        <w:tc>
          <w:tcPr>
            <w:tcW w:w="1636" w:type="dxa"/>
            <w:vMerge/>
            <w:tcBorders>
              <w:top w:val="nil"/>
              <w:left w:val="nil"/>
              <w:bottom w:val="single" w:sz="24" w:space="0" w:color="auto"/>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5528" w:type="dxa"/>
            <w:gridSpan w:val="4"/>
            <w:vMerge/>
            <w:tcBorders>
              <w:top w:val="nil"/>
              <w:left w:val="nil"/>
              <w:bottom w:val="single" w:sz="24" w:space="0" w:color="auto"/>
              <w:right w:val="nil"/>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c>
          <w:tcPr>
            <w:tcW w:w="1418" w:type="dxa"/>
            <w:vMerge/>
            <w:tcBorders>
              <w:top w:val="nil"/>
              <w:left w:val="nil"/>
              <w:bottom w:val="single" w:sz="24" w:space="0" w:color="auto"/>
              <w:right w:val="nil"/>
            </w:tcBorders>
            <w:shd w:val="clear" w:color="auto" w:fill="auto"/>
          </w:tcPr>
          <w:p w:rsidR="00EA3338" w:rsidRPr="0016157A" w:rsidRDefault="00EA3338" w:rsidP="00C249E4">
            <w:pPr>
              <w:tabs>
                <w:tab w:val="left" w:pos="709"/>
                <w:tab w:val="left" w:pos="1418"/>
              </w:tabs>
              <w:spacing w:before="120" w:after="120"/>
              <w:jc w:val="left"/>
              <w:rPr>
                <w:rFonts w:cs="Arial"/>
                <w:b/>
                <w:bCs/>
                <w:strike/>
                <w:sz w:val="16"/>
                <w:highlight w:val="lightGray"/>
                <w:lang w:val="fr-FR"/>
              </w:rPr>
            </w:pPr>
          </w:p>
        </w:tc>
        <w:tc>
          <w:tcPr>
            <w:tcW w:w="664" w:type="dxa"/>
            <w:vMerge/>
            <w:tcBorders>
              <w:top w:val="nil"/>
              <w:left w:val="nil"/>
              <w:bottom w:val="single" w:sz="24" w:space="0" w:color="auto"/>
              <w:right w:val="single" w:sz="24" w:space="0" w:color="auto"/>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p>
        </w:tc>
      </w:tr>
      <w:tr w:rsidR="00EA3338" w:rsidRPr="00204171" w:rsidTr="00C249E4">
        <w:trPr>
          <w:cantSplit/>
          <w:jc w:val="center"/>
        </w:trPr>
        <w:tc>
          <w:tcPr>
            <w:tcW w:w="1441" w:type="dxa"/>
            <w:tcBorders>
              <w:top w:val="single" w:sz="24" w:space="0" w:color="auto"/>
              <w:bottom w:val="single" w:sz="4" w:space="0" w:color="auto"/>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bookmarkStart w:id="74" w:name="_Toc15713681"/>
            <w:r w:rsidRPr="0016157A">
              <w:rPr>
                <w:rFonts w:cs="Arial"/>
                <w:strike/>
                <w:snapToGrid w:val="0"/>
                <w:sz w:val="16"/>
                <w:highlight w:val="lightGray"/>
                <w:bdr w:val="single" w:sz="12" w:space="0" w:color="auto"/>
                <w:lang w:val="fr-FR" w:eastAsia="ja-JP" w:bidi="th-TH"/>
              </w:rPr>
              <w:t xml:space="preserve"> GN 21</w:t>
            </w:r>
            <w:r w:rsidRPr="0016157A">
              <w:rPr>
                <w:rFonts w:cs="Arial"/>
                <w:strike/>
                <w:snapToGrid w:val="0"/>
                <w:sz w:val="16"/>
                <w:highlight w:val="lightGray"/>
                <w:lang w:val="fr-FR" w:eastAsia="ja-JP" w:bidi="th-TH"/>
              </w:rPr>
              <w:br/>
            </w:r>
            <w:r w:rsidRPr="0016157A">
              <w:rPr>
                <w:rFonts w:cs="Arial"/>
                <w:strike/>
                <w:sz w:val="16"/>
                <w:szCs w:val="16"/>
                <w:highlight w:val="lightGray"/>
                <w:lang w:val="fr-FR"/>
              </w:rPr>
              <w:t>Type d</w:t>
            </w:r>
            <w:r w:rsidR="00B4091E">
              <w:rPr>
                <w:rFonts w:cs="Arial"/>
                <w:strike/>
                <w:sz w:val="16"/>
                <w:szCs w:val="16"/>
                <w:highlight w:val="lightGray"/>
                <w:lang w:val="fr-FR"/>
              </w:rPr>
              <w:t>’</w:t>
            </w:r>
            <w:r w:rsidRPr="0016157A">
              <w:rPr>
                <w:rFonts w:cs="Arial"/>
                <w:strike/>
                <w:sz w:val="16"/>
                <w:szCs w:val="16"/>
                <w:highlight w:val="lightGray"/>
                <w:lang w:val="fr-FR"/>
              </w:rPr>
              <w:t>expression du caractère}</w:t>
            </w:r>
            <w:bookmarkEnd w:id="74"/>
            <w:r w:rsidRPr="0016157A">
              <w:rPr>
                <w:rFonts w:cs="Arial"/>
                <w:strike/>
                <w:snapToGrid w:val="0"/>
                <w:sz w:val="16"/>
                <w:highlight w:val="lightGray"/>
                <w:lang w:val="fr-FR" w:eastAsia="ja-JP" w:bidi="th-TH"/>
              </w:rPr>
              <w:t>}</w:t>
            </w:r>
          </w:p>
        </w:tc>
        <w:tc>
          <w:tcPr>
            <w:tcW w:w="1636" w:type="dxa"/>
            <w:tcBorders>
              <w:top w:val="single" w:sz="24" w:space="0" w:color="auto"/>
              <w:bottom w:val="single" w:sz="4" w:space="0" w:color="auto"/>
            </w:tcBorders>
            <w:shd w:val="clear" w:color="auto" w:fill="auto"/>
          </w:tcPr>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 23</w:t>
            </w:r>
            <w:r w:rsidRPr="0016157A">
              <w:rPr>
                <w:rFonts w:cs="Arial"/>
                <w:strike/>
                <w:snapToGrid w:val="0"/>
                <w:sz w:val="16"/>
                <w:highlight w:val="lightGray"/>
                <w:lang w:val="fr-FR" w:eastAsia="ja-JP" w:bidi="th-TH"/>
              </w:rPr>
              <w:br/>
            </w:r>
            <w:r w:rsidRPr="0016157A">
              <w:rPr>
                <w:rFonts w:cs="Arial"/>
                <w:strike/>
                <w:sz w:val="16"/>
                <w:szCs w:val="16"/>
                <w:highlight w:val="lightGray"/>
                <w:lang w:val="fr-FR"/>
              </w:rPr>
              <w:t>Explications portant sur plusieurs caractères</w:t>
            </w:r>
            <w:r w:rsidRPr="0016157A">
              <w:rPr>
                <w:rFonts w:cs="Arial"/>
                <w:strike/>
                <w:snapToGrid w:val="0"/>
                <w:sz w:val="16"/>
                <w:highlight w:val="lightGray"/>
                <w:lang w:val="fr-FR" w:eastAsia="ja-JP" w:bidi="th-TH"/>
              </w:rPr>
              <w:t xml:space="preserve"> }</w:t>
            </w:r>
          </w:p>
        </w:tc>
        <w:tc>
          <w:tcPr>
            <w:tcW w:w="5528" w:type="dxa"/>
            <w:gridSpan w:val="4"/>
            <w:vMerge w:val="restart"/>
            <w:tcBorders>
              <w:top w:val="single" w:sz="24" w:space="0" w:color="auto"/>
            </w:tcBorders>
            <w:shd w:val="clear" w:color="auto" w:fill="auto"/>
          </w:tcPr>
          <w:p w:rsidR="00EA3338" w:rsidRPr="0016157A" w:rsidRDefault="00EA3338" w:rsidP="00C249E4">
            <w:pPr>
              <w:spacing w:before="120" w:after="120"/>
              <w:jc w:val="left"/>
              <w:rPr>
                <w:rFonts w:cs="Arial"/>
                <w:strike/>
                <w:snapToGrid w:val="0"/>
                <w:sz w:val="16"/>
                <w:highlight w:val="lightGray"/>
                <w:lang w:val="fr-FR" w:eastAsia="ja-JP" w:bidi="th-TH"/>
              </w:rPr>
            </w:pPr>
            <w:proofErr w:type="gramStart"/>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w:t>
            </w:r>
            <w:proofErr w:type="gramEnd"/>
            <w:r w:rsidRPr="0016157A">
              <w:rPr>
                <w:rFonts w:cs="Arial"/>
                <w:strike/>
                <w:snapToGrid w:val="0"/>
                <w:sz w:val="16"/>
                <w:highlight w:val="lightGray"/>
                <w:bdr w:val="single" w:sz="12" w:space="0" w:color="auto"/>
                <w:lang w:val="fr-FR" w:eastAsia="ja-JP" w:bidi="th-TH"/>
              </w:rPr>
              <w:t xml:space="preserve"> 19</w:t>
            </w:r>
            <w:r w:rsidRPr="0016157A">
              <w:rPr>
                <w:rFonts w:cs="Arial"/>
                <w:strike/>
                <w:snapToGrid w:val="0"/>
                <w:sz w:val="16"/>
                <w:highlight w:val="lightGray"/>
                <w:lang w:val="fr-FR" w:eastAsia="ja-JP" w:bidi="th-TH"/>
              </w:rPr>
              <w:t xml:space="preserve">  </w:t>
            </w:r>
            <w:r w:rsidRPr="0016157A">
              <w:rPr>
                <w:rFonts w:cs="Arial"/>
                <w:strike/>
                <w:sz w:val="16"/>
                <w:szCs w:val="16"/>
                <w:highlight w:val="lightGray"/>
                <w:lang w:val="fr-FR"/>
              </w:rPr>
              <w:t>Présentation des caractères : présentation générale des niveaux d</w:t>
            </w:r>
            <w:r w:rsidR="00B4091E">
              <w:rPr>
                <w:rFonts w:cs="Arial"/>
                <w:strike/>
                <w:sz w:val="16"/>
                <w:szCs w:val="16"/>
                <w:highlight w:val="lightGray"/>
                <w:lang w:val="fr-FR"/>
              </w:rPr>
              <w:t>’</w:t>
            </w:r>
            <w:r w:rsidRPr="0016157A">
              <w:rPr>
                <w:rFonts w:cs="Arial"/>
                <w:strike/>
                <w:sz w:val="16"/>
                <w:szCs w:val="16"/>
                <w:highlight w:val="lightGray"/>
                <w:lang w:val="fr-FR"/>
              </w:rPr>
              <w:t>expression }</w:t>
            </w:r>
          </w:p>
          <w:p w:rsidR="00EA3338" w:rsidRPr="0016157A" w:rsidRDefault="00EA3338" w:rsidP="00C249E4">
            <w:pPr>
              <w:spacing w:before="120" w:after="120"/>
              <w:jc w:val="left"/>
              <w:rPr>
                <w:rFonts w:cs="Arial"/>
                <w:b/>
                <w:bCs/>
                <w:strike/>
                <w:snapToGrid w:val="0"/>
                <w:sz w:val="16"/>
                <w:highlight w:val="lightGray"/>
                <w:lang w:val="fr-FR" w:eastAsia="ja-JP" w:bidi="th-TH"/>
              </w:rPr>
            </w:pPr>
            <w:r w:rsidRPr="0016157A">
              <w:rPr>
                <w:rFonts w:cs="Arial"/>
                <w:strike/>
                <w:snapToGrid w:val="0"/>
                <w:sz w:val="16"/>
                <w:highlight w:val="lightGray"/>
                <w:lang w:val="fr-FR" w:eastAsia="ja-JP" w:bidi="th-TH"/>
              </w:rPr>
              <w:t>{</w:t>
            </w:r>
            <w:r w:rsidRPr="0016157A">
              <w:rPr>
                <w:rFonts w:cs="Arial"/>
                <w:strike/>
                <w:snapToGrid w:val="0"/>
                <w:sz w:val="16"/>
                <w:highlight w:val="lightGray"/>
                <w:bdr w:val="single" w:sz="12" w:space="0" w:color="auto"/>
                <w:lang w:val="fr-FR" w:eastAsia="ja-JP" w:bidi="th-TH"/>
              </w:rPr>
              <w:t xml:space="preserve"> GN 20</w:t>
            </w:r>
            <w:r w:rsidRPr="0016157A">
              <w:rPr>
                <w:rFonts w:cs="Arial"/>
                <w:strike/>
                <w:snapToGrid w:val="0"/>
                <w:sz w:val="16"/>
                <w:highlight w:val="lightGray"/>
                <w:lang w:val="fr-FR" w:eastAsia="ja-JP" w:bidi="th-TH"/>
              </w:rPr>
              <w:t xml:space="preserve">  </w:t>
            </w:r>
            <w:r w:rsidRPr="0016157A">
              <w:rPr>
                <w:rFonts w:cs="Arial"/>
                <w:strike/>
                <w:sz w:val="16"/>
                <w:szCs w:val="16"/>
                <w:highlight w:val="lightGray"/>
                <w:lang w:val="fr-FR"/>
              </w:rPr>
              <w:t>Présentation des caractères : niveaux d</w:t>
            </w:r>
            <w:r w:rsidR="00B4091E">
              <w:rPr>
                <w:rFonts w:cs="Arial"/>
                <w:strike/>
                <w:sz w:val="16"/>
                <w:szCs w:val="16"/>
                <w:highlight w:val="lightGray"/>
                <w:lang w:val="fr-FR"/>
              </w:rPr>
              <w:t>’</w:t>
            </w:r>
            <w:r w:rsidRPr="0016157A">
              <w:rPr>
                <w:rFonts w:cs="Arial"/>
                <w:strike/>
                <w:sz w:val="16"/>
                <w:szCs w:val="16"/>
                <w:highlight w:val="lightGray"/>
                <w:lang w:val="fr-FR"/>
              </w:rPr>
              <w:t>expression selon le type d</w:t>
            </w:r>
            <w:r w:rsidR="00B4091E">
              <w:rPr>
                <w:rFonts w:cs="Arial"/>
                <w:strike/>
                <w:sz w:val="16"/>
                <w:szCs w:val="16"/>
                <w:highlight w:val="lightGray"/>
                <w:lang w:val="fr-FR"/>
              </w:rPr>
              <w:t>’</w:t>
            </w:r>
            <w:r w:rsidRPr="0016157A">
              <w:rPr>
                <w:rFonts w:cs="Arial"/>
                <w:strike/>
                <w:sz w:val="16"/>
                <w:szCs w:val="16"/>
                <w:highlight w:val="lightGray"/>
                <w:lang w:val="fr-FR"/>
              </w:rPr>
              <w:t>expression d</w:t>
            </w:r>
            <w:r w:rsidR="00B4091E">
              <w:rPr>
                <w:rFonts w:cs="Arial"/>
                <w:strike/>
                <w:sz w:val="16"/>
                <w:szCs w:val="16"/>
                <w:highlight w:val="lightGray"/>
                <w:lang w:val="fr-FR"/>
              </w:rPr>
              <w:t>’</w:t>
            </w:r>
            <w:r w:rsidRPr="0016157A">
              <w:rPr>
                <w:rFonts w:cs="Arial"/>
                <w:strike/>
                <w:sz w:val="16"/>
                <w:szCs w:val="16"/>
                <w:highlight w:val="lightGray"/>
                <w:lang w:val="fr-FR"/>
              </w:rPr>
              <w:t>un caractère</w:t>
            </w:r>
          </w:p>
        </w:tc>
        <w:tc>
          <w:tcPr>
            <w:tcW w:w="1418" w:type="dxa"/>
            <w:vMerge w:val="restart"/>
            <w:tcBorders>
              <w:top w:val="single" w:sz="24" w:space="0" w:color="auto"/>
            </w:tcBorders>
            <w:shd w:val="clear" w:color="auto" w:fill="auto"/>
          </w:tcPr>
          <w:p w:rsidR="00EA3338" w:rsidRPr="0016157A" w:rsidRDefault="00EA3338" w:rsidP="00C249E4">
            <w:pPr>
              <w:tabs>
                <w:tab w:val="left" w:pos="709"/>
                <w:tab w:val="left" w:pos="1418"/>
              </w:tabs>
              <w:spacing w:before="120" w:after="120"/>
              <w:jc w:val="left"/>
              <w:rPr>
                <w:rFonts w:cs="Arial"/>
                <w:strike/>
                <w:sz w:val="16"/>
                <w:lang w:val="fr-FR"/>
              </w:rPr>
            </w:pPr>
            <w:proofErr w:type="gramStart"/>
            <w:r w:rsidRPr="0016157A">
              <w:rPr>
                <w:rFonts w:cs="Arial"/>
                <w:strike/>
                <w:sz w:val="16"/>
                <w:highlight w:val="lightGray"/>
                <w:lang w:val="fr-FR"/>
              </w:rPr>
              <w:t>{</w:t>
            </w:r>
            <w:r w:rsidRPr="0016157A">
              <w:rPr>
                <w:rFonts w:cs="Arial"/>
                <w:strike/>
                <w:sz w:val="16"/>
                <w:highlight w:val="lightGray"/>
                <w:bdr w:val="single" w:sz="12" w:space="0" w:color="auto"/>
                <w:lang w:val="fr-FR"/>
              </w:rPr>
              <w:t xml:space="preserve"> GN</w:t>
            </w:r>
            <w:proofErr w:type="gramEnd"/>
            <w:r w:rsidRPr="0016157A">
              <w:rPr>
                <w:rFonts w:cs="Arial"/>
                <w:strike/>
                <w:sz w:val="16"/>
                <w:highlight w:val="lightGray"/>
                <w:bdr w:val="single" w:sz="12" w:space="0" w:color="auto"/>
                <w:lang w:val="fr-FR"/>
              </w:rPr>
              <w:t xml:space="preserve"> 28</w:t>
            </w:r>
            <w:r w:rsidRPr="0016157A">
              <w:rPr>
                <w:rFonts w:cs="Arial"/>
                <w:strike/>
                <w:sz w:val="16"/>
                <w:highlight w:val="lightGray"/>
                <w:lang w:val="fr-FR"/>
              </w:rPr>
              <w:t xml:space="preserve">  </w:t>
            </w:r>
            <w:r w:rsidRPr="0016157A">
              <w:rPr>
                <w:rFonts w:cs="Arial"/>
                <w:strike/>
                <w:sz w:val="16"/>
                <w:szCs w:val="16"/>
                <w:highlight w:val="lightGray"/>
                <w:lang w:val="fr-FR"/>
              </w:rPr>
              <w:t>Variétés indiquées à titre d</w:t>
            </w:r>
            <w:r w:rsidR="00B4091E">
              <w:rPr>
                <w:rFonts w:cs="Arial"/>
                <w:strike/>
                <w:sz w:val="16"/>
                <w:szCs w:val="16"/>
                <w:highlight w:val="lightGray"/>
                <w:lang w:val="fr-FR"/>
              </w:rPr>
              <w:t>’</w:t>
            </w:r>
            <w:r w:rsidRPr="0016157A">
              <w:rPr>
                <w:rFonts w:cs="Arial"/>
                <w:strike/>
                <w:sz w:val="16"/>
                <w:szCs w:val="16"/>
                <w:highlight w:val="lightGray"/>
                <w:lang w:val="fr-FR"/>
              </w:rPr>
              <w:t>exemples }</w:t>
            </w:r>
          </w:p>
          <w:p w:rsidR="00EA3338" w:rsidRPr="0016157A" w:rsidRDefault="00EA3338" w:rsidP="00C249E4">
            <w:pPr>
              <w:tabs>
                <w:tab w:val="left" w:pos="709"/>
                <w:tab w:val="left" w:pos="1418"/>
              </w:tabs>
              <w:spacing w:before="120" w:after="120"/>
              <w:jc w:val="left"/>
              <w:rPr>
                <w:rFonts w:cs="Arial"/>
                <w:b/>
                <w:bCs/>
                <w:strike/>
                <w:sz w:val="16"/>
                <w:lang w:val="fr-FR"/>
              </w:rPr>
            </w:pPr>
          </w:p>
        </w:tc>
        <w:tc>
          <w:tcPr>
            <w:tcW w:w="664" w:type="dxa"/>
            <w:vMerge w:val="restart"/>
            <w:tcBorders>
              <w:top w:val="single" w:sz="24" w:space="0" w:color="auto"/>
            </w:tcBorders>
            <w:shd w:val="clear" w:color="auto" w:fill="auto"/>
          </w:tcPr>
          <w:p w:rsidR="00EA3338" w:rsidRPr="0016157A" w:rsidRDefault="00EA3338" w:rsidP="00C249E4">
            <w:pPr>
              <w:spacing w:before="120" w:after="120"/>
              <w:jc w:val="left"/>
              <w:rPr>
                <w:rFonts w:cs="Arial"/>
                <w:b/>
                <w:bCs/>
                <w:strike/>
                <w:snapToGrid w:val="0"/>
                <w:sz w:val="16"/>
                <w:lang w:val="fr-FR" w:eastAsia="ja-JP" w:bidi="th-TH"/>
              </w:rPr>
            </w:pPr>
          </w:p>
        </w:tc>
      </w:tr>
      <w:tr w:rsidR="00EA3338" w:rsidRPr="00204171" w:rsidTr="00C249E4">
        <w:trPr>
          <w:cantSplit/>
          <w:jc w:val="center"/>
        </w:trPr>
        <w:tc>
          <w:tcPr>
            <w:tcW w:w="1441" w:type="dxa"/>
            <w:shd w:val="clear" w:color="auto" w:fill="auto"/>
          </w:tcPr>
          <w:p w:rsidR="00EA3338" w:rsidRPr="0016157A" w:rsidRDefault="00EA3338" w:rsidP="00C249E4">
            <w:pPr>
              <w:spacing w:before="120" w:after="120"/>
              <w:jc w:val="left"/>
              <w:rPr>
                <w:rFonts w:cs="Arial"/>
                <w:b/>
                <w:bCs/>
                <w:strike/>
                <w:snapToGrid w:val="0"/>
                <w:sz w:val="16"/>
                <w:lang w:val="fr-FR" w:eastAsia="ja-JP" w:bidi="th-TH"/>
              </w:rPr>
            </w:pPr>
          </w:p>
        </w:tc>
        <w:tc>
          <w:tcPr>
            <w:tcW w:w="1636" w:type="dxa"/>
            <w:shd w:val="clear" w:color="auto" w:fill="auto"/>
          </w:tcPr>
          <w:p w:rsidR="00EA3338" w:rsidRPr="0016157A" w:rsidRDefault="00EA3338" w:rsidP="00C249E4">
            <w:pPr>
              <w:spacing w:before="120" w:after="120"/>
              <w:jc w:val="left"/>
              <w:rPr>
                <w:rFonts w:cs="Arial"/>
                <w:b/>
                <w:bCs/>
                <w:strike/>
                <w:snapToGrid w:val="0"/>
                <w:sz w:val="16"/>
                <w:lang w:val="fr-FR" w:eastAsia="ja-JP" w:bidi="th-TH"/>
              </w:rPr>
            </w:pPr>
          </w:p>
        </w:tc>
        <w:tc>
          <w:tcPr>
            <w:tcW w:w="5528" w:type="dxa"/>
            <w:gridSpan w:val="4"/>
            <w:vMerge/>
            <w:shd w:val="clear" w:color="auto" w:fill="auto"/>
          </w:tcPr>
          <w:p w:rsidR="00EA3338" w:rsidRPr="0016157A" w:rsidRDefault="00EA3338" w:rsidP="00C249E4">
            <w:pPr>
              <w:spacing w:before="120" w:after="120"/>
              <w:jc w:val="left"/>
              <w:rPr>
                <w:rFonts w:cs="Arial"/>
                <w:b/>
                <w:bCs/>
                <w:strike/>
                <w:snapToGrid w:val="0"/>
                <w:sz w:val="16"/>
                <w:lang w:val="fr-FR" w:eastAsia="ja-JP" w:bidi="th-TH"/>
              </w:rPr>
            </w:pPr>
          </w:p>
        </w:tc>
        <w:tc>
          <w:tcPr>
            <w:tcW w:w="1418" w:type="dxa"/>
            <w:vMerge/>
            <w:shd w:val="clear" w:color="auto" w:fill="auto"/>
          </w:tcPr>
          <w:p w:rsidR="00EA3338" w:rsidRPr="0016157A" w:rsidRDefault="00EA3338" w:rsidP="00C249E4">
            <w:pPr>
              <w:tabs>
                <w:tab w:val="left" w:pos="709"/>
                <w:tab w:val="left" w:pos="1418"/>
              </w:tabs>
              <w:spacing w:before="120" w:after="120"/>
              <w:jc w:val="left"/>
              <w:rPr>
                <w:rFonts w:cs="Arial"/>
                <w:b/>
                <w:bCs/>
                <w:strike/>
                <w:sz w:val="16"/>
                <w:lang w:val="fr-FR"/>
              </w:rPr>
            </w:pPr>
          </w:p>
        </w:tc>
        <w:tc>
          <w:tcPr>
            <w:tcW w:w="664" w:type="dxa"/>
            <w:vMerge/>
            <w:shd w:val="clear" w:color="auto" w:fill="auto"/>
          </w:tcPr>
          <w:p w:rsidR="00EA3338" w:rsidRPr="0016157A" w:rsidRDefault="00EA3338" w:rsidP="00C249E4">
            <w:pPr>
              <w:spacing w:before="120" w:after="120"/>
              <w:jc w:val="left"/>
              <w:rPr>
                <w:rFonts w:cs="Arial"/>
                <w:b/>
                <w:bCs/>
                <w:strike/>
                <w:snapToGrid w:val="0"/>
                <w:sz w:val="16"/>
                <w:lang w:val="fr-FR" w:eastAsia="ja-JP" w:bidi="th-TH"/>
              </w:rPr>
            </w:pPr>
          </w:p>
        </w:tc>
      </w:tr>
      <w:tr w:rsidR="00EA3338" w:rsidRPr="00204171" w:rsidTr="00C249E4">
        <w:trPr>
          <w:cantSplit/>
          <w:jc w:val="center"/>
        </w:trPr>
        <w:tc>
          <w:tcPr>
            <w:tcW w:w="1441" w:type="dxa"/>
            <w:shd w:val="clear" w:color="auto" w:fill="auto"/>
          </w:tcPr>
          <w:p w:rsidR="00EA3338" w:rsidRPr="0016157A" w:rsidRDefault="00EA3338" w:rsidP="00C249E4">
            <w:pPr>
              <w:spacing w:before="120" w:after="120"/>
              <w:jc w:val="left"/>
              <w:rPr>
                <w:rFonts w:cs="Arial"/>
                <w:i/>
                <w:strike/>
                <w:snapToGrid w:val="0"/>
                <w:sz w:val="16"/>
                <w:lang w:val="fr-FR" w:eastAsia="ja-JP" w:bidi="th-TH"/>
              </w:rPr>
            </w:pPr>
          </w:p>
        </w:tc>
        <w:tc>
          <w:tcPr>
            <w:tcW w:w="1636" w:type="dxa"/>
            <w:shd w:val="clear" w:color="auto" w:fill="auto"/>
          </w:tcPr>
          <w:p w:rsidR="00EA3338" w:rsidRPr="0016157A" w:rsidRDefault="00EA3338" w:rsidP="00C249E4">
            <w:pPr>
              <w:spacing w:before="120" w:after="120"/>
              <w:jc w:val="left"/>
              <w:rPr>
                <w:rFonts w:cs="Arial"/>
                <w:strike/>
                <w:snapToGrid w:val="0"/>
                <w:sz w:val="16"/>
                <w:lang w:val="fr-FR" w:eastAsia="ja-JP" w:bidi="th-TH"/>
              </w:rPr>
            </w:pPr>
          </w:p>
        </w:tc>
        <w:tc>
          <w:tcPr>
            <w:tcW w:w="5528" w:type="dxa"/>
            <w:gridSpan w:val="4"/>
            <w:vMerge/>
            <w:shd w:val="clear" w:color="auto" w:fill="auto"/>
          </w:tcPr>
          <w:p w:rsidR="00EA3338" w:rsidRPr="0016157A" w:rsidRDefault="00EA3338" w:rsidP="00C249E4">
            <w:pPr>
              <w:spacing w:before="120" w:after="120"/>
              <w:jc w:val="left"/>
              <w:rPr>
                <w:rFonts w:cs="Arial"/>
                <w:strike/>
                <w:snapToGrid w:val="0"/>
                <w:sz w:val="16"/>
                <w:lang w:val="fr-FR" w:eastAsia="ja-JP" w:bidi="th-TH"/>
              </w:rPr>
            </w:pPr>
          </w:p>
        </w:tc>
        <w:tc>
          <w:tcPr>
            <w:tcW w:w="1418" w:type="dxa"/>
            <w:vMerge/>
            <w:shd w:val="clear" w:color="auto" w:fill="auto"/>
          </w:tcPr>
          <w:p w:rsidR="00EA3338" w:rsidRPr="0016157A" w:rsidRDefault="00EA3338" w:rsidP="00C249E4">
            <w:pPr>
              <w:spacing w:before="120" w:after="120"/>
              <w:jc w:val="left"/>
              <w:rPr>
                <w:rFonts w:cs="Arial"/>
                <w:strike/>
                <w:snapToGrid w:val="0"/>
                <w:sz w:val="16"/>
                <w:lang w:val="fr-FR" w:eastAsia="ja-JP" w:bidi="th-TH"/>
              </w:rPr>
            </w:pPr>
          </w:p>
        </w:tc>
        <w:tc>
          <w:tcPr>
            <w:tcW w:w="664" w:type="dxa"/>
            <w:vMerge/>
            <w:shd w:val="clear" w:color="auto" w:fill="auto"/>
          </w:tcPr>
          <w:p w:rsidR="00EA3338" w:rsidRPr="0016157A" w:rsidRDefault="00EA3338" w:rsidP="00C249E4">
            <w:pPr>
              <w:spacing w:before="120" w:after="120"/>
              <w:jc w:val="left"/>
              <w:rPr>
                <w:rFonts w:cs="Arial"/>
                <w:strike/>
                <w:snapToGrid w:val="0"/>
                <w:sz w:val="16"/>
                <w:lang w:val="fr-FR" w:eastAsia="ja-JP" w:bidi="th-TH"/>
              </w:rPr>
            </w:pPr>
          </w:p>
        </w:tc>
      </w:tr>
    </w:tbl>
    <w:p w:rsidR="00EA3338" w:rsidRPr="0016157A" w:rsidRDefault="00EA3338" w:rsidP="00C249E4">
      <w:pPr>
        <w:rPr>
          <w:lang w:val="fr-FR"/>
        </w:rPr>
      </w:pPr>
    </w:p>
    <w:tbl>
      <w:tblPr>
        <w:tblW w:w="10632" w:type="dxa"/>
        <w:tblInd w:w="-356" w:type="dxa"/>
        <w:tblBorders>
          <w:left w:val="single" w:sz="4" w:space="0" w:color="auto"/>
          <w:right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4"/>
        <w:gridCol w:w="315"/>
        <w:gridCol w:w="418"/>
        <w:gridCol w:w="1372"/>
        <w:gridCol w:w="392"/>
        <w:gridCol w:w="1525"/>
        <w:gridCol w:w="11"/>
        <w:gridCol w:w="1905"/>
        <w:gridCol w:w="9"/>
        <w:gridCol w:w="1914"/>
        <w:gridCol w:w="1810"/>
        <w:gridCol w:w="567"/>
      </w:tblGrid>
      <w:tr w:rsidR="00EA3338" w:rsidRPr="0016157A" w:rsidTr="00C249E4">
        <w:trPr>
          <w:cantSplit/>
          <w:tblHeader/>
        </w:trPr>
        <w:tc>
          <w:tcPr>
            <w:tcW w:w="709" w:type="dxa"/>
            <w:gridSpan w:val="2"/>
            <w:tcBorders>
              <w:top w:val="single" w:sz="4" w:space="0" w:color="auto"/>
              <w:bottom w:val="single" w:sz="4" w:space="0" w:color="auto"/>
            </w:tcBorders>
          </w:tcPr>
          <w:p w:rsidR="00EA3338" w:rsidRPr="0016157A" w:rsidRDefault="00EA3338" w:rsidP="00C249E4">
            <w:pPr>
              <w:keepNext/>
              <w:spacing w:before="80" w:after="80"/>
              <w:jc w:val="left"/>
              <w:rPr>
                <w:sz w:val="16"/>
                <w:lang w:val="fr-FR"/>
              </w:rPr>
            </w:pPr>
          </w:p>
        </w:tc>
        <w:tc>
          <w:tcPr>
            <w:tcW w:w="1790" w:type="dxa"/>
            <w:gridSpan w:val="2"/>
            <w:tcBorders>
              <w:top w:val="single" w:sz="4" w:space="0" w:color="auto"/>
              <w:bottom w:val="single" w:sz="4" w:space="0" w:color="auto"/>
            </w:tcBorders>
            <w:vAlign w:val="center"/>
          </w:tcPr>
          <w:p w:rsidR="00EA3338" w:rsidRPr="0016157A" w:rsidRDefault="00EA3338" w:rsidP="00C249E4">
            <w:pPr>
              <w:keepNext/>
              <w:spacing w:before="80" w:after="80"/>
              <w:rPr>
                <w:sz w:val="16"/>
                <w:lang w:val="fr-FR"/>
              </w:rPr>
            </w:pPr>
            <w:r w:rsidRPr="0016157A">
              <w:rPr>
                <w:sz w:val="16"/>
                <w:lang w:val="fr-FR"/>
              </w:rPr>
              <w:t>English</w:t>
            </w:r>
          </w:p>
        </w:tc>
        <w:tc>
          <w:tcPr>
            <w:tcW w:w="1928" w:type="dxa"/>
            <w:gridSpan w:val="3"/>
            <w:tcBorders>
              <w:top w:val="single" w:sz="4" w:space="0" w:color="auto"/>
              <w:bottom w:val="single" w:sz="4" w:space="0" w:color="auto"/>
            </w:tcBorders>
            <w:vAlign w:val="center"/>
          </w:tcPr>
          <w:p w:rsidR="00EA3338" w:rsidRPr="0016157A" w:rsidRDefault="00EA3338" w:rsidP="00C249E4">
            <w:pPr>
              <w:keepNext/>
              <w:spacing w:before="80" w:after="80"/>
              <w:jc w:val="left"/>
              <w:rPr>
                <w:sz w:val="16"/>
                <w:lang w:val="fr-FR"/>
              </w:rPr>
            </w:pPr>
            <w:r w:rsidRPr="0016157A">
              <w:rPr>
                <w:sz w:val="16"/>
                <w:lang w:val="fr-FR"/>
              </w:rPr>
              <w:t>français</w:t>
            </w:r>
          </w:p>
        </w:tc>
        <w:tc>
          <w:tcPr>
            <w:tcW w:w="1914" w:type="dxa"/>
            <w:gridSpan w:val="2"/>
            <w:tcBorders>
              <w:top w:val="single" w:sz="4" w:space="0" w:color="auto"/>
              <w:bottom w:val="single" w:sz="4" w:space="0" w:color="auto"/>
            </w:tcBorders>
            <w:vAlign w:val="center"/>
          </w:tcPr>
          <w:p w:rsidR="00EA3338" w:rsidRPr="0016157A" w:rsidRDefault="00EA3338" w:rsidP="00C249E4">
            <w:pPr>
              <w:keepNext/>
              <w:spacing w:before="80" w:after="80"/>
              <w:jc w:val="left"/>
              <w:rPr>
                <w:sz w:val="16"/>
                <w:lang w:val="fr-FR"/>
              </w:rPr>
            </w:pPr>
            <w:proofErr w:type="spellStart"/>
            <w:r w:rsidRPr="0016157A">
              <w:rPr>
                <w:sz w:val="16"/>
                <w:lang w:val="fr-FR"/>
              </w:rPr>
              <w:t>deutsch</w:t>
            </w:r>
            <w:proofErr w:type="spellEnd"/>
          </w:p>
        </w:tc>
        <w:tc>
          <w:tcPr>
            <w:tcW w:w="1914" w:type="dxa"/>
            <w:tcBorders>
              <w:top w:val="single" w:sz="4" w:space="0" w:color="auto"/>
              <w:bottom w:val="single" w:sz="4" w:space="0" w:color="auto"/>
            </w:tcBorders>
            <w:vAlign w:val="center"/>
          </w:tcPr>
          <w:p w:rsidR="00EA3338" w:rsidRPr="0016157A" w:rsidRDefault="00EA3338" w:rsidP="00C249E4">
            <w:pPr>
              <w:keepNext/>
              <w:spacing w:before="80" w:after="80"/>
              <w:jc w:val="left"/>
              <w:rPr>
                <w:sz w:val="16"/>
                <w:lang w:val="fr-FR"/>
              </w:rPr>
            </w:pPr>
            <w:proofErr w:type="spellStart"/>
            <w:r w:rsidRPr="0016157A">
              <w:rPr>
                <w:sz w:val="16"/>
                <w:lang w:val="fr-FR"/>
              </w:rPr>
              <w:t>español</w:t>
            </w:r>
            <w:proofErr w:type="spellEnd"/>
          </w:p>
        </w:tc>
        <w:tc>
          <w:tcPr>
            <w:tcW w:w="1810" w:type="dxa"/>
            <w:tcBorders>
              <w:top w:val="single" w:sz="4" w:space="0" w:color="auto"/>
              <w:bottom w:val="single" w:sz="4" w:space="0" w:color="auto"/>
            </w:tcBorders>
            <w:vAlign w:val="center"/>
          </w:tcPr>
          <w:p w:rsidR="00EA3338" w:rsidRPr="0016157A" w:rsidRDefault="00EA3338" w:rsidP="00C249E4">
            <w:pPr>
              <w:keepNext/>
              <w:spacing w:before="80" w:after="80"/>
              <w:jc w:val="left"/>
              <w:rPr>
                <w:sz w:val="16"/>
                <w:lang w:val="fr-FR"/>
              </w:rPr>
            </w:pPr>
            <w:proofErr w:type="spellStart"/>
            <w:r w:rsidRPr="0016157A">
              <w:rPr>
                <w:sz w:val="16"/>
                <w:lang w:val="fr-FR"/>
              </w:rPr>
              <w:t>Example</w:t>
            </w:r>
            <w:proofErr w:type="spellEnd"/>
            <w:r w:rsidRPr="0016157A">
              <w:rPr>
                <w:sz w:val="16"/>
                <w:lang w:val="fr-FR"/>
              </w:rPr>
              <w:t xml:space="preserve"> </w:t>
            </w:r>
            <w:proofErr w:type="spellStart"/>
            <w:r w:rsidRPr="0016157A">
              <w:rPr>
                <w:sz w:val="16"/>
                <w:lang w:val="fr-FR"/>
              </w:rPr>
              <w:t>Varieties</w:t>
            </w:r>
            <w:proofErr w:type="spellEnd"/>
            <w:r w:rsidRPr="0016157A">
              <w:rPr>
                <w:sz w:val="16"/>
                <w:lang w:val="fr-FR"/>
              </w:rPr>
              <w:br/>
              <w:t>Exemples</w:t>
            </w:r>
            <w:r w:rsidRPr="0016157A">
              <w:rPr>
                <w:sz w:val="16"/>
                <w:lang w:val="fr-FR"/>
              </w:rPr>
              <w:br/>
            </w:r>
            <w:proofErr w:type="spellStart"/>
            <w:r w:rsidRPr="0016157A">
              <w:rPr>
                <w:sz w:val="16"/>
                <w:lang w:val="fr-FR"/>
              </w:rPr>
              <w:t>Beispielssorten</w:t>
            </w:r>
            <w:proofErr w:type="spellEnd"/>
            <w:r w:rsidRPr="0016157A">
              <w:rPr>
                <w:sz w:val="16"/>
                <w:lang w:val="fr-FR"/>
              </w:rPr>
              <w:br/>
            </w:r>
            <w:proofErr w:type="spellStart"/>
            <w:r w:rsidRPr="0016157A">
              <w:rPr>
                <w:sz w:val="16"/>
                <w:lang w:val="fr-FR"/>
              </w:rPr>
              <w:t>Variedades</w:t>
            </w:r>
            <w:proofErr w:type="spellEnd"/>
            <w:r w:rsidRPr="0016157A">
              <w:rPr>
                <w:sz w:val="16"/>
                <w:lang w:val="fr-FR"/>
              </w:rPr>
              <w:t xml:space="preserve"> </w:t>
            </w:r>
            <w:proofErr w:type="spellStart"/>
            <w:r w:rsidRPr="0016157A">
              <w:rPr>
                <w:sz w:val="16"/>
                <w:lang w:val="fr-FR"/>
              </w:rPr>
              <w:t>ejemplo</w:t>
            </w:r>
            <w:proofErr w:type="spellEnd"/>
          </w:p>
        </w:tc>
        <w:tc>
          <w:tcPr>
            <w:tcW w:w="567" w:type="dxa"/>
            <w:tcBorders>
              <w:top w:val="single" w:sz="4" w:space="0" w:color="auto"/>
              <w:bottom w:val="single" w:sz="4" w:space="0" w:color="auto"/>
            </w:tcBorders>
            <w:vAlign w:val="center"/>
          </w:tcPr>
          <w:p w:rsidR="00EA3338" w:rsidRPr="0016157A" w:rsidRDefault="00EA3338" w:rsidP="00C249E4">
            <w:pPr>
              <w:keepNext/>
              <w:spacing w:before="80" w:after="80"/>
              <w:jc w:val="center"/>
              <w:rPr>
                <w:sz w:val="16"/>
                <w:lang w:val="fr-FR"/>
              </w:rPr>
            </w:pPr>
            <w:r w:rsidRPr="0016157A">
              <w:rPr>
                <w:sz w:val="16"/>
                <w:lang w:val="fr-FR"/>
              </w:rPr>
              <w:t>Note/</w:t>
            </w:r>
            <w:r w:rsidRPr="0016157A">
              <w:rPr>
                <w:sz w:val="16"/>
                <w:lang w:val="fr-FR"/>
              </w:rPr>
              <w:br/>
              <w:t>Nota</w:t>
            </w:r>
          </w:p>
        </w:tc>
      </w:tr>
      <w:tr w:rsidR="00EA3338" w:rsidRPr="0016157A" w:rsidTr="00C249E4">
        <w:trPr>
          <w:cantSplit/>
        </w:trPr>
        <w:tc>
          <w:tcPr>
            <w:tcW w:w="394" w:type="dxa"/>
            <w:tcBorders>
              <w:top w:val="single" w:sz="4" w:space="0" w:color="auto"/>
              <w:bottom w:val="single" w:sz="4" w:space="0" w:color="auto"/>
              <w:right w:val="dotted" w:sz="4" w:space="0" w:color="auto"/>
            </w:tcBorders>
            <w:shd w:val="clear" w:color="auto" w:fill="F0F0F0"/>
            <w:tcMar>
              <w:left w:w="28" w:type="dxa"/>
              <w:right w:w="28" w:type="dxa"/>
            </w:tcMar>
          </w:tcPr>
          <w:p w:rsidR="00EA3338" w:rsidRPr="0016157A" w:rsidRDefault="00EA3338" w:rsidP="00C249E4">
            <w:pPr>
              <w:keepNext/>
              <w:spacing w:before="80" w:after="80"/>
              <w:jc w:val="center"/>
              <w:rPr>
                <w:b/>
                <w:sz w:val="16"/>
                <w:szCs w:val="16"/>
                <w:lang w:val="fr-FR"/>
              </w:rPr>
            </w:pPr>
            <w:r w:rsidRPr="0016157A">
              <w:rPr>
                <w:b/>
                <w:sz w:val="16"/>
                <w:szCs w:val="16"/>
                <w:lang w:val="fr-FR"/>
              </w:rPr>
              <w:t>1</w:t>
            </w:r>
          </w:p>
        </w:tc>
        <w:tc>
          <w:tcPr>
            <w:tcW w:w="315" w:type="dxa"/>
            <w:tcBorders>
              <w:top w:val="single" w:sz="4" w:space="0" w:color="auto"/>
              <w:left w:val="dotted" w:sz="4" w:space="0" w:color="auto"/>
              <w:bottom w:val="single" w:sz="4" w:space="0" w:color="auto"/>
              <w:right w:val="dotted" w:sz="4" w:space="0" w:color="auto"/>
            </w:tcBorders>
            <w:shd w:val="clear" w:color="auto" w:fill="F0F0F0"/>
            <w:tcMar>
              <w:left w:w="28" w:type="dxa"/>
              <w:right w:w="28" w:type="dxa"/>
            </w:tcMar>
          </w:tcPr>
          <w:p w:rsidR="00EA3338" w:rsidRPr="0016157A" w:rsidRDefault="00EA3338" w:rsidP="00C249E4">
            <w:pPr>
              <w:keepNext/>
              <w:spacing w:before="80" w:after="80"/>
              <w:jc w:val="center"/>
              <w:rPr>
                <w:b/>
                <w:sz w:val="16"/>
                <w:szCs w:val="16"/>
                <w:lang w:val="fr-FR"/>
              </w:rPr>
            </w:pPr>
            <w:r w:rsidRPr="0016157A">
              <w:rPr>
                <w:b/>
                <w:sz w:val="16"/>
                <w:szCs w:val="16"/>
                <w:lang w:val="fr-FR"/>
              </w:rPr>
              <w:t>2</w:t>
            </w:r>
          </w:p>
        </w:tc>
        <w:tc>
          <w:tcPr>
            <w:tcW w:w="418" w:type="dxa"/>
            <w:tcBorders>
              <w:top w:val="single" w:sz="4" w:space="0" w:color="auto"/>
              <w:left w:val="dotted" w:sz="4" w:space="0" w:color="auto"/>
              <w:bottom w:val="single" w:sz="4" w:space="0" w:color="auto"/>
              <w:right w:val="dotted" w:sz="4" w:space="0" w:color="auto"/>
            </w:tcBorders>
            <w:shd w:val="clear" w:color="auto" w:fill="F0F0F0"/>
          </w:tcPr>
          <w:p w:rsidR="00EA3338" w:rsidRPr="0016157A" w:rsidRDefault="00EA3338" w:rsidP="00C249E4">
            <w:pPr>
              <w:keepNext/>
              <w:spacing w:before="80" w:after="80"/>
              <w:jc w:val="left"/>
              <w:rPr>
                <w:b/>
                <w:lang w:val="fr-FR"/>
              </w:rPr>
            </w:pPr>
            <w:r w:rsidRPr="0016157A">
              <w:rPr>
                <w:b/>
                <w:sz w:val="16"/>
                <w:szCs w:val="16"/>
                <w:lang w:val="fr-FR"/>
              </w:rPr>
              <w:t xml:space="preserve">3 </w:t>
            </w:r>
          </w:p>
        </w:tc>
        <w:tc>
          <w:tcPr>
            <w:tcW w:w="1372" w:type="dxa"/>
            <w:tcBorders>
              <w:top w:val="single" w:sz="4" w:space="0" w:color="auto"/>
              <w:left w:val="dotted" w:sz="4" w:space="0" w:color="auto"/>
              <w:bottom w:val="single" w:sz="4" w:space="0" w:color="auto"/>
              <w:right w:val="dotted" w:sz="4" w:space="0" w:color="auto"/>
            </w:tcBorders>
            <w:shd w:val="clear" w:color="auto" w:fill="F0F0F0"/>
          </w:tcPr>
          <w:p w:rsidR="00EA3338" w:rsidRPr="0016157A" w:rsidRDefault="00EA3338" w:rsidP="00C249E4">
            <w:pPr>
              <w:keepNext/>
              <w:spacing w:before="80" w:after="80"/>
              <w:jc w:val="left"/>
              <w:rPr>
                <w:b/>
                <w:lang w:val="fr-FR"/>
              </w:rPr>
            </w:pPr>
            <w:r w:rsidRPr="0016157A">
              <w:rPr>
                <w:b/>
                <w:sz w:val="16"/>
                <w:lang w:val="fr-FR"/>
              </w:rPr>
              <w:t>4</w:t>
            </w:r>
          </w:p>
        </w:tc>
        <w:tc>
          <w:tcPr>
            <w:tcW w:w="392" w:type="dxa"/>
            <w:tcBorders>
              <w:top w:val="single" w:sz="4" w:space="0" w:color="auto"/>
              <w:left w:val="dotted" w:sz="4" w:space="0" w:color="auto"/>
              <w:bottom w:val="single" w:sz="4" w:space="0" w:color="auto"/>
              <w:right w:val="dotted" w:sz="4" w:space="0" w:color="auto"/>
            </w:tcBorders>
            <w:shd w:val="clear" w:color="auto" w:fill="F0F0F0"/>
          </w:tcPr>
          <w:p w:rsidR="00EA3338" w:rsidRPr="0016157A" w:rsidRDefault="00EA3338" w:rsidP="00C249E4">
            <w:pPr>
              <w:keepNext/>
              <w:spacing w:before="80" w:after="80"/>
              <w:jc w:val="left"/>
              <w:rPr>
                <w:b/>
                <w:sz w:val="16"/>
                <w:lang w:val="fr-FR"/>
              </w:rPr>
            </w:pPr>
            <w:r w:rsidRPr="0016157A">
              <w:rPr>
                <w:b/>
                <w:sz w:val="16"/>
                <w:lang w:val="fr-FR"/>
              </w:rPr>
              <w:t>5</w:t>
            </w:r>
          </w:p>
        </w:tc>
        <w:tc>
          <w:tcPr>
            <w:tcW w:w="1525" w:type="dxa"/>
            <w:tcBorders>
              <w:top w:val="single" w:sz="4" w:space="0" w:color="auto"/>
              <w:left w:val="dotted" w:sz="4" w:space="0" w:color="auto"/>
              <w:bottom w:val="single" w:sz="4" w:space="0" w:color="auto"/>
              <w:right w:val="dotted" w:sz="4" w:space="0" w:color="auto"/>
            </w:tcBorders>
            <w:shd w:val="clear" w:color="auto" w:fill="F0F0F0"/>
          </w:tcPr>
          <w:p w:rsidR="00EA3338" w:rsidRPr="0016157A" w:rsidRDefault="00EA3338" w:rsidP="00C249E4">
            <w:pPr>
              <w:keepNext/>
              <w:spacing w:before="80" w:after="80"/>
              <w:jc w:val="left"/>
              <w:rPr>
                <w:b/>
                <w:sz w:val="16"/>
                <w:lang w:val="fr-FR"/>
              </w:rPr>
            </w:pPr>
            <w:r w:rsidRPr="0016157A">
              <w:rPr>
                <w:b/>
                <w:sz w:val="16"/>
                <w:szCs w:val="16"/>
                <w:lang w:val="fr-FR"/>
              </w:rPr>
              <w:t>6</w:t>
            </w:r>
          </w:p>
        </w:tc>
        <w:tc>
          <w:tcPr>
            <w:tcW w:w="1916" w:type="dxa"/>
            <w:gridSpan w:val="2"/>
            <w:tcBorders>
              <w:top w:val="single" w:sz="4" w:space="0" w:color="auto"/>
              <w:left w:val="dotted" w:sz="4" w:space="0" w:color="auto"/>
              <w:bottom w:val="single" w:sz="4" w:space="0" w:color="auto"/>
              <w:right w:val="nil"/>
            </w:tcBorders>
            <w:shd w:val="clear" w:color="auto" w:fill="F0F0F0"/>
          </w:tcPr>
          <w:p w:rsidR="00EA3338" w:rsidRPr="0016157A" w:rsidRDefault="00EA3338" w:rsidP="00C249E4">
            <w:pPr>
              <w:keepNext/>
              <w:spacing w:before="80" w:after="80"/>
              <w:jc w:val="left"/>
              <w:rPr>
                <w:b/>
                <w:sz w:val="16"/>
                <w:lang w:val="fr-FR"/>
              </w:rPr>
            </w:pPr>
            <w:r w:rsidRPr="0016157A">
              <w:rPr>
                <w:b/>
                <w:sz w:val="16"/>
                <w:lang w:val="fr-FR"/>
              </w:rPr>
              <w:t>7</w:t>
            </w:r>
          </w:p>
        </w:tc>
        <w:tc>
          <w:tcPr>
            <w:tcW w:w="1923" w:type="dxa"/>
            <w:gridSpan w:val="2"/>
            <w:tcBorders>
              <w:top w:val="single" w:sz="4" w:space="0" w:color="auto"/>
              <w:left w:val="nil"/>
              <w:bottom w:val="single" w:sz="4" w:space="0" w:color="auto"/>
              <w:right w:val="nil"/>
            </w:tcBorders>
            <w:shd w:val="clear" w:color="auto" w:fill="F0F0F0"/>
          </w:tcPr>
          <w:p w:rsidR="00EA3338" w:rsidRPr="0016157A" w:rsidRDefault="00EA3338" w:rsidP="00C249E4">
            <w:pPr>
              <w:keepNext/>
              <w:spacing w:before="80" w:after="80"/>
              <w:jc w:val="left"/>
              <w:rPr>
                <w:sz w:val="16"/>
                <w:lang w:val="fr-FR"/>
              </w:rPr>
            </w:pPr>
          </w:p>
        </w:tc>
        <w:tc>
          <w:tcPr>
            <w:tcW w:w="1810" w:type="dxa"/>
            <w:tcBorders>
              <w:top w:val="single" w:sz="4" w:space="0" w:color="auto"/>
              <w:left w:val="nil"/>
              <w:bottom w:val="single" w:sz="4" w:space="0" w:color="auto"/>
              <w:right w:val="nil"/>
            </w:tcBorders>
            <w:shd w:val="clear" w:color="auto" w:fill="F0F0F0"/>
          </w:tcPr>
          <w:p w:rsidR="00EA3338" w:rsidRPr="0016157A" w:rsidRDefault="00EA3338" w:rsidP="00C249E4">
            <w:pPr>
              <w:keepNext/>
              <w:spacing w:before="80" w:after="80"/>
              <w:jc w:val="left"/>
              <w:rPr>
                <w:sz w:val="16"/>
                <w:lang w:val="fr-FR"/>
              </w:rPr>
            </w:pPr>
          </w:p>
        </w:tc>
        <w:tc>
          <w:tcPr>
            <w:tcW w:w="567" w:type="dxa"/>
            <w:tcBorders>
              <w:top w:val="single" w:sz="4" w:space="0" w:color="auto"/>
              <w:left w:val="nil"/>
              <w:bottom w:val="single" w:sz="4" w:space="0" w:color="auto"/>
            </w:tcBorders>
            <w:shd w:val="clear" w:color="auto" w:fill="F0F0F0"/>
          </w:tcPr>
          <w:p w:rsidR="00EA3338" w:rsidRPr="0016157A" w:rsidRDefault="00EA3338" w:rsidP="00C249E4">
            <w:pPr>
              <w:keepNext/>
              <w:spacing w:before="80" w:after="80"/>
              <w:jc w:val="center"/>
              <w:rPr>
                <w:b/>
                <w:sz w:val="16"/>
                <w:lang w:val="fr-FR"/>
              </w:rPr>
            </w:pPr>
          </w:p>
        </w:tc>
      </w:tr>
      <w:tr w:rsidR="00EA3338" w:rsidRPr="008D1C5B" w:rsidTr="00C249E4">
        <w:trPr>
          <w:cantSplit/>
        </w:trPr>
        <w:tc>
          <w:tcPr>
            <w:tcW w:w="709" w:type="dxa"/>
            <w:gridSpan w:val="2"/>
            <w:tcBorders>
              <w:top w:val="single" w:sz="4" w:space="0" w:color="auto"/>
            </w:tcBorders>
          </w:tcPr>
          <w:p w:rsidR="00EA3338" w:rsidRPr="0016157A" w:rsidRDefault="00EA3338" w:rsidP="00C249E4">
            <w:pPr>
              <w:keepNext/>
              <w:spacing w:before="80" w:after="80"/>
              <w:jc w:val="left"/>
              <w:rPr>
                <w:b/>
                <w:sz w:val="16"/>
                <w:szCs w:val="16"/>
                <w:lang w:val="fr-FR"/>
              </w:rPr>
            </w:pPr>
          </w:p>
        </w:tc>
        <w:tc>
          <w:tcPr>
            <w:tcW w:w="1790" w:type="dxa"/>
            <w:gridSpan w:val="2"/>
            <w:tcBorders>
              <w:top w:val="single" w:sz="4" w:space="0" w:color="auto"/>
              <w:bottom w:val="dotted" w:sz="2" w:space="0" w:color="auto"/>
            </w:tcBorders>
          </w:tcPr>
          <w:p w:rsidR="00EA3338" w:rsidRPr="0016157A" w:rsidRDefault="00EA3338" w:rsidP="00C249E4">
            <w:pPr>
              <w:keepNext/>
              <w:spacing w:before="80" w:after="80"/>
              <w:jc w:val="left"/>
              <w:rPr>
                <w:b/>
                <w:sz w:val="16"/>
                <w:szCs w:val="16"/>
                <w:lang w:val="fr-FR"/>
              </w:rPr>
            </w:pPr>
            <w:r w:rsidRPr="0016157A">
              <w:rPr>
                <w:b/>
                <w:sz w:val="16"/>
                <w:szCs w:val="16"/>
                <w:lang w:val="fr-FR"/>
              </w:rPr>
              <w:t xml:space="preserve">Name of </w:t>
            </w:r>
            <w:proofErr w:type="spellStart"/>
            <w:r w:rsidRPr="0016157A">
              <w:rPr>
                <w:b/>
                <w:sz w:val="16"/>
                <w:szCs w:val="16"/>
                <w:lang w:val="fr-FR"/>
              </w:rPr>
              <w:t>characteristics</w:t>
            </w:r>
            <w:proofErr w:type="spellEnd"/>
            <w:r w:rsidRPr="0016157A">
              <w:rPr>
                <w:b/>
                <w:sz w:val="16"/>
                <w:szCs w:val="16"/>
                <w:lang w:val="fr-FR"/>
              </w:rPr>
              <w:t xml:space="preserve"> in English</w:t>
            </w:r>
          </w:p>
          <w:p w:rsidR="00EA3338" w:rsidRPr="0016157A" w:rsidRDefault="00EA3338" w:rsidP="00C249E4">
            <w:pPr>
              <w:keepNext/>
              <w:spacing w:before="80" w:after="80"/>
              <w:jc w:val="left"/>
              <w:rPr>
                <w:lang w:val="fr-FR"/>
              </w:rPr>
            </w:pPr>
          </w:p>
        </w:tc>
        <w:tc>
          <w:tcPr>
            <w:tcW w:w="1917" w:type="dxa"/>
            <w:gridSpan w:val="2"/>
            <w:tcBorders>
              <w:top w:val="single" w:sz="4" w:space="0" w:color="auto"/>
              <w:bottom w:val="dotted" w:sz="2" w:space="0" w:color="auto"/>
            </w:tcBorders>
          </w:tcPr>
          <w:p w:rsidR="00EA3338" w:rsidRPr="0016157A" w:rsidRDefault="00EA3338" w:rsidP="00C249E4">
            <w:pPr>
              <w:keepNext/>
              <w:spacing w:before="80" w:after="80"/>
              <w:jc w:val="left"/>
              <w:rPr>
                <w:b/>
                <w:sz w:val="16"/>
                <w:szCs w:val="16"/>
                <w:lang w:val="fr-FR"/>
              </w:rPr>
            </w:pPr>
            <w:r w:rsidRPr="0016157A">
              <w:rPr>
                <w:b/>
                <w:sz w:val="16"/>
                <w:szCs w:val="16"/>
                <w:lang w:val="fr-FR"/>
              </w:rPr>
              <w:t>Nom du caractère en français</w:t>
            </w:r>
          </w:p>
          <w:p w:rsidR="00EA3338" w:rsidRPr="0016157A" w:rsidRDefault="00EA3338" w:rsidP="00C249E4">
            <w:pPr>
              <w:keepNext/>
              <w:spacing w:before="80" w:after="80"/>
              <w:jc w:val="left"/>
              <w:rPr>
                <w:b/>
                <w:sz w:val="16"/>
                <w:szCs w:val="16"/>
                <w:lang w:val="fr-FR"/>
              </w:rPr>
            </w:pPr>
            <w:r w:rsidRPr="0016157A">
              <w:rPr>
                <w:rFonts w:cs="Arial"/>
                <w:sz w:val="16"/>
                <w:lang w:val="fr-FR"/>
              </w:rPr>
              <w:t xml:space="preserve">{ </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 xml:space="preserve">18 </w:t>
            </w:r>
            <w:r w:rsidRPr="0016157A">
              <w:rPr>
                <w:rFonts w:cs="Arial"/>
                <w:sz w:val="16"/>
                <w:lang w:val="fr-FR"/>
              </w:rPr>
              <w:t xml:space="preserve">  Présentation des caractères : désignation du caractère }</w:t>
            </w:r>
          </w:p>
        </w:tc>
        <w:tc>
          <w:tcPr>
            <w:tcW w:w="1916" w:type="dxa"/>
            <w:gridSpan w:val="2"/>
            <w:tcBorders>
              <w:top w:val="single" w:sz="4" w:space="0" w:color="auto"/>
              <w:bottom w:val="dotted" w:sz="2" w:space="0" w:color="auto"/>
            </w:tcBorders>
          </w:tcPr>
          <w:p w:rsidR="00EA3338" w:rsidRPr="00883650" w:rsidRDefault="00EA3338" w:rsidP="00C249E4">
            <w:pPr>
              <w:keepNext/>
              <w:spacing w:before="80" w:after="80"/>
              <w:jc w:val="left"/>
              <w:rPr>
                <w:b/>
                <w:sz w:val="16"/>
                <w:szCs w:val="16"/>
                <w:lang w:val="de-DE"/>
              </w:rPr>
            </w:pPr>
            <w:r w:rsidRPr="00883650">
              <w:rPr>
                <w:b/>
                <w:sz w:val="16"/>
                <w:szCs w:val="16"/>
                <w:lang w:val="de-DE"/>
              </w:rPr>
              <w:t>Name des Merkmals auf Deutsch</w:t>
            </w:r>
          </w:p>
        </w:tc>
        <w:tc>
          <w:tcPr>
            <w:tcW w:w="1923" w:type="dxa"/>
            <w:gridSpan w:val="2"/>
            <w:tcBorders>
              <w:top w:val="single" w:sz="4" w:space="0" w:color="auto"/>
              <w:bottom w:val="dotted" w:sz="2" w:space="0" w:color="auto"/>
            </w:tcBorders>
          </w:tcPr>
          <w:p w:rsidR="00EA3338" w:rsidRPr="00883650" w:rsidRDefault="00EA3338" w:rsidP="00C249E4">
            <w:pPr>
              <w:keepNext/>
              <w:spacing w:before="80" w:after="80"/>
              <w:jc w:val="left"/>
              <w:rPr>
                <w:b/>
                <w:sz w:val="16"/>
                <w:szCs w:val="16"/>
                <w:lang w:val="es-ES_tradnl"/>
              </w:rPr>
            </w:pPr>
            <w:r w:rsidRPr="00883650">
              <w:rPr>
                <w:b/>
                <w:sz w:val="16"/>
                <w:szCs w:val="16"/>
                <w:lang w:val="es-ES_tradnl"/>
              </w:rPr>
              <w:t>Nombre del carácter en español</w:t>
            </w:r>
          </w:p>
        </w:tc>
        <w:tc>
          <w:tcPr>
            <w:tcW w:w="1810" w:type="dxa"/>
            <w:tcBorders>
              <w:top w:val="single" w:sz="4" w:space="0" w:color="auto"/>
              <w:bottom w:val="dotted" w:sz="2" w:space="0" w:color="auto"/>
            </w:tcBorders>
          </w:tcPr>
          <w:p w:rsidR="00EA3338" w:rsidRPr="00883650" w:rsidRDefault="00EA3338" w:rsidP="00C249E4">
            <w:pPr>
              <w:keepNext/>
              <w:spacing w:before="80" w:after="80"/>
              <w:rPr>
                <w:lang w:val="es-ES_tradnl"/>
              </w:rPr>
            </w:pPr>
          </w:p>
        </w:tc>
        <w:tc>
          <w:tcPr>
            <w:tcW w:w="567" w:type="dxa"/>
            <w:tcBorders>
              <w:top w:val="single" w:sz="4" w:space="0" w:color="auto"/>
              <w:bottom w:val="dotted" w:sz="2" w:space="0" w:color="auto"/>
            </w:tcBorders>
          </w:tcPr>
          <w:p w:rsidR="00EA3338" w:rsidRPr="00883650" w:rsidRDefault="00EA3338" w:rsidP="00C249E4">
            <w:pPr>
              <w:keepNext/>
              <w:spacing w:before="80" w:after="80"/>
              <w:jc w:val="center"/>
              <w:rPr>
                <w:lang w:val="es-ES_tradnl"/>
              </w:rPr>
            </w:pPr>
          </w:p>
        </w:tc>
      </w:tr>
      <w:tr w:rsidR="00EA3338" w:rsidRPr="00204171" w:rsidTr="00C249E4">
        <w:trPr>
          <w:cantSplit/>
        </w:trPr>
        <w:tc>
          <w:tcPr>
            <w:tcW w:w="709" w:type="dxa"/>
            <w:gridSpan w:val="2"/>
            <w:tcBorders>
              <w:bottom w:val="single" w:sz="4" w:space="0" w:color="auto"/>
            </w:tcBorders>
          </w:tcPr>
          <w:p w:rsidR="00EA3338" w:rsidRPr="00883650" w:rsidRDefault="00EA3338" w:rsidP="00C249E4">
            <w:pPr>
              <w:keepNext/>
              <w:spacing w:before="80" w:after="80"/>
              <w:jc w:val="left"/>
              <w:rPr>
                <w:sz w:val="16"/>
                <w:szCs w:val="16"/>
                <w:lang w:val="es-ES_tradnl"/>
              </w:rPr>
            </w:pPr>
          </w:p>
        </w:tc>
        <w:tc>
          <w:tcPr>
            <w:tcW w:w="1790" w:type="dxa"/>
            <w:gridSpan w:val="2"/>
            <w:tcBorders>
              <w:top w:val="dotted" w:sz="2" w:space="0" w:color="auto"/>
              <w:bottom w:val="single" w:sz="4" w:space="0" w:color="auto"/>
            </w:tcBorders>
          </w:tcPr>
          <w:p w:rsidR="00EA3338" w:rsidRPr="00883650" w:rsidRDefault="00EA3338" w:rsidP="00C249E4">
            <w:pPr>
              <w:keepNext/>
              <w:spacing w:before="80" w:after="80"/>
              <w:jc w:val="left"/>
              <w:rPr>
                <w:sz w:val="16"/>
                <w:szCs w:val="16"/>
              </w:rPr>
            </w:pPr>
            <w:r w:rsidRPr="00883650">
              <w:rPr>
                <w:sz w:val="16"/>
                <w:szCs w:val="16"/>
              </w:rPr>
              <w:t>states of expression</w:t>
            </w:r>
          </w:p>
          <w:p w:rsidR="00EA3338" w:rsidRPr="00883650" w:rsidRDefault="00EA3338" w:rsidP="00C249E4">
            <w:pPr>
              <w:keepNext/>
              <w:spacing w:before="80" w:after="80"/>
              <w:jc w:val="left"/>
            </w:pPr>
          </w:p>
        </w:tc>
        <w:tc>
          <w:tcPr>
            <w:tcW w:w="1917" w:type="dxa"/>
            <w:gridSpan w:val="2"/>
            <w:tcBorders>
              <w:top w:val="dotted" w:sz="2" w:space="0" w:color="auto"/>
              <w:bottom w:val="single" w:sz="4" w:space="0" w:color="auto"/>
            </w:tcBorders>
          </w:tcPr>
          <w:p w:rsidR="00EA3338" w:rsidRPr="0016157A" w:rsidRDefault="00EA3338" w:rsidP="00C249E4">
            <w:pPr>
              <w:keepNext/>
              <w:spacing w:before="80" w:after="80"/>
              <w:jc w:val="left"/>
              <w:rPr>
                <w:sz w:val="16"/>
                <w:szCs w:val="16"/>
                <w:lang w:val="fr-FR"/>
              </w:rPr>
            </w:pPr>
            <w:r w:rsidRPr="0016157A">
              <w:rPr>
                <w:sz w:val="16"/>
                <w:szCs w:val="16"/>
                <w:lang w:val="fr-FR"/>
              </w:rPr>
              <w:t>types d</w:t>
            </w:r>
            <w:r w:rsidR="00B4091E">
              <w:rPr>
                <w:sz w:val="16"/>
                <w:szCs w:val="16"/>
                <w:lang w:val="fr-FR"/>
              </w:rPr>
              <w:t>’</w:t>
            </w:r>
            <w:r w:rsidRPr="0016157A">
              <w:rPr>
                <w:sz w:val="16"/>
                <w:szCs w:val="16"/>
                <w:lang w:val="fr-FR"/>
              </w:rPr>
              <w:t>expression</w:t>
            </w:r>
          </w:p>
          <w:p w:rsidR="00EA3338" w:rsidRPr="0016157A" w:rsidRDefault="00EA3338" w:rsidP="00C249E4">
            <w:pPr>
              <w:pStyle w:val="Normalt"/>
              <w:rPr>
                <w:rFonts w:ascii="Arial" w:hAnsi="Arial" w:cs="Arial"/>
                <w:sz w:val="16"/>
                <w:lang w:val="fr-FR"/>
              </w:rPr>
            </w:pPr>
            <w:proofErr w:type="gramStart"/>
            <w:r w:rsidRPr="0016157A">
              <w:rPr>
                <w:rFonts w:ascii="Arial" w:hAnsi="Arial" w:cs="Arial"/>
                <w:sz w:val="16"/>
                <w:lang w:val="fr-FR"/>
              </w:rPr>
              <w:t>{</w:t>
            </w:r>
            <w:r w:rsidRPr="0016157A">
              <w:rPr>
                <w:rFonts w:ascii="Arial" w:hAnsi="Arial" w:cs="Arial"/>
                <w:sz w:val="16"/>
                <w:bdr w:val="single" w:sz="12" w:space="0" w:color="auto"/>
                <w:lang w:val="fr-FR"/>
              </w:rPr>
              <w:t xml:space="preserve"> </w:t>
            </w:r>
            <w:r w:rsidRPr="0016157A">
              <w:rPr>
                <w:rFonts w:ascii="Arial" w:hAnsi="Arial" w:cs="Arial"/>
                <w:sz w:val="16"/>
                <w:highlight w:val="lightGray"/>
                <w:bdr w:val="single" w:sz="12" w:space="0" w:color="auto"/>
                <w:lang w:val="fr-FR"/>
              </w:rPr>
              <w:t>GN</w:t>
            </w:r>
            <w:proofErr w:type="gramEnd"/>
            <w:r w:rsidRPr="0016157A">
              <w:rPr>
                <w:rFonts w:ascii="Arial" w:hAnsi="Arial" w:cs="Arial"/>
                <w:sz w:val="16"/>
                <w:highlight w:val="lightGray"/>
                <w:bdr w:val="single" w:sz="12" w:space="0" w:color="auto"/>
                <w:lang w:val="fr-FR"/>
              </w:rPr>
              <w:t xml:space="preserve"> </w:t>
            </w:r>
            <w:r w:rsidRPr="0016157A">
              <w:rPr>
                <w:rFonts w:ascii="Arial" w:hAnsi="Arial" w:cs="Arial"/>
                <w:sz w:val="16"/>
                <w:bdr w:val="single" w:sz="12" w:space="0" w:color="auto"/>
                <w:lang w:val="fr-FR"/>
              </w:rPr>
              <w:t>19</w:t>
            </w:r>
            <w:r w:rsidRPr="0016157A">
              <w:rPr>
                <w:rFonts w:ascii="Arial" w:hAnsi="Arial" w:cs="Arial"/>
                <w:sz w:val="16"/>
                <w:lang w:val="fr-FR"/>
              </w:rPr>
              <w:t xml:space="preserve">  </w:t>
            </w:r>
            <w:r w:rsidRPr="0016157A">
              <w:rPr>
                <w:rFonts w:ascii="Arial" w:hAnsi="Arial" w:cs="Arial"/>
                <w:sz w:val="16"/>
                <w:szCs w:val="16"/>
                <w:lang w:val="fr-FR"/>
              </w:rPr>
              <w:t>Présentation des caractères : présentation générale des niveaux d</w:t>
            </w:r>
            <w:r w:rsidR="00B4091E">
              <w:rPr>
                <w:rFonts w:ascii="Arial" w:hAnsi="Arial" w:cs="Arial"/>
                <w:sz w:val="16"/>
                <w:szCs w:val="16"/>
                <w:lang w:val="fr-FR"/>
              </w:rPr>
              <w:t>’</w:t>
            </w:r>
            <w:r w:rsidRPr="0016157A">
              <w:rPr>
                <w:rFonts w:ascii="Arial" w:hAnsi="Arial" w:cs="Arial"/>
                <w:sz w:val="16"/>
                <w:szCs w:val="16"/>
                <w:lang w:val="fr-FR"/>
              </w:rPr>
              <w:t xml:space="preserve">expression </w:t>
            </w:r>
            <w:r w:rsidRPr="0016157A">
              <w:rPr>
                <w:rFonts w:ascii="Arial" w:hAnsi="Arial" w:cs="Arial"/>
                <w:sz w:val="16"/>
                <w:lang w:val="fr-FR"/>
              </w:rPr>
              <w:t>}</w:t>
            </w:r>
          </w:p>
          <w:p w:rsidR="00EA3338" w:rsidRPr="0016157A" w:rsidRDefault="00EA3338" w:rsidP="00C249E4">
            <w:pPr>
              <w:keepNext/>
              <w:spacing w:before="80" w:after="80"/>
              <w:jc w:val="left"/>
              <w:rPr>
                <w:sz w:val="16"/>
                <w:szCs w:val="16"/>
                <w:lang w:val="fr-FR"/>
              </w:rPr>
            </w:pPr>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20</w:t>
            </w:r>
            <w:r w:rsidRPr="0016157A">
              <w:rPr>
                <w:rFonts w:cs="Arial"/>
                <w:sz w:val="16"/>
                <w:lang w:val="fr-FR"/>
              </w:rPr>
              <w:t xml:space="preserve">  </w:t>
            </w:r>
            <w:r w:rsidRPr="0016157A">
              <w:rPr>
                <w:rFonts w:cs="Arial"/>
                <w:sz w:val="16"/>
                <w:szCs w:val="16"/>
                <w:lang w:val="fr-FR"/>
              </w:rPr>
              <w:t>Présentation des caractères : niveaux d</w:t>
            </w:r>
            <w:r w:rsidR="00B4091E">
              <w:rPr>
                <w:rFonts w:cs="Arial"/>
                <w:sz w:val="16"/>
                <w:szCs w:val="16"/>
                <w:lang w:val="fr-FR"/>
              </w:rPr>
              <w:t>’</w:t>
            </w:r>
            <w:r w:rsidRPr="0016157A">
              <w:rPr>
                <w:rFonts w:cs="Arial"/>
                <w:sz w:val="16"/>
                <w:szCs w:val="16"/>
                <w:lang w:val="fr-FR"/>
              </w:rPr>
              <w:t>expression selon le type d</w:t>
            </w:r>
            <w:r w:rsidR="00B4091E">
              <w:rPr>
                <w:rFonts w:cs="Arial"/>
                <w:sz w:val="16"/>
                <w:szCs w:val="16"/>
                <w:lang w:val="fr-FR"/>
              </w:rPr>
              <w:t>’</w:t>
            </w:r>
            <w:r w:rsidRPr="0016157A">
              <w:rPr>
                <w:rFonts w:cs="Arial"/>
                <w:sz w:val="16"/>
                <w:szCs w:val="16"/>
                <w:lang w:val="fr-FR"/>
              </w:rPr>
              <w:t>expression d</w:t>
            </w:r>
            <w:r w:rsidR="00B4091E">
              <w:rPr>
                <w:rFonts w:cs="Arial"/>
                <w:sz w:val="16"/>
                <w:szCs w:val="16"/>
                <w:lang w:val="fr-FR"/>
              </w:rPr>
              <w:t>’</w:t>
            </w:r>
            <w:r w:rsidRPr="0016157A">
              <w:rPr>
                <w:rFonts w:cs="Arial"/>
                <w:sz w:val="16"/>
                <w:szCs w:val="16"/>
                <w:lang w:val="fr-FR"/>
              </w:rPr>
              <w:t xml:space="preserve">un caractère </w:t>
            </w:r>
            <w:r w:rsidRPr="0016157A">
              <w:rPr>
                <w:rFonts w:cs="Arial"/>
                <w:sz w:val="16"/>
                <w:lang w:val="fr-FR"/>
              </w:rPr>
              <w:t>}</w:t>
            </w:r>
          </w:p>
        </w:tc>
        <w:tc>
          <w:tcPr>
            <w:tcW w:w="1916" w:type="dxa"/>
            <w:gridSpan w:val="2"/>
            <w:tcBorders>
              <w:top w:val="dotted" w:sz="2" w:space="0" w:color="auto"/>
              <w:bottom w:val="single" w:sz="4" w:space="0" w:color="auto"/>
            </w:tcBorders>
          </w:tcPr>
          <w:p w:rsidR="00EA3338" w:rsidRPr="0016157A" w:rsidRDefault="00EA3338" w:rsidP="00C249E4">
            <w:pPr>
              <w:keepNext/>
              <w:spacing w:before="80" w:after="80"/>
              <w:jc w:val="left"/>
              <w:rPr>
                <w:sz w:val="16"/>
                <w:szCs w:val="16"/>
                <w:lang w:val="fr-FR"/>
              </w:rPr>
            </w:pPr>
            <w:proofErr w:type="spellStart"/>
            <w:r w:rsidRPr="0016157A">
              <w:rPr>
                <w:sz w:val="16"/>
                <w:szCs w:val="16"/>
                <w:lang w:val="fr-FR"/>
              </w:rPr>
              <w:t>Ausprägungsstufen</w:t>
            </w:r>
            <w:proofErr w:type="spellEnd"/>
          </w:p>
        </w:tc>
        <w:tc>
          <w:tcPr>
            <w:tcW w:w="1923" w:type="dxa"/>
            <w:gridSpan w:val="2"/>
            <w:tcBorders>
              <w:top w:val="dotted" w:sz="2" w:space="0" w:color="auto"/>
              <w:bottom w:val="single" w:sz="4" w:space="0" w:color="auto"/>
            </w:tcBorders>
          </w:tcPr>
          <w:p w:rsidR="00EA3338" w:rsidRPr="0016157A" w:rsidRDefault="00EA3338" w:rsidP="00C249E4">
            <w:pPr>
              <w:keepNext/>
              <w:spacing w:before="80" w:after="80"/>
              <w:jc w:val="left"/>
              <w:rPr>
                <w:sz w:val="16"/>
                <w:szCs w:val="16"/>
                <w:lang w:val="fr-FR"/>
              </w:rPr>
            </w:pPr>
            <w:proofErr w:type="spellStart"/>
            <w:r w:rsidRPr="0016157A">
              <w:rPr>
                <w:sz w:val="16"/>
                <w:szCs w:val="16"/>
                <w:lang w:val="fr-FR"/>
              </w:rPr>
              <w:t>tipos</w:t>
            </w:r>
            <w:proofErr w:type="spellEnd"/>
            <w:r w:rsidRPr="0016157A">
              <w:rPr>
                <w:sz w:val="16"/>
                <w:szCs w:val="16"/>
                <w:lang w:val="fr-FR"/>
              </w:rPr>
              <w:t xml:space="preserve"> de </w:t>
            </w:r>
            <w:proofErr w:type="spellStart"/>
            <w:r w:rsidRPr="0016157A">
              <w:rPr>
                <w:sz w:val="16"/>
                <w:szCs w:val="16"/>
                <w:lang w:val="fr-FR"/>
              </w:rPr>
              <w:t>expresión</w:t>
            </w:r>
            <w:proofErr w:type="spellEnd"/>
          </w:p>
        </w:tc>
        <w:tc>
          <w:tcPr>
            <w:tcW w:w="1810" w:type="dxa"/>
            <w:tcBorders>
              <w:top w:val="dotted" w:sz="2" w:space="0" w:color="auto"/>
              <w:bottom w:val="single" w:sz="4" w:space="0" w:color="auto"/>
            </w:tcBorders>
          </w:tcPr>
          <w:p w:rsidR="00EA3338" w:rsidRPr="0016157A" w:rsidRDefault="00EA3338" w:rsidP="00C249E4">
            <w:pPr>
              <w:keepNext/>
              <w:spacing w:before="80" w:after="80"/>
              <w:jc w:val="left"/>
              <w:rPr>
                <w:lang w:val="fr-FR"/>
              </w:rPr>
            </w:pPr>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 xml:space="preserve">GN </w:t>
            </w:r>
            <w:r w:rsidRPr="0016157A">
              <w:rPr>
                <w:rFonts w:cs="Arial"/>
                <w:sz w:val="16"/>
                <w:bdr w:val="single" w:sz="12" w:space="0" w:color="auto"/>
                <w:lang w:val="fr-FR"/>
              </w:rPr>
              <w:t>28</w:t>
            </w:r>
            <w:r w:rsidRPr="0016157A">
              <w:rPr>
                <w:rFonts w:cs="Arial"/>
                <w:sz w:val="16"/>
                <w:lang w:val="fr-FR"/>
              </w:rPr>
              <w:t xml:space="preserve">  </w:t>
            </w:r>
            <w:r w:rsidRPr="0016157A">
              <w:rPr>
                <w:rFonts w:cs="Arial"/>
                <w:sz w:val="16"/>
                <w:szCs w:val="16"/>
                <w:lang w:val="fr-FR"/>
              </w:rPr>
              <w:t>Variétés indiquées à titre d</w:t>
            </w:r>
            <w:r w:rsidR="00B4091E">
              <w:rPr>
                <w:rFonts w:cs="Arial"/>
                <w:sz w:val="16"/>
                <w:szCs w:val="16"/>
                <w:lang w:val="fr-FR"/>
              </w:rPr>
              <w:t>’</w:t>
            </w:r>
            <w:r w:rsidRPr="0016157A">
              <w:rPr>
                <w:rFonts w:cs="Arial"/>
                <w:sz w:val="16"/>
                <w:szCs w:val="16"/>
                <w:lang w:val="fr-FR"/>
              </w:rPr>
              <w:t xml:space="preserve">exemples </w:t>
            </w:r>
            <w:r w:rsidRPr="0016157A">
              <w:rPr>
                <w:rFonts w:cs="Arial"/>
                <w:sz w:val="16"/>
                <w:lang w:val="fr-FR"/>
              </w:rPr>
              <w:t>}</w:t>
            </w:r>
          </w:p>
        </w:tc>
        <w:tc>
          <w:tcPr>
            <w:tcW w:w="567" w:type="dxa"/>
            <w:tcBorders>
              <w:top w:val="dotted" w:sz="2" w:space="0" w:color="auto"/>
              <w:bottom w:val="single" w:sz="4" w:space="0" w:color="auto"/>
            </w:tcBorders>
          </w:tcPr>
          <w:p w:rsidR="00EA3338" w:rsidRPr="0016157A" w:rsidRDefault="00EA3338" w:rsidP="00C249E4">
            <w:pPr>
              <w:keepNext/>
              <w:spacing w:before="80" w:after="80"/>
              <w:jc w:val="center"/>
              <w:rPr>
                <w:lang w:val="fr-FR"/>
              </w:rPr>
            </w:pPr>
          </w:p>
        </w:tc>
      </w:tr>
    </w:tbl>
    <w:p w:rsidR="00EA3338" w:rsidRPr="0016157A" w:rsidRDefault="00EA3338" w:rsidP="00C249E4">
      <w:pPr>
        <w:keepNext/>
        <w:rPr>
          <w:lang w:val="fr-FR"/>
        </w:rPr>
      </w:pPr>
    </w:p>
    <w:p w:rsidR="00EA3338" w:rsidRPr="0016157A" w:rsidRDefault="00EA3338" w:rsidP="00C249E4">
      <w:pPr>
        <w:keepNext/>
        <w:rPr>
          <w:lang w:val="fr-FR"/>
        </w:rPr>
      </w:pPr>
      <w:r w:rsidRPr="0016157A">
        <w:rPr>
          <w:lang w:val="fr-FR"/>
        </w:rPr>
        <w:t>Légende</w:t>
      </w:r>
    </w:p>
    <w:p w:rsidR="00EA3338" w:rsidRPr="0016157A" w:rsidRDefault="00EA3338" w:rsidP="00C249E4">
      <w:pPr>
        <w:keepNext/>
        <w:rPr>
          <w:lang w:val="fr-FR"/>
        </w:rPr>
      </w:pPr>
      <w:r w:rsidRPr="0016157A">
        <w:rPr>
          <w:lang w:val="fr-FR"/>
        </w:rPr>
        <w:t>1</w:t>
      </w:r>
      <w:r w:rsidRPr="0016157A">
        <w:rPr>
          <w:lang w:val="fr-FR"/>
        </w:rPr>
        <w:tab/>
        <w:t>Numéro du caractère</w:t>
      </w:r>
    </w:p>
    <w:p w:rsidR="00EA3338" w:rsidRPr="0016157A" w:rsidRDefault="00EA3338" w:rsidP="00C249E4">
      <w:pPr>
        <w:keepNext/>
        <w:rPr>
          <w:rFonts w:cs="Arial"/>
          <w:lang w:val="fr-FR"/>
        </w:rPr>
      </w:pPr>
      <w:r w:rsidRPr="0016157A">
        <w:rPr>
          <w:lang w:val="fr-FR"/>
        </w:rPr>
        <w:t>2</w:t>
      </w:r>
      <w:r w:rsidRPr="0016157A">
        <w:rPr>
          <w:lang w:val="fr-FR"/>
        </w:rPr>
        <w:tab/>
        <w:t xml:space="preserve">(*) Caractère avec astérisque </w:t>
      </w:r>
      <w:r w:rsidRPr="0016157A">
        <w:rPr>
          <w:lang w:val="fr-FR"/>
        </w:rPr>
        <w:tab/>
      </w:r>
      <w:r w:rsidRPr="0016157A">
        <w:rPr>
          <w:lang w:val="fr-FR"/>
        </w:rPr>
        <w:tab/>
        <w:t>– voir le chapitre 6.1.2</w:t>
      </w:r>
    </w:p>
    <w:p w:rsidR="00EA3338" w:rsidRPr="0016157A" w:rsidRDefault="00EA3338" w:rsidP="00C249E4">
      <w:pPr>
        <w:keepNext/>
        <w:rPr>
          <w:rFonts w:cs="Arial"/>
          <w:sz w:val="16"/>
          <w:lang w:val="fr-FR"/>
        </w:rPr>
      </w:pPr>
      <w:r w:rsidRPr="0016157A">
        <w:rPr>
          <w:rFonts w:cs="Arial"/>
          <w:sz w:val="16"/>
          <w:lang w:val="fr-FR"/>
        </w:rPr>
        <w:t>`</w:t>
      </w:r>
      <w:r w:rsidRPr="0016157A">
        <w:rPr>
          <w:rFonts w:cs="Arial"/>
          <w:sz w:val="16"/>
          <w:lang w:val="fr-FR"/>
        </w:rPr>
        <w:tab/>
      </w:r>
      <w:r w:rsidRPr="0016157A">
        <w:rPr>
          <w:rFonts w:cs="Arial"/>
          <w:bCs/>
          <w:sz w:val="16"/>
          <w:lang w:val="fr-FR"/>
        </w:rPr>
        <w:t>{</w:t>
      </w:r>
      <w:r w:rsidRPr="0016157A">
        <w:rPr>
          <w:rFonts w:cs="Arial"/>
          <w:bCs/>
          <w:sz w:val="16"/>
          <w:highlight w:val="lightGray"/>
          <w:bdr w:val="single" w:sz="12" w:space="0" w:color="auto"/>
          <w:lang w:val="fr-FR"/>
        </w:rPr>
        <w:t xml:space="preserve">GN </w:t>
      </w:r>
      <w:r w:rsidRPr="0016157A">
        <w:rPr>
          <w:rFonts w:cs="Arial"/>
          <w:bCs/>
          <w:sz w:val="16"/>
          <w:bdr w:val="single" w:sz="12" w:space="0" w:color="auto"/>
          <w:lang w:val="fr-FR"/>
        </w:rPr>
        <w:t>13.1, 13.4</w:t>
      </w:r>
      <w:r w:rsidR="006A4F7F" w:rsidRPr="0016157A">
        <w:rPr>
          <w:rFonts w:cs="Arial"/>
          <w:bCs/>
          <w:sz w:val="16"/>
          <w:lang w:val="fr-FR"/>
        </w:rPr>
        <w:t xml:space="preserve"> </w:t>
      </w:r>
      <w:r w:rsidR="006A4F7F" w:rsidRPr="006A4F7F">
        <w:rPr>
          <w:rFonts w:cs="Arial"/>
          <w:bCs/>
          <w:sz w:val="16"/>
          <w:lang w:val="fr-FR"/>
        </w:rPr>
        <w:t>Caractères avec astérisque</w:t>
      </w:r>
      <w:r w:rsidRPr="0016157A">
        <w:rPr>
          <w:rFonts w:cs="Arial"/>
          <w:bCs/>
          <w:sz w:val="16"/>
          <w:lang w:val="fr-FR"/>
        </w:rPr>
        <w:t>}</w:t>
      </w:r>
    </w:p>
    <w:p w:rsidR="00EA3338" w:rsidRPr="0016157A" w:rsidRDefault="00EA3338" w:rsidP="00C249E4">
      <w:pPr>
        <w:keepNext/>
        <w:rPr>
          <w:lang w:val="fr-FR"/>
        </w:rPr>
      </w:pPr>
      <w:r w:rsidRPr="0016157A">
        <w:rPr>
          <w:rFonts w:cs="Arial"/>
          <w:lang w:val="fr-FR"/>
        </w:rPr>
        <w:t>3</w:t>
      </w:r>
      <w:r w:rsidRPr="0016157A">
        <w:rPr>
          <w:rFonts w:cs="Arial"/>
          <w:lang w:val="fr-FR"/>
        </w:rPr>
        <w:tab/>
      </w:r>
      <w:r w:rsidRPr="0016157A">
        <w:rPr>
          <w:lang w:val="fr-FR"/>
        </w:rPr>
        <w:t>Type d</w:t>
      </w:r>
      <w:r w:rsidR="00B4091E">
        <w:rPr>
          <w:lang w:val="fr-FR"/>
        </w:rPr>
        <w:t>’</w:t>
      </w:r>
      <w:r w:rsidRPr="0016157A">
        <w:rPr>
          <w:lang w:val="fr-FR"/>
        </w:rPr>
        <w:t>expression</w:t>
      </w:r>
    </w:p>
    <w:p w:rsidR="00EA3338" w:rsidRPr="0016157A" w:rsidRDefault="00EA3338" w:rsidP="00C249E4">
      <w:pPr>
        <w:keepNext/>
        <w:tabs>
          <w:tab w:val="left" w:pos="709"/>
          <w:tab w:val="left" w:pos="1276"/>
        </w:tabs>
        <w:ind w:left="567"/>
        <w:rPr>
          <w:lang w:val="fr-FR"/>
        </w:rPr>
      </w:pPr>
      <w:r w:rsidRPr="0016157A">
        <w:rPr>
          <w:lang w:val="fr-FR"/>
        </w:rPr>
        <w:t>QL</w:t>
      </w:r>
      <w:r w:rsidRPr="0016157A">
        <w:rPr>
          <w:lang w:val="fr-FR"/>
        </w:rPr>
        <w:tab/>
        <w:t xml:space="preserve">Caractère qualitatif </w:t>
      </w:r>
      <w:r w:rsidRPr="0016157A">
        <w:rPr>
          <w:lang w:val="fr-FR"/>
        </w:rPr>
        <w:tab/>
      </w:r>
      <w:r w:rsidRPr="0016157A">
        <w:rPr>
          <w:lang w:val="fr-FR"/>
        </w:rPr>
        <w:tab/>
        <w:t>– voir le chapitre 6.3</w:t>
      </w:r>
    </w:p>
    <w:p w:rsidR="00EA3338" w:rsidRPr="0016157A" w:rsidRDefault="00EA3338" w:rsidP="00C249E4">
      <w:pPr>
        <w:keepNext/>
        <w:tabs>
          <w:tab w:val="left" w:pos="709"/>
          <w:tab w:val="left" w:pos="1276"/>
        </w:tabs>
        <w:ind w:left="567"/>
        <w:rPr>
          <w:lang w:val="fr-FR"/>
        </w:rPr>
      </w:pPr>
      <w:r w:rsidRPr="0016157A">
        <w:rPr>
          <w:lang w:val="fr-FR"/>
        </w:rPr>
        <w:t>QN</w:t>
      </w:r>
      <w:r w:rsidRPr="0016157A">
        <w:rPr>
          <w:lang w:val="fr-FR"/>
        </w:rPr>
        <w:tab/>
        <w:t>Caractère quantitatif</w:t>
      </w:r>
      <w:r w:rsidRPr="0016157A">
        <w:rPr>
          <w:lang w:val="fr-FR"/>
        </w:rPr>
        <w:tab/>
      </w:r>
      <w:r w:rsidRPr="0016157A">
        <w:rPr>
          <w:lang w:val="fr-FR"/>
        </w:rPr>
        <w:tab/>
        <w:t>– voir le chapitre 6.3</w:t>
      </w:r>
    </w:p>
    <w:p w:rsidR="00EA3338" w:rsidRPr="0016157A" w:rsidRDefault="00EA3338" w:rsidP="00C249E4">
      <w:pPr>
        <w:keepNext/>
        <w:tabs>
          <w:tab w:val="left" w:pos="1276"/>
        </w:tabs>
        <w:ind w:firstLine="567"/>
        <w:rPr>
          <w:rFonts w:cs="Arial"/>
          <w:lang w:val="fr-FR"/>
        </w:rPr>
      </w:pPr>
      <w:r w:rsidRPr="0016157A">
        <w:rPr>
          <w:lang w:val="fr-FR"/>
        </w:rPr>
        <w:t>PQ</w:t>
      </w:r>
      <w:r w:rsidRPr="0016157A">
        <w:rPr>
          <w:lang w:val="fr-FR"/>
        </w:rPr>
        <w:tab/>
        <w:t>Caractère pseudo</w:t>
      </w:r>
      <w:r w:rsidRPr="0016157A">
        <w:rPr>
          <w:lang w:val="fr-FR"/>
        </w:rPr>
        <w:noBreakHyphen/>
        <w:t xml:space="preserve">qualitatif </w:t>
      </w:r>
      <w:r w:rsidRPr="0016157A">
        <w:rPr>
          <w:lang w:val="fr-FR"/>
        </w:rPr>
        <w:tab/>
        <w:t>– voir le chapitre 6.3</w:t>
      </w:r>
    </w:p>
    <w:p w:rsidR="00EA3338" w:rsidRPr="0016157A" w:rsidRDefault="00EA3338" w:rsidP="00C249E4">
      <w:pPr>
        <w:keepNext/>
        <w:tabs>
          <w:tab w:val="left" w:pos="709"/>
          <w:tab w:val="left" w:pos="1276"/>
        </w:tabs>
        <w:ind w:left="567"/>
        <w:rPr>
          <w:rFonts w:cs="Arial"/>
          <w:sz w:val="16"/>
          <w:lang w:val="fr-FR"/>
        </w:rPr>
      </w:pPr>
      <w:proofErr w:type="gramStart"/>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GN</w:t>
      </w:r>
      <w:proofErr w:type="gramEnd"/>
      <w:r w:rsidRPr="0016157A">
        <w:rPr>
          <w:rFonts w:cs="Arial"/>
          <w:sz w:val="16"/>
          <w:highlight w:val="lightGray"/>
          <w:bdr w:val="single" w:sz="12" w:space="0" w:color="auto"/>
          <w:lang w:val="fr-FR"/>
        </w:rPr>
        <w:t xml:space="preserve"> </w:t>
      </w:r>
      <w:r w:rsidRPr="0016157A">
        <w:rPr>
          <w:rFonts w:cs="Arial"/>
          <w:sz w:val="16"/>
          <w:bdr w:val="single" w:sz="12" w:space="0" w:color="auto"/>
          <w:lang w:val="fr-FR"/>
        </w:rPr>
        <w:t xml:space="preserve">21 </w:t>
      </w:r>
      <w:r w:rsidRPr="0016157A">
        <w:rPr>
          <w:rFonts w:cs="Arial"/>
          <w:sz w:val="16"/>
          <w:lang w:val="fr-FR"/>
        </w:rPr>
        <w:t xml:space="preserve"> Type d</w:t>
      </w:r>
      <w:r w:rsidR="00B4091E">
        <w:rPr>
          <w:rFonts w:cs="Arial"/>
          <w:sz w:val="16"/>
          <w:lang w:val="fr-FR"/>
        </w:rPr>
        <w:t>’</w:t>
      </w:r>
      <w:r w:rsidRPr="0016157A">
        <w:rPr>
          <w:rFonts w:cs="Arial"/>
          <w:sz w:val="16"/>
          <w:lang w:val="fr-FR"/>
        </w:rPr>
        <w:t>expression du caractère }</w:t>
      </w:r>
    </w:p>
    <w:p w:rsidR="00EA3338" w:rsidRPr="0016157A" w:rsidRDefault="00EA3338" w:rsidP="00C249E4">
      <w:pPr>
        <w:keepNext/>
        <w:rPr>
          <w:rFonts w:eastAsia="MS Mincho"/>
          <w:lang w:val="fr-FR"/>
        </w:rPr>
      </w:pPr>
      <w:r w:rsidRPr="0016157A">
        <w:rPr>
          <w:rFonts w:eastAsia="MS Mincho" w:cs="Arial"/>
          <w:lang w:val="fr-FR"/>
        </w:rPr>
        <w:t>4</w:t>
      </w:r>
      <w:r w:rsidRPr="0016157A">
        <w:rPr>
          <w:rFonts w:eastAsia="MS Mincho" w:cs="Arial"/>
          <w:lang w:val="fr-FR"/>
        </w:rPr>
        <w:tab/>
      </w:r>
      <w:r w:rsidRPr="0016157A">
        <w:rPr>
          <w:rFonts w:eastAsia="MS Mincho"/>
          <w:lang w:val="fr-FR"/>
        </w:rPr>
        <w:t>Méthode d</w:t>
      </w:r>
      <w:r w:rsidR="00B4091E">
        <w:rPr>
          <w:rFonts w:eastAsia="MS Mincho"/>
          <w:lang w:val="fr-FR"/>
        </w:rPr>
        <w:t>’</w:t>
      </w:r>
      <w:r w:rsidRPr="0016157A">
        <w:rPr>
          <w:rFonts w:eastAsia="MS Mincho"/>
          <w:lang w:val="fr-FR"/>
        </w:rPr>
        <w:t>observation (et type de parcelle, le cas échéant)</w:t>
      </w:r>
    </w:p>
    <w:p w:rsidR="00EA3338" w:rsidRPr="0016157A" w:rsidRDefault="00EA3338" w:rsidP="00C249E4">
      <w:pPr>
        <w:keepNext/>
        <w:tabs>
          <w:tab w:val="left" w:pos="3969"/>
        </w:tabs>
        <w:ind w:left="567"/>
        <w:rPr>
          <w:rFonts w:eastAsia="MS Mincho"/>
          <w:lang w:val="fr-FR"/>
        </w:rPr>
      </w:pPr>
      <w:r w:rsidRPr="0016157A">
        <w:rPr>
          <w:rFonts w:eastAsia="MS Mincho"/>
          <w:lang w:val="fr-FR"/>
        </w:rPr>
        <w:t>MG, MS, VG, VS</w:t>
      </w:r>
      <w:r w:rsidRPr="0016157A">
        <w:rPr>
          <w:rFonts w:eastAsia="MS Mincho"/>
          <w:lang w:val="fr-FR"/>
        </w:rPr>
        <w:tab/>
      </w:r>
      <w:r w:rsidRPr="0016157A">
        <w:rPr>
          <w:rFonts w:eastAsia="MS Mincho"/>
          <w:lang w:val="fr-FR"/>
        </w:rPr>
        <w:tab/>
        <w:t>– voir le chapitre 4.1.5</w:t>
      </w:r>
    </w:p>
    <w:p w:rsidR="00EA3338" w:rsidRPr="0016157A" w:rsidRDefault="00EA3338" w:rsidP="00C249E4">
      <w:pPr>
        <w:keepNext/>
        <w:ind w:firstLine="567"/>
        <w:rPr>
          <w:rFonts w:eastAsia="MS Mincho" w:cs="Arial"/>
          <w:sz w:val="16"/>
          <w:lang w:val="fr-FR"/>
        </w:rPr>
      </w:pPr>
      <w:proofErr w:type="gramStart"/>
      <w:r w:rsidRPr="0016157A">
        <w:rPr>
          <w:rFonts w:cs="Arial"/>
          <w:bCs/>
          <w:sz w:val="16"/>
          <w:lang w:val="fr-FR"/>
        </w:rPr>
        <w:t>{</w:t>
      </w:r>
      <w:r w:rsidRPr="0016157A">
        <w:rPr>
          <w:rFonts w:cs="Arial"/>
          <w:bCs/>
          <w:sz w:val="16"/>
          <w:bdr w:val="single" w:sz="12" w:space="0" w:color="auto"/>
          <w:lang w:val="fr-FR"/>
        </w:rPr>
        <w:t xml:space="preserve"> </w:t>
      </w:r>
      <w:r w:rsidRPr="0016157A">
        <w:rPr>
          <w:rFonts w:cs="Arial"/>
          <w:bCs/>
          <w:sz w:val="16"/>
          <w:highlight w:val="lightGray"/>
          <w:bdr w:val="single" w:sz="12" w:space="0" w:color="auto"/>
          <w:lang w:val="fr-FR"/>
        </w:rPr>
        <w:t>GN</w:t>
      </w:r>
      <w:proofErr w:type="gramEnd"/>
      <w:r w:rsidRPr="0016157A">
        <w:rPr>
          <w:rFonts w:cs="Arial"/>
          <w:bCs/>
          <w:sz w:val="16"/>
          <w:highlight w:val="lightGray"/>
          <w:bdr w:val="single" w:sz="12" w:space="0" w:color="auto"/>
          <w:lang w:val="fr-FR"/>
        </w:rPr>
        <w:t xml:space="preserve"> </w:t>
      </w:r>
      <w:r w:rsidRPr="0016157A">
        <w:rPr>
          <w:rFonts w:cs="Arial"/>
          <w:bCs/>
          <w:sz w:val="16"/>
          <w:bdr w:val="single" w:sz="12" w:space="0" w:color="auto"/>
          <w:lang w:val="fr-FR"/>
        </w:rPr>
        <w:t xml:space="preserve">25 </w:t>
      </w:r>
      <w:r w:rsidRPr="0016157A">
        <w:rPr>
          <w:rFonts w:cs="Arial"/>
          <w:bCs/>
          <w:sz w:val="16"/>
          <w:lang w:val="fr-FR"/>
        </w:rPr>
        <w:t xml:space="preserve"> Recommandations relatives à la conduite de l</w:t>
      </w:r>
      <w:r w:rsidR="00B4091E">
        <w:rPr>
          <w:rFonts w:cs="Arial"/>
          <w:bCs/>
          <w:sz w:val="16"/>
          <w:lang w:val="fr-FR"/>
        </w:rPr>
        <w:t>’</w:t>
      </w:r>
      <w:r w:rsidRPr="0016157A">
        <w:rPr>
          <w:rFonts w:cs="Arial"/>
          <w:bCs/>
          <w:sz w:val="16"/>
          <w:lang w:val="fr-FR"/>
        </w:rPr>
        <w:t>examen }</w:t>
      </w:r>
    </w:p>
    <w:p w:rsidR="00EA3338" w:rsidRPr="0016157A" w:rsidRDefault="00EA3338" w:rsidP="00C249E4">
      <w:pPr>
        <w:keepNext/>
        <w:tabs>
          <w:tab w:val="left" w:pos="567"/>
          <w:tab w:val="left" w:pos="1276"/>
        </w:tabs>
        <w:rPr>
          <w:rFonts w:cs="Arial"/>
          <w:lang w:val="fr-FR"/>
        </w:rPr>
      </w:pPr>
      <w:r w:rsidRPr="0016157A">
        <w:rPr>
          <w:rFonts w:cs="Arial"/>
          <w:lang w:val="fr-FR"/>
        </w:rPr>
        <w:t>5</w:t>
      </w:r>
      <w:r w:rsidRPr="0016157A">
        <w:rPr>
          <w:rFonts w:cs="Arial"/>
          <w:lang w:val="fr-FR"/>
        </w:rPr>
        <w:tab/>
      </w:r>
      <w:r w:rsidRPr="0016157A">
        <w:rPr>
          <w:lang w:val="fr-FR"/>
        </w:rPr>
        <w:t>(+)</w:t>
      </w:r>
      <w:r w:rsidRPr="0016157A">
        <w:rPr>
          <w:lang w:val="fr-FR"/>
        </w:rPr>
        <w:tab/>
        <w:t>Voir les explications du tableau des caractères au chapitre 8.2.</w:t>
      </w:r>
    </w:p>
    <w:p w:rsidR="00EA3338" w:rsidRPr="0016157A" w:rsidRDefault="00EA3338" w:rsidP="00C249E4">
      <w:pPr>
        <w:keepNext/>
        <w:tabs>
          <w:tab w:val="left" w:pos="567"/>
          <w:tab w:val="left" w:pos="1276"/>
        </w:tabs>
        <w:rPr>
          <w:rFonts w:cs="Arial"/>
          <w:sz w:val="16"/>
          <w:lang w:val="fr-FR"/>
        </w:rPr>
      </w:pPr>
      <w:r w:rsidRPr="0016157A">
        <w:rPr>
          <w:rFonts w:cs="Arial"/>
          <w:sz w:val="16"/>
          <w:lang w:val="fr-FR"/>
        </w:rPr>
        <w:tab/>
      </w:r>
      <w:proofErr w:type="gramStart"/>
      <w:r w:rsidRPr="0016157A">
        <w:rPr>
          <w:rFonts w:cs="Arial"/>
          <w:bCs/>
          <w:sz w:val="16"/>
          <w:lang w:val="fr-FR"/>
        </w:rPr>
        <w:t>{</w:t>
      </w:r>
      <w:r w:rsidRPr="0016157A">
        <w:rPr>
          <w:rFonts w:cs="Arial"/>
          <w:bCs/>
          <w:sz w:val="16"/>
          <w:bdr w:val="single" w:sz="12" w:space="0" w:color="auto"/>
          <w:lang w:val="fr-FR"/>
        </w:rPr>
        <w:t xml:space="preserve"> </w:t>
      </w:r>
      <w:r w:rsidRPr="0016157A">
        <w:rPr>
          <w:rFonts w:cs="Arial"/>
          <w:bCs/>
          <w:sz w:val="16"/>
          <w:highlight w:val="lightGray"/>
          <w:bdr w:val="single" w:sz="12" w:space="0" w:color="auto"/>
          <w:lang w:val="fr-FR"/>
        </w:rPr>
        <w:t>GN</w:t>
      </w:r>
      <w:proofErr w:type="gramEnd"/>
      <w:r w:rsidRPr="0016157A">
        <w:rPr>
          <w:rFonts w:cs="Arial"/>
          <w:bCs/>
          <w:sz w:val="16"/>
          <w:highlight w:val="lightGray"/>
          <w:bdr w:val="single" w:sz="12" w:space="0" w:color="auto"/>
          <w:lang w:val="fr-FR"/>
        </w:rPr>
        <w:t xml:space="preserve"> </w:t>
      </w:r>
      <w:r w:rsidRPr="0016157A">
        <w:rPr>
          <w:rFonts w:cs="Arial"/>
          <w:bCs/>
          <w:sz w:val="16"/>
          <w:bdr w:val="single" w:sz="12" w:space="0" w:color="auto"/>
          <w:lang w:val="fr-FR"/>
        </w:rPr>
        <w:t xml:space="preserve">22 </w:t>
      </w:r>
      <w:r w:rsidRPr="0016157A">
        <w:rPr>
          <w:rFonts w:cs="Arial"/>
          <w:bCs/>
          <w:sz w:val="16"/>
          <w:lang w:val="fr-FR"/>
        </w:rPr>
        <w:t xml:space="preserve"> Explication de certains caractères }</w:t>
      </w:r>
    </w:p>
    <w:p w:rsidR="00EA3338" w:rsidRPr="0016157A" w:rsidRDefault="00EA3338" w:rsidP="00C249E4">
      <w:pPr>
        <w:keepNext/>
        <w:tabs>
          <w:tab w:val="left" w:pos="567"/>
          <w:tab w:val="left" w:pos="1276"/>
        </w:tabs>
        <w:rPr>
          <w:rFonts w:cs="Arial"/>
          <w:lang w:val="fr-FR"/>
        </w:rPr>
      </w:pPr>
      <w:r w:rsidRPr="0016157A">
        <w:rPr>
          <w:rFonts w:cs="Arial"/>
          <w:lang w:val="fr-FR"/>
        </w:rPr>
        <w:t>6</w:t>
      </w:r>
      <w:r w:rsidRPr="0016157A">
        <w:rPr>
          <w:rFonts w:cs="Arial"/>
          <w:lang w:val="fr-FR"/>
        </w:rPr>
        <w:tab/>
      </w:r>
      <w:r w:rsidRPr="0016157A">
        <w:rPr>
          <w:lang w:val="fr-FR"/>
        </w:rPr>
        <w:t>(a)-{x}</w:t>
      </w:r>
      <w:r w:rsidRPr="0016157A">
        <w:rPr>
          <w:lang w:val="fr-FR"/>
        </w:rPr>
        <w:tab/>
        <w:t>Voir les explications du tableau des caractères au chapitre 8.1</w:t>
      </w:r>
    </w:p>
    <w:p w:rsidR="00EA3338" w:rsidRPr="0016157A" w:rsidRDefault="00EA3338" w:rsidP="00C249E4">
      <w:pPr>
        <w:keepNext/>
        <w:tabs>
          <w:tab w:val="left" w:pos="567"/>
          <w:tab w:val="left" w:pos="1276"/>
        </w:tabs>
        <w:jc w:val="left"/>
        <w:rPr>
          <w:rFonts w:cs="Arial"/>
          <w:sz w:val="16"/>
          <w:lang w:val="fr-FR"/>
        </w:rPr>
      </w:pPr>
      <w:r w:rsidRPr="0016157A">
        <w:rPr>
          <w:rFonts w:cs="Arial"/>
          <w:sz w:val="16"/>
          <w:lang w:val="fr-FR"/>
        </w:rPr>
        <w:tab/>
      </w:r>
      <w:proofErr w:type="gramStart"/>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GN</w:t>
      </w:r>
      <w:proofErr w:type="gramEnd"/>
      <w:r w:rsidRPr="0016157A">
        <w:rPr>
          <w:rFonts w:cs="Arial"/>
          <w:sz w:val="16"/>
          <w:highlight w:val="lightGray"/>
          <w:bdr w:val="single" w:sz="12" w:space="0" w:color="auto"/>
          <w:lang w:val="fr-FR"/>
        </w:rPr>
        <w:t xml:space="preserve"> </w:t>
      </w:r>
      <w:r w:rsidRPr="0016157A">
        <w:rPr>
          <w:rFonts w:cs="Arial"/>
          <w:sz w:val="16"/>
          <w:bdr w:val="single" w:sz="12" w:space="0" w:color="auto"/>
          <w:lang w:val="fr-FR"/>
        </w:rPr>
        <w:t xml:space="preserve">23 </w:t>
      </w:r>
      <w:r w:rsidRPr="0016157A">
        <w:rPr>
          <w:rFonts w:cs="Arial"/>
          <w:sz w:val="16"/>
          <w:lang w:val="fr-FR"/>
        </w:rPr>
        <w:t xml:space="preserve"> Explications portant sur plusieurs caractères }</w:t>
      </w:r>
    </w:p>
    <w:p w:rsidR="00EA3338" w:rsidRPr="0016157A" w:rsidRDefault="00EA3338" w:rsidP="00C249E4">
      <w:pPr>
        <w:keepNext/>
        <w:rPr>
          <w:rFonts w:cs="Arial"/>
          <w:lang w:val="fr-FR"/>
        </w:rPr>
      </w:pPr>
      <w:r w:rsidRPr="0016157A">
        <w:rPr>
          <w:rFonts w:cs="Arial"/>
          <w:lang w:val="fr-FR"/>
        </w:rPr>
        <w:t>7</w:t>
      </w:r>
      <w:r w:rsidRPr="0016157A">
        <w:rPr>
          <w:rFonts w:cs="Arial"/>
          <w:lang w:val="fr-FR"/>
        </w:rPr>
        <w:tab/>
      </w:r>
      <w:r w:rsidRPr="0016157A">
        <w:rPr>
          <w:lang w:val="fr-FR"/>
        </w:rPr>
        <w:t>Échelle des stades de croissance</w:t>
      </w:r>
    </w:p>
    <w:p w:rsidR="00EA3338" w:rsidRPr="0016157A" w:rsidRDefault="00EA3338" w:rsidP="00C249E4">
      <w:pPr>
        <w:keepNext/>
        <w:rPr>
          <w:rFonts w:cs="Arial"/>
          <w:sz w:val="16"/>
          <w:lang w:val="fr-FR"/>
        </w:rPr>
      </w:pPr>
      <w:r w:rsidRPr="0016157A">
        <w:rPr>
          <w:rFonts w:cs="Arial"/>
          <w:sz w:val="16"/>
          <w:lang w:val="fr-FR"/>
        </w:rPr>
        <w:tab/>
      </w:r>
      <w:proofErr w:type="gramStart"/>
      <w:r w:rsidRPr="0016157A">
        <w:rPr>
          <w:rFonts w:cs="Arial"/>
          <w:sz w:val="16"/>
          <w:lang w:val="fr-FR"/>
        </w:rPr>
        <w:t>{</w:t>
      </w:r>
      <w:r w:rsidRPr="0016157A">
        <w:rPr>
          <w:rFonts w:cs="Arial"/>
          <w:sz w:val="16"/>
          <w:bdr w:val="single" w:sz="12" w:space="0" w:color="auto"/>
          <w:lang w:val="fr-FR"/>
        </w:rPr>
        <w:t xml:space="preserve"> </w:t>
      </w:r>
      <w:r w:rsidRPr="0016157A">
        <w:rPr>
          <w:rFonts w:cs="Arial"/>
          <w:sz w:val="16"/>
          <w:highlight w:val="lightGray"/>
          <w:bdr w:val="single" w:sz="12" w:space="0" w:color="auto"/>
          <w:lang w:val="fr-FR"/>
        </w:rPr>
        <w:t>GN</w:t>
      </w:r>
      <w:proofErr w:type="gramEnd"/>
      <w:r w:rsidRPr="0016157A">
        <w:rPr>
          <w:rFonts w:cs="Arial"/>
          <w:sz w:val="16"/>
          <w:highlight w:val="lightGray"/>
          <w:bdr w:val="single" w:sz="12" w:space="0" w:color="auto"/>
          <w:lang w:val="fr-FR"/>
        </w:rPr>
        <w:t xml:space="preserve"> </w:t>
      </w:r>
      <w:r w:rsidRPr="0016157A">
        <w:rPr>
          <w:rFonts w:cs="Arial"/>
          <w:sz w:val="16"/>
          <w:bdr w:val="single" w:sz="12" w:space="0" w:color="auto"/>
          <w:lang w:val="fr-FR"/>
        </w:rPr>
        <w:t xml:space="preserve">24 </w:t>
      </w:r>
      <w:r w:rsidRPr="0016157A">
        <w:rPr>
          <w:rFonts w:cs="Arial"/>
          <w:sz w:val="16"/>
          <w:lang w:val="fr-FR"/>
        </w:rPr>
        <w:t xml:space="preserve"> Stade de croissance }</w:t>
      </w: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sz w:val="18"/>
          <w:u w:val="single"/>
          <w:lang w:val="fr-FR"/>
        </w:rPr>
      </w:pPr>
      <w:bookmarkStart w:id="75" w:name="_Toc478118886"/>
      <w:r w:rsidRPr="0016157A">
        <w:rPr>
          <w:rFonts w:cs="Arial"/>
          <w:sz w:val="18"/>
          <w:szCs w:val="18"/>
          <w:u w:val="single"/>
          <w:lang w:val="fr-FR"/>
        </w:rPr>
        <w:t xml:space="preserve">Annexe 2 : Texte standard supplémentaire (ASW) </w:t>
      </w:r>
      <w:r w:rsidRPr="0016157A">
        <w:rPr>
          <w:rFonts w:cs="Arial"/>
          <w:strike/>
          <w:sz w:val="18"/>
          <w:szCs w:val="18"/>
          <w:highlight w:val="lightGray"/>
          <w:u w:val="single"/>
          <w:lang w:val="fr-FR"/>
        </w:rPr>
        <w:t>pour le modèle de principes directeurs d</w:t>
      </w:r>
      <w:r w:rsidR="00B4091E">
        <w:rPr>
          <w:rFonts w:cs="Arial"/>
          <w:strike/>
          <w:sz w:val="18"/>
          <w:szCs w:val="18"/>
          <w:highlight w:val="lightGray"/>
          <w:u w:val="single"/>
          <w:lang w:val="fr-FR"/>
        </w:rPr>
        <w:t>’</w:t>
      </w:r>
      <w:r w:rsidRPr="0016157A">
        <w:rPr>
          <w:rFonts w:cs="Arial"/>
          <w:strike/>
          <w:sz w:val="18"/>
          <w:szCs w:val="18"/>
          <w:highlight w:val="lightGray"/>
          <w:u w:val="single"/>
          <w:lang w:val="fr-FR"/>
        </w:rPr>
        <w:t>examen</w:t>
      </w:r>
      <w:bookmarkEnd w:id="75"/>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sz w:val="18"/>
          <w:szCs w:val="18"/>
          <w:lang w:val="fr-FR"/>
        </w:rPr>
        <w:t xml:space="preserve">La présente annexe contient le texte standard supplémentaire (ASW) qui peut être ajouté au texte standard </w:t>
      </w:r>
      <w:r w:rsidR="00EA3338" w:rsidRPr="0016157A">
        <w:rPr>
          <w:sz w:val="18"/>
          <w:szCs w:val="18"/>
          <w:highlight w:val="lightGray"/>
          <w:u w:val="single"/>
          <w:lang w:val="fr-FR"/>
        </w:rPr>
        <w:t>général</w:t>
      </w:r>
      <w:r w:rsidR="00EA3338" w:rsidRPr="0016157A">
        <w:rPr>
          <w:sz w:val="18"/>
          <w:szCs w:val="18"/>
          <w:lang w:val="fr-FR"/>
        </w:rPr>
        <w:t xml:space="preserve"> </w:t>
      </w:r>
      <w:r w:rsidR="00EA3338" w:rsidRPr="0016157A">
        <w:rPr>
          <w:strike/>
          <w:sz w:val="18"/>
          <w:szCs w:val="18"/>
          <w:highlight w:val="lightGray"/>
          <w:lang w:val="fr-FR"/>
        </w:rPr>
        <w:t>du modèle de principes directeurs d</w:t>
      </w:r>
      <w:r>
        <w:rPr>
          <w:strike/>
          <w:sz w:val="18"/>
          <w:szCs w:val="18"/>
          <w:highlight w:val="lightGray"/>
          <w:lang w:val="fr-FR"/>
        </w:rPr>
        <w:t>’</w:t>
      </w:r>
      <w:r w:rsidR="00EA3338" w:rsidRPr="0016157A">
        <w:rPr>
          <w:strike/>
          <w:sz w:val="18"/>
          <w:szCs w:val="18"/>
          <w:highlight w:val="lightGray"/>
          <w:lang w:val="fr-FR"/>
        </w:rPr>
        <w:t>examen (</w:t>
      </w:r>
      <w:r w:rsidR="00EA3338" w:rsidRPr="0016157A">
        <w:rPr>
          <w:sz w:val="18"/>
          <w:szCs w:val="18"/>
          <w:highlight w:val="lightGray"/>
          <w:u w:val="single"/>
          <w:lang w:val="fr-FR"/>
        </w:rPr>
        <w:t>de l</w:t>
      </w:r>
      <w:r>
        <w:rPr>
          <w:sz w:val="18"/>
          <w:szCs w:val="18"/>
          <w:highlight w:val="lightGray"/>
          <w:u w:val="single"/>
          <w:lang w:val="fr-FR"/>
        </w:rPr>
        <w:t>’</w:t>
      </w:r>
      <w:r w:rsidR="00EA3338" w:rsidRPr="0016157A">
        <w:rPr>
          <w:sz w:val="18"/>
          <w:szCs w:val="18"/>
          <w:lang w:val="fr-FR"/>
        </w:rPr>
        <w:t>annexe 1</w:t>
      </w:r>
      <w:r w:rsidR="00EA3338" w:rsidRPr="0016157A">
        <w:rPr>
          <w:strike/>
          <w:sz w:val="18"/>
          <w:szCs w:val="18"/>
          <w:highlight w:val="lightGray"/>
          <w:lang w:val="fr-FR"/>
        </w:rPr>
        <w:t>)</w:t>
      </w:r>
      <w:r w:rsidR="00EA3338" w:rsidRPr="0016157A">
        <w:rPr>
          <w:sz w:val="18"/>
          <w:szCs w:val="18"/>
          <w:lang w:val="fr-FR"/>
        </w:rPr>
        <w:t xml:space="preserve">.  La numérotation renvoie aux différents chapitres </w:t>
      </w:r>
      <w:r w:rsidR="00EA3338" w:rsidRPr="0016157A">
        <w:rPr>
          <w:strike/>
          <w:sz w:val="18"/>
          <w:szCs w:val="18"/>
          <w:highlight w:val="lightGray"/>
          <w:lang w:val="fr-FR"/>
        </w:rPr>
        <w:t>du modèle</w:t>
      </w:r>
      <w:r w:rsidR="00EA3338" w:rsidRPr="0016157A">
        <w:rPr>
          <w:sz w:val="18"/>
          <w:szCs w:val="18"/>
          <w:lang w:val="fr-FR"/>
        </w:rPr>
        <w:t xml:space="preserve"> </w:t>
      </w:r>
      <w:r w:rsidR="00EA3338" w:rsidRPr="0016157A">
        <w:rPr>
          <w:sz w:val="18"/>
          <w:szCs w:val="18"/>
          <w:highlight w:val="lightGray"/>
          <w:u w:val="single"/>
          <w:lang w:val="fr-FR"/>
        </w:rPr>
        <w:t>de l</w:t>
      </w:r>
      <w:r>
        <w:rPr>
          <w:sz w:val="18"/>
          <w:szCs w:val="18"/>
          <w:highlight w:val="lightGray"/>
          <w:u w:val="single"/>
          <w:lang w:val="fr-FR"/>
        </w:rPr>
        <w:t>’</w:t>
      </w:r>
      <w:r w:rsidR="00EA3338" w:rsidRPr="0016157A">
        <w:rPr>
          <w:sz w:val="18"/>
          <w:szCs w:val="18"/>
          <w:highlight w:val="lightGray"/>
          <w:u w:val="single"/>
          <w:lang w:val="fr-FR"/>
        </w:rPr>
        <w:t>annexe I</w:t>
      </w:r>
      <w:r w:rsidR="00EA3338" w:rsidRPr="0016157A">
        <w:rPr>
          <w:rFonts w:cs="Arial"/>
          <w:sz w:val="18"/>
          <w:szCs w:val="18"/>
          <w:lang w:val="fr-FR"/>
        </w:rPr>
        <w:t>.</w:t>
      </w:r>
      <w:r>
        <w:rPr>
          <w:rFonts w:cs="Arial"/>
          <w:lang w:val="fr-FR"/>
        </w:rPr>
        <w:t>”</w:t>
      </w:r>
    </w:p>
    <w:p w:rsidR="00EA3338" w:rsidRPr="0016157A" w:rsidRDefault="00EA3338" w:rsidP="00C249E4">
      <w:pPr>
        <w:ind w:left="567" w:right="567"/>
        <w:rPr>
          <w:sz w:val="18"/>
          <w:lang w:val="fr-FR"/>
        </w:rPr>
      </w:pPr>
    </w:p>
    <w:p w:rsidR="00EA3338" w:rsidRPr="0016157A" w:rsidRDefault="00EA3338" w:rsidP="00C249E4">
      <w:pPr>
        <w:ind w:left="567" w:right="567"/>
        <w:rPr>
          <w:sz w:val="18"/>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r>
      <w:r w:rsidRPr="0016157A">
        <w:rPr>
          <w:rFonts w:cs="Arial"/>
          <w:lang w:val="fr-FR"/>
        </w:rPr>
        <w:t>L</w:t>
      </w:r>
      <w:r w:rsidR="00B4091E">
        <w:rPr>
          <w:rFonts w:cs="Arial"/>
          <w:lang w:val="fr-FR"/>
        </w:rPr>
        <w:t>’</w:t>
      </w:r>
      <w:r w:rsidRPr="0016157A">
        <w:rPr>
          <w:rFonts w:cs="Arial"/>
          <w:lang w:val="fr-FR"/>
        </w:rPr>
        <w:t>en</w:t>
      </w:r>
      <w:r w:rsidRPr="0016157A">
        <w:rPr>
          <w:rFonts w:cs="Arial"/>
          <w:lang w:val="fr-FR"/>
        </w:rPr>
        <w:noBreakHyphen/>
        <w:t xml:space="preserve">tête de tous les textes standard supplémentaires devra être modifié de manière à supprimer les renvois au </w:t>
      </w:r>
      <w:r w:rsidR="00B4091E">
        <w:rPr>
          <w:rFonts w:cs="Arial"/>
          <w:lang w:val="fr-FR"/>
        </w:rPr>
        <w:t>“</w:t>
      </w:r>
      <w:r w:rsidRPr="0016157A">
        <w:rPr>
          <w:rFonts w:cs="Arial"/>
          <w:lang w:val="fr-FR"/>
        </w:rPr>
        <w:t>modèle</w:t>
      </w:r>
      <w:r w:rsidR="00B4091E">
        <w:rPr>
          <w:rFonts w:cs="Arial"/>
          <w:lang w:val="fr-FR"/>
        </w:rPr>
        <w:t>”</w:t>
      </w:r>
      <w:r w:rsidRPr="0016157A">
        <w:rPr>
          <w:rFonts w:cs="Arial"/>
          <w:lang w:val="fr-FR"/>
        </w:rPr>
        <w:t>, comme suit :</w:t>
      </w:r>
    </w:p>
    <w:p w:rsidR="00EA3338" w:rsidRPr="0016157A" w:rsidRDefault="00EA3338" w:rsidP="00C249E4">
      <w:pPr>
        <w:rPr>
          <w:lang w:val="fr-FR"/>
        </w:rPr>
      </w:pPr>
    </w:p>
    <w:p w:rsidR="00EA3338" w:rsidRPr="0016157A" w:rsidRDefault="00EA3338" w:rsidP="00C249E4">
      <w:pPr>
        <w:rPr>
          <w:lang w:val="fr-FR"/>
        </w:rPr>
      </w:pPr>
      <w:r w:rsidRPr="0016157A">
        <w:rPr>
          <w:lang w:val="fr-FR"/>
        </w:rPr>
        <w:t>Exemple :</w:t>
      </w:r>
    </w:p>
    <w:p w:rsidR="00EA3338" w:rsidRPr="0016157A" w:rsidRDefault="00EA3338" w:rsidP="00C249E4">
      <w:pPr>
        <w:rPr>
          <w:lang w:val="fr-FR"/>
        </w:rPr>
      </w:pPr>
    </w:p>
    <w:p w:rsidR="00EA3338" w:rsidRPr="0016157A" w:rsidRDefault="00B4091E" w:rsidP="00C249E4">
      <w:pPr>
        <w:ind w:left="567"/>
        <w:rPr>
          <w:i/>
          <w:sz w:val="18"/>
          <w:szCs w:val="18"/>
          <w:lang w:val="fr-FR"/>
        </w:rPr>
      </w:pPr>
      <w:r>
        <w:rPr>
          <w:rFonts w:cs="Arial"/>
          <w:i/>
          <w:sz w:val="18"/>
          <w:szCs w:val="18"/>
          <w:lang w:val="fr-FR"/>
        </w:rPr>
        <w:t>“</w:t>
      </w:r>
      <w:r w:rsidR="00EA3338" w:rsidRPr="0016157A">
        <w:rPr>
          <w:rFonts w:cs="Arial"/>
          <w:i/>
          <w:sz w:val="18"/>
          <w:szCs w:val="18"/>
          <w:lang w:val="fr-FR"/>
        </w:rPr>
        <w:t xml:space="preserve">ASW 0 (Chapitre 1.1 </w:t>
      </w:r>
      <w:r w:rsidR="00EA3338" w:rsidRPr="0016157A">
        <w:rPr>
          <w:rFonts w:cs="Arial"/>
          <w:i/>
          <w:strike/>
          <w:sz w:val="18"/>
          <w:szCs w:val="18"/>
          <w:highlight w:val="lightGray"/>
          <w:lang w:val="fr-FR"/>
        </w:rPr>
        <w:t>du modèle</w:t>
      </w:r>
      <w:r w:rsidR="00EA3338" w:rsidRPr="0016157A">
        <w:rPr>
          <w:rFonts w:cs="Arial"/>
          <w:i/>
          <w:sz w:val="18"/>
          <w:szCs w:val="18"/>
          <w:lang w:val="fr-FR"/>
        </w:rPr>
        <w:t>) – Couverture des types de variétés dans les principes directeurs d</w:t>
      </w:r>
      <w:r>
        <w:rPr>
          <w:rFonts w:cs="Arial"/>
          <w:i/>
          <w:sz w:val="18"/>
          <w:szCs w:val="18"/>
          <w:lang w:val="fr-FR"/>
        </w:rPr>
        <w:t>’</w:t>
      </w:r>
      <w:r w:rsidR="00EA3338" w:rsidRPr="0016157A">
        <w:rPr>
          <w:rFonts w:cs="Arial"/>
          <w:i/>
          <w:sz w:val="18"/>
          <w:szCs w:val="18"/>
          <w:lang w:val="fr-FR"/>
        </w:rPr>
        <w:t>examen</w:t>
      </w:r>
      <w:r>
        <w:rPr>
          <w:rFonts w:cs="Arial"/>
          <w:i/>
          <w:sz w:val="18"/>
          <w:szCs w:val="18"/>
          <w:lang w:val="fr-FR"/>
        </w:rPr>
        <w:t>”</w:t>
      </w:r>
    </w:p>
    <w:p w:rsidR="00EA3338" w:rsidRPr="0016157A" w:rsidRDefault="00EA3338" w:rsidP="00C249E4">
      <w:pPr>
        <w:ind w:left="567" w:firstLine="567"/>
        <w:rPr>
          <w:sz w:val="18"/>
          <w:szCs w:val="18"/>
          <w:lang w:val="fr-FR"/>
        </w:rPr>
      </w:pPr>
    </w:p>
    <w:p w:rsidR="00EA3338" w:rsidRPr="0016157A" w:rsidRDefault="00EA3338" w:rsidP="00C249E4">
      <w:pPr>
        <w:ind w:left="567" w:firstLine="567"/>
        <w:rPr>
          <w:sz w:val="18"/>
          <w:szCs w:val="18"/>
          <w:lang w:val="fr-FR"/>
        </w:rPr>
      </w:pPr>
    </w:p>
    <w:p w:rsidR="00EA3338" w:rsidRPr="0016157A" w:rsidRDefault="00B4091E" w:rsidP="00C249E4">
      <w:pPr>
        <w:ind w:left="567"/>
        <w:rPr>
          <w:sz w:val="18"/>
          <w:lang w:val="fr-FR"/>
        </w:rPr>
      </w:pPr>
      <w:bookmarkStart w:id="76" w:name="_Toc478118887"/>
      <w:r>
        <w:rPr>
          <w:rFonts w:cs="Arial"/>
          <w:sz w:val="18"/>
          <w:szCs w:val="18"/>
          <w:lang w:val="fr-FR"/>
        </w:rPr>
        <w:t>“</w:t>
      </w:r>
      <w:bookmarkStart w:id="77" w:name="_Toc463353073"/>
      <w:r w:rsidR="00EA3338" w:rsidRPr="0016157A">
        <w:rPr>
          <w:sz w:val="18"/>
          <w:szCs w:val="18"/>
          <w:lang w:val="fr-FR"/>
        </w:rPr>
        <w:t xml:space="preserve">ASW 4 (Chapitre 3.3 </w:t>
      </w:r>
      <w:r w:rsidR="00EA3338" w:rsidRPr="0016157A">
        <w:rPr>
          <w:rFonts w:cs="Arial"/>
          <w:strike/>
          <w:sz w:val="18"/>
          <w:szCs w:val="18"/>
          <w:highlight w:val="lightGray"/>
          <w:lang w:val="fr-FR"/>
        </w:rPr>
        <w:t>du modèle</w:t>
      </w:r>
      <w:r w:rsidR="00EA3338" w:rsidRPr="0016157A">
        <w:rPr>
          <w:sz w:val="18"/>
          <w:szCs w:val="18"/>
          <w:lang w:val="fr-FR"/>
        </w:rPr>
        <w:t>) – Conditions relatives à la conduite de l</w:t>
      </w:r>
      <w:r>
        <w:rPr>
          <w:sz w:val="18"/>
          <w:szCs w:val="18"/>
          <w:lang w:val="fr-FR"/>
        </w:rPr>
        <w:t>’</w:t>
      </w:r>
      <w:r w:rsidR="00EA3338" w:rsidRPr="0016157A">
        <w:rPr>
          <w:sz w:val="18"/>
          <w:szCs w:val="18"/>
          <w:lang w:val="fr-FR"/>
        </w:rPr>
        <w:t>examen</w:t>
      </w:r>
      <w:bookmarkEnd w:id="76"/>
      <w:bookmarkEnd w:id="77"/>
    </w:p>
    <w:p w:rsidR="00EA3338" w:rsidRPr="0016157A" w:rsidRDefault="00EA3338" w:rsidP="00C249E4">
      <w:pPr>
        <w:rPr>
          <w:sz w:val="18"/>
          <w:szCs w:val="18"/>
          <w:lang w:val="fr-FR"/>
        </w:rPr>
      </w:pPr>
    </w:p>
    <w:p w:rsidR="00EA3338" w:rsidRDefault="00B4091E" w:rsidP="00C249E4">
      <w:pPr>
        <w:ind w:left="1134"/>
        <w:rPr>
          <w:sz w:val="18"/>
          <w:lang w:val="fr-FR"/>
        </w:rPr>
      </w:pPr>
      <w:bookmarkStart w:id="78" w:name="_Toc27819136"/>
      <w:bookmarkStart w:id="79" w:name="_Toc27819317"/>
      <w:bookmarkStart w:id="80" w:name="_Toc27819498"/>
      <w:r>
        <w:rPr>
          <w:sz w:val="18"/>
          <w:lang w:val="fr-FR"/>
        </w:rPr>
        <w:t>“</w:t>
      </w:r>
      <w:r w:rsidR="00EA3338" w:rsidRPr="0016157A">
        <w:rPr>
          <w:sz w:val="18"/>
          <w:lang w:val="fr-FR"/>
        </w:rPr>
        <w:t>Informations concernant la conduite de l</w:t>
      </w:r>
      <w:r>
        <w:rPr>
          <w:sz w:val="18"/>
          <w:lang w:val="fr-FR"/>
        </w:rPr>
        <w:t>’</w:t>
      </w:r>
      <w:r w:rsidR="00EA3338" w:rsidRPr="0016157A">
        <w:rPr>
          <w:sz w:val="18"/>
          <w:lang w:val="fr-FR"/>
        </w:rPr>
        <w:t>examen de certains caractères</w:t>
      </w:r>
    </w:p>
    <w:p w:rsidR="00EA3338" w:rsidRDefault="00EA3338">
      <w:pPr>
        <w:jc w:val="left"/>
        <w:rPr>
          <w:sz w:val="18"/>
          <w:lang w:val="fr-FR"/>
        </w:rPr>
      </w:pPr>
      <w:r>
        <w:rPr>
          <w:sz w:val="18"/>
          <w:lang w:val="fr-FR"/>
        </w:rPr>
        <w:br w:type="page"/>
      </w:r>
    </w:p>
    <w:p w:rsidR="00EA3338" w:rsidRPr="0016157A" w:rsidRDefault="00EA3338" w:rsidP="00C249E4">
      <w:pPr>
        <w:ind w:left="567"/>
        <w:rPr>
          <w:sz w:val="18"/>
          <w:szCs w:val="18"/>
          <w:lang w:val="fr-FR"/>
        </w:rPr>
      </w:pPr>
    </w:p>
    <w:bookmarkEnd w:id="78"/>
    <w:bookmarkEnd w:id="79"/>
    <w:bookmarkEnd w:id="80"/>
    <w:p w:rsidR="00EA3338" w:rsidRPr="0016157A" w:rsidRDefault="00B4091E" w:rsidP="00C249E4">
      <w:pPr>
        <w:keepNext/>
        <w:ind w:left="567"/>
        <w:outlineLvl w:val="4"/>
        <w:rPr>
          <w:i/>
          <w:sz w:val="18"/>
          <w:szCs w:val="18"/>
          <w:lang w:val="fr-FR"/>
        </w:rPr>
      </w:pPr>
      <w:r>
        <w:rPr>
          <w:rFonts w:cs="Arial"/>
          <w:i/>
          <w:lang w:val="fr-FR"/>
        </w:rPr>
        <w:t>“</w:t>
      </w:r>
      <w:bookmarkStart w:id="81" w:name="_Toc463353075"/>
      <w:r w:rsidR="00EA3338" w:rsidRPr="0016157A">
        <w:rPr>
          <w:i/>
          <w:lang w:val="fr-FR"/>
        </w:rPr>
        <w:t>a)</w:t>
      </w:r>
      <w:r w:rsidR="00EA3338" w:rsidRPr="0016157A">
        <w:rPr>
          <w:i/>
          <w:lang w:val="fr-FR"/>
        </w:rPr>
        <w:tab/>
        <w:t>Stade de développement pour l</w:t>
      </w:r>
      <w:r>
        <w:rPr>
          <w:i/>
          <w:lang w:val="fr-FR"/>
        </w:rPr>
        <w:t>’</w:t>
      </w:r>
      <w:r w:rsidR="00EA3338" w:rsidRPr="0016157A">
        <w:rPr>
          <w:i/>
          <w:lang w:val="fr-FR"/>
        </w:rPr>
        <w:t>observation</w:t>
      </w:r>
      <w:bookmarkEnd w:id="81"/>
    </w:p>
    <w:p w:rsidR="00EA3338" w:rsidRPr="0016157A" w:rsidRDefault="00EA3338" w:rsidP="00C249E4">
      <w:pPr>
        <w:ind w:left="567"/>
        <w:rPr>
          <w:sz w:val="18"/>
          <w:szCs w:val="18"/>
          <w:lang w:val="fr-FR"/>
        </w:rPr>
      </w:pPr>
    </w:p>
    <w:p w:rsidR="00EA3338" w:rsidRPr="0016157A" w:rsidRDefault="00B4091E" w:rsidP="00C249E4">
      <w:pPr>
        <w:ind w:left="567" w:right="567"/>
        <w:rPr>
          <w:sz w:val="18"/>
          <w:szCs w:val="18"/>
          <w:lang w:val="fr-FR"/>
        </w:rPr>
      </w:pPr>
      <w:r>
        <w:rPr>
          <w:rFonts w:cs="Arial"/>
          <w:sz w:val="18"/>
          <w:szCs w:val="18"/>
          <w:lang w:val="fr-FR"/>
        </w:rPr>
        <w:t>“</w:t>
      </w:r>
      <w:r w:rsidR="00EA3338" w:rsidRPr="0016157A">
        <w:rPr>
          <w:sz w:val="18"/>
          <w:szCs w:val="18"/>
          <w:lang w:val="fr-FR"/>
        </w:rPr>
        <w:t>Le stade optimal de développement pour l</w:t>
      </w:r>
      <w:r>
        <w:rPr>
          <w:sz w:val="18"/>
          <w:szCs w:val="18"/>
          <w:lang w:val="fr-FR"/>
        </w:rPr>
        <w:t>’</w:t>
      </w:r>
      <w:r w:rsidR="00EA3338" w:rsidRPr="0016157A">
        <w:rPr>
          <w:sz w:val="18"/>
          <w:szCs w:val="18"/>
          <w:lang w:val="fr-FR"/>
        </w:rPr>
        <w:t xml:space="preserve">observation de chaque caractère est indiqué par une référence dans </w:t>
      </w:r>
      <w:r w:rsidR="00EA3338" w:rsidRPr="0016157A">
        <w:rPr>
          <w:strike/>
          <w:sz w:val="18"/>
          <w:szCs w:val="18"/>
          <w:highlight w:val="lightGray"/>
          <w:lang w:val="fr-FR"/>
        </w:rPr>
        <w:t>la deuxième colonne du</w:t>
      </w:r>
      <w:r w:rsidR="00EA3338" w:rsidRPr="0016157A">
        <w:rPr>
          <w:sz w:val="18"/>
          <w:szCs w:val="18"/>
          <w:lang w:val="fr-FR"/>
        </w:rPr>
        <w:t xml:space="preserve"> </w:t>
      </w:r>
      <w:r w:rsidR="00EA3338" w:rsidRPr="0016157A">
        <w:rPr>
          <w:sz w:val="18"/>
          <w:szCs w:val="18"/>
          <w:highlight w:val="lightGray"/>
          <w:u w:val="single"/>
          <w:lang w:val="fr-FR"/>
        </w:rPr>
        <w:t>le</w:t>
      </w:r>
      <w:r w:rsidR="00EA3338" w:rsidRPr="0016157A">
        <w:rPr>
          <w:sz w:val="18"/>
          <w:szCs w:val="18"/>
          <w:lang w:val="fr-FR"/>
        </w:rPr>
        <w:t xml:space="preserve"> tableau des caractères.  Les stades de développement correspondant à chaque nombre sont décrits au chapitre 8 […].</w:t>
      </w:r>
      <w:r>
        <w:rPr>
          <w:rFonts w:cs="Arial"/>
          <w:sz w:val="18"/>
          <w:szCs w:val="18"/>
          <w:lang w:val="fr-FR"/>
        </w:rPr>
        <w:t>”</w:t>
      </w:r>
    </w:p>
    <w:p w:rsidR="00EA3338" w:rsidRPr="0016157A" w:rsidRDefault="00EA3338" w:rsidP="00C249E4">
      <w:pPr>
        <w:rPr>
          <w:sz w:val="18"/>
          <w:szCs w:val="18"/>
          <w:lang w:val="fr-FR"/>
        </w:rPr>
      </w:pPr>
    </w:p>
    <w:p w:rsidR="00EA3338" w:rsidRPr="0016157A" w:rsidRDefault="00B4091E" w:rsidP="00C249E4">
      <w:pPr>
        <w:keepNext/>
        <w:ind w:left="567"/>
        <w:outlineLvl w:val="4"/>
        <w:rPr>
          <w:i/>
          <w:sz w:val="18"/>
          <w:szCs w:val="18"/>
          <w:lang w:val="fr-FR"/>
        </w:rPr>
      </w:pPr>
      <w:r>
        <w:rPr>
          <w:i/>
          <w:sz w:val="18"/>
          <w:szCs w:val="18"/>
          <w:lang w:val="fr-FR"/>
        </w:rPr>
        <w:t>“</w:t>
      </w:r>
      <w:r w:rsidR="00EA3338" w:rsidRPr="0016157A">
        <w:rPr>
          <w:i/>
          <w:sz w:val="18"/>
          <w:szCs w:val="18"/>
          <w:lang w:val="fr-FR"/>
        </w:rPr>
        <w:t>b)</w:t>
      </w:r>
      <w:r w:rsidR="00EA3338" w:rsidRPr="0016157A">
        <w:rPr>
          <w:i/>
          <w:sz w:val="18"/>
          <w:szCs w:val="18"/>
          <w:lang w:val="fr-FR"/>
        </w:rPr>
        <w:tab/>
        <w:t>Type de parcelle pour l</w:t>
      </w:r>
      <w:r>
        <w:rPr>
          <w:i/>
          <w:sz w:val="18"/>
          <w:szCs w:val="18"/>
          <w:lang w:val="fr-FR"/>
        </w:rPr>
        <w:t>’</w:t>
      </w:r>
      <w:r w:rsidR="00EA3338" w:rsidRPr="0016157A">
        <w:rPr>
          <w:i/>
          <w:sz w:val="18"/>
          <w:szCs w:val="18"/>
          <w:lang w:val="fr-FR"/>
        </w:rPr>
        <w:t>observation</w:t>
      </w:r>
    </w:p>
    <w:p w:rsidR="00EA3338" w:rsidRPr="0016157A" w:rsidRDefault="00EA3338" w:rsidP="00C249E4">
      <w:pPr>
        <w:rPr>
          <w:sz w:val="18"/>
          <w:szCs w:val="18"/>
          <w:lang w:val="fr-FR"/>
        </w:rPr>
      </w:pPr>
    </w:p>
    <w:p w:rsidR="00EA3338" w:rsidRPr="0016157A" w:rsidRDefault="00B4091E" w:rsidP="00C249E4">
      <w:pPr>
        <w:ind w:left="567"/>
        <w:rPr>
          <w:color w:val="000000"/>
          <w:sz w:val="18"/>
          <w:szCs w:val="18"/>
          <w:lang w:val="fr-FR"/>
        </w:rPr>
      </w:pPr>
      <w:r>
        <w:rPr>
          <w:rFonts w:cs="Arial"/>
          <w:sz w:val="18"/>
          <w:szCs w:val="18"/>
          <w:lang w:val="fr-FR"/>
        </w:rPr>
        <w:t>“</w:t>
      </w:r>
      <w:r w:rsidR="00EA3338" w:rsidRPr="0016157A">
        <w:rPr>
          <w:sz w:val="18"/>
          <w:szCs w:val="18"/>
          <w:lang w:val="fr-FR"/>
        </w:rPr>
        <w:t>Le texte suivant peut, par exemple, être ajouté aux principes directeurs pertinents :</w:t>
      </w:r>
    </w:p>
    <w:p w:rsidR="00EA3338" w:rsidRPr="0016157A" w:rsidRDefault="00EA3338" w:rsidP="00C249E4">
      <w:pPr>
        <w:rPr>
          <w:sz w:val="18"/>
          <w:szCs w:val="18"/>
          <w:lang w:val="fr-FR"/>
        </w:rPr>
      </w:pPr>
    </w:p>
    <w:p w:rsidR="00EA3338" w:rsidRPr="0016157A" w:rsidRDefault="00EA3338" w:rsidP="00C249E4">
      <w:pPr>
        <w:ind w:left="567" w:right="566"/>
        <w:jc w:val="left"/>
        <w:rPr>
          <w:rFonts w:cs="Angsana New"/>
          <w:sz w:val="18"/>
          <w:szCs w:val="18"/>
          <w:lang w:val="fr-FR" w:eastAsia="ja-JP" w:bidi="th-TH"/>
        </w:rPr>
      </w:pPr>
      <w:r w:rsidRPr="0016157A">
        <w:rPr>
          <w:sz w:val="18"/>
          <w:szCs w:val="18"/>
          <w:lang w:val="fr-FR"/>
        </w:rPr>
        <w:t>Le type de parcelle recommandé pour l</w:t>
      </w:r>
      <w:r w:rsidR="00B4091E">
        <w:rPr>
          <w:sz w:val="18"/>
          <w:szCs w:val="18"/>
          <w:lang w:val="fr-FR"/>
        </w:rPr>
        <w:t>’</w:t>
      </w:r>
      <w:r w:rsidRPr="0016157A">
        <w:rPr>
          <w:sz w:val="18"/>
          <w:szCs w:val="18"/>
          <w:lang w:val="fr-FR"/>
        </w:rPr>
        <w:t>observation du caractère est indiqué par l</w:t>
      </w:r>
      <w:r w:rsidR="00B4091E">
        <w:rPr>
          <w:sz w:val="18"/>
          <w:szCs w:val="18"/>
          <w:lang w:val="fr-FR"/>
        </w:rPr>
        <w:t>’</w:t>
      </w:r>
      <w:r w:rsidRPr="0016157A">
        <w:rPr>
          <w:sz w:val="18"/>
          <w:szCs w:val="18"/>
          <w:lang w:val="fr-FR"/>
        </w:rPr>
        <w:t xml:space="preserve">un des codes suivants dans </w:t>
      </w:r>
      <w:r w:rsidRPr="0016157A">
        <w:rPr>
          <w:strike/>
          <w:sz w:val="18"/>
          <w:szCs w:val="18"/>
          <w:highlight w:val="lightGray"/>
          <w:lang w:val="fr-FR"/>
        </w:rPr>
        <w:t>la deuxième colonne du</w:t>
      </w:r>
      <w:r w:rsidRPr="0016157A">
        <w:rPr>
          <w:sz w:val="18"/>
          <w:szCs w:val="18"/>
          <w:lang w:val="fr-FR"/>
        </w:rPr>
        <w:t xml:space="preserve"> </w:t>
      </w:r>
      <w:r w:rsidRPr="0016157A">
        <w:rPr>
          <w:sz w:val="18"/>
          <w:szCs w:val="18"/>
          <w:highlight w:val="lightGray"/>
          <w:u w:val="single"/>
          <w:lang w:val="fr-FR"/>
        </w:rPr>
        <w:t>le</w:t>
      </w:r>
      <w:r w:rsidRPr="0016157A">
        <w:rPr>
          <w:sz w:val="18"/>
          <w:szCs w:val="18"/>
          <w:lang w:val="fr-FR"/>
        </w:rPr>
        <w:t xml:space="preserve"> tableau des caractères :</w:t>
      </w:r>
    </w:p>
    <w:p w:rsidR="00EA3338" w:rsidRPr="0016157A" w:rsidRDefault="00EA3338" w:rsidP="00C249E4">
      <w:pPr>
        <w:rPr>
          <w:sz w:val="18"/>
          <w:lang w:val="fr-FR"/>
        </w:rPr>
      </w:pPr>
    </w:p>
    <w:p w:rsidR="00EA3338" w:rsidRPr="0016157A" w:rsidRDefault="00B4091E" w:rsidP="00C249E4">
      <w:pPr>
        <w:ind w:left="1134"/>
        <w:rPr>
          <w:sz w:val="18"/>
          <w:lang w:val="fr-FR"/>
        </w:rPr>
      </w:pPr>
      <w:r>
        <w:rPr>
          <w:sz w:val="18"/>
          <w:lang w:val="fr-FR"/>
        </w:rPr>
        <w:t>“</w:t>
      </w:r>
      <w:r w:rsidR="00EA3338" w:rsidRPr="0016157A">
        <w:rPr>
          <w:sz w:val="18"/>
          <w:lang w:val="fr-FR"/>
        </w:rPr>
        <w:t xml:space="preserve">A : </w:t>
      </w:r>
      <w:r w:rsidR="00EA3338" w:rsidRPr="0016157A">
        <w:rPr>
          <w:sz w:val="18"/>
          <w:lang w:val="fr-FR"/>
        </w:rPr>
        <w:tab/>
        <w:t>plantes isolées</w:t>
      </w:r>
    </w:p>
    <w:p w:rsidR="00EA3338" w:rsidRPr="0016157A" w:rsidRDefault="00B4091E" w:rsidP="00C249E4">
      <w:pPr>
        <w:ind w:left="1134"/>
        <w:rPr>
          <w:sz w:val="18"/>
          <w:lang w:val="fr-FR"/>
        </w:rPr>
      </w:pPr>
      <w:r>
        <w:rPr>
          <w:sz w:val="18"/>
          <w:lang w:val="fr-FR"/>
        </w:rPr>
        <w:t>“</w:t>
      </w:r>
      <w:r w:rsidR="00EA3338" w:rsidRPr="0016157A">
        <w:rPr>
          <w:sz w:val="18"/>
          <w:lang w:val="fr-FR"/>
        </w:rPr>
        <w:t xml:space="preserve">B : </w:t>
      </w:r>
      <w:r w:rsidR="00EA3338" w:rsidRPr="0016157A">
        <w:rPr>
          <w:sz w:val="18"/>
          <w:lang w:val="fr-FR"/>
        </w:rPr>
        <w:tab/>
        <w:t>parcelle en ligne</w:t>
      </w:r>
    </w:p>
    <w:p w:rsidR="00EA3338" w:rsidRPr="0016157A" w:rsidRDefault="00B4091E" w:rsidP="00C249E4">
      <w:pPr>
        <w:ind w:left="1134"/>
        <w:rPr>
          <w:sz w:val="18"/>
          <w:lang w:val="fr-FR"/>
        </w:rPr>
      </w:pPr>
      <w:r>
        <w:rPr>
          <w:sz w:val="18"/>
          <w:lang w:val="fr-FR"/>
        </w:rPr>
        <w:t>“</w:t>
      </w:r>
      <w:r w:rsidR="00EA3338" w:rsidRPr="0016157A">
        <w:rPr>
          <w:sz w:val="18"/>
          <w:lang w:val="fr-FR"/>
        </w:rPr>
        <w:t xml:space="preserve">C : </w:t>
      </w:r>
      <w:r w:rsidR="00EA3338" w:rsidRPr="0016157A">
        <w:rPr>
          <w:sz w:val="18"/>
          <w:lang w:val="fr-FR"/>
        </w:rPr>
        <w:tab/>
        <w:t>essai spécial</w:t>
      </w:r>
    </w:p>
    <w:p w:rsidR="00EA3338" w:rsidRPr="0016157A" w:rsidRDefault="00EA3338" w:rsidP="00C249E4">
      <w:pPr>
        <w:rPr>
          <w:lang w:val="fr-FR"/>
        </w:rPr>
      </w:pPr>
    </w:p>
    <w:p w:rsidR="00EA3338" w:rsidRPr="0016157A" w:rsidRDefault="00EA3338" w:rsidP="00C249E4">
      <w:pPr>
        <w:ind w:firstLine="567"/>
        <w:rPr>
          <w:lang w:val="fr-FR"/>
        </w:rPr>
      </w:pPr>
      <w:r w:rsidRPr="0016157A">
        <w:rPr>
          <w:lang w:val="fr-FR"/>
        </w:rPr>
        <w:t>[…]</w:t>
      </w:r>
    </w:p>
    <w:p w:rsidR="00EA3338" w:rsidRPr="0016157A" w:rsidRDefault="00EA3338" w:rsidP="00C249E4">
      <w:pPr>
        <w:rPr>
          <w:lang w:val="fr-FR"/>
        </w:rPr>
      </w:pPr>
    </w:p>
    <w:p w:rsidR="00EA3338" w:rsidRPr="005F12E8" w:rsidRDefault="00EA3338" w:rsidP="00C249E4">
      <w:pPr>
        <w:ind w:left="567"/>
        <w:rPr>
          <w:rFonts w:cs="Arial"/>
          <w:sz w:val="18"/>
          <w:szCs w:val="18"/>
          <w:lang w:val="fr-FR"/>
        </w:rPr>
      </w:pPr>
      <w:bookmarkStart w:id="82" w:name="_Toc226858737"/>
      <w:bookmarkStart w:id="83" w:name="_Toc463342958"/>
      <w:bookmarkStart w:id="84" w:name="_Toc478118888"/>
      <w:r w:rsidRPr="005F12E8">
        <w:rPr>
          <w:rFonts w:cs="Arial"/>
          <w:sz w:val="18"/>
          <w:szCs w:val="18"/>
          <w:lang w:val="fr-FR"/>
        </w:rPr>
        <w:t xml:space="preserve">ASW 12.1 </w:t>
      </w:r>
      <w:bookmarkEnd w:id="82"/>
      <w:bookmarkEnd w:id="83"/>
      <w:r w:rsidRPr="005F12E8">
        <w:rPr>
          <w:sz w:val="18"/>
          <w:szCs w:val="18"/>
          <w:lang w:val="fr-FR"/>
        </w:rPr>
        <w:t xml:space="preserve">(Chapitre 8 </w:t>
      </w:r>
      <w:r w:rsidRPr="005F12E8">
        <w:rPr>
          <w:rFonts w:cs="Arial"/>
          <w:strike/>
          <w:sz w:val="18"/>
          <w:szCs w:val="18"/>
          <w:highlight w:val="lightGray"/>
          <w:lang w:val="fr-FR"/>
        </w:rPr>
        <w:t>du modèle</w:t>
      </w:r>
      <w:r w:rsidRPr="005F12E8">
        <w:rPr>
          <w:sz w:val="18"/>
          <w:szCs w:val="18"/>
          <w:lang w:val="fr-FR"/>
        </w:rPr>
        <w:t>) – Explications portant sur plusieurs caractères</w:t>
      </w:r>
      <w:bookmarkEnd w:id="84"/>
    </w:p>
    <w:p w:rsidR="00EA3338" w:rsidRPr="0016157A" w:rsidRDefault="00EA3338" w:rsidP="00C249E4">
      <w:pPr>
        <w:rPr>
          <w:lang w:val="fr-FR"/>
        </w:rPr>
      </w:pPr>
    </w:p>
    <w:p w:rsidR="00EA3338" w:rsidRPr="0016157A" w:rsidRDefault="00B4091E" w:rsidP="00C249E4">
      <w:pPr>
        <w:keepNext/>
        <w:ind w:left="567" w:right="567"/>
        <w:rPr>
          <w:sz w:val="18"/>
          <w:lang w:val="fr-FR"/>
        </w:rPr>
      </w:pPr>
      <w:r>
        <w:rPr>
          <w:sz w:val="18"/>
          <w:lang w:val="fr-FR"/>
        </w:rPr>
        <w:t>“</w:t>
      </w:r>
      <w:r w:rsidR="00EA3338" w:rsidRPr="0016157A">
        <w:rPr>
          <w:sz w:val="18"/>
          <w:lang w:val="fr-FR"/>
        </w:rPr>
        <w:t>8.1</w:t>
      </w:r>
      <w:r w:rsidR="00EA3338" w:rsidRPr="0016157A">
        <w:rPr>
          <w:sz w:val="18"/>
          <w:lang w:val="fr-FR"/>
        </w:rPr>
        <w:tab/>
        <w:t>Explications portant sur plusieurs caractères</w:t>
      </w:r>
    </w:p>
    <w:p w:rsidR="00EA3338" w:rsidRPr="0016157A" w:rsidRDefault="00EA3338" w:rsidP="00C249E4">
      <w:pPr>
        <w:keepNext/>
        <w:ind w:left="567" w:right="567"/>
        <w:rPr>
          <w:sz w:val="18"/>
          <w:lang w:val="fr-FR"/>
        </w:rPr>
      </w:pPr>
    </w:p>
    <w:p w:rsidR="00EA3338" w:rsidRPr="0016157A" w:rsidRDefault="00B4091E" w:rsidP="00C249E4">
      <w:pPr>
        <w:keepNext/>
        <w:ind w:left="567" w:right="567"/>
        <w:rPr>
          <w:sz w:val="18"/>
          <w:lang w:val="fr-FR"/>
        </w:rPr>
      </w:pPr>
      <w:r>
        <w:rPr>
          <w:sz w:val="18"/>
          <w:lang w:val="fr-FR"/>
        </w:rPr>
        <w:t>“</w:t>
      </w:r>
      <w:r w:rsidR="00EA3338" w:rsidRPr="0016157A">
        <w:rPr>
          <w:sz w:val="18"/>
          <w:szCs w:val="18"/>
          <w:lang w:val="fr-FR"/>
        </w:rPr>
        <w:t>Les caractères auxquels l</w:t>
      </w:r>
      <w:r>
        <w:rPr>
          <w:sz w:val="18"/>
          <w:szCs w:val="18"/>
          <w:lang w:val="fr-FR"/>
        </w:rPr>
        <w:t>’</w:t>
      </w:r>
      <w:r w:rsidR="00EA3338" w:rsidRPr="0016157A">
        <w:rPr>
          <w:sz w:val="18"/>
          <w:szCs w:val="18"/>
          <w:lang w:val="fr-FR"/>
        </w:rPr>
        <w:t xml:space="preserve">un des codes suivants a été attribué </w:t>
      </w:r>
      <w:r w:rsidR="00EA3338" w:rsidRPr="0016157A">
        <w:rPr>
          <w:strike/>
          <w:sz w:val="18"/>
          <w:szCs w:val="18"/>
          <w:highlight w:val="lightGray"/>
          <w:lang w:val="fr-FR"/>
        </w:rPr>
        <w:t>dans la deuxième colonne du tableau des caractères</w:t>
      </w:r>
      <w:r w:rsidR="00EA3338" w:rsidRPr="0016157A">
        <w:rPr>
          <w:sz w:val="18"/>
          <w:szCs w:val="18"/>
          <w:lang w:val="fr-FR"/>
        </w:rPr>
        <w:t xml:space="preserve"> doivent être examinés de la manière indiquée ci</w:t>
      </w:r>
      <w:r w:rsidR="00EA3338" w:rsidRPr="0016157A">
        <w:rPr>
          <w:sz w:val="18"/>
          <w:szCs w:val="18"/>
          <w:lang w:val="fr-FR"/>
        </w:rPr>
        <w:noBreakHyphen/>
        <w:t>après :</w:t>
      </w:r>
    </w:p>
    <w:p w:rsidR="00EA3338" w:rsidRPr="0016157A" w:rsidRDefault="00EA3338" w:rsidP="00C249E4">
      <w:pPr>
        <w:keepNext/>
        <w:rPr>
          <w:lang w:val="fr-FR"/>
        </w:rPr>
      </w:pPr>
    </w:p>
    <w:p w:rsidR="00EA3338" w:rsidRPr="0016157A" w:rsidRDefault="00EA3338" w:rsidP="00C249E4">
      <w:pPr>
        <w:keepNext/>
        <w:ind w:firstLine="992"/>
        <w:rPr>
          <w:sz w:val="18"/>
          <w:lang w:val="fr-FR"/>
        </w:rPr>
      </w:pPr>
      <w:r w:rsidRPr="0016157A">
        <w:rPr>
          <w:sz w:val="18"/>
          <w:lang w:val="fr-FR"/>
        </w:rPr>
        <w:t>a)</w:t>
      </w:r>
    </w:p>
    <w:p w:rsidR="00EA3338" w:rsidRPr="0016157A" w:rsidRDefault="00EA3338" w:rsidP="00C249E4">
      <w:pPr>
        <w:keepNext/>
        <w:ind w:firstLine="992"/>
        <w:rPr>
          <w:sz w:val="18"/>
          <w:lang w:val="fr-FR"/>
        </w:rPr>
      </w:pPr>
      <w:r w:rsidRPr="0016157A">
        <w:rPr>
          <w:sz w:val="18"/>
          <w:lang w:val="fr-FR"/>
        </w:rPr>
        <w:t>b)</w:t>
      </w:r>
      <w:r w:rsidRPr="0016157A">
        <w:rPr>
          <w:sz w:val="18"/>
          <w:lang w:val="fr-FR"/>
        </w:rPr>
        <w:tab/>
        <w:t>etc.</w:t>
      </w:r>
      <w:r w:rsidR="00B4091E">
        <w:rPr>
          <w:sz w:val="18"/>
          <w:lang w:val="fr-FR"/>
        </w:rPr>
        <w:t>”</w:t>
      </w:r>
    </w:p>
    <w:p w:rsidR="00EA3338" w:rsidRPr="0016157A" w:rsidRDefault="00EA3338" w:rsidP="00C249E4">
      <w:pPr>
        <w:keepNext/>
        <w:rPr>
          <w:lang w:val="fr-FR"/>
        </w:rPr>
      </w:pPr>
    </w:p>
    <w:p w:rsidR="00EA3338" w:rsidRPr="0016157A" w:rsidRDefault="00EA3338" w:rsidP="00C249E4">
      <w:pPr>
        <w:ind w:firstLine="567"/>
        <w:rPr>
          <w:sz w:val="18"/>
          <w:szCs w:val="18"/>
          <w:lang w:val="fr-FR"/>
        </w:rPr>
      </w:pPr>
      <w:r w:rsidRPr="0016157A">
        <w:rPr>
          <w:sz w:val="18"/>
          <w:szCs w:val="18"/>
          <w:lang w:val="fr-FR"/>
        </w:rPr>
        <w:t>[…]</w:t>
      </w:r>
    </w:p>
    <w:p w:rsidR="00EA3338" w:rsidRPr="0016157A" w:rsidRDefault="00EA3338" w:rsidP="00C249E4">
      <w:pPr>
        <w:ind w:firstLine="567"/>
        <w:rPr>
          <w:lang w:val="fr-FR"/>
        </w:rPr>
      </w:pPr>
    </w:p>
    <w:p w:rsidR="00EA3338" w:rsidRPr="0016157A" w:rsidRDefault="00EA3338" w:rsidP="00C249E4">
      <w:pPr>
        <w:rPr>
          <w:u w:val="single"/>
          <w:lang w:val="fr-FR"/>
        </w:rPr>
      </w:pPr>
      <w:bookmarkStart w:id="85" w:name="_Toc478118278"/>
      <w:r w:rsidRPr="0016157A">
        <w:rPr>
          <w:u w:val="single"/>
          <w:lang w:val="fr-FR"/>
        </w:rPr>
        <w:t xml:space="preserve">Annexe 3 : Notes indicatives (GN) </w:t>
      </w:r>
      <w:r w:rsidRPr="0016157A">
        <w:rPr>
          <w:strike/>
          <w:highlight w:val="lightGray"/>
          <w:u w:val="single"/>
          <w:lang w:val="fr-FR"/>
        </w:rPr>
        <w:t>concernant le modèle de principes directeurs d</w:t>
      </w:r>
      <w:r w:rsidR="00B4091E">
        <w:rPr>
          <w:strike/>
          <w:highlight w:val="lightGray"/>
          <w:u w:val="single"/>
          <w:lang w:val="fr-FR"/>
        </w:rPr>
        <w:t>’</w:t>
      </w:r>
      <w:r w:rsidRPr="0016157A">
        <w:rPr>
          <w:strike/>
          <w:highlight w:val="lightGray"/>
          <w:u w:val="single"/>
          <w:lang w:val="fr-FR"/>
        </w:rPr>
        <w:t>examen</w:t>
      </w:r>
      <w:bookmarkEnd w:id="85"/>
    </w:p>
    <w:p w:rsidR="00EA3338" w:rsidRPr="0016157A" w:rsidRDefault="00EA3338" w:rsidP="00C249E4">
      <w:pPr>
        <w:ind w:firstLine="567"/>
        <w:rPr>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sz w:val="18"/>
          <w:szCs w:val="18"/>
          <w:lang w:val="fr-FR"/>
        </w:rPr>
        <w:t>La présente annexe contient des notes indicatives (GN) à l</w:t>
      </w:r>
      <w:r>
        <w:rPr>
          <w:sz w:val="18"/>
          <w:szCs w:val="18"/>
          <w:lang w:val="fr-FR"/>
        </w:rPr>
        <w:t>’</w:t>
      </w:r>
      <w:r w:rsidR="00EA3338" w:rsidRPr="0016157A">
        <w:rPr>
          <w:sz w:val="18"/>
          <w:szCs w:val="18"/>
          <w:lang w:val="fr-FR"/>
        </w:rPr>
        <w:t>intention des personnes qui seront amenées à rédiger des principes directeurs d</w:t>
      </w:r>
      <w:r>
        <w:rPr>
          <w:sz w:val="18"/>
          <w:szCs w:val="18"/>
          <w:lang w:val="fr-FR"/>
        </w:rPr>
        <w:t>’</w:t>
      </w:r>
      <w:r w:rsidR="00EA3338" w:rsidRPr="0016157A">
        <w:rPr>
          <w:sz w:val="18"/>
          <w:szCs w:val="18"/>
          <w:lang w:val="fr-FR"/>
        </w:rPr>
        <w:t xml:space="preserve">examen </w:t>
      </w:r>
      <w:r w:rsidR="00EA3338" w:rsidRPr="0016157A">
        <w:rPr>
          <w:strike/>
          <w:sz w:val="18"/>
          <w:szCs w:val="18"/>
          <w:highlight w:val="lightGray"/>
          <w:lang w:val="fr-FR"/>
        </w:rPr>
        <w:t>selon le modèle figurant à l</w:t>
      </w:r>
      <w:r>
        <w:rPr>
          <w:strike/>
          <w:sz w:val="18"/>
          <w:szCs w:val="18"/>
          <w:highlight w:val="lightGray"/>
          <w:lang w:val="fr-FR"/>
        </w:rPr>
        <w:t>’</w:t>
      </w:r>
      <w:r w:rsidR="00EA3338" w:rsidRPr="0016157A">
        <w:rPr>
          <w:strike/>
          <w:sz w:val="18"/>
          <w:szCs w:val="18"/>
          <w:highlight w:val="lightGray"/>
          <w:lang w:val="fr-FR"/>
        </w:rPr>
        <w:t>annexe 1</w:t>
      </w:r>
      <w:r w:rsidR="00EA3338" w:rsidRPr="0016157A">
        <w:rPr>
          <w:sz w:val="18"/>
          <w:szCs w:val="18"/>
          <w:lang w:val="fr-FR"/>
        </w:rPr>
        <w:t xml:space="preserve">.  La numérotation renvoie aux différents chapitres </w:t>
      </w:r>
      <w:r w:rsidR="00EA3338" w:rsidRPr="0016157A">
        <w:rPr>
          <w:strike/>
          <w:sz w:val="18"/>
          <w:szCs w:val="18"/>
          <w:highlight w:val="lightGray"/>
          <w:lang w:val="fr-FR"/>
        </w:rPr>
        <w:t>du modèle</w:t>
      </w:r>
      <w:r w:rsidR="00EA3338" w:rsidRPr="0016157A">
        <w:rPr>
          <w:sz w:val="18"/>
          <w:szCs w:val="18"/>
          <w:lang w:val="fr-FR"/>
        </w:rPr>
        <w:t xml:space="preserve"> </w:t>
      </w:r>
      <w:r w:rsidR="00EA3338" w:rsidRPr="0016157A">
        <w:rPr>
          <w:sz w:val="18"/>
          <w:szCs w:val="18"/>
          <w:highlight w:val="lightGray"/>
          <w:u w:val="single"/>
          <w:lang w:val="fr-FR"/>
        </w:rPr>
        <w:t>de l</w:t>
      </w:r>
      <w:r>
        <w:rPr>
          <w:sz w:val="18"/>
          <w:szCs w:val="18"/>
          <w:highlight w:val="lightGray"/>
          <w:u w:val="single"/>
          <w:lang w:val="fr-FR"/>
        </w:rPr>
        <w:t>’</w:t>
      </w:r>
      <w:r w:rsidR="00EA3338" w:rsidRPr="0016157A">
        <w:rPr>
          <w:sz w:val="18"/>
          <w:szCs w:val="18"/>
          <w:highlight w:val="lightGray"/>
          <w:u w:val="single"/>
          <w:lang w:val="fr-FR"/>
        </w:rPr>
        <w:t>annexe I</w:t>
      </w:r>
      <w:r w:rsidR="00EA3338" w:rsidRPr="0016157A">
        <w:rPr>
          <w:rFonts w:cs="Arial"/>
          <w:sz w:val="18"/>
          <w:szCs w:val="18"/>
          <w:lang w:val="fr-FR"/>
        </w:rPr>
        <w:t>.</w:t>
      </w:r>
      <w:r>
        <w:rPr>
          <w:rFonts w:cs="Arial"/>
          <w:sz w:val="18"/>
          <w:szCs w:val="18"/>
          <w:lang w:val="fr-FR"/>
        </w:rPr>
        <w:t>”</w:t>
      </w:r>
    </w:p>
    <w:p w:rsidR="00EA3338" w:rsidRPr="0016157A" w:rsidRDefault="00EA3338" w:rsidP="00C249E4">
      <w:pPr>
        <w:rPr>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r>
      <w:r w:rsidRPr="0016157A">
        <w:rPr>
          <w:rFonts w:cs="Arial"/>
          <w:lang w:val="fr-FR"/>
        </w:rPr>
        <w:t>L</w:t>
      </w:r>
      <w:r w:rsidR="00B4091E">
        <w:rPr>
          <w:rFonts w:cs="Arial"/>
          <w:lang w:val="fr-FR"/>
        </w:rPr>
        <w:t>’</w:t>
      </w:r>
      <w:r w:rsidRPr="0016157A">
        <w:rPr>
          <w:rFonts w:cs="Arial"/>
          <w:lang w:val="fr-FR"/>
        </w:rPr>
        <w:t>en</w:t>
      </w:r>
      <w:r w:rsidRPr="0016157A">
        <w:rPr>
          <w:rFonts w:cs="Arial"/>
          <w:lang w:val="fr-FR"/>
        </w:rPr>
        <w:noBreakHyphen/>
        <w:t xml:space="preserve">tête de toutes les notes indicatives devra être modifié de manière à supprimer les renvois au </w:t>
      </w:r>
      <w:r w:rsidR="00B4091E">
        <w:rPr>
          <w:rFonts w:cs="Arial"/>
          <w:lang w:val="fr-FR"/>
        </w:rPr>
        <w:t>“</w:t>
      </w:r>
      <w:r w:rsidRPr="0016157A">
        <w:rPr>
          <w:rFonts w:cs="Arial"/>
          <w:lang w:val="fr-FR"/>
        </w:rPr>
        <w:t>modèle</w:t>
      </w:r>
      <w:r w:rsidR="00B4091E">
        <w:rPr>
          <w:rFonts w:cs="Arial"/>
          <w:lang w:val="fr-FR"/>
        </w:rPr>
        <w:t>”</w:t>
      </w:r>
      <w:r w:rsidRPr="0016157A">
        <w:rPr>
          <w:rFonts w:cs="Arial"/>
          <w:lang w:val="fr-FR"/>
        </w:rPr>
        <w:t>, comme suit :</w:t>
      </w:r>
    </w:p>
    <w:p w:rsidR="00EA3338" w:rsidRPr="0016157A" w:rsidRDefault="00EA3338" w:rsidP="00C249E4">
      <w:pPr>
        <w:ind w:firstLine="567"/>
        <w:rPr>
          <w:lang w:val="fr-FR"/>
        </w:rPr>
      </w:pPr>
    </w:p>
    <w:p w:rsidR="00EA3338" w:rsidRPr="0016157A" w:rsidRDefault="00EA3338" w:rsidP="00C249E4">
      <w:pPr>
        <w:rPr>
          <w:lang w:val="fr-FR"/>
        </w:rPr>
      </w:pPr>
      <w:r w:rsidRPr="0016157A">
        <w:rPr>
          <w:lang w:val="fr-FR"/>
        </w:rPr>
        <w:t>Exemple :</w:t>
      </w:r>
    </w:p>
    <w:p w:rsidR="00EA3338" w:rsidRPr="0016157A" w:rsidRDefault="00EA3338" w:rsidP="00C249E4">
      <w:pPr>
        <w:ind w:firstLine="567"/>
        <w:rPr>
          <w:lang w:val="fr-FR"/>
        </w:rPr>
      </w:pPr>
    </w:p>
    <w:p w:rsidR="00EA3338" w:rsidRPr="0016157A" w:rsidRDefault="00B4091E" w:rsidP="00C249E4">
      <w:pPr>
        <w:tabs>
          <w:tab w:val="left" w:pos="851"/>
        </w:tabs>
        <w:ind w:left="567" w:right="567"/>
        <w:rPr>
          <w:sz w:val="18"/>
          <w:lang w:val="fr-FR"/>
        </w:rPr>
      </w:pPr>
      <w:r>
        <w:rPr>
          <w:rFonts w:cs="Arial"/>
          <w:sz w:val="18"/>
          <w:szCs w:val="18"/>
          <w:lang w:val="fr-FR"/>
        </w:rPr>
        <w:t>“</w:t>
      </w:r>
      <w:r w:rsidR="00EA3338" w:rsidRPr="0016157A">
        <w:rPr>
          <w:rFonts w:cs="Arial"/>
          <w:sz w:val="18"/>
          <w:szCs w:val="18"/>
          <w:lang w:val="fr-FR"/>
        </w:rPr>
        <w:t xml:space="preserve">GN 0 </w:t>
      </w:r>
      <w:r w:rsidR="00EA3338" w:rsidRPr="0016157A">
        <w:rPr>
          <w:sz w:val="18"/>
          <w:szCs w:val="18"/>
          <w:lang w:val="fr-FR"/>
        </w:rPr>
        <w:t xml:space="preserve">(Page de couverture et chapitre 8 </w:t>
      </w:r>
      <w:r w:rsidR="00EA3338" w:rsidRPr="0016157A">
        <w:rPr>
          <w:rFonts w:cs="Arial"/>
          <w:strike/>
          <w:sz w:val="18"/>
          <w:szCs w:val="18"/>
          <w:highlight w:val="lightGray"/>
          <w:lang w:val="fr-FR"/>
        </w:rPr>
        <w:t>du modèle</w:t>
      </w:r>
      <w:r w:rsidR="00EA3338" w:rsidRPr="0016157A">
        <w:rPr>
          <w:sz w:val="18"/>
          <w:szCs w:val="18"/>
          <w:lang w:val="fr-FR"/>
        </w:rPr>
        <w:t>) – Utilisation de texte, de photographies et d</w:t>
      </w:r>
      <w:r>
        <w:rPr>
          <w:sz w:val="18"/>
          <w:szCs w:val="18"/>
          <w:lang w:val="fr-FR"/>
        </w:rPr>
        <w:t>’</w:t>
      </w:r>
      <w:r w:rsidR="00EA3338" w:rsidRPr="0016157A">
        <w:rPr>
          <w:sz w:val="18"/>
          <w:szCs w:val="18"/>
          <w:lang w:val="fr-FR"/>
        </w:rPr>
        <w:t>illustrations exclusives dans les principes directeurs d</w:t>
      </w:r>
      <w:r>
        <w:rPr>
          <w:sz w:val="18"/>
          <w:szCs w:val="18"/>
          <w:lang w:val="fr-FR"/>
        </w:rPr>
        <w:t>’</w:t>
      </w:r>
      <w:r w:rsidR="00EA3338" w:rsidRPr="0016157A">
        <w:rPr>
          <w:sz w:val="18"/>
          <w:szCs w:val="18"/>
          <w:lang w:val="fr-FR"/>
        </w:rPr>
        <w:t>examen</w:t>
      </w:r>
      <w:r>
        <w:rPr>
          <w:rFonts w:cs="Arial"/>
          <w:sz w:val="18"/>
          <w:szCs w:val="18"/>
          <w:lang w:val="fr-FR"/>
        </w:rPr>
        <w:t>”</w:t>
      </w:r>
    </w:p>
    <w:p w:rsidR="00EA3338" w:rsidRPr="0016157A" w:rsidRDefault="00EA3338" w:rsidP="00C249E4">
      <w:pPr>
        <w:ind w:firstLine="567"/>
        <w:rPr>
          <w:lang w:val="fr-FR"/>
        </w:rPr>
      </w:pPr>
    </w:p>
    <w:p w:rsidR="00EA3338" w:rsidRPr="0016157A" w:rsidRDefault="00EA3338" w:rsidP="00C249E4">
      <w:pPr>
        <w:ind w:firstLine="567"/>
        <w:rPr>
          <w:lang w:val="fr-FR"/>
        </w:rPr>
      </w:pPr>
      <w:r w:rsidRPr="0016157A">
        <w:rPr>
          <w:lang w:val="fr-FR"/>
        </w:rPr>
        <w:t>[…]</w:t>
      </w:r>
    </w:p>
    <w:p w:rsidR="00EA3338" w:rsidRPr="0016157A" w:rsidRDefault="00EA3338" w:rsidP="00C249E4">
      <w:pPr>
        <w:ind w:firstLine="567"/>
        <w:rPr>
          <w:lang w:val="fr-FR"/>
        </w:rPr>
      </w:pPr>
    </w:p>
    <w:p w:rsidR="00EA3338" w:rsidRPr="0016157A" w:rsidRDefault="00B4091E" w:rsidP="00C249E4">
      <w:pPr>
        <w:ind w:left="567"/>
        <w:rPr>
          <w:sz w:val="18"/>
          <w:lang w:val="fr-FR"/>
        </w:rPr>
      </w:pPr>
      <w:bookmarkStart w:id="86" w:name="_Toc463342985"/>
      <w:bookmarkStart w:id="87" w:name="_Toc478118279"/>
      <w:r>
        <w:rPr>
          <w:rFonts w:cs="Arial"/>
          <w:sz w:val="18"/>
          <w:szCs w:val="18"/>
          <w:lang w:val="fr-FR"/>
        </w:rPr>
        <w:t>“</w:t>
      </w:r>
      <w:r w:rsidR="00EA3338" w:rsidRPr="0016157A">
        <w:rPr>
          <w:sz w:val="18"/>
          <w:lang w:val="fr-FR"/>
        </w:rPr>
        <w:t>GN 13</w:t>
      </w:r>
      <w:r w:rsidR="00EA3338" w:rsidRPr="0016157A">
        <w:rPr>
          <w:sz w:val="18"/>
          <w:lang w:val="fr-FR"/>
        </w:rPr>
        <w:tab/>
      </w:r>
      <w:bookmarkEnd w:id="86"/>
      <w:bookmarkEnd w:id="87"/>
      <w:r w:rsidR="00EA3338" w:rsidRPr="0016157A">
        <w:rPr>
          <w:sz w:val="18"/>
          <w:szCs w:val="18"/>
          <w:lang w:val="fr-FR"/>
        </w:rPr>
        <w:t>Caractères ayant des fonctions particulières</w:t>
      </w:r>
      <w:r>
        <w:rPr>
          <w:rFonts w:cs="Arial"/>
          <w:sz w:val="18"/>
          <w:szCs w:val="18"/>
          <w:lang w:val="fr-FR"/>
        </w:rPr>
        <w:t>”</w:t>
      </w:r>
    </w:p>
    <w:p w:rsidR="00EA3338" w:rsidRPr="0016157A" w:rsidRDefault="00EA3338" w:rsidP="00C249E4">
      <w:pPr>
        <w:rPr>
          <w:lang w:val="fr-FR"/>
        </w:rPr>
      </w:pPr>
    </w:p>
    <w:p w:rsidR="00EA3338" w:rsidRPr="0016157A" w:rsidRDefault="00B4091E" w:rsidP="00C249E4">
      <w:pPr>
        <w:ind w:left="567" w:right="567"/>
        <w:rPr>
          <w:sz w:val="18"/>
          <w:lang w:val="fr-FR"/>
        </w:rPr>
      </w:pPr>
      <w:bookmarkStart w:id="88" w:name="_Toc226858768"/>
      <w:bookmarkStart w:id="89" w:name="_Toc463342986"/>
      <w:r>
        <w:rPr>
          <w:sz w:val="18"/>
          <w:lang w:val="fr-FR"/>
        </w:rPr>
        <w:t>“</w:t>
      </w:r>
      <w:r w:rsidR="00EA3338" w:rsidRPr="0016157A">
        <w:rPr>
          <w:sz w:val="18"/>
          <w:lang w:val="fr-FR"/>
        </w:rPr>
        <w:t xml:space="preserve">1.  </w:t>
      </w:r>
      <w:r w:rsidR="00EA3338" w:rsidRPr="0016157A">
        <w:rPr>
          <w:sz w:val="18"/>
          <w:lang w:val="fr-FR"/>
        </w:rPr>
        <w:tab/>
      </w:r>
      <w:bookmarkEnd w:id="88"/>
      <w:bookmarkEnd w:id="89"/>
      <w:r w:rsidR="00EA3338" w:rsidRPr="0016157A">
        <w:rPr>
          <w:sz w:val="18"/>
          <w:szCs w:val="18"/>
          <w:lang w:val="fr-FR"/>
        </w:rPr>
        <w:t xml:space="preserve">Caractères avec astérisque (Chapitre 7 </w:t>
      </w:r>
      <w:r w:rsidR="00EA3338" w:rsidRPr="0016157A">
        <w:rPr>
          <w:rFonts w:cs="Arial"/>
          <w:strike/>
          <w:sz w:val="18"/>
          <w:szCs w:val="18"/>
          <w:highlight w:val="lightGray"/>
          <w:lang w:val="fr-FR"/>
        </w:rPr>
        <w:t>du modèle :</w:t>
      </w:r>
      <w:r w:rsidR="00EA3338" w:rsidRPr="0016157A">
        <w:rPr>
          <w:strike/>
          <w:sz w:val="18"/>
          <w:szCs w:val="18"/>
          <w:highlight w:val="lightGray"/>
          <w:lang w:val="fr-FR"/>
        </w:rPr>
        <w:t xml:space="preserve"> colonne 1, en</w:t>
      </w:r>
      <w:r w:rsidR="00EA3338" w:rsidRPr="0016157A">
        <w:rPr>
          <w:strike/>
          <w:sz w:val="18"/>
          <w:szCs w:val="18"/>
          <w:highlight w:val="lightGray"/>
          <w:lang w:val="fr-FR"/>
        </w:rPr>
        <w:noBreakHyphen/>
        <w:t>tête, rang 2</w:t>
      </w:r>
      <w:r w:rsidR="00EA3338" w:rsidRPr="0016157A">
        <w:rPr>
          <w:sz w:val="18"/>
          <w:szCs w:val="18"/>
          <w:lang w:val="fr-FR"/>
        </w:rPr>
        <w:t>)</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sz w:val="18"/>
          <w:lang w:val="fr-FR"/>
        </w:rPr>
        <w:t>“</w:t>
      </w:r>
      <w:r w:rsidR="00EA3338" w:rsidRPr="0016157A">
        <w:rPr>
          <w:sz w:val="18"/>
          <w:lang w:val="fr-FR"/>
        </w:rPr>
        <w:t>1.1</w:t>
      </w:r>
      <w:r w:rsidR="00EA3338" w:rsidRPr="0016157A">
        <w:rPr>
          <w:sz w:val="18"/>
          <w:lang w:val="fr-FR"/>
        </w:rPr>
        <w:tab/>
      </w:r>
      <w:r w:rsidR="00EA3338" w:rsidRPr="0016157A">
        <w:rPr>
          <w:sz w:val="18"/>
          <w:szCs w:val="18"/>
          <w:lang w:val="fr-FR"/>
        </w:rPr>
        <w:t>Selon l</w:t>
      </w:r>
      <w:r>
        <w:rPr>
          <w:sz w:val="18"/>
          <w:szCs w:val="18"/>
          <w:lang w:val="fr-FR"/>
        </w:rPr>
        <w:t>’</w:t>
      </w:r>
      <w:r w:rsidR="00EA3338" w:rsidRPr="0016157A">
        <w:rPr>
          <w:sz w:val="18"/>
          <w:szCs w:val="18"/>
          <w:lang w:val="fr-FR"/>
        </w:rPr>
        <w:t xml:space="preserve">introduction générale (chapitre 4.8, tableau : catégories fonctionnelles de caractères), les caractères avec astérisque sont des </w:t>
      </w:r>
      <w:r>
        <w:rPr>
          <w:sz w:val="18"/>
          <w:szCs w:val="18"/>
          <w:lang w:val="fr-FR"/>
        </w:rPr>
        <w:t>“</w:t>
      </w:r>
      <w:r w:rsidR="00EA3338" w:rsidRPr="0016157A">
        <w:rPr>
          <w:sz w:val="18"/>
          <w:szCs w:val="18"/>
          <w:lang w:val="fr-FR"/>
        </w:rPr>
        <w:t>caractères qui sont importants pour l</w:t>
      </w:r>
      <w:r>
        <w:rPr>
          <w:sz w:val="18"/>
          <w:szCs w:val="18"/>
          <w:lang w:val="fr-FR"/>
        </w:rPr>
        <w:t>’</w:t>
      </w:r>
      <w:r w:rsidR="00EA3338" w:rsidRPr="0016157A">
        <w:rPr>
          <w:sz w:val="18"/>
          <w:szCs w:val="18"/>
          <w:lang w:val="fr-FR"/>
        </w:rPr>
        <w:t>harmonisation internationale des descriptions variétales</w:t>
      </w:r>
      <w:r>
        <w:rPr>
          <w:sz w:val="18"/>
          <w:szCs w:val="18"/>
          <w:lang w:val="fr-FR"/>
        </w:rPr>
        <w:t>”</w:t>
      </w:r>
      <w:r w:rsidR="00EA3338" w:rsidRPr="0016157A">
        <w:rPr>
          <w:sz w:val="18"/>
          <w:szCs w:val="18"/>
          <w:lang w:val="fr-FR"/>
        </w:rPr>
        <w:t>.  Les critères de sélection d</w:t>
      </w:r>
      <w:r>
        <w:rPr>
          <w:sz w:val="18"/>
          <w:szCs w:val="18"/>
          <w:lang w:val="fr-FR"/>
        </w:rPr>
        <w:t>’</w:t>
      </w:r>
      <w:r w:rsidR="00EA3338" w:rsidRPr="0016157A">
        <w:rPr>
          <w:sz w:val="18"/>
          <w:szCs w:val="18"/>
          <w:lang w:val="fr-FR"/>
        </w:rPr>
        <w:t>un caractère avec astérisque sont les suivants :</w:t>
      </w:r>
      <w:r w:rsidR="00EA3338" w:rsidRPr="0016157A">
        <w:rPr>
          <w:rFonts w:cs="Arial"/>
          <w:sz w:val="18"/>
          <w:szCs w:val="18"/>
          <w:lang w:val="fr-FR"/>
        </w:rPr>
        <w:t xml:space="preserve"> […]</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Pr>
          <w:sz w:val="18"/>
          <w:lang w:val="fr-FR"/>
        </w:rPr>
      </w:pPr>
      <w:bookmarkStart w:id="90" w:name="_Toc463342995"/>
      <w:bookmarkStart w:id="91" w:name="_Toc478118280"/>
      <w:r>
        <w:rPr>
          <w:sz w:val="18"/>
          <w:lang w:val="fr-FR"/>
        </w:rPr>
        <w:t>“</w:t>
      </w:r>
      <w:r w:rsidR="00EA3338" w:rsidRPr="0016157A">
        <w:rPr>
          <w:sz w:val="18"/>
          <w:lang w:val="fr-FR"/>
        </w:rPr>
        <w:t>GN 17</w:t>
      </w:r>
      <w:r w:rsidR="00EA3338" w:rsidRPr="0016157A">
        <w:rPr>
          <w:sz w:val="18"/>
          <w:lang w:val="fr-FR"/>
        </w:rPr>
        <w:tab/>
      </w:r>
      <w:bookmarkEnd w:id="90"/>
      <w:bookmarkEnd w:id="91"/>
      <w:r w:rsidR="00EA3338" w:rsidRPr="0016157A">
        <w:rPr>
          <w:rFonts w:cs="Arial"/>
          <w:sz w:val="18"/>
          <w:szCs w:val="18"/>
          <w:lang w:val="fr-FR"/>
        </w:rPr>
        <w:t>(</w:t>
      </w:r>
      <w:r w:rsidR="00EA3338" w:rsidRPr="0016157A">
        <w:rPr>
          <w:sz w:val="18"/>
          <w:szCs w:val="18"/>
          <w:lang w:val="fr-FR"/>
        </w:rPr>
        <w:t>Chapitre 7</w:t>
      </w:r>
      <w:r w:rsidR="00EA3338" w:rsidRPr="0016157A">
        <w:rPr>
          <w:rFonts w:cs="Arial"/>
          <w:strike/>
          <w:sz w:val="18"/>
          <w:szCs w:val="18"/>
          <w:lang w:val="fr-FR"/>
        </w:rPr>
        <w:t xml:space="preserve"> </w:t>
      </w:r>
      <w:r w:rsidR="00EA3338" w:rsidRPr="0016157A">
        <w:rPr>
          <w:rFonts w:cs="Arial"/>
          <w:strike/>
          <w:sz w:val="18"/>
          <w:szCs w:val="18"/>
          <w:highlight w:val="lightGray"/>
          <w:lang w:val="fr-FR"/>
        </w:rPr>
        <w:t>du modèle</w:t>
      </w:r>
      <w:r w:rsidR="00EA3338" w:rsidRPr="0016157A">
        <w:rPr>
          <w:sz w:val="18"/>
          <w:szCs w:val="18"/>
          <w:lang w:val="fr-FR"/>
        </w:rPr>
        <w:t>) – Présentation des caractères : caractères approuvés</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sz w:val="18"/>
          <w:lang w:val="fr-FR"/>
        </w:rPr>
        <w:t>“</w:t>
      </w:r>
      <w:r>
        <w:rPr>
          <w:rFonts w:cs="Arial"/>
          <w:sz w:val="18"/>
          <w:szCs w:val="18"/>
          <w:lang w:val="fr-FR"/>
        </w:rPr>
        <w:t>“</w:t>
      </w:r>
      <w:r w:rsidR="00EA3338" w:rsidRPr="0016157A">
        <w:rPr>
          <w:sz w:val="18"/>
          <w:szCs w:val="18"/>
          <w:lang w:val="fr-FR"/>
        </w:rPr>
        <w:t>Une liste des caractères et des niveaux d</w:t>
      </w:r>
      <w:r>
        <w:rPr>
          <w:sz w:val="18"/>
          <w:szCs w:val="18"/>
          <w:lang w:val="fr-FR"/>
        </w:rPr>
        <w:t>’</w:t>
      </w:r>
      <w:r w:rsidR="00EA3338" w:rsidRPr="0016157A">
        <w:rPr>
          <w:sz w:val="18"/>
          <w:szCs w:val="18"/>
          <w:lang w:val="fr-FR"/>
        </w:rPr>
        <w:t>expression qui figurent dans les principes directeurs d</w:t>
      </w:r>
      <w:r>
        <w:rPr>
          <w:sz w:val="18"/>
          <w:szCs w:val="18"/>
          <w:lang w:val="fr-FR"/>
        </w:rPr>
        <w:t>’</w:t>
      </w:r>
      <w:r w:rsidR="00EA3338" w:rsidRPr="0016157A">
        <w:rPr>
          <w:sz w:val="18"/>
          <w:szCs w:val="18"/>
          <w:lang w:val="fr-FR"/>
        </w:rPr>
        <w:t xml:space="preserve">examen déjà approuvés </w:t>
      </w:r>
      <w:r w:rsidR="00EA3338" w:rsidRPr="0016157A">
        <w:rPr>
          <w:rFonts w:cs="Arial"/>
          <w:sz w:val="18"/>
          <w:szCs w:val="18"/>
          <w:highlight w:val="lightGray"/>
          <w:u w:val="single"/>
          <w:lang w:val="fr-FR"/>
        </w:rPr>
        <w:t>[après l</w:t>
      </w:r>
      <w:r>
        <w:rPr>
          <w:rFonts w:cs="Arial"/>
          <w:sz w:val="18"/>
          <w:szCs w:val="18"/>
          <w:highlight w:val="lightGray"/>
          <w:u w:val="single"/>
          <w:lang w:val="fr-FR"/>
        </w:rPr>
        <w:t>’</w:t>
      </w:r>
      <w:r w:rsidR="00EA3338" w:rsidRPr="0016157A">
        <w:rPr>
          <w:rFonts w:cs="Arial"/>
          <w:sz w:val="18"/>
          <w:szCs w:val="18"/>
          <w:highlight w:val="lightGray"/>
          <w:u w:val="single"/>
          <w:lang w:val="fr-FR"/>
        </w:rPr>
        <w:t>adoption du</w:t>
      </w:r>
      <w:r w:rsidR="00EA3338" w:rsidRPr="0016157A">
        <w:rPr>
          <w:rFonts w:cs="Arial"/>
          <w:sz w:val="18"/>
          <w:szCs w:val="18"/>
          <w:lang w:val="fr-FR"/>
        </w:rPr>
        <w:t xml:space="preserve"> </w:t>
      </w:r>
      <w:r w:rsidR="00EA3338" w:rsidRPr="0016157A">
        <w:rPr>
          <w:rFonts w:cs="Arial"/>
          <w:sz w:val="18"/>
          <w:szCs w:val="18"/>
          <w:highlight w:val="lightGray"/>
          <w:u w:val="single"/>
          <w:lang w:val="fr-FR"/>
        </w:rPr>
        <w:t xml:space="preserve">document TGP/7] </w:t>
      </w:r>
      <w:r w:rsidR="00EA3338" w:rsidRPr="0016157A">
        <w:rPr>
          <w:rFonts w:cs="Arial"/>
          <w:sz w:val="18"/>
          <w:szCs w:val="18"/>
          <w:u w:val="single"/>
          <w:shd w:val="clear" w:color="auto" w:fill="D9D9D9" w:themeFill="background1" w:themeFillShade="D9"/>
          <w:lang w:val="fr-FR"/>
        </w:rPr>
        <w:t>(</w:t>
      </w:r>
      <w:r>
        <w:rPr>
          <w:rFonts w:cs="Arial"/>
          <w:sz w:val="18"/>
          <w:szCs w:val="18"/>
          <w:u w:val="single"/>
          <w:shd w:val="clear" w:color="auto" w:fill="D9D9D9" w:themeFill="background1" w:themeFillShade="D9"/>
          <w:lang w:val="fr-FR"/>
        </w:rPr>
        <w:t>“</w:t>
      </w:r>
      <w:r w:rsidR="00EA3338" w:rsidRPr="0016157A">
        <w:rPr>
          <w:rFonts w:cs="Arial"/>
          <w:sz w:val="18"/>
          <w:szCs w:val="18"/>
          <w:highlight w:val="lightGray"/>
          <w:u w:val="single"/>
          <w:shd w:val="clear" w:color="auto" w:fill="D9D9D9" w:themeFill="background1" w:themeFillShade="D9"/>
          <w:lang w:val="fr-FR"/>
        </w:rPr>
        <w:t>caractères approuvés</w:t>
      </w:r>
      <w:r>
        <w:rPr>
          <w:rFonts w:cs="Arial"/>
          <w:sz w:val="18"/>
          <w:szCs w:val="18"/>
          <w:u w:val="single"/>
          <w:shd w:val="clear" w:color="auto" w:fill="D9D9D9" w:themeFill="background1" w:themeFillShade="D9"/>
          <w:lang w:val="fr-FR"/>
        </w:rPr>
        <w:t>”</w:t>
      </w:r>
      <w:r w:rsidR="00EA3338" w:rsidRPr="0016157A">
        <w:rPr>
          <w:rFonts w:cs="Arial"/>
          <w:sz w:val="18"/>
          <w:szCs w:val="18"/>
          <w:u w:val="single"/>
          <w:shd w:val="clear" w:color="auto" w:fill="D9D9D9" w:themeFill="background1" w:themeFillShade="D9"/>
          <w:lang w:val="fr-FR"/>
        </w:rPr>
        <w:t>)</w:t>
      </w:r>
      <w:r w:rsidR="00EA3338" w:rsidRPr="0016157A">
        <w:rPr>
          <w:rFonts w:cs="Arial"/>
          <w:sz w:val="18"/>
          <w:szCs w:val="18"/>
          <w:lang w:val="fr-FR"/>
        </w:rPr>
        <w:t xml:space="preserve"> </w:t>
      </w:r>
      <w:r w:rsidR="00EA3338" w:rsidRPr="0016157A">
        <w:rPr>
          <w:sz w:val="18"/>
          <w:szCs w:val="18"/>
          <w:lang w:val="fr-FR"/>
        </w:rPr>
        <w:t xml:space="preserve">est </w:t>
      </w:r>
      <w:r w:rsidR="00EA3338" w:rsidRPr="0016157A">
        <w:rPr>
          <w:strike/>
          <w:sz w:val="18"/>
          <w:szCs w:val="18"/>
          <w:highlight w:val="lightGray"/>
          <w:lang w:val="fr-FR"/>
        </w:rPr>
        <w:t>reproduite à l</w:t>
      </w:r>
      <w:r>
        <w:rPr>
          <w:strike/>
          <w:sz w:val="18"/>
          <w:szCs w:val="18"/>
          <w:highlight w:val="lightGray"/>
          <w:lang w:val="fr-FR"/>
        </w:rPr>
        <w:t>’</w:t>
      </w:r>
      <w:r w:rsidR="00EA3338" w:rsidRPr="0016157A">
        <w:rPr>
          <w:strike/>
          <w:sz w:val="18"/>
          <w:szCs w:val="18"/>
          <w:highlight w:val="lightGray"/>
          <w:lang w:val="fr-FR"/>
        </w:rPr>
        <w:t xml:space="preserve">annexe 4, intitulée : </w:t>
      </w:r>
      <w:r>
        <w:rPr>
          <w:strike/>
          <w:sz w:val="18"/>
          <w:szCs w:val="18"/>
          <w:highlight w:val="lightGray"/>
          <w:lang w:val="fr-FR"/>
        </w:rPr>
        <w:t>“</w:t>
      </w:r>
      <w:r w:rsidR="00EA3338" w:rsidRPr="0016157A">
        <w:rPr>
          <w:strike/>
          <w:sz w:val="18"/>
          <w:szCs w:val="18"/>
          <w:highlight w:val="lightGray"/>
          <w:lang w:val="fr-FR"/>
        </w:rPr>
        <w:t>Liste des caractères approuvés</w:t>
      </w:r>
      <w:r>
        <w:rPr>
          <w:strike/>
          <w:sz w:val="18"/>
          <w:szCs w:val="18"/>
          <w:highlight w:val="lightGray"/>
          <w:lang w:val="fr-FR"/>
        </w:rPr>
        <w:t>”</w:t>
      </w:r>
      <w:r w:rsidR="00EA3338" w:rsidRPr="0016157A">
        <w:rPr>
          <w:sz w:val="18"/>
          <w:szCs w:val="18"/>
          <w:lang w:val="fr-FR"/>
        </w:rPr>
        <w:t xml:space="preserve"> </w:t>
      </w:r>
      <w:r w:rsidR="00EA3338" w:rsidRPr="0016157A">
        <w:rPr>
          <w:sz w:val="18"/>
          <w:szCs w:val="18"/>
          <w:highlight w:val="lightGray"/>
          <w:u w:val="single"/>
          <w:lang w:val="fr-FR"/>
        </w:rPr>
        <w:t>fournie dans le modèle de principes directeurs d</w:t>
      </w:r>
      <w:r>
        <w:rPr>
          <w:sz w:val="18"/>
          <w:szCs w:val="18"/>
          <w:highlight w:val="lightGray"/>
          <w:u w:val="single"/>
          <w:lang w:val="fr-FR"/>
        </w:rPr>
        <w:t>’</w:t>
      </w:r>
      <w:r w:rsidR="00EA3338" w:rsidRPr="0016157A">
        <w:rPr>
          <w:sz w:val="18"/>
          <w:szCs w:val="18"/>
          <w:highlight w:val="lightGray"/>
          <w:u w:val="single"/>
          <w:lang w:val="fr-FR"/>
        </w:rPr>
        <w:t xml:space="preserve">examen fondé sur le Web.  </w:t>
      </w:r>
      <w:r w:rsidR="00EA3338" w:rsidRPr="0016157A">
        <w:rPr>
          <w:sz w:val="18"/>
          <w:szCs w:val="18"/>
          <w:lang w:val="fr-FR"/>
        </w:rPr>
        <w:t>Cette liste vise deux grands objectifs : premièrement, il s</w:t>
      </w:r>
      <w:r>
        <w:rPr>
          <w:sz w:val="18"/>
          <w:szCs w:val="18"/>
          <w:lang w:val="fr-FR"/>
        </w:rPr>
        <w:t>’</w:t>
      </w:r>
      <w:r w:rsidR="00EA3338" w:rsidRPr="0016157A">
        <w:rPr>
          <w:sz w:val="18"/>
          <w:szCs w:val="18"/>
          <w:lang w:val="fr-FR"/>
        </w:rPr>
        <w:t>agit de faire en sorte que les niveaux d</w:t>
      </w:r>
      <w:r>
        <w:rPr>
          <w:sz w:val="18"/>
          <w:szCs w:val="18"/>
          <w:lang w:val="fr-FR"/>
        </w:rPr>
        <w:t>’</w:t>
      </w:r>
      <w:r w:rsidR="00EA3338" w:rsidRPr="0016157A">
        <w:rPr>
          <w:sz w:val="18"/>
          <w:szCs w:val="18"/>
          <w:lang w:val="fr-FR"/>
        </w:rPr>
        <w:t>expression utilisés dans les principes directeurs d</w:t>
      </w:r>
      <w:r>
        <w:rPr>
          <w:sz w:val="18"/>
          <w:szCs w:val="18"/>
          <w:lang w:val="fr-FR"/>
        </w:rPr>
        <w:t>’</w:t>
      </w:r>
      <w:r w:rsidR="00EA3338" w:rsidRPr="0016157A">
        <w:rPr>
          <w:sz w:val="18"/>
          <w:szCs w:val="18"/>
          <w:lang w:val="fr-FR"/>
        </w:rPr>
        <w:t>examen pour des caractères identiques ou similaires soient aussi harmonisés que possible;  deuxièmement, les caractères figurant dans la liste ont déjà été traduits dans les langues de travail de l</w:t>
      </w:r>
      <w:r>
        <w:rPr>
          <w:sz w:val="18"/>
          <w:szCs w:val="18"/>
          <w:lang w:val="fr-FR"/>
        </w:rPr>
        <w:t>’</w:t>
      </w:r>
      <w:r w:rsidR="00EA3338" w:rsidRPr="0016157A">
        <w:rPr>
          <w:sz w:val="18"/>
          <w:szCs w:val="18"/>
          <w:lang w:val="fr-FR"/>
        </w:rPr>
        <w:t>UPOV.  Par conséquent, les principes directeurs d</w:t>
      </w:r>
      <w:r>
        <w:rPr>
          <w:sz w:val="18"/>
          <w:szCs w:val="18"/>
          <w:lang w:val="fr-FR"/>
        </w:rPr>
        <w:t>’</w:t>
      </w:r>
      <w:r w:rsidR="00EA3338" w:rsidRPr="0016157A">
        <w:rPr>
          <w:sz w:val="18"/>
          <w:szCs w:val="18"/>
          <w:lang w:val="fr-FR"/>
        </w:rPr>
        <w:t xml:space="preserve">examen faisant appel aux caractères </w:t>
      </w:r>
      <w:r w:rsidR="00EA3338" w:rsidRPr="0016157A">
        <w:rPr>
          <w:sz w:val="18"/>
          <w:szCs w:val="18"/>
          <w:highlight w:val="lightGray"/>
          <w:u w:val="single"/>
          <w:lang w:val="fr-FR"/>
        </w:rPr>
        <w:t>approuvés</w:t>
      </w:r>
      <w:r w:rsidR="00EA3338" w:rsidRPr="0016157A">
        <w:rPr>
          <w:sz w:val="18"/>
          <w:szCs w:val="18"/>
          <w:lang w:val="fr-FR"/>
        </w:rPr>
        <w:t xml:space="preserve"> </w:t>
      </w:r>
      <w:r w:rsidR="00EA3338" w:rsidRPr="0016157A">
        <w:rPr>
          <w:strike/>
          <w:sz w:val="18"/>
          <w:szCs w:val="18"/>
          <w:highlight w:val="lightGray"/>
          <w:lang w:val="fr-FR"/>
        </w:rPr>
        <w:t>indiqués dans l</w:t>
      </w:r>
      <w:r>
        <w:rPr>
          <w:strike/>
          <w:sz w:val="18"/>
          <w:szCs w:val="18"/>
          <w:highlight w:val="lightGray"/>
          <w:lang w:val="fr-FR"/>
        </w:rPr>
        <w:t>’</w:t>
      </w:r>
      <w:r w:rsidR="00EA3338" w:rsidRPr="0016157A">
        <w:rPr>
          <w:strike/>
          <w:sz w:val="18"/>
          <w:szCs w:val="18"/>
          <w:highlight w:val="lightGray"/>
          <w:lang w:val="fr-FR"/>
        </w:rPr>
        <w:t>annexe 4</w:t>
      </w:r>
      <w:r w:rsidR="00EA3338" w:rsidRPr="0016157A">
        <w:rPr>
          <w:sz w:val="18"/>
          <w:szCs w:val="18"/>
          <w:lang w:val="fr-FR"/>
        </w:rPr>
        <w:t xml:space="preserve"> coûteront moins cher à l</w:t>
      </w:r>
      <w:r>
        <w:rPr>
          <w:sz w:val="18"/>
          <w:szCs w:val="18"/>
          <w:lang w:val="fr-FR"/>
        </w:rPr>
        <w:t>’</w:t>
      </w:r>
      <w:r w:rsidR="00EA3338" w:rsidRPr="0016157A">
        <w:rPr>
          <w:sz w:val="18"/>
          <w:szCs w:val="18"/>
          <w:lang w:val="fr-FR"/>
        </w:rPr>
        <w:t>UPOV et la procédure en vue de leur adoption devrait être d</w:t>
      </w:r>
      <w:r>
        <w:rPr>
          <w:sz w:val="18"/>
          <w:szCs w:val="18"/>
          <w:lang w:val="fr-FR"/>
        </w:rPr>
        <w:t>’</w:t>
      </w:r>
      <w:r w:rsidR="00EA3338" w:rsidRPr="0016157A">
        <w:rPr>
          <w:sz w:val="18"/>
          <w:szCs w:val="18"/>
          <w:lang w:val="fr-FR"/>
        </w:rPr>
        <w:t>autant moins longue</w:t>
      </w:r>
      <w:r w:rsidR="00EA3338" w:rsidRPr="0016157A">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sz w:val="18"/>
          <w:szCs w:val="18"/>
          <w:lang w:val="fr-FR"/>
        </w:rPr>
        <w:t>Les rédacteurs des principes directeurs d</w:t>
      </w:r>
      <w:r>
        <w:rPr>
          <w:sz w:val="18"/>
          <w:szCs w:val="18"/>
          <w:lang w:val="fr-FR"/>
        </w:rPr>
        <w:t>’</w:t>
      </w:r>
      <w:r w:rsidR="00EA3338" w:rsidRPr="0016157A">
        <w:rPr>
          <w:sz w:val="18"/>
          <w:szCs w:val="18"/>
          <w:lang w:val="fr-FR"/>
        </w:rPr>
        <w:t>examen sont invités à rechercher le caractère qu</w:t>
      </w:r>
      <w:r>
        <w:rPr>
          <w:sz w:val="18"/>
          <w:szCs w:val="18"/>
          <w:lang w:val="fr-FR"/>
        </w:rPr>
        <w:t>’</w:t>
      </w:r>
      <w:r w:rsidR="00EA3338" w:rsidRPr="0016157A">
        <w:rPr>
          <w:sz w:val="18"/>
          <w:szCs w:val="18"/>
          <w:lang w:val="fr-FR"/>
        </w:rPr>
        <w:t xml:space="preserve">ils souhaitent utiliser dans </w:t>
      </w:r>
      <w:r w:rsidR="00EA3338" w:rsidRPr="0016157A">
        <w:rPr>
          <w:strike/>
          <w:sz w:val="18"/>
          <w:szCs w:val="18"/>
          <w:highlight w:val="lightGray"/>
          <w:lang w:val="fr-FR"/>
        </w:rPr>
        <w:t>ladite liste</w:t>
      </w:r>
      <w:r w:rsidR="00EA3338" w:rsidRPr="0016157A">
        <w:rPr>
          <w:sz w:val="18"/>
          <w:szCs w:val="18"/>
          <w:lang w:val="fr-FR"/>
        </w:rPr>
        <w:t xml:space="preserve"> </w:t>
      </w:r>
      <w:r w:rsidR="00EA3338" w:rsidRPr="0016157A">
        <w:rPr>
          <w:sz w:val="18"/>
          <w:szCs w:val="18"/>
          <w:highlight w:val="lightGray"/>
          <w:u w:val="single"/>
          <w:lang w:val="fr-FR"/>
        </w:rPr>
        <w:t xml:space="preserve">les caractères approuvés.  </w:t>
      </w:r>
      <w:r w:rsidR="00EA3338" w:rsidRPr="0016157A">
        <w:rPr>
          <w:sz w:val="18"/>
          <w:szCs w:val="18"/>
          <w:lang w:val="fr-FR"/>
        </w:rPr>
        <w:t>Le caractère et ses niveaux d</w:t>
      </w:r>
      <w:r>
        <w:rPr>
          <w:sz w:val="18"/>
          <w:szCs w:val="18"/>
          <w:lang w:val="fr-FR"/>
        </w:rPr>
        <w:t>’</w:t>
      </w:r>
      <w:r w:rsidR="00EA3338" w:rsidRPr="0016157A">
        <w:rPr>
          <w:sz w:val="18"/>
          <w:szCs w:val="18"/>
          <w:lang w:val="fr-FR"/>
        </w:rPr>
        <w:t xml:space="preserve">expression, une fois trouvés, peuvent être </w:t>
      </w:r>
      <w:r w:rsidR="00EA3338" w:rsidRPr="0016157A">
        <w:rPr>
          <w:strike/>
          <w:sz w:val="18"/>
          <w:szCs w:val="18"/>
          <w:highlight w:val="lightGray"/>
          <w:lang w:val="fr-FR"/>
        </w:rPr>
        <w:t>recopiés directement dans</w:t>
      </w:r>
      <w:r w:rsidR="00EA3338" w:rsidRPr="0016157A">
        <w:rPr>
          <w:sz w:val="18"/>
          <w:szCs w:val="18"/>
          <w:lang w:val="fr-FR"/>
        </w:rPr>
        <w:t xml:space="preserve"> </w:t>
      </w:r>
      <w:r w:rsidR="00EA3338" w:rsidRPr="0016157A">
        <w:rPr>
          <w:sz w:val="18"/>
          <w:szCs w:val="18"/>
          <w:highlight w:val="lightGray"/>
          <w:u w:val="single"/>
          <w:lang w:val="fr-FR"/>
        </w:rPr>
        <w:t>sélectionnés pour</w:t>
      </w:r>
      <w:r w:rsidR="00EA3338" w:rsidRPr="0016157A">
        <w:rPr>
          <w:sz w:val="18"/>
          <w:szCs w:val="18"/>
          <w:lang w:val="fr-FR"/>
        </w:rPr>
        <w:t xml:space="preserve"> les nouveaux principes directeurs d</w:t>
      </w:r>
      <w:r>
        <w:rPr>
          <w:sz w:val="18"/>
          <w:szCs w:val="18"/>
          <w:lang w:val="fr-FR"/>
        </w:rPr>
        <w:t>’</w:t>
      </w:r>
      <w:r w:rsidR="00EA3338" w:rsidRPr="0016157A">
        <w:rPr>
          <w:sz w:val="18"/>
          <w:szCs w:val="18"/>
          <w:lang w:val="fr-FR"/>
        </w:rPr>
        <w:t>examen.  On doit toutefois garder à l</w:t>
      </w:r>
      <w:r>
        <w:rPr>
          <w:sz w:val="18"/>
          <w:szCs w:val="18"/>
          <w:lang w:val="fr-FR"/>
        </w:rPr>
        <w:t>’</w:t>
      </w:r>
      <w:r w:rsidR="00EA3338" w:rsidRPr="0016157A">
        <w:rPr>
          <w:sz w:val="18"/>
          <w:szCs w:val="18"/>
          <w:lang w:val="fr-FR"/>
        </w:rPr>
        <w:t>esprit que des caractères apparemment très semblables dans différents types de plante ou différents organes d</w:t>
      </w:r>
      <w:r>
        <w:rPr>
          <w:sz w:val="18"/>
          <w:szCs w:val="18"/>
          <w:lang w:val="fr-FR"/>
        </w:rPr>
        <w:t>’</w:t>
      </w:r>
      <w:r w:rsidR="00EA3338" w:rsidRPr="0016157A">
        <w:rPr>
          <w:sz w:val="18"/>
          <w:szCs w:val="18"/>
          <w:lang w:val="fr-FR"/>
        </w:rPr>
        <w:t xml:space="preserve">une même plante peuvent correspondre en fait à différents types de déterminisme génétique.  Ainsi, le caractère </w:t>
      </w:r>
      <w:r>
        <w:rPr>
          <w:sz w:val="18"/>
          <w:szCs w:val="18"/>
          <w:lang w:val="fr-FR"/>
        </w:rPr>
        <w:t>“</w:t>
      </w:r>
      <w:r w:rsidR="00EA3338" w:rsidRPr="0016157A">
        <w:rPr>
          <w:sz w:val="18"/>
          <w:szCs w:val="18"/>
          <w:lang w:val="fr-FR"/>
        </w:rPr>
        <w:t>profil</w:t>
      </w:r>
      <w:r>
        <w:rPr>
          <w:sz w:val="18"/>
          <w:szCs w:val="18"/>
          <w:lang w:val="fr-FR"/>
        </w:rPr>
        <w:t>”</w:t>
      </w:r>
      <w:r w:rsidR="00EA3338" w:rsidRPr="0016157A">
        <w:rPr>
          <w:sz w:val="18"/>
          <w:szCs w:val="18"/>
          <w:lang w:val="fr-FR"/>
        </w:rPr>
        <w:t xml:space="preserve"> peut être qualitatif dans un type de plante ou d</w:t>
      </w:r>
      <w:r>
        <w:rPr>
          <w:sz w:val="18"/>
          <w:szCs w:val="18"/>
          <w:lang w:val="fr-FR"/>
        </w:rPr>
        <w:t>’</w:t>
      </w:r>
      <w:r w:rsidR="00EA3338" w:rsidRPr="0016157A">
        <w:rPr>
          <w:sz w:val="18"/>
          <w:szCs w:val="18"/>
          <w:lang w:val="fr-FR"/>
        </w:rPr>
        <w:t>organe (par exemple droit (1), coudé (2)), alors qu</w:t>
      </w:r>
      <w:r>
        <w:rPr>
          <w:sz w:val="18"/>
          <w:szCs w:val="18"/>
          <w:lang w:val="fr-FR"/>
        </w:rPr>
        <w:t>’</w:t>
      </w:r>
      <w:r w:rsidR="00EA3338" w:rsidRPr="0016157A">
        <w:rPr>
          <w:sz w:val="18"/>
          <w:szCs w:val="18"/>
          <w:lang w:val="fr-FR"/>
        </w:rPr>
        <w:t>il peut être quantitatif dans un autre (par exemple droit ou légèrement coudé (1), modérément coudé (2), fortement coudé (3))</w:t>
      </w:r>
      <w:r w:rsidR="00EA3338" w:rsidRPr="0016157A">
        <w:rPr>
          <w:sz w:val="18"/>
          <w:lang w:val="fr-FR"/>
        </w:rPr>
        <w:t>.</w:t>
      </w:r>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sz w:val="18"/>
          <w:szCs w:val="18"/>
          <w:lang w:val="fr-FR"/>
        </w:rPr>
        <w:t xml:space="preserve">Si le caractère souhaité </w:t>
      </w:r>
      <w:r w:rsidR="00EA3338" w:rsidRPr="0016157A">
        <w:rPr>
          <w:strike/>
          <w:sz w:val="18"/>
          <w:szCs w:val="18"/>
          <w:highlight w:val="lightGray"/>
          <w:lang w:val="fr-FR"/>
        </w:rPr>
        <w:t>ne figure pas dans la liste</w:t>
      </w:r>
      <w:r w:rsidR="00EA3338" w:rsidRPr="0016157A">
        <w:rPr>
          <w:sz w:val="18"/>
          <w:szCs w:val="18"/>
          <w:lang w:val="fr-FR"/>
        </w:rPr>
        <w:t xml:space="preserve"> </w:t>
      </w:r>
      <w:r w:rsidR="00EA3338" w:rsidRPr="0016157A">
        <w:rPr>
          <w:sz w:val="18"/>
          <w:szCs w:val="18"/>
          <w:highlight w:val="lightGray"/>
          <w:u w:val="single"/>
          <w:lang w:val="fr-FR"/>
        </w:rPr>
        <w:t>n</w:t>
      </w:r>
      <w:r>
        <w:rPr>
          <w:sz w:val="18"/>
          <w:szCs w:val="18"/>
          <w:highlight w:val="lightGray"/>
          <w:u w:val="single"/>
          <w:lang w:val="fr-FR"/>
        </w:rPr>
        <w:t>’</w:t>
      </w:r>
      <w:r w:rsidR="00EA3338" w:rsidRPr="0016157A">
        <w:rPr>
          <w:sz w:val="18"/>
          <w:szCs w:val="18"/>
          <w:highlight w:val="lightGray"/>
          <w:u w:val="single"/>
          <w:lang w:val="fr-FR"/>
        </w:rPr>
        <w:t>est pas un caractère approuvé</w:t>
      </w:r>
      <w:r w:rsidR="00EA3338" w:rsidRPr="0016157A">
        <w:rPr>
          <w:sz w:val="18"/>
          <w:szCs w:val="18"/>
          <w:lang w:val="fr-FR"/>
        </w:rPr>
        <w:t>, on trouvera d</w:t>
      </w:r>
      <w:r>
        <w:rPr>
          <w:sz w:val="18"/>
          <w:szCs w:val="18"/>
          <w:lang w:val="fr-FR"/>
        </w:rPr>
        <w:t>’</w:t>
      </w:r>
      <w:r w:rsidR="00EA3338" w:rsidRPr="0016157A">
        <w:rPr>
          <w:sz w:val="18"/>
          <w:szCs w:val="18"/>
          <w:lang w:val="fr-FR"/>
        </w:rPr>
        <w:t>autres indications dans les notes GN 18, GN 19 et GN 20</w:t>
      </w:r>
      <w:r w:rsidR="00EA3338" w:rsidRPr="0016157A">
        <w:rPr>
          <w:rFonts w:cs="Arial"/>
          <w:sz w:val="18"/>
          <w:szCs w:val="18"/>
          <w:lang w:val="fr-FR"/>
        </w:rPr>
        <w:t>.</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Pr>
          <w:sz w:val="18"/>
          <w:lang w:val="fr-FR"/>
        </w:rPr>
      </w:pPr>
      <w:bookmarkStart w:id="92" w:name="_Toc27819194"/>
      <w:bookmarkStart w:id="93" w:name="_Toc27819375"/>
      <w:bookmarkStart w:id="94" w:name="_Toc27819556"/>
      <w:bookmarkStart w:id="95" w:name="_Toc463342996"/>
      <w:bookmarkStart w:id="96" w:name="_Toc478118892"/>
      <w:r>
        <w:rPr>
          <w:rFonts w:cs="Arial"/>
          <w:sz w:val="18"/>
          <w:szCs w:val="18"/>
          <w:lang w:val="fr-FR"/>
        </w:rPr>
        <w:t>“</w:t>
      </w:r>
      <w:r w:rsidR="00EA3338" w:rsidRPr="0016157A">
        <w:rPr>
          <w:rFonts w:cs="Arial"/>
          <w:sz w:val="18"/>
          <w:szCs w:val="18"/>
          <w:lang w:val="fr-FR"/>
        </w:rPr>
        <w:t>GN 18</w:t>
      </w:r>
      <w:r w:rsidR="00EA3338" w:rsidRPr="0016157A">
        <w:rPr>
          <w:rFonts w:cs="Arial"/>
          <w:sz w:val="18"/>
          <w:szCs w:val="18"/>
          <w:lang w:val="fr-FR"/>
        </w:rPr>
        <w:tab/>
        <w:t>(</w:t>
      </w:r>
      <w:bookmarkEnd w:id="92"/>
      <w:bookmarkEnd w:id="93"/>
      <w:bookmarkEnd w:id="94"/>
      <w:bookmarkEnd w:id="95"/>
      <w:r w:rsidR="00EA3338" w:rsidRPr="0016157A">
        <w:rPr>
          <w:sz w:val="18"/>
          <w:szCs w:val="18"/>
          <w:lang w:val="fr-FR"/>
        </w:rPr>
        <w:t xml:space="preserve">Chapitre 7 </w:t>
      </w:r>
      <w:r w:rsidR="00EA3338" w:rsidRPr="0016157A">
        <w:rPr>
          <w:strike/>
          <w:sz w:val="18"/>
          <w:szCs w:val="18"/>
          <w:highlight w:val="lightGray"/>
          <w:lang w:val="fr-FR"/>
        </w:rPr>
        <w:t>du modèle : colonne 3</w:t>
      </w:r>
      <w:r w:rsidR="00EA3338" w:rsidRPr="0016157A">
        <w:rPr>
          <w:sz w:val="18"/>
          <w:szCs w:val="18"/>
          <w:lang w:val="fr-FR"/>
        </w:rPr>
        <w:t>) – Présentation des caractères : désignation du caractère</w:t>
      </w:r>
      <w:r>
        <w:rPr>
          <w:rFonts w:cs="Arial"/>
          <w:sz w:val="18"/>
          <w:szCs w:val="18"/>
          <w:lang w:val="fr-FR"/>
        </w:rPr>
        <w:t>”</w:t>
      </w:r>
      <w:bookmarkEnd w:id="96"/>
    </w:p>
    <w:p w:rsidR="00EA3338" w:rsidRPr="0016157A" w:rsidRDefault="00EA3338" w:rsidP="00C249E4">
      <w:pPr>
        <w:ind w:left="567"/>
        <w:rPr>
          <w:sz w:val="18"/>
          <w:lang w:val="fr-FR"/>
        </w:rPr>
      </w:pPr>
    </w:p>
    <w:p w:rsidR="00EA3338" w:rsidRPr="0016157A" w:rsidRDefault="00EA3338" w:rsidP="00C249E4">
      <w:pPr>
        <w:ind w:left="567"/>
        <w:rPr>
          <w:sz w:val="18"/>
          <w:lang w:val="fr-FR"/>
        </w:rPr>
      </w:pPr>
      <w:r w:rsidRPr="0016157A">
        <w:rPr>
          <w:sz w:val="18"/>
          <w:lang w:val="fr-FR"/>
        </w:rPr>
        <w:t>[…]</w:t>
      </w:r>
    </w:p>
    <w:p w:rsidR="00EA3338" w:rsidRPr="0016157A" w:rsidRDefault="00EA3338" w:rsidP="00C249E4">
      <w:pPr>
        <w:ind w:left="567"/>
        <w:rPr>
          <w:sz w:val="18"/>
          <w:lang w:val="fr-FR"/>
        </w:rPr>
      </w:pPr>
    </w:p>
    <w:p w:rsidR="00EA3338" w:rsidRPr="0016157A" w:rsidRDefault="00B4091E" w:rsidP="00C249E4">
      <w:pPr>
        <w:ind w:left="567"/>
        <w:rPr>
          <w:sz w:val="18"/>
          <w:lang w:val="fr-FR"/>
        </w:rPr>
      </w:pPr>
      <w:bookmarkStart w:id="97" w:name="_Toc27819199"/>
      <w:bookmarkStart w:id="98" w:name="_Toc27819380"/>
      <w:bookmarkStart w:id="99" w:name="_Toc27819561"/>
      <w:bookmarkStart w:id="100" w:name="_Toc463343000"/>
      <w:bookmarkStart w:id="101" w:name="_Toc478118893"/>
      <w:r>
        <w:rPr>
          <w:rFonts w:cs="Arial"/>
          <w:sz w:val="18"/>
          <w:szCs w:val="18"/>
          <w:lang w:val="fr-FR"/>
        </w:rPr>
        <w:t>“</w:t>
      </w:r>
      <w:r w:rsidR="00EA3338" w:rsidRPr="0016157A">
        <w:rPr>
          <w:rFonts w:cs="Arial"/>
          <w:sz w:val="18"/>
          <w:szCs w:val="18"/>
          <w:lang w:val="fr-FR"/>
        </w:rPr>
        <w:t>GN 19</w:t>
      </w:r>
      <w:r w:rsidR="00EA3338" w:rsidRPr="0016157A">
        <w:rPr>
          <w:rFonts w:cs="Arial"/>
          <w:sz w:val="18"/>
          <w:szCs w:val="18"/>
          <w:lang w:val="fr-FR"/>
        </w:rPr>
        <w:tab/>
        <w:t>(</w:t>
      </w:r>
      <w:bookmarkEnd w:id="97"/>
      <w:bookmarkEnd w:id="98"/>
      <w:bookmarkEnd w:id="99"/>
      <w:bookmarkEnd w:id="100"/>
      <w:r w:rsidR="00EA3338" w:rsidRPr="0016157A">
        <w:rPr>
          <w:sz w:val="18"/>
          <w:szCs w:val="18"/>
          <w:lang w:val="fr-FR"/>
        </w:rPr>
        <w:t xml:space="preserve">Chapitre 7 </w:t>
      </w:r>
      <w:r w:rsidR="00EA3338" w:rsidRPr="0016157A">
        <w:rPr>
          <w:strike/>
          <w:sz w:val="18"/>
          <w:szCs w:val="18"/>
          <w:highlight w:val="lightGray"/>
          <w:lang w:val="fr-FR"/>
        </w:rPr>
        <w:t>du modèle : colonne 3</w:t>
      </w:r>
      <w:r w:rsidR="00EA3338" w:rsidRPr="0016157A">
        <w:rPr>
          <w:sz w:val="18"/>
          <w:szCs w:val="18"/>
          <w:lang w:val="fr-FR"/>
        </w:rPr>
        <w:t>) – Présentation des caractères : présentation générale des niveaux d</w:t>
      </w:r>
      <w:r>
        <w:rPr>
          <w:sz w:val="18"/>
          <w:szCs w:val="18"/>
          <w:lang w:val="fr-FR"/>
        </w:rPr>
        <w:t>’</w:t>
      </w:r>
      <w:r w:rsidR="00EA3338" w:rsidRPr="0016157A">
        <w:rPr>
          <w:sz w:val="18"/>
          <w:szCs w:val="18"/>
          <w:lang w:val="fr-FR"/>
        </w:rPr>
        <w:t>expression</w:t>
      </w:r>
      <w:r>
        <w:rPr>
          <w:rFonts w:cs="Arial"/>
          <w:sz w:val="18"/>
          <w:szCs w:val="18"/>
          <w:lang w:val="fr-FR"/>
        </w:rPr>
        <w:t>”</w:t>
      </w:r>
      <w:bookmarkEnd w:id="101"/>
    </w:p>
    <w:p w:rsidR="00EA3338" w:rsidRPr="0016157A" w:rsidRDefault="00EA3338" w:rsidP="00C249E4">
      <w:pPr>
        <w:ind w:left="567"/>
        <w:rPr>
          <w:sz w:val="18"/>
          <w:lang w:val="fr-FR"/>
        </w:rPr>
      </w:pPr>
    </w:p>
    <w:p w:rsidR="00EA3338" w:rsidRPr="0016157A" w:rsidRDefault="00B4091E" w:rsidP="00C249E4">
      <w:pPr>
        <w:ind w:left="567"/>
        <w:rPr>
          <w:sz w:val="18"/>
          <w:lang w:val="fr-FR"/>
        </w:rPr>
      </w:pPr>
      <w:bookmarkStart w:id="102" w:name="_Toc463343009"/>
      <w:bookmarkStart w:id="103" w:name="_Toc478118894"/>
      <w:r>
        <w:rPr>
          <w:rFonts w:cs="Arial"/>
          <w:sz w:val="18"/>
          <w:szCs w:val="18"/>
          <w:lang w:val="fr-FR"/>
        </w:rPr>
        <w:t>“</w:t>
      </w:r>
      <w:r w:rsidR="00EA3338" w:rsidRPr="0016157A">
        <w:rPr>
          <w:rFonts w:cs="Arial"/>
          <w:sz w:val="18"/>
          <w:szCs w:val="18"/>
          <w:lang w:val="fr-FR"/>
        </w:rPr>
        <w:t>GN 20</w:t>
      </w:r>
      <w:r w:rsidR="00EA3338" w:rsidRPr="0016157A">
        <w:rPr>
          <w:rFonts w:cs="Arial"/>
          <w:sz w:val="18"/>
          <w:szCs w:val="18"/>
          <w:lang w:val="fr-FR"/>
        </w:rPr>
        <w:tab/>
        <w:t>(</w:t>
      </w:r>
      <w:bookmarkEnd w:id="102"/>
      <w:r w:rsidR="00EA3338" w:rsidRPr="0016157A">
        <w:rPr>
          <w:sz w:val="18"/>
          <w:szCs w:val="18"/>
          <w:lang w:val="fr-FR"/>
        </w:rPr>
        <w:t xml:space="preserve">Chapitre 7 </w:t>
      </w:r>
      <w:r w:rsidR="00EA3338" w:rsidRPr="0016157A">
        <w:rPr>
          <w:strike/>
          <w:sz w:val="18"/>
          <w:szCs w:val="18"/>
          <w:highlight w:val="lightGray"/>
          <w:lang w:val="fr-FR"/>
        </w:rPr>
        <w:t>du modèle : colonne 3</w:t>
      </w:r>
      <w:r w:rsidR="00EA3338" w:rsidRPr="0016157A">
        <w:rPr>
          <w:sz w:val="18"/>
          <w:szCs w:val="18"/>
          <w:lang w:val="fr-FR"/>
        </w:rPr>
        <w:t>) – Présentation des caractères : niveaux d</w:t>
      </w:r>
      <w:r>
        <w:rPr>
          <w:sz w:val="18"/>
          <w:szCs w:val="18"/>
          <w:lang w:val="fr-FR"/>
        </w:rPr>
        <w:t>’</w:t>
      </w:r>
      <w:r w:rsidR="00EA3338" w:rsidRPr="0016157A">
        <w:rPr>
          <w:sz w:val="18"/>
          <w:szCs w:val="18"/>
          <w:lang w:val="fr-FR"/>
        </w:rPr>
        <w:t>expression selon le type d</w:t>
      </w:r>
      <w:r>
        <w:rPr>
          <w:sz w:val="18"/>
          <w:szCs w:val="18"/>
          <w:lang w:val="fr-FR"/>
        </w:rPr>
        <w:t>’</w:t>
      </w:r>
      <w:r w:rsidR="00EA3338" w:rsidRPr="0016157A">
        <w:rPr>
          <w:sz w:val="18"/>
          <w:szCs w:val="18"/>
          <w:lang w:val="fr-FR"/>
        </w:rPr>
        <w:t>expression d</w:t>
      </w:r>
      <w:r>
        <w:rPr>
          <w:sz w:val="18"/>
          <w:szCs w:val="18"/>
          <w:lang w:val="fr-FR"/>
        </w:rPr>
        <w:t>’</w:t>
      </w:r>
      <w:r w:rsidR="00EA3338" w:rsidRPr="0016157A">
        <w:rPr>
          <w:sz w:val="18"/>
          <w:szCs w:val="18"/>
          <w:lang w:val="fr-FR"/>
        </w:rPr>
        <w:t>un caractère</w:t>
      </w:r>
      <w:r>
        <w:rPr>
          <w:rFonts w:cs="Arial"/>
          <w:sz w:val="18"/>
          <w:szCs w:val="18"/>
          <w:lang w:val="fr-FR"/>
        </w:rPr>
        <w:t>”</w:t>
      </w:r>
      <w:bookmarkEnd w:id="103"/>
    </w:p>
    <w:p w:rsidR="00EA3338" w:rsidRPr="0016157A" w:rsidRDefault="00EA3338" w:rsidP="00C249E4">
      <w:pPr>
        <w:ind w:left="567" w:right="567"/>
        <w:rPr>
          <w:rFonts w:cs="Arial"/>
          <w:sz w:val="18"/>
          <w:szCs w:val="18"/>
          <w:lang w:val="fr-FR"/>
        </w:rPr>
      </w:pPr>
      <w:bookmarkStart w:id="104" w:name="_Toc478118284"/>
    </w:p>
    <w:p w:rsidR="00EA3338" w:rsidRPr="0016157A" w:rsidRDefault="00B4091E" w:rsidP="00C249E4">
      <w:pPr>
        <w:ind w:left="567"/>
        <w:rPr>
          <w:sz w:val="18"/>
          <w:lang w:val="fr-FR"/>
        </w:rPr>
      </w:pPr>
      <w:bookmarkStart w:id="105" w:name="_Toc27819191"/>
      <w:bookmarkStart w:id="106" w:name="_Toc27819372"/>
      <w:bookmarkStart w:id="107" w:name="_Toc27819553"/>
      <w:bookmarkStart w:id="108" w:name="_Toc226858814"/>
      <w:bookmarkStart w:id="109" w:name="_Toc463343031"/>
      <w:bookmarkStart w:id="110" w:name="_Toc478118895"/>
      <w:r>
        <w:rPr>
          <w:rFonts w:cs="Arial"/>
          <w:sz w:val="18"/>
          <w:szCs w:val="18"/>
          <w:lang w:val="fr-FR"/>
        </w:rPr>
        <w:t>“</w:t>
      </w:r>
      <w:r w:rsidR="00EA3338" w:rsidRPr="0016157A">
        <w:rPr>
          <w:rFonts w:cs="Arial"/>
          <w:sz w:val="18"/>
          <w:szCs w:val="18"/>
          <w:lang w:val="fr-FR"/>
        </w:rPr>
        <w:t>GN 21</w:t>
      </w:r>
      <w:r w:rsidR="00EA3338" w:rsidRPr="0016157A">
        <w:rPr>
          <w:rFonts w:cs="Arial"/>
          <w:sz w:val="18"/>
          <w:szCs w:val="18"/>
          <w:lang w:val="fr-FR"/>
        </w:rPr>
        <w:tab/>
        <w:t>(</w:t>
      </w:r>
      <w:bookmarkEnd w:id="105"/>
      <w:bookmarkEnd w:id="106"/>
      <w:bookmarkEnd w:id="107"/>
      <w:bookmarkEnd w:id="108"/>
      <w:bookmarkEnd w:id="109"/>
      <w:r w:rsidR="00EA3338" w:rsidRPr="0016157A">
        <w:rPr>
          <w:sz w:val="18"/>
          <w:szCs w:val="18"/>
          <w:lang w:val="fr-FR"/>
        </w:rPr>
        <w:t xml:space="preserve">Chapitre 7 </w:t>
      </w:r>
      <w:r w:rsidR="00EA3338" w:rsidRPr="0016157A">
        <w:rPr>
          <w:strike/>
          <w:sz w:val="18"/>
          <w:szCs w:val="18"/>
          <w:highlight w:val="lightGray"/>
          <w:lang w:val="fr-FR"/>
        </w:rPr>
        <w:t>du modèle : colonne 1, niveau d</w:t>
      </w:r>
      <w:r>
        <w:rPr>
          <w:strike/>
          <w:sz w:val="18"/>
          <w:szCs w:val="18"/>
          <w:highlight w:val="lightGray"/>
          <w:lang w:val="fr-FR"/>
        </w:rPr>
        <w:t>’</w:t>
      </w:r>
      <w:r w:rsidR="00EA3338" w:rsidRPr="0016157A">
        <w:rPr>
          <w:strike/>
          <w:sz w:val="18"/>
          <w:szCs w:val="18"/>
          <w:highlight w:val="lightGray"/>
          <w:lang w:val="fr-FR"/>
        </w:rPr>
        <w:t>expression, rang 1</w:t>
      </w:r>
      <w:r w:rsidR="00EA3338" w:rsidRPr="0016157A">
        <w:rPr>
          <w:sz w:val="18"/>
          <w:szCs w:val="18"/>
          <w:lang w:val="fr-FR"/>
        </w:rPr>
        <w:t>) – Type d</w:t>
      </w:r>
      <w:r>
        <w:rPr>
          <w:sz w:val="18"/>
          <w:szCs w:val="18"/>
          <w:lang w:val="fr-FR"/>
        </w:rPr>
        <w:t>’</w:t>
      </w:r>
      <w:r w:rsidR="00EA3338" w:rsidRPr="0016157A">
        <w:rPr>
          <w:sz w:val="18"/>
          <w:szCs w:val="18"/>
          <w:lang w:val="fr-FR"/>
        </w:rPr>
        <w:t>expression du caractère</w:t>
      </w:r>
      <w:r>
        <w:rPr>
          <w:rFonts w:cs="Arial"/>
          <w:sz w:val="18"/>
          <w:szCs w:val="18"/>
          <w:lang w:val="fr-FR"/>
        </w:rPr>
        <w:t>”</w:t>
      </w:r>
      <w:bookmarkEnd w:id="104"/>
      <w:bookmarkEnd w:id="110"/>
    </w:p>
    <w:p w:rsidR="00EA3338" w:rsidRPr="0016157A" w:rsidRDefault="00EA3338" w:rsidP="00C249E4">
      <w:pPr>
        <w:ind w:left="567"/>
        <w:rPr>
          <w:sz w:val="18"/>
          <w:lang w:val="fr-FR"/>
        </w:rPr>
      </w:pPr>
    </w:p>
    <w:p w:rsidR="00EA3338" w:rsidRPr="0016157A" w:rsidRDefault="00B4091E" w:rsidP="00C249E4">
      <w:pPr>
        <w:ind w:left="567"/>
        <w:rPr>
          <w:sz w:val="18"/>
          <w:lang w:val="fr-FR"/>
        </w:rPr>
      </w:pPr>
      <w:bookmarkStart w:id="111" w:name="_Toc226858815"/>
      <w:bookmarkStart w:id="112" w:name="_Toc463343032"/>
      <w:bookmarkStart w:id="113" w:name="_Toc478118896"/>
      <w:r>
        <w:rPr>
          <w:rFonts w:cs="Arial"/>
          <w:sz w:val="18"/>
          <w:szCs w:val="18"/>
          <w:lang w:val="fr-FR"/>
        </w:rPr>
        <w:t>“</w:t>
      </w:r>
      <w:r w:rsidR="00EA3338" w:rsidRPr="0016157A">
        <w:rPr>
          <w:rFonts w:cs="Arial"/>
          <w:sz w:val="18"/>
          <w:szCs w:val="18"/>
          <w:lang w:val="fr-FR"/>
        </w:rPr>
        <w:t xml:space="preserve">GN 22 </w:t>
      </w:r>
      <w:r w:rsidR="00EA3338" w:rsidRPr="0016157A">
        <w:rPr>
          <w:rFonts w:cs="Arial"/>
          <w:sz w:val="18"/>
          <w:szCs w:val="18"/>
          <w:lang w:val="fr-FR"/>
        </w:rPr>
        <w:tab/>
        <w:t>(</w:t>
      </w:r>
      <w:bookmarkEnd w:id="111"/>
      <w:bookmarkEnd w:id="112"/>
      <w:r w:rsidR="00EA3338" w:rsidRPr="0016157A">
        <w:rPr>
          <w:sz w:val="18"/>
          <w:szCs w:val="18"/>
          <w:lang w:val="fr-FR"/>
        </w:rPr>
        <w:t xml:space="preserve">Chapitre 7 </w:t>
      </w:r>
      <w:r w:rsidR="00EA3338" w:rsidRPr="0016157A">
        <w:rPr>
          <w:strike/>
          <w:sz w:val="18"/>
          <w:szCs w:val="18"/>
          <w:highlight w:val="lightGray"/>
          <w:lang w:val="fr-FR"/>
        </w:rPr>
        <w:t>du modèle : colonne 1, en</w:t>
      </w:r>
      <w:r w:rsidR="00EA3338" w:rsidRPr="0016157A">
        <w:rPr>
          <w:strike/>
          <w:sz w:val="18"/>
          <w:szCs w:val="18"/>
          <w:highlight w:val="lightGray"/>
          <w:lang w:val="fr-FR"/>
        </w:rPr>
        <w:noBreakHyphen/>
        <w:t>tête, rang 3</w:t>
      </w:r>
      <w:r w:rsidR="00EA3338" w:rsidRPr="0016157A">
        <w:rPr>
          <w:sz w:val="18"/>
          <w:szCs w:val="18"/>
          <w:lang w:val="fr-FR"/>
        </w:rPr>
        <w:t>) – Explications de certains caractères</w:t>
      </w:r>
      <w:r>
        <w:rPr>
          <w:rFonts w:cs="Arial"/>
          <w:sz w:val="18"/>
          <w:szCs w:val="18"/>
          <w:lang w:val="fr-FR"/>
        </w:rPr>
        <w:t>”</w:t>
      </w:r>
      <w:bookmarkEnd w:id="113"/>
    </w:p>
    <w:p w:rsidR="00EA3338" w:rsidRPr="0016157A" w:rsidRDefault="00EA3338" w:rsidP="00C249E4">
      <w:pPr>
        <w:ind w:left="567"/>
        <w:rPr>
          <w:sz w:val="18"/>
          <w:lang w:val="fr-FR"/>
        </w:rPr>
      </w:pPr>
    </w:p>
    <w:p w:rsidR="00EA3338" w:rsidRPr="0016157A" w:rsidRDefault="00B4091E" w:rsidP="00C249E4">
      <w:pPr>
        <w:ind w:left="567"/>
        <w:rPr>
          <w:sz w:val="18"/>
          <w:lang w:val="fr-FR"/>
        </w:rPr>
      </w:pPr>
      <w:bookmarkStart w:id="114" w:name="_Toc226858816"/>
      <w:bookmarkStart w:id="115" w:name="_Toc463343033"/>
      <w:bookmarkStart w:id="116" w:name="_Toc478118897"/>
      <w:r>
        <w:rPr>
          <w:rFonts w:cs="Arial"/>
          <w:sz w:val="18"/>
          <w:szCs w:val="18"/>
          <w:lang w:val="fr-FR"/>
        </w:rPr>
        <w:t>“</w:t>
      </w:r>
      <w:r w:rsidR="00EA3338" w:rsidRPr="0016157A">
        <w:rPr>
          <w:rFonts w:cs="Arial"/>
          <w:sz w:val="18"/>
          <w:szCs w:val="18"/>
          <w:lang w:val="fr-FR"/>
        </w:rPr>
        <w:t>GN 23</w:t>
      </w:r>
      <w:r w:rsidR="00EA3338" w:rsidRPr="0016157A">
        <w:rPr>
          <w:rFonts w:cs="Arial"/>
          <w:sz w:val="18"/>
          <w:szCs w:val="18"/>
          <w:lang w:val="fr-FR"/>
        </w:rPr>
        <w:tab/>
        <w:t>(</w:t>
      </w:r>
      <w:bookmarkEnd w:id="114"/>
      <w:bookmarkEnd w:id="115"/>
      <w:r w:rsidR="00EA3338" w:rsidRPr="0016157A">
        <w:rPr>
          <w:sz w:val="18"/>
          <w:szCs w:val="18"/>
          <w:lang w:val="fr-FR"/>
        </w:rPr>
        <w:t xml:space="preserve">Chapitre 7 </w:t>
      </w:r>
      <w:r w:rsidR="00EA3338" w:rsidRPr="0016157A">
        <w:rPr>
          <w:strike/>
          <w:sz w:val="18"/>
          <w:szCs w:val="18"/>
          <w:highlight w:val="lightGray"/>
          <w:lang w:val="fr-FR"/>
        </w:rPr>
        <w:t>du modèle</w:t>
      </w:r>
      <w:r w:rsidR="00EA3338" w:rsidRPr="0016157A">
        <w:rPr>
          <w:sz w:val="18"/>
          <w:szCs w:val="18"/>
          <w:lang w:val="fr-FR"/>
        </w:rPr>
        <w:t xml:space="preserve"> : </w:t>
      </w:r>
      <w:r w:rsidR="00EA3338" w:rsidRPr="0016157A">
        <w:rPr>
          <w:strike/>
          <w:sz w:val="18"/>
          <w:szCs w:val="18"/>
          <w:highlight w:val="lightGray"/>
          <w:lang w:val="fr-FR"/>
        </w:rPr>
        <w:t>colonne 2, niveau d</w:t>
      </w:r>
      <w:r>
        <w:rPr>
          <w:strike/>
          <w:sz w:val="18"/>
          <w:szCs w:val="18"/>
          <w:highlight w:val="lightGray"/>
          <w:lang w:val="fr-FR"/>
        </w:rPr>
        <w:t>’</w:t>
      </w:r>
      <w:r w:rsidR="00EA3338" w:rsidRPr="0016157A">
        <w:rPr>
          <w:strike/>
          <w:sz w:val="18"/>
          <w:szCs w:val="18"/>
          <w:highlight w:val="lightGray"/>
          <w:lang w:val="fr-FR"/>
        </w:rPr>
        <w:t>expression, rang 1</w:t>
      </w:r>
      <w:r w:rsidR="00EA3338" w:rsidRPr="0016157A">
        <w:rPr>
          <w:sz w:val="18"/>
          <w:szCs w:val="18"/>
          <w:lang w:val="fr-FR"/>
        </w:rPr>
        <w:t>) – Explication portant sur plusieurs caractères</w:t>
      </w:r>
      <w:bookmarkEnd w:id="116"/>
    </w:p>
    <w:p w:rsidR="00EA3338" w:rsidRPr="0016157A" w:rsidRDefault="00EA3338" w:rsidP="00C249E4">
      <w:pPr>
        <w:ind w:left="567" w:right="567"/>
        <w:rPr>
          <w:sz w:val="18"/>
          <w:lang w:val="fr-FR"/>
        </w:rPr>
      </w:pPr>
    </w:p>
    <w:p w:rsidR="00EA3338" w:rsidRPr="0016157A" w:rsidRDefault="00B4091E" w:rsidP="00C249E4">
      <w:pPr>
        <w:ind w:left="567" w:right="567"/>
        <w:rPr>
          <w:sz w:val="18"/>
          <w:lang w:val="fr-FR"/>
        </w:rPr>
      </w:pPr>
      <w:r>
        <w:rPr>
          <w:rFonts w:cs="Arial"/>
          <w:sz w:val="18"/>
          <w:szCs w:val="18"/>
          <w:lang w:val="fr-FR"/>
        </w:rPr>
        <w:t>“</w:t>
      </w:r>
      <w:r w:rsidR="00EA3338" w:rsidRPr="0016157A">
        <w:rPr>
          <w:sz w:val="18"/>
          <w:szCs w:val="18"/>
          <w:lang w:val="fr-FR"/>
        </w:rPr>
        <w:t>Dans le cas où une explication s</w:t>
      </w:r>
      <w:r>
        <w:rPr>
          <w:sz w:val="18"/>
          <w:szCs w:val="18"/>
          <w:lang w:val="fr-FR"/>
        </w:rPr>
        <w:t>’</w:t>
      </w:r>
      <w:r w:rsidR="00EA3338" w:rsidRPr="0016157A">
        <w:rPr>
          <w:sz w:val="18"/>
          <w:szCs w:val="18"/>
          <w:lang w:val="fr-FR"/>
        </w:rPr>
        <w:t>applique à plusieurs caractères (par exemple, la partie de la plante sur laquelle il convient d</w:t>
      </w:r>
      <w:r>
        <w:rPr>
          <w:sz w:val="18"/>
          <w:szCs w:val="18"/>
          <w:lang w:val="fr-FR"/>
        </w:rPr>
        <w:t>’</w:t>
      </w:r>
      <w:r w:rsidR="00EA3338" w:rsidRPr="0016157A">
        <w:rPr>
          <w:sz w:val="18"/>
          <w:szCs w:val="18"/>
          <w:lang w:val="fr-FR"/>
        </w:rPr>
        <w:t>observer tel ou tel caractère, l</w:t>
      </w:r>
      <w:r>
        <w:rPr>
          <w:sz w:val="18"/>
          <w:szCs w:val="18"/>
          <w:lang w:val="fr-FR"/>
        </w:rPr>
        <w:t>’</w:t>
      </w:r>
      <w:r w:rsidR="00EA3338" w:rsidRPr="0016157A">
        <w:rPr>
          <w:sz w:val="18"/>
          <w:szCs w:val="18"/>
          <w:lang w:val="fr-FR"/>
        </w:rPr>
        <w:t>illustration des parties de plantes, etc.), s</w:t>
      </w:r>
      <w:r>
        <w:rPr>
          <w:sz w:val="18"/>
          <w:szCs w:val="18"/>
          <w:lang w:val="fr-FR"/>
        </w:rPr>
        <w:t>’</w:t>
      </w:r>
      <w:r w:rsidR="00EA3338" w:rsidRPr="0016157A">
        <w:rPr>
          <w:sz w:val="18"/>
          <w:szCs w:val="18"/>
          <w:lang w:val="fr-FR"/>
        </w:rPr>
        <w:t xml:space="preserve">agissant notamment de caractères qui ne se suivent pas immédiatement dans le tableau des caractères, une note est placée </w:t>
      </w:r>
      <w:r w:rsidR="00EA3338" w:rsidRPr="0016157A">
        <w:rPr>
          <w:strike/>
          <w:sz w:val="18"/>
          <w:szCs w:val="18"/>
          <w:highlight w:val="lightGray"/>
          <w:lang w:val="fr-FR"/>
        </w:rPr>
        <w:t>dans la colonne 2</w:t>
      </w:r>
      <w:r w:rsidR="00EA3338" w:rsidRPr="0016157A">
        <w:rPr>
          <w:sz w:val="18"/>
          <w:szCs w:val="18"/>
          <w:lang w:val="fr-FR"/>
        </w:rPr>
        <w:t xml:space="preserve"> </w:t>
      </w:r>
      <w:r w:rsidR="00EA3338" w:rsidRPr="0016157A">
        <w:rPr>
          <w:sz w:val="18"/>
          <w:szCs w:val="18"/>
          <w:highlight w:val="lightGray"/>
          <w:u w:val="single"/>
          <w:lang w:val="fr-FR"/>
        </w:rPr>
        <w:t>au</w:t>
      </w:r>
      <w:r w:rsidR="00EA3338" w:rsidRPr="0016157A">
        <w:rPr>
          <w:sz w:val="18"/>
          <w:szCs w:val="18"/>
          <w:highlight w:val="lightGray"/>
          <w:u w:val="single"/>
          <w:lang w:val="fr-FR"/>
        </w:rPr>
        <w:noBreakHyphen/>
        <w:t>dessus de l</w:t>
      </w:r>
      <w:r>
        <w:rPr>
          <w:sz w:val="18"/>
          <w:szCs w:val="18"/>
          <w:highlight w:val="lightGray"/>
          <w:u w:val="single"/>
          <w:lang w:val="fr-FR"/>
        </w:rPr>
        <w:t>’</w:t>
      </w:r>
      <w:r w:rsidR="00EA3338" w:rsidRPr="0016157A">
        <w:rPr>
          <w:sz w:val="18"/>
          <w:szCs w:val="18"/>
          <w:highlight w:val="lightGray"/>
          <w:u w:val="single"/>
          <w:lang w:val="fr-FR"/>
        </w:rPr>
        <w:t>en</w:t>
      </w:r>
      <w:r w:rsidR="00EA3338" w:rsidRPr="0016157A">
        <w:rPr>
          <w:sz w:val="18"/>
          <w:szCs w:val="18"/>
          <w:highlight w:val="lightGray"/>
          <w:u w:val="single"/>
          <w:lang w:val="fr-FR"/>
        </w:rPr>
        <w:noBreakHyphen/>
        <w:t>tête du caractère</w:t>
      </w:r>
      <w:r w:rsidR="00EA3338" w:rsidRPr="0016157A">
        <w:rPr>
          <w:sz w:val="18"/>
          <w:szCs w:val="18"/>
          <w:lang w:val="fr-FR"/>
        </w:rPr>
        <w:t xml:space="preserve"> et l</w:t>
      </w:r>
      <w:r>
        <w:rPr>
          <w:sz w:val="18"/>
          <w:szCs w:val="18"/>
          <w:lang w:val="fr-FR"/>
        </w:rPr>
        <w:t>’</w:t>
      </w:r>
      <w:r w:rsidR="00EA3338" w:rsidRPr="0016157A">
        <w:rPr>
          <w:sz w:val="18"/>
          <w:szCs w:val="18"/>
          <w:lang w:val="fr-FR"/>
        </w:rPr>
        <w:t>explication figure au chapitre 8.1, conformément à la section ASW 11.  En cas d</w:t>
      </w:r>
      <w:r>
        <w:rPr>
          <w:sz w:val="18"/>
          <w:szCs w:val="18"/>
          <w:lang w:val="fr-FR"/>
        </w:rPr>
        <w:t>’</w:t>
      </w:r>
      <w:r w:rsidR="00EA3338" w:rsidRPr="0016157A">
        <w:rPr>
          <w:sz w:val="18"/>
          <w:szCs w:val="18"/>
          <w:lang w:val="fr-FR"/>
        </w:rPr>
        <w:t>indications du stade d</w:t>
      </w:r>
      <w:r>
        <w:rPr>
          <w:sz w:val="18"/>
          <w:szCs w:val="18"/>
          <w:lang w:val="fr-FR"/>
        </w:rPr>
        <w:t>’</w:t>
      </w:r>
      <w:r w:rsidR="00EA3338" w:rsidRPr="0016157A">
        <w:rPr>
          <w:sz w:val="18"/>
          <w:szCs w:val="18"/>
          <w:lang w:val="fr-FR"/>
        </w:rPr>
        <w:t xml:space="preserve">observation, ces indications doivent être effectuées conformément à la note GN 24 </w:t>
      </w:r>
      <w:r>
        <w:rPr>
          <w:sz w:val="18"/>
          <w:szCs w:val="18"/>
          <w:lang w:val="fr-FR"/>
        </w:rPr>
        <w:t>“</w:t>
      </w:r>
      <w:r w:rsidR="00EA3338" w:rsidRPr="0016157A">
        <w:rPr>
          <w:sz w:val="18"/>
          <w:szCs w:val="18"/>
          <w:lang w:val="fr-FR"/>
        </w:rPr>
        <w:t>Stade de croissance</w:t>
      </w:r>
      <w:r>
        <w:rPr>
          <w:sz w:val="18"/>
          <w:szCs w:val="18"/>
          <w:lang w:val="fr-FR"/>
        </w:rPr>
        <w:t>”</w:t>
      </w:r>
      <w:r w:rsidR="00EA3338" w:rsidRPr="0016157A">
        <w:rPr>
          <w:rFonts w:cs="Arial"/>
          <w:sz w:val="18"/>
          <w:szCs w:val="18"/>
          <w:lang w:val="fr-FR"/>
        </w:rPr>
        <w:t>.</w:t>
      </w:r>
      <w:r>
        <w:rPr>
          <w:rFonts w:cs="Arial"/>
          <w:sz w:val="18"/>
          <w:szCs w:val="18"/>
          <w:lang w:val="fr-FR"/>
        </w:rPr>
        <w:t>”</w:t>
      </w:r>
    </w:p>
    <w:p w:rsidR="00EA3338" w:rsidRPr="0016157A" w:rsidRDefault="00EA3338" w:rsidP="00C249E4">
      <w:pPr>
        <w:ind w:left="567" w:right="567"/>
        <w:rPr>
          <w:sz w:val="18"/>
          <w:lang w:val="fr-FR"/>
        </w:rPr>
      </w:pPr>
    </w:p>
    <w:p w:rsidR="00EA3338" w:rsidRPr="0016157A" w:rsidRDefault="00B4091E" w:rsidP="00C249E4">
      <w:pPr>
        <w:ind w:left="567"/>
        <w:rPr>
          <w:sz w:val="18"/>
          <w:lang w:val="fr-FR"/>
        </w:rPr>
      </w:pPr>
      <w:bookmarkStart w:id="117" w:name="_Toc27819192"/>
      <w:bookmarkStart w:id="118" w:name="_Toc27819373"/>
      <w:bookmarkStart w:id="119" w:name="_Toc27819554"/>
      <w:bookmarkStart w:id="120" w:name="_Toc226858817"/>
      <w:bookmarkStart w:id="121" w:name="_Toc463343034"/>
      <w:bookmarkStart w:id="122" w:name="_Toc478118287"/>
      <w:r>
        <w:rPr>
          <w:sz w:val="18"/>
          <w:lang w:val="fr-FR"/>
        </w:rPr>
        <w:t>“</w:t>
      </w:r>
      <w:r w:rsidR="00EA3338" w:rsidRPr="0016157A">
        <w:rPr>
          <w:sz w:val="18"/>
          <w:lang w:val="fr-FR"/>
        </w:rPr>
        <w:t>GN 24</w:t>
      </w:r>
      <w:r w:rsidR="00EA3338" w:rsidRPr="0016157A">
        <w:rPr>
          <w:sz w:val="18"/>
          <w:lang w:val="fr-FR"/>
        </w:rPr>
        <w:tab/>
      </w:r>
      <w:bookmarkEnd w:id="117"/>
      <w:bookmarkEnd w:id="118"/>
      <w:bookmarkEnd w:id="119"/>
      <w:bookmarkEnd w:id="120"/>
      <w:bookmarkEnd w:id="121"/>
      <w:bookmarkEnd w:id="122"/>
      <w:r w:rsidR="00EA3338" w:rsidRPr="0016157A">
        <w:rPr>
          <w:rFonts w:cs="Arial"/>
          <w:sz w:val="18"/>
          <w:szCs w:val="18"/>
          <w:lang w:val="fr-FR"/>
        </w:rPr>
        <w:t>(</w:t>
      </w:r>
      <w:r w:rsidR="00EA3338" w:rsidRPr="0016157A">
        <w:rPr>
          <w:sz w:val="18"/>
          <w:szCs w:val="18"/>
          <w:lang w:val="fr-FR"/>
        </w:rPr>
        <w:t xml:space="preserve">Chapitre 7 </w:t>
      </w:r>
      <w:r w:rsidR="00EA3338" w:rsidRPr="0016157A">
        <w:rPr>
          <w:strike/>
          <w:sz w:val="18"/>
          <w:szCs w:val="18"/>
          <w:highlight w:val="lightGray"/>
          <w:lang w:val="fr-FR"/>
        </w:rPr>
        <w:t>du modèle : colonne 2, en</w:t>
      </w:r>
      <w:r w:rsidR="00EA3338" w:rsidRPr="0016157A">
        <w:rPr>
          <w:strike/>
          <w:sz w:val="18"/>
          <w:szCs w:val="18"/>
          <w:highlight w:val="lightGray"/>
          <w:lang w:val="fr-FR"/>
        </w:rPr>
        <w:noBreakHyphen/>
        <w:t>tête, rang 1</w:t>
      </w:r>
      <w:r w:rsidR="00EA3338" w:rsidRPr="0016157A">
        <w:rPr>
          <w:sz w:val="18"/>
          <w:szCs w:val="18"/>
          <w:lang w:val="fr-FR"/>
        </w:rPr>
        <w:t>) – Stade de croissance</w:t>
      </w:r>
      <w:r>
        <w:rPr>
          <w:rFonts w:cs="Arial"/>
          <w:sz w:val="18"/>
          <w:szCs w:val="18"/>
          <w:lang w:val="fr-FR"/>
        </w:rPr>
        <w:t>”</w:t>
      </w:r>
    </w:p>
    <w:p w:rsidR="00EA3338" w:rsidRPr="0016157A" w:rsidRDefault="00EA3338" w:rsidP="00C249E4">
      <w:pPr>
        <w:ind w:left="567"/>
        <w:rPr>
          <w:sz w:val="18"/>
          <w:lang w:val="fr-FR"/>
        </w:rPr>
      </w:pPr>
    </w:p>
    <w:p w:rsidR="00EA3338" w:rsidRPr="0016157A" w:rsidRDefault="00B4091E" w:rsidP="00C249E4">
      <w:pPr>
        <w:ind w:left="567"/>
        <w:rPr>
          <w:sz w:val="18"/>
          <w:lang w:val="fr-FR"/>
        </w:rPr>
      </w:pPr>
      <w:bookmarkStart w:id="123" w:name="_Toc226858818"/>
      <w:bookmarkStart w:id="124" w:name="_Toc463343035"/>
      <w:bookmarkStart w:id="125" w:name="_Toc27819193"/>
      <w:bookmarkStart w:id="126" w:name="_Toc27819374"/>
      <w:bookmarkStart w:id="127" w:name="_Toc27819555"/>
      <w:bookmarkStart w:id="128" w:name="_Toc478118899"/>
      <w:r>
        <w:rPr>
          <w:rFonts w:cs="Arial"/>
          <w:sz w:val="18"/>
          <w:szCs w:val="18"/>
          <w:lang w:val="fr-FR"/>
        </w:rPr>
        <w:t>“</w:t>
      </w:r>
      <w:r w:rsidR="00EA3338" w:rsidRPr="0016157A">
        <w:rPr>
          <w:rFonts w:cs="Arial"/>
          <w:sz w:val="18"/>
          <w:szCs w:val="18"/>
          <w:lang w:val="fr-FR"/>
        </w:rPr>
        <w:t>GN 25</w:t>
      </w:r>
      <w:r w:rsidR="00EA3338" w:rsidRPr="0016157A">
        <w:rPr>
          <w:rFonts w:cs="Arial"/>
          <w:sz w:val="18"/>
          <w:szCs w:val="18"/>
          <w:lang w:val="fr-FR"/>
        </w:rPr>
        <w:tab/>
        <w:t>(</w:t>
      </w:r>
      <w:bookmarkEnd w:id="123"/>
      <w:bookmarkEnd w:id="124"/>
      <w:bookmarkEnd w:id="125"/>
      <w:bookmarkEnd w:id="126"/>
      <w:bookmarkEnd w:id="127"/>
      <w:r w:rsidR="00EA3338" w:rsidRPr="0016157A">
        <w:rPr>
          <w:sz w:val="18"/>
          <w:szCs w:val="18"/>
          <w:lang w:val="fr-FR"/>
        </w:rPr>
        <w:t xml:space="preserve">Chapitre 7 </w:t>
      </w:r>
      <w:r w:rsidR="00EA3338" w:rsidRPr="0016157A">
        <w:rPr>
          <w:strike/>
          <w:sz w:val="18"/>
          <w:szCs w:val="18"/>
          <w:highlight w:val="lightGray"/>
          <w:lang w:val="fr-FR"/>
        </w:rPr>
        <w:t>du modèle : colonne 2, en</w:t>
      </w:r>
      <w:r w:rsidR="00EA3338" w:rsidRPr="0016157A">
        <w:rPr>
          <w:strike/>
          <w:sz w:val="18"/>
          <w:szCs w:val="18"/>
          <w:highlight w:val="lightGray"/>
          <w:lang w:val="fr-FR"/>
        </w:rPr>
        <w:noBreakHyphen/>
        <w:t>tête, rang 1 ou 2</w:t>
      </w:r>
      <w:r w:rsidR="00EA3338" w:rsidRPr="0016157A">
        <w:rPr>
          <w:sz w:val="18"/>
          <w:szCs w:val="18"/>
          <w:lang w:val="fr-FR"/>
        </w:rPr>
        <w:t>) – Recommandations relatives à la conduite de l</w:t>
      </w:r>
      <w:r>
        <w:rPr>
          <w:sz w:val="18"/>
          <w:szCs w:val="18"/>
          <w:lang w:val="fr-FR"/>
        </w:rPr>
        <w:t>’</w:t>
      </w:r>
      <w:r w:rsidR="00EA3338" w:rsidRPr="0016157A">
        <w:rPr>
          <w:sz w:val="18"/>
          <w:szCs w:val="18"/>
          <w:lang w:val="fr-FR"/>
        </w:rPr>
        <w:t>examen</w:t>
      </w:r>
      <w:r>
        <w:rPr>
          <w:rFonts w:cs="Arial"/>
          <w:sz w:val="18"/>
          <w:szCs w:val="18"/>
          <w:lang w:val="fr-FR"/>
        </w:rPr>
        <w:t>”</w:t>
      </w:r>
      <w:bookmarkEnd w:id="128"/>
    </w:p>
    <w:p w:rsidR="00EA3338" w:rsidRPr="0016157A" w:rsidRDefault="00EA3338" w:rsidP="00C249E4">
      <w:pPr>
        <w:ind w:left="567" w:right="567"/>
        <w:rPr>
          <w:sz w:val="18"/>
          <w:lang w:val="fr-FR"/>
        </w:rPr>
      </w:pPr>
    </w:p>
    <w:p w:rsidR="00EA3338" w:rsidRPr="0016157A" w:rsidRDefault="00B4091E" w:rsidP="00C249E4">
      <w:pPr>
        <w:ind w:left="567" w:right="567"/>
        <w:rPr>
          <w:rFonts w:cs="Arial"/>
          <w:sz w:val="18"/>
          <w:szCs w:val="18"/>
          <w:lang w:val="fr-FR"/>
        </w:rPr>
      </w:pPr>
      <w:r>
        <w:rPr>
          <w:rFonts w:cs="Arial"/>
          <w:sz w:val="18"/>
          <w:szCs w:val="18"/>
          <w:lang w:val="fr-FR"/>
        </w:rPr>
        <w:t>“</w:t>
      </w:r>
      <w:r w:rsidR="00EA3338" w:rsidRPr="0016157A">
        <w:rPr>
          <w:rFonts w:cs="Arial"/>
          <w:sz w:val="18"/>
          <w:szCs w:val="18"/>
          <w:lang w:val="fr-FR"/>
        </w:rPr>
        <w:t>Cette cellule contient les informations relatives à la conduite de l</w:t>
      </w:r>
      <w:r>
        <w:rPr>
          <w:rFonts w:cs="Arial"/>
          <w:sz w:val="18"/>
          <w:szCs w:val="18"/>
          <w:lang w:val="fr-FR"/>
        </w:rPr>
        <w:t>’</w:t>
      </w:r>
      <w:r w:rsidR="00EA3338" w:rsidRPr="0016157A">
        <w:rPr>
          <w:rFonts w:cs="Arial"/>
          <w:sz w:val="18"/>
          <w:szCs w:val="18"/>
          <w:lang w:val="fr-FR"/>
        </w:rPr>
        <w:t>examen.  Il peut s</w:t>
      </w:r>
      <w:r>
        <w:rPr>
          <w:rFonts w:cs="Arial"/>
          <w:sz w:val="18"/>
          <w:szCs w:val="18"/>
          <w:lang w:val="fr-FR"/>
        </w:rPr>
        <w:t>’</w:t>
      </w:r>
      <w:r w:rsidR="00EA3338" w:rsidRPr="0016157A">
        <w:rPr>
          <w:rFonts w:cs="Arial"/>
          <w:sz w:val="18"/>
          <w:szCs w:val="18"/>
          <w:lang w:val="fr-FR"/>
        </w:rPr>
        <w:t>agir de recommandations</w:t>
      </w:r>
    </w:p>
    <w:p w:rsidR="00EA3338" w:rsidRPr="0016157A" w:rsidRDefault="00EA3338" w:rsidP="00C249E4">
      <w:pPr>
        <w:ind w:left="567" w:right="567"/>
        <w:rPr>
          <w:rFonts w:cs="Arial"/>
          <w:sz w:val="18"/>
          <w:szCs w:val="18"/>
          <w:lang w:val="fr-FR"/>
        </w:rPr>
      </w:pPr>
      <w:proofErr w:type="gramStart"/>
      <w:r w:rsidRPr="0016157A">
        <w:rPr>
          <w:rFonts w:cs="Arial"/>
          <w:sz w:val="18"/>
          <w:szCs w:val="18"/>
          <w:lang w:val="fr-FR"/>
        </w:rPr>
        <w:t>relatives</w:t>
      </w:r>
      <w:proofErr w:type="gramEnd"/>
      <w:r w:rsidRPr="0016157A">
        <w:rPr>
          <w:rFonts w:cs="Arial"/>
          <w:sz w:val="18"/>
          <w:szCs w:val="18"/>
          <w:lang w:val="fr-FR"/>
        </w:rPr>
        <w:t xml:space="preserve"> à la méthode d</w:t>
      </w:r>
      <w:r w:rsidR="00B4091E">
        <w:rPr>
          <w:rFonts w:cs="Arial"/>
          <w:sz w:val="18"/>
          <w:szCs w:val="18"/>
          <w:lang w:val="fr-FR"/>
        </w:rPr>
        <w:t>’</w:t>
      </w:r>
      <w:r w:rsidRPr="0016157A">
        <w:rPr>
          <w:rFonts w:cs="Arial"/>
          <w:sz w:val="18"/>
          <w:szCs w:val="18"/>
          <w:lang w:val="fr-FR"/>
        </w:rPr>
        <w:t>observation (p. ex. : évaluation visuelle ou mesure, observation de plantes isolées</w:t>
      </w:r>
    </w:p>
    <w:p w:rsidR="00EA3338" w:rsidRPr="0016157A" w:rsidRDefault="00EA3338" w:rsidP="00C249E4">
      <w:pPr>
        <w:keepNext/>
        <w:ind w:left="567" w:right="567"/>
        <w:rPr>
          <w:rFonts w:cs="Arial"/>
          <w:sz w:val="18"/>
          <w:lang w:val="fr-FR"/>
        </w:rPr>
      </w:pPr>
      <w:proofErr w:type="gramStart"/>
      <w:r w:rsidRPr="0016157A">
        <w:rPr>
          <w:rFonts w:cs="Arial"/>
          <w:sz w:val="18"/>
          <w:szCs w:val="18"/>
          <w:lang w:val="fr-FR"/>
        </w:rPr>
        <w:t>ou</w:t>
      </w:r>
      <w:proofErr w:type="gramEnd"/>
      <w:r w:rsidRPr="0016157A">
        <w:rPr>
          <w:rFonts w:cs="Arial"/>
          <w:sz w:val="18"/>
          <w:szCs w:val="18"/>
          <w:lang w:val="fr-FR"/>
        </w:rPr>
        <w:t xml:space="preserve"> de groupes de plantes) </w:t>
      </w:r>
      <w:r w:rsidRPr="0016157A">
        <w:rPr>
          <w:rFonts w:cs="Arial"/>
          <w:strike/>
          <w:sz w:val="18"/>
          <w:szCs w:val="18"/>
          <w:highlight w:val="lightGray"/>
          <w:lang w:val="fr-FR"/>
        </w:rPr>
        <w:t>ou</w:t>
      </w:r>
      <w:r w:rsidRPr="0016157A">
        <w:rPr>
          <w:rFonts w:cs="Arial"/>
          <w:sz w:val="18"/>
          <w:szCs w:val="18"/>
          <w:lang w:val="fr-FR"/>
        </w:rPr>
        <w:t xml:space="preserve"> </w:t>
      </w:r>
      <w:r w:rsidRPr="0016157A">
        <w:rPr>
          <w:rFonts w:cs="Arial"/>
          <w:sz w:val="18"/>
          <w:szCs w:val="18"/>
          <w:highlight w:val="lightGray"/>
          <w:u w:val="single"/>
          <w:lang w:val="fr-FR"/>
        </w:rPr>
        <w:t>et</w:t>
      </w:r>
      <w:r w:rsidRPr="0016157A">
        <w:rPr>
          <w:rFonts w:cs="Arial"/>
          <w:sz w:val="18"/>
          <w:szCs w:val="18"/>
          <w:lang w:val="fr-FR"/>
        </w:rPr>
        <w:t xml:space="preserve"> au type de parcelle (p. ex. : plantes isolées;  parcelle en ligne;  essai spécial).  La section ASW 4.b) contient un texte standard supplémentaire qui peut être utilisé.</w:t>
      </w:r>
      <w:r w:rsidR="00B4091E">
        <w:rPr>
          <w:rFonts w:cs="Arial"/>
          <w:sz w:val="18"/>
          <w:lang w:val="fr-FR"/>
        </w:rPr>
        <w:t>”</w:t>
      </w:r>
    </w:p>
    <w:p w:rsidR="00EA3338" w:rsidRPr="0016157A" w:rsidRDefault="00EA3338" w:rsidP="00C249E4">
      <w:pPr>
        <w:ind w:left="567" w:right="567"/>
        <w:rPr>
          <w:sz w:val="18"/>
          <w:lang w:val="fr-FR"/>
        </w:rPr>
      </w:pPr>
    </w:p>
    <w:p w:rsidR="00EA3338" w:rsidRPr="0016157A" w:rsidRDefault="00B4091E" w:rsidP="00C249E4">
      <w:pPr>
        <w:ind w:left="567"/>
        <w:rPr>
          <w:sz w:val="18"/>
          <w:lang w:val="fr-FR"/>
        </w:rPr>
      </w:pPr>
      <w:bookmarkStart w:id="129" w:name="_Toc27819188"/>
      <w:bookmarkStart w:id="130" w:name="_Toc27819369"/>
      <w:bookmarkStart w:id="131" w:name="_Toc27819550"/>
      <w:bookmarkStart w:id="132" w:name="_Toc463343036"/>
      <w:bookmarkStart w:id="133" w:name="_Toc478118289"/>
      <w:r>
        <w:rPr>
          <w:sz w:val="18"/>
          <w:lang w:val="fr-FR"/>
        </w:rPr>
        <w:t>“</w:t>
      </w:r>
      <w:r w:rsidR="00EA3338" w:rsidRPr="0016157A">
        <w:rPr>
          <w:sz w:val="18"/>
          <w:lang w:val="fr-FR"/>
        </w:rPr>
        <w:t>GN 26</w:t>
      </w:r>
      <w:r w:rsidR="00EA3338" w:rsidRPr="0016157A">
        <w:rPr>
          <w:sz w:val="18"/>
          <w:lang w:val="fr-FR"/>
        </w:rPr>
        <w:tab/>
      </w:r>
      <w:bookmarkEnd w:id="129"/>
      <w:bookmarkEnd w:id="130"/>
      <w:bookmarkEnd w:id="131"/>
      <w:bookmarkEnd w:id="132"/>
      <w:bookmarkEnd w:id="133"/>
      <w:r w:rsidR="00EA3338" w:rsidRPr="0016157A">
        <w:rPr>
          <w:rFonts w:cs="Arial"/>
          <w:sz w:val="18"/>
          <w:szCs w:val="18"/>
          <w:lang w:val="fr-FR"/>
        </w:rPr>
        <w:t>(</w:t>
      </w:r>
      <w:r w:rsidR="00EA3338" w:rsidRPr="0016157A">
        <w:rPr>
          <w:sz w:val="18"/>
          <w:szCs w:val="18"/>
          <w:lang w:val="fr-FR"/>
        </w:rPr>
        <w:t xml:space="preserve">Chapitre 7 </w:t>
      </w:r>
      <w:r w:rsidR="00EA3338" w:rsidRPr="0016157A">
        <w:rPr>
          <w:strike/>
          <w:sz w:val="18"/>
          <w:szCs w:val="18"/>
          <w:highlight w:val="lightGray"/>
          <w:lang w:val="fr-FR"/>
        </w:rPr>
        <w:t>du modèle : colonne 1</w:t>
      </w:r>
      <w:r w:rsidR="00EA3338" w:rsidRPr="0016157A">
        <w:rPr>
          <w:sz w:val="18"/>
          <w:szCs w:val="18"/>
          <w:lang w:val="fr-FR"/>
        </w:rPr>
        <w:t>) – Ordre des caractères dans le tableau des caractères</w:t>
      </w:r>
      <w:r>
        <w:rPr>
          <w:rFonts w:cs="Arial"/>
          <w:sz w:val="18"/>
          <w:szCs w:val="18"/>
          <w:lang w:val="fr-FR"/>
        </w:rPr>
        <w:t>”</w:t>
      </w:r>
    </w:p>
    <w:p w:rsidR="00EA3338" w:rsidRPr="0016157A" w:rsidRDefault="00EA3338" w:rsidP="00C249E4">
      <w:pPr>
        <w:rPr>
          <w:lang w:val="fr-FR"/>
        </w:rPr>
      </w:pPr>
    </w:p>
    <w:p w:rsidR="00EA3338" w:rsidRPr="0016157A" w:rsidRDefault="00B4091E" w:rsidP="00C249E4">
      <w:pPr>
        <w:ind w:left="567"/>
        <w:rPr>
          <w:sz w:val="18"/>
          <w:lang w:val="fr-FR"/>
        </w:rPr>
      </w:pPr>
      <w:r>
        <w:rPr>
          <w:sz w:val="18"/>
          <w:lang w:val="fr-FR"/>
        </w:rPr>
        <w:t>“</w:t>
      </w:r>
      <w:r w:rsidR="00EA3338" w:rsidRPr="0016157A">
        <w:rPr>
          <w:sz w:val="18"/>
          <w:lang w:val="fr-FR"/>
        </w:rPr>
        <w:t>GN 28 (Chapitre 6.4 du modèle) – Variétés indiquées à titre d</w:t>
      </w:r>
      <w:r>
        <w:rPr>
          <w:sz w:val="18"/>
          <w:lang w:val="fr-FR"/>
        </w:rPr>
        <w:t>’</w:t>
      </w:r>
      <w:r w:rsidR="00EA3338" w:rsidRPr="0016157A">
        <w:rPr>
          <w:sz w:val="18"/>
          <w:lang w:val="fr-FR"/>
        </w:rPr>
        <w:t>exemples</w:t>
      </w:r>
    </w:p>
    <w:p w:rsidR="00EA3338" w:rsidRPr="0016157A" w:rsidRDefault="00EA3338" w:rsidP="00C249E4">
      <w:pPr>
        <w:ind w:left="567"/>
        <w:rPr>
          <w:sz w:val="18"/>
          <w:lang w:val="fr-FR"/>
        </w:rPr>
      </w:pPr>
    </w:p>
    <w:p w:rsidR="00EA3338" w:rsidRPr="0016157A" w:rsidRDefault="00B4091E" w:rsidP="00C249E4">
      <w:pPr>
        <w:keepNext/>
        <w:tabs>
          <w:tab w:val="left" w:pos="1418"/>
        </w:tabs>
        <w:ind w:left="567" w:right="567"/>
        <w:outlineLvl w:val="4"/>
        <w:rPr>
          <w:i/>
          <w:sz w:val="18"/>
          <w:lang w:val="fr-FR"/>
        </w:rPr>
      </w:pPr>
      <w:r>
        <w:rPr>
          <w:i/>
          <w:sz w:val="18"/>
          <w:lang w:val="fr-FR"/>
        </w:rPr>
        <w:t>“</w:t>
      </w:r>
      <w:r w:rsidR="00EA3338" w:rsidRPr="0016157A">
        <w:rPr>
          <w:i/>
          <w:sz w:val="18"/>
          <w:lang w:val="fr-FR"/>
        </w:rPr>
        <w:t>3.2</w:t>
      </w:r>
      <w:r w:rsidR="00EA3338" w:rsidRPr="0016157A">
        <w:rPr>
          <w:i/>
          <w:sz w:val="18"/>
          <w:lang w:val="fr-FR"/>
        </w:rPr>
        <w:tab/>
        <w:t>Différents types d</w:t>
      </w:r>
      <w:r>
        <w:rPr>
          <w:i/>
          <w:sz w:val="18"/>
          <w:lang w:val="fr-FR"/>
        </w:rPr>
        <w:t>’</w:t>
      </w:r>
      <w:r w:rsidR="00EA3338" w:rsidRPr="0016157A">
        <w:rPr>
          <w:i/>
          <w:sz w:val="18"/>
          <w:lang w:val="fr-FR"/>
        </w:rPr>
        <w:t>une variété</w:t>
      </w:r>
    </w:p>
    <w:p w:rsidR="00EA3338" w:rsidRPr="0016157A" w:rsidRDefault="00EA3338" w:rsidP="00C249E4">
      <w:pPr>
        <w:tabs>
          <w:tab w:val="left" w:pos="1418"/>
        </w:tabs>
        <w:ind w:left="567" w:right="567"/>
        <w:rPr>
          <w:sz w:val="18"/>
          <w:lang w:val="fr-FR"/>
        </w:rPr>
      </w:pPr>
    </w:p>
    <w:p w:rsidR="00EA3338" w:rsidRPr="0016157A" w:rsidRDefault="00B4091E" w:rsidP="00C249E4">
      <w:pPr>
        <w:keepLines/>
        <w:tabs>
          <w:tab w:val="left" w:pos="1418"/>
        </w:tabs>
        <w:ind w:left="567" w:right="567"/>
        <w:rPr>
          <w:sz w:val="18"/>
          <w:lang w:val="fr-FR"/>
        </w:rPr>
      </w:pPr>
      <w:r>
        <w:rPr>
          <w:sz w:val="18"/>
          <w:lang w:val="fr-FR"/>
        </w:rPr>
        <w:t>“</w:t>
      </w:r>
      <w:r w:rsidR="00EA3338" w:rsidRPr="0016157A">
        <w:rPr>
          <w:sz w:val="18"/>
          <w:lang w:val="fr-FR"/>
        </w:rPr>
        <w:t>3.2.2</w:t>
      </w:r>
      <w:r w:rsidR="00EA3338" w:rsidRPr="0016157A">
        <w:rPr>
          <w:sz w:val="18"/>
          <w:lang w:val="fr-FR"/>
        </w:rPr>
        <w:tab/>
        <w:t>Lorsque des séries d</w:t>
      </w:r>
      <w:r>
        <w:rPr>
          <w:sz w:val="18"/>
          <w:lang w:val="fr-FR"/>
        </w:rPr>
        <w:t>’</w:t>
      </w:r>
      <w:r w:rsidR="00EA3338" w:rsidRPr="0016157A">
        <w:rPr>
          <w:sz w:val="18"/>
          <w:lang w:val="fr-FR"/>
        </w:rPr>
        <w:t>exemples sont prévues pour des types de variétés visées par les mêmes principes directeurs d</w:t>
      </w:r>
      <w:r>
        <w:rPr>
          <w:sz w:val="18"/>
          <w:lang w:val="fr-FR"/>
        </w:rPr>
        <w:t>’</w:t>
      </w:r>
      <w:r w:rsidR="00EA3338" w:rsidRPr="0016157A">
        <w:rPr>
          <w:sz w:val="18"/>
          <w:lang w:val="fr-FR"/>
        </w:rPr>
        <w:t>examen, elles sont indiquées dans la colonne habituelle du tableau des caractères.  Les séries de variétés indiquées à titre d</w:t>
      </w:r>
      <w:r>
        <w:rPr>
          <w:sz w:val="18"/>
          <w:lang w:val="fr-FR"/>
        </w:rPr>
        <w:t>’</w:t>
      </w:r>
      <w:r w:rsidR="00EA3338" w:rsidRPr="0016157A">
        <w:rPr>
          <w:sz w:val="18"/>
          <w:lang w:val="fr-FR"/>
        </w:rPr>
        <w:t xml:space="preserve">exemples (par exemple types hiver et types printemps) sont séparées </w:t>
      </w:r>
      <w:r w:rsidR="00EA3338" w:rsidRPr="0016157A">
        <w:rPr>
          <w:strike/>
          <w:sz w:val="18"/>
          <w:highlight w:val="lightGray"/>
          <w:lang w:val="fr-FR"/>
        </w:rPr>
        <w:t>par un point</w:t>
      </w:r>
      <w:r w:rsidR="00EA3338" w:rsidRPr="0016157A">
        <w:rPr>
          <w:strike/>
          <w:sz w:val="18"/>
          <w:highlight w:val="lightGray"/>
          <w:lang w:val="fr-FR"/>
        </w:rPr>
        <w:noBreakHyphen/>
        <w:t>virgule et/ou</w:t>
      </w:r>
      <w:r w:rsidR="00EA3338" w:rsidRPr="0016157A">
        <w:rPr>
          <w:sz w:val="18"/>
          <w:lang w:val="fr-FR"/>
        </w:rPr>
        <w:t xml:space="preserve"> avec un code pour chaque série et une explication de l</w:t>
      </w:r>
      <w:r>
        <w:rPr>
          <w:sz w:val="18"/>
          <w:lang w:val="fr-FR"/>
        </w:rPr>
        <w:t>’</w:t>
      </w:r>
      <w:r w:rsidR="00EA3338" w:rsidRPr="0016157A">
        <w:rPr>
          <w:sz w:val="18"/>
          <w:lang w:val="fr-FR"/>
        </w:rPr>
        <w:t>option choisie fournie dans la légende du chapitre 6 des principes directeurs d</w:t>
      </w:r>
      <w:r>
        <w:rPr>
          <w:sz w:val="18"/>
          <w:lang w:val="fr-FR"/>
        </w:rPr>
        <w:t>’</w:t>
      </w:r>
      <w:r w:rsidR="00EA3338" w:rsidRPr="0016157A">
        <w:rPr>
          <w:sz w:val="18"/>
          <w:lang w:val="fr-FR"/>
        </w:rPr>
        <w:t>examen.</w:t>
      </w:r>
    </w:p>
    <w:p w:rsidR="00EA3338" w:rsidRPr="0016157A" w:rsidRDefault="00EA3338" w:rsidP="00C249E4">
      <w:pPr>
        <w:keepLines/>
        <w:tabs>
          <w:tab w:val="left" w:pos="1418"/>
        </w:tabs>
        <w:ind w:left="567" w:right="567"/>
        <w:rPr>
          <w:sz w:val="18"/>
          <w:lang w:val="fr-FR"/>
        </w:rPr>
      </w:pPr>
    </w:p>
    <w:p w:rsidR="00EA3338" w:rsidRDefault="00B4091E" w:rsidP="00C249E4">
      <w:pPr>
        <w:tabs>
          <w:tab w:val="left" w:pos="1418"/>
        </w:tabs>
        <w:ind w:left="567" w:right="567"/>
        <w:rPr>
          <w:sz w:val="18"/>
          <w:lang w:val="fr-FR"/>
        </w:rPr>
      </w:pPr>
      <w:r>
        <w:rPr>
          <w:sz w:val="18"/>
          <w:lang w:val="fr-FR"/>
        </w:rPr>
        <w:t>“</w:t>
      </w:r>
      <w:r w:rsidR="00EA3338" w:rsidRPr="0016157A">
        <w:rPr>
          <w:sz w:val="18"/>
          <w:lang w:val="fr-FR"/>
        </w:rPr>
        <w:t>Exemple : Pour certains caractères, des variétés sont indiquées à titre d</w:t>
      </w:r>
      <w:r>
        <w:rPr>
          <w:sz w:val="18"/>
          <w:lang w:val="fr-FR"/>
        </w:rPr>
        <w:t>’</w:t>
      </w:r>
      <w:r w:rsidR="00EA3338" w:rsidRPr="0016157A">
        <w:rPr>
          <w:sz w:val="18"/>
          <w:lang w:val="fr-FR"/>
        </w:rPr>
        <w:t xml:space="preserve">exemples pour les variétés de type hiver et les variétés de type printemps.  </w:t>
      </w:r>
      <w:r w:rsidR="00EA3338" w:rsidRPr="0016157A">
        <w:rPr>
          <w:strike/>
          <w:sz w:val="18"/>
          <w:highlight w:val="lightGray"/>
          <w:lang w:val="fr-FR"/>
        </w:rPr>
        <w:t>Ces types sont séparés par un point</w:t>
      </w:r>
      <w:r w:rsidR="00EA3338" w:rsidRPr="0016157A">
        <w:rPr>
          <w:strike/>
          <w:sz w:val="18"/>
          <w:highlight w:val="lightGray"/>
          <w:lang w:val="fr-FR"/>
        </w:rPr>
        <w:noBreakHyphen/>
        <w:t xml:space="preserve">virgule, les variétés de type hiver étant indiquées avant et </w:t>
      </w:r>
      <w:r w:rsidR="00EA3338" w:rsidRPr="0016157A">
        <w:rPr>
          <w:sz w:val="18"/>
          <w:highlight w:val="lightGray"/>
          <w:u w:val="single"/>
          <w:lang w:val="fr-FR"/>
        </w:rPr>
        <w:t xml:space="preserve">Les variétés de type hiver sont </w:t>
      </w:r>
      <w:r w:rsidR="00EA3338" w:rsidRPr="0016157A">
        <w:rPr>
          <w:sz w:val="18"/>
          <w:lang w:val="fr-FR"/>
        </w:rPr>
        <w:t xml:space="preserve">précédés de la mention </w:t>
      </w:r>
      <w:r>
        <w:rPr>
          <w:sz w:val="18"/>
          <w:lang w:val="fr-FR"/>
        </w:rPr>
        <w:t>‘</w:t>
      </w:r>
      <w:r w:rsidR="00EA3338" w:rsidRPr="0016157A">
        <w:rPr>
          <w:sz w:val="18"/>
          <w:lang w:val="fr-FR"/>
        </w:rPr>
        <w:t>(w)</w:t>
      </w:r>
      <w:r>
        <w:rPr>
          <w:sz w:val="18"/>
          <w:lang w:val="fr-FR"/>
        </w:rPr>
        <w:t>’</w:t>
      </w:r>
      <w:r w:rsidR="00EA3338" w:rsidRPr="0016157A">
        <w:rPr>
          <w:sz w:val="18"/>
          <w:lang w:val="fr-FR"/>
        </w:rPr>
        <w:t xml:space="preserve"> et les variétés de type printemps </w:t>
      </w:r>
      <w:r w:rsidR="00EA3338" w:rsidRPr="0016157A">
        <w:rPr>
          <w:strike/>
          <w:sz w:val="18"/>
          <w:highlight w:val="lightGray"/>
          <w:lang w:val="fr-FR"/>
        </w:rPr>
        <w:t>étant indiqués après et</w:t>
      </w:r>
      <w:r w:rsidR="00EA3338" w:rsidRPr="0016157A">
        <w:rPr>
          <w:sz w:val="18"/>
          <w:highlight w:val="lightGray"/>
          <w:u w:val="single"/>
          <w:lang w:val="fr-FR"/>
        </w:rPr>
        <w:t xml:space="preserve"> sont</w:t>
      </w:r>
      <w:r w:rsidR="00EA3338" w:rsidRPr="0016157A">
        <w:rPr>
          <w:sz w:val="18"/>
          <w:lang w:val="fr-FR"/>
        </w:rPr>
        <w:t xml:space="preserve"> précédés de la mention </w:t>
      </w:r>
      <w:r>
        <w:rPr>
          <w:sz w:val="18"/>
          <w:lang w:val="fr-FR"/>
        </w:rPr>
        <w:t>‘</w:t>
      </w:r>
      <w:r w:rsidR="00EA3338" w:rsidRPr="0016157A">
        <w:rPr>
          <w:sz w:val="18"/>
          <w:lang w:val="fr-FR"/>
        </w:rPr>
        <w:t>(s)</w:t>
      </w:r>
      <w:r>
        <w:rPr>
          <w:sz w:val="18"/>
          <w:lang w:val="fr-FR"/>
        </w:rPr>
        <w:t>’</w:t>
      </w:r>
      <w:r w:rsidR="00EA3338" w:rsidRPr="0016157A">
        <w:rPr>
          <w:sz w:val="18"/>
          <w:lang w:val="fr-FR"/>
        </w:rPr>
        <w:t xml:space="preserve">.  </w:t>
      </w:r>
      <w:r>
        <w:rPr>
          <w:sz w:val="18"/>
          <w:lang w:val="fr-FR"/>
        </w:rPr>
        <w:t>“</w:t>
      </w:r>
    </w:p>
    <w:p w:rsidR="00EA3338" w:rsidRDefault="00EA3338">
      <w:pPr>
        <w:jc w:val="left"/>
        <w:rPr>
          <w:sz w:val="18"/>
          <w:lang w:val="fr-FR"/>
        </w:rPr>
      </w:pPr>
      <w:r>
        <w:rPr>
          <w:sz w:val="18"/>
          <w:lang w:val="fr-FR"/>
        </w:rPr>
        <w:br w:type="page"/>
      </w:r>
    </w:p>
    <w:p w:rsidR="00EA3338" w:rsidRPr="0016157A" w:rsidRDefault="00EA3338" w:rsidP="00C249E4">
      <w:pPr>
        <w:tabs>
          <w:tab w:val="left" w:pos="1418"/>
        </w:tabs>
        <w:ind w:left="567" w:right="567"/>
        <w:rPr>
          <w:sz w:val="18"/>
          <w:lang w:val="fr-FR"/>
        </w:rPr>
      </w:pPr>
    </w:p>
    <w:p w:rsidR="00EA3338" w:rsidRPr="0016157A" w:rsidRDefault="00EA3338" w:rsidP="00C249E4">
      <w:pPr>
        <w:rPr>
          <w:lang w:val="fr-FR"/>
        </w:rPr>
      </w:pPr>
    </w:p>
    <w:tbl>
      <w:tblPr>
        <w:tblOverlap w:val="never"/>
        <w:tblW w:w="10622" w:type="dxa"/>
        <w:tblInd w:w="-276" w:type="dxa"/>
        <w:tblLayout w:type="fixed"/>
        <w:tblLook w:val="01E0" w:firstRow="1" w:lastRow="1" w:firstColumn="1" w:lastColumn="1" w:noHBand="0" w:noVBand="0"/>
      </w:tblPr>
      <w:tblGrid>
        <w:gridCol w:w="311"/>
        <w:gridCol w:w="283"/>
        <w:gridCol w:w="566"/>
        <w:gridCol w:w="1303"/>
        <w:gridCol w:w="566"/>
        <w:gridCol w:w="1303"/>
        <w:gridCol w:w="1870"/>
        <w:gridCol w:w="1870"/>
        <w:gridCol w:w="2142"/>
        <w:gridCol w:w="408"/>
      </w:tblGrid>
      <w:tr w:rsidR="00EA3338" w:rsidRPr="0016157A" w:rsidTr="00C249E4">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3338" w:rsidRPr="0016157A" w:rsidRDefault="00EA3338" w:rsidP="00C249E4">
            <w:pPr>
              <w:jc w:val="center"/>
              <w:rPr>
                <w:rFonts w:eastAsia="Arial" w:cs="Arial"/>
                <w:b/>
                <w:bCs/>
                <w:color w:val="000000"/>
                <w:sz w:val="16"/>
                <w:szCs w:val="16"/>
                <w:lang w:val="fr-FR"/>
              </w:rPr>
            </w:pPr>
            <w:r w:rsidRPr="0016157A">
              <w:rPr>
                <w:rFonts w:eastAsia="Arial" w:cs="Arial"/>
                <w:b/>
                <w:bCs/>
                <w:color w:val="000000"/>
                <w:sz w:val="16"/>
                <w:szCs w:val="16"/>
                <w:lang w:val="fr-FR"/>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EA3338" w:rsidRPr="0016157A" w:rsidRDefault="00EA3338" w:rsidP="00C249E4">
            <w:pPr>
              <w:jc w:val="center"/>
              <w:rPr>
                <w:rFonts w:eastAsia="Arial" w:cs="Arial"/>
                <w:b/>
                <w:bCs/>
                <w:color w:val="000000"/>
                <w:sz w:val="16"/>
                <w:szCs w:val="16"/>
                <w:lang w:val="fr-FR"/>
              </w:rPr>
            </w:pPr>
            <w:r w:rsidRPr="0016157A">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EA3338" w:rsidRPr="0016157A" w:rsidRDefault="00EA3338" w:rsidP="00C249E4">
            <w:pPr>
              <w:jc w:val="left"/>
              <w:rPr>
                <w:rFonts w:eastAsia="Arial" w:cs="Arial"/>
                <w:b/>
                <w:bCs/>
                <w:color w:val="000000"/>
                <w:sz w:val="16"/>
                <w:szCs w:val="16"/>
                <w:lang w:val="fr-FR"/>
              </w:rPr>
            </w:pPr>
            <w:r w:rsidRPr="0016157A">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3338" w:rsidRPr="0016157A" w:rsidRDefault="00EA3338" w:rsidP="00C249E4">
            <w:pPr>
              <w:jc w:val="left"/>
              <w:rPr>
                <w:rFonts w:eastAsia="Arial" w:cs="Arial"/>
                <w:b/>
                <w:bCs/>
                <w:color w:val="000000"/>
                <w:sz w:val="16"/>
                <w:szCs w:val="16"/>
                <w:lang w:val="fr-FR"/>
              </w:rPr>
            </w:pPr>
            <w:r w:rsidRPr="0016157A">
              <w:rPr>
                <w:rFonts w:eastAsia="Arial" w:cs="Arial"/>
                <w:b/>
                <w:bCs/>
                <w:color w:val="000000"/>
                <w:sz w:val="16"/>
                <w:szCs w:val="16"/>
                <w:lang w:val="fr-FR"/>
              </w:rPr>
              <w:t>MG|B</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3338" w:rsidRPr="0016157A" w:rsidRDefault="00EA3338" w:rsidP="00C249E4">
            <w:pPr>
              <w:jc w:val="left"/>
              <w:rPr>
                <w:rFonts w:eastAsia="Arial" w:cs="Arial"/>
                <w:b/>
                <w:bCs/>
                <w:color w:val="000000"/>
                <w:sz w:val="16"/>
                <w:szCs w:val="16"/>
                <w:lang w:val="fr-FR"/>
              </w:rPr>
            </w:pPr>
            <w:r w:rsidRPr="0016157A">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EA3338" w:rsidRPr="0016157A" w:rsidRDefault="00EA3338" w:rsidP="00C249E4">
            <w:pPr>
              <w:jc w:val="left"/>
              <w:rPr>
                <w:rFonts w:eastAsia="Arial" w:cs="Arial"/>
                <w:b/>
                <w:bCs/>
                <w:color w:val="000000"/>
                <w:sz w:val="16"/>
                <w:szCs w:val="16"/>
                <w:lang w:val="fr-FR"/>
              </w:rPr>
            </w:pPr>
          </w:p>
        </w:tc>
        <w:tc>
          <w:tcPr>
            <w:tcW w:w="6290" w:type="dxa"/>
            <w:gridSpan w:val="4"/>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EA3338" w:rsidRPr="0016157A" w:rsidRDefault="00EA3338" w:rsidP="00C249E4">
            <w:pPr>
              <w:jc w:val="left"/>
              <w:rPr>
                <w:rFonts w:eastAsia="Arial" w:cs="Arial"/>
                <w:b/>
                <w:bCs/>
                <w:color w:val="000000"/>
                <w:sz w:val="16"/>
                <w:szCs w:val="16"/>
                <w:lang w:val="fr-FR"/>
              </w:rPr>
            </w:pPr>
            <w:r w:rsidRPr="0016157A">
              <w:rPr>
                <w:rFonts w:eastAsia="Arial" w:cs="Arial"/>
                <w:b/>
                <w:bCs/>
                <w:color w:val="000000"/>
                <w:sz w:val="16"/>
                <w:szCs w:val="16"/>
                <w:lang w:val="fr-FR"/>
              </w:rPr>
              <w:t>75-92</w:t>
            </w:r>
          </w:p>
        </w:tc>
      </w:tr>
      <w:tr w:rsidR="00EA3338" w:rsidRPr="0016157A" w:rsidTr="00C249E4">
        <w:tc>
          <w:tcPr>
            <w:tcW w:w="311" w:type="dxa"/>
            <w:tcBorders>
              <w:left w:val="single" w:sz="6" w:space="0" w:color="000000"/>
            </w:tcBorders>
            <w:tcMar>
              <w:top w:w="80" w:type="dxa"/>
              <w:left w:w="40" w:type="dxa"/>
              <w:bottom w:w="80" w:type="dxa"/>
              <w:right w:w="40" w:type="dxa"/>
            </w:tcMar>
          </w:tcPr>
          <w:p w:rsidR="00EA3338" w:rsidRPr="0016157A" w:rsidRDefault="00EA3338" w:rsidP="00C249E4">
            <w:pPr>
              <w:spacing w:line="1" w:lineRule="auto"/>
              <w:jc w:val="left"/>
              <w:rPr>
                <w:color w:val="000000"/>
                <w:lang w:val="fr-FR"/>
              </w:rPr>
            </w:pPr>
          </w:p>
        </w:tc>
        <w:tc>
          <w:tcPr>
            <w:tcW w:w="283" w:type="dxa"/>
            <w:tcMar>
              <w:top w:w="80" w:type="dxa"/>
              <w:left w:w="40" w:type="dxa"/>
              <w:bottom w:w="80" w:type="dxa"/>
              <w:right w:w="40" w:type="dxa"/>
            </w:tcMar>
          </w:tcPr>
          <w:p w:rsidR="00EA3338" w:rsidRPr="0016157A" w:rsidRDefault="00EA3338" w:rsidP="00C249E4">
            <w:pPr>
              <w:spacing w:line="1" w:lineRule="auto"/>
              <w:jc w:val="left"/>
              <w:rPr>
                <w:color w:val="000000"/>
                <w:lang w:val="fr-FR"/>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338" w:rsidRPr="0016157A" w:rsidTr="00C249E4">
              <w:tc>
                <w:tcPr>
                  <w:tcW w:w="1749" w:type="dxa"/>
                  <w:tcMar>
                    <w:top w:w="0" w:type="dxa"/>
                    <w:left w:w="0" w:type="dxa"/>
                    <w:bottom w:w="0" w:type="dxa"/>
                    <w:right w:w="0" w:type="dxa"/>
                  </w:tcMar>
                </w:tcPr>
                <w:p w:rsidR="00EA3338" w:rsidRPr="0016157A" w:rsidRDefault="00EA3338" w:rsidP="00C249E4">
                  <w:pPr>
                    <w:jc w:val="left"/>
                    <w:rPr>
                      <w:color w:val="000000"/>
                      <w:lang w:val="fr-FR"/>
                    </w:rPr>
                  </w:pPr>
                  <w:r w:rsidRPr="0016157A">
                    <w:rPr>
                      <w:rFonts w:eastAsia="Arial" w:cs="Arial"/>
                      <w:b/>
                      <w:bCs/>
                      <w:color w:val="000000"/>
                      <w:sz w:val="16"/>
                      <w:szCs w:val="16"/>
                      <w:lang w:val="fr-FR"/>
                    </w:rPr>
                    <w:t xml:space="preserve">Plant: </w:t>
                  </w:r>
                  <w:proofErr w:type="spellStart"/>
                  <w:r w:rsidRPr="0016157A">
                    <w:rPr>
                      <w:rFonts w:eastAsia="Arial" w:cs="Arial"/>
                      <w:b/>
                      <w:bCs/>
                      <w:color w:val="000000"/>
                      <w:sz w:val="16"/>
                      <w:szCs w:val="16"/>
                      <w:lang w:val="fr-FR"/>
                    </w:rPr>
                    <w:t>length</w:t>
                  </w:r>
                  <w:proofErr w:type="spellEnd"/>
                </w:p>
              </w:tc>
            </w:tr>
          </w:tbl>
          <w:p w:rsidR="00EA3338" w:rsidRPr="0016157A" w:rsidRDefault="00EA3338" w:rsidP="00C249E4">
            <w:pPr>
              <w:spacing w:line="1" w:lineRule="auto"/>
              <w:jc w:val="left"/>
              <w:rPr>
                <w:color w:val="000000"/>
                <w:lang w:val="fr-FR"/>
              </w:rPr>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A3338" w:rsidRPr="0016157A" w:rsidTr="00C249E4">
              <w:tc>
                <w:tcPr>
                  <w:tcW w:w="1749" w:type="dxa"/>
                  <w:tcMar>
                    <w:top w:w="0" w:type="dxa"/>
                    <w:left w:w="0" w:type="dxa"/>
                    <w:bottom w:w="0" w:type="dxa"/>
                    <w:right w:w="0" w:type="dxa"/>
                  </w:tcMar>
                </w:tcPr>
                <w:p w:rsidR="00EA3338" w:rsidRPr="0016157A" w:rsidRDefault="00EA3338" w:rsidP="00C249E4">
                  <w:pPr>
                    <w:jc w:val="left"/>
                    <w:rPr>
                      <w:color w:val="000000"/>
                      <w:lang w:val="fr-FR"/>
                    </w:rPr>
                  </w:pPr>
                  <w:r w:rsidRPr="0016157A">
                    <w:rPr>
                      <w:rFonts w:eastAsia="Arial" w:cs="Arial"/>
                      <w:b/>
                      <w:bCs/>
                      <w:color w:val="000000"/>
                      <w:sz w:val="16"/>
                      <w:szCs w:val="16"/>
                      <w:lang w:val="fr-FR"/>
                    </w:rPr>
                    <w:t>Plante : longueur</w:t>
                  </w:r>
                </w:p>
              </w:tc>
            </w:tr>
          </w:tbl>
          <w:p w:rsidR="00EA3338" w:rsidRPr="0016157A" w:rsidRDefault="00EA3338" w:rsidP="00C249E4">
            <w:pPr>
              <w:spacing w:line="1" w:lineRule="auto"/>
              <w:jc w:val="left"/>
              <w:rPr>
                <w:color w:val="000000"/>
                <w:lang w:val="fr-FR"/>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338" w:rsidRPr="0016157A" w:rsidTr="00C249E4">
              <w:tc>
                <w:tcPr>
                  <w:tcW w:w="1750" w:type="dxa"/>
                  <w:tcMar>
                    <w:top w:w="0" w:type="dxa"/>
                    <w:left w:w="0" w:type="dxa"/>
                    <w:bottom w:w="0" w:type="dxa"/>
                    <w:right w:w="0" w:type="dxa"/>
                  </w:tcMar>
                </w:tcPr>
                <w:p w:rsidR="00EA3338" w:rsidRPr="0016157A" w:rsidRDefault="00EA3338" w:rsidP="00C249E4">
                  <w:pPr>
                    <w:jc w:val="left"/>
                    <w:rPr>
                      <w:color w:val="000000"/>
                      <w:lang w:val="fr-FR"/>
                    </w:rPr>
                  </w:pPr>
                  <w:proofErr w:type="spellStart"/>
                  <w:r w:rsidRPr="0016157A">
                    <w:rPr>
                      <w:rFonts w:eastAsia="Arial" w:cs="Arial"/>
                      <w:b/>
                      <w:bCs/>
                      <w:color w:val="000000"/>
                      <w:sz w:val="16"/>
                      <w:szCs w:val="16"/>
                      <w:lang w:val="fr-FR"/>
                    </w:rPr>
                    <w:t>Pflanze</w:t>
                  </w:r>
                  <w:proofErr w:type="spellEnd"/>
                  <w:r w:rsidRPr="0016157A">
                    <w:rPr>
                      <w:rFonts w:eastAsia="Arial" w:cs="Arial"/>
                      <w:b/>
                      <w:bCs/>
                      <w:color w:val="000000"/>
                      <w:sz w:val="16"/>
                      <w:szCs w:val="16"/>
                      <w:lang w:val="fr-FR"/>
                    </w:rPr>
                    <w:t xml:space="preserve">: </w:t>
                  </w:r>
                  <w:proofErr w:type="spellStart"/>
                  <w:r w:rsidRPr="0016157A">
                    <w:rPr>
                      <w:rFonts w:eastAsia="Arial" w:cs="Arial"/>
                      <w:b/>
                      <w:bCs/>
                      <w:color w:val="000000"/>
                      <w:sz w:val="16"/>
                      <w:szCs w:val="16"/>
                      <w:lang w:val="fr-FR"/>
                    </w:rPr>
                    <w:t>Länge</w:t>
                  </w:r>
                  <w:proofErr w:type="spellEnd"/>
                </w:p>
              </w:tc>
            </w:tr>
          </w:tbl>
          <w:p w:rsidR="00EA3338" w:rsidRPr="0016157A" w:rsidRDefault="00EA3338" w:rsidP="00C249E4">
            <w:pPr>
              <w:spacing w:line="1" w:lineRule="auto"/>
              <w:jc w:val="left"/>
              <w:rPr>
                <w:color w:val="000000"/>
                <w:lang w:val="fr-FR"/>
              </w:rPr>
            </w:pPr>
          </w:p>
        </w:tc>
        <w:tc>
          <w:tcPr>
            <w:tcW w:w="1870" w:type="dxa"/>
            <w:tcBorders>
              <w:left w:val="single" w:sz="6" w:space="0" w:color="000000"/>
            </w:tcBorders>
            <w:tcMar>
              <w:top w:w="80" w:type="dxa"/>
              <w:left w:w="60" w:type="dxa"/>
              <w:bottom w:w="80" w:type="dxa"/>
              <w:right w:w="60" w:type="dxa"/>
            </w:tcMar>
          </w:tcPr>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A3338" w:rsidRPr="0016157A" w:rsidTr="00C249E4">
              <w:tc>
                <w:tcPr>
                  <w:tcW w:w="1750" w:type="dxa"/>
                  <w:tcMar>
                    <w:top w:w="0" w:type="dxa"/>
                    <w:left w:w="0" w:type="dxa"/>
                    <w:bottom w:w="0" w:type="dxa"/>
                    <w:right w:w="0" w:type="dxa"/>
                  </w:tcMar>
                </w:tcPr>
                <w:p w:rsidR="00EA3338" w:rsidRPr="0016157A" w:rsidRDefault="00EA3338" w:rsidP="00C249E4">
                  <w:pPr>
                    <w:jc w:val="left"/>
                    <w:rPr>
                      <w:color w:val="000000"/>
                      <w:lang w:val="fr-FR"/>
                    </w:rPr>
                  </w:pPr>
                  <w:r w:rsidRPr="0016157A">
                    <w:rPr>
                      <w:rFonts w:eastAsia="Arial" w:cs="Arial"/>
                      <w:b/>
                      <w:bCs/>
                      <w:color w:val="000000"/>
                      <w:sz w:val="16"/>
                      <w:szCs w:val="16"/>
                      <w:lang w:val="fr-FR"/>
                    </w:rPr>
                    <w:t xml:space="preserve">Planta: </w:t>
                  </w:r>
                  <w:proofErr w:type="spellStart"/>
                  <w:r w:rsidRPr="0016157A">
                    <w:rPr>
                      <w:rFonts w:eastAsia="Arial" w:cs="Arial"/>
                      <w:b/>
                      <w:bCs/>
                      <w:color w:val="000000"/>
                      <w:sz w:val="16"/>
                      <w:szCs w:val="16"/>
                      <w:lang w:val="fr-FR"/>
                    </w:rPr>
                    <w:t>longitud</w:t>
                  </w:r>
                  <w:proofErr w:type="spellEnd"/>
                </w:p>
              </w:tc>
            </w:tr>
          </w:tbl>
          <w:p w:rsidR="00EA3338" w:rsidRPr="0016157A" w:rsidRDefault="00EA3338" w:rsidP="00C249E4">
            <w:pPr>
              <w:spacing w:line="1" w:lineRule="auto"/>
              <w:jc w:val="left"/>
              <w:rPr>
                <w:color w:val="000000"/>
                <w:lang w:val="fr-FR"/>
              </w:rPr>
            </w:pPr>
          </w:p>
        </w:tc>
        <w:tc>
          <w:tcPr>
            <w:tcW w:w="2142" w:type="dxa"/>
            <w:tcBorders>
              <w:left w:val="single" w:sz="6" w:space="0" w:color="000000"/>
            </w:tcBorders>
            <w:tcMar>
              <w:top w:w="80" w:type="dxa"/>
              <w:left w:w="40" w:type="dxa"/>
              <w:bottom w:w="80" w:type="dxa"/>
              <w:right w:w="40" w:type="dxa"/>
            </w:tcMar>
          </w:tcPr>
          <w:p w:rsidR="00EA3338" w:rsidRPr="0016157A" w:rsidRDefault="00EA3338" w:rsidP="00C249E4">
            <w:pPr>
              <w:spacing w:line="1" w:lineRule="auto"/>
              <w:jc w:val="left"/>
              <w:rPr>
                <w:color w:val="000000"/>
                <w:lang w:val="fr-FR"/>
              </w:rPr>
            </w:pPr>
          </w:p>
        </w:tc>
        <w:tc>
          <w:tcPr>
            <w:tcW w:w="408" w:type="dxa"/>
            <w:tcBorders>
              <w:left w:val="single" w:sz="6" w:space="0" w:color="000000"/>
              <w:right w:val="single" w:sz="6" w:space="0" w:color="000000"/>
            </w:tcBorders>
            <w:tcMar>
              <w:top w:w="80" w:type="dxa"/>
              <w:left w:w="40" w:type="dxa"/>
              <w:bottom w:w="80" w:type="dxa"/>
              <w:right w:w="40" w:type="dxa"/>
            </w:tcMar>
          </w:tcPr>
          <w:p w:rsidR="00EA3338" w:rsidRPr="0016157A" w:rsidRDefault="00EA3338" w:rsidP="00C249E4">
            <w:pPr>
              <w:spacing w:line="1" w:lineRule="auto"/>
              <w:jc w:val="left"/>
              <w:rPr>
                <w:color w:val="000000"/>
                <w:lang w:val="fr-FR"/>
              </w:rPr>
            </w:pPr>
          </w:p>
        </w:tc>
      </w:tr>
      <w:tr w:rsidR="00EA3338" w:rsidRPr="0016157A" w:rsidTr="00C249E4">
        <w:tc>
          <w:tcPr>
            <w:tcW w:w="311" w:type="dxa"/>
            <w:tcBorders>
              <w:left w:val="single" w:sz="6" w:space="0" w:color="000000"/>
            </w:tcBorders>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283" w:type="dxa"/>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short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proofErr w:type="spellStart"/>
            <w:r w:rsidRPr="0016157A">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proofErr w:type="spellStart"/>
            <w:r w:rsidRPr="0016157A">
              <w:rPr>
                <w:rFonts w:eastAsia="Arial" w:cs="Arial"/>
                <w:color w:val="000000"/>
                <w:sz w:val="16"/>
                <w:szCs w:val="16"/>
                <w:lang w:val="fr-FR"/>
              </w:rPr>
              <w:t>corta</w:t>
            </w:r>
            <w:proofErr w:type="spellEnd"/>
          </w:p>
        </w:tc>
        <w:tc>
          <w:tcPr>
            <w:tcW w:w="2142"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(w) Variété A, (w) Variété B, (s) Alpha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A3338" w:rsidRPr="0016157A" w:rsidRDefault="00EA3338" w:rsidP="00C249E4">
            <w:pPr>
              <w:jc w:val="center"/>
              <w:rPr>
                <w:rFonts w:eastAsia="Arial" w:cs="Arial"/>
                <w:color w:val="000000"/>
                <w:sz w:val="16"/>
                <w:szCs w:val="16"/>
                <w:lang w:val="fr-FR"/>
              </w:rPr>
            </w:pPr>
            <w:r w:rsidRPr="0016157A">
              <w:rPr>
                <w:rFonts w:eastAsia="Arial" w:cs="Arial"/>
                <w:color w:val="000000"/>
                <w:sz w:val="16"/>
                <w:szCs w:val="16"/>
                <w:lang w:val="fr-FR"/>
              </w:rPr>
              <w:t>3</w:t>
            </w:r>
          </w:p>
        </w:tc>
      </w:tr>
      <w:tr w:rsidR="00EA3338" w:rsidRPr="0016157A" w:rsidTr="00C249E4">
        <w:tc>
          <w:tcPr>
            <w:tcW w:w="311" w:type="dxa"/>
            <w:tcBorders>
              <w:left w:val="single" w:sz="6" w:space="0" w:color="000000"/>
            </w:tcBorders>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283" w:type="dxa"/>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proofErr w:type="spellStart"/>
            <w:r w:rsidRPr="0016157A">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media</w:t>
            </w:r>
          </w:p>
        </w:tc>
        <w:tc>
          <w:tcPr>
            <w:tcW w:w="2142" w:type="dxa"/>
            <w:tcBorders>
              <w:top w:val="dotted" w:sz="6" w:space="0" w:color="000000"/>
              <w:left w:val="single" w:sz="6" w:space="0" w:color="000000"/>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(w) Variété C, (s) Beta</w:t>
            </w:r>
          </w:p>
        </w:tc>
        <w:tc>
          <w:tcPr>
            <w:tcW w:w="408" w:type="dxa"/>
            <w:tcBorders>
              <w:top w:val="dotted" w:sz="6" w:space="0" w:color="000000"/>
              <w:left w:val="single" w:sz="6" w:space="0" w:color="000000"/>
              <w:right w:val="single" w:sz="6" w:space="0" w:color="000000"/>
            </w:tcBorders>
            <w:tcMar>
              <w:top w:w="80" w:type="dxa"/>
              <w:left w:w="60" w:type="dxa"/>
              <w:bottom w:w="80" w:type="dxa"/>
              <w:right w:w="60" w:type="dxa"/>
            </w:tcMar>
          </w:tcPr>
          <w:p w:rsidR="00EA3338" w:rsidRPr="0016157A" w:rsidRDefault="00EA3338" w:rsidP="00C249E4">
            <w:pPr>
              <w:jc w:val="center"/>
              <w:rPr>
                <w:rFonts w:eastAsia="Arial" w:cs="Arial"/>
                <w:color w:val="000000"/>
                <w:sz w:val="16"/>
                <w:szCs w:val="16"/>
                <w:lang w:val="fr-FR"/>
              </w:rPr>
            </w:pPr>
            <w:r w:rsidRPr="0016157A">
              <w:rPr>
                <w:rFonts w:eastAsia="Arial" w:cs="Arial"/>
                <w:color w:val="000000"/>
                <w:sz w:val="16"/>
                <w:szCs w:val="16"/>
                <w:lang w:val="fr-FR"/>
              </w:rPr>
              <w:t>5</w:t>
            </w:r>
          </w:p>
        </w:tc>
      </w:tr>
      <w:tr w:rsidR="00EA3338" w:rsidRPr="0016157A" w:rsidTr="00C249E4">
        <w:tc>
          <w:tcPr>
            <w:tcW w:w="311" w:type="dxa"/>
            <w:tcBorders>
              <w:left w:val="single" w:sz="6" w:space="0" w:color="000000"/>
              <w:bottom w:val="single" w:sz="4" w:space="0" w:color="auto"/>
            </w:tcBorders>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283" w:type="dxa"/>
            <w:tcBorders>
              <w:bottom w:val="single" w:sz="4" w:space="0" w:color="auto"/>
            </w:tcBorders>
            <w:tcMar>
              <w:top w:w="0" w:type="dxa"/>
              <w:left w:w="0" w:type="dxa"/>
              <w:bottom w:w="0" w:type="dxa"/>
              <w:right w:w="0" w:type="dxa"/>
            </w:tcMar>
          </w:tcPr>
          <w:p w:rsidR="00EA3338" w:rsidRPr="0016157A" w:rsidRDefault="00EA3338" w:rsidP="00C249E4">
            <w:pPr>
              <w:spacing w:line="1" w:lineRule="auto"/>
              <w:jc w:val="left"/>
              <w:rPr>
                <w:color w:val="000000"/>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long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proofErr w:type="spellStart"/>
            <w:r w:rsidRPr="0016157A">
              <w:rPr>
                <w:rFonts w:eastAsia="Arial" w:cs="Arial"/>
                <w:color w:val="000000"/>
                <w:sz w:val="16"/>
                <w:szCs w:val="16"/>
                <w:lang w:val="fr-FR"/>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proofErr w:type="spellStart"/>
            <w:r w:rsidRPr="0016157A">
              <w:rPr>
                <w:rFonts w:eastAsia="Arial" w:cs="Arial"/>
                <w:color w:val="000000"/>
                <w:sz w:val="16"/>
                <w:szCs w:val="16"/>
                <w:lang w:val="fr-FR"/>
              </w:rPr>
              <w:t>larga</w:t>
            </w:r>
            <w:proofErr w:type="spellEnd"/>
          </w:p>
        </w:tc>
        <w:tc>
          <w:tcPr>
            <w:tcW w:w="2142" w:type="dxa"/>
            <w:tcBorders>
              <w:top w:val="dotted" w:sz="6" w:space="0" w:color="000000"/>
              <w:left w:val="single" w:sz="6" w:space="0" w:color="000000"/>
              <w:bottom w:val="single" w:sz="4" w:space="0" w:color="auto"/>
            </w:tcBorders>
            <w:tcMar>
              <w:top w:w="80" w:type="dxa"/>
              <w:left w:w="60" w:type="dxa"/>
              <w:bottom w:w="80" w:type="dxa"/>
              <w:right w:w="60" w:type="dxa"/>
            </w:tcMar>
          </w:tcPr>
          <w:p w:rsidR="00EA3338" w:rsidRPr="0016157A" w:rsidRDefault="00EA3338" w:rsidP="00C249E4">
            <w:pPr>
              <w:jc w:val="left"/>
              <w:rPr>
                <w:rFonts w:eastAsia="Arial" w:cs="Arial"/>
                <w:color w:val="000000"/>
                <w:sz w:val="16"/>
                <w:szCs w:val="16"/>
                <w:lang w:val="fr-FR"/>
              </w:rPr>
            </w:pPr>
            <w:r w:rsidRPr="0016157A">
              <w:rPr>
                <w:rFonts w:eastAsia="Arial" w:cs="Arial"/>
                <w:color w:val="000000"/>
                <w:sz w:val="16"/>
                <w:szCs w:val="16"/>
                <w:lang w:val="fr-FR"/>
              </w:rPr>
              <w:t>(w) Variété D</w:t>
            </w:r>
          </w:p>
        </w:tc>
        <w:tc>
          <w:tcPr>
            <w:tcW w:w="408"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EA3338" w:rsidRPr="0016157A" w:rsidRDefault="00EA3338" w:rsidP="00C249E4">
            <w:pPr>
              <w:jc w:val="center"/>
              <w:rPr>
                <w:rFonts w:eastAsia="Arial" w:cs="Arial"/>
                <w:color w:val="000000"/>
                <w:sz w:val="16"/>
                <w:szCs w:val="16"/>
                <w:lang w:val="fr-FR"/>
              </w:rPr>
            </w:pPr>
            <w:r w:rsidRPr="0016157A">
              <w:rPr>
                <w:rFonts w:eastAsia="Arial" w:cs="Arial"/>
                <w:color w:val="000000"/>
                <w:sz w:val="16"/>
                <w:szCs w:val="16"/>
                <w:lang w:val="fr-FR"/>
              </w:rPr>
              <w:t>7</w:t>
            </w:r>
          </w:p>
        </w:tc>
      </w:tr>
    </w:tbl>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lang w:val="fr-FR"/>
        </w:rPr>
      </w:pPr>
      <w:r w:rsidRPr="0016157A">
        <w:rPr>
          <w:lang w:val="fr-FR"/>
        </w:rPr>
        <w:fldChar w:fldCharType="begin"/>
      </w:r>
      <w:r w:rsidRPr="0016157A">
        <w:rPr>
          <w:lang w:val="fr-FR"/>
        </w:rPr>
        <w:instrText xml:space="preserve"> AUTONUM  </w:instrText>
      </w:r>
      <w:r w:rsidRPr="0016157A">
        <w:rPr>
          <w:lang w:val="fr-FR"/>
        </w:rPr>
        <w:fldChar w:fldCharType="end"/>
      </w:r>
      <w:r w:rsidRPr="0016157A">
        <w:rPr>
          <w:lang w:val="fr-FR"/>
        </w:rPr>
        <w:tab/>
      </w:r>
      <w:r w:rsidRPr="0016157A">
        <w:rPr>
          <w:rFonts w:cs="Arial"/>
          <w:lang w:val="fr-FR"/>
        </w:rPr>
        <w:t>L</w:t>
      </w:r>
      <w:r w:rsidR="00B4091E">
        <w:rPr>
          <w:rFonts w:cs="Arial"/>
          <w:lang w:val="fr-FR"/>
        </w:rPr>
        <w:t>’</w:t>
      </w:r>
      <w:r w:rsidRPr="0016157A">
        <w:rPr>
          <w:rFonts w:cs="Arial"/>
          <w:lang w:val="fr-FR"/>
        </w:rPr>
        <w:t xml:space="preserve">annexe 4 du document TGP/7 </w:t>
      </w:r>
      <w:r w:rsidR="00B4091E">
        <w:rPr>
          <w:rFonts w:cs="Arial"/>
          <w:lang w:val="fr-FR"/>
        </w:rPr>
        <w:t>“</w:t>
      </w:r>
      <w:r w:rsidRPr="0016157A">
        <w:rPr>
          <w:rFonts w:cs="Arial"/>
          <w:lang w:val="fr-FR"/>
        </w:rPr>
        <w:t>Liste de caractères approuvés</w:t>
      </w:r>
      <w:r w:rsidR="00B4091E">
        <w:rPr>
          <w:rFonts w:cs="Arial"/>
          <w:lang w:val="fr-FR"/>
        </w:rPr>
        <w:t>”</w:t>
      </w:r>
      <w:r w:rsidRPr="0016157A">
        <w:rPr>
          <w:rFonts w:cs="Arial"/>
          <w:lang w:val="fr-FR"/>
        </w:rPr>
        <w:t xml:space="preserve"> devra être supprimé car la base de données des caractères figurant dans les principes directeurs d</w:t>
      </w:r>
      <w:r w:rsidR="00B4091E">
        <w:rPr>
          <w:rFonts w:cs="Arial"/>
          <w:lang w:val="fr-FR"/>
        </w:rPr>
        <w:t>’</w:t>
      </w:r>
      <w:r w:rsidRPr="0016157A">
        <w:rPr>
          <w:rFonts w:cs="Arial"/>
          <w:lang w:val="fr-FR"/>
        </w:rPr>
        <w:t>examen de l</w:t>
      </w:r>
      <w:r w:rsidR="00B4091E">
        <w:rPr>
          <w:rFonts w:cs="Arial"/>
          <w:lang w:val="fr-FR"/>
        </w:rPr>
        <w:t>’</w:t>
      </w:r>
      <w:r w:rsidRPr="0016157A">
        <w:rPr>
          <w:rFonts w:cs="Arial"/>
          <w:lang w:val="fr-FR"/>
        </w:rPr>
        <w:t>UPOV est incluse dans le modèle de principes directeurs d</w:t>
      </w:r>
      <w:r w:rsidR="00B4091E">
        <w:rPr>
          <w:rFonts w:cs="Arial"/>
          <w:lang w:val="fr-FR"/>
        </w:rPr>
        <w:t>’</w:t>
      </w:r>
      <w:r w:rsidRPr="0016157A">
        <w:rPr>
          <w:rFonts w:cs="Arial"/>
          <w:lang w:val="fr-FR"/>
        </w:rPr>
        <w:t>examen fondé sur le Web.</w:t>
      </w:r>
    </w:p>
    <w:p w:rsidR="00EA3338" w:rsidRPr="0016157A" w:rsidRDefault="00EA3338" w:rsidP="00C249E4">
      <w:pPr>
        <w:rPr>
          <w:lang w:val="fr-FR"/>
        </w:rPr>
      </w:pPr>
    </w:p>
    <w:p w:rsidR="00EA3338" w:rsidRPr="00883650" w:rsidRDefault="00EA3338" w:rsidP="00C249E4">
      <w:pPr>
        <w:rPr>
          <w:strike/>
          <w:sz w:val="18"/>
          <w:szCs w:val="18"/>
          <w:u w:val="single"/>
          <w:lang w:val="fr-CH"/>
        </w:rPr>
      </w:pPr>
      <w:bookmarkStart w:id="134" w:name="_Toc478118901"/>
      <w:r w:rsidRPr="00883650">
        <w:rPr>
          <w:strike/>
          <w:sz w:val="18"/>
          <w:szCs w:val="18"/>
          <w:highlight w:val="lightGray"/>
          <w:u w:val="single"/>
          <w:lang w:val="fr-CH"/>
        </w:rPr>
        <w:t>Annexe 4 : Liste de caractères approuvés</w:t>
      </w:r>
      <w:bookmarkEnd w:id="134"/>
    </w:p>
    <w:p w:rsidR="00EA3338" w:rsidRPr="0016157A" w:rsidRDefault="00EA3338" w:rsidP="00C249E4">
      <w:pPr>
        <w:ind w:left="567" w:right="567"/>
        <w:jc w:val="left"/>
        <w:rPr>
          <w:rFonts w:cs="Arial"/>
          <w:sz w:val="18"/>
          <w:szCs w:val="18"/>
          <w:lang w:val="fr-FR"/>
        </w:rPr>
      </w:pPr>
    </w:p>
    <w:p w:rsidR="00EA3338" w:rsidRPr="0016157A" w:rsidRDefault="00EA3338" w:rsidP="00C249E4">
      <w:pPr>
        <w:ind w:left="567" w:right="567"/>
        <w:rPr>
          <w:rFonts w:cs="Arial"/>
          <w:strike/>
          <w:sz w:val="18"/>
          <w:szCs w:val="18"/>
          <w:highlight w:val="lightGray"/>
          <w:lang w:val="fr-FR"/>
        </w:rPr>
      </w:pPr>
      <w:r w:rsidRPr="0016157A">
        <w:rPr>
          <w:rFonts w:cs="Arial"/>
          <w:strike/>
          <w:sz w:val="18"/>
          <w:szCs w:val="18"/>
          <w:highlight w:val="lightGray"/>
          <w:lang w:val="fr-FR"/>
        </w:rPr>
        <w:t>1.</w:t>
      </w:r>
      <w:r w:rsidRPr="0016157A">
        <w:rPr>
          <w:rFonts w:cs="Arial"/>
          <w:strike/>
          <w:sz w:val="18"/>
          <w:szCs w:val="18"/>
          <w:highlight w:val="lightGray"/>
          <w:lang w:val="fr-FR"/>
        </w:rPr>
        <w:tab/>
        <w:t>La liste de caractères approuvés (ci</w:t>
      </w:r>
      <w:r w:rsidRPr="0016157A">
        <w:rPr>
          <w:rFonts w:cs="Arial"/>
          <w:strike/>
          <w:sz w:val="18"/>
          <w:szCs w:val="18"/>
          <w:highlight w:val="lightGray"/>
          <w:lang w:val="fr-FR"/>
        </w:rPr>
        <w:noBreakHyphen/>
        <w:t xml:space="preserve">après dénommée </w:t>
      </w:r>
      <w:r w:rsidR="00B4091E">
        <w:rPr>
          <w:rFonts w:cs="Arial"/>
          <w:strike/>
          <w:sz w:val="18"/>
          <w:szCs w:val="18"/>
          <w:highlight w:val="lightGray"/>
          <w:lang w:val="fr-FR"/>
        </w:rPr>
        <w:t>“</w:t>
      </w:r>
      <w:r w:rsidRPr="0016157A">
        <w:rPr>
          <w:rFonts w:cs="Arial"/>
          <w:strike/>
          <w:sz w:val="18"/>
          <w:szCs w:val="18"/>
          <w:highlight w:val="lightGray"/>
          <w:lang w:val="fr-FR"/>
        </w:rPr>
        <w:t>liste</w:t>
      </w:r>
      <w:r w:rsidR="00B4091E">
        <w:rPr>
          <w:rFonts w:cs="Arial"/>
          <w:strike/>
          <w:sz w:val="18"/>
          <w:szCs w:val="18"/>
          <w:highlight w:val="lightGray"/>
          <w:lang w:val="fr-FR"/>
        </w:rPr>
        <w:t>”</w:t>
      </w:r>
      <w:r w:rsidRPr="0016157A">
        <w:rPr>
          <w:rFonts w:cs="Arial"/>
          <w:strike/>
          <w:sz w:val="18"/>
          <w:szCs w:val="18"/>
          <w:highlight w:val="lightGray"/>
          <w:lang w:val="fr-FR"/>
        </w:rPr>
        <w:t>) contient des caractères et des niveaux d</w:t>
      </w:r>
      <w:r w:rsidR="00B4091E">
        <w:rPr>
          <w:rFonts w:cs="Arial"/>
          <w:strike/>
          <w:sz w:val="18"/>
          <w:szCs w:val="18"/>
          <w:highlight w:val="lightGray"/>
          <w:lang w:val="fr-FR"/>
        </w:rPr>
        <w:t>’</w:t>
      </w:r>
      <w:r w:rsidRPr="0016157A">
        <w:rPr>
          <w:rFonts w:cs="Arial"/>
          <w:strike/>
          <w:sz w:val="18"/>
          <w:szCs w:val="18"/>
          <w:highlight w:val="lightGray"/>
          <w:lang w:val="fr-FR"/>
        </w:rPr>
        <w:t>expression correspondants dont l</w:t>
      </w:r>
      <w:r w:rsidR="00B4091E">
        <w:rPr>
          <w:rFonts w:cs="Arial"/>
          <w:strike/>
          <w:sz w:val="18"/>
          <w:szCs w:val="18"/>
          <w:highlight w:val="lightGray"/>
          <w:lang w:val="fr-FR"/>
        </w:rPr>
        <w:t>’</w:t>
      </w:r>
      <w:r w:rsidRPr="0016157A">
        <w:rPr>
          <w:rFonts w:cs="Arial"/>
          <w:strike/>
          <w:sz w:val="18"/>
          <w:szCs w:val="18"/>
          <w:highlight w:val="lightGray"/>
          <w:lang w:val="fr-FR"/>
        </w:rPr>
        <w:t>utilisation dans les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existants a déjà été approuvée.  Les rédacteurs des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sont invités à vérifier si le caractère qu</w:t>
      </w:r>
      <w:r w:rsidR="00B4091E">
        <w:rPr>
          <w:rFonts w:cs="Arial"/>
          <w:strike/>
          <w:sz w:val="18"/>
          <w:szCs w:val="18"/>
          <w:highlight w:val="lightGray"/>
          <w:lang w:val="fr-FR"/>
        </w:rPr>
        <w:t>’</w:t>
      </w:r>
      <w:r w:rsidRPr="0016157A">
        <w:rPr>
          <w:rFonts w:cs="Arial"/>
          <w:strike/>
          <w:sz w:val="18"/>
          <w:szCs w:val="18"/>
          <w:highlight w:val="lightGray"/>
          <w:lang w:val="fr-FR"/>
        </w:rPr>
        <w:t>ils souhaitent utiliser figure dans cette liste.  Dans l</w:t>
      </w:r>
      <w:r w:rsidR="00B4091E">
        <w:rPr>
          <w:rFonts w:cs="Arial"/>
          <w:strike/>
          <w:sz w:val="18"/>
          <w:szCs w:val="18"/>
          <w:highlight w:val="lightGray"/>
          <w:lang w:val="fr-FR"/>
        </w:rPr>
        <w:t>’</w:t>
      </w:r>
      <w:r w:rsidRPr="0016157A">
        <w:rPr>
          <w:rFonts w:cs="Arial"/>
          <w:strike/>
          <w:sz w:val="18"/>
          <w:szCs w:val="18"/>
          <w:highlight w:val="lightGray"/>
          <w:lang w:val="fr-FR"/>
        </w:rPr>
        <w:t>affirmative, le caractère et les niveaux d</w:t>
      </w:r>
      <w:r w:rsidR="00B4091E">
        <w:rPr>
          <w:rFonts w:cs="Arial"/>
          <w:strike/>
          <w:sz w:val="18"/>
          <w:szCs w:val="18"/>
          <w:highlight w:val="lightGray"/>
          <w:lang w:val="fr-FR"/>
        </w:rPr>
        <w:t>’</w:t>
      </w:r>
      <w:r w:rsidRPr="0016157A">
        <w:rPr>
          <w:rFonts w:cs="Arial"/>
          <w:strike/>
          <w:sz w:val="18"/>
          <w:szCs w:val="18"/>
          <w:highlight w:val="lightGray"/>
          <w:lang w:val="fr-FR"/>
        </w:rPr>
        <w:t>expression correspondants peuvent être recopiés directement dans les nouveaux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Il convient toutefois de garder à l</w:t>
      </w:r>
      <w:r w:rsidR="00B4091E">
        <w:rPr>
          <w:rFonts w:cs="Arial"/>
          <w:strike/>
          <w:sz w:val="18"/>
          <w:szCs w:val="18"/>
          <w:highlight w:val="lightGray"/>
          <w:lang w:val="fr-FR"/>
        </w:rPr>
        <w:t>’</w:t>
      </w:r>
      <w:r w:rsidRPr="0016157A">
        <w:rPr>
          <w:rFonts w:cs="Arial"/>
          <w:strike/>
          <w:sz w:val="18"/>
          <w:szCs w:val="18"/>
          <w:highlight w:val="lightGray"/>
          <w:lang w:val="fr-FR"/>
        </w:rPr>
        <w:t>esprit que des caractères qui peuvent sembler très proches dans différents types de plantes, ou différents organes d</w:t>
      </w:r>
      <w:r w:rsidR="00B4091E">
        <w:rPr>
          <w:rFonts w:cs="Arial"/>
          <w:strike/>
          <w:sz w:val="18"/>
          <w:szCs w:val="18"/>
          <w:highlight w:val="lightGray"/>
          <w:lang w:val="fr-FR"/>
        </w:rPr>
        <w:t>’</w:t>
      </w:r>
      <w:r w:rsidRPr="0016157A">
        <w:rPr>
          <w:rFonts w:cs="Arial"/>
          <w:strike/>
          <w:sz w:val="18"/>
          <w:szCs w:val="18"/>
          <w:highlight w:val="lightGray"/>
          <w:lang w:val="fr-FR"/>
        </w:rPr>
        <w:t>une même plante, peuvent faire l</w:t>
      </w:r>
      <w:r w:rsidR="00B4091E">
        <w:rPr>
          <w:rFonts w:cs="Arial"/>
          <w:strike/>
          <w:sz w:val="18"/>
          <w:szCs w:val="18"/>
          <w:highlight w:val="lightGray"/>
          <w:lang w:val="fr-FR"/>
        </w:rPr>
        <w:t>’</w:t>
      </w:r>
      <w:r w:rsidRPr="0016157A">
        <w:rPr>
          <w:rFonts w:cs="Arial"/>
          <w:strike/>
          <w:sz w:val="18"/>
          <w:szCs w:val="18"/>
          <w:highlight w:val="lightGray"/>
          <w:lang w:val="fr-FR"/>
        </w:rPr>
        <w:t xml:space="preserve">objet de déterminismes génétiques différents.  Ainsi, dans un type de plante, ou dans un organe donné, le caractère </w:t>
      </w:r>
      <w:r w:rsidR="00B4091E">
        <w:rPr>
          <w:rFonts w:cs="Arial"/>
          <w:strike/>
          <w:sz w:val="18"/>
          <w:szCs w:val="18"/>
          <w:highlight w:val="lightGray"/>
          <w:lang w:val="fr-FR"/>
        </w:rPr>
        <w:t>“</w:t>
      </w:r>
      <w:r w:rsidRPr="0016157A">
        <w:rPr>
          <w:rFonts w:cs="Arial"/>
          <w:strike/>
          <w:sz w:val="18"/>
          <w:szCs w:val="18"/>
          <w:highlight w:val="lightGray"/>
          <w:lang w:val="fr-FR"/>
        </w:rPr>
        <w:t>profil</w:t>
      </w:r>
      <w:r w:rsidR="00B4091E">
        <w:rPr>
          <w:rFonts w:cs="Arial"/>
          <w:strike/>
          <w:sz w:val="18"/>
          <w:szCs w:val="18"/>
          <w:highlight w:val="lightGray"/>
          <w:lang w:val="fr-FR"/>
        </w:rPr>
        <w:t>”</w:t>
      </w:r>
      <w:r w:rsidRPr="0016157A">
        <w:rPr>
          <w:rFonts w:cs="Arial"/>
          <w:strike/>
          <w:sz w:val="18"/>
          <w:szCs w:val="18"/>
          <w:highlight w:val="lightGray"/>
          <w:lang w:val="fr-FR"/>
        </w:rPr>
        <w:t xml:space="preserve"> peut être un caractère qualitatif, par exemple droite (1), courbée (2) alors que dans une autre type de plante, ou dans un autre organe, il peut s</w:t>
      </w:r>
      <w:r w:rsidR="00B4091E">
        <w:rPr>
          <w:rFonts w:cs="Arial"/>
          <w:strike/>
          <w:sz w:val="18"/>
          <w:szCs w:val="18"/>
          <w:highlight w:val="lightGray"/>
          <w:lang w:val="fr-FR"/>
        </w:rPr>
        <w:t>’</w:t>
      </w:r>
      <w:r w:rsidRPr="0016157A">
        <w:rPr>
          <w:rFonts w:cs="Arial"/>
          <w:strike/>
          <w:sz w:val="18"/>
          <w:szCs w:val="18"/>
          <w:highlight w:val="lightGray"/>
          <w:lang w:val="fr-FR"/>
        </w:rPr>
        <w:t>agir d</w:t>
      </w:r>
      <w:r w:rsidR="00B4091E">
        <w:rPr>
          <w:rFonts w:cs="Arial"/>
          <w:strike/>
          <w:sz w:val="18"/>
          <w:szCs w:val="18"/>
          <w:highlight w:val="lightGray"/>
          <w:lang w:val="fr-FR"/>
        </w:rPr>
        <w:t>’</w:t>
      </w:r>
      <w:r w:rsidRPr="0016157A">
        <w:rPr>
          <w:rFonts w:cs="Arial"/>
          <w:strike/>
          <w:sz w:val="18"/>
          <w:szCs w:val="18"/>
          <w:highlight w:val="lightGray"/>
          <w:lang w:val="fr-FR"/>
        </w:rPr>
        <w:t>un caractère quantitatif, par exemple droite ou légèrement courbée (1), modérément courbée (2), fortement courbée (3).</w:t>
      </w:r>
    </w:p>
    <w:p w:rsidR="00EA3338" w:rsidRPr="0016157A" w:rsidRDefault="00EA3338" w:rsidP="00C249E4">
      <w:pPr>
        <w:ind w:left="567" w:right="567"/>
        <w:rPr>
          <w:rFonts w:cs="Arial"/>
          <w:strike/>
          <w:sz w:val="18"/>
          <w:szCs w:val="18"/>
          <w:highlight w:val="lightGray"/>
          <w:lang w:val="fr-FR"/>
        </w:rPr>
      </w:pPr>
    </w:p>
    <w:p w:rsidR="00EA3338" w:rsidRPr="0016157A" w:rsidRDefault="00EA3338" w:rsidP="00C249E4">
      <w:pPr>
        <w:ind w:left="567" w:right="567"/>
        <w:rPr>
          <w:rFonts w:cs="Arial"/>
          <w:strike/>
          <w:sz w:val="18"/>
          <w:szCs w:val="18"/>
          <w:highlight w:val="lightGray"/>
          <w:lang w:val="fr-FR"/>
        </w:rPr>
      </w:pPr>
      <w:r w:rsidRPr="0016157A">
        <w:rPr>
          <w:rFonts w:cs="Arial"/>
          <w:strike/>
          <w:sz w:val="18"/>
          <w:szCs w:val="18"/>
          <w:highlight w:val="lightGray"/>
          <w:lang w:val="fr-FR"/>
        </w:rPr>
        <w:t>2.</w:t>
      </w:r>
      <w:r w:rsidRPr="0016157A">
        <w:rPr>
          <w:rFonts w:cs="Arial"/>
          <w:strike/>
          <w:sz w:val="18"/>
          <w:szCs w:val="18"/>
          <w:highlight w:val="lightGray"/>
          <w:lang w:val="fr-FR"/>
        </w:rPr>
        <w:tab/>
        <w:t>Dans cette liste, chaque caractère est présenté tel qu</w:t>
      </w:r>
      <w:r w:rsidR="00B4091E">
        <w:rPr>
          <w:rFonts w:cs="Arial"/>
          <w:strike/>
          <w:sz w:val="18"/>
          <w:szCs w:val="18"/>
          <w:highlight w:val="lightGray"/>
          <w:lang w:val="fr-FR"/>
        </w:rPr>
        <w:t>’</w:t>
      </w:r>
      <w:r w:rsidRPr="0016157A">
        <w:rPr>
          <w:rFonts w:cs="Arial"/>
          <w:strike/>
          <w:sz w:val="18"/>
          <w:szCs w:val="18"/>
          <w:highlight w:val="lightGray"/>
          <w:lang w:val="fr-FR"/>
        </w:rPr>
        <w:t>il figure dans les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correspondants.  On y trouvera également, pour certains caractères, une indication des principes directeurs d</w:t>
      </w:r>
      <w:r w:rsidR="00B4091E">
        <w:rPr>
          <w:rFonts w:cs="Arial"/>
          <w:strike/>
          <w:sz w:val="18"/>
          <w:szCs w:val="18"/>
          <w:highlight w:val="lightGray"/>
          <w:lang w:val="fr-FR"/>
        </w:rPr>
        <w:t>’</w:t>
      </w:r>
      <w:r w:rsidRPr="0016157A">
        <w:rPr>
          <w:rFonts w:cs="Arial"/>
          <w:strike/>
          <w:sz w:val="18"/>
          <w:szCs w:val="18"/>
          <w:highlight w:val="lightGray"/>
          <w:lang w:val="fr-FR"/>
        </w:rPr>
        <w:t xml:space="preserve">examen desquels ils sont tirés.  Cette indication figure dans le rang </w:t>
      </w:r>
      <w:r w:rsidR="00B4091E">
        <w:rPr>
          <w:rFonts w:cs="Arial"/>
          <w:strike/>
          <w:sz w:val="18"/>
          <w:szCs w:val="18"/>
          <w:highlight w:val="lightGray"/>
          <w:lang w:val="fr-FR"/>
        </w:rPr>
        <w:t>“</w:t>
      </w:r>
      <w:r w:rsidRPr="0016157A">
        <w:rPr>
          <w:rFonts w:cs="Arial"/>
          <w:strike/>
          <w:sz w:val="18"/>
          <w:szCs w:val="18"/>
          <w:highlight w:val="lightGray"/>
          <w:lang w:val="fr-FR"/>
        </w:rPr>
        <w:t>en</w:t>
      </w:r>
      <w:r w:rsidRPr="0016157A">
        <w:rPr>
          <w:rFonts w:cs="Arial"/>
          <w:strike/>
          <w:sz w:val="18"/>
          <w:szCs w:val="18"/>
          <w:highlight w:val="lightGray"/>
          <w:lang w:val="fr-FR"/>
        </w:rPr>
        <w:noBreakHyphen/>
        <w:t>tête</w:t>
      </w:r>
      <w:r w:rsidR="00B4091E">
        <w:rPr>
          <w:rFonts w:cs="Arial"/>
          <w:strike/>
          <w:sz w:val="18"/>
          <w:szCs w:val="18"/>
          <w:highlight w:val="lightGray"/>
          <w:lang w:val="fr-FR"/>
        </w:rPr>
        <w:t>”</w:t>
      </w:r>
      <w:r w:rsidRPr="0016157A">
        <w:rPr>
          <w:rFonts w:cs="Arial"/>
          <w:strike/>
          <w:sz w:val="18"/>
          <w:szCs w:val="18"/>
          <w:highlight w:val="lightGray"/>
          <w:lang w:val="fr-FR"/>
        </w:rPr>
        <w:t xml:space="preserve"> vide de la colonne des variétés indiquées à titre d</w:t>
      </w:r>
      <w:r w:rsidR="00B4091E">
        <w:rPr>
          <w:rFonts w:cs="Arial"/>
          <w:strike/>
          <w:sz w:val="18"/>
          <w:szCs w:val="18"/>
          <w:highlight w:val="lightGray"/>
          <w:lang w:val="fr-FR"/>
        </w:rPr>
        <w:t>’</w:t>
      </w:r>
      <w:r w:rsidRPr="0016157A">
        <w:rPr>
          <w:rFonts w:cs="Arial"/>
          <w:strike/>
          <w:sz w:val="18"/>
          <w:szCs w:val="18"/>
          <w:highlight w:val="lightGray"/>
          <w:lang w:val="fr-FR"/>
        </w:rPr>
        <w:t xml:space="preserve">exemples, étant donné que le contenu de cette colonne sera probablement </w:t>
      </w:r>
      <w:r w:rsidR="00B4091E">
        <w:rPr>
          <w:rFonts w:cs="Arial"/>
          <w:strike/>
          <w:sz w:val="18"/>
          <w:szCs w:val="18"/>
          <w:highlight w:val="lightGray"/>
          <w:lang w:val="fr-FR"/>
        </w:rPr>
        <w:t>“</w:t>
      </w:r>
      <w:r w:rsidRPr="0016157A">
        <w:rPr>
          <w:rFonts w:cs="Arial"/>
          <w:strike/>
          <w:sz w:val="18"/>
          <w:szCs w:val="18"/>
          <w:highlight w:val="lightGray"/>
          <w:lang w:val="fr-FR"/>
        </w:rPr>
        <w:t>effacé</w:t>
      </w:r>
      <w:r w:rsidR="00B4091E">
        <w:rPr>
          <w:rFonts w:cs="Arial"/>
          <w:strike/>
          <w:sz w:val="18"/>
          <w:szCs w:val="18"/>
          <w:highlight w:val="lightGray"/>
          <w:lang w:val="fr-FR"/>
        </w:rPr>
        <w:t>”</w:t>
      </w:r>
      <w:r w:rsidRPr="0016157A">
        <w:rPr>
          <w:rFonts w:cs="Arial"/>
          <w:strike/>
          <w:sz w:val="18"/>
          <w:szCs w:val="18"/>
          <w:highlight w:val="lightGray"/>
          <w:lang w:val="fr-FR"/>
        </w:rPr>
        <w:t xml:space="preserve"> par le rédacteur des nouveaux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puisque les exemples ne seront plus pertinents.</w:t>
      </w:r>
    </w:p>
    <w:p w:rsidR="00EA3338" w:rsidRPr="0016157A" w:rsidRDefault="00EA3338" w:rsidP="00C249E4">
      <w:pPr>
        <w:ind w:left="567" w:right="567"/>
        <w:rPr>
          <w:rFonts w:cs="Arial"/>
          <w:strike/>
          <w:sz w:val="18"/>
          <w:szCs w:val="18"/>
          <w:highlight w:val="lightGray"/>
          <w:lang w:val="fr-FR"/>
        </w:rPr>
      </w:pPr>
    </w:p>
    <w:p w:rsidR="00EA3338" w:rsidRPr="0016157A" w:rsidRDefault="00EA3338" w:rsidP="00C249E4">
      <w:pPr>
        <w:ind w:left="567" w:right="567"/>
        <w:rPr>
          <w:strike/>
          <w:sz w:val="18"/>
          <w:highlight w:val="lightGray"/>
          <w:lang w:val="fr-FR"/>
        </w:rPr>
      </w:pPr>
      <w:r w:rsidRPr="0016157A">
        <w:rPr>
          <w:rFonts w:cs="Arial"/>
          <w:strike/>
          <w:sz w:val="18"/>
          <w:szCs w:val="18"/>
          <w:highlight w:val="lightGray"/>
          <w:lang w:val="fr-FR"/>
        </w:rPr>
        <w:t>3.</w:t>
      </w:r>
      <w:r w:rsidRPr="0016157A">
        <w:rPr>
          <w:rFonts w:cs="Arial"/>
          <w:strike/>
          <w:sz w:val="18"/>
          <w:szCs w:val="18"/>
          <w:highlight w:val="lightGray"/>
          <w:lang w:val="fr-FR"/>
        </w:rPr>
        <w:tab/>
        <w:t>Certains caractères figurant dans les principes directeurs d</w:t>
      </w:r>
      <w:r w:rsidR="00B4091E">
        <w:rPr>
          <w:rFonts w:cs="Arial"/>
          <w:strike/>
          <w:sz w:val="18"/>
          <w:szCs w:val="18"/>
          <w:highlight w:val="lightGray"/>
          <w:lang w:val="fr-FR"/>
        </w:rPr>
        <w:t>’</w:t>
      </w:r>
      <w:r w:rsidRPr="0016157A">
        <w:rPr>
          <w:rFonts w:cs="Arial"/>
          <w:strike/>
          <w:sz w:val="18"/>
          <w:szCs w:val="18"/>
          <w:highlight w:val="lightGray"/>
          <w:lang w:val="fr-FR"/>
        </w:rPr>
        <w:t>examen de l</w:t>
      </w:r>
      <w:r w:rsidR="00B4091E">
        <w:rPr>
          <w:rFonts w:cs="Arial"/>
          <w:strike/>
          <w:sz w:val="18"/>
          <w:szCs w:val="18"/>
          <w:highlight w:val="lightGray"/>
          <w:lang w:val="fr-FR"/>
        </w:rPr>
        <w:t>’</w:t>
      </w:r>
      <w:r w:rsidRPr="0016157A">
        <w:rPr>
          <w:rFonts w:cs="Arial"/>
          <w:strike/>
          <w:sz w:val="18"/>
          <w:szCs w:val="18"/>
          <w:highlight w:val="lightGray"/>
          <w:lang w:val="fr-FR"/>
        </w:rPr>
        <w:t>UPOV peuvent être omis de la liste lorsque le Comité technique le juge approprié, compte tenu notamment des recommandations du Comité de rédaction élargi (TC</w:t>
      </w:r>
      <w:r w:rsidRPr="0016157A">
        <w:rPr>
          <w:rFonts w:cs="Arial"/>
          <w:strike/>
          <w:sz w:val="18"/>
          <w:szCs w:val="18"/>
          <w:highlight w:val="lightGray"/>
          <w:lang w:val="fr-FR"/>
        </w:rPr>
        <w:noBreakHyphen/>
        <w:t>EDC).</w:t>
      </w:r>
    </w:p>
    <w:p w:rsidR="00EA3338" w:rsidRPr="0016157A" w:rsidRDefault="00EA3338" w:rsidP="00C249E4">
      <w:pPr>
        <w:ind w:left="567" w:right="567"/>
        <w:jc w:val="left"/>
        <w:rPr>
          <w:strike/>
          <w:sz w:val="18"/>
          <w:highlight w:val="lightGray"/>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58"/>
      </w:tblGrid>
      <w:tr w:rsidR="00EA3338" w:rsidRPr="008D1C5B" w:rsidTr="00C249E4">
        <w:trPr>
          <w:jc w:val="center"/>
        </w:trPr>
        <w:tc>
          <w:tcPr>
            <w:tcW w:w="8558" w:type="dxa"/>
          </w:tcPr>
          <w:p w:rsidR="00EA3338" w:rsidRPr="0016157A" w:rsidRDefault="00EA3338" w:rsidP="00C249E4">
            <w:pPr>
              <w:ind w:left="567" w:right="567"/>
              <w:jc w:val="left"/>
              <w:rPr>
                <w:b/>
                <w:strike/>
                <w:sz w:val="18"/>
                <w:highlight w:val="lightGray"/>
                <w:lang w:val="fr-FR"/>
              </w:rPr>
            </w:pPr>
          </w:p>
          <w:p w:rsidR="00EA3338" w:rsidRPr="0016157A" w:rsidRDefault="00B4091E" w:rsidP="00C249E4">
            <w:pPr>
              <w:jc w:val="center"/>
              <w:rPr>
                <w:strike/>
                <w:color w:val="0000FF"/>
                <w:sz w:val="18"/>
                <w:highlight w:val="lightGray"/>
                <w:u w:val="single"/>
                <w:lang w:val="fr-FR"/>
              </w:rPr>
            </w:pPr>
            <w:r>
              <w:rPr>
                <w:b/>
                <w:strike/>
                <w:sz w:val="18"/>
                <w:highlight w:val="lightGray"/>
                <w:lang w:val="fr-FR"/>
              </w:rPr>
              <w:t>“</w:t>
            </w:r>
            <w:r w:rsidR="00EA3338" w:rsidRPr="0016157A">
              <w:rPr>
                <w:b/>
                <w:strike/>
                <w:sz w:val="18"/>
                <w:highlight w:val="lightGray"/>
                <w:lang w:val="fr-FR"/>
              </w:rPr>
              <w:t>La liste des caractères approuvés est publiée sur le site Web de l</w:t>
            </w:r>
            <w:r>
              <w:rPr>
                <w:b/>
                <w:strike/>
                <w:sz w:val="18"/>
                <w:highlight w:val="lightGray"/>
                <w:lang w:val="fr-FR"/>
              </w:rPr>
              <w:t>’</w:t>
            </w:r>
            <w:r w:rsidR="00EA3338" w:rsidRPr="0016157A">
              <w:rPr>
                <w:b/>
                <w:strike/>
                <w:sz w:val="18"/>
                <w:highlight w:val="lightGray"/>
                <w:lang w:val="fr-FR"/>
              </w:rPr>
              <w:t xml:space="preserve">UNPOV : </w:t>
            </w:r>
            <w:r w:rsidR="00EA3338" w:rsidRPr="0016157A">
              <w:rPr>
                <w:b/>
                <w:strike/>
                <w:sz w:val="18"/>
                <w:highlight w:val="lightGray"/>
                <w:lang w:val="fr-FR"/>
              </w:rPr>
              <w:br/>
            </w:r>
            <w:r w:rsidR="00EA3338" w:rsidRPr="0016157A">
              <w:rPr>
                <w:strike/>
                <w:color w:val="0000FF"/>
                <w:sz w:val="18"/>
                <w:highlight w:val="lightGray"/>
                <w:u w:val="single"/>
                <w:lang w:val="fr-FR"/>
              </w:rPr>
              <w:t>http://www.upov.int/restricted_temporary/twptg/en/collection.doc</w:t>
            </w:r>
            <w:r>
              <w:rPr>
                <w:strike/>
                <w:color w:val="0000FF"/>
                <w:sz w:val="18"/>
                <w:highlight w:val="lightGray"/>
                <w:u w:val="single"/>
                <w:lang w:val="fr-FR"/>
              </w:rPr>
              <w:t>”</w:t>
            </w:r>
          </w:p>
          <w:p w:rsidR="00EA3338" w:rsidRPr="0016157A" w:rsidRDefault="00EA3338" w:rsidP="00C249E4">
            <w:pPr>
              <w:ind w:left="567" w:right="567"/>
              <w:jc w:val="center"/>
              <w:rPr>
                <w:b/>
                <w:strike/>
                <w:sz w:val="18"/>
                <w:lang w:val="fr-FR"/>
              </w:rPr>
            </w:pPr>
          </w:p>
          <w:p w:rsidR="00EA3338" w:rsidRPr="0016157A" w:rsidRDefault="00EA3338" w:rsidP="00C249E4">
            <w:pPr>
              <w:ind w:left="567" w:right="567"/>
              <w:jc w:val="left"/>
              <w:rPr>
                <w:b/>
                <w:strike/>
                <w:sz w:val="18"/>
                <w:lang w:val="fr-FR"/>
              </w:rPr>
            </w:pPr>
          </w:p>
        </w:tc>
      </w:tr>
    </w:tbl>
    <w:p w:rsidR="00EA3338" w:rsidRPr="0016157A" w:rsidRDefault="00EA3338" w:rsidP="00C249E4">
      <w:pPr>
        <w:jc w:val="left"/>
        <w:rPr>
          <w:lang w:val="fr-FR"/>
        </w:rPr>
      </w:pPr>
    </w:p>
    <w:p w:rsidR="00EA3338" w:rsidRPr="0016157A" w:rsidRDefault="00EA3338" w:rsidP="00C249E4">
      <w:pPr>
        <w:jc w:val="left"/>
        <w:rPr>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r w:rsidRPr="0016157A">
        <w:rPr>
          <w:snapToGrid w:val="0"/>
          <w:lang w:val="fr-FR"/>
        </w:rPr>
        <w:t>[L</w:t>
      </w:r>
      <w:r w:rsidR="00B4091E">
        <w:rPr>
          <w:snapToGrid w:val="0"/>
          <w:lang w:val="fr-FR"/>
        </w:rPr>
        <w:t>’</w:t>
      </w:r>
      <w:r w:rsidRPr="0016157A">
        <w:rPr>
          <w:snapToGrid w:val="0"/>
          <w:lang w:val="fr-FR"/>
        </w:rPr>
        <w:t>annexe II suit]</w:t>
      </w: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pPr>
    </w:p>
    <w:p w:rsidR="00EA3338" w:rsidRPr="0016157A" w:rsidRDefault="00EA3338" w:rsidP="00C249E4">
      <w:pPr>
        <w:jc w:val="right"/>
        <w:rPr>
          <w:snapToGrid w:val="0"/>
          <w:lang w:val="fr-FR"/>
        </w:rPr>
        <w:sectPr w:rsidR="00EA3338" w:rsidRPr="0016157A" w:rsidSect="00C249E4">
          <w:headerReference w:type="default" r:id="rId13"/>
          <w:headerReference w:type="first" r:id="rId14"/>
          <w:pgSz w:w="11907" w:h="16840" w:code="9"/>
          <w:pgMar w:top="510" w:right="1134" w:bottom="709" w:left="1134" w:header="510" w:footer="680" w:gutter="0"/>
          <w:pgNumType w:start="1"/>
          <w:cols w:space="720"/>
          <w:titlePg/>
        </w:sectPr>
      </w:pPr>
    </w:p>
    <w:p w:rsidR="00EA3338" w:rsidRPr="004F6BFF" w:rsidRDefault="0004303C" w:rsidP="0004303C">
      <w:pPr>
        <w:jc w:val="center"/>
        <w:rPr>
          <w:lang w:val="fr-FR"/>
        </w:rPr>
      </w:pPr>
      <w:r w:rsidRPr="0016157A">
        <w:rPr>
          <w:lang w:val="fr-FR"/>
        </w:rPr>
        <w:t>RÉVISION DU DOCUMENT TGP/8 PRÉCÉDEMMENT APPROUVÉE PAR LE TC</w:t>
      </w:r>
    </w:p>
    <w:p w:rsidR="00EA3338" w:rsidRPr="0016157A" w:rsidRDefault="00EA3338" w:rsidP="00C249E4">
      <w:pPr>
        <w:rPr>
          <w:lang w:val="fr-FR"/>
        </w:rPr>
      </w:pPr>
    </w:p>
    <w:p w:rsidR="00EA3338" w:rsidRPr="0016157A" w:rsidRDefault="00EA3338" w:rsidP="00C249E4">
      <w:pPr>
        <w:rPr>
          <w:u w:val="single"/>
          <w:lang w:val="fr-FR"/>
        </w:rPr>
      </w:pPr>
      <w:r w:rsidRPr="0016157A">
        <w:rPr>
          <w:u w:val="single"/>
          <w:lang w:val="fr-FR"/>
        </w:rPr>
        <w:t>Examen DHS sur des échantillons globaux</w:t>
      </w:r>
    </w:p>
    <w:p w:rsidR="00EA3338" w:rsidRPr="0016157A" w:rsidRDefault="00EA3338" w:rsidP="00C249E4">
      <w:pPr>
        <w:rPr>
          <w:lang w:val="fr-FR"/>
        </w:rPr>
      </w:pPr>
    </w:p>
    <w:p w:rsidR="00EA3338" w:rsidRPr="0016157A" w:rsidRDefault="00EA3338" w:rsidP="00C249E4">
      <w:pPr>
        <w:rPr>
          <w:lang w:val="fr-FR"/>
        </w:rPr>
      </w:pPr>
      <w:r w:rsidRPr="0016157A">
        <w:rPr>
          <w:lang w:val="fr-FR"/>
        </w:rPr>
        <w:t>La liste de critères ci</w:t>
      </w:r>
      <w:r w:rsidRPr="0016157A">
        <w:rPr>
          <w:lang w:val="fr-FR"/>
        </w:rPr>
        <w:noBreakHyphen/>
        <w:t>dessous a été approuvée par le TC comme base pour l</w:t>
      </w:r>
      <w:r w:rsidR="00B4091E">
        <w:rPr>
          <w:lang w:val="fr-FR"/>
        </w:rPr>
        <w:t>’</w:t>
      </w:r>
      <w:r w:rsidRPr="0016157A">
        <w:rPr>
          <w:lang w:val="fr-FR"/>
        </w:rPr>
        <w:t>élaboration de futurs principes directeurs :</w:t>
      </w:r>
    </w:p>
    <w:p w:rsidR="00EA3338" w:rsidRPr="0016157A" w:rsidRDefault="00EA3338" w:rsidP="00C249E4">
      <w:pPr>
        <w:rPr>
          <w:lang w:val="fr-FR"/>
        </w:rPr>
      </w:pPr>
    </w:p>
    <w:p w:rsidR="00EA3338" w:rsidRPr="0016157A" w:rsidRDefault="00B4091E" w:rsidP="00EA3338">
      <w:pPr>
        <w:numPr>
          <w:ilvl w:val="0"/>
          <w:numId w:val="1"/>
        </w:numPr>
        <w:ind w:left="1134" w:right="567" w:hanging="567"/>
        <w:rPr>
          <w:sz w:val="18"/>
          <w:lang w:val="fr-FR"/>
        </w:rPr>
      </w:pPr>
      <w:r>
        <w:rPr>
          <w:iCs/>
          <w:sz w:val="18"/>
          <w:lang w:val="fr-FR"/>
        </w:rPr>
        <w:t>“</w:t>
      </w:r>
      <w:r w:rsidR="00EA3338" w:rsidRPr="0016157A">
        <w:rPr>
          <w:iCs/>
          <w:sz w:val="18"/>
          <w:lang w:val="fr-FR"/>
        </w:rPr>
        <w:t>le caractère devrait remplir les conditions relatives à un caractère, énoncées dans l</w:t>
      </w:r>
      <w:r>
        <w:rPr>
          <w:iCs/>
          <w:sz w:val="18"/>
          <w:lang w:val="fr-FR"/>
        </w:rPr>
        <w:t>’</w:t>
      </w:r>
      <w:r w:rsidR="00EA3338" w:rsidRPr="0016157A">
        <w:rPr>
          <w:iCs/>
          <w:sz w:val="18"/>
          <w:lang w:val="fr-FR"/>
        </w:rPr>
        <w:t>Introduction générale à l</w:t>
      </w:r>
      <w:r>
        <w:rPr>
          <w:iCs/>
          <w:sz w:val="18"/>
          <w:lang w:val="fr-FR"/>
        </w:rPr>
        <w:t>’</w:t>
      </w:r>
      <w:r w:rsidR="00EA3338" w:rsidRPr="0016157A">
        <w:rPr>
          <w:iCs/>
          <w:sz w:val="18"/>
          <w:lang w:val="fr-FR"/>
        </w:rPr>
        <w:t>examen de la distinction, de l</w:t>
      </w:r>
      <w:r>
        <w:rPr>
          <w:iCs/>
          <w:sz w:val="18"/>
          <w:lang w:val="fr-FR"/>
        </w:rPr>
        <w:t>’</w:t>
      </w:r>
      <w:r w:rsidR="00EA3338" w:rsidRPr="0016157A">
        <w:rPr>
          <w:iCs/>
          <w:sz w:val="18"/>
          <w:lang w:val="fr-FR"/>
        </w:rPr>
        <w:t>homogénéité et de la stabilité et à l</w:t>
      </w:r>
      <w:r>
        <w:rPr>
          <w:iCs/>
          <w:sz w:val="18"/>
          <w:lang w:val="fr-FR"/>
        </w:rPr>
        <w:t>’</w:t>
      </w:r>
      <w:r w:rsidR="00EA3338" w:rsidRPr="0016157A">
        <w:rPr>
          <w:iCs/>
          <w:sz w:val="18"/>
          <w:lang w:val="fr-FR"/>
        </w:rPr>
        <w:t>harmonisation des descriptions des obtentions végétales</w:t>
      </w:r>
      <w:r>
        <w:rPr>
          <w:iCs/>
          <w:sz w:val="18"/>
          <w:lang w:val="fr-FR"/>
        </w:rPr>
        <w:t>”</w:t>
      </w:r>
      <w:r w:rsidR="00EA3338" w:rsidRPr="0016157A">
        <w:rPr>
          <w:iCs/>
          <w:sz w:val="18"/>
          <w:lang w:val="fr-FR"/>
        </w:rPr>
        <w:t xml:space="preserve"> (voir la section 4.2.1 du document TG/1/3);</w:t>
      </w:r>
    </w:p>
    <w:p w:rsidR="00EA3338" w:rsidRPr="0016157A" w:rsidRDefault="00EA3338" w:rsidP="00C249E4">
      <w:pPr>
        <w:ind w:left="1134" w:right="567" w:hanging="567"/>
        <w:rPr>
          <w:sz w:val="18"/>
          <w:lang w:val="fr-FR"/>
        </w:rPr>
      </w:pPr>
    </w:p>
    <w:p w:rsidR="00EA3338" w:rsidRPr="0016157A" w:rsidRDefault="00B4091E" w:rsidP="00EA3338">
      <w:pPr>
        <w:numPr>
          <w:ilvl w:val="0"/>
          <w:numId w:val="1"/>
        </w:numPr>
        <w:ind w:left="1134" w:right="567" w:hanging="567"/>
        <w:rPr>
          <w:sz w:val="18"/>
          <w:lang w:val="fr-FR"/>
        </w:rPr>
      </w:pPr>
      <w:r>
        <w:rPr>
          <w:sz w:val="18"/>
          <w:lang w:val="fr-FR"/>
        </w:rPr>
        <w:t>“</w:t>
      </w:r>
      <w:r w:rsidR="00EA3338" w:rsidRPr="0016157A">
        <w:rPr>
          <w:sz w:val="18"/>
          <w:lang w:val="fr-FR"/>
        </w:rPr>
        <w:t>des informations devraient être disponibles sur le déterminisme génétique du caractère;</w:t>
      </w:r>
    </w:p>
    <w:p w:rsidR="00EA3338" w:rsidRPr="0016157A" w:rsidRDefault="00EA3338" w:rsidP="00C249E4">
      <w:pPr>
        <w:ind w:left="1134" w:right="567" w:hanging="567"/>
        <w:rPr>
          <w:iCs/>
          <w:sz w:val="18"/>
          <w:lang w:val="fr-FR"/>
        </w:rPr>
      </w:pPr>
    </w:p>
    <w:p w:rsidR="00EA3338" w:rsidRPr="0016157A" w:rsidRDefault="00B4091E" w:rsidP="00EA3338">
      <w:pPr>
        <w:numPr>
          <w:ilvl w:val="0"/>
          <w:numId w:val="1"/>
        </w:numPr>
        <w:ind w:left="1134" w:right="567" w:hanging="567"/>
        <w:rPr>
          <w:iCs/>
          <w:sz w:val="18"/>
          <w:lang w:val="fr-FR"/>
        </w:rPr>
      </w:pPr>
      <w:r>
        <w:rPr>
          <w:iCs/>
          <w:sz w:val="18"/>
          <w:lang w:val="fr-FR"/>
        </w:rPr>
        <w:t>“</w:t>
      </w:r>
      <w:r w:rsidR="00EA3338" w:rsidRPr="0016157A">
        <w:rPr>
          <w:iCs/>
          <w:sz w:val="18"/>
          <w:lang w:val="fr-FR"/>
        </w:rPr>
        <w:t>la pertinence du caractère devrait être validée par une évaluation initiale de l</w:t>
      </w:r>
      <w:r>
        <w:rPr>
          <w:iCs/>
          <w:sz w:val="18"/>
          <w:lang w:val="fr-FR"/>
        </w:rPr>
        <w:t>’</w:t>
      </w:r>
      <w:r w:rsidR="00EA3338" w:rsidRPr="0016157A">
        <w:rPr>
          <w:iCs/>
          <w:sz w:val="18"/>
          <w:lang w:val="fr-FR"/>
        </w:rPr>
        <w:t>homogénéité à partir de plantes isolées;</w:t>
      </w:r>
    </w:p>
    <w:p w:rsidR="00EA3338" w:rsidRPr="0016157A" w:rsidRDefault="00EA3338" w:rsidP="00C249E4">
      <w:pPr>
        <w:ind w:left="1134" w:right="567" w:hanging="567"/>
        <w:rPr>
          <w:iCs/>
          <w:sz w:val="18"/>
          <w:lang w:val="fr-FR"/>
        </w:rPr>
      </w:pPr>
    </w:p>
    <w:p w:rsidR="00EA3338" w:rsidRPr="0016157A" w:rsidRDefault="00B4091E" w:rsidP="00EA3338">
      <w:pPr>
        <w:numPr>
          <w:ilvl w:val="0"/>
          <w:numId w:val="1"/>
        </w:numPr>
        <w:ind w:left="1134" w:right="567" w:hanging="567"/>
        <w:rPr>
          <w:iCs/>
          <w:sz w:val="18"/>
          <w:lang w:val="fr-FR"/>
        </w:rPr>
      </w:pPr>
      <w:r>
        <w:rPr>
          <w:sz w:val="18"/>
          <w:lang w:val="fr-FR"/>
        </w:rPr>
        <w:t>“</w:t>
      </w:r>
      <w:r w:rsidR="00EA3338" w:rsidRPr="0016157A">
        <w:rPr>
          <w:sz w:val="18"/>
          <w:lang w:val="fr-FR"/>
        </w:rPr>
        <w:t>des informations devraient être fournies sur la variabilité des plantes et leurs différences au cours des cycles de végétation (données extraites de mesures courantes relatives à un caractère sur plusieurs années);</w:t>
      </w:r>
    </w:p>
    <w:p w:rsidR="00EA3338" w:rsidRPr="0016157A" w:rsidRDefault="00EA3338" w:rsidP="00C249E4">
      <w:pPr>
        <w:ind w:left="1134" w:right="567" w:hanging="567"/>
        <w:rPr>
          <w:iCs/>
          <w:sz w:val="18"/>
          <w:lang w:val="fr-FR"/>
        </w:rPr>
      </w:pPr>
    </w:p>
    <w:p w:rsidR="00EA3338" w:rsidRPr="0016157A" w:rsidRDefault="00B4091E" w:rsidP="00EA3338">
      <w:pPr>
        <w:numPr>
          <w:ilvl w:val="0"/>
          <w:numId w:val="1"/>
        </w:numPr>
        <w:ind w:left="1134" w:right="567" w:hanging="567"/>
        <w:rPr>
          <w:sz w:val="18"/>
          <w:lang w:val="fr-FR"/>
        </w:rPr>
      </w:pPr>
      <w:r>
        <w:rPr>
          <w:sz w:val="18"/>
          <w:lang w:val="fr-FR"/>
        </w:rPr>
        <w:t>“</w:t>
      </w:r>
      <w:r w:rsidR="00EA3338" w:rsidRPr="0016157A">
        <w:rPr>
          <w:sz w:val="18"/>
          <w:lang w:val="fr-FR"/>
        </w:rPr>
        <w:t>une description complète de la méthode d</w:t>
      </w:r>
      <w:r>
        <w:rPr>
          <w:sz w:val="18"/>
          <w:lang w:val="fr-FR"/>
        </w:rPr>
        <w:t>’</w:t>
      </w:r>
      <w:r w:rsidR="00EA3338" w:rsidRPr="0016157A">
        <w:rPr>
          <w:sz w:val="18"/>
          <w:lang w:val="fr-FR"/>
        </w:rPr>
        <w:t>évaluation devrait être fournie;</w:t>
      </w:r>
    </w:p>
    <w:p w:rsidR="00EA3338" w:rsidRPr="0016157A" w:rsidRDefault="00EA3338" w:rsidP="00C249E4">
      <w:pPr>
        <w:ind w:left="1134" w:right="567" w:hanging="567"/>
        <w:rPr>
          <w:sz w:val="18"/>
          <w:lang w:val="fr-FR"/>
        </w:rPr>
      </w:pPr>
    </w:p>
    <w:p w:rsidR="00EA3338" w:rsidRPr="0016157A" w:rsidRDefault="00B4091E" w:rsidP="00EA3338">
      <w:pPr>
        <w:numPr>
          <w:ilvl w:val="0"/>
          <w:numId w:val="1"/>
        </w:numPr>
        <w:ind w:left="1134" w:right="567" w:hanging="567"/>
        <w:rPr>
          <w:sz w:val="18"/>
          <w:lang w:val="fr-FR"/>
        </w:rPr>
      </w:pPr>
      <w:r>
        <w:rPr>
          <w:sz w:val="18"/>
          <w:lang w:val="fr-FR"/>
        </w:rPr>
        <w:t>“</w:t>
      </w:r>
      <w:r w:rsidR="00EA3338" w:rsidRPr="0016157A">
        <w:rPr>
          <w:sz w:val="18"/>
          <w:lang w:val="fr-FR"/>
        </w:rPr>
        <w:t>la détermination des niveaux d</w:t>
      </w:r>
      <w:r>
        <w:rPr>
          <w:sz w:val="18"/>
          <w:lang w:val="fr-FR"/>
        </w:rPr>
        <w:t>’</w:t>
      </w:r>
      <w:r w:rsidR="00EA3338" w:rsidRPr="0016157A">
        <w:rPr>
          <w:sz w:val="18"/>
          <w:lang w:val="fr-FR"/>
        </w:rPr>
        <w:t>expression devrait être fondée sur la variation existante entre les variétés et tenir compte de l</w:t>
      </w:r>
      <w:r>
        <w:rPr>
          <w:sz w:val="18"/>
          <w:lang w:val="fr-FR"/>
        </w:rPr>
        <w:t>’</w:t>
      </w:r>
      <w:r w:rsidR="00EA3338" w:rsidRPr="0016157A">
        <w:rPr>
          <w:sz w:val="18"/>
          <w:lang w:val="fr-FR"/>
        </w:rPr>
        <w:t>influence de l</w:t>
      </w:r>
      <w:r>
        <w:rPr>
          <w:sz w:val="18"/>
          <w:lang w:val="fr-FR"/>
        </w:rPr>
        <w:t>’</w:t>
      </w:r>
      <w:r w:rsidR="00EA3338" w:rsidRPr="0016157A">
        <w:rPr>
          <w:sz w:val="18"/>
          <w:lang w:val="fr-FR"/>
        </w:rPr>
        <w:t>environnement.</w:t>
      </w:r>
      <w:r>
        <w:rPr>
          <w:sz w:val="18"/>
          <w:lang w:val="fr-FR"/>
        </w:rPr>
        <w:t>”</w:t>
      </w: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jc w:val="right"/>
        <w:rPr>
          <w:lang w:val="fr-FR"/>
        </w:rPr>
      </w:pPr>
      <w:r w:rsidRPr="0016157A">
        <w:rPr>
          <w:lang w:val="fr-FR"/>
        </w:rPr>
        <w:t>[L</w:t>
      </w:r>
      <w:r w:rsidR="00B4091E">
        <w:rPr>
          <w:lang w:val="fr-FR"/>
        </w:rPr>
        <w:t>’</w:t>
      </w:r>
      <w:r w:rsidRPr="0016157A">
        <w:rPr>
          <w:lang w:val="fr-FR"/>
        </w:rPr>
        <w:t>annexe III suit]</w:t>
      </w: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lang w:val="fr-FR"/>
        </w:rPr>
        <w:sectPr w:rsidR="00EA3338" w:rsidRPr="0016157A" w:rsidSect="00C249E4">
          <w:headerReference w:type="first" r:id="rId15"/>
          <w:pgSz w:w="11907" w:h="16840" w:code="9"/>
          <w:pgMar w:top="510" w:right="1134" w:bottom="709" w:left="1134" w:header="510" w:footer="680" w:gutter="0"/>
          <w:pgNumType w:start="1"/>
          <w:cols w:space="720"/>
          <w:titlePg/>
        </w:sectPr>
      </w:pPr>
    </w:p>
    <w:p w:rsidR="00EA3338" w:rsidRPr="004F6BFF" w:rsidRDefault="0004303C" w:rsidP="0004303C">
      <w:pPr>
        <w:jc w:val="center"/>
        <w:rPr>
          <w:lang w:val="fr-FR"/>
        </w:rPr>
      </w:pPr>
      <w:r w:rsidRPr="004F6BFF">
        <w:rPr>
          <w:lang w:val="fr-FR"/>
        </w:rPr>
        <w:t>RÉVISION DU DOCUMENT TGP/14 PRÉCÉDEMMENT APPROUVÉE PAR LE TC</w:t>
      </w:r>
    </w:p>
    <w:p w:rsidR="00EA3338" w:rsidRPr="004F6BFF" w:rsidRDefault="00EA3338" w:rsidP="00C249E4">
      <w:pPr>
        <w:rPr>
          <w:lang w:val="fr-FR"/>
        </w:rPr>
      </w:pPr>
    </w:p>
    <w:p w:rsidR="00EA3338" w:rsidRPr="004F6BFF" w:rsidRDefault="00EA3338" w:rsidP="00C249E4">
      <w:pPr>
        <w:rPr>
          <w:u w:val="single"/>
          <w:lang w:val="fr-FR"/>
        </w:rPr>
      </w:pPr>
      <w:r w:rsidRPr="004F6BFF">
        <w:rPr>
          <w:u w:val="single"/>
          <w:lang w:val="fr-FR"/>
        </w:rPr>
        <w:t>Illustrations des caractères liés à la forme et au ratio</w:t>
      </w:r>
    </w:p>
    <w:p w:rsidR="00EA3338" w:rsidRPr="004F6BFF" w:rsidRDefault="00EA3338" w:rsidP="00C249E4">
      <w:pPr>
        <w:rPr>
          <w:lang w:val="fr-FR"/>
        </w:rPr>
      </w:pPr>
    </w:p>
    <w:p w:rsidR="00EA3338" w:rsidRPr="0016157A" w:rsidRDefault="00EA3338" w:rsidP="00C249E4">
      <w:pPr>
        <w:rPr>
          <w:lang w:val="fr-FR"/>
        </w:rPr>
      </w:pPr>
      <w:r w:rsidRPr="0016157A">
        <w:rPr>
          <w:lang w:val="fr-FR"/>
        </w:rPr>
        <w:t>Le TC est convenu que le tableau du document TGP/14 : section 2 : sous</w:t>
      </w:r>
      <w:r w:rsidRPr="0016157A">
        <w:rPr>
          <w:lang w:val="fr-FR"/>
        </w:rPr>
        <w:noBreakHyphen/>
        <w:t>section 2 : Formes et structures (variante 2) devra être modifié pour être libellé comme suit (</w:t>
      </w:r>
      <w:r w:rsidRPr="0016157A">
        <w:rPr>
          <w:strike/>
          <w:highlight w:val="lightGray"/>
          <w:lang w:val="fr-FR"/>
        </w:rPr>
        <w:t>en surbrillance et biffé</w:t>
      </w:r>
      <w:r w:rsidRPr="0016157A">
        <w:rPr>
          <w:lang w:val="fr-FR"/>
        </w:rPr>
        <w:t xml:space="preserve"> pour les suppressions et </w:t>
      </w:r>
      <w:r w:rsidRPr="0016157A">
        <w:rPr>
          <w:highlight w:val="lightGray"/>
          <w:u w:val="single"/>
          <w:lang w:val="fr-FR"/>
        </w:rPr>
        <w:t xml:space="preserve">en surbrillance et souligné </w:t>
      </w:r>
      <w:r w:rsidRPr="0016157A">
        <w:rPr>
          <w:lang w:val="fr-FR"/>
        </w:rPr>
        <w:t>pour les insertions) :</w:t>
      </w:r>
    </w:p>
    <w:p w:rsidR="00EA3338" w:rsidRPr="0016157A" w:rsidRDefault="00EA3338" w:rsidP="00C249E4">
      <w:pPr>
        <w:keepNext/>
        <w:keepLines/>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422"/>
        <w:gridCol w:w="7"/>
        <w:gridCol w:w="276"/>
        <w:gridCol w:w="7"/>
        <w:gridCol w:w="1420"/>
        <w:gridCol w:w="1389"/>
        <w:gridCol w:w="19"/>
        <w:gridCol w:w="1370"/>
        <w:gridCol w:w="48"/>
        <w:gridCol w:w="1340"/>
        <w:gridCol w:w="1311"/>
        <w:gridCol w:w="1453"/>
        <w:gridCol w:w="14"/>
      </w:tblGrid>
      <w:tr w:rsidR="00EA3338" w:rsidRPr="0016157A" w:rsidTr="00C249E4">
        <w:trPr>
          <w:gridBefore w:val="1"/>
          <w:gridAfter w:val="1"/>
          <w:wBefore w:w="379" w:type="dxa"/>
          <w:wAfter w:w="14" w:type="dxa"/>
          <w:cantSplit/>
          <w:jc w:val="center"/>
        </w:trPr>
        <w:tc>
          <w:tcPr>
            <w:tcW w:w="422" w:type="dxa"/>
            <w:tcBorders>
              <w:top w:val="nil"/>
              <w:left w:val="nil"/>
              <w:bottom w:val="nil"/>
              <w:right w:val="nil"/>
            </w:tcBorders>
          </w:tcPr>
          <w:p w:rsidR="00EA3338" w:rsidRPr="0016157A" w:rsidRDefault="00EA3338" w:rsidP="00C249E4">
            <w:pPr>
              <w:keepNext/>
              <w:keepLines/>
              <w:jc w:val="center"/>
              <w:rPr>
                <w:lang w:val="fr-FR"/>
              </w:rPr>
            </w:pPr>
          </w:p>
        </w:tc>
        <w:tc>
          <w:tcPr>
            <w:tcW w:w="283" w:type="dxa"/>
            <w:gridSpan w:val="2"/>
            <w:tcBorders>
              <w:top w:val="nil"/>
              <w:left w:val="nil"/>
              <w:bottom w:val="nil"/>
              <w:right w:val="nil"/>
            </w:tcBorders>
          </w:tcPr>
          <w:p w:rsidR="00EA3338" w:rsidRPr="0016157A" w:rsidRDefault="00EA3338" w:rsidP="00C249E4">
            <w:pPr>
              <w:keepNext/>
              <w:keepLines/>
              <w:jc w:val="center"/>
              <w:rPr>
                <w:lang w:val="fr-FR"/>
              </w:rPr>
            </w:pPr>
          </w:p>
        </w:tc>
        <w:tc>
          <w:tcPr>
            <w:tcW w:w="8357" w:type="dxa"/>
            <w:gridSpan w:val="9"/>
            <w:tcBorders>
              <w:left w:val="single" w:sz="4" w:space="0" w:color="auto"/>
              <w:bottom w:val="nil"/>
            </w:tcBorders>
          </w:tcPr>
          <w:p w:rsidR="00EA3338" w:rsidRPr="0016157A" w:rsidRDefault="00EA3338" w:rsidP="00C249E4">
            <w:pPr>
              <w:keepNext/>
              <w:keepLines/>
              <w:jc w:val="center"/>
              <w:rPr>
                <w:lang w:val="fr-FR"/>
              </w:rPr>
            </w:pPr>
            <w:r w:rsidRPr="0016157A">
              <w:rPr>
                <w:noProof/>
                <w:lang w:val="fr-FR"/>
              </w:rPr>
              <w:tab/>
            </w:r>
            <w:r w:rsidRPr="0016157A">
              <w:rPr>
                <w:noProof/>
                <w:lang w:val="fr-FR"/>
              </w:rPr>
              <w:sym w:font="Wingdings" w:char="F0DF"/>
            </w:r>
            <w:r w:rsidRPr="0016157A">
              <w:rPr>
                <w:noProof/>
                <w:lang w:val="fr-FR"/>
              </w:rPr>
              <w:tab/>
              <w:t>partie la plus large</w:t>
            </w:r>
            <w:r w:rsidRPr="0016157A">
              <w:rPr>
                <w:lang w:val="fr-FR"/>
              </w:rPr>
              <w:tab/>
            </w:r>
            <w:r w:rsidRPr="0016157A">
              <w:rPr>
                <w:lang w:val="fr-FR"/>
              </w:rPr>
              <w:tab/>
            </w:r>
            <w:r w:rsidRPr="0016157A">
              <w:rPr>
                <w:noProof/>
                <w:lang w:val="fr-FR"/>
              </w:rPr>
              <w:sym w:font="Wingdings" w:char="F0E0"/>
            </w:r>
            <w:r w:rsidRPr="0016157A">
              <w:rPr>
                <w:noProof/>
                <w:lang w:val="fr-FR"/>
              </w:rPr>
              <w:t xml:space="preserve"> </w:t>
            </w:r>
            <w:r w:rsidRPr="0016157A">
              <w:rPr>
                <w:noProof/>
                <w:lang w:val="fr-FR"/>
              </w:rPr>
              <w:tab/>
            </w:r>
          </w:p>
        </w:tc>
      </w:tr>
      <w:tr w:rsidR="00EA3338" w:rsidRPr="0016157A" w:rsidTr="00C249E4">
        <w:trPr>
          <w:gridBefore w:val="1"/>
          <w:gridAfter w:val="1"/>
          <w:wBefore w:w="379" w:type="dxa"/>
          <w:wAfter w:w="14" w:type="dxa"/>
          <w:cantSplit/>
          <w:jc w:val="center"/>
        </w:trPr>
        <w:tc>
          <w:tcPr>
            <w:tcW w:w="422" w:type="dxa"/>
            <w:tcBorders>
              <w:top w:val="nil"/>
              <w:left w:val="nil"/>
              <w:bottom w:val="nil"/>
              <w:right w:val="nil"/>
            </w:tcBorders>
          </w:tcPr>
          <w:p w:rsidR="00EA3338" w:rsidRPr="0016157A" w:rsidRDefault="00EA3338" w:rsidP="00C249E4">
            <w:pPr>
              <w:jc w:val="center"/>
              <w:rPr>
                <w:lang w:val="fr-FR"/>
              </w:rPr>
            </w:pP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2835" w:type="dxa"/>
            <w:gridSpan w:val="4"/>
            <w:tcBorders>
              <w:top w:val="single" w:sz="4" w:space="0" w:color="auto"/>
              <w:left w:val="single" w:sz="4" w:space="0" w:color="auto"/>
              <w:bottom w:val="single" w:sz="4" w:space="0" w:color="auto"/>
              <w:right w:val="single" w:sz="4" w:space="0" w:color="auto"/>
            </w:tcBorders>
          </w:tcPr>
          <w:p w:rsidR="00EA3338" w:rsidRPr="0016157A" w:rsidRDefault="00EA3338" w:rsidP="00C249E4">
            <w:pPr>
              <w:jc w:val="center"/>
              <w:rPr>
                <w:lang w:val="fr-FR"/>
              </w:rPr>
            </w:pPr>
            <w:r w:rsidRPr="0016157A">
              <w:rPr>
                <w:noProof/>
                <w:lang w:val="fr-FR"/>
              </w:rPr>
              <w:t>(au</w:t>
            </w:r>
            <w:r w:rsidRPr="0016157A">
              <w:rPr>
                <w:noProof/>
                <w:lang w:val="fr-FR"/>
              </w:rPr>
              <w:noBreakHyphen/>
              <w:t>dessous du milieu)</w:t>
            </w:r>
          </w:p>
        </w:tc>
        <w:tc>
          <w:tcPr>
            <w:tcW w:w="1418" w:type="dxa"/>
            <w:gridSpan w:val="2"/>
            <w:tcBorders>
              <w:top w:val="single" w:sz="4" w:space="0" w:color="auto"/>
              <w:left w:val="single" w:sz="4" w:space="0" w:color="auto"/>
              <w:bottom w:val="single" w:sz="4" w:space="0" w:color="auto"/>
              <w:right w:val="single" w:sz="4" w:space="0" w:color="auto"/>
            </w:tcBorders>
          </w:tcPr>
          <w:p w:rsidR="00EA3338" w:rsidRPr="0016157A" w:rsidRDefault="00EA3338" w:rsidP="00C249E4">
            <w:pPr>
              <w:jc w:val="center"/>
              <w:rPr>
                <w:lang w:val="fr-FR"/>
              </w:rPr>
            </w:pPr>
            <w:r w:rsidRPr="0016157A">
              <w:rPr>
                <w:lang w:val="fr-FR"/>
              </w:rPr>
              <w:t>au milieu</w:t>
            </w:r>
          </w:p>
        </w:tc>
        <w:tc>
          <w:tcPr>
            <w:tcW w:w="4104" w:type="dxa"/>
            <w:gridSpan w:val="3"/>
            <w:tcBorders>
              <w:top w:val="single" w:sz="4" w:space="0" w:color="auto"/>
              <w:left w:val="single" w:sz="4" w:space="0" w:color="auto"/>
              <w:bottom w:val="single" w:sz="4" w:space="0" w:color="auto"/>
              <w:right w:val="single" w:sz="4" w:space="0" w:color="auto"/>
            </w:tcBorders>
          </w:tcPr>
          <w:p w:rsidR="00EA3338" w:rsidRPr="0016157A" w:rsidRDefault="00EA3338" w:rsidP="00C249E4">
            <w:pPr>
              <w:jc w:val="center"/>
              <w:rPr>
                <w:lang w:val="fr-FR"/>
              </w:rPr>
            </w:pPr>
            <w:r w:rsidRPr="0016157A">
              <w:rPr>
                <w:noProof/>
                <w:lang w:val="fr-FR"/>
              </w:rPr>
              <w:t>(au</w:t>
            </w:r>
            <w:r w:rsidRPr="0016157A">
              <w:rPr>
                <w:noProof/>
                <w:lang w:val="fr-FR"/>
              </w:rPr>
              <w:noBreakHyphen/>
              <w:t>dessus du milieu)</w:t>
            </w:r>
          </w:p>
        </w:tc>
      </w:tr>
      <w:tr w:rsidR="00EA3338" w:rsidRPr="0016157A" w:rsidTr="00C249E4">
        <w:trPr>
          <w:gridBefore w:val="1"/>
          <w:wBefore w:w="379" w:type="dxa"/>
          <w:trHeight w:val="163"/>
          <w:jc w:val="center"/>
        </w:trPr>
        <w:tc>
          <w:tcPr>
            <w:tcW w:w="429" w:type="dxa"/>
            <w:gridSpan w:val="2"/>
            <w:tcBorders>
              <w:top w:val="nil"/>
              <w:left w:val="nil"/>
              <w:bottom w:val="nil"/>
              <w:right w:val="nil"/>
            </w:tcBorders>
          </w:tcPr>
          <w:p w:rsidR="00EA3338" w:rsidRPr="0016157A" w:rsidRDefault="00EA3338" w:rsidP="00C249E4">
            <w:pPr>
              <w:jc w:val="center"/>
              <w:rPr>
                <w:lang w:val="fr-FR"/>
              </w:rPr>
            </w:pP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1420" w:type="dxa"/>
            <w:tcBorders>
              <w:top w:val="nil"/>
              <w:left w:val="nil"/>
              <w:bottom w:val="nil"/>
              <w:right w:val="nil"/>
            </w:tcBorders>
          </w:tcPr>
          <w:p w:rsidR="00EA3338" w:rsidRPr="0016157A" w:rsidRDefault="00EA3338" w:rsidP="00C249E4">
            <w:pPr>
              <w:jc w:val="center"/>
              <w:rPr>
                <w:lang w:val="fr-FR"/>
              </w:rPr>
            </w:pPr>
          </w:p>
        </w:tc>
        <w:tc>
          <w:tcPr>
            <w:tcW w:w="1389" w:type="dxa"/>
            <w:tcBorders>
              <w:top w:val="nil"/>
              <w:left w:val="nil"/>
              <w:bottom w:val="nil"/>
              <w:right w:val="nil"/>
            </w:tcBorders>
          </w:tcPr>
          <w:p w:rsidR="00EA3338" w:rsidRPr="0016157A" w:rsidRDefault="00EA3338" w:rsidP="00C249E4">
            <w:pPr>
              <w:jc w:val="center"/>
              <w:rPr>
                <w:lang w:val="fr-FR"/>
              </w:rPr>
            </w:pPr>
          </w:p>
        </w:tc>
        <w:tc>
          <w:tcPr>
            <w:tcW w:w="1389" w:type="dxa"/>
            <w:gridSpan w:val="2"/>
            <w:tcBorders>
              <w:top w:val="nil"/>
              <w:left w:val="nil"/>
              <w:bottom w:val="nil"/>
              <w:right w:val="nil"/>
            </w:tcBorders>
          </w:tcPr>
          <w:p w:rsidR="00EA3338" w:rsidRPr="0016157A" w:rsidRDefault="00EA3338" w:rsidP="00C249E4">
            <w:pPr>
              <w:jc w:val="center"/>
              <w:rPr>
                <w:lang w:val="fr-FR"/>
              </w:rPr>
            </w:pPr>
          </w:p>
        </w:tc>
        <w:tc>
          <w:tcPr>
            <w:tcW w:w="1388" w:type="dxa"/>
            <w:gridSpan w:val="2"/>
            <w:tcBorders>
              <w:top w:val="nil"/>
              <w:left w:val="nil"/>
              <w:bottom w:val="nil"/>
              <w:right w:val="nil"/>
            </w:tcBorders>
          </w:tcPr>
          <w:p w:rsidR="00EA3338" w:rsidRPr="0016157A" w:rsidRDefault="00EA3338" w:rsidP="00C249E4">
            <w:pPr>
              <w:jc w:val="center"/>
              <w:rPr>
                <w:lang w:val="fr-FR"/>
              </w:rPr>
            </w:pPr>
          </w:p>
        </w:tc>
        <w:tc>
          <w:tcPr>
            <w:tcW w:w="1311" w:type="dxa"/>
            <w:tcBorders>
              <w:top w:val="nil"/>
              <w:left w:val="nil"/>
              <w:bottom w:val="nil"/>
              <w:right w:val="nil"/>
            </w:tcBorders>
          </w:tcPr>
          <w:p w:rsidR="00EA3338" w:rsidRPr="0016157A" w:rsidRDefault="00EA3338" w:rsidP="00C249E4">
            <w:pPr>
              <w:jc w:val="center"/>
              <w:rPr>
                <w:lang w:val="fr-FR"/>
              </w:rPr>
            </w:pPr>
          </w:p>
        </w:tc>
        <w:tc>
          <w:tcPr>
            <w:tcW w:w="1467" w:type="dxa"/>
            <w:gridSpan w:val="2"/>
            <w:tcBorders>
              <w:top w:val="nil"/>
              <w:left w:val="nil"/>
              <w:bottom w:val="nil"/>
              <w:right w:val="nil"/>
            </w:tcBorders>
          </w:tcPr>
          <w:p w:rsidR="00EA3338" w:rsidRPr="0016157A" w:rsidRDefault="00EA3338" w:rsidP="00C249E4">
            <w:pPr>
              <w:jc w:val="center"/>
              <w:rPr>
                <w:lang w:val="fr-FR"/>
              </w:rPr>
            </w:pPr>
          </w:p>
        </w:tc>
      </w:tr>
      <w:tr w:rsidR="00EA3338" w:rsidRPr="0016157A" w:rsidTr="00C249E4">
        <w:trPr>
          <w:cantSplit/>
          <w:jc w:val="center"/>
        </w:trPr>
        <w:tc>
          <w:tcPr>
            <w:tcW w:w="379" w:type="dxa"/>
            <w:vMerge w:val="restart"/>
            <w:shd w:val="clear" w:color="auto" w:fill="auto"/>
            <w:textDirection w:val="btLr"/>
          </w:tcPr>
          <w:p w:rsidR="00EA3338" w:rsidRPr="0016157A" w:rsidRDefault="00EA3338" w:rsidP="00C249E4">
            <w:pPr>
              <w:ind w:left="113" w:right="113"/>
              <w:jc w:val="center"/>
              <w:rPr>
                <w:noProof/>
                <w:u w:val="single"/>
                <w:lang w:val="fr-FR"/>
              </w:rPr>
            </w:pPr>
            <w:r w:rsidRPr="0016157A">
              <w:rPr>
                <w:noProof/>
                <w:highlight w:val="lightGray"/>
                <w:u w:val="single"/>
                <w:lang w:val="fr-FR"/>
              </w:rPr>
              <w:sym w:font="Wingdings" w:char="F0DF"/>
            </w:r>
            <w:r w:rsidRPr="0016157A">
              <w:rPr>
                <w:noProof/>
                <w:highlight w:val="lightGray"/>
                <w:u w:val="single"/>
                <w:lang w:val="fr-FR"/>
              </w:rPr>
              <w:t xml:space="preserve">                  largeur relative</w:t>
            </w:r>
            <w:r w:rsidRPr="0016157A">
              <w:rPr>
                <w:highlight w:val="lightGray"/>
                <w:u w:val="single"/>
                <w:lang w:val="fr-FR"/>
              </w:rPr>
              <w:t xml:space="preserve">                 </w:t>
            </w:r>
            <w:r w:rsidRPr="0016157A">
              <w:rPr>
                <w:noProof/>
                <w:highlight w:val="lightGray"/>
                <w:u w:val="single"/>
                <w:lang w:val="fr-FR"/>
              </w:rPr>
              <w:sym w:font="Wingdings" w:char="F0E0"/>
            </w:r>
          </w:p>
        </w:tc>
        <w:tc>
          <w:tcPr>
            <w:tcW w:w="429" w:type="dxa"/>
            <w:gridSpan w:val="2"/>
            <w:vMerge w:val="restart"/>
            <w:tcBorders>
              <w:top w:val="single" w:sz="4" w:space="0" w:color="auto"/>
              <w:right w:val="single" w:sz="4" w:space="0" w:color="auto"/>
            </w:tcBorders>
            <w:textDirection w:val="btLr"/>
          </w:tcPr>
          <w:p w:rsidR="00EA3338" w:rsidRPr="0016157A" w:rsidRDefault="00EA3338" w:rsidP="00C249E4">
            <w:pPr>
              <w:ind w:left="113" w:right="113"/>
              <w:jc w:val="center"/>
              <w:rPr>
                <w:lang w:val="fr-FR"/>
              </w:rPr>
            </w:pPr>
            <w:r w:rsidRPr="0016157A">
              <w:rPr>
                <w:noProof/>
                <w:lang w:val="fr-FR"/>
              </w:rPr>
              <w:t xml:space="preserve">large </w:t>
            </w:r>
            <w:r w:rsidRPr="0016157A">
              <w:rPr>
                <w:strike/>
                <w:noProof/>
                <w:highlight w:val="lightGray"/>
                <w:lang w:val="fr-FR"/>
              </w:rPr>
              <w:t>(</w:t>
            </w:r>
            <w:r w:rsidRPr="0016157A">
              <w:rPr>
                <w:i/>
                <w:strike/>
                <w:highlight w:val="lightGray"/>
                <w:lang w:val="fr-FR"/>
              </w:rPr>
              <w:t>bas)</w:t>
            </w:r>
            <w:r w:rsidRPr="0016157A">
              <w:rPr>
                <w:noProof/>
                <w:lang w:val="fr-FR"/>
              </w:rPr>
              <w:sym w:font="Wingdings" w:char="F0DF"/>
            </w:r>
            <w:r w:rsidRPr="0016157A">
              <w:rPr>
                <w:noProof/>
                <w:lang w:val="fr-FR"/>
              </w:rPr>
              <w:tab/>
            </w:r>
            <w:r w:rsidRPr="0016157A">
              <w:rPr>
                <w:strike/>
                <w:lang w:val="fr-FR"/>
              </w:rPr>
              <w:t xml:space="preserve">largueur </w:t>
            </w:r>
            <w:r w:rsidRPr="0016157A">
              <w:rPr>
                <w:strike/>
                <w:highlight w:val="lightGray"/>
                <w:lang w:val="fr-FR"/>
              </w:rPr>
              <w:t>(</w:t>
            </w:r>
            <w:r w:rsidRPr="0016157A">
              <w:rPr>
                <w:strike/>
                <w:color w:val="000000"/>
                <w:highlight w:val="lightGray"/>
                <w:lang w:val="fr-FR"/>
              </w:rPr>
              <w:t>rapport longueur/largeur)</w:t>
            </w:r>
            <w:r w:rsidRPr="0016157A">
              <w:rPr>
                <w:lang w:val="fr-FR"/>
              </w:rPr>
              <w:tab/>
            </w:r>
            <w:r w:rsidRPr="0016157A">
              <w:rPr>
                <w:noProof/>
                <w:lang w:val="fr-FR"/>
              </w:rPr>
              <w:sym w:font="Wingdings" w:char="F0E0"/>
            </w:r>
            <w:r w:rsidRPr="0016157A">
              <w:rPr>
                <w:noProof/>
                <w:lang w:val="fr-FR"/>
              </w:rPr>
              <w:t xml:space="preserve"> étroite </w:t>
            </w:r>
            <w:r w:rsidRPr="0016157A">
              <w:rPr>
                <w:strike/>
                <w:noProof/>
                <w:highlight w:val="lightGray"/>
                <w:lang w:val="fr-FR"/>
              </w:rPr>
              <w:t>(</w:t>
            </w:r>
            <w:r w:rsidRPr="0016157A">
              <w:rPr>
                <w:i/>
                <w:strike/>
                <w:highlight w:val="lightGray"/>
                <w:lang w:val="fr-FR"/>
              </w:rPr>
              <w:t>élevée</w:t>
            </w:r>
            <w:r w:rsidRPr="0016157A">
              <w:rPr>
                <w:strike/>
                <w:noProof/>
                <w:highlight w:val="lightGray"/>
                <w:lang w:val="fr-FR"/>
              </w:rPr>
              <w:t>)</w:t>
            </w: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1420" w:type="dxa"/>
            <w:tcBorders>
              <w:left w:val="single" w:sz="4" w:space="0" w:color="auto"/>
            </w:tcBorders>
          </w:tcPr>
          <w:p w:rsidR="00EA3338" w:rsidRPr="0016157A" w:rsidRDefault="00EA3338" w:rsidP="00C249E4">
            <w:pPr>
              <w:jc w:val="center"/>
              <w:rPr>
                <w:lang w:val="fr-FR"/>
              </w:rPr>
            </w:pPr>
          </w:p>
        </w:tc>
        <w:tc>
          <w:tcPr>
            <w:tcW w:w="1389" w:type="dxa"/>
          </w:tcPr>
          <w:p w:rsidR="00EA3338" w:rsidRPr="0016157A" w:rsidRDefault="00EA3338" w:rsidP="00C249E4">
            <w:pPr>
              <w:jc w:val="center"/>
              <w:rPr>
                <w:lang w:val="fr-FR"/>
              </w:rPr>
            </w:pPr>
          </w:p>
        </w:tc>
        <w:tc>
          <w:tcPr>
            <w:tcW w:w="1389" w:type="dxa"/>
            <w:gridSpan w:val="2"/>
          </w:tcPr>
          <w:p w:rsidR="00EA3338" w:rsidRPr="0016157A" w:rsidRDefault="00EA3338" w:rsidP="00C249E4">
            <w:pPr>
              <w:jc w:val="center"/>
              <w:rPr>
                <w:lang w:val="fr-FR"/>
              </w:rPr>
            </w:pPr>
            <w:r w:rsidRPr="0016157A">
              <w:rPr>
                <w:noProof/>
              </w:rPr>
              <w:drawing>
                <wp:inline distT="0" distB="0" distL="0" distR="0" wp14:anchorId="5E77771A" wp14:editId="28210021">
                  <wp:extent cx="171450" cy="10858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1450" cy="10858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6</w:t>
            </w:r>
          </w:p>
          <w:p w:rsidR="00EA3338" w:rsidRPr="0016157A" w:rsidRDefault="00EA3338" w:rsidP="00C249E4">
            <w:pPr>
              <w:jc w:val="center"/>
              <w:rPr>
                <w:lang w:val="fr-FR"/>
              </w:rPr>
            </w:pPr>
            <w:r w:rsidRPr="0016157A">
              <w:rPr>
                <w:lang w:val="fr-FR"/>
              </w:rPr>
              <w:t>linéaire</w:t>
            </w:r>
          </w:p>
        </w:tc>
        <w:tc>
          <w:tcPr>
            <w:tcW w:w="1388" w:type="dxa"/>
            <w:gridSpan w:val="2"/>
          </w:tcPr>
          <w:p w:rsidR="00EA3338" w:rsidRPr="0016157A" w:rsidRDefault="00EA3338" w:rsidP="00C249E4">
            <w:pPr>
              <w:jc w:val="center"/>
              <w:rPr>
                <w:lang w:val="fr-FR"/>
              </w:rPr>
            </w:pPr>
          </w:p>
        </w:tc>
        <w:tc>
          <w:tcPr>
            <w:tcW w:w="1311" w:type="dxa"/>
          </w:tcPr>
          <w:p w:rsidR="00EA3338" w:rsidRPr="0016157A" w:rsidRDefault="00EA3338" w:rsidP="00C249E4">
            <w:pPr>
              <w:jc w:val="center"/>
              <w:rPr>
                <w:lang w:val="fr-FR"/>
              </w:rPr>
            </w:pPr>
          </w:p>
        </w:tc>
        <w:tc>
          <w:tcPr>
            <w:tcW w:w="1467" w:type="dxa"/>
            <w:gridSpan w:val="2"/>
          </w:tcPr>
          <w:p w:rsidR="00EA3338" w:rsidRPr="0016157A" w:rsidRDefault="00EA3338" w:rsidP="00C249E4">
            <w:pPr>
              <w:jc w:val="center"/>
              <w:rPr>
                <w:lang w:val="fr-FR"/>
              </w:rPr>
            </w:pPr>
          </w:p>
        </w:tc>
      </w:tr>
      <w:tr w:rsidR="00EA3338" w:rsidRPr="0016157A" w:rsidTr="00C249E4">
        <w:trPr>
          <w:cantSplit/>
          <w:jc w:val="center"/>
        </w:trPr>
        <w:tc>
          <w:tcPr>
            <w:tcW w:w="379" w:type="dxa"/>
            <w:vMerge/>
            <w:shd w:val="clear" w:color="auto" w:fill="auto"/>
          </w:tcPr>
          <w:p w:rsidR="00EA3338" w:rsidRPr="0016157A" w:rsidRDefault="00EA3338" w:rsidP="00C249E4">
            <w:pPr>
              <w:jc w:val="center"/>
              <w:rPr>
                <w:lang w:val="fr-FR"/>
              </w:rPr>
            </w:pPr>
          </w:p>
        </w:tc>
        <w:tc>
          <w:tcPr>
            <w:tcW w:w="429" w:type="dxa"/>
            <w:gridSpan w:val="2"/>
            <w:vMerge/>
            <w:tcBorders>
              <w:right w:val="single" w:sz="4" w:space="0" w:color="auto"/>
            </w:tcBorders>
          </w:tcPr>
          <w:p w:rsidR="00EA3338" w:rsidRPr="0016157A" w:rsidRDefault="00EA3338" w:rsidP="00C249E4">
            <w:pPr>
              <w:jc w:val="center"/>
              <w:rPr>
                <w:lang w:val="fr-FR"/>
              </w:rPr>
            </w:pP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1420" w:type="dxa"/>
            <w:tcBorders>
              <w:left w:val="single" w:sz="4" w:space="0" w:color="auto"/>
            </w:tcBorders>
          </w:tcPr>
          <w:p w:rsidR="00EA3338" w:rsidRPr="0016157A" w:rsidRDefault="00EA3338" w:rsidP="00C249E4">
            <w:pPr>
              <w:jc w:val="center"/>
              <w:rPr>
                <w:lang w:val="fr-FR"/>
              </w:rPr>
            </w:pPr>
          </w:p>
        </w:tc>
        <w:tc>
          <w:tcPr>
            <w:tcW w:w="1389" w:type="dxa"/>
          </w:tcPr>
          <w:p w:rsidR="00EA3338" w:rsidRPr="0016157A" w:rsidRDefault="00EA3338" w:rsidP="00C249E4">
            <w:pPr>
              <w:jc w:val="center"/>
              <w:rPr>
                <w:lang w:val="fr-FR"/>
              </w:rPr>
            </w:pPr>
          </w:p>
        </w:tc>
        <w:tc>
          <w:tcPr>
            <w:tcW w:w="1389" w:type="dxa"/>
            <w:gridSpan w:val="2"/>
          </w:tcPr>
          <w:p w:rsidR="00EA3338" w:rsidRPr="0016157A" w:rsidRDefault="00EA3338" w:rsidP="00C249E4">
            <w:pPr>
              <w:jc w:val="center"/>
              <w:rPr>
                <w:lang w:val="fr-FR"/>
              </w:rPr>
            </w:pPr>
            <w:r w:rsidRPr="0016157A">
              <w:rPr>
                <w:noProof/>
              </w:rPr>
              <w:drawing>
                <wp:inline distT="0" distB="0" distL="0" distR="0" wp14:anchorId="150ECA1B" wp14:editId="736C38A9">
                  <wp:extent cx="371475" cy="108585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71475" cy="10858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5</w:t>
            </w:r>
          </w:p>
          <w:p w:rsidR="00EA3338" w:rsidRPr="0016157A" w:rsidRDefault="00EA3338" w:rsidP="00C249E4">
            <w:pPr>
              <w:jc w:val="center"/>
              <w:rPr>
                <w:lang w:val="fr-FR"/>
              </w:rPr>
            </w:pPr>
            <w:r w:rsidRPr="0016157A">
              <w:rPr>
                <w:lang w:val="fr-FR"/>
              </w:rPr>
              <w:t>oblongue</w:t>
            </w:r>
          </w:p>
        </w:tc>
        <w:tc>
          <w:tcPr>
            <w:tcW w:w="1388" w:type="dxa"/>
            <w:gridSpan w:val="2"/>
          </w:tcPr>
          <w:p w:rsidR="00EA3338" w:rsidRPr="0016157A" w:rsidRDefault="00EA3338" w:rsidP="00C249E4">
            <w:pPr>
              <w:jc w:val="center"/>
              <w:rPr>
                <w:lang w:val="fr-FR"/>
              </w:rPr>
            </w:pPr>
            <w:r w:rsidRPr="0016157A">
              <w:rPr>
                <w:noProof/>
              </w:rPr>
              <w:drawing>
                <wp:inline distT="0" distB="0" distL="0" distR="0" wp14:anchorId="19C696D8" wp14:editId="7295A213">
                  <wp:extent cx="266700" cy="10858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6700" cy="10858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8</w:t>
            </w:r>
          </w:p>
          <w:p w:rsidR="00EA3338" w:rsidRPr="0016157A" w:rsidRDefault="00EA3338" w:rsidP="00C249E4">
            <w:pPr>
              <w:jc w:val="center"/>
              <w:rPr>
                <w:lang w:val="fr-FR"/>
              </w:rPr>
            </w:pPr>
            <w:proofErr w:type="spellStart"/>
            <w:r w:rsidRPr="0016157A">
              <w:rPr>
                <w:lang w:val="fr-FR"/>
              </w:rPr>
              <w:t>oblancéolée</w:t>
            </w:r>
            <w:proofErr w:type="spellEnd"/>
          </w:p>
        </w:tc>
        <w:tc>
          <w:tcPr>
            <w:tcW w:w="1311" w:type="dxa"/>
          </w:tcPr>
          <w:p w:rsidR="00EA3338" w:rsidRPr="0016157A" w:rsidRDefault="00EA3338" w:rsidP="00C249E4">
            <w:pPr>
              <w:jc w:val="center"/>
              <w:rPr>
                <w:lang w:val="fr-FR"/>
              </w:rPr>
            </w:pPr>
            <w:r w:rsidRPr="0016157A">
              <w:rPr>
                <w:noProof/>
              </w:rPr>
              <w:drawing>
                <wp:inline distT="0" distB="0" distL="0" distR="0" wp14:anchorId="7177A949" wp14:editId="16A6556D">
                  <wp:extent cx="30480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1076325"/>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9</w:t>
            </w:r>
          </w:p>
          <w:p w:rsidR="00EA3338" w:rsidRPr="0016157A" w:rsidRDefault="00EA3338" w:rsidP="00C249E4">
            <w:pPr>
              <w:jc w:val="center"/>
              <w:rPr>
                <w:lang w:val="fr-FR"/>
              </w:rPr>
            </w:pPr>
            <w:r w:rsidRPr="0016157A">
              <w:rPr>
                <w:lang w:val="fr-FR"/>
              </w:rPr>
              <w:t>spatulée</w:t>
            </w:r>
          </w:p>
        </w:tc>
        <w:tc>
          <w:tcPr>
            <w:tcW w:w="1467" w:type="dxa"/>
            <w:gridSpan w:val="2"/>
          </w:tcPr>
          <w:p w:rsidR="00EA3338" w:rsidRPr="0016157A" w:rsidRDefault="00EA3338" w:rsidP="00C249E4">
            <w:pPr>
              <w:jc w:val="center"/>
              <w:rPr>
                <w:lang w:val="fr-FR"/>
              </w:rPr>
            </w:pPr>
          </w:p>
        </w:tc>
      </w:tr>
      <w:tr w:rsidR="00EA3338" w:rsidRPr="0016157A" w:rsidTr="00C249E4">
        <w:trPr>
          <w:cantSplit/>
          <w:jc w:val="center"/>
        </w:trPr>
        <w:tc>
          <w:tcPr>
            <w:tcW w:w="379" w:type="dxa"/>
            <w:vMerge/>
            <w:shd w:val="clear" w:color="auto" w:fill="auto"/>
          </w:tcPr>
          <w:p w:rsidR="00EA3338" w:rsidRPr="0016157A" w:rsidRDefault="00EA3338" w:rsidP="00C249E4">
            <w:pPr>
              <w:jc w:val="center"/>
              <w:rPr>
                <w:lang w:val="fr-FR"/>
              </w:rPr>
            </w:pPr>
          </w:p>
        </w:tc>
        <w:tc>
          <w:tcPr>
            <w:tcW w:w="429" w:type="dxa"/>
            <w:gridSpan w:val="2"/>
            <w:vMerge/>
            <w:tcBorders>
              <w:right w:val="single" w:sz="4" w:space="0" w:color="auto"/>
            </w:tcBorders>
          </w:tcPr>
          <w:p w:rsidR="00EA3338" w:rsidRPr="0016157A" w:rsidRDefault="00EA3338" w:rsidP="00C249E4">
            <w:pPr>
              <w:jc w:val="center"/>
              <w:rPr>
                <w:lang w:val="fr-FR"/>
              </w:rPr>
            </w:pP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1420" w:type="dxa"/>
            <w:tcBorders>
              <w:left w:val="single" w:sz="4" w:space="0" w:color="auto"/>
            </w:tcBorders>
          </w:tcPr>
          <w:p w:rsidR="00EA3338" w:rsidRPr="0016157A" w:rsidRDefault="00EA3338" w:rsidP="00C249E4">
            <w:pPr>
              <w:jc w:val="center"/>
              <w:rPr>
                <w:lang w:val="fr-FR"/>
              </w:rPr>
            </w:pPr>
            <w:r w:rsidRPr="0016157A">
              <w:rPr>
                <w:noProof/>
              </w:rPr>
              <w:drawing>
                <wp:inline distT="0" distB="0" distL="0" distR="0" wp14:anchorId="0627EC7A" wp14:editId="44A7A870">
                  <wp:extent cx="581025" cy="10477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1025" cy="10477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1</w:t>
            </w:r>
          </w:p>
          <w:p w:rsidR="00EA3338" w:rsidRPr="0016157A" w:rsidRDefault="00EA3338" w:rsidP="00C249E4">
            <w:pPr>
              <w:jc w:val="center"/>
              <w:rPr>
                <w:lang w:val="fr-FR"/>
              </w:rPr>
            </w:pPr>
            <w:r w:rsidRPr="0016157A">
              <w:rPr>
                <w:lang w:val="fr-FR"/>
              </w:rPr>
              <w:t>triangulaire</w:t>
            </w:r>
          </w:p>
        </w:tc>
        <w:tc>
          <w:tcPr>
            <w:tcW w:w="1389" w:type="dxa"/>
          </w:tcPr>
          <w:p w:rsidR="00EA3338" w:rsidRPr="0016157A" w:rsidRDefault="00EA3338" w:rsidP="00C249E4">
            <w:pPr>
              <w:jc w:val="center"/>
              <w:rPr>
                <w:lang w:val="fr-FR"/>
              </w:rPr>
            </w:pPr>
            <w:r w:rsidRPr="0016157A">
              <w:rPr>
                <w:noProof/>
              </w:rPr>
              <w:drawing>
                <wp:inline distT="0" distB="0" distL="0" distR="0" wp14:anchorId="6EF5994A" wp14:editId="5F06AC75">
                  <wp:extent cx="504825" cy="108585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4825" cy="10858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2</w:t>
            </w:r>
          </w:p>
          <w:p w:rsidR="00EA3338" w:rsidRPr="0016157A" w:rsidRDefault="00EA3338" w:rsidP="00C249E4">
            <w:pPr>
              <w:jc w:val="center"/>
              <w:rPr>
                <w:lang w:val="fr-FR"/>
              </w:rPr>
            </w:pPr>
            <w:r w:rsidRPr="0016157A">
              <w:rPr>
                <w:lang w:val="fr-FR"/>
              </w:rPr>
              <w:t>ovale</w:t>
            </w:r>
          </w:p>
        </w:tc>
        <w:tc>
          <w:tcPr>
            <w:tcW w:w="1389" w:type="dxa"/>
            <w:gridSpan w:val="2"/>
          </w:tcPr>
          <w:p w:rsidR="00EA3338" w:rsidRPr="0016157A" w:rsidRDefault="00EA3338" w:rsidP="00C249E4">
            <w:pPr>
              <w:jc w:val="center"/>
              <w:rPr>
                <w:lang w:val="fr-FR"/>
              </w:rPr>
            </w:pPr>
            <w:r w:rsidRPr="0016157A">
              <w:rPr>
                <w:noProof/>
              </w:rPr>
              <w:drawing>
                <wp:inline distT="0" distB="0" distL="0" distR="0" wp14:anchorId="1E12F905" wp14:editId="58E7F999">
                  <wp:extent cx="457200" cy="10763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1076325"/>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4</w:t>
            </w:r>
          </w:p>
          <w:p w:rsidR="00EA3338" w:rsidRPr="0016157A" w:rsidRDefault="00EA3338" w:rsidP="00C249E4">
            <w:pPr>
              <w:jc w:val="center"/>
              <w:rPr>
                <w:lang w:val="fr-FR"/>
              </w:rPr>
            </w:pPr>
            <w:r w:rsidRPr="0016157A">
              <w:rPr>
                <w:lang w:val="fr-FR"/>
              </w:rPr>
              <w:t>elliptique</w:t>
            </w:r>
          </w:p>
        </w:tc>
        <w:tc>
          <w:tcPr>
            <w:tcW w:w="1388" w:type="dxa"/>
            <w:gridSpan w:val="2"/>
          </w:tcPr>
          <w:p w:rsidR="00EA3338" w:rsidRPr="0016157A" w:rsidRDefault="00EA3338" w:rsidP="00C249E4">
            <w:pPr>
              <w:jc w:val="center"/>
              <w:rPr>
                <w:lang w:val="fr-FR"/>
              </w:rPr>
            </w:pPr>
            <w:r w:rsidRPr="0016157A">
              <w:rPr>
                <w:noProof/>
              </w:rPr>
              <w:drawing>
                <wp:inline distT="0" distB="0" distL="0" distR="0" wp14:anchorId="565F590B" wp14:editId="22E7DB81">
                  <wp:extent cx="533400" cy="10763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33400" cy="1076325"/>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7</w:t>
            </w:r>
          </w:p>
          <w:p w:rsidR="00EA3338" w:rsidRPr="0016157A" w:rsidRDefault="00EA3338" w:rsidP="00C249E4">
            <w:pPr>
              <w:jc w:val="center"/>
              <w:rPr>
                <w:lang w:val="fr-FR"/>
              </w:rPr>
            </w:pPr>
            <w:proofErr w:type="spellStart"/>
            <w:r w:rsidRPr="0016157A">
              <w:rPr>
                <w:lang w:val="fr-FR"/>
              </w:rPr>
              <w:t>obovale</w:t>
            </w:r>
            <w:proofErr w:type="spellEnd"/>
          </w:p>
        </w:tc>
        <w:tc>
          <w:tcPr>
            <w:tcW w:w="1311" w:type="dxa"/>
          </w:tcPr>
          <w:p w:rsidR="00EA3338" w:rsidRPr="0016157A" w:rsidRDefault="00EA3338" w:rsidP="00C249E4">
            <w:pPr>
              <w:jc w:val="center"/>
              <w:rPr>
                <w:lang w:val="fr-FR"/>
              </w:rPr>
            </w:pPr>
          </w:p>
        </w:tc>
        <w:tc>
          <w:tcPr>
            <w:tcW w:w="1467" w:type="dxa"/>
            <w:gridSpan w:val="2"/>
          </w:tcPr>
          <w:p w:rsidR="00EA3338" w:rsidRPr="0016157A" w:rsidRDefault="00EA3338" w:rsidP="00C249E4">
            <w:pPr>
              <w:jc w:val="center"/>
              <w:rPr>
                <w:lang w:val="fr-FR"/>
              </w:rPr>
            </w:pPr>
            <w:r w:rsidRPr="0016157A">
              <w:rPr>
                <w:noProof/>
              </w:rPr>
              <w:drawing>
                <wp:inline distT="0" distB="0" distL="0" distR="0" wp14:anchorId="33DCBBE8" wp14:editId="3621772B">
                  <wp:extent cx="523875" cy="10858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10858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 xml:space="preserve">10 </w:t>
            </w:r>
            <w:proofErr w:type="spellStart"/>
            <w:r w:rsidRPr="002F1AB3">
              <w:rPr>
                <w:spacing w:val="-2"/>
                <w:lang w:val="fr-FR"/>
              </w:rPr>
              <w:t>obtriangulaire</w:t>
            </w:r>
            <w:proofErr w:type="spellEnd"/>
          </w:p>
        </w:tc>
      </w:tr>
      <w:tr w:rsidR="00EA3338" w:rsidRPr="0016157A" w:rsidTr="00C249E4">
        <w:trPr>
          <w:cantSplit/>
          <w:trHeight w:val="2035"/>
          <w:jc w:val="center"/>
        </w:trPr>
        <w:tc>
          <w:tcPr>
            <w:tcW w:w="379" w:type="dxa"/>
            <w:vMerge/>
            <w:shd w:val="clear" w:color="auto" w:fill="auto"/>
          </w:tcPr>
          <w:p w:rsidR="00EA3338" w:rsidRPr="0016157A" w:rsidRDefault="00EA3338" w:rsidP="00C249E4">
            <w:pPr>
              <w:jc w:val="center"/>
              <w:rPr>
                <w:lang w:val="fr-FR"/>
              </w:rPr>
            </w:pPr>
          </w:p>
        </w:tc>
        <w:tc>
          <w:tcPr>
            <w:tcW w:w="429" w:type="dxa"/>
            <w:gridSpan w:val="2"/>
            <w:vMerge/>
            <w:tcBorders>
              <w:right w:val="single" w:sz="4" w:space="0" w:color="auto"/>
            </w:tcBorders>
          </w:tcPr>
          <w:p w:rsidR="00EA3338" w:rsidRPr="0016157A" w:rsidRDefault="00EA3338" w:rsidP="00C249E4">
            <w:pPr>
              <w:jc w:val="center"/>
              <w:rPr>
                <w:lang w:val="fr-FR"/>
              </w:rPr>
            </w:pPr>
          </w:p>
        </w:tc>
        <w:tc>
          <w:tcPr>
            <w:tcW w:w="283" w:type="dxa"/>
            <w:gridSpan w:val="2"/>
            <w:tcBorders>
              <w:top w:val="nil"/>
              <w:left w:val="nil"/>
              <w:bottom w:val="nil"/>
              <w:right w:val="nil"/>
            </w:tcBorders>
          </w:tcPr>
          <w:p w:rsidR="00EA3338" w:rsidRPr="0016157A" w:rsidRDefault="00EA3338" w:rsidP="00C249E4">
            <w:pPr>
              <w:jc w:val="center"/>
              <w:rPr>
                <w:lang w:val="fr-FR"/>
              </w:rPr>
            </w:pPr>
          </w:p>
        </w:tc>
        <w:tc>
          <w:tcPr>
            <w:tcW w:w="1420" w:type="dxa"/>
            <w:tcBorders>
              <w:left w:val="single" w:sz="4" w:space="0" w:color="auto"/>
            </w:tcBorders>
          </w:tcPr>
          <w:p w:rsidR="00EA3338" w:rsidRPr="0016157A" w:rsidRDefault="00EA3338" w:rsidP="00C249E4">
            <w:pPr>
              <w:jc w:val="center"/>
              <w:rPr>
                <w:lang w:val="fr-FR"/>
              </w:rPr>
            </w:pPr>
          </w:p>
        </w:tc>
        <w:tc>
          <w:tcPr>
            <w:tcW w:w="1389" w:type="dxa"/>
          </w:tcPr>
          <w:p w:rsidR="00EA3338" w:rsidRPr="0016157A" w:rsidRDefault="00EA3338" w:rsidP="00C249E4">
            <w:pPr>
              <w:jc w:val="center"/>
              <w:rPr>
                <w:lang w:val="fr-FR"/>
              </w:rPr>
            </w:pPr>
          </w:p>
        </w:tc>
        <w:tc>
          <w:tcPr>
            <w:tcW w:w="1389" w:type="dxa"/>
            <w:gridSpan w:val="2"/>
          </w:tcPr>
          <w:p w:rsidR="00EA3338" w:rsidRPr="0016157A" w:rsidRDefault="00EA3338" w:rsidP="00C249E4">
            <w:pPr>
              <w:jc w:val="center"/>
              <w:rPr>
                <w:lang w:val="fr-FR"/>
              </w:rPr>
            </w:pPr>
            <w:r w:rsidRPr="0016157A">
              <w:rPr>
                <w:noProof/>
              </w:rPr>
              <w:drawing>
                <wp:inline distT="0" distB="0" distL="0" distR="0" wp14:anchorId="3CE575D4" wp14:editId="49E60B40">
                  <wp:extent cx="600075" cy="8572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00075" cy="857250"/>
                          </a:xfrm>
                          <a:prstGeom prst="rect">
                            <a:avLst/>
                          </a:prstGeom>
                          <a:noFill/>
                          <a:ln>
                            <a:noFill/>
                          </a:ln>
                        </pic:spPr>
                      </pic:pic>
                    </a:graphicData>
                  </a:graphic>
                </wp:inline>
              </w:drawing>
            </w:r>
          </w:p>
          <w:p w:rsidR="00EA3338" w:rsidRPr="0016157A" w:rsidRDefault="00EA3338" w:rsidP="00C249E4">
            <w:pPr>
              <w:jc w:val="center"/>
              <w:rPr>
                <w:lang w:val="fr-FR"/>
              </w:rPr>
            </w:pPr>
            <w:r w:rsidRPr="0016157A">
              <w:rPr>
                <w:lang w:val="fr-FR"/>
              </w:rPr>
              <w:t>3</w:t>
            </w:r>
          </w:p>
          <w:p w:rsidR="00EA3338" w:rsidRPr="0016157A" w:rsidRDefault="00EA3338" w:rsidP="00C249E4">
            <w:pPr>
              <w:jc w:val="center"/>
              <w:rPr>
                <w:lang w:val="fr-FR"/>
              </w:rPr>
            </w:pPr>
            <w:r w:rsidRPr="0016157A">
              <w:rPr>
                <w:lang w:val="fr-FR"/>
              </w:rPr>
              <w:t>circulaire</w:t>
            </w:r>
          </w:p>
        </w:tc>
        <w:tc>
          <w:tcPr>
            <w:tcW w:w="1388" w:type="dxa"/>
            <w:gridSpan w:val="2"/>
          </w:tcPr>
          <w:p w:rsidR="00EA3338" w:rsidRPr="0016157A" w:rsidRDefault="00EA3338" w:rsidP="00C249E4">
            <w:pPr>
              <w:jc w:val="center"/>
              <w:rPr>
                <w:lang w:val="fr-FR"/>
              </w:rPr>
            </w:pPr>
          </w:p>
        </w:tc>
        <w:tc>
          <w:tcPr>
            <w:tcW w:w="1311" w:type="dxa"/>
          </w:tcPr>
          <w:p w:rsidR="00EA3338" w:rsidRPr="0016157A" w:rsidRDefault="00EA3338" w:rsidP="00C249E4">
            <w:pPr>
              <w:jc w:val="center"/>
              <w:rPr>
                <w:lang w:val="fr-FR"/>
              </w:rPr>
            </w:pPr>
          </w:p>
        </w:tc>
        <w:tc>
          <w:tcPr>
            <w:tcW w:w="1467" w:type="dxa"/>
            <w:gridSpan w:val="2"/>
          </w:tcPr>
          <w:p w:rsidR="00EA3338" w:rsidRPr="0016157A" w:rsidRDefault="00EA3338" w:rsidP="00C249E4">
            <w:pPr>
              <w:jc w:val="center"/>
              <w:rPr>
                <w:lang w:val="fr-FR"/>
              </w:rPr>
            </w:pPr>
          </w:p>
        </w:tc>
      </w:tr>
    </w:tbl>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rPr>
          <w:lang w:val="fr-FR"/>
        </w:rPr>
      </w:pPr>
    </w:p>
    <w:p w:rsidR="00EA3338" w:rsidRPr="0016157A" w:rsidRDefault="00EA3338" w:rsidP="00C249E4">
      <w:pPr>
        <w:jc w:val="right"/>
        <w:rPr>
          <w:lang w:val="fr-FR"/>
        </w:rPr>
      </w:pPr>
      <w:r w:rsidRPr="0016157A">
        <w:rPr>
          <w:lang w:val="fr-FR"/>
        </w:rPr>
        <w:t>[L</w:t>
      </w:r>
      <w:r w:rsidR="00B4091E">
        <w:rPr>
          <w:lang w:val="fr-FR"/>
        </w:rPr>
        <w:t>’</w:t>
      </w:r>
      <w:r w:rsidRPr="0016157A">
        <w:rPr>
          <w:lang w:val="fr-FR"/>
        </w:rPr>
        <w:t>annexe IV suit]</w:t>
      </w:r>
    </w:p>
    <w:p w:rsidR="00EA3338" w:rsidRPr="0016157A" w:rsidRDefault="00EA3338" w:rsidP="00C249E4">
      <w:pPr>
        <w:jc w:val="right"/>
        <w:rPr>
          <w:lang w:val="fr-FR"/>
        </w:rPr>
      </w:pPr>
    </w:p>
    <w:p w:rsidR="00EA3338" w:rsidRPr="0016157A" w:rsidRDefault="00EA3338" w:rsidP="00C249E4">
      <w:pPr>
        <w:jc w:val="right"/>
        <w:rPr>
          <w:lang w:val="fr-FR"/>
        </w:rPr>
        <w:sectPr w:rsidR="00EA3338" w:rsidRPr="0016157A" w:rsidSect="00C249E4">
          <w:headerReference w:type="first" r:id="rId26"/>
          <w:pgSz w:w="11907" w:h="16840" w:code="9"/>
          <w:pgMar w:top="510" w:right="1134" w:bottom="709" w:left="1134" w:header="510" w:footer="680" w:gutter="0"/>
          <w:pgNumType w:start="1"/>
          <w:cols w:space="720"/>
          <w:titlePg/>
        </w:sectPr>
      </w:pPr>
    </w:p>
    <w:p w:rsidR="00F15E56" w:rsidRPr="007E7836" w:rsidRDefault="006A4F7F" w:rsidP="006A4F7F">
      <w:pPr>
        <w:ind w:left="-426"/>
        <w:jc w:val="center"/>
      </w:pPr>
      <w:bookmarkStart w:id="135" w:name="_GoBack"/>
      <w:r w:rsidRPr="006A4F7F">
        <w:rPr>
          <w:noProof/>
        </w:rPr>
        <w:drawing>
          <wp:inline distT="0" distB="0" distL="0" distR="0" wp14:anchorId="2BBF677B" wp14:editId="68F19F37">
            <wp:extent cx="9341511" cy="5749747"/>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338400" cy="5747832"/>
                    </a:xfrm>
                    <a:prstGeom prst="rect">
                      <a:avLst/>
                    </a:prstGeom>
                    <a:noFill/>
                    <a:ln>
                      <a:noFill/>
                    </a:ln>
                  </pic:spPr>
                </pic:pic>
              </a:graphicData>
            </a:graphic>
          </wp:inline>
        </w:drawing>
      </w:r>
      <w:bookmarkEnd w:id="135"/>
    </w:p>
    <w:sectPr w:rsidR="00F15E56" w:rsidRPr="007E7836" w:rsidSect="00C249E4">
      <w:headerReference w:type="default" r:id="rId28"/>
      <w:headerReference w:type="first" r:id="rId29"/>
      <w:footerReference w:type="first" r:id="rId30"/>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AAB" w:rsidRDefault="003B1AAB">
      <w:r>
        <w:separator/>
      </w:r>
    </w:p>
  </w:endnote>
  <w:endnote w:type="continuationSeparator" w:id="0">
    <w:p w:rsidR="003B1AAB" w:rsidRDefault="003B1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Mincho">
    <w:altName w:val="Yu Gothic UI"/>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Pr="006A4F7F" w:rsidRDefault="003B1AAB" w:rsidP="006A4F7F">
    <w:pPr>
      <w:pStyle w:val="Footer"/>
    </w:pPr>
    <w:r w:rsidRPr="006A4F7F">
      <w:t>[Fin de l’annexe IV et du document]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AAB" w:rsidRDefault="003B1AAB">
      <w:r>
        <w:separator/>
      </w:r>
    </w:p>
  </w:footnote>
  <w:footnote w:type="continuationSeparator" w:id="0">
    <w:p w:rsidR="003B1AAB" w:rsidRDefault="003B1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Pr="002E1B40" w:rsidRDefault="003B1AAB" w:rsidP="00C249E4">
    <w:pPr>
      <w:jc w:val="center"/>
      <w:rPr>
        <w:lang w:val="pt-BR"/>
      </w:rPr>
    </w:pPr>
    <w:r>
      <w:t>TC/54/5</w:t>
    </w:r>
    <w:r w:rsidR="008D1C5B">
      <w:t xml:space="preserve"> Rev.</w:t>
    </w:r>
  </w:p>
  <w:p w:rsidR="003B1AAB" w:rsidRPr="002E1B40" w:rsidRDefault="003B1AAB" w:rsidP="00C249E4">
    <w:pPr>
      <w:jc w:val="center"/>
      <w:rPr>
        <w:lang w:val="pt-BR"/>
      </w:rPr>
    </w:pPr>
    <w:r w:rsidRPr="002E1B40">
      <w:rPr>
        <w:lang w:val="pt-BR"/>
      </w:rPr>
      <w:t>page</w:t>
    </w:r>
    <w:r>
      <w:rPr>
        <w:lang w:val="pt-BR"/>
      </w:rPr>
      <w:t> </w:t>
    </w:r>
    <w:r w:rsidRPr="00C5280D">
      <w:fldChar w:fldCharType="begin"/>
    </w:r>
    <w:r w:rsidRPr="002E1B40">
      <w:rPr>
        <w:lang w:val="pt-BR"/>
      </w:rPr>
      <w:instrText xml:space="preserve"> PAGE </w:instrText>
    </w:r>
    <w:r w:rsidRPr="00C5280D">
      <w:fldChar w:fldCharType="separate"/>
    </w:r>
    <w:r w:rsidR="008D1C5B">
      <w:rPr>
        <w:noProof/>
        <w:lang w:val="pt-BR"/>
      </w:rPr>
      <w:t>8</w:t>
    </w:r>
    <w:r w:rsidRPr="00C5280D">
      <w:fldChar w:fldCharType="end"/>
    </w:r>
  </w:p>
  <w:p w:rsidR="003B1AAB" w:rsidRPr="002E1B40" w:rsidRDefault="003B1AAB" w:rsidP="00C249E4">
    <w:pPr>
      <w:rPr>
        <w:lang w:val="pt-BR"/>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Pr="00C80EA4" w:rsidRDefault="003B1AAB" w:rsidP="00C249E4">
    <w:pPr>
      <w:jc w:val="center"/>
      <w:rPr>
        <w:lang w:val="pt-BR"/>
      </w:rPr>
    </w:pPr>
    <w:r>
      <w:t>TC/54/5</w:t>
    </w:r>
    <w:r w:rsidR="008D1C5B">
      <w:t xml:space="preserve"> Rev.</w:t>
    </w:r>
  </w:p>
  <w:p w:rsidR="003B1AAB" w:rsidRPr="0039548A" w:rsidRDefault="003B1AAB" w:rsidP="00C249E4">
    <w:pPr>
      <w:jc w:val="center"/>
      <w:rPr>
        <w:lang w:val="pt-BR"/>
      </w:rPr>
    </w:pPr>
    <w:r w:rsidRPr="00C80EA4">
      <w:rPr>
        <w:lang w:val="pt-BR"/>
      </w:rPr>
      <w:t>Annex</w:t>
    </w:r>
    <w:r>
      <w:rPr>
        <w:lang w:val="pt-BR"/>
      </w:rPr>
      <w:t>e</w:t>
    </w:r>
    <w:r w:rsidRPr="00C80EA4">
      <w:rPr>
        <w:lang w:val="pt-BR"/>
      </w:rPr>
      <w:t xml:space="preserve"> I, page </w:t>
    </w:r>
    <w:r w:rsidRPr="00C5280D">
      <w:fldChar w:fldCharType="begin"/>
    </w:r>
    <w:r w:rsidRPr="0039548A">
      <w:rPr>
        <w:lang w:val="pt-BR"/>
      </w:rPr>
      <w:instrText xml:space="preserve"> PAGE </w:instrText>
    </w:r>
    <w:r w:rsidRPr="00C5280D">
      <w:fldChar w:fldCharType="separate"/>
    </w:r>
    <w:r w:rsidR="008D1C5B">
      <w:rPr>
        <w:noProof/>
        <w:lang w:val="pt-BR"/>
      </w:rPr>
      <w:t>5</w:t>
    </w:r>
    <w:r w:rsidRPr="00C5280D">
      <w:fldChar w:fldCharType="end"/>
    </w:r>
  </w:p>
  <w:p w:rsidR="003B1AAB" w:rsidRPr="0039548A" w:rsidRDefault="003B1AAB" w:rsidP="00C249E4">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Default="003B1AAB" w:rsidP="00C249E4">
    <w:pPr>
      <w:jc w:val="center"/>
    </w:pPr>
    <w:r>
      <w:t>TC/54/5</w:t>
    </w:r>
    <w:r w:rsidR="008D1C5B">
      <w:t xml:space="preserve"> Rev.</w:t>
    </w:r>
  </w:p>
  <w:p w:rsidR="003B1AAB" w:rsidRDefault="003B1AAB" w:rsidP="00C249E4">
    <w:pPr>
      <w:jc w:val="center"/>
    </w:pPr>
  </w:p>
  <w:p w:rsidR="003B1AAB" w:rsidRDefault="003B1AAB" w:rsidP="00C249E4">
    <w:pPr>
      <w:jc w:val="center"/>
    </w:pPr>
    <w:r>
      <w:t>ANNEXE I</w:t>
    </w:r>
  </w:p>
  <w:p w:rsidR="003B1AAB" w:rsidRPr="004A75CB" w:rsidRDefault="003B1AAB"/>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Default="003B1AAB" w:rsidP="00C249E4">
    <w:pPr>
      <w:jc w:val="center"/>
    </w:pPr>
    <w:r>
      <w:t>TC/54/5</w:t>
    </w:r>
    <w:r w:rsidR="008D1C5B">
      <w:t xml:space="preserve"> Rev.</w:t>
    </w:r>
  </w:p>
  <w:p w:rsidR="003B1AAB" w:rsidRDefault="003B1AAB" w:rsidP="00C249E4">
    <w:pPr>
      <w:jc w:val="center"/>
    </w:pPr>
  </w:p>
  <w:p w:rsidR="003B1AAB" w:rsidRDefault="003B1AAB" w:rsidP="00C249E4">
    <w:pPr>
      <w:jc w:val="center"/>
    </w:pPr>
    <w:r>
      <w:t>ANNEXE II</w:t>
    </w:r>
  </w:p>
  <w:p w:rsidR="003B1AAB" w:rsidRPr="004A75CB" w:rsidRDefault="003B1AAB"/>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Default="003B1AAB" w:rsidP="00C249E4">
    <w:pPr>
      <w:jc w:val="center"/>
    </w:pPr>
    <w:r>
      <w:t>TC/54/5</w:t>
    </w:r>
    <w:r w:rsidR="008D1C5B">
      <w:t xml:space="preserve"> Rev.</w:t>
    </w:r>
  </w:p>
  <w:p w:rsidR="003B1AAB" w:rsidRDefault="003B1AAB" w:rsidP="00C249E4">
    <w:pPr>
      <w:jc w:val="center"/>
    </w:pPr>
  </w:p>
  <w:p w:rsidR="003B1AAB" w:rsidRDefault="003B1AAB" w:rsidP="00C249E4">
    <w:pPr>
      <w:jc w:val="center"/>
    </w:pPr>
    <w:r>
      <w:t>ANNEXE III</w:t>
    </w:r>
  </w:p>
  <w:p w:rsidR="003B1AAB" w:rsidRPr="004A75CB" w:rsidRDefault="003B1AAB"/>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Pr="00C5280D" w:rsidRDefault="003B1AAB" w:rsidP="00C249E4">
    <w:pPr>
      <w:pStyle w:val="Header"/>
      <w:rPr>
        <w:rStyle w:val="PageNumber"/>
        <w:lang w:val="en-US"/>
      </w:rPr>
    </w:pPr>
    <w:r>
      <w:rPr>
        <w:rStyle w:val="PageNumber"/>
        <w:lang w:val="en-US"/>
      </w:rPr>
      <w:t>TC/54/</w:t>
    </w:r>
  </w:p>
  <w:p w:rsidR="003B1AAB" w:rsidRPr="00C5280D" w:rsidRDefault="003B1AAB" w:rsidP="00C249E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A4F7F">
      <w:rPr>
        <w:rStyle w:val="PageNumber"/>
        <w:noProof/>
        <w:lang w:val="en-US"/>
      </w:rPr>
      <w:t>3</w:t>
    </w:r>
    <w:r w:rsidRPr="00C5280D">
      <w:rPr>
        <w:rStyle w:val="PageNumber"/>
        <w:lang w:val="en-US"/>
      </w:rPr>
      <w:fldChar w:fldCharType="end"/>
    </w:r>
  </w:p>
  <w:p w:rsidR="003B1AAB" w:rsidRPr="00C5280D" w:rsidRDefault="003B1AAB" w:rsidP="00C249E4"/>
  <w:p w:rsidR="003B1AAB" w:rsidRDefault="003B1AAB"/>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AAB" w:rsidRPr="00883650" w:rsidRDefault="003B1AAB" w:rsidP="00C249E4">
    <w:pPr>
      <w:jc w:val="center"/>
      <w:rPr>
        <w:lang w:val="fr-CH"/>
      </w:rPr>
    </w:pPr>
    <w:r w:rsidRPr="00883650">
      <w:rPr>
        <w:lang w:val="fr-CH"/>
      </w:rPr>
      <w:t>TC/54/5</w:t>
    </w:r>
    <w:r w:rsidR="008D1C5B">
      <w:rPr>
        <w:lang w:val="fr-CH"/>
      </w:rPr>
      <w:t xml:space="preserve"> </w:t>
    </w:r>
    <w:proofErr w:type="spellStart"/>
    <w:r w:rsidR="008D1C5B">
      <w:rPr>
        <w:lang w:val="fr-CH"/>
      </w:rPr>
      <w:t>Rev</w:t>
    </w:r>
    <w:proofErr w:type="spellEnd"/>
    <w:r w:rsidR="008D1C5B">
      <w:rPr>
        <w:lang w:val="fr-CH"/>
      </w:rPr>
      <w:t>.</w:t>
    </w:r>
  </w:p>
  <w:p w:rsidR="003B1AAB" w:rsidRPr="00883650" w:rsidRDefault="003B1AAB" w:rsidP="00C249E4">
    <w:pPr>
      <w:jc w:val="center"/>
      <w:rPr>
        <w:lang w:val="fr-CH"/>
      </w:rPr>
    </w:pPr>
  </w:p>
  <w:p w:rsidR="003B1AAB" w:rsidRPr="00883650" w:rsidRDefault="003B1AAB" w:rsidP="00C249E4">
    <w:pPr>
      <w:jc w:val="center"/>
      <w:rPr>
        <w:lang w:val="fr-CH"/>
      </w:rPr>
    </w:pPr>
    <w:r w:rsidRPr="00883650">
      <w:rPr>
        <w:lang w:val="fr-CH"/>
      </w:rPr>
      <w:t>ANNEXE IV</w:t>
    </w:r>
  </w:p>
  <w:p w:rsidR="003B1AAB" w:rsidRPr="00883650" w:rsidRDefault="003B1AAB" w:rsidP="00C249E4">
    <w:pPr>
      <w:jc w:val="center"/>
      <w:rPr>
        <w:lang w:val="fr-CH"/>
      </w:rPr>
    </w:pPr>
  </w:p>
  <w:p w:rsidR="003B1AAB" w:rsidRPr="00883650" w:rsidRDefault="003B1AAB" w:rsidP="00C249E4">
    <w:pPr>
      <w:jc w:val="center"/>
      <w:rPr>
        <w:caps/>
        <w:lang w:val="fr-CH"/>
      </w:rPr>
    </w:pPr>
    <w:r w:rsidRPr="00883650">
      <w:rPr>
        <w:caps/>
        <w:lang w:val="fr-CH"/>
      </w:rPr>
      <w:t>ProgramME d’élaboration des documents tgp sur la base des commentaires des twp, à leurs sessions de 2017</w:t>
    </w:r>
  </w:p>
  <w:p w:rsidR="003B1AAB" w:rsidRPr="00883650" w:rsidRDefault="003B1AAB" w:rsidP="00C249E4">
    <w:pPr>
      <w:jc w:val="center"/>
      <w:rPr>
        <w:caps/>
        <w:sz w:val="6"/>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08156C"/>
    <w:multiLevelType w:val="hybridMultilevel"/>
    <w:tmpl w:val="A216B4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activeWritingStyle w:appName="MSWord" w:lang="fr-FR" w:vendorID="64" w:dllVersion="131078" w:nlCheck="1" w:checkStyle="0"/>
  <w:activeWritingStyle w:appName="MSWord" w:lang="fr-CH" w:vendorID="64" w:dllVersion="131078" w:nlCheck="1" w:checkStyle="0"/>
  <w:activeWritingStyle w:appName="MSWord" w:lang="de-DE" w:vendorID="64" w:dllVersion="131078" w:nlCheck="1" w:checkStyle="1"/>
  <w:activeWritingStyle w:appName="MSWord" w:lang="es-ES_tradnl" w:vendorID="64" w:dllVersion="131078" w:nlCheck="1" w:checkStyle="1"/>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338"/>
    <w:rsid w:val="00000531"/>
    <w:rsid w:val="00002775"/>
    <w:rsid w:val="000031A2"/>
    <w:rsid w:val="00004E4E"/>
    <w:rsid w:val="00005853"/>
    <w:rsid w:val="0000682E"/>
    <w:rsid w:val="00006D0B"/>
    <w:rsid w:val="00007C29"/>
    <w:rsid w:val="000100CA"/>
    <w:rsid w:val="00010D9E"/>
    <w:rsid w:val="000119CD"/>
    <w:rsid w:val="000126EB"/>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03C"/>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2D"/>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17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006"/>
    <w:rsid w:val="00261F07"/>
    <w:rsid w:val="002629CA"/>
    <w:rsid w:val="00262D64"/>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1AAB"/>
    <w:rsid w:val="003B215F"/>
    <w:rsid w:val="003B2370"/>
    <w:rsid w:val="003B2927"/>
    <w:rsid w:val="003B368D"/>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3822"/>
    <w:rsid w:val="004D56F6"/>
    <w:rsid w:val="004D58D5"/>
    <w:rsid w:val="004D6051"/>
    <w:rsid w:val="004D6C61"/>
    <w:rsid w:val="004D6ED5"/>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0A2F"/>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3AF1"/>
    <w:rsid w:val="0059428F"/>
    <w:rsid w:val="00594384"/>
    <w:rsid w:val="00594B41"/>
    <w:rsid w:val="0059547E"/>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E6BCA"/>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B2"/>
    <w:rsid w:val="006333EC"/>
    <w:rsid w:val="00633793"/>
    <w:rsid w:val="00634C7E"/>
    <w:rsid w:val="00634DB2"/>
    <w:rsid w:val="00635959"/>
    <w:rsid w:val="0063633D"/>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6EF"/>
    <w:rsid w:val="006A4E70"/>
    <w:rsid w:val="006A4F7F"/>
    <w:rsid w:val="006A59E4"/>
    <w:rsid w:val="006A65DF"/>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2FBB"/>
    <w:rsid w:val="00724050"/>
    <w:rsid w:val="00725B3F"/>
    <w:rsid w:val="00725D33"/>
    <w:rsid w:val="00726096"/>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18E6"/>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46"/>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71D1"/>
    <w:rsid w:val="008810DA"/>
    <w:rsid w:val="008812F1"/>
    <w:rsid w:val="00881E38"/>
    <w:rsid w:val="008821E5"/>
    <w:rsid w:val="00883650"/>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1C5B"/>
    <w:rsid w:val="008D28BB"/>
    <w:rsid w:val="008D4B4B"/>
    <w:rsid w:val="008D4BA5"/>
    <w:rsid w:val="008D5A54"/>
    <w:rsid w:val="008D7A68"/>
    <w:rsid w:val="008D7E42"/>
    <w:rsid w:val="008D7F3E"/>
    <w:rsid w:val="008E345E"/>
    <w:rsid w:val="008E3A89"/>
    <w:rsid w:val="008E4317"/>
    <w:rsid w:val="008E47A0"/>
    <w:rsid w:val="008E52A1"/>
    <w:rsid w:val="008E5388"/>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2CA"/>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1E9"/>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4D1"/>
    <w:rsid w:val="00B31E30"/>
    <w:rsid w:val="00B32406"/>
    <w:rsid w:val="00B32FE5"/>
    <w:rsid w:val="00B33046"/>
    <w:rsid w:val="00B3405A"/>
    <w:rsid w:val="00B34E39"/>
    <w:rsid w:val="00B3636D"/>
    <w:rsid w:val="00B36CDD"/>
    <w:rsid w:val="00B37C2B"/>
    <w:rsid w:val="00B4091E"/>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453E"/>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49E4"/>
    <w:rsid w:val="00C26397"/>
    <w:rsid w:val="00C26A76"/>
    <w:rsid w:val="00C26BDF"/>
    <w:rsid w:val="00C30D3E"/>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1C47"/>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735"/>
    <w:rsid w:val="00CF1B14"/>
    <w:rsid w:val="00CF2454"/>
    <w:rsid w:val="00CF2671"/>
    <w:rsid w:val="00CF2E0A"/>
    <w:rsid w:val="00CF6272"/>
    <w:rsid w:val="00D00338"/>
    <w:rsid w:val="00D01E37"/>
    <w:rsid w:val="00D03461"/>
    <w:rsid w:val="00D05099"/>
    <w:rsid w:val="00D06257"/>
    <w:rsid w:val="00D0668A"/>
    <w:rsid w:val="00D06AEB"/>
    <w:rsid w:val="00D11F48"/>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3DB1"/>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F9"/>
    <w:rsid w:val="00E75D7C"/>
    <w:rsid w:val="00E81422"/>
    <w:rsid w:val="00E81B14"/>
    <w:rsid w:val="00E829D3"/>
    <w:rsid w:val="00E83B30"/>
    <w:rsid w:val="00E83C7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3338"/>
    <w:rsid w:val="00EA4704"/>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6D6"/>
    <w:rsid w:val="00FA347D"/>
    <w:rsid w:val="00FA3CC3"/>
    <w:rsid w:val="00FA4498"/>
    <w:rsid w:val="00FA5C99"/>
    <w:rsid w:val="00FA5CC5"/>
    <w:rsid w:val="00FA731B"/>
    <w:rsid w:val="00FA75EC"/>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B05E7"/>
  <w15:docId w15:val="{CEC2C39E-755C-4CB3-A3BF-CE15918A5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E70"/>
  </w:style>
  <w:style w:type="paragraph" w:styleId="Heading1">
    <w:name w:val="heading 1"/>
    <w:next w:val="Normal"/>
    <w:link w:val="Heading1Char"/>
    <w:autoRedefine/>
    <w:qFormat/>
    <w:rsid w:val="00857E46"/>
    <w:pPr>
      <w:keepNext/>
      <w:outlineLvl w:val="0"/>
    </w:pPr>
    <w:rPr>
      <w:caps/>
    </w:rPr>
  </w:style>
  <w:style w:type="paragraph" w:styleId="Heading2">
    <w:name w:val="heading 2"/>
    <w:aliases w:val="VARIETY,variety"/>
    <w:next w:val="Normal"/>
    <w:link w:val="Heading2Char"/>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link w:val="Heading4Char"/>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F7F"/>
    <w:pPr>
      <w:jc w:val="right"/>
    </w:pPr>
    <w:rPr>
      <w:lang w:val="fr-CH"/>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utoRedefine/>
    <w:rsid w:val="006A4E70"/>
    <w:pPr>
      <w:spacing w:before="60"/>
      <w:ind w:left="567" w:hanging="567"/>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EA3338"/>
    <w:pPr>
      <w:tabs>
        <w:tab w:val="right" w:leader="dot" w:pos="9639"/>
      </w:tabs>
      <w:spacing w:before="60"/>
      <w:ind w:right="1418"/>
      <w:jc w:val="left"/>
    </w:pPr>
    <w:rPr>
      <w:rFonts w:cs="Arial"/>
      <w:bCs/>
      <w:caps/>
      <w:noProof/>
      <w:sz w:val="18"/>
    </w:rPr>
  </w:style>
  <w:style w:type="paragraph" w:styleId="TOC3">
    <w:name w:val="toc 3"/>
    <w:next w:val="Normal"/>
    <w:uiPriority w:val="39"/>
    <w:qFormat/>
    <w:rsid w:val="00C71C47"/>
    <w:pPr>
      <w:tabs>
        <w:tab w:val="right" w:leader="dot" w:pos="9639"/>
      </w:tabs>
      <w:spacing w:before="60" w:after="60"/>
      <w:ind w:left="567" w:right="1418"/>
      <w:contextualSpacing/>
      <w:jc w:val="left"/>
    </w:pPr>
    <w:rPr>
      <w:rFonts w:cs="Arial"/>
      <w:i/>
      <w:noProof/>
      <w:sz w:val="18"/>
    </w:rPr>
  </w:style>
  <w:style w:type="paragraph" w:styleId="TOC4">
    <w:name w:val="toc 4"/>
    <w:next w:val="Normal"/>
    <w:autoRedefine/>
    <w:uiPriority w:val="39"/>
    <w:rsid w:val="00EA3338"/>
    <w:pPr>
      <w:tabs>
        <w:tab w:val="right" w:leader="dot" w:pos="9639"/>
      </w:tabs>
      <w:spacing w:before="60"/>
      <w:ind w:left="1049" w:right="851" w:hanging="284"/>
      <w:jc w:val="left"/>
    </w:pPr>
    <w:rPr>
      <w:i/>
      <w:noProof/>
      <w:sz w:val="16"/>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EA3338"/>
    <w:pPr>
      <w:tabs>
        <w:tab w:val="right" w:leader="dot" w:pos="9639"/>
      </w:tabs>
      <w:spacing w:before="60"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uiPriority w:val="99"/>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EA3338"/>
    <w:pPr>
      <w:spacing w:after="600"/>
      <w:jc w:val="left"/>
    </w:pPr>
    <w:rPr>
      <w:i/>
      <w:iCs/>
      <w:color w:val="A6A6A6" w:themeColor="background1" w:themeShade="A6"/>
    </w:rPr>
  </w:style>
  <w:style w:type="paragraph" w:customStyle="1" w:styleId="preparedby0">
    <w:name w:val="prepared by"/>
    <w:basedOn w:val="Normal"/>
    <w:semiHidden/>
    <w:rsid w:val="00EA3338"/>
    <w:pPr>
      <w:spacing w:before="600" w:after="600"/>
      <w:jc w:val="center"/>
    </w:pPr>
    <w:rPr>
      <w:i/>
    </w:rPr>
  </w:style>
  <w:style w:type="paragraph" w:customStyle="1" w:styleId="Code">
    <w:name w:val="Code"/>
    <w:basedOn w:val="Normal"/>
    <w:link w:val="CodeChar"/>
    <w:semiHidden/>
    <w:rsid w:val="00EA3338"/>
    <w:pPr>
      <w:spacing w:line="340" w:lineRule="atLeast"/>
      <w:ind w:left="1276"/>
    </w:pPr>
    <w:rPr>
      <w:b/>
      <w:bCs/>
      <w:spacing w:val="10"/>
    </w:rPr>
  </w:style>
  <w:style w:type="paragraph" w:customStyle="1" w:styleId="Country">
    <w:name w:val="Country"/>
    <w:basedOn w:val="Normal"/>
    <w:semiHidden/>
    <w:rsid w:val="00EA3338"/>
    <w:pPr>
      <w:spacing w:before="60" w:after="480"/>
      <w:jc w:val="center"/>
    </w:pPr>
  </w:style>
  <w:style w:type="paragraph" w:customStyle="1" w:styleId="preparedby1">
    <w:name w:val="prepared_by"/>
    <w:basedOn w:val="preparedby0"/>
    <w:rsid w:val="00EA3338"/>
    <w:pPr>
      <w:spacing w:before="0" w:after="240"/>
    </w:pPr>
    <w:rPr>
      <w:iCs/>
    </w:rPr>
  </w:style>
  <w:style w:type="character" w:customStyle="1" w:styleId="CodeChar">
    <w:name w:val="Code Char"/>
    <w:basedOn w:val="DefaultParagraphFont"/>
    <w:link w:val="Code"/>
    <w:semiHidden/>
    <w:rsid w:val="00EA3338"/>
    <w:rPr>
      <w:b/>
      <w:bCs/>
      <w:spacing w:val="10"/>
    </w:rPr>
  </w:style>
  <w:style w:type="character" w:customStyle="1" w:styleId="BalloonTextChar">
    <w:name w:val="Balloon Text Char"/>
    <w:basedOn w:val="DefaultParagraphFont"/>
    <w:link w:val="BalloonText"/>
    <w:rsid w:val="00EA3338"/>
    <w:rPr>
      <w:rFonts w:ascii="Tahoma" w:hAnsi="Tahoma" w:cs="Tahoma"/>
      <w:sz w:val="16"/>
      <w:szCs w:val="16"/>
    </w:rPr>
  </w:style>
  <w:style w:type="paragraph" w:customStyle="1" w:styleId="Sessiontwp">
    <w:name w:val="Session_twp"/>
    <w:basedOn w:val="Normal"/>
    <w:next w:val="Normal"/>
    <w:qFormat/>
    <w:rsid w:val="00EA3338"/>
    <w:rPr>
      <w:b/>
    </w:rPr>
  </w:style>
  <w:style w:type="paragraph" w:customStyle="1" w:styleId="Sessiontwpplacedate">
    <w:name w:val="Session_twp_place_date"/>
    <w:basedOn w:val="Normal"/>
    <w:next w:val="Normal"/>
    <w:qFormat/>
    <w:rsid w:val="00EA3338"/>
  </w:style>
  <w:style w:type="character" w:customStyle="1" w:styleId="Heading1Char">
    <w:name w:val="Heading 1 Char"/>
    <w:basedOn w:val="DefaultParagraphFont"/>
    <w:link w:val="Heading1"/>
    <w:rsid w:val="00857E46"/>
    <w:rPr>
      <w:caps/>
    </w:rPr>
  </w:style>
  <w:style w:type="character" w:customStyle="1" w:styleId="Heading2Char">
    <w:name w:val="Heading 2 Char"/>
    <w:aliases w:val="VARIETY Char,variety Char"/>
    <w:link w:val="Heading2"/>
    <w:locked/>
    <w:rsid w:val="00EA3338"/>
    <w:rPr>
      <w:u w:val="single"/>
    </w:rPr>
  </w:style>
  <w:style w:type="character" w:customStyle="1" w:styleId="HeaderChar">
    <w:name w:val="Header Char"/>
    <w:basedOn w:val="DefaultParagraphFont"/>
    <w:link w:val="Header"/>
    <w:uiPriority w:val="99"/>
    <w:rsid w:val="00EA3338"/>
    <w:rPr>
      <w:lang w:val="fr-FR"/>
    </w:rPr>
  </w:style>
  <w:style w:type="paragraph" w:styleId="ListParagraph">
    <w:name w:val="List Paragraph"/>
    <w:basedOn w:val="Normal"/>
    <w:uiPriority w:val="34"/>
    <w:qFormat/>
    <w:rsid w:val="00EA3338"/>
    <w:pPr>
      <w:ind w:left="720"/>
      <w:contextualSpacing/>
    </w:pPr>
    <w:rPr>
      <w:rFonts w:eastAsiaTheme="minorEastAsia"/>
    </w:rPr>
  </w:style>
  <w:style w:type="paragraph" w:customStyle="1" w:styleId="Normalt">
    <w:name w:val="Normalt"/>
    <w:basedOn w:val="Normal"/>
    <w:rsid w:val="00EA3338"/>
    <w:pPr>
      <w:spacing w:before="120" w:after="120"/>
      <w:jc w:val="left"/>
    </w:pPr>
    <w:rPr>
      <w:rFonts w:ascii="Times New Roman" w:hAnsi="Times New Roman" w:cs="Angsana New"/>
      <w:snapToGrid w:val="0"/>
      <w:lang w:eastAsia="ja-JP" w:bidi="th-TH"/>
    </w:rPr>
  </w:style>
  <w:style w:type="character" w:customStyle="1" w:styleId="Heading4Char">
    <w:name w:val="Heading 4 Char"/>
    <w:link w:val="Heading4"/>
    <w:rsid w:val="00EA3338"/>
    <w:rPr>
      <w:u w:val="single"/>
      <w:lang w:val="fr-FR"/>
    </w:rPr>
  </w:style>
  <w:style w:type="character" w:styleId="CommentReference">
    <w:name w:val="annotation reference"/>
    <w:basedOn w:val="DefaultParagraphFont"/>
    <w:rsid w:val="00EA3338"/>
    <w:rPr>
      <w:sz w:val="16"/>
      <w:szCs w:val="16"/>
    </w:rPr>
  </w:style>
  <w:style w:type="paragraph" w:styleId="CommentSubject">
    <w:name w:val="annotation subject"/>
    <w:basedOn w:val="CommentText"/>
    <w:next w:val="CommentText"/>
    <w:link w:val="CommentSubjectChar"/>
    <w:rsid w:val="00EA3338"/>
    <w:rPr>
      <w:b/>
      <w:bCs/>
      <w:sz w:val="20"/>
      <w:lang w:val="en-US"/>
    </w:rPr>
  </w:style>
  <w:style w:type="character" w:customStyle="1" w:styleId="CommentSubjectChar">
    <w:name w:val="Comment Subject Char"/>
    <w:basedOn w:val="CommentTextChar"/>
    <w:link w:val="CommentSubject"/>
    <w:rsid w:val="00EA3338"/>
    <w:rPr>
      <w:b/>
      <w:bCs/>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55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image" Target="media/image4.wmf"/><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7.wmf"/><Relationship Id="rId7" Type="http://schemas.openxmlformats.org/officeDocument/2006/relationships/endnotes" Target="endnotes.xml"/><Relationship Id="rId12" Type="http://schemas.openxmlformats.org/officeDocument/2006/relationships/hyperlink" Target="http://www.upov.int/resource/en/dus_guidance.html" TargetMode="External"/><Relationship Id="rId17" Type="http://schemas.openxmlformats.org/officeDocument/2006/relationships/image" Target="media/image3.wmf"/><Relationship Id="rId25" Type="http://schemas.openxmlformats.org/officeDocument/2006/relationships/image" Target="media/image11.wmf"/><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image" Target="media/image6.wmf"/><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restricted_temporary/twptg/fr/drafters_kit.html" TargetMode="External"/><Relationship Id="rId24" Type="http://schemas.openxmlformats.org/officeDocument/2006/relationships/image" Target="media/image10.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9.wmf"/><Relationship Id="rId28" Type="http://schemas.openxmlformats.org/officeDocument/2006/relationships/header" Target="header6.xml"/><Relationship Id="rId10" Type="http://schemas.openxmlformats.org/officeDocument/2006/relationships/header" Target="header1.xml"/><Relationship Id="rId19" Type="http://schemas.openxmlformats.org/officeDocument/2006/relationships/image" Target="media/image5.w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pov.int/upov_collection/en/" TargetMode="External"/><Relationship Id="rId14" Type="http://schemas.openxmlformats.org/officeDocument/2006/relationships/header" Target="header3.xml"/><Relationship Id="rId22" Type="http://schemas.openxmlformats.org/officeDocument/2006/relationships/image" Target="media/image8.wmf"/><Relationship Id="rId27" Type="http://schemas.openxmlformats.org/officeDocument/2006/relationships/image" Target="media/image12.emf"/><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5533D-1943-402C-8D5E-4FD813737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7755</Words>
  <Characters>46773</Characters>
  <Application>Microsoft Office Word</Application>
  <DocSecurity>0</DocSecurity>
  <Lines>389</Lines>
  <Paragraphs>108</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54420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TC/54/5 Rev.</dc:title>
  <dc:creator>BESSE Ariane</dc:creator>
  <cp:lastModifiedBy>SANTOS Carla Marina</cp:lastModifiedBy>
  <cp:revision>3</cp:revision>
  <cp:lastPrinted>2008-06-18T15:37:00Z</cp:lastPrinted>
  <dcterms:created xsi:type="dcterms:W3CDTF">2018-10-01T14:36:00Z</dcterms:created>
  <dcterms:modified xsi:type="dcterms:W3CDTF">2018-10-01T14:41:00Z</dcterms:modified>
</cp:coreProperties>
</file>