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81E8D" w:rsidRPr="00B81E8D" w:rsidTr="00996D05">
        <w:tc>
          <w:tcPr>
            <w:tcW w:w="6522" w:type="dxa"/>
          </w:tcPr>
          <w:p w:rsidR="00B65B40" w:rsidRPr="00B81E8D" w:rsidRDefault="00B65B40" w:rsidP="00996D05">
            <w:pPr>
              <w:rPr>
                <w:lang w:val="fr-FR"/>
              </w:rPr>
            </w:pPr>
            <w:bookmarkStart w:id="0" w:name="_Toc418531189"/>
            <w:r w:rsidRPr="00B81E8D">
              <w:rPr>
                <w:noProof/>
              </w:rPr>
              <w:drawing>
                <wp:inline distT="0" distB="0" distL="0" distR="0" wp14:anchorId="333CBB15" wp14:editId="3BE1DFC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65B40" w:rsidRPr="00B81E8D" w:rsidRDefault="00B65B40" w:rsidP="00996D05">
            <w:pPr>
              <w:pStyle w:val="Lettrine"/>
              <w:rPr>
                <w:lang w:val="fr-FR"/>
              </w:rPr>
            </w:pPr>
            <w:r w:rsidRPr="00B81E8D">
              <w:rPr>
                <w:lang w:val="fr-FR"/>
              </w:rPr>
              <w:t>F</w:t>
            </w:r>
          </w:p>
        </w:tc>
      </w:tr>
      <w:tr w:rsidR="00B81E8D" w:rsidRPr="00980F4A" w:rsidTr="00996D05">
        <w:trPr>
          <w:trHeight w:val="219"/>
        </w:trPr>
        <w:tc>
          <w:tcPr>
            <w:tcW w:w="6522" w:type="dxa"/>
          </w:tcPr>
          <w:p w:rsidR="00B65B40" w:rsidRPr="00B81E8D" w:rsidRDefault="00B65B40" w:rsidP="00996D05">
            <w:pPr>
              <w:pStyle w:val="upove"/>
              <w:rPr>
                <w:lang w:val="fr-FR"/>
              </w:rPr>
            </w:pPr>
            <w:r w:rsidRPr="00B81E8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B65B40" w:rsidRPr="00B81E8D" w:rsidRDefault="00B65B40" w:rsidP="00996D05">
            <w:pPr>
              <w:rPr>
                <w:lang w:val="fr-FR"/>
              </w:rPr>
            </w:pPr>
          </w:p>
        </w:tc>
      </w:tr>
    </w:tbl>
    <w:p w:rsidR="00B65B40" w:rsidRPr="00B81E8D" w:rsidRDefault="00B65B40" w:rsidP="00B65B40">
      <w:pPr>
        <w:rPr>
          <w:lang w:val="fr-FR"/>
        </w:rPr>
      </w:pPr>
    </w:p>
    <w:p w:rsidR="00B65B40" w:rsidRPr="00B81E8D" w:rsidRDefault="00B65B40" w:rsidP="00B65B40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81E8D" w:rsidRPr="00980F4A" w:rsidTr="00996D05">
        <w:tc>
          <w:tcPr>
            <w:tcW w:w="6512" w:type="dxa"/>
          </w:tcPr>
          <w:p w:rsidR="00B65B40" w:rsidRPr="00B81E8D" w:rsidRDefault="00B65B40" w:rsidP="00996D05">
            <w:pPr>
              <w:pStyle w:val="Sessiontc"/>
              <w:spacing w:line="240" w:lineRule="auto"/>
              <w:rPr>
                <w:lang w:val="fr-FR"/>
              </w:rPr>
            </w:pPr>
            <w:r w:rsidRPr="00B81E8D">
              <w:rPr>
                <w:lang w:val="fr-FR"/>
              </w:rPr>
              <w:t>Comité technique</w:t>
            </w:r>
          </w:p>
          <w:p w:rsidR="00B65B40" w:rsidRPr="00B81E8D" w:rsidRDefault="00B65B40" w:rsidP="00996D05">
            <w:pPr>
              <w:pStyle w:val="Sessiontcplacedate"/>
              <w:rPr>
                <w:sz w:val="22"/>
                <w:lang w:val="fr-FR"/>
              </w:rPr>
            </w:pPr>
            <w:r w:rsidRPr="00B81E8D">
              <w:rPr>
                <w:lang w:val="fr-FR"/>
              </w:rPr>
              <w:t>Cinquante-quatrième session</w:t>
            </w:r>
            <w:r w:rsidRPr="00B81E8D">
              <w:rPr>
                <w:lang w:val="fr-FR"/>
              </w:rPr>
              <w:br/>
              <w:t>Genève, 29 et 30 octobre 2018</w:t>
            </w:r>
          </w:p>
        </w:tc>
        <w:tc>
          <w:tcPr>
            <w:tcW w:w="3127" w:type="dxa"/>
          </w:tcPr>
          <w:p w:rsidR="00B65B40" w:rsidRPr="00B81E8D" w:rsidRDefault="00B65B40" w:rsidP="00996D05">
            <w:pPr>
              <w:pStyle w:val="Doccode"/>
              <w:rPr>
                <w:lang w:val="fr-FR"/>
              </w:rPr>
            </w:pPr>
            <w:r w:rsidRPr="00B81E8D">
              <w:rPr>
                <w:lang w:val="fr-FR"/>
              </w:rPr>
              <w:t>TC/54/28</w:t>
            </w:r>
          </w:p>
          <w:p w:rsidR="00B65B40" w:rsidRPr="00B81E8D" w:rsidRDefault="00B65B40" w:rsidP="00996D05">
            <w:pPr>
              <w:pStyle w:val="Docoriginal"/>
              <w:rPr>
                <w:lang w:val="fr-FR"/>
              </w:rPr>
            </w:pPr>
            <w:r w:rsidRPr="00B81E8D">
              <w:rPr>
                <w:lang w:val="fr-FR"/>
              </w:rPr>
              <w:t>Original:</w:t>
            </w:r>
            <w:r w:rsidRPr="00B81E8D">
              <w:rPr>
                <w:b w:val="0"/>
                <w:spacing w:val="0"/>
                <w:lang w:val="fr-FR"/>
              </w:rPr>
              <w:t xml:space="preserve"> anglais</w:t>
            </w:r>
          </w:p>
          <w:p w:rsidR="00B65B40" w:rsidRPr="00B81E8D" w:rsidRDefault="00B65B40" w:rsidP="00C955F3">
            <w:pPr>
              <w:pStyle w:val="Docoriginal"/>
              <w:rPr>
                <w:lang w:val="fr-FR"/>
              </w:rPr>
            </w:pPr>
            <w:r w:rsidRPr="00B81E8D">
              <w:rPr>
                <w:lang w:val="fr-FR"/>
              </w:rPr>
              <w:t>Date:</w:t>
            </w:r>
            <w:r w:rsidRPr="00B81E8D">
              <w:rPr>
                <w:b w:val="0"/>
                <w:spacing w:val="0"/>
                <w:lang w:val="fr-FR"/>
              </w:rPr>
              <w:t xml:space="preserve"> </w:t>
            </w:r>
            <w:r w:rsidRPr="00C955F3">
              <w:rPr>
                <w:b w:val="0"/>
                <w:spacing w:val="0"/>
                <w:lang w:val="fr-FR"/>
              </w:rPr>
              <w:t>2</w:t>
            </w:r>
            <w:r w:rsidR="00C955F3" w:rsidRPr="00C955F3">
              <w:rPr>
                <w:b w:val="0"/>
                <w:spacing w:val="0"/>
                <w:lang w:val="fr-FR"/>
              </w:rPr>
              <w:t>3</w:t>
            </w:r>
            <w:r w:rsidRPr="00C955F3">
              <w:rPr>
                <w:b w:val="0"/>
                <w:spacing w:val="0"/>
                <w:lang w:val="fr-FR"/>
              </w:rPr>
              <w:t xml:space="preserve"> août 2018</w:t>
            </w:r>
          </w:p>
        </w:tc>
      </w:tr>
    </w:tbl>
    <w:p w:rsidR="00B65B40" w:rsidRPr="00B81E8D" w:rsidRDefault="00B65B40" w:rsidP="0060730A">
      <w:pPr>
        <w:pStyle w:val="Titleofdoc0"/>
        <w:rPr>
          <w:lang w:val="fr-FR"/>
        </w:rPr>
      </w:pPr>
      <w:bookmarkStart w:id="1" w:name="TitleOfDoc"/>
      <w:bookmarkStart w:id="2" w:name="Prepared"/>
      <w:bookmarkEnd w:id="1"/>
      <w:bookmarkEnd w:id="2"/>
      <w:r w:rsidRPr="00B81E8D">
        <w:rPr>
          <w:lang w:val="fr-FR"/>
        </w:rPr>
        <w:t>Questions concernant les descriptions variétales</w:t>
      </w:r>
    </w:p>
    <w:p w:rsidR="00B65B40" w:rsidRPr="00B81E8D" w:rsidRDefault="00B65B40" w:rsidP="00B65B40">
      <w:pPr>
        <w:pStyle w:val="preparedby1"/>
        <w:jc w:val="left"/>
        <w:rPr>
          <w:lang w:val="fr-FR"/>
        </w:rPr>
      </w:pPr>
      <w:r w:rsidRPr="00B81E8D">
        <w:rPr>
          <w:lang w:val="fr-FR"/>
        </w:rPr>
        <w:t>Document établi par le Bureau de l’Union</w:t>
      </w:r>
    </w:p>
    <w:p w:rsidR="00B65B40" w:rsidRPr="00B81E8D" w:rsidRDefault="00B65B40" w:rsidP="00B81E8D">
      <w:pPr>
        <w:pStyle w:val="Disclaimer"/>
        <w:rPr>
          <w:lang w:val="fr-FR"/>
        </w:rPr>
      </w:pPr>
      <w:r w:rsidRPr="00B81E8D">
        <w:rPr>
          <w:lang w:val="fr-FR"/>
        </w:rPr>
        <w:t>Avertissement : le présent document ne représente pas les principes ou les orientations de l’UPOV</w:t>
      </w:r>
    </w:p>
    <w:p w:rsidR="004F1E20" w:rsidRPr="00C955F3" w:rsidRDefault="001F6EA0" w:rsidP="001F6EA0">
      <w:pPr>
        <w:pStyle w:val="Heading1"/>
        <w:rPr>
          <w:lang w:val="fr-CH"/>
        </w:rPr>
      </w:pPr>
      <w:r w:rsidRPr="00C955F3">
        <w:rPr>
          <w:lang w:val="fr-CH"/>
        </w:rPr>
        <w:t>Résumé</w:t>
      </w:r>
    </w:p>
    <w:p w:rsidR="004F1E20" w:rsidRPr="00B81E8D" w:rsidRDefault="004F1E20" w:rsidP="008B1B3A">
      <w:pPr>
        <w:rPr>
          <w:rFonts w:cs="Arial"/>
          <w:lang w:val="fr-FR"/>
        </w:rPr>
      </w:pPr>
    </w:p>
    <w:p w:rsidR="004F1E20" w:rsidRPr="00B81E8D" w:rsidRDefault="008B1B3A" w:rsidP="006D04D9">
      <w:pPr>
        <w:rPr>
          <w:rFonts w:cs="Arial"/>
          <w:snapToGrid w:val="0"/>
          <w:lang w:val="fr-FR"/>
        </w:rPr>
      </w:pPr>
      <w:r w:rsidRPr="00B81E8D">
        <w:rPr>
          <w:rFonts w:cs="Arial"/>
          <w:snapToGrid w:val="0"/>
          <w:lang w:val="fr-FR"/>
        </w:rPr>
        <w:fldChar w:fldCharType="begin"/>
      </w:r>
      <w:r w:rsidRPr="00B81E8D">
        <w:rPr>
          <w:rFonts w:cs="Arial"/>
          <w:snapToGrid w:val="0"/>
          <w:lang w:val="fr-FR"/>
        </w:rPr>
        <w:instrText xml:space="preserve"> AUTONUM  </w:instrText>
      </w:r>
      <w:r w:rsidRPr="00B81E8D">
        <w:rPr>
          <w:rFonts w:cs="Arial"/>
          <w:snapToGrid w:val="0"/>
          <w:lang w:val="fr-FR"/>
        </w:rPr>
        <w:fldChar w:fldCharType="end"/>
      </w:r>
      <w:r w:rsidRPr="00B81E8D">
        <w:rPr>
          <w:rFonts w:cs="Arial"/>
          <w:snapToGrid w:val="0"/>
          <w:lang w:val="fr-FR"/>
        </w:rPr>
        <w:tab/>
      </w:r>
      <w:r w:rsidR="006D04D9" w:rsidRPr="00B81E8D">
        <w:rPr>
          <w:rFonts w:cs="Arial"/>
          <w:snapToGrid w:val="0"/>
          <w:lang w:val="fr-FR"/>
        </w:rPr>
        <w:t>Le présent document a pour objet d</w:t>
      </w:r>
      <w:r w:rsidR="00BF0AE0" w:rsidRPr="00B81E8D">
        <w:rPr>
          <w:rFonts w:cs="Arial"/>
          <w:snapToGrid w:val="0"/>
          <w:lang w:val="fr-FR"/>
        </w:rPr>
        <w:t>’</w:t>
      </w:r>
      <w:r w:rsidR="006D04D9" w:rsidRPr="00B81E8D">
        <w:rPr>
          <w:rFonts w:cs="Arial"/>
          <w:snapToGrid w:val="0"/>
          <w:lang w:val="fr-FR"/>
        </w:rPr>
        <w:t>examiner le projet d</w:t>
      </w:r>
      <w:r w:rsidR="00BF0AE0" w:rsidRPr="00B81E8D">
        <w:rPr>
          <w:rFonts w:cs="Arial"/>
          <w:snapToGrid w:val="0"/>
          <w:lang w:val="fr-FR"/>
        </w:rPr>
        <w:t>’</w:t>
      </w:r>
      <w:r w:rsidR="006D04D9" w:rsidRPr="00B81E8D">
        <w:rPr>
          <w:rFonts w:cs="Arial"/>
          <w:snapToGrid w:val="0"/>
          <w:lang w:val="fr-FR"/>
        </w:rPr>
        <w:t xml:space="preserve">orientations concernant le rôle et le statut de la description variétale </w:t>
      </w:r>
      <w:r w:rsidR="00EC1248" w:rsidRPr="00B81E8D">
        <w:rPr>
          <w:rFonts w:cs="Arial"/>
          <w:snapToGrid w:val="0"/>
          <w:lang w:val="fr-FR"/>
        </w:rPr>
        <w:t>élaborée au moment de l</w:t>
      </w:r>
      <w:r w:rsidR="00BF0AE0" w:rsidRPr="00B81E8D">
        <w:rPr>
          <w:rFonts w:cs="Arial"/>
          <w:snapToGrid w:val="0"/>
          <w:lang w:val="fr-FR"/>
        </w:rPr>
        <w:t>’</w:t>
      </w:r>
      <w:r w:rsidR="00EC1248" w:rsidRPr="00B81E8D">
        <w:rPr>
          <w:rFonts w:cs="Arial"/>
          <w:snapToGrid w:val="0"/>
          <w:lang w:val="fr-FR"/>
        </w:rPr>
        <w:t>octroi du droit d</w:t>
      </w:r>
      <w:r w:rsidR="00BF0AE0" w:rsidRPr="00B81E8D">
        <w:rPr>
          <w:rFonts w:cs="Arial"/>
          <w:snapToGrid w:val="0"/>
          <w:lang w:val="fr-FR"/>
        </w:rPr>
        <w:t>’</w:t>
      </w:r>
      <w:r w:rsidR="00EC1248" w:rsidRPr="00B81E8D">
        <w:rPr>
          <w:rFonts w:cs="Arial"/>
          <w:snapToGrid w:val="0"/>
          <w:lang w:val="fr-FR"/>
        </w:rPr>
        <w:t xml:space="preserve">obtenteur </w:t>
      </w:r>
      <w:r w:rsidR="006D04D9" w:rsidRPr="00B81E8D">
        <w:rPr>
          <w:rFonts w:cs="Arial"/>
          <w:snapToGrid w:val="0"/>
          <w:lang w:val="fr-FR"/>
        </w:rPr>
        <w:t xml:space="preserve">et le rôle du matériel végétal utilisé comme </w:t>
      </w:r>
      <w:r w:rsidR="00EC1248" w:rsidRPr="00B81E8D">
        <w:rPr>
          <w:rFonts w:cs="Arial"/>
          <w:snapToGrid w:val="0"/>
          <w:lang w:val="fr-FR"/>
        </w:rPr>
        <w:t>fondement</w:t>
      </w:r>
      <w:r w:rsidR="006D04D9" w:rsidRPr="00B81E8D">
        <w:rPr>
          <w:rFonts w:cs="Arial"/>
          <w:snapToGrid w:val="0"/>
          <w:lang w:val="fr-FR"/>
        </w:rPr>
        <w:t xml:space="preserve"> de l</w:t>
      </w:r>
      <w:r w:rsidR="00BF0AE0" w:rsidRPr="00B81E8D">
        <w:rPr>
          <w:rFonts w:cs="Arial"/>
          <w:snapToGrid w:val="0"/>
          <w:lang w:val="fr-FR"/>
        </w:rPr>
        <w:t>’</w:t>
      </w:r>
      <w:r w:rsidR="006D04D9" w:rsidRPr="00B81E8D">
        <w:rPr>
          <w:rFonts w:cs="Arial"/>
          <w:snapToGrid w:val="0"/>
          <w:lang w:val="fr-FR"/>
        </w:rPr>
        <w:t>examen</w:t>
      </w:r>
      <w:r w:rsidR="00747C0D" w:rsidRPr="00B81E8D">
        <w:rPr>
          <w:rFonts w:cs="Arial"/>
          <w:snapToGrid w:val="0"/>
          <w:lang w:val="fr-FR"/>
        </w:rPr>
        <w:t> </w:t>
      </w:r>
      <w:r w:rsidR="006D04D9" w:rsidRPr="00B81E8D">
        <w:rPr>
          <w:rFonts w:cs="Arial"/>
          <w:snapToGrid w:val="0"/>
          <w:lang w:val="fr-FR"/>
        </w:rPr>
        <w:t>DHS.</w:t>
      </w:r>
    </w:p>
    <w:p w:rsidR="004F1E20" w:rsidRPr="00B81E8D" w:rsidRDefault="004F1E20" w:rsidP="008B1B3A">
      <w:pPr>
        <w:rPr>
          <w:rFonts w:cs="Arial"/>
          <w:snapToGrid w:val="0"/>
          <w:lang w:val="fr-FR"/>
        </w:rPr>
      </w:pPr>
    </w:p>
    <w:p w:rsidR="004F1E20" w:rsidRPr="00B81E8D" w:rsidRDefault="008B1B3A" w:rsidP="0014078A">
      <w:pPr>
        <w:tabs>
          <w:tab w:val="left" w:pos="567"/>
          <w:tab w:val="left" w:pos="5387"/>
          <w:tab w:val="left" w:pos="5954"/>
          <w:tab w:val="left" w:pos="6521"/>
        </w:tabs>
        <w:rPr>
          <w:rFonts w:eastAsia="SimSun" w:cs="Arial"/>
          <w:lang w:val="fr-FR"/>
        </w:rPr>
      </w:pPr>
      <w:r w:rsidRPr="00B81E8D">
        <w:rPr>
          <w:rFonts w:cs="Arial"/>
          <w:lang w:val="fr-FR"/>
        </w:rPr>
        <w:fldChar w:fldCharType="begin"/>
      </w:r>
      <w:r w:rsidRPr="00B81E8D">
        <w:rPr>
          <w:rFonts w:cs="Arial"/>
          <w:lang w:val="fr-FR"/>
        </w:rPr>
        <w:instrText xml:space="preserve"> AUTONUM  </w:instrText>
      </w:r>
      <w:r w:rsidRPr="00B81E8D">
        <w:rPr>
          <w:rFonts w:cs="Arial"/>
          <w:lang w:val="fr-FR"/>
        </w:rPr>
        <w:fldChar w:fldCharType="end"/>
      </w:r>
      <w:r w:rsidRPr="00B81E8D">
        <w:rPr>
          <w:rFonts w:cs="Arial"/>
          <w:lang w:val="fr-FR"/>
        </w:rPr>
        <w:tab/>
      </w:r>
      <w:r w:rsidR="0014078A" w:rsidRPr="00B81E8D">
        <w:rPr>
          <w:rFonts w:cs="Arial"/>
          <w:lang w:val="fr-FR"/>
        </w:rPr>
        <w:t>Le</w:t>
      </w:r>
      <w:r w:rsidR="00BF0AE0" w:rsidRPr="00B81E8D">
        <w:rPr>
          <w:rFonts w:cs="Arial"/>
          <w:lang w:val="fr-FR"/>
        </w:rPr>
        <w:t> TC</w:t>
      </w:r>
      <w:r w:rsidR="0014078A" w:rsidRPr="00B81E8D">
        <w:rPr>
          <w:rFonts w:cs="Arial"/>
          <w:lang w:val="fr-FR"/>
        </w:rPr>
        <w:t xml:space="preserve"> est invité à examiner le projet d</w:t>
      </w:r>
      <w:r w:rsidR="00BF0AE0" w:rsidRPr="00B81E8D">
        <w:rPr>
          <w:rFonts w:cs="Arial"/>
          <w:lang w:val="fr-FR"/>
        </w:rPr>
        <w:t>’</w:t>
      </w:r>
      <w:r w:rsidR="0014078A" w:rsidRPr="00B81E8D">
        <w:rPr>
          <w:rFonts w:cs="Arial"/>
          <w:lang w:val="fr-FR"/>
        </w:rPr>
        <w:t>orientations figurant dans l</w:t>
      </w:r>
      <w:r w:rsidR="00BF0AE0" w:rsidRPr="00B81E8D">
        <w:rPr>
          <w:rFonts w:cs="Arial"/>
          <w:lang w:val="fr-FR"/>
        </w:rPr>
        <w:t>’</w:t>
      </w:r>
      <w:r w:rsidR="0014078A" w:rsidRPr="00B81E8D">
        <w:rPr>
          <w:rFonts w:cs="Arial"/>
          <w:lang w:val="fr-FR"/>
        </w:rPr>
        <w:t>annexe du présent document aux fins de la révision du document</w:t>
      </w:r>
      <w:r w:rsidR="00C102EB" w:rsidRPr="00B81E8D">
        <w:rPr>
          <w:rFonts w:cs="Arial"/>
          <w:lang w:val="fr-FR"/>
        </w:rPr>
        <w:t> </w:t>
      </w:r>
      <w:r w:rsidR="0014078A" w:rsidRPr="00B81E8D">
        <w:rPr>
          <w:rFonts w:cs="Arial"/>
          <w:lang w:val="fr-FR"/>
        </w:rPr>
        <w:t xml:space="preserve">TGP/5 </w:t>
      </w:r>
      <w:r w:rsidR="00BF0AE0" w:rsidRPr="00B81E8D">
        <w:rPr>
          <w:rFonts w:cs="Arial"/>
          <w:lang w:val="fr-FR"/>
        </w:rPr>
        <w:t>section 6</w:t>
      </w:r>
      <w:r w:rsidR="0014078A" w:rsidRPr="00B81E8D">
        <w:rPr>
          <w:rFonts w:cs="Arial"/>
          <w:lang w:val="fr-FR"/>
        </w:rPr>
        <w:t xml:space="preserve"> “Rapport UPOV d</w:t>
      </w:r>
      <w:r w:rsidR="00BF0AE0" w:rsidRPr="00B81E8D">
        <w:rPr>
          <w:rFonts w:cs="Arial"/>
          <w:lang w:val="fr-FR"/>
        </w:rPr>
        <w:t>’</w:t>
      </w:r>
      <w:r w:rsidR="0014078A" w:rsidRPr="00B81E8D">
        <w:rPr>
          <w:rFonts w:cs="Arial"/>
          <w:lang w:val="fr-FR"/>
        </w:rPr>
        <w:t>examen technique et Formulaire UPOV de description variétale”.</w:t>
      </w:r>
    </w:p>
    <w:p w:rsidR="004F1E20" w:rsidRPr="00B81E8D" w:rsidRDefault="009017BF" w:rsidP="009017BF">
      <w:pPr>
        <w:tabs>
          <w:tab w:val="left" w:pos="6521"/>
        </w:tabs>
        <w:rPr>
          <w:rFonts w:cs="Arial"/>
          <w:lang w:val="fr-FR"/>
        </w:rPr>
      </w:pPr>
      <w:r w:rsidRPr="00B81E8D">
        <w:rPr>
          <w:rFonts w:cs="Arial"/>
          <w:lang w:val="fr-FR"/>
        </w:rPr>
        <w:tab/>
      </w:r>
    </w:p>
    <w:p w:rsidR="004F1E20" w:rsidRPr="00B81E8D" w:rsidRDefault="008B1B3A" w:rsidP="0014078A">
      <w:pPr>
        <w:rPr>
          <w:rFonts w:cs="Arial"/>
          <w:lang w:val="fr-FR"/>
        </w:rPr>
      </w:pPr>
      <w:r w:rsidRPr="00B81E8D">
        <w:rPr>
          <w:rFonts w:cs="Arial"/>
          <w:lang w:val="fr-FR"/>
        </w:rPr>
        <w:fldChar w:fldCharType="begin"/>
      </w:r>
      <w:r w:rsidRPr="00B81E8D">
        <w:rPr>
          <w:rFonts w:cs="Arial"/>
          <w:lang w:val="fr-FR"/>
        </w:rPr>
        <w:instrText xml:space="preserve"> AUTONUM  </w:instrText>
      </w:r>
      <w:r w:rsidRPr="00B81E8D">
        <w:rPr>
          <w:rFonts w:cs="Arial"/>
          <w:lang w:val="fr-FR"/>
        </w:rPr>
        <w:fldChar w:fldCharType="end"/>
      </w:r>
      <w:r w:rsidRPr="00B81E8D">
        <w:rPr>
          <w:rFonts w:cs="Arial"/>
          <w:lang w:val="fr-FR"/>
        </w:rPr>
        <w:tab/>
      </w:r>
      <w:r w:rsidR="0014078A" w:rsidRPr="00B81E8D">
        <w:rPr>
          <w:rFonts w:cs="Arial"/>
          <w:lang w:val="fr-FR"/>
        </w:rPr>
        <w:t>Les abréviations ci</w:t>
      </w:r>
      <w:r w:rsidR="00C102EB" w:rsidRPr="00B81E8D">
        <w:rPr>
          <w:rFonts w:cs="Arial"/>
          <w:lang w:val="fr-FR"/>
        </w:rPr>
        <w:noBreakHyphen/>
      </w:r>
      <w:r w:rsidR="0014078A" w:rsidRPr="00B81E8D">
        <w:rPr>
          <w:rFonts w:cs="Arial"/>
          <w:lang w:val="fr-FR"/>
        </w:rPr>
        <w:t>après sont utilisées dans le présent document</w:t>
      </w:r>
      <w:r w:rsidR="00BF0AE0" w:rsidRPr="00B81E8D">
        <w:rPr>
          <w:rFonts w:cs="Arial"/>
          <w:lang w:val="fr-FR"/>
        </w:rPr>
        <w:t> :</w:t>
      </w:r>
    </w:p>
    <w:p w:rsidR="004F1E20" w:rsidRPr="00B81E8D" w:rsidRDefault="004F1E20" w:rsidP="008B1B3A">
      <w:pPr>
        <w:ind w:left="1701" w:hanging="1134"/>
        <w:rPr>
          <w:rFonts w:cs="Arial"/>
          <w:lang w:val="fr-FR"/>
        </w:rPr>
      </w:pPr>
    </w:p>
    <w:p w:rsidR="00BF0AE0" w:rsidRPr="00B81E8D" w:rsidRDefault="0014078A" w:rsidP="0014078A">
      <w:pPr>
        <w:ind w:left="1701" w:hanging="1134"/>
        <w:rPr>
          <w:rFonts w:cs="Arial"/>
          <w:lang w:val="fr-FR"/>
        </w:rPr>
      </w:pPr>
      <w:r w:rsidRPr="00B81E8D">
        <w:rPr>
          <w:rFonts w:cs="Arial"/>
          <w:lang w:val="fr-FR"/>
        </w:rPr>
        <w:t>CAJ</w:t>
      </w:r>
      <w:r w:rsidR="00BF0AE0" w:rsidRPr="00B81E8D">
        <w:rPr>
          <w:rFonts w:cs="Arial"/>
          <w:lang w:val="fr-FR"/>
        </w:rPr>
        <w:t> :</w:t>
      </w:r>
      <w:r w:rsidRPr="00B81E8D">
        <w:rPr>
          <w:rFonts w:cs="Arial"/>
          <w:lang w:val="fr-FR"/>
        </w:rPr>
        <w:tab/>
        <w:t>Comité administratif et juridique</w:t>
      </w:r>
    </w:p>
    <w:p w:rsidR="004F1E20" w:rsidRPr="00B81E8D" w:rsidRDefault="0014078A" w:rsidP="0014078A">
      <w:pPr>
        <w:ind w:left="1701" w:hanging="1134"/>
        <w:rPr>
          <w:rFonts w:cs="Arial"/>
          <w:lang w:val="fr-FR"/>
        </w:rPr>
      </w:pPr>
      <w:r w:rsidRPr="00B81E8D">
        <w:rPr>
          <w:rFonts w:cs="Arial"/>
          <w:lang w:val="fr-FR"/>
        </w:rPr>
        <w:t>CAJ</w:t>
      </w:r>
      <w:r w:rsidR="00C102EB" w:rsidRPr="00B81E8D">
        <w:rPr>
          <w:rFonts w:cs="Arial"/>
          <w:lang w:val="fr-FR"/>
        </w:rPr>
        <w:noBreakHyphen/>
      </w:r>
      <w:r w:rsidRPr="00B81E8D">
        <w:rPr>
          <w:rFonts w:cs="Arial"/>
          <w:lang w:val="fr-FR"/>
        </w:rPr>
        <w:t>AG</w:t>
      </w:r>
      <w:r w:rsidR="00BF0AE0" w:rsidRPr="00B81E8D">
        <w:rPr>
          <w:rFonts w:cs="Arial"/>
          <w:lang w:val="fr-FR"/>
        </w:rPr>
        <w:t> :</w:t>
      </w:r>
      <w:r w:rsidRPr="00B81E8D">
        <w:rPr>
          <w:rFonts w:cs="Arial"/>
          <w:lang w:val="fr-FR"/>
        </w:rPr>
        <w:tab/>
        <w:t>Groupe consultatif du Comité administratif et juridique</w:t>
      </w:r>
    </w:p>
    <w:p w:rsidR="004F1E20" w:rsidRPr="00B81E8D" w:rsidRDefault="0014078A" w:rsidP="0014078A">
      <w:pPr>
        <w:ind w:left="1701" w:hanging="1134"/>
        <w:rPr>
          <w:rFonts w:cs="Arial"/>
          <w:lang w:val="fr-FR"/>
        </w:rPr>
      </w:pPr>
      <w:r w:rsidRPr="00B81E8D">
        <w:rPr>
          <w:rFonts w:cs="Arial"/>
          <w:lang w:val="fr-FR"/>
        </w:rPr>
        <w:t>TC</w:t>
      </w:r>
      <w:r w:rsidR="00BF0AE0" w:rsidRPr="00B81E8D">
        <w:rPr>
          <w:rFonts w:cs="Arial"/>
          <w:lang w:val="fr-FR"/>
        </w:rPr>
        <w:t> :</w:t>
      </w:r>
      <w:r w:rsidRPr="00B81E8D">
        <w:rPr>
          <w:rFonts w:cs="Arial"/>
          <w:lang w:val="fr-FR"/>
        </w:rPr>
        <w:tab/>
        <w:t>Comité technique</w:t>
      </w:r>
    </w:p>
    <w:p w:rsidR="004F1E20" w:rsidRDefault="004F1E20" w:rsidP="008B1B3A">
      <w:pPr>
        <w:tabs>
          <w:tab w:val="left" w:pos="567"/>
          <w:tab w:val="left" w:pos="1134"/>
          <w:tab w:val="left" w:pos="12333"/>
        </w:tabs>
        <w:rPr>
          <w:rFonts w:eastAsia="SimSun" w:cs="Arial"/>
          <w:lang w:val="fr-FR"/>
        </w:rPr>
      </w:pPr>
    </w:p>
    <w:p w:rsidR="00980F4A" w:rsidRPr="00B81E8D" w:rsidRDefault="00980F4A" w:rsidP="008B1B3A">
      <w:pPr>
        <w:tabs>
          <w:tab w:val="left" w:pos="567"/>
          <w:tab w:val="left" w:pos="1134"/>
          <w:tab w:val="left" w:pos="12333"/>
        </w:tabs>
        <w:rPr>
          <w:rFonts w:eastAsia="SimSun" w:cs="Arial"/>
          <w:lang w:val="fr-FR"/>
        </w:rPr>
      </w:pPr>
    </w:p>
    <w:p w:rsidR="004F1E20" w:rsidRPr="00B81E8D" w:rsidRDefault="004F1E20" w:rsidP="008B1B3A">
      <w:pPr>
        <w:keepNext/>
        <w:outlineLvl w:val="0"/>
        <w:rPr>
          <w:rFonts w:cs="Arial"/>
          <w:lang w:val="fr-FR"/>
        </w:rPr>
      </w:pPr>
      <w:bookmarkStart w:id="3" w:name="_Toc418531190"/>
      <w:bookmarkEnd w:id="0"/>
    </w:p>
    <w:p w:rsidR="004F1E20" w:rsidRPr="001F6EA0" w:rsidRDefault="001F6EA0" w:rsidP="001F6EA0">
      <w:pPr>
        <w:pStyle w:val="Heading1"/>
        <w:rPr>
          <w:lang w:val="fr-FR"/>
        </w:rPr>
      </w:pPr>
      <w:r w:rsidRPr="001F6EA0">
        <w:rPr>
          <w:lang w:val="fr-FR"/>
        </w:rPr>
        <w:t xml:space="preserve">Informations </w:t>
      </w:r>
      <w:r w:rsidR="0014078A" w:rsidRPr="001F6EA0">
        <w:rPr>
          <w:lang w:val="fr-FR"/>
        </w:rPr>
        <w:t>g</w:t>
      </w:r>
      <w:r w:rsidR="00980F4A" w:rsidRPr="00C955F3">
        <w:rPr>
          <w:lang w:val="fr-CH"/>
        </w:rPr>
        <w:t>é</w:t>
      </w:r>
      <w:r w:rsidR="0014078A" w:rsidRPr="001F6EA0">
        <w:rPr>
          <w:lang w:val="fr-FR"/>
        </w:rPr>
        <w:t>n</w:t>
      </w:r>
      <w:r w:rsidR="00980F4A" w:rsidRPr="00C955F3">
        <w:rPr>
          <w:lang w:val="fr-CH"/>
        </w:rPr>
        <w:t>é</w:t>
      </w:r>
      <w:r w:rsidR="0014078A" w:rsidRPr="001F6EA0">
        <w:rPr>
          <w:lang w:val="fr-FR"/>
        </w:rPr>
        <w:t>rales</w:t>
      </w:r>
    </w:p>
    <w:p w:rsidR="004F1E20" w:rsidRPr="00B81E8D" w:rsidRDefault="004F1E20" w:rsidP="008B1B3A">
      <w:pPr>
        <w:rPr>
          <w:rFonts w:cs="Arial"/>
          <w:lang w:val="fr-FR"/>
        </w:rPr>
      </w:pPr>
    </w:p>
    <w:bookmarkStart w:id="4" w:name="_Toc440377316"/>
    <w:bookmarkEnd w:id="3"/>
    <w:p w:rsidR="00BF0AE0" w:rsidRPr="00B81E8D" w:rsidRDefault="008B1B3A" w:rsidP="0014078A">
      <w:pPr>
        <w:rPr>
          <w:rFonts w:cs="Arial"/>
          <w:lang w:val="fr-FR"/>
        </w:rPr>
      </w:pPr>
      <w:r w:rsidRPr="00B81E8D">
        <w:rPr>
          <w:rFonts w:cs="Arial"/>
          <w:lang w:val="fr-FR"/>
        </w:rPr>
        <w:fldChar w:fldCharType="begin"/>
      </w:r>
      <w:r w:rsidRPr="00B81E8D">
        <w:rPr>
          <w:rFonts w:cs="Arial"/>
          <w:lang w:val="fr-FR"/>
        </w:rPr>
        <w:instrText xml:space="preserve"> AUTONUM  </w:instrText>
      </w:r>
      <w:r w:rsidRPr="00B81E8D">
        <w:rPr>
          <w:rFonts w:cs="Arial"/>
          <w:lang w:val="fr-FR"/>
        </w:rPr>
        <w:fldChar w:fldCharType="end"/>
      </w:r>
      <w:r w:rsidRPr="00B81E8D">
        <w:rPr>
          <w:rFonts w:cs="Arial"/>
          <w:lang w:val="fr-FR"/>
        </w:rPr>
        <w:tab/>
      </w:r>
      <w:r w:rsidR="0014078A" w:rsidRPr="00B81E8D">
        <w:rPr>
          <w:rFonts w:cs="Arial"/>
          <w:lang w:val="fr-FR"/>
        </w:rPr>
        <w:t xml:space="preserve">Les informations générales sur cette question sont fournies dans le </w:t>
      </w:r>
      <w:r w:rsidR="00BF0AE0" w:rsidRPr="00B81E8D">
        <w:rPr>
          <w:rFonts w:cs="Arial"/>
          <w:lang w:val="fr-FR"/>
        </w:rPr>
        <w:t>document</w:t>
      </w:r>
      <w:r w:rsidR="0056143F" w:rsidRPr="00B81E8D">
        <w:rPr>
          <w:rFonts w:cs="Arial"/>
          <w:lang w:val="fr-FR"/>
        </w:rPr>
        <w:t> </w:t>
      </w:r>
      <w:r w:rsidR="00BF0AE0" w:rsidRPr="00B81E8D">
        <w:rPr>
          <w:rFonts w:cs="Arial"/>
          <w:lang w:val="fr-FR"/>
        </w:rPr>
        <w:t>TC</w:t>
      </w:r>
      <w:r w:rsidR="0014078A" w:rsidRPr="00B81E8D">
        <w:rPr>
          <w:rFonts w:cs="Arial"/>
          <w:lang w:val="fr-FR"/>
        </w:rPr>
        <w:t>/53/22 “Questions concernant les descriptions variétales”.</w:t>
      </w:r>
    </w:p>
    <w:p w:rsidR="004F1E20" w:rsidRPr="00B81E8D" w:rsidRDefault="004F1E20" w:rsidP="008B1B3A">
      <w:pPr>
        <w:rPr>
          <w:rFonts w:cs="Arial"/>
          <w:lang w:val="fr-FR"/>
        </w:rPr>
      </w:pPr>
    </w:p>
    <w:bookmarkEnd w:id="4"/>
    <w:p w:rsidR="004F1E20" w:rsidRPr="00B81E8D" w:rsidRDefault="00A52CCA" w:rsidP="00434587">
      <w:pPr>
        <w:rPr>
          <w:rFonts w:cs="Arial"/>
          <w:snapToGrid w:val="0"/>
          <w:lang w:val="fr-FR"/>
        </w:rPr>
      </w:pPr>
      <w:r w:rsidRPr="00B81E8D">
        <w:rPr>
          <w:rFonts w:cs="Arial"/>
          <w:lang w:val="fr-FR"/>
        </w:rPr>
        <w:fldChar w:fldCharType="begin"/>
      </w:r>
      <w:r w:rsidRPr="00B81E8D">
        <w:rPr>
          <w:rFonts w:cs="Arial"/>
          <w:lang w:val="fr-FR"/>
        </w:rPr>
        <w:instrText xml:space="preserve"> AUTONUM  </w:instrText>
      </w:r>
      <w:r w:rsidRPr="00B81E8D">
        <w:rPr>
          <w:rFonts w:cs="Arial"/>
          <w:lang w:val="fr-FR"/>
        </w:rPr>
        <w:fldChar w:fldCharType="end"/>
      </w:r>
      <w:r w:rsidRPr="00B81E8D">
        <w:rPr>
          <w:rFonts w:cs="Arial"/>
          <w:lang w:val="fr-FR"/>
        </w:rPr>
        <w:tab/>
      </w:r>
      <w:r w:rsidR="00434587" w:rsidRPr="00B81E8D">
        <w:rPr>
          <w:rFonts w:cs="Arial"/>
          <w:lang w:val="fr-FR"/>
        </w:rPr>
        <w:t>À sa cinquante</w:t>
      </w:r>
      <w:r w:rsidR="00C102EB" w:rsidRPr="00B81E8D">
        <w:rPr>
          <w:rFonts w:cs="Arial"/>
          <w:lang w:val="fr-FR"/>
        </w:rPr>
        <w:noBreakHyphen/>
      </w:r>
      <w:r w:rsidR="00434587" w:rsidRPr="00B81E8D">
        <w:rPr>
          <w:rFonts w:cs="Arial"/>
          <w:lang w:val="fr-FR"/>
        </w:rPr>
        <w:t>trois</w:t>
      </w:r>
      <w:r w:rsidR="00BF0AE0" w:rsidRPr="00B81E8D">
        <w:rPr>
          <w:rFonts w:cs="Arial"/>
          <w:lang w:val="fr-FR"/>
        </w:rPr>
        <w:t>ième session</w:t>
      </w:r>
      <w:r w:rsidR="00434587" w:rsidRPr="00B81E8D">
        <w:rPr>
          <w:rFonts w:cs="Arial"/>
          <w:lang w:val="fr-FR"/>
        </w:rPr>
        <w:t xml:space="preserve"> tenue à Genève du 3 au </w:t>
      </w:r>
      <w:r w:rsidR="00BF0AE0" w:rsidRPr="00B81E8D">
        <w:rPr>
          <w:rFonts w:cs="Arial"/>
          <w:lang w:val="fr-FR"/>
        </w:rPr>
        <w:t>5 avril 20</w:t>
      </w:r>
      <w:r w:rsidR="00434587" w:rsidRPr="00B81E8D">
        <w:rPr>
          <w:rFonts w:cs="Arial"/>
          <w:lang w:val="fr-FR"/>
        </w:rPr>
        <w:t>17, le</w:t>
      </w:r>
      <w:r w:rsidR="00BF0AE0" w:rsidRPr="00B81E8D">
        <w:rPr>
          <w:rFonts w:cs="Arial"/>
          <w:lang w:val="fr-FR"/>
        </w:rPr>
        <w:t> TC</w:t>
      </w:r>
      <w:r w:rsidR="00434587" w:rsidRPr="00B81E8D">
        <w:rPr>
          <w:rFonts w:cs="Arial"/>
          <w:lang w:val="fr-FR"/>
        </w:rPr>
        <w:t xml:space="preserve"> a examiné le </w:t>
      </w:r>
      <w:r w:rsidR="00BF0AE0" w:rsidRPr="00B81E8D">
        <w:rPr>
          <w:rFonts w:cs="Arial"/>
          <w:lang w:val="fr-FR"/>
        </w:rPr>
        <w:t>document</w:t>
      </w:r>
      <w:r w:rsidR="0056143F" w:rsidRPr="00B81E8D">
        <w:rPr>
          <w:rFonts w:cs="Arial"/>
          <w:lang w:val="fr-FR"/>
        </w:rPr>
        <w:t> </w:t>
      </w:r>
      <w:r w:rsidR="00BF0AE0" w:rsidRPr="00B81E8D">
        <w:rPr>
          <w:rFonts w:cs="Arial"/>
          <w:lang w:val="fr-FR"/>
        </w:rPr>
        <w:t>TC</w:t>
      </w:r>
      <w:r w:rsidR="00434587" w:rsidRPr="00B81E8D">
        <w:rPr>
          <w:rFonts w:cs="Arial"/>
          <w:lang w:val="fr-FR"/>
        </w:rPr>
        <w:t xml:space="preserve">/53/22 (voir les </w:t>
      </w:r>
      <w:r w:rsidR="00BF0AE0" w:rsidRPr="00B81E8D">
        <w:rPr>
          <w:rFonts w:cs="Arial"/>
          <w:lang w:val="fr-FR"/>
        </w:rPr>
        <w:t>paragraphes 1</w:t>
      </w:r>
      <w:r w:rsidR="00434587" w:rsidRPr="00B81E8D">
        <w:rPr>
          <w:rFonts w:cs="Arial"/>
          <w:lang w:val="fr-FR"/>
        </w:rPr>
        <w:t xml:space="preserve">88 et 189 du </w:t>
      </w:r>
      <w:r w:rsidR="00BF0AE0" w:rsidRPr="00B81E8D">
        <w:rPr>
          <w:rFonts w:cs="Arial"/>
          <w:lang w:val="fr-FR"/>
        </w:rPr>
        <w:t>document</w:t>
      </w:r>
      <w:r w:rsidR="0056143F" w:rsidRPr="00B81E8D">
        <w:rPr>
          <w:rFonts w:cs="Arial"/>
          <w:lang w:val="fr-FR"/>
        </w:rPr>
        <w:t> </w:t>
      </w:r>
      <w:r w:rsidR="00BF0AE0" w:rsidRPr="00B81E8D">
        <w:rPr>
          <w:rFonts w:cs="Arial"/>
          <w:lang w:val="fr-FR"/>
        </w:rPr>
        <w:t>TC</w:t>
      </w:r>
      <w:r w:rsidR="00434587" w:rsidRPr="00B81E8D">
        <w:rPr>
          <w:rFonts w:cs="Arial"/>
          <w:lang w:val="fr-FR"/>
        </w:rPr>
        <w:t>/53/31 “Compte rendu”).</w:t>
      </w:r>
    </w:p>
    <w:p w:rsidR="004F1E20" w:rsidRPr="00B81E8D" w:rsidRDefault="004F1E20" w:rsidP="00A52CCA">
      <w:pPr>
        <w:rPr>
          <w:rFonts w:cs="Arial"/>
          <w:lang w:val="fr-FR"/>
        </w:rPr>
      </w:pPr>
    </w:p>
    <w:p w:rsidR="004F1E20" w:rsidRPr="00B81E8D" w:rsidRDefault="00A52CCA" w:rsidP="00434587">
      <w:pPr>
        <w:rPr>
          <w:rFonts w:cs="Arial"/>
          <w:lang w:val="fr-FR"/>
        </w:rPr>
      </w:pPr>
      <w:r w:rsidRPr="00B81E8D">
        <w:rPr>
          <w:rFonts w:cs="Arial"/>
          <w:lang w:val="fr-FR"/>
        </w:rPr>
        <w:fldChar w:fldCharType="begin"/>
      </w:r>
      <w:r w:rsidRPr="00B81E8D">
        <w:rPr>
          <w:rFonts w:cs="Arial"/>
          <w:lang w:val="fr-FR"/>
        </w:rPr>
        <w:instrText xml:space="preserve"> AUTONUM  </w:instrText>
      </w:r>
      <w:r w:rsidRPr="00B81E8D">
        <w:rPr>
          <w:rFonts w:cs="Arial"/>
          <w:lang w:val="fr-FR"/>
        </w:rPr>
        <w:fldChar w:fldCharType="end"/>
      </w:r>
      <w:r w:rsidRPr="00B81E8D">
        <w:rPr>
          <w:rFonts w:cs="Arial"/>
          <w:lang w:val="fr-FR"/>
        </w:rPr>
        <w:tab/>
      </w:r>
      <w:r w:rsidR="00434587" w:rsidRPr="00B81E8D">
        <w:rPr>
          <w:rFonts w:cs="Arial"/>
          <w:lang w:val="fr-FR"/>
        </w:rPr>
        <w:t>Le</w:t>
      </w:r>
      <w:r w:rsidR="00BF0AE0" w:rsidRPr="00B81E8D">
        <w:rPr>
          <w:rFonts w:cs="Arial"/>
          <w:lang w:val="fr-FR"/>
        </w:rPr>
        <w:t> TC</w:t>
      </w:r>
      <w:r w:rsidR="00434587" w:rsidRPr="00B81E8D">
        <w:rPr>
          <w:rFonts w:cs="Arial"/>
          <w:lang w:val="fr-FR"/>
        </w:rPr>
        <w:t xml:space="preserve"> </w:t>
      </w:r>
      <w:r w:rsidR="00EC1248" w:rsidRPr="00B81E8D">
        <w:rPr>
          <w:rFonts w:cs="Arial"/>
          <w:lang w:val="fr-FR"/>
        </w:rPr>
        <w:t>a examiné</w:t>
      </w:r>
      <w:r w:rsidR="00434587" w:rsidRPr="00B81E8D">
        <w:rPr>
          <w:rFonts w:cs="Arial"/>
          <w:lang w:val="fr-FR"/>
        </w:rPr>
        <w:t xml:space="preserve"> s</w:t>
      </w:r>
      <w:r w:rsidR="00BF0AE0" w:rsidRPr="00B81E8D">
        <w:rPr>
          <w:rFonts w:cs="Arial"/>
          <w:lang w:val="fr-FR"/>
        </w:rPr>
        <w:t>’</w:t>
      </w:r>
      <w:r w:rsidR="00434587" w:rsidRPr="00B81E8D">
        <w:rPr>
          <w:rFonts w:cs="Arial"/>
          <w:lang w:val="fr-FR"/>
        </w:rPr>
        <w:t xml:space="preserve">il </w:t>
      </w:r>
      <w:r w:rsidR="00EC1248" w:rsidRPr="00B81E8D">
        <w:rPr>
          <w:rFonts w:cs="Arial"/>
          <w:lang w:val="fr-FR"/>
        </w:rPr>
        <w:t xml:space="preserve">convenait </w:t>
      </w:r>
      <w:r w:rsidR="00434587" w:rsidRPr="00B81E8D">
        <w:rPr>
          <w:rFonts w:cs="Arial"/>
          <w:lang w:val="fr-FR"/>
        </w:rPr>
        <w:t>d</w:t>
      </w:r>
      <w:r w:rsidR="00BF0AE0" w:rsidRPr="00B81E8D">
        <w:rPr>
          <w:rFonts w:cs="Arial"/>
          <w:lang w:val="fr-FR"/>
        </w:rPr>
        <w:t>’</w:t>
      </w:r>
      <w:r w:rsidR="00434587" w:rsidRPr="00B81E8D">
        <w:rPr>
          <w:rFonts w:cs="Arial"/>
          <w:lang w:val="fr-FR"/>
        </w:rPr>
        <w:t>élaborer de nouvelles orientations sur le rôle des descriptions variétales et du matériel végétal, en tenant compte a) du but de la description variétale élaborée au moment de l</w:t>
      </w:r>
      <w:r w:rsidR="00BF0AE0" w:rsidRPr="00B81E8D">
        <w:rPr>
          <w:rFonts w:cs="Arial"/>
          <w:lang w:val="fr-FR"/>
        </w:rPr>
        <w:t>’</w:t>
      </w:r>
      <w:r w:rsidR="00434587" w:rsidRPr="00B81E8D">
        <w:rPr>
          <w:rFonts w:cs="Arial"/>
          <w:lang w:val="fr-FR"/>
        </w:rPr>
        <w:t>octroi du droit d</w:t>
      </w:r>
      <w:r w:rsidR="00BF0AE0" w:rsidRPr="00B81E8D">
        <w:rPr>
          <w:rFonts w:cs="Arial"/>
          <w:lang w:val="fr-FR"/>
        </w:rPr>
        <w:t>’</w:t>
      </w:r>
      <w:r w:rsidR="00434587" w:rsidRPr="00B81E8D">
        <w:rPr>
          <w:rFonts w:cs="Arial"/>
          <w:lang w:val="fr-FR"/>
        </w:rPr>
        <w:t>obtenteur;  b)</w:t>
      </w:r>
      <w:r w:rsidR="00747C0D" w:rsidRPr="00B81E8D">
        <w:rPr>
          <w:rFonts w:cs="Arial"/>
          <w:lang w:val="fr-FR"/>
        </w:rPr>
        <w:t> </w:t>
      </w:r>
      <w:r w:rsidR="00434587" w:rsidRPr="00B81E8D">
        <w:rPr>
          <w:rFonts w:cs="Arial"/>
          <w:lang w:val="fr-FR"/>
        </w:rPr>
        <w:t>du statut de la description variétale initiale, au regard de la vérification de la conformité du matériel végétal à une variété protégée aux fins de la défense d</w:t>
      </w:r>
      <w:r w:rsidR="0050377A" w:rsidRPr="00B81E8D">
        <w:rPr>
          <w:rFonts w:cs="Arial"/>
          <w:lang w:val="fr-FR"/>
        </w:rPr>
        <w:t>es</w:t>
      </w:r>
      <w:r w:rsidR="00434587" w:rsidRPr="00B81E8D">
        <w:rPr>
          <w:rFonts w:cs="Arial"/>
          <w:lang w:val="fr-FR"/>
        </w:rPr>
        <w:t xml:space="preserve"> droit</w:t>
      </w:r>
      <w:r w:rsidR="0050377A" w:rsidRPr="00B81E8D">
        <w:rPr>
          <w:rFonts w:cs="Arial"/>
          <w:lang w:val="fr-FR"/>
        </w:rPr>
        <w:t>s</w:t>
      </w:r>
      <w:r w:rsidR="00434587" w:rsidRPr="00B81E8D">
        <w:rPr>
          <w:rFonts w:cs="Arial"/>
          <w:lang w:val="fr-FR"/>
        </w:rPr>
        <w:t xml:space="preserve"> d</w:t>
      </w:r>
      <w:r w:rsidR="00BF0AE0" w:rsidRPr="00B81E8D">
        <w:rPr>
          <w:rFonts w:cs="Arial"/>
          <w:lang w:val="fr-FR"/>
        </w:rPr>
        <w:t>’</w:t>
      </w:r>
      <w:r w:rsidR="00434587" w:rsidRPr="00B81E8D">
        <w:rPr>
          <w:rFonts w:cs="Arial"/>
          <w:lang w:val="fr-FR"/>
        </w:rPr>
        <w:t>obtenteur;  et c)</w:t>
      </w:r>
      <w:r w:rsidR="00747C0D" w:rsidRPr="00B81E8D">
        <w:rPr>
          <w:rFonts w:cs="Arial"/>
          <w:lang w:val="fr-FR"/>
        </w:rPr>
        <w:t> </w:t>
      </w:r>
      <w:r w:rsidR="00434587" w:rsidRPr="00B81E8D">
        <w:rPr>
          <w:rFonts w:cs="Arial"/>
          <w:lang w:val="fr-FR"/>
        </w:rPr>
        <w:t xml:space="preserve">des conclusions </w:t>
      </w:r>
      <w:r w:rsidR="0050377A" w:rsidRPr="00B81E8D">
        <w:rPr>
          <w:rFonts w:cs="Arial"/>
          <w:lang w:val="fr-FR"/>
        </w:rPr>
        <w:t>fournies</w:t>
      </w:r>
      <w:r w:rsidR="00434587" w:rsidRPr="00B81E8D">
        <w:rPr>
          <w:rFonts w:cs="Arial"/>
          <w:lang w:val="fr-FR"/>
        </w:rPr>
        <w:t xml:space="preserve"> par l</w:t>
      </w:r>
      <w:r w:rsidR="00BF0AE0" w:rsidRPr="00B81E8D">
        <w:rPr>
          <w:rFonts w:cs="Arial"/>
          <w:lang w:val="fr-FR"/>
        </w:rPr>
        <w:t>’</w:t>
      </w:r>
      <w:r w:rsidR="00434587" w:rsidRPr="00B81E8D">
        <w:rPr>
          <w:rFonts w:cs="Arial"/>
          <w:lang w:val="fr-FR"/>
        </w:rPr>
        <w:t>expert de l</w:t>
      </w:r>
      <w:r w:rsidR="00BF0AE0" w:rsidRPr="00B81E8D">
        <w:rPr>
          <w:rFonts w:cs="Arial"/>
          <w:lang w:val="fr-FR"/>
        </w:rPr>
        <w:t>’</w:t>
      </w:r>
      <w:r w:rsidR="00434587" w:rsidRPr="00B81E8D">
        <w:rPr>
          <w:rFonts w:cs="Arial"/>
          <w:lang w:val="fr-FR"/>
        </w:rPr>
        <w:t>Union européenne dans le document</w:t>
      </w:r>
      <w:r w:rsidR="0056143F" w:rsidRPr="00B81E8D">
        <w:rPr>
          <w:rFonts w:cs="Arial"/>
          <w:lang w:val="fr-FR"/>
        </w:rPr>
        <w:t> </w:t>
      </w:r>
      <w:r w:rsidR="00434587" w:rsidRPr="00B81E8D">
        <w:rPr>
          <w:rFonts w:cs="Arial"/>
          <w:lang w:val="fr-FR"/>
        </w:rPr>
        <w:t>TWV/50/14</w:t>
      </w:r>
      <w:r w:rsidR="00747C0D" w:rsidRPr="00B81E8D">
        <w:rPr>
          <w:rFonts w:cs="Arial"/>
          <w:lang w:val="fr-FR"/>
        </w:rPr>
        <w:t> </w:t>
      </w:r>
      <w:proofErr w:type="spellStart"/>
      <w:r w:rsidR="00434587" w:rsidRPr="00B81E8D">
        <w:rPr>
          <w:rFonts w:cs="Arial"/>
          <w:lang w:val="fr-FR"/>
        </w:rPr>
        <w:t>A</w:t>
      </w:r>
      <w:r w:rsidR="0050377A" w:rsidRPr="00B81E8D">
        <w:rPr>
          <w:rFonts w:cs="Arial"/>
          <w:lang w:val="fr-FR"/>
        </w:rPr>
        <w:t>dd</w:t>
      </w:r>
      <w:proofErr w:type="spellEnd"/>
      <w:r w:rsidR="0050377A" w:rsidRPr="00B81E8D">
        <w:rPr>
          <w:rFonts w:cs="Arial"/>
          <w:lang w:val="fr-FR"/>
        </w:rPr>
        <w:t>. (</w:t>
      </w:r>
      <w:r w:rsidR="00BF0AE0" w:rsidRPr="00B81E8D">
        <w:rPr>
          <w:rFonts w:cs="Arial"/>
          <w:lang w:val="fr-FR"/>
        </w:rPr>
        <w:t>annexe I</w:t>
      </w:r>
      <w:r w:rsidR="0050377A" w:rsidRPr="00B81E8D">
        <w:rPr>
          <w:rFonts w:cs="Arial"/>
          <w:lang w:val="fr-FR"/>
        </w:rPr>
        <w:t>I, diapositive</w:t>
      </w:r>
      <w:r w:rsidR="0056143F" w:rsidRPr="00B81E8D">
        <w:rPr>
          <w:rFonts w:cs="Arial"/>
          <w:lang w:val="fr-FR"/>
        </w:rPr>
        <w:t> </w:t>
      </w:r>
      <w:r w:rsidR="0050377A" w:rsidRPr="00B81E8D">
        <w:rPr>
          <w:rFonts w:cs="Arial"/>
          <w:lang w:val="fr-FR"/>
        </w:rPr>
        <w:t>19)</w:t>
      </w:r>
      <w:r w:rsidR="00BF0AE0" w:rsidRPr="00B81E8D">
        <w:rPr>
          <w:rFonts w:cs="Arial"/>
          <w:lang w:val="fr-FR"/>
        </w:rPr>
        <w:t> :</w:t>
      </w:r>
    </w:p>
    <w:p w:rsidR="004F1E20" w:rsidRPr="00B81E8D" w:rsidRDefault="004F1E20" w:rsidP="00A52CCA">
      <w:pPr>
        <w:rPr>
          <w:rFonts w:cs="Arial"/>
          <w:lang w:val="fr-FR"/>
        </w:rPr>
      </w:pPr>
    </w:p>
    <w:p w:rsidR="004F1E20" w:rsidRPr="00B81E8D" w:rsidRDefault="0018751B" w:rsidP="0018751B">
      <w:pPr>
        <w:numPr>
          <w:ilvl w:val="0"/>
          <w:numId w:val="2"/>
        </w:numPr>
        <w:contextualSpacing/>
        <w:rPr>
          <w:rFonts w:cs="Arial"/>
          <w:lang w:val="fr-FR"/>
        </w:rPr>
      </w:pPr>
      <w:r w:rsidRPr="00B81E8D">
        <w:rPr>
          <w:rFonts w:cs="Arial"/>
          <w:lang w:val="fr-FR"/>
        </w:rPr>
        <w:t>Les notes de variétés voisines proviendront du même essai en culture que celui de la variété candidate</w:t>
      </w:r>
    </w:p>
    <w:p w:rsidR="004F1E20" w:rsidRPr="00B81E8D" w:rsidRDefault="0018751B" w:rsidP="0018751B">
      <w:pPr>
        <w:numPr>
          <w:ilvl w:val="0"/>
          <w:numId w:val="2"/>
        </w:numPr>
        <w:contextualSpacing/>
        <w:rPr>
          <w:rFonts w:cs="Arial"/>
          <w:lang w:val="fr-FR"/>
        </w:rPr>
      </w:pPr>
      <w:r w:rsidRPr="00B81E8D">
        <w:rPr>
          <w:rFonts w:cs="Arial"/>
          <w:lang w:val="fr-FR"/>
        </w:rPr>
        <w:t>Informer les parties concernées des modifications de la description variétale officielle</w:t>
      </w:r>
    </w:p>
    <w:p w:rsidR="004F1E20" w:rsidRPr="00B81E8D" w:rsidRDefault="0018751B" w:rsidP="0018751B">
      <w:pPr>
        <w:numPr>
          <w:ilvl w:val="0"/>
          <w:numId w:val="2"/>
        </w:numPr>
        <w:contextualSpacing/>
        <w:rPr>
          <w:rFonts w:cs="Arial"/>
          <w:lang w:val="fr-FR"/>
        </w:rPr>
      </w:pPr>
      <w:r w:rsidRPr="00B81E8D">
        <w:rPr>
          <w:rFonts w:cs="Arial"/>
          <w:lang w:val="fr-FR"/>
        </w:rPr>
        <w:t>Accord sur les données appelées à figurer dans les bases de données partagées</w:t>
      </w:r>
    </w:p>
    <w:p w:rsidR="004F1E20" w:rsidRPr="00B81E8D" w:rsidRDefault="004F1E20" w:rsidP="00A52CCA">
      <w:pPr>
        <w:rPr>
          <w:rFonts w:cs="Arial"/>
          <w:snapToGrid w:val="0"/>
          <w:lang w:val="fr-FR"/>
        </w:rPr>
      </w:pPr>
    </w:p>
    <w:p w:rsidR="004F1E20" w:rsidRPr="00B81E8D" w:rsidRDefault="00A52CCA" w:rsidP="00980F4A">
      <w:pPr>
        <w:keepNext/>
        <w:keepLines/>
        <w:rPr>
          <w:rFonts w:cs="Arial"/>
          <w:lang w:val="fr-FR"/>
        </w:rPr>
      </w:pPr>
      <w:r w:rsidRPr="00B81E8D">
        <w:rPr>
          <w:rFonts w:cs="Arial"/>
          <w:lang w:val="fr-FR"/>
        </w:rPr>
        <w:lastRenderedPageBreak/>
        <w:fldChar w:fldCharType="begin"/>
      </w:r>
      <w:r w:rsidRPr="00B81E8D">
        <w:rPr>
          <w:rFonts w:cs="Arial"/>
          <w:lang w:val="fr-FR"/>
        </w:rPr>
        <w:instrText xml:space="preserve"> AUTONUM  </w:instrText>
      </w:r>
      <w:r w:rsidRPr="00B81E8D">
        <w:rPr>
          <w:rFonts w:cs="Arial"/>
          <w:lang w:val="fr-FR"/>
        </w:rPr>
        <w:fldChar w:fldCharType="end"/>
      </w:r>
      <w:r w:rsidRPr="00B81E8D">
        <w:rPr>
          <w:rFonts w:cs="Arial"/>
          <w:lang w:val="fr-FR"/>
        </w:rPr>
        <w:tab/>
      </w:r>
      <w:r w:rsidR="0018751B" w:rsidRPr="00B81E8D">
        <w:rPr>
          <w:rFonts w:cs="Arial"/>
          <w:lang w:val="fr-FR"/>
        </w:rPr>
        <w:t>Le</w:t>
      </w:r>
      <w:r w:rsidR="00BF0AE0" w:rsidRPr="00B81E8D">
        <w:rPr>
          <w:rFonts w:cs="Arial"/>
          <w:lang w:val="fr-FR"/>
        </w:rPr>
        <w:t> TC</w:t>
      </w:r>
      <w:r w:rsidR="0018751B" w:rsidRPr="00B81E8D">
        <w:rPr>
          <w:rFonts w:cs="Arial"/>
          <w:lang w:val="fr-FR"/>
        </w:rPr>
        <w:t xml:space="preserve"> a pris note de l</w:t>
      </w:r>
      <w:r w:rsidR="00BF0AE0" w:rsidRPr="00B81E8D">
        <w:rPr>
          <w:rFonts w:cs="Arial"/>
          <w:lang w:val="fr-FR"/>
        </w:rPr>
        <w:t>’</w:t>
      </w:r>
      <w:r w:rsidR="0018751B" w:rsidRPr="00B81E8D">
        <w:rPr>
          <w:rFonts w:cs="Arial"/>
          <w:lang w:val="fr-FR"/>
        </w:rPr>
        <w:t xml:space="preserve">existence de différents éléments susceptibles </w:t>
      </w:r>
      <w:r w:rsidR="00EC1248" w:rsidRPr="00B81E8D">
        <w:rPr>
          <w:rFonts w:cs="Arial"/>
          <w:lang w:val="fr-FR"/>
        </w:rPr>
        <w:t>de faciliter</w:t>
      </w:r>
      <w:r w:rsidR="0018751B" w:rsidRPr="00B81E8D">
        <w:rPr>
          <w:rFonts w:cs="Arial"/>
          <w:lang w:val="fr-FR"/>
        </w:rPr>
        <w:t xml:space="preserve"> l</w:t>
      </w:r>
      <w:r w:rsidR="00BF0AE0" w:rsidRPr="00B81E8D">
        <w:rPr>
          <w:rFonts w:cs="Arial"/>
          <w:lang w:val="fr-FR"/>
        </w:rPr>
        <w:t>’</w:t>
      </w:r>
      <w:r w:rsidR="0018751B" w:rsidRPr="00B81E8D">
        <w:rPr>
          <w:rFonts w:cs="Arial"/>
          <w:lang w:val="fr-FR"/>
        </w:rPr>
        <w:t xml:space="preserve">identification du matériel végétal, tels que les descriptions variétales </w:t>
      </w:r>
      <w:r w:rsidR="00EC1248" w:rsidRPr="00B81E8D">
        <w:rPr>
          <w:rFonts w:cs="Arial"/>
          <w:lang w:val="fr-FR"/>
        </w:rPr>
        <w:t>initiales</w:t>
      </w:r>
      <w:r w:rsidR="0018751B" w:rsidRPr="00B81E8D">
        <w:rPr>
          <w:rFonts w:cs="Arial"/>
          <w:lang w:val="fr-FR"/>
        </w:rPr>
        <w:t xml:space="preserve"> et les autres descriptions variétales officielles, </w:t>
      </w:r>
      <w:r w:rsidR="00BF0AE0" w:rsidRPr="00B81E8D">
        <w:rPr>
          <w:rFonts w:cs="Arial"/>
          <w:lang w:val="fr-FR"/>
        </w:rPr>
        <w:t>y compris</w:t>
      </w:r>
      <w:r w:rsidR="0018751B" w:rsidRPr="00B81E8D">
        <w:rPr>
          <w:rFonts w:cs="Arial"/>
          <w:lang w:val="fr-FR"/>
        </w:rPr>
        <w:t xml:space="preserve"> les marqueurs moléculair</w:t>
      </w:r>
      <w:r w:rsidR="0056143F" w:rsidRPr="00B81E8D">
        <w:rPr>
          <w:rFonts w:cs="Arial"/>
          <w:lang w:val="fr-FR"/>
        </w:rPr>
        <w:t>es.  Il</w:t>
      </w:r>
      <w:r w:rsidR="0050377A" w:rsidRPr="00B81E8D">
        <w:rPr>
          <w:rFonts w:cs="Arial"/>
          <w:lang w:val="fr-FR"/>
        </w:rPr>
        <w:t xml:space="preserve"> </w:t>
      </w:r>
      <w:r w:rsidR="0018751B" w:rsidRPr="00B81E8D">
        <w:rPr>
          <w:rFonts w:cs="Arial"/>
          <w:lang w:val="fr-FR"/>
        </w:rPr>
        <w:t>est convenu d</w:t>
      </w:r>
      <w:r w:rsidR="00BF0AE0" w:rsidRPr="00B81E8D">
        <w:rPr>
          <w:rFonts w:cs="Arial"/>
          <w:lang w:val="fr-FR"/>
        </w:rPr>
        <w:t>’</w:t>
      </w:r>
      <w:r w:rsidR="0018751B" w:rsidRPr="00B81E8D">
        <w:rPr>
          <w:rFonts w:cs="Arial"/>
          <w:lang w:val="fr-FR"/>
        </w:rPr>
        <w:t>inviter l</w:t>
      </w:r>
      <w:r w:rsidR="00BF0AE0" w:rsidRPr="00B81E8D">
        <w:rPr>
          <w:rFonts w:cs="Arial"/>
          <w:lang w:val="fr-FR"/>
        </w:rPr>
        <w:t>’</w:t>
      </w:r>
      <w:r w:rsidR="0018751B" w:rsidRPr="00B81E8D">
        <w:rPr>
          <w:rFonts w:cs="Arial"/>
          <w:lang w:val="fr-FR"/>
        </w:rPr>
        <w:t>Union européenne à élaborer de nouvelles orientations sur le rôle de la description variétale et du matériel végétal utilisé comme fondement de l</w:t>
      </w:r>
      <w:r w:rsidR="00BF0AE0" w:rsidRPr="00B81E8D">
        <w:rPr>
          <w:rFonts w:cs="Arial"/>
          <w:lang w:val="fr-FR"/>
        </w:rPr>
        <w:t>’</w:t>
      </w:r>
      <w:r w:rsidR="0018751B" w:rsidRPr="00B81E8D">
        <w:rPr>
          <w:rFonts w:cs="Arial"/>
          <w:lang w:val="fr-FR"/>
        </w:rPr>
        <w:t>examen</w:t>
      </w:r>
      <w:r w:rsidR="00747C0D" w:rsidRPr="00B81E8D">
        <w:rPr>
          <w:rFonts w:cs="Arial"/>
          <w:lang w:val="fr-FR"/>
        </w:rPr>
        <w:t> </w:t>
      </w:r>
      <w:r w:rsidR="0018751B" w:rsidRPr="00B81E8D">
        <w:rPr>
          <w:rFonts w:cs="Arial"/>
          <w:lang w:val="fr-FR"/>
        </w:rPr>
        <w:t>DHS, tout en intégrant le texte de l</w:t>
      </w:r>
      <w:r w:rsidR="00BF0AE0" w:rsidRPr="00B81E8D">
        <w:rPr>
          <w:rFonts w:cs="Arial"/>
          <w:lang w:val="fr-FR"/>
        </w:rPr>
        <w:t>’</w:t>
      </w:r>
      <w:r w:rsidR="0018751B" w:rsidRPr="00B81E8D">
        <w:rPr>
          <w:rFonts w:cs="Arial"/>
          <w:lang w:val="fr-FR"/>
        </w:rPr>
        <w:t xml:space="preserve">annexe du </w:t>
      </w:r>
      <w:r w:rsidR="00BF0AE0" w:rsidRPr="00B81E8D">
        <w:rPr>
          <w:rFonts w:cs="Arial"/>
          <w:lang w:val="fr-FR"/>
        </w:rPr>
        <w:t>document</w:t>
      </w:r>
      <w:r w:rsidR="0056143F" w:rsidRPr="00B81E8D">
        <w:rPr>
          <w:rFonts w:cs="Arial"/>
          <w:lang w:val="fr-FR"/>
        </w:rPr>
        <w:t> </w:t>
      </w:r>
      <w:r w:rsidR="00BF0AE0" w:rsidRPr="00B81E8D">
        <w:rPr>
          <w:rFonts w:cs="Arial"/>
          <w:lang w:val="fr-FR"/>
        </w:rPr>
        <w:t>TC</w:t>
      </w:r>
      <w:r w:rsidR="0018751B" w:rsidRPr="00B81E8D">
        <w:rPr>
          <w:rFonts w:cs="Arial"/>
          <w:lang w:val="fr-FR"/>
        </w:rPr>
        <w:t>/53/22 sans le modifier et en tenant compte des aspects suivants</w:t>
      </w:r>
      <w:r w:rsidR="00BF0AE0" w:rsidRPr="00B81E8D">
        <w:rPr>
          <w:rFonts w:cs="Arial"/>
          <w:lang w:val="fr-FR"/>
        </w:rPr>
        <w:t> :</w:t>
      </w:r>
    </w:p>
    <w:p w:rsidR="004F1E20" w:rsidRPr="00B81E8D" w:rsidRDefault="004F1E20" w:rsidP="00980F4A">
      <w:pPr>
        <w:keepNext/>
        <w:keepLines/>
        <w:rPr>
          <w:rFonts w:cs="Arial"/>
          <w:lang w:val="fr-FR"/>
        </w:rPr>
      </w:pPr>
    </w:p>
    <w:p w:rsidR="00BF0AE0" w:rsidRPr="00B81E8D" w:rsidRDefault="0018751B" w:rsidP="00980F4A">
      <w:pPr>
        <w:keepNext/>
        <w:keepLines/>
        <w:tabs>
          <w:tab w:val="left" w:pos="1134"/>
        </w:tabs>
        <w:ind w:left="1134" w:hanging="567"/>
        <w:rPr>
          <w:rFonts w:cs="Arial"/>
          <w:lang w:val="fr-FR"/>
        </w:rPr>
      </w:pPr>
      <w:r w:rsidRPr="00B81E8D">
        <w:rPr>
          <w:rFonts w:cs="Arial"/>
          <w:lang w:val="fr-FR"/>
        </w:rPr>
        <w:t>a)</w:t>
      </w:r>
      <w:r w:rsidRPr="00B81E8D">
        <w:rPr>
          <w:rFonts w:cs="Arial"/>
          <w:lang w:val="fr-FR"/>
        </w:rPr>
        <w:tab/>
        <w:t>le but de la description variétale élaborée au moment de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octroi du droit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obtenteur;</w:t>
      </w:r>
    </w:p>
    <w:p w:rsidR="00BF0AE0" w:rsidRPr="00B81E8D" w:rsidRDefault="0018751B" w:rsidP="00980F4A">
      <w:pPr>
        <w:keepNext/>
        <w:keepLines/>
        <w:tabs>
          <w:tab w:val="left" w:pos="1134"/>
        </w:tabs>
        <w:ind w:left="1134" w:hanging="567"/>
        <w:rPr>
          <w:rFonts w:cs="Arial"/>
          <w:lang w:val="fr-FR"/>
        </w:rPr>
      </w:pPr>
      <w:r w:rsidRPr="00B81E8D">
        <w:rPr>
          <w:rFonts w:cs="Arial"/>
          <w:lang w:val="fr-FR"/>
        </w:rPr>
        <w:t>b)</w:t>
      </w:r>
      <w:r w:rsidRPr="00B81E8D">
        <w:rPr>
          <w:rFonts w:cs="Arial"/>
          <w:lang w:val="fr-FR"/>
        </w:rPr>
        <w:tab/>
        <w:t>le statut de la description variétale initiale, au regard de la vérification de la conformité du matériel végétal à une variété protégée aux fins de la défense des droits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obtenteur;  et</w:t>
      </w:r>
    </w:p>
    <w:p w:rsidR="004F1E20" w:rsidRPr="00B81E8D" w:rsidRDefault="0018751B" w:rsidP="00980F4A">
      <w:pPr>
        <w:keepNext/>
        <w:keepLines/>
        <w:tabs>
          <w:tab w:val="left" w:pos="1134"/>
        </w:tabs>
        <w:ind w:left="1134" w:hanging="567"/>
        <w:rPr>
          <w:rFonts w:cs="Arial"/>
          <w:lang w:val="fr-FR"/>
        </w:rPr>
      </w:pPr>
      <w:r w:rsidRPr="00B81E8D">
        <w:rPr>
          <w:rFonts w:cs="Arial"/>
          <w:lang w:val="fr-FR"/>
        </w:rPr>
        <w:t>c)</w:t>
      </w:r>
      <w:r w:rsidRPr="00B81E8D">
        <w:rPr>
          <w:rFonts w:cs="Arial"/>
          <w:lang w:val="fr-FR"/>
        </w:rPr>
        <w:tab/>
        <w:t>les conclusions ci</w:t>
      </w:r>
      <w:r w:rsidR="00C102EB" w:rsidRPr="00B81E8D">
        <w:rPr>
          <w:rFonts w:cs="Arial"/>
          <w:lang w:val="fr-FR"/>
        </w:rPr>
        <w:noBreakHyphen/>
      </w:r>
      <w:r w:rsidRPr="00B81E8D">
        <w:rPr>
          <w:rFonts w:cs="Arial"/>
          <w:lang w:val="fr-FR"/>
        </w:rPr>
        <w:t>après fournies par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expert de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Union européenne dans le document</w:t>
      </w:r>
      <w:r w:rsidR="0056143F" w:rsidRPr="00B81E8D">
        <w:rPr>
          <w:rFonts w:cs="Arial"/>
          <w:lang w:val="fr-FR"/>
        </w:rPr>
        <w:t> </w:t>
      </w:r>
      <w:r w:rsidRPr="00B81E8D">
        <w:rPr>
          <w:rFonts w:cs="Arial"/>
          <w:lang w:val="fr-FR"/>
        </w:rPr>
        <w:t>TWV/50/14</w:t>
      </w:r>
      <w:r w:rsidR="00747C0D" w:rsidRPr="00B81E8D">
        <w:rPr>
          <w:rFonts w:cs="Arial"/>
          <w:lang w:val="fr-FR"/>
        </w:rPr>
        <w:t> </w:t>
      </w:r>
      <w:proofErr w:type="spellStart"/>
      <w:r w:rsidRPr="00B81E8D">
        <w:rPr>
          <w:rFonts w:cs="Arial"/>
          <w:lang w:val="fr-FR"/>
        </w:rPr>
        <w:t>Add</w:t>
      </w:r>
      <w:proofErr w:type="spellEnd"/>
      <w:r w:rsidRPr="00B81E8D">
        <w:rPr>
          <w:rFonts w:cs="Arial"/>
          <w:lang w:val="fr-FR"/>
        </w:rPr>
        <w:t>. (</w:t>
      </w:r>
      <w:r w:rsidR="00BF0AE0" w:rsidRPr="00B81E8D">
        <w:rPr>
          <w:rFonts w:cs="Arial"/>
          <w:lang w:val="fr-FR"/>
        </w:rPr>
        <w:t>annexe I</w:t>
      </w:r>
      <w:r w:rsidRPr="00B81E8D">
        <w:rPr>
          <w:rFonts w:cs="Arial"/>
          <w:lang w:val="fr-FR"/>
        </w:rPr>
        <w:t>I, diapositive</w:t>
      </w:r>
      <w:r w:rsidR="0056143F" w:rsidRPr="00B81E8D">
        <w:rPr>
          <w:rFonts w:cs="Arial"/>
          <w:lang w:val="fr-FR"/>
        </w:rPr>
        <w:t> </w:t>
      </w:r>
      <w:r w:rsidRPr="00B81E8D">
        <w:rPr>
          <w:rFonts w:cs="Arial"/>
          <w:lang w:val="fr-FR"/>
        </w:rPr>
        <w:t>19)</w:t>
      </w:r>
      <w:r w:rsidR="00BF0AE0" w:rsidRPr="00B81E8D">
        <w:rPr>
          <w:rFonts w:cs="Arial"/>
          <w:lang w:val="fr-FR"/>
        </w:rPr>
        <w:t> :</w:t>
      </w:r>
    </w:p>
    <w:p w:rsidR="004F1E20" w:rsidRPr="00B81E8D" w:rsidRDefault="0018751B" w:rsidP="00980F4A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Les notes de variétés voisines proviendront du même essai en culture que celui de la variété candidate</w:t>
      </w:r>
    </w:p>
    <w:p w:rsidR="004F1E20" w:rsidRPr="00B81E8D" w:rsidRDefault="0018751B" w:rsidP="00980F4A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Informer les parties concernées des modifications de la description variétale officielle</w:t>
      </w:r>
    </w:p>
    <w:p w:rsidR="004F1E20" w:rsidRPr="00B81E8D" w:rsidRDefault="0018751B" w:rsidP="00980F4A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Accord sur les données appelées à figurer dans les bases de données partagées</w:t>
      </w:r>
      <w:r w:rsidR="00EC1248" w:rsidRPr="00B81E8D">
        <w:rPr>
          <w:rFonts w:ascii="Arial" w:hAnsi="Arial" w:cs="Arial"/>
          <w:sz w:val="20"/>
          <w:szCs w:val="20"/>
          <w:lang w:val="fr-FR"/>
        </w:rPr>
        <w:t>.</w:t>
      </w:r>
    </w:p>
    <w:p w:rsidR="004F1E20" w:rsidRDefault="004F1E20" w:rsidP="00980F4A">
      <w:pPr>
        <w:rPr>
          <w:rFonts w:cs="Arial"/>
          <w:lang w:val="fr-FR"/>
        </w:rPr>
      </w:pPr>
    </w:p>
    <w:p w:rsidR="0060730A" w:rsidRDefault="0060730A" w:rsidP="008B1B3A">
      <w:pPr>
        <w:rPr>
          <w:rFonts w:cs="Arial"/>
          <w:lang w:val="fr-FR"/>
        </w:rPr>
      </w:pPr>
    </w:p>
    <w:p w:rsidR="00980F4A" w:rsidRPr="00B81E8D" w:rsidRDefault="00980F4A" w:rsidP="008B1B3A">
      <w:pPr>
        <w:rPr>
          <w:rFonts w:cs="Arial"/>
          <w:lang w:val="fr-FR"/>
        </w:rPr>
      </w:pPr>
    </w:p>
    <w:p w:rsidR="004F1E20" w:rsidRPr="00C955F3" w:rsidRDefault="0018751B" w:rsidP="001F6EA0">
      <w:pPr>
        <w:pStyle w:val="Heading1"/>
        <w:rPr>
          <w:lang w:val="fr-CH"/>
        </w:rPr>
      </w:pPr>
      <w:r w:rsidRPr="00C955F3">
        <w:rPr>
          <w:lang w:val="fr-CH"/>
        </w:rPr>
        <w:t>Proposition</w:t>
      </w:r>
    </w:p>
    <w:p w:rsidR="004F1E20" w:rsidRPr="00B81E8D" w:rsidRDefault="004F1E20" w:rsidP="008B1B3A">
      <w:pPr>
        <w:rPr>
          <w:rFonts w:cs="Arial"/>
          <w:lang w:val="fr-FR"/>
        </w:rPr>
      </w:pPr>
    </w:p>
    <w:p w:rsidR="004F1E20" w:rsidRPr="0060730A" w:rsidRDefault="00136139" w:rsidP="009017BF">
      <w:pPr>
        <w:rPr>
          <w:rFonts w:cs="Arial"/>
          <w:lang w:val="fr-FR"/>
        </w:rPr>
      </w:pPr>
      <w:r w:rsidRPr="00B81E8D">
        <w:rPr>
          <w:rFonts w:cs="Arial"/>
          <w:lang w:val="fr-FR"/>
        </w:rPr>
        <w:fldChar w:fldCharType="begin"/>
      </w:r>
      <w:r w:rsidRPr="00B81E8D">
        <w:rPr>
          <w:rFonts w:cs="Arial"/>
          <w:lang w:val="fr-FR"/>
        </w:rPr>
        <w:instrText xml:space="preserve"> AUTONUM  </w:instrText>
      </w:r>
      <w:r w:rsidRPr="00B81E8D">
        <w:rPr>
          <w:rFonts w:cs="Arial"/>
          <w:lang w:val="fr-FR"/>
        </w:rPr>
        <w:fldChar w:fldCharType="end"/>
      </w:r>
      <w:r w:rsidRPr="00B81E8D">
        <w:rPr>
          <w:rFonts w:cs="Arial"/>
          <w:lang w:val="fr-FR"/>
        </w:rPr>
        <w:tab/>
      </w:r>
      <w:r w:rsidR="009017BF" w:rsidRPr="00B81E8D">
        <w:rPr>
          <w:rFonts w:cs="Arial"/>
          <w:lang w:val="fr-FR"/>
        </w:rPr>
        <w:t>En réponse à l</w:t>
      </w:r>
      <w:r w:rsidR="00BF0AE0" w:rsidRPr="00B81E8D">
        <w:rPr>
          <w:rFonts w:cs="Arial"/>
          <w:lang w:val="fr-FR"/>
        </w:rPr>
        <w:t>’</w:t>
      </w:r>
      <w:r w:rsidR="009017BF" w:rsidRPr="00B81E8D">
        <w:rPr>
          <w:rFonts w:cs="Arial"/>
          <w:lang w:val="fr-FR"/>
        </w:rPr>
        <w:t>invitation du</w:t>
      </w:r>
      <w:r w:rsidR="00BF0AE0" w:rsidRPr="00B81E8D">
        <w:rPr>
          <w:rFonts w:cs="Arial"/>
          <w:lang w:val="fr-FR"/>
        </w:rPr>
        <w:t> TC</w:t>
      </w:r>
      <w:r w:rsidR="009017BF" w:rsidRPr="00B81E8D">
        <w:rPr>
          <w:rFonts w:cs="Arial"/>
          <w:lang w:val="fr-FR"/>
        </w:rPr>
        <w:t>, l</w:t>
      </w:r>
      <w:r w:rsidR="00BF0AE0" w:rsidRPr="00B81E8D">
        <w:rPr>
          <w:rFonts w:cs="Arial"/>
          <w:lang w:val="fr-FR"/>
        </w:rPr>
        <w:t>’</w:t>
      </w:r>
      <w:r w:rsidR="009017BF" w:rsidRPr="00B81E8D">
        <w:rPr>
          <w:rFonts w:cs="Arial"/>
          <w:lang w:val="fr-FR"/>
        </w:rPr>
        <w:t xml:space="preserve">Union européenne a </w:t>
      </w:r>
      <w:r w:rsidR="00EC1248" w:rsidRPr="00B81E8D">
        <w:rPr>
          <w:rFonts w:cs="Arial"/>
          <w:lang w:val="fr-FR"/>
        </w:rPr>
        <w:t>établi</w:t>
      </w:r>
      <w:r w:rsidR="009017BF" w:rsidRPr="00B81E8D">
        <w:rPr>
          <w:rFonts w:cs="Arial"/>
          <w:lang w:val="fr-FR"/>
        </w:rPr>
        <w:t xml:space="preserve"> un projet d</w:t>
      </w:r>
      <w:r w:rsidR="00BF0AE0" w:rsidRPr="00B81E8D">
        <w:rPr>
          <w:rFonts w:cs="Arial"/>
          <w:lang w:val="fr-FR"/>
        </w:rPr>
        <w:t>’</w:t>
      </w:r>
      <w:r w:rsidR="009017BF" w:rsidRPr="00B81E8D">
        <w:rPr>
          <w:rFonts w:cs="Arial"/>
          <w:lang w:val="fr-FR"/>
        </w:rPr>
        <w:t>orientations sur le but de la description variétale élaborée au moment de l</w:t>
      </w:r>
      <w:r w:rsidR="00BF0AE0" w:rsidRPr="00B81E8D">
        <w:rPr>
          <w:rFonts w:cs="Arial"/>
          <w:lang w:val="fr-FR"/>
        </w:rPr>
        <w:t>’</w:t>
      </w:r>
      <w:r w:rsidR="009017BF" w:rsidRPr="00B81E8D">
        <w:rPr>
          <w:rFonts w:cs="Arial"/>
          <w:lang w:val="fr-FR"/>
        </w:rPr>
        <w:t>octroi du droit d</w:t>
      </w:r>
      <w:r w:rsidR="00BF0AE0" w:rsidRPr="00B81E8D">
        <w:rPr>
          <w:rFonts w:cs="Arial"/>
          <w:lang w:val="fr-FR"/>
        </w:rPr>
        <w:t>’</w:t>
      </w:r>
      <w:r w:rsidR="009017BF" w:rsidRPr="00B81E8D">
        <w:rPr>
          <w:rFonts w:cs="Arial"/>
          <w:lang w:val="fr-FR"/>
        </w:rPr>
        <w:t>obtenteur et le statut de la description variétale initiale, au regard de la vérification de la conformité du matériel végétal à une variété protégée aux fins de l</w:t>
      </w:r>
      <w:r w:rsidR="00BF0AE0" w:rsidRPr="00B81E8D">
        <w:rPr>
          <w:rFonts w:cs="Arial"/>
          <w:lang w:val="fr-FR"/>
        </w:rPr>
        <w:t>’</w:t>
      </w:r>
      <w:r w:rsidR="009017BF" w:rsidRPr="00B81E8D">
        <w:rPr>
          <w:rFonts w:cs="Arial"/>
          <w:lang w:val="fr-FR"/>
        </w:rPr>
        <w:t>application du droit d</w:t>
      </w:r>
      <w:r w:rsidR="00BF0AE0" w:rsidRPr="00B81E8D">
        <w:rPr>
          <w:rFonts w:cs="Arial"/>
          <w:lang w:val="fr-FR"/>
        </w:rPr>
        <w:t>’</w:t>
      </w:r>
      <w:r w:rsidR="009017BF" w:rsidRPr="00B81E8D">
        <w:rPr>
          <w:rFonts w:cs="Arial"/>
          <w:lang w:val="fr-FR"/>
        </w:rPr>
        <w:t xml:space="preserve">obtenteur, qui figure </w:t>
      </w:r>
      <w:r w:rsidR="009017BF" w:rsidRPr="0060730A">
        <w:rPr>
          <w:rFonts w:cs="Arial"/>
          <w:lang w:val="fr-FR"/>
        </w:rPr>
        <w:t>dans l</w:t>
      </w:r>
      <w:r w:rsidR="00BF0AE0" w:rsidRPr="0060730A">
        <w:rPr>
          <w:rFonts w:cs="Arial"/>
          <w:lang w:val="fr-FR"/>
        </w:rPr>
        <w:t>’</w:t>
      </w:r>
      <w:r w:rsidR="009017BF" w:rsidRPr="0060730A">
        <w:rPr>
          <w:rFonts w:cs="Arial"/>
          <w:lang w:val="fr-FR"/>
        </w:rPr>
        <w:t>annexe du présent document.</w:t>
      </w:r>
    </w:p>
    <w:p w:rsidR="004F1E20" w:rsidRPr="0060730A" w:rsidRDefault="004F1E20" w:rsidP="008B1B3A">
      <w:pPr>
        <w:rPr>
          <w:rFonts w:cs="Arial"/>
          <w:lang w:val="fr-FR"/>
        </w:rPr>
      </w:pPr>
    </w:p>
    <w:p w:rsidR="00BF0AE0" w:rsidRPr="00B81E8D" w:rsidRDefault="00DD01BD" w:rsidP="009017BF">
      <w:pPr>
        <w:rPr>
          <w:rFonts w:cs="Arial"/>
          <w:lang w:val="fr-FR"/>
        </w:rPr>
      </w:pPr>
      <w:r w:rsidRPr="0060730A">
        <w:rPr>
          <w:rFonts w:cs="Arial"/>
          <w:lang w:val="fr-FR"/>
        </w:rPr>
        <w:fldChar w:fldCharType="begin"/>
      </w:r>
      <w:r w:rsidRPr="0060730A">
        <w:rPr>
          <w:rFonts w:cs="Arial"/>
          <w:lang w:val="fr-FR"/>
        </w:rPr>
        <w:instrText xml:space="preserve"> AUTONUM  </w:instrText>
      </w:r>
      <w:r w:rsidRPr="0060730A">
        <w:rPr>
          <w:rFonts w:cs="Arial"/>
          <w:lang w:val="fr-FR"/>
        </w:rPr>
        <w:fldChar w:fldCharType="end"/>
      </w:r>
      <w:r w:rsidRPr="0060730A">
        <w:rPr>
          <w:rFonts w:cs="Arial"/>
          <w:lang w:val="fr-FR"/>
        </w:rPr>
        <w:tab/>
      </w:r>
      <w:r w:rsidR="009017BF" w:rsidRPr="0060730A">
        <w:rPr>
          <w:rFonts w:cs="Arial"/>
          <w:lang w:val="fr-FR"/>
        </w:rPr>
        <w:t>Il est proposé que le</w:t>
      </w:r>
      <w:r w:rsidR="00BF0AE0" w:rsidRPr="0060730A">
        <w:rPr>
          <w:rFonts w:cs="Arial"/>
          <w:lang w:val="fr-FR"/>
        </w:rPr>
        <w:t> TC</w:t>
      </w:r>
      <w:r w:rsidR="009017BF" w:rsidRPr="0060730A">
        <w:rPr>
          <w:rFonts w:cs="Arial"/>
          <w:lang w:val="fr-FR"/>
        </w:rPr>
        <w:t xml:space="preserve"> examine le projet d</w:t>
      </w:r>
      <w:r w:rsidR="00BF0AE0" w:rsidRPr="0060730A">
        <w:rPr>
          <w:rFonts w:cs="Arial"/>
          <w:lang w:val="fr-FR"/>
        </w:rPr>
        <w:t>’</w:t>
      </w:r>
      <w:r w:rsidR="009017BF" w:rsidRPr="0060730A">
        <w:rPr>
          <w:rFonts w:cs="Arial"/>
          <w:lang w:val="fr-FR"/>
        </w:rPr>
        <w:t>orientations figurant dans l</w:t>
      </w:r>
      <w:r w:rsidR="00BF0AE0" w:rsidRPr="0060730A">
        <w:rPr>
          <w:rFonts w:cs="Arial"/>
          <w:lang w:val="fr-FR"/>
        </w:rPr>
        <w:t>’</w:t>
      </w:r>
      <w:r w:rsidR="009017BF" w:rsidRPr="0060730A">
        <w:rPr>
          <w:rFonts w:cs="Arial"/>
          <w:lang w:val="fr-FR"/>
        </w:rPr>
        <w:t>annexe du présent</w:t>
      </w:r>
      <w:r w:rsidR="009017BF" w:rsidRPr="00B81E8D">
        <w:rPr>
          <w:rFonts w:cs="Arial"/>
          <w:lang w:val="fr-FR"/>
        </w:rPr>
        <w:t xml:space="preserve"> document aux fins de la révision du document TGP/5 </w:t>
      </w:r>
      <w:r w:rsidR="00BF0AE0" w:rsidRPr="00B81E8D">
        <w:rPr>
          <w:rFonts w:cs="Arial"/>
          <w:lang w:val="fr-FR"/>
        </w:rPr>
        <w:t>section 6</w:t>
      </w:r>
      <w:r w:rsidR="009017BF" w:rsidRPr="00B81E8D">
        <w:rPr>
          <w:rFonts w:cs="Arial"/>
          <w:lang w:val="fr-FR"/>
        </w:rPr>
        <w:t xml:space="preserve"> “Rapport UPOV d</w:t>
      </w:r>
      <w:r w:rsidR="00BF0AE0" w:rsidRPr="00B81E8D">
        <w:rPr>
          <w:rFonts w:cs="Arial"/>
          <w:lang w:val="fr-FR"/>
        </w:rPr>
        <w:t>’</w:t>
      </w:r>
      <w:r w:rsidR="009017BF" w:rsidRPr="00B81E8D">
        <w:rPr>
          <w:rFonts w:cs="Arial"/>
          <w:lang w:val="fr-FR"/>
        </w:rPr>
        <w:t>examen technique et Formulaire UPOV de description variétale”.</w:t>
      </w:r>
    </w:p>
    <w:p w:rsidR="004F1E20" w:rsidRPr="00B81E8D" w:rsidRDefault="004F1E20" w:rsidP="008B1B3A">
      <w:pPr>
        <w:rPr>
          <w:rFonts w:cs="Arial"/>
          <w:i/>
          <w:lang w:val="fr-FR"/>
        </w:rPr>
      </w:pPr>
    </w:p>
    <w:p w:rsidR="00BF0AE0" w:rsidRPr="00B81E8D" w:rsidRDefault="00A013CC" w:rsidP="009017BF">
      <w:pPr>
        <w:tabs>
          <w:tab w:val="left" w:pos="5387"/>
        </w:tabs>
        <w:ind w:left="4820"/>
        <w:rPr>
          <w:rFonts w:cs="Arial"/>
          <w:i/>
          <w:lang w:val="fr-FR"/>
        </w:rPr>
      </w:pPr>
      <w:r w:rsidRPr="00B81E8D">
        <w:rPr>
          <w:rFonts w:cs="Arial"/>
          <w:i/>
          <w:lang w:val="fr-FR"/>
        </w:rPr>
        <w:fldChar w:fldCharType="begin"/>
      </w:r>
      <w:r w:rsidRPr="00B81E8D">
        <w:rPr>
          <w:rFonts w:cs="Arial"/>
          <w:i/>
          <w:lang w:val="fr-FR"/>
        </w:rPr>
        <w:instrText xml:space="preserve"> AUTONUM  </w:instrText>
      </w:r>
      <w:r w:rsidRPr="00B81E8D">
        <w:rPr>
          <w:rFonts w:cs="Arial"/>
          <w:i/>
          <w:lang w:val="fr-FR"/>
        </w:rPr>
        <w:fldChar w:fldCharType="end"/>
      </w:r>
      <w:r w:rsidRPr="00B81E8D">
        <w:rPr>
          <w:rFonts w:cs="Arial"/>
          <w:i/>
          <w:lang w:val="fr-FR"/>
        </w:rPr>
        <w:tab/>
      </w:r>
      <w:r w:rsidR="009017BF" w:rsidRPr="00B81E8D">
        <w:rPr>
          <w:rFonts w:cs="Arial"/>
          <w:i/>
          <w:lang w:val="fr-FR"/>
        </w:rPr>
        <w:t>Le</w:t>
      </w:r>
      <w:r w:rsidR="00BF0AE0" w:rsidRPr="00B81E8D">
        <w:rPr>
          <w:rFonts w:cs="Arial"/>
          <w:i/>
          <w:lang w:val="fr-FR"/>
        </w:rPr>
        <w:t> TC</w:t>
      </w:r>
      <w:r w:rsidR="009017BF" w:rsidRPr="00B81E8D">
        <w:rPr>
          <w:rFonts w:cs="Arial"/>
          <w:i/>
          <w:lang w:val="fr-FR"/>
        </w:rPr>
        <w:t xml:space="preserve"> est invité à examiner le projet d</w:t>
      </w:r>
      <w:r w:rsidR="00BF0AE0" w:rsidRPr="00B81E8D">
        <w:rPr>
          <w:rFonts w:cs="Arial"/>
          <w:i/>
          <w:lang w:val="fr-FR"/>
        </w:rPr>
        <w:t>’</w:t>
      </w:r>
      <w:r w:rsidR="009017BF" w:rsidRPr="00B81E8D">
        <w:rPr>
          <w:rFonts w:cs="Arial"/>
          <w:i/>
          <w:lang w:val="fr-FR"/>
        </w:rPr>
        <w:t>orientations figurant dans l</w:t>
      </w:r>
      <w:r w:rsidR="00BF0AE0" w:rsidRPr="00B81E8D">
        <w:rPr>
          <w:rFonts w:cs="Arial"/>
          <w:i/>
          <w:lang w:val="fr-FR"/>
        </w:rPr>
        <w:t>’</w:t>
      </w:r>
      <w:r w:rsidR="009017BF" w:rsidRPr="00B81E8D">
        <w:rPr>
          <w:rFonts w:cs="Arial"/>
          <w:i/>
          <w:lang w:val="fr-FR"/>
        </w:rPr>
        <w:t xml:space="preserve">annexe du présent document aux fins de la révision du document TGP/5 </w:t>
      </w:r>
      <w:r w:rsidR="00BF0AE0" w:rsidRPr="00B81E8D">
        <w:rPr>
          <w:rFonts w:cs="Arial"/>
          <w:i/>
          <w:lang w:val="fr-FR"/>
        </w:rPr>
        <w:t>section 6</w:t>
      </w:r>
      <w:r w:rsidR="009017BF" w:rsidRPr="00B81E8D">
        <w:rPr>
          <w:rFonts w:cs="Arial"/>
          <w:i/>
          <w:lang w:val="fr-FR"/>
        </w:rPr>
        <w:t xml:space="preserve"> “Rapport UPOV d</w:t>
      </w:r>
      <w:r w:rsidR="00BF0AE0" w:rsidRPr="00B81E8D">
        <w:rPr>
          <w:rFonts w:cs="Arial"/>
          <w:i/>
          <w:lang w:val="fr-FR"/>
        </w:rPr>
        <w:t>’</w:t>
      </w:r>
      <w:r w:rsidR="009017BF" w:rsidRPr="00B81E8D">
        <w:rPr>
          <w:rFonts w:cs="Arial"/>
          <w:i/>
          <w:lang w:val="fr-FR"/>
        </w:rPr>
        <w:t>examen technique et Formulaire UPOV de description variétale”.</w:t>
      </w:r>
    </w:p>
    <w:p w:rsidR="004F1E20" w:rsidRPr="00B81E8D" w:rsidRDefault="004F1E20" w:rsidP="00914813">
      <w:pPr>
        <w:tabs>
          <w:tab w:val="left" w:pos="5387"/>
        </w:tabs>
        <w:ind w:left="4820"/>
        <w:rPr>
          <w:rFonts w:cs="Arial"/>
          <w:lang w:val="fr-FR"/>
        </w:rPr>
      </w:pPr>
    </w:p>
    <w:p w:rsidR="004F1E20" w:rsidRPr="00B81E8D" w:rsidRDefault="004F1E20" w:rsidP="00A013CC">
      <w:pPr>
        <w:tabs>
          <w:tab w:val="left" w:pos="5387"/>
        </w:tabs>
        <w:ind w:left="4820"/>
        <w:jc w:val="left"/>
        <w:rPr>
          <w:rFonts w:cs="Arial"/>
          <w:lang w:val="fr-FR"/>
        </w:rPr>
      </w:pPr>
    </w:p>
    <w:p w:rsidR="004F1E20" w:rsidRDefault="009017BF" w:rsidP="009017BF">
      <w:pPr>
        <w:tabs>
          <w:tab w:val="left" w:pos="5387"/>
        </w:tabs>
        <w:ind w:left="4820"/>
        <w:jc w:val="right"/>
        <w:rPr>
          <w:rFonts w:cs="Arial"/>
          <w:lang w:val="fr-FR"/>
        </w:rPr>
      </w:pPr>
      <w:r w:rsidRPr="00B81E8D">
        <w:rPr>
          <w:rFonts w:cs="Arial"/>
          <w:lang w:val="fr-FR"/>
        </w:rPr>
        <w:t>[L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annexe suit]</w:t>
      </w:r>
    </w:p>
    <w:p w:rsidR="00980F4A" w:rsidRPr="00B81E8D" w:rsidRDefault="00980F4A" w:rsidP="009017BF">
      <w:pPr>
        <w:tabs>
          <w:tab w:val="left" w:pos="5387"/>
        </w:tabs>
        <w:ind w:left="4820"/>
        <w:jc w:val="right"/>
        <w:rPr>
          <w:rFonts w:cs="Arial"/>
          <w:lang w:val="fr-FR"/>
        </w:rPr>
      </w:pPr>
    </w:p>
    <w:p w:rsidR="004F1E20" w:rsidRPr="00B81E8D" w:rsidRDefault="004F1E20" w:rsidP="008B1B3A">
      <w:pPr>
        <w:rPr>
          <w:rFonts w:cs="Arial"/>
          <w:lang w:val="fr-FR"/>
        </w:rPr>
      </w:pPr>
    </w:p>
    <w:p w:rsidR="00A013CC" w:rsidRPr="00B81E8D" w:rsidRDefault="00A013CC" w:rsidP="008B1B3A">
      <w:pPr>
        <w:rPr>
          <w:rFonts w:cs="Arial"/>
          <w:lang w:val="fr-FR"/>
        </w:rPr>
        <w:sectPr w:rsidR="00A013CC" w:rsidRPr="00B81E8D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4F1E20" w:rsidRPr="00B81E8D" w:rsidRDefault="009017BF" w:rsidP="009017BF">
      <w:pPr>
        <w:spacing w:line="276" w:lineRule="auto"/>
        <w:jc w:val="center"/>
        <w:rPr>
          <w:rFonts w:cs="Arial"/>
          <w:lang w:val="fr-FR"/>
        </w:rPr>
      </w:pPr>
      <w:r w:rsidRPr="00B81E8D">
        <w:rPr>
          <w:rFonts w:cs="Arial"/>
          <w:lang w:val="fr-FR"/>
        </w:rPr>
        <w:lastRenderedPageBreak/>
        <w:t>BUT DE LA DESCRIPTION VARIÉTALE ÉLABORÉE AU MOMENT DE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OCTROI DU DROIT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OBTENTEUR ET STATUT DE LA DESCRIPTION VARIÉTALE INITIALE, AU REGARD DE LA VÉRIFICATION DE LA CONFORMITÉ DU MATÉRIEL VÉGÉTAL À UNE VARIÉTÉ PROTÉGÉE AUX FINS DE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APPLICATION DU DROIT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OBTENTEUR</w:t>
      </w:r>
    </w:p>
    <w:p w:rsidR="004F1E20" w:rsidRPr="00B81E8D" w:rsidRDefault="004F1E20" w:rsidP="009017BF">
      <w:pPr>
        <w:spacing w:line="276" w:lineRule="auto"/>
        <w:rPr>
          <w:rFonts w:cs="Arial"/>
          <w:lang w:val="fr-FR"/>
        </w:rPr>
      </w:pPr>
    </w:p>
    <w:p w:rsidR="004F1E20" w:rsidRPr="00B81E8D" w:rsidRDefault="009017BF" w:rsidP="009017BF">
      <w:pPr>
        <w:spacing w:line="276" w:lineRule="auto"/>
        <w:rPr>
          <w:rFonts w:cs="Arial"/>
          <w:lang w:val="fr-FR"/>
        </w:rPr>
      </w:pPr>
      <w:r w:rsidRPr="00B81E8D">
        <w:rPr>
          <w:rFonts w:cs="Arial"/>
          <w:lang w:val="fr-FR"/>
        </w:rPr>
        <w:t>Le CAJ, à sa soixante</w:t>
      </w:r>
      <w:r w:rsidR="00BF0AE0" w:rsidRPr="00B81E8D">
        <w:rPr>
          <w:rFonts w:cs="Arial"/>
          <w:lang w:val="fr-FR"/>
        </w:rPr>
        <w:t> et onzième session</w:t>
      </w:r>
      <w:r w:rsidRPr="00B81E8D">
        <w:rPr>
          <w:rFonts w:cs="Arial"/>
          <w:lang w:val="fr-FR"/>
        </w:rPr>
        <w:t>, a souscrit à la conclusion adoptée par le CAJ</w:t>
      </w:r>
      <w:r w:rsidR="00C102EB" w:rsidRPr="00B81E8D">
        <w:rPr>
          <w:rFonts w:cs="Arial"/>
          <w:lang w:val="fr-FR"/>
        </w:rPr>
        <w:noBreakHyphen/>
      </w:r>
      <w:r w:rsidRPr="00B81E8D">
        <w:rPr>
          <w:rFonts w:cs="Arial"/>
          <w:lang w:val="fr-FR"/>
        </w:rPr>
        <w:t>AG, à sa neuv</w:t>
      </w:r>
      <w:r w:rsidR="00BF0AE0" w:rsidRPr="00B81E8D">
        <w:rPr>
          <w:rFonts w:cs="Arial"/>
          <w:lang w:val="fr-FR"/>
        </w:rPr>
        <w:t>ième session</w:t>
      </w:r>
      <w:r w:rsidRPr="00B81E8D">
        <w:rPr>
          <w:rFonts w:cs="Arial"/>
          <w:lang w:val="fr-FR"/>
        </w:rPr>
        <w:t>, sur</w:t>
      </w:r>
      <w:r w:rsidR="00BF0AE0" w:rsidRPr="00B81E8D">
        <w:rPr>
          <w:rFonts w:cs="Arial"/>
          <w:lang w:val="fr-FR"/>
        </w:rPr>
        <w:t> :</w:t>
      </w:r>
    </w:p>
    <w:p w:rsidR="004F1E20" w:rsidRPr="00B81E8D" w:rsidRDefault="004F1E20" w:rsidP="009017BF">
      <w:pPr>
        <w:spacing w:line="276" w:lineRule="auto"/>
        <w:rPr>
          <w:rFonts w:cs="Arial"/>
          <w:lang w:val="fr-FR"/>
        </w:rPr>
      </w:pPr>
    </w:p>
    <w:p w:rsidR="004F1E20" w:rsidRPr="00B81E8D" w:rsidRDefault="009017BF" w:rsidP="009017BF">
      <w:pPr>
        <w:spacing w:line="276" w:lineRule="auto"/>
        <w:rPr>
          <w:rFonts w:cs="Arial"/>
          <w:lang w:val="fr-FR"/>
        </w:rPr>
      </w:pPr>
      <w:r w:rsidRPr="00B81E8D">
        <w:rPr>
          <w:rFonts w:cs="Arial"/>
          <w:lang w:val="fr-FR"/>
        </w:rPr>
        <w:tab/>
        <w:t>i)</w:t>
      </w:r>
      <w:r w:rsidRPr="00B81E8D">
        <w:rPr>
          <w:rFonts w:cs="Arial"/>
          <w:lang w:val="fr-FR"/>
        </w:rPr>
        <w:tab/>
        <w:t>Le ou les buts de la description variétale élaborée au moment de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octroi du droit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obtenteur (description variétale initiale), comme indiqué ci</w:t>
      </w:r>
      <w:r w:rsidR="00C102EB" w:rsidRPr="00B81E8D">
        <w:rPr>
          <w:rFonts w:cs="Arial"/>
          <w:lang w:val="fr-FR"/>
        </w:rPr>
        <w:noBreakHyphen/>
      </w:r>
      <w:r w:rsidRPr="00B81E8D">
        <w:rPr>
          <w:rFonts w:cs="Arial"/>
          <w:lang w:val="fr-FR"/>
        </w:rPr>
        <w:t>après</w:t>
      </w:r>
      <w:r w:rsidR="00BF0AE0" w:rsidRPr="00B81E8D">
        <w:rPr>
          <w:rFonts w:cs="Arial"/>
          <w:lang w:val="fr-FR"/>
        </w:rPr>
        <w:t> :</w:t>
      </w:r>
    </w:p>
    <w:p w:rsidR="004F1E20" w:rsidRPr="00B81E8D" w:rsidRDefault="004F1E20" w:rsidP="009017BF">
      <w:pPr>
        <w:spacing w:line="276" w:lineRule="auto"/>
        <w:rPr>
          <w:rFonts w:cs="Arial"/>
          <w:lang w:val="fr-FR"/>
        </w:rPr>
      </w:pPr>
    </w:p>
    <w:p w:rsidR="004F1E20" w:rsidRPr="00B81E8D" w:rsidRDefault="009017BF" w:rsidP="009017BF">
      <w:pPr>
        <w:spacing w:line="276" w:lineRule="auto"/>
        <w:rPr>
          <w:rFonts w:cs="Arial"/>
          <w:lang w:val="fr-FR"/>
        </w:rPr>
      </w:pPr>
      <w:r w:rsidRPr="00B81E8D">
        <w:rPr>
          <w:rFonts w:cs="Arial"/>
          <w:lang w:val="fr-FR"/>
        </w:rPr>
        <w:t>Le CAJ</w:t>
      </w:r>
      <w:r w:rsidR="00C102EB" w:rsidRPr="00B81E8D">
        <w:rPr>
          <w:rFonts w:cs="Arial"/>
          <w:lang w:val="fr-FR"/>
        </w:rPr>
        <w:noBreakHyphen/>
      </w:r>
      <w:r w:rsidRPr="00B81E8D">
        <w:rPr>
          <w:rFonts w:cs="Arial"/>
          <w:lang w:val="fr-FR"/>
        </w:rPr>
        <w:t>AG est convenu que, sur la base de la section 6 “Rapport UPOV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examen technique et Formulaire UPOV de description variétale” du document</w:t>
      </w:r>
      <w:r w:rsidR="0056143F" w:rsidRPr="00B81E8D">
        <w:rPr>
          <w:rFonts w:cs="Arial"/>
          <w:lang w:val="fr-FR"/>
        </w:rPr>
        <w:t> </w:t>
      </w:r>
      <w:r w:rsidRPr="00B81E8D">
        <w:rPr>
          <w:rFonts w:cs="Arial"/>
          <w:lang w:val="fr-FR"/>
        </w:rPr>
        <w:t>TGP/5 “Expérience et coopération en matière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examen DHS”, le but de la description variétale élaborée au moment de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octroi du droit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obtenteur (description variétale initiale) pourrait être résumé comme suit</w:t>
      </w:r>
      <w:r w:rsidR="00BF0AE0" w:rsidRPr="00B81E8D">
        <w:rPr>
          <w:rFonts w:cs="Arial"/>
          <w:lang w:val="fr-FR"/>
        </w:rPr>
        <w:t> :</w:t>
      </w:r>
    </w:p>
    <w:p w:rsidR="004F1E20" w:rsidRPr="00B81E8D" w:rsidRDefault="004F1E20" w:rsidP="009017BF">
      <w:pPr>
        <w:spacing w:line="276" w:lineRule="auto"/>
        <w:ind w:right="567"/>
        <w:rPr>
          <w:rFonts w:cs="Arial"/>
          <w:lang w:val="fr-FR"/>
        </w:rPr>
      </w:pPr>
    </w:p>
    <w:p w:rsidR="004F1E20" w:rsidRPr="00B81E8D" w:rsidRDefault="009017BF" w:rsidP="009017BF">
      <w:pPr>
        <w:keepNext/>
        <w:spacing w:line="276" w:lineRule="auto"/>
        <w:ind w:left="1134" w:right="567"/>
        <w:rPr>
          <w:rFonts w:cs="Arial"/>
          <w:lang w:val="fr-FR"/>
        </w:rPr>
      </w:pPr>
      <w:r w:rsidRPr="00B81E8D">
        <w:rPr>
          <w:rFonts w:cs="Arial"/>
          <w:lang w:val="fr-FR"/>
        </w:rPr>
        <w:t>a)</w:t>
      </w:r>
      <w:r w:rsidRPr="00B81E8D">
        <w:rPr>
          <w:rFonts w:cs="Arial"/>
          <w:lang w:val="fr-FR"/>
        </w:rPr>
        <w:tab/>
        <w:t>décrire les caractères de la variété;  et</w:t>
      </w:r>
    </w:p>
    <w:p w:rsidR="004F1E20" w:rsidRPr="00B81E8D" w:rsidRDefault="009017BF" w:rsidP="009017BF">
      <w:pPr>
        <w:spacing w:line="276" w:lineRule="auto"/>
        <w:ind w:left="1701" w:right="567" w:hanging="567"/>
        <w:rPr>
          <w:rFonts w:cs="Arial"/>
          <w:lang w:val="fr-FR"/>
        </w:rPr>
      </w:pPr>
      <w:r w:rsidRPr="00B81E8D">
        <w:rPr>
          <w:rFonts w:cs="Arial"/>
          <w:lang w:val="fr-FR"/>
        </w:rPr>
        <w:t>b)</w:t>
      </w:r>
      <w:r w:rsidRPr="00B81E8D">
        <w:rPr>
          <w:rFonts w:cs="Arial"/>
          <w:lang w:val="fr-FR"/>
        </w:rPr>
        <w:tab/>
        <w:t>identifier les variétés voisines et les différences par rapport à ces variétés, et en dresser la liste;</w:t>
      </w:r>
    </w:p>
    <w:p w:rsidR="004F1E20" w:rsidRPr="00B81E8D" w:rsidRDefault="009017BF" w:rsidP="009017BF">
      <w:pPr>
        <w:spacing w:line="276" w:lineRule="auto"/>
        <w:ind w:left="2835" w:right="567" w:hanging="1134"/>
        <w:rPr>
          <w:rFonts w:cs="Arial"/>
          <w:lang w:val="fr-FR"/>
        </w:rPr>
      </w:pPr>
      <w:proofErr w:type="gramStart"/>
      <w:r w:rsidRPr="00B81E8D">
        <w:rPr>
          <w:rFonts w:cs="Arial"/>
          <w:lang w:val="fr-FR"/>
        </w:rPr>
        <w:t>avec</w:t>
      </w:r>
      <w:proofErr w:type="gramEnd"/>
      <w:r w:rsidRPr="00B81E8D">
        <w:rPr>
          <w:rFonts w:cs="Arial"/>
          <w:lang w:val="fr-FR"/>
        </w:rPr>
        <w:t xml:space="preserve"> les informations sur la base pour a) et b), </w:t>
      </w:r>
      <w:r w:rsidR="00BF0AE0" w:rsidRPr="00B81E8D">
        <w:rPr>
          <w:rFonts w:cs="Arial"/>
          <w:lang w:val="fr-FR"/>
        </w:rPr>
        <w:t>à savoir :</w:t>
      </w:r>
    </w:p>
    <w:p w:rsidR="004F1E20" w:rsidRPr="00B81E8D" w:rsidRDefault="009017BF" w:rsidP="009017BF">
      <w:pPr>
        <w:pStyle w:val="ListParagraph"/>
        <w:numPr>
          <w:ilvl w:val="2"/>
          <w:numId w:val="4"/>
        </w:numPr>
        <w:spacing w:after="0" w:line="240" w:lineRule="auto"/>
        <w:ind w:left="2268" w:right="567" w:hanging="567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Date et référence du document contenant les principes directeurs d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examen de l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UPOV;</w:t>
      </w:r>
    </w:p>
    <w:p w:rsidR="004F1E20" w:rsidRPr="00B81E8D" w:rsidRDefault="009017BF" w:rsidP="009017BF">
      <w:pPr>
        <w:pStyle w:val="ListParagraph"/>
        <w:numPr>
          <w:ilvl w:val="2"/>
          <w:numId w:val="4"/>
        </w:numPr>
        <w:spacing w:after="0" w:line="240" w:lineRule="auto"/>
        <w:ind w:left="2268" w:right="567" w:hanging="567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Date ou référence des principes directeurs du service ayant établi le rapport d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examen;</w:t>
      </w:r>
    </w:p>
    <w:p w:rsidR="004F1E20" w:rsidRPr="00B81E8D" w:rsidRDefault="009017BF" w:rsidP="009017BF">
      <w:pPr>
        <w:pStyle w:val="ListParagraph"/>
        <w:numPr>
          <w:ilvl w:val="2"/>
          <w:numId w:val="4"/>
        </w:numPr>
        <w:spacing w:after="0" w:line="240" w:lineRule="auto"/>
        <w:ind w:left="1701" w:right="567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Service ayant établi le rapport d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examen;</w:t>
      </w:r>
    </w:p>
    <w:p w:rsidR="004F1E20" w:rsidRPr="00B81E8D" w:rsidRDefault="009017BF" w:rsidP="009017BF">
      <w:pPr>
        <w:pStyle w:val="ListParagraph"/>
        <w:numPr>
          <w:ilvl w:val="2"/>
          <w:numId w:val="4"/>
        </w:numPr>
        <w:spacing w:after="0" w:line="240" w:lineRule="auto"/>
        <w:ind w:left="1701" w:right="567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Station(s) et lieu(x) d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examen;</w:t>
      </w:r>
    </w:p>
    <w:p w:rsidR="004F1E20" w:rsidRPr="00B81E8D" w:rsidRDefault="009017BF" w:rsidP="009017BF">
      <w:pPr>
        <w:pStyle w:val="ListParagraph"/>
        <w:numPr>
          <w:ilvl w:val="2"/>
          <w:numId w:val="4"/>
        </w:numPr>
        <w:spacing w:after="0" w:line="240" w:lineRule="auto"/>
        <w:ind w:left="1701" w:right="567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Période d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examen;</w:t>
      </w:r>
    </w:p>
    <w:p w:rsidR="004F1E20" w:rsidRPr="00B81E8D" w:rsidRDefault="009017BF" w:rsidP="009017BF">
      <w:pPr>
        <w:pStyle w:val="ListParagraph"/>
        <w:numPr>
          <w:ilvl w:val="2"/>
          <w:numId w:val="4"/>
        </w:numPr>
        <w:spacing w:after="0" w:line="240" w:lineRule="auto"/>
        <w:ind w:left="1701" w:right="567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Date et lieu de publication du document;</w:t>
      </w:r>
    </w:p>
    <w:p w:rsidR="004F1E20" w:rsidRPr="00B81E8D" w:rsidRDefault="009017BF" w:rsidP="009017BF">
      <w:pPr>
        <w:pStyle w:val="ListParagraph"/>
        <w:numPr>
          <w:ilvl w:val="2"/>
          <w:numId w:val="4"/>
        </w:numPr>
        <w:spacing w:after="0" w:line="240" w:lineRule="auto"/>
        <w:ind w:left="1701" w:right="567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Groupe</w:t>
      </w:r>
      <w:r w:rsidR="00BF0AE0" w:rsidRPr="00B81E8D">
        <w:rPr>
          <w:rFonts w:ascii="Arial" w:hAnsi="Arial" w:cs="Arial"/>
          <w:sz w:val="20"/>
          <w:szCs w:val="20"/>
          <w:lang w:val="fr-FR"/>
        </w:rPr>
        <w:t> :</w:t>
      </w:r>
      <w:r w:rsidRPr="00B81E8D">
        <w:rPr>
          <w:rFonts w:ascii="Arial" w:hAnsi="Arial" w:cs="Arial"/>
          <w:sz w:val="20"/>
          <w:szCs w:val="20"/>
          <w:lang w:val="fr-FR"/>
        </w:rPr>
        <w:t xml:space="preserve"> (tableau</w:t>
      </w:r>
      <w:r w:rsidR="00BF0AE0" w:rsidRPr="00B81E8D">
        <w:rPr>
          <w:rFonts w:ascii="Arial" w:hAnsi="Arial" w:cs="Arial"/>
          <w:sz w:val="20"/>
          <w:szCs w:val="20"/>
          <w:lang w:val="fr-FR"/>
        </w:rPr>
        <w:t> :</w:t>
      </w:r>
      <w:r w:rsidRPr="00B81E8D">
        <w:rPr>
          <w:rFonts w:ascii="Arial" w:hAnsi="Arial" w:cs="Arial"/>
          <w:sz w:val="20"/>
          <w:szCs w:val="20"/>
          <w:lang w:val="fr-FR"/>
        </w:rPr>
        <w:t xml:space="preserve"> caractères;  niveaux d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expression;  note;  observations);</w:t>
      </w:r>
    </w:p>
    <w:p w:rsidR="004F1E20" w:rsidRPr="00B81E8D" w:rsidRDefault="009017BF" w:rsidP="009017BF">
      <w:pPr>
        <w:pStyle w:val="ListParagraph"/>
        <w:numPr>
          <w:ilvl w:val="2"/>
          <w:numId w:val="4"/>
        </w:numPr>
        <w:spacing w:after="0" w:line="240" w:lineRule="auto"/>
        <w:ind w:left="1701" w:right="567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Renseignements complémentaires</w:t>
      </w:r>
      <w:r w:rsidR="00BF0AE0" w:rsidRPr="00B81E8D">
        <w:rPr>
          <w:rFonts w:ascii="Arial" w:hAnsi="Arial" w:cs="Arial"/>
          <w:sz w:val="20"/>
          <w:szCs w:val="20"/>
          <w:lang w:val="fr-FR"/>
        </w:rPr>
        <w:t> :</w:t>
      </w:r>
    </w:p>
    <w:p w:rsidR="004F1E20" w:rsidRPr="00B81E8D" w:rsidRDefault="009017BF" w:rsidP="0060730A">
      <w:pPr>
        <w:ind w:left="2268"/>
        <w:rPr>
          <w:lang w:val="fr-FR"/>
        </w:rPr>
      </w:pPr>
      <w:r w:rsidRPr="00B81E8D">
        <w:rPr>
          <w:lang w:val="fr-FR"/>
        </w:rPr>
        <w:tab/>
        <w:t>a)</w:t>
      </w:r>
      <w:r w:rsidRPr="00B81E8D">
        <w:rPr>
          <w:lang w:val="fr-FR"/>
        </w:rPr>
        <w:tab/>
        <w:t>Données additionnelles;</w:t>
      </w:r>
    </w:p>
    <w:p w:rsidR="004F1E20" w:rsidRPr="00B81E8D" w:rsidRDefault="009017BF" w:rsidP="0060730A">
      <w:pPr>
        <w:ind w:left="2268"/>
        <w:rPr>
          <w:lang w:val="fr-FR"/>
        </w:rPr>
      </w:pPr>
      <w:r w:rsidRPr="00B81E8D">
        <w:rPr>
          <w:lang w:val="fr-FR"/>
        </w:rPr>
        <w:tab/>
        <w:t>b)</w:t>
      </w:r>
      <w:r w:rsidRPr="00B81E8D">
        <w:rPr>
          <w:lang w:val="fr-FR"/>
        </w:rPr>
        <w:tab/>
        <w:t>Photographie (le cas échéant);</w:t>
      </w:r>
    </w:p>
    <w:p w:rsidR="004F1E20" w:rsidRPr="00B81E8D" w:rsidRDefault="009017BF" w:rsidP="0060730A">
      <w:pPr>
        <w:ind w:left="2268"/>
        <w:rPr>
          <w:lang w:val="fr-FR"/>
        </w:rPr>
      </w:pPr>
      <w:r w:rsidRPr="00B81E8D">
        <w:rPr>
          <w:lang w:val="fr-FR"/>
        </w:rPr>
        <w:tab/>
        <w:t>c)</w:t>
      </w:r>
      <w:r w:rsidRPr="00B81E8D">
        <w:rPr>
          <w:lang w:val="fr-FR"/>
        </w:rPr>
        <w:tab/>
        <w:t>Version du code RHS des couleurs utilisée (le cas échéant);</w:t>
      </w:r>
    </w:p>
    <w:p w:rsidR="004F1E20" w:rsidRPr="00B81E8D" w:rsidRDefault="009017BF" w:rsidP="0060730A">
      <w:pPr>
        <w:ind w:left="2268"/>
        <w:rPr>
          <w:lang w:val="fr-FR"/>
        </w:rPr>
      </w:pPr>
      <w:r w:rsidRPr="00B81E8D">
        <w:rPr>
          <w:lang w:val="fr-FR"/>
        </w:rPr>
        <w:tab/>
        <w:t>d)</w:t>
      </w:r>
      <w:r w:rsidRPr="00B81E8D">
        <w:rPr>
          <w:lang w:val="fr-FR"/>
        </w:rPr>
        <w:tab/>
        <w:t>Observations.</w:t>
      </w:r>
      <w:r w:rsidR="003C5F55">
        <w:rPr>
          <w:lang w:val="fr-FR"/>
        </w:rPr>
        <w:t>”</w:t>
      </w:r>
    </w:p>
    <w:p w:rsidR="004F1E20" w:rsidRPr="00B81E8D" w:rsidRDefault="004F1E20" w:rsidP="009017BF">
      <w:pPr>
        <w:spacing w:line="276" w:lineRule="auto"/>
        <w:rPr>
          <w:rFonts w:cs="Arial"/>
          <w:lang w:val="fr-FR"/>
        </w:rPr>
      </w:pPr>
    </w:p>
    <w:p w:rsidR="004F1E20" w:rsidRPr="00B81E8D" w:rsidRDefault="009017BF" w:rsidP="009017BF">
      <w:pPr>
        <w:spacing w:line="276" w:lineRule="auto"/>
        <w:ind w:left="567"/>
        <w:rPr>
          <w:rFonts w:cs="Arial"/>
          <w:lang w:val="fr-FR"/>
        </w:rPr>
      </w:pPr>
      <w:proofErr w:type="gramStart"/>
      <w:r w:rsidRPr="00B81E8D">
        <w:rPr>
          <w:rFonts w:cs="Arial"/>
          <w:lang w:val="fr-FR"/>
        </w:rPr>
        <w:t>et</w:t>
      </w:r>
      <w:proofErr w:type="gramEnd"/>
    </w:p>
    <w:p w:rsidR="004F1E20" w:rsidRPr="00B81E8D" w:rsidRDefault="004F1E20" w:rsidP="009017BF">
      <w:pPr>
        <w:spacing w:line="276" w:lineRule="auto"/>
        <w:rPr>
          <w:rFonts w:cs="Arial"/>
          <w:lang w:val="fr-FR"/>
        </w:rPr>
      </w:pPr>
    </w:p>
    <w:p w:rsidR="004F1E20" w:rsidRPr="00B81E8D" w:rsidRDefault="009017BF" w:rsidP="009017BF">
      <w:pPr>
        <w:spacing w:line="276" w:lineRule="auto"/>
        <w:rPr>
          <w:rFonts w:cs="Arial"/>
          <w:lang w:val="fr-FR"/>
        </w:rPr>
      </w:pPr>
      <w:r w:rsidRPr="00B81E8D">
        <w:rPr>
          <w:rFonts w:cs="Arial"/>
          <w:lang w:val="fr-FR"/>
        </w:rPr>
        <w:tab/>
        <w:t>ii)</w:t>
      </w:r>
      <w:r w:rsidRPr="00B81E8D">
        <w:rPr>
          <w:rFonts w:cs="Arial"/>
          <w:lang w:val="fr-FR"/>
        </w:rPr>
        <w:tab/>
        <w:t>Le statut de la description variétale initiale, au regard de la vérification de la conformité du matériel végétal à une variété protégée aux fins de la défense des droits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obtenteur, comme indiqué ci</w:t>
      </w:r>
      <w:r w:rsidR="00C102EB" w:rsidRPr="00B81E8D">
        <w:rPr>
          <w:rFonts w:cs="Arial"/>
          <w:lang w:val="fr-FR"/>
        </w:rPr>
        <w:noBreakHyphen/>
      </w:r>
      <w:r w:rsidRPr="00B81E8D">
        <w:rPr>
          <w:rFonts w:cs="Arial"/>
          <w:lang w:val="fr-FR"/>
        </w:rPr>
        <w:t>après</w:t>
      </w:r>
      <w:r w:rsidR="00BF0AE0" w:rsidRPr="00B81E8D">
        <w:rPr>
          <w:rFonts w:cs="Arial"/>
          <w:lang w:val="fr-FR"/>
        </w:rPr>
        <w:t> :</w:t>
      </w:r>
    </w:p>
    <w:p w:rsidR="004F1E20" w:rsidRPr="00B81E8D" w:rsidRDefault="004F1E20" w:rsidP="009017BF">
      <w:pPr>
        <w:spacing w:line="276" w:lineRule="auto"/>
        <w:rPr>
          <w:rFonts w:cs="Arial"/>
          <w:lang w:val="fr-FR"/>
        </w:rPr>
      </w:pPr>
    </w:p>
    <w:p w:rsidR="004F1E20" w:rsidRPr="00B81E8D" w:rsidRDefault="009017BF" w:rsidP="009017BF">
      <w:pPr>
        <w:spacing w:line="276" w:lineRule="auto"/>
        <w:rPr>
          <w:rFonts w:cs="Arial"/>
          <w:snapToGrid w:val="0"/>
          <w:spacing w:val="-2"/>
          <w:lang w:val="fr-FR"/>
        </w:rPr>
      </w:pPr>
      <w:r w:rsidRPr="00B81E8D">
        <w:rPr>
          <w:rFonts w:cs="Arial"/>
          <w:snapToGrid w:val="0"/>
          <w:spacing w:val="-2"/>
          <w:lang w:val="fr-FR"/>
        </w:rPr>
        <w:t>Le CAJ</w:t>
      </w:r>
      <w:r w:rsidR="00C102EB" w:rsidRPr="00B81E8D">
        <w:rPr>
          <w:rFonts w:cs="Arial"/>
          <w:snapToGrid w:val="0"/>
          <w:spacing w:val="-2"/>
          <w:lang w:val="fr-FR"/>
        </w:rPr>
        <w:noBreakHyphen/>
      </w:r>
      <w:r w:rsidRPr="00B81E8D">
        <w:rPr>
          <w:rFonts w:cs="Arial"/>
          <w:snapToGrid w:val="0"/>
          <w:spacing w:val="-2"/>
          <w:lang w:val="fr-FR"/>
        </w:rPr>
        <w:t>AG a examiné le statut de la description variétale initiale, au regard de la vérification du matériel végétal d</w:t>
      </w:r>
      <w:r w:rsidR="00BF0AE0" w:rsidRPr="00B81E8D">
        <w:rPr>
          <w:rFonts w:cs="Arial"/>
          <w:snapToGrid w:val="0"/>
          <w:spacing w:val="-2"/>
          <w:lang w:val="fr-FR"/>
        </w:rPr>
        <w:t>’</w:t>
      </w:r>
      <w:r w:rsidRPr="00B81E8D">
        <w:rPr>
          <w:rFonts w:cs="Arial"/>
          <w:snapToGrid w:val="0"/>
          <w:spacing w:val="-2"/>
          <w:lang w:val="fr-FR"/>
        </w:rPr>
        <w:t>une variété protégée aux fins de la défense du droit d</w:t>
      </w:r>
      <w:r w:rsidR="00BF0AE0" w:rsidRPr="00B81E8D">
        <w:rPr>
          <w:rFonts w:cs="Arial"/>
          <w:snapToGrid w:val="0"/>
          <w:spacing w:val="-2"/>
          <w:lang w:val="fr-FR"/>
        </w:rPr>
        <w:t>’</w:t>
      </w:r>
      <w:r w:rsidRPr="00B81E8D">
        <w:rPr>
          <w:rFonts w:cs="Arial"/>
          <w:snapToGrid w:val="0"/>
          <w:spacing w:val="-2"/>
          <w:lang w:val="fr-FR"/>
        </w:rPr>
        <w:t>obtenteur et a noté que les orientations de l</w:t>
      </w:r>
      <w:r w:rsidR="00BF0AE0" w:rsidRPr="00B81E8D">
        <w:rPr>
          <w:rFonts w:cs="Arial"/>
          <w:snapToGrid w:val="0"/>
          <w:spacing w:val="-2"/>
          <w:lang w:val="fr-FR"/>
        </w:rPr>
        <w:t>’</w:t>
      </w:r>
      <w:r w:rsidRPr="00B81E8D">
        <w:rPr>
          <w:rFonts w:cs="Arial"/>
          <w:snapToGrid w:val="0"/>
          <w:spacing w:val="-2"/>
          <w:lang w:val="fr-FR"/>
        </w:rPr>
        <w:t>UPOV sur la défense des droits d</w:t>
      </w:r>
      <w:r w:rsidR="00BF0AE0" w:rsidRPr="00B81E8D">
        <w:rPr>
          <w:rFonts w:cs="Arial"/>
          <w:snapToGrid w:val="0"/>
          <w:spacing w:val="-2"/>
          <w:lang w:val="fr-FR"/>
        </w:rPr>
        <w:t>’</w:t>
      </w:r>
      <w:r w:rsidRPr="00B81E8D">
        <w:rPr>
          <w:rFonts w:cs="Arial"/>
          <w:snapToGrid w:val="0"/>
          <w:spacing w:val="-2"/>
          <w:lang w:val="fr-FR"/>
        </w:rPr>
        <w:t>obtenteur figurant dans le document UPOV/EXN/ENF/1 “Notes explicatives sur la défense des droits d</w:t>
      </w:r>
      <w:r w:rsidR="00BF0AE0" w:rsidRPr="00B81E8D">
        <w:rPr>
          <w:rFonts w:cs="Arial"/>
          <w:snapToGrid w:val="0"/>
          <w:spacing w:val="-2"/>
          <w:lang w:val="fr-FR"/>
        </w:rPr>
        <w:t>’</w:t>
      </w:r>
      <w:r w:rsidRPr="00B81E8D">
        <w:rPr>
          <w:rFonts w:cs="Arial"/>
          <w:snapToGrid w:val="0"/>
          <w:spacing w:val="-2"/>
          <w:lang w:val="fr-FR"/>
        </w:rPr>
        <w:t xml:space="preserve">obtenteur selon la </w:t>
      </w:r>
      <w:r w:rsidR="00BF0AE0" w:rsidRPr="00B81E8D">
        <w:rPr>
          <w:rFonts w:cs="Arial"/>
          <w:snapToGrid w:val="0"/>
          <w:spacing w:val="-2"/>
          <w:lang w:val="fr-FR"/>
        </w:rPr>
        <w:t>Convention UPOV</w:t>
      </w:r>
      <w:r w:rsidRPr="00B81E8D">
        <w:rPr>
          <w:rFonts w:cs="Arial"/>
          <w:snapToGrid w:val="0"/>
          <w:spacing w:val="-2"/>
          <w:lang w:val="fr-FR"/>
        </w:rPr>
        <w:t>” expliquent ce qui suit</w:t>
      </w:r>
      <w:r w:rsidR="00BF0AE0" w:rsidRPr="00B81E8D">
        <w:rPr>
          <w:rFonts w:cs="Arial"/>
          <w:snapToGrid w:val="0"/>
          <w:spacing w:val="-2"/>
          <w:lang w:val="fr-FR"/>
        </w:rPr>
        <w:t> :</w:t>
      </w:r>
    </w:p>
    <w:p w:rsidR="004F1E20" w:rsidRPr="00B81E8D" w:rsidRDefault="004F1E20" w:rsidP="000E7A22">
      <w:pPr>
        <w:rPr>
          <w:snapToGrid w:val="0"/>
          <w:lang w:val="fr-FR"/>
        </w:rPr>
      </w:pPr>
    </w:p>
    <w:p w:rsidR="004F1E20" w:rsidRPr="00B81E8D" w:rsidRDefault="009017BF" w:rsidP="000E7A22">
      <w:pPr>
        <w:ind w:left="567"/>
        <w:rPr>
          <w:snapToGrid w:val="0"/>
          <w:lang w:val="fr-FR"/>
        </w:rPr>
      </w:pPr>
      <w:r w:rsidRPr="00B81E8D">
        <w:rPr>
          <w:snapToGrid w:val="0"/>
          <w:lang w:val="fr-FR"/>
        </w:rPr>
        <w:t>“SECTION II</w:t>
      </w:r>
      <w:r w:rsidR="00BF0AE0" w:rsidRPr="00B81E8D">
        <w:rPr>
          <w:snapToGrid w:val="0"/>
          <w:lang w:val="fr-FR"/>
        </w:rPr>
        <w:t> :</w:t>
      </w:r>
      <w:r w:rsidRPr="00B81E8D">
        <w:rPr>
          <w:snapToGrid w:val="0"/>
          <w:lang w:val="fr-FR"/>
        </w:rPr>
        <w:t xml:space="preserve"> Quelques mesures possibles pour la défense des droits d</w:t>
      </w:r>
      <w:r w:rsidR="00BF0AE0" w:rsidRPr="00B81E8D">
        <w:rPr>
          <w:snapToGrid w:val="0"/>
          <w:lang w:val="fr-FR"/>
        </w:rPr>
        <w:t>’</w:t>
      </w:r>
      <w:r w:rsidRPr="00B81E8D">
        <w:rPr>
          <w:snapToGrid w:val="0"/>
          <w:lang w:val="fr-FR"/>
        </w:rPr>
        <w:t>obtenteur</w:t>
      </w:r>
    </w:p>
    <w:p w:rsidR="004F1E20" w:rsidRPr="00B81E8D" w:rsidRDefault="004F1E20" w:rsidP="000E7A22">
      <w:pPr>
        <w:ind w:left="567"/>
        <w:rPr>
          <w:snapToGrid w:val="0"/>
          <w:lang w:val="fr-FR"/>
        </w:rPr>
      </w:pPr>
    </w:p>
    <w:p w:rsidR="004F1E20" w:rsidRPr="00B81E8D" w:rsidRDefault="009017BF" w:rsidP="000E7A22">
      <w:pPr>
        <w:ind w:left="567"/>
        <w:rPr>
          <w:snapToGrid w:val="0"/>
          <w:lang w:val="fr-FR"/>
        </w:rPr>
      </w:pPr>
      <w:r w:rsidRPr="00B81E8D">
        <w:rPr>
          <w:snapToGrid w:val="0"/>
          <w:lang w:val="fr-FR"/>
        </w:rPr>
        <w:t>“S</w:t>
      </w:r>
      <w:r w:rsidR="00BF0AE0" w:rsidRPr="00B81E8D">
        <w:rPr>
          <w:snapToGrid w:val="0"/>
          <w:lang w:val="fr-FR"/>
        </w:rPr>
        <w:t>’</w:t>
      </w:r>
      <w:r w:rsidRPr="00B81E8D">
        <w:rPr>
          <w:snapToGrid w:val="0"/>
          <w:lang w:val="fr-FR"/>
        </w:rPr>
        <w:t xml:space="preserve">il est vrai que la </w:t>
      </w:r>
      <w:r w:rsidR="00BF0AE0" w:rsidRPr="00B81E8D">
        <w:rPr>
          <w:snapToGrid w:val="0"/>
          <w:lang w:val="fr-FR"/>
        </w:rPr>
        <w:t>Convention UPOV</w:t>
      </w:r>
      <w:r w:rsidRPr="00B81E8D">
        <w:rPr>
          <w:snapToGrid w:val="0"/>
          <w:lang w:val="fr-FR"/>
        </w:rPr>
        <w:t xml:space="preserve"> exige des membres de l</w:t>
      </w:r>
      <w:r w:rsidR="00BF0AE0" w:rsidRPr="00B81E8D">
        <w:rPr>
          <w:snapToGrid w:val="0"/>
          <w:lang w:val="fr-FR"/>
        </w:rPr>
        <w:t>’</w:t>
      </w:r>
      <w:r w:rsidRPr="00B81E8D">
        <w:rPr>
          <w:snapToGrid w:val="0"/>
          <w:lang w:val="fr-FR"/>
        </w:rPr>
        <w:t>Union que ceux</w:t>
      </w:r>
      <w:r w:rsidR="00C102EB" w:rsidRPr="00B81E8D">
        <w:rPr>
          <w:snapToGrid w:val="0"/>
          <w:lang w:val="fr-FR"/>
        </w:rPr>
        <w:noBreakHyphen/>
      </w:r>
      <w:r w:rsidRPr="00B81E8D">
        <w:rPr>
          <w:snapToGrid w:val="0"/>
          <w:lang w:val="fr-FR"/>
        </w:rPr>
        <w:t>ci prévoient les recours légaux appropriés permettant de défendre efficacement les droits d</w:t>
      </w:r>
      <w:r w:rsidR="00BF0AE0" w:rsidRPr="00B81E8D">
        <w:rPr>
          <w:snapToGrid w:val="0"/>
          <w:lang w:val="fr-FR"/>
        </w:rPr>
        <w:t>’</w:t>
      </w:r>
      <w:r w:rsidRPr="00B81E8D">
        <w:rPr>
          <w:snapToGrid w:val="0"/>
          <w:lang w:val="fr-FR"/>
        </w:rPr>
        <w:t>obtenteur, il n</w:t>
      </w:r>
      <w:r w:rsidR="00BF0AE0" w:rsidRPr="00B81E8D">
        <w:rPr>
          <w:snapToGrid w:val="0"/>
          <w:lang w:val="fr-FR"/>
        </w:rPr>
        <w:t>’</w:t>
      </w:r>
      <w:r w:rsidRPr="00B81E8D">
        <w:rPr>
          <w:snapToGrid w:val="0"/>
          <w:lang w:val="fr-FR"/>
        </w:rPr>
        <w:t>en reste pas moins que c</w:t>
      </w:r>
      <w:r w:rsidR="00BF0AE0" w:rsidRPr="00B81E8D">
        <w:rPr>
          <w:snapToGrid w:val="0"/>
          <w:lang w:val="fr-FR"/>
        </w:rPr>
        <w:t>’</w:t>
      </w:r>
      <w:r w:rsidRPr="00B81E8D">
        <w:rPr>
          <w:snapToGrid w:val="0"/>
          <w:lang w:val="fr-FR"/>
        </w:rPr>
        <w:t>est aux obtenteurs qu</w:t>
      </w:r>
      <w:r w:rsidR="00BF0AE0" w:rsidRPr="00B81E8D">
        <w:rPr>
          <w:snapToGrid w:val="0"/>
          <w:lang w:val="fr-FR"/>
        </w:rPr>
        <w:t>’</w:t>
      </w:r>
      <w:r w:rsidRPr="00B81E8D">
        <w:rPr>
          <w:snapToGrid w:val="0"/>
          <w:lang w:val="fr-FR"/>
        </w:rPr>
        <w:t>il incombe de défendre leurs droits.”</w:t>
      </w:r>
    </w:p>
    <w:p w:rsidR="004F1E20" w:rsidRPr="00B81E8D" w:rsidRDefault="004F1E20" w:rsidP="000E7A22">
      <w:pPr>
        <w:rPr>
          <w:snapToGrid w:val="0"/>
          <w:lang w:val="fr-FR"/>
        </w:rPr>
      </w:pPr>
    </w:p>
    <w:p w:rsidR="004F1E20" w:rsidRPr="00B81E8D" w:rsidRDefault="009017BF" w:rsidP="009017BF">
      <w:pPr>
        <w:spacing w:line="276" w:lineRule="auto"/>
        <w:rPr>
          <w:rFonts w:cs="Arial"/>
          <w:snapToGrid w:val="0"/>
          <w:lang w:val="fr-FR"/>
        </w:rPr>
      </w:pPr>
      <w:r w:rsidRPr="00B81E8D">
        <w:rPr>
          <w:rFonts w:cs="Arial"/>
          <w:snapToGrid w:val="0"/>
          <w:lang w:val="fr-FR"/>
        </w:rPr>
        <w:t>Le CAJ</w:t>
      </w:r>
      <w:r w:rsidR="00C102EB" w:rsidRPr="00B81E8D">
        <w:rPr>
          <w:rFonts w:cs="Arial"/>
          <w:snapToGrid w:val="0"/>
          <w:lang w:val="fr-FR"/>
        </w:rPr>
        <w:noBreakHyphen/>
      </w:r>
      <w:r w:rsidRPr="00B81E8D">
        <w:rPr>
          <w:rFonts w:cs="Arial"/>
          <w:snapToGrid w:val="0"/>
          <w:lang w:val="fr-FR"/>
        </w:rPr>
        <w:t>AG est convenu que, s</w:t>
      </w:r>
      <w:r w:rsidR="00BF0AE0" w:rsidRPr="00B81E8D">
        <w:rPr>
          <w:rFonts w:cs="Arial"/>
          <w:snapToGrid w:val="0"/>
          <w:lang w:val="fr-FR"/>
        </w:rPr>
        <w:t>’</w:t>
      </w:r>
      <w:r w:rsidRPr="00B81E8D">
        <w:rPr>
          <w:rFonts w:cs="Arial"/>
          <w:snapToGrid w:val="0"/>
          <w:lang w:val="fr-FR"/>
        </w:rPr>
        <w:t>agissant de l</w:t>
      </w:r>
      <w:r w:rsidR="00BF0AE0" w:rsidRPr="00B81E8D">
        <w:rPr>
          <w:rFonts w:cs="Arial"/>
          <w:snapToGrid w:val="0"/>
          <w:lang w:val="fr-FR"/>
        </w:rPr>
        <w:t>’</w:t>
      </w:r>
      <w:r w:rsidRPr="00B81E8D">
        <w:rPr>
          <w:rFonts w:cs="Arial"/>
          <w:snapToGrid w:val="0"/>
          <w:lang w:val="fr-FR"/>
        </w:rPr>
        <w:t>utilisation de la description variétale initiale, il y avait lieu de rappeler que la description des caractères de la variété et la base de la distinction de la variété la plus semblable étaient liées aux circonstances de l</w:t>
      </w:r>
      <w:r w:rsidR="00BF0AE0" w:rsidRPr="00B81E8D">
        <w:rPr>
          <w:rFonts w:cs="Arial"/>
          <w:snapToGrid w:val="0"/>
          <w:lang w:val="fr-FR"/>
        </w:rPr>
        <w:t>’</w:t>
      </w:r>
      <w:r w:rsidRPr="00B81E8D">
        <w:rPr>
          <w:rFonts w:cs="Arial"/>
          <w:snapToGrid w:val="0"/>
          <w:lang w:val="fr-FR"/>
        </w:rPr>
        <w:t xml:space="preserve">examen DHS, </w:t>
      </w:r>
      <w:r w:rsidR="00BF0AE0" w:rsidRPr="00B81E8D">
        <w:rPr>
          <w:rFonts w:cs="Arial"/>
          <w:snapToGrid w:val="0"/>
          <w:lang w:val="fr-FR"/>
        </w:rPr>
        <w:t>à savoir :</w:t>
      </w:r>
    </w:p>
    <w:p w:rsidR="004F1E20" w:rsidRPr="00B81E8D" w:rsidRDefault="004F1E20" w:rsidP="009017BF">
      <w:pPr>
        <w:spacing w:line="276" w:lineRule="auto"/>
        <w:ind w:right="567"/>
        <w:rPr>
          <w:rFonts w:cs="Arial"/>
          <w:snapToGrid w:val="0"/>
          <w:lang w:val="fr-FR"/>
        </w:rPr>
      </w:pPr>
    </w:p>
    <w:p w:rsidR="004F1E20" w:rsidRPr="00B81E8D" w:rsidRDefault="009017BF" w:rsidP="009017BF">
      <w:pPr>
        <w:pStyle w:val="ListParagraph"/>
        <w:keepNext/>
        <w:numPr>
          <w:ilvl w:val="2"/>
          <w:numId w:val="1"/>
        </w:numPr>
        <w:tabs>
          <w:tab w:val="left" w:pos="1701"/>
        </w:tabs>
        <w:spacing w:after="0"/>
        <w:ind w:left="1701" w:right="567" w:hanging="567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lastRenderedPageBreak/>
        <w:t>Date et référence du document contenant les principes directeurs d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examen de l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UPOV;</w:t>
      </w:r>
    </w:p>
    <w:p w:rsidR="004F1E20" w:rsidRPr="00B81E8D" w:rsidRDefault="009017BF" w:rsidP="009017BF">
      <w:pPr>
        <w:pStyle w:val="ListParagraph"/>
        <w:numPr>
          <w:ilvl w:val="2"/>
          <w:numId w:val="1"/>
        </w:numPr>
        <w:tabs>
          <w:tab w:val="left" w:pos="1701"/>
          <w:tab w:val="left" w:pos="5103"/>
        </w:tabs>
        <w:spacing w:after="0"/>
        <w:ind w:left="1701" w:right="567" w:hanging="567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Date ou référence des principes directeurs du service ayant établi le rapport d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examen;</w:t>
      </w:r>
    </w:p>
    <w:p w:rsidR="004F1E20" w:rsidRPr="00B81E8D" w:rsidRDefault="009017BF" w:rsidP="009017BF">
      <w:pPr>
        <w:pStyle w:val="ListParagraph"/>
        <w:numPr>
          <w:ilvl w:val="2"/>
          <w:numId w:val="1"/>
        </w:numPr>
        <w:tabs>
          <w:tab w:val="left" w:pos="1134"/>
          <w:tab w:val="left" w:pos="1701"/>
          <w:tab w:val="left" w:pos="5103"/>
        </w:tabs>
        <w:spacing w:after="0"/>
        <w:ind w:left="1134" w:right="567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Service ayant établi le rapport d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examen;</w:t>
      </w:r>
    </w:p>
    <w:p w:rsidR="004F1E20" w:rsidRPr="00B81E8D" w:rsidRDefault="009017BF" w:rsidP="009017BF">
      <w:pPr>
        <w:pStyle w:val="ListParagraph"/>
        <w:numPr>
          <w:ilvl w:val="2"/>
          <w:numId w:val="1"/>
        </w:numPr>
        <w:tabs>
          <w:tab w:val="left" w:pos="1134"/>
          <w:tab w:val="left" w:pos="1701"/>
          <w:tab w:val="left" w:pos="5103"/>
        </w:tabs>
        <w:spacing w:after="0"/>
        <w:ind w:left="1134" w:right="567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Station(s) et lieu(x) d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examen;</w:t>
      </w:r>
    </w:p>
    <w:p w:rsidR="004F1E20" w:rsidRPr="00B81E8D" w:rsidRDefault="009017BF" w:rsidP="009017BF">
      <w:pPr>
        <w:pStyle w:val="ListParagraph"/>
        <w:numPr>
          <w:ilvl w:val="2"/>
          <w:numId w:val="1"/>
        </w:numPr>
        <w:tabs>
          <w:tab w:val="left" w:pos="1134"/>
          <w:tab w:val="left" w:pos="1701"/>
          <w:tab w:val="left" w:pos="5103"/>
        </w:tabs>
        <w:spacing w:after="0"/>
        <w:ind w:left="1134" w:right="567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Période d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examen;</w:t>
      </w:r>
    </w:p>
    <w:p w:rsidR="004F1E20" w:rsidRPr="00B81E8D" w:rsidRDefault="009017BF" w:rsidP="009017BF">
      <w:pPr>
        <w:pStyle w:val="ListParagraph"/>
        <w:numPr>
          <w:ilvl w:val="2"/>
          <w:numId w:val="1"/>
        </w:numPr>
        <w:tabs>
          <w:tab w:val="left" w:pos="1134"/>
          <w:tab w:val="left" w:pos="1701"/>
          <w:tab w:val="left" w:pos="5103"/>
        </w:tabs>
        <w:spacing w:after="0"/>
        <w:ind w:left="1134" w:right="567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Date et lieu de publication du document;</w:t>
      </w:r>
    </w:p>
    <w:p w:rsidR="004F1E20" w:rsidRPr="00B81E8D" w:rsidRDefault="009017BF" w:rsidP="009017BF">
      <w:pPr>
        <w:pStyle w:val="ListParagraph"/>
        <w:numPr>
          <w:ilvl w:val="2"/>
          <w:numId w:val="1"/>
        </w:numPr>
        <w:tabs>
          <w:tab w:val="left" w:pos="1134"/>
          <w:tab w:val="left" w:pos="1701"/>
        </w:tabs>
        <w:spacing w:after="0"/>
        <w:ind w:left="1134" w:right="567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Groupe</w:t>
      </w:r>
      <w:r w:rsidR="00BF0AE0" w:rsidRPr="00B81E8D">
        <w:rPr>
          <w:rFonts w:ascii="Arial" w:hAnsi="Arial" w:cs="Arial"/>
          <w:sz w:val="20"/>
          <w:szCs w:val="20"/>
          <w:lang w:val="fr-FR"/>
        </w:rPr>
        <w:t> :</w:t>
      </w:r>
      <w:r w:rsidRPr="00B81E8D">
        <w:rPr>
          <w:rFonts w:ascii="Arial" w:hAnsi="Arial" w:cs="Arial"/>
          <w:sz w:val="20"/>
          <w:szCs w:val="20"/>
          <w:lang w:val="fr-FR"/>
        </w:rPr>
        <w:t xml:space="preserve"> (tableau</w:t>
      </w:r>
      <w:r w:rsidR="00BF0AE0" w:rsidRPr="00B81E8D">
        <w:rPr>
          <w:rFonts w:ascii="Arial" w:hAnsi="Arial" w:cs="Arial"/>
          <w:sz w:val="20"/>
          <w:szCs w:val="20"/>
          <w:lang w:val="fr-FR"/>
        </w:rPr>
        <w:t> :</w:t>
      </w:r>
      <w:r w:rsidRPr="00B81E8D">
        <w:rPr>
          <w:rFonts w:ascii="Arial" w:hAnsi="Arial" w:cs="Arial"/>
          <w:sz w:val="20"/>
          <w:szCs w:val="20"/>
          <w:lang w:val="fr-FR"/>
        </w:rPr>
        <w:t xml:space="preserve"> </w:t>
      </w:r>
      <w:proofErr w:type="gramStart"/>
      <w:r w:rsidRPr="00B81E8D">
        <w:rPr>
          <w:rFonts w:ascii="Arial" w:hAnsi="Arial" w:cs="Arial"/>
          <w:sz w:val="20"/>
          <w:szCs w:val="20"/>
          <w:lang w:val="fr-FR"/>
        </w:rPr>
        <w:t>caractères;  niveaux</w:t>
      </w:r>
      <w:proofErr w:type="gramEnd"/>
      <w:r w:rsidRPr="00B81E8D">
        <w:rPr>
          <w:rFonts w:ascii="Arial" w:hAnsi="Arial" w:cs="Arial"/>
          <w:sz w:val="20"/>
          <w:szCs w:val="20"/>
          <w:lang w:val="fr-FR"/>
        </w:rPr>
        <w:t xml:space="preserve"> d</w:t>
      </w:r>
      <w:r w:rsidR="00BF0AE0" w:rsidRPr="00B81E8D">
        <w:rPr>
          <w:rFonts w:ascii="Arial" w:hAnsi="Arial" w:cs="Arial"/>
          <w:sz w:val="20"/>
          <w:szCs w:val="20"/>
          <w:lang w:val="fr-FR"/>
        </w:rPr>
        <w:t>’</w:t>
      </w:r>
      <w:r w:rsidRPr="00B81E8D">
        <w:rPr>
          <w:rFonts w:ascii="Arial" w:hAnsi="Arial" w:cs="Arial"/>
          <w:sz w:val="20"/>
          <w:szCs w:val="20"/>
          <w:lang w:val="fr-FR"/>
        </w:rPr>
        <w:t>expression;  note;  observations).</w:t>
      </w:r>
    </w:p>
    <w:p w:rsidR="004F1E20" w:rsidRPr="00B81E8D" w:rsidRDefault="009017BF" w:rsidP="009017BF">
      <w:pPr>
        <w:pStyle w:val="ListParagraph"/>
        <w:keepNext/>
        <w:numPr>
          <w:ilvl w:val="2"/>
          <w:numId w:val="1"/>
        </w:numPr>
        <w:tabs>
          <w:tab w:val="left" w:pos="1134"/>
          <w:tab w:val="left" w:pos="1701"/>
        </w:tabs>
        <w:spacing w:after="0"/>
        <w:ind w:left="1134" w:right="567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B81E8D">
        <w:rPr>
          <w:rFonts w:ascii="Arial" w:hAnsi="Arial" w:cs="Arial"/>
          <w:sz w:val="20"/>
          <w:szCs w:val="20"/>
          <w:lang w:val="fr-FR"/>
        </w:rPr>
        <w:t>Informations supplémentaires</w:t>
      </w:r>
      <w:r w:rsidR="00BF0AE0" w:rsidRPr="00B81E8D">
        <w:rPr>
          <w:rFonts w:ascii="Arial" w:hAnsi="Arial" w:cs="Arial"/>
          <w:sz w:val="20"/>
          <w:szCs w:val="20"/>
          <w:lang w:val="fr-FR"/>
        </w:rPr>
        <w:t> :</w:t>
      </w:r>
    </w:p>
    <w:p w:rsidR="004F1E20" w:rsidRPr="00B81E8D" w:rsidRDefault="009017BF" w:rsidP="009017BF">
      <w:pPr>
        <w:keepNext/>
        <w:tabs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right="567"/>
        <w:rPr>
          <w:rFonts w:cs="Arial"/>
          <w:lang w:val="fr-FR"/>
        </w:rPr>
      </w:pPr>
      <w:r w:rsidRPr="00B81E8D">
        <w:rPr>
          <w:rFonts w:cs="Arial"/>
          <w:lang w:val="fr-FR"/>
        </w:rPr>
        <w:tab/>
        <w:t>a)</w:t>
      </w:r>
      <w:r w:rsidRPr="00B81E8D">
        <w:rPr>
          <w:rFonts w:cs="Arial"/>
          <w:lang w:val="fr-FR"/>
        </w:rPr>
        <w:tab/>
        <w:t>Données additionnelles</w:t>
      </w:r>
      <w:r w:rsidR="0050377A" w:rsidRPr="00B81E8D">
        <w:rPr>
          <w:rFonts w:cs="Arial"/>
          <w:lang w:val="fr-FR"/>
        </w:rPr>
        <w:t>;</w:t>
      </w:r>
    </w:p>
    <w:p w:rsidR="004F1E20" w:rsidRPr="00B81E8D" w:rsidRDefault="009017BF" w:rsidP="009017BF">
      <w:pPr>
        <w:keepNext/>
        <w:tabs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right="567"/>
        <w:rPr>
          <w:rFonts w:cs="Arial"/>
          <w:lang w:val="fr-FR"/>
        </w:rPr>
      </w:pPr>
      <w:r w:rsidRPr="00B81E8D">
        <w:rPr>
          <w:rFonts w:cs="Arial"/>
          <w:lang w:val="fr-FR"/>
        </w:rPr>
        <w:tab/>
        <w:t>b)</w:t>
      </w:r>
      <w:r w:rsidRPr="00B81E8D">
        <w:rPr>
          <w:rFonts w:cs="Arial"/>
          <w:lang w:val="fr-FR"/>
        </w:rPr>
        <w:tab/>
        <w:t>Photographie (le cas échéant);</w:t>
      </w:r>
    </w:p>
    <w:p w:rsidR="004F1E20" w:rsidRPr="00B81E8D" w:rsidRDefault="009017BF" w:rsidP="009017BF">
      <w:pPr>
        <w:keepNext/>
        <w:tabs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right="567"/>
        <w:rPr>
          <w:rFonts w:cs="Arial"/>
          <w:lang w:val="fr-FR"/>
        </w:rPr>
      </w:pPr>
      <w:r w:rsidRPr="00B81E8D">
        <w:rPr>
          <w:rFonts w:cs="Arial"/>
          <w:lang w:val="fr-FR"/>
        </w:rPr>
        <w:tab/>
        <w:t>c)</w:t>
      </w:r>
      <w:r w:rsidRPr="00B81E8D">
        <w:rPr>
          <w:rFonts w:cs="Arial"/>
          <w:lang w:val="fr-FR"/>
        </w:rPr>
        <w:tab/>
        <w:t>Version du code de couleur RHS utilisée (selon qu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il convient);</w:t>
      </w:r>
    </w:p>
    <w:p w:rsidR="004F1E20" w:rsidRPr="00B81E8D" w:rsidRDefault="009017BF" w:rsidP="009017BF">
      <w:pPr>
        <w:keepNext/>
        <w:tabs>
          <w:tab w:val="left" w:pos="284"/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right="567"/>
        <w:rPr>
          <w:rFonts w:cs="Arial"/>
          <w:lang w:val="fr-FR"/>
        </w:rPr>
      </w:pPr>
      <w:r w:rsidRPr="00B81E8D">
        <w:rPr>
          <w:rFonts w:cs="Arial"/>
          <w:lang w:val="fr-FR"/>
        </w:rPr>
        <w:tab/>
        <w:t>d)</w:t>
      </w:r>
      <w:r w:rsidRPr="00B81E8D">
        <w:rPr>
          <w:rFonts w:cs="Arial"/>
          <w:lang w:val="fr-FR"/>
        </w:rPr>
        <w:tab/>
        <w:t>Remarques.</w:t>
      </w:r>
    </w:p>
    <w:p w:rsidR="004F1E20" w:rsidRDefault="004F1E20" w:rsidP="004F5247">
      <w:pPr>
        <w:rPr>
          <w:rFonts w:cs="Arial"/>
          <w:lang w:val="fr-FR"/>
        </w:rPr>
      </w:pPr>
    </w:p>
    <w:p w:rsidR="00980F4A" w:rsidRDefault="00980F4A" w:rsidP="004F5247">
      <w:pPr>
        <w:rPr>
          <w:rFonts w:cs="Arial"/>
          <w:lang w:val="fr-FR"/>
        </w:rPr>
      </w:pPr>
    </w:p>
    <w:p w:rsidR="000E7A22" w:rsidRPr="00B81E8D" w:rsidRDefault="000E7A22" w:rsidP="004F5247">
      <w:pPr>
        <w:rPr>
          <w:rFonts w:cs="Arial"/>
          <w:lang w:val="fr-FR"/>
        </w:rPr>
      </w:pPr>
    </w:p>
    <w:p w:rsidR="00BF0AE0" w:rsidRPr="00C955F3" w:rsidRDefault="001F6EA0" w:rsidP="001F6EA0">
      <w:pPr>
        <w:pStyle w:val="Heading1"/>
        <w:rPr>
          <w:lang w:val="fr-CH"/>
        </w:rPr>
      </w:pPr>
      <w:r w:rsidRPr="00C955F3">
        <w:rPr>
          <w:lang w:val="fr-CH"/>
        </w:rPr>
        <w:t>CONCLUSIONS DE L’UNION EUROPÉENNE</w:t>
      </w:r>
    </w:p>
    <w:p w:rsidR="004F1E20" w:rsidRPr="00B81E8D" w:rsidRDefault="004F1E20" w:rsidP="004F5247">
      <w:pPr>
        <w:rPr>
          <w:rFonts w:cs="Arial"/>
          <w:lang w:val="fr-FR"/>
        </w:rPr>
      </w:pPr>
    </w:p>
    <w:p w:rsidR="00BF0AE0" w:rsidRPr="00B81E8D" w:rsidRDefault="004F1E20" w:rsidP="00F217BE">
      <w:pPr>
        <w:rPr>
          <w:rFonts w:cs="Arial"/>
          <w:lang w:val="fr-FR"/>
        </w:rPr>
      </w:pPr>
      <w:r w:rsidRPr="00B81E8D">
        <w:rPr>
          <w:rFonts w:cs="Arial"/>
          <w:lang w:val="fr-FR"/>
        </w:rPr>
        <w:t>Le</w:t>
      </w:r>
      <w:r w:rsidR="00BF0AE0" w:rsidRPr="00B81E8D">
        <w:rPr>
          <w:rFonts w:cs="Arial"/>
          <w:lang w:val="fr-FR"/>
        </w:rPr>
        <w:t> TC</w:t>
      </w:r>
      <w:r w:rsidRPr="00B81E8D">
        <w:rPr>
          <w:rFonts w:cs="Arial"/>
          <w:lang w:val="fr-FR"/>
        </w:rPr>
        <w:t xml:space="preserve"> est convenu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inviter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 xml:space="preserve">Union européenne à </w:t>
      </w:r>
      <w:r w:rsidR="0050377A" w:rsidRPr="00B81E8D">
        <w:rPr>
          <w:rFonts w:cs="Arial"/>
          <w:lang w:val="fr-FR"/>
        </w:rPr>
        <w:t>élaborer</w:t>
      </w:r>
      <w:r w:rsidRPr="00B81E8D">
        <w:rPr>
          <w:rFonts w:cs="Arial"/>
          <w:lang w:val="fr-FR"/>
        </w:rPr>
        <w:t xml:space="preserve"> de nouvelles orientations sur le rôle de la description variétale et le rôle du matériel végétal utilisé comme fondement de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examen</w:t>
      </w:r>
      <w:r w:rsidR="00747C0D" w:rsidRPr="00B81E8D">
        <w:rPr>
          <w:rFonts w:cs="Arial"/>
          <w:lang w:val="fr-FR"/>
        </w:rPr>
        <w:t> </w:t>
      </w:r>
      <w:r w:rsidR="0056143F" w:rsidRPr="00B81E8D">
        <w:rPr>
          <w:rFonts w:cs="Arial"/>
          <w:lang w:val="fr-FR"/>
        </w:rPr>
        <w:t>DHS.  Il</w:t>
      </w:r>
      <w:r w:rsidR="00F217BE" w:rsidRPr="00B81E8D">
        <w:rPr>
          <w:rFonts w:cs="Arial"/>
          <w:lang w:val="fr-FR"/>
        </w:rPr>
        <w:t xml:space="preserve"> </w:t>
      </w:r>
      <w:r w:rsidR="00EC1248" w:rsidRPr="00B81E8D">
        <w:rPr>
          <w:rFonts w:cs="Arial"/>
          <w:lang w:val="fr-FR"/>
        </w:rPr>
        <w:t>a</w:t>
      </w:r>
      <w:r w:rsidR="00F217BE" w:rsidRPr="00B81E8D">
        <w:rPr>
          <w:rFonts w:cs="Arial"/>
          <w:lang w:val="fr-FR"/>
        </w:rPr>
        <w:t xml:space="preserve"> notamment </w:t>
      </w:r>
      <w:r w:rsidR="00EC1248" w:rsidRPr="00B81E8D">
        <w:rPr>
          <w:rFonts w:cs="Arial"/>
          <w:lang w:val="fr-FR"/>
        </w:rPr>
        <w:t xml:space="preserve">été </w:t>
      </w:r>
      <w:r w:rsidR="00F217BE" w:rsidRPr="00B81E8D">
        <w:rPr>
          <w:rFonts w:cs="Arial"/>
          <w:lang w:val="fr-FR"/>
        </w:rPr>
        <w:t xml:space="preserve">demandé de fournir la conclusion </w:t>
      </w:r>
      <w:r w:rsidR="00EC1248" w:rsidRPr="00B81E8D">
        <w:rPr>
          <w:rFonts w:cs="Arial"/>
          <w:lang w:val="fr-FR"/>
        </w:rPr>
        <w:t xml:space="preserve">que </w:t>
      </w:r>
      <w:r w:rsidR="00F217BE" w:rsidRPr="00B81E8D">
        <w:rPr>
          <w:rFonts w:cs="Arial"/>
          <w:lang w:val="fr-FR"/>
        </w:rPr>
        <w:t>l</w:t>
      </w:r>
      <w:r w:rsidR="00BF0AE0" w:rsidRPr="00B81E8D">
        <w:rPr>
          <w:rFonts w:cs="Arial"/>
          <w:lang w:val="fr-FR"/>
        </w:rPr>
        <w:t>’</w:t>
      </w:r>
      <w:r w:rsidR="00F217BE" w:rsidRPr="00B81E8D">
        <w:rPr>
          <w:rFonts w:cs="Arial"/>
          <w:lang w:val="fr-FR"/>
        </w:rPr>
        <w:t xml:space="preserve">Union européenne </w:t>
      </w:r>
      <w:r w:rsidR="00EC1248" w:rsidRPr="00B81E8D">
        <w:rPr>
          <w:rFonts w:cs="Arial"/>
          <w:lang w:val="fr-FR"/>
        </w:rPr>
        <w:t xml:space="preserve">a tirée </w:t>
      </w:r>
      <w:r w:rsidR="00F217BE" w:rsidRPr="00B81E8D">
        <w:rPr>
          <w:rFonts w:cs="Arial"/>
          <w:lang w:val="fr-FR"/>
        </w:rPr>
        <w:t>d</w:t>
      </w:r>
      <w:r w:rsidR="00BF0AE0" w:rsidRPr="00B81E8D">
        <w:rPr>
          <w:rFonts w:cs="Arial"/>
          <w:lang w:val="fr-FR"/>
        </w:rPr>
        <w:t>’</w:t>
      </w:r>
      <w:r w:rsidR="00F217BE" w:rsidRPr="00B81E8D">
        <w:rPr>
          <w:rFonts w:cs="Arial"/>
          <w:lang w:val="fr-FR"/>
        </w:rPr>
        <w:t xml:space="preserve">une enquête menée </w:t>
      </w:r>
      <w:r w:rsidR="00EC1248" w:rsidRPr="00B81E8D">
        <w:rPr>
          <w:rFonts w:cs="Arial"/>
          <w:lang w:val="fr-FR"/>
        </w:rPr>
        <w:t xml:space="preserve">auprès des </w:t>
      </w:r>
      <w:r w:rsidR="00F217BE" w:rsidRPr="00B81E8D">
        <w:rPr>
          <w:rFonts w:cs="Arial"/>
          <w:lang w:val="fr-FR"/>
        </w:rPr>
        <w:t>services d</w:t>
      </w:r>
      <w:r w:rsidR="00BF0AE0" w:rsidRPr="00B81E8D">
        <w:rPr>
          <w:rFonts w:cs="Arial"/>
          <w:lang w:val="fr-FR"/>
        </w:rPr>
        <w:t>’</w:t>
      </w:r>
      <w:r w:rsidR="00F217BE" w:rsidRPr="00B81E8D">
        <w:rPr>
          <w:rFonts w:cs="Arial"/>
          <w:lang w:val="fr-FR"/>
        </w:rPr>
        <w:t>examen de l</w:t>
      </w:r>
      <w:r w:rsidR="00BF0AE0" w:rsidRPr="00B81E8D">
        <w:rPr>
          <w:rFonts w:cs="Arial"/>
          <w:lang w:val="fr-FR"/>
        </w:rPr>
        <w:t>’</w:t>
      </w:r>
      <w:r w:rsidR="00F217BE" w:rsidRPr="00B81E8D">
        <w:rPr>
          <w:rFonts w:cs="Arial"/>
          <w:lang w:val="fr-FR"/>
        </w:rPr>
        <w:t>OCVV.</w:t>
      </w:r>
    </w:p>
    <w:p w:rsidR="004F1E20" w:rsidRPr="00B81E8D" w:rsidRDefault="004F1E20" w:rsidP="004F5247">
      <w:pPr>
        <w:rPr>
          <w:rFonts w:cs="Arial"/>
          <w:lang w:val="fr-FR"/>
        </w:rPr>
      </w:pPr>
    </w:p>
    <w:p w:rsidR="00BF0AE0" w:rsidRPr="00B81E8D" w:rsidRDefault="00F217BE" w:rsidP="003C5F55">
      <w:pPr>
        <w:numPr>
          <w:ilvl w:val="0"/>
          <w:numId w:val="3"/>
        </w:numPr>
        <w:tabs>
          <w:tab w:val="left" w:pos="567"/>
        </w:tabs>
        <w:ind w:left="0" w:firstLine="0"/>
        <w:jc w:val="left"/>
        <w:rPr>
          <w:rFonts w:cs="Arial"/>
          <w:lang w:val="fr-FR"/>
        </w:rPr>
      </w:pPr>
      <w:r w:rsidRPr="00B81E8D">
        <w:rPr>
          <w:rFonts w:cs="Arial"/>
          <w:lang w:val="fr-FR"/>
        </w:rPr>
        <w:t>Notes de variétés voisines dans les descriptions variétales officielles</w:t>
      </w:r>
    </w:p>
    <w:p w:rsidR="004F1E20" w:rsidRPr="00B81E8D" w:rsidRDefault="004F1E20" w:rsidP="004F5247">
      <w:pPr>
        <w:ind w:left="1080"/>
        <w:rPr>
          <w:rFonts w:cs="Arial"/>
          <w:lang w:val="fr-FR"/>
        </w:rPr>
      </w:pPr>
    </w:p>
    <w:p w:rsidR="00BF0AE0" w:rsidRPr="00B81E8D" w:rsidRDefault="00F217BE" w:rsidP="00F217BE">
      <w:pPr>
        <w:rPr>
          <w:rFonts w:cs="Arial"/>
          <w:lang w:val="fr-FR"/>
        </w:rPr>
      </w:pPr>
      <w:r w:rsidRPr="00B81E8D">
        <w:rPr>
          <w:rFonts w:cs="Arial"/>
          <w:lang w:val="fr-FR"/>
        </w:rPr>
        <w:t>Dans le cadre de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enquête, environ 50% des services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examen de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OCVV ont indiqué que les notes permettant de décrire le niveau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expression de variétés voisines énumérées dans la description de la variété candidate provenai</w:t>
      </w:r>
      <w:r w:rsidR="00EC1248" w:rsidRPr="00B81E8D">
        <w:rPr>
          <w:rFonts w:cs="Arial"/>
          <w:lang w:val="fr-FR"/>
        </w:rPr>
        <w:t>ent de la description variétale</w:t>
      </w:r>
      <w:r w:rsidRPr="00B81E8D">
        <w:rPr>
          <w:rFonts w:cs="Arial"/>
          <w:lang w:val="fr-FR"/>
        </w:rPr>
        <w:t xml:space="preserve"> officiel</w:t>
      </w:r>
      <w:r w:rsidR="0056143F" w:rsidRPr="00B81E8D">
        <w:rPr>
          <w:rFonts w:cs="Arial"/>
          <w:lang w:val="fr-FR"/>
        </w:rPr>
        <w:t>le.  Le</w:t>
      </w:r>
      <w:r w:rsidRPr="00B81E8D">
        <w:rPr>
          <w:rFonts w:cs="Arial"/>
          <w:lang w:val="fr-FR"/>
        </w:rPr>
        <w:t xml:space="preserve">s </w:t>
      </w:r>
      <w:r w:rsidR="0050377A" w:rsidRPr="00B81E8D">
        <w:rPr>
          <w:rFonts w:cs="Arial"/>
          <w:lang w:val="fr-FR"/>
        </w:rPr>
        <w:t>50% restants</w:t>
      </w:r>
      <w:r w:rsidRPr="00B81E8D">
        <w:rPr>
          <w:rFonts w:cs="Arial"/>
          <w:lang w:val="fr-FR"/>
        </w:rPr>
        <w:t xml:space="preserve"> ont </w:t>
      </w:r>
      <w:r w:rsidR="00EC1248" w:rsidRPr="00B81E8D">
        <w:rPr>
          <w:rFonts w:cs="Arial"/>
          <w:lang w:val="fr-FR"/>
        </w:rPr>
        <w:t xml:space="preserve">déclaré </w:t>
      </w:r>
      <w:r w:rsidRPr="00B81E8D">
        <w:rPr>
          <w:rFonts w:cs="Arial"/>
          <w:lang w:val="fr-FR"/>
        </w:rPr>
        <w:t>que toutes les notes décrivaient la variété de référence telle qu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elle apparaissait lorsqu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elle était cultivée à côté de la variété candidate.</w:t>
      </w:r>
    </w:p>
    <w:p w:rsidR="004F1E20" w:rsidRPr="00B81E8D" w:rsidRDefault="004F1E20" w:rsidP="00A013CC">
      <w:pPr>
        <w:rPr>
          <w:rFonts w:cs="Arial"/>
          <w:lang w:val="fr-FR"/>
        </w:rPr>
      </w:pPr>
    </w:p>
    <w:p w:rsidR="00BF0AE0" w:rsidRPr="00B81E8D" w:rsidRDefault="009E12C7" w:rsidP="009E12C7">
      <w:pPr>
        <w:rPr>
          <w:rFonts w:cs="Arial"/>
          <w:lang w:val="fr-FR"/>
        </w:rPr>
      </w:pPr>
      <w:r w:rsidRPr="00B81E8D">
        <w:rPr>
          <w:rFonts w:cs="Arial"/>
          <w:lang w:val="fr-FR"/>
        </w:rPr>
        <w:t>Il a été conclu que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établissement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une liste des variétés voisines dans la description n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avait pas pour but de confirmer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existence continue et sans modification de la variété de référence mais de corroborer la déclaration relative à la distinction figurant dans le rapport d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exam</w:t>
      </w:r>
      <w:r w:rsidR="0056143F" w:rsidRPr="00B81E8D">
        <w:rPr>
          <w:rFonts w:cs="Arial"/>
          <w:lang w:val="fr-FR"/>
        </w:rPr>
        <w:t>en.  Pa</w:t>
      </w:r>
      <w:r w:rsidRPr="00B81E8D">
        <w:rPr>
          <w:rFonts w:cs="Arial"/>
          <w:lang w:val="fr-FR"/>
        </w:rPr>
        <w:t>r conséquent, les notes décrivant les variétés voisines doivent traduire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expression des caractères pertinents observés lors de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essai en culture de la variété candidate.</w:t>
      </w:r>
    </w:p>
    <w:p w:rsidR="004F1E20" w:rsidRPr="00B81E8D" w:rsidRDefault="004F1E20" w:rsidP="004F5247">
      <w:pPr>
        <w:rPr>
          <w:rFonts w:cs="Arial"/>
          <w:lang w:val="fr-FR"/>
        </w:rPr>
      </w:pPr>
    </w:p>
    <w:p w:rsidR="004F1E20" w:rsidRPr="00B81E8D" w:rsidRDefault="009E12C7" w:rsidP="003C5F55">
      <w:pPr>
        <w:numPr>
          <w:ilvl w:val="0"/>
          <w:numId w:val="3"/>
        </w:numPr>
        <w:tabs>
          <w:tab w:val="left" w:pos="567"/>
        </w:tabs>
        <w:ind w:left="0" w:firstLine="0"/>
        <w:jc w:val="left"/>
        <w:rPr>
          <w:rFonts w:cs="Arial"/>
          <w:lang w:val="fr-FR" w:eastAsia="fr-FR"/>
        </w:rPr>
      </w:pPr>
      <w:r w:rsidRPr="00B81E8D">
        <w:rPr>
          <w:rFonts w:cs="Arial"/>
          <w:lang w:val="fr-FR" w:eastAsia="fr-FR"/>
        </w:rPr>
        <w:t>Modification des descriptions variétales</w:t>
      </w:r>
    </w:p>
    <w:p w:rsidR="004F1E20" w:rsidRPr="00B81E8D" w:rsidRDefault="004F1E20" w:rsidP="004F5247">
      <w:pPr>
        <w:ind w:left="1080"/>
        <w:rPr>
          <w:rFonts w:cs="Arial"/>
          <w:lang w:val="fr-FR" w:eastAsia="fr-FR"/>
        </w:rPr>
      </w:pPr>
    </w:p>
    <w:p w:rsidR="00BF0AE0" w:rsidRPr="00B81E8D" w:rsidRDefault="001318EC" w:rsidP="001318EC">
      <w:pPr>
        <w:rPr>
          <w:rFonts w:cs="Arial"/>
          <w:lang w:val="fr-FR" w:eastAsia="fr-FR"/>
        </w:rPr>
      </w:pPr>
      <w:r w:rsidRPr="00B81E8D">
        <w:rPr>
          <w:rFonts w:cs="Arial"/>
          <w:lang w:val="fr-FR" w:eastAsia="fr-FR"/>
        </w:rPr>
        <w:t>Le document</w:t>
      </w:r>
      <w:r w:rsidR="0056143F" w:rsidRPr="00B81E8D">
        <w:rPr>
          <w:rFonts w:cs="Arial"/>
          <w:lang w:val="fr-FR" w:eastAsia="fr-FR"/>
        </w:rPr>
        <w:t> </w:t>
      </w:r>
      <w:r w:rsidRPr="00B81E8D">
        <w:rPr>
          <w:rFonts w:cs="Arial"/>
          <w:lang w:val="fr-FR" w:eastAsia="fr-FR"/>
        </w:rPr>
        <w:t xml:space="preserve">TGP/4 “Constitution et maintien des collections de variétés” explique à la </w:t>
      </w:r>
      <w:r w:rsidR="00BF0AE0" w:rsidRPr="00B81E8D">
        <w:rPr>
          <w:rFonts w:cs="Arial"/>
          <w:lang w:val="fr-FR" w:eastAsia="fr-FR"/>
        </w:rPr>
        <w:t>section 3</w:t>
      </w:r>
      <w:r w:rsidRPr="00B81E8D">
        <w:rPr>
          <w:rFonts w:cs="Arial"/>
          <w:lang w:val="fr-FR" w:eastAsia="fr-FR"/>
        </w:rPr>
        <w:t xml:space="preserve">.1.1 </w:t>
      </w:r>
      <w:r w:rsidR="00EC1248" w:rsidRPr="00B81E8D">
        <w:rPr>
          <w:rFonts w:cs="Arial"/>
          <w:lang w:val="fr-FR" w:eastAsia="fr-FR"/>
        </w:rPr>
        <w:t>ce qui suit</w:t>
      </w:r>
      <w:r w:rsidR="00BF0AE0" w:rsidRPr="00B81E8D">
        <w:rPr>
          <w:rFonts w:cs="Arial"/>
          <w:lang w:val="fr-FR" w:eastAsia="fr-FR"/>
        </w:rPr>
        <w:t> :</w:t>
      </w:r>
      <w:r w:rsidRPr="00B81E8D">
        <w:rPr>
          <w:rFonts w:cs="Arial"/>
          <w:lang w:val="fr-FR" w:eastAsia="fr-FR"/>
        </w:rPr>
        <w:t xml:space="preserve"> </w:t>
      </w:r>
      <w:r w:rsidRPr="00B81E8D">
        <w:rPr>
          <w:rFonts w:cs="Arial"/>
          <w:i/>
          <w:lang w:val="fr-FR" w:eastAsia="fr-FR"/>
        </w:rPr>
        <w:t>“Au sujet des descriptions établies d</w:t>
      </w:r>
      <w:r w:rsidR="00BF0AE0" w:rsidRPr="00B81E8D">
        <w:rPr>
          <w:rFonts w:cs="Arial"/>
          <w:i/>
          <w:lang w:val="fr-FR" w:eastAsia="fr-FR"/>
        </w:rPr>
        <w:t>’</w:t>
      </w:r>
      <w:r w:rsidRPr="00B81E8D">
        <w:rPr>
          <w:rFonts w:cs="Arial"/>
          <w:i/>
          <w:lang w:val="fr-FR" w:eastAsia="fr-FR"/>
        </w:rPr>
        <w:t>après les principes directeurs d</w:t>
      </w:r>
      <w:r w:rsidR="00BF0AE0" w:rsidRPr="00B81E8D">
        <w:rPr>
          <w:rFonts w:cs="Arial"/>
          <w:i/>
          <w:lang w:val="fr-FR" w:eastAsia="fr-FR"/>
        </w:rPr>
        <w:t>’</w:t>
      </w:r>
      <w:r w:rsidRPr="00B81E8D">
        <w:rPr>
          <w:rFonts w:cs="Arial"/>
          <w:i/>
          <w:lang w:val="fr-FR" w:eastAsia="fr-FR"/>
        </w:rPr>
        <w:t>examen de l</w:t>
      </w:r>
      <w:r w:rsidR="00BF0AE0" w:rsidRPr="00B81E8D">
        <w:rPr>
          <w:rFonts w:cs="Arial"/>
          <w:i/>
          <w:lang w:val="fr-FR" w:eastAsia="fr-FR"/>
        </w:rPr>
        <w:t>’</w:t>
      </w:r>
      <w:r w:rsidRPr="00B81E8D">
        <w:rPr>
          <w:rFonts w:cs="Arial"/>
          <w:i/>
          <w:lang w:val="fr-FR" w:eastAsia="fr-FR"/>
        </w:rPr>
        <w:t>UPOV pertinents, il est important de noter que ceux</w:t>
      </w:r>
      <w:r w:rsidR="00C102EB" w:rsidRPr="00B81E8D">
        <w:rPr>
          <w:rFonts w:cs="Arial"/>
          <w:i/>
          <w:lang w:val="fr-FR" w:eastAsia="fr-FR"/>
        </w:rPr>
        <w:noBreakHyphen/>
      </w:r>
      <w:r w:rsidRPr="00B81E8D">
        <w:rPr>
          <w:rFonts w:cs="Arial"/>
          <w:i/>
          <w:lang w:val="fr-FR" w:eastAsia="fr-FR"/>
        </w:rPr>
        <w:t>ci peuvent être révisés (voir document TGP/7), ce qui peut déboucher sur l</w:t>
      </w:r>
      <w:r w:rsidR="00BF0AE0" w:rsidRPr="00B81E8D">
        <w:rPr>
          <w:rFonts w:cs="Arial"/>
          <w:i/>
          <w:lang w:val="fr-FR" w:eastAsia="fr-FR"/>
        </w:rPr>
        <w:t>’</w:t>
      </w:r>
      <w:r w:rsidRPr="00B81E8D">
        <w:rPr>
          <w:rFonts w:cs="Arial"/>
          <w:i/>
          <w:lang w:val="fr-FR" w:eastAsia="fr-FR"/>
        </w:rPr>
        <w:t>introduction de nouveaux caractères dans le tableau des caractères et la suppression d</w:t>
      </w:r>
      <w:r w:rsidR="00BF0AE0" w:rsidRPr="00B81E8D">
        <w:rPr>
          <w:rFonts w:cs="Arial"/>
          <w:i/>
          <w:lang w:val="fr-FR" w:eastAsia="fr-FR"/>
        </w:rPr>
        <w:t>’</w:t>
      </w:r>
      <w:r w:rsidRPr="00B81E8D">
        <w:rPr>
          <w:rFonts w:cs="Arial"/>
          <w:i/>
          <w:lang w:val="fr-FR" w:eastAsia="fr-FR"/>
        </w:rPr>
        <w:t>autr</w:t>
      </w:r>
      <w:r w:rsidR="0056143F" w:rsidRPr="00B81E8D">
        <w:rPr>
          <w:rFonts w:cs="Arial"/>
          <w:i/>
          <w:lang w:val="fr-FR" w:eastAsia="fr-FR"/>
        </w:rPr>
        <w:t>es.  Il</w:t>
      </w:r>
      <w:r w:rsidRPr="00B81E8D">
        <w:rPr>
          <w:rFonts w:cs="Arial"/>
          <w:i/>
          <w:lang w:val="fr-FR" w:eastAsia="fr-FR"/>
        </w:rPr>
        <w:t xml:space="preserve"> est en outre possible de modifier les niveaux d</w:t>
      </w:r>
      <w:r w:rsidR="00BF0AE0" w:rsidRPr="00B81E8D">
        <w:rPr>
          <w:rFonts w:cs="Arial"/>
          <w:i/>
          <w:lang w:val="fr-FR" w:eastAsia="fr-FR"/>
        </w:rPr>
        <w:t>’</w:t>
      </w:r>
      <w:r w:rsidRPr="00B81E8D">
        <w:rPr>
          <w:rFonts w:cs="Arial"/>
          <w:i/>
          <w:lang w:val="fr-FR" w:eastAsia="fr-FR"/>
        </w:rPr>
        <w:t>expression d</w:t>
      </w:r>
      <w:r w:rsidR="00BF0AE0" w:rsidRPr="00B81E8D">
        <w:rPr>
          <w:rFonts w:cs="Arial"/>
          <w:i/>
          <w:lang w:val="fr-FR" w:eastAsia="fr-FR"/>
        </w:rPr>
        <w:t>’</w:t>
      </w:r>
      <w:r w:rsidRPr="00B81E8D">
        <w:rPr>
          <w:rFonts w:cs="Arial"/>
          <w:i/>
          <w:lang w:val="fr-FR" w:eastAsia="fr-FR"/>
        </w:rPr>
        <w:t>un caractè</w:t>
      </w:r>
      <w:r w:rsidR="0056143F" w:rsidRPr="00B81E8D">
        <w:rPr>
          <w:rFonts w:cs="Arial"/>
          <w:i/>
          <w:lang w:val="fr-FR" w:eastAsia="fr-FR"/>
        </w:rPr>
        <w:t>re.  Il</w:t>
      </w:r>
      <w:r w:rsidRPr="00B81E8D">
        <w:rPr>
          <w:rFonts w:cs="Arial"/>
          <w:i/>
          <w:lang w:val="fr-FR" w:eastAsia="fr-FR"/>
        </w:rPr>
        <w:t xml:space="preserve"> se peut donc que des descriptions établies à partir de versions des principes directeurs d</w:t>
      </w:r>
      <w:r w:rsidR="00BF0AE0" w:rsidRPr="00B81E8D">
        <w:rPr>
          <w:rFonts w:cs="Arial"/>
          <w:i/>
          <w:lang w:val="fr-FR" w:eastAsia="fr-FR"/>
        </w:rPr>
        <w:t>’</w:t>
      </w:r>
      <w:r w:rsidRPr="00B81E8D">
        <w:rPr>
          <w:rFonts w:cs="Arial"/>
          <w:i/>
          <w:lang w:val="fr-FR" w:eastAsia="fr-FR"/>
        </w:rPr>
        <w:t>examen de l</w:t>
      </w:r>
      <w:r w:rsidR="00BF0AE0" w:rsidRPr="00B81E8D">
        <w:rPr>
          <w:rFonts w:cs="Arial"/>
          <w:i/>
          <w:lang w:val="fr-FR" w:eastAsia="fr-FR"/>
        </w:rPr>
        <w:t>’</w:t>
      </w:r>
      <w:r w:rsidRPr="00B81E8D">
        <w:rPr>
          <w:rFonts w:cs="Arial"/>
          <w:i/>
          <w:lang w:val="fr-FR" w:eastAsia="fr-FR"/>
        </w:rPr>
        <w:t>UPOV différentes pour une même espèce ou un même sous</w:t>
      </w:r>
      <w:r w:rsidR="00C102EB" w:rsidRPr="00B81E8D">
        <w:rPr>
          <w:rFonts w:cs="Arial"/>
          <w:i/>
          <w:lang w:val="fr-FR" w:eastAsia="fr-FR"/>
        </w:rPr>
        <w:noBreakHyphen/>
      </w:r>
      <w:r w:rsidRPr="00B81E8D">
        <w:rPr>
          <w:rFonts w:cs="Arial"/>
          <w:i/>
          <w:lang w:val="fr-FR" w:eastAsia="fr-FR"/>
        </w:rPr>
        <w:t>ensemble d</w:t>
      </w:r>
      <w:r w:rsidR="00BF0AE0" w:rsidRPr="00B81E8D">
        <w:rPr>
          <w:rFonts w:cs="Arial"/>
          <w:i/>
          <w:lang w:val="fr-FR" w:eastAsia="fr-FR"/>
        </w:rPr>
        <w:t>’</w:t>
      </w:r>
      <w:r w:rsidRPr="00B81E8D">
        <w:rPr>
          <w:rFonts w:cs="Arial"/>
          <w:i/>
          <w:lang w:val="fr-FR" w:eastAsia="fr-FR"/>
        </w:rPr>
        <w:t>espèces ne soient pas complètement compatibl</w:t>
      </w:r>
      <w:r w:rsidR="0056143F" w:rsidRPr="00B81E8D">
        <w:rPr>
          <w:rFonts w:cs="Arial"/>
          <w:i/>
          <w:lang w:val="fr-FR" w:eastAsia="fr-FR"/>
        </w:rPr>
        <w:t>es.  Da</w:t>
      </w:r>
      <w:r w:rsidRPr="00B81E8D">
        <w:rPr>
          <w:rFonts w:cs="Arial"/>
          <w:i/>
          <w:lang w:val="fr-FR" w:eastAsia="fr-FR"/>
        </w:rPr>
        <w:t>ns ce cas, les descriptions doivent être harmonisées, autant que faire se peut</w:t>
      </w:r>
      <w:r w:rsidR="00BF0AE0" w:rsidRPr="00B81E8D">
        <w:rPr>
          <w:rFonts w:cs="Arial"/>
          <w:i/>
          <w:lang w:val="fr-FR" w:eastAsia="fr-FR"/>
        </w:rPr>
        <w:t>.”</w:t>
      </w:r>
    </w:p>
    <w:p w:rsidR="004F1E20" w:rsidRPr="00B81E8D" w:rsidRDefault="004F1E20" w:rsidP="00A013CC">
      <w:pPr>
        <w:rPr>
          <w:rFonts w:cs="Arial"/>
          <w:lang w:val="fr-FR" w:eastAsia="fr-FR"/>
        </w:rPr>
      </w:pPr>
    </w:p>
    <w:p w:rsidR="00BF0AE0" w:rsidRPr="00B81E8D" w:rsidRDefault="00E15090" w:rsidP="00E15090">
      <w:pPr>
        <w:rPr>
          <w:rFonts w:cs="Arial"/>
          <w:lang w:val="fr-FR" w:eastAsia="fr-FR"/>
        </w:rPr>
      </w:pPr>
      <w:r w:rsidRPr="00B81E8D">
        <w:rPr>
          <w:rFonts w:cs="Arial"/>
          <w:lang w:val="fr-FR" w:eastAsia="fr-FR"/>
        </w:rPr>
        <w:t>La législation sur le droit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obtenteur dans l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Union européenne prévoit la possibilité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adapter la description officielle de la variété aux principes applicables afin de rendre la description de la variété sur laquelle un droit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obtenteur a été octroyé comparable aux descriptions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autres variét</w:t>
      </w:r>
      <w:r w:rsidR="0056143F" w:rsidRPr="00B81E8D">
        <w:rPr>
          <w:rFonts w:cs="Arial"/>
          <w:lang w:val="fr-FR" w:eastAsia="fr-FR"/>
        </w:rPr>
        <w:t>és.  Co</w:t>
      </w:r>
      <w:r w:rsidRPr="00B81E8D">
        <w:rPr>
          <w:rFonts w:cs="Arial"/>
          <w:lang w:val="fr-FR" w:eastAsia="fr-FR"/>
        </w:rPr>
        <w:t xml:space="preserve">mme ces modifications ont un caractère officiel, toutes les parties prenantes doivent </w:t>
      </w:r>
      <w:r w:rsidR="00EC1248" w:rsidRPr="00B81E8D">
        <w:rPr>
          <w:rFonts w:cs="Arial"/>
          <w:lang w:val="fr-FR" w:eastAsia="fr-FR"/>
        </w:rPr>
        <w:t xml:space="preserve">en </w:t>
      </w:r>
      <w:r w:rsidR="0050377A" w:rsidRPr="00B81E8D">
        <w:rPr>
          <w:rFonts w:cs="Arial"/>
          <w:lang w:val="fr-FR" w:eastAsia="fr-FR"/>
        </w:rPr>
        <w:t>avoir connaissance</w:t>
      </w:r>
      <w:r w:rsidR="00BF0AE0" w:rsidRPr="00B81E8D">
        <w:rPr>
          <w:rFonts w:cs="Arial"/>
          <w:lang w:val="fr-FR" w:eastAsia="fr-FR"/>
        </w:rPr>
        <w:t> :</w:t>
      </w:r>
      <w:r w:rsidRPr="00B81E8D">
        <w:rPr>
          <w:rFonts w:cs="Arial"/>
          <w:lang w:val="fr-FR" w:eastAsia="fr-FR"/>
        </w:rPr>
        <w:t xml:space="preserve"> le titulaire reçoit un document, les services chargés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octroyer le droit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 xml:space="preserve">obtenteur et le public sont informés des descriptions variétales officielles </w:t>
      </w:r>
      <w:r w:rsidR="00EC1248" w:rsidRPr="00B81E8D">
        <w:rPr>
          <w:rFonts w:cs="Arial"/>
          <w:lang w:val="fr-FR" w:eastAsia="fr-FR"/>
        </w:rPr>
        <w:t>modifiées de la même manière qu</w:t>
      </w:r>
      <w:r w:rsidR="00BF0AE0" w:rsidRPr="00B81E8D">
        <w:rPr>
          <w:rFonts w:cs="Arial"/>
          <w:lang w:val="fr-FR" w:eastAsia="fr-FR"/>
        </w:rPr>
        <w:t>’</w:t>
      </w:r>
      <w:r w:rsidR="00EC1248" w:rsidRPr="00B81E8D">
        <w:rPr>
          <w:rFonts w:cs="Arial"/>
          <w:lang w:val="fr-FR" w:eastAsia="fr-FR"/>
        </w:rPr>
        <w:t>ils sont informés</w:t>
      </w:r>
      <w:r w:rsidRPr="00B81E8D">
        <w:rPr>
          <w:rFonts w:cs="Arial"/>
          <w:lang w:val="fr-FR" w:eastAsia="fr-FR"/>
        </w:rPr>
        <w:t xml:space="preserve"> des descriptions initial</w:t>
      </w:r>
      <w:r w:rsidR="0056143F" w:rsidRPr="00B81E8D">
        <w:rPr>
          <w:rFonts w:cs="Arial"/>
          <w:lang w:val="fr-FR" w:eastAsia="fr-FR"/>
        </w:rPr>
        <w:t>es.  Ce</w:t>
      </w:r>
      <w:r w:rsidRPr="00B81E8D">
        <w:rPr>
          <w:rFonts w:cs="Arial"/>
          <w:lang w:val="fr-FR" w:eastAsia="fr-FR"/>
        </w:rPr>
        <w:t>la signifie que l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 xml:space="preserve">OCVV doit procéder à la publication au Journal officiel et </w:t>
      </w:r>
      <w:r w:rsidR="00EC1248" w:rsidRPr="00B81E8D">
        <w:rPr>
          <w:rFonts w:cs="Arial"/>
          <w:lang w:val="fr-FR" w:eastAsia="fr-FR"/>
        </w:rPr>
        <w:t>permettre</w:t>
      </w:r>
      <w:r w:rsidRPr="00B81E8D">
        <w:rPr>
          <w:rFonts w:cs="Arial"/>
          <w:lang w:val="fr-FR" w:eastAsia="fr-FR"/>
        </w:rPr>
        <w:t xml:space="preserve"> l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accès du public au document sur deman</w:t>
      </w:r>
      <w:r w:rsidR="0056143F" w:rsidRPr="00B81E8D">
        <w:rPr>
          <w:rFonts w:cs="Arial"/>
          <w:lang w:val="fr-FR" w:eastAsia="fr-FR"/>
        </w:rPr>
        <w:t>de.  Ce</w:t>
      </w:r>
      <w:r w:rsidRPr="00B81E8D">
        <w:rPr>
          <w:rFonts w:cs="Arial"/>
          <w:lang w:val="fr-FR" w:eastAsia="fr-FR"/>
        </w:rPr>
        <w:t>pendant, dans la pratique, l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OCVV n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 xml:space="preserve">a quasiment jamais </w:t>
      </w:r>
      <w:r w:rsidR="00EC1248" w:rsidRPr="00B81E8D">
        <w:rPr>
          <w:rFonts w:cs="Arial"/>
          <w:lang w:val="fr-FR" w:eastAsia="fr-FR"/>
        </w:rPr>
        <w:t>utilisé</w:t>
      </w:r>
      <w:r w:rsidRPr="00B81E8D">
        <w:rPr>
          <w:rFonts w:cs="Arial"/>
          <w:lang w:val="fr-FR" w:eastAsia="fr-FR"/>
        </w:rPr>
        <w:t xml:space="preserve"> cette possibilité prévue par le législateur.</w:t>
      </w:r>
    </w:p>
    <w:p w:rsidR="004F1E20" w:rsidRPr="00B81E8D" w:rsidRDefault="004F1E20" w:rsidP="00A013CC">
      <w:pPr>
        <w:rPr>
          <w:rFonts w:cs="Arial"/>
          <w:lang w:val="fr-FR" w:eastAsia="fr-FR"/>
        </w:rPr>
      </w:pPr>
    </w:p>
    <w:p w:rsidR="00BF0AE0" w:rsidRPr="00B81E8D" w:rsidRDefault="00E15090" w:rsidP="005529D3">
      <w:pPr>
        <w:rPr>
          <w:rFonts w:cs="Arial"/>
          <w:lang w:val="fr-FR" w:eastAsia="fr-FR"/>
        </w:rPr>
      </w:pPr>
      <w:r w:rsidRPr="00B81E8D">
        <w:rPr>
          <w:rFonts w:cs="Arial"/>
          <w:lang w:val="fr-FR" w:eastAsia="fr-FR"/>
        </w:rPr>
        <w:lastRenderedPageBreak/>
        <w:t>Indépend</w:t>
      </w:r>
      <w:bookmarkStart w:id="5" w:name="_GoBack"/>
      <w:bookmarkEnd w:id="5"/>
      <w:r w:rsidRPr="00B81E8D">
        <w:rPr>
          <w:rFonts w:cs="Arial"/>
          <w:lang w:val="fr-FR" w:eastAsia="fr-FR"/>
        </w:rPr>
        <w:t>amment des modifications des descriptions variétales officielles, les services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 xml:space="preserve">examen actualisent régulièrement leurs données descriptives pour </w:t>
      </w:r>
      <w:r w:rsidR="0050377A" w:rsidRPr="00B81E8D">
        <w:rPr>
          <w:rFonts w:cs="Arial"/>
          <w:lang w:val="fr-FR" w:eastAsia="fr-FR"/>
        </w:rPr>
        <w:t>tenir compte de</w:t>
      </w:r>
      <w:r w:rsidRPr="00B81E8D">
        <w:rPr>
          <w:rFonts w:cs="Arial"/>
          <w:lang w:val="fr-FR" w:eastAsia="fr-FR"/>
        </w:rPr>
        <w:t xml:space="preserve"> l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évolution des principes directeurs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exam</w:t>
      </w:r>
      <w:r w:rsidR="0056143F" w:rsidRPr="00B81E8D">
        <w:rPr>
          <w:rFonts w:cs="Arial"/>
          <w:lang w:val="fr-FR" w:eastAsia="fr-FR"/>
        </w:rPr>
        <w:t>en.  Ce</w:t>
      </w:r>
      <w:r w:rsidR="005529D3" w:rsidRPr="00B81E8D">
        <w:rPr>
          <w:rFonts w:cs="Arial"/>
          <w:lang w:val="fr-FR" w:eastAsia="fr-FR"/>
        </w:rPr>
        <w:t>s actualisations ont un but pratique et n</w:t>
      </w:r>
      <w:r w:rsidR="00BF0AE0" w:rsidRPr="00B81E8D">
        <w:rPr>
          <w:rFonts w:cs="Arial"/>
          <w:lang w:val="fr-FR" w:eastAsia="fr-FR"/>
        </w:rPr>
        <w:t>’</w:t>
      </w:r>
      <w:r w:rsidR="005529D3" w:rsidRPr="00B81E8D">
        <w:rPr>
          <w:rFonts w:cs="Arial"/>
          <w:lang w:val="fr-FR" w:eastAsia="fr-FR"/>
        </w:rPr>
        <w:t>ont pas d</w:t>
      </w:r>
      <w:r w:rsidR="00BF0AE0" w:rsidRPr="00B81E8D">
        <w:rPr>
          <w:rFonts w:cs="Arial"/>
          <w:lang w:val="fr-FR" w:eastAsia="fr-FR"/>
        </w:rPr>
        <w:t>’</w:t>
      </w:r>
      <w:r w:rsidR="005529D3" w:rsidRPr="00B81E8D">
        <w:rPr>
          <w:rFonts w:cs="Arial"/>
          <w:lang w:val="fr-FR" w:eastAsia="fr-FR"/>
        </w:rPr>
        <w:t>incidence sur la description officielle de la variété.</w:t>
      </w:r>
    </w:p>
    <w:p w:rsidR="004F1E20" w:rsidRPr="00B81E8D" w:rsidRDefault="004F1E20" w:rsidP="004F5247">
      <w:pPr>
        <w:ind w:left="1080"/>
        <w:rPr>
          <w:rFonts w:cs="Arial"/>
          <w:lang w:val="fr-FR" w:eastAsia="fr-FR"/>
        </w:rPr>
      </w:pPr>
    </w:p>
    <w:p w:rsidR="004F1E20" w:rsidRPr="00B81E8D" w:rsidRDefault="005529D3" w:rsidP="003C5F55">
      <w:pPr>
        <w:numPr>
          <w:ilvl w:val="0"/>
          <w:numId w:val="3"/>
        </w:numPr>
        <w:tabs>
          <w:tab w:val="left" w:pos="567"/>
        </w:tabs>
        <w:ind w:left="0" w:firstLine="0"/>
        <w:jc w:val="left"/>
        <w:rPr>
          <w:rFonts w:cs="Arial"/>
          <w:lang w:val="fr-FR" w:eastAsia="fr-FR"/>
        </w:rPr>
      </w:pPr>
      <w:r w:rsidRPr="00B81E8D">
        <w:rPr>
          <w:rFonts w:cs="Arial"/>
          <w:lang w:val="fr-FR" w:eastAsia="fr-FR"/>
        </w:rPr>
        <w:t xml:space="preserve">Descriptions variétales dans les bases de données </w:t>
      </w:r>
      <w:r w:rsidR="00EC1248" w:rsidRPr="00B81E8D">
        <w:rPr>
          <w:rFonts w:cs="Arial"/>
          <w:lang w:val="fr-FR" w:eastAsia="fr-FR"/>
        </w:rPr>
        <w:t>partagées</w:t>
      </w:r>
    </w:p>
    <w:p w:rsidR="004F1E20" w:rsidRPr="00B81E8D" w:rsidRDefault="004F1E20" w:rsidP="004F5247">
      <w:pPr>
        <w:ind w:left="1080"/>
        <w:rPr>
          <w:rFonts w:cs="Arial"/>
          <w:lang w:val="fr-FR" w:eastAsia="fr-FR"/>
        </w:rPr>
      </w:pPr>
    </w:p>
    <w:p w:rsidR="00BF0AE0" w:rsidRPr="00B81E8D" w:rsidRDefault="002F6C1C" w:rsidP="002F6C1C">
      <w:pPr>
        <w:rPr>
          <w:rFonts w:cs="Arial"/>
          <w:lang w:val="fr-FR" w:eastAsia="fr-FR"/>
        </w:rPr>
      </w:pPr>
      <w:r w:rsidRPr="00B81E8D">
        <w:rPr>
          <w:rFonts w:cs="Arial"/>
          <w:lang w:val="fr-FR" w:eastAsia="fr-FR"/>
        </w:rPr>
        <w:t xml:space="preserve">Les bases de données </w:t>
      </w:r>
      <w:r w:rsidR="00EC1248" w:rsidRPr="00B81E8D">
        <w:rPr>
          <w:rFonts w:cs="Arial"/>
          <w:lang w:val="fr-FR" w:eastAsia="fr-FR"/>
        </w:rPr>
        <w:t xml:space="preserve">partagées </w:t>
      </w:r>
      <w:r w:rsidRPr="00B81E8D">
        <w:rPr>
          <w:rFonts w:cs="Arial"/>
          <w:lang w:val="fr-FR" w:eastAsia="fr-FR"/>
        </w:rPr>
        <w:t xml:space="preserve">ont pour objet de fournir aux examinateurs des informations sur les variétés </w:t>
      </w:r>
      <w:r w:rsidR="0050377A" w:rsidRPr="00B81E8D">
        <w:rPr>
          <w:rFonts w:cs="Arial"/>
          <w:lang w:val="fr-FR" w:eastAsia="fr-FR"/>
        </w:rPr>
        <w:t>pour</w:t>
      </w:r>
      <w:r w:rsidRPr="00B81E8D">
        <w:rPr>
          <w:rFonts w:cs="Arial"/>
          <w:lang w:val="fr-FR" w:eastAsia="fr-FR"/>
        </w:rPr>
        <w:t xml:space="preserve"> que les variétés de référence concernées puissent être aisément identifié</w:t>
      </w:r>
      <w:r w:rsidR="0056143F" w:rsidRPr="00B81E8D">
        <w:rPr>
          <w:rFonts w:cs="Arial"/>
          <w:lang w:val="fr-FR" w:eastAsia="fr-FR"/>
        </w:rPr>
        <w:t>es.  Lo</w:t>
      </w:r>
      <w:r w:rsidRPr="00B81E8D">
        <w:rPr>
          <w:rFonts w:cs="Arial"/>
          <w:lang w:val="fr-FR" w:eastAsia="fr-FR"/>
        </w:rPr>
        <w:t>rsqu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un examinateur n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a pas encore cultivé la variété de référence en question, les informations provenant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autres sources officielles peuvent être très utiles.</w:t>
      </w:r>
    </w:p>
    <w:p w:rsidR="004F1E20" w:rsidRPr="00B81E8D" w:rsidRDefault="004F1E20" w:rsidP="00A013CC">
      <w:pPr>
        <w:rPr>
          <w:rFonts w:cs="Arial"/>
          <w:lang w:val="fr-FR" w:eastAsia="fr-FR"/>
        </w:rPr>
      </w:pPr>
    </w:p>
    <w:p w:rsidR="004F1E20" w:rsidRPr="00B81E8D" w:rsidRDefault="00E0324A" w:rsidP="00F37B1C">
      <w:pPr>
        <w:rPr>
          <w:rFonts w:cs="Arial"/>
          <w:lang w:val="fr-FR" w:eastAsia="fr-FR"/>
        </w:rPr>
      </w:pPr>
      <w:r w:rsidRPr="00B81E8D">
        <w:rPr>
          <w:rFonts w:cs="Arial"/>
          <w:lang w:val="fr-FR" w:eastAsia="fr-FR"/>
        </w:rPr>
        <w:t>L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enquête menée par l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OCVV auprès de ses services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 xml:space="preserve">examen a </w:t>
      </w:r>
      <w:r w:rsidR="00EC1248" w:rsidRPr="00B81E8D">
        <w:rPr>
          <w:rFonts w:cs="Arial"/>
          <w:lang w:val="fr-FR" w:eastAsia="fr-FR"/>
        </w:rPr>
        <w:t>fait ressortir</w:t>
      </w:r>
      <w:r w:rsidRPr="00B81E8D">
        <w:rPr>
          <w:rFonts w:cs="Arial"/>
          <w:lang w:val="fr-FR" w:eastAsia="fr-FR"/>
        </w:rPr>
        <w:t xml:space="preserve"> plusieurs méthod</w:t>
      </w:r>
      <w:r w:rsidR="0056143F" w:rsidRPr="00B81E8D">
        <w:rPr>
          <w:rFonts w:cs="Arial"/>
          <w:lang w:val="fr-FR" w:eastAsia="fr-FR"/>
        </w:rPr>
        <w:t>es.  Ce</w:t>
      </w:r>
      <w:r w:rsidRPr="00B81E8D">
        <w:rPr>
          <w:rFonts w:cs="Arial"/>
          <w:lang w:val="fr-FR" w:eastAsia="fr-FR"/>
        </w:rPr>
        <w:t>rtains services ne fournissent que des descriptions variétales officielles tandis que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 xml:space="preserve">autres communiquent toutes les données descriptives recueillies pendant plusieurs saisons de végétation, </w:t>
      </w:r>
      <w:r w:rsidR="00BF0AE0" w:rsidRPr="00B81E8D">
        <w:rPr>
          <w:rFonts w:cs="Arial"/>
          <w:lang w:val="fr-FR" w:eastAsia="fr-FR"/>
        </w:rPr>
        <w:t>y compris</w:t>
      </w:r>
      <w:r w:rsidR="00EC1248" w:rsidRPr="00B81E8D">
        <w:rPr>
          <w:rFonts w:cs="Arial"/>
          <w:lang w:val="fr-FR" w:eastAsia="fr-FR"/>
        </w:rPr>
        <w:t xml:space="preserve"> </w:t>
      </w:r>
      <w:r w:rsidRPr="00B81E8D">
        <w:rPr>
          <w:rFonts w:cs="Arial"/>
          <w:lang w:val="fr-FR" w:eastAsia="fr-FR"/>
        </w:rPr>
        <w:t>après l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octroi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un droit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obtente</w:t>
      </w:r>
      <w:r w:rsidR="0056143F" w:rsidRPr="00B81E8D">
        <w:rPr>
          <w:rFonts w:cs="Arial"/>
          <w:lang w:val="fr-FR" w:eastAsia="fr-FR"/>
        </w:rPr>
        <w:t>ur.  Co</w:t>
      </w:r>
      <w:r w:rsidR="00EC1248" w:rsidRPr="00B81E8D">
        <w:rPr>
          <w:rFonts w:cs="Arial"/>
          <w:lang w:val="fr-FR" w:eastAsia="fr-FR"/>
        </w:rPr>
        <w:t>nserver l</w:t>
      </w:r>
      <w:r w:rsidRPr="00B81E8D">
        <w:rPr>
          <w:rFonts w:cs="Arial"/>
          <w:lang w:val="fr-FR" w:eastAsia="fr-FR"/>
        </w:rPr>
        <w:t xml:space="preserve">es descriptions variétales officielles </w:t>
      </w:r>
      <w:r w:rsidR="006A3FBA" w:rsidRPr="00B81E8D">
        <w:rPr>
          <w:rFonts w:cs="Arial"/>
          <w:lang w:val="fr-FR" w:eastAsia="fr-FR"/>
        </w:rPr>
        <w:t>est peut</w:t>
      </w:r>
      <w:r w:rsidR="00C102EB" w:rsidRPr="00B81E8D">
        <w:rPr>
          <w:rFonts w:cs="Arial"/>
          <w:lang w:val="fr-FR" w:eastAsia="fr-FR"/>
        </w:rPr>
        <w:noBreakHyphen/>
      </w:r>
      <w:r w:rsidRPr="00B81E8D">
        <w:rPr>
          <w:rFonts w:cs="Arial"/>
          <w:lang w:val="fr-FR" w:eastAsia="fr-FR"/>
        </w:rPr>
        <w:t>être simple</w:t>
      </w:r>
      <w:r w:rsidR="00EC1248" w:rsidRPr="00B81E8D">
        <w:rPr>
          <w:rFonts w:cs="Arial"/>
          <w:lang w:val="fr-FR" w:eastAsia="fr-FR"/>
        </w:rPr>
        <w:t xml:space="preserve"> mais </w:t>
      </w:r>
      <w:r w:rsidRPr="00B81E8D">
        <w:rPr>
          <w:rFonts w:cs="Arial"/>
          <w:lang w:val="fr-FR" w:eastAsia="fr-FR"/>
        </w:rPr>
        <w:t xml:space="preserve">la variété a été décrite </w:t>
      </w:r>
      <w:r w:rsidR="0050377A" w:rsidRPr="00B81E8D">
        <w:rPr>
          <w:rFonts w:cs="Arial"/>
          <w:lang w:val="fr-FR" w:eastAsia="fr-FR"/>
        </w:rPr>
        <w:t xml:space="preserve">pendant une </w:t>
      </w:r>
      <w:r w:rsidRPr="00B81E8D">
        <w:rPr>
          <w:rFonts w:cs="Arial"/>
          <w:lang w:val="fr-FR" w:eastAsia="fr-FR"/>
        </w:rPr>
        <w:t xml:space="preserve">année </w:t>
      </w:r>
      <w:r w:rsidR="0050377A" w:rsidRPr="00B81E8D">
        <w:rPr>
          <w:rFonts w:cs="Arial"/>
          <w:lang w:val="fr-FR" w:eastAsia="fr-FR"/>
        </w:rPr>
        <w:t xml:space="preserve">donnée et dans </w:t>
      </w:r>
      <w:r w:rsidRPr="00B81E8D">
        <w:rPr>
          <w:rFonts w:cs="Arial"/>
          <w:lang w:val="fr-FR" w:eastAsia="fr-FR"/>
        </w:rPr>
        <w:t>de</w:t>
      </w:r>
      <w:r w:rsidR="0050377A" w:rsidRPr="00B81E8D">
        <w:rPr>
          <w:rFonts w:cs="Arial"/>
          <w:lang w:val="fr-FR" w:eastAsia="fr-FR"/>
        </w:rPr>
        <w:t>s</w:t>
      </w:r>
      <w:r w:rsidRPr="00B81E8D">
        <w:rPr>
          <w:rFonts w:cs="Arial"/>
          <w:lang w:val="fr-FR" w:eastAsia="fr-FR"/>
        </w:rPr>
        <w:t xml:space="preserve"> conditions environnementales particulières</w:t>
      </w:r>
      <w:r w:rsidR="0050377A" w:rsidRPr="00B81E8D">
        <w:rPr>
          <w:rFonts w:cs="Arial"/>
          <w:lang w:val="fr-FR" w:eastAsia="fr-FR"/>
        </w:rPr>
        <w:t>,</w:t>
      </w:r>
      <w:r w:rsidRPr="00B81E8D">
        <w:rPr>
          <w:rFonts w:cs="Arial"/>
          <w:lang w:val="fr-FR" w:eastAsia="fr-FR"/>
        </w:rPr>
        <w:t xml:space="preserve"> il est donc possible que sa description ne soit pas vraiment représentative pour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autres lieux de cultu</w:t>
      </w:r>
      <w:r w:rsidR="0056143F" w:rsidRPr="00B81E8D">
        <w:rPr>
          <w:rFonts w:cs="Arial"/>
          <w:lang w:val="fr-FR" w:eastAsia="fr-FR"/>
        </w:rPr>
        <w:t>re.  Le</w:t>
      </w:r>
      <w:r w:rsidRPr="00B81E8D">
        <w:rPr>
          <w:rFonts w:cs="Arial"/>
          <w:lang w:val="fr-FR" w:eastAsia="fr-FR"/>
        </w:rPr>
        <w:t>s examinateurs travaillant pour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autres services chargés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octroyer des droits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obtenteur ne connaiss</w:t>
      </w:r>
      <w:r w:rsidR="0050377A" w:rsidRPr="00B81E8D">
        <w:rPr>
          <w:rFonts w:cs="Arial"/>
          <w:lang w:val="fr-FR" w:eastAsia="fr-FR"/>
        </w:rPr>
        <w:t>e</w:t>
      </w:r>
      <w:r w:rsidRPr="00B81E8D">
        <w:rPr>
          <w:rFonts w:cs="Arial"/>
          <w:lang w:val="fr-FR" w:eastAsia="fr-FR"/>
        </w:rPr>
        <w:t>nt général</w:t>
      </w:r>
      <w:r w:rsidR="00EC1248" w:rsidRPr="00B81E8D">
        <w:rPr>
          <w:rFonts w:cs="Arial"/>
          <w:lang w:val="fr-FR" w:eastAsia="fr-FR"/>
        </w:rPr>
        <w:t>ement</w:t>
      </w:r>
      <w:r w:rsidRPr="00B81E8D">
        <w:rPr>
          <w:rFonts w:cs="Arial"/>
          <w:lang w:val="fr-FR" w:eastAsia="fr-FR"/>
        </w:rPr>
        <w:t xml:space="preserve"> pas les conditions dans lesquelles la description d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 xml:space="preserve">une variété donnée a été </w:t>
      </w:r>
      <w:r w:rsidR="00EC1248" w:rsidRPr="00B81E8D">
        <w:rPr>
          <w:rFonts w:cs="Arial"/>
          <w:lang w:val="fr-FR" w:eastAsia="fr-FR"/>
        </w:rPr>
        <w:t>élaborée</w:t>
      </w:r>
      <w:r w:rsidR="0050377A" w:rsidRPr="00B81E8D">
        <w:rPr>
          <w:rFonts w:cs="Arial"/>
          <w:lang w:val="fr-FR" w:eastAsia="fr-FR"/>
        </w:rPr>
        <w:t>,</w:t>
      </w:r>
      <w:r w:rsidRPr="00B81E8D">
        <w:rPr>
          <w:rFonts w:cs="Arial"/>
          <w:lang w:val="fr-FR" w:eastAsia="fr-FR"/>
        </w:rPr>
        <w:t xml:space="preserve"> ils peuvent donc être induits en erre</w:t>
      </w:r>
      <w:r w:rsidR="0056143F" w:rsidRPr="00B81E8D">
        <w:rPr>
          <w:rFonts w:cs="Arial"/>
          <w:lang w:val="fr-FR" w:eastAsia="fr-FR"/>
        </w:rPr>
        <w:t>ur.  En</w:t>
      </w:r>
      <w:r w:rsidR="00F37B1C" w:rsidRPr="00B81E8D">
        <w:rPr>
          <w:rFonts w:cs="Arial"/>
          <w:lang w:val="fr-FR" w:eastAsia="fr-FR"/>
        </w:rPr>
        <w:t xml:space="preserve"> revanche, si </w:t>
      </w:r>
      <w:r w:rsidR="00EC1248" w:rsidRPr="00B81E8D">
        <w:rPr>
          <w:rFonts w:cs="Arial"/>
          <w:lang w:val="fr-FR" w:eastAsia="fr-FR"/>
        </w:rPr>
        <w:t>la</w:t>
      </w:r>
      <w:r w:rsidR="00F37B1C" w:rsidRPr="00B81E8D">
        <w:rPr>
          <w:rFonts w:cs="Arial"/>
          <w:lang w:val="fr-FR" w:eastAsia="fr-FR"/>
        </w:rPr>
        <w:t xml:space="preserve"> base de données </w:t>
      </w:r>
      <w:r w:rsidR="00EC1248" w:rsidRPr="00B81E8D">
        <w:rPr>
          <w:rFonts w:cs="Arial"/>
          <w:lang w:val="fr-FR" w:eastAsia="fr-FR"/>
        </w:rPr>
        <w:t>est régulièrement alimentée</w:t>
      </w:r>
      <w:r w:rsidR="00F37B1C" w:rsidRPr="00B81E8D">
        <w:rPr>
          <w:rFonts w:cs="Arial"/>
          <w:lang w:val="fr-FR" w:eastAsia="fr-FR"/>
        </w:rPr>
        <w:t xml:space="preserve"> avec des données relatives à une variété particulière, les données descriptives recueillies sur plusieurs années fournissent des informations précieuses sur la gamme des variations que la variété peut exprimer.</w:t>
      </w:r>
    </w:p>
    <w:p w:rsidR="004F1E20" w:rsidRPr="00B81E8D" w:rsidRDefault="004F1E20" w:rsidP="00A013CC">
      <w:pPr>
        <w:rPr>
          <w:rFonts w:cs="Arial"/>
          <w:lang w:val="fr-FR" w:eastAsia="fr-FR"/>
        </w:rPr>
      </w:pPr>
    </w:p>
    <w:p w:rsidR="00BF0AE0" w:rsidRPr="00B81E8D" w:rsidRDefault="00F37B1C" w:rsidP="00F37B1C">
      <w:pPr>
        <w:rPr>
          <w:rFonts w:cs="Arial"/>
          <w:lang w:val="fr-FR" w:eastAsia="fr-FR"/>
        </w:rPr>
      </w:pPr>
      <w:r w:rsidRPr="00B81E8D">
        <w:rPr>
          <w:rFonts w:cs="Arial"/>
          <w:lang w:val="fr-FR" w:eastAsia="fr-FR"/>
        </w:rPr>
        <w:t>Il a donc été conclu qu</w:t>
      </w:r>
      <w:r w:rsidR="00BF0AE0" w:rsidRPr="00B81E8D">
        <w:rPr>
          <w:rFonts w:cs="Arial"/>
          <w:lang w:val="fr-FR" w:eastAsia="fr-FR"/>
        </w:rPr>
        <w:t>’</w:t>
      </w:r>
      <w:r w:rsidRPr="00B81E8D">
        <w:rPr>
          <w:rFonts w:cs="Arial"/>
          <w:lang w:val="fr-FR" w:eastAsia="fr-FR"/>
        </w:rPr>
        <w:t>une bas</w:t>
      </w:r>
      <w:r w:rsidR="00F458C5" w:rsidRPr="00B81E8D">
        <w:rPr>
          <w:rFonts w:cs="Arial"/>
          <w:lang w:val="fr-FR" w:eastAsia="fr-FR"/>
        </w:rPr>
        <w:t xml:space="preserve">e de données </w:t>
      </w:r>
      <w:r w:rsidR="00EC1248" w:rsidRPr="00B81E8D">
        <w:rPr>
          <w:rFonts w:cs="Arial"/>
          <w:lang w:val="fr-FR" w:eastAsia="fr-FR"/>
        </w:rPr>
        <w:t>partagée pouvait</w:t>
      </w:r>
      <w:r w:rsidR="00F458C5" w:rsidRPr="00B81E8D">
        <w:rPr>
          <w:rFonts w:cs="Arial"/>
          <w:lang w:val="fr-FR" w:eastAsia="fr-FR"/>
        </w:rPr>
        <w:t xml:space="preserve"> attei</w:t>
      </w:r>
      <w:r w:rsidRPr="00B81E8D">
        <w:rPr>
          <w:rFonts w:cs="Arial"/>
          <w:lang w:val="fr-FR" w:eastAsia="fr-FR"/>
        </w:rPr>
        <w:t>n</w:t>
      </w:r>
      <w:r w:rsidR="00F458C5" w:rsidRPr="00B81E8D">
        <w:rPr>
          <w:rFonts w:cs="Arial"/>
          <w:lang w:val="fr-FR" w:eastAsia="fr-FR"/>
        </w:rPr>
        <w:t>d</w:t>
      </w:r>
      <w:r w:rsidRPr="00B81E8D">
        <w:rPr>
          <w:rFonts w:cs="Arial"/>
          <w:lang w:val="fr-FR" w:eastAsia="fr-FR"/>
        </w:rPr>
        <w:t xml:space="preserve">re son but, </w:t>
      </w:r>
      <w:r w:rsidR="00BF0AE0" w:rsidRPr="00B81E8D">
        <w:rPr>
          <w:rFonts w:cs="Arial"/>
          <w:lang w:val="fr-FR" w:eastAsia="fr-FR"/>
        </w:rPr>
        <w:t>à savoir</w:t>
      </w:r>
      <w:r w:rsidRPr="00B81E8D">
        <w:rPr>
          <w:rFonts w:cs="Arial"/>
          <w:lang w:val="fr-FR" w:eastAsia="fr-FR"/>
        </w:rPr>
        <w:t xml:space="preserve"> </w:t>
      </w:r>
      <w:r w:rsidR="00EC1248" w:rsidRPr="00B81E8D">
        <w:rPr>
          <w:rFonts w:cs="Arial"/>
          <w:lang w:val="fr-FR" w:eastAsia="fr-FR"/>
        </w:rPr>
        <w:t>faciliter</w:t>
      </w:r>
      <w:r w:rsidRPr="00B81E8D">
        <w:rPr>
          <w:rFonts w:cs="Arial"/>
          <w:lang w:val="fr-FR" w:eastAsia="fr-FR"/>
        </w:rPr>
        <w:t xml:space="preserve"> la sélection efficace des variétés de référence pertinentes, uniquement à condition que le contenu (les données) à fournir soit clairement défini et </w:t>
      </w:r>
      <w:r w:rsidR="0050377A" w:rsidRPr="00B81E8D">
        <w:rPr>
          <w:rFonts w:cs="Arial"/>
          <w:lang w:val="fr-FR" w:eastAsia="fr-FR"/>
        </w:rPr>
        <w:t>convenu par les utilisateurs et</w:t>
      </w:r>
      <w:r w:rsidRPr="00B81E8D">
        <w:rPr>
          <w:rFonts w:cs="Arial"/>
          <w:lang w:val="fr-FR" w:eastAsia="fr-FR"/>
        </w:rPr>
        <w:t xml:space="preserve"> que tou</w:t>
      </w:r>
      <w:r w:rsidR="00F458C5" w:rsidRPr="00B81E8D">
        <w:rPr>
          <w:rFonts w:cs="Arial"/>
          <w:lang w:val="fr-FR" w:eastAsia="fr-FR"/>
        </w:rPr>
        <w:t>s</w:t>
      </w:r>
      <w:r w:rsidRPr="00B81E8D">
        <w:rPr>
          <w:rFonts w:cs="Arial"/>
          <w:lang w:val="fr-FR" w:eastAsia="fr-FR"/>
        </w:rPr>
        <w:t xml:space="preserve"> les utilisateurs de la base de données soient informés des précautions à prendre aux fins de la comparaison des données.</w:t>
      </w:r>
    </w:p>
    <w:p w:rsidR="004F1E20" w:rsidRPr="00B81E8D" w:rsidRDefault="004F1E20" w:rsidP="004F5247">
      <w:pPr>
        <w:rPr>
          <w:rFonts w:cs="Arial"/>
          <w:lang w:val="fr-FR" w:eastAsia="fr-FR"/>
        </w:rPr>
      </w:pPr>
    </w:p>
    <w:p w:rsidR="004F1E20" w:rsidRDefault="004F1E20" w:rsidP="004F5247">
      <w:pPr>
        <w:rPr>
          <w:rFonts w:cs="Arial"/>
          <w:lang w:val="fr-FR" w:eastAsia="fr-FR"/>
        </w:rPr>
      </w:pPr>
    </w:p>
    <w:p w:rsidR="004F1E20" w:rsidRDefault="00F37B1C" w:rsidP="00F37B1C">
      <w:pPr>
        <w:jc w:val="right"/>
        <w:rPr>
          <w:rFonts w:cs="Arial"/>
          <w:lang w:val="fr-FR"/>
        </w:rPr>
      </w:pPr>
      <w:r w:rsidRPr="00B81E8D">
        <w:rPr>
          <w:rFonts w:cs="Arial"/>
          <w:lang w:val="fr-FR"/>
        </w:rPr>
        <w:t>[Fin de l</w:t>
      </w:r>
      <w:r w:rsidR="00BF0AE0" w:rsidRPr="00B81E8D">
        <w:rPr>
          <w:rFonts w:cs="Arial"/>
          <w:lang w:val="fr-FR"/>
        </w:rPr>
        <w:t>’</w:t>
      </w:r>
      <w:r w:rsidRPr="00B81E8D">
        <w:rPr>
          <w:rFonts w:cs="Arial"/>
          <w:lang w:val="fr-FR"/>
        </w:rPr>
        <w:t>annexe et du document]</w:t>
      </w:r>
    </w:p>
    <w:p w:rsidR="00980F4A" w:rsidRPr="00B81E8D" w:rsidRDefault="00980F4A" w:rsidP="00F37B1C">
      <w:pPr>
        <w:jc w:val="right"/>
        <w:rPr>
          <w:rFonts w:cs="Arial"/>
          <w:lang w:val="fr-FR"/>
        </w:rPr>
      </w:pPr>
    </w:p>
    <w:sectPr w:rsidR="00980F4A" w:rsidRPr="00B81E8D" w:rsidSect="001D6E7A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3A" w:rsidRDefault="008B1B3A" w:rsidP="006655D3">
      <w:r>
        <w:separator/>
      </w:r>
    </w:p>
    <w:p w:rsidR="008B1B3A" w:rsidRDefault="008B1B3A" w:rsidP="006655D3"/>
    <w:p w:rsidR="008B1B3A" w:rsidRDefault="008B1B3A" w:rsidP="006655D3"/>
  </w:endnote>
  <w:endnote w:type="continuationSeparator" w:id="0">
    <w:p w:rsidR="008B1B3A" w:rsidRDefault="008B1B3A" w:rsidP="006655D3">
      <w:r>
        <w:separator/>
      </w:r>
    </w:p>
    <w:p w:rsidR="008B1B3A" w:rsidRPr="00294751" w:rsidRDefault="008B1B3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B1B3A" w:rsidRPr="00294751" w:rsidRDefault="008B1B3A" w:rsidP="006655D3">
      <w:pPr>
        <w:rPr>
          <w:lang w:val="fr-FR"/>
        </w:rPr>
      </w:pPr>
    </w:p>
    <w:p w:rsidR="008B1B3A" w:rsidRPr="00294751" w:rsidRDefault="008B1B3A" w:rsidP="006655D3">
      <w:pPr>
        <w:rPr>
          <w:lang w:val="fr-FR"/>
        </w:rPr>
      </w:pPr>
    </w:p>
  </w:endnote>
  <w:endnote w:type="continuationNotice" w:id="1">
    <w:p w:rsidR="008B1B3A" w:rsidRPr="00294751" w:rsidRDefault="008B1B3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B1B3A" w:rsidRPr="00294751" w:rsidRDefault="008B1B3A" w:rsidP="006655D3">
      <w:pPr>
        <w:rPr>
          <w:lang w:val="fr-FR"/>
        </w:rPr>
      </w:pPr>
    </w:p>
    <w:p w:rsidR="008B1B3A" w:rsidRPr="00294751" w:rsidRDefault="008B1B3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3A" w:rsidRDefault="008B1B3A" w:rsidP="006655D3">
      <w:r>
        <w:separator/>
      </w:r>
    </w:p>
  </w:footnote>
  <w:footnote w:type="continuationSeparator" w:id="0">
    <w:p w:rsidR="008B1B3A" w:rsidRDefault="008B1B3A" w:rsidP="006655D3">
      <w:r>
        <w:separator/>
      </w:r>
    </w:p>
  </w:footnote>
  <w:footnote w:type="continuationNotice" w:id="1">
    <w:p w:rsidR="008B1B3A" w:rsidRPr="00AB530F" w:rsidRDefault="008B1B3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8B6E6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</w:t>
    </w:r>
    <w:r w:rsidR="00667404">
      <w:rPr>
        <w:rStyle w:val="PageNumber"/>
        <w:lang w:val="en-US"/>
      </w:rPr>
      <w:t>/</w:t>
    </w:r>
    <w:r w:rsidR="00A52CCA">
      <w:rPr>
        <w:rStyle w:val="PageNumber"/>
        <w:lang w:val="en-US"/>
      </w:rPr>
      <w:t>28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56143F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80F4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E74EE" w:rsidRDefault="00DE74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7A" w:rsidRPr="00C5280D" w:rsidRDefault="001D6E7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TC/54/28</w:t>
    </w:r>
  </w:p>
  <w:p w:rsidR="001D6E7A" w:rsidRPr="00C5280D" w:rsidRDefault="001D6E7A" w:rsidP="00EB048E">
    <w:pPr>
      <w:pStyle w:val="Header"/>
      <w:rPr>
        <w:lang w:val="en-US"/>
      </w:rPr>
    </w:pPr>
    <w:r w:rsidRPr="00BE3B53">
      <w:t>Annex</w:t>
    </w:r>
    <w:r w:rsidR="002869AE" w:rsidRPr="00BE3B53">
      <w:t>e</w:t>
    </w:r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80F4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D6E7A" w:rsidRPr="00C5280D" w:rsidRDefault="001D6E7A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7A" w:rsidRPr="00C5280D" w:rsidRDefault="001D6E7A" w:rsidP="001D6E7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TC/54/28</w:t>
    </w:r>
  </w:p>
  <w:p w:rsidR="001D6E7A" w:rsidRDefault="001D6E7A" w:rsidP="001D6E7A">
    <w:pPr>
      <w:pStyle w:val="Header"/>
      <w:rPr>
        <w:lang w:val="en-US"/>
      </w:rPr>
    </w:pPr>
  </w:p>
  <w:p w:rsidR="001D6E7A" w:rsidRDefault="001D6E7A">
    <w:pPr>
      <w:pStyle w:val="Header"/>
      <w:rPr>
        <w:lang w:val="en-US"/>
      </w:rPr>
    </w:pPr>
    <w:r>
      <w:rPr>
        <w:lang w:val="en-US"/>
      </w:rPr>
      <w:t>ANNEX</w:t>
    </w:r>
    <w:r w:rsidR="009017BF">
      <w:rPr>
        <w:lang w:val="en-US"/>
      </w:rPr>
      <w:t>E</w:t>
    </w:r>
  </w:p>
  <w:p w:rsidR="00980F4A" w:rsidRDefault="00980F4A">
    <w:pPr>
      <w:pStyle w:val="Header"/>
      <w:rPr>
        <w:lang w:val="en-US"/>
      </w:rPr>
    </w:pPr>
  </w:p>
  <w:p w:rsidR="00980F4A" w:rsidRDefault="00980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38F6"/>
    <w:multiLevelType w:val="hybridMultilevel"/>
    <w:tmpl w:val="0194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0370"/>
    <w:multiLevelType w:val="hybridMultilevel"/>
    <w:tmpl w:val="321A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66ED6"/>
    <w:multiLevelType w:val="hybridMultilevel"/>
    <w:tmpl w:val="93C68E5A"/>
    <w:lvl w:ilvl="0" w:tplc="46E04E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C4B81"/>
    <w:multiLevelType w:val="hybridMultilevel"/>
    <w:tmpl w:val="4F969B90"/>
    <w:lvl w:ilvl="0" w:tplc="01C2BD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8B1B3A"/>
    <w:rsid w:val="00010CF3"/>
    <w:rsid w:val="00011E27"/>
    <w:rsid w:val="000148BC"/>
    <w:rsid w:val="00024AB8"/>
    <w:rsid w:val="00026A30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E7A22"/>
    <w:rsid w:val="000F2F11"/>
    <w:rsid w:val="00100F0A"/>
    <w:rsid w:val="00105929"/>
    <w:rsid w:val="00110C36"/>
    <w:rsid w:val="001131D5"/>
    <w:rsid w:val="001318EC"/>
    <w:rsid w:val="00136139"/>
    <w:rsid w:val="0014078A"/>
    <w:rsid w:val="00141DB8"/>
    <w:rsid w:val="0016023C"/>
    <w:rsid w:val="00172084"/>
    <w:rsid w:val="0017474A"/>
    <w:rsid w:val="001758C6"/>
    <w:rsid w:val="00182B99"/>
    <w:rsid w:val="0018751B"/>
    <w:rsid w:val="001D6E7A"/>
    <w:rsid w:val="001F6EA0"/>
    <w:rsid w:val="0021332C"/>
    <w:rsid w:val="00213982"/>
    <w:rsid w:val="0024416D"/>
    <w:rsid w:val="00271911"/>
    <w:rsid w:val="002800A0"/>
    <w:rsid w:val="002801B3"/>
    <w:rsid w:val="00281060"/>
    <w:rsid w:val="002869AE"/>
    <w:rsid w:val="002940E8"/>
    <w:rsid w:val="00294751"/>
    <w:rsid w:val="002A6E50"/>
    <w:rsid w:val="002B4298"/>
    <w:rsid w:val="002C22C7"/>
    <w:rsid w:val="002C256A"/>
    <w:rsid w:val="002F6C1C"/>
    <w:rsid w:val="00304827"/>
    <w:rsid w:val="00305A7F"/>
    <w:rsid w:val="003152FE"/>
    <w:rsid w:val="00327436"/>
    <w:rsid w:val="00344BD6"/>
    <w:rsid w:val="0035528D"/>
    <w:rsid w:val="00361821"/>
    <w:rsid w:val="00361E9E"/>
    <w:rsid w:val="00362708"/>
    <w:rsid w:val="003A790B"/>
    <w:rsid w:val="003C5F55"/>
    <w:rsid w:val="003C7FBE"/>
    <w:rsid w:val="003D227C"/>
    <w:rsid w:val="003D2B4D"/>
    <w:rsid w:val="003E5321"/>
    <w:rsid w:val="00434587"/>
    <w:rsid w:val="00440F2A"/>
    <w:rsid w:val="00444A88"/>
    <w:rsid w:val="00474DA4"/>
    <w:rsid w:val="00476B4D"/>
    <w:rsid w:val="004805FA"/>
    <w:rsid w:val="004935D2"/>
    <w:rsid w:val="004A4485"/>
    <w:rsid w:val="004B1215"/>
    <w:rsid w:val="004D047D"/>
    <w:rsid w:val="004F1E20"/>
    <w:rsid w:val="004F1E9E"/>
    <w:rsid w:val="004F305A"/>
    <w:rsid w:val="004F5247"/>
    <w:rsid w:val="0050377A"/>
    <w:rsid w:val="00512164"/>
    <w:rsid w:val="00520297"/>
    <w:rsid w:val="005338F9"/>
    <w:rsid w:val="0054281C"/>
    <w:rsid w:val="00544581"/>
    <w:rsid w:val="0055268D"/>
    <w:rsid w:val="005529D3"/>
    <w:rsid w:val="0056143F"/>
    <w:rsid w:val="00576BE4"/>
    <w:rsid w:val="005A400A"/>
    <w:rsid w:val="005F7B92"/>
    <w:rsid w:val="0060730A"/>
    <w:rsid w:val="00612379"/>
    <w:rsid w:val="006145B5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3FBA"/>
    <w:rsid w:val="006A5CDE"/>
    <w:rsid w:val="006A644A"/>
    <w:rsid w:val="006B17D2"/>
    <w:rsid w:val="006C224E"/>
    <w:rsid w:val="006C66C5"/>
    <w:rsid w:val="006D04D9"/>
    <w:rsid w:val="006D780A"/>
    <w:rsid w:val="0071271E"/>
    <w:rsid w:val="00732DEC"/>
    <w:rsid w:val="00735BD5"/>
    <w:rsid w:val="00747C0D"/>
    <w:rsid w:val="00751613"/>
    <w:rsid w:val="007556F6"/>
    <w:rsid w:val="00760EEF"/>
    <w:rsid w:val="00777EE5"/>
    <w:rsid w:val="00784836"/>
    <w:rsid w:val="0079023E"/>
    <w:rsid w:val="007A2854"/>
    <w:rsid w:val="007B34BE"/>
    <w:rsid w:val="007C1D92"/>
    <w:rsid w:val="007C4CB9"/>
    <w:rsid w:val="007C74A2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7CEB"/>
    <w:rsid w:val="00846D7C"/>
    <w:rsid w:val="00867AC1"/>
    <w:rsid w:val="00890DF8"/>
    <w:rsid w:val="008A743F"/>
    <w:rsid w:val="008B1227"/>
    <w:rsid w:val="008B1B3A"/>
    <w:rsid w:val="008B5817"/>
    <w:rsid w:val="008B6E60"/>
    <w:rsid w:val="008C0970"/>
    <w:rsid w:val="008C42CC"/>
    <w:rsid w:val="008D0BC5"/>
    <w:rsid w:val="008D2CF7"/>
    <w:rsid w:val="008D7E86"/>
    <w:rsid w:val="00900C26"/>
    <w:rsid w:val="009017BF"/>
    <w:rsid w:val="0090197F"/>
    <w:rsid w:val="00906DDC"/>
    <w:rsid w:val="00914813"/>
    <w:rsid w:val="00934E09"/>
    <w:rsid w:val="00936253"/>
    <w:rsid w:val="00940D46"/>
    <w:rsid w:val="00952DD4"/>
    <w:rsid w:val="00965AE7"/>
    <w:rsid w:val="00970FED"/>
    <w:rsid w:val="00980F4A"/>
    <w:rsid w:val="00992D82"/>
    <w:rsid w:val="00997029"/>
    <w:rsid w:val="009A7339"/>
    <w:rsid w:val="009B440E"/>
    <w:rsid w:val="009C685A"/>
    <w:rsid w:val="009D690D"/>
    <w:rsid w:val="009E12C7"/>
    <w:rsid w:val="009E65B6"/>
    <w:rsid w:val="009F7CDF"/>
    <w:rsid w:val="00A013CC"/>
    <w:rsid w:val="00A24C10"/>
    <w:rsid w:val="00A35FEB"/>
    <w:rsid w:val="00A42AC3"/>
    <w:rsid w:val="00A430CF"/>
    <w:rsid w:val="00A52CCA"/>
    <w:rsid w:val="00A54309"/>
    <w:rsid w:val="00A72387"/>
    <w:rsid w:val="00A74C61"/>
    <w:rsid w:val="00A754D4"/>
    <w:rsid w:val="00AB2B93"/>
    <w:rsid w:val="00AB530F"/>
    <w:rsid w:val="00AB7E5B"/>
    <w:rsid w:val="00AC2883"/>
    <w:rsid w:val="00AE0EF1"/>
    <w:rsid w:val="00AE2937"/>
    <w:rsid w:val="00AF1050"/>
    <w:rsid w:val="00B07301"/>
    <w:rsid w:val="00B11F3E"/>
    <w:rsid w:val="00B224DE"/>
    <w:rsid w:val="00B324D4"/>
    <w:rsid w:val="00B46575"/>
    <w:rsid w:val="00B61777"/>
    <w:rsid w:val="00B65B40"/>
    <w:rsid w:val="00B81E8D"/>
    <w:rsid w:val="00B84BBD"/>
    <w:rsid w:val="00BA43FB"/>
    <w:rsid w:val="00BC127D"/>
    <w:rsid w:val="00BC1FE6"/>
    <w:rsid w:val="00BE3B53"/>
    <w:rsid w:val="00BF0AE0"/>
    <w:rsid w:val="00C061B6"/>
    <w:rsid w:val="00C102EB"/>
    <w:rsid w:val="00C13543"/>
    <w:rsid w:val="00C2446C"/>
    <w:rsid w:val="00C36AE5"/>
    <w:rsid w:val="00C41F17"/>
    <w:rsid w:val="00C4565D"/>
    <w:rsid w:val="00C527FA"/>
    <w:rsid w:val="00C5280D"/>
    <w:rsid w:val="00C53EB3"/>
    <w:rsid w:val="00C5791C"/>
    <w:rsid w:val="00C66290"/>
    <w:rsid w:val="00C72B7A"/>
    <w:rsid w:val="00C955F3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5C08"/>
    <w:rsid w:val="00DB7773"/>
    <w:rsid w:val="00DC00EA"/>
    <w:rsid w:val="00DC3802"/>
    <w:rsid w:val="00DD01BD"/>
    <w:rsid w:val="00DE74EE"/>
    <w:rsid w:val="00E0324A"/>
    <w:rsid w:val="00E07D87"/>
    <w:rsid w:val="00E15090"/>
    <w:rsid w:val="00E32F7E"/>
    <w:rsid w:val="00E5267B"/>
    <w:rsid w:val="00E63C0E"/>
    <w:rsid w:val="00E72D49"/>
    <w:rsid w:val="00E7593C"/>
    <w:rsid w:val="00E7678A"/>
    <w:rsid w:val="00E931D7"/>
    <w:rsid w:val="00E935F1"/>
    <w:rsid w:val="00E94A81"/>
    <w:rsid w:val="00E95D23"/>
    <w:rsid w:val="00EA1FFB"/>
    <w:rsid w:val="00EB048E"/>
    <w:rsid w:val="00EB4E9C"/>
    <w:rsid w:val="00EC1248"/>
    <w:rsid w:val="00ED06DA"/>
    <w:rsid w:val="00EE34DF"/>
    <w:rsid w:val="00EF2F89"/>
    <w:rsid w:val="00F03E98"/>
    <w:rsid w:val="00F1237A"/>
    <w:rsid w:val="00F217BE"/>
    <w:rsid w:val="00F22CBD"/>
    <w:rsid w:val="00F272F1"/>
    <w:rsid w:val="00F37B1C"/>
    <w:rsid w:val="00F40352"/>
    <w:rsid w:val="00F45372"/>
    <w:rsid w:val="00F458C5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8B3F883"/>
  <w15:docId w15:val="{DA1365B1-E781-4616-9DCB-6562F02B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8B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F0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0B1A-932D-4CF8-98B6-881ABE2C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2004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</vt:lpstr>
    </vt:vector>
  </TitlesOfParts>
  <Company>UPOV</Company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TAVEIRA Leontino</dc:creator>
  <cp:lastModifiedBy>SANTOS Carla Marina</cp:lastModifiedBy>
  <cp:revision>6</cp:revision>
  <cp:lastPrinted>2018-08-30T14:07:00Z</cp:lastPrinted>
  <dcterms:created xsi:type="dcterms:W3CDTF">2018-09-11T14:39:00Z</dcterms:created>
  <dcterms:modified xsi:type="dcterms:W3CDTF">2018-09-14T12:38:00Z</dcterms:modified>
</cp:coreProperties>
</file>