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80465" w:rsidRPr="00815738" w:rsidTr="00C06D23">
        <w:tc>
          <w:tcPr>
            <w:tcW w:w="6522" w:type="dxa"/>
          </w:tcPr>
          <w:p w:rsidR="00C80465" w:rsidRPr="00AC2883" w:rsidRDefault="00C80465" w:rsidP="00C06D2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0663792" wp14:editId="2C6EC5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C80465" w:rsidRPr="007C1D92" w:rsidRDefault="00C80465" w:rsidP="00C06D23">
            <w:pPr>
              <w:pStyle w:val="Lettrine"/>
            </w:pPr>
            <w:r>
              <w:t>F</w:t>
            </w:r>
          </w:p>
        </w:tc>
      </w:tr>
      <w:tr w:rsidR="00C80465" w:rsidRPr="00B51885" w:rsidTr="00C06D23">
        <w:trPr>
          <w:trHeight w:val="219"/>
        </w:trPr>
        <w:tc>
          <w:tcPr>
            <w:tcW w:w="6522" w:type="dxa"/>
          </w:tcPr>
          <w:p w:rsidR="00C80465" w:rsidRPr="00C80465" w:rsidRDefault="00C80465" w:rsidP="00C06D23">
            <w:pPr>
              <w:pStyle w:val="upove"/>
              <w:rPr>
                <w:lang w:val="fr-FR"/>
              </w:rPr>
            </w:pPr>
            <w:r w:rsidRPr="00C8046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C80465" w:rsidRPr="00C80465" w:rsidRDefault="00C80465" w:rsidP="00C06D23">
            <w:pPr>
              <w:rPr>
                <w:lang w:val="fr-FR"/>
              </w:rPr>
            </w:pPr>
          </w:p>
        </w:tc>
      </w:tr>
    </w:tbl>
    <w:p w:rsidR="00C80465" w:rsidRPr="00C80465" w:rsidRDefault="00C80465" w:rsidP="00C80465">
      <w:pPr>
        <w:rPr>
          <w:lang w:val="fr-FR"/>
        </w:rPr>
      </w:pPr>
    </w:p>
    <w:p w:rsidR="00C80465" w:rsidRPr="00C80465" w:rsidRDefault="00C80465" w:rsidP="00C8046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80465" w:rsidRPr="00B51885" w:rsidTr="00C06D23">
        <w:tc>
          <w:tcPr>
            <w:tcW w:w="6512" w:type="dxa"/>
          </w:tcPr>
          <w:p w:rsidR="00C80465" w:rsidRPr="00C80465" w:rsidRDefault="00C80465" w:rsidP="00C06D23">
            <w:pPr>
              <w:pStyle w:val="Sessiontc"/>
              <w:spacing w:line="240" w:lineRule="auto"/>
              <w:rPr>
                <w:lang w:val="fr-FR"/>
              </w:rPr>
            </w:pPr>
            <w:r w:rsidRPr="00C80465">
              <w:rPr>
                <w:lang w:val="fr-FR"/>
              </w:rPr>
              <w:t>Comité technique</w:t>
            </w:r>
          </w:p>
          <w:p w:rsidR="00C80465" w:rsidRPr="00C80465" w:rsidRDefault="00C80465" w:rsidP="00C06D23">
            <w:pPr>
              <w:pStyle w:val="Sessiontcplacedate"/>
              <w:rPr>
                <w:sz w:val="22"/>
                <w:lang w:val="fr-FR"/>
              </w:rPr>
            </w:pPr>
            <w:r w:rsidRPr="00C80465">
              <w:rPr>
                <w:lang w:val="fr-FR"/>
              </w:rPr>
              <w:t>Cinquante</w:t>
            </w:r>
            <w:r w:rsidR="00D907A2">
              <w:rPr>
                <w:lang w:val="fr-FR"/>
              </w:rPr>
              <w:t>-</w:t>
            </w:r>
            <w:r w:rsidRPr="00C80465">
              <w:rPr>
                <w:lang w:val="fr-FR"/>
              </w:rPr>
              <w:t>quatr</w:t>
            </w:r>
            <w:r w:rsidR="00D907A2">
              <w:rPr>
                <w:lang w:val="fr-FR"/>
              </w:rPr>
              <w:t>ième session</w:t>
            </w:r>
            <w:r w:rsidRPr="00C80465">
              <w:rPr>
                <w:lang w:val="fr-FR"/>
              </w:rPr>
              <w:br/>
              <w:t>Genève, 29 et 3</w:t>
            </w:r>
            <w:r w:rsidR="00D907A2" w:rsidRPr="00C80465">
              <w:rPr>
                <w:lang w:val="fr-FR"/>
              </w:rPr>
              <w:t>0</w:t>
            </w:r>
            <w:r w:rsidR="00D907A2">
              <w:rPr>
                <w:lang w:val="fr-FR"/>
              </w:rPr>
              <w:t> </w:t>
            </w:r>
            <w:r w:rsidR="00D907A2" w:rsidRPr="00C80465">
              <w:rPr>
                <w:lang w:val="fr-FR"/>
              </w:rPr>
              <w:t>octobre</w:t>
            </w:r>
            <w:r w:rsidR="00D907A2">
              <w:rPr>
                <w:lang w:val="fr-FR"/>
              </w:rPr>
              <w:t> </w:t>
            </w:r>
            <w:r w:rsidR="00D907A2" w:rsidRPr="00C80465">
              <w:rPr>
                <w:lang w:val="fr-FR"/>
              </w:rPr>
              <w:t>20</w:t>
            </w:r>
            <w:r w:rsidRPr="00C80465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C80465" w:rsidRPr="00C80465" w:rsidRDefault="00C80465" w:rsidP="00C06D23">
            <w:pPr>
              <w:pStyle w:val="Doccode"/>
              <w:rPr>
                <w:lang w:val="fr-FR"/>
              </w:rPr>
            </w:pPr>
            <w:r w:rsidRPr="00C80465">
              <w:rPr>
                <w:lang w:val="fr-FR"/>
              </w:rPr>
              <w:t>TC/54/21</w:t>
            </w:r>
          </w:p>
          <w:p w:rsidR="00C80465" w:rsidRPr="00C80465" w:rsidRDefault="00C80465" w:rsidP="00C06D23">
            <w:pPr>
              <w:pStyle w:val="Docoriginal"/>
              <w:rPr>
                <w:lang w:val="fr-FR"/>
              </w:rPr>
            </w:pPr>
            <w:r w:rsidRPr="00C80465">
              <w:rPr>
                <w:lang w:val="fr-FR"/>
              </w:rPr>
              <w:t>Original</w:t>
            </w:r>
            <w:r w:rsidR="00881453">
              <w:rPr>
                <w:lang w:val="fr-FR"/>
              </w:rPr>
              <w:t> </w:t>
            </w:r>
            <w:r w:rsidRPr="00C80465"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C80465">
              <w:rPr>
                <w:b w:val="0"/>
                <w:spacing w:val="0"/>
                <w:lang w:val="fr-FR"/>
              </w:rPr>
              <w:t>anglais</w:t>
            </w:r>
          </w:p>
          <w:p w:rsidR="00C80465" w:rsidRPr="00C80465" w:rsidRDefault="00C80465" w:rsidP="00B41015">
            <w:pPr>
              <w:pStyle w:val="Docoriginal"/>
              <w:rPr>
                <w:lang w:val="fr-FR"/>
              </w:rPr>
            </w:pPr>
            <w:r w:rsidRPr="00C80465">
              <w:rPr>
                <w:lang w:val="fr-FR"/>
              </w:rPr>
              <w:t>Date</w:t>
            </w:r>
            <w:r w:rsidR="00881453">
              <w:rPr>
                <w:lang w:val="fr-FR"/>
              </w:rPr>
              <w:t> </w:t>
            </w:r>
            <w:r w:rsidRPr="00C80465">
              <w:rPr>
                <w:lang w:val="fr-FR"/>
              </w:rPr>
              <w:t>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="00B51885">
              <w:rPr>
                <w:b w:val="0"/>
                <w:spacing w:val="0"/>
                <w:lang w:val="fr-FR"/>
              </w:rPr>
              <w:t xml:space="preserve"> </w:t>
            </w:r>
            <w:r w:rsidR="00B41015" w:rsidRPr="00B41015">
              <w:rPr>
                <w:b w:val="0"/>
                <w:spacing w:val="0"/>
                <w:lang w:val="fr-FR"/>
              </w:rPr>
              <w:t>2</w:t>
            </w:r>
            <w:r w:rsidR="00D907A2" w:rsidRPr="00B41015">
              <w:rPr>
                <w:b w:val="0"/>
                <w:spacing w:val="0"/>
                <w:lang w:val="fr-FR"/>
              </w:rPr>
              <w:t>4 jui</w:t>
            </w:r>
            <w:r w:rsidR="00B41015" w:rsidRPr="00B41015">
              <w:rPr>
                <w:b w:val="0"/>
                <w:spacing w:val="0"/>
                <w:lang w:val="fr-FR"/>
              </w:rPr>
              <w:t>ll</w:t>
            </w:r>
            <w:r w:rsidR="00B41015">
              <w:rPr>
                <w:b w:val="0"/>
                <w:spacing w:val="0"/>
                <w:lang w:val="fr-FR"/>
              </w:rPr>
              <w:t>et</w:t>
            </w:r>
            <w:r w:rsidR="00D907A2">
              <w:rPr>
                <w:b w:val="0"/>
                <w:spacing w:val="0"/>
                <w:lang w:val="fr-FR"/>
              </w:rPr>
              <w:t> </w:t>
            </w:r>
            <w:r w:rsidR="00D907A2" w:rsidRPr="00C80465">
              <w:rPr>
                <w:b w:val="0"/>
                <w:spacing w:val="0"/>
                <w:lang w:val="fr-FR"/>
              </w:rPr>
              <w:t>20</w:t>
            </w:r>
            <w:r w:rsidRPr="00C80465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00330B" w:rsidRDefault="0000330B" w:rsidP="0000330B">
      <w:pPr>
        <w:spacing w:before="600" w:after="240"/>
        <w:jc w:val="left"/>
        <w:rPr>
          <w:b/>
          <w:caps/>
          <w:lang w:val="fr-FR"/>
        </w:rPr>
      </w:pPr>
      <w:bookmarkStart w:id="0" w:name="TitleOfDoc"/>
      <w:bookmarkStart w:id="1" w:name="Prepared"/>
      <w:bookmarkEnd w:id="0"/>
      <w:bookmarkEnd w:id="1"/>
      <w:r>
        <w:rPr>
          <w:b/>
          <w:caps/>
          <w:color w:val="000000"/>
          <w:lang w:val="fr-FR"/>
        </w:rPr>
        <w:t>illustrations des caractères liés à la forme et au ratio</w:t>
      </w:r>
    </w:p>
    <w:p w:rsidR="00C80465" w:rsidRPr="00C80465" w:rsidRDefault="00C80465" w:rsidP="00C80465">
      <w:pPr>
        <w:pStyle w:val="preparedby1"/>
        <w:jc w:val="left"/>
        <w:rPr>
          <w:lang w:val="fr-FR"/>
        </w:rPr>
      </w:pPr>
      <w:r w:rsidRPr="00C80465">
        <w:rPr>
          <w:lang w:val="fr-FR"/>
        </w:rPr>
        <w:t>Document établi par le Bureau de l</w:t>
      </w:r>
      <w:r w:rsidR="00D907A2">
        <w:rPr>
          <w:lang w:val="fr-FR"/>
        </w:rPr>
        <w:t>’</w:t>
      </w:r>
      <w:r w:rsidRPr="00C80465">
        <w:rPr>
          <w:lang w:val="fr-FR"/>
        </w:rPr>
        <w:t>Union</w:t>
      </w:r>
    </w:p>
    <w:p w:rsidR="00C80465" w:rsidRPr="00C80465" w:rsidRDefault="00C80465" w:rsidP="00C80465">
      <w:pPr>
        <w:pStyle w:val="Disclaimer"/>
        <w:rPr>
          <w:lang w:val="fr-FR"/>
        </w:rPr>
      </w:pPr>
      <w:r w:rsidRPr="00C80465">
        <w:rPr>
          <w:lang w:val="fr-FR"/>
        </w:rPr>
        <w:t>Avertissement</w:t>
      </w:r>
      <w:r w:rsidR="00D907A2">
        <w:rPr>
          <w:lang w:val="fr-FR"/>
        </w:rPr>
        <w:t> :</w:t>
      </w:r>
      <w:r w:rsidRPr="00C80465">
        <w:rPr>
          <w:lang w:val="fr-FR"/>
        </w:rPr>
        <w:t xml:space="preserve"> le présent document ne représente pas les principes ou les orientations de l</w:t>
      </w:r>
      <w:r w:rsidR="00D907A2">
        <w:rPr>
          <w:lang w:val="fr-FR"/>
        </w:rPr>
        <w:t>’</w:t>
      </w:r>
      <w:r w:rsidRPr="00C80465">
        <w:rPr>
          <w:lang w:val="fr-FR"/>
        </w:rPr>
        <w:t>UPOV</w:t>
      </w:r>
    </w:p>
    <w:p w:rsidR="00934BE5" w:rsidRPr="00834A82" w:rsidRDefault="00076AD3" w:rsidP="00076AD3">
      <w:pPr>
        <w:keepNext/>
        <w:outlineLvl w:val="0"/>
        <w:rPr>
          <w:caps/>
          <w:snapToGrid w:val="0"/>
          <w:lang w:val="fr-FR"/>
        </w:rPr>
      </w:pPr>
      <w:bookmarkStart w:id="2" w:name="_Toc521330181"/>
      <w:r w:rsidRPr="00834A82">
        <w:rPr>
          <w:caps/>
          <w:snapToGrid w:val="0"/>
          <w:lang w:val="fr-FR"/>
        </w:rPr>
        <w:t>résumé</w:t>
      </w:r>
      <w:bookmarkEnd w:id="2"/>
    </w:p>
    <w:p w:rsidR="00934BE5" w:rsidRPr="00A4752D" w:rsidRDefault="00934BE5" w:rsidP="00BB1943">
      <w:pPr>
        <w:rPr>
          <w:snapToGrid w:val="0"/>
          <w:lang w:val="fr-FR"/>
        </w:rPr>
      </w:pPr>
    </w:p>
    <w:p w:rsidR="00934BE5" w:rsidRPr="00834A82" w:rsidRDefault="004F258F" w:rsidP="00076AD3">
      <w:pPr>
        <w:rPr>
          <w:lang w:val="fr-FR"/>
        </w:rPr>
      </w:pPr>
      <w:r w:rsidRPr="00834A82">
        <w:rPr>
          <w:snapToGrid w:val="0"/>
          <w:lang w:val="fr-FR"/>
        </w:rPr>
        <w:fldChar w:fldCharType="begin"/>
      </w:r>
      <w:r w:rsidRPr="00834A82">
        <w:rPr>
          <w:snapToGrid w:val="0"/>
          <w:lang w:val="fr-FR"/>
        </w:rPr>
        <w:instrText xml:space="preserve"> AUTONUM  </w:instrText>
      </w:r>
      <w:r w:rsidRPr="00834A82">
        <w:rPr>
          <w:snapToGrid w:val="0"/>
          <w:lang w:val="fr-FR"/>
        </w:rPr>
        <w:fldChar w:fldCharType="end"/>
      </w:r>
      <w:r w:rsidRPr="00834A82">
        <w:rPr>
          <w:snapToGrid w:val="0"/>
          <w:lang w:val="fr-FR"/>
        </w:rPr>
        <w:tab/>
      </w:r>
      <w:r w:rsidR="00076AD3" w:rsidRPr="00834A82">
        <w:rPr>
          <w:snapToGrid w:val="0"/>
          <w:lang w:val="fr-FR"/>
        </w:rPr>
        <w:t>L</w:t>
      </w:r>
      <w:r w:rsidR="00D907A2">
        <w:rPr>
          <w:snapToGrid w:val="0"/>
          <w:lang w:val="fr-FR"/>
        </w:rPr>
        <w:t>’</w:t>
      </w:r>
      <w:r w:rsidR="00076AD3" w:rsidRPr="00834A82">
        <w:rPr>
          <w:snapToGrid w:val="0"/>
          <w:lang w:val="fr-FR"/>
        </w:rPr>
        <w:t>objet du présent document est de rendre compte des faits nouveaux concernant la révision des orientations disponibles dans le document</w:t>
      </w:r>
      <w:r w:rsidR="00956579">
        <w:rPr>
          <w:snapToGrid w:val="0"/>
          <w:lang w:val="fr-FR"/>
        </w:rPr>
        <w:t> </w:t>
      </w:r>
      <w:r w:rsidR="00076AD3" w:rsidRPr="00834A82">
        <w:rPr>
          <w:snapToGrid w:val="0"/>
          <w:lang w:val="fr-FR"/>
        </w:rPr>
        <w:t>TGP/14 relatives aux illustrations des caractères liés à la forme et au ratio.</w:t>
      </w:r>
    </w:p>
    <w:p w:rsidR="00934BE5" w:rsidRPr="00A4752D" w:rsidRDefault="00934BE5" w:rsidP="00BB1943">
      <w:pPr>
        <w:rPr>
          <w:lang w:val="fr-FR"/>
        </w:rPr>
      </w:pPr>
    </w:p>
    <w:bookmarkStart w:id="3" w:name="_Toc386185971"/>
    <w:bookmarkStart w:id="4" w:name="_Toc419124859"/>
    <w:p w:rsidR="00934BE5" w:rsidRPr="00834A82" w:rsidRDefault="002A7E10" w:rsidP="00076AD3">
      <w:pPr>
        <w:keepLines/>
        <w:tabs>
          <w:tab w:val="left" w:pos="567"/>
          <w:tab w:val="left" w:pos="1134"/>
          <w:tab w:val="left" w:pos="5387"/>
        </w:tabs>
        <w:rPr>
          <w:lang w:val="fr-FR"/>
        </w:rPr>
      </w:pPr>
      <w:r w:rsidRPr="00834A82">
        <w:rPr>
          <w:snapToGrid w:val="0"/>
          <w:lang w:val="fr-FR"/>
        </w:rPr>
        <w:fldChar w:fldCharType="begin"/>
      </w:r>
      <w:r w:rsidRPr="00834A82">
        <w:rPr>
          <w:snapToGrid w:val="0"/>
          <w:lang w:val="fr-FR"/>
        </w:rPr>
        <w:instrText xml:space="preserve"> AUTONUM  </w:instrText>
      </w:r>
      <w:r w:rsidRPr="00834A82">
        <w:rPr>
          <w:snapToGrid w:val="0"/>
          <w:lang w:val="fr-FR"/>
        </w:rPr>
        <w:fldChar w:fldCharType="end"/>
      </w:r>
      <w:r w:rsidRPr="00834A82">
        <w:rPr>
          <w:snapToGrid w:val="0"/>
          <w:lang w:val="fr-FR"/>
        </w:rPr>
        <w:tab/>
      </w:r>
      <w:r w:rsidR="00076AD3" w:rsidRPr="00834A82">
        <w:rPr>
          <w:snapToGrid w:val="0"/>
          <w:lang w:val="fr-FR"/>
        </w:rPr>
        <w:t>Le</w:t>
      </w:r>
      <w:r w:rsidR="00D907A2">
        <w:rPr>
          <w:snapToGrid w:val="0"/>
          <w:lang w:val="fr-FR"/>
        </w:rPr>
        <w:t> TC</w:t>
      </w:r>
      <w:r w:rsidR="00076AD3" w:rsidRPr="00834A82">
        <w:rPr>
          <w:snapToGrid w:val="0"/>
          <w:lang w:val="fr-FR"/>
        </w:rPr>
        <w:t xml:space="preserve"> est invité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2A7E10" w:rsidP="00076AD3">
      <w:pPr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834A82">
        <w:rPr>
          <w:lang w:val="fr-FR"/>
        </w:rPr>
        <w:tab/>
      </w:r>
      <w:r w:rsidR="00076AD3" w:rsidRPr="00834A82">
        <w:rPr>
          <w:lang w:val="fr-FR"/>
        </w:rPr>
        <w:t>a)</w:t>
      </w:r>
      <w:r w:rsidR="00076AD3" w:rsidRPr="00834A82">
        <w:rPr>
          <w:lang w:val="fr-FR"/>
        </w:rPr>
        <w:tab/>
        <w:t xml:space="preserve">à noter que des </w:t>
      </w:r>
      <w:r w:rsidR="00450518" w:rsidRPr="00834A82">
        <w:rPr>
          <w:lang w:val="fr-FR"/>
        </w:rPr>
        <w:t xml:space="preserve">tableaux </w:t>
      </w:r>
      <w:r w:rsidR="00506B70" w:rsidRPr="00834A82">
        <w:rPr>
          <w:lang w:val="fr-FR"/>
        </w:rPr>
        <w:t>pourraient</w:t>
      </w:r>
      <w:r w:rsidR="00450518" w:rsidRPr="00834A82">
        <w:rPr>
          <w:lang w:val="fr-FR"/>
        </w:rPr>
        <w:t xml:space="preserve"> être utilisé</w:t>
      </w:r>
      <w:r w:rsidR="00076AD3" w:rsidRPr="00834A82">
        <w:rPr>
          <w:lang w:val="fr-FR"/>
        </w:rPr>
        <w:t>s pour mieux définir les niveaux d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expression et les différences entre eux et pour décrire la gamme d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expression</w:t>
      </w:r>
      <w:r w:rsidR="00E06ACC" w:rsidRPr="00834A82">
        <w:rPr>
          <w:lang w:val="fr-FR"/>
        </w:rPr>
        <w:t xml:space="preserve"> des caractères liés à la forme,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2A7E10" w:rsidP="00076AD3">
      <w:pPr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834A82">
        <w:rPr>
          <w:lang w:val="fr-FR"/>
        </w:rPr>
        <w:tab/>
      </w:r>
      <w:r w:rsidR="00076AD3" w:rsidRPr="00834A82">
        <w:rPr>
          <w:lang w:val="fr-FR"/>
        </w:rPr>
        <w:t>b)</w:t>
      </w:r>
      <w:r w:rsidR="00076AD3" w:rsidRPr="00834A82">
        <w:rPr>
          <w:lang w:val="fr-FR"/>
        </w:rPr>
        <w:tab/>
        <w:t>à déterminer s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 xml:space="preserve">il convient de définir les situations dans lesquelles des </w:t>
      </w:r>
      <w:r w:rsidR="00450518" w:rsidRPr="00834A82">
        <w:rPr>
          <w:lang w:val="fr-FR"/>
        </w:rPr>
        <w:t>tableaux</w:t>
      </w:r>
      <w:r w:rsidR="00076AD3" w:rsidRPr="00834A82">
        <w:rPr>
          <w:lang w:val="fr-FR"/>
        </w:rPr>
        <w:t xml:space="preserve"> doiv</w:t>
      </w:r>
      <w:r w:rsidR="00450518" w:rsidRPr="00834A82">
        <w:rPr>
          <w:lang w:val="fr-FR"/>
        </w:rPr>
        <w:t>ent ou non être utilisé</w:t>
      </w:r>
      <w:r w:rsidR="00076AD3" w:rsidRPr="00834A82">
        <w:rPr>
          <w:lang w:val="fr-FR"/>
        </w:rPr>
        <w:t>s pour expliquer les niveaux d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expression des caractè</w:t>
      </w:r>
      <w:r w:rsidR="00E06ACC" w:rsidRPr="00834A82">
        <w:rPr>
          <w:lang w:val="fr-FR"/>
        </w:rPr>
        <w:t>res liés à la forme,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2A7E10" w:rsidP="00076AD3">
      <w:pPr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834A82">
        <w:rPr>
          <w:lang w:val="fr-FR"/>
        </w:rPr>
        <w:tab/>
      </w:r>
      <w:r w:rsidR="00076AD3" w:rsidRPr="00834A82">
        <w:rPr>
          <w:lang w:val="fr-FR"/>
        </w:rPr>
        <w:t>c)</w:t>
      </w:r>
      <w:r w:rsidR="00076AD3" w:rsidRPr="00834A82">
        <w:rPr>
          <w:lang w:val="fr-FR"/>
        </w:rPr>
        <w:tab/>
        <w:t>à déterminer s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il convient d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élaborer des méthodes harmonisées pour illustrer les niveaux d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>expression à l</w:t>
      </w:r>
      <w:r w:rsidR="00D907A2">
        <w:rPr>
          <w:lang w:val="fr-FR"/>
        </w:rPr>
        <w:t>’</w:t>
      </w:r>
      <w:r w:rsidR="00076AD3" w:rsidRPr="00834A82">
        <w:rPr>
          <w:lang w:val="fr-FR"/>
        </w:rPr>
        <w:t xml:space="preserve">aide de </w:t>
      </w:r>
      <w:r w:rsidR="00450518" w:rsidRPr="00834A82">
        <w:rPr>
          <w:lang w:val="fr-FR"/>
        </w:rPr>
        <w:t>tableaux</w:t>
      </w:r>
      <w:r w:rsidR="00E06ACC" w:rsidRPr="00834A82">
        <w:rPr>
          <w:lang w:val="fr-FR"/>
        </w:rPr>
        <w:t>,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2A7E10" w:rsidP="008F43C9">
      <w:pPr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834A82">
        <w:rPr>
          <w:lang w:val="fr-FR"/>
        </w:rPr>
        <w:tab/>
      </w:r>
      <w:r w:rsidR="008F43C9" w:rsidRPr="00834A82">
        <w:rPr>
          <w:lang w:val="fr-FR"/>
        </w:rPr>
        <w:t>d)</w:t>
      </w:r>
      <w:r w:rsidR="008F43C9" w:rsidRPr="00834A82">
        <w:rPr>
          <w:lang w:val="fr-FR"/>
        </w:rPr>
        <w:tab/>
        <w:t>à déterminer s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 xml:space="preserve">il convient de fournir des orientations sur la manière dont les </w:t>
      </w:r>
      <w:r w:rsidR="00450518" w:rsidRPr="00834A82">
        <w:rPr>
          <w:lang w:val="fr-FR"/>
        </w:rPr>
        <w:t>tableaux</w:t>
      </w:r>
      <w:r w:rsidR="008F43C9" w:rsidRPr="00834A82">
        <w:rPr>
          <w:lang w:val="fr-FR"/>
        </w:rPr>
        <w:t xml:space="preserve"> peuvent </w:t>
      </w:r>
      <w:r w:rsidR="00506B70" w:rsidRPr="00834A82">
        <w:rPr>
          <w:lang w:val="fr-FR"/>
        </w:rPr>
        <w:t>indiquer</w:t>
      </w:r>
      <w:r w:rsidR="008F43C9" w:rsidRPr="00834A82">
        <w:rPr>
          <w:lang w:val="fr-FR"/>
        </w:rPr>
        <w:t xml:space="preserve"> comment </w:t>
      </w:r>
      <w:r w:rsidR="00506B70" w:rsidRPr="00834A82">
        <w:rPr>
          <w:lang w:val="fr-FR"/>
        </w:rPr>
        <w:t xml:space="preserve">utiliser </w:t>
      </w:r>
      <w:r w:rsidR="008F43C9" w:rsidRPr="00834A82">
        <w:rPr>
          <w:lang w:val="fr-FR"/>
        </w:rPr>
        <w:t>les différences entre les notes pour l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>évaluation de la distinction, conformément aux conseils donnés dans l</w:t>
      </w:r>
      <w:r w:rsidR="00D907A2">
        <w:rPr>
          <w:lang w:val="fr-FR"/>
        </w:rPr>
        <w:t>’</w:t>
      </w:r>
      <w:r w:rsidR="00506B70" w:rsidRPr="00834A82">
        <w:rPr>
          <w:lang w:val="fr-FR"/>
        </w:rPr>
        <w:t>i</w:t>
      </w:r>
      <w:r w:rsidR="008F43C9" w:rsidRPr="00834A82">
        <w:rPr>
          <w:lang w:val="fr-FR"/>
        </w:rPr>
        <w:t>ntroductio</w:t>
      </w:r>
      <w:r w:rsidR="00E06ACC" w:rsidRPr="00834A82">
        <w:rPr>
          <w:lang w:val="fr-FR"/>
        </w:rPr>
        <w:t xml:space="preserve">n générale et le </w:t>
      </w:r>
      <w:r w:rsidR="00D907A2" w:rsidRPr="00834A82">
        <w:rPr>
          <w:lang w:val="fr-FR"/>
        </w:rPr>
        <w:t>document</w:t>
      </w:r>
      <w:r w:rsidR="00956579">
        <w:rPr>
          <w:lang w:val="fr-FR"/>
        </w:rPr>
        <w:t> </w:t>
      </w:r>
      <w:r w:rsidR="00D907A2" w:rsidRPr="00834A82">
        <w:rPr>
          <w:lang w:val="fr-FR"/>
        </w:rPr>
        <w:t>TG</w:t>
      </w:r>
      <w:r w:rsidR="00E06ACC" w:rsidRPr="00834A82">
        <w:rPr>
          <w:lang w:val="fr-FR"/>
        </w:rPr>
        <w:t>P/9,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2A7E10" w:rsidP="008F43C9">
      <w:pPr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FR"/>
        </w:rPr>
      </w:pPr>
      <w:r w:rsidRPr="00834A82">
        <w:rPr>
          <w:lang w:val="fr-FR"/>
        </w:rPr>
        <w:tab/>
      </w:r>
      <w:r w:rsidR="008F43C9" w:rsidRPr="00834A82">
        <w:rPr>
          <w:lang w:val="fr-FR"/>
        </w:rPr>
        <w:t>e)</w:t>
      </w:r>
      <w:r w:rsidR="008F43C9" w:rsidRPr="00834A82">
        <w:rPr>
          <w:lang w:val="fr-FR"/>
        </w:rPr>
        <w:tab/>
        <w:t>à déterminer s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>il convient de créer un sous</w:t>
      </w:r>
      <w:r w:rsidR="00956579">
        <w:rPr>
          <w:lang w:val="fr-FR"/>
        </w:rPr>
        <w:noBreakHyphen/>
      </w:r>
      <w:r w:rsidR="008F43C9" w:rsidRPr="00834A82">
        <w:rPr>
          <w:lang w:val="fr-FR"/>
        </w:rPr>
        <w:t>groupe chargé d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>examiner ces questions.</w:t>
      </w:r>
    </w:p>
    <w:p w:rsidR="00934BE5" w:rsidRPr="00A4752D" w:rsidRDefault="00934BE5" w:rsidP="00BB1943">
      <w:pPr>
        <w:rPr>
          <w:lang w:val="fr-FR"/>
        </w:rPr>
      </w:pPr>
    </w:p>
    <w:p w:rsidR="00934BE5" w:rsidRPr="00834A82" w:rsidRDefault="004F258F" w:rsidP="008F43C9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8F43C9" w:rsidRPr="00834A82">
        <w:rPr>
          <w:lang w:val="fr-FR"/>
        </w:rPr>
        <w:t>Les abréviations ci</w:t>
      </w:r>
      <w:r w:rsidR="00956579">
        <w:rPr>
          <w:lang w:val="fr-FR"/>
        </w:rPr>
        <w:noBreakHyphen/>
      </w:r>
      <w:r w:rsidR="008F43C9" w:rsidRPr="00834A82">
        <w:rPr>
          <w:lang w:val="fr-FR"/>
        </w:rPr>
        <w:t>après sont utilisées dans le présent document</w:t>
      </w:r>
      <w:r w:rsidR="00D907A2">
        <w:rPr>
          <w:lang w:val="fr-FR"/>
        </w:rPr>
        <w:t> :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TC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</w:r>
      <w:r w:rsidRPr="00834A82">
        <w:rPr>
          <w:lang w:val="fr-FR"/>
        </w:rPr>
        <w:tab/>
        <w:t>Comité technique</w:t>
      </w: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TC</w:t>
      </w:r>
      <w:r w:rsidR="00D907A2">
        <w:rPr>
          <w:lang w:val="fr-FR"/>
        </w:rPr>
        <w:t>-</w:t>
      </w:r>
      <w:r w:rsidRPr="00834A82">
        <w:rPr>
          <w:lang w:val="fr-FR"/>
        </w:rPr>
        <w:t>EDC</w:t>
      </w:r>
      <w:r w:rsidR="00D907A2">
        <w:rPr>
          <w:lang w:val="fr-FR"/>
        </w:rPr>
        <w:t> :</w:t>
      </w:r>
      <w:r w:rsidR="00881453">
        <w:rPr>
          <w:lang w:val="fr-FR"/>
        </w:rPr>
        <w:t xml:space="preserve"> </w:t>
      </w:r>
      <w:r w:rsidRPr="00834A82">
        <w:rPr>
          <w:lang w:val="fr-FR"/>
        </w:rPr>
        <w:tab/>
        <w:t>Comité de rédaction élargi</w:t>
      </w: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TWA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 de travail technique sur les plantes agricoles</w:t>
      </w: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TWC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 de travail technique sur les systèmes d</w:t>
      </w:r>
      <w:r w:rsidR="00D907A2">
        <w:rPr>
          <w:lang w:val="fr-FR"/>
        </w:rPr>
        <w:t>’</w:t>
      </w:r>
      <w:r w:rsidRPr="00834A82">
        <w:rPr>
          <w:lang w:val="fr-FR"/>
        </w:rPr>
        <w:t>automatisation et les programmes d</w:t>
      </w:r>
      <w:r w:rsidR="00D907A2">
        <w:rPr>
          <w:lang w:val="fr-FR"/>
        </w:rPr>
        <w:t>’</w:t>
      </w:r>
      <w:r w:rsidRPr="00834A82">
        <w:rPr>
          <w:lang w:val="fr-FR"/>
        </w:rPr>
        <w:t>ordinateur</w:t>
      </w:r>
    </w:p>
    <w:p w:rsidR="00D907A2" w:rsidRDefault="008F43C9" w:rsidP="008F43C9">
      <w:pPr>
        <w:rPr>
          <w:lang w:val="fr-FR"/>
        </w:rPr>
      </w:pPr>
      <w:r w:rsidRPr="00834A82">
        <w:rPr>
          <w:lang w:val="fr-FR"/>
        </w:rPr>
        <w:t>TWF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 de travail technique sur les plantes fruitières</w:t>
      </w:r>
    </w:p>
    <w:p w:rsidR="00D907A2" w:rsidRDefault="008F43C9" w:rsidP="008F43C9">
      <w:pPr>
        <w:rPr>
          <w:lang w:val="fr-FR"/>
        </w:rPr>
      </w:pPr>
      <w:r w:rsidRPr="00834A82">
        <w:rPr>
          <w:lang w:val="fr-FR"/>
        </w:rPr>
        <w:t>TWO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 de travail technique sur les plantes ornementales et les arbres forestiers</w:t>
      </w: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TWV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 de travail technique sur les plantes potagères</w:t>
      </w:r>
    </w:p>
    <w:p w:rsidR="00934BE5" w:rsidRPr="00834A82" w:rsidRDefault="008F43C9" w:rsidP="008F43C9">
      <w:pPr>
        <w:rPr>
          <w:lang w:val="fr-FR"/>
        </w:rPr>
      </w:pPr>
      <w:r w:rsidRPr="00834A82">
        <w:rPr>
          <w:lang w:val="fr-FR"/>
        </w:rPr>
        <w:t>TWP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lang w:val="fr-FR"/>
        </w:rPr>
        <w:tab/>
        <w:t>Groupes de travail techniques</w:t>
      </w:r>
    </w:p>
    <w:p w:rsidR="00934BE5" w:rsidRPr="00A4752D" w:rsidRDefault="00934BE5" w:rsidP="00BB1943">
      <w:pPr>
        <w:rPr>
          <w:lang w:val="fr-FR"/>
        </w:rPr>
      </w:pPr>
    </w:p>
    <w:bookmarkStart w:id="5" w:name="_Toc352678045"/>
    <w:bookmarkStart w:id="6" w:name="_Toc353797725"/>
    <w:bookmarkStart w:id="7" w:name="_Toc386185970"/>
    <w:bookmarkStart w:id="8" w:name="_Toc419124858"/>
    <w:bookmarkStart w:id="9" w:name="_Toc504565380"/>
    <w:p w:rsidR="00934BE5" w:rsidRPr="00834A82" w:rsidRDefault="004F258F" w:rsidP="00A4752D">
      <w:pPr>
        <w:rPr>
          <w:rFonts w:cs="Arial"/>
          <w:lang w:val="fr-FR"/>
        </w:rPr>
      </w:pPr>
      <w:r w:rsidRPr="00834A82">
        <w:rPr>
          <w:rFonts w:cs="Arial"/>
          <w:lang w:val="fr-FR"/>
        </w:rPr>
        <w:fldChar w:fldCharType="begin"/>
      </w:r>
      <w:r w:rsidRPr="00834A82">
        <w:rPr>
          <w:rFonts w:cs="Arial"/>
          <w:lang w:val="fr-FR"/>
        </w:rPr>
        <w:instrText xml:space="preserve"> AUTONUM  </w:instrText>
      </w:r>
      <w:r w:rsidRPr="00834A82">
        <w:rPr>
          <w:rFonts w:cs="Arial"/>
          <w:lang w:val="fr-FR"/>
        </w:rPr>
        <w:fldChar w:fldCharType="end"/>
      </w:r>
      <w:r w:rsidRPr="00834A82">
        <w:rPr>
          <w:rFonts w:cs="Arial"/>
          <w:lang w:val="fr-FR"/>
        </w:rPr>
        <w:tab/>
      </w:r>
      <w:r w:rsidR="008F43C9" w:rsidRPr="00834A82">
        <w:rPr>
          <w:rFonts w:cs="Arial"/>
          <w:lang w:val="fr-FR"/>
        </w:rPr>
        <w:t>Le présent document est structuré comme suit</w:t>
      </w:r>
      <w:r w:rsidR="00D907A2">
        <w:rPr>
          <w:rFonts w:cs="Arial"/>
          <w:lang w:val="fr-FR"/>
        </w:rPr>
        <w:t> :</w:t>
      </w:r>
    </w:p>
    <w:p w:rsidR="00934BE5" w:rsidRPr="00BB1943" w:rsidRDefault="00934BE5" w:rsidP="00BB1943">
      <w:pPr>
        <w:rPr>
          <w:sz w:val="18"/>
          <w:lang w:val="fr-FR"/>
        </w:rPr>
      </w:pPr>
    </w:p>
    <w:p w:rsidR="0027605C" w:rsidRPr="00BB1943" w:rsidRDefault="004F258F">
      <w:pPr>
        <w:pStyle w:val="TOC1"/>
        <w:rPr>
          <w:rFonts w:asciiTheme="minorHAnsi" w:eastAsiaTheme="minorEastAsia" w:hAnsiTheme="minorHAnsi" w:cstheme="minorBidi"/>
          <w:caps w:val="0"/>
          <w:sz w:val="18"/>
          <w:szCs w:val="18"/>
        </w:rPr>
      </w:pPr>
      <w:r w:rsidRPr="00BB1943">
        <w:rPr>
          <w:rFonts w:cs="Arial"/>
          <w:bCs/>
          <w:sz w:val="18"/>
          <w:szCs w:val="18"/>
          <w:lang w:val="fr-FR"/>
        </w:rPr>
        <w:fldChar w:fldCharType="begin"/>
      </w:r>
      <w:r w:rsidRPr="00BB1943">
        <w:rPr>
          <w:rFonts w:cs="Arial"/>
          <w:bCs/>
          <w:sz w:val="18"/>
          <w:szCs w:val="18"/>
          <w:lang w:val="fr-FR"/>
        </w:rPr>
        <w:instrText xml:space="preserve"> TOC \o "1-3" \h \z \u </w:instrText>
      </w:r>
      <w:r w:rsidRPr="00BB1943">
        <w:rPr>
          <w:rFonts w:cs="Arial"/>
          <w:bCs/>
          <w:sz w:val="18"/>
          <w:szCs w:val="18"/>
          <w:lang w:val="fr-FR"/>
        </w:rPr>
        <w:fldChar w:fldCharType="separate"/>
      </w:r>
      <w:hyperlink w:anchor="_Toc521330181" w:history="1">
        <w:r w:rsidR="0027605C" w:rsidRPr="00BB1943">
          <w:rPr>
            <w:rStyle w:val="Hyperlink"/>
            <w:snapToGrid w:val="0"/>
            <w:sz w:val="18"/>
            <w:szCs w:val="18"/>
            <w:lang w:val="fr-FR"/>
          </w:rPr>
          <w:t>résumé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_Toc521330181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1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1"/>
        <w:rPr>
          <w:rFonts w:asciiTheme="minorHAnsi" w:eastAsiaTheme="minorEastAsia" w:hAnsiTheme="minorHAnsi" w:cstheme="minorBidi"/>
          <w:caps w:val="0"/>
          <w:sz w:val="18"/>
          <w:szCs w:val="18"/>
        </w:rPr>
      </w:pPr>
      <w:hyperlink w:anchor="_Toc521330182" w:history="1">
        <w:r w:rsidR="0027605C" w:rsidRPr="00BB1943">
          <w:rPr>
            <w:rStyle w:val="Hyperlink"/>
            <w:sz w:val="18"/>
            <w:szCs w:val="18"/>
            <w:lang w:val="fr-FR"/>
          </w:rPr>
          <w:t>rappel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_Toc521330182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2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1"/>
        <w:rPr>
          <w:rFonts w:asciiTheme="minorHAnsi" w:eastAsiaTheme="minorEastAsia" w:hAnsiTheme="minorHAnsi" w:cstheme="minorBidi"/>
          <w:caps w:val="0"/>
          <w:sz w:val="18"/>
          <w:szCs w:val="18"/>
        </w:rPr>
      </w:pPr>
      <w:hyperlink w:anchor="_Toc521330183" w:history="1">
        <w:r w:rsidR="0027605C" w:rsidRPr="00BB1943">
          <w:rPr>
            <w:rStyle w:val="Hyperlink"/>
            <w:sz w:val="18"/>
            <w:szCs w:val="18"/>
            <w:lang w:val="fr-FR"/>
          </w:rPr>
          <w:t>Examen par les groupes de travail techniques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_Toc521330183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2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1"/>
        <w:rPr>
          <w:rFonts w:asciiTheme="minorHAnsi" w:eastAsiaTheme="minorEastAsia" w:hAnsiTheme="minorHAnsi" w:cstheme="minorBidi"/>
          <w:caps w:val="0"/>
          <w:sz w:val="18"/>
          <w:szCs w:val="18"/>
        </w:rPr>
      </w:pPr>
      <w:hyperlink w:anchor="_Toc521330184" w:history="1">
        <w:r w:rsidR="0027605C" w:rsidRPr="00BB1943">
          <w:rPr>
            <w:rStyle w:val="Hyperlink"/>
            <w:sz w:val="18"/>
            <w:szCs w:val="18"/>
            <w:lang w:val="fr-FR"/>
          </w:rPr>
          <w:t>Faits nouveaux en 2018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_Toc521330184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3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2"/>
        <w:rPr>
          <w:rFonts w:asciiTheme="minorHAnsi" w:eastAsiaTheme="minorEastAsia" w:hAnsiTheme="minorHAnsi" w:cstheme="minorBidi"/>
          <w:smallCaps w:val="0"/>
          <w:sz w:val="18"/>
          <w:szCs w:val="18"/>
          <w:lang w:val="en-US"/>
        </w:rPr>
      </w:pPr>
      <w:hyperlink w:anchor="_Toc521330185" w:history="1">
        <w:r w:rsidR="0027605C" w:rsidRPr="00BB1943">
          <w:rPr>
            <w:rStyle w:val="Hyperlink"/>
            <w:sz w:val="18"/>
            <w:szCs w:val="18"/>
            <w:lang w:val="fr-FR"/>
          </w:rPr>
          <w:t>Comité de rédaction élargi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_Toc521330185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3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2"/>
        <w:rPr>
          <w:rFonts w:asciiTheme="minorHAnsi" w:eastAsiaTheme="minorEastAsia" w:hAnsiTheme="minorHAnsi" w:cstheme="minorBidi"/>
          <w:smallCaps w:val="0"/>
          <w:sz w:val="18"/>
          <w:szCs w:val="18"/>
          <w:lang w:val="en-US"/>
        </w:rPr>
      </w:pPr>
      <w:hyperlink w:anchor="_Toc521330186" w:history="1">
        <w:r w:rsidR="0027605C" w:rsidRPr="00BB1943">
          <w:rPr>
            <w:rStyle w:val="Hyperlink"/>
            <w:sz w:val="18"/>
            <w:szCs w:val="18"/>
            <w:lang w:val="fr-FR"/>
          </w:rPr>
          <w:t>Propositions présentées par le groupe d’experts du TWF sous la coordination de la Nouvelle</w:t>
        </w:r>
        <w:r w:rsidR="0027605C" w:rsidRPr="00BB1943">
          <w:rPr>
            <w:rStyle w:val="Hyperlink"/>
            <w:sz w:val="18"/>
            <w:szCs w:val="18"/>
            <w:lang w:val="fr-FR"/>
          </w:rPr>
          <w:noBreakHyphen/>
          <w:t>Zélande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_Toc521330186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3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2"/>
        <w:rPr>
          <w:rFonts w:asciiTheme="minorHAnsi" w:eastAsiaTheme="minorEastAsia" w:hAnsiTheme="minorHAnsi" w:cstheme="minorBidi"/>
          <w:smallCaps w:val="0"/>
          <w:sz w:val="18"/>
          <w:szCs w:val="18"/>
          <w:lang w:val="en-US"/>
        </w:rPr>
      </w:pPr>
      <w:hyperlink w:anchor="_Toc521330187" w:history="1">
        <w:r w:rsidR="0027605C" w:rsidRPr="00BB1943">
          <w:rPr>
            <w:rStyle w:val="Hyperlink"/>
            <w:sz w:val="18"/>
            <w:szCs w:val="18"/>
            <w:lang w:val="fr-FR"/>
          </w:rPr>
          <w:t>Groupe de travail technique sur les plantes agricoles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_Toc521330187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4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27605C" w:rsidRPr="00BB1943" w:rsidRDefault="00B51885">
      <w:pPr>
        <w:pStyle w:val="TOC1"/>
        <w:rPr>
          <w:rFonts w:asciiTheme="minorHAnsi" w:eastAsiaTheme="minorEastAsia" w:hAnsiTheme="minorHAnsi" w:cstheme="minorBidi"/>
          <w:caps w:val="0"/>
          <w:sz w:val="18"/>
          <w:szCs w:val="18"/>
        </w:rPr>
      </w:pPr>
      <w:hyperlink w:anchor="_Toc521330188" w:history="1">
        <w:r w:rsidR="0027605C" w:rsidRPr="00BB1943">
          <w:rPr>
            <w:rStyle w:val="Hyperlink"/>
            <w:sz w:val="18"/>
            <w:szCs w:val="18"/>
            <w:lang w:val="fr-FR"/>
          </w:rPr>
          <w:t>Prochaines étapes</w:t>
        </w:r>
        <w:r w:rsidR="0027605C" w:rsidRPr="00BB1943">
          <w:rPr>
            <w:webHidden/>
            <w:sz w:val="18"/>
            <w:szCs w:val="18"/>
          </w:rPr>
          <w:tab/>
        </w:r>
        <w:r w:rsidR="0027605C" w:rsidRPr="00BB1943">
          <w:rPr>
            <w:webHidden/>
            <w:sz w:val="18"/>
            <w:szCs w:val="18"/>
          </w:rPr>
          <w:fldChar w:fldCharType="begin"/>
        </w:r>
        <w:r w:rsidR="0027605C" w:rsidRPr="00BB1943">
          <w:rPr>
            <w:webHidden/>
            <w:sz w:val="18"/>
            <w:szCs w:val="18"/>
          </w:rPr>
          <w:instrText xml:space="preserve"> PAGEREF _Toc521330188 \h </w:instrText>
        </w:r>
        <w:r w:rsidR="0027605C" w:rsidRPr="00BB1943">
          <w:rPr>
            <w:webHidden/>
            <w:sz w:val="18"/>
            <w:szCs w:val="18"/>
          </w:rPr>
        </w:r>
        <w:r w:rsidR="0027605C" w:rsidRPr="00BB1943">
          <w:rPr>
            <w:webHidden/>
            <w:sz w:val="18"/>
            <w:szCs w:val="18"/>
          </w:rPr>
          <w:fldChar w:fldCharType="separate"/>
        </w:r>
        <w:r w:rsidR="0027605C" w:rsidRPr="00BB1943">
          <w:rPr>
            <w:webHidden/>
            <w:sz w:val="18"/>
            <w:szCs w:val="18"/>
          </w:rPr>
          <w:t>4</w:t>
        </w:r>
        <w:r w:rsidR="0027605C" w:rsidRPr="00BB1943">
          <w:rPr>
            <w:webHidden/>
            <w:sz w:val="18"/>
            <w:szCs w:val="18"/>
          </w:rPr>
          <w:fldChar w:fldCharType="end"/>
        </w:r>
      </w:hyperlink>
    </w:p>
    <w:p w:rsidR="00E06ACC" w:rsidRPr="00834A82" w:rsidRDefault="004F258F" w:rsidP="00BB1943">
      <w:pPr>
        <w:rPr>
          <w:caps/>
          <w:lang w:val="fr-FR"/>
        </w:rPr>
      </w:pPr>
      <w:r w:rsidRPr="00BB1943">
        <w:rPr>
          <w:rFonts w:cs="Arial"/>
          <w:sz w:val="18"/>
          <w:szCs w:val="18"/>
          <w:lang w:val="fr-FR"/>
        </w:rPr>
        <w:fldChar w:fldCharType="end"/>
      </w:r>
      <w:r w:rsidR="008F43C9" w:rsidRPr="00BB1943">
        <w:rPr>
          <w:rFonts w:cs="Arial"/>
          <w:sz w:val="18"/>
          <w:szCs w:val="18"/>
          <w:lang w:val="fr-FR"/>
        </w:rPr>
        <w:t>ANNEXE</w:t>
      </w:r>
      <w:r w:rsidR="008F43C9" w:rsidRPr="00BB1943">
        <w:rPr>
          <w:rFonts w:cs="Arial"/>
          <w:sz w:val="18"/>
          <w:szCs w:val="18"/>
          <w:lang w:val="fr-FR"/>
        </w:rPr>
        <w:tab/>
      </w:r>
      <w:r w:rsidR="001F3048" w:rsidRPr="00BB1943">
        <w:rPr>
          <w:rFonts w:cs="Arial"/>
          <w:sz w:val="18"/>
          <w:szCs w:val="18"/>
          <w:lang w:val="fr-FR"/>
        </w:rPr>
        <w:t>ORIENTATIONS CONCERNANT LES CARACTÈRES LIÉS À LA FORME</w:t>
      </w:r>
      <w:bookmarkEnd w:id="5"/>
      <w:bookmarkEnd w:id="6"/>
      <w:bookmarkEnd w:id="7"/>
      <w:bookmarkEnd w:id="8"/>
      <w:bookmarkEnd w:id="9"/>
      <w:r w:rsidR="00E06ACC" w:rsidRPr="00834A82">
        <w:rPr>
          <w:caps/>
          <w:lang w:val="fr-FR"/>
        </w:rPr>
        <w:br w:type="page"/>
      </w:r>
    </w:p>
    <w:p w:rsidR="00934BE5" w:rsidRPr="00834A82" w:rsidRDefault="008F43C9" w:rsidP="008F43C9">
      <w:pPr>
        <w:keepNext/>
        <w:outlineLvl w:val="0"/>
        <w:rPr>
          <w:caps/>
          <w:lang w:val="fr-FR"/>
        </w:rPr>
      </w:pPr>
      <w:bookmarkStart w:id="10" w:name="_Toc521330182"/>
      <w:r w:rsidRPr="00834A82">
        <w:rPr>
          <w:caps/>
          <w:lang w:val="fr-FR"/>
        </w:rPr>
        <w:lastRenderedPageBreak/>
        <w:t>rappel</w:t>
      </w:r>
      <w:bookmarkEnd w:id="10"/>
    </w:p>
    <w:bookmarkEnd w:id="3"/>
    <w:bookmarkEnd w:id="4"/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8F43C9">
      <w:pPr>
        <w:rPr>
          <w:i/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8F43C9" w:rsidRPr="00834A82">
        <w:rPr>
          <w:lang w:val="fr-FR"/>
        </w:rPr>
        <w:t>À sa cinquante</w:t>
      </w:r>
      <w:r w:rsidR="00956579">
        <w:rPr>
          <w:lang w:val="fr-FR"/>
        </w:rPr>
        <w:noBreakHyphen/>
      </w:r>
      <w:r w:rsidR="008F43C9" w:rsidRPr="00834A82">
        <w:rPr>
          <w:lang w:val="fr-FR"/>
        </w:rPr>
        <w:t>trois</w:t>
      </w:r>
      <w:r w:rsidR="00D907A2">
        <w:rPr>
          <w:lang w:val="fr-FR"/>
        </w:rPr>
        <w:t>ième session</w:t>
      </w:r>
      <w:r w:rsidR="008F43C9" w:rsidRPr="00834A82">
        <w:rPr>
          <w:lang w:val="fr-FR"/>
        </w:rPr>
        <w:t xml:space="preserve"> tenue à Genève du 3 au </w:t>
      </w:r>
      <w:r w:rsidR="00D907A2" w:rsidRPr="00834A82">
        <w:rPr>
          <w:lang w:val="fr-FR"/>
        </w:rPr>
        <w:t>5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avril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8F43C9" w:rsidRPr="00834A82">
        <w:rPr>
          <w:lang w:val="fr-FR"/>
        </w:rPr>
        <w:t>17, le</w:t>
      </w:r>
      <w:r w:rsidR="00D907A2">
        <w:rPr>
          <w:lang w:val="fr-FR"/>
        </w:rPr>
        <w:t> TC</w:t>
      </w:r>
      <w:r w:rsidR="008F43C9" w:rsidRPr="00834A82">
        <w:rPr>
          <w:lang w:val="fr-FR"/>
        </w:rPr>
        <w:t xml:space="preserve"> est convenu d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>améliorer les orientations disponibles dans le document</w:t>
      </w:r>
      <w:r w:rsidR="00956579">
        <w:rPr>
          <w:lang w:val="fr-FR"/>
        </w:rPr>
        <w:t> </w:t>
      </w:r>
      <w:r w:rsidR="008F43C9" w:rsidRPr="00834A82">
        <w:rPr>
          <w:lang w:val="fr-FR"/>
        </w:rPr>
        <w:t>TGP/14 relatives aux illustrations des caractères liés à la forme et au ratio en ajoutant des exempl</w:t>
      </w:r>
      <w:r w:rsidR="00467EF5" w:rsidRPr="00834A82">
        <w:rPr>
          <w:lang w:val="fr-FR"/>
        </w:rPr>
        <w:t>es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Il</w:t>
      </w:r>
      <w:r w:rsidR="008F43C9" w:rsidRPr="00834A82">
        <w:rPr>
          <w:lang w:val="fr-FR"/>
        </w:rPr>
        <w:t xml:space="preserve"> est convenu </w:t>
      </w:r>
      <w:r w:rsidR="00506B70" w:rsidRPr="00834A82">
        <w:rPr>
          <w:lang w:val="fr-FR"/>
        </w:rPr>
        <w:t>d</w:t>
      </w:r>
      <w:r w:rsidR="00D907A2">
        <w:rPr>
          <w:lang w:val="fr-FR"/>
        </w:rPr>
        <w:t>’</w:t>
      </w:r>
      <w:r w:rsidR="008F43C9" w:rsidRPr="00834A82">
        <w:rPr>
          <w:lang w:val="fr-FR"/>
        </w:rPr>
        <w:t>inviter les groupes de travail techniq</w:t>
      </w:r>
      <w:r w:rsidR="00506B70" w:rsidRPr="00834A82">
        <w:rPr>
          <w:lang w:val="fr-FR"/>
        </w:rPr>
        <w:t xml:space="preserve">ues, à leurs sessions </w:t>
      </w:r>
      <w:r w:rsidR="00D907A2" w:rsidRPr="00834A82">
        <w:rPr>
          <w:lang w:val="fr-FR"/>
        </w:rPr>
        <w:t>de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2017</w:t>
      </w:r>
      <w:r w:rsidR="00506B70" w:rsidRPr="00834A82">
        <w:rPr>
          <w:lang w:val="fr-FR"/>
        </w:rPr>
        <w:t xml:space="preserve">, à </w:t>
      </w:r>
      <w:r w:rsidR="008F43C9" w:rsidRPr="00834A82">
        <w:rPr>
          <w:lang w:val="fr-FR"/>
        </w:rPr>
        <w:t xml:space="preserve">examiner la question et </w:t>
      </w:r>
      <w:r w:rsidR="00506B70" w:rsidRPr="00834A82">
        <w:rPr>
          <w:lang w:val="fr-FR"/>
        </w:rPr>
        <w:t xml:space="preserve">à </w:t>
      </w:r>
      <w:r w:rsidR="008F43C9" w:rsidRPr="00834A82">
        <w:rPr>
          <w:lang w:val="fr-FR"/>
        </w:rPr>
        <w:t>rendre compte au</w:t>
      </w:r>
      <w:r w:rsidR="00D907A2">
        <w:rPr>
          <w:lang w:val="fr-FR"/>
        </w:rPr>
        <w:t> TC</w:t>
      </w:r>
      <w:r w:rsidR="008F43C9" w:rsidRPr="00834A82">
        <w:rPr>
          <w:lang w:val="fr-FR"/>
        </w:rPr>
        <w:t xml:space="preserve"> à sa session </w:t>
      </w:r>
      <w:r w:rsidR="00D907A2" w:rsidRPr="00834A82">
        <w:rPr>
          <w:lang w:val="fr-FR"/>
        </w:rPr>
        <w:t>de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2018</w:t>
      </w:r>
      <w:r w:rsidR="008F43C9" w:rsidRPr="00834A82">
        <w:rPr>
          <w:lang w:val="fr-FR"/>
        </w:rPr>
        <w:t xml:space="preserve"> (voir le </w:t>
      </w:r>
      <w:r w:rsidR="00D907A2" w:rsidRPr="00834A82">
        <w:rPr>
          <w:lang w:val="fr-FR"/>
        </w:rPr>
        <w:t>paragraphe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</w:t>
      </w:r>
      <w:r w:rsidR="008F43C9" w:rsidRPr="00834A82">
        <w:rPr>
          <w:lang w:val="fr-FR"/>
        </w:rPr>
        <w:t xml:space="preserve">53 du </w:t>
      </w:r>
      <w:r w:rsidR="00D907A2" w:rsidRPr="00834A82">
        <w:rPr>
          <w:lang w:val="fr-FR"/>
        </w:rPr>
        <w:t>document</w:t>
      </w:r>
      <w:r w:rsidR="00956579">
        <w:rPr>
          <w:lang w:val="fr-FR"/>
        </w:rPr>
        <w:t> </w:t>
      </w:r>
      <w:r w:rsidR="00D907A2">
        <w:rPr>
          <w:lang w:val="fr-FR"/>
        </w:rPr>
        <w:t>TC</w:t>
      </w:r>
      <w:r w:rsidR="008F43C9" w:rsidRPr="00834A82">
        <w:rPr>
          <w:lang w:val="fr-FR"/>
        </w:rPr>
        <w:t>/53/31 “Compte rendu”).</w:t>
      </w:r>
    </w:p>
    <w:p w:rsidR="00934BE5" w:rsidRPr="00834A82" w:rsidRDefault="00934BE5" w:rsidP="004F258F">
      <w:pPr>
        <w:keepNext/>
        <w:outlineLvl w:val="0"/>
        <w:rPr>
          <w:caps/>
          <w:lang w:val="fr-FR"/>
        </w:rPr>
      </w:pPr>
    </w:p>
    <w:p w:rsidR="00934BE5" w:rsidRPr="00834A82" w:rsidRDefault="00934BE5" w:rsidP="004F258F">
      <w:pPr>
        <w:keepNext/>
        <w:outlineLvl w:val="0"/>
        <w:rPr>
          <w:caps/>
          <w:lang w:val="fr-FR"/>
        </w:rPr>
      </w:pPr>
    </w:p>
    <w:p w:rsidR="00D907A2" w:rsidRDefault="008F43C9" w:rsidP="008F43C9">
      <w:pPr>
        <w:keepNext/>
        <w:outlineLvl w:val="0"/>
        <w:rPr>
          <w:caps/>
          <w:lang w:val="fr-FR"/>
        </w:rPr>
      </w:pPr>
      <w:bookmarkStart w:id="11" w:name="_Toc521330183"/>
      <w:r w:rsidRPr="00834A82">
        <w:rPr>
          <w:caps/>
          <w:lang w:val="fr-FR"/>
        </w:rPr>
        <w:t>Examen par les groupes de travail techniques</w:t>
      </w:r>
      <w:bookmarkEnd w:id="11"/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172E65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1F3048" w:rsidRPr="00834A82">
        <w:rPr>
          <w:lang w:val="fr-FR"/>
        </w:rPr>
        <w:t xml:space="preserve">À leurs sessions </w:t>
      </w:r>
      <w:r w:rsidR="00D907A2" w:rsidRPr="00834A82">
        <w:rPr>
          <w:lang w:val="fr-FR"/>
        </w:rPr>
        <w:t>de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2017</w:t>
      </w:r>
      <w:r w:rsidR="001F3048" w:rsidRPr="00834A82">
        <w:rPr>
          <w:lang w:val="fr-FR"/>
        </w:rPr>
        <w:t>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TWA</w:t>
      </w:r>
      <w:r w:rsidR="00172E65" w:rsidRPr="00834A82">
        <w:rPr>
          <w:lang w:val="fr-FR"/>
        </w:rPr>
        <w:t>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TWV</w:t>
      </w:r>
      <w:r w:rsidR="001F3048" w:rsidRPr="00834A82">
        <w:rPr>
          <w:lang w:val="fr-FR"/>
        </w:rPr>
        <w:t>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TWO</w:t>
      </w:r>
      <w:r w:rsidR="001F3048" w:rsidRPr="00834A82">
        <w:rPr>
          <w:lang w:val="fr-FR"/>
        </w:rPr>
        <w:t>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="001F3048" w:rsidRPr="00834A82">
        <w:rPr>
          <w:lang w:val="fr-FR"/>
        </w:rPr>
        <w:t xml:space="preserve"> et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TWC</w:t>
      </w:r>
      <w:r w:rsidR="001F3048" w:rsidRPr="00834A82">
        <w:rPr>
          <w:lang w:val="fr-FR"/>
        </w:rPr>
        <w:t xml:space="preserve"> </w:t>
      </w:r>
      <w:r w:rsidR="00172E65" w:rsidRPr="00834A82">
        <w:rPr>
          <w:lang w:val="fr-FR"/>
        </w:rPr>
        <w:t>ont examiné le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 xml:space="preserve">TWP/1/18 “Illustrations for </w:t>
      </w:r>
      <w:proofErr w:type="spellStart"/>
      <w:r w:rsidR="00172E65" w:rsidRPr="00834A82">
        <w:rPr>
          <w:lang w:val="fr-FR"/>
        </w:rPr>
        <w:t>shape</w:t>
      </w:r>
      <w:proofErr w:type="spellEnd"/>
      <w:r w:rsidR="00172E65" w:rsidRPr="00834A82">
        <w:rPr>
          <w:lang w:val="fr-FR"/>
        </w:rPr>
        <w:t xml:space="preserve"> and ratio </w:t>
      </w:r>
      <w:proofErr w:type="spellStart"/>
      <w:r w:rsidR="00172E65" w:rsidRPr="00834A82">
        <w:rPr>
          <w:lang w:val="fr-FR"/>
        </w:rPr>
        <w:t>characteristics</w:t>
      </w:r>
      <w:proofErr w:type="spellEnd"/>
      <w:r w:rsidR="00172E65" w:rsidRPr="00834A82">
        <w:rPr>
          <w:lang w:val="fr-FR"/>
        </w:rPr>
        <w:t>” (illustrations des caractères liés à la forme et au ratio) qui invitait</w:t>
      </w:r>
      <w:r w:rsidR="00D907A2" w:rsidRPr="00834A82">
        <w:rPr>
          <w:lang w:val="fr-FR"/>
        </w:rPr>
        <w:t xml:space="preserve"> les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TWP</w:t>
      </w:r>
      <w:r w:rsidR="00172E65" w:rsidRPr="00834A82">
        <w:rPr>
          <w:lang w:val="fr-FR"/>
        </w:rPr>
        <w:t xml:space="preserve"> à déterminer si des exemples supplémentaires pouvaient être </w:t>
      </w:r>
      <w:r w:rsidR="00506B70" w:rsidRPr="00834A82">
        <w:rPr>
          <w:lang w:val="fr-FR"/>
        </w:rPr>
        <w:t>fournis</w:t>
      </w:r>
      <w:r w:rsidR="00172E65" w:rsidRPr="00834A82">
        <w:rPr>
          <w:lang w:val="fr-FR"/>
        </w:rPr>
        <w:t xml:space="preserve"> pour améliorer les orientations disponibles dans le </w:t>
      </w:r>
      <w:r w:rsidR="00D907A2" w:rsidRPr="00834A82">
        <w:rPr>
          <w:lang w:val="fr-FR"/>
        </w:rPr>
        <w:t>document</w:t>
      </w:r>
      <w:r w:rsidR="00956579">
        <w:rPr>
          <w:lang w:val="fr-FR"/>
        </w:rPr>
        <w:t> </w:t>
      </w:r>
      <w:r w:rsidR="00D907A2" w:rsidRPr="00834A82">
        <w:rPr>
          <w:lang w:val="fr-FR"/>
        </w:rPr>
        <w:t>TG</w:t>
      </w:r>
      <w:r w:rsidR="00172E65" w:rsidRPr="00834A82">
        <w:rPr>
          <w:lang w:val="fr-FR"/>
        </w:rPr>
        <w:t xml:space="preserve">P/14 (voir les </w:t>
      </w:r>
      <w:r w:rsidR="00D907A2" w:rsidRPr="00834A82">
        <w:rPr>
          <w:lang w:val="fr-FR"/>
        </w:rPr>
        <w:t>paragraphes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5</w:t>
      </w:r>
      <w:r w:rsidR="00172E65" w:rsidRPr="00834A82">
        <w:rPr>
          <w:lang w:val="fr-FR"/>
        </w:rPr>
        <w:t>3 et 54 du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>TWA/46/10 “Report”;  les paragraphes 48 et 49 du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>TWV/51/16 “Report”;  les paragraphes 40 à 42 du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 xml:space="preserve">TWO/50/14 “Report”;  les </w:t>
      </w:r>
      <w:r w:rsidR="00D907A2" w:rsidRPr="00834A82">
        <w:rPr>
          <w:lang w:val="fr-FR"/>
        </w:rPr>
        <w:t>paragraphes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4</w:t>
      </w:r>
      <w:r w:rsidR="00172E65" w:rsidRPr="00834A82">
        <w:rPr>
          <w:lang w:val="fr-FR"/>
        </w:rPr>
        <w:t>9 à 53 du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>TWF/48/13 “R</w:t>
      </w:r>
      <w:r w:rsidR="00506B70" w:rsidRPr="00834A82">
        <w:rPr>
          <w:lang w:val="fr-FR"/>
        </w:rPr>
        <w:t xml:space="preserve">eport”;  et les </w:t>
      </w:r>
      <w:r w:rsidR="00D907A2" w:rsidRPr="00834A82">
        <w:rPr>
          <w:lang w:val="fr-FR"/>
        </w:rPr>
        <w:t>paragraphes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4</w:t>
      </w:r>
      <w:r w:rsidR="00506B70" w:rsidRPr="00834A82">
        <w:rPr>
          <w:lang w:val="fr-FR"/>
        </w:rPr>
        <w:t>3 et</w:t>
      </w:r>
      <w:r w:rsidR="00172E65" w:rsidRPr="00834A82">
        <w:rPr>
          <w:lang w:val="fr-FR"/>
        </w:rPr>
        <w:t xml:space="preserve"> 44 du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>TWC/35/21 “Report”).</w:t>
      </w:r>
    </w:p>
    <w:p w:rsidR="00934BE5" w:rsidRPr="00834A82" w:rsidRDefault="00934BE5" w:rsidP="004F258F">
      <w:pPr>
        <w:rPr>
          <w:lang w:val="fr-FR"/>
        </w:rPr>
      </w:pPr>
    </w:p>
    <w:p w:rsidR="00D907A2" w:rsidRDefault="004F258F" w:rsidP="00172E65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172E65" w:rsidRPr="00834A82">
        <w:rPr>
          <w:lang w:val="fr-FR"/>
        </w:rPr>
        <w:t>Le TWA,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TWV</w:t>
      </w:r>
      <w:r w:rsidR="00172E65" w:rsidRPr="00834A82">
        <w:rPr>
          <w:lang w:val="fr-FR"/>
        </w:rPr>
        <w:t>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="00172E65" w:rsidRPr="00834A82">
        <w:rPr>
          <w:lang w:val="fr-FR"/>
        </w:rPr>
        <w:t xml:space="preserve"> et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TWC</w:t>
      </w:r>
      <w:r w:rsidR="00172E65" w:rsidRPr="00834A82">
        <w:rPr>
          <w:lang w:val="fr-FR"/>
        </w:rPr>
        <w:t xml:space="preserve"> sont convenus qu</w:t>
      </w:r>
      <w:r w:rsidR="00D907A2">
        <w:rPr>
          <w:lang w:val="fr-FR"/>
        </w:rPr>
        <w:t>’</w:t>
      </w:r>
      <w:r w:rsidR="00172E65" w:rsidRPr="00834A82">
        <w:rPr>
          <w:lang w:val="fr-FR"/>
        </w:rPr>
        <w:t>aucun exemple supplémentaire n</w:t>
      </w:r>
      <w:r w:rsidR="00D907A2">
        <w:rPr>
          <w:lang w:val="fr-FR"/>
        </w:rPr>
        <w:t>’</w:t>
      </w:r>
      <w:r w:rsidR="00172E65" w:rsidRPr="00834A82">
        <w:rPr>
          <w:lang w:val="fr-FR"/>
        </w:rPr>
        <w:t>était disp</w:t>
      </w:r>
      <w:r w:rsidR="00434BF2" w:rsidRPr="00834A82">
        <w:rPr>
          <w:lang w:val="fr-FR"/>
        </w:rPr>
        <w:t>onible pour améli</w:t>
      </w:r>
      <w:r w:rsidR="00172E65" w:rsidRPr="00834A82">
        <w:rPr>
          <w:lang w:val="fr-FR"/>
        </w:rPr>
        <w:t>orer les orientations relatives aux illustrations des caractères liés à la forme et au ratio dans le document</w:t>
      </w:r>
      <w:r w:rsidR="00956579">
        <w:rPr>
          <w:lang w:val="fr-FR"/>
        </w:rPr>
        <w:t> </w:t>
      </w:r>
      <w:r w:rsidR="00172E65" w:rsidRPr="00834A82">
        <w:rPr>
          <w:lang w:val="fr-FR"/>
        </w:rPr>
        <w:t xml:space="preserve">TGP/14. 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TWO</w:t>
      </w:r>
      <w:r w:rsidR="00172E65" w:rsidRPr="00834A82">
        <w:rPr>
          <w:lang w:val="fr-FR"/>
        </w:rPr>
        <w:t xml:space="preserve"> a pris note des illustrations </w:t>
      </w:r>
      <w:r w:rsidR="00506B70" w:rsidRPr="00834A82">
        <w:rPr>
          <w:lang w:val="fr-FR"/>
        </w:rPr>
        <w:t>données à titre d</w:t>
      </w:r>
      <w:r w:rsidR="00D907A2">
        <w:rPr>
          <w:lang w:val="fr-FR"/>
        </w:rPr>
        <w:t>’</w:t>
      </w:r>
      <w:r w:rsidR="00506B70" w:rsidRPr="00834A82">
        <w:rPr>
          <w:lang w:val="fr-FR"/>
        </w:rPr>
        <w:t xml:space="preserve">exemple pour les </w:t>
      </w:r>
      <w:r w:rsidR="00172E65" w:rsidRPr="00834A82">
        <w:rPr>
          <w:lang w:val="fr-FR"/>
        </w:rPr>
        <w:t xml:space="preserve">caractères liés à la forme et au ratio dans le </w:t>
      </w:r>
      <w:r w:rsidR="00D907A2" w:rsidRPr="00834A82">
        <w:rPr>
          <w:lang w:val="fr-FR"/>
        </w:rPr>
        <w:t>document</w:t>
      </w:r>
      <w:r w:rsidR="00956579">
        <w:rPr>
          <w:lang w:val="fr-FR"/>
        </w:rPr>
        <w:t> </w:t>
      </w:r>
      <w:r w:rsidR="00D907A2" w:rsidRPr="00834A82">
        <w:rPr>
          <w:lang w:val="fr-FR"/>
        </w:rPr>
        <w:t>TG</w:t>
      </w:r>
      <w:r w:rsidR="00172E65" w:rsidRPr="00834A82">
        <w:rPr>
          <w:lang w:val="fr-FR"/>
        </w:rPr>
        <w:t>P/14 et il est convenu qu</w:t>
      </w:r>
      <w:r w:rsidR="00D907A2">
        <w:rPr>
          <w:lang w:val="fr-FR"/>
        </w:rPr>
        <w:t>’</w:t>
      </w:r>
      <w:r w:rsidR="00172E65" w:rsidRPr="00834A82">
        <w:rPr>
          <w:lang w:val="fr-FR"/>
        </w:rPr>
        <w:t>aucun exemple supplémentaire n</w:t>
      </w:r>
      <w:r w:rsidR="00D907A2">
        <w:rPr>
          <w:lang w:val="fr-FR"/>
        </w:rPr>
        <w:t>’</w:t>
      </w:r>
      <w:r w:rsidR="00172E65" w:rsidRPr="00834A82">
        <w:rPr>
          <w:lang w:val="fr-FR"/>
        </w:rPr>
        <w:t>était nécessaire pour améliorer les orientations.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EC5CE4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EC5CE4" w:rsidRPr="00834A82">
        <w:rPr>
          <w:lang w:val="fr-FR"/>
        </w:rPr>
        <w:t>Le TWF est convenu avec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TWO</w:t>
      </w:r>
      <w:r w:rsidR="00EC5CE4" w:rsidRPr="00834A82">
        <w:rPr>
          <w:lang w:val="fr-FR"/>
        </w:rPr>
        <w:t xml:space="preserve"> qu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il convenait de modifier les orientations relatives aux illustrations des caractères liés à la forme et au ratio dans le document</w:t>
      </w:r>
      <w:r w:rsidR="00956579">
        <w:rPr>
          <w:lang w:val="fr-FR"/>
        </w:rPr>
        <w:t> </w:t>
      </w:r>
      <w:r w:rsidR="00EC5CE4" w:rsidRPr="00834A82">
        <w:rPr>
          <w:lang w:val="fr-FR"/>
        </w:rPr>
        <w:t xml:space="preserve">TGP/14 </w:t>
      </w:r>
      <w:r w:rsidR="001F3048" w:rsidRPr="00834A82">
        <w:rPr>
          <w:lang w:val="fr-FR"/>
        </w:rPr>
        <w:t>pour</w:t>
      </w:r>
      <w:r w:rsidR="00EC5CE4" w:rsidRPr="00834A82">
        <w:rPr>
          <w:lang w:val="fr-FR"/>
        </w:rPr>
        <w:t xml:space="preserve"> préciser que la base d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une structure se situe au point d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attac</w:t>
      </w:r>
      <w:r w:rsidR="00467EF5" w:rsidRPr="00834A82">
        <w:rPr>
          <w:lang w:val="fr-FR"/>
        </w:rPr>
        <w:t>he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="00EC5CE4" w:rsidRPr="00834A82">
        <w:rPr>
          <w:lang w:val="fr-FR"/>
        </w:rPr>
        <w:t xml:space="preserve"> est également convenu que l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exemple</w:t>
      </w:r>
      <w:r w:rsidR="00956579">
        <w:rPr>
          <w:lang w:val="fr-FR"/>
        </w:rPr>
        <w:t> </w:t>
      </w:r>
      <w:r w:rsidR="00EC5CE4" w:rsidRPr="00834A82">
        <w:rPr>
          <w:lang w:val="fr-FR"/>
        </w:rPr>
        <w:t>6 des caractères liés à la forme dans le d</w:t>
      </w:r>
      <w:r w:rsidR="001F3048" w:rsidRPr="00834A82">
        <w:rPr>
          <w:lang w:val="fr-FR"/>
        </w:rPr>
        <w:t>ocument</w:t>
      </w:r>
      <w:r w:rsidR="00956579">
        <w:rPr>
          <w:lang w:val="fr-FR"/>
        </w:rPr>
        <w:t> </w:t>
      </w:r>
      <w:r w:rsidR="001F3048" w:rsidRPr="00834A82">
        <w:rPr>
          <w:lang w:val="fr-FR"/>
        </w:rPr>
        <w:t>TGP/14</w:t>
      </w:r>
      <w:r w:rsidR="00EC5CE4" w:rsidRPr="00834A82">
        <w:rPr>
          <w:lang w:val="fr-FR"/>
        </w:rPr>
        <w:t xml:space="preserve"> “Les variations entre les gammes de formes illustrées”, reproduit dans le document</w:t>
      </w:r>
      <w:r w:rsidR="00956579">
        <w:rPr>
          <w:lang w:val="fr-FR"/>
        </w:rPr>
        <w:t> </w:t>
      </w:r>
      <w:r w:rsidR="00EC5CE4" w:rsidRPr="00834A82">
        <w:rPr>
          <w:lang w:val="fr-FR"/>
        </w:rPr>
        <w:t>TWP/1/18, pouvait être présenté à l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 xml:space="preserve">envers pour </w:t>
      </w:r>
      <w:r w:rsidR="00506B70" w:rsidRPr="00834A82">
        <w:rPr>
          <w:lang w:val="fr-FR"/>
        </w:rPr>
        <w:t xml:space="preserve">bien </w:t>
      </w:r>
      <w:r w:rsidR="00EC5CE4" w:rsidRPr="00834A82">
        <w:rPr>
          <w:lang w:val="fr-FR"/>
        </w:rPr>
        <w:t>montrer que la base</w:t>
      </w:r>
      <w:r w:rsidR="00506B70" w:rsidRPr="00834A82">
        <w:rPr>
          <w:lang w:val="fr-FR"/>
        </w:rPr>
        <w:t>,</w:t>
      </w:r>
      <w:r w:rsidR="00EC5CE4" w:rsidRPr="00834A82">
        <w:rPr>
          <w:lang w:val="fr-FR"/>
        </w:rPr>
        <w:t xml:space="preserve"> sur les illustrations relatives à la forme</w:t>
      </w:r>
      <w:r w:rsidR="00506B70" w:rsidRPr="00834A82">
        <w:rPr>
          <w:lang w:val="fr-FR"/>
        </w:rPr>
        <w:t>,</w:t>
      </w:r>
      <w:r w:rsidR="00EC5CE4" w:rsidRPr="00834A82">
        <w:rPr>
          <w:lang w:val="fr-FR"/>
        </w:rPr>
        <w:t xml:space="preserve"> d</w:t>
      </w:r>
      <w:r w:rsidR="001F3048" w:rsidRPr="00834A82">
        <w:rPr>
          <w:lang w:val="fr-FR"/>
        </w:rPr>
        <w:t>oit</w:t>
      </w:r>
      <w:r w:rsidR="00EC5CE4" w:rsidRPr="00834A82">
        <w:rPr>
          <w:lang w:val="fr-FR"/>
        </w:rPr>
        <w:t xml:space="preserve"> si </w:t>
      </w:r>
      <w:r w:rsidR="00506B70" w:rsidRPr="00834A82">
        <w:rPr>
          <w:lang w:val="fr-FR"/>
        </w:rPr>
        <w:t>possible être présentée</w:t>
      </w:r>
      <w:r w:rsidR="00EC5CE4" w:rsidRPr="00834A82">
        <w:rPr>
          <w:lang w:val="fr-FR"/>
        </w:rPr>
        <w:t xml:space="preserve"> </w:t>
      </w:r>
      <w:r w:rsidR="00506B70" w:rsidRPr="00834A82">
        <w:rPr>
          <w:lang w:val="fr-FR"/>
        </w:rPr>
        <w:t>comme</w:t>
      </w:r>
      <w:r w:rsidR="00EC5CE4" w:rsidRPr="00834A82">
        <w:rPr>
          <w:lang w:val="fr-FR"/>
        </w:rPr>
        <w:t xml:space="preserve"> suit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4F258F">
      <w:pPr>
        <w:jc w:val="center"/>
        <w:rPr>
          <w:lang w:val="fr-FR"/>
        </w:rPr>
      </w:pPr>
      <w:r w:rsidRPr="00834A82">
        <w:rPr>
          <w:noProof/>
          <w:lang w:val="es-ES_tradnl" w:eastAsia="es-ES_tradnl"/>
        </w:rPr>
        <w:drawing>
          <wp:inline distT="0" distB="0" distL="0" distR="0" wp14:anchorId="3271E384" wp14:editId="56320E60">
            <wp:extent cx="3725244" cy="788829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3725244" cy="78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E5" w:rsidRPr="00834A82" w:rsidRDefault="00934BE5" w:rsidP="004F258F">
      <w:pPr>
        <w:jc w:val="center"/>
        <w:rPr>
          <w:lang w:val="fr-FR"/>
        </w:rPr>
      </w:pPr>
    </w:p>
    <w:p w:rsidR="00934BE5" w:rsidRPr="00834A82" w:rsidRDefault="004F258F" w:rsidP="00EC5CE4">
      <w:pPr>
        <w:rPr>
          <w:lang w:val="fr-FR" w:eastAsia="zh-CN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EC5CE4" w:rsidRPr="00834A82">
        <w:rPr>
          <w:lang w:val="fr-FR"/>
        </w:rPr>
        <w:t xml:space="preserve">Le TWO a noté que les caractères </w:t>
      </w:r>
      <w:r w:rsidR="001F3048" w:rsidRPr="00834A82">
        <w:rPr>
          <w:lang w:val="fr-FR"/>
        </w:rPr>
        <w:t>pour lesquels il existait</w:t>
      </w:r>
      <w:r w:rsidR="00EC5CE4" w:rsidRPr="00834A82">
        <w:rPr>
          <w:lang w:val="fr-FR"/>
        </w:rPr>
        <w:t xml:space="preserve"> très peu de niveaux d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expression pouvaient être présentés sur une seule ligne</w:t>
      </w:r>
      <w:r w:rsidR="001F3048" w:rsidRPr="00834A82">
        <w:rPr>
          <w:lang w:val="fr-FR"/>
        </w:rPr>
        <w:t>,</w:t>
      </w:r>
      <w:r w:rsidR="00EC5CE4" w:rsidRPr="00834A82">
        <w:rPr>
          <w:lang w:val="fr-FR"/>
        </w:rPr>
        <w:t xml:space="preserve"> comme dans les deux</w:t>
      </w:r>
      <w:r w:rsidR="00881453">
        <w:rPr>
          <w:lang w:val="fr-FR"/>
        </w:rPr>
        <w:t> </w:t>
      </w:r>
      <w:r w:rsidR="00EC5CE4" w:rsidRPr="00834A82">
        <w:rPr>
          <w:lang w:val="fr-FR"/>
        </w:rPr>
        <w:t xml:space="preserve">premiers exemples </w:t>
      </w:r>
      <w:r w:rsidR="001F3048" w:rsidRPr="00834A82">
        <w:rPr>
          <w:lang w:val="fr-FR"/>
        </w:rPr>
        <w:t>figurant</w:t>
      </w:r>
      <w:r w:rsidR="00EC5CE4" w:rsidRPr="00834A82">
        <w:rPr>
          <w:lang w:val="fr-FR"/>
        </w:rPr>
        <w:t xml:space="preserve"> dans le document</w:t>
      </w:r>
      <w:r w:rsidR="00956579">
        <w:rPr>
          <w:lang w:val="fr-FR"/>
        </w:rPr>
        <w:t> </w:t>
      </w:r>
      <w:r w:rsidR="00EC5CE4" w:rsidRPr="00834A82">
        <w:rPr>
          <w:lang w:val="fr-FR"/>
        </w:rPr>
        <w:t>TWP/1/18, pour autant que la base des différents niveaux d</w:t>
      </w:r>
      <w:r w:rsidR="00D907A2">
        <w:rPr>
          <w:lang w:val="fr-FR"/>
        </w:rPr>
        <w:t>’</w:t>
      </w:r>
      <w:r w:rsidR="00EC5CE4" w:rsidRPr="00834A82">
        <w:rPr>
          <w:lang w:val="fr-FR"/>
        </w:rPr>
        <w:t>expression soit claire pour les lecteu</w:t>
      </w:r>
      <w:r w:rsidR="00467EF5" w:rsidRPr="00834A82">
        <w:rPr>
          <w:lang w:val="fr-FR"/>
        </w:rPr>
        <w:t>rs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Le</w:t>
      </w:r>
      <w:r w:rsidR="00EC5CE4" w:rsidRPr="00834A82">
        <w:rPr>
          <w:lang w:val="fr-FR"/>
        </w:rPr>
        <w:t>s exemples sont reproduits ci</w:t>
      </w:r>
      <w:r w:rsidR="00956579">
        <w:rPr>
          <w:lang w:val="fr-FR"/>
        </w:rPr>
        <w:noBreakHyphen/>
      </w:r>
      <w:r w:rsidR="00EC5CE4" w:rsidRPr="00834A82">
        <w:rPr>
          <w:lang w:val="fr-FR"/>
        </w:rPr>
        <w:t>dessous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tabs>
          <w:tab w:val="left" w:pos="1134"/>
        </w:tabs>
        <w:ind w:left="567"/>
        <w:rPr>
          <w:lang w:val="fr-FR"/>
        </w:rPr>
      </w:pPr>
    </w:p>
    <w:p w:rsidR="00934BE5" w:rsidRPr="00834A82" w:rsidRDefault="00A53160" w:rsidP="00A53160">
      <w:pPr>
        <w:tabs>
          <w:tab w:val="left" w:pos="1134"/>
        </w:tabs>
        <w:ind w:left="567"/>
        <w:rPr>
          <w:i/>
          <w:lang w:val="fr-FR"/>
        </w:rPr>
      </w:pPr>
      <w:r w:rsidRPr="00834A82">
        <w:rPr>
          <w:i/>
          <w:lang w:val="fr-FR"/>
        </w:rPr>
        <w:t>“Exemple</w:t>
      </w:r>
      <w:r w:rsidR="00956579">
        <w:rPr>
          <w:i/>
          <w:lang w:val="fr-FR"/>
        </w:rPr>
        <w:t> </w:t>
      </w:r>
      <w:r w:rsidRPr="00834A82">
        <w:rPr>
          <w:i/>
          <w:lang w:val="fr-FR"/>
        </w:rPr>
        <w:t>1</w:t>
      </w:r>
      <w:r w:rsidR="00D907A2">
        <w:rPr>
          <w:i/>
          <w:lang w:val="fr-FR"/>
        </w:rPr>
        <w:t> :</w:t>
      </w:r>
      <w:r w:rsidRPr="00834A82">
        <w:rPr>
          <w:i/>
          <w:lang w:val="fr-FR"/>
        </w:rPr>
        <w:t xml:space="preserve"> variation dans le rapport longueur/largeur uniquement.</w:t>
      </w:r>
    </w:p>
    <w:p w:rsidR="00934BE5" w:rsidRPr="00834A82" w:rsidRDefault="004F258F" w:rsidP="004F258F">
      <w:pPr>
        <w:tabs>
          <w:tab w:val="left" w:pos="1134"/>
        </w:tabs>
        <w:ind w:left="567"/>
        <w:rPr>
          <w:lang w:val="fr-FR"/>
        </w:rPr>
      </w:pPr>
      <w:r w:rsidRPr="00834A82">
        <w:rPr>
          <w:lang w:val="fr-FR"/>
        </w:rPr>
        <w:t>[…]</w:t>
      </w:r>
    </w:p>
    <w:tbl>
      <w:tblPr>
        <w:tblW w:w="0" w:type="auto"/>
        <w:tblInd w:w="108" w:type="dxa"/>
        <w:tblBorders>
          <w:top w:val="dashSmallGap" w:sz="4" w:space="0" w:color="31849B" w:themeColor="accent5" w:themeShade="BF"/>
          <w:left w:val="dashSmallGap" w:sz="4" w:space="0" w:color="31849B" w:themeColor="accent5" w:themeShade="BF"/>
          <w:bottom w:val="dashSmallGap" w:sz="4" w:space="0" w:color="31849B" w:themeColor="accent5" w:themeShade="BF"/>
          <w:right w:val="dashSmallGap" w:sz="4" w:space="0" w:color="31849B" w:themeColor="accent5" w:themeShade="BF"/>
          <w:insideH w:val="dashSmallGap" w:sz="4" w:space="0" w:color="31849B" w:themeColor="accent5" w:themeShade="BF"/>
          <w:insideV w:val="dashSmallGap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04"/>
        <w:gridCol w:w="2504"/>
        <w:gridCol w:w="2504"/>
      </w:tblGrid>
      <w:tr w:rsidR="00834A82" w:rsidRPr="00834A82" w:rsidTr="007F3531">
        <w:tc>
          <w:tcPr>
            <w:tcW w:w="2126" w:type="dxa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</w:p>
        </w:tc>
        <w:tc>
          <w:tcPr>
            <w:tcW w:w="2504" w:type="dxa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35057B0E" wp14:editId="2E4E9603">
                  <wp:extent cx="571500" cy="7048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17DDC756" wp14:editId="3234E457">
                  <wp:extent cx="571500" cy="7524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3228BCFE" wp14:editId="5FE71884">
                  <wp:extent cx="552450" cy="7429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834A82" w:rsidTr="007F3531">
        <w:tc>
          <w:tcPr>
            <w:tcW w:w="2126" w:type="dxa"/>
            <w:shd w:val="clear" w:color="auto" w:fill="FFFFFF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Pr="00834A82">
              <w:rPr>
                <w:lang w:val="fr-FR"/>
              </w:rPr>
              <w:t>1</w:t>
            </w:r>
            <w:r w:rsidR="00D907A2">
              <w:rPr>
                <w:lang w:val="fr-FR"/>
              </w:rPr>
              <w:t> :</w:t>
            </w:r>
          </w:p>
        </w:tc>
        <w:tc>
          <w:tcPr>
            <w:tcW w:w="2504" w:type="dxa"/>
            <w:shd w:val="clear" w:color="auto" w:fill="FFFFFF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bas</w:t>
            </w:r>
          </w:p>
        </w:tc>
        <w:tc>
          <w:tcPr>
            <w:tcW w:w="2504" w:type="dxa"/>
            <w:shd w:val="clear" w:color="auto" w:fill="FFFFFF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moyen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élevé</w:t>
            </w:r>
          </w:p>
        </w:tc>
      </w:tr>
      <w:tr w:rsidR="00834A82" w:rsidRPr="00834A82" w:rsidTr="007F3531">
        <w:tc>
          <w:tcPr>
            <w:tcW w:w="2126" w:type="dxa"/>
            <w:shd w:val="clear" w:color="auto" w:fill="FFFFFF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Pr="00834A82">
              <w:rPr>
                <w:lang w:val="fr-FR"/>
              </w:rPr>
              <w:t>2</w:t>
            </w:r>
            <w:r w:rsidR="00D907A2">
              <w:rPr>
                <w:lang w:val="fr-FR"/>
              </w:rPr>
              <w:t> :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1</w:t>
            </w:r>
          </w:p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large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2</w:t>
            </w:r>
          </w:p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demi</w:t>
            </w:r>
            <w:r w:rsidR="00D907A2">
              <w:rPr>
                <w:lang w:val="fr-FR"/>
              </w:rPr>
              <w:t>-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3</w:t>
            </w:r>
          </w:p>
          <w:p w:rsidR="00206B6A" w:rsidRPr="00834A82" w:rsidRDefault="00206B6A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étroite</w:t>
            </w:r>
          </w:p>
        </w:tc>
      </w:tr>
    </w:tbl>
    <w:p w:rsidR="00934BE5" w:rsidRPr="00834A82" w:rsidRDefault="00934BE5" w:rsidP="004F258F">
      <w:pPr>
        <w:tabs>
          <w:tab w:val="left" w:pos="1134"/>
        </w:tabs>
        <w:ind w:left="567"/>
        <w:jc w:val="center"/>
        <w:rPr>
          <w:lang w:val="fr-FR"/>
        </w:rPr>
      </w:pPr>
    </w:p>
    <w:p w:rsidR="00506B70" w:rsidRPr="00834A82" w:rsidRDefault="00506B70">
      <w:pPr>
        <w:jc w:val="left"/>
        <w:rPr>
          <w:lang w:val="fr-FR"/>
        </w:rPr>
      </w:pPr>
      <w:r w:rsidRPr="00834A82">
        <w:rPr>
          <w:lang w:val="fr-FR"/>
        </w:rPr>
        <w:br w:type="page"/>
      </w:r>
    </w:p>
    <w:p w:rsidR="00934BE5" w:rsidRPr="00834A82" w:rsidRDefault="00A53160" w:rsidP="00A53160">
      <w:pPr>
        <w:tabs>
          <w:tab w:val="left" w:pos="1134"/>
        </w:tabs>
        <w:ind w:left="567"/>
        <w:rPr>
          <w:i/>
          <w:lang w:val="fr-FR"/>
        </w:rPr>
      </w:pPr>
      <w:r w:rsidRPr="00834A82">
        <w:rPr>
          <w:i/>
          <w:lang w:val="fr-FR"/>
        </w:rPr>
        <w:lastRenderedPageBreak/>
        <w:t>“Exemple</w:t>
      </w:r>
      <w:r w:rsidR="00956579">
        <w:rPr>
          <w:i/>
          <w:lang w:val="fr-FR"/>
        </w:rPr>
        <w:t> </w:t>
      </w:r>
      <w:r w:rsidRPr="00834A82">
        <w:rPr>
          <w:i/>
          <w:lang w:val="fr-FR"/>
        </w:rPr>
        <w:t>2</w:t>
      </w:r>
      <w:r w:rsidR="00D907A2">
        <w:rPr>
          <w:i/>
          <w:lang w:val="fr-FR"/>
        </w:rPr>
        <w:t> :</w:t>
      </w:r>
      <w:r w:rsidRPr="00834A82">
        <w:rPr>
          <w:i/>
          <w:lang w:val="fr-FR"/>
        </w:rPr>
        <w:t xml:space="preserve"> variation dans la position de la partie la plus large </w:t>
      </w:r>
      <w:r w:rsidR="00506B70" w:rsidRPr="00834A82">
        <w:rPr>
          <w:i/>
          <w:lang w:val="fr-FR"/>
        </w:rPr>
        <w:t>seulement.”</w:t>
      </w:r>
    </w:p>
    <w:p w:rsidR="00934BE5" w:rsidRPr="00834A82" w:rsidRDefault="004F258F" w:rsidP="004F258F">
      <w:pPr>
        <w:tabs>
          <w:tab w:val="left" w:pos="1134"/>
        </w:tabs>
        <w:ind w:left="567"/>
        <w:rPr>
          <w:lang w:val="fr-FR"/>
        </w:rPr>
      </w:pPr>
      <w:r w:rsidRPr="00834A82">
        <w:rPr>
          <w:lang w:val="fr-FR"/>
        </w:rPr>
        <w:t>[…]</w:t>
      </w:r>
    </w:p>
    <w:tbl>
      <w:tblPr>
        <w:tblW w:w="0" w:type="auto"/>
        <w:tblInd w:w="392" w:type="dxa"/>
        <w:tblBorders>
          <w:top w:val="dashSmallGap" w:sz="4" w:space="0" w:color="31849B" w:themeColor="accent5" w:themeShade="BF"/>
          <w:left w:val="dashSmallGap" w:sz="4" w:space="0" w:color="31849B" w:themeColor="accent5" w:themeShade="BF"/>
          <w:bottom w:val="dashSmallGap" w:sz="4" w:space="0" w:color="31849B" w:themeColor="accent5" w:themeShade="BF"/>
          <w:right w:val="dashSmallGap" w:sz="4" w:space="0" w:color="31849B" w:themeColor="accent5" w:themeShade="BF"/>
          <w:insideH w:val="dashSmallGap" w:sz="4" w:space="0" w:color="31849B" w:themeColor="accent5" w:themeShade="BF"/>
          <w:insideV w:val="dashSmallGap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929"/>
        <w:gridCol w:w="2930"/>
      </w:tblGrid>
      <w:tr w:rsidR="00834A82" w:rsidRPr="00834A82" w:rsidTr="007F3531">
        <w:tc>
          <w:tcPr>
            <w:tcW w:w="2929" w:type="dxa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1744A62" wp14:editId="2556781B">
                  <wp:extent cx="847725" cy="895350"/>
                  <wp:effectExtent l="0" t="0" r="9525" b="0"/>
                  <wp:docPr id="762" name="Picture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014A69DF" wp14:editId="1ECC3D1F">
                  <wp:extent cx="752475" cy="962025"/>
                  <wp:effectExtent l="0" t="0" r="9525" b="9525"/>
                  <wp:docPr id="761" name="Picture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1C518F14" wp14:editId="7FEAB5CF">
                  <wp:extent cx="742950" cy="971550"/>
                  <wp:effectExtent l="0" t="0" r="0" b="0"/>
                  <wp:docPr id="760" name="Picture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B51885" w:rsidTr="007F3531">
        <w:tc>
          <w:tcPr>
            <w:tcW w:w="2929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vers la base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au milieu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vers l</w:t>
            </w:r>
            <w:r w:rsidR="00D907A2">
              <w:rPr>
                <w:lang w:val="fr-FR"/>
              </w:rPr>
              <w:t>’</w:t>
            </w:r>
            <w:r w:rsidRPr="00834A82">
              <w:rPr>
                <w:lang w:val="fr-FR"/>
              </w:rPr>
              <w:t>apex</w:t>
            </w:r>
          </w:p>
        </w:tc>
      </w:tr>
      <w:tr w:rsidR="00834A82" w:rsidRPr="00834A82" w:rsidTr="007F3531">
        <w:tc>
          <w:tcPr>
            <w:tcW w:w="2929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1</w:t>
            </w:r>
          </w:p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ovale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2</w:t>
            </w:r>
          </w:p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elliptique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3</w:t>
            </w:r>
          </w:p>
          <w:p w:rsidR="00206B6A" w:rsidRPr="00834A82" w:rsidRDefault="00206B6A" w:rsidP="000939BC">
            <w:pPr>
              <w:jc w:val="center"/>
              <w:rPr>
                <w:lang w:val="fr-FR"/>
              </w:rPr>
            </w:pPr>
            <w:proofErr w:type="spellStart"/>
            <w:r w:rsidRPr="00834A82">
              <w:rPr>
                <w:lang w:val="fr-FR"/>
              </w:rPr>
              <w:t>obovale</w:t>
            </w:r>
            <w:proofErr w:type="spellEnd"/>
          </w:p>
        </w:tc>
      </w:tr>
    </w:tbl>
    <w:p w:rsidR="00934BE5" w:rsidRPr="00834A82" w:rsidRDefault="00934BE5" w:rsidP="004F258F">
      <w:pPr>
        <w:tabs>
          <w:tab w:val="left" w:pos="1134"/>
        </w:tabs>
        <w:ind w:left="567"/>
        <w:jc w:val="center"/>
        <w:rPr>
          <w:lang w:val="fr-FR"/>
        </w:rPr>
      </w:pPr>
    </w:p>
    <w:p w:rsidR="00934BE5" w:rsidRPr="00834A82" w:rsidRDefault="00934BE5" w:rsidP="004F258F">
      <w:pPr>
        <w:rPr>
          <w:lang w:val="fr-FR" w:eastAsia="zh-CN"/>
        </w:rPr>
      </w:pPr>
    </w:p>
    <w:p w:rsidR="00934BE5" w:rsidRPr="00834A82" w:rsidRDefault="004F258F" w:rsidP="00613B91">
      <w:pPr>
        <w:rPr>
          <w:rFonts w:cs="Arial"/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A53160" w:rsidRPr="00834A82">
        <w:rPr>
          <w:lang w:val="fr-FR"/>
        </w:rPr>
        <w:t>Le TWF est convenu qu</w:t>
      </w:r>
      <w:r w:rsidR="00D907A2">
        <w:rPr>
          <w:lang w:val="fr-FR"/>
        </w:rPr>
        <w:t>’</w:t>
      </w:r>
      <w:r w:rsidR="00A53160" w:rsidRPr="00834A82">
        <w:rPr>
          <w:lang w:val="fr-FR"/>
        </w:rPr>
        <w:t>il serait peut</w:t>
      </w:r>
      <w:r w:rsidR="00956579">
        <w:rPr>
          <w:lang w:val="fr-FR"/>
        </w:rPr>
        <w:noBreakHyphen/>
      </w:r>
      <w:r w:rsidR="00A53160" w:rsidRPr="00834A82">
        <w:rPr>
          <w:lang w:val="fr-FR"/>
        </w:rPr>
        <w:t>être nécessaire de préciser les raisons de l</w:t>
      </w:r>
      <w:r w:rsidR="00D907A2">
        <w:rPr>
          <w:lang w:val="fr-FR"/>
        </w:rPr>
        <w:t>’</w:t>
      </w:r>
      <w:r w:rsidR="00506B70" w:rsidRPr="00834A82">
        <w:rPr>
          <w:lang w:val="fr-FR"/>
        </w:rPr>
        <w:t xml:space="preserve">élaboration </w:t>
      </w:r>
      <w:r w:rsidR="00A53160" w:rsidRPr="00834A82">
        <w:rPr>
          <w:lang w:val="fr-FR"/>
        </w:rPr>
        <w:t>d</w:t>
      </w:r>
      <w:r w:rsidR="00D907A2">
        <w:rPr>
          <w:lang w:val="fr-FR"/>
        </w:rPr>
        <w:t>’</w:t>
      </w:r>
      <w:r w:rsidR="00A53160" w:rsidRPr="00834A82">
        <w:rPr>
          <w:lang w:val="fr-FR"/>
        </w:rPr>
        <w:t>un</w:t>
      </w:r>
      <w:r w:rsidR="00450518" w:rsidRPr="00834A82">
        <w:rPr>
          <w:lang w:val="fr-FR"/>
        </w:rPr>
        <w:t xml:space="preserve"> tableau </w:t>
      </w:r>
      <w:r w:rsidR="00A53160" w:rsidRPr="00834A82">
        <w:rPr>
          <w:lang w:val="fr-FR"/>
        </w:rPr>
        <w:t>pour illustrer la for</w:t>
      </w:r>
      <w:r w:rsidR="00467EF5" w:rsidRPr="00834A82">
        <w:rPr>
          <w:lang w:val="fr-FR"/>
        </w:rPr>
        <w:t>me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Il</w:t>
      </w:r>
      <w:r w:rsidR="00613B91" w:rsidRPr="00834A82">
        <w:rPr>
          <w:lang w:val="fr-FR"/>
        </w:rPr>
        <w:t xml:space="preserve"> a invité les experts de la Nouvelle</w:t>
      </w:r>
      <w:r w:rsidR="00956579">
        <w:rPr>
          <w:lang w:val="fr-FR"/>
        </w:rPr>
        <w:noBreakHyphen/>
      </w:r>
      <w:r w:rsidR="00613B91" w:rsidRPr="00834A82">
        <w:rPr>
          <w:lang w:val="fr-FR"/>
        </w:rPr>
        <w:t>Zélande et de l</w:t>
      </w:r>
      <w:r w:rsidR="00D907A2">
        <w:rPr>
          <w:lang w:val="fr-FR"/>
        </w:rPr>
        <w:t>’</w:t>
      </w:r>
      <w:r w:rsidR="00613B91" w:rsidRPr="00834A82">
        <w:rPr>
          <w:lang w:val="fr-FR"/>
        </w:rPr>
        <w:t>Allemagne à déterminer s</w:t>
      </w:r>
      <w:r w:rsidR="00D907A2">
        <w:rPr>
          <w:lang w:val="fr-FR"/>
        </w:rPr>
        <w:t>’</w:t>
      </w:r>
      <w:r w:rsidR="00613B91" w:rsidRPr="00834A82">
        <w:rPr>
          <w:lang w:val="fr-FR"/>
        </w:rPr>
        <w:t>il convenait d</w:t>
      </w:r>
      <w:r w:rsidR="00D907A2">
        <w:rPr>
          <w:lang w:val="fr-FR"/>
        </w:rPr>
        <w:t>’</w:t>
      </w:r>
      <w:r w:rsidR="00613B91" w:rsidRPr="00834A82">
        <w:rPr>
          <w:lang w:val="fr-FR"/>
        </w:rPr>
        <w:t>élaborer un texte pour expliquer quand utiliser un tableau dans les principes directeurs d</w:t>
      </w:r>
      <w:r w:rsidR="00D907A2">
        <w:rPr>
          <w:lang w:val="fr-FR"/>
        </w:rPr>
        <w:t>’</w:t>
      </w:r>
      <w:r w:rsidR="00613B91" w:rsidRPr="00834A82">
        <w:rPr>
          <w:lang w:val="fr-FR"/>
        </w:rPr>
        <w:t>examen et à transmettre une proposition par correspondance</w:t>
      </w:r>
      <w:r w:rsidR="00D907A2" w:rsidRPr="00834A82">
        <w:rPr>
          <w:lang w:val="fr-FR"/>
        </w:rPr>
        <w:t xml:space="preserve"> au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="00613B91" w:rsidRPr="00834A82">
        <w:rPr>
          <w:lang w:val="fr-FR"/>
        </w:rPr>
        <w:t xml:space="preserve"> d</w:t>
      </w:r>
      <w:r w:rsidR="00D907A2">
        <w:rPr>
          <w:lang w:val="fr-FR"/>
        </w:rPr>
        <w:t>’</w:t>
      </w:r>
      <w:r w:rsidR="00613B91" w:rsidRPr="00834A82">
        <w:rPr>
          <w:lang w:val="fr-FR"/>
        </w:rPr>
        <w:t xml:space="preserve">ici fin </w:t>
      </w:r>
      <w:r w:rsidR="00D907A2" w:rsidRPr="00834A82">
        <w:rPr>
          <w:lang w:val="fr-FR"/>
        </w:rPr>
        <w:t>décembre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613B91" w:rsidRPr="00834A82">
        <w:rPr>
          <w:lang w:val="fr-FR"/>
        </w:rPr>
        <w:t>17 pour approbati</w:t>
      </w:r>
      <w:r w:rsidR="00467EF5" w:rsidRPr="00834A82">
        <w:rPr>
          <w:lang w:val="fr-FR"/>
        </w:rPr>
        <w:t>on</w:t>
      </w:r>
      <w:r w:rsidR="00467EF5">
        <w:rPr>
          <w:lang w:val="fr-FR"/>
        </w:rPr>
        <w:t xml:space="preserve">.  </w:t>
      </w:r>
      <w:r w:rsidR="00467EF5" w:rsidRPr="00834A82">
        <w:rPr>
          <w:rFonts w:cs="Arial"/>
          <w:lang w:val="fr-FR"/>
        </w:rPr>
        <w:t>La</w:t>
      </w:r>
      <w:r w:rsidR="00613B91" w:rsidRPr="00834A82">
        <w:rPr>
          <w:rFonts w:cs="Arial"/>
          <w:lang w:val="fr-FR"/>
        </w:rPr>
        <w:t xml:space="preserve"> proposition serait ensuite présentée au</w:t>
      </w:r>
      <w:r w:rsidR="00D907A2">
        <w:rPr>
          <w:rFonts w:cs="Arial"/>
          <w:lang w:val="fr-FR"/>
        </w:rPr>
        <w:t> TC</w:t>
      </w:r>
      <w:r w:rsidR="00956579">
        <w:rPr>
          <w:rFonts w:cs="Arial"/>
          <w:lang w:val="fr-FR"/>
        </w:rPr>
        <w:noBreakHyphen/>
      </w:r>
      <w:r w:rsidR="00D907A2">
        <w:rPr>
          <w:rFonts w:cs="Arial"/>
          <w:lang w:val="fr-FR"/>
        </w:rPr>
        <w:t>EDC</w:t>
      </w:r>
      <w:r w:rsidR="00613B91" w:rsidRPr="00834A82">
        <w:rPr>
          <w:rFonts w:cs="Arial"/>
          <w:lang w:val="fr-FR"/>
        </w:rPr>
        <w:t xml:space="preserve"> à sa session de </w:t>
      </w:r>
      <w:r w:rsidR="00D907A2" w:rsidRPr="00834A82">
        <w:rPr>
          <w:rFonts w:cs="Arial"/>
          <w:lang w:val="fr-FR"/>
        </w:rPr>
        <w:t>mars</w:t>
      </w:r>
      <w:r w:rsidR="00D907A2">
        <w:rPr>
          <w:rFonts w:cs="Arial"/>
          <w:lang w:val="fr-FR"/>
        </w:rPr>
        <w:t> </w:t>
      </w:r>
      <w:r w:rsidR="00D907A2" w:rsidRPr="00834A82">
        <w:rPr>
          <w:rFonts w:cs="Arial"/>
          <w:lang w:val="fr-FR"/>
        </w:rPr>
        <w:t>20</w:t>
      </w:r>
      <w:r w:rsidR="00613B91" w:rsidRPr="00834A82">
        <w:rPr>
          <w:rFonts w:cs="Arial"/>
          <w:lang w:val="fr-FR"/>
        </w:rPr>
        <w:t>18, pour examen par le</w:t>
      </w:r>
      <w:r w:rsidR="00D907A2">
        <w:rPr>
          <w:rFonts w:cs="Arial"/>
          <w:lang w:val="fr-FR"/>
        </w:rPr>
        <w:t> TC</w:t>
      </w:r>
      <w:r w:rsidR="00613B91" w:rsidRPr="00834A82">
        <w:rPr>
          <w:rFonts w:cs="Arial"/>
          <w:lang w:val="fr-FR"/>
        </w:rPr>
        <w:t xml:space="preserve"> à sa session d</w:t>
      </w:r>
      <w:r w:rsidR="00D907A2">
        <w:rPr>
          <w:rFonts w:cs="Arial"/>
          <w:lang w:val="fr-FR"/>
        </w:rPr>
        <w:t>’</w:t>
      </w:r>
      <w:r w:rsidR="00D907A2" w:rsidRPr="00834A82">
        <w:rPr>
          <w:rFonts w:cs="Arial"/>
          <w:lang w:val="fr-FR"/>
        </w:rPr>
        <w:t>octobre</w:t>
      </w:r>
      <w:r w:rsidR="00D907A2">
        <w:rPr>
          <w:rFonts w:cs="Arial"/>
          <w:lang w:val="fr-FR"/>
        </w:rPr>
        <w:t> </w:t>
      </w:r>
      <w:r w:rsidR="00D907A2" w:rsidRPr="00834A82">
        <w:rPr>
          <w:rFonts w:cs="Arial"/>
          <w:lang w:val="fr-FR"/>
        </w:rPr>
        <w:t>20</w:t>
      </w:r>
      <w:r w:rsidR="00613B91" w:rsidRPr="00834A82">
        <w:rPr>
          <w:rFonts w:cs="Arial"/>
          <w:lang w:val="fr-FR"/>
        </w:rPr>
        <w:t>18.</w:t>
      </w:r>
    </w:p>
    <w:p w:rsidR="00934BE5" w:rsidRDefault="00934BE5" w:rsidP="00613B91">
      <w:pPr>
        <w:rPr>
          <w:lang w:val="fr-FR"/>
        </w:rPr>
      </w:pPr>
    </w:p>
    <w:p w:rsidR="00311016" w:rsidRPr="00834A82" w:rsidRDefault="00311016" w:rsidP="00613B91">
      <w:pPr>
        <w:rPr>
          <w:lang w:val="fr-FR"/>
        </w:rPr>
      </w:pPr>
    </w:p>
    <w:p w:rsidR="00D907A2" w:rsidRDefault="00613B91" w:rsidP="00613B91">
      <w:pPr>
        <w:keepNext/>
        <w:outlineLvl w:val="0"/>
        <w:rPr>
          <w:caps/>
          <w:lang w:val="fr-FR"/>
        </w:rPr>
      </w:pPr>
      <w:bookmarkStart w:id="12" w:name="_Toc521330184"/>
      <w:bookmarkStart w:id="13" w:name="_Toc504565382"/>
      <w:r w:rsidRPr="00834A82">
        <w:rPr>
          <w:caps/>
          <w:lang w:val="fr-FR"/>
        </w:rPr>
        <w:t xml:space="preserve">Faits nouveaux </w:t>
      </w:r>
      <w:r w:rsidR="00D907A2" w:rsidRPr="00834A82">
        <w:rPr>
          <w:caps/>
          <w:lang w:val="fr-FR"/>
        </w:rPr>
        <w:t>en</w:t>
      </w:r>
      <w:r w:rsidR="00D907A2">
        <w:rPr>
          <w:caps/>
          <w:lang w:val="fr-FR"/>
        </w:rPr>
        <w:t> </w:t>
      </w:r>
      <w:r w:rsidR="00D907A2" w:rsidRPr="00834A82">
        <w:rPr>
          <w:caps/>
          <w:lang w:val="fr-FR"/>
        </w:rPr>
        <w:t>2018</w:t>
      </w:r>
      <w:bookmarkEnd w:id="12"/>
    </w:p>
    <w:p w:rsidR="00934BE5" w:rsidRPr="00834A82" w:rsidRDefault="00934BE5" w:rsidP="00141805">
      <w:pPr>
        <w:rPr>
          <w:lang w:val="fr-FR"/>
        </w:rPr>
      </w:pPr>
    </w:p>
    <w:p w:rsidR="00934BE5" w:rsidRPr="00834A82" w:rsidRDefault="00613B91" w:rsidP="00613B91">
      <w:pPr>
        <w:pStyle w:val="Heading2"/>
        <w:rPr>
          <w:lang w:val="fr-FR"/>
        </w:rPr>
      </w:pPr>
      <w:bookmarkStart w:id="14" w:name="_Toc521330185"/>
      <w:r w:rsidRPr="00834A82">
        <w:rPr>
          <w:lang w:val="fr-FR"/>
        </w:rPr>
        <w:t>Comité de rédaction élargi</w:t>
      </w:r>
      <w:bookmarkEnd w:id="14"/>
    </w:p>
    <w:p w:rsidR="00934BE5" w:rsidRPr="00834A82" w:rsidRDefault="00934BE5" w:rsidP="00141805">
      <w:pPr>
        <w:rPr>
          <w:lang w:val="fr-FR"/>
        </w:rPr>
      </w:pPr>
    </w:p>
    <w:p w:rsidR="00D907A2" w:rsidRDefault="004F258F" w:rsidP="004F258F">
      <w:pPr>
        <w:rPr>
          <w:rFonts w:cs="Arial"/>
          <w:bCs/>
          <w:snapToGrid w:val="0"/>
          <w:lang w:val="fr-FR"/>
        </w:rPr>
      </w:pPr>
      <w:r w:rsidRPr="00834A82">
        <w:rPr>
          <w:rFonts w:cs="Arial"/>
          <w:bCs/>
          <w:snapToGrid w:val="0"/>
          <w:lang w:val="fr-FR"/>
        </w:rPr>
        <w:fldChar w:fldCharType="begin"/>
      </w:r>
      <w:r w:rsidRPr="00834A82">
        <w:rPr>
          <w:rFonts w:cs="Arial"/>
          <w:bCs/>
          <w:snapToGrid w:val="0"/>
          <w:lang w:val="fr-FR"/>
        </w:rPr>
        <w:instrText xml:space="preserve"> AUTONUM  </w:instrText>
      </w:r>
      <w:r w:rsidRPr="00834A82">
        <w:rPr>
          <w:rFonts w:cs="Arial"/>
          <w:bCs/>
          <w:snapToGrid w:val="0"/>
          <w:lang w:val="fr-FR"/>
        </w:rPr>
        <w:fldChar w:fldCharType="end"/>
      </w:r>
      <w:r w:rsidRPr="00834A82">
        <w:rPr>
          <w:rFonts w:cs="Arial"/>
          <w:bCs/>
          <w:snapToGrid w:val="0"/>
          <w:lang w:val="fr-FR"/>
        </w:rPr>
        <w:tab/>
      </w:r>
      <w:r w:rsidR="007B0EA7" w:rsidRPr="00834A82">
        <w:rPr>
          <w:rFonts w:cs="Arial"/>
          <w:bCs/>
          <w:snapToGrid w:val="0"/>
          <w:lang w:val="fr-FR"/>
        </w:rPr>
        <w:t>À sa réunion tenue à Genève les 26 et 2</w:t>
      </w:r>
      <w:r w:rsidR="00D907A2" w:rsidRPr="00834A82">
        <w:rPr>
          <w:rFonts w:cs="Arial"/>
          <w:bCs/>
          <w:snapToGrid w:val="0"/>
          <w:lang w:val="fr-FR"/>
        </w:rPr>
        <w:t>7</w:t>
      </w:r>
      <w:r w:rsidR="00D907A2">
        <w:rPr>
          <w:rFonts w:cs="Arial"/>
          <w:bCs/>
          <w:snapToGrid w:val="0"/>
          <w:lang w:val="fr-FR"/>
        </w:rPr>
        <w:t> </w:t>
      </w:r>
      <w:r w:rsidR="00D907A2" w:rsidRPr="00834A82">
        <w:rPr>
          <w:rFonts w:cs="Arial"/>
          <w:bCs/>
          <w:snapToGrid w:val="0"/>
          <w:lang w:val="fr-FR"/>
        </w:rPr>
        <w:t>mars</w:t>
      </w:r>
      <w:r w:rsidR="00D907A2">
        <w:rPr>
          <w:rFonts w:cs="Arial"/>
          <w:bCs/>
          <w:snapToGrid w:val="0"/>
          <w:lang w:val="fr-FR"/>
        </w:rPr>
        <w:t> </w:t>
      </w:r>
      <w:r w:rsidR="00D907A2" w:rsidRPr="00834A82">
        <w:rPr>
          <w:rFonts w:cs="Arial"/>
          <w:bCs/>
          <w:snapToGrid w:val="0"/>
          <w:lang w:val="fr-FR"/>
        </w:rPr>
        <w:t>20</w:t>
      </w:r>
      <w:r w:rsidR="007B0EA7" w:rsidRPr="00834A82">
        <w:rPr>
          <w:rFonts w:cs="Arial"/>
          <w:bCs/>
          <w:snapToGrid w:val="0"/>
          <w:lang w:val="fr-FR"/>
        </w:rPr>
        <w:t>18, le</w:t>
      </w:r>
      <w:r w:rsidR="00D907A2">
        <w:rPr>
          <w:rFonts w:cs="Arial"/>
          <w:bCs/>
          <w:snapToGrid w:val="0"/>
          <w:lang w:val="fr-FR"/>
        </w:rPr>
        <w:t> 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7B0EA7" w:rsidRPr="00834A82">
        <w:rPr>
          <w:rFonts w:cs="Arial"/>
          <w:bCs/>
          <w:snapToGrid w:val="0"/>
          <w:lang w:val="fr-FR"/>
        </w:rPr>
        <w:t xml:space="preserve"> a examiné le </w:t>
      </w:r>
      <w:r w:rsidR="00D907A2" w:rsidRPr="00834A82">
        <w:rPr>
          <w:rFonts w:cs="Arial"/>
          <w:bCs/>
          <w:snapToGrid w:val="0"/>
          <w:lang w:val="fr-FR"/>
        </w:rPr>
        <w:t>document</w:t>
      </w:r>
      <w:r w:rsidR="00956579">
        <w:rPr>
          <w:rFonts w:cs="Arial"/>
          <w:bCs/>
          <w:snapToGrid w:val="0"/>
          <w:lang w:val="fr-FR"/>
        </w:rPr>
        <w:t> </w:t>
      </w:r>
      <w:r w:rsidR="00D907A2">
        <w:rPr>
          <w:rFonts w:cs="Arial"/>
          <w:bCs/>
          <w:snapToGrid w:val="0"/>
          <w:lang w:val="fr-FR"/>
        </w:rPr>
        <w:t>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7B0EA7" w:rsidRPr="00834A82">
        <w:rPr>
          <w:rFonts w:cs="Arial"/>
          <w:bCs/>
          <w:snapToGrid w:val="0"/>
          <w:lang w:val="fr-FR"/>
        </w:rPr>
        <w:t xml:space="preserve">/Mar18/18 “Illustrations for </w:t>
      </w:r>
      <w:proofErr w:type="spellStart"/>
      <w:r w:rsidR="007B0EA7" w:rsidRPr="00834A82">
        <w:rPr>
          <w:rFonts w:cs="Arial"/>
          <w:bCs/>
          <w:snapToGrid w:val="0"/>
          <w:lang w:val="fr-FR"/>
        </w:rPr>
        <w:t>shape</w:t>
      </w:r>
      <w:proofErr w:type="spellEnd"/>
      <w:r w:rsidR="007B0EA7" w:rsidRPr="00834A82">
        <w:rPr>
          <w:rFonts w:cs="Arial"/>
          <w:bCs/>
          <w:snapToGrid w:val="0"/>
          <w:lang w:val="fr-FR"/>
        </w:rPr>
        <w:t xml:space="preserve"> and ratio </w:t>
      </w:r>
      <w:proofErr w:type="spellStart"/>
      <w:r w:rsidR="007B0EA7" w:rsidRPr="00834A82">
        <w:rPr>
          <w:rFonts w:cs="Arial"/>
          <w:bCs/>
          <w:snapToGrid w:val="0"/>
          <w:lang w:val="fr-FR"/>
        </w:rPr>
        <w:t>characteristics</w:t>
      </w:r>
      <w:proofErr w:type="spellEnd"/>
      <w:r w:rsidR="007B0EA7" w:rsidRPr="00834A82">
        <w:rPr>
          <w:rFonts w:cs="Arial"/>
          <w:bCs/>
          <w:snapToGrid w:val="0"/>
          <w:lang w:val="fr-FR"/>
        </w:rPr>
        <w:t xml:space="preserve">” (voir les </w:t>
      </w:r>
      <w:r w:rsidR="00D907A2" w:rsidRPr="00834A82">
        <w:rPr>
          <w:rFonts w:cs="Arial"/>
          <w:bCs/>
          <w:snapToGrid w:val="0"/>
          <w:lang w:val="fr-FR"/>
        </w:rPr>
        <w:t>paragraphes</w:t>
      </w:r>
      <w:r w:rsidR="00D907A2">
        <w:rPr>
          <w:rFonts w:cs="Arial"/>
          <w:bCs/>
          <w:snapToGrid w:val="0"/>
          <w:lang w:val="fr-FR"/>
        </w:rPr>
        <w:t> </w:t>
      </w:r>
      <w:r w:rsidR="00D907A2" w:rsidRPr="00834A82">
        <w:rPr>
          <w:rFonts w:cs="Arial"/>
          <w:bCs/>
          <w:snapToGrid w:val="0"/>
          <w:lang w:val="fr-FR"/>
        </w:rPr>
        <w:t>3</w:t>
      </w:r>
      <w:r w:rsidR="007B0EA7" w:rsidRPr="00834A82">
        <w:rPr>
          <w:rFonts w:cs="Arial"/>
          <w:bCs/>
          <w:snapToGrid w:val="0"/>
          <w:lang w:val="fr-FR"/>
        </w:rPr>
        <w:t xml:space="preserve">6 à 40 du </w:t>
      </w:r>
      <w:r w:rsidR="00D907A2" w:rsidRPr="00834A82">
        <w:rPr>
          <w:rFonts w:cs="Arial"/>
          <w:bCs/>
          <w:snapToGrid w:val="0"/>
          <w:lang w:val="fr-FR"/>
        </w:rPr>
        <w:t>document</w:t>
      </w:r>
      <w:r w:rsidR="00956579">
        <w:rPr>
          <w:rFonts w:cs="Arial"/>
          <w:bCs/>
          <w:snapToGrid w:val="0"/>
          <w:lang w:val="fr-FR"/>
        </w:rPr>
        <w:t> </w:t>
      </w:r>
      <w:r w:rsidR="00D907A2">
        <w:rPr>
          <w:rFonts w:cs="Arial"/>
          <w:bCs/>
          <w:snapToGrid w:val="0"/>
          <w:lang w:val="fr-FR"/>
        </w:rPr>
        <w:t>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7B0EA7" w:rsidRPr="00834A82">
        <w:rPr>
          <w:rFonts w:cs="Arial"/>
          <w:bCs/>
          <w:snapToGrid w:val="0"/>
          <w:lang w:val="fr-FR"/>
        </w:rPr>
        <w:t>/Mar18/11 “Report”).</w:t>
      </w:r>
    </w:p>
    <w:p w:rsidR="00934BE5" w:rsidRPr="00834A82" w:rsidRDefault="00934BE5" w:rsidP="004F258F">
      <w:pPr>
        <w:rPr>
          <w:rFonts w:cs="Arial"/>
          <w:bCs/>
          <w:snapToGrid w:val="0"/>
          <w:lang w:val="fr-FR"/>
        </w:rPr>
      </w:pPr>
    </w:p>
    <w:p w:rsidR="00934BE5" w:rsidRPr="00834A82" w:rsidRDefault="00934BE5" w:rsidP="00934BE5">
      <w:pPr>
        <w:rPr>
          <w:rFonts w:cs="Arial"/>
          <w:bCs/>
          <w:snapToGrid w:val="0"/>
          <w:lang w:val="fr-FR"/>
        </w:rPr>
      </w:pPr>
      <w:r w:rsidRPr="00834A82">
        <w:rPr>
          <w:rFonts w:cs="Arial"/>
          <w:bCs/>
          <w:snapToGrid w:val="0"/>
          <w:lang w:val="fr-FR"/>
        </w:rPr>
        <w:fldChar w:fldCharType="begin"/>
      </w:r>
      <w:r w:rsidRPr="00834A82">
        <w:rPr>
          <w:rFonts w:cs="Arial"/>
          <w:bCs/>
          <w:snapToGrid w:val="0"/>
          <w:lang w:val="fr-FR"/>
        </w:rPr>
        <w:instrText xml:space="preserve"> AUTONUM  </w:instrText>
      </w:r>
      <w:r w:rsidRPr="00834A82">
        <w:rPr>
          <w:rFonts w:cs="Arial"/>
          <w:bCs/>
          <w:snapToGrid w:val="0"/>
          <w:lang w:val="fr-FR"/>
        </w:rPr>
        <w:fldChar w:fldCharType="end"/>
      </w:r>
      <w:r w:rsidRPr="00834A82">
        <w:rPr>
          <w:rFonts w:cs="Arial"/>
          <w:bCs/>
          <w:snapToGrid w:val="0"/>
          <w:lang w:val="fr-FR"/>
        </w:rPr>
        <w:tab/>
        <w:t>Le</w:t>
      </w:r>
      <w:r w:rsidR="00D907A2">
        <w:rPr>
          <w:rFonts w:cs="Arial"/>
          <w:bCs/>
          <w:snapToGrid w:val="0"/>
          <w:lang w:val="fr-FR"/>
        </w:rPr>
        <w:t> 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Pr="00834A82">
        <w:rPr>
          <w:rFonts w:cs="Arial"/>
          <w:bCs/>
          <w:snapToGrid w:val="0"/>
          <w:lang w:val="fr-FR"/>
        </w:rPr>
        <w:t xml:space="preserve"> a noté que certains experts principaux de principes directeurs d</w:t>
      </w:r>
      <w:r w:rsidR="00D907A2">
        <w:rPr>
          <w:rFonts w:cs="Arial"/>
          <w:bCs/>
          <w:snapToGrid w:val="0"/>
          <w:lang w:val="fr-FR"/>
        </w:rPr>
        <w:t>’</w:t>
      </w:r>
      <w:r w:rsidRPr="00834A82">
        <w:rPr>
          <w:rFonts w:cs="Arial"/>
          <w:bCs/>
          <w:snapToGrid w:val="0"/>
          <w:lang w:val="fr-FR"/>
        </w:rPr>
        <w:t xml:space="preserve">examen avaient des difficultés à fournir des explications relatives aux caractères liés à la forme </w:t>
      </w:r>
      <w:r w:rsidR="00506B70" w:rsidRPr="00834A82">
        <w:rPr>
          <w:rFonts w:cs="Arial"/>
          <w:bCs/>
          <w:snapToGrid w:val="0"/>
          <w:lang w:val="fr-FR"/>
        </w:rPr>
        <w:t xml:space="preserve">en utilisant des </w:t>
      </w:r>
      <w:r w:rsidRPr="00834A82">
        <w:rPr>
          <w:rFonts w:cs="Arial"/>
          <w:bCs/>
          <w:snapToGrid w:val="0"/>
          <w:lang w:val="fr-FR"/>
        </w:rPr>
        <w:t>tablea</w:t>
      </w:r>
      <w:r w:rsidR="00467EF5" w:rsidRPr="00834A82">
        <w:rPr>
          <w:rFonts w:cs="Arial"/>
          <w:bCs/>
          <w:snapToGrid w:val="0"/>
          <w:lang w:val="fr-FR"/>
        </w:rPr>
        <w:t>ux</w:t>
      </w:r>
      <w:r w:rsidR="00467EF5">
        <w:rPr>
          <w:rFonts w:cs="Arial"/>
          <w:bCs/>
          <w:snapToGrid w:val="0"/>
          <w:lang w:val="fr-FR"/>
        </w:rPr>
        <w:t xml:space="preserve">.  </w:t>
      </w:r>
      <w:r w:rsidR="00467EF5" w:rsidRPr="00834A82">
        <w:rPr>
          <w:rFonts w:cs="Arial"/>
          <w:bCs/>
          <w:snapToGrid w:val="0"/>
          <w:lang w:val="fr-FR"/>
        </w:rPr>
        <w:t>Il</w:t>
      </w:r>
      <w:r w:rsidRPr="00834A82">
        <w:rPr>
          <w:rFonts w:cs="Arial"/>
          <w:bCs/>
          <w:snapToGrid w:val="0"/>
          <w:lang w:val="fr-FR"/>
        </w:rPr>
        <w:t xml:space="preserve"> a également noté que les tableaux </w:t>
      </w:r>
      <w:r w:rsidR="001F3048" w:rsidRPr="00834A82">
        <w:rPr>
          <w:rFonts w:cs="Arial"/>
          <w:bCs/>
          <w:snapToGrid w:val="0"/>
          <w:lang w:val="fr-FR"/>
        </w:rPr>
        <w:t>contenaient</w:t>
      </w:r>
      <w:r w:rsidRPr="00834A82">
        <w:rPr>
          <w:rFonts w:cs="Arial"/>
          <w:bCs/>
          <w:snapToGrid w:val="0"/>
          <w:lang w:val="fr-FR"/>
        </w:rPr>
        <w:t xml:space="preserve"> des informations utiles </w:t>
      </w:r>
      <w:r w:rsidR="001F3048" w:rsidRPr="00834A82">
        <w:rPr>
          <w:rFonts w:cs="Arial"/>
          <w:bCs/>
          <w:snapToGrid w:val="0"/>
          <w:lang w:val="fr-FR"/>
        </w:rPr>
        <w:t xml:space="preserve">pour les </w:t>
      </w:r>
      <w:r w:rsidRPr="00834A82">
        <w:rPr>
          <w:rFonts w:cs="Arial"/>
          <w:bCs/>
          <w:snapToGrid w:val="0"/>
          <w:lang w:val="fr-FR"/>
        </w:rPr>
        <w:t>examinateurs ayant moins d</w:t>
      </w:r>
      <w:r w:rsidR="00D907A2">
        <w:rPr>
          <w:rFonts w:cs="Arial"/>
          <w:bCs/>
          <w:snapToGrid w:val="0"/>
          <w:lang w:val="fr-FR"/>
        </w:rPr>
        <w:t>’</w:t>
      </w:r>
      <w:r w:rsidRPr="00834A82">
        <w:rPr>
          <w:rFonts w:cs="Arial"/>
          <w:bCs/>
          <w:snapToGrid w:val="0"/>
          <w:lang w:val="fr-FR"/>
        </w:rPr>
        <w:t>expérience concernant une plante donnée.</w:t>
      </w:r>
    </w:p>
    <w:p w:rsidR="00934BE5" w:rsidRPr="00834A82" w:rsidRDefault="00934BE5" w:rsidP="004F258F">
      <w:pPr>
        <w:rPr>
          <w:rFonts w:cs="Arial"/>
          <w:bCs/>
          <w:snapToGrid w:val="0"/>
          <w:lang w:val="fr-FR"/>
        </w:rPr>
      </w:pPr>
    </w:p>
    <w:p w:rsidR="00D907A2" w:rsidRDefault="004F258F" w:rsidP="007B0EA7">
      <w:pPr>
        <w:rPr>
          <w:rFonts w:cs="Arial"/>
          <w:bCs/>
          <w:snapToGrid w:val="0"/>
          <w:lang w:val="fr-FR"/>
        </w:rPr>
      </w:pPr>
      <w:r w:rsidRPr="00834A82">
        <w:rPr>
          <w:rFonts w:cs="Arial"/>
          <w:bCs/>
          <w:snapToGrid w:val="0"/>
          <w:lang w:val="fr-FR"/>
        </w:rPr>
        <w:fldChar w:fldCharType="begin"/>
      </w:r>
      <w:r w:rsidRPr="00834A82">
        <w:rPr>
          <w:rFonts w:cs="Arial"/>
          <w:bCs/>
          <w:snapToGrid w:val="0"/>
          <w:lang w:val="fr-FR"/>
        </w:rPr>
        <w:instrText xml:space="preserve"> AUTONUM  </w:instrText>
      </w:r>
      <w:r w:rsidRPr="00834A82">
        <w:rPr>
          <w:rFonts w:cs="Arial"/>
          <w:bCs/>
          <w:snapToGrid w:val="0"/>
          <w:lang w:val="fr-FR"/>
        </w:rPr>
        <w:fldChar w:fldCharType="end"/>
      </w:r>
      <w:r w:rsidRPr="00834A82">
        <w:rPr>
          <w:rFonts w:cs="Arial"/>
          <w:bCs/>
          <w:snapToGrid w:val="0"/>
          <w:lang w:val="fr-FR"/>
        </w:rPr>
        <w:tab/>
      </w:r>
      <w:r w:rsidR="00506B70" w:rsidRPr="00834A82">
        <w:rPr>
          <w:rFonts w:cs="Arial"/>
          <w:bCs/>
          <w:snapToGrid w:val="0"/>
          <w:lang w:val="fr-FR"/>
        </w:rPr>
        <w:t>Le</w:t>
      </w:r>
      <w:r w:rsidR="00D907A2">
        <w:rPr>
          <w:rFonts w:cs="Arial"/>
          <w:bCs/>
          <w:snapToGrid w:val="0"/>
          <w:lang w:val="fr-FR"/>
        </w:rPr>
        <w:t> 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506B70" w:rsidRPr="00834A82">
        <w:rPr>
          <w:rFonts w:cs="Arial"/>
          <w:bCs/>
          <w:snapToGrid w:val="0"/>
          <w:lang w:val="fr-FR"/>
        </w:rPr>
        <w:t xml:space="preserve"> est convenu que d</w:t>
      </w:r>
      <w:r w:rsidR="007B0EA7" w:rsidRPr="00834A82">
        <w:rPr>
          <w:rFonts w:cs="Arial"/>
          <w:bCs/>
          <w:snapToGrid w:val="0"/>
          <w:lang w:val="fr-FR"/>
        </w:rPr>
        <w:t>es explications relatives aux caractères liés à la forme devraient faciliter l</w:t>
      </w:r>
      <w:r w:rsidR="00D907A2">
        <w:rPr>
          <w:rFonts w:cs="Arial"/>
          <w:bCs/>
          <w:snapToGrid w:val="0"/>
          <w:lang w:val="fr-FR"/>
        </w:rPr>
        <w:t>’</w:t>
      </w:r>
      <w:r w:rsidR="007B0EA7" w:rsidRPr="00834A82">
        <w:rPr>
          <w:rFonts w:cs="Arial"/>
          <w:bCs/>
          <w:snapToGrid w:val="0"/>
          <w:lang w:val="fr-FR"/>
        </w:rPr>
        <w:t>établissement de la distinction sur la base des not</w:t>
      </w:r>
      <w:r w:rsidR="00467EF5" w:rsidRPr="00834A82">
        <w:rPr>
          <w:rFonts w:cs="Arial"/>
          <w:bCs/>
          <w:snapToGrid w:val="0"/>
          <w:lang w:val="fr-FR"/>
        </w:rPr>
        <w:t>es</w:t>
      </w:r>
      <w:r w:rsidR="00467EF5">
        <w:rPr>
          <w:rFonts w:cs="Arial"/>
          <w:bCs/>
          <w:snapToGrid w:val="0"/>
          <w:lang w:val="fr-FR"/>
        </w:rPr>
        <w:t xml:space="preserve">.  </w:t>
      </w:r>
      <w:r w:rsidR="00467EF5" w:rsidRPr="00834A82">
        <w:rPr>
          <w:rFonts w:cs="Arial"/>
          <w:bCs/>
          <w:snapToGrid w:val="0"/>
          <w:lang w:val="fr-FR"/>
        </w:rPr>
        <w:t>Il</w:t>
      </w:r>
      <w:r w:rsidR="007B0EA7" w:rsidRPr="00834A82">
        <w:rPr>
          <w:rFonts w:cs="Arial"/>
          <w:bCs/>
          <w:snapToGrid w:val="0"/>
          <w:lang w:val="fr-FR"/>
        </w:rPr>
        <w:t xml:space="preserve"> est </w:t>
      </w:r>
      <w:r w:rsidR="001F3048" w:rsidRPr="00834A82">
        <w:rPr>
          <w:rFonts w:cs="Arial"/>
          <w:bCs/>
          <w:snapToGrid w:val="0"/>
          <w:lang w:val="fr-FR"/>
        </w:rPr>
        <w:t xml:space="preserve">également </w:t>
      </w:r>
      <w:r w:rsidR="007B0EA7" w:rsidRPr="00834A82">
        <w:rPr>
          <w:rFonts w:cs="Arial"/>
          <w:bCs/>
          <w:snapToGrid w:val="0"/>
          <w:lang w:val="fr-FR"/>
        </w:rPr>
        <w:t>convenu qu</w:t>
      </w:r>
      <w:r w:rsidR="00D907A2">
        <w:rPr>
          <w:rFonts w:cs="Arial"/>
          <w:bCs/>
          <w:snapToGrid w:val="0"/>
          <w:lang w:val="fr-FR"/>
        </w:rPr>
        <w:t>’</w:t>
      </w:r>
      <w:r w:rsidR="007B0EA7" w:rsidRPr="00834A82">
        <w:rPr>
          <w:rFonts w:cs="Arial"/>
          <w:bCs/>
          <w:snapToGrid w:val="0"/>
          <w:lang w:val="fr-FR"/>
        </w:rPr>
        <w:t xml:space="preserve">une certaine flexibilité </w:t>
      </w:r>
      <w:r w:rsidR="001F3048" w:rsidRPr="00834A82">
        <w:rPr>
          <w:rFonts w:cs="Arial"/>
          <w:bCs/>
          <w:snapToGrid w:val="0"/>
          <w:lang w:val="fr-FR"/>
        </w:rPr>
        <w:t xml:space="preserve">serait nécessaire </w:t>
      </w:r>
      <w:r w:rsidR="007B0EA7" w:rsidRPr="00834A82">
        <w:rPr>
          <w:rFonts w:cs="Arial"/>
          <w:bCs/>
          <w:snapToGrid w:val="0"/>
          <w:lang w:val="fr-FR"/>
        </w:rPr>
        <w:t>pour la présentation d</w:t>
      </w:r>
      <w:r w:rsidR="00D907A2">
        <w:rPr>
          <w:rFonts w:cs="Arial"/>
          <w:bCs/>
          <w:snapToGrid w:val="0"/>
          <w:lang w:val="fr-FR"/>
        </w:rPr>
        <w:t>’</w:t>
      </w:r>
      <w:r w:rsidR="007B0EA7" w:rsidRPr="00834A82">
        <w:rPr>
          <w:rFonts w:cs="Arial"/>
          <w:bCs/>
          <w:snapToGrid w:val="0"/>
          <w:lang w:val="fr-FR"/>
        </w:rPr>
        <w:t xml:space="preserve">explications relatives aux caractères liés à la forme </w:t>
      </w:r>
      <w:r w:rsidR="00506B70" w:rsidRPr="00834A82">
        <w:rPr>
          <w:rFonts w:cs="Arial"/>
          <w:bCs/>
          <w:snapToGrid w:val="0"/>
          <w:lang w:val="fr-FR"/>
        </w:rPr>
        <w:t xml:space="preserve">en utilisant des </w:t>
      </w:r>
      <w:r w:rsidR="007B0EA7" w:rsidRPr="00834A82">
        <w:rPr>
          <w:rFonts w:cs="Arial"/>
          <w:bCs/>
          <w:snapToGrid w:val="0"/>
          <w:lang w:val="fr-FR"/>
        </w:rPr>
        <w:t>tableaux.</w:t>
      </w:r>
    </w:p>
    <w:p w:rsidR="00934BE5" w:rsidRPr="00834A82" w:rsidRDefault="00934BE5" w:rsidP="004F258F">
      <w:pPr>
        <w:rPr>
          <w:rFonts w:cs="Arial"/>
          <w:bCs/>
          <w:snapToGrid w:val="0"/>
          <w:lang w:val="fr-FR"/>
        </w:rPr>
      </w:pPr>
    </w:p>
    <w:p w:rsidR="00D907A2" w:rsidRDefault="004F258F" w:rsidP="006C6BC4">
      <w:pPr>
        <w:rPr>
          <w:rFonts w:cs="Arial"/>
          <w:bCs/>
          <w:snapToGrid w:val="0"/>
          <w:lang w:val="fr-FR"/>
        </w:rPr>
      </w:pPr>
      <w:r w:rsidRPr="00834A82">
        <w:rPr>
          <w:rFonts w:cs="Arial"/>
          <w:bCs/>
          <w:snapToGrid w:val="0"/>
          <w:lang w:val="fr-FR"/>
        </w:rPr>
        <w:fldChar w:fldCharType="begin"/>
      </w:r>
      <w:r w:rsidRPr="00834A82">
        <w:rPr>
          <w:rFonts w:cs="Arial"/>
          <w:bCs/>
          <w:snapToGrid w:val="0"/>
          <w:lang w:val="fr-FR"/>
        </w:rPr>
        <w:instrText xml:space="preserve"> AUTONUM  </w:instrText>
      </w:r>
      <w:r w:rsidRPr="00834A82">
        <w:rPr>
          <w:rFonts w:cs="Arial"/>
          <w:bCs/>
          <w:snapToGrid w:val="0"/>
          <w:lang w:val="fr-FR"/>
        </w:rPr>
        <w:fldChar w:fldCharType="end"/>
      </w:r>
      <w:r w:rsidRPr="00834A82">
        <w:rPr>
          <w:rFonts w:cs="Arial"/>
          <w:bCs/>
          <w:snapToGrid w:val="0"/>
          <w:lang w:val="fr-FR"/>
        </w:rPr>
        <w:tab/>
      </w:r>
      <w:r w:rsidR="006C6BC4" w:rsidRPr="00834A82">
        <w:rPr>
          <w:rFonts w:cs="Arial"/>
          <w:bCs/>
          <w:snapToGrid w:val="0"/>
          <w:lang w:val="fr-FR"/>
        </w:rPr>
        <w:t>Le</w:t>
      </w:r>
      <w:r w:rsidR="00D907A2">
        <w:rPr>
          <w:rFonts w:cs="Arial"/>
          <w:bCs/>
          <w:snapToGrid w:val="0"/>
          <w:lang w:val="fr-FR"/>
        </w:rPr>
        <w:t> 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6C6BC4" w:rsidRPr="00834A82">
        <w:rPr>
          <w:rFonts w:cs="Arial"/>
          <w:bCs/>
          <w:snapToGrid w:val="0"/>
          <w:lang w:val="fr-FR"/>
        </w:rPr>
        <w:t xml:space="preserve"> est convenu d</w:t>
      </w:r>
      <w:r w:rsidR="00D907A2">
        <w:rPr>
          <w:rFonts w:cs="Arial"/>
          <w:bCs/>
          <w:snapToGrid w:val="0"/>
          <w:lang w:val="fr-FR"/>
        </w:rPr>
        <w:t>’</w:t>
      </w:r>
      <w:r w:rsidR="006C6BC4" w:rsidRPr="00834A82">
        <w:rPr>
          <w:rFonts w:cs="Arial"/>
          <w:bCs/>
          <w:snapToGrid w:val="0"/>
          <w:lang w:val="fr-FR"/>
        </w:rPr>
        <w:t>inviter</w:t>
      </w:r>
      <w:r w:rsidR="00D907A2" w:rsidRPr="00834A82">
        <w:rPr>
          <w:rFonts w:cs="Arial"/>
          <w:bCs/>
          <w:snapToGrid w:val="0"/>
          <w:lang w:val="fr-FR"/>
        </w:rPr>
        <w:t xml:space="preserve"> les</w:t>
      </w:r>
      <w:r w:rsidR="00D907A2">
        <w:rPr>
          <w:rFonts w:cs="Arial"/>
          <w:bCs/>
          <w:snapToGrid w:val="0"/>
          <w:lang w:val="fr-FR"/>
        </w:rPr>
        <w:t> </w:t>
      </w:r>
      <w:r w:rsidR="00D907A2" w:rsidRPr="00834A82">
        <w:rPr>
          <w:rFonts w:cs="Arial"/>
          <w:bCs/>
          <w:snapToGrid w:val="0"/>
          <w:lang w:val="fr-FR"/>
        </w:rPr>
        <w:t>TWP</w:t>
      </w:r>
      <w:r w:rsidR="006C6BC4" w:rsidRPr="00834A82">
        <w:rPr>
          <w:rFonts w:cs="Arial"/>
          <w:bCs/>
          <w:snapToGrid w:val="0"/>
          <w:lang w:val="fr-FR"/>
        </w:rPr>
        <w:t xml:space="preserve"> à examiner l</w:t>
      </w:r>
      <w:r w:rsidR="00D907A2">
        <w:rPr>
          <w:rFonts w:cs="Arial"/>
          <w:bCs/>
          <w:snapToGrid w:val="0"/>
          <w:lang w:val="fr-FR"/>
        </w:rPr>
        <w:t>’</w:t>
      </w:r>
      <w:r w:rsidR="006C6BC4" w:rsidRPr="00834A82">
        <w:rPr>
          <w:rFonts w:cs="Arial"/>
          <w:bCs/>
          <w:snapToGrid w:val="0"/>
          <w:lang w:val="fr-FR"/>
        </w:rPr>
        <w:t>utilité des tableaux dans certaines situations.</w:t>
      </w:r>
    </w:p>
    <w:bookmarkEnd w:id="13"/>
    <w:p w:rsidR="00934BE5" w:rsidRPr="00834A82" w:rsidRDefault="00934BE5" w:rsidP="004F258F">
      <w:pPr>
        <w:rPr>
          <w:lang w:val="fr-FR"/>
        </w:rPr>
      </w:pPr>
    </w:p>
    <w:p w:rsidR="00934BE5" w:rsidRPr="00834A82" w:rsidRDefault="006C6BC4" w:rsidP="006C6BC4">
      <w:pPr>
        <w:pStyle w:val="Heading2"/>
        <w:rPr>
          <w:lang w:val="fr-FR"/>
        </w:rPr>
      </w:pPr>
      <w:bookmarkStart w:id="15" w:name="_Toc521330186"/>
      <w:r w:rsidRPr="00834A82">
        <w:rPr>
          <w:lang w:val="fr-FR"/>
        </w:rPr>
        <w:t>Propositions présentées par le groupe d</w:t>
      </w:r>
      <w:r w:rsidR="00D907A2">
        <w:rPr>
          <w:lang w:val="fr-FR"/>
        </w:rPr>
        <w:t>’</w:t>
      </w:r>
      <w:r w:rsidRPr="00834A82">
        <w:rPr>
          <w:lang w:val="fr-FR"/>
        </w:rPr>
        <w:t>experts</w:t>
      </w:r>
      <w:r w:rsidR="00D907A2" w:rsidRPr="00834A82">
        <w:rPr>
          <w:lang w:val="fr-FR"/>
        </w:rPr>
        <w:t xml:space="preserve"> du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Pr="00834A82">
        <w:rPr>
          <w:lang w:val="fr-FR"/>
        </w:rPr>
        <w:t xml:space="preserve"> sous la coordination de la Nouvelle</w:t>
      </w:r>
      <w:r w:rsidR="00956579">
        <w:rPr>
          <w:lang w:val="fr-FR"/>
        </w:rPr>
        <w:noBreakHyphen/>
      </w:r>
      <w:r w:rsidRPr="00834A82">
        <w:rPr>
          <w:lang w:val="fr-FR"/>
        </w:rPr>
        <w:t>Zélande</w:t>
      </w:r>
      <w:bookmarkEnd w:id="15"/>
    </w:p>
    <w:p w:rsidR="00934BE5" w:rsidRPr="00834A82" w:rsidRDefault="00934BE5" w:rsidP="004F258F">
      <w:pPr>
        <w:rPr>
          <w:lang w:val="fr-FR"/>
        </w:rPr>
      </w:pPr>
    </w:p>
    <w:p w:rsidR="00D907A2" w:rsidRDefault="004F258F" w:rsidP="00B11FBA">
      <w:pPr>
        <w:rPr>
          <w:rFonts w:cs="Arial"/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B11FBA" w:rsidRPr="00834A82">
        <w:rPr>
          <w:lang w:val="fr-FR"/>
        </w:rPr>
        <w:t>Le 3</w:t>
      </w:r>
      <w:r w:rsidR="00D907A2" w:rsidRPr="00834A82">
        <w:rPr>
          <w:lang w:val="fr-FR"/>
        </w:rPr>
        <w:t>0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avril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B11FBA" w:rsidRPr="00834A82">
        <w:rPr>
          <w:lang w:val="fr-FR"/>
        </w:rPr>
        <w:t>18, le Bureau de l</w:t>
      </w:r>
      <w:r w:rsidR="00D907A2">
        <w:rPr>
          <w:lang w:val="fr-FR"/>
        </w:rPr>
        <w:t>’</w:t>
      </w:r>
      <w:r w:rsidR="00B11FBA" w:rsidRPr="00834A82">
        <w:rPr>
          <w:lang w:val="fr-FR"/>
        </w:rPr>
        <w:t>UPOV a reçu une proposition d</w:t>
      </w:r>
      <w:r w:rsidR="00506B70" w:rsidRPr="00834A82">
        <w:rPr>
          <w:lang w:val="fr-FR"/>
        </w:rPr>
        <w:t>e l</w:t>
      </w:r>
      <w:r w:rsidR="00D907A2">
        <w:rPr>
          <w:lang w:val="fr-FR"/>
        </w:rPr>
        <w:t>’</w:t>
      </w:r>
      <w:r w:rsidR="00506B70" w:rsidRPr="00834A82">
        <w:rPr>
          <w:lang w:val="fr-FR"/>
        </w:rPr>
        <w:t>e</w:t>
      </w:r>
      <w:r w:rsidR="00B11FBA" w:rsidRPr="00834A82">
        <w:rPr>
          <w:lang w:val="fr-FR"/>
        </w:rPr>
        <w:t>xpert de la Nouvelle</w:t>
      </w:r>
      <w:r w:rsidR="00956579">
        <w:rPr>
          <w:lang w:val="fr-FR"/>
        </w:rPr>
        <w:noBreakHyphen/>
      </w:r>
      <w:r w:rsidR="00B11FBA" w:rsidRPr="00834A82">
        <w:rPr>
          <w:lang w:val="fr-FR"/>
        </w:rPr>
        <w:t xml:space="preserve">Zélande </w:t>
      </w:r>
      <w:r w:rsidR="001F3048" w:rsidRPr="00834A82">
        <w:rPr>
          <w:lang w:val="fr-FR"/>
        </w:rPr>
        <w:t>relative à</w:t>
      </w:r>
      <w:r w:rsidR="00B11FBA" w:rsidRPr="00834A82">
        <w:rPr>
          <w:lang w:val="fr-FR"/>
        </w:rPr>
        <w:t xml:space="preserve"> la création éventuelle d</w:t>
      </w:r>
      <w:r w:rsidR="00D907A2">
        <w:rPr>
          <w:lang w:val="fr-FR"/>
        </w:rPr>
        <w:t>’</w:t>
      </w:r>
      <w:r w:rsidR="00B11FBA" w:rsidRPr="00834A82">
        <w:rPr>
          <w:lang w:val="fr-FR"/>
        </w:rPr>
        <w:t>un sous</w:t>
      </w:r>
      <w:r w:rsidR="00956579">
        <w:rPr>
          <w:lang w:val="fr-FR"/>
        </w:rPr>
        <w:noBreakHyphen/>
      </w:r>
      <w:r w:rsidR="00B11FBA" w:rsidRPr="00834A82">
        <w:rPr>
          <w:lang w:val="fr-FR"/>
        </w:rPr>
        <w:t>groupe qui se réunirait avant la session d</w:t>
      </w:r>
      <w:r w:rsidR="00D907A2">
        <w:rPr>
          <w:lang w:val="fr-FR"/>
        </w:rPr>
        <w:t>’</w:t>
      </w:r>
      <w:r w:rsidR="00D907A2" w:rsidRPr="00834A82">
        <w:rPr>
          <w:lang w:val="fr-FR"/>
        </w:rPr>
        <w:t>octobre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B11FBA" w:rsidRPr="00834A82">
        <w:rPr>
          <w:lang w:val="fr-FR"/>
        </w:rPr>
        <w:t>18 du</w:t>
      </w:r>
      <w:r w:rsidR="00D907A2">
        <w:rPr>
          <w:lang w:val="fr-FR"/>
        </w:rPr>
        <w:t> TC</w:t>
      </w:r>
      <w:r w:rsidR="00B11FBA" w:rsidRPr="00834A82">
        <w:rPr>
          <w:lang w:val="fr-FR"/>
        </w:rPr>
        <w:t xml:space="preserve"> et </w:t>
      </w:r>
      <w:r w:rsidR="001F3048" w:rsidRPr="00834A82">
        <w:rPr>
          <w:lang w:val="fr-FR"/>
        </w:rPr>
        <w:t xml:space="preserve">à </w:t>
      </w:r>
      <w:r w:rsidR="00B11FBA" w:rsidRPr="00834A82">
        <w:rPr>
          <w:lang w:val="fr-FR"/>
        </w:rPr>
        <w:t>la poursuite des délibérations au sein</w:t>
      </w:r>
      <w:r w:rsidR="00D907A2" w:rsidRPr="00834A82">
        <w:rPr>
          <w:lang w:val="fr-FR"/>
        </w:rPr>
        <w:t xml:space="preserve"> des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TWP</w:t>
      </w:r>
      <w:r w:rsidR="00B11FBA" w:rsidRPr="00834A82">
        <w:rPr>
          <w:lang w:val="fr-FR"/>
        </w:rPr>
        <w:t xml:space="preserve"> et du</w:t>
      </w:r>
      <w:r w:rsidR="00D907A2">
        <w:rPr>
          <w:lang w:val="fr-FR"/>
        </w:rPr>
        <w:t> TC</w:t>
      </w:r>
      <w:r w:rsidR="00B11FBA" w:rsidRPr="00834A82">
        <w:rPr>
          <w:lang w:val="fr-FR"/>
        </w:rPr>
        <w:t>, rappelant l</w:t>
      </w:r>
      <w:r w:rsidR="00D907A2">
        <w:rPr>
          <w:lang w:val="fr-FR"/>
        </w:rPr>
        <w:t>’</w:t>
      </w:r>
      <w:r w:rsidR="00B11FBA" w:rsidRPr="00834A82">
        <w:rPr>
          <w:lang w:val="fr-FR"/>
        </w:rPr>
        <w:t>objectif initial</w:t>
      </w:r>
      <w:r w:rsidR="00D907A2" w:rsidRPr="00834A82">
        <w:rPr>
          <w:lang w:val="fr-FR"/>
        </w:rPr>
        <w:t xml:space="preserve"> du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TWF</w:t>
      </w:r>
      <w:r w:rsidR="00B11FBA" w:rsidRPr="00834A82">
        <w:rPr>
          <w:lang w:val="fr-FR"/>
        </w:rPr>
        <w:t xml:space="preserve"> </w:t>
      </w:r>
      <w:r w:rsidR="00506B70" w:rsidRPr="00834A82">
        <w:rPr>
          <w:lang w:val="fr-FR"/>
        </w:rPr>
        <w:t>de</w:t>
      </w:r>
      <w:r w:rsidR="00B11FBA" w:rsidRPr="00834A82">
        <w:rPr>
          <w:lang w:val="fr-FR"/>
        </w:rPr>
        <w:t xml:space="preserve"> préciser qu</w:t>
      </w:r>
      <w:r w:rsidR="00D907A2">
        <w:rPr>
          <w:lang w:val="fr-FR"/>
        </w:rPr>
        <w:t>’</w:t>
      </w:r>
      <w:r w:rsidR="00B11FBA" w:rsidRPr="00834A82">
        <w:rPr>
          <w:lang w:val="fr-FR"/>
        </w:rPr>
        <w:t xml:space="preserve">“un tableau ne doit pas être obligatoire et </w:t>
      </w:r>
      <w:r w:rsidR="00506B70" w:rsidRPr="00834A82">
        <w:rPr>
          <w:lang w:val="fr-FR"/>
        </w:rPr>
        <w:t>peut</w:t>
      </w:r>
      <w:r w:rsidR="00B11FBA" w:rsidRPr="00834A82">
        <w:rPr>
          <w:lang w:val="fr-FR"/>
        </w:rPr>
        <w:t xml:space="preserve"> être utilisé lorsque le sous</w:t>
      </w:r>
      <w:r w:rsidR="00956579">
        <w:rPr>
          <w:lang w:val="fr-FR"/>
        </w:rPr>
        <w:noBreakHyphen/>
      </w:r>
      <w:r w:rsidR="00B11FBA" w:rsidRPr="00834A82">
        <w:rPr>
          <w:lang w:val="fr-FR"/>
        </w:rPr>
        <w:t xml:space="preserve">groupe </w:t>
      </w:r>
      <w:r w:rsidR="00506B70" w:rsidRPr="00834A82">
        <w:rPr>
          <w:lang w:val="fr-FR"/>
        </w:rPr>
        <w:t>qui examine</w:t>
      </w:r>
      <w:r w:rsidR="00B11FBA" w:rsidRPr="00834A82">
        <w:rPr>
          <w:lang w:val="fr-FR"/>
        </w:rPr>
        <w:t xml:space="preserve"> les principes directeurs d</w:t>
      </w:r>
      <w:r w:rsidR="00D907A2">
        <w:rPr>
          <w:lang w:val="fr-FR"/>
        </w:rPr>
        <w:t>’</w:t>
      </w:r>
      <w:r w:rsidR="00B11FBA" w:rsidRPr="00834A82">
        <w:rPr>
          <w:lang w:val="fr-FR"/>
        </w:rPr>
        <w:t>examen le juge utile”.</w:t>
      </w:r>
    </w:p>
    <w:p w:rsidR="00934BE5" w:rsidRPr="00834A82" w:rsidRDefault="00934BE5" w:rsidP="004F258F">
      <w:pPr>
        <w:rPr>
          <w:rFonts w:cs="Arial"/>
          <w:lang w:val="fr-FR"/>
        </w:rPr>
      </w:pPr>
    </w:p>
    <w:p w:rsidR="00934BE5" w:rsidRPr="00834A82" w:rsidRDefault="004F258F" w:rsidP="00B11FBA">
      <w:pPr>
        <w:rPr>
          <w:rFonts w:cs="Arial"/>
          <w:lang w:val="fr-FR"/>
        </w:rPr>
      </w:pPr>
      <w:r w:rsidRPr="00834A82">
        <w:rPr>
          <w:rFonts w:cs="Arial"/>
          <w:lang w:val="fr-FR"/>
        </w:rPr>
        <w:fldChar w:fldCharType="begin"/>
      </w:r>
      <w:r w:rsidRPr="00834A82">
        <w:rPr>
          <w:rFonts w:cs="Arial"/>
          <w:lang w:val="fr-FR"/>
        </w:rPr>
        <w:instrText xml:space="preserve"> AUTONUM  </w:instrText>
      </w:r>
      <w:r w:rsidRPr="00834A82">
        <w:rPr>
          <w:rFonts w:cs="Arial"/>
          <w:lang w:val="fr-FR"/>
        </w:rPr>
        <w:fldChar w:fldCharType="end"/>
      </w:r>
      <w:r w:rsidRPr="00834A82">
        <w:rPr>
          <w:rFonts w:cs="Arial"/>
          <w:lang w:val="fr-FR"/>
        </w:rPr>
        <w:tab/>
      </w:r>
      <w:r w:rsidR="00B11FBA" w:rsidRPr="00834A82">
        <w:rPr>
          <w:rFonts w:cs="Arial"/>
          <w:lang w:val="fr-FR"/>
        </w:rPr>
        <w:t>L</w:t>
      </w:r>
      <w:r w:rsidR="00D907A2">
        <w:rPr>
          <w:rFonts w:cs="Arial"/>
          <w:lang w:val="fr-FR"/>
        </w:rPr>
        <w:t>’</w:t>
      </w:r>
      <w:r w:rsidR="00B11FBA" w:rsidRPr="00834A82">
        <w:rPr>
          <w:rFonts w:cs="Arial"/>
          <w:lang w:val="fr-FR"/>
        </w:rPr>
        <w:t>expert de la Nouvelle</w:t>
      </w:r>
      <w:r w:rsidR="00956579">
        <w:rPr>
          <w:rFonts w:cs="Arial"/>
          <w:lang w:val="fr-FR"/>
        </w:rPr>
        <w:noBreakHyphen/>
      </w:r>
      <w:r w:rsidR="00B11FBA" w:rsidRPr="00834A82">
        <w:rPr>
          <w:rFonts w:cs="Arial"/>
          <w:lang w:val="fr-FR"/>
        </w:rPr>
        <w:t>Zélande a également indiqué que d</w:t>
      </w:r>
      <w:r w:rsidR="00D907A2">
        <w:rPr>
          <w:rFonts w:cs="Arial"/>
          <w:lang w:val="fr-FR"/>
        </w:rPr>
        <w:t>’</w:t>
      </w:r>
      <w:r w:rsidR="00B11FBA" w:rsidRPr="00834A82">
        <w:rPr>
          <w:rFonts w:cs="Arial"/>
          <w:lang w:val="fr-FR"/>
        </w:rPr>
        <w:t>autres questions avaient été recensées et qu</w:t>
      </w:r>
      <w:r w:rsidR="00D907A2">
        <w:rPr>
          <w:rFonts w:cs="Arial"/>
          <w:lang w:val="fr-FR"/>
        </w:rPr>
        <w:t>’</w:t>
      </w:r>
      <w:r w:rsidR="00B11FBA" w:rsidRPr="00834A82">
        <w:rPr>
          <w:rFonts w:cs="Arial"/>
          <w:lang w:val="fr-FR"/>
        </w:rPr>
        <w:t xml:space="preserve">il était proposé de les examiner plus avant, </w:t>
      </w:r>
      <w:r w:rsidR="00D907A2">
        <w:rPr>
          <w:rFonts w:cs="Arial"/>
          <w:lang w:val="fr-FR"/>
        </w:rPr>
        <w:t>à savoir :</w:t>
      </w:r>
    </w:p>
    <w:p w:rsidR="00934BE5" w:rsidRPr="00834A82" w:rsidRDefault="00934BE5" w:rsidP="004F258F">
      <w:pPr>
        <w:rPr>
          <w:rFonts w:cs="Arial"/>
          <w:lang w:val="fr-FR"/>
        </w:rPr>
      </w:pPr>
    </w:p>
    <w:p w:rsidR="00934BE5" w:rsidRPr="00834A82" w:rsidRDefault="00B11FBA" w:rsidP="00B11FBA">
      <w:pPr>
        <w:numPr>
          <w:ilvl w:val="0"/>
          <w:numId w:val="1"/>
        </w:numPr>
        <w:ind w:left="1134" w:hanging="567"/>
        <w:rPr>
          <w:rFonts w:eastAsiaTheme="minorHAnsi" w:cs="Arial"/>
          <w:lang w:val="fr-FR"/>
        </w:rPr>
      </w:pPr>
      <w:r w:rsidRPr="00834A82">
        <w:rPr>
          <w:rFonts w:eastAsiaTheme="minorHAnsi" w:cs="Arial"/>
          <w:lang w:val="fr-FR"/>
        </w:rPr>
        <w:t>L</w:t>
      </w:r>
      <w:r w:rsidR="00D907A2">
        <w:rPr>
          <w:rFonts w:eastAsiaTheme="minorHAnsi" w:cs="Arial"/>
          <w:lang w:val="fr-FR"/>
        </w:rPr>
        <w:t>’</w:t>
      </w:r>
      <w:r w:rsidRPr="00834A82">
        <w:rPr>
          <w:rFonts w:eastAsiaTheme="minorHAnsi" w:cs="Arial"/>
          <w:lang w:val="fr-FR"/>
        </w:rPr>
        <w:t xml:space="preserve">utilité des tableaux et à quel moment il </w:t>
      </w:r>
      <w:r w:rsidR="001F3048" w:rsidRPr="00834A82">
        <w:rPr>
          <w:rFonts w:eastAsiaTheme="minorHAnsi" w:cs="Arial"/>
          <w:lang w:val="fr-FR"/>
        </w:rPr>
        <w:t>faut</w:t>
      </w:r>
      <w:r w:rsidRPr="00834A82">
        <w:rPr>
          <w:rFonts w:eastAsiaTheme="minorHAnsi" w:cs="Arial"/>
          <w:lang w:val="fr-FR"/>
        </w:rPr>
        <w:t xml:space="preserve"> les utiliser;  et, s</w:t>
      </w:r>
      <w:r w:rsidR="00D907A2">
        <w:rPr>
          <w:rFonts w:eastAsiaTheme="minorHAnsi" w:cs="Arial"/>
          <w:lang w:val="fr-FR"/>
        </w:rPr>
        <w:t>’</w:t>
      </w:r>
      <w:r w:rsidRPr="00834A82">
        <w:rPr>
          <w:rFonts w:eastAsiaTheme="minorHAnsi" w:cs="Arial"/>
          <w:lang w:val="fr-FR"/>
        </w:rPr>
        <w:t xml:space="preserve">ils </w:t>
      </w:r>
      <w:r w:rsidR="001F3048" w:rsidRPr="00834A82">
        <w:rPr>
          <w:rFonts w:eastAsiaTheme="minorHAnsi" w:cs="Arial"/>
          <w:lang w:val="fr-FR"/>
        </w:rPr>
        <w:t xml:space="preserve">sont </w:t>
      </w:r>
      <w:r w:rsidRPr="00834A82">
        <w:rPr>
          <w:rFonts w:eastAsiaTheme="minorHAnsi" w:cs="Arial"/>
          <w:lang w:val="fr-FR"/>
        </w:rPr>
        <w:t>utilisés, la meilleure méthode harmonisée</w:t>
      </w:r>
      <w:r w:rsidR="00506B70" w:rsidRPr="00834A82">
        <w:rPr>
          <w:rFonts w:eastAsiaTheme="minorHAnsi" w:cs="Arial"/>
          <w:lang w:val="fr-FR"/>
        </w:rPr>
        <w:t xml:space="preserve"> à cet effet</w:t>
      </w:r>
      <w:r w:rsidRPr="00834A82">
        <w:rPr>
          <w:rFonts w:eastAsiaTheme="minorHAnsi" w:cs="Arial"/>
          <w:lang w:val="fr-FR"/>
        </w:rPr>
        <w:t>;</w:t>
      </w:r>
    </w:p>
    <w:p w:rsidR="00934BE5" w:rsidRPr="00834A82" w:rsidRDefault="001F3048" w:rsidP="009D14B8">
      <w:pPr>
        <w:numPr>
          <w:ilvl w:val="0"/>
          <w:numId w:val="1"/>
        </w:numPr>
        <w:tabs>
          <w:tab w:val="left" w:pos="567"/>
        </w:tabs>
        <w:ind w:left="1134" w:hanging="567"/>
        <w:rPr>
          <w:rFonts w:eastAsiaTheme="minorHAnsi" w:cs="Arial"/>
          <w:lang w:val="fr-FR"/>
        </w:rPr>
      </w:pPr>
      <w:r w:rsidRPr="00834A82">
        <w:rPr>
          <w:rFonts w:eastAsiaTheme="minorHAnsi" w:cs="Arial"/>
          <w:lang w:val="fr-FR"/>
        </w:rPr>
        <w:t>La manière de</w:t>
      </w:r>
      <w:r w:rsidR="009D14B8" w:rsidRPr="00834A82">
        <w:rPr>
          <w:rFonts w:eastAsiaTheme="minorHAnsi" w:cs="Arial"/>
          <w:lang w:val="fr-FR"/>
        </w:rPr>
        <w:t xml:space="preserve"> préciser les niveaux de distinction entre les différents niveaux d</w:t>
      </w:r>
      <w:r w:rsidR="00D907A2">
        <w:rPr>
          <w:rFonts w:eastAsiaTheme="minorHAnsi" w:cs="Arial"/>
          <w:lang w:val="fr-FR"/>
        </w:rPr>
        <w:t>’</w:t>
      </w:r>
      <w:r w:rsidR="009D14B8" w:rsidRPr="00834A82">
        <w:rPr>
          <w:rFonts w:eastAsiaTheme="minorHAnsi" w:cs="Arial"/>
          <w:lang w:val="fr-FR"/>
        </w:rPr>
        <w:t>expression dans les caractères pseudo</w:t>
      </w:r>
      <w:r w:rsidR="00956579">
        <w:rPr>
          <w:rFonts w:eastAsiaTheme="minorHAnsi" w:cs="Arial"/>
          <w:lang w:val="fr-FR"/>
        </w:rPr>
        <w:noBreakHyphen/>
      </w:r>
      <w:r w:rsidR="009D14B8" w:rsidRPr="00834A82">
        <w:rPr>
          <w:rFonts w:eastAsiaTheme="minorHAnsi" w:cs="Arial"/>
          <w:lang w:val="fr-FR"/>
        </w:rPr>
        <w:t>qualitatifs.</w:t>
      </w:r>
    </w:p>
    <w:p w:rsidR="00934BE5" w:rsidRPr="00834A82" w:rsidRDefault="00934BE5" w:rsidP="004F258F">
      <w:pPr>
        <w:rPr>
          <w:rFonts w:cs="Arial"/>
          <w:lang w:val="fr-FR"/>
        </w:rPr>
      </w:pPr>
    </w:p>
    <w:p w:rsidR="00934BE5" w:rsidRPr="00834A82" w:rsidRDefault="004F258F" w:rsidP="00DE22C5">
      <w:pPr>
        <w:rPr>
          <w:rFonts w:cs="Arial"/>
          <w:lang w:val="fr-FR"/>
        </w:rPr>
      </w:pPr>
      <w:r w:rsidRPr="00834A82">
        <w:rPr>
          <w:rFonts w:cs="Arial"/>
          <w:lang w:val="fr-FR"/>
        </w:rPr>
        <w:fldChar w:fldCharType="begin"/>
      </w:r>
      <w:r w:rsidRPr="00834A82">
        <w:rPr>
          <w:rFonts w:cs="Arial"/>
          <w:lang w:val="fr-FR"/>
        </w:rPr>
        <w:instrText xml:space="preserve"> AUTONUM  </w:instrText>
      </w:r>
      <w:r w:rsidRPr="00834A82">
        <w:rPr>
          <w:rFonts w:cs="Arial"/>
          <w:lang w:val="fr-FR"/>
        </w:rPr>
        <w:fldChar w:fldCharType="end"/>
      </w:r>
      <w:r w:rsidRPr="00834A82">
        <w:rPr>
          <w:rFonts w:cs="Arial"/>
          <w:lang w:val="fr-FR"/>
        </w:rPr>
        <w:tab/>
      </w:r>
      <w:r w:rsidR="00DE22C5" w:rsidRPr="00834A82">
        <w:rPr>
          <w:rFonts w:cs="Arial"/>
          <w:lang w:val="fr-FR"/>
        </w:rPr>
        <w:t>L</w:t>
      </w:r>
      <w:r w:rsidR="00D907A2">
        <w:rPr>
          <w:rFonts w:cs="Arial"/>
          <w:lang w:val="fr-FR"/>
        </w:rPr>
        <w:t>’</w:t>
      </w:r>
      <w:r w:rsidR="00DE22C5" w:rsidRPr="00834A82">
        <w:rPr>
          <w:rFonts w:cs="Arial"/>
          <w:lang w:val="fr-FR"/>
        </w:rPr>
        <w:t>expert de la Nouvelle</w:t>
      </w:r>
      <w:r w:rsidR="00956579">
        <w:rPr>
          <w:rFonts w:cs="Arial"/>
          <w:lang w:val="fr-FR"/>
        </w:rPr>
        <w:noBreakHyphen/>
      </w:r>
      <w:r w:rsidR="00DE22C5" w:rsidRPr="00834A82">
        <w:rPr>
          <w:rFonts w:cs="Arial"/>
          <w:lang w:val="fr-FR"/>
        </w:rPr>
        <w:t>Zélande a également indiqué qu</w:t>
      </w:r>
      <w:r w:rsidR="00D907A2">
        <w:rPr>
          <w:rFonts w:cs="Arial"/>
          <w:lang w:val="fr-FR"/>
        </w:rPr>
        <w:t>’</w:t>
      </w:r>
      <w:r w:rsidR="00DE22C5" w:rsidRPr="00834A82">
        <w:rPr>
          <w:rFonts w:cs="Arial"/>
          <w:lang w:val="fr-FR"/>
        </w:rPr>
        <w:t>il était envisagé d</w:t>
      </w:r>
      <w:r w:rsidR="00D907A2">
        <w:rPr>
          <w:rFonts w:cs="Arial"/>
          <w:lang w:val="fr-FR"/>
        </w:rPr>
        <w:t>’</w:t>
      </w:r>
      <w:r w:rsidR="00DE22C5" w:rsidRPr="00834A82">
        <w:rPr>
          <w:rFonts w:cs="Arial"/>
          <w:lang w:val="fr-FR"/>
        </w:rPr>
        <w:t>apporter l</w:t>
      </w:r>
      <w:r w:rsidR="00D907A2">
        <w:rPr>
          <w:rFonts w:cs="Arial"/>
          <w:lang w:val="fr-FR"/>
        </w:rPr>
        <w:t>’</w:t>
      </w:r>
      <w:r w:rsidR="00DE22C5" w:rsidRPr="00834A82">
        <w:rPr>
          <w:rFonts w:cs="Arial"/>
          <w:lang w:val="fr-FR"/>
        </w:rPr>
        <w:t>amélioration ci</w:t>
      </w:r>
      <w:r w:rsidR="00956579">
        <w:rPr>
          <w:rFonts w:cs="Arial"/>
          <w:lang w:val="fr-FR"/>
        </w:rPr>
        <w:noBreakHyphen/>
      </w:r>
      <w:r w:rsidR="00DE22C5" w:rsidRPr="00834A82">
        <w:rPr>
          <w:rFonts w:cs="Arial"/>
          <w:lang w:val="fr-FR"/>
        </w:rPr>
        <w:t>après à la définition de la “base”</w:t>
      </w:r>
      <w:r w:rsidR="00D907A2">
        <w:rPr>
          <w:rFonts w:cs="Arial"/>
          <w:lang w:val="fr-FR"/>
        </w:rPr>
        <w:t> :</w:t>
      </w:r>
    </w:p>
    <w:p w:rsidR="00934BE5" w:rsidRPr="00834A82" w:rsidRDefault="00934BE5" w:rsidP="004F258F">
      <w:pPr>
        <w:rPr>
          <w:rFonts w:cs="Arial"/>
          <w:lang w:val="fr-FR"/>
        </w:rPr>
      </w:pPr>
    </w:p>
    <w:p w:rsidR="00934BE5" w:rsidRPr="00834A82" w:rsidRDefault="00E44748" w:rsidP="005171AA">
      <w:pPr>
        <w:ind w:left="567" w:right="567"/>
        <w:rPr>
          <w:rFonts w:cs="Arial"/>
          <w:lang w:val="fr-FR"/>
        </w:rPr>
      </w:pPr>
      <w:r w:rsidRPr="00834A82">
        <w:rPr>
          <w:rFonts w:cs="Arial"/>
          <w:lang w:val="fr-FR"/>
        </w:rPr>
        <w:lastRenderedPageBreak/>
        <w:t>“Un fruit, lorsqu</w:t>
      </w:r>
      <w:r w:rsidR="00D907A2">
        <w:rPr>
          <w:rFonts w:cs="Arial"/>
          <w:lang w:val="fr-FR"/>
        </w:rPr>
        <w:t>’</w:t>
      </w:r>
      <w:r w:rsidRPr="00834A82">
        <w:rPr>
          <w:rFonts w:cs="Arial"/>
          <w:lang w:val="fr-FR"/>
        </w:rPr>
        <w:t>on l</w:t>
      </w:r>
      <w:r w:rsidR="00D907A2">
        <w:rPr>
          <w:rFonts w:cs="Arial"/>
          <w:lang w:val="fr-FR"/>
        </w:rPr>
        <w:t>’</w:t>
      </w:r>
      <w:r w:rsidRPr="00834A82">
        <w:rPr>
          <w:rFonts w:cs="Arial"/>
          <w:lang w:val="fr-FR"/>
        </w:rPr>
        <w:t>observe le long de son axe longitudinal, est composé d</w:t>
      </w:r>
      <w:r w:rsidR="00D907A2">
        <w:rPr>
          <w:rFonts w:cs="Arial"/>
          <w:lang w:val="fr-FR"/>
        </w:rPr>
        <w:t>’</w:t>
      </w:r>
      <w:r w:rsidRPr="00834A82">
        <w:rPr>
          <w:rFonts w:cs="Arial"/>
          <w:lang w:val="fr-FR"/>
        </w:rPr>
        <w:t>une extrémité proximale, où le fruit était auparavant attaché à la plante, et d</w:t>
      </w:r>
      <w:r w:rsidR="00D907A2">
        <w:rPr>
          <w:rFonts w:cs="Arial"/>
          <w:lang w:val="fr-FR"/>
        </w:rPr>
        <w:t>’</w:t>
      </w:r>
      <w:r w:rsidRPr="00834A82">
        <w:rPr>
          <w:rFonts w:cs="Arial"/>
          <w:lang w:val="fr-FR"/>
        </w:rPr>
        <w:t>une extrémité distale, le point le plus distant de l</w:t>
      </w:r>
      <w:r w:rsidR="00D907A2">
        <w:rPr>
          <w:rFonts w:cs="Arial"/>
          <w:lang w:val="fr-FR"/>
        </w:rPr>
        <w:t>’</w:t>
      </w:r>
      <w:r w:rsidRPr="00834A82">
        <w:rPr>
          <w:rFonts w:cs="Arial"/>
          <w:lang w:val="fr-FR"/>
        </w:rPr>
        <w:t>attac</w:t>
      </w:r>
      <w:r w:rsidR="00467EF5" w:rsidRPr="00834A82">
        <w:rPr>
          <w:rFonts w:cs="Arial"/>
          <w:lang w:val="fr-FR"/>
        </w:rPr>
        <w:t>he</w:t>
      </w:r>
      <w:r w:rsidR="00467EF5">
        <w:rPr>
          <w:rFonts w:cs="Arial"/>
          <w:lang w:val="fr-FR"/>
        </w:rPr>
        <w:t xml:space="preserve">.  </w:t>
      </w:r>
      <w:r w:rsidR="00467EF5" w:rsidRPr="00834A82">
        <w:rPr>
          <w:rFonts w:cs="Arial"/>
          <w:lang w:val="fr-FR"/>
        </w:rPr>
        <w:t>Le</w:t>
      </w:r>
      <w:r w:rsidR="00012CE7" w:rsidRPr="00834A82">
        <w:rPr>
          <w:rFonts w:cs="Arial"/>
          <w:lang w:val="fr-FR"/>
        </w:rPr>
        <w:t>s dessins dans les principes directeurs techniques pour les formes de fruits ne peuvent pas toujours être présentés avec l</w:t>
      </w:r>
      <w:r w:rsidR="00D907A2">
        <w:rPr>
          <w:rFonts w:cs="Arial"/>
          <w:lang w:val="fr-FR"/>
        </w:rPr>
        <w:t>’</w:t>
      </w:r>
      <w:r w:rsidR="00012CE7" w:rsidRPr="00834A82">
        <w:rPr>
          <w:rFonts w:cs="Arial"/>
          <w:lang w:val="fr-FR"/>
        </w:rPr>
        <w:t>extrémité distale vers le haut et l</w:t>
      </w:r>
      <w:r w:rsidR="00D907A2">
        <w:rPr>
          <w:rFonts w:cs="Arial"/>
          <w:lang w:val="fr-FR"/>
        </w:rPr>
        <w:t>’</w:t>
      </w:r>
      <w:r w:rsidR="00012CE7" w:rsidRPr="00834A82">
        <w:rPr>
          <w:rFonts w:cs="Arial"/>
          <w:lang w:val="fr-FR"/>
        </w:rPr>
        <w:t>extrémité proximale vers le b</w:t>
      </w:r>
      <w:r w:rsidR="00467EF5" w:rsidRPr="00834A82">
        <w:rPr>
          <w:rFonts w:cs="Arial"/>
          <w:lang w:val="fr-FR"/>
        </w:rPr>
        <w:t>as</w:t>
      </w:r>
      <w:r w:rsidR="00467EF5">
        <w:rPr>
          <w:rFonts w:cs="Arial"/>
          <w:lang w:val="fr-FR"/>
        </w:rPr>
        <w:t xml:space="preserve">.  </w:t>
      </w:r>
      <w:r w:rsidR="00467EF5" w:rsidRPr="00834A82">
        <w:rPr>
          <w:rFonts w:cs="Arial"/>
          <w:lang w:val="fr-FR"/>
        </w:rPr>
        <w:t>Il</w:t>
      </w:r>
      <w:r w:rsidR="000E46ED" w:rsidRPr="00834A82">
        <w:rPr>
          <w:rFonts w:cs="Arial"/>
          <w:lang w:val="fr-FR"/>
        </w:rPr>
        <w:t xml:space="preserve"> peut y avoir de bonnes raisons d</w:t>
      </w:r>
      <w:r w:rsidR="00D907A2">
        <w:rPr>
          <w:rFonts w:cs="Arial"/>
          <w:lang w:val="fr-FR"/>
        </w:rPr>
        <w:t>’</w:t>
      </w:r>
      <w:r w:rsidR="000E46ED" w:rsidRPr="00834A82">
        <w:rPr>
          <w:rFonts w:cs="Arial"/>
          <w:lang w:val="fr-FR"/>
        </w:rPr>
        <w:t>orienter le diagramme différemme</w:t>
      </w:r>
      <w:r w:rsidR="00467EF5" w:rsidRPr="00834A82">
        <w:rPr>
          <w:rFonts w:cs="Arial"/>
          <w:lang w:val="fr-FR"/>
        </w:rPr>
        <w:t>nt</w:t>
      </w:r>
      <w:r w:rsidR="00467EF5">
        <w:rPr>
          <w:rFonts w:cs="Arial"/>
          <w:lang w:val="fr-FR"/>
        </w:rPr>
        <w:t xml:space="preserve">.  </w:t>
      </w:r>
      <w:r w:rsidR="00467EF5" w:rsidRPr="00834A82">
        <w:rPr>
          <w:rFonts w:cs="Arial"/>
          <w:lang w:val="fr-FR"/>
        </w:rPr>
        <w:t>Qu</w:t>
      </w:r>
      <w:r w:rsidR="005171AA" w:rsidRPr="00834A82">
        <w:rPr>
          <w:rFonts w:cs="Arial"/>
          <w:lang w:val="fr-FR"/>
        </w:rPr>
        <w:t>elle que soit l</w:t>
      </w:r>
      <w:r w:rsidR="00D907A2">
        <w:rPr>
          <w:rFonts w:cs="Arial"/>
          <w:lang w:val="fr-FR"/>
        </w:rPr>
        <w:t>’</w:t>
      </w:r>
      <w:r w:rsidR="005171AA" w:rsidRPr="00834A82">
        <w:rPr>
          <w:rFonts w:cs="Arial"/>
          <w:lang w:val="fr-FR"/>
        </w:rPr>
        <w:t>orientation d</w:t>
      </w:r>
      <w:r w:rsidR="00D907A2">
        <w:rPr>
          <w:rFonts w:cs="Arial"/>
          <w:lang w:val="fr-FR"/>
        </w:rPr>
        <w:t>’</w:t>
      </w:r>
      <w:r w:rsidR="005171AA" w:rsidRPr="00834A82">
        <w:rPr>
          <w:rFonts w:cs="Arial"/>
          <w:lang w:val="fr-FR"/>
        </w:rPr>
        <w:t>un diagramme pour une forme de fruit, la base est le point d</w:t>
      </w:r>
      <w:r w:rsidR="00D907A2">
        <w:rPr>
          <w:rFonts w:cs="Arial"/>
          <w:lang w:val="fr-FR"/>
        </w:rPr>
        <w:t>’</w:t>
      </w:r>
      <w:r w:rsidR="005171AA" w:rsidRPr="00834A82">
        <w:rPr>
          <w:rFonts w:cs="Arial"/>
          <w:lang w:val="fr-FR"/>
        </w:rPr>
        <w:t>attache de la plante, le point proximal”.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3F3E00" w:rsidP="004A56AC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4A56AC" w:rsidRPr="00834A82">
        <w:rPr>
          <w:lang w:val="fr-FR"/>
        </w:rPr>
        <w:t>La sous</w:t>
      </w:r>
      <w:r w:rsidR="00956579">
        <w:rPr>
          <w:lang w:val="fr-FR"/>
        </w:rPr>
        <w:noBreakHyphen/>
      </w:r>
      <w:r w:rsidR="00D907A2" w:rsidRPr="00834A82">
        <w:rPr>
          <w:lang w:val="fr-FR"/>
        </w:rPr>
        <w:t>section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</w:t>
      </w:r>
      <w:r w:rsidR="004A56AC" w:rsidRPr="00834A82">
        <w:rPr>
          <w:lang w:val="fr-FR"/>
        </w:rPr>
        <w:t xml:space="preserve"> “Formes et structures” du document</w:t>
      </w:r>
      <w:r w:rsidR="00956579">
        <w:rPr>
          <w:lang w:val="fr-FR"/>
        </w:rPr>
        <w:t> </w:t>
      </w:r>
      <w:r w:rsidR="004A56AC" w:rsidRPr="00834A82">
        <w:rPr>
          <w:lang w:val="fr-FR"/>
        </w:rPr>
        <w:t>TGP/14 contient les informations et l</w:t>
      </w:r>
      <w:r w:rsidR="00D907A2">
        <w:rPr>
          <w:lang w:val="fr-FR"/>
        </w:rPr>
        <w:t>’</w:t>
      </w:r>
      <w:r w:rsidR="004A56AC" w:rsidRPr="00834A82">
        <w:rPr>
          <w:lang w:val="fr-FR"/>
        </w:rPr>
        <w:t xml:space="preserve">illustration </w:t>
      </w:r>
      <w:r w:rsidR="001F3048" w:rsidRPr="00834A82">
        <w:rPr>
          <w:lang w:val="fr-FR"/>
        </w:rPr>
        <w:t>ci</w:t>
      </w:r>
      <w:r w:rsidR="00956579">
        <w:rPr>
          <w:lang w:val="fr-FR"/>
        </w:rPr>
        <w:noBreakHyphen/>
      </w:r>
      <w:r w:rsidR="001F3048" w:rsidRPr="00834A82">
        <w:rPr>
          <w:lang w:val="fr-FR"/>
        </w:rPr>
        <w:t>après</w:t>
      </w:r>
      <w:r w:rsidR="004A56AC" w:rsidRPr="00834A82">
        <w:rPr>
          <w:lang w:val="fr-FR"/>
        </w:rPr>
        <w:t xml:space="preserve"> </w:t>
      </w:r>
      <w:r w:rsidR="00506B70" w:rsidRPr="00834A82">
        <w:rPr>
          <w:lang w:val="fr-FR"/>
        </w:rPr>
        <w:t>relatives au</w:t>
      </w:r>
      <w:r w:rsidR="004A56AC" w:rsidRPr="00834A82">
        <w:rPr>
          <w:lang w:val="fr-FR"/>
        </w:rPr>
        <w:t xml:space="preserve"> terme “base”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D907A2" w:rsidRDefault="00956579" w:rsidP="004A56AC">
      <w:pPr>
        <w:ind w:left="567" w:right="567"/>
        <w:rPr>
          <w:sz w:val="18"/>
          <w:lang w:val="fr-FR"/>
        </w:rPr>
      </w:pPr>
      <w:r>
        <w:rPr>
          <w:sz w:val="18"/>
          <w:lang w:val="fr-FR"/>
        </w:rPr>
        <w:t>“</w:t>
      </w:r>
      <w:r w:rsidR="004A56AC" w:rsidRPr="00834A82">
        <w:rPr>
          <w:sz w:val="18"/>
          <w:lang w:val="fr-FR"/>
        </w:rPr>
        <w:t xml:space="preserve">1.3 </w:t>
      </w:r>
      <w:r w:rsidR="00506B70" w:rsidRPr="00834A82">
        <w:rPr>
          <w:sz w:val="18"/>
          <w:lang w:val="fr-FR"/>
        </w:rPr>
        <w:tab/>
      </w:r>
      <w:r w:rsidR="004A56AC" w:rsidRPr="00834A82">
        <w:rPr>
          <w:sz w:val="18"/>
          <w:lang w:val="fr-FR"/>
        </w:rPr>
        <w:t>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apex (partie apicale ou distale)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un organe ou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une partie de plante est 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extrémité la plus éloignée du point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attac</w:t>
      </w:r>
      <w:r w:rsidR="00467EF5" w:rsidRPr="00834A82">
        <w:rPr>
          <w:sz w:val="18"/>
          <w:lang w:val="fr-FR"/>
        </w:rPr>
        <w:t>he</w:t>
      </w:r>
      <w:r w:rsidR="00467EF5">
        <w:rPr>
          <w:sz w:val="18"/>
          <w:lang w:val="fr-FR"/>
        </w:rPr>
        <w:t xml:space="preserve">.  </w:t>
      </w:r>
      <w:r w:rsidR="00467EF5" w:rsidRPr="00834A82">
        <w:rPr>
          <w:sz w:val="18"/>
          <w:lang w:val="fr-FR"/>
        </w:rPr>
        <w:t>La</w:t>
      </w:r>
      <w:r w:rsidR="004A56AC" w:rsidRPr="00834A82">
        <w:rPr>
          <w:sz w:val="18"/>
          <w:lang w:val="fr-FR"/>
        </w:rPr>
        <w:t xml:space="preserve"> base (partie proximale)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une partie de plante est 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extrémité la plus proche du point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attac</w:t>
      </w:r>
      <w:r w:rsidR="00467EF5" w:rsidRPr="00834A82">
        <w:rPr>
          <w:sz w:val="18"/>
          <w:lang w:val="fr-FR"/>
        </w:rPr>
        <w:t>he</w:t>
      </w:r>
      <w:r w:rsidR="00467EF5">
        <w:rPr>
          <w:sz w:val="18"/>
          <w:lang w:val="fr-FR"/>
        </w:rPr>
        <w:t xml:space="preserve">.  </w:t>
      </w:r>
      <w:r w:rsidR="00467EF5" w:rsidRPr="00834A82">
        <w:rPr>
          <w:sz w:val="18"/>
          <w:lang w:val="fr-FR"/>
        </w:rPr>
        <w:t>To</w:t>
      </w:r>
      <w:r w:rsidR="004A56AC" w:rsidRPr="00834A82">
        <w:rPr>
          <w:sz w:val="18"/>
          <w:lang w:val="fr-FR"/>
        </w:rPr>
        <w:t>utefois, il convient de noter que dans les illustrations relatives aux formes qui figurent dans les principes directeurs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examen, le point d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attache (base) peut ne pas être toujours situé à 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extrémité inférieure s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il ne s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agit pas de 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orientation naturelle de l</w:t>
      </w:r>
      <w:r w:rsidR="00D907A2">
        <w:rPr>
          <w:sz w:val="18"/>
          <w:lang w:val="fr-FR"/>
        </w:rPr>
        <w:t>’</w:t>
      </w:r>
      <w:r w:rsidR="004A56AC" w:rsidRPr="00834A82">
        <w:rPr>
          <w:sz w:val="18"/>
          <w:lang w:val="fr-FR"/>
        </w:rPr>
        <w:t>organe sur la plante</w:t>
      </w:r>
      <w:r w:rsidR="00D907A2" w:rsidRPr="00834A82">
        <w:rPr>
          <w:sz w:val="18"/>
          <w:lang w:val="fr-FR"/>
        </w:rPr>
        <w:t>.</w:t>
      </w:r>
      <w:r w:rsidR="00D907A2">
        <w:rPr>
          <w:sz w:val="18"/>
          <w:lang w:val="fr-FR"/>
        </w:rPr>
        <w:t>”</w:t>
      </w:r>
    </w:p>
    <w:p w:rsidR="00934BE5" w:rsidRPr="00834A82" w:rsidRDefault="00934BE5" w:rsidP="003F3E00">
      <w:pPr>
        <w:rPr>
          <w:lang w:val="fr-FR"/>
        </w:rPr>
      </w:pPr>
    </w:p>
    <w:p w:rsidR="00934BE5" w:rsidRPr="00834A82" w:rsidRDefault="00900E16" w:rsidP="00900E16">
      <w:pPr>
        <w:ind w:left="1701"/>
        <w:rPr>
          <w:lang w:val="fr-FR"/>
        </w:rPr>
      </w:pPr>
      <w:r w:rsidRPr="00834A82">
        <w:rPr>
          <w:noProof/>
          <w:lang w:val="es-ES_tradnl" w:eastAsia="es-ES_tradnl"/>
        </w:rPr>
        <w:drawing>
          <wp:inline distT="0" distB="0" distL="0" distR="0" wp14:anchorId="7B94C5AB" wp14:editId="15703599">
            <wp:extent cx="3817917" cy="117678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9504" cy="1186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E5" w:rsidRPr="00834A82" w:rsidRDefault="00934BE5" w:rsidP="00900E16">
      <w:pPr>
        <w:ind w:left="1701"/>
        <w:rPr>
          <w:lang w:val="fr-FR"/>
        </w:rPr>
      </w:pPr>
    </w:p>
    <w:p w:rsidR="00934BE5" w:rsidRPr="00834A82" w:rsidRDefault="004A56AC" w:rsidP="004A56AC">
      <w:pPr>
        <w:pStyle w:val="Heading2"/>
        <w:keepLines/>
        <w:rPr>
          <w:lang w:val="fr-FR"/>
        </w:rPr>
      </w:pPr>
      <w:bookmarkStart w:id="16" w:name="_Toc521330187"/>
      <w:r w:rsidRPr="00834A82">
        <w:rPr>
          <w:lang w:val="fr-FR"/>
        </w:rPr>
        <w:t>Groupe de travail technique sur les plantes agricoles</w:t>
      </w:r>
      <w:bookmarkEnd w:id="16"/>
    </w:p>
    <w:p w:rsidR="00934BE5" w:rsidRPr="00834A82" w:rsidRDefault="00934BE5" w:rsidP="00B75DB9">
      <w:pPr>
        <w:keepNext/>
        <w:keepLines/>
        <w:rPr>
          <w:lang w:val="fr-FR"/>
        </w:rPr>
      </w:pPr>
    </w:p>
    <w:p w:rsidR="00934BE5" w:rsidRPr="00834A82" w:rsidRDefault="00890E05" w:rsidP="004A56AC">
      <w:pPr>
        <w:keepNext/>
        <w:keepLines/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4A56AC" w:rsidRPr="00834A82">
        <w:rPr>
          <w:lang w:val="fr-FR"/>
        </w:rPr>
        <w:t>À sa quarante</w:t>
      </w:r>
      <w:r w:rsidR="00956579">
        <w:rPr>
          <w:lang w:val="fr-FR"/>
        </w:rPr>
        <w:noBreakHyphen/>
      </w:r>
      <w:r w:rsidR="004A56AC" w:rsidRPr="00834A82">
        <w:rPr>
          <w:lang w:val="fr-FR"/>
        </w:rPr>
        <w:t>sept</w:t>
      </w:r>
      <w:r w:rsidR="00D907A2">
        <w:rPr>
          <w:lang w:val="fr-FR"/>
        </w:rPr>
        <w:t>ième session</w:t>
      </w:r>
      <w:r w:rsidR="004A56AC" w:rsidRPr="00834A82">
        <w:rPr>
          <w:lang w:val="fr-FR"/>
        </w:rPr>
        <w:t xml:space="preserve"> tenue à </w:t>
      </w:r>
      <w:proofErr w:type="spellStart"/>
      <w:r w:rsidR="004A56AC" w:rsidRPr="00834A82">
        <w:rPr>
          <w:lang w:val="fr-FR"/>
        </w:rPr>
        <w:t>Naivasha</w:t>
      </w:r>
      <w:proofErr w:type="spellEnd"/>
      <w:r w:rsidR="004A56AC" w:rsidRPr="00834A82">
        <w:rPr>
          <w:lang w:val="fr-FR"/>
        </w:rPr>
        <w:t xml:space="preserve"> (Kenya) du 21 au 2</w:t>
      </w:r>
      <w:r w:rsidR="00D907A2" w:rsidRPr="00834A82">
        <w:rPr>
          <w:lang w:val="fr-FR"/>
        </w:rPr>
        <w:t>5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mai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4A56AC" w:rsidRPr="00834A82">
        <w:rPr>
          <w:lang w:val="fr-FR"/>
        </w:rPr>
        <w:t>18,</w:t>
      </w:r>
      <w:r w:rsidR="00D907A2" w:rsidRPr="00834A82">
        <w:rPr>
          <w:lang w:val="fr-FR"/>
        </w:rPr>
        <w:t xml:space="preserve"> 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TWA</w:t>
      </w:r>
      <w:r w:rsidR="004A56AC" w:rsidRPr="00834A82">
        <w:rPr>
          <w:lang w:val="fr-FR"/>
        </w:rPr>
        <w:t xml:space="preserve"> a examiné le document</w:t>
      </w:r>
      <w:r w:rsidR="00956579">
        <w:rPr>
          <w:lang w:val="fr-FR"/>
        </w:rPr>
        <w:t> </w:t>
      </w:r>
      <w:r w:rsidR="004A56AC" w:rsidRPr="00834A82">
        <w:rPr>
          <w:lang w:val="fr-FR"/>
        </w:rPr>
        <w:t xml:space="preserve">TWP/2/11 “Illustrations for </w:t>
      </w:r>
      <w:proofErr w:type="spellStart"/>
      <w:r w:rsidR="004A56AC" w:rsidRPr="00834A82">
        <w:rPr>
          <w:lang w:val="fr-FR"/>
        </w:rPr>
        <w:t>shape</w:t>
      </w:r>
      <w:proofErr w:type="spellEnd"/>
      <w:r w:rsidR="004A56AC" w:rsidRPr="00834A82">
        <w:rPr>
          <w:lang w:val="fr-FR"/>
        </w:rPr>
        <w:t xml:space="preserve"> and ratio </w:t>
      </w:r>
      <w:proofErr w:type="spellStart"/>
      <w:r w:rsidR="004A56AC" w:rsidRPr="00834A82">
        <w:rPr>
          <w:lang w:val="fr-FR"/>
        </w:rPr>
        <w:t>characteristics</w:t>
      </w:r>
      <w:proofErr w:type="spellEnd"/>
      <w:r w:rsidR="004A56AC" w:rsidRPr="00834A82">
        <w:rPr>
          <w:lang w:val="fr-FR"/>
        </w:rPr>
        <w:t xml:space="preserve">” (voir les </w:t>
      </w:r>
      <w:r w:rsidR="00D907A2" w:rsidRPr="00834A82">
        <w:rPr>
          <w:lang w:val="fr-FR"/>
        </w:rPr>
        <w:t>paragraphes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3</w:t>
      </w:r>
      <w:r w:rsidR="004A56AC" w:rsidRPr="00834A82">
        <w:rPr>
          <w:lang w:val="fr-FR"/>
        </w:rPr>
        <w:t>9 à 42 du document</w:t>
      </w:r>
      <w:r w:rsidR="00956579">
        <w:rPr>
          <w:lang w:val="fr-FR"/>
        </w:rPr>
        <w:t> </w:t>
      </w:r>
      <w:r w:rsidR="004A56AC" w:rsidRPr="00834A82">
        <w:rPr>
          <w:lang w:val="fr-FR"/>
        </w:rPr>
        <w:t>TWA/47/7 “Report”).</w:t>
      </w:r>
    </w:p>
    <w:p w:rsidR="00934BE5" w:rsidRPr="00834A82" w:rsidRDefault="00934BE5" w:rsidP="00890E05">
      <w:pPr>
        <w:rPr>
          <w:lang w:val="fr-FR"/>
        </w:rPr>
      </w:pPr>
    </w:p>
    <w:p w:rsidR="00D907A2" w:rsidRDefault="00890E05" w:rsidP="00211120">
      <w:pPr>
        <w:rPr>
          <w:rFonts w:cs="Arial"/>
          <w:bCs/>
          <w:snapToGrid w:val="0"/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4A56AC" w:rsidRPr="00834A82">
        <w:rPr>
          <w:lang w:val="fr-FR"/>
        </w:rPr>
        <w:t>Le TWA a examiné l</w:t>
      </w:r>
      <w:r w:rsidR="00D907A2">
        <w:rPr>
          <w:lang w:val="fr-FR"/>
        </w:rPr>
        <w:t>’</w:t>
      </w:r>
      <w:r w:rsidR="004A56AC" w:rsidRPr="00834A82">
        <w:rPr>
          <w:lang w:val="fr-FR"/>
        </w:rPr>
        <w:t>utilité des tableaux dans certaines situations et il est convenu que les tableaux pouvaient fournir des informations utiles pour décrire la gamme d</w:t>
      </w:r>
      <w:r w:rsidR="00D907A2">
        <w:rPr>
          <w:lang w:val="fr-FR"/>
        </w:rPr>
        <w:t>’</w:t>
      </w:r>
      <w:r w:rsidR="004A56AC" w:rsidRPr="00834A82">
        <w:rPr>
          <w:lang w:val="fr-FR"/>
        </w:rPr>
        <w:t>expression d</w:t>
      </w:r>
      <w:r w:rsidR="00D907A2">
        <w:rPr>
          <w:lang w:val="fr-FR"/>
        </w:rPr>
        <w:t>’</w:t>
      </w:r>
      <w:r w:rsidR="004A56AC" w:rsidRPr="00834A82">
        <w:rPr>
          <w:lang w:val="fr-FR"/>
        </w:rPr>
        <w:t>un caractè</w:t>
      </w:r>
      <w:r w:rsidR="00467EF5" w:rsidRPr="00834A82">
        <w:rPr>
          <w:lang w:val="fr-FR"/>
        </w:rPr>
        <w:t>re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Le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TWA</w:t>
      </w:r>
      <w:r w:rsidR="00211120" w:rsidRPr="00834A82">
        <w:rPr>
          <w:lang w:val="fr-FR"/>
        </w:rPr>
        <w:t xml:space="preserve"> a noté que certains experts principaux de principes directeurs d</w:t>
      </w:r>
      <w:r w:rsidR="00D907A2">
        <w:rPr>
          <w:lang w:val="fr-FR"/>
        </w:rPr>
        <w:t>’</w:t>
      </w:r>
      <w:r w:rsidR="00211120" w:rsidRPr="00834A82">
        <w:rPr>
          <w:lang w:val="fr-FR"/>
        </w:rPr>
        <w:t xml:space="preserve">examen avaient des difficultés à fournir des explications relatives aux caractères liés à la forme </w:t>
      </w:r>
      <w:r w:rsidR="001F3048" w:rsidRPr="00834A82">
        <w:rPr>
          <w:lang w:val="fr-FR"/>
        </w:rPr>
        <w:t xml:space="preserve">en utilisant des </w:t>
      </w:r>
      <w:r w:rsidR="00211120" w:rsidRPr="00834A82">
        <w:rPr>
          <w:lang w:val="fr-FR"/>
        </w:rPr>
        <w:t>tablea</w:t>
      </w:r>
      <w:r w:rsidR="00467EF5" w:rsidRPr="00834A82">
        <w:rPr>
          <w:lang w:val="fr-FR"/>
        </w:rPr>
        <w:t>ux</w:t>
      </w:r>
      <w:r w:rsidR="00467EF5">
        <w:rPr>
          <w:lang w:val="fr-FR"/>
        </w:rPr>
        <w:t xml:space="preserve">.  </w:t>
      </w:r>
      <w:r w:rsidR="00467EF5" w:rsidRPr="00834A82">
        <w:rPr>
          <w:rFonts w:cs="Arial"/>
          <w:bCs/>
          <w:snapToGrid w:val="0"/>
          <w:lang w:val="fr-FR"/>
        </w:rPr>
        <w:t>Il</w:t>
      </w:r>
      <w:r w:rsidR="00211120" w:rsidRPr="00834A82">
        <w:rPr>
          <w:rFonts w:cs="Arial"/>
          <w:bCs/>
          <w:snapToGrid w:val="0"/>
          <w:lang w:val="fr-FR"/>
        </w:rPr>
        <w:t xml:space="preserve"> est convenu avec le</w:t>
      </w:r>
      <w:r w:rsidR="00D907A2">
        <w:rPr>
          <w:rFonts w:cs="Arial"/>
          <w:bCs/>
          <w:snapToGrid w:val="0"/>
          <w:lang w:val="fr-FR"/>
        </w:rPr>
        <w:t> TC</w:t>
      </w:r>
      <w:r w:rsidR="00956579">
        <w:rPr>
          <w:rFonts w:cs="Arial"/>
          <w:bCs/>
          <w:snapToGrid w:val="0"/>
          <w:lang w:val="fr-FR"/>
        </w:rPr>
        <w:noBreakHyphen/>
      </w:r>
      <w:r w:rsidR="00D907A2">
        <w:rPr>
          <w:rFonts w:cs="Arial"/>
          <w:bCs/>
          <w:snapToGrid w:val="0"/>
          <w:lang w:val="fr-FR"/>
        </w:rPr>
        <w:t>EDC</w:t>
      </w:r>
      <w:r w:rsidR="00211120" w:rsidRPr="00834A82">
        <w:rPr>
          <w:rFonts w:cs="Arial"/>
          <w:bCs/>
          <w:snapToGrid w:val="0"/>
          <w:lang w:val="fr-FR"/>
        </w:rPr>
        <w:t xml:space="preserve"> qu</w:t>
      </w:r>
      <w:r w:rsidR="00D907A2">
        <w:rPr>
          <w:rFonts w:cs="Arial"/>
          <w:bCs/>
          <w:snapToGrid w:val="0"/>
          <w:lang w:val="fr-FR"/>
        </w:rPr>
        <w:t>’</w:t>
      </w:r>
      <w:r w:rsidR="00211120" w:rsidRPr="00834A82">
        <w:rPr>
          <w:rFonts w:cs="Arial"/>
          <w:bCs/>
          <w:snapToGrid w:val="0"/>
          <w:lang w:val="fr-FR"/>
        </w:rPr>
        <w:t xml:space="preserve">une certaine flexibilité </w:t>
      </w:r>
      <w:r w:rsidR="001F3048" w:rsidRPr="00834A82">
        <w:rPr>
          <w:rFonts w:cs="Arial"/>
          <w:bCs/>
          <w:snapToGrid w:val="0"/>
          <w:lang w:val="fr-FR"/>
        </w:rPr>
        <w:t xml:space="preserve">serait nécessaire </w:t>
      </w:r>
      <w:r w:rsidR="00211120" w:rsidRPr="00834A82">
        <w:rPr>
          <w:rFonts w:cs="Arial"/>
          <w:bCs/>
          <w:snapToGrid w:val="0"/>
          <w:lang w:val="fr-FR"/>
        </w:rPr>
        <w:t>pour la présentation d</w:t>
      </w:r>
      <w:r w:rsidR="00D907A2">
        <w:rPr>
          <w:rFonts w:cs="Arial"/>
          <w:bCs/>
          <w:snapToGrid w:val="0"/>
          <w:lang w:val="fr-FR"/>
        </w:rPr>
        <w:t>’</w:t>
      </w:r>
      <w:r w:rsidR="00211120" w:rsidRPr="00834A82">
        <w:rPr>
          <w:rFonts w:cs="Arial"/>
          <w:bCs/>
          <w:snapToGrid w:val="0"/>
          <w:lang w:val="fr-FR"/>
        </w:rPr>
        <w:t>explications relatives aux caractères liés à la forme à l</w:t>
      </w:r>
      <w:r w:rsidR="00D907A2">
        <w:rPr>
          <w:rFonts w:cs="Arial"/>
          <w:bCs/>
          <w:snapToGrid w:val="0"/>
          <w:lang w:val="fr-FR"/>
        </w:rPr>
        <w:t>’</w:t>
      </w:r>
      <w:r w:rsidR="00211120" w:rsidRPr="00834A82">
        <w:rPr>
          <w:rFonts w:cs="Arial"/>
          <w:bCs/>
          <w:snapToGrid w:val="0"/>
          <w:lang w:val="fr-FR"/>
        </w:rPr>
        <w:t>aide de tableaux, à condition que les niveaux d</w:t>
      </w:r>
      <w:r w:rsidR="00D907A2">
        <w:rPr>
          <w:rFonts w:cs="Arial"/>
          <w:bCs/>
          <w:snapToGrid w:val="0"/>
          <w:lang w:val="fr-FR"/>
        </w:rPr>
        <w:t>’</w:t>
      </w:r>
      <w:r w:rsidR="00211120" w:rsidRPr="00834A82">
        <w:rPr>
          <w:rFonts w:cs="Arial"/>
          <w:bCs/>
          <w:snapToGrid w:val="0"/>
          <w:lang w:val="fr-FR"/>
        </w:rPr>
        <w:t>expression soient clairement expliqués.</w:t>
      </w:r>
    </w:p>
    <w:p w:rsidR="00934BE5" w:rsidRPr="00834A82" w:rsidRDefault="00934BE5" w:rsidP="00890E05">
      <w:pPr>
        <w:rPr>
          <w:lang w:val="fr-FR"/>
        </w:rPr>
      </w:pPr>
    </w:p>
    <w:p w:rsidR="00D907A2" w:rsidRDefault="00890E05" w:rsidP="00357552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357552" w:rsidRPr="00834A82">
        <w:rPr>
          <w:lang w:val="fr-FR"/>
        </w:rPr>
        <w:t xml:space="preserve">Le TWA a examiné les prochaines étapes possibles, comme indiqué dans les </w:t>
      </w:r>
      <w:r w:rsidR="00D907A2" w:rsidRPr="00834A82">
        <w:rPr>
          <w:lang w:val="fr-FR"/>
        </w:rPr>
        <w:t>paragraphes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1</w:t>
      </w:r>
      <w:r w:rsidR="00357552" w:rsidRPr="00834A82">
        <w:rPr>
          <w:lang w:val="fr-FR"/>
        </w:rPr>
        <w:t xml:space="preserve">7 à 19 du </w:t>
      </w:r>
      <w:r w:rsidR="00D907A2" w:rsidRPr="00834A82">
        <w:rPr>
          <w:lang w:val="fr-FR"/>
        </w:rPr>
        <w:t>document</w:t>
      </w:r>
      <w:r w:rsidR="00D907A2">
        <w:rPr>
          <w:lang w:val="fr-FR"/>
        </w:rPr>
        <w:t xml:space="preserve"> </w:t>
      </w:r>
      <w:r w:rsidR="00D907A2" w:rsidRPr="00834A82">
        <w:rPr>
          <w:lang w:val="fr-FR"/>
        </w:rPr>
        <w:t>TW</w:t>
      </w:r>
      <w:r w:rsidR="00357552" w:rsidRPr="00834A82">
        <w:rPr>
          <w:lang w:val="fr-FR"/>
        </w:rPr>
        <w:t>P/2/11 et approuvé la proposition de création d</w:t>
      </w:r>
      <w:r w:rsidR="00D907A2">
        <w:rPr>
          <w:lang w:val="fr-FR"/>
        </w:rPr>
        <w:t>’</w:t>
      </w:r>
      <w:r w:rsidR="00357552" w:rsidRPr="00834A82">
        <w:rPr>
          <w:lang w:val="fr-FR"/>
        </w:rPr>
        <w:t>un sous</w:t>
      </w:r>
      <w:r w:rsidR="00956579">
        <w:rPr>
          <w:lang w:val="fr-FR"/>
        </w:rPr>
        <w:noBreakHyphen/>
      </w:r>
      <w:r w:rsidR="00357552" w:rsidRPr="00834A82">
        <w:rPr>
          <w:lang w:val="fr-FR"/>
        </w:rPr>
        <w:t xml:space="preserve">groupe devant se réunir avant la session </w:t>
      </w:r>
      <w:r w:rsidR="00506B70" w:rsidRPr="00834A82">
        <w:rPr>
          <w:lang w:val="fr-FR"/>
        </w:rPr>
        <w:t>d</w:t>
      </w:r>
      <w:r w:rsidR="00D907A2">
        <w:rPr>
          <w:lang w:val="fr-FR"/>
        </w:rPr>
        <w:t>’</w:t>
      </w:r>
      <w:r w:rsidR="00D907A2" w:rsidRPr="00834A82">
        <w:rPr>
          <w:lang w:val="fr-FR"/>
        </w:rPr>
        <w:t>octobre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20</w:t>
      </w:r>
      <w:r w:rsidR="00357552" w:rsidRPr="00834A82">
        <w:rPr>
          <w:lang w:val="fr-FR"/>
        </w:rPr>
        <w:t>18</w:t>
      </w:r>
      <w:r w:rsidR="001F3048" w:rsidRPr="00834A82">
        <w:rPr>
          <w:lang w:val="fr-FR"/>
        </w:rPr>
        <w:t xml:space="preserve"> du</w:t>
      </w:r>
      <w:r w:rsidR="00D907A2">
        <w:rPr>
          <w:lang w:val="fr-FR"/>
        </w:rPr>
        <w:t> TC</w:t>
      </w:r>
      <w:r w:rsidR="00357552" w:rsidRPr="00834A82">
        <w:rPr>
          <w:lang w:val="fr-FR"/>
        </w:rPr>
        <w:t>.</w:t>
      </w:r>
      <w:r w:rsidRPr="00834A82">
        <w:rPr>
          <w:rFonts w:cs="Arial"/>
          <w:lang w:val="fr-FR"/>
        </w:rPr>
        <w:t xml:space="preserve"> </w:t>
      </w:r>
      <w:r w:rsidR="00D907A2" w:rsidRPr="00834A82">
        <w:rPr>
          <w:rFonts w:cs="Arial"/>
          <w:lang w:val="fr-FR"/>
        </w:rPr>
        <w:t xml:space="preserve"> Le</w:t>
      </w:r>
      <w:r w:rsidR="00D907A2">
        <w:rPr>
          <w:rFonts w:cs="Arial"/>
          <w:lang w:val="fr-FR"/>
        </w:rPr>
        <w:t> </w:t>
      </w:r>
      <w:r w:rsidR="00D907A2" w:rsidRPr="00834A82">
        <w:rPr>
          <w:rFonts w:cs="Arial"/>
          <w:lang w:val="fr-FR"/>
        </w:rPr>
        <w:t>TWA</w:t>
      </w:r>
      <w:r w:rsidR="00357552" w:rsidRPr="00834A82">
        <w:rPr>
          <w:rFonts w:cs="Arial"/>
          <w:lang w:val="fr-FR"/>
        </w:rPr>
        <w:t xml:space="preserve"> a souscrit à la proposition tendant à ce que le sous</w:t>
      </w:r>
      <w:r w:rsidR="00956579">
        <w:rPr>
          <w:rFonts w:cs="Arial"/>
          <w:lang w:val="fr-FR"/>
        </w:rPr>
        <w:noBreakHyphen/>
      </w:r>
      <w:r w:rsidR="00357552" w:rsidRPr="00834A82">
        <w:rPr>
          <w:rFonts w:cs="Arial"/>
          <w:lang w:val="fr-FR"/>
        </w:rPr>
        <w:t>groupe examine les méthodes de présentation des informations à l</w:t>
      </w:r>
      <w:r w:rsidR="00D907A2">
        <w:rPr>
          <w:rFonts w:cs="Arial"/>
          <w:lang w:val="fr-FR"/>
        </w:rPr>
        <w:t>’</w:t>
      </w:r>
      <w:r w:rsidR="00357552" w:rsidRPr="00834A82">
        <w:rPr>
          <w:rFonts w:cs="Arial"/>
          <w:lang w:val="fr-FR"/>
        </w:rPr>
        <w:t>aide de tableaux et il a admis qu</w:t>
      </w:r>
      <w:r w:rsidR="00D907A2">
        <w:rPr>
          <w:rFonts w:cs="Arial"/>
          <w:lang w:val="fr-FR"/>
        </w:rPr>
        <w:t>’</w:t>
      </w:r>
      <w:r w:rsidR="00357552" w:rsidRPr="00834A82">
        <w:rPr>
          <w:rFonts w:cs="Arial"/>
          <w:lang w:val="fr-FR"/>
        </w:rPr>
        <w:t xml:space="preserve">il pouvait être difficile de définir une règle générale sur la différence </w:t>
      </w:r>
      <w:r w:rsidR="00506B70" w:rsidRPr="00834A82">
        <w:rPr>
          <w:rFonts w:cs="Arial"/>
          <w:lang w:val="fr-FR"/>
        </w:rPr>
        <w:t>entre les</w:t>
      </w:r>
      <w:r w:rsidR="00357552" w:rsidRPr="00834A82">
        <w:rPr>
          <w:rFonts w:cs="Arial"/>
          <w:lang w:val="fr-FR"/>
        </w:rPr>
        <w:t xml:space="preserve"> notes </w:t>
      </w:r>
      <w:r w:rsidR="00506B70" w:rsidRPr="00834A82">
        <w:rPr>
          <w:rFonts w:cs="Arial"/>
          <w:lang w:val="fr-FR"/>
        </w:rPr>
        <w:t xml:space="preserve">pour </w:t>
      </w:r>
      <w:r w:rsidR="00357552" w:rsidRPr="00834A82">
        <w:rPr>
          <w:rFonts w:cs="Arial"/>
          <w:lang w:val="fr-FR"/>
        </w:rPr>
        <w:t xml:space="preserve">établir la distinction </w:t>
      </w:r>
      <w:r w:rsidR="00506B70" w:rsidRPr="00834A82">
        <w:rPr>
          <w:rFonts w:cs="Arial"/>
          <w:lang w:val="fr-FR"/>
        </w:rPr>
        <w:t xml:space="preserve">concernant </w:t>
      </w:r>
      <w:r w:rsidR="00357552" w:rsidRPr="00834A82">
        <w:rPr>
          <w:rFonts w:cs="Arial"/>
          <w:lang w:val="fr-FR"/>
        </w:rPr>
        <w:t>un caractère.</w:t>
      </w:r>
    </w:p>
    <w:p w:rsidR="00934BE5" w:rsidRPr="00834A82" w:rsidRDefault="00934BE5" w:rsidP="00890E05">
      <w:pPr>
        <w:rPr>
          <w:lang w:val="fr-FR"/>
        </w:rPr>
      </w:pPr>
    </w:p>
    <w:p w:rsidR="00934BE5" w:rsidRPr="00834A82" w:rsidRDefault="00934BE5" w:rsidP="00890E05">
      <w:pPr>
        <w:rPr>
          <w:lang w:val="fr-FR"/>
        </w:rPr>
      </w:pPr>
    </w:p>
    <w:p w:rsidR="00934BE5" w:rsidRPr="00834A82" w:rsidRDefault="00357552" w:rsidP="00357552">
      <w:pPr>
        <w:pStyle w:val="Heading1"/>
        <w:rPr>
          <w:lang w:val="fr-FR"/>
        </w:rPr>
      </w:pPr>
      <w:bookmarkStart w:id="17" w:name="_Toc521330188"/>
      <w:r w:rsidRPr="00834A82">
        <w:rPr>
          <w:lang w:val="fr-FR"/>
        </w:rPr>
        <w:t>Prochaines étapes</w:t>
      </w:r>
      <w:bookmarkEnd w:id="17"/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6F57A2" w:rsidP="00357552">
      <w:pPr>
        <w:rPr>
          <w:lang w:val="fr-FR"/>
        </w:rPr>
      </w:pPr>
      <w:r w:rsidRPr="00834A82">
        <w:rPr>
          <w:lang w:val="fr-FR"/>
        </w:rPr>
        <w:fldChar w:fldCharType="begin"/>
      </w:r>
      <w:r w:rsidRPr="00834A82">
        <w:rPr>
          <w:lang w:val="fr-FR"/>
        </w:rPr>
        <w:instrText xml:space="preserve"> AUTONUM  </w:instrText>
      </w:r>
      <w:r w:rsidRPr="00834A82">
        <w:rPr>
          <w:lang w:val="fr-FR"/>
        </w:rPr>
        <w:fldChar w:fldCharType="end"/>
      </w:r>
      <w:r w:rsidRPr="00834A82">
        <w:rPr>
          <w:lang w:val="fr-FR"/>
        </w:rPr>
        <w:tab/>
      </w:r>
      <w:r w:rsidR="00357552" w:rsidRPr="00834A82">
        <w:rPr>
          <w:lang w:val="fr-FR"/>
        </w:rPr>
        <w:t>Il est proposé que le</w:t>
      </w:r>
      <w:r w:rsidR="00D907A2">
        <w:rPr>
          <w:lang w:val="fr-FR"/>
        </w:rPr>
        <w:t> TC</w:t>
      </w:r>
      <w:r w:rsidR="00357552" w:rsidRPr="00834A82">
        <w:rPr>
          <w:lang w:val="fr-FR"/>
        </w:rPr>
        <w:t xml:space="preserve"> examine les propositions présentées par</w:t>
      </w:r>
      <w:r w:rsidR="00D907A2" w:rsidRPr="00834A82">
        <w:rPr>
          <w:lang w:val="fr-FR"/>
        </w:rPr>
        <w:t xml:space="preserve"> les</w:t>
      </w:r>
      <w:r w:rsidR="00D907A2">
        <w:rPr>
          <w:lang w:val="fr-FR"/>
        </w:rPr>
        <w:t> </w:t>
      </w:r>
      <w:r w:rsidR="00D907A2" w:rsidRPr="00834A82">
        <w:rPr>
          <w:lang w:val="fr-FR"/>
        </w:rPr>
        <w:t>TWP</w:t>
      </w:r>
      <w:r w:rsidR="00357552" w:rsidRPr="00834A82">
        <w:rPr>
          <w:lang w:val="fr-FR"/>
        </w:rPr>
        <w:t xml:space="preserve"> et le</w:t>
      </w:r>
      <w:r w:rsidR="00D907A2">
        <w:rPr>
          <w:lang w:val="fr-FR"/>
        </w:rPr>
        <w:t> TC</w:t>
      </w:r>
      <w:r w:rsidR="00956579">
        <w:rPr>
          <w:lang w:val="fr-FR"/>
        </w:rPr>
        <w:noBreakHyphen/>
      </w:r>
      <w:r w:rsidR="00D907A2">
        <w:rPr>
          <w:lang w:val="fr-FR"/>
        </w:rPr>
        <w:t>EDC</w:t>
      </w:r>
      <w:r w:rsidR="00357552" w:rsidRPr="00834A82">
        <w:rPr>
          <w:lang w:val="fr-FR"/>
        </w:rPr>
        <w:t xml:space="preserve"> concernant l</w:t>
      </w:r>
      <w:r w:rsidR="00D907A2">
        <w:rPr>
          <w:lang w:val="fr-FR"/>
        </w:rPr>
        <w:t>’</w:t>
      </w:r>
      <w:r w:rsidR="00357552" w:rsidRPr="00834A82">
        <w:rPr>
          <w:lang w:val="fr-FR"/>
        </w:rPr>
        <w:t>amélioration des orientations disponibles dans le document</w:t>
      </w:r>
      <w:r w:rsidR="00956579">
        <w:rPr>
          <w:lang w:val="fr-FR"/>
        </w:rPr>
        <w:t> </w:t>
      </w:r>
      <w:r w:rsidR="00357552" w:rsidRPr="00834A82">
        <w:rPr>
          <w:lang w:val="fr-FR"/>
        </w:rPr>
        <w:t>TGP/14 relatives à l</w:t>
      </w:r>
      <w:r w:rsidR="00D907A2">
        <w:rPr>
          <w:lang w:val="fr-FR"/>
        </w:rPr>
        <w:t>’</w:t>
      </w:r>
      <w:r w:rsidR="00357552" w:rsidRPr="00834A82">
        <w:rPr>
          <w:lang w:val="fr-FR"/>
        </w:rPr>
        <w:t>utilisation de tableaux pour illustrer les caractères liés à la forme sur la base</w:t>
      </w:r>
      <w:r w:rsidR="00506B70" w:rsidRPr="00834A82">
        <w:rPr>
          <w:lang w:val="fr-FR"/>
        </w:rPr>
        <w:t xml:space="preserve"> suivante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D907A2" w:rsidRDefault="00F14826" w:rsidP="00456F49">
      <w:pPr>
        <w:pStyle w:val="ListParagraph"/>
        <w:numPr>
          <w:ilvl w:val="0"/>
          <w:numId w:val="2"/>
        </w:numPr>
        <w:tabs>
          <w:tab w:val="left" w:pos="1701"/>
        </w:tabs>
        <w:ind w:left="1134" w:hanging="567"/>
        <w:rPr>
          <w:lang w:val="fr-FR"/>
        </w:rPr>
      </w:pPr>
      <w:r w:rsidRPr="00834A82">
        <w:rPr>
          <w:lang w:val="fr-FR"/>
        </w:rPr>
        <w:t>des tableaux pourraient être utilisés pour</w:t>
      </w:r>
      <w:r w:rsidR="00D907A2">
        <w:rPr>
          <w:lang w:val="fr-FR"/>
        </w:rPr>
        <w:t> :</w:t>
      </w:r>
    </w:p>
    <w:p w:rsidR="00934BE5" w:rsidRPr="00834A82" w:rsidRDefault="00F14826" w:rsidP="00456F49">
      <w:pPr>
        <w:pStyle w:val="ListParagraph"/>
        <w:numPr>
          <w:ilvl w:val="1"/>
          <w:numId w:val="2"/>
        </w:numPr>
        <w:tabs>
          <w:tab w:val="left" w:pos="1701"/>
        </w:tabs>
        <w:ind w:left="1701" w:hanging="567"/>
        <w:rPr>
          <w:lang w:val="fr-FR"/>
        </w:rPr>
      </w:pPr>
      <w:r w:rsidRPr="00834A82">
        <w:rPr>
          <w:lang w:val="fr-FR"/>
        </w:rPr>
        <w:t>définir les niveaux d</w:t>
      </w:r>
      <w:r w:rsidR="00D907A2">
        <w:rPr>
          <w:lang w:val="fr-FR"/>
        </w:rPr>
        <w:t>’</w:t>
      </w:r>
      <w:r w:rsidRPr="00834A82">
        <w:rPr>
          <w:lang w:val="fr-FR"/>
        </w:rPr>
        <w:t>expression;</w:t>
      </w:r>
    </w:p>
    <w:p w:rsidR="00D907A2" w:rsidRDefault="00F14826" w:rsidP="00456F49">
      <w:pPr>
        <w:pStyle w:val="ListParagraph"/>
        <w:numPr>
          <w:ilvl w:val="1"/>
          <w:numId w:val="2"/>
        </w:numPr>
        <w:tabs>
          <w:tab w:val="left" w:pos="1701"/>
        </w:tabs>
        <w:ind w:left="1701" w:hanging="567"/>
        <w:rPr>
          <w:lang w:val="fr-FR"/>
        </w:rPr>
      </w:pPr>
      <w:r w:rsidRPr="00834A82">
        <w:rPr>
          <w:lang w:val="fr-FR"/>
        </w:rPr>
        <w:t>clarifier les différences entre les niveaux d</w:t>
      </w:r>
      <w:r w:rsidR="00D907A2">
        <w:rPr>
          <w:lang w:val="fr-FR"/>
        </w:rPr>
        <w:t>’</w:t>
      </w:r>
      <w:r w:rsidRPr="00834A82">
        <w:rPr>
          <w:lang w:val="fr-FR"/>
        </w:rPr>
        <w:t>expression;</w:t>
      </w:r>
    </w:p>
    <w:p w:rsidR="00934BE5" w:rsidRPr="00834A82" w:rsidRDefault="00F14826" w:rsidP="00456F49">
      <w:pPr>
        <w:pStyle w:val="ListParagraph"/>
        <w:numPr>
          <w:ilvl w:val="1"/>
          <w:numId w:val="2"/>
        </w:numPr>
        <w:tabs>
          <w:tab w:val="left" w:pos="1701"/>
        </w:tabs>
        <w:ind w:left="1701" w:hanging="567"/>
        <w:rPr>
          <w:lang w:val="fr-FR"/>
        </w:rPr>
      </w:pPr>
      <w:r w:rsidRPr="00834A82">
        <w:rPr>
          <w:lang w:val="fr-FR"/>
        </w:rPr>
        <w:t>décrire la gamme d</w:t>
      </w:r>
      <w:r w:rsidR="00D907A2">
        <w:rPr>
          <w:lang w:val="fr-FR"/>
        </w:rPr>
        <w:t>’</w:t>
      </w:r>
      <w:r w:rsidRPr="00834A82">
        <w:rPr>
          <w:lang w:val="fr-FR"/>
        </w:rPr>
        <w:t>expression;</w:t>
      </w:r>
    </w:p>
    <w:p w:rsidR="00934BE5" w:rsidRPr="00834A82" w:rsidRDefault="00934BE5" w:rsidP="00765D2C">
      <w:pPr>
        <w:tabs>
          <w:tab w:val="left" w:pos="1418"/>
        </w:tabs>
        <w:ind w:left="1134" w:hanging="567"/>
        <w:rPr>
          <w:lang w:val="fr-FR"/>
        </w:rPr>
      </w:pPr>
    </w:p>
    <w:p w:rsidR="00934BE5" w:rsidRPr="00834A82" w:rsidRDefault="00A531C7" w:rsidP="00456F49">
      <w:pPr>
        <w:pStyle w:val="ListParagraph"/>
        <w:numPr>
          <w:ilvl w:val="0"/>
          <w:numId w:val="2"/>
        </w:numPr>
        <w:tabs>
          <w:tab w:val="left" w:pos="1701"/>
        </w:tabs>
        <w:ind w:left="1134" w:hanging="567"/>
        <w:rPr>
          <w:lang w:val="fr-FR"/>
        </w:rPr>
      </w:pPr>
      <w:r w:rsidRPr="00834A82">
        <w:rPr>
          <w:lang w:val="fr-FR"/>
        </w:rPr>
        <w:t>déterminer s</w:t>
      </w:r>
      <w:r w:rsidR="00D907A2">
        <w:rPr>
          <w:lang w:val="fr-FR"/>
        </w:rPr>
        <w:t>’</w:t>
      </w:r>
      <w:r w:rsidRPr="00834A82">
        <w:rPr>
          <w:lang w:val="fr-FR"/>
        </w:rPr>
        <w:t xml:space="preserve">il convient de définir les situations dans lesquelles des tableaux </w:t>
      </w:r>
      <w:r w:rsidR="00506B70" w:rsidRPr="00834A82">
        <w:rPr>
          <w:lang w:val="fr-FR"/>
        </w:rPr>
        <w:t>doivent</w:t>
      </w:r>
      <w:r w:rsidRPr="00834A82">
        <w:rPr>
          <w:lang w:val="fr-FR"/>
        </w:rPr>
        <w:t xml:space="preserve"> ou non être utilisés pour expliquer les niveaux d</w:t>
      </w:r>
      <w:r w:rsidR="00D907A2">
        <w:rPr>
          <w:lang w:val="fr-FR"/>
        </w:rPr>
        <w:t>’</w:t>
      </w:r>
      <w:r w:rsidRPr="00834A82">
        <w:rPr>
          <w:lang w:val="fr-FR"/>
        </w:rPr>
        <w:t>expression de caractères liés à la forme;</w:t>
      </w:r>
    </w:p>
    <w:p w:rsidR="00934BE5" w:rsidRPr="00834A82" w:rsidRDefault="00934BE5" w:rsidP="00456F49">
      <w:pPr>
        <w:pStyle w:val="ListParagraph"/>
        <w:tabs>
          <w:tab w:val="left" w:pos="1701"/>
        </w:tabs>
        <w:ind w:left="1134" w:hanging="567"/>
        <w:rPr>
          <w:lang w:val="fr-FR"/>
        </w:rPr>
      </w:pPr>
    </w:p>
    <w:p w:rsidR="00934BE5" w:rsidRPr="00834A82" w:rsidRDefault="00A531C7" w:rsidP="00456F49">
      <w:pPr>
        <w:pStyle w:val="ListParagraph"/>
        <w:numPr>
          <w:ilvl w:val="0"/>
          <w:numId w:val="2"/>
        </w:numPr>
        <w:tabs>
          <w:tab w:val="left" w:pos="1701"/>
        </w:tabs>
        <w:ind w:left="1134" w:hanging="567"/>
        <w:rPr>
          <w:lang w:val="fr-FR"/>
        </w:rPr>
      </w:pPr>
      <w:r w:rsidRPr="00834A82">
        <w:rPr>
          <w:lang w:val="fr-FR"/>
        </w:rPr>
        <w:t>déterminer s</w:t>
      </w:r>
      <w:r w:rsidR="00D907A2">
        <w:rPr>
          <w:lang w:val="fr-FR"/>
        </w:rPr>
        <w:t>’</w:t>
      </w:r>
      <w:r w:rsidRPr="00834A82">
        <w:rPr>
          <w:lang w:val="fr-FR"/>
        </w:rPr>
        <w:t>il convient de mettre au point des méthodes harmonisées pour illustrer les niveaux d</w:t>
      </w:r>
      <w:r w:rsidR="00D907A2">
        <w:rPr>
          <w:lang w:val="fr-FR"/>
        </w:rPr>
        <w:t>’</w:t>
      </w:r>
      <w:r w:rsidRPr="00834A82">
        <w:rPr>
          <w:lang w:val="fr-FR"/>
        </w:rPr>
        <w:t xml:space="preserve">expression </w:t>
      </w:r>
      <w:r w:rsidR="001F3048" w:rsidRPr="00834A82">
        <w:rPr>
          <w:lang w:val="fr-FR"/>
        </w:rPr>
        <w:t>en utilisant des</w:t>
      </w:r>
      <w:r w:rsidRPr="00834A82">
        <w:rPr>
          <w:lang w:val="fr-FR"/>
        </w:rPr>
        <w:t xml:space="preserve"> tableaux;</w:t>
      </w:r>
    </w:p>
    <w:p w:rsidR="00934BE5" w:rsidRPr="00834A82" w:rsidRDefault="00934BE5" w:rsidP="00456F49">
      <w:pPr>
        <w:pStyle w:val="ListParagraph"/>
        <w:tabs>
          <w:tab w:val="left" w:pos="1701"/>
        </w:tabs>
        <w:ind w:left="1134" w:hanging="567"/>
        <w:rPr>
          <w:lang w:val="fr-FR"/>
        </w:rPr>
      </w:pPr>
    </w:p>
    <w:p w:rsidR="00934BE5" w:rsidRPr="00834A82" w:rsidRDefault="001E7B1E" w:rsidP="00015CD4">
      <w:pPr>
        <w:pStyle w:val="ListParagraph"/>
        <w:keepLines/>
        <w:numPr>
          <w:ilvl w:val="0"/>
          <w:numId w:val="2"/>
        </w:numPr>
        <w:tabs>
          <w:tab w:val="left" w:pos="1701"/>
        </w:tabs>
        <w:ind w:left="1134" w:hanging="567"/>
        <w:rPr>
          <w:lang w:val="fr-FR"/>
        </w:rPr>
      </w:pPr>
      <w:r w:rsidRPr="00834A82">
        <w:rPr>
          <w:lang w:val="fr-FR"/>
        </w:rPr>
        <w:lastRenderedPageBreak/>
        <w:t>déterminer s</w:t>
      </w:r>
      <w:r w:rsidR="00D907A2">
        <w:rPr>
          <w:lang w:val="fr-FR"/>
        </w:rPr>
        <w:t>’</w:t>
      </w:r>
      <w:r w:rsidRPr="00834A82">
        <w:rPr>
          <w:lang w:val="fr-FR"/>
        </w:rPr>
        <w:t>il convient de fournir des orientations sur la manière dont les tableaux peuvent préciser comment les différences entre les notes peuvent être utilisées pour l</w:t>
      </w:r>
      <w:r w:rsidR="00D907A2">
        <w:rPr>
          <w:lang w:val="fr-FR"/>
        </w:rPr>
        <w:t>’</w:t>
      </w:r>
      <w:r w:rsidRPr="00834A82">
        <w:rPr>
          <w:lang w:val="fr-FR"/>
        </w:rPr>
        <w:t>évaluation de la distinction, conformém</w:t>
      </w:r>
      <w:r w:rsidR="00506B70" w:rsidRPr="00834A82">
        <w:rPr>
          <w:lang w:val="fr-FR"/>
        </w:rPr>
        <w:t>ent aux conseils donnés dans l</w:t>
      </w:r>
      <w:r w:rsidR="00D907A2">
        <w:rPr>
          <w:lang w:val="fr-FR"/>
        </w:rPr>
        <w:t>’</w:t>
      </w:r>
      <w:r w:rsidR="00506B70" w:rsidRPr="00834A82">
        <w:rPr>
          <w:lang w:val="fr-FR"/>
        </w:rPr>
        <w:t>i</w:t>
      </w:r>
      <w:r w:rsidRPr="00834A82">
        <w:rPr>
          <w:lang w:val="fr-FR"/>
        </w:rPr>
        <w:t xml:space="preserve">ntroduction générale et le </w:t>
      </w:r>
      <w:r w:rsidR="00D907A2" w:rsidRPr="00834A82">
        <w:rPr>
          <w:lang w:val="fr-FR"/>
        </w:rPr>
        <w:t>document</w:t>
      </w:r>
      <w:r w:rsidR="00956579">
        <w:rPr>
          <w:lang w:val="fr-FR"/>
        </w:rPr>
        <w:t> </w:t>
      </w:r>
      <w:r w:rsidR="00D907A2" w:rsidRPr="00834A82">
        <w:rPr>
          <w:lang w:val="fr-FR"/>
        </w:rPr>
        <w:t>TG</w:t>
      </w:r>
      <w:r w:rsidRPr="00834A82">
        <w:rPr>
          <w:lang w:val="fr-FR"/>
        </w:rPr>
        <w:t>P/9;</w:t>
      </w:r>
    </w:p>
    <w:p w:rsidR="00934BE5" w:rsidRPr="00834A82" w:rsidRDefault="00934BE5" w:rsidP="00015CD4">
      <w:pPr>
        <w:pStyle w:val="ListParagraph"/>
        <w:keepLines/>
        <w:tabs>
          <w:tab w:val="left" w:pos="1701"/>
          <w:tab w:val="left" w:pos="3755"/>
        </w:tabs>
        <w:ind w:left="1134" w:hanging="567"/>
        <w:rPr>
          <w:rFonts w:cs="Arial"/>
          <w:lang w:val="fr-FR"/>
        </w:rPr>
      </w:pPr>
    </w:p>
    <w:p w:rsidR="00934BE5" w:rsidRPr="00834A82" w:rsidRDefault="00B63160" w:rsidP="00015CD4">
      <w:pPr>
        <w:pStyle w:val="ListParagraph"/>
        <w:keepLines/>
        <w:numPr>
          <w:ilvl w:val="0"/>
          <w:numId w:val="2"/>
        </w:numPr>
        <w:tabs>
          <w:tab w:val="left" w:pos="1701"/>
          <w:tab w:val="left" w:pos="3755"/>
        </w:tabs>
        <w:ind w:left="1134" w:hanging="567"/>
        <w:rPr>
          <w:lang w:val="fr-FR"/>
        </w:rPr>
      </w:pPr>
      <w:r w:rsidRPr="00834A82">
        <w:rPr>
          <w:lang w:val="fr-FR"/>
        </w:rPr>
        <w:t>déterminer s</w:t>
      </w:r>
      <w:r w:rsidR="00D907A2">
        <w:rPr>
          <w:lang w:val="fr-FR"/>
        </w:rPr>
        <w:t>’</w:t>
      </w:r>
      <w:r w:rsidRPr="00834A82">
        <w:rPr>
          <w:lang w:val="fr-FR"/>
        </w:rPr>
        <w:t>il convient de créer un sous</w:t>
      </w:r>
      <w:r w:rsidR="00956579">
        <w:rPr>
          <w:lang w:val="fr-FR"/>
        </w:rPr>
        <w:noBreakHyphen/>
      </w:r>
      <w:r w:rsidRPr="00834A82">
        <w:rPr>
          <w:lang w:val="fr-FR"/>
        </w:rPr>
        <w:t>groupe chargé d</w:t>
      </w:r>
      <w:r w:rsidR="00D907A2">
        <w:rPr>
          <w:lang w:val="fr-FR"/>
        </w:rPr>
        <w:t>’</w:t>
      </w:r>
      <w:r w:rsidRPr="00834A82">
        <w:rPr>
          <w:lang w:val="fr-FR"/>
        </w:rPr>
        <w:t>examiner les questions précitées.</w:t>
      </w:r>
    </w:p>
    <w:p w:rsidR="00934BE5" w:rsidRPr="00834A82" w:rsidRDefault="00934BE5" w:rsidP="00015CD4">
      <w:pPr>
        <w:keepLines/>
        <w:ind w:left="1134" w:hanging="567"/>
        <w:rPr>
          <w:lang w:val="fr-FR"/>
        </w:rPr>
      </w:pPr>
    </w:p>
    <w:p w:rsidR="00934BE5" w:rsidRPr="00834A82" w:rsidRDefault="00934BE5" w:rsidP="004F258F">
      <w:pPr>
        <w:rPr>
          <w:lang w:val="fr-FR"/>
        </w:rPr>
      </w:pPr>
    </w:p>
    <w:p w:rsidR="00D907A2" w:rsidRDefault="004F258F" w:rsidP="00B63160">
      <w:pPr>
        <w:keepLines/>
        <w:tabs>
          <w:tab w:val="left" w:pos="5387"/>
        </w:tabs>
        <w:ind w:left="4820"/>
        <w:rPr>
          <w:i/>
          <w:snapToGrid w:val="0"/>
          <w:lang w:val="fr-FR"/>
        </w:rPr>
      </w:pPr>
      <w:r w:rsidRPr="00834A82">
        <w:rPr>
          <w:i/>
          <w:snapToGrid w:val="0"/>
          <w:lang w:val="fr-FR"/>
        </w:rPr>
        <w:fldChar w:fldCharType="begin"/>
      </w:r>
      <w:r w:rsidRPr="00834A82">
        <w:rPr>
          <w:i/>
          <w:snapToGrid w:val="0"/>
          <w:lang w:val="fr-FR"/>
        </w:rPr>
        <w:instrText xml:space="preserve"> AUTONUM  </w:instrText>
      </w:r>
      <w:r w:rsidRPr="00834A82">
        <w:rPr>
          <w:i/>
          <w:snapToGrid w:val="0"/>
          <w:lang w:val="fr-FR"/>
        </w:rPr>
        <w:fldChar w:fldCharType="end"/>
      </w:r>
      <w:r w:rsidRPr="00834A82">
        <w:rPr>
          <w:i/>
          <w:snapToGrid w:val="0"/>
          <w:lang w:val="fr-FR"/>
        </w:rPr>
        <w:tab/>
      </w:r>
      <w:r w:rsidR="00B63160" w:rsidRPr="00834A82">
        <w:rPr>
          <w:i/>
          <w:snapToGrid w:val="0"/>
          <w:lang w:val="fr-FR"/>
        </w:rPr>
        <w:t>Le</w:t>
      </w:r>
      <w:r w:rsidR="00D907A2">
        <w:rPr>
          <w:i/>
          <w:snapToGrid w:val="0"/>
          <w:lang w:val="fr-FR"/>
        </w:rPr>
        <w:t> TC</w:t>
      </w:r>
      <w:r w:rsidR="00B63160" w:rsidRPr="00834A82">
        <w:rPr>
          <w:i/>
          <w:snapToGrid w:val="0"/>
          <w:lang w:val="fr-FR"/>
        </w:rPr>
        <w:t xml:space="preserve"> est invité</w:t>
      </w:r>
    </w:p>
    <w:p w:rsidR="00934BE5" w:rsidRPr="00834A82" w:rsidRDefault="00934BE5" w:rsidP="004F258F">
      <w:pPr>
        <w:keepLines/>
        <w:tabs>
          <w:tab w:val="left" w:pos="5387"/>
        </w:tabs>
        <w:ind w:left="4820"/>
        <w:rPr>
          <w:i/>
          <w:lang w:val="fr-FR"/>
        </w:rPr>
      </w:pPr>
    </w:p>
    <w:p w:rsidR="00934BE5" w:rsidRPr="00834A82" w:rsidRDefault="00B63160" w:rsidP="00956579">
      <w:pPr>
        <w:keepLines/>
        <w:tabs>
          <w:tab w:val="left" w:pos="5387"/>
          <w:tab w:val="left" w:pos="5954"/>
        </w:tabs>
        <w:ind w:left="4820" w:firstLine="567"/>
        <w:rPr>
          <w:i/>
          <w:lang w:val="fr-FR"/>
        </w:rPr>
      </w:pPr>
      <w:r w:rsidRPr="00834A82">
        <w:rPr>
          <w:i/>
          <w:lang w:val="fr-FR"/>
        </w:rPr>
        <w:t>a)</w:t>
      </w:r>
      <w:r w:rsidRPr="00834A82">
        <w:rPr>
          <w:i/>
          <w:lang w:val="fr-FR"/>
        </w:rPr>
        <w:tab/>
        <w:t>à noter que des tableaux peuvent être utilisés pour mieux définir les niveaux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expression et les différences entre eux et pour décrire la gamme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expression des caractères liés à la forme,</w:t>
      </w:r>
    </w:p>
    <w:p w:rsidR="00934BE5" w:rsidRPr="00834A82" w:rsidRDefault="00934BE5" w:rsidP="001A1BDF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34BE5" w:rsidRPr="00834A82" w:rsidRDefault="00B63160" w:rsidP="00956579">
      <w:pPr>
        <w:keepLines/>
        <w:tabs>
          <w:tab w:val="left" w:pos="5387"/>
          <w:tab w:val="left" w:pos="5954"/>
        </w:tabs>
        <w:ind w:left="4820" w:firstLine="567"/>
        <w:rPr>
          <w:i/>
          <w:lang w:val="fr-FR"/>
        </w:rPr>
      </w:pPr>
      <w:r w:rsidRPr="00834A82">
        <w:rPr>
          <w:i/>
          <w:lang w:val="fr-FR"/>
        </w:rPr>
        <w:t>b)</w:t>
      </w:r>
      <w:r w:rsidRPr="00834A82">
        <w:rPr>
          <w:i/>
          <w:lang w:val="fr-FR"/>
        </w:rPr>
        <w:tab/>
        <w:t>à déterminer s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il convient de définir les situations dans lesquelles des tableaux doivent ou non être utilisés pour expliquer les niveaux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expression des caractères liés à la forme,</w:t>
      </w:r>
    </w:p>
    <w:p w:rsidR="00934BE5" w:rsidRPr="00834A82" w:rsidRDefault="00934BE5" w:rsidP="001A1BDF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34BE5" w:rsidRPr="00834A82" w:rsidRDefault="00B63160" w:rsidP="00956579">
      <w:pPr>
        <w:keepLines/>
        <w:tabs>
          <w:tab w:val="left" w:pos="5387"/>
          <w:tab w:val="left" w:pos="5954"/>
        </w:tabs>
        <w:ind w:left="4820" w:firstLine="567"/>
        <w:rPr>
          <w:i/>
          <w:lang w:val="fr-FR"/>
        </w:rPr>
      </w:pPr>
      <w:r w:rsidRPr="00834A82">
        <w:rPr>
          <w:i/>
          <w:lang w:val="fr-FR"/>
        </w:rPr>
        <w:t>c)</w:t>
      </w:r>
      <w:r w:rsidRPr="00834A82">
        <w:rPr>
          <w:i/>
          <w:lang w:val="fr-FR"/>
        </w:rPr>
        <w:tab/>
        <w:t>à déterminer s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il convient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élaborer des méthodes harmonisées pour illustrer les niveaux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 xml:space="preserve">expression </w:t>
      </w:r>
      <w:r w:rsidR="001F3048" w:rsidRPr="00834A82">
        <w:rPr>
          <w:i/>
          <w:lang w:val="fr-FR"/>
        </w:rPr>
        <w:t xml:space="preserve">en utilisant des </w:t>
      </w:r>
      <w:r w:rsidRPr="00834A82">
        <w:rPr>
          <w:i/>
          <w:lang w:val="fr-FR"/>
        </w:rPr>
        <w:t>tableaux,</w:t>
      </w:r>
    </w:p>
    <w:p w:rsidR="00934BE5" w:rsidRPr="00834A82" w:rsidRDefault="00934BE5" w:rsidP="001A1BDF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34BE5" w:rsidRPr="00834A82" w:rsidRDefault="00B63160" w:rsidP="00956579">
      <w:pPr>
        <w:keepLines/>
        <w:tabs>
          <w:tab w:val="left" w:pos="5387"/>
          <w:tab w:val="left" w:pos="5954"/>
        </w:tabs>
        <w:ind w:left="4820" w:firstLine="567"/>
        <w:rPr>
          <w:i/>
          <w:lang w:val="fr-FR"/>
        </w:rPr>
      </w:pPr>
      <w:r w:rsidRPr="00834A82">
        <w:rPr>
          <w:i/>
          <w:lang w:val="fr-FR"/>
        </w:rPr>
        <w:t>d)</w:t>
      </w:r>
      <w:r w:rsidRPr="00834A82">
        <w:rPr>
          <w:i/>
          <w:lang w:val="fr-FR"/>
        </w:rPr>
        <w:tab/>
        <w:t>à déterminer s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il convient de fournir des orientations sur la manière dont les tableaux peuvent préciser comment les différences entre les notes peuvent être utilisées pour l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évaluation de la distinction, conformém</w:t>
      </w:r>
      <w:r w:rsidR="00506B70" w:rsidRPr="00834A82">
        <w:rPr>
          <w:i/>
          <w:lang w:val="fr-FR"/>
        </w:rPr>
        <w:t>ent aux conseils donnés dans l</w:t>
      </w:r>
      <w:r w:rsidR="00D907A2">
        <w:rPr>
          <w:i/>
          <w:lang w:val="fr-FR"/>
        </w:rPr>
        <w:t>’</w:t>
      </w:r>
      <w:r w:rsidR="00506B70" w:rsidRPr="00834A82">
        <w:rPr>
          <w:i/>
          <w:lang w:val="fr-FR"/>
        </w:rPr>
        <w:t>i</w:t>
      </w:r>
      <w:r w:rsidRPr="00834A82">
        <w:rPr>
          <w:i/>
          <w:lang w:val="fr-FR"/>
        </w:rPr>
        <w:t xml:space="preserve">ntroduction générale et le </w:t>
      </w:r>
      <w:r w:rsidR="00D907A2" w:rsidRPr="00834A82">
        <w:rPr>
          <w:i/>
          <w:lang w:val="fr-FR"/>
        </w:rPr>
        <w:t>document</w:t>
      </w:r>
      <w:r w:rsidR="00956579">
        <w:rPr>
          <w:i/>
          <w:lang w:val="fr-FR"/>
        </w:rPr>
        <w:t> </w:t>
      </w:r>
      <w:r w:rsidR="00D907A2" w:rsidRPr="00834A82">
        <w:rPr>
          <w:i/>
          <w:lang w:val="fr-FR"/>
        </w:rPr>
        <w:t>TG</w:t>
      </w:r>
      <w:r w:rsidRPr="00834A82">
        <w:rPr>
          <w:i/>
          <w:lang w:val="fr-FR"/>
        </w:rPr>
        <w:t>P/9,</w:t>
      </w:r>
    </w:p>
    <w:p w:rsidR="00934BE5" w:rsidRPr="00834A82" w:rsidRDefault="00934BE5" w:rsidP="001A1BDF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34BE5" w:rsidRPr="00834A82" w:rsidRDefault="00B63160" w:rsidP="00956579">
      <w:pPr>
        <w:keepLines/>
        <w:tabs>
          <w:tab w:val="left" w:pos="5387"/>
          <w:tab w:val="left" w:pos="5954"/>
        </w:tabs>
        <w:ind w:left="4820" w:firstLine="567"/>
        <w:rPr>
          <w:i/>
          <w:lang w:val="fr-FR"/>
        </w:rPr>
      </w:pPr>
      <w:r w:rsidRPr="00834A82">
        <w:rPr>
          <w:i/>
          <w:lang w:val="fr-FR"/>
        </w:rPr>
        <w:t>e)</w:t>
      </w:r>
      <w:r w:rsidRPr="00834A82">
        <w:rPr>
          <w:i/>
          <w:lang w:val="fr-FR"/>
        </w:rPr>
        <w:tab/>
        <w:t>à déterminer s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il convient de créer un sous</w:t>
      </w:r>
      <w:r w:rsidR="00956579">
        <w:rPr>
          <w:i/>
          <w:lang w:val="fr-FR"/>
        </w:rPr>
        <w:noBreakHyphen/>
      </w:r>
      <w:r w:rsidRPr="00834A82">
        <w:rPr>
          <w:i/>
          <w:lang w:val="fr-FR"/>
        </w:rPr>
        <w:t>groupe chargé d</w:t>
      </w:r>
      <w:r w:rsidR="00D907A2">
        <w:rPr>
          <w:i/>
          <w:lang w:val="fr-FR"/>
        </w:rPr>
        <w:t>’</w:t>
      </w:r>
      <w:r w:rsidRPr="00834A82">
        <w:rPr>
          <w:i/>
          <w:lang w:val="fr-FR"/>
        </w:rPr>
        <w:t>examiner ces questions.</w:t>
      </w:r>
    </w:p>
    <w:p w:rsidR="00934BE5" w:rsidRPr="00834A82" w:rsidRDefault="00934BE5" w:rsidP="001A1BDF">
      <w:pPr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934BE5" w:rsidRPr="00834A82" w:rsidRDefault="00934BE5" w:rsidP="004F258F">
      <w:pPr>
        <w:tabs>
          <w:tab w:val="left" w:pos="5387"/>
        </w:tabs>
        <w:ind w:left="4820"/>
        <w:rPr>
          <w:i/>
          <w:lang w:val="fr-FR"/>
        </w:rPr>
      </w:pPr>
    </w:p>
    <w:p w:rsidR="00934BE5" w:rsidRPr="00834A82" w:rsidRDefault="00934BE5" w:rsidP="004F258F">
      <w:pPr>
        <w:tabs>
          <w:tab w:val="left" w:pos="5387"/>
        </w:tabs>
        <w:ind w:left="4820"/>
        <w:rPr>
          <w:i/>
          <w:lang w:val="fr-FR"/>
        </w:rPr>
      </w:pPr>
    </w:p>
    <w:p w:rsidR="00D907A2" w:rsidRDefault="00D907A2" w:rsidP="004F258F">
      <w:pPr>
        <w:jc w:val="right"/>
        <w:rPr>
          <w:lang w:val="fr-FR"/>
        </w:rPr>
      </w:pPr>
    </w:p>
    <w:p w:rsidR="00D907A2" w:rsidRDefault="00B63160" w:rsidP="00B63160">
      <w:pPr>
        <w:jc w:val="right"/>
        <w:rPr>
          <w:lang w:val="fr-FR"/>
        </w:rPr>
      </w:pPr>
      <w:r w:rsidRPr="00834A82">
        <w:rPr>
          <w:lang w:val="fr-FR"/>
        </w:rPr>
        <w:t>[L</w:t>
      </w:r>
      <w:r w:rsidR="00D907A2">
        <w:rPr>
          <w:lang w:val="fr-FR"/>
        </w:rPr>
        <w:t>’</w:t>
      </w:r>
      <w:r w:rsidRPr="00834A82">
        <w:rPr>
          <w:lang w:val="fr-FR"/>
        </w:rPr>
        <w:t>annexe suit]</w:t>
      </w:r>
    </w:p>
    <w:p w:rsidR="004F258F" w:rsidRPr="00834A82" w:rsidRDefault="004F258F" w:rsidP="004F258F">
      <w:pPr>
        <w:jc w:val="left"/>
        <w:rPr>
          <w:lang w:val="fr-FR"/>
        </w:rPr>
        <w:sectPr w:rsidR="004F258F" w:rsidRPr="00834A82" w:rsidSect="00906DDC">
          <w:headerReference w:type="default" r:id="rId1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34BE5" w:rsidRPr="00834A82" w:rsidRDefault="00B63160" w:rsidP="00B63160">
      <w:pPr>
        <w:jc w:val="center"/>
        <w:rPr>
          <w:lang w:val="fr-FR"/>
        </w:rPr>
      </w:pPr>
      <w:r w:rsidRPr="00834A82">
        <w:rPr>
          <w:lang w:val="fr-FR"/>
        </w:rPr>
        <w:lastRenderedPageBreak/>
        <w:t>ORIENTATIONS RELATIVES AUX CARACTÈRES LIÉS À LA FORME</w:t>
      </w:r>
    </w:p>
    <w:p w:rsidR="00934BE5" w:rsidRPr="00834A82" w:rsidRDefault="00B63160" w:rsidP="00B63160">
      <w:pPr>
        <w:tabs>
          <w:tab w:val="left" w:pos="6320"/>
        </w:tabs>
        <w:rPr>
          <w:lang w:val="fr-FR"/>
        </w:rPr>
      </w:pPr>
      <w:r w:rsidRPr="00834A82">
        <w:rPr>
          <w:lang w:val="fr-FR"/>
        </w:rPr>
        <w:tab/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AE78F1" w:rsidP="00AE78F1">
      <w:pPr>
        <w:rPr>
          <w:u w:val="single"/>
          <w:lang w:val="fr-FR"/>
        </w:rPr>
      </w:pPr>
      <w:r w:rsidRPr="00834A82">
        <w:rPr>
          <w:u w:val="single"/>
          <w:lang w:val="fr-FR"/>
        </w:rPr>
        <w:t>Caractères pseudo</w:t>
      </w:r>
      <w:r w:rsidR="00956579">
        <w:rPr>
          <w:u w:val="single"/>
          <w:lang w:val="fr-FR"/>
        </w:rPr>
        <w:noBreakHyphen/>
      </w:r>
      <w:r w:rsidRPr="00834A82">
        <w:rPr>
          <w:u w:val="single"/>
          <w:lang w:val="fr-FR"/>
        </w:rPr>
        <w:t>qualitatifs</w:t>
      </w:r>
    </w:p>
    <w:p w:rsidR="00934BE5" w:rsidRPr="00834A82" w:rsidRDefault="00934BE5" w:rsidP="004F258F">
      <w:pPr>
        <w:rPr>
          <w:lang w:val="fr-FR"/>
        </w:rPr>
      </w:pPr>
    </w:p>
    <w:p w:rsidR="00D907A2" w:rsidRDefault="00475B0F" w:rsidP="00475B0F">
      <w:pPr>
        <w:rPr>
          <w:lang w:val="fr-FR"/>
        </w:rPr>
      </w:pPr>
      <w:r w:rsidRPr="00834A82">
        <w:rPr>
          <w:lang w:val="fr-FR"/>
        </w:rPr>
        <w:t>1.</w:t>
      </w:r>
      <w:r w:rsidRPr="00834A82">
        <w:rPr>
          <w:lang w:val="fr-FR"/>
        </w:rPr>
        <w:tab/>
        <w:t>Le document</w:t>
      </w:r>
      <w:r w:rsidR="00956579">
        <w:rPr>
          <w:lang w:val="fr-FR"/>
        </w:rPr>
        <w:t> </w:t>
      </w:r>
      <w:r w:rsidRPr="00834A82">
        <w:rPr>
          <w:lang w:val="fr-FR"/>
        </w:rPr>
        <w:t>TG/1/3 intitulé “Introduction générale à l</w:t>
      </w:r>
      <w:r w:rsidR="00D907A2">
        <w:rPr>
          <w:lang w:val="fr-FR"/>
        </w:rPr>
        <w:t>’</w:t>
      </w:r>
      <w:r w:rsidRPr="00834A82">
        <w:rPr>
          <w:lang w:val="fr-FR"/>
        </w:rPr>
        <w:t>examen de la distinction, de l</w:t>
      </w:r>
      <w:r w:rsidR="00D907A2">
        <w:rPr>
          <w:lang w:val="fr-FR"/>
        </w:rPr>
        <w:t>’</w:t>
      </w:r>
      <w:r w:rsidRPr="00834A82">
        <w:rPr>
          <w:lang w:val="fr-FR"/>
        </w:rPr>
        <w:t>homogénéité et de la stabilité et à l</w:t>
      </w:r>
      <w:r w:rsidR="00D907A2">
        <w:rPr>
          <w:lang w:val="fr-FR"/>
        </w:rPr>
        <w:t>’</w:t>
      </w:r>
      <w:r w:rsidRPr="00834A82">
        <w:rPr>
          <w:lang w:val="fr-FR"/>
        </w:rPr>
        <w:t>harmonisation des descriptions des obtentions végétales” (ci</w:t>
      </w:r>
      <w:r w:rsidR="00956579">
        <w:rPr>
          <w:lang w:val="fr-FR"/>
        </w:rPr>
        <w:noBreakHyphen/>
      </w:r>
      <w:r w:rsidRPr="00834A82">
        <w:rPr>
          <w:lang w:val="fr-FR"/>
        </w:rPr>
        <w:t>après dénommé “introduction générale”) indique que la forme peut être prise en considération sous l</w:t>
      </w:r>
      <w:r w:rsidR="00D907A2">
        <w:rPr>
          <w:lang w:val="fr-FR"/>
        </w:rPr>
        <w:t>’</w:t>
      </w:r>
      <w:r w:rsidRPr="00834A82">
        <w:rPr>
          <w:lang w:val="fr-FR"/>
        </w:rPr>
        <w:t>angle d</w:t>
      </w:r>
      <w:r w:rsidR="00D907A2">
        <w:rPr>
          <w:lang w:val="fr-FR"/>
        </w:rPr>
        <w:t>’</w:t>
      </w:r>
      <w:r w:rsidRPr="00834A82">
        <w:rPr>
          <w:lang w:val="fr-FR"/>
        </w:rPr>
        <w:t>un caractère pseudo</w:t>
      </w:r>
      <w:r w:rsidR="00956579">
        <w:rPr>
          <w:lang w:val="fr-FR"/>
        </w:rPr>
        <w:noBreakHyphen/>
      </w:r>
      <w:r w:rsidRPr="00834A82">
        <w:rPr>
          <w:lang w:val="fr-FR"/>
        </w:rPr>
        <w:t>qualitatif lorsque chaque niveau d</w:t>
      </w:r>
      <w:r w:rsidR="00D907A2">
        <w:rPr>
          <w:lang w:val="fr-FR"/>
        </w:rPr>
        <w:t>’</w:t>
      </w:r>
      <w:r w:rsidRPr="00834A82">
        <w:rPr>
          <w:lang w:val="fr-FR"/>
        </w:rPr>
        <w:t>expression peut être identifié pour décrire correctement le caractère dans toute sa diversité.</w:t>
      </w:r>
    </w:p>
    <w:p w:rsidR="00934BE5" w:rsidRPr="00834A82" w:rsidRDefault="00934BE5" w:rsidP="004F258F">
      <w:pPr>
        <w:rPr>
          <w:lang w:val="fr-FR"/>
        </w:rPr>
      </w:pPr>
    </w:p>
    <w:p w:rsidR="00D907A2" w:rsidRDefault="00475B0F" w:rsidP="00475B0F">
      <w:pPr>
        <w:rPr>
          <w:lang w:val="fr-FR"/>
        </w:rPr>
      </w:pPr>
      <w:r w:rsidRPr="00834A82">
        <w:rPr>
          <w:lang w:val="fr-FR"/>
        </w:rPr>
        <w:t>2.</w:t>
      </w:r>
      <w:r w:rsidRPr="00834A82">
        <w:rPr>
          <w:lang w:val="fr-FR"/>
        </w:rPr>
        <w:tab/>
        <w:t>Le document</w:t>
      </w:r>
      <w:r w:rsidR="00956579">
        <w:rPr>
          <w:lang w:val="fr-FR"/>
        </w:rPr>
        <w:t> </w:t>
      </w:r>
      <w:r w:rsidRPr="00834A82">
        <w:rPr>
          <w:lang w:val="fr-FR"/>
        </w:rPr>
        <w:t>TGP/9 “Examen de la distinction” indique que l</w:t>
      </w:r>
      <w:r w:rsidR="00D907A2">
        <w:rPr>
          <w:lang w:val="fr-FR"/>
        </w:rPr>
        <w:t>’</w:t>
      </w:r>
      <w:r w:rsidRPr="00834A82">
        <w:rPr>
          <w:lang w:val="fr-FR"/>
        </w:rPr>
        <w:t>utilisation de caractères pseudo</w:t>
      </w:r>
      <w:r w:rsidR="00956579">
        <w:rPr>
          <w:lang w:val="fr-FR"/>
        </w:rPr>
        <w:noBreakHyphen/>
      </w:r>
      <w:r w:rsidRPr="00834A82">
        <w:rPr>
          <w:lang w:val="fr-FR"/>
        </w:rPr>
        <w:t xml:space="preserve">qualitatifs </w:t>
      </w:r>
      <w:r w:rsidR="00506B70" w:rsidRPr="00834A82">
        <w:rPr>
          <w:lang w:val="fr-FR"/>
        </w:rPr>
        <w:t xml:space="preserve">est limitée par </w:t>
      </w:r>
      <w:r w:rsidRPr="00834A82">
        <w:rPr>
          <w:lang w:val="fr-FR"/>
        </w:rPr>
        <w:t xml:space="preserve">la difficulté de définir une règle générale sur la différence </w:t>
      </w:r>
      <w:r w:rsidR="00506B70" w:rsidRPr="00834A82">
        <w:rPr>
          <w:lang w:val="fr-FR"/>
        </w:rPr>
        <w:t>entre les</w:t>
      </w:r>
      <w:r w:rsidRPr="00834A82">
        <w:rPr>
          <w:lang w:val="fr-FR"/>
        </w:rPr>
        <w:t xml:space="preserve"> notes </w:t>
      </w:r>
      <w:r w:rsidR="00506B70" w:rsidRPr="00834A82">
        <w:rPr>
          <w:lang w:val="fr-FR"/>
        </w:rPr>
        <w:t xml:space="preserve">pour </w:t>
      </w:r>
      <w:r w:rsidRPr="00834A82">
        <w:rPr>
          <w:lang w:val="fr-FR"/>
        </w:rPr>
        <w:t xml:space="preserve">établir la distinction </w:t>
      </w:r>
      <w:r w:rsidR="00506B70" w:rsidRPr="00834A82">
        <w:rPr>
          <w:lang w:val="fr-FR"/>
        </w:rPr>
        <w:t xml:space="preserve">concernant </w:t>
      </w:r>
      <w:r w:rsidRPr="00834A82">
        <w:rPr>
          <w:lang w:val="fr-FR"/>
        </w:rPr>
        <w:t>un caractère.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75B0F" w:rsidP="00475B0F">
      <w:pPr>
        <w:rPr>
          <w:u w:val="single"/>
          <w:lang w:val="fr-FR"/>
        </w:rPr>
      </w:pPr>
      <w:r w:rsidRPr="00834A82">
        <w:rPr>
          <w:u w:val="single"/>
          <w:lang w:val="fr-FR"/>
        </w:rPr>
        <w:t>Composantes de la forme</w:t>
      </w:r>
    </w:p>
    <w:p w:rsidR="00934BE5" w:rsidRPr="00834A82" w:rsidRDefault="00934BE5" w:rsidP="004F258F">
      <w:pPr>
        <w:rPr>
          <w:lang w:val="fr-FR"/>
        </w:rPr>
      </w:pPr>
    </w:p>
    <w:p w:rsidR="00D907A2" w:rsidRDefault="00475B0F" w:rsidP="00EB045C">
      <w:pPr>
        <w:rPr>
          <w:lang w:val="fr-FR"/>
        </w:rPr>
      </w:pPr>
      <w:r w:rsidRPr="00834A82">
        <w:rPr>
          <w:lang w:val="fr-FR"/>
        </w:rPr>
        <w:t>3.</w:t>
      </w:r>
      <w:r w:rsidRPr="00834A82">
        <w:rPr>
          <w:lang w:val="fr-FR"/>
        </w:rPr>
        <w:tab/>
        <w:t>Le document</w:t>
      </w:r>
      <w:r w:rsidR="00956579">
        <w:rPr>
          <w:lang w:val="fr-FR"/>
        </w:rPr>
        <w:t> </w:t>
      </w:r>
      <w:r w:rsidRPr="00834A82">
        <w:rPr>
          <w:lang w:val="fr-FR"/>
        </w:rPr>
        <w:t>TGP/14 indique qu</w:t>
      </w:r>
      <w:r w:rsidR="00D907A2">
        <w:rPr>
          <w:lang w:val="fr-FR"/>
        </w:rPr>
        <w:t>’</w:t>
      </w:r>
      <w:r w:rsidRPr="00834A82">
        <w:rPr>
          <w:lang w:val="fr-FR"/>
        </w:rPr>
        <w:t>il peut être intéressant d</w:t>
      </w:r>
      <w:r w:rsidR="00D907A2">
        <w:rPr>
          <w:lang w:val="fr-FR"/>
        </w:rPr>
        <w:t>’</w:t>
      </w:r>
      <w:r w:rsidRPr="00834A82">
        <w:rPr>
          <w:lang w:val="fr-FR"/>
        </w:rPr>
        <w:t xml:space="preserve">élaborer des caractères quantitatifs ou qualitatifs </w:t>
      </w:r>
      <w:r w:rsidR="00506B70" w:rsidRPr="00834A82">
        <w:rPr>
          <w:lang w:val="fr-FR"/>
        </w:rPr>
        <w:t>liés à</w:t>
      </w:r>
      <w:r w:rsidRPr="00834A82">
        <w:rPr>
          <w:lang w:val="fr-FR"/>
        </w:rPr>
        <w:t xml:space="preserve"> la forme</w:t>
      </w:r>
      <w:r w:rsidR="00506B70" w:rsidRPr="00834A82">
        <w:rPr>
          <w:lang w:val="fr-FR"/>
        </w:rPr>
        <w:t xml:space="preserve"> au lieu </w:t>
      </w:r>
      <w:r w:rsidRPr="00834A82">
        <w:rPr>
          <w:lang w:val="fr-FR"/>
        </w:rPr>
        <w:t>de considérer la forme comme un caractère pseudo</w:t>
      </w:r>
      <w:r w:rsidR="00956579">
        <w:rPr>
          <w:lang w:val="fr-FR"/>
        </w:rPr>
        <w:noBreakHyphen/>
      </w:r>
      <w:r w:rsidRPr="00834A82">
        <w:rPr>
          <w:lang w:val="fr-FR"/>
        </w:rPr>
        <w:t>qualitatif uniq</w:t>
      </w:r>
      <w:r w:rsidR="00467EF5" w:rsidRPr="00834A82">
        <w:rPr>
          <w:lang w:val="fr-FR"/>
        </w:rPr>
        <w:t>ue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 xml:space="preserve">À </w:t>
      </w:r>
      <w:r w:rsidR="00EB045C" w:rsidRPr="00834A82">
        <w:rPr>
          <w:lang w:val="fr-FR"/>
        </w:rPr>
        <w:t>cet égard, le document</w:t>
      </w:r>
      <w:r w:rsidR="00956579">
        <w:rPr>
          <w:lang w:val="fr-FR"/>
        </w:rPr>
        <w:t> </w:t>
      </w:r>
      <w:r w:rsidR="00EB045C" w:rsidRPr="00834A82">
        <w:rPr>
          <w:lang w:val="fr-FR"/>
        </w:rPr>
        <w:t>TGP/14 définit une forme plane au moyen des composantes suivantes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EB045C" w:rsidP="00EB045C">
      <w:pPr>
        <w:tabs>
          <w:tab w:val="left" w:pos="1134"/>
        </w:tabs>
        <w:spacing w:before="60"/>
        <w:ind w:left="1134" w:hanging="567"/>
        <w:rPr>
          <w:lang w:val="fr-FR"/>
        </w:rPr>
      </w:pPr>
      <w:r w:rsidRPr="00834A82">
        <w:rPr>
          <w:lang w:val="fr-FR"/>
        </w:rPr>
        <w:t>a)</w:t>
      </w:r>
      <w:r w:rsidRPr="00834A82">
        <w:rPr>
          <w:lang w:val="fr-FR"/>
        </w:rPr>
        <w:tab/>
        <w:t>Rapport longueur/largeur (ou largeur/longueur, épaisseur/longueur, diamètre/longueur ou épaisseur/largeur);</w:t>
      </w:r>
    </w:p>
    <w:p w:rsidR="00934BE5" w:rsidRPr="00834A82" w:rsidRDefault="00EB045C" w:rsidP="00EB045C">
      <w:pPr>
        <w:tabs>
          <w:tab w:val="left" w:pos="1134"/>
        </w:tabs>
        <w:spacing w:before="60"/>
        <w:ind w:left="1134" w:hanging="567"/>
        <w:rPr>
          <w:lang w:val="fr-FR"/>
        </w:rPr>
      </w:pPr>
      <w:r w:rsidRPr="00834A82">
        <w:rPr>
          <w:lang w:val="fr-FR"/>
        </w:rPr>
        <w:t>b)</w:t>
      </w:r>
      <w:r w:rsidRPr="00834A82">
        <w:rPr>
          <w:lang w:val="fr-FR"/>
        </w:rPr>
        <w:tab/>
        <w:t>Position de la partie la plus large;</w:t>
      </w:r>
    </w:p>
    <w:p w:rsidR="00934BE5" w:rsidRPr="00834A82" w:rsidRDefault="00EB045C" w:rsidP="00EB045C">
      <w:pPr>
        <w:tabs>
          <w:tab w:val="left" w:pos="1134"/>
        </w:tabs>
        <w:spacing w:before="60"/>
        <w:ind w:left="1134" w:hanging="567"/>
        <w:rPr>
          <w:lang w:val="fr-FR"/>
        </w:rPr>
      </w:pPr>
      <w:r w:rsidRPr="00834A82">
        <w:rPr>
          <w:lang w:val="fr-FR"/>
        </w:rPr>
        <w:t>c)</w:t>
      </w:r>
      <w:r w:rsidRPr="00834A82">
        <w:rPr>
          <w:lang w:val="fr-FR"/>
        </w:rPr>
        <w:tab/>
        <w:t>Forme de la base;</w:t>
      </w:r>
    </w:p>
    <w:p w:rsidR="00934BE5" w:rsidRPr="00834A82" w:rsidRDefault="00EB045C" w:rsidP="00EB045C">
      <w:pPr>
        <w:tabs>
          <w:tab w:val="left" w:pos="1134"/>
        </w:tabs>
        <w:spacing w:before="60"/>
        <w:ind w:left="1134" w:hanging="567"/>
        <w:rPr>
          <w:lang w:val="fr-FR"/>
        </w:rPr>
      </w:pPr>
      <w:r w:rsidRPr="00834A82">
        <w:rPr>
          <w:lang w:val="fr-FR"/>
        </w:rPr>
        <w:t>d)</w:t>
      </w:r>
      <w:r w:rsidRPr="00834A82">
        <w:rPr>
          <w:lang w:val="fr-FR"/>
        </w:rPr>
        <w:tab/>
        <w:t>Forme de l</w:t>
      </w:r>
      <w:r w:rsidR="00D907A2">
        <w:rPr>
          <w:lang w:val="fr-FR"/>
        </w:rPr>
        <w:t>’</w:t>
      </w:r>
      <w:r w:rsidRPr="00834A82">
        <w:rPr>
          <w:lang w:val="fr-FR"/>
        </w:rPr>
        <w:t>apex;</w:t>
      </w:r>
    </w:p>
    <w:p w:rsidR="00934BE5" w:rsidRPr="00834A82" w:rsidRDefault="00EB045C" w:rsidP="00EB045C">
      <w:pPr>
        <w:tabs>
          <w:tab w:val="left" w:pos="1134"/>
        </w:tabs>
        <w:spacing w:before="60"/>
        <w:ind w:left="1134" w:hanging="567"/>
        <w:rPr>
          <w:lang w:val="fr-FR"/>
        </w:rPr>
      </w:pPr>
      <w:r w:rsidRPr="00834A82">
        <w:rPr>
          <w:lang w:val="fr-FR"/>
        </w:rPr>
        <w:t>e)</w:t>
      </w:r>
      <w:r w:rsidRPr="00834A82">
        <w:rPr>
          <w:lang w:val="fr-FR"/>
        </w:rPr>
        <w:tab/>
        <w:t>Schéma latéral.</w:t>
      </w:r>
    </w:p>
    <w:p w:rsidR="00934BE5" w:rsidRPr="00834A82" w:rsidRDefault="00934BE5" w:rsidP="004F258F">
      <w:pPr>
        <w:jc w:val="left"/>
        <w:rPr>
          <w:lang w:val="fr-FR"/>
        </w:rPr>
      </w:pPr>
    </w:p>
    <w:p w:rsidR="00934BE5" w:rsidRPr="00834A82" w:rsidRDefault="00EB045C" w:rsidP="00EB045C">
      <w:pPr>
        <w:rPr>
          <w:u w:val="single"/>
          <w:lang w:val="fr-FR"/>
        </w:rPr>
      </w:pPr>
      <w:r w:rsidRPr="00834A82">
        <w:rPr>
          <w:u w:val="single"/>
          <w:lang w:val="fr-FR"/>
        </w:rPr>
        <w:t>Illustration des caractères liés à la forme</w:t>
      </w:r>
    </w:p>
    <w:p w:rsidR="00934BE5" w:rsidRPr="00834A82" w:rsidRDefault="00934BE5" w:rsidP="004F258F">
      <w:pPr>
        <w:jc w:val="left"/>
        <w:rPr>
          <w:lang w:val="fr-FR"/>
        </w:rPr>
      </w:pPr>
    </w:p>
    <w:p w:rsidR="00934BE5" w:rsidRPr="00834A82" w:rsidRDefault="001F561C" w:rsidP="001F561C">
      <w:pPr>
        <w:rPr>
          <w:lang w:val="fr-FR"/>
        </w:rPr>
      </w:pPr>
      <w:r w:rsidRPr="00834A82">
        <w:rPr>
          <w:lang w:val="fr-FR"/>
        </w:rPr>
        <w:t>4.</w:t>
      </w:r>
      <w:r w:rsidRPr="00834A82">
        <w:rPr>
          <w:lang w:val="fr-FR"/>
        </w:rPr>
        <w:tab/>
        <w:t>Afin de veiller à ce que le rapport longueur/largeur soit bien compris, le document</w:t>
      </w:r>
      <w:r w:rsidR="00956579">
        <w:rPr>
          <w:lang w:val="fr-FR"/>
        </w:rPr>
        <w:t> </w:t>
      </w:r>
      <w:r w:rsidRPr="00834A82">
        <w:rPr>
          <w:lang w:val="fr-FR"/>
        </w:rPr>
        <w:t>TPG/14 recommande de présenter le caractère comme une forme avec des niveaux allant de “très comprimé” à “très allongé”, ou de présenter le caractère comme le “rapport longueur/largeur” avec des niveaux allant de “très bas” à “très élevé” et de joindre une illustrati</w:t>
      </w:r>
      <w:r w:rsidR="00467EF5" w:rsidRPr="00834A82">
        <w:rPr>
          <w:lang w:val="fr-FR"/>
        </w:rPr>
        <w:t>on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Le</w:t>
      </w:r>
      <w:r w:rsidRPr="00834A82">
        <w:rPr>
          <w:lang w:val="fr-FR"/>
        </w:rPr>
        <w:t>s deux</w:t>
      </w:r>
      <w:r w:rsidR="00881453">
        <w:rPr>
          <w:lang w:val="fr-FR"/>
        </w:rPr>
        <w:t> </w:t>
      </w:r>
      <w:r w:rsidRPr="00834A82">
        <w:rPr>
          <w:lang w:val="fr-FR"/>
        </w:rPr>
        <w:t xml:space="preserve">caractères sont placés comme </w:t>
      </w:r>
      <w:r w:rsidR="001F3048" w:rsidRPr="00834A82">
        <w:rPr>
          <w:lang w:val="fr-FR"/>
        </w:rPr>
        <w:t>intitulés</w:t>
      </w:r>
      <w:r w:rsidRPr="00834A82">
        <w:rPr>
          <w:lang w:val="fr-FR"/>
        </w:rPr>
        <w:t xml:space="preserve"> dans l</w:t>
      </w:r>
      <w:r w:rsidR="00D907A2">
        <w:rPr>
          <w:lang w:val="fr-FR"/>
        </w:rPr>
        <w:t>’</w:t>
      </w:r>
      <w:r w:rsidRPr="00834A82">
        <w:rPr>
          <w:lang w:val="fr-FR"/>
        </w:rPr>
        <w:t>illustration ci</w:t>
      </w:r>
      <w:r w:rsidR="00956579">
        <w:rPr>
          <w:lang w:val="fr-FR"/>
        </w:rPr>
        <w:noBreakHyphen/>
      </w:r>
      <w:r w:rsidRPr="00834A82">
        <w:rPr>
          <w:lang w:val="fr-FR"/>
        </w:rPr>
        <w:t>après “Tableau des formes planes symétriques simples” (partiellement reprodu</w:t>
      </w:r>
      <w:r w:rsidR="00467EF5" w:rsidRPr="00834A82">
        <w:rPr>
          <w:lang w:val="fr-FR"/>
        </w:rPr>
        <w:t>it)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La</w:t>
      </w:r>
      <w:r w:rsidRPr="00834A82">
        <w:rPr>
          <w:lang w:val="fr-FR"/>
        </w:rPr>
        <w:t xml:space="preserve"> position de la partie l</w:t>
      </w:r>
      <w:r w:rsidR="00506B70" w:rsidRPr="00834A82">
        <w:rPr>
          <w:lang w:val="fr-FR"/>
        </w:rPr>
        <w:t>a</w:t>
      </w:r>
      <w:r w:rsidRPr="00834A82">
        <w:rPr>
          <w:lang w:val="fr-FR"/>
        </w:rPr>
        <w:t xml:space="preserve"> plus large est présentée dans plusieurs lignes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506B70" w:rsidRPr="00834A82" w:rsidRDefault="00506B70">
      <w:pPr>
        <w:jc w:val="left"/>
        <w:rPr>
          <w:lang w:val="fr-FR"/>
        </w:rPr>
      </w:pPr>
    </w:p>
    <w:p w:rsidR="00206B6A" w:rsidRPr="00834A82" w:rsidRDefault="00165E93" w:rsidP="004F258F">
      <w:pPr>
        <w:jc w:val="center"/>
        <w:rPr>
          <w:lang w:val="fr-FR"/>
        </w:rPr>
      </w:pPr>
      <w:r>
        <w:rPr>
          <w:noProof/>
          <w:lang w:val="es-ES_tradnl" w:eastAsia="es-ES_tradnl"/>
        </w:rPr>
        <w:drawing>
          <wp:inline distT="0" distB="0" distL="0" distR="0" wp14:anchorId="2316FBDC" wp14:editId="12361E35">
            <wp:extent cx="4888422" cy="3096000"/>
            <wp:effectExtent l="0" t="0" r="762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88422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E5" w:rsidRPr="00834A82" w:rsidRDefault="00934BE5" w:rsidP="004F258F">
      <w:pPr>
        <w:jc w:val="left"/>
        <w:rPr>
          <w:lang w:val="fr-FR"/>
        </w:rPr>
      </w:pPr>
    </w:p>
    <w:p w:rsidR="00D907A2" w:rsidRDefault="004177CF" w:rsidP="004177CF">
      <w:pPr>
        <w:rPr>
          <w:lang w:val="fr-FR"/>
        </w:rPr>
      </w:pPr>
      <w:r w:rsidRPr="00834A82">
        <w:rPr>
          <w:lang w:val="fr-FR"/>
        </w:rPr>
        <w:lastRenderedPageBreak/>
        <w:t>5.</w:t>
      </w:r>
      <w:r w:rsidRPr="00834A82">
        <w:rPr>
          <w:lang w:val="fr-FR"/>
        </w:rPr>
        <w:tab/>
        <w:t>Le document</w:t>
      </w:r>
      <w:r w:rsidR="00956579">
        <w:rPr>
          <w:lang w:val="fr-FR"/>
        </w:rPr>
        <w:t> </w:t>
      </w:r>
      <w:r w:rsidRPr="00834A82">
        <w:rPr>
          <w:lang w:val="fr-FR"/>
        </w:rPr>
        <w:t>TGP/14 propose l</w:t>
      </w:r>
      <w:r w:rsidR="00D907A2">
        <w:rPr>
          <w:lang w:val="fr-FR"/>
        </w:rPr>
        <w:t>’</w:t>
      </w:r>
      <w:r w:rsidRPr="00834A82">
        <w:rPr>
          <w:lang w:val="fr-FR"/>
        </w:rPr>
        <w:t>élaboration de tableaux pour d</w:t>
      </w:r>
      <w:r w:rsidR="00D907A2">
        <w:rPr>
          <w:lang w:val="fr-FR"/>
        </w:rPr>
        <w:t>’</w:t>
      </w:r>
      <w:r w:rsidRPr="00834A82">
        <w:rPr>
          <w:lang w:val="fr-FR"/>
        </w:rPr>
        <w:t>autres types de formes planes avec la description de gammes de rapport longueur/largeur et de position de la partie la plus large, d</w:t>
      </w:r>
      <w:r w:rsidR="00D907A2">
        <w:rPr>
          <w:lang w:val="fr-FR"/>
        </w:rPr>
        <w:t>’</w:t>
      </w:r>
      <w:r w:rsidR="001F3048" w:rsidRPr="00834A82">
        <w:rPr>
          <w:lang w:val="fr-FR"/>
        </w:rPr>
        <w:t>une</w:t>
      </w:r>
      <w:r w:rsidRPr="00834A82">
        <w:rPr>
          <w:lang w:val="fr-FR"/>
        </w:rPr>
        <w:t xml:space="preserve"> manière analogue à celle définie dans le Tableau des formes planes symétriques simpl</w:t>
      </w:r>
      <w:r w:rsidR="00467EF5" w:rsidRPr="00834A82">
        <w:rPr>
          <w:lang w:val="fr-FR"/>
        </w:rPr>
        <w:t>es</w:t>
      </w:r>
      <w:r w:rsidR="00467EF5">
        <w:rPr>
          <w:lang w:val="fr-FR"/>
        </w:rPr>
        <w:t xml:space="preserve">.  </w:t>
      </w:r>
      <w:r w:rsidR="00467EF5" w:rsidRPr="00834A82">
        <w:rPr>
          <w:lang w:val="fr-FR"/>
        </w:rPr>
        <w:t>Ci</w:t>
      </w:r>
      <w:r w:rsidR="00956579">
        <w:rPr>
          <w:lang w:val="fr-FR"/>
        </w:rPr>
        <w:noBreakHyphen/>
      </w:r>
      <w:r w:rsidRPr="00834A82">
        <w:rPr>
          <w:lang w:val="fr-FR"/>
        </w:rPr>
        <w:t>dessous figurent les formes indiquées à titre d</w:t>
      </w:r>
      <w:r w:rsidR="00D907A2">
        <w:rPr>
          <w:lang w:val="fr-FR"/>
        </w:rPr>
        <w:t>’</w:t>
      </w:r>
      <w:r w:rsidRPr="00834A82">
        <w:rPr>
          <w:lang w:val="fr-FR"/>
        </w:rPr>
        <w:t>exemple dans le document</w:t>
      </w:r>
      <w:r w:rsidR="00956579">
        <w:rPr>
          <w:lang w:val="fr-FR"/>
        </w:rPr>
        <w:t> </w:t>
      </w:r>
      <w:r w:rsidRPr="00834A82">
        <w:rPr>
          <w:lang w:val="fr-FR"/>
        </w:rPr>
        <w:t>TGP/14</w:t>
      </w:r>
      <w:r w:rsidR="00D907A2">
        <w:rPr>
          <w:lang w:val="fr-FR"/>
        </w:rPr>
        <w:t> :</w:t>
      </w:r>
    </w:p>
    <w:p w:rsidR="004F258F" w:rsidRPr="00834A82" w:rsidRDefault="004F258F" w:rsidP="004F258F">
      <w:pPr>
        <w:rPr>
          <w:lang w:val="fr-FR"/>
        </w:rPr>
      </w:pPr>
    </w:p>
    <w:tbl>
      <w:tblPr>
        <w:tblW w:w="8886" w:type="dxa"/>
        <w:jc w:val="center"/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8"/>
        <w:gridCol w:w="1777"/>
        <w:gridCol w:w="1777"/>
      </w:tblGrid>
      <w:tr w:rsidR="00834A82" w:rsidRPr="00834A82" w:rsidTr="000939BC">
        <w:trPr>
          <w:trHeight w:val="1262"/>
          <w:jc w:val="center"/>
        </w:trPr>
        <w:tc>
          <w:tcPr>
            <w:tcW w:w="1777" w:type="dxa"/>
            <w:vAlign w:val="center"/>
          </w:tcPr>
          <w:p w:rsidR="004F258F" w:rsidRPr="00834A82" w:rsidRDefault="004F258F" w:rsidP="004F258F">
            <w:pPr>
              <w:jc w:val="center"/>
              <w:rPr>
                <w:lang w:val="fr-FR"/>
              </w:rPr>
            </w:pPr>
            <w:bookmarkStart w:id="18" w:name="_Hlk251057058"/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E3275C8" wp14:editId="00DD46D6">
                  <wp:extent cx="695325" cy="72390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vAlign w:val="center"/>
          </w:tcPr>
          <w:p w:rsidR="004F258F" w:rsidRPr="00834A82" w:rsidRDefault="004F258F" w:rsidP="004F258F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3F336AA" wp14:editId="6484F711">
                  <wp:extent cx="676275" cy="7620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8" w:type="dxa"/>
            <w:vAlign w:val="center"/>
          </w:tcPr>
          <w:p w:rsidR="004F258F" w:rsidRPr="00834A82" w:rsidRDefault="004F258F" w:rsidP="004F258F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5C072E47" wp14:editId="1A87313D">
                  <wp:extent cx="638175" cy="8477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shd w:val="clear" w:color="auto" w:fill="auto"/>
          </w:tcPr>
          <w:p w:rsidR="004F258F" w:rsidRPr="00834A82" w:rsidRDefault="004F258F" w:rsidP="004F258F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F78A3A9" wp14:editId="622B7491">
                  <wp:extent cx="971550" cy="914400"/>
                  <wp:effectExtent l="0" t="0" r="0" b="0"/>
                  <wp:docPr id="28" name="Picture 28" descr="New 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New 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  <w:vAlign w:val="center"/>
          </w:tcPr>
          <w:p w:rsidR="004F258F" w:rsidRPr="00834A82" w:rsidRDefault="004F258F" w:rsidP="004F258F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3823C747" wp14:editId="4FA0B826">
                  <wp:extent cx="64770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8"/>
      <w:tr w:rsidR="004F258F" w:rsidRPr="00834A82" w:rsidTr="000939BC">
        <w:trPr>
          <w:trHeight w:val="197"/>
          <w:jc w:val="center"/>
        </w:trPr>
        <w:tc>
          <w:tcPr>
            <w:tcW w:w="1777" w:type="dxa"/>
          </w:tcPr>
          <w:p w:rsidR="004F258F" w:rsidRPr="00834A82" w:rsidRDefault="004177CF" w:rsidP="004177CF">
            <w:pPr>
              <w:jc w:val="center"/>
              <w:rPr>
                <w:lang w:val="fr-FR"/>
              </w:rPr>
            </w:pPr>
            <w:proofErr w:type="spellStart"/>
            <w:r w:rsidRPr="00834A82">
              <w:rPr>
                <w:lang w:val="fr-FR"/>
              </w:rPr>
              <w:t>auriculiforme</w:t>
            </w:r>
            <w:proofErr w:type="spellEnd"/>
          </w:p>
        </w:tc>
        <w:tc>
          <w:tcPr>
            <w:tcW w:w="1777" w:type="dxa"/>
          </w:tcPr>
          <w:p w:rsidR="004F258F" w:rsidRPr="00834A82" w:rsidRDefault="004177CF" w:rsidP="004177CF">
            <w:pPr>
              <w:jc w:val="center"/>
              <w:rPr>
                <w:lang w:val="fr-FR"/>
              </w:rPr>
            </w:pPr>
            <w:proofErr w:type="spellStart"/>
            <w:r w:rsidRPr="00834A82">
              <w:rPr>
                <w:lang w:val="fr-FR"/>
              </w:rPr>
              <w:t>hastiforme</w:t>
            </w:r>
            <w:proofErr w:type="spellEnd"/>
          </w:p>
        </w:tc>
        <w:tc>
          <w:tcPr>
            <w:tcW w:w="1778" w:type="dxa"/>
          </w:tcPr>
          <w:p w:rsidR="004F258F" w:rsidRPr="00834A82" w:rsidRDefault="004177CF" w:rsidP="004177CF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sagittée</w:t>
            </w:r>
          </w:p>
        </w:tc>
        <w:tc>
          <w:tcPr>
            <w:tcW w:w="1777" w:type="dxa"/>
            <w:shd w:val="clear" w:color="auto" w:fill="auto"/>
          </w:tcPr>
          <w:p w:rsidR="004F258F" w:rsidRPr="00834A82" w:rsidRDefault="004177CF" w:rsidP="004177CF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ailée</w:t>
            </w:r>
          </w:p>
        </w:tc>
        <w:tc>
          <w:tcPr>
            <w:tcW w:w="1777" w:type="dxa"/>
          </w:tcPr>
          <w:p w:rsidR="004F258F" w:rsidRPr="00834A82" w:rsidRDefault="004177CF" w:rsidP="004177CF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trapézoïdale</w:t>
            </w:r>
          </w:p>
        </w:tc>
      </w:tr>
    </w:tbl>
    <w:p w:rsidR="00934BE5" w:rsidRPr="00834A82" w:rsidRDefault="00934BE5" w:rsidP="004F258F">
      <w:pPr>
        <w:rPr>
          <w:lang w:val="fr-FR"/>
        </w:rPr>
      </w:pPr>
    </w:p>
    <w:p w:rsidR="00934BE5" w:rsidRPr="00834A82" w:rsidRDefault="004177CF" w:rsidP="004177CF">
      <w:pPr>
        <w:rPr>
          <w:u w:val="single"/>
          <w:lang w:val="fr-FR"/>
        </w:rPr>
      </w:pPr>
      <w:r w:rsidRPr="00834A82">
        <w:rPr>
          <w:u w:val="single"/>
          <w:lang w:val="fr-FR"/>
        </w:rPr>
        <w:t>Élaboration des caractères liés à la forme</w:t>
      </w:r>
    </w:p>
    <w:p w:rsidR="00934BE5" w:rsidRPr="00834A82" w:rsidRDefault="00934BE5" w:rsidP="004F258F">
      <w:pPr>
        <w:rPr>
          <w:lang w:val="fr-FR"/>
        </w:rPr>
      </w:pPr>
    </w:p>
    <w:p w:rsidR="00D907A2" w:rsidRDefault="004177CF" w:rsidP="004177CF">
      <w:pPr>
        <w:rPr>
          <w:lang w:val="fr-FR"/>
        </w:rPr>
      </w:pPr>
      <w:r w:rsidRPr="00834A82">
        <w:rPr>
          <w:lang w:val="fr-FR"/>
        </w:rPr>
        <w:t>6.</w:t>
      </w:r>
      <w:r w:rsidRPr="00834A82">
        <w:rPr>
          <w:lang w:val="fr-FR"/>
        </w:rPr>
        <w:tab/>
        <w:t>Le document</w:t>
      </w:r>
      <w:r w:rsidR="00956579">
        <w:rPr>
          <w:lang w:val="fr-FR"/>
        </w:rPr>
        <w:t> </w:t>
      </w:r>
      <w:r w:rsidRPr="00834A82">
        <w:rPr>
          <w:lang w:val="fr-FR"/>
        </w:rPr>
        <w:t>TGP/14 indique qu</w:t>
      </w:r>
      <w:r w:rsidR="00D907A2">
        <w:rPr>
          <w:lang w:val="fr-FR"/>
        </w:rPr>
        <w:t>’</w:t>
      </w:r>
      <w:r w:rsidRPr="00834A82">
        <w:rPr>
          <w:lang w:val="fr-FR"/>
        </w:rPr>
        <w:t>“en règle générale, il peut être très intéressant d</w:t>
      </w:r>
      <w:r w:rsidR="00D907A2">
        <w:rPr>
          <w:lang w:val="fr-FR"/>
        </w:rPr>
        <w:t>’</w:t>
      </w:r>
      <w:r w:rsidRPr="00834A82">
        <w:rPr>
          <w:lang w:val="fr-FR"/>
        </w:rPr>
        <w:t>étudier les variations de forme entre variétés dans la collection de variétés en suivant les étapes ci</w:t>
      </w:r>
      <w:r w:rsidR="00956579">
        <w:rPr>
          <w:lang w:val="fr-FR"/>
        </w:rPr>
        <w:noBreakHyphen/>
      </w:r>
      <w:r w:rsidRPr="00834A82">
        <w:rPr>
          <w:lang w:val="fr-FR"/>
        </w:rPr>
        <w:t>après”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177CF" w:rsidP="004177CF">
      <w:pPr>
        <w:ind w:left="567"/>
        <w:rPr>
          <w:lang w:val="fr-FR"/>
        </w:rPr>
      </w:pPr>
      <w:r w:rsidRPr="00834A82">
        <w:rPr>
          <w:lang w:val="fr-FR"/>
        </w:rPr>
        <w:t>Étape 1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Rapport longueur/largeur;</w:t>
      </w:r>
    </w:p>
    <w:p w:rsidR="00934BE5" w:rsidRPr="00834A82" w:rsidRDefault="004177CF" w:rsidP="004177CF">
      <w:pPr>
        <w:ind w:left="567"/>
        <w:rPr>
          <w:lang w:val="fr-FR"/>
        </w:rPr>
      </w:pPr>
      <w:r w:rsidRPr="00834A82">
        <w:rPr>
          <w:lang w:val="fr-FR"/>
        </w:rPr>
        <w:t>Étape 2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Position de la partie la plus large;</w:t>
      </w:r>
    </w:p>
    <w:p w:rsidR="00934BE5" w:rsidRPr="00834A82" w:rsidRDefault="004177CF" w:rsidP="004177CF">
      <w:pPr>
        <w:ind w:left="567"/>
        <w:rPr>
          <w:lang w:val="fr-FR"/>
        </w:rPr>
      </w:pPr>
      <w:r w:rsidRPr="00834A82">
        <w:rPr>
          <w:lang w:val="fr-FR"/>
        </w:rPr>
        <w:t>Étape 3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Forme de la base;</w:t>
      </w:r>
    </w:p>
    <w:p w:rsidR="00934BE5" w:rsidRPr="00834A82" w:rsidRDefault="004177CF" w:rsidP="004177CF">
      <w:pPr>
        <w:ind w:left="567"/>
        <w:rPr>
          <w:lang w:val="fr-FR"/>
        </w:rPr>
      </w:pPr>
      <w:r w:rsidRPr="00834A82">
        <w:rPr>
          <w:lang w:val="fr-FR"/>
        </w:rPr>
        <w:t>Étape 4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Forme de l</w:t>
      </w:r>
      <w:r w:rsidR="00D907A2">
        <w:rPr>
          <w:lang w:val="fr-FR"/>
        </w:rPr>
        <w:t>’</w:t>
      </w:r>
      <w:r w:rsidRPr="00834A82">
        <w:rPr>
          <w:lang w:val="fr-FR"/>
        </w:rPr>
        <w:t>apex;</w:t>
      </w:r>
    </w:p>
    <w:p w:rsidR="00934BE5" w:rsidRPr="00834A82" w:rsidRDefault="004177CF" w:rsidP="004177CF">
      <w:pPr>
        <w:ind w:left="567"/>
        <w:rPr>
          <w:lang w:val="fr-FR"/>
        </w:rPr>
      </w:pPr>
      <w:r w:rsidRPr="00834A82">
        <w:rPr>
          <w:lang w:val="fr-FR"/>
        </w:rPr>
        <w:t>Étape 5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Schéma latéral.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177CF" w:rsidP="004177CF">
      <w:pPr>
        <w:rPr>
          <w:u w:val="single"/>
          <w:lang w:val="fr-FR"/>
        </w:rPr>
      </w:pPr>
      <w:r w:rsidRPr="00834A82">
        <w:rPr>
          <w:u w:val="single"/>
          <w:lang w:val="fr-FR"/>
        </w:rPr>
        <w:t>Exemples de caractères liés à la forme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165E93" w:rsidP="004177CF">
      <w:pPr>
        <w:rPr>
          <w:lang w:val="fr-FR"/>
        </w:rPr>
      </w:pPr>
      <w:r>
        <w:rPr>
          <w:lang w:val="fr-FR"/>
        </w:rPr>
        <w:t>7</w:t>
      </w:r>
      <w:r w:rsidRPr="00834A82">
        <w:rPr>
          <w:lang w:val="fr-FR"/>
        </w:rPr>
        <w:t>.</w:t>
      </w:r>
      <w:r w:rsidRPr="00834A82">
        <w:rPr>
          <w:lang w:val="fr-FR"/>
        </w:rPr>
        <w:tab/>
      </w:r>
      <w:r w:rsidR="004177CF" w:rsidRPr="00834A82">
        <w:rPr>
          <w:lang w:val="fr-FR"/>
        </w:rPr>
        <w:t>Le document</w:t>
      </w:r>
      <w:r w:rsidR="00956579">
        <w:rPr>
          <w:lang w:val="fr-FR"/>
        </w:rPr>
        <w:t> </w:t>
      </w:r>
      <w:r w:rsidR="004177CF" w:rsidRPr="00834A82">
        <w:rPr>
          <w:lang w:val="fr-FR"/>
        </w:rPr>
        <w:t>TGP/14 contient six</w:t>
      </w:r>
      <w:r w:rsidR="00881453">
        <w:rPr>
          <w:lang w:val="fr-FR"/>
        </w:rPr>
        <w:t> </w:t>
      </w:r>
      <w:r w:rsidR="004177CF" w:rsidRPr="00834A82">
        <w:rPr>
          <w:lang w:val="fr-FR"/>
        </w:rPr>
        <w:t>exemples de variations entre composantes d</w:t>
      </w:r>
      <w:r w:rsidR="00D907A2">
        <w:rPr>
          <w:lang w:val="fr-FR"/>
        </w:rPr>
        <w:t>’</w:t>
      </w:r>
      <w:r w:rsidR="004177CF" w:rsidRPr="00834A82">
        <w:rPr>
          <w:lang w:val="fr-FR"/>
        </w:rPr>
        <w:t>une forme entièrement plane (rapport longueur/largeur, position de la partie la plus large et schéma latéral) aux fins de l</w:t>
      </w:r>
      <w:r w:rsidR="00D907A2">
        <w:rPr>
          <w:lang w:val="fr-FR"/>
        </w:rPr>
        <w:t>’</w:t>
      </w:r>
      <w:r w:rsidR="004177CF" w:rsidRPr="00834A82">
        <w:rPr>
          <w:lang w:val="fr-FR"/>
        </w:rPr>
        <w:t>élaboration de caractères, soit en tant que caractères des différentes composantes, soit comme caractère unique lié à la forme globale</w:t>
      </w:r>
      <w:r w:rsidR="00D907A2">
        <w:rPr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177CF" w:rsidP="004177CF">
      <w:pPr>
        <w:rPr>
          <w:i/>
          <w:lang w:val="fr-FR"/>
        </w:rPr>
      </w:pPr>
      <w:r w:rsidRPr="00834A82">
        <w:rPr>
          <w:i/>
          <w:lang w:val="fr-FR"/>
        </w:rPr>
        <w:t>Exemple</w:t>
      </w:r>
      <w:r w:rsidR="00956579">
        <w:rPr>
          <w:i/>
          <w:lang w:val="fr-FR"/>
        </w:rPr>
        <w:t> </w:t>
      </w:r>
      <w:r w:rsidRPr="00834A82">
        <w:rPr>
          <w:i/>
          <w:lang w:val="fr-FR"/>
        </w:rPr>
        <w:t>1</w:t>
      </w:r>
      <w:r w:rsidR="00D907A2">
        <w:rPr>
          <w:i/>
          <w:lang w:val="fr-FR"/>
        </w:rPr>
        <w:t> :</w:t>
      </w:r>
      <w:r w:rsidRPr="00834A82">
        <w:rPr>
          <w:i/>
          <w:lang w:val="fr-FR"/>
        </w:rPr>
        <w:t xml:space="preserve"> variation dans le rapport longueur/largeur seulement.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177CF" w:rsidP="004177CF">
      <w:pPr>
        <w:shd w:val="clear" w:color="auto" w:fill="FFFFFF"/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Pr="00834A82">
        <w:rPr>
          <w:lang w:val="fr-FR"/>
        </w:rPr>
        <w:t>1</w:t>
      </w:r>
    </w:p>
    <w:p w:rsidR="00934BE5" w:rsidRPr="00834A82" w:rsidRDefault="004177CF" w:rsidP="004177CF">
      <w:pPr>
        <w:shd w:val="clear" w:color="auto" w:fill="FFFFFF"/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rapport longueur/largeur (bas à </w:t>
      </w:r>
      <w:proofErr w:type="spellStart"/>
      <w:r w:rsidRPr="00834A82">
        <w:rPr>
          <w:rFonts w:cs="Angsana New"/>
          <w:szCs w:val="24"/>
          <w:lang w:val="fr-FR" w:bidi="th-TH"/>
        </w:rPr>
        <w:t>élevé</w:t>
      </w:r>
      <w:proofErr w:type="spellEnd"/>
      <w:r w:rsidRPr="00834A82">
        <w:rPr>
          <w:rFonts w:cs="Angsana New"/>
          <w:szCs w:val="24"/>
          <w:lang w:val="fr-FR" w:bidi="th-TH"/>
        </w:rPr>
        <w:t>) (QN)</w:t>
      </w:r>
    </w:p>
    <w:p w:rsidR="00934BE5" w:rsidRPr="00834A82" w:rsidRDefault="00934BE5" w:rsidP="004F258F">
      <w:pPr>
        <w:shd w:val="clear" w:color="auto" w:fill="FFFFFF"/>
        <w:ind w:left="360"/>
        <w:rPr>
          <w:rFonts w:cs="Angsana New"/>
          <w:szCs w:val="24"/>
          <w:lang w:val="fr-FR" w:bidi="th-TH"/>
        </w:rPr>
      </w:pPr>
    </w:p>
    <w:p w:rsidR="00934BE5" w:rsidRPr="00834A82" w:rsidRDefault="004177CF" w:rsidP="004177CF">
      <w:pPr>
        <w:shd w:val="clear" w:color="auto" w:fill="FFFFFF"/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Pr="00834A82">
        <w:rPr>
          <w:lang w:val="fr-FR"/>
        </w:rPr>
        <w:t>2</w:t>
      </w:r>
    </w:p>
    <w:p w:rsidR="00934BE5" w:rsidRPr="00834A82" w:rsidRDefault="004177CF" w:rsidP="004177CF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forme (</w:t>
      </w:r>
      <w:proofErr w:type="spellStart"/>
      <w:r w:rsidRPr="00834A82">
        <w:rPr>
          <w:rFonts w:cs="Angsana New"/>
          <w:szCs w:val="24"/>
          <w:lang w:val="fr-FR" w:bidi="th-TH"/>
        </w:rPr>
        <w:t>obovale</w:t>
      </w:r>
      <w:proofErr w:type="spellEnd"/>
      <w:r w:rsidRPr="00834A82">
        <w:rPr>
          <w:rFonts w:cs="Angsana New"/>
          <w:szCs w:val="24"/>
          <w:lang w:val="fr-FR" w:bidi="th-TH"/>
        </w:rPr>
        <w:t xml:space="preserve"> large (1);  demi</w:t>
      </w:r>
      <w:r w:rsidR="00D907A2">
        <w:rPr>
          <w:rFonts w:cs="Angsana New"/>
          <w:szCs w:val="24"/>
          <w:lang w:val="fr-FR" w:bidi="th-TH"/>
        </w:rPr>
        <w:t>-</w:t>
      </w:r>
      <w:proofErr w:type="spellStart"/>
      <w:r w:rsidRPr="00834A82">
        <w:rPr>
          <w:rFonts w:cs="Angsana New"/>
          <w:szCs w:val="24"/>
          <w:lang w:val="fr-FR" w:bidi="th-TH"/>
        </w:rPr>
        <w:t>obovale</w:t>
      </w:r>
      <w:proofErr w:type="spellEnd"/>
      <w:r w:rsidRPr="00834A82">
        <w:rPr>
          <w:rFonts w:cs="Angsana New"/>
          <w:szCs w:val="24"/>
          <w:lang w:val="fr-FR" w:bidi="th-TH"/>
        </w:rPr>
        <w:t xml:space="preserve"> (2);  </w:t>
      </w:r>
      <w:proofErr w:type="spellStart"/>
      <w:r w:rsidRPr="00834A82">
        <w:rPr>
          <w:rFonts w:cs="Angsana New"/>
          <w:szCs w:val="24"/>
          <w:lang w:val="fr-FR" w:bidi="th-TH"/>
        </w:rPr>
        <w:t>obovale</w:t>
      </w:r>
      <w:proofErr w:type="spellEnd"/>
      <w:r w:rsidRPr="00834A82">
        <w:rPr>
          <w:rFonts w:cs="Angsana New"/>
          <w:szCs w:val="24"/>
          <w:lang w:val="fr-FR" w:bidi="th-TH"/>
        </w:rPr>
        <w:t xml:space="preserve"> étroite (3)) (QN)</w:t>
      </w:r>
    </w:p>
    <w:p w:rsidR="00934BE5" w:rsidRPr="00834A82" w:rsidRDefault="00934BE5" w:rsidP="004F258F">
      <w:pPr>
        <w:shd w:val="clear" w:color="auto" w:fill="FFFFFF"/>
        <w:ind w:left="562"/>
        <w:rPr>
          <w:rFonts w:cs="Angsana New"/>
          <w:i/>
          <w:szCs w:val="24"/>
          <w:lang w:val="fr-FR" w:bidi="th-TH"/>
        </w:rPr>
      </w:pPr>
    </w:p>
    <w:p w:rsidR="00934BE5" w:rsidRPr="00834A82" w:rsidRDefault="004177CF" w:rsidP="004177CF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  <w:proofErr w:type="gramStart"/>
      <w:r w:rsidRPr="00834A82">
        <w:rPr>
          <w:rFonts w:cs="Angsana New"/>
          <w:szCs w:val="24"/>
          <w:lang w:val="fr-FR" w:bidi="th-TH"/>
        </w:rPr>
        <w:t>avec</w:t>
      </w:r>
      <w:proofErr w:type="gramEnd"/>
      <w:r w:rsidRPr="00834A82">
        <w:rPr>
          <w:rFonts w:cs="Angsana New"/>
          <w:szCs w:val="24"/>
          <w:lang w:val="fr-FR" w:bidi="th-TH"/>
        </w:rPr>
        <w:t xml:space="preserve"> l</w:t>
      </w:r>
      <w:r w:rsidR="00D907A2">
        <w:rPr>
          <w:rFonts w:cs="Angsana New"/>
          <w:szCs w:val="24"/>
          <w:lang w:val="fr-FR" w:bidi="th-TH"/>
        </w:rPr>
        <w:t>’</w:t>
      </w:r>
      <w:r w:rsidRPr="00834A82">
        <w:rPr>
          <w:rFonts w:cs="Angsana New"/>
          <w:szCs w:val="24"/>
          <w:lang w:val="fr-FR" w:bidi="th-TH"/>
        </w:rPr>
        <w:t>illustration suivante</w:t>
      </w:r>
      <w:r w:rsidR="00D907A2">
        <w:rPr>
          <w:rFonts w:cs="Angsana New"/>
          <w:szCs w:val="24"/>
          <w:lang w:val="fr-FR" w:bidi="th-TH"/>
        </w:rPr>
        <w:t> :</w:t>
      </w:r>
    </w:p>
    <w:p w:rsidR="00934BE5" w:rsidRPr="00834A82" w:rsidRDefault="00934BE5" w:rsidP="004F258F">
      <w:pPr>
        <w:rPr>
          <w:lang w:val="fr-FR"/>
        </w:rPr>
      </w:pPr>
    </w:p>
    <w:tbl>
      <w:tblPr>
        <w:tblW w:w="0" w:type="auto"/>
        <w:tblInd w:w="108" w:type="dxa"/>
        <w:tblBorders>
          <w:top w:val="dashSmallGap" w:sz="4" w:space="0" w:color="31849B" w:themeColor="accent5" w:themeShade="BF"/>
          <w:left w:val="dashSmallGap" w:sz="4" w:space="0" w:color="31849B" w:themeColor="accent5" w:themeShade="BF"/>
          <w:bottom w:val="dashSmallGap" w:sz="4" w:space="0" w:color="31849B" w:themeColor="accent5" w:themeShade="BF"/>
          <w:right w:val="dashSmallGap" w:sz="4" w:space="0" w:color="31849B" w:themeColor="accent5" w:themeShade="BF"/>
          <w:insideH w:val="dashSmallGap" w:sz="4" w:space="0" w:color="31849B" w:themeColor="accent5" w:themeShade="BF"/>
          <w:insideV w:val="dashSmallGap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504"/>
        <w:gridCol w:w="2504"/>
        <w:gridCol w:w="2504"/>
      </w:tblGrid>
      <w:tr w:rsidR="00834A82" w:rsidRPr="00834A82" w:rsidTr="007F3531">
        <w:tc>
          <w:tcPr>
            <w:tcW w:w="2126" w:type="dxa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</w:p>
        </w:tc>
        <w:tc>
          <w:tcPr>
            <w:tcW w:w="2504" w:type="dxa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3456203" wp14:editId="57CDDBB0">
                  <wp:extent cx="571500" cy="704850"/>
                  <wp:effectExtent l="0" t="0" r="0" b="0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0F71DD89" wp14:editId="1E4C8825">
                  <wp:extent cx="571500" cy="752475"/>
                  <wp:effectExtent l="0" t="0" r="0" b="9525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790FAFD5" wp14:editId="69D967A7">
                  <wp:extent cx="552450" cy="742950"/>
                  <wp:effectExtent l="0" t="0" r="0" b="0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834A82" w:rsidTr="007F3531">
        <w:tc>
          <w:tcPr>
            <w:tcW w:w="2126" w:type="dxa"/>
            <w:shd w:val="clear" w:color="auto" w:fill="FFFFFF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Pr="00834A82">
              <w:rPr>
                <w:lang w:val="fr-FR"/>
              </w:rPr>
              <w:t>1</w:t>
            </w:r>
            <w:r w:rsidR="00D907A2">
              <w:rPr>
                <w:lang w:val="fr-FR"/>
              </w:rPr>
              <w:t> :</w:t>
            </w:r>
          </w:p>
        </w:tc>
        <w:tc>
          <w:tcPr>
            <w:tcW w:w="2504" w:type="dxa"/>
            <w:shd w:val="clear" w:color="auto" w:fill="FFFFFF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bas</w:t>
            </w:r>
          </w:p>
        </w:tc>
        <w:tc>
          <w:tcPr>
            <w:tcW w:w="2504" w:type="dxa"/>
            <w:shd w:val="clear" w:color="auto" w:fill="FFFFFF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moyen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rapport longueur/largeur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élevé</w:t>
            </w:r>
          </w:p>
        </w:tc>
      </w:tr>
      <w:tr w:rsidR="00834A82" w:rsidRPr="00834A82" w:rsidTr="007F3531">
        <w:tc>
          <w:tcPr>
            <w:tcW w:w="2126" w:type="dxa"/>
            <w:shd w:val="clear" w:color="auto" w:fill="FFFFFF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Pr="00834A82">
              <w:rPr>
                <w:lang w:val="fr-FR"/>
              </w:rPr>
              <w:t>2</w:t>
            </w:r>
            <w:r w:rsidR="00D907A2">
              <w:rPr>
                <w:lang w:val="fr-FR"/>
              </w:rPr>
              <w:t> :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1</w:t>
            </w:r>
          </w:p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large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2</w:t>
            </w:r>
          </w:p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demi</w:t>
            </w:r>
            <w:r w:rsidR="00D907A2">
              <w:rPr>
                <w:lang w:val="fr-FR"/>
              </w:rPr>
              <w:t>-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3</w:t>
            </w:r>
          </w:p>
          <w:p w:rsidR="00605437" w:rsidRPr="00834A82" w:rsidRDefault="00605437" w:rsidP="000939BC">
            <w:pPr>
              <w:shd w:val="clear" w:color="auto" w:fill="FFFFFF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Forme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</w:t>
            </w:r>
            <w:proofErr w:type="spellStart"/>
            <w:r w:rsidRPr="00834A82">
              <w:rPr>
                <w:lang w:val="fr-FR"/>
              </w:rPr>
              <w:t>obovale</w:t>
            </w:r>
            <w:proofErr w:type="spellEnd"/>
            <w:r w:rsidRPr="00834A82">
              <w:rPr>
                <w:lang w:val="fr-FR"/>
              </w:rPr>
              <w:t xml:space="preserve"> étroite</w:t>
            </w:r>
          </w:p>
        </w:tc>
      </w:tr>
    </w:tbl>
    <w:p w:rsidR="00934BE5" w:rsidRPr="00834A82" w:rsidRDefault="00934BE5" w:rsidP="004F258F">
      <w:pPr>
        <w:jc w:val="center"/>
        <w:rPr>
          <w:lang w:val="fr-FR"/>
        </w:rPr>
      </w:pPr>
    </w:p>
    <w:p w:rsidR="00934BE5" w:rsidRPr="00834A82" w:rsidRDefault="00934BE5" w:rsidP="004F258F">
      <w:pPr>
        <w:rPr>
          <w:lang w:val="fr-FR"/>
        </w:rPr>
      </w:pPr>
    </w:p>
    <w:p w:rsidR="00D907A2" w:rsidRDefault="004F258F" w:rsidP="004F258F">
      <w:pPr>
        <w:rPr>
          <w:i/>
          <w:lang w:val="fr-FR"/>
        </w:rPr>
      </w:pPr>
      <w:r w:rsidRPr="00834A82">
        <w:rPr>
          <w:i/>
          <w:lang w:val="fr-FR"/>
        </w:rPr>
        <w:t>Ex</w:t>
      </w:r>
      <w:r w:rsidR="00C969E0" w:rsidRPr="00834A82">
        <w:rPr>
          <w:i/>
          <w:lang w:val="fr-FR"/>
        </w:rPr>
        <w:t>e</w:t>
      </w:r>
      <w:r w:rsidRPr="00834A82">
        <w:rPr>
          <w:i/>
          <w:lang w:val="fr-FR"/>
        </w:rPr>
        <w:t>mple</w:t>
      </w:r>
      <w:r w:rsidR="00956579">
        <w:rPr>
          <w:i/>
          <w:lang w:val="fr-FR"/>
        </w:rPr>
        <w:t> </w:t>
      </w:r>
      <w:r w:rsidRPr="00834A82">
        <w:rPr>
          <w:i/>
          <w:lang w:val="fr-FR"/>
        </w:rPr>
        <w:t>2</w:t>
      </w:r>
      <w:r w:rsidR="00D907A2">
        <w:rPr>
          <w:i/>
          <w:lang w:val="fr-FR"/>
        </w:rPr>
        <w:t> :</w:t>
      </w:r>
      <w:r w:rsidRPr="00834A82">
        <w:rPr>
          <w:i/>
          <w:lang w:val="fr-FR"/>
        </w:rPr>
        <w:t xml:space="preserve"> variation </w:t>
      </w:r>
      <w:r w:rsidR="00C969E0" w:rsidRPr="00834A82">
        <w:rPr>
          <w:i/>
          <w:lang w:val="fr-FR"/>
        </w:rPr>
        <w:t>dans la position de la partie la plus large seulement</w:t>
      </w:r>
      <w:r w:rsidRPr="00834A82">
        <w:rPr>
          <w:i/>
          <w:lang w:val="fr-FR"/>
        </w:rPr>
        <w:t>.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9109C6" w:rsidP="004F258F">
      <w:pPr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1</w:t>
      </w:r>
    </w:p>
    <w:p w:rsidR="00934BE5" w:rsidRPr="00834A82" w:rsidRDefault="009109C6" w:rsidP="004F258F">
      <w:pPr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position de la partie la plus large (vers la base à vers l</w:t>
      </w:r>
      <w:r w:rsidR="00D907A2">
        <w:rPr>
          <w:rFonts w:cs="Angsana New"/>
          <w:szCs w:val="24"/>
          <w:lang w:val="fr-FR" w:bidi="th-TH"/>
        </w:rPr>
        <w:t>’</w:t>
      </w:r>
      <w:r w:rsidRPr="00834A82">
        <w:rPr>
          <w:rFonts w:cs="Angsana New"/>
          <w:szCs w:val="24"/>
          <w:lang w:val="fr-FR" w:bidi="th-TH"/>
        </w:rPr>
        <w:t>apex</w:t>
      </w:r>
      <w:r w:rsidR="004F258F" w:rsidRPr="00834A82">
        <w:rPr>
          <w:rFonts w:cs="Angsana New"/>
          <w:szCs w:val="24"/>
          <w:lang w:val="fr-FR" w:bidi="th-TH"/>
        </w:rPr>
        <w:t>) (QN)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9109C6" w:rsidP="00165E93">
      <w:pPr>
        <w:keepNext/>
        <w:shd w:val="clear" w:color="auto" w:fill="FFFFFF"/>
        <w:ind w:left="360"/>
        <w:rPr>
          <w:lang w:val="fr-FR"/>
        </w:rPr>
      </w:pPr>
      <w:r w:rsidRPr="00834A82">
        <w:rPr>
          <w:lang w:val="fr-FR"/>
        </w:rPr>
        <w:lastRenderedPageBreak/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2</w:t>
      </w:r>
    </w:p>
    <w:p w:rsidR="00934BE5" w:rsidRPr="00834A82" w:rsidRDefault="009109C6" w:rsidP="00165E93">
      <w:pPr>
        <w:keepNext/>
        <w:shd w:val="clear" w:color="auto" w:fill="FFFFFF"/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forme (ovale (1);  elliptique (2);  </w:t>
      </w:r>
      <w:proofErr w:type="spellStart"/>
      <w:r w:rsidRPr="00834A82">
        <w:rPr>
          <w:rFonts w:cs="Angsana New"/>
          <w:szCs w:val="24"/>
          <w:lang w:val="fr-FR" w:bidi="th-TH"/>
        </w:rPr>
        <w:t>obovale</w:t>
      </w:r>
      <w:proofErr w:type="spellEnd"/>
      <w:r w:rsidRPr="00834A82">
        <w:rPr>
          <w:rFonts w:cs="Angsana New"/>
          <w:szCs w:val="24"/>
          <w:lang w:val="fr-FR" w:bidi="th-TH"/>
        </w:rPr>
        <w:t xml:space="preserve"> (3)) </w:t>
      </w:r>
      <w:r w:rsidR="004F258F" w:rsidRPr="00834A82">
        <w:rPr>
          <w:rFonts w:cs="Angsana New"/>
          <w:szCs w:val="24"/>
          <w:lang w:val="fr-FR" w:bidi="th-TH"/>
        </w:rPr>
        <w:t>(QN)</w:t>
      </w:r>
    </w:p>
    <w:p w:rsidR="00934BE5" w:rsidRPr="00834A82" w:rsidRDefault="00934BE5" w:rsidP="00165E93">
      <w:pPr>
        <w:keepNext/>
        <w:shd w:val="clear" w:color="auto" w:fill="FFFFFF"/>
        <w:ind w:left="567"/>
        <w:rPr>
          <w:rFonts w:cs="Angsana New"/>
          <w:szCs w:val="24"/>
          <w:lang w:val="fr-FR" w:bidi="th-TH"/>
        </w:rPr>
      </w:pPr>
    </w:p>
    <w:p w:rsidR="00934BE5" w:rsidRPr="00834A82" w:rsidRDefault="009109C6" w:rsidP="00165E93">
      <w:pPr>
        <w:keepNext/>
        <w:shd w:val="clear" w:color="auto" w:fill="FFFFFF"/>
        <w:ind w:left="562"/>
        <w:rPr>
          <w:rFonts w:cs="Angsana New"/>
          <w:szCs w:val="24"/>
          <w:lang w:val="fr-FR" w:bidi="th-TH"/>
        </w:rPr>
      </w:pPr>
      <w:proofErr w:type="gramStart"/>
      <w:r w:rsidRPr="00834A82">
        <w:rPr>
          <w:rFonts w:cs="Angsana New"/>
          <w:szCs w:val="24"/>
          <w:lang w:val="fr-FR" w:bidi="th-TH"/>
        </w:rPr>
        <w:t>avec</w:t>
      </w:r>
      <w:proofErr w:type="gramEnd"/>
      <w:r w:rsidRPr="00834A82">
        <w:rPr>
          <w:rFonts w:cs="Angsana New"/>
          <w:szCs w:val="24"/>
          <w:lang w:val="fr-FR" w:bidi="th-TH"/>
        </w:rPr>
        <w:t xml:space="preserve"> l</w:t>
      </w:r>
      <w:r w:rsidR="00D907A2">
        <w:rPr>
          <w:rFonts w:cs="Angsana New"/>
          <w:szCs w:val="24"/>
          <w:lang w:val="fr-FR" w:bidi="th-TH"/>
        </w:rPr>
        <w:t>’</w:t>
      </w:r>
      <w:r w:rsidRPr="00834A82">
        <w:rPr>
          <w:rFonts w:cs="Angsana New"/>
          <w:szCs w:val="24"/>
          <w:lang w:val="fr-FR" w:bidi="th-TH"/>
        </w:rPr>
        <w:t>illustration suivante</w:t>
      </w:r>
      <w:r w:rsidR="00881453">
        <w:rPr>
          <w:rFonts w:cs="Angsana New"/>
          <w:szCs w:val="24"/>
          <w:lang w:val="fr-FR" w:bidi="th-TH"/>
        </w:rPr>
        <w:t> </w:t>
      </w:r>
      <w:r w:rsidR="004F258F" w:rsidRPr="00834A82">
        <w:rPr>
          <w:rFonts w:cs="Angsana New"/>
          <w:szCs w:val="24"/>
          <w:lang w:val="fr-FR" w:bidi="th-TH"/>
        </w:rPr>
        <w:t>:</w:t>
      </w:r>
    </w:p>
    <w:tbl>
      <w:tblPr>
        <w:tblW w:w="0" w:type="auto"/>
        <w:tblInd w:w="392" w:type="dxa"/>
        <w:tblBorders>
          <w:top w:val="dashSmallGap" w:sz="4" w:space="0" w:color="31849B" w:themeColor="accent5" w:themeShade="BF"/>
          <w:left w:val="dashSmallGap" w:sz="4" w:space="0" w:color="31849B" w:themeColor="accent5" w:themeShade="BF"/>
          <w:bottom w:val="dashSmallGap" w:sz="4" w:space="0" w:color="31849B" w:themeColor="accent5" w:themeShade="BF"/>
          <w:right w:val="dashSmallGap" w:sz="4" w:space="0" w:color="31849B" w:themeColor="accent5" w:themeShade="BF"/>
          <w:insideH w:val="dashSmallGap" w:sz="4" w:space="0" w:color="31849B" w:themeColor="accent5" w:themeShade="BF"/>
          <w:insideV w:val="dashSmallGap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2929"/>
        <w:gridCol w:w="2929"/>
        <w:gridCol w:w="2930"/>
      </w:tblGrid>
      <w:tr w:rsidR="00834A82" w:rsidRPr="00834A82" w:rsidTr="007F3531">
        <w:tc>
          <w:tcPr>
            <w:tcW w:w="2929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5297E03D" wp14:editId="27826CB0">
                  <wp:extent cx="847725" cy="895350"/>
                  <wp:effectExtent l="0" t="0" r="952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51905E53" wp14:editId="2A7F6D72">
                  <wp:extent cx="752475" cy="9620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75967957" wp14:editId="28B9F106">
                  <wp:extent cx="742950" cy="9715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B51885" w:rsidTr="007F3531">
        <w:tc>
          <w:tcPr>
            <w:tcW w:w="2929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vers la base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au milieu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partie la plus large vers l</w:t>
            </w:r>
            <w:r w:rsidR="00D907A2">
              <w:rPr>
                <w:lang w:val="fr-FR"/>
              </w:rPr>
              <w:t>’</w:t>
            </w:r>
            <w:r w:rsidRPr="00834A82">
              <w:rPr>
                <w:lang w:val="fr-FR"/>
              </w:rPr>
              <w:t>apex</w:t>
            </w:r>
          </w:p>
        </w:tc>
      </w:tr>
      <w:tr w:rsidR="00834A82" w:rsidRPr="00834A82" w:rsidTr="007F3531">
        <w:tc>
          <w:tcPr>
            <w:tcW w:w="2929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1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ovale</w:t>
            </w:r>
          </w:p>
        </w:tc>
        <w:tc>
          <w:tcPr>
            <w:tcW w:w="2929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2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elliptique</w:t>
            </w:r>
          </w:p>
        </w:tc>
        <w:tc>
          <w:tcPr>
            <w:tcW w:w="2930" w:type="dxa"/>
            <w:shd w:val="clear" w:color="auto" w:fill="FFFFFF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3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proofErr w:type="spellStart"/>
            <w:r w:rsidRPr="00834A82">
              <w:rPr>
                <w:lang w:val="fr-FR"/>
              </w:rPr>
              <w:t>obovale</w:t>
            </w:r>
            <w:proofErr w:type="spellEnd"/>
          </w:p>
        </w:tc>
      </w:tr>
    </w:tbl>
    <w:p w:rsidR="00934BE5" w:rsidRPr="00834A82" w:rsidRDefault="00934BE5" w:rsidP="004F258F">
      <w:pPr>
        <w:jc w:val="center"/>
        <w:rPr>
          <w:lang w:val="fr-FR"/>
        </w:rPr>
      </w:pPr>
    </w:p>
    <w:p w:rsidR="00506B70" w:rsidRPr="00834A82" w:rsidRDefault="00506B70">
      <w:pPr>
        <w:jc w:val="left"/>
        <w:rPr>
          <w:i/>
          <w:lang w:val="fr-FR"/>
        </w:rPr>
      </w:pPr>
    </w:p>
    <w:p w:rsidR="00D907A2" w:rsidRDefault="009109C6" w:rsidP="004F258F">
      <w:pPr>
        <w:rPr>
          <w:i/>
          <w:lang w:val="fr-FR"/>
        </w:rPr>
      </w:pPr>
      <w:r w:rsidRPr="00834A82">
        <w:rPr>
          <w:i/>
          <w:lang w:val="fr-FR"/>
        </w:rPr>
        <w:t>Exe</w:t>
      </w:r>
      <w:r w:rsidR="004F258F" w:rsidRPr="00834A82">
        <w:rPr>
          <w:i/>
          <w:lang w:val="fr-FR"/>
        </w:rPr>
        <w:t>mple</w:t>
      </w:r>
      <w:r w:rsidR="00956579">
        <w:rPr>
          <w:i/>
          <w:lang w:val="fr-FR"/>
        </w:rPr>
        <w:t> </w:t>
      </w:r>
      <w:r w:rsidR="004F258F" w:rsidRPr="00834A82">
        <w:rPr>
          <w:i/>
          <w:lang w:val="fr-FR"/>
        </w:rPr>
        <w:t>3</w:t>
      </w:r>
      <w:r w:rsidR="00D907A2">
        <w:rPr>
          <w:i/>
          <w:lang w:val="fr-FR"/>
        </w:rPr>
        <w:t> :</w:t>
      </w:r>
      <w:r w:rsidR="004F258F" w:rsidRPr="00834A82">
        <w:rPr>
          <w:i/>
          <w:lang w:val="fr-FR"/>
        </w:rPr>
        <w:t xml:space="preserve"> variation </w:t>
      </w:r>
      <w:r w:rsidRPr="00834A82">
        <w:rPr>
          <w:i/>
          <w:lang w:val="fr-FR"/>
        </w:rPr>
        <w:t>dans le rapport longueur/largeur</w:t>
      </w:r>
      <w:r w:rsidR="004F258F" w:rsidRPr="00834A82">
        <w:rPr>
          <w:i/>
          <w:lang w:val="fr-FR"/>
        </w:rPr>
        <w:t xml:space="preserve">, </w:t>
      </w:r>
      <w:r w:rsidRPr="00834A82">
        <w:rPr>
          <w:i/>
          <w:lang w:val="fr-FR"/>
        </w:rPr>
        <w:t>la forme de la base et le schéma latéral</w:t>
      </w:r>
    </w:p>
    <w:p w:rsidR="00934BE5" w:rsidRPr="00834A82" w:rsidRDefault="00934BE5" w:rsidP="004F258F">
      <w:pPr>
        <w:ind w:left="992"/>
        <w:rPr>
          <w:lang w:val="fr-FR"/>
        </w:rPr>
      </w:pPr>
    </w:p>
    <w:p w:rsidR="00934BE5" w:rsidRPr="00834A82" w:rsidRDefault="009109C6" w:rsidP="004F258F">
      <w:pPr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1</w:t>
      </w:r>
    </w:p>
    <w:p w:rsidR="009109C6" w:rsidRPr="00834A82" w:rsidRDefault="009109C6" w:rsidP="009109C6">
      <w:pPr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rapport longueur/largeur (bas à élevé) (QN)</w:t>
      </w:r>
    </w:p>
    <w:p w:rsidR="009109C6" w:rsidRPr="00834A82" w:rsidRDefault="009109C6" w:rsidP="009109C6">
      <w:pPr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forme de la base (aiguë, obtuse, arrondie) (PQ)</w:t>
      </w:r>
    </w:p>
    <w:p w:rsidR="00934BE5" w:rsidRPr="00834A82" w:rsidRDefault="009109C6" w:rsidP="009109C6">
      <w:pPr>
        <w:ind w:left="567"/>
        <w:rPr>
          <w:rFonts w:cs="Angsana New"/>
          <w:szCs w:val="24"/>
          <w:lang w:val="fr-FR" w:bidi="th-TH"/>
        </w:rPr>
      </w:pPr>
      <w:r w:rsidRPr="00834A82">
        <w:rPr>
          <w:rFonts w:cs="Angsana New"/>
          <w:szCs w:val="24"/>
          <w:lang w:val="fr-FR" w:bidi="th-TH"/>
        </w:rPr>
        <w:t>Plante [partie]</w:t>
      </w:r>
      <w:r w:rsidR="00D907A2">
        <w:rPr>
          <w:rFonts w:cs="Angsana New"/>
          <w:szCs w:val="24"/>
          <w:lang w:val="fr-FR" w:bidi="th-TH"/>
        </w:rPr>
        <w:t> :</w:t>
      </w:r>
      <w:r w:rsidRPr="00834A82">
        <w:rPr>
          <w:rFonts w:cs="Angsana New"/>
          <w:szCs w:val="24"/>
          <w:lang w:val="fr-FR" w:bidi="th-TH"/>
        </w:rPr>
        <w:t xml:space="preserve"> schéma latéral (nettement arrondie à nettement triangulaire) (QN</w:t>
      </w:r>
      <w:r w:rsidR="00956579">
        <w:rPr>
          <w:rFonts w:cs="Angsana New"/>
          <w:szCs w:val="24"/>
          <w:lang w:val="fr-FR" w:bidi="th-TH"/>
        </w:rPr>
        <w:t>)</w:t>
      </w:r>
    </w:p>
    <w:p w:rsidR="00934BE5" w:rsidRPr="00834A82" w:rsidRDefault="00934BE5" w:rsidP="004F258F">
      <w:pPr>
        <w:ind w:left="360"/>
        <w:rPr>
          <w:lang w:val="fr-FR"/>
        </w:rPr>
      </w:pPr>
    </w:p>
    <w:p w:rsidR="00934BE5" w:rsidRPr="00834A82" w:rsidRDefault="009109C6" w:rsidP="004F258F">
      <w:pPr>
        <w:shd w:val="clear" w:color="auto" w:fill="FFFFFF"/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2</w:t>
      </w:r>
    </w:p>
    <w:p w:rsidR="009109C6" w:rsidRPr="00834A82" w:rsidRDefault="009109C6" w:rsidP="009109C6">
      <w:pPr>
        <w:shd w:val="clear" w:color="auto" w:fill="FFFFFF"/>
        <w:ind w:left="562"/>
        <w:rPr>
          <w:lang w:val="fr-FR"/>
        </w:rPr>
      </w:pPr>
      <w:r w:rsidRPr="00834A82">
        <w:rPr>
          <w:lang w:val="fr-FR"/>
        </w:rPr>
        <w:t>Plante [partie]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forme (ovale large (1);  ovale moyenne (2);  demi</w:t>
      </w:r>
      <w:r w:rsidR="00D907A2">
        <w:rPr>
          <w:lang w:val="fr-FR"/>
        </w:rPr>
        <w:t>-</w:t>
      </w:r>
      <w:proofErr w:type="spellStart"/>
      <w:r w:rsidRPr="00834A82">
        <w:rPr>
          <w:lang w:val="fr-FR"/>
        </w:rPr>
        <w:t>trullée</w:t>
      </w:r>
      <w:proofErr w:type="spellEnd"/>
      <w:r w:rsidRPr="00834A82">
        <w:rPr>
          <w:lang w:val="fr-FR"/>
        </w:rPr>
        <w:t xml:space="preserve"> (3);  ovale étroite (4);  </w:t>
      </w:r>
      <w:proofErr w:type="spellStart"/>
      <w:r w:rsidRPr="00834A82">
        <w:rPr>
          <w:lang w:val="fr-FR"/>
        </w:rPr>
        <w:t>trullée</w:t>
      </w:r>
      <w:proofErr w:type="spellEnd"/>
      <w:r w:rsidRPr="00834A82">
        <w:rPr>
          <w:lang w:val="fr-FR"/>
        </w:rPr>
        <w:t xml:space="preserve"> étroite (5)) (PQ)</w:t>
      </w:r>
    </w:p>
    <w:p w:rsidR="009109C6" w:rsidRPr="00834A82" w:rsidRDefault="009109C6" w:rsidP="009109C6">
      <w:pPr>
        <w:shd w:val="clear" w:color="auto" w:fill="FFFFFF"/>
        <w:ind w:left="562"/>
        <w:rPr>
          <w:lang w:val="fr-FR"/>
        </w:rPr>
      </w:pPr>
    </w:p>
    <w:p w:rsidR="00934BE5" w:rsidRPr="00834A82" w:rsidRDefault="009109C6" w:rsidP="009109C6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  <w:proofErr w:type="gramStart"/>
      <w:r w:rsidRPr="00834A82">
        <w:rPr>
          <w:lang w:val="fr-FR"/>
        </w:rPr>
        <w:t>avec</w:t>
      </w:r>
      <w:proofErr w:type="gramEnd"/>
      <w:r w:rsidRPr="00834A82">
        <w:rPr>
          <w:lang w:val="fr-FR"/>
        </w:rPr>
        <w:t xml:space="preserve"> l</w:t>
      </w:r>
      <w:r w:rsidR="00D907A2">
        <w:rPr>
          <w:lang w:val="fr-FR"/>
        </w:rPr>
        <w:t>’</w:t>
      </w:r>
      <w:r w:rsidRPr="00834A82">
        <w:rPr>
          <w:lang w:val="fr-FR"/>
        </w:rPr>
        <w:t>illustration suivante</w:t>
      </w:r>
      <w:r w:rsidR="00D907A2">
        <w:rPr>
          <w:lang w:val="fr-FR"/>
        </w:rPr>
        <w:t> :</w:t>
      </w:r>
    </w:p>
    <w:p w:rsidR="009109C6" w:rsidRPr="00834A82" w:rsidRDefault="009109C6" w:rsidP="009109C6">
      <w:pPr>
        <w:shd w:val="clear" w:color="auto" w:fill="FFFFFF"/>
        <w:ind w:left="562"/>
        <w:rPr>
          <w:rFonts w:cs="Angsana New"/>
          <w:szCs w:val="24"/>
          <w:lang w:val="fr-FR" w:bidi="th-TH"/>
        </w:rPr>
      </w:pPr>
    </w:p>
    <w:tbl>
      <w:tblPr>
        <w:tblW w:w="0" w:type="auto"/>
        <w:tblInd w:w="534" w:type="dxa"/>
        <w:tblBorders>
          <w:top w:val="dashSmallGap" w:sz="4" w:space="0" w:color="31849B" w:themeColor="accent5" w:themeShade="BF"/>
          <w:left w:val="dashSmallGap" w:sz="4" w:space="0" w:color="31849B" w:themeColor="accent5" w:themeShade="BF"/>
          <w:bottom w:val="dashSmallGap" w:sz="4" w:space="0" w:color="31849B" w:themeColor="accent5" w:themeShade="BF"/>
          <w:right w:val="dashSmallGap" w:sz="4" w:space="0" w:color="31849B" w:themeColor="accent5" w:themeShade="BF"/>
          <w:insideH w:val="dashSmallGap" w:sz="4" w:space="0" w:color="31849B" w:themeColor="accent5" w:themeShade="BF"/>
          <w:insideV w:val="dashSmallGap" w:sz="4" w:space="0" w:color="31849B" w:themeColor="accent5" w:themeShade="BF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425"/>
        <w:gridCol w:w="2457"/>
        <w:gridCol w:w="2457"/>
        <w:gridCol w:w="2457"/>
      </w:tblGrid>
      <w:tr w:rsidR="00834A82" w:rsidRPr="00834A82" w:rsidTr="00190CC1">
        <w:tc>
          <w:tcPr>
            <w:tcW w:w="850" w:type="dxa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large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sym w:font="Wingdings" w:char="F0DF"/>
            </w:r>
            <w:r w:rsidRPr="00834A82">
              <w:rPr>
                <w:lang w:val="fr-FR"/>
              </w:rPr>
              <w:sym w:font="Wingdings" w:char="F0E0"/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étroite</w:t>
            </w:r>
          </w:p>
        </w:tc>
      </w:tr>
      <w:tr w:rsidR="00834A82" w:rsidRPr="00834A82" w:rsidTr="00190CC1">
        <w:tc>
          <w:tcPr>
            <w:tcW w:w="850" w:type="dxa"/>
            <w:tcBorders>
              <w:bottom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</w:tr>
      <w:tr w:rsidR="00834A82" w:rsidRPr="00834A82" w:rsidTr="00190CC1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SmallGap" w:sz="4" w:space="0" w:color="31849B" w:themeColor="accent5" w:themeShade="BF"/>
              <w:right w:val="single" w:sz="4" w:space="0" w:color="auto"/>
            </w:tcBorders>
            <w:textDirection w:val="btLr"/>
          </w:tcPr>
          <w:p w:rsidR="009109C6" w:rsidRPr="00834A82" w:rsidRDefault="009109C6" w:rsidP="00DF175E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schéma triangulaire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030939FE" wp14:editId="140289B0">
                  <wp:extent cx="571500" cy="1066800"/>
                  <wp:effectExtent l="0" t="0" r="0" b="0"/>
                  <wp:docPr id="712" name="Picture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068D232" wp14:editId="1054ADEB">
                  <wp:extent cx="514350" cy="981075"/>
                  <wp:effectExtent l="0" t="0" r="0" b="9525"/>
                  <wp:docPr id="711" name="Picture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834A82" w:rsidTr="00190CC1">
        <w:trPr>
          <w:cantSplit/>
          <w:trHeight w:val="632"/>
        </w:trPr>
        <w:tc>
          <w:tcPr>
            <w:tcW w:w="850" w:type="dxa"/>
            <w:tcBorders>
              <w:top w:val="dashSmallGap" w:sz="4" w:space="0" w:color="31849B" w:themeColor="accent5" w:themeShade="BF"/>
              <w:left w:val="single" w:sz="4" w:space="0" w:color="auto"/>
              <w:bottom w:val="dashSmallGap" w:sz="4" w:space="0" w:color="31849B" w:themeColor="accent5" w:themeShade="BF"/>
              <w:right w:val="single" w:sz="4" w:space="0" w:color="auto"/>
            </w:tcBorders>
            <w:textDirection w:val="btL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sym w:font="Wingdings" w:char="F0DF"/>
            </w:r>
            <w:r w:rsidRPr="00834A82">
              <w:rPr>
                <w:lang w:val="fr-FR"/>
              </w:rPr>
              <w:sym w:font="Wingdings" w:char="F0E0"/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3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demi</w:t>
            </w:r>
            <w:r w:rsidR="00D907A2">
              <w:rPr>
                <w:lang w:val="fr-FR"/>
              </w:rPr>
              <w:t>-</w:t>
            </w:r>
            <w:proofErr w:type="spellStart"/>
            <w:r w:rsidRPr="00834A82">
              <w:rPr>
                <w:lang w:val="fr-FR"/>
              </w:rPr>
              <w:t>trullée</w:t>
            </w:r>
            <w:proofErr w:type="spellEnd"/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5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proofErr w:type="spellStart"/>
            <w:r w:rsidRPr="00834A82">
              <w:rPr>
                <w:lang w:val="fr-FR"/>
              </w:rPr>
              <w:t>trullée</w:t>
            </w:r>
            <w:proofErr w:type="spellEnd"/>
            <w:r w:rsidRPr="00834A82">
              <w:rPr>
                <w:lang w:val="fr-FR"/>
              </w:rPr>
              <w:t xml:space="preserve"> étroite</w:t>
            </w:r>
          </w:p>
        </w:tc>
      </w:tr>
      <w:tr w:rsidR="00834A82" w:rsidRPr="00834A82" w:rsidTr="00190CC1">
        <w:trPr>
          <w:cantSplit/>
          <w:trHeight w:val="1134"/>
        </w:trPr>
        <w:tc>
          <w:tcPr>
            <w:tcW w:w="850" w:type="dxa"/>
            <w:tcBorders>
              <w:top w:val="dashSmallGap" w:sz="4" w:space="0" w:color="31849B" w:themeColor="accent5" w:themeShade="BF"/>
              <w:left w:val="single" w:sz="4" w:space="0" w:color="auto"/>
              <w:bottom w:val="dashSmallGap" w:sz="4" w:space="0" w:color="31849B" w:themeColor="accent5" w:themeShade="BF"/>
              <w:right w:val="single" w:sz="4" w:space="0" w:color="auto"/>
            </w:tcBorders>
            <w:textDirection w:val="btLr"/>
          </w:tcPr>
          <w:p w:rsidR="009109C6" w:rsidRPr="00834A82" w:rsidRDefault="009109C6" w:rsidP="00DF175E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schéma arrondi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446C20FB" wp14:editId="033A1634">
                  <wp:extent cx="866775" cy="923925"/>
                  <wp:effectExtent l="0" t="0" r="9525" b="9525"/>
                  <wp:docPr id="710" name="Picture 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66727446" wp14:editId="4FE381CA">
                  <wp:extent cx="657225" cy="895350"/>
                  <wp:effectExtent l="0" t="0" r="9525" b="0"/>
                  <wp:docPr id="709" name="Picture 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65F7037D" wp14:editId="504DBBD5">
                  <wp:extent cx="695325" cy="981075"/>
                  <wp:effectExtent l="0" t="0" r="9525" b="9525"/>
                  <wp:docPr id="708" name="Picture 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09C6" w:rsidRPr="00834A82" w:rsidTr="00190CC1">
        <w:trPr>
          <w:cantSplit/>
          <w:trHeight w:val="505"/>
        </w:trPr>
        <w:tc>
          <w:tcPr>
            <w:tcW w:w="850" w:type="dxa"/>
            <w:tcBorders>
              <w:top w:val="dashSmallGap" w:sz="4" w:space="0" w:color="31849B" w:themeColor="accent5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1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ovale large</w:t>
            </w: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2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demi</w:t>
            </w:r>
            <w:r w:rsidR="00D907A2">
              <w:rPr>
                <w:lang w:val="fr-FR"/>
              </w:rPr>
              <w:t>-</w:t>
            </w:r>
            <w:r w:rsidRPr="00834A82">
              <w:rPr>
                <w:lang w:val="fr-FR"/>
              </w:rPr>
              <w:t>ovale</w:t>
            </w:r>
          </w:p>
        </w:tc>
        <w:tc>
          <w:tcPr>
            <w:tcW w:w="2457" w:type="dxa"/>
            <w:vAlign w:val="center"/>
          </w:tcPr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4</w:t>
            </w:r>
          </w:p>
          <w:p w:rsidR="009109C6" w:rsidRPr="00834A82" w:rsidRDefault="009109C6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ovale étroite</w:t>
            </w:r>
          </w:p>
        </w:tc>
      </w:tr>
    </w:tbl>
    <w:p w:rsidR="00934BE5" w:rsidRPr="00834A82" w:rsidRDefault="00934BE5" w:rsidP="004F258F">
      <w:pPr>
        <w:jc w:val="center"/>
        <w:rPr>
          <w:i/>
          <w:lang w:val="fr-FR"/>
        </w:rPr>
      </w:pPr>
    </w:p>
    <w:p w:rsidR="00934BE5" w:rsidRPr="00834A82" w:rsidRDefault="00934BE5" w:rsidP="004F258F">
      <w:pPr>
        <w:rPr>
          <w:i/>
          <w:lang w:val="fr-FR"/>
        </w:rPr>
      </w:pPr>
    </w:p>
    <w:p w:rsidR="00934BE5" w:rsidRPr="00834A82" w:rsidRDefault="00934BE5" w:rsidP="004F258F">
      <w:pPr>
        <w:rPr>
          <w:i/>
          <w:lang w:val="fr-FR"/>
        </w:rPr>
      </w:pPr>
    </w:p>
    <w:p w:rsidR="001F3048" w:rsidRPr="00834A82" w:rsidRDefault="001F3048">
      <w:pPr>
        <w:jc w:val="left"/>
        <w:rPr>
          <w:i/>
          <w:lang w:val="fr-FR"/>
        </w:rPr>
      </w:pPr>
      <w:r w:rsidRPr="00834A82">
        <w:rPr>
          <w:i/>
          <w:lang w:val="fr-FR"/>
        </w:rPr>
        <w:br w:type="page"/>
      </w:r>
    </w:p>
    <w:p w:rsidR="00D907A2" w:rsidRDefault="009109C6" w:rsidP="004F258F">
      <w:pPr>
        <w:rPr>
          <w:i/>
          <w:lang w:val="fr-FR"/>
        </w:rPr>
      </w:pPr>
      <w:r w:rsidRPr="00834A82">
        <w:rPr>
          <w:i/>
          <w:lang w:val="fr-FR"/>
        </w:rPr>
        <w:lastRenderedPageBreak/>
        <w:t>Exe</w:t>
      </w:r>
      <w:r w:rsidR="004F258F" w:rsidRPr="00834A82">
        <w:rPr>
          <w:i/>
          <w:lang w:val="fr-FR"/>
        </w:rPr>
        <w:t>mple</w:t>
      </w:r>
      <w:r w:rsidR="00956579">
        <w:rPr>
          <w:i/>
          <w:lang w:val="fr-FR"/>
        </w:rPr>
        <w:t> </w:t>
      </w:r>
      <w:r w:rsidR="004F258F" w:rsidRPr="00834A82">
        <w:rPr>
          <w:i/>
          <w:lang w:val="fr-FR"/>
        </w:rPr>
        <w:t>4</w:t>
      </w:r>
      <w:r w:rsidR="00D907A2">
        <w:rPr>
          <w:i/>
          <w:lang w:val="fr-FR"/>
        </w:rPr>
        <w:t> :</w:t>
      </w:r>
      <w:r w:rsidR="004F258F" w:rsidRPr="00834A82">
        <w:rPr>
          <w:i/>
          <w:lang w:val="fr-FR"/>
        </w:rPr>
        <w:t xml:space="preserve"> variation </w:t>
      </w:r>
      <w:r w:rsidRPr="00834A82">
        <w:rPr>
          <w:i/>
          <w:lang w:val="fr-FR"/>
        </w:rPr>
        <w:t>dans le rapport hauteur/diamètre, la position de la partie la plus large et le schéma latéral dans la moitié apicale</w:t>
      </w:r>
    </w:p>
    <w:p w:rsidR="00934BE5" w:rsidRPr="00834A82" w:rsidRDefault="00934BE5" w:rsidP="004F258F">
      <w:pPr>
        <w:ind w:left="360"/>
        <w:rPr>
          <w:lang w:val="fr-FR"/>
        </w:rPr>
      </w:pPr>
    </w:p>
    <w:p w:rsidR="00934BE5" w:rsidRPr="00834A82" w:rsidRDefault="009109C6" w:rsidP="004F258F">
      <w:pPr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1</w:t>
      </w:r>
    </w:p>
    <w:p w:rsidR="00934BE5" w:rsidRPr="00834A82" w:rsidRDefault="00934BE5" w:rsidP="004F258F">
      <w:pPr>
        <w:rPr>
          <w:lang w:val="fr-FR"/>
        </w:rPr>
      </w:pPr>
    </w:p>
    <w:p w:rsidR="009109C6" w:rsidRPr="00834A82" w:rsidRDefault="009109C6" w:rsidP="009109C6">
      <w:pPr>
        <w:pStyle w:val="ListParagraph"/>
        <w:numPr>
          <w:ilvl w:val="0"/>
          <w:numId w:val="4"/>
        </w:numPr>
        <w:jc w:val="left"/>
        <w:rPr>
          <w:iCs/>
          <w:lang w:val="fr-FR"/>
        </w:rPr>
      </w:pPr>
      <w:r w:rsidRPr="00834A82">
        <w:rPr>
          <w:lang w:val="fr-FR"/>
        </w:rPr>
        <w:t>rapport hauteur/diamètre (QN)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très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bas (1);  bas (3);  moyen (5);  élevé (7);  très élevé (9)</w:t>
      </w:r>
    </w:p>
    <w:p w:rsidR="009109C6" w:rsidRPr="00834A82" w:rsidRDefault="009109C6" w:rsidP="009109C6">
      <w:pPr>
        <w:pStyle w:val="ListParagraph"/>
        <w:ind w:left="1137"/>
        <w:jc w:val="left"/>
        <w:rPr>
          <w:iCs/>
          <w:lang w:val="fr-FR"/>
        </w:rPr>
      </w:pPr>
    </w:p>
    <w:p w:rsidR="009109C6" w:rsidRPr="00834A82" w:rsidRDefault="009109C6" w:rsidP="009109C6">
      <w:pPr>
        <w:pStyle w:val="ListParagraph"/>
        <w:numPr>
          <w:ilvl w:val="0"/>
          <w:numId w:val="4"/>
        </w:numPr>
        <w:jc w:val="left"/>
        <w:rPr>
          <w:iCs/>
          <w:lang w:val="fr-FR"/>
        </w:rPr>
      </w:pPr>
      <w:r w:rsidRPr="00834A82">
        <w:rPr>
          <w:lang w:val="fr-FR"/>
        </w:rPr>
        <w:t>position de la partie la plus large (QN)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au milieu (1);  légèrement vers la base (</w:t>
      </w:r>
      <w:r w:rsidR="00506B70" w:rsidRPr="00834A82">
        <w:rPr>
          <w:iCs/>
          <w:lang w:val="fr-FR"/>
        </w:rPr>
        <w:t>2);  fortement vers la base (3)</w:t>
      </w:r>
    </w:p>
    <w:p w:rsidR="009109C6" w:rsidRPr="00834A82" w:rsidRDefault="009109C6" w:rsidP="009109C6">
      <w:pPr>
        <w:jc w:val="left"/>
        <w:rPr>
          <w:iCs/>
          <w:lang w:val="fr-FR"/>
        </w:rPr>
      </w:pPr>
    </w:p>
    <w:p w:rsidR="009109C6" w:rsidRPr="00834A82" w:rsidRDefault="009109C6" w:rsidP="009109C6">
      <w:pPr>
        <w:pStyle w:val="ListParagraph"/>
        <w:numPr>
          <w:ilvl w:val="0"/>
          <w:numId w:val="4"/>
        </w:numPr>
        <w:jc w:val="left"/>
        <w:rPr>
          <w:iCs/>
          <w:lang w:val="fr-FR"/>
        </w:rPr>
      </w:pPr>
      <w:r w:rsidRPr="00834A82">
        <w:rPr>
          <w:lang w:val="fr-FR"/>
        </w:rPr>
        <w:t>schéma latéral dans la moitié apicale (PQ)</w:t>
      </w:r>
      <w:r w:rsidR="00D907A2">
        <w:rPr>
          <w:lang w:val="fr-FR"/>
        </w:rPr>
        <w:t> :</w:t>
      </w:r>
      <w:r w:rsidRPr="00834A82">
        <w:rPr>
          <w:iCs/>
          <w:lang w:val="fr-FR"/>
        </w:rPr>
        <w:t xml:space="preserve"> arrondie (1);  parallèle (2);  terminaison en pointe aplatie (3);  concave (4)</w:t>
      </w:r>
    </w:p>
    <w:p w:rsidR="009109C6" w:rsidRPr="00834A82" w:rsidRDefault="009109C6" w:rsidP="009109C6">
      <w:pPr>
        <w:pStyle w:val="ListParagraph"/>
        <w:ind w:left="1137"/>
        <w:jc w:val="left"/>
        <w:rPr>
          <w:iCs/>
          <w:lang w:val="fr-FR"/>
        </w:rPr>
      </w:pPr>
    </w:p>
    <w:p w:rsidR="00934BE5" w:rsidRPr="00834A82" w:rsidRDefault="009109C6" w:rsidP="004F258F">
      <w:pPr>
        <w:shd w:val="clear" w:color="auto" w:fill="FFFFFF"/>
        <w:ind w:left="360"/>
        <w:rPr>
          <w:lang w:val="fr-FR"/>
        </w:rPr>
      </w:pPr>
      <w:r w:rsidRPr="00834A82">
        <w:rPr>
          <w:lang w:val="fr-FR"/>
        </w:rPr>
        <w:t>Variante</w:t>
      </w:r>
      <w:r w:rsidR="00956579">
        <w:rPr>
          <w:lang w:val="fr-FR"/>
        </w:rPr>
        <w:t> </w:t>
      </w:r>
      <w:r w:rsidR="004F258F" w:rsidRPr="00834A82">
        <w:rPr>
          <w:lang w:val="fr-FR"/>
        </w:rPr>
        <w:t>2</w:t>
      </w:r>
    </w:p>
    <w:p w:rsidR="00934BE5" w:rsidRPr="00834A82" w:rsidRDefault="00934BE5" w:rsidP="004F258F">
      <w:pPr>
        <w:shd w:val="clear" w:color="auto" w:fill="FFFFFF"/>
        <w:ind w:left="360"/>
        <w:rPr>
          <w:lang w:val="fr-FR"/>
        </w:rPr>
      </w:pPr>
    </w:p>
    <w:p w:rsidR="00702FCA" w:rsidRPr="00834A82" w:rsidRDefault="00702FCA" w:rsidP="00702FCA">
      <w:pPr>
        <w:pStyle w:val="ListParagraph"/>
        <w:numPr>
          <w:ilvl w:val="0"/>
          <w:numId w:val="5"/>
        </w:numPr>
        <w:jc w:val="left"/>
        <w:rPr>
          <w:iCs/>
          <w:lang w:val="fr-FR"/>
        </w:rPr>
      </w:pPr>
      <w:r w:rsidRPr="00834A82">
        <w:rPr>
          <w:lang w:val="fr-FR"/>
        </w:rPr>
        <w:t>rapport hauteur/diamètre (QN)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très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bas (1);  bas (3);  moyen (5);  élevé (7);  très élevé (9)</w:t>
      </w:r>
    </w:p>
    <w:p w:rsidR="00702FCA" w:rsidRPr="00834A82" w:rsidRDefault="00702FCA" w:rsidP="00702FCA">
      <w:pPr>
        <w:pStyle w:val="ListParagraph"/>
        <w:ind w:left="1137"/>
        <w:jc w:val="left"/>
        <w:rPr>
          <w:iCs/>
          <w:lang w:val="fr-FR"/>
        </w:rPr>
      </w:pPr>
    </w:p>
    <w:p w:rsidR="00702FCA" w:rsidRPr="00834A82" w:rsidRDefault="00702FCA" w:rsidP="00702FCA">
      <w:pPr>
        <w:ind w:left="567"/>
        <w:jc w:val="left"/>
        <w:rPr>
          <w:iCs/>
          <w:lang w:val="fr-FR"/>
        </w:rPr>
      </w:pPr>
      <w:r w:rsidRPr="00834A82">
        <w:rPr>
          <w:lang w:val="fr-FR"/>
        </w:rPr>
        <w:t>b)</w:t>
      </w:r>
      <w:r w:rsidRPr="00834A82">
        <w:rPr>
          <w:lang w:val="fr-FR"/>
        </w:rPr>
        <w:tab/>
        <w:t>forme générale (PQ)</w:t>
      </w:r>
      <w:r w:rsidR="00D907A2">
        <w:rPr>
          <w:lang w:val="fr-FR"/>
        </w:rPr>
        <w:t> :</w:t>
      </w:r>
      <w:r w:rsidRPr="00834A82">
        <w:rPr>
          <w:lang w:val="fr-FR"/>
        </w:rPr>
        <w:t xml:space="preserve"> </w:t>
      </w:r>
      <w:r w:rsidRPr="00834A82">
        <w:rPr>
          <w:iCs/>
          <w:lang w:val="fr-FR"/>
        </w:rPr>
        <w:t>cylindrique rétrécie (1);  conique (2);  ovale (3);  cylindrique (4);  elliptique</w:t>
      </w:r>
      <w:r w:rsidR="0013798B">
        <w:rPr>
          <w:iCs/>
          <w:lang w:val="fr-FR"/>
        </w:rPr>
        <w:t> </w:t>
      </w:r>
      <w:r w:rsidRPr="00834A82">
        <w:rPr>
          <w:iCs/>
          <w:lang w:val="fr-FR"/>
        </w:rPr>
        <w:t>(5)</w:t>
      </w:r>
    </w:p>
    <w:p w:rsidR="00702FCA" w:rsidRPr="00834A82" w:rsidRDefault="00702FCA" w:rsidP="00702FCA">
      <w:pPr>
        <w:ind w:left="567"/>
        <w:jc w:val="left"/>
        <w:rPr>
          <w:lang w:val="fr-FR"/>
        </w:rPr>
      </w:pPr>
    </w:p>
    <w:p w:rsidR="00D907A2" w:rsidRDefault="00702FCA" w:rsidP="00702FCA">
      <w:pPr>
        <w:ind w:left="567"/>
        <w:jc w:val="left"/>
        <w:rPr>
          <w:lang w:val="fr-FR"/>
        </w:rPr>
      </w:pPr>
      <w:proofErr w:type="gramStart"/>
      <w:r w:rsidRPr="00834A82">
        <w:rPr>
          <w:iCs/>
          <w:lang w:val="fr-FR"/>
        </w:rPr>
        <w:t>avec</w:t>
      </w:r>
      <w:proofErr w:type="gramEnd"/>
      <w:r w:rsidRPr="00834A82">
        <w:rPr>
          <w:iCs/>
          <w:lang w:val="fr-FR"/>
        </w:rPr>
        <w:t xml:space="preserve"> l</w:t>
      </w:r>
      <w:r w:rsidR="00D907A2">
        <w:rPr>
          <w:iCs/>
          <w:lang w:val="fr-FR"/>
        </w:rPr>
        <w:t>’</w:t>
      </w:r>
      <w:r w:rsidRPr="00834A82">
        <w:rPr>
          <w:iCs/>
          <w:lang w:val="fr-FR"/>
        </w:rPr>
        <w:t>illustration suivante</w:t>
      </w:r>
      <w:r w:rsidR="00D907A2">
        <w:rPr>
          <w:iCs/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283"/>
        <w:gridCol w:w="2092"/>
        <w:gridCol w:w="2093"/>
        <w:gridCol w:w="2092"/>
        <w:gridCol w:w="2093"/>
      </w:tblGrid>
      <w:tr w:rsidR="00834A82" w:rsidRPr="00B51885" w:rsidTr="00F1485D">
        <w:trPr>
          <w:cantSplit/>
          <w:jc w:val="center"/>
        </w:trPr>
        <w:tc>
          <w:tcPr>
            <w:tcW w:w="435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  <w:vAlign w:val="center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8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sym w:font="Wingdings" w:char="F0DF"/>
            </w:r>
            <w:r w:rsidRPr="00834A82">
              <w:rPr>
                <w:lang w:val="fr-FR"/>
              </w:rPr>
              <w:tab/>
            </w:r>
            <w:r w:rsidRPr="00834A82">
              <w:rPr>
                <w:lang w:val="fr-FR"/>
              </w:rPr>
              <w:tab/>
              <w:t>schéma latéral dans la moitié apicale</w:t>
            </w:r>
            <w:r w:rsidRPr="00834A82">
              <w:rPr>
                <w:lang w:val="fr-FR"/>
              </w:rPr>
              <w:tab/>
            </w:r>
            <w:r w:rsidRPr="00834A82">
              <w:rPr>
                <w:lang w:val="fr-FR"/>
              </w:rPr>
              <w:tab/>
            </w:r>
            <w:r w:rsidRPr="00834A82">
              <w:rPr>
                <w:lang w:val="fr-FR"/>
              </w:rPr>
              <w:sym w:font="Wingdings" w:char="F0E0"/>
            </w:r>
          </w:p>
        </w:tc>
      </w:tr>
      <w:tr w:rsidR="00834A82" w:rsidRPr="00834A82" w:rsidTr="00F1485D">
        <w:trPr>
          <w:cantSplit/>
          <w:jc w:val="center"/>
        </w:trPr>
        <w:tc>
          <w:tcPr>
            <w:tcW w:w="435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  <w:vAlign w:val="bottom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concave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terminaison en pointe aplatie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arrondie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bords parallèles aplatis</w:t>
            </w:r>
          </w:p>
        </w:tc>
      </w:tr>
      <w:tr w:rsidR="00834A82" w:rsidRPr="00834A82" w:rsidTr="00F1485D">
        <w:trPr>
          <w:cantSplit/>
          <w:jc w:val="center"/>
        </w:trPr>
        <w:tc>
          <w:tcPr>
            <w:tcW w:w="435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4" w:space="0" w:color="auto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bottom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</w:tr>
      <w:tr w:rsidR="00834A82" w:rsidRPr="00834A82" w:rsidTr="00742D2B">
        <w:trPr>
          <w:cantSplit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FCA" w:rsidRPr="00834A82" w:rsidRDefault="00702FCA" w:rsidP="006E0CEF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à la base </w:t>
            </w:r>
            <w:r w:rsidRPr="00834A82">
              <w:rPr>
                <w:lang w:val="fr-FR"/>
              </w:rPr>
              <w:sym w:font="Wingdings" w:char="F0DF"/>
            </w:r>
            <w:r w:rsidRPr="00834A82">
              <w:rPr>
                <w:lang w:val="fr-FR"/>
              </w:rPr>
              <w:t xml:space="preserve"> position de la </w:t>
            </w:r>
            <w:r w:rsidR="003C3488" w:rsidRPr="00834A82">
              <w:rPr>
                <w:lang w:val="fr-FR"/>
              </w:rPr>
              <w:t>parti</w:t>
            </w:r>
            <w:r w:rsidR="003C3488">
              <w:rPr>
                <w:lang w:val="fr-FR"/>
              </w:rPr>
              <w:t>e</w:t>
            </w:r>
            <w:r w:rsidRPr="00834A82">
              <w:rPr>
                <w:lang w:val="fr-FR"/>
              </w:rPr>
              <w:t xml:space="preserve"> la plus large </w:t>
            </w:r>
            <w:r w:rsidRPr="00834A82">
              <w:rPr>
                <w:lang w:val="fr-FR"/>
              </w:rPr>
              <w:sym w:font="Wingdings" w:char="F0E0"/>
            </w:r>
            <w:r w:rsidRPr="00834A82">
              <w:rPr>
                <w:lang w:val="fr-FR"/>
              </w:rPr>
              <w:t xml:space="preserve"> au mi</w:t>
            </w:r>
            <w:r w:rsidR="003C3488">
              <w:rPr>
                <w:lang w:val="fr-FR"/>
              </w:rPr>
              <w:t>lieu</w:t>
            </w:r>
          </w:p>
        </w:tc>
        <w:tc>
          <w:tcPr>
            <w:tcW w:w="283" w:type="dxa"/>
            <w:tcBorders>
              <w:top w:val="dashSmallGap" w:sz="4" w:space="0" w:color="31849B" w:themeColor="accent5" w:themeShade="BF"/>
              <w:left w:val="single" w:sz="4" w:space="0" w:color="auto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 </w:t>
            </w: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object w:dxaOrig="991" w:dyaOrig="1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5.15pt" o:ole="" fillcolor="window">
                  <v:imagedata r:id="rId29" o:title=""/>
                </v:shape>
                <o:OLEObject Type="Embed" ProgID="Word.Picture.8" ShapeID="_x0000_i1025" DrawAspect="Content" ObjectID="_1595916163" r:id="rId30"/>
              </w:object>
            </w:r>
          </w:p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3 </w:t>
            </w:r>
            <w:r w:rsidRPr="00834A82">
              <w:rPr>
                <w:lang w:val="fr-FR"/>
              </w:rPr>
              <w:br/>
              <w:t>ovale</w:t>
            </w:r>
          </w:p>
        </w:tc>
        <w:tc>
          <w:tcPr>
            <w:tcW w:w="209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  <w:p w:rsidR="00702FCA" w:rsidRPr="00834A82" w:rsidRDefault="00702FCA" w:rsidP="00DF175E">
            <w:pPr>
              <w:ind w:left="113" w:right="113"/>
              <w:jc w:val="center"/>
              <w:rPr>
                <w:b/>
                <w:lang w:val="fr-FR"/>
              </w:rPr>
            </w:pPr>
          </w:p>
        </w:tc>
      </w:tr>
      <w:tr w:rsidR="00834A82" w:rsidRPr="00834A82" w:rsidTr="00742D2B">
        <w:trPr>
          <w:cantSplit/>
          <w:trHeight w:val="79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dashSmallGap" w:sz="4" w:space="0" w:color="31849B" w:themeColor="accent5" w:themeShade="BF"/>
              <w:left w:val="single" w:sz="4" w:space="0" w:color="auto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object w:dxaOrig="1036" w:dyaOrig="1321">
                <v:shape id="_x0000_i1026" type="#_x0000_t75" style="width:51.35pt;height:66.35pt" o:ole="" fillcolor="window">
                  <v:imagedata r:id="rId31" o:title=""/>
                </v:shape>
                <o:OLEObject Type="Embed" ProgID="Word.Picture.8" ShapeID="_x0000_i1026" DrawAspect="Content" ObjectID="_1595916164" r:id="rId32"/>
              </w:object>
            </w:r>
          </w:p>
        </w:tc>
        <w:tc>
          <w:tcPr>
            <w:tcW w:w="2093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object w:dxaOrig="1096" w:dyaOrig="1306">
                <v:shape id="_x0000_i1027" type="#_x0000_t75" style="width:54.45pt;height:65.1pt" o:ole="" fillcolor="window">
                  <v:imagedata r:id="rId33" o:title=""/>
                </v:shape>
                <o:OLEObject Type="Embed" ProgID="Word.Picture.8" ShapeID="_x0000_i1027" DrawAspect="Content" ObjectID="_1595916165" r:id="rId34"/>
              </w:object>
            </w: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b/>
                <w:lang w:val="fr-FR"/>
              </w:rPr>
            </w:pPr>
          </w:p>
        </w:tc>
        <w:tc>
          <w:tcPr>
            <w:tcW w:w="2093" w:type="dxa"/>
            <w:vMerge w:val="restart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object w:dxaOrig="916" w:dyaOrig="1276">
                <v:shape id="_x0000_i1028" type="#_x0000_t75" style="width:46.35pt;height:63.25pt" o:ole="" fillcolor="window">
                  <v:imagedata r:id="rId35" o:title=""/>
                </v:shape>
                <o:OLEObject Type="Embed" ProgID="Word.Picture.8" ShapeID="_x0000_i1028" DrawAspect="Content" ObjectID="_1595916166" r:id="rId36"/>
              </w:object>
            </w:r>
          </w:p>
        </w:tc>
      </w:tr>
      <w:tr w:rsidR="00834A82" w:rsidRPr="00834A82" w:rsidTr="00742D2B">
        <w:trPr>
          <w:cantSplit/>
          <w:trHeight w:val="79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283" w:type="dxa"/>
            <w:vMerge/>
            <w:tcBorders>
              <w:top w:val="dashSmallGap" w:sz="4" w:space="0" w:color="31849B" w:themeColor="accent5" w:themeShade="BF"/>
              <w:left w:val="single" w:sz="4" w:space="0" w:color="auto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vAlign w:val="center"/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vMerge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2093" w:type="dxa"/>
            <w:vMerge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dashSmallGap" w:sz="4" w:space="0" w:color="31849B" w:themeColor="accent5" w:themeShade="BF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b/>
                <w:lang w:val="fr-FR"/>
              </w:rPr>
            </w:pPr>
          </w:p>
        </w:tc>
        <w:tc>
          <w:tcPr>
            <w:tcW w:w="2093" w:type="dxa"/>
            <w:vMerge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dashSmallGap" w:sz="4" w:space="0" w:color="31849B" w:themeColor="accent5" w:themeShade="BF"/>
              <w:right w:val="single" w:sz="4" w:space="0" w:color="auto"/>
            </w:tcBorders>
            <w:textDirection w:val="tbRl"/>
            <w:vAlign w:val="center"/>
          </w:tcPr>
          <w:p w:rsidR="00702FCA" w:rsidRPr="00834A82" w:rsidRDefault="00702FCA" w:rsidP="00DF175E">
            <w:pPr>
              <w:ind w:left="113" w:right="113"/>
              <w:jc w:val="center"/>
              <w:rPr>
                <w:lang w:val="fr-FR"/>
              </w:rPr>
            </w:pPr>
          </w:p>
        </w:tc>
      </w:tr>
      <w:tr w:rsidR="00702FCA" w:rsidRPr="00834A82" w:rsidTr="00742D2B">
        <w:trPr>
          <w:cantSplit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83" w:type="dxa"/>
            <w:tcBorders>
              <w:top w:val="dashSmallGap" w:sz="4" w:space="0" w:color="31849B" w:themeColor="accent5" w:themeShade="BF"/>
              <w:left w:val="single" w:sz="4" w:space="0" w:color="auto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4" w:space="0" w:color="auto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1 </w:t>
            </w:r>
            <w:r w:rsidRPr="00834A82">
              <w:rPr>
                <w:lang w:val="fr-FR"/>
              </w:rPr>
              <w:br/>
              <w:t>cylindrique rétrécie</w:t>
            </w:r>
          </w:p>
        </w:tc>
        <w:tc>
          <w:tcPr>
            <w:tcW w:w="209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4" w:space="0" w:color="auto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2 </w:t>
            </w:r>
            <w:r w:rsidRPr="00834A82">
              <w:rPr>
                <w:lang w:val="fr-FR"/>
              </w:rPr>
              <w:br/>
              <w:t>conique</w:t>
            </w:r>
          </w:p>
        </w:tc>
        <w:tc>
          <w:tcPr>
            <w:tcW w:w="2092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4" w:space="0" w:color="auto"/>
              <w:right w:val="dashSmallGap" w:sz="4" w:space="0" w:color="31849B" w:themeColor="accent5" w:themeShade="BF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noProof/>
                <w:lang w:val="es-ES_tradnl" w:eastAsia="es-ES_tradnl"/>
              </w:rPr>
              <w:drawing>
                <wp:inline distT="0" distB="0" distL="0" distR="0" wp14:anchorId="6E8270D6" wp14:editId="1D2FB416">
                  <wp:extent cx="619125" cy="838200"/>
                  <wp:effectExtent l="0" t="0" r="9525" b="0"/>
                  <wp:docPr id="695" name="Picture 695" descr="APF_ovo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0" descr="APF_ovo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5</w:t>
            </w:r>
            <w:r w:rsidRPr="00834A82">
              <w:rPr>
                <w:lang w:val="fr-FR"/>
              </w:rPr>
              <w:br/>
              <w:t>elliptique</w:t>
            </w:r>
            <w:r w:rsidRPr="00834A82">
              <w:rPr>
                <w:lang w:val="fr-FR"/>
              </w:rPr>
              <w:br/>
              <w:t>(</w:t>
            </w:r>
            <w:r w:rsidR="00D907A2">
              <w:rPr>
                <w:lang w:val="fr-FR"/>
              </w:rPr>
              <w:t>y compris</w:t>
            </w:r>
            <w:r w:rsidRPr="00834A82">
              <w:rPr>
                <w:lang w:val="fr-FR"/>
              </w:rPr>
              <w:t xml:space="preserve"> arrondie et aplatie)</w:t>
            </w:r>
          </w:p>
        </w:tc>
        <w:tc>
          <w:tcPr>
            <w:tcW w:w="2093" w:type="dxa"/>
            <w:tcBorders>
              <w:top w:val="dashSmallGap" w:sz="4" w:space="0" w:color="31849B" w:themeColor="accent5" w:themeShade="BF"/>
              <w:left w:val="dashSmallGap" w:sz="4" w:space="0" w:color="31849B" w:themeColor="accent5" w:themeShade="BF"/>
              <w:bottom w:val="single" w:sz="4" w:space="0" w:color="auto"/>
              <w:right w:val="single" w:sz="4" w:space="0" w:color="auto"/>
            </w:tcBorders>
          </w:tcPr>
          <w:p w:rsidR="00702FCA" w:rsidRPr="00834A82" w:rsidRDefault="00702FCA" w:rsidP="00DF175E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 xml:space="preserve">4 </w:t>
            </w:r>
            <w:r w:rsidRPr="00834A82">
              <w:rPr>
                <w:lang w:val="fr-FR"/>
              </w:rPr>
              <w:br/>
              <w:t>cylindrique</w:t>
            </w:r>
          </w:p>
        </w:tc>
      </w:tr>
    </w:tbl>
    <w:p w:rsidR="00934BE5" w:rsidRPr="00834A82" w:rsidRDefault="00934BE5" w:rsidP="004F258F">
      <w:pPr>
        <w:jc w:val="center"/>
        <w:rPr>
          <w:lang w:val="fr-FR"/>
        </w:rPr>
      </w:pPr>
    </w:p>
    <w:p w:rsidR="00934BE5" w:rsidRPr="00834A82" w:rsidRDefault="00934BE5" w:rsidP="004F258F">
      <w:pPr>
        <w:rPr>
          <w:lang w:val="fr-FR"/>
        </w:rPr>
      </w:pPr>
    </w:p>
    <w:p w:rsidR="00506B70" w:rsidRPr="00834A82" w:rsidRDefault="00506B70">
      <w:pPr>
        <w:jc w:val="left"/>
        <w:rPr>
          <w:i/>
          <w:lang w:val="fr-FR"/>
        </w:rPr>
      </w:pPr>
      <w:r w:rsidRPr="00834A82">
        <w:rPr>
          <w:i/>
          <w:lang w:val="fr-FR"/>
        </w:rPr>
        <w:br w:type="page"/>
      </w:r>
    </w:p>
    <w:p w:rsidR="00934BE5" w:rsidRPr="00834A82" w:rsidRDefault="00702FCA" w:rsidP="004F258F">
      <w:pPr>
        <w:rPr>
          <w:i/>
          <w:lang w:val="fr-FR"/>
        </w:rPr>
      </w:pPr>
      <w:r w:rsidRPr="00834A82">
        <w:rPr>
          <w:i/>
          <w:lang w:val="fr-FR"/>
        </w:rPr>
        <w:lastRenderedPageBreak/>
        <w:t>Exe</w:t>
      </w:r>
      <w:r w:rsidR="004F258F" w:rsidRPr="00834A82">
        <w:rPr>
          <w:i/>
          <w:lang w:val="fr-FR"/>
        </w:rPr>
        <w:t>mple</w:t>
      </w:r>
      <w:r w:rsidR="00956579">
        <w:rPr>
          <w:i/>
          <w:lang w:val="fr-FR"/>
        </w:rPr>
        <w:t> </w:t>
      </w:r>
      <w:r w:rsidR="004F258F" w:rsidRPr="00834A82">
        <w:rPr>
          <w:i/>
          <w:lang w:val="fr-FR"/>
        </w:rPr>
        <w:t>5</w:t>
      </w:r>
      <w:r w:rsidR="00D907A2">
        <w:rPr>
          <w:i/>
          <w:lang w:val="fr-FR"/>
        </w:rPr>
        <w:t> :</w:t>
      </w:r>
      <w:r w:rsidR="004F258F" w:rsidRPr="00834A82">
        <w:rPr>
          <w:i/>
          <w:lang w:val="fr-FR"/>
        </w:rPr>
        <w:t xml:space="preserve"> variation</w:t>
      </w:r>
      <w:r w:rsidRPr="00834A82">
        <w:rPr>
          <w:i/>
          <w:lang w:val="fr-FR"/>
        </w:rPr>
        <w:t>s</w:t>
      </w:r>
      <w:r w:rsidR="004F258F" w:rsidRPr="00834A82">
        <w:rPr>
          <w:i/>
          <w:lang w:val="fr-FR"/>
        </w:rPr>
        <w:t xml:space="preserve"> </w:t>
      </w:r>
      <w:r w:rsidRPr="00834A82">
        <w:rPr>
          <w:i/>
          <w:lang w:val="fr-FR"/>
        </w:rPr>
        <w:t>entre les gammes de formes illustrées comme suit</w:t>
      </w:r>
      <w:r w:rsidR="00D907A2">
        <w:rPr>
          <w:i/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4F258F">
      <w:pPr>
        <w:jc w:val="left"/>
        <w:rPr>
          <w:lang w:val="fr-FR"/>
        </w:rPr>
      </w:pPr>
      <w:r w:rsidRPr="00834A82">
        <w:rPr>
          <w:noProof/>
          <w:lang w:val="es-ES_tradnl" w:eastAsia="es-ES_tradnl"/>
        </w:rPr>
        <w:drawing>
          <wp:inline distT="0" distB="0" distL="0" distR="0" wp14:anchorId="058E08C3" wp14:editId="34F2C315">
            <wp:extent cx="3244132" cy="740327"/>
            <wp:effectExtent l="0" t="0" r="0" b="317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41963" cy="73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E5" w:rsidRPr="00834A82" w:rsidRDefault="00934BE5" w:rsidP="004F258F">
      <w:pPr>
        <w:jc w:val="left"/>
        <w:rPr>
          <w:lang w:val="fr-FR"/>
        </w:rPr>
      </w:pPr>
    </w:p>
    <w:p w:rsidR="004F258F" w:rsidRPr="00834A82" w:rsidRDefault="004F258F" w:rsidP="004F258F">
      <w:pPr>
        <w:shd w:val="clear" w:color="auto" w:fill="FFFFFF"/>
        <w:ind w:left="360"/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5076"/>
      </w:tblGrid>
      <w:tr w:rsidR="00834A82" w:rsidRPr="00834A82" w:rsidTr="000939BC">
        <w:tc>
          <w:tcPr>
            <w:tcW w:w="6006" w:type="dxa"/>
          </w:tcPr>
          <w:p w:rsidR="004F258F" w:rsidRPr="00834A82" w:rsidRDefault="00702FCA" w:rsidP="004F258F">
            <w:pPr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="004F258F" w:rsidRPr="00834A82">
              <w:rPr>
                <w:lang w:val="fr-FR"/>
              </w:rPr>
              <w:t>1</w:t>
            </w:r>
          </w:p>
        </w:tc>
        <w:tc>
          <w:tcPr>
            <w:tcW w:w="3849" w:type="dxa"/>
          </w:tcPr>
          <w:p w:rsidR="004F258F" w:rsidRPr="00834A82" w:rsidRDefault="000D54F5" w:rsidP="000D54F5">
            <w:pPr>
              <w:jc w:val="center"/>
              <w:rPr>
                <w:lang w:val="fr-FR"/>
              </w:rPr>
            </w:pPr>
            <w:r w:rsidRPr="00834A82">
              <w:rPr>
                <w:lang w:val="fr-FR"/>
              </w:rPr>
              <w:t>avec l</w:t>
            </w:r>
            <w:r w:rsidR="00D907A2">
              <w:rPr>
                <w:lang w:val="fr-FR"/>
              </w:rPr>
              <w:t>’</w:t>
            </w:r>
            <w:r w:rsidR="004F258F" w:rsidRPr="00834A82">
              <w:rPr>
                <w:lang w:val="fr-FR"/>
              </w:rPr>
              <w:t>illustration</w:t>
            </w:r>
            <w:r w:rsidRPr="00834A82">
              <w:rPr>
                <w:lang w:val="fr-FR"/>
              </w:rPr>
              <w:t xml:space="preserve"> suivante</w:t>
            </w:r>
            <w:r w:rsidR="00D907A2">
              <w:rPr>
                <w:lang w:val="fr-FR"/>
              </w:rPr>
              <w:t> :</w:t>
            </w:r>
          </w:p>
        </w:tc>
      </w:tr>
      <w:tr w:rsidR="00834A82" w:rsidRPr="00834A82" w:rsidTr="000939BC">
        <w:tc>
          <w:tcPr>
            <w:tcW w:w="6006" w:type="dxa"/>
          </w:tcPr>
          <w:p w:rsidR="00934BE5" w:rsidRPr="00834A82" w:rsidRDefault="00934BE5" w:rsidP="004F258F">
            <w:pPr>
              <w:ind w:left="567" w:hanging="283"/>
              <w:jc w:val="left"/>
              <w:rPr>
                <w:lang w:val="fr-FR"/>
              </w:rPr>
            </w:pPr>
          </w:p>
          <w:p w:rsidR="00321EF6" w:rsidRPr="00834A82" w:rsidRDefault="00321EF6" w:rsidP="00321EF6">
            <w:pPr>
              <w:ind w:left="567" w:hanging="283"/>
              <w:jc w:val="left"/>
              <w:rPr>
                <w:lang w:val="fr-FR"/>
              </w:rPr>
            </w:pPr>
            <w:r w:rsidRPr="00834A82">
              <w:rPr>
                <w:lang w:val="fr-FR"/>
              </w:rPr>
              <w:t>a)</w:t>
            </w:r>
            <w:r w:rsidRPr="00834A82">
              <w:rPr>
                <w:lang w:val="fr-FR"/>
              </w:rPr>
              <w:tab/>
              <w:t>position de la partie la plus large (QN)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fortement vers la base (1);  modérément vers la base (3);  au milieu (5);  modérément vers l</w:t>
            </w:r>
            <w:r w:rsidR="00D907A2">
              <w:rPr>
                <w:lang w:val="fr-FR"/>
              </w:rPr>
              <w:t>’</w:t>
            </w:r>
            <w:r w:rsidRPr="00834A82">
              <w:rPr>
                <w:lang w:val="fr-FR"/>
              </w:rPr>
              <w:t>apex (7);  fortement vers l</w:t>
            </w:r>
            <w:r w:rsidR="00D907A2">
              <w:rPr>
                <w:lang w:val="fr-FR"/>
              </w:rPr>
              <w:t>’</w:t>
            </w:r>
            <w:r w:rsidRPr="00834A82">
              <w:rPr>
                <w:lang w:val="fr-FR"/>
              </w:rPr>
              <w:t>apex (9)</w:t>
            </w:r>
          </w:p>
          <w:p w:rsidR="00934BE5" w:rsidRPr="00834A82" w:rsidRDefault="00934BE5" w:rsidP="004F258F">
            <w:pPr>
              <w:ind w:left="567" w:hanging="283"/>
              <w:jc w:val="left"/>
              <w:rPr>
                <w:lang w:val="fr-FR"/>
              </w:rPr>
            </w:pPr>
          </w:p>
          <w:p w:rsidR="004F258F" w:rsidRPr="00834A82" w:rsidRDefault="004F258F" w:rsidP="004F258F">
            <w:pPr>
              <w:ind w:left="567" w:hanging="283"/>
              <w:jc w:val="left"/>
              <w:rPr>
                <w:lang w:val="fr-FR"/>
              </w:rPr>
            </w:pPr>
          </w:p>
        </w:tc>
        <w:tc>
          <w:tcPr>
            <w:tcW w:w="3849" w:type="dxa"/>
            <w:vMerge w:val="restart"/>
          </w:tcPr>
          <w:p w:rsidR="000D54F5" w:rsidRPr="00834A82" w:rsidRDefault="0094073E" w:rsidP="000D54F5">
            <w:pPr>
              <w:rPr>
                <w:lang w:val="fr-FR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6EE8B0A5" wp14:editId="0E0C191B">
                  <wp:extent cx="3077912" cy="3096000"/>
                  <wp:effectExtent l="0" t="0" r="825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7912" cy="309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58F" w:rsidRPr="00834A82" w:rsidRDefault="004F258F" w:rsidP="004F258F">
            <w:pPr>
              <w:jc w:val="center"/>
              <w:rPr>
                <w:lang w:val="fr-FR"/>
              </w:rPr>
            </w:pPr>
          </w:p>
        </w:tc>
      </w:tr>
      <w:tr w:rsidR="00834A82" w:rsidRPr="00B51885" w:rsidTr="000939BC">
        <w:tc>
          <w:tcPr>
            <w:tcW w:w="6006" w:type="dxa"/>
          </w:tcPr>
          <w:p w:rsidR="00934BE5" w:rsidRPr="00834A82" w:rsidRDefault="004F258F" w:rsidP="00321EF6">
            <w:pPr>
              <w:ind w:left="567" w:hanging="283"/>
              <w:jc w:val="left"/>
              <w:rPr>
                <w:lang w:val="fr-FR"/>
              </w:rPr>
            </w:pPr>
            <w:r w:rsidRPr="00834A82">
              <w:rPr>
                <w:lang w:val="fr-FR"/>
              </w:rPr>
              <w:t>b)</w:t>
            </w:r>
            <w:r w:rsidRPr="00834A82">
              <w:rPr>
                <w:lang w:val="fr-FR"/>
              </w:rPr>
              <w:tab/>
            </w:r>
            <w:r w:rsidR="00321EF6" w:rsidRPr="00834A82">
              <w:rPr>
                <w:lang w:val="fr-FR"/>
              </w:rPr>
              <w:t>rapport longueur/largeur (QN)</w:t>
            </w:r>
            <w:r w:rsidR="00D907A2">
              <w:rPr>
                <w:lang w:val="fr-FR"/>
              </w:rPr>
              <w:t> :</w:t>
            </w:r>
            <w:r w:rsidR="00321EF6" w:rsidRPr="00834A82">
              <w:rPr>
                <w:lang w:val="fr-FR"/>
              </w:rPr>
              <w:t xml:space="preserve"> très bas (1);  bas (3);  moyen (5);  élevé (7);  très élevé (9)</w:t>
            </w:r>
          </w:p>
          <w:p w:rsidR="00934BE5" w:rsidRPr="00834A82" w:rsidRDefault="00321EF6" w:rsidP="00321EF6">
            <w:pPr>
              <w:tabs>
                <w:tab w:val="left" w:pos="2540"/>
              </w:tabs>
              <w:ind w:left="567" w:hanging="283"/>
              <w:jc w:val="left"/>
              <w:rPr>
                <w:lang w:val="fr-FR"/>
              </w:rPr>
            </w:pPr>
            <w:r w:rsidRPr="00834A82">
              <w:rPr>
                <w:lang w:val="fr-FR"/>
              </w:rPr>
              <w:tab/>
            </w:r>
            <w:r w:rsidRPr="00834A82">
              <w:rPr>
                <w:lang w:val="fr-FR"/>
              </w:rPr>
              <w:tab/>
            </w:r>
          </w:p>
          <w:p w:rsidR="004F258F" w:rsidRPr="00834A82" w:rsidRDefault="004F258F" w:rsidP="004F258F">
            <w:pPr>
              <w:ind w:left="567" w:hanging="283"/>
              <w:jc w:val="left"/>
              <w:rPr>
                <w:lang w:val="fr-FR"/>
              </w:rPr>
            </w:pPr>
          </w:p>
        </w:tc>
        <w:tc>
          <w:tcPr>
            <w:tcW w:w="3849" w:type="dxa"/>
            <w:vMerge/>
          </w:tcPr>
          <w:p w:rsidR="004F258F" w:rsidRPr="00834A82" w:rsidRDefault="004F258F" w:rsidP="004F258F">
            <w:pPr>
              <w:jc w:val="left"/>
              <w:rPr>
                <w:lang w:val="fr-FR"/>
              </w:rPr>
            </w:pPr>
          </w:p>
        </w:tc>
      </w:tr>
      <w:tr w:rsidR="00834A82" w:rsidRPr="00834A82" w:rsidTr="000939BC">
        <w:tc>
          <w:tcPr>
            <w:tcW w:w="6006" w:type="dxa"/>
          </w:tcPr>
          <w:p w:rsidR="00934BE5" w:rsidRPr="00834A82" w:rsidRDefault="00702FCA" w:rsidP="004F258F">
            <w:pPr>
              <w:ind w:left="567" w:hanging="567"/>
              <w:jc w:val="left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="004F258F" w:rsidRPr="00834A82">
              <w:rPr>
                <w:lang w:val="fr-FR"/>
              </w:rPr>
              <w:t>2</w:t>
            </w:r>
          </w:p>
          <w:p w:rsidR="004F258F" w:rsidRPr="00834A82" w:rsidRDefault="004F258F" w:rsidP="004F258F">
            <w:pPr>
              <w:ind w:left="567" w:hanging="567"/>
              <w:jc w:val="left"/>
              <w:rPr>
                <w:lang w:val="fr-FR"/>
              </w:rPr>
            </w:pPr>
          </w:p>
        </w:tc>
        <w:tc>
          <w:tcPr>
            <w:tcW w:w="3849" w:type="dxa"/>
            <w:vMerge/>
          </w:tcPr>
          <w:p w:rsidR="004F258F" w:rsidRPr="00834A82" w:rsidRDefault="004F258F" w:rsidP="004F258F">
            <w:pPr>
              <w:jc w:val="left"/>
              <w:rPr>
                <w:lang w:val="fr-FR"/>
              </w:rPr>
            </w:pPr>
          </w:p>
        </w:tc>
      </w:tr>
      <w:tr w:rsidR="00834A82" w:rsidRPr="00B51885" w:rsidTr="000939BC">
        <w:tc>
          <w:tcPr>
            <w:tcW w:w="6006" w:type="dxa"/>
          </w:tcPr>
          <w:p w:rsidR="004F258F" w:rsidRPr="00834A82" w:rsidRDefault="000D54F5" w:rsidP="0094073E">
            <w:pPr>
              <w:tabs>
                <w:tab w:val="left" w:pos="4050"/>
              </w:tabs>
              <w:ind w:left="567" w:hanging="567"/>
              <w:jc w:val="left"/>
              <w:rPr>
                <w:lang w:val="fr-FR"/>
              </w:rPr>
            </w:pPr>
            <w:r w:rsidRPr="00834A82">
              <w:rPr>
                <w:lang w:val="fr-FR"/>
              </w:rPr>
              <w:t>Forme générale (PQ)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triangulaire (1);  ovale (2);  circulaire (3);  elliptique (4);  oblongue (5);  linéaire (6);  obovale (7);  oblancéolée (8);  spatulée (9);  obtriangulaire (10)</w:t>
            </w:r>
          </w:p>
        </w:tc>
        <w:tc>
          <w:tcPr>
            <w:tcW w:w="3849" w:type="dxa"/>
            <w:vMerge/>
          </w:tcPr>
          <w:p w:rsidR="004F258F" w:rsidRPr="00834A82" w:rsidRDefault="004F258F" w:rsidP="004F258F">
            <w:pPr>
              <w:jc w:val="left"/>
              <w:rPr>
                <w:lang w:val="fr-FR"/>
              </w:rPr>
            </w:pPr>
          </w:p>
        </w:tc>
      </w:tr>
      <w:tr w:rsidR="004F258F" w:rsidRPr="00B51885" w:rsidTr="000939BC">
        <w:tc>
          <w:tcPr>
            <w:tcW w:w="6006" w:type="dxa"/>
          </w:tcPr>
          <w:p w:rsidR="004F258F" w:rsidRPr="00834A82" w:rsidRDefault="004F258F" w:rsidP="004F258F">
            <w:pPr>
              <w:shd w:val="clear" w:color="auto" w:fill="FFFFFF"/>
              <w:jc w:val="left"/>
              <w:rPr>
                <w:lang w:val="fr-FR"/>
              </w:rPr>
            </w:pPr>
          </w:p>
        </w:tc>
        <w:tc>
          <w:tcPr>
            <w:tcW w:w="3849" w:type="dxa"/>
            <w:vMerge/>
          </w:tcPr>
          <w:p w:rsidR="004F258F" w:rsidRPr="00834A82" w:rsidRDefault="004F258F" w:rsidP="004F258F">
            <w:pPr>
              <w:jc w:val="left"/>
              <w:rPr>
                <w:lang w:val="fr-FR"/>
              </w:rPr>
            </w:pPr>
          </w:p>
        </w:tc>
      </w:tr>
    </w:tbl>
    <w:p w:rsidR="00934BE5" w:rsidRPr="00834A82" w:rsidRDefault="00934BE5" w:rsidP="004F258F">
      <w:pPr>
        <w:rPr>
          <w:lang w:val="fr-FR"/>
        </w:rPr>
      </w:pPr>
    </w:p>
    <w:p w:rsidR="00934BE5" w:rsidRPr="00834A82" w:rsidRDefault="00934BE5" w:rsidP="004F258F">
      <w:pPr>
        <w:jc w:val="center"/>
        <w:rPr>
          <w:lang w:val="fr-FR"/>
        </w:rPr>
      </w:pPr>
    </w:p>
    <w:p w:rsidR="00506B70" w:rsidRPr="00834A82" w:rsidRDefault="00506B70">
      <w:pPr>
        <w:jc w:val="left"/>
        <w:rPr>
          <w:i/>
          <w:lang w:val="fr-FR"/>
        </w:rPr>
      </w:pPr>
      <w:r w:rsidRPr="00834A82">
        <w:rPr>
          <w:i/>
          <w:lang w:val="fr-FR"/>
        </w:rPr>
        <w:br w:type="page"/>
      </w:r>
    </w:p>
    <w:p w:rsidR="00934BE5" w:rsidRPr="00834A82" w:rsidRDefault="00681D71" w:rsidP="004F258F">
      <w:pPr>
        <w:rPr>
          <w:i/>
          <w:lang w:val="fr-FR"/>
        </w:rPr>
      </w:pPr>
      <w:r w:rsidRPr="00834A82">
        <w:rPr>
          <w:i/>
          <w:lang w:val="fr-FR"/>
        </w:rPr>
        <w:lastRenderedPageBreak/>
        <w:t>Exe</w:t>
      </w:r>
      <w:r w:rsidR="004F258F" w:rsidRPr="00834A82">
        <w:rPr>
          <w:i/>
          <w:lang w:val="fr-FR"/>
        </w:rPr>
        <w:t>mple</w:t>
      </w:r>
      <w:r w:rsidR="00956579">
        <w:rPr>
          <w:i/>
          <w:lang w:val="fr-FR"/>
        </w:rPr>
        <w:t> </w:t>
      </w:r>
      <w:r w:rsidR="004F258F" w:rsidRPr="00834A82">
        <w:rPr>
          <w:i/>
          <w:lang w:val="fr-FR"/>
        </w:rPr>
        <w:t>6</w:t>
      </w:r>
      <w:r w:rsidR="00D907A2">
        <w:rPr>
          <w:i/>
          <w:lang w:val="fr-FR"/>
        </w:rPr>
        <w:t> :</w:t>
      </w:r>
      <w:r w:rsidR="004F258F" w:rsidRPr="00834A82">
        <w:rPr>
          <w:i/>
          <w:lang w:val="fr-FR"/>
        </w:rPr>
        <w:t xml:space="preserve"> </w:t>
      </w:r>
      <w:r w:rsidRPr="00834A82">
        <w:rPr>
          <w:i/>
          <w:lang w:val="fr-FR"/>
        </w:rPr>
        <w:t>variations entre les gammes de formes illustrées comme suit</w:t>
      </w:r>
      <w:r w:rsidR="00D907A2">
        <w:rPr>
          <w:i/>
          <w:lang w:val="fr-FR"/>
        </w:rPr>
        <w:t> :</w:t>
      </w:r>
    </w:p>
    <w:p w:rsidR="00934BE5" w:rsidRPr="00834A82" w:rsidRDefault="00934BE5" w:rsidP="004F258F">
      <w:pPr>
        <w:rPr>
          <w:lang w:val="fr-FR"/>
        </w:rPr>
      </w:pPr>
    </w:p>
    <w:p w:rsidR="00934BE5" w:rsidRPr="00834A82" w:rsidRDefault="004F258F" w:rsidP="004F258F">
      <w:pPr>
        <w:jc w:val="left"/>
        <w:rPr>
          <w:lang w:val="fr-FR"/>
        </w:rPr>
      </w:pPr>
      <w:r w:rsidRPr="00834A82">
        <w:rPr>
          <w:noProof/>
          <w:lang w:val="es-ES_tradnl" w:eastAsia="es-ES_tradnl"/>
        </w:rPr>
        <w:drawing>
          <wp:inline distT="0" distB="0" distL="0" distR="0" wp14:anchorId="15003EFF" wp14:editId="457D7AFA">
            <wp:extent cx="3725244" cy="788829"/>
            <wp:effectExtent l="0" t="0" r="889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1741" cy="79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E5" w:rsidRPr="00834A82" w:rsidRDefault="00934BE5" w:rsidP="004F258F">
      <w:pPr>
        <w:jc w:val="left"/>
        <w:rPr>
          <w:lang w:val="fr-FR"/>
        </w:rPr>
      </w:pPr>
    </w:p>
    <w:p w:rsidR="004F258F" w:rsidRPr="00834A82" w:rsidRDefault="004F258F" w:rsidP="004F258F">
      <w:pPr>
        <w:rPr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5706"/>
      </w:tblGrid>
      <w:tr w:rsidR="00834A82" w:rsidRPr="00834A82" w:rsidTr="000939BC">
        <w:tc>
          <w:tcPr>
            <w:tcW w:w="4927" w:type="dxa"/>
          </w:tcPr>
          <w:p w:rsidR="00934BE5" w:rsidRPr="00834A82" w:rsidRDefault="00681D71" w:rsidP="004F258F">
            <w:pPr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="004F258F" w:rsidRPr="00834A82">
              <w:rPr>
                <w:lang w:val="fr-FR"/>
              </w:rPr>
              <w:t>1</w:t>
            </w:r>
          </w:p>
          <w:p w:rsidR="004F258F" w:rsidRPr="00834A82" w:rsidRDefault="004F258F" w:rsidP="004F258F">
            <w:pPr>
              <w:ind w:left="142"/>
              <w:rPr>
                <w:lang w:val="fr-FR"/>
              </w:rPr>
            </w:pPr>
          </w:p>
        </w:tc>
        <w:tc>
          <w:tcPr>
            <w:tcW w:w="4928" w:type="dxa"/>
          </w:tcPr>
          <w:p w:rsidR="00D907A2" w:rsidRDefault="00681D71" w:rsidP="004F258F">
            <w:pPr>
              <w:shd w:val="clear" w:color="auto" w:fill="FFFFFF"/>
              <w:ind w:left="360"/>
              <w:rPr>
                <w:lang w:val="fr-FR"/>
              </w:rPr>
            </w:pPr>
            <w:r w:rsidRPr="00834A82">
              <w:rPr>
                <w:lang w:val="fr-FR"/>
              </w:rPr>
              <w:t>avec l</w:t>
            </w:r>
            <w:r w:rsidR="00D907A2">
              <w:rPr>
                <w:lang w:val="fr-FR"/>
              </w:rPr>
              <w:t>’</w:t>
            </w:r>
            <w:r w:rsidRPr="00834A82">
              <w:rPr>
                <w:lang w:val="fr-FR"/>
              </w:rPr>
              <w:t>illustration suivante</w:t>
            </w:r>
            <w:r w:rsidR="00D907A2">
              <w:rPr>
                <w:lang w:val="fr-FR"/>
              </w:rPr>
              <w:t> :</w:t>
            </w:r>
          </w:p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  <w:tr w:rsidR="00834A82" w:rsidRPr="00834A82" w:rsidTr="000939BC">
        <w:tc>
          <w:tcPr>
            <w:tcW w:w="4927" w:type="dxa"/>
          </w:tcPr>
          <w:p w:rsidR="004F258F" w:rsidRPr="00834A82" w:rsidRDefault="00681D71" w:rsidP="00681D71">
            <w:pPr>
              <w:tabs>
                <w:tab w:val="left" w:pos="709"/>
              </w:tabs>
              <w:ind w:left="709" w:hanging="425"/>
              <w:rPr>
                <w:lang w:val="fr-FR"/>
              </w:rPr>
            </w:pPr>
            <w:r w:rsidRPr="00834A82">
              <w:rPr>
                <w:lang w:val="fr-FR"/>
              </w:rPr>
              <w:t>a)</w:t>
            </w:r>
            <w:r w:rsidRPr="00834A82">
              <w:rPr>
                <w:lang w:val="fr-FR"/>
              </w:rPr>
              <w:tab/>
              <w:t>schéma latéral (QL)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par exemple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réniforme (1);  losangique (2);  elliptique (3)</w:t>
            </w:r>
          </w:p>
        </w:tc>
        <w:tc>
          <w:tcPr>
            <w:tcW w:w="4928" w:type="dxa"/>
            <w:vMerge w:val="restart"/>
          </w:tcPr>
          <w:p w:rsidR="004F258F" w:rsidRPr="00834A82" w:rsidRDefault="005378BE" w:rsidP="004F258F">
            <w:pPr>
              <w:rPr>
                <w:lang w:val="fr-FR"/>
              </w:rPr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29E00A36" wp14:editId="46A53C68">
                  <wp:extent cx="3485495" cy="2628000"/>
                  <wp:effectExtent l="0" t="0" r="127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495" cy="26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A82" w:rsidRPr="00B51885" w:rsidTr="000939BC">
        <w:tc>
          <w:tcPr>
            <w:tcW w:w="4927" w:type="dxa"/>
          </w:tcPr>
          <w:p w:rsidR="00D907A2" w:rsidRDefault="004F258F" w:rsidP="00681D71">
            <w:pPr>
              <w:tabs>
                <w:tab w:val="left" w:pos="709"/>
              </w:tabs>
              <w:ind w:left="709" w:hanging="425"/>
              <w:rPr>
                <w:lang w:val="fr-FR"/>
              </w:rPr>
            </w:pPr>
            <w:r w:rsidRPr="00834A82">
              <w:rPr>
                <w:lang w:val="fr-FR"/>
              </w:rPr>
              <w:t>b)</w:t>
            </w:r>
            <w:r w:rsidRPr="00834A82">
              <w:rPr>
                <w:lang w:val="fr-FR"/>
              </w:rPr>
              <w:tab/>
            </w:r>
            <w:r w:rsidR="00681D71" w:rsidRPr="00834A82">
              <w:rPr>
                <w:lang w:val="fr-FR"/>
              </w:rPr>
              <w:t>rapport longueur/largeur (QN)</w:t>
            </w:r>
            <w:r w:rsidR="00D907A2">
              <w:rPr>
                <w:lang w:val="fr-FR"/>
              </w:rPr>
              <w:t> :</w:t>
            </w:r>
            <w:r w:rsidR="00681D71" w:rsidRPr="00834A82">
              <w:rPr>
                <w:lang w:val="fr-FR"/>
              </w:rPr>
              <w:t xml:space="preserve"> par exemple</w:t>
            </w:r>
            <w:r w:rsidR="00D907A2">
              <w:rPr>
                <w:lang w:val="fr-FR"/>
              </w:rPr>
              <w:t> :</w:t>
            </w:r>
            <w:r w:rsidR="00681D71" w:rsidRPr="00834A82">
              <w:rPr>
                <w:lang w:val="fr-FR"/>
              </w:rPr>
              <w:t xml:space="preserve"> bas (1);  moyen (2);  élevé (3</w:t>
            </w:r>
            <w:r w:rsidRPr="00834A82">
              <w:rPr>
                <w:lang w:val="fr-FR"/>
              </w:rPr>
              <w:t>)</w:t>
            </w:r>
          </w:p>
          <w:p w:rsidR="004F258F" w:rsidRPr="00834A82" w:rsidRDefault="004F258F" w:rsidP="004F258F">
            <w:pPr>
              <w:tabs>
                <w:tab w:val="left" w:pos="709"/>
              </w:tabs>
              <w:ind w:left="709" w:hanging="425"/>
              <w:rPr>
                <w:lang w:val="fr-FR"/>
              </w:rPr>
            </w:pPr>
          </w:p>
        </w:tc>
        <w:tc>
          <w:tcPr>
            <w:tcW w:w="4928" w:type="dxa"/>
            <w:vMerge/>
          </w:tcPr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  <w:tr w:rsidR="00834A82" w:rsidRPr="00B51885" w:rsidTr="000939BC">
        <w:tc>
          <w:tcPr>
            <w:tcW w:w="4927" w:type="dxa"/>
          </w:tcPr>
          <w:p w:rsidR="004F258F" w:rsidRPr="00834A82" w:rsidRDefault="004F258F" w:rsidP="004F258F">
            <w:pPr>
              <w:ind w:left="142"/>
              <w:rPr>
                <w:lang w:val="fr-FR"/>
              </w:rPr>
            </w:pPr>
          </w:p>
        </w:tc>
        <w:tc>
          <w:tcPr>
            <w:tcW w:w="4928" w:type="dxa"/>
            <w:vMerge/>
          </w:tcPr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  <w:tr w:rsidR="00834A82" w:rsidRPr="00834A82" w:rsidTr="000939BC">
        <w:tc>
          <w:tcPr>
            <w:tcW w:w="4927" w:type="dxa"/>
          </w:tcPr>
          <w:p w:rsidR="00934BE5" w:rsidRPr="00834A82" w:rsidRDefault="00681D71" w:rsidP="004F258F">
            <w:pPr>
              <w:shd w:val="clear" w:color="auto" w:fill="FFFFFF"/>
              <w:rPr>
                <w:lang w:val="fr-FR"/>
              </w:rPr>
            </w:pPr>
            <w:r w:rsidRPr="00834A82">
              <w:rPr>
                <w:lang w:val="fr-FR"/>
              </w:rPr>
              <w:t>Variante</w:t>
            </w:r>
            <w:r w:rsidR="00956579">
              <w:rPr>
                <w:lang w:val="fr-FR"/>
              </w:rPr>
              <w:t> </w:t>
            </w:r>
            <w:r w:rsidR="004F258F" w:rsidRPr="00834A82">
              <w:rPr>
                <w:lang w:val="fr-FR"/>
              </w:rPr>
              <w:t>2</w:t>
            </w:r>
          </w:p>
          <w:p w:rsidR="004F258F" w:rsidRPr="00834A82" w:rsidRDefault="004F258F" w:rsidP="004F258F">
            <w:pPr>
              <w:ind w:left="142"/>
              <w:rPr>
                <w:lang w:val="fr-FR"/>
              </w:rPr>
            </w:pPr>
          </w:p>
        </w:tc>
        <w:tc>
          <w:tcPr>
            <w:tcW w:w="4928" w:type="dxa"/>
            <w:vMerge/>
          </w:tcPr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  <w:tr w:rsidR="00834A82" w:rsidRPr="00B51885" w:rsidTr="000939BC">
        <w:tc>
          <w:tcPr>
            <w:tcW w:w="4927" w:type="dxa"/>
          </w:tcPr>
          <w:p w:rsidR="00934BE5" w:rsidRPr="00834A82" w:rsidRDefault="00681D71" w:rsidP="004F258F">
            <w:pPr>
              <w:shd w:val="clear" w:color="auto" w:fill="FFFFFF"/>
              <w:ind w:left="284"/>
              <w:rPr>
                <w:lang w:val="fr-FR"/>
              </w:rPr>
            </w:pPr>
            <w:r w:rsidRPr="00834A82">
              <w:rPr>
                <w:lang w:val="fr-FR"/>
              </w:rPr>
              <w:t>Forme générale (PQ)</w:t>
            </w:r>
            <w:r w:rsidR="00D907A2">
              <w:rPr>
                <w:lang w:val="fr-FR"/>
              </w:rPr>
              <w:t> :</w:t>
            </w:r>
            <w:r w:rsidRPr="00834A82">
              <w:rPr>
                <w:lang w:val="fr-FR"/>
              </w:rPr>
              <w:t xml:space="preserve"> réniforme (1);  losangique (2);  aplatie (3);  circulaire (4);  elliptique (5</w:t>
            </w:r>
            <w:r w:rsidR="004F258F" w:rsidRPr="00834A82">
              <w:rPr>
                <w:lang w:val="fr-FR"/>
              </w:rPr>
              <w:t>)</w:t>
            </w:r>
          </w:p>
          <w:p w:rsidR="004F258F" w:rsidRPr="00834A82" w:rsidRDefault="004F258F" w:rsidP="004F258F">
            <w:pPr>
              <w:ind w:left="142"/>
              <w:rPr>
                <w:lang w:val="fr-FR"/>
              </w:rPr>
            </w:pPr>
          </w:p>
        </w:tc>
        <w:tc>
          <w:tcPr>
            <w:tcW w:w="4928" w:type="dxa"/>
            <w:vMerge/>
          </w:tcPr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  <w:tr w:rsidR="004F258F" w:rsidRPr="00B51885" w:rsidTr="000939BC">
        <w:tc>
          <w:tcPr>
            <w:tcW w:w="4927" w:type="dxa"/>
          </w:tcPr>
          <w:p w:rsidR="004F258F" w:rsidRPr="00834A82" w:rsidRDefault="004F258F" w:rsidP="004F258F">
            <w:pPr>
              <w:ind w:left="142"/>
              <w:rPr>
                <w:lang w:val="fr-FR"/>
              </w:rPr>
            </w:pPr>
          </w:p>
        </w:tc>
        <w:tc>
          <w:tcPr>
            <w:tcW w:w="4928" w:type="dxa"/>
            <w:vMerge/>
          </w:tcPr>
          <w:p w:rsidR="004F258F" w:rsidRPr="00834A82" w:rsidRDefault="004F258F" w:rsidP="004F258F">
            <w:pPr>
              <w:rPr>
                <w:lang w:val="fr-FR"/>
              </w:rPr>
            </w:pPr>
          </w:p>
        </w:tc>
      </w:tr>
    </w:tbl>
    <w:p w:rsidR="00934BE5" w:rsidRPr="00834A82" w:rsidRDefault="00934BE5" w:rsidP="004F258F">
      <w:pPr>
        <w:rPr>
          <w:lang w:val="fr-FR"/>
        </w:rPr>
      </w:pPr>
    </w:p>
    <w:p w:rsidR="00934BE5" w:rsidRPr="00834A82" w:rsidRDefault="00934BE5" w:rsidP="004F258F">
      <w:pPr>
        <w:jc w:val="left"/>
        <w:rPr>
          <w:lang w:val="fr-FR"/>
        </w:rPr>
      </w:pPr>
    </w:p>
    <w:p w:rsidR="00934BE5" w:rsidRPr="00834A82" w:rsidRDefault="00934BE5" w:rsidP="004F258F">
      <w:pPr>
        <w:jc w:val="left"/>
        <w:rPr>
          <w:lang w:val="fr-FR"/>
        </w:rPr>
      </w:pPr>
    </w:p>
    <w:p w:rsidR="00934BE5" w:rsidRPr="00834A82" w:rsidRDefault="004F258F" w:rsidP="004F258F">
      <w:pPr>
        <w:jc w:val="right"/>
        <w:rPr>
          <w:lang w:val="fr-FR"/>
        </w:rPr>
      </w:pPr>
      <w:r w:rsidRPr="00834A82">
        <w:rPr>
          <w:lang w:val="fr-FR"/>
        </w:rPr>
        <w:t>[</w:t>
      </w:r>
      <w:r w:rsidR="00681D71" w:rsidRPr="00834A82">
        <w:rPr>
          <w:lang w:val="fr-FR"/>
        </w:rPr>
        <w:t>Fin de l</w:t>
      </w:r>
      <w:r w:rsidR="00D907A2">
        <w:rPr>
          <w:lang w:val="fr-FR"/>
        </w:rPr>
        <w:t>’</w:t>
      </w:r>
      <w:r w:rsidR="00681D71" w:rsidRPr="00834A82">
        <w:rPr>
          <w:lang w:val="fr-FR"/>
        </w:rPr>
        <w:t xml:space="preserve">annexe et du </w:t>
      </w:r>
      <w:r w:rsidRPr="00834A82">
        <w:rPr>
          <w:lang w:val="fr-FR"/>
        </w:rPr>
        <w:t>document]</w:t>
      </w:r>
      <w:bookmarkStart w:id="19" w:name="_GoBack"/>
      <w:bookmarkEnd w:id="19"/>
    </w:p>
    <w:sectPr w:rsidR="00934BE5" w:rsidRPr="00834A82" w:rsidSect="004F258F">
      <w:headerReference w:type="default" r:id="rId41"/>
      <w:headerReference w:type="first" r:id="rId4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16" w:rsidRDefault="00311016" w:rsidP="006655D3">
      <w:r>
        <w:separator/>
      </w:r>
    </w:p>
    <w:p w:rsidR="00311016" w:rsidRDefault="00311016" w:rsidP="006655D3"/>
    <w:p w:rsidR="00311016" w:rsidRDefault="00311016" w:rsidP="006655D3"/>
  </w:endnote>
  <w:endnote w:type="continuationSeparator" w:id="0">
    <w:p w:rsidR="00311016" w:rsidRDefault="00311016" w:rsidP="006655D3">
      <w:r>
        <w:separator/>
      </w:r>
    </w:p>
    <w:p w:rsidR="00311016" w:rsidRPr="00294751" w:rsidRDefault="003110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1016" w:rsidRPr="00294751" w:rsidRDefault="00311016" w:rsidP="006655D3">
      <w:pPr>
        <w:rPr>
          <w:lang w:val="fr-FR"/>
        </w:rPr>
      </w:pPr>
    </w:p>
    <w:p w:rsidR="00311016" w:rsidRPr="00294751" w:rsidRDefault="00311016" w:rsidP="006655D3">
      <w:pPr>
        <w:rPr>
          <w:lang w:val="fr-FR"/>
        </w:rPr>
      </w:pPr>
    </w:p>
  </w:endnote>
  <w:endnote w:type="continuationNotice" w:id="1">
    <w:p w:rsidR="00311016" w:rsidRPr="00294751" w:rsidRDefault="0031101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1016" w:rsidRPr="00294751" w:rsidRDefault="00311016" w:rsidP="006655D3">
      <w:pPr>
        <w:rPr>
          <w:lang w:val="fr-FR"/>
        </w:rPr>
      </w:pPr>
    </w:p>
    <w:p w:rsidR="00311016" w:rsidRPr="00294751" w:rsidRDefault="0031101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16" w:rsidRDefault="00311016" w:rsidP="006655D3">
      <w:r>
        <w:separator/>
      </w:r>
    </w:p>
  </w:footnote>
  <w:footnote w:type="continuationSeparator" w:id="0">
    <w:p w:rsidR="00311016" w:rsidRDefault="00311016" w:rsidP="006655D3">
      <w:r>
        <w:separator/>
      </w:r>
    </w:p>
  </w:footnote>
  <w:footnote w:type="continuationNotice" w:id="1">
    <w:p w:rsidR="00311016" w:rsidRPr="00AB530F" w:rsidRDefault="0031101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6" w:rsidRPr="00C5280D" w:rsidRDefault="00311016" w:rsidP="00EB048E">
    <w:pPr>
      <w:pStyle w:val="Header"/>
      <w:rPr>
        <w:rStyle w:val="PageNumber"/>
        <w:lang w:val="en-US"/>
      </w:rPr>
    </w:pPr>
    <w:r w:rsidRPr="004F258F">
      <w:rPr>
        <w:lang w:val="en-US"/>
      </w:rPr>
      <w:t>TC/54/21</w:t>
    </w:r>
  </w:p>
  <w:p w:rsidR="00311016" w:rsidRPr="00C5280D" w:rsidRDefault="0031101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51885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311016" w:rsidRPr="00C5280D" w:rsidRDefault="00311016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6" w:rsidRPr="00C5280D" w:rsidRDefault="00311016" w:rsidP="00EB048E">
    <w:pPr>
      <w:pStyle w:val="Header"/>
      <w:rPr>
        <w:rStyle w:val="PageNumber"/>
        <w:lang w:val="en-US"/>
      </w:rPr>
    </w:pPr>
    <w:r w:rsidRPr="004F258F">
      <w:rPr>
        <w:lang w:val="en-US"/>
      </w:rPr>
      <w:t>TC/54/21</w:t>
    </w:r>
  </w:p>
  <w:p w:rsidR="00311016" w:rsidRPr="00C5280D" w:rsidRDefault="00311016" w:rsidP="002A36E2">
    <w:pPr>
      <w:pStyle w:val="Header"/>
    </w:pPr>
    <w:r w:rsidRPr="00467EF5">
      <w:t>Annexe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51885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311016" w:rsidRDefault="0031101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16" w:rsidRDefault="00311016">
    <w:pPr>
      <w:pStyle w:val="Header"/>
      <w:rPr>
        <w:lang w:val="en-US"/>
      </w:rPr>
    </w:pPr>
    <w:r w:rsidRPr="004F258F">
      <w:rPr>
        <w:lang w:val="en-US"/>
      </w:rPr>
      <w:t>TC/54/21</w:t>
    </w:r>
  </w:p>
  <w:p w:rsidR="00311016" w:rsidRDefault="00311016">
    <w:pPr>
      <w:pStyle w:val="Header"/>
      <w:rPr>
        <w:lang w:val="en-US"/>
      </w:rPr>
    </w:pPr>
  </w:p>
  <w:p w:rsidR="00311016" w:rsidRDefault="00311016">
    <w:pPr>
      <w:pStyle w:val="Header"/>
      <w:rPr>
        <w:lang w:val="en-US"/>
      </w:rPr>
    </w:pPr>
    <w:r>
      <w:rPr>
        <w:lang w:val="en-US"/>
      </w:rPr>
      <w:t>ANNEXE</w:t>
    </w:r>
  </w:p>
  <w:p w:rsidR="00311016" w:rsidRDefault="003110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1D1A"/>
    <w:multiLevelType w:val="hybridMultilevel"/>
    <w:tmpl w:val="76CE2B28"/>
    <w:lvl w:ilvl="0" w:tplc="040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ED988AA8">
      <w:start w:val="1"/>
      <w:numFmt w:val="bullet"/>
      <w:lvlText w:val="•"/>
      <w:lvlJc w:val="left"/>
      <w:pPr>
        <w:ind w:left="6470" w:hanging="57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abstractNum w:abstractNumId="1">
    <w:nsid w:val="41785F6C"/>
    <w:multiLevelType w:val="hybridMultilevel"/>
    <w:tmpl w:val="F30E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C6221"/>
    <w:multiLevelType w:val="hybridMultilevel"/>
    <w:tmpl w:val="ABB6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A7321"/>
    <w:multiLevelType w:val="hybridMultilevel"/>
    <w:tmpl w:val="21727058"/>
    <w:lvl w:ilvl="0" w:tplc="5C1E6D06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D794C4C"/>
    <w:multiLevelType w:val="hybridMultilevel"/>
    <w:tmpl w:val="8DC2D322"/>
    <w:lvl w:ilvl="0" w:tplc="B9E29E1E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5E1F86"/>
    <w:rsid w:val="0000330B"/>
    <w:rsid w:val="00010CF3"/>
    <w:rsid w:val="00011E27"/>
    <w:rsid w:val="00012CE7"/>
    <w:rsid w:val="000148BC"/>
    <w:rsid w:val="00015CD4"/>
    <w:rsid w:val="00024AB8"/>
    <w:rsid w:val="00024CD3"/>
    <w:rsid w:val="00030854"/>
    <w:rsid w:val="000334C3"/>
    <w:rsid w:val="00036028"/>
    <w:rsid w:val="000361EA"/>
    <w:rsid w:val="00044642"/>
    <w:rsid w:val="000446B9"/>
    <w:rsid w:val="00047E21"/>
    <w:rsid w:val="00050E16"/>
    <w:rsid w:val="00076AD3"/>
    <w:rsid w:val="00085505"/>
    <w:rsid w:val="000939BC"/>
    <w:rsid w:val="000C4E25"/>
    <w:rsid w:val="000C7021"/>
    <w:rsid w:val="000D54F5"/>
    <w:rsid w:val="000D6BBC"/>
    <w:rsid w:val="000D7780"/>
    <w:rsid w:val="000E46ED"/>
    <w:rsid w:val="000E636A"/>
    <w:rsid w:val="000F2F11"/>
    <w:rsid w:val="00105929"/>
    <w:rsid w:val="00110C36"/>
    <w:rsid w:val="001131D5"/>
    <w:rsid w:val="0013798B"/>
    <w:rsid w:val="00141805"/>
    <w:rsid w:val="00141DB8"/>
    <w:rsid w:val="00165E93"/>
    <w:rsid w:val="00172084"/>
    <w:rsid w:val="00172E65"/>
    <w:rsid w:val="0017474A"/>
    <w:rsid w:val="001758C6"/>
    <w:rsid w:val="00182B99"/>
    <w:rsid w:val="00190CC1"/>
    <w:rsid w:val="001A1BDF"/>
    <w:rsid w:val="001C4CA2"/>
    <w:rsid w:val="001C60E2"/>
    <w:rsid w:val="001D0380"/>
    <w:rsid w:val="001E7B1E"/>
    <w:rsid w:val="001F3048"/>
    <w:rsid w:val="001F561C"/>
    <w:rsid w:val="00206B6A"/>
    <w:rsid w:val="00211120"/>
    <w:rsid w:val="00213290"/>
    <w:rsid w:val="0021332C"/>
    <w:rsid w:val="00213982"/>
    <w:rsid w:val="0022385A"/>
    <w:rsid w:val="002327DC"/>
    <w:rsid w:val="00241135"/>
    <w:rsid w:val="0024416D"/>
    <w:rsid w:val="0026765E"/>
    <w:rsid w:val="00271911"/>
    <w:rsid w:val="0027605C"/>
    <w:rsid w:val="002800A0"/>
    <w:rsid w:val="002801B3"/>
    <w:rsid w:val="00281060"/>
    <w:rsid w:val="002940E8"/>
    <w:rsid w:val="00294751"/>
    <w:rsid w:val="002A36E2"/>
    <w:rsid w:val="002A6E50"/>
    <w:rsid w:val="002A7E10"/>
    <w:rsid w:val="002B4298"/>
    <w:rsid w:val="002C256A"/>
    <w:rsid w:val="002D6617"/>
    <w:rsid w:val="002E7470"/>
    <w:rsid w:val="00304827"/>
    <w:rsid w:val="00305A7F"/>
    <w:rsid w:val="00311016"/>
    <w:rsid w:val="00314FAE"/>
    <w:rsid w:val="003152FE"/>
    <w:rsid w:val="00321EF6"/>
    <w:rsid w:val="00327436"/>
    <w:rsid w:val="0034237B"/>
    <w:rsid w:val="00344BD6"/>
    <w:rsid w:val="0035528D"/>
    <w:rsid w:val="00357552"/>
    <w:rsid w:val="00361821"/>
    <w:rsid w:val="00361E9E"/>
    <w:rsid w:val="0037056B"/>
    <w:rsid w:val="00390F54"/>
    <w:rsid w:val="003C3488"/>
    <w:rsid w:val="003C7FBE"/>
    <w:rsid w:val="003D227C"/>
    <w:rsid w:val="003D2B4D"/>
    <w:rsid w:val="003F3E00"/>
    <w:rsid w:val="004177CF"/>
    <w:rsid w:val="00430D1F"/>
    <w:rsid w:val="00434BF2"/>
    <w:rsid w:val="00437A64"/>
    <w:rsid w:val="00444A88"/>
    <w:rsid w:val="00450518"/>
    <w:rsid w:val="00453683"/>
    <w:rsid w:val="00456F49"/>
    <w:rsid w:val="00467EF5"/>
    <w:rsid w:val="00474DA4"/>
    <w:rsid w:val="00475242"/>
    <w:rsid w:val="00475B0F"/>
    <w:rsid w:val="00476B4D"/>
    <w:rsid w:val="004805FA"/>
    <w:rsid w:val="00492C5E"/>
    <w:rsid w:val="004935D2"/>
    <w:rsid w:val="004A56AC"/>
    <w:rsid w:val="004B1215"/>
    <w:rsid w:val="004B7E31"/>
    <w:rsid w:val="004D047D"/>
    <w:rsid w:val="004F1E9E"/>
    <w:rsid w:val="004F258F"/>
    <w:rsid w:val="004F305A"/>
    <w:rsid w:val="00506B70"/>
    <w:rsid w:val="00512164"/>
    <w:rsid w:val="005171AA"/>
    <w:rsid w:val="00520297"/>
    <w:rsid w:val="0052156D"/>
    <w:rsid w:val="005338F9"/>
    <w:rsid w:val="005378BE"/>
    <w:rsid w:val="005409FA"/>
    <w:rsid w:val="0054281C"/>
    <w:rsid w:val="00544581"/>
    <w:rsid w:val="0055268D"/>
    <w:rsid w:val="00573C25"/>
    <w:rsid w:val="00576BE4"/>
    <w:rsid w:val="005806AE"/>
    <w:rsid w:val="005A400A"/>
    <w:rsid w:val="005E1F86"/>
    <w:rsid w:val="005F7B92"/>
    <w:rsid w:val="006047F2"/>
    <w:rsid w:val="00605437"/>
    <w:rsid w:val="00612379"/>
    <w:rsid w:val="00613B91"/>
    <w:rsid w:val="006153B6"/>
    <w:rsid w:val="0061555F"/>
    <w:rsid w:val="006202C6"/>
    <w:rsid w:val="00636CA6"/>
    <w:rsid w:val="00641200"/>
    <w:rsid w:val="00645CA8"/>
    <w:rsid w:val="006655D3"/>
    <w:rsid w:val="00667404"/>
    <w:rsid w:val="00681D71"/>
    <w:rsid w:val="006857F9"/>
    <w:rsid w:val="00687EB4"/>
    <w:rsid w:val="00695C56"/>
    <w:rsid w:val="006A5CDE"/>
    <w:rsid w:val="006A610B"/>
    <w:rsid w:val="006A644A"/>
    <w:rsid w:val="006B17D2"/>
    <w:rsid w:val="006C224E"/>
    <w:rsid w:val="006C6BC4"/>
    <w:rsid w:val="006D780A"/>
    <w:rsid w:val="006E0CEF"/>
    <w:rsid w:val="006F57A2"/>
    <w:rsid w:val="00702FCA"/>
    <w:rsid w:val="0071271E"/>
    <w:rsid w:val="00732DEC"/>
    <w:rsid w:val="00734B42"/>
    <w:rsid w:val="00735BD5"/>
    <w:rsid w:val="00742D2B"/>
    <w:rsid w:val="00751613"/>
    <w:rsid w:val="007556F6"/>
    <w:rsid w:val="00760EEF"/>
    <w:rsid w:val="00765D2C"/>
    <w:rsid w:val="00777EE5"/>
    <w:rsid w:val="00784836"/>
    <w:rsid w:val="0079023E"/>
    <w:rsid w:val="00792030"/>
    <w:rsid w:val="007A2854"/>
    <w:rsid w:val="007B0EA7"/>
    <w:rsid w:val="007C1D92"/>
    <w:rsid w:val="007C4CB9"/>
    <w:rsid w:val="007D0B9D"/>
    <w:rsid w:val="007D19B0"/>
    <w:rsid w:val="007F3531"/>
    <w:rsid w:val="007F498F"/>
    <w:rsid w:val="0080679D"/>
    <w:rsid w:val="008108B0"/>
    <w:rsid w:val="00811B20"/>
    <w:rsid w:val="008211B5"/>
    <w:rsid w:val="0082296E"/>
    <w:rsid w:val="00824099"/>
    <w:rsid w:val="00826E9F"/>
    <w:rsid w:val="00834A82"/>
    <w:rsid w:val="00846D7C"/>
    <w:rsid w:val="0085785E"/>
    <w:rsid w:val="00867AC1"/>
    <w:rsid w:val="00881453"/>
    <w:rsid w:val="00890DF8"/>
    <w:rsid w:val="00890E05"/>
    <w:rsid w:val="008A743F"/>
    <w:rsid w:val="008B6E60"/>
    <w:rsid w:val="008C0970"/>
    <w:rsid w:val="008D0BC5"/>
    <w:rsid w:val="008D2CF7"/>
    <w:rsid w:val="008D7E86"/>
    <w:rsid w:val="008F43C9"/>
    <w:rsid w:val="00900C26"/>
    <w:rsid w:val="00900E16"/>
    <w:rsid w:val="0090197F"/>
    <w:rsid w:val="00906DDC"/>
    <w:rsid w:val="009109C6"/>
    <w:rsid w:val="00934BE5"/>
    <w:rsid w:val="00934E09"/>
    <w:rsid w:val="00936253"/>
    <w:rsid w:val="0094073E"/>
    <w:rsid w:val="00940D46"/>
    <w:rsid w:val="00952DD4"/>
    <w:rsid w:val="00956579"/>
    <w:rsid w:val="00965AE7"/>
    <w:rsid w:val="00970FED"/>
    <w:rsid w:val="00992D82"/>
    <w:rsid w:val="00997029"/>
    <w:rsid w:val="009A7339"/>
    <w:rsid w:val="009B440E"/>
    <w:rsid w:val="009D14B8"/>
    <w:rsid w:val="009D690D"/>
    <w:rsid w:val="009E65B6"/>
    <w:rsid w:val="00A13C15"/>
    <w:rsid w:val="00A24C10"/>
    <w:rsid w:val="00A27533"/>
    <w:rsid w:val="00A42AC3"/>
    <w:rsid w:val="00A430CF"/>
    <w:rsid w:val="00A4752D"/>
    <w:rsid w:val="00A53160"/>
    <w:rsid w:val="00A531C7"/>
    <w:rsid w:val="00A54309"/>
    <w:rsid w:val="00AA2291"/>
    <w:rsid w:val="00AB2B93"/>
    <w:rsid w:val="00AB530F"/>
    <w:rsid w:val="00AB7E5B"/>
    <w:rsid w:val="00AC2883"/>
    <w:rsid w:val="00AE0EF1"/>
    <w:rsid w:val="00AE2937"/>
    <w:rsid w:val="00AE78F1"/>
    <w:rsid w:val="00B07301"/>
    <w:rsid w:val="00B11F3E"/>
    <w:rsid w:val="00B11FBA"/>
    <w:rsid w:val="00B224DE"/>
    <w:rsid w:val="00B26DA3"/>
    <w:rsid w:val="00B324D4"/>
    <w:rsid w:val="00B41015"/>
    <w:rsid w:val="00B46575"/>
    <w:rsid w:val="00B47EF9"/>
    <w:rsid w:val="00B5120D"/>
    <w:rsid w:val="00B51885"/>
    <w:rsid w:val="00B61777"/>
    <w:rsid w:val="00B63160"/>
    <w:rsid w:val="00B65A1A"/>
    <w:rsid w:val="00B75DB9"/>
    <w:rsid w:val="00B815DA"/>
    <w:rsid w:val="00B84BBD"/>
    <w:rsid w:val="00B94F52"/>
    <w:rsid w:val="00BA3E57"/>
    <w:rsid w:val="00BA43FB"/>
    <w:rsid w:val="00BB1943"/>
    <w:rsid w:val="00BC127D"/>
    <w:rsid w:val="00BC1FE6"/>
    <w:rsid w:val="00BE05AD"/>
    <w:rsid w:val="00BE6BC1"/>
    <w:rsid w:val="00C061B6"/>
    <w:rsid w:val="00C06D23"/>
    <w:rsid w:val="00C2446C"/>
    <w:rsid w:val="00C36AE5"/>
    <w:rsid w:val="00C41F17"/>
    <w:rsid w:val="00C50C68"/>
    <w:rsid w:val="00C527FA"/>
    <w:rsid w:val="00C5280D"/>
    <w:rsid w:val="00C53EB3"/>
    <w:rsid w:val="00C56ED6"/>
    <w:rsid w:val="00C5791C"/>
    <w:rsid w:val="00C57DF8"/>
    <w:rsid w:val="00C66290"/>
    <w:rsid w:val="00C67751"/>
    <w:rsid w:val="00C72B7A"/>
    <w:rsid w:val="00C7718B"/>
    <w:rsid w:val="00C80465"/>
    <w:rsid w:val="00C85539"/>
    <w:rsid w:val="00C969E0"/>
    <w:rsid w:val="00C973F2"/>
    <w:rsid w:val="00CA304C"/>
    <w:rsid w:val="00CA774A"/>
    <w:rsid w:val="00CC11B0"/>
    <w:rsid w:val="00CC2841"/>
    <w:rsid w:val="00CD4BCA"/>
    <w:rsid w:val="00CE4251"/>
    <w:rsid w:val="00CF1330"/>
    <w:rsid w:val="00CF7E36"/>
    <w:rsid w:val="00D16969"/>
    <w:rsid w:val="00D17BBB"/>
    <w:rsid w:val="00D3708D"/>
    <w:rsid w:val="00D40426"/>
    <w:rsid w:val="00D57C96"/>
    <w:rsid w:val="00D57D18"/>
    <w:rsid w:val="00D57EC1"/>
    <w:rsid w:val="00D63354"/>
    <w:rsid w:val="00D907A2"/>
    <w:rsid w:val="00D91203"/>
    <w:rsid w:val="00D95174"/>
    <w:rsid w:val="00DA4973"/>
    <w:rsid w:val="00DA6F36"/>
    <w:rsid w:val="00DB596E"/>
    <w:rsid w:val="00DB7773"/>
    <w:rsid w:val="00DC00EA"/>
    <w:rsid w:val="00DC3802"/>
    <w:rsid w:val="00DE22C5"/>
    <w:rsid w:val="00DE3207"/>
    <w:rsid w:val="00DF175E"/>
    <w:rsid w:val="00E06ACC"/>
    <w:rsid w:val="00E07D87"/>
    <w:rsid w:val="00E227FD"/>
    <w:rsid w:val="00E32F7E"/>
    <w:rsid w:val="00E44748"/>
    <w:rsid w:val="00E5267B"/>
    <w:rsid w:val="00E63C0E"/>
    <w:rsid w:val="00E72D49"/>
    <w:rsid w:val="00E7593C"/>
    <w:rsid w:val="00E7678A"/>
    <w:rsid w:val="00E86557"/>
    <w:rsid w:val="00E935F1"/>
    <w:rsid w:val="00E94A81"/>
    <w:rsid w:val="00EA1FFB"/>
    <w:rsid w:val="00EB045C"/>
    <w:rsid w:val="00EB048E"/>
    <w:rsid w:val="00EB4E9C"/>
    <w:rsid w:val="00EC4C0F"/>
    <w:rsid w:val="00EC5CE4"/>
    <w:rsid w:val="00ED2193"/>
    <w:rsid w:val="00EE34DF"/>
    <w:rsid w:val="00EF2F89"/>
    <w:rsid w:val="00F03E98"/>
    <w:rsid w:val="00F1237A"/>
    <w:rsid w:val="00F14826"/>
    <w:rsid w:val="00F1485D"/>
    <w:rsid w:val="00F179E3"/>
    <w:rsid w:val="00F22CBD"/>
    <w:rsid w:val="00F272F1"/>
    <w:rsid w:val="00F45372"/>
    <w:rsid w:val="00F512ED"/>
    <w:rsid w:val="00F560F7"/>
    <w:rsid w:val="00F6334D"/>
    <w:rsid w:val="00FA49AB"/>
    <w:rsid w:val="00FC16E3"/>
    <w:rsid w:val="00FD691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1D0380"/>
    <w:pPr>
      <w:tabs>
        <w:tab w:val="right" w:leader="dot" w:pos="9639"/>
      </w:tabs>
      <w:spacing w:before="120" w:after="120"/>
      <w:ind w:left="142" w:right="851"/>
      <w:contextualSpacing/>
    </w:pPr>
    <w:rPr>
      <w:rFonts w:ascii="Arial" w:hAnsi="Arial"/>
      <w:smallCaps/>
      <w:noProof/>
      <w:lang w:val="en-NZ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5785E"/>
    <w:pPr>
      <w:tabs>
        <w:tab w:val="right" w:leader="dot" w:pos="9639"/>
      </w:tabs>
      <w:spacing w:after="120"/>
      <w:contextualSpacing/>
      <w:jc w:val="center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link w:val="Header"/>
    <w:locked/>
    <w:rsid w:val="004F258F"/>
    <w:rPr>
      <w:rFonts w:ascii="Arial" w:hAnsi="Arial"/>
      <w:lang w:val="fr-FR"/>
    </w:rPr>
  </w:style>
  <w:style w:type="table" w:styleId="TableGrid">
    <w:name w:val="Table Grid"/>
    <w:basedOn w:val="TableNormal"/>
    <w:rsid w:val="004F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4C3"/>
    <w:pPr>
      <w:ind w:left="720"/>
      <w:contextualSpacing/>
    </w:pPr>
  </w:style>
  <w:style w:type="character" w:styleId="CommentReference">
    <w:name w:val="annotation reference"/>
    <w:basedOn w:val="DefaultParagraphFont"/>
    <w:rsid w:val="00E227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7FD"/>
  </w:style>
  <w:style w:type="character" w:customStyle="1" w:styleId="CommentTextChar">
    <w:name w:val="Comment Text Char"/>
    <w:basedOn w:val="DefaultParagraphFont"/>
    <w:link w:val="CommentText"/>
    <w:rsid w:val="00E227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2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7FD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9109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109C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1D0380"/>
    <w:pPr>
      <w:tabs>
        <w:tab w:val="right" w:leader="dot" w:pos="9639"/>
      </w:tabs>
      <w:spacing w:before="120" w:after="120"/>
      <w:ind w:left="142" w:right="851"/>
      <w:contextualSpacing/>
    </w:pPr>
    <w:rPr>
      <w:rFonts w:ascii="Arial" w:hAnsi="Arial"/>
      <w:smallCaps/>
      <w:noProof/>
      <w:lang w:val="en-NZ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85785E"/>
    <w:pPr>
      <w:tabs>
        <w:tab w:val="right" w:leader="dot" w:pos="9639"/>
      </w:tabs>
      <w:spacing w:after="120"/>
      <w:contextualSpacing/>
      <w:jc w:val="center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link w:val="Header"/>
    <w:locked/>
    <w:rsid w:val="004F258F"/>
    <w:rPr>
      <w:rFonts w:ascii="Arial" w:hAnsi="Arial"/>
      <w:lang w:val="fr-FR"/>
    </w:rPr>
  </w:style>
  <w:style w:type="table" w:styleId="TableGrid">
    <w:name w:val="Table Grid"/>
    <w:basedOn w:val="TableNormal"/>
    <w:rsid w:val="004F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34C3"/>
    <w:pPr>
      <w:ind w:left="720"/>
      <w:contextualSpacing/>
    </w:pPr>
  </w:style>
  <w:style w:type="character" w:styleId="CommentReference">
    <w:name w:val="annotation reference"/>
    <w:basedOn w:val="DefaultParagraphFont"/>
    <w:rsid w:val="00E227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27FD"/>
  </w:style>
  <w:style w:type="character" w:customStyle="1" w:styleId="CommentTextChar">
    <w:name w:val="Comment Text Char"/>
    <w:basedOn w:val="DefaultParagraphFont"/>
    <w:link w:val="CommentText"/>
    <w:rsid w:val="00E227F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22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227FD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9109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109C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image" Target="media/image17.wmf"/><Relationship Id="rId39" Type="http://schemas.openxmlformats.org/officeDocument/2006/relationships/image" Target="media/image26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3.bin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eader" Target="header1.xml"/><Relationship Id="rId25" Type="http://schemas.openxmlformats.org/officeDocument/2006/relationships/image" Target="media/image16.wmf"/><Relationship Id="rId33" Type="http://schemas.openxmlformats.org/officeDocument/2006/relationships/image" Target="media/image22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5.wmf"/><Relationship Id="rId32" Type="http://schemas.openxmlformats.org/officeDocument/2006/relationships/oleObject" Target="embeddings/oleObject2.bin"/><Relationship Id="rId37" Type="http://schemas.openxmlformats.org/officeDocument/2006/relationships/image" Target="media/image24.jpeg"/><Relationship Id="rId40" Type="http://schemas.openxmlformats.org/officeDocument/2006/relationships/image" Target="media/image27.png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oleObject" Target="embeddings/oleObject4.bin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wmf"/><Relationship Id="rId22" Type="http://schemas.openxmlformats.org/officeDocument/2006/relationships/image" Target="media/image13.png"/><Relationship Id="rId27" Type="http://schemas.openxmlformats.org/officeDocument/2006/relationships/image" Target="media/image18.wmf"/><Relationship Id="rId30" Type="http://schemas.openxmlformats.org/officeDocument/2006/relationships/oleObject" Target="embeddings/oleObject1.bin"/><Relationship Id="rId35" Type="http://schemas.openxmlformats.org/officeDocument/2006/relationships/image" Target="media/image23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0E238-9D55-4E5A-869D-531E9A29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3109</Words>
  <Characters>17918</Characters>
  <Application>Microsoft Office Word</Application>
  <DocSecurity>0</DocSecurity>
  <Lines>527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TAVEIRA Leontino</dc:creator>
  <cp:lastModifiedBy>MAY Jessica</cp:lastModifiedBy>
  <cp:revision>9</cp:revision>
  <cp:lastPrinted>2018-08-02T08:57:00Z</cp:lastPrinted>
  <dcterms:created xsi:type="dcterms:W3CDTF">2018-08-09T07:40:00Z</dcterms:created>
  <dcterms:modified xsi:type="dcterms:W3CDTF">2018-08-16T07:16:00Z</dcterms:modified>
</cp:coreProperties>
</file>