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471C2" w:rsidRPr="00BC0FED" w:rsidTr="001349E1">
        <w:tc>
          <w:tcPr>
            <w:tcW w:w="6522" w:type="dxa"/>
          </w:tcPr>
          <w:p w:rsidR="003471C2" w:rsidRPr="00BC0FED" w:rsidRDefault="003471C2" w:rsidP="001349E1">
            <w:pPr>
              <w:rPr>
                <w:lang w:val="fr-FR"/>
              </w:rPr>
            </w:pPr>
            <w:r w:rsidRPr="00BC0FED">
              <w:rPr>
                <w:noProof/>
              </w:rPr>
              <w:drawing>
                <wp:inline distT="0" distB="0" distL="0" distR="0" wp14:anchorId="01108012" wp14:editId="710DE90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471C2" w:rsidRPr="00BC0FED" w:rsidRDefault="003471C2" w:rsidP="001349E1">
            <w:pPr>
              <w:pStyle w:val="Lettrine"/>
              <w:rPr>
                <w:lang w:val="fr-FR"/>
              </w:rPr>
            </w:pPr>
            <w:r w:rsidRPr="00BC0FED">
              <w:rPr>
                <w:lang w:val="fr-FR"/>
              </w:rPr>
              <w:t>F</w:t>
            </w:r>
          </w:p>
        </w:tc>
      </w:tr>
      <w:tr w:rsidR="003471C2" w:rsidRPr="0028220E" w:rsidTr="001349E1">
        <w:trPr>
          <w:trHeight w:val="219"/>
        </w:trPr>
        <w:tc>
          <w:tcPr>
            <w:tcW w:w="6522" w:type="dxa"/>
          </w:tcPr>
          <w:p w:rsidR="003471C2" w:rsidRPr="00BC0FED" w:rsidRDefault="003471C2" w:rsidP="001349E1">
            <w:pPr>
              <w:pStyle w:val="upove"/>
              <w:rPr>
                <w:lang w:val="fr-FR"/>
              </w:rPr>
            </w:pPr>
            <w:r w:rsidRPr="00BC0FE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3471C2" w:rsidRPr="00BC0FED" w:rsidRDefault="003471C2" w:rsidP="001349E1">
            <w:pPr>
              <w:rPr>
                <w:lang w:val="fr-FR"/>
              </w:rPr>
            </w:pPr>
          </w:p>
        </w:tc>
      </w:tr>
    </w:tbl>
    <w:p w:rsidR="003471C2" w:rsidRPr="00BC0FED" w:rsidRDefault="003471C2" w:rsidP="003471C2">
      <w:pPr>
        <w:rPr>
          <w:lang w:val="fr-FR"/>
        </w:rPr>
      </w:pPr>
    </w:p>
    <w:p w:rsidR="003471C2" w:rsidRPr="00BC0FED" w:rsidRDefault="003471C2" w:rsidP="003471C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471C2" w:rsidRPr="0028220E" w:rsidTr="001349E1">
        <w:tc>
          <w:tcPr>
            <w:tcW w:w="6512" w:type="dxa"/>
          </w:tcPr>
          <w:p w:rsidR="003471C2" w:rsidRPr="00BC0FED" w:rsidRDefault="003471C2" w:rsidP="001349E1">
            <w:pPr>
              <w:pStyle w:val="Sessiontc"/>
              <w:spacing w:line="240" w:lineRule="auto"/>
              <w:rPr>
                <w:lang w:val="fr-FR"/>
              </w:rPr>
            </w:pPr>
            <w:r w:rsidRPr="00BC0FED">
              <w:rPr>
                <w:lang w:val="fr-FR"/>
              </w:rPr>
              <w:t>Comité technique</w:t>
            </w:r>
          </w:p>
          <w:p w:rsidR="003471C2" w:rsidRPr="00BC0FED" w:rsidRDefault="003471C2" w:rsidP="001349E1">
            <w:pPr>
              <w:pStyle w:val="Sessiontcplacedate"/>
              <w:rPr>
                <w:sz w:val="22"/>
                <w:lang w:val="fr-FR"/>
              </w:rPr>
            </w:pPr>
            <w:r w:rsidRPr="00BC0FED">
              <w:rPr>
                <w:lang w:val="fr-FR"/>
              </w:rPr>
              <w:t>Cinquante-quatrième session</w:t>
            </w:r>
            <w:r w:rsidRPr="00BC0FED">
              <w:rPr>
                <w:lang w:val="fr-FR"/>
              </w:rPr>
              <w:br/>
              <w:t>Genève, 29 et 30 octobre 2018</w:t>
            </w:r>
          </w:p>
        </w:tc>
        <w:tc>
          <w:tcPr>
            <w:tcW w:w="3127" w:type="dxa"/>
          </w:tcPr>
          <w:p w:rsidR="003471C2" w:rsidRPr="00BC0FED" w:rsidRDefault="003471C2" w:rsidP="001349E1">
            <w:pPr>
              <w:pStyle w:val="Doccode"/>
              <w:rPr>
                <w:lang w:val="fr-FR"/>
              </w:rPr>
            </w:pPr>
            <w:r w:rsidRPr="00BC0FED">
              <w:rPr>
                <w:lang w:val="fr-FR"/>
              </w:rPr>
              <w:t>TC/54/20</w:t>
            </w:r>
          </w:p>
          <w:p w:rsidR="003471C2" w:rsidRPr="00BC0FED" w:rsidRDefault="003471C2" w:rsidP="001349E1">
            <w:pPr>
              <w:pStyle w:val="Docoriginal"/>
              <w:rPr>
                <w:lang w:val="fr-FR"/>
              </w:rPr>
            </w:pPr>
            <w:r w:rsidRPr="00BC0FED">
              <w:rPr>
                <w:lang w:val="fr-FR"/>
              </w:rPr>
              <w:t>Original:</w:t>
            </w:r>
            <w:r w:rsidR="00DA5D47" w:rsidRPr="00BC0FED">
              <w:rPr>
                <w:b w:val="0"/>
                <w:spacing w:val="0"/>
                <w:lang w:val="fr-FR"/>
              </w:rPr>
              <w:t xml:space="preserve"> </w:t>
            </w:r>
            <w:r w:rsidRPr="00BC0FED">
              <w:rPr>
                <w:b w:val="0"/>
                <w:spacing w:val="0"/>
                <w:lang w:val="fr-FR"/>
              </w:rPr>
              <w:t>anglais</w:t>
            </w:r>
          </w:p>
          <w:p w:rsidR="003471C2" w:rsidRPr="00BC0FED" w:rsidRDefault="003471C2" w:rsidP="00533600">
            <w:pPr>
              <w:pStyle w:val="Docoriginal"/>
              <w:rPr>
                <w:lang w:val="fr-FR"/>
              </w:rPr>
            </w:pPr>
            <w:r w:rsidRPr="00BC0FED">
              <w:rPr>
                <w:lang w:val="fr-FR"/>
              </w:rPr>
              <w:t>Date:</w:t>
            </w:r>
            <w:r w:rsidR="00DA5D47" w:rsidRPr="00BC0FED">
              <w:rPr>
                <w:b w:val="0"/>
                <w:spacing w:val="0"/>
                <w:lang w:val="fr-FR"/>
              </w:rPr>
              <w:t xml:space="preserve"> </w:t>
            </w:r>
            <w:r w:rsidRPr="00533600">
              <w:rPr>
                <w:b w:val="0"/>
                <w:spacing w:val="0"/>
                <w:lang w:val="fr-FR"/>
              </w:rPr>
              <w:t>2</w:t>
            </w:r>
            <w:r w:rsidR="00533600" w:rsidRPr="00533600">
              <w:rPr>
                <w:b w:val="0"/>
                <w:spacing w:val="0"/>
                <w:lang w:val="fr-FR"/>
              </w:rPr>
              <w:t>3</w:t>
            </w:r>
            <w:r w:rsidRPr="00533600">
              <w:rPr>
                <w:b w:val="0"/>
                <w:spacing w:val="0"/>
                <w:lang w:val="fr-FR"/>
              </w:rPr>
              <w:t xml:space="preserve"> août 2018</w:t>
            </w:r>
          </w:p>
        </w:tc>
      </w:tr>
    </w:tbl>
    <w:p w:rsidR="003471C2" w:rsidRPr="00BC0FED" w:rsidRDefault="003471C2" w:rsidP="009D3491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BC0FED">
        <w:rPr>
          <w:lang w:val="fr-FR"/>
        </w:rPr>
        <w:t>ÉVALUATION DE L’HOMOGÉNÉITÉ D’APRÈS LES PLANTES HORS</w:t>
      </w:r>
      <w:r w:rsidRPr="00BC0FED">
        <w:rPr>
          <w:lang w:val="fr-FR"/>
        </w:rPr>
        <w:noBreakHyphen/>
        <w:t>TYPE SUR LA BASE DE PLUSIEURS CYCLES DE VÉGÉTATION OU SUR LA BASE DE SOUS</w:t>
      </w:r>
      <w:r w:rsidRPr="00BC0FED">
        <w:rPr>
          <w:lang w:val="fr-FR"/>
        </w:rPr>
        <w:noBreakHyphen/>
        <w:t>ÉCHANTILLONS</w:t>
      </w:r>
    </w:p>
    <w:p w:rsidR="003471C2" w:rsidRPr="00BC0FED" w:rsidRDefault="003471C2" w:rsidP="003471C2">
      <w:pPr>
        <w:pStyle w:val="preparedby1"/>
        <w:jc w:val="left"/>
        <w:rPr>
          <w:lang w:val="fr-FR"/>
        </w:rPr>
      </w:pPr>
      <w:r w:rsidRPr="00BC0FED">
        <w:rPr>
          <w:lang w:val="fr-FR"/>
        </w:rPr>
        <w:t>Document établi par le Bureau de l’Union</w:t>
      </w:r>
    </w:p>
    <w:p w:rsidR="003471C2" w:rsidRPr="00BC0FED" w:rsidRDefault="003471C2" w:rsidP="003471C2">
      <w:pPr>
        <w:pStyle w:val="Disclaimer"/>
        <w:rPr>
          <w:lang w:val="fr-FR"/>
        </w:rPr>
      </w:pPr>
      <w:r w:rsidRPr="00BC0FED">
        <w:rPr>
          <w:lang w:val="fr-FR"/>
        </w:rPr>
        <w:t>Avertissement : le présent document ne représente pas les principes ou les orientations de l’UPOV</w:t>
      </w:r>
    </w:p>
    <w:p w:rsidR="00633E35" w:rsidRPr="00E74017" w:rsidRDefault="00633E35" w:rsidP="00633E35">
      <w:pPr>
        <w:pStyle w:val="Heading1"/>
        <w:rPr>
          <w:rFonts w:eastAsia="MS Mincho"/>
          <w:lang w:val="fr-FR"/>
        </w:rPr>
      </w:pPr>
      <w:bookmarkStart w:id="2" w:name="_Toc522522918"/>
      <w:bookmarkStart w:id="3" w:name="_Toc524697862"/>
      <w:r w:rsidRPr="00E74017">
        <w:rPr>
          <w:rFonts w:eastAsia="MS Mincho"/>
          <w:lang w:val="fr-FR"/>
        </w:rPr>
        <w:t>RÉSUMÉ</w:t>
      </w:r>
      <w:bookmarkEnd w:id="2"/>
      <w:bookmarkEnd w:id="3"/>
    </w:p>
    <w:p w:rsidR="00B91E18" w:rsidRPr="00BC0FED" w:rsidRDefault="00B91E18" w:rsidP="00B91E18">
      <w:pPr>
        <w:autoSpaceDE w:val="0"/>
        <w:autoSpaceDN w:val="0"/>
        <w:adjustRightInd w:val="0"/>
        <w:rPr>
          <w:szCs w:val="24"/>
          <w:lang w:val="fr-FR"/>
        </w:rPr>
      </w:pPr>
    </w:p>
    <w:p w:rsidR="00F85D2F" w:rsidRPr="00BC0FED" w:rsidRDefault="00B91E18" w:rsidP="00B91E18">
      <w:pPr>
        <w:autoSpaceDE w:val="0"/>
        <w:autoSpaceDN w:val="0"/>
        <w:adjustRightInd w:val="0"/>
        <w:rPr>
          <w:rFonts w:eastAsia="MS Mincho"/>
          <w:color w:val="000000"/>
          <w:szCs w:val="24"/>
          <w:lang w:val="fr-FR"/>
        </w:rPr>
      </w:pPr>
      <w:r w:rsidRPr="00BC0FED">
        <w:rPr>
          <w:szCs w:val="24"/>
          <w:lang w:val="fr-FR"/>
        </w:rPr>
        <w:fldChar w:fldCharType="begin"/>
      </w:r>
      <w:r w:rsidRPr="00BC0FED">
        <w:rPr>
          <w:szCs w:val="24"/>
          <w:lang w:val="fr-FR"/>
        </w:rPr>
        <w:instrText xml:space="preserve"> AUTONUM  </w:instrText>
      </w:r>
      <w:r w:rsidRPr="00BC0FED">
        <w:rPr>
          <w:szCs w:val="24"/>
          <w:lang w:val="fr-FR"/>
        </w:rPr>
        <w:fldChar w:fldCharType="end"/>
      </w:r>
      <w:r w:rsidRPr="00BC0FED">
        <w:rPr>
          <w:szCs w:val="24"/>
          <w:lang w:val="fr-FR"/>
        </w:rPr>
        <w:tab/>
      </w:r>
      <w:r w:rsidRPr="00BC0FED">
        <w:rPr>
          <w:rFonts w:eastAsia="MS Mincho"/>
          <w:color w:val="000000"/>
          <w:szCs w:val="24"/>
          <w:lang w:val="fr-FR"/>
        </w:rPr>
        <w:t>Le présent document a pour objet de présenter une proposition de révision du document</w:t>
      </w:r>
      <w:r w:rsidR="002E4035" w:rsidRPr="00BC0FED">
        <w:rPr>
          <w:rFonts w:eastAsia="MS Mincho"/>
          <w:color w:val="000000"/>
          <w:szCs w:val="24"/>
          <w:lang w:val="fr-FR"/>
        </w:rPr>
        <w:t> </w:t>
      </w:r>
      <w:r w:rsidRPr="00BC0FED">
        <w:rPr>
          <w:rFonts w:eastAsia="MS Mincho"/>
          <w:color w:val="000000"/>
          <w:szCs w:val="24"/>
          <w:lang w:val="fr-FR"/>
        </w:rPr>
        <w:t>TGP/10 “Examen de l</w:t>
      </w:r>
      <w:r w:rsidR="00F85D2F" w:rsidRPr="00BC0FED">
        <w:rPr>
          <w:rFonts w:eastAsia="MS Mincho"/>
          <w:color w:val="000000"/>
          <w:szCs w:val="24"/>
          <w:lang w:val="fr-FR"/>
        </w:rPr>
        <w:t>’</w:t>
      </w:r>
      <w:r w:rsidRPr="00BC0FED">
        <w:rPr>
          <w:rFonts w:eastAsia="MS Mincho"/>
          <w:color w:val="000000"/>
          <w:szCs w:val="24"/>
          <w:lang w:val="fr-FR"/>
        </w:rPr>
        <w:t>homogénéité” afin de donner des orientations sur l</w:t>
      </w:r>
      <w:r w:rsidR="00F85D2F" w:rsidRPr="00BC0FED">
        <w:rPr>
          <w:rFonts w:eastAsia="MS Mincho"/>
          <w:color w:val="000000"/>
          <w:szCs w:val="24"/>
          <w:lang w:val="fr-FR"/>
        </w:rPr>
        <w:t>’</w:t>
      </w:r>
      <w:r w:rsidRPr="00BC0FED">
        <w:rPr>
          <w:rFonts w:eastAsia="MS Mincho"/>
          <w:color w:val="000000"/>
          <w:szCs w:val="24"/>
          <w:lang w:val="fr-FR"/>
        </w:rPr>
        <w:t>évaluation de l</w:t>
      </w:r>
      <w:r w:rsidR="00F85D2F" w:rsidRPr="00BC0FED">
        <w:rPr>
          <w:rFonts w:eastAsia="MS Mincho"/>
          <w:color w:val="000000"/>
          <w:szCs w:val="24"/>
          <w:lang w:val="fr-FR"/>
        </w:rPr>
        <w:t>’</w:t>
      </w:r>
      <w:r w:rsidRPr="00BC0FED">
        <w:rPr>
          <w:rFonts w:eastAsia="MS Mincho"/>
          <w:color w:val="000000"/>
          <w:szCs w:val="24"/>
          <w:lang w:val="fr-FR"/>
        </w:rPr>
        <w:t>homogénéité d</w:t>
      </w:r>
      <w:r w:rsidR="00F85D2F" w:rsidRPr="00BC0FED">
        <w:rPr>
          <w:rFonts w:eastAsia="MS Mincho"/>
          <w:color w:val="000000"/>
          <w:szCs w:val="24"/>
          <w:lang w:val="fr-FR"/>
        </w:rPr>
        <w:t>’</w:t>
      </w:r>
      <w:r w:rsidRPr="00BC0FED">
        <w:rPr>
          <w:rFonts w:eastAsia="MS Mincho"/>
          <w:color w:val="000000"/>
          <w:szCs w:val="24"/>
          <w:lang w:val="fr-FR"/>
        </w:rPr>
        <w:t>après les plantes hors</w:t>
      </w:r>
      <w:r w:rsidR="002E4035" w:rsidRPr="00BC0FED">
        <w:rPr>
          <w:rFonts w:eastAsia="MS Mincho"/>
          <w:color w:val="000000"/>
          <w:szCs w:val="24"/>
          <w:lang w:val="fr-FR"/>
        </w:rPr>
        <w:noBreakHyphen/>
      </w:r>
      <w:r w:rsidRPr="00BC0FED">
        <w:rPr>
          <w:rFonts w:eastAsia="MS Mincho"/>
          <w:color w:val="000000"/>
          <w:szCs w:val="24"/>
          <w:lang w:val="fr-FR"/>
        </w:rPr>
        <w:t>type sur la base de plusieurs cycles de végétation ou sur la base de sous</w:t>
      </w:r>
      <w:r w:rsidR="002E4035" w:rsidRPr="00BC0FED">
        <w:rPr>
          <w:rFonts w:eastAsia="MS Mincho"/>
          <w:color w:val="000000"/>
          <w:szCs w:val="24"/>
          <w:lang w:val="fr-FR"/>
        </w:rPr>
        <w:noBreakHyphen/>
      </w:r>
      <w:r w:rsidRPr="00BC0FED">
        <w:rPr>
          <w:rFonts w:eastAsia="MS Mincho"/>
          <w:color w:val="000000"/>
          <w:szCs w:val="24"/>
          <w:lang w:val="fr-FR"/>
        </w:rPr>
        <w:t>échantillons</w:t>
      </w:r>
      <w:r w:rsidR="00835743" w:rsidRPr="00BC0FED">
        <w:rPr>
          <w:rFonts w:eastAsia="MS Mincho"/>
          <w:color w:val="000000"/>
          <w:szCs w:val="24"/>
          <w:lang w:val="fr-FR"/>
        </w:rPr>
        <w:t>.</w:t>
      </w:r>
    </w:p>
    <w:p w:rsidR="00B91E18" w:rsidRPr="00BC0FED" w:rsidRDefault="00B91E18" w:rsidP="00B91E18">
      <w:pPr>
        <w:autoSpaceDE w:val="0"/>
        <w:autoSpaceDN w:val="0"/>
        <w:adjustRightInd w:val="0"/>
        <w:rPr>
          <w:rFonts w:eastAsia="MS Mincho"/>
          <w:color w:val="000000"/>
          <w:szCs w:val="24"/>
          <w:lang w:val="fr-FR" w:eastAsia="ja-JP"/>
        </w:rPr>
      </w:pPr>
    </w:p>
    <w:p w:rsidR="00F85D2F" w:rsidRPr="00BC0FED" w:rsidRDefault="004B36EC" w:rsidP="004B36EC">
      <w:pPr>
        <w:pStyle w:val="DecisionParagraphs"/>
        <w:keepNext/>
        <w:tabs>
          <w:tab w:val="left" w:pos="567"/>
          <w:tab w:val="left" w:pos="1134"/>
        </w:tabs>
        <w:ind w:left="0"/>
        <w:rPr>
          <w:i w:val="0"/>
          <w:lang w:val="fr-FR"/>
        </w:rPr>
      </w:pPr>
      <w:r w:rsidRPr="00BC0FED">
        <w:rPr>
          <w:i w:val="0"/>
          <w:lang w:val="fr-FR"/>
        </w:rPr>
        <w:fldChar w:fldCharType="begin"/>
      </w:r>
      <w:r w:rsidRPr="00BC0FED">
        <w:rPr>
          <w:i w:val="0"/>
          <w:lang w:val="fr-FR"/>
        </w:rPr>
        <w:instrText xml:space="preserve"> AUTONUM  </w:instrText>
      </w:r>
      <w:r w:rsidRPr="00BC0FED">
        <w:rPr>
          <w:i w:val="0"/>
          <w:lang w:val="fr-FR"/>
        </w:rPr>
        <w:fldChar w:fldCharType="end"/>
      </w:r>
      <w:r w:rsidRPr="00BC0FED">
        <w:rPr>
          <w:i w:val="0"/>
          <w:lang w:val="fr-FR"/>
        </w:rPr>
        <w:tab/>
        <w:t>Le</w:t>
      </w:r>
      <w:r w:rsidR="00F85D2F" w:rsidRPr="00BC0FED">
        <w:rPr>
          <w:i w:val="0"/>
          <w:lang w:val="fr-FR"/>
        </w:rPr>
        <w:t> TC</w:t>
      </w:r>
      <w:r w:rsidRPr="00BC0FED">
        <w:rPr>
          <w:i w:val="0"/>
          <w:lang w:val="fr-FR"/>
        </w:rPr>
        <w:t xml:space="preserve"> est invité</w:t>
      </w:r>
    </w:p>
    <w:p w:rsidR="004B36EC" w:rsidRPr="00BC0FED" w:rsidRDefault="004B36EC" w:rsidP="00B30509">
      <w:pPr>
        <w:rPr>
          <w:highlight w:val="cyan"/>
          <w:lang w:val="fr-FR"/>
        </w:rPr>
      </w:pPr>
    </w:p>
    <w:p w:rsidR="004B36EC" w:rsidRPr="00BC0FED" w:rsidRDefault="004B36EC" w:rsidP="004B36EC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 w:firstLine="567"/>
        <w:rPr>
          <w:i w:val="0"/>
          <w:lang w:val="fr-FR"/>
        </w:rPr>
      </w:pPr>
      <w:r w:rsidRPr="00BC0FED">
        <w:rPr>
          <w:i w:val="0"/>
          <w:lang w:val="fr-FR"/>
        </w:rPr>
        <w:t>a)</w:t>
      </w:r>
      <w:r w:rsidRPr="00BC0FED">
        <w:rPr>
          <w:i w:val="0"/>
          <w:lang w:val="fr-FR"/>
        </w:rPr>
        <w:tab/>
        <w:t>à examiner le projet d</w:t>
      </w:r>
      <w:r w:rsidR="00F85D2F" w:rsidRPr="00BC0FED">
        <w:rPr>
          <w:i w:val="0"/>
          <w:lang w:val="fr-FR"/>
        </w:rPr>
        <w:t>’</w:t>
      </w:r>
      <w:r w:rsidRPr="00BC0FED">
        <w:rPr>
          <w:i w:val="0"/>
          <w:lang w:val="fr-FR"/>
        </w:rPr>
        <w:t>orientations figurant dans les annexes I et II du présent document, tel que proposé par le</w:t>
      </w:r>
      <w:r w:rsidR="00F85D2F" w:rsidRPr="00BC0FED">
        <w:rPr>
          <w:i w:val="0"/>
          <w:lang w:val="fr-FR"/>
        </w:rPr>
        <w:t> TC</w:t>
      </w:r>
      <w:r w:rsidR="002E4035" w:rsidRPr="00BC0FED">
        <w:rPr>
          <w:i w:val="0"/>
          <w:lang w:val="fr-FR"/>
        </w:rPr>
        <w:noBreakHyphen/>
      </w:r>
      <w:r w:rsidR="00F85D2F" w:rsidRPr="00BC0FED">
        <w:rPr>
          <w:i w:val="0"/>
          <w:lang w:val="fr-FR"/>
        </w:rPr>
        <w:t>EDC</w:t>
      </w:r>
      <w:r w:rsidRPr="00BC0FED">
        <w:rPr>
          <w:i w:val="0"/>
          <w:lang w:val="fr-FR"/>
        </w:rPr>
        <w:t>, aux fins de son inclusion dans une future révision du document</w:t>
      </w:r>
      <w:r w:rsidR="002E4035" w:rsidRPr="00BC0FED">
        <w:rPr>
          <w:i w:val="0"/>
          <w:lang w:val="fr-FR"/>
        </w:rPr>
        <w:t> </w:t>
      </w:r>
      <w:r w:rsidRPr="00BC0FED">
        <w:rPr>
          <w:i w:val="0"/>
          <w:lang w:val="fr-FR"/>
        </w:rPr>
        <w:t>TGP/10 “Examen de l</w:t>
      </w:r>
      <w:r w:rsidR="00F85D2F" w:rsidRPr="00BC0FED">
        <w:rPr>
          <w:i w:val="0"/>
          <w:lang w:val="fr-FR"/>
        </w:rPr>
        <w:t>’</w:t>
      </w:r>
      <w:r w:rsidRPr="00BC0FED">
        <w:rPr>
          <w:i w:val="0"/>
          <w:lang w:val="fr-FR"/>
        </w:rPr>
        <w:t>homogénéité”,</w:t>
      </w:r>
    </w:p>
    <w:p w:rsidR="004B36EC" w:rsidRPr="00BC0FED" w:rsidRDefault="004B36EC" w:rsidP="00B30509">
      <w:pPr>
        <w:rPr>
          <w:highlight w:val="cyan"/>
          <w:lang w:val="fr-FR"/>
        </w:rPr>
      </w:pPr>
    </w:p>
    <w:p w:rsidR="004B36EC" w:rsidRPr="00BC0FED" w:rsidRDefault="00CD5DBD" w:rsidP="004B36EC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 w:firstLine="567"/>
        <w:rPr>
          <w:i w:val="0"/>
          <w:highlight w:val="cyan"/>
          <w:lang w:val="fr-FR"/>
        </w:rPr>
      </w:pPr>
      <w:r w:rsidRPr="00BC0FED">
        <w:rPr>
          <w:i w:val="0"/>
          <w:lang w:val="fr-FR"/>
        </w:rPr>
        <w:t>b)</w:t>
      </w:r>
      <w:r w:rsidRPr="00BC0FED">
        <w:rPr>
          <w:i w:val="0"/>
          <w:lang w:val="fr-FR"/>
        </w:rPr>
        <w:tab/>
        <w:t>à noter que le </w:t>
      </w:r>
      <w:r w:rsidR="004B36EC" w:rsidRPr="00BC0FED">
        <w:rPr>
          <w:i w:val="0"/>
          <w:lang w:val="fr-FR"/>
        </w:rPr>
        <w:t>TWC est convenu que dans certains cas, les différentes méthodes produisaient des résultats différents et qu</w:t>
      </w:r>
      <w:r w:rsidR="00F85D2F" w:rsidRPr="00BC0FED">
        <w:rPr>
          <w:i w:val="0"/>
          <w:lang w:val="fr-FR"/>
        </w:rPr>
        <w:t>’</w:t>
      </w:r>
      <w:r w:rsidR="004B36EC" w:rsidRPr="00BC0FED">
        <w:rPr>
          <w:i w:val="0"/>
          <w:lang w:val="fr-FR"/>
        </w:rPr>
        <w:t>une réduction de la taille des échantillons et du nombre de plantes hors</w:t>
      </w:r>
      <w:r w:rsidR="002E4035" w:rsidRPr="00BC0FED">
        <w:rPr>
          <w:i w:val="0"/>
          <w:lang w:val="fr-FR"/>
        </w:rPr>
        <w:noBreakHyphen/>
      </w:r>
      <w:r w:rsidR="004B36EC" w:rsidRPr="00BC0FED">
        <w:rPr>
          <w:i w:val="0"/>
          <w:lang w:val="fr-FR"/>
        </w:rPr>
        <w:t>type autorisé</w:t>
      </w:r>
      <w:r w:rsidRPr="00BC0FED">
        <w:rPr>
          <w:i w:val="0"/>
          <w:lang w:val="fr-FR"/>
        </w:rPr>
        <w:t xml:space="preserve"> (</w:t>
      </w:r>
      <w:r w:rsidR="00835743" w:rsidRPr="00BC0FED">
        <w:rPr>
          <w:i w:val="0"/>
          <w:lang w:val="fr-FR"/>
        </w:rPr>
        <w:t>p. ex.</w:t>
      </w:r>
      <w:r w:rsidR="00206F75" w:rsidRPr="00BC0FED">
        <w:rPr>
          <w:i w:val="0"/>
          <w:lang w:val="fr-FR"/>
        </w:rPr>
        <w:t> </w:t>
      </w:r>
      <w:r w:rsidR="004B36EC" w:rsidRPr="00BC0FED">
        <w:rPr>
          <w:i w:val="0"/>
          <w:lang w:val="fr-FR"/>
        </w:rPr>
        <w:t xml:space="preserve">plantes potagères) permettait de mettre en évidence des cas limites où des résultats différents pouvaient être obtenus </w:t>
      </w:r>
      <w:r w:rsidRPr="00BC0FED">
        <w:rPr>
          <w:i w:val="0"/>
          <w:lang w:val="fr-FR"/>
        </w:rPr>
        <w:t>au moyen des différentes</w:t>
      </w:r>
      <w:r w:rsidR="004B36EC" w:rsidRPr="00BC0FED">
        <w:rPr>
          <w:i w:val="0"/>
          <w:lang w:val="fr-FR"/>
        </w:rPr>
        <w:t xml:space="preserve"> méthodes, et</w:t>
      </w:r>
    </w:p>
    <w:p w:rsidR="004B36EC" w:rsidRPr="00BC0FED" w:rsidRDefault="004B36EC" w:rsidP="00B30509">
      <w:pPr>
        <w:rPr>
          <w:lang w:val="fr-FR"/>
        </w:rPr>
      </w:pPr>
    </w:p>
    <w:p w:rsidR="004B36EC" w:rsidRPr="00BC0FED" w:rsidRDefault="00EE1FDF" w:rsidP="004B36EC">
      <w:pPr>
        <w:pStyle w:val="DecisionParagraphs"/>
        <w:keepLines/>
        <w:tabs>
          <w:tab w:val="left" w:pos="567"/>
          <w:tab w:val="left" w:pos="1134"/>
          <w:tab w:val="left" w:pos="5954"/>
        </w:tabs>
        <w:ind w:left="0" w:firstLine="567"/>
        <w:rPr>
          <w:i w:val="0"/>
          <w:lang w:val="fr-FR"/>
        </w:rPr>
      </w:pPr>
      <w:r w:rsidRPr="00BC0FED">
        <w:rPr>
          <w:i w:val="0"/>
          <w:lang w:val="fr-FR"/>
        </w:rPr>
        <w:t>c)</w:t>
      </w:r>
      <w:r w:rsidRPr="00BC0FED">
        <w:rPr>
          <w:i w:val="0"/>
          <w:lang w:val="fr-FR"/>
        </w:rPr>
        <w:tab/>
        <w:t>à noter que le </w:t>
      </w:r>
      <w:r w:rsidR="004B36EC" w:rsidRPr="00BC0FED">
        <w:rPr>
          <w:i w:val="0"/>
          <w:lang w:val="fr-FR"/>
        </w:rPr>
        <w:t>TWC est convenu qu</w:t>
      </w:r>
      <w:r w:rsidR="00F85D2F" w:rsidRPr="00BC0FED">
        <w:rPr>
          <w:i w:val="0"/>
          <w:lang w:val="fr-FR"/>
        </w:rPr>
        <w:t>’</w:t>
      </w:r>
      <w:r w:rsidR="004B36EC" w:rsidRPr="00BC0FED">
        <w:rPr>
          <w:i w:val="0"/>
          <w:lang w:val="fr-FR"/>
        </w:rPr>
        <w:t xml:space="preserve">il ne serait pas possible, </w:t>
      </w:r>
      <w:r w:rsidR="006511C0" w:rsidRPr="00BC0FED">
        <w:rPr>
          <w:i w:val="0"/>
          <w:lang w:val="fr-FR"/>
        </w:rPr>
        <w:t>d</w:t>
      </w:r>
      <w:r w:rsidR="00F85D2F" w:rsidRPr="00BC0FED">
        <w:rPr>
          <w:i w:val="0"/>
          <w:lang w:val="fr-FR"/>
        </w:rPr>
        <w:t>’</w:t>
      </w:r>
      <w:r w:rsidR="006511C0" w:rsidRPr="00BC0FED">
        <w:rPr>
          <w:i w:val="0"/>
          <w:lang w:val="fr-FR"/>
        </w:rPr>
        <w:t>un point</w:t>
      </w:r>
      <w:r w:rsidR="004B36EC" w:rsidRPr="00BC0FED">
        <w:rPr>
          <w:i w:val="0"/>
          <w:lang w:val="fr-FR"/>
        </w:rPr>
        <w:t xml:space="preserve"> de vue pratique, d</w:t>
      </w:r>
      <w:r w:rsidR="00F85D2F" w:rsidRPr="00BC0FED">
        <w:rPr>
          <w:i w:val="0"/>
          <w:lang w:val="fr-FR"/>
        </w:rPr>
        <w:t>’</w:t>
      </w:r>
      <w:r w:rsidR="004B36EC" w:rsidRPr="00BC0FED">
        <w:rPr>
          <w:i w:val="0"/>
          <w:lang w:val="fr-FR"/>
        </w:rPr>
        <w:t>élaborer des tableaux indiquant le nombre de plantes hors</w:t>
      </w:r>
      <w:r w:rsidR="002E4035" w:rsidRPr="00BC0FED">
        <w:rPr>
          <w:i w:val="0"/>
          <w:lang w:val="fr-FR"/>
        </w:rPr>
        <w:noBreakHyphen/>
      </w:r>
      <w:r w:rsidR="004B36EC" w:rsidRPr="00BC0FED">
        <w:rPr>
          <w:i w:val="0"/>
          <w:lang w:val="fr-FR"/>
        </w:rPr>
        <w:t>type autorisé pour l</w:t>
      </w:r>
      <w:r w:rsidR="00F85D2F" w:rsidRPr="00BC0FED">
        <w:rPr>
          <w:i w:val="0"/>
          <w:lang w:val="fr-FR"/>
        </w:rPr>
        <w:t>’</w:t>
      </w:r>
      <w:r w:rsidR="004B36EC" w:rsidRPr="00BC0FED">
        <w:rPr>
          <w:i w:val="0"/>
          <w:lang w:val="fr-FR"/>
        </w:rPr>
        <w:t>évaluation globale de l</w:t>
      </w:r>
      <w:r w:rsidR="00F85D2F" w:rsidRPr="00BC0FED">
        <w:rPr>
          <w:i w:val="0"/>
          <w:lang w:val="fr-FR"/>
        </w:rPr>
        <w:t>’</w:t>
      </w:r>
      <w:r w:rsidR="004B36EC" w:rsidRPr="00BC0FED">
        <w:rPr>
          <w:i w:val="0"/>
          <w:lang w:val="fr-FR"/>
        </w:rPr>
        <w:t>homogénéité d</w:t>
      </w:r>
      <w:r w:rsidR="00F85D2F" w:rsidRPr="00BC0FED">
        <w:rPr>
          <w:i w:val="0"/>
          <w:lang w:val="fr-FR"/>
        </w:rPr>
        <w:t>’</w:t>
      </w:r>
      <w:r w:rsidR="004B36EC" w:rsidRPr="00BC0FED">
        <w:rPr>
          <w:i w:val="0"/>
          <w:lang w:val="fr-FR"/>
        </w:rPr>
        <w:t>après les plantes hors</w:t>
      </w:r>
      <w:r w:rsidR="002E4035" w:rsidRPr="00BC0FED">
        <w:rPr>
          <w:i w:val="0"/>
          <w:lang w:val="fr-FR"/>
        </w:rPr>
        <w:noBreakHyphen/>
      </w:r>
      <w:r w:rsidR="004B36EC" w:rsidRPr="00BC0FED">
        <w:rPr>
          <w:i w:val="0"/>
          <w:lang w:val="fr-FR"/>
        </w:rPr>
        <w:t>type sur la base de plusieurs cycles de végétation et que, à l</w:t>
      </w:r>
      <w:r w:rsidR="00F85D2F" w:rsidRPr="00BC0FED">
        <w:rPr>
          <w:i w:val="0"/>
          <w:lang w:val="fr-FR"/>
        </w:rPr>
        <w:t>’</w:t>
      </w:r>
      <w:r w:rsidR="004B36EC" w:rsidRPr="00BC0FED">
        <w:rPr>
          <w:i w:val="0"/>
          <w:lang w:val="fr-FR"/>
        </w:rPr>
        <w:t>avenir, il pourrait être nécessaire de cal</w:t>
      </w:r>
      <w:r w:rsidRPr="00BC0FED">
        <w:rPr>
          <w:i w:val="0"/>
          <w:lang w:val="fr-FR"/>
        </w:rPr>
        <w:t>culer les probabilités d</w:t>
      </w:r>
      <w:r w:rsidR="00F85D2F" w:rsidRPr="00BC0FED">
        <w:rPr>
          <w:i w:val="0"/>
          <w:lang w:val="fr-FR"/>
        </w:rPr>
        <w:t>’</w:t>
      </w:r>
      <w:r w:rsidRPr="00BC0FED">
        <w:rPr>
          <w:i w:val="0"/>
          <w:lang w:val="fr-FR"/>
        </w:rPr>
        <w:t>erreur</w:t>
      </w:r>
      <w:r w:rsidR="004B36EC" w:rsidRPr="00BC0FED">
        <w:rPr>
          <w:i w:val="0"/>
          <w:lang w:val="fr-FR"/>
        </w:rPr>
        <w:t xml:space="preserve"> à l</w:t>
      </w:r>
      <w:r w:rsidR="00F85D2F" w:rsidRPr="00BC0FED">
        <w:rPr>
          <w:i w:val="0"/>
          <w:lang w:val="fr-FR"/>
        </w:rPr>
        <w:t>’</w:t>
      </w:r>
      <w:r w:rsidR="004B36EC" w:rsidRPr="00BC0FED">
        <w:rPr>
          <w:i w:val="0"/>
          <w:lang w:val="fr-FR"/>
        </w:rPr>
        <w:t>aide d</w:t>
      </w:r>
      <w:r w:rsidR="00F85D2F" w:rsidRPr="00BC0FED">
        <w:rPr>
          <w:i w:val="0"/>
          <w:lang w:val="fr-FR"/>
        </w:rPr>
        <w:t>’</w:t>
      </w:r>
      <w:r w:rsidR="004B36EC" w:rsidRPr="00BC0FED">
        <w:rPr>
          <w:i w:val="0"/>
          <w:lang w:val="fr-FR"/>
        </w:rPr>
        <w:t>un logiciel.</w:t>
      </w:r>
    </w:p>
    <w:p w:rsidR="008D307C" w:rsidRPr="00BC0FED" w:rsidRDefault="008D307C" w:rsidP="00B30509">
      <w:pPr>
        <w:rPr>
          <w:lang w:val="fr-FR"/>
        </w:rPr>
      </w:pPr>
    </w:p>
    <w:p w:rsidR="00B91E18" w:rsidRPr="00BC0FED" w:rsidRDefault="00B91E18" w:rsidP="00B91E18">
      <w:pPr>
        <w:keepNext/>
        <w:rPr>
          <w:rFonts w:eastAsia="MS Mincho"/>
          <w:lang w:val="fr-FR" w:eastAsia="ja-JP"/>
        </w:rPr>
      </w:pPr>
      <w:r w:rsidRPr="00BC0FED">
        <w:rPr>
          <w:rFonts w:eastAsia="MS Mincho"/>
          <w:lang w:val="fr-FR" w:eastAsia="ja-JP"/>
        </w:rPr>
        <w:fldChar w:fldCharType="begin"/>
      </w:r>
      <w:r w:rsidRPr="00BC0FED">
        <w:rPr>
          <w:rFonts w:eastAsia="MS Mincho"/>
          <w:lang w:val="fr-FR" w:eastAsia="ja-JP"/>
        </w:rPr>
        <w:instrText xml:space="preserve"> AUTONUM  </w:instrText>
      </w:r>
      <w:r w:rsidRPr="00BC0FED">
        <w:rPr>
          <w:rFonts w:eastAsia="MS Mincho"/>
          <w:lang w:val="fr-FR" w:eastAsia="ja-JP"/>
        </w:rPr>
        <w:fldChar w:fldCharType="end"/>
      </w:r>
      <w:r w:rsidRPr="00BC0FED">
        <w:rPr>
          <w:rFonts w:eastAsia="MS Mincho"/>
          <w:lang w:val="fr-FR"/>
        </w:rPr>
        <w:tab/>
        <w:t>Le présent document est structuré comme suit</w:t>
      </w:r>
      <w:r w:rsidR="00F85D2F" w:rsidRPr="00BC0FED">
        <w:rPr>
          <w:rFonts w:eastAsia="MS Mincho"/>
          <w:lang w:val="fr-FR"/>
        </w:rPr>
        <w:t> :</w:t>
      </w:r>
    </w:p>
    <w:p w:rsidR="00B91E18" w:rsidRPr="00BC0FED" w:rsidRDefault="00B91E18" w:rsidP="00B30509">
      <w:pPr>
        <w:rPr>
          <w:rFonts w:eastAsia="MS Mincho"/>
          <w:lang w:val="fr-FR" w:eastAsia="ja-JP"/>
        </w:rPr>
      </w:pPr>
    </w:p>
    <w:p w:rsidR="00633E35" w:rsidRDefault="00B91E18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r w:rsidRPr="00BC0FED">
        <w:rPr>
          <w:snapToGrid w:val="0"/>
        </w:rPr>
        <w:fldChar w:fldCharType="begin"/>
      </w:r>
      <w:r w:rsidRPr="00BC0FED">
        <w:rPr>
          <w:snapToGrid w:val="0"/>
        </w:rPr>
        <w:instrText xml:space="preserve"> TOC \o "1-3" \h \z \u </w:instrText>
      </w:r>
      <w:r w:rsidRPr="00BC0FED">
        <w:rPr>
          <w:snapToGrid w:val="0"/>
        </w:rPr>
        <w:fldChar w:fldCharType="separate"/>
      </w:r>
      <w:hyperlink w:anchor="_Toc524697862" w:history="1">
        <w:r w:rsidR="00633E35" w:rsidRPr="00325160">
          <w:rPr>
            <w:rStyle w:val="Hyperlink"/>
            <w:rFonts w:eastAsia="MS Mincho"/>
          </w:rPr>
          <w:t>RÉSUMÉ</w:t>
        </w:r>
        <w:r w:rsidR="00633E35">
          <w:rPr>
            <w:webHidden/>
          </w:rPr>
          <w:tab/>
        </w:r>
        <w:r w:rsidR="00633E35">
          <w:rPr>
            <w:webHidden/>
          </w:rPr>
          <w:fldChar w:fldCharType="begin"/>
        </w:r>
        <w:r w:rsidR="00633E35">
          <w:rPr>
            <w:webHidden/>
          </w:rPr>
          <w:instrText xml:space="preserve"> PAGEREF _Toc524697862 \h </w:instrText>
        </w:r>
        <w:r w:rsidR="00633E35">
          <w:rPr>
            <w:webHidden/>
          </w:rPr>
        </w:r>
        <w:r w:rsidR="00633E35">
          <w:rPr>
            <w:webHidden/>
          </w:rPr>
          <w:fldChar w:fldCharType="separate"/>
        </w:r>
        <w:r w:rsidR="00A77C6D">
          <w:rPr>
            <w:webHidden/>
          </w:rPr>
          <w:t>1</w:t>
        </w:r>
        <w:r w:rsidR="00633E35">
          <w:rPr>
            <w:webHidden/>
          </w:rPr>
          <w:fldChar w:fldCharType="end"/>
        </w:r>
      </w:hyperlink>
    </w:p>
    <w:p w:rsidR="00633E35" w:rsidRDefault="00633E35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524697863" w:history="1">
        <w:r w:rsidRPr="00325160">
          <w:rPr>
            <w:rStyle w:val="Hyperlink"/>
            <w:rFonts w:eastAsia="MS Mincho"/>
          </w:rPr>
          <w:t>Informations gÉnÉrales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_Toc524697863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7C6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33E35" w:rsidRDefault="00633E35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524697864" w:history="1">
        <w:r w:rsidRPr="00325160">
          <w:rPr>
            <w:rStyle w:val="Hyperlink"/>
          </w:rPr>
          <w:t>Faits nouveaux intervenus en 2017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_Toc524697864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7C6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33E35" w:rsidRDefault="00633E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24697865" w:history="1">
        <w:r w:rsidRPr="00325160">
          <w:rPr>
            <w:rStyle w:val="Hyperlink"/>
          </w:rPr>
          <w:t>Observations formulées par les groupes de travail techniques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_Toc524697865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7C6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33E35" w:rsidRDefault="00633E35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24697866" w:history="1">
        <w:r w:rsidRPr="00325160">
          <w:rPr>
            <w:rStyle w:val="Hyperlink"/>
            <w:rFonts w:eastAsia="MS Mincho"/>
          </w:rPr>
          <w:t>Variation des conditions environnementales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_Toc524697866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7C6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33E35" w:rsidRDefault="00633E35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24697867" w:history="1">
        <w:r w:rsidRPr="00325160">
          <w:rPr>
            <w:rStyle w:val="Hyperlink"/>
            <w:rFonts w:eastAsia="MS Mincho"/>
          </w:rPr>
          <w:t>Critères fondant le rejet d’une variété après un seul cycle de végétation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_Toc524697867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7C6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33E35" w:rsidRDefault="00633E35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24697868" w:history="1">
        <w:r w:rsidRPr="00325160">
          <w:rPr>
            <w:rStyle w:val="Hyperlink"/>
          </w:rPr>
          <w:t>Informations sur les</w:t>
        </w:r>
        <w:r w:rsidRPr="00325160">
          <w:rPr>
            <w:rStyle w:val="Hyperlink"/>
            <w:rFonts w:cs="Arial"/>
          </w:rPr>
          <w:t xml:space="preserve"> critères permettant de choisir la méthode la plus appropriée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_Toc524697868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7C6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33E35" w:rsidRDefault="00633E35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524697869" w:history="1">
        <w:r w:rsidRPr="00325160">
          <w:rPr>
            <w:rStyle w:val="Hyperlink"/>
          </w:rPr>
          <w:t>Faits nouveaux intervenus en 2018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_Toc524697869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7C6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33E35" w:rsidRDefault="00633E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24697870" w:history="1">
        <w:r w:rsidRPr="00325160">
          <w:rPr>
            <w:rStyle w:val="Hyperlink"/>
          </w:rPr>
          <w:t>Comité de rédaction élargi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_Toc524697870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7C6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33E35" w:rsidRDefault="00633E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24697871" w:history="1">
        <w:r w:rsidRPr="00325160">
          <w:rPr>
            <w:rStyle w:val="Hyperlink"/>
            <w:rFonts w:eastAsia="PMingLiU"/>
          </w:rPr>
          <w:t>Groupe de travail technique sur les systèmes d’automatisation et les programmes d’ordinateur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_Toc524697871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7C6D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33E35" w:rsidRDefault="00633E35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524697872" w:history="1">
        <w:r w:rsidRPr="00325160">
          <w:rPr>
            <w:rStyle w:val="Hyperlink"/>
            <w:rFonts w:eastAsia="MS Mincho"/>
          </w:rPr>
          <w:t>RÉSUMÉ</w:t>
        </w:r>
        <w:r w:rsidRPr="00325160">
          <w:rPr>
            <w:rStyle w:val="Hyperlink"/>
          </w:rPr>
          <w:t xml:space="preserve"> des m</w:t>
        </w:r>
        <w:r w:rsidRPr="00325160">
          <w:rPr>
            <w:rStyle w:val="Hyperlink"/>
            <w:rFonts w:eastAsia="MS Mincho"/>
          </w:rPr>
          <w:t>É</w:t>
        </w:r>
        <w:r w:rsidRPr="00325160">
          <w:rPr>
            <w:rStyle w:val="Hyperlink"/>
          </w:rPr>
          <w:t>thodes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_Toc524697872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77C6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3E35" w:rsidRPr="00633E35" w:rsidRDefault="00B91E18" w:rsidP="00633E35">
      <w:pPr>
        <w:rPr>
          <w:snapToGrid w:val="0"/>
          <w:sz w:val="18"/>
          <w:lang w:val="fr-FR"/>
        </w:rPr>
      </w:pPr>
      <w:r w:rsidRPr="00BC0FED">
        <w:rPr>
          <w:snapToGrid w:val="0"/>
          <w:lang w:val="fr-FR"/>
        </w:rPr>
        <w:fldChar w:fldCharType="end"/>
      </w:r>
    </w:p>
    <w:p w:rsidR="00B91E18" w:rsidRPr="00633E35" w:rsidRDefault="00B91E18" w:rsidP="00633E35">
      <w:pPr>
        <w:spacing w:after="120"/>
        <w:ind w:left="1276" w:hanging="1276"/>
        <w:rPr>
          <w:rFonts w:eastAsia="MS Mincho"/>
          <w:color w:val="000000"/>
          <w:sz w:val="18"/>
          <w:szCs w:val="24"/>
          <w:lang w:val="fr-FR" w:eastAsia="ja-JP"/>
        </w:rPr>
      </w:pPr>
      <w:r w:rsidRPr="00633E35">
        <w:rPr>
          <w:rFonts w:eastAsia="MS Mincho"/>
          <w:color w:val="000000"/>
          <w:sz w:val="18"/>
          <w:szCs w:val="24"/>
          <w:lang w:val="fr-FR"/>
        </w:rPr>
        <w:t>ANNEXE I</w:t>
      </w:r>
      <w:r w:rsidR="00F85D2F" w:rsidRPr="00633E35">
        <w:rPr>
          <w:rFonts w:eastAsia="MS Mincho"/>
          <w:color w:val="000000"/>
          <w:sz w:val="18"/>
          <w:szCs w:val="24"/>
          <w:lang w:val="fr-FR"/>
        </w:rPr>
        <w:t> :</w:t>
      </w:r>
      <w:r w:rsidRPr="00633E35">
        <w:rPr>
          <w:rFonts w:eastAsia="MS Mincho"/>
          <w:color w:val="000000"/>
          <w:sz w:val="18"/>
          <w:szCs w:val="24"/>
          <w:lang w:val="fr-FR"/>
        </w:rPr>
        <w:tab/>
        <w:t>Évaluation de l</w:t>
      </w:r>
      <w:r w:rsidR="00F85D2F" w:rsidRPr="00633E35">
        <w:rPr>
          <w:rFonts w:eastAsia="MS Mincho"/>
          <w:color w:val="000000"/>
          <w:sz w:val="18"/>
          <w:szCs w:val="24"/>
          <w:lang w:val="fr-FR"/>
        </w:rPr>
        <w:t>’</w:t>
      </w:r>
      <w:r w:rsidRPr="00633E35">
        <w:rPr>
          <w:rFonts w:eastAsia="MS Mincho"/>
          <w:color w:val="000000"/>
          <w:sz w:val="18"/>
          <w:szCs w:val="24"/>
          <w:lang w:val="fr-FR"/>
        </w:rPr>
        <w:t>homogénéité d</w:t>
      </w:r>
      <w:r w:rsidR="00F85D2F" w:rsidRPr="00633E35">
        <w:rPr>
          <w:rFonts w:eastAsia="MS Mincho"/>
          <w:color w:val="000000"/>
          <w:sz w:val="18"/>
          <w:szCs w:val="24"/>
          <w:lang w:val="fr-FR"/>
        </w:rPr>
        <w:t>’</w:t>
      </w:r>
      <w:r w:rsidRPr="00633E35">
        <w:rPr>
          <w:rFonts w:eastAsia="MS Mincho"/>
          <w:color w:val="000000"/>
          <w:sz w:val="18"/>
          <w:szCs w:val="24"/>
          <w:lang w:val="fr-FR"/>
        </w:rPr>
        <w:t>après les plantes hors</w:t>
      </w:r>
      <w:r w:rsidR="002E4035" w:rsidRPr="00633E35">
        <w:rPr>
          <w:rFonts w:eastAsia="MS Mincho"/>
          <w:color w:val="000000"/>
          <w:sz w:val="18"/>
          <w:szCs w:val="24"/>
          <w:lang w:val="fr-FR"/>
        </w:rPr>
        <w:noBreakHyphen/>
      </w:r>
      <w:r w:rsidRPr="00633E35">
        <w:rPr>
          <w:rFonts w:eastAsia="MS Mincho"/>
          <w:color w:val="000000"/>
          <w:sz w:val="18"/>
          <w:szCs w:val="24"/>
          <w:lang w:val="fr-FR"/>
        </w:rPr>
        <w:t>type sur la base de plusieurs cycles de végétation</w:t>
      </w:r>
    </w:p>
    <w:p w:rsidR="00B91E18" w:rsidRPr="00633E35" w:rsidRDefault="00B91E18" w:rsidP="00B91E18">
      <w:pPr>
        <w:tabs>
          <w:tab w:val="left" w:pos="1701"/>
        </w:tabs>
        <w:autoSpaceDE w:val="0"/>
        <w:autoSpaceDN w:val="0"/>
        <w:adjustRightInd w:val="0"/>
        <w:spacing w:after="120"/>
        <w:ind w:left="1276" w:hanging="1276"/>
        <w:rPr>
          <w:rFonts w:eastAsia="MS Mincho"/>
          <w:color w:val="000000"/>
          <w:sz w:val="18"/>
          <w:szCs w:val="24"/>
          <w:lang w:val="fr-FR" w:eastAsia="ja-JP"/>
        </w:rPr>
      </w:pPr>
      <w:r w:rsidRPr="00633E35">
        <w:rPr>
          <w:rFonts w:eastAsia="MS Mincho"/>
          <w:color w:val="000000"/>
          <w:sz w:val="18"/>
          <w:szCs w:val="24"/>
          <w:lang w:val="fr-FR"/>
        </w:rPr>
        <w:t>ANNEXE II</w:t>
      </w:r>
      <w:r w:rsidR="00F85D2F" w:rsidRPr="00633E35">
        <w:rPr>
          <w:rFonts w:eastAsia="MS Mincho"/>
          <w:color w:val="000000"/>
          <w:sz w:val="18"/>
          <w:szCs w:val="24"/>
          <w:lang w:val="fr-FR"/>
        </w:rPr>
        <w:t> :</w:t>
      </w:r>
      <w:r w:rsidRPr="00633E35">
        <w:rPr>
          <w:rFonts w:eastAsia="MS Mincho"/>
          <w:color w:val="000000"/>
          <w:sz w:val="18"/>
          <w:szCs w:val="24"/>
          <w:lang w:val="fr-FR"/>
        </w:rPr>
        <w:tab/>
        <w:t>Évaluation de l</w:t>
      </w:r>
      <w:r w:rsidR="00F85D2F" w:rsidRPr="00633E35">
        <w:rPr>
          <w:rFonts w:eastAsia="MS Mincho"/>
          <w:color w:val="000000"/>
          <w:sz w:val="18"/>
          <w:szCs w:val="24"/>
          <w:lang w:val="fr-FR"/>
        </w:rPr>
        <w:t>’</w:t>
      </w:r>
      <w:r w:rsidRPr="00633E35">
        <w:rPr>
          <w:rFonts w:eastAsia="MS Mincho"/>
          <w:color w:val="000000"/>
          <w:sz w:val="18"/>
          <w:szCs w:val="24"/>
          <w:lang w:val="fr-FR"/>
        </w:rPr>
        <w:t>homogénéité d</w:t>
      </w:r>
      <w:r w:rsidR="00F85D2F" w:rsidRPr="00633E35">
        <w:rPr>
          <w:rFonts w:eastAsia="MS Mincho"/>
          <w:color w:val="000000"/>
          <w:sz w:val="18"/>
          <w:szCs w:val="24"/>
          <w:lang w:val="fr-FR"/>
        </w:rPr>
        <w:t>’</w:t>
      </w:r>
      <w:r w:rsidRPr="00633E35">
        <w:rPr>
          <w:rFonts w:eastAsia="MS Mincho"/>
          <w:color w:val="000000"/>
          <w:sz w:val="18"/>
          <w:szCs w:val="24"/>
          <w:lang w:val="fr-FR"/>
        </w:rPr>
        <w:t>après les plantes hors</w:t>
      </w:r>
      <w:r w:rsidR="002E4035" w:rsidRPr="00633E35">
        <w:rPr>
          <w:rFonts w:eastAsia="MS Mincho"/>
          <w:color w:val="000000"/>
          <w:sz w:val="18"/>
          <w:szCs w:val="24"/>
          <w:lang w:val="fr-FR"/>
        </w:rPr>
        <w:noBreakHyphen/>
      </w:r>
      <w:r w:rsidRPr="00633E35">
        <w:rPr>
          <w:rFonts w:eastAsia="MS Mincho"/>
          <w:color w:val="000000"/>
          <w:sz w:val="18"/>
          <w:szCs w:val="24"/>
          <w:lang w:val="fr-FR"/>
        </w:rPr>
        <w:t>type sur la base de sous</w:t>
      </w:r>
      <w:r w:rsidR="002E4035" w:rsidRPr="00633E35">
        <w:rPr>
          <w:rFonts w:eastAsia="MS Mincho"/>
          <w:color w:val="000000"/>
          <w:sz w:val="18"/>
          <w:szCs w:val="24"/>
          <w:lang w:val="fr-FR"/>
        </w:rPr>
        <w:noBreakHyphen/>
      </w:r>
      <w:r w:rsidRPr="00633E35">
        <w:rPr>
          <w:rFonts w:eastAsia="MS Mincho"/>
          <w:color w:val="000000"/>
          <w:sz w:val="18"/>
          <w:szCs w:val="24"/>
          <w:lang w:val="fr-FR"/>
        </w:rPr>
        <w:t>échantillons dans le cadre d</w:t>
      </w:r>
      <w:r w:rsidR="00F85D2F" w:rsidRPr="00633E35">
        <w:rPr>
          <w:rFonts w:eastAsia="MS Mincho"/>
          <w:color w:val="000000"/>
          <w:sz w:val="18"/>
          <w:szCs w:val="24"/>
          <w:lang w:val="fr-FR"/>
        </w:rPr>
        <w:t>’</w:t>
      </w:r>
      <w:r w:rsidRPr="00633E35">
        <w:rPr>
          <w:rFonts w:eastAsia="MS Mincho"/>
          <w:color w:val="000000"/>
          <w:sz w:val="18"/>
          <w:szCs w:val="24"/>
          <w:lang w:val="fr-FR"/>
        </w:rPr>
        <w:t>un seul examen/essai</w:t>
      </w:r>
    </w:p>
    <w:p w:rsidR="00B91E18" w:rsidRPr="00BC0FED" w:rsidRDefault="00B91E18" w:rsidP="00B91E18">
      <w:pPr>
        <w:tabs>
          <w:tab w:val="left" w:pos="1701"/>
        </w:tabs>
        <w:autoSpaceDE w:val="0"/>
        <w:autoSpaceDN w:val="0"/>
        <w:adjustRightInd w:val="0"/>
        <w:ind w:left="1276" w:hanging="1276"/>
        <w:rPr>
          <w:rFonts w:eastAsia="MS Mincho"/>
          <w:color w:val="000000"/>
          <w:szCs w:val="24"/>
          <w:lang w:val="fr-FR" w:eastAsia="ja-JP"/>
        </w:rPr>
      </w:pPr>
    </w:p>
    <w:bookmarkStart w:id="4" w:name="_Toc380150989"/>
    <w:p w:rsidR="00B91E18" w:rsidRPr="00BC0FED" w:rsidRDefault="00B91E18" w:rsidP="009D3491">
      <w:pPr>
        <w:keepNext/>
        <w:autoSpaceDE w:val="0"/>
        <w:autoSpaceDN w:val="0"/>
        <w:adjustRightInd w:val="0"/>
        <w:ind w:left="567" w:hanging="567"/>
        <w:rPr>
          <w:rFonts w:cs="Arial"/>
          <w:color w:val="000000"/>
          <w:lang w:val="fr-FR"/>
        </w:rPr>
      </w:pPr>
      <w:r w:rsidRPr="00BC0FED">
        <w:rPr>
          <w:lang w:val="fr-FR"/>
        </w:rPr>
        <w:lastRenderedPageBreak/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</w:r>
      <w:r w:rsidRPr="00BC0FED">
        <w:rPr>
          <w:rFonts w:cs="Arial"/>
          <w:color w:val="000000"/>
          <w:lang w:val="fr-FR"/>
        </w:rPr>
        <w:t>Les abréviations ci</w:t>
      </w:r>
      <w:r w:rsidR="002E4035" w:rsidRPr="00BC0FED">
        <w:rPr>
          <w:rFonts w:cs="Arial"/>
          <w:color w:val="000000"/>
          <w:lang w:val="fr-FR"/>
        </w:rPr>
        <w:noBreakHyphen/>
      </w:r>
      <w:r w:rsidRPr="00BC0FED">
        <w:rPr>
          <w:rFonts w:cs="Arial"/>
          <w:color w:val="000000"/>
          <w:lang w:val="fr-FR"/>
        </w:rPr>
        <w:t>après sont utilisées dans le présent document</w:t>
      </w:r>
      <w:r w:rsidR="00F85D2F" w:rsidRPr="00BC0FED">
        <w:rPr>
          <w:rFonts w:cs="Arial"/>
          <w:color w:val="000000"/>
          <w:lang w:val="fr-FR"/>
        </w:rPr>
        <w:t> :</w:t>
      </w:r>
    </w:p>
    <w:p w:rsidR="00B91E18" w:rsidRPr="00BC0FED" w:rsidRDefault="00B91E18" w:rsidP="009D3491">
      <w:pPr>
        <w:keepNext/>
        <w:rPr>
          <w:rFonts w:cs="Arial"/>
          <w:color w:val="000000"/>
          <w:lang w:val="fr-FR"/>
        </w:rPr>
      </w:pPr>
    </w:p>
    <w:p w:rsidR="00B91E18" w:rsidRPr="00BC0FED" w:rsidRDefault="00B91E18" w:rsidP="00B91E18">
      <w:pPr>
        <w:keepNext/>
        <w:rPr>
          <w:rFonts w:cs="Arial"/>
          <w:lang w:val="fr-FR"/>
        </w:rPr>
      </w:pPr>
      <w:r w:rsidRPr="00BC0FED">
        <w:rPr>
          <w:rFonts w:cs="Arial"/>
          <w:lang w:val="fr-FR"/>
        </w:rPr>
        <w:tab/>
        <w:t>TC</w:t>
      </w:r>
      <w:r w:rsidR="00F85D2F" w:rsidRPr="00BC0FED">
        <w:rPr>
          <w:rFonts w:cs="Arial"/>
          <w:lang w:val="fr-FR"/>
        </w:rPr>
        <w:t> :</w:t>
      </w:r>
      <w:r w:rsidRPr="00BC0FED">
        <w:rPr>
          <w:rFonts w:cs="Arial"/>
          <w:lang w:val="fr-FR"/>
        </w:rPr>
        <w:tab/>
      </w:r>
      <w:r w:rsidRPr="00BC0FED">
        <w:rPr>
          <w:rFonts w:cs="Arial"/>
          <w:lang w:val="fr-FR"/>
        </w:rPr>
        <w:tab/>
        <w:t>Comité technique</w:t>
      </w:r>
    </w:p>
    <w:p w:rsidR="00B91E18" w:rsidRPr="00BC0FED" w:rsidRDefault="00B91E18" w:rsidP="00B91E18">
      <w:pPr>
        <w:rPr>
          <w:rFonts w:eastAsia="PMingLiU" w:cs="Arial"/>
          <w:szCs w:val="24"/>
          <w:lang w:val="fr-FR"/>
        </w:rPr>
      </w:pPr>
      <w:r w:rsidRPr="00BC0FED">
        <w:rPr>
          <w:rFonts w:eastAsia="PMingLiU" w:cs="Arial"/>
          <w:szCs w:val="24"/>
          <w:lang w:val="fr-FR"/>
        </w:rPr>
        <w:tab/>
        <w:t>TC</w:t>
      </w:r>
      <w:r w:rsidR="002E4035" w:rsidRPr="00BC0FED">
        <w:rPr>
          <w:rFonts w:eastAsia="PMingLiU" w:cs="Arial"/>
          <w:szCs w:val="24"/>
          <w:lang w:val="fr-FR"/>
        </w:rPr>
        <w:noBreakHyphen/>
      </w:r>
      <w:r w:rsidRPr="00BC0FED">
        <w:rPr>
          <w:rFonts w:eastAsia="PMingLiU" w:cs="Arial"/>
          <w:szCs w:val="24"/>
          <w:lang w:val="fr-FR"/>
        </w:rPr>
        <w:t>EDC</w:t>
      </w:r>
      <w:r w:rsidR="00F85D2F" w:rsidRPr="00BC0FED">
        <w:rPr>
          <w:rFonts w:eastAsia="PMingLiU" w:cs="Arial"/>
          <w:szCs w:val="24"/>
          <w:lang w:val="fr-FR"/>
        </w:rPr>
        <w:t> :</w:t>
      </w:r>
      <w:r w:rsidRPr="00BC0FED">
        <w:rPr>
          <w:rFonts w:eastAsia="PMingLiU" w:cs="Arial"/>
          <w:szCs w:val="24"/>
          <w:lang w:val="fr-FR"/>
        </w:rPr>
        <w:tab/>
        <w:t>Comité de rédaction élargi</w:t>
      </w:r>
    </w:p>
    <w:p w:rsidR="00B91E18" w:rsidRPr="00BC0FED" w:rsidRDefault="00B91E18" w:rsidP="00B91E18">
      <w:pPr>
        <w:rPr>
          <w:rFonts w:eastAsia="PMingLiU" w:cs="Arial"/>
          <w:szCs w:val="24"/>
          <w:lang w:val="fr-FR"/>
        </w:rPr>
      </w:pPr>
      <w:r w:rsidRPr="00BC0FED">
        <w:rPr>
          <w:rFonts w:eastAsia="PMingLiU" w:cs="Arial"/>
          <w:szCs w:val="24"/>
          <w:lang w:val="fr-FR"/>
        </w:rPr>
        <w:tab/>
        <w:t>TWA</w:t>
      </w:r>
      <w:r w:rsidR="00F85D2F" w:rsidRPr="00BC0FED">
        <w:rPr>
          <w:rFonts w:eastAsia="PMingLiU" w:cs="Arial"/>
          <w:szCs w:val="24"/>
          <w:lang w:val="fr-FR"/>
        </w:rPr>
        <w:t> :</w:t>
      </w:r>
      <w:r w:rsidRPr="00BC0FED">
        <w:rPr>
          <w:rFonts w:eastAsia="PMingLiU" w:cs="Arial"/>
          <w:szCs w:val="24"/>
          <w:lang w:val="fr-FR"/>
        </w:rPr>
        <w:tab/>
      </w:r>
      <w:r w:rsidRPr="00BC0FED">
        <w:rPr>
          <w:rFonts w:eastAsia="PMingLiU" w:cs="Arial"/>
          <w:szCs w:val="24"/>
          <w:lang w:val="fr-FR"/>
        </w:rPr>
        <w:tab/>
        <w:t>Groupe de travail technique sur les plantes agricoles</w:t>
      </w:r>
    </w:p>
    <w:p w:rsidR="00F85D2F" w:rsidRPr="00BC0FED" w:rsidRDefault="00B91E18" w:rsidP="0075144F">
      <w:pPr>
        <w:ind w:left="567" w:hanging="567"/>
        <w:rPr>
          <w:rFonts w:eastAsia="PMingLiU" w:cs="Arial"/>
          <w:szCs w:val="24"/>
          <w:lang w:val="fr-FR"/>
        </w:rPr>
      </w:pPr>
      <w:r w:rsidRPr="00BC0FED">
        <w:rPr>
          <w:rFonts w:eastAsia="PMingLiU" w:cs="Arial"/>
          <w:szCs w:val="24"/>
          <w:lang w:val="fr-FR"/>
        </w:rPr>
        <w:tab/>
        <w:t>TWC</w:t>
      </w:r>
      <w:r w:rsidR="00F85D2F" w:rsidRPr="00BC0FED">
        <w:rPr>
          <w:rFonts w:eastAsia="PMingLiU" w:cs="Arial"/>
          <w:szCs w:val="24"/>
          <w:lang w:val="fr-FR"/>
        </w:rPr>
        <w:t> :</w:t>
      </w:r>
      <w:r w:rsidRPr="00BC0FED">
        <w:rPr>
          <w:rFonts w:eastAsia="PMingLiU" w:cs="Arial"/>
          <w:szCs w:val="24"/>
          <w:lang w:val="fr-FR"/>
        </w:rPr>
        <w:tab/>
      </w:r>
      <w:r w:rsidRPr="00BC0FED">
        <w:rPr>
          <w:rFonts w:eastAsia="PMingLiU" w:cs="Arial"/>
          <w:szCs w:val="24"/>
          <w:lang w:val="fr-FR"/>
        </w:rPr>
        <w:tab/>
        <w:t>Groupe de travail technique sur les systèmes d</w:t>
      </w:r>
      <w:r w:rsidR="00F85D2F" w:rsidRPr="00BC0FED">
        <w:rPr>
          <w:rFonts w:eastAsia="PMingLiU" w:cs="Arial"/>
          <w:szCs w:val="24"/>
          <w:lang w:val="fr-FR"/>
        </w:rPr>
        <w:t>’</w:t>
      </w:r>
      <w:r w:rsidRPr="00BC0FED">
        <w:rPr>
          <w:rFonts w:eastAsia="PMingLiU" w:cs="Arial"/>
          <w:szCs w:val="24"/>
          <w:lang w:val="fr-FR"/>
        </w:rPr>
        <w:t>automatisation et les programmes</w:t>
      </w:r>
    </w:p>
    <w:p w:rsidR="00B91E18" w:rsidRPr="00BC0FED" w:rsidRDefault="00B91E18" w:rsidP="0075144F">
      <w:pPr>
        <w:ind w:left="1134" w:firstLine="567"/>
        <w:rPr>
          <w:rFonts w:eastAsia="PMingLiU" w:cs="Arial"/>
          <w:szCs w:val="24"/>
          <w:lang w:val="fr-FR"/>
        </w:rPr>
      </w:pPr>
      <w:proofErr w:type="gramStart"/>
      <w:r w:rsidRPr="00BC0FED">
        <w:rPr>
          <w:rFonts w:eastAsia="PMingLiU" w:cs="Arial"/>
          <w:szCs w:val="24"/>
          <w:lang w:val="fr-FR"/>
        </w:rPr>
        <w:t>d</w:t>
      </w:r>
      <w:r w:rsidR="00F85D2F" w:rsidRPr="00BC0FED">
        <w:rPr>
          <w:rFonts w:eastAsia="PMingLiU" w:cs="Arial"/>
          <w:szCs w:val="24"/>
          <w:lang w:val="fr-FR"/>
        </w:rPr>
        <w:t>’</w:t>
      </w:r>
      <w:r w:rsidRPr="00BC0FED">
        <w:rPr>
          <w:rFonts w:eastAsia="PMingLiU" w:cs="Arial"/>
          <w:szCs w:val="24"/>
          <w:lang w:val="fr-FR"/>
        </w:rPr>
        <w:t>ordinateur</w:t>
      </w:r>
      <w:proofErr w:type="gramEnd"/>
    </w:p>
    <w:p w:rsidR="00B91E18" w:rsidRPr="00BC0FED" w:rsidRDefault="00B91E18" w:rsidP="00B91E18">
      <w:pPr>
        <w:rPr>
          <w:rFonts w:eastAsia="PMingLiU" w:cs="Arial"/>
          <w:szCs w:val="24"/>
          <w:lang w:val="fr-FR"/>
        </w:rPr>
      </w:pPr>
      <w:r w:rsidRPr="00BC0FED">
        <w:rPr>
          <w:rFonts w:eastAsia="PMingLiU" w:cs="Arial"/>
          <w:szCs w:val="24"/>
          <w:lang w:val="fr-FR"/>
        </w:rPr>
        <w:tab/>
        <w:t>TWF</w:t>
      </w:r>
      <w:r w:rsidR="00F85D2F" w:rsidRPr="00BC0FED">
        <w:rPr>
          <w:rFonts w:eastAsia="PMingLiU" w:cs="Arial"/>
          <w:szCs w:val="24"/>
          <w:lang w:val="fr-FR"/>
        </w:rPr>
        <w:t> :</w:t>
      </w:r>
      <w:r w:rsidRPr="00BC0FED">
        <w:rPr>
          <w:rFonts w:eastAsia="PMingLiU" w:cs="Arial"/>
          <w:szCs w:val="24"/>
          <w:lang w:val="fr-FR"/>
        </w:rPr>
        <w:tab/>
      </w:r>
      <w:r w:rsidRPr="00BC0FED">
        <w:rPr>
          <w:rFonts w:eastAsia="PMingLiU" w:cs="Arial"/>
          <w:szCs w:val="24"/>
          <w:lang w:val="fr-FR"/>
        </w:rPr>
        <w:tab/>
        <w:t>Groupe de travail technique sur les plantes fruitières</w:t>
      </w:r>
    </w:p>
    <w:p w:rsidR="00B91E18" w:rsidRPr="00BC0FED" w:rsidRDefault="0075144F" w:rsidP="00B91E18">
      <w:pPr>
        <w:rPr>
          <w:rFonts w:eastAsia="PMingLiU" w:cs="Arial"/>
          <w:szCs w:val="24"/>
          <w:lang w:val="fr-FR"/>
        </w:rPr>
      </w:pPr>
      <w:r w:rsidRPr="00BC0FED">
        <w:rPr>
          <w:rFonts w:eastAsia="PMingLiU" w:cs="Arial"/>
          <w:szCs w:val="24"/>
          <w:lang w:val="fr-FR"/>
        </w:rPr>
        <w:tab/>
        <w:t>TWO</w:t>
      </w:r>
      <w:r w:rsidR="00F85D2F" w:rsidRPr="00BC0FED">
        <w:rPr>
          <w:rFonts w:eastAsia="PMingLiU" w:cs="Arial"/>
          <w:szCs w:val="24"/>
          <w:lang w:val="fr-FR"/>
        </w:rPr>
        <w:t> :</w:t>
      </w:r>
      <w:r w:rsidRPr="00BC0FED">
        <w:rPr>
          <w:rFonts w:eastAsia="PMingLiU" w:cs="Arial"/>
          <w:szCs w:val="24"/>
          <w:lang w:val="fr-FR"/>
        </w:rPr>
        <w:t xml:space="preserve"> </w:t>
      </w:r>
      <w:r w:rsidRPr="00BC0FED">
        <w:rPr>
          <w:rFonts w:eastAsia="PMingLiU" w:cs="Arial"/>
          <w:szCs w:val="24"/>
          <w:lang w:val="fr-FR"/>
        </w:rPr>
        <w:tab/>
      </w:r>
      <w:r w:rsidR="00B91E18" w:rsidRPr="00BC0FED">
        <w:rPr>
          <w:rFonts w:eastAsia="PMingLiU" w:cs="Arial"/>
          <w:szCs w:val="24"/>
          <w:lang w:val="fr-FR"/>
        </w:rPr>
        <w:t>Groupe de travail technique sur les plantes ornementales et les arbres forestiers</w:t>
      </w:r>
    </w:p>
    <w:p w:rsidR="00B91E18" w:rsidRPr="00BC0FED" w:rsidRDefault="00B91E18" w:rsidP="00B91E18">
      <w:pPr>
        <w:rPr>
          <w:rFonts w:eastAsia="PMingLiU" w:cs="Arial"/>
          <w:szCs w:val="24"/>
          <w:lang w:val="fr-FR"/>
        </w:rPr>
      </w:pPr>
      <w:r w:rsidRPr="00BC0FED">
        <w:rPr>
          <w:rFonts w:eastAsia="PMingLiU" w:cs="Arial"/>
          <w:szCs w:val="24"/>
          <w:lang w:val="fr-FR"/>
        </w:rPr>
        <w:tab/>
        <w:t>TWP</w:t>
      </w:r>
      <w:r w:rsidR="00F85D2F" w:rsidRPr="00BC0FED">
        <w:rPr>
          <w:rFonts w:eastAsia="PMingLiU" w:cs="Arial"/>
          <w:szCs w:val="24"/>
          <w:lang w:val="fr-FR"/>
        </w:rPr>
        <w:t> :</w:t>
      </w:r>
      <w:r w:rsidRPr="00BC0FED">
        <w:rPr>
          <w:rFonts w:eastAsia="PMingLiU" w:cs="Arial"/>
          <w:szCs w:val="24"/>
          <w:lang w:val="fr-FR"/>
        </w:rPr>
        <w:t xml:space="preserve"> </w:t>
      </w:r>
      <w:r w:rsidRPr="00BC0FED">
        <w:rPr>
          <w:rFonts w:eastAsia="PMingLiU" w:cs="Arial"/>
          <w:szCs w:val="24"/>
          <w:lang w:val="fr-FR"/>
        </w:rPr>
        <w:tab/>
        <w:t>Groupes de travail techniques</w:t>
      </w:r>
    </w:p>
    <w:p w:rsidR="00B91E18" w:rsidRPr="00BC0FED" w:rsidRDefault="00B91E18" w:rsidP="00B91E18">
      <w:pPr>
        <w:rPr>
          <w:rFonts w:eastAsia="PMingLiU" w:cs="Arial"/>
          <w:szCs w:val="24"/>
          <w:lang w:val="fr-FR"/>
        </w:rPr>
      </w:pPr>
      <w:r w:rsidRPr="00BC0FED">
        <w:rPr>
          <w:rFonts w:eastAsia="PMingLiU" w:cs="Arial"/>
          <w:szCs w:val="24"/>
          <w:lang w:val="fr-FR"/>
        </w:rPr>
        <w:tab/>
        <w:t>TWV</w:t>
      </w:r>
      <w:r w:rsidR="00F85D2F" w:rsidRPr="00BC0FED">
        <w:rPr>
          <w:rFonts w:eastAsia="PMingLiU" w:cs="Arial"/>
          <w:szCs w:val="24"/>
          <w:lang w:val="fr-FR"/>
        </w:rPr>
        <w:t> :</w:t>
      </w:r>
      <w:r w:rsidRPr="00BC0FED">
        <w:rPr>
          <w:rFonts w:eastAsia="PMingLiU" w:cs="Arial"/>
          <w:szCs w:val="24"/>
          <w:lang w:val="fr-FR"/>
        </w:rPr>
        <w:tab/>
      </w:r>
      <w:r w:rsidRPr="00BC0FED">
        <w:rPr>
          <w:rFonts w:eastAsia="PMingLiU" w:cs="Arial"/>
          <w:szCs w:val="24"/>
          <w:lang w:val="fr-FR"/>
        </w:rPr>
        <w:tab/>
        <w:t>Groupe de travail technique sur les plantes potagères</w:t>
      </w:r>
    </w:p>
    <w:p w:rsidR="00B91E18" w:rsidRDefault="00B91E18" w:rsidP="00B91E18">
      <w:pPr>
        <w:autoSpaceDE w:val="0"/>
        <w:autoSpaceDN w:val="0"/>
        <w:adjustRightInd w:val="0"/>
        <w:rPr>
          <w:lang w:val="fr-FR"/>
        </w:rPr>
      </w:pPr>
    </w:p>
    <w:p w:rsidR="00B30509" w:rsidRDefault="00B30509" w:rsidP="00B91E18">
      <w:pPr>
        <w:autoSpaceDE w:val="0"/>
        <w:autoSpaceDN w:val="0"/>
        <w:adjustRightInd w:val="0"/>
        <w:rPr>
          <w:lang w:val="fr-FR"/>
        </w:rPr>
      </w:pPr>
    </w:p>
    <w:p w:rsidR="009D3491" w:rsidRPr="00BC0FED" w:rsidRDefault="009D3491" w:rsidP="00B91E18">
      <w:pPr>
        <w:autoSpaceDE w:val="0"/>
        <w:autoSpaceDN w:val="0"/>
        <w:adjustRightInd w:val="0"/>
        <w:rPr>
          <w:lang w:val="fr-FR"/>
        </w:rPr>
      </w:pPr>
    </w:p>
    <w:p w:rsidR="00B91E18" w:rsidRPr="00BC0FED" w:rsidRDefault="002A421F" w:rsidP="002A421F">
      <w:pPr>
        <w:pStyle w:val="Heading1"/>
        <w:rPr>
          <w:rFonts w:eastAsia="MS Mincho"/>
          <w:lang w:val="fr-FR" w:eastAsia="ja-JP"/>
        </w:rPr>
      </w:pPr>
      <w:bookmarkStart w:id="5" w:name="_Toc524697863"/>
      <w:r w:rsidRPr="00BC0FED">
        <w:rPr>
          <w:rFonts w:eastAsia="MS Mincho"/>
          <w:lang w:val="fr-FR"/>
        </w:rPr>
        <w:t>Informations g</w:t>
      </w:r>
      <w:r w:rsidR="00633E35" w:rsidRPr="00E74017">
        <w:rPr>
          <w:rFonts w:eastAsia="MS Mincho"/>
          <w:lang w:val="fr-FR"/>
        </w:rPr>
        <w:t>É</w:t>
      </w:r>
      <w:r w:rsidRPr="00BC0FED">
        <w:rPr>
          <w:rFonts w:eastAsia="MS Mincho"/>
          <w:lang w:val="fr-FR"/>
        </w:rPr>
        <w:t>n</w:t>
      </w:r>
      <w:r w:rsidR="00633E35" w:rsidRPr="00E74017">
        <w:rPr>
          <w:rFonts w:eastAsia="MS Mincho"/>
          <w:lang w:val="fr-FR"/>
        </w:rPr>
        <w:t>É</w:t>
      </w:r>
      <w:r w:rsidRPr="00BC0FED">
        <w:rPr>
          <w:rFonts w:eastAsia="MS Mincho"/>
          <w:lang w:val="fr-FR"/>
        </w:rPr>
        <w:t>rales</w:t>
      </w:r>
      <w:bookmarkEnd w:id="4"/>
      <w:bookmarkEnd w:id="5"/>
    </w:p>
    <w:p w:rsidR="00B91E18" w:rsidRPr="00BC0FED" w:rsidRDefault="00B91E18" w:rsidP="00B91E18">
      <w:pPr>
        <w:rPr>
          <w:rFonts w:eastAsia="MS Mincho"/>
          <w:lang w:val="fr-FR" w:eastAsia="ja-JP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</w:r>
      <w:r w:rsidRPr="00BC0FED">
        <w:rPr>
          <w:szCs w:val="24"/>
          <w:lang w:val="fr-FR"/>
        </w:rPr>
        <w:t xml:space="preserve">Les informations générales sur cette question sont fournies dans le </w:t>
      </w:r>
      <w:r w:rsidR="00F85D2F" w:rsidRPr="00BC0FED">
        <w:rPr>
          <w:szCs w:val="24"/>
          <w:lang w:val="fr-FR"/>
        </w:rPr>
        <w:t>document</w:t>
      </w:r>
      <w:r w:rsidR="002E4035" w:rsidRPr="00BC0FED">
        <w:rPr>
          <w:szCs w:val="24"/>
          <w:lang w:val="fr-FR"/>
        </w:rPr>
        <w:t> </w:t>
      </w:r>
      <w:r w:rsidR="00F85D2F" w:rsidRPr="00BC0FED">
        <w:rPr>
          <w:szCs w:val="24"/>
          <w:lang w:val="fr-FR"/>
        </w:rPr>
        <w:t>TC</w:t>
      </w:r>
      <w:r w:rsidRPr="00BC0FED">
        <w:rPr>
          <w:szCs w:val="24"/>
          <w:lang w:val="fr-FR"/>
        </w:rPr>
        <w:t xml:space="preserve">/53/19 </w:t>
      </w:r>
      <w:r w:rsidRPr="00BC0FED">
        <w:rPr>
          <w:lang w:val="fr-FR"/>
        </w:rPr>
        <w:t>“Évaluation de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homogénéité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après les plantes hors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type sur la base de plusieurs échantillons ou sous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échantillons”.</w:t>
      </w:r>
    </w:p>
    <w:p w:rsidR="00B91E18" w:rsidRDefault="00B91E18" w:rsidP="00B91E18">
      <w:pPr>
        <w:rPr>
          <w:lang w:val="fr-FR"/>
        </w:rPr>
      </w:pPr>
      <w:bookmarkStart w:id="6" w:name="_Toc380151005"/>
    </w:p>
    <w:p w:rsidR="00B30509" w:rsidRPr="00BC0FED" w:rsidRDefault="00B30509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2A421F">
      <w:pPr>
        <w:pStyle w:val="Heading1"/>
        <w:rPr>
          <w:lang w:val="fr-FR"/>
        </w:rPr>
      </w:pPr>
      <w:bookmarkStart w:id="7" w:name="_Toc524697864"/>
      <w:r w:rsidRPr="00BC0FED">
        <w:rPr>
          <w:lang w:val="fr-FR"/>
        </w:rPr>
        <w:t>Faits nouveaux intervenus en 2017</w:t>
      </w:r>
      <w:bookmarkEnd w:id="7"/>
    </w:p>
    <w:p w:rsidR="00B91E18" w:rsidRPr="00BC0FED" w:rsidRDefault="00B91E18" w:rsidP="00B30509">
      <w:pPr>
        <w:rPr>
          <w:lang w:val="fr-FR"/>
        </w:rPr>
      </w:pPr>
    </w:p>
    <w:p w:rsidR="00B91E18" w:rsidRPr="00BC0FED" w:rsidRDefault="00B91E18" w:rsidP="00B91E18">
      <w:pPr>
        <w:pStyle w:val="Heading2"/>
        <w:rPr>
          <w:lang w:val="fr-FR"/>
        </w:rPr>
      </w:pPr>
      <w:bookmarkStart w:id="8" w:name="_Toc524697865"/>
      <w:r w:rsidRPr="00BC0FED">
        <w:rPr>
          <w:lang w:val="fr-FR"/>
        </w:rPr>
        <w:t>Observations formulées par les groupes de travail techniques</w:t>
      </w:r>
      <w:bookmarkEnd w:id="8"/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À leurs sessions de 2017, le TWA, le TWV, le TWO, le TWF et le TWC ont examiné le document</w:t>
      </w:r>
      <w:r w:rsidR="002E4035" w:rsidRPr="00BC0FED">
        <w:rPr>
          <w:lang w:val="fr-FR"/>
        </w:rPr>
        <w:t> </w:t>
      </w:r>
      <w:r w:rsidRPr="00BC0FED">
        <w:rPr>
          <w:lang w:val="fr-FR"/>
        </w:rPr>
        <w:t>TWP/1/17 </w:t>
      </w:r>
      <w:proofErr w:type="spellStart"/>
      <w:r w:rsidRPr="00BC0FED">
        <w:rPr>
          <w:lang w:val="fr-FR"/>
        </w:rPr>
        <w:t>Rev</w:t>
      </w:r>
      <w:proofErr w:type="spellEnd"/>
      <w:r w:rsidR="00835743" w:rsidRPr="00BC0FED">
        <w:rPr>
          <w:lang w:val="fr-FR"/>
        </w:rPr>
        <w:t xml:space="preserve">. </w:t>
      </w:r>
      <w:r w:rsidRPr="00BC0FED">
        <w:rPr>
          <w:lang w:val="fr-FR"/>
        </w:rPr>
        <w:t>“</w:t>
      </w:r>
      <w:proofErr w:type="spellStart"/>
      <w:r w:rsidR="0075144F" w:rsidRPr="00BC0FED">
        <w:rPr>
          <w:i/>
          <w:lang w:val="fr-FR"/>
        </w:rPr>
        <w:t>Assessing</w:t>
      </w:r>
      <w:proofErr w:type="spellEnd"/>
      <w:r w:rsidR="0075144F" w:rsidRPr="00BC0FED">
        <w:rPr>
          <w:i/>
          <w:lang w:val="fr-FR"/>
        </w:rPr>
        <w:t xml:space="preserve"> </w:t>
      </w:r>
      <w:proofErr w:type="spellStart"/>
      <w:r w:rsidR="0075144F" w:rsidRPr="00BC0FED">
        <w:rPr>
          <w:i/>
          <w:lang w:val="fr-FR"/>
        </w:rPr>
        <w:t>Uniformity</w:t>
      </w:r>
      <w:proofErr w:type="spellEnd"/>
      <w:r w:rsidR="0075144F" w:rsidRPr="00BC0FED">
        <w:rPr>
          <w:i/>
          <w:lang w:val="fr-FR"/>
        </w:rPr>
        <w:t xml:space="preserve"> by Off</w:t>
      </w:r>
      <w:r w:rsidR="002E4035" w:rsidRPr="00BC0FED">
        <w:rPr>
          <w:i/>
          <w:lang w:val="fr-FR"/>
        </w:rPr>
        <w:noBreakHyphen/>
      </w:r>
      <w:r w:rsidR="0075144F" w:rsidRPr="00BC0FED">
        <w:rPr>
          <w:i/>
          <w:lang w:val="fr-FR"/>
        </w:rPr>
        <w:t xml:space="preserve">Types on the Basis of More the One </w:t>
      </w:r>
      <w:proofErr w:type="spellStart"/>
      <w:r w:rsidR="0075144F" w:rsidRPr="00BC0FED">
        <w:rPr>
          <w:i/>
          <w:lang w:val="fr-FR"/>
        </w:rPr>
        <w:t>Growing</w:t>
      </w:r>
      <w:proofErr w:type="spellEnd"/>
      <w:r w:rsidR="0075144F" w:rsidRPr="00BC0FED">
        <w:rPr>
          <w:i/>
          <w:lang w:val="fr-FR"/>
        </w:rPr>
        <w:t xml:space="preserve"> Cycle or on the Basis of </w:t>
      </w:r>
      <w:proofErr w:type="spellStart"/>
      <w:r w:rsidR="0075144F" w:rsidRPr="00BC0FED">
        <w:rPr>
          <w:i/>
          <w:lang w:val="fr-FR"/>
        </w:rPr>
        <w:t>Sub</w:t>
      </w:r>
      <w:r w:rsidR="002E4035" w:rsidRPr="00BC0FED">
        <w:rPr>
          <w:i/>
          <w:lang w:val="fr-FR"/>
        </w:rPr>
        <w:noBreakHyphen/>
      </w:r>
      <w:r w:rsidR="0075144F" w:rsidRPr="00BC0FED">
        <w:rPr>
          <w:i/>
          <w:lang w:val="fr-FR"/>
        </w:rPr>
        <w:t>Samples</w:t>
      </w:r>
      <w:proofErr w:type="spellEnd"/>
      <w:r w:rsidRPr="00BC0FED">
        <w:rPr>
          <w:lang w:val="fr-FR"/>
        </w:rPr>
        <w:t>” (voir les paragraphes 28 à 35 du document TWA/46/10 “</w:t>
      </w:r>
      <w:r w:rsidRPr="00BC0FED">
        <w:rPr>
          <w:i/>
          <w:lang w:val="fr-FR"/>
        </w:rPr>
        <w:t>Report</w:t>
      </w:r>
      <w:r w:rsidRPr="00BC0FED">
        <w:rPr>
          <w:lang w:val="fr-FR"/>
        </w:rPr>
        <w:t>”, les paragraphes 39 à 47 du document TWV/51/16 “</w:t>
      </w:r>
      <w:r w:rsidRPr="00BC0FED">
        <w:rPr>
          <w:i/>
          <w:lang w:val="fr-FR"/>
        </w:rPr>
        <w:t>Report</w:t>
      </w:r>
      <w:r w:rsidRPr="00BC0FED">
        <w:rPr>
          <w:lang w:val="fr-FR"/>
        </w:rPr>
        <w:t>”, les paragraphes 19 à 21 du document TWO/50/14 “</w:t>
      </w:r>
      <w:r w:rsidRPr="00BC0FED">
        <w:rPr>
          <w:i/>
          <w:lang w:val="fr-FR"/>
        </w:rPr>
        <w:t>Report</w:t>
      </w:r>
      <w:r w:rsidRPr="00BC0FED">
        <w:rPr>
          <w:lang w:val="fr-FR"/>
        </w:rPr>
        <w:t>”, les paragraphes 22 à 25 du document TWF/48/13 “</w:t>
      </w:r>
      <w:r w:rsidRPr="00BC0FED">
        <w:rPr>
          <w:i/>
          <w:lang w:val="fr-FR"/>
        </w:rPr>
        <w:t>Report</w:t>
      </w:r>
      <w:r w:rsidRPr="00BC0FED">
        <w:rPr>
          <w:lang w:val="fr-FR"/>
        </w:rPr>
        <w:t>” et les paragraphes 32 à 35 du document TWC/35/21 “</w:t>
      </w:r>
      <w:r w:rsidR="0075144F" w:rsidRPr="00BC0FED">
        <w:rPr>
          <w:i/>
          <w:lang w:val="fr-FR"/>
        </w:rPr>
        <w:t>Report</w:t>
      </w:r>
      <w:r w:rsidRPr="00BC0FED">
        <w:rPr>
          <w:lang w:val="fr-FR"/>
        </w:rPr>
        <w:t>”).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Les TWP ont examiné le projet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orientations figurant d</w:t>
      </w:r>
      <w:r w:rsidR="00F742F1" w:rsidRPr="00BC0FED">
        <w:rPr>
          <w:lang w:val="fr-FR"/>
        </w:rPr>
        <w:t>ans le document</w:t>
      </w:r>
      <w:r w:rsidR="002E4035" w:rsidRPr="00BC0FED">
        <w:rPr>
          <w:lang w:val="fr-FR"/>
        </w:rPr>
        <w:t> </w:t>
      </w:r>
      <w:r w:rsidR="00F742F1" w:rsidRPr="00BC0FED">
        <w:rPr>
          <w:lang w:val="fr-FR"/>
        </w:rPr>
        <w:t>TWP/1/17 </w:t>
      </w:r>
      <w:proofErr w:type="spellStart"/>
      <w:r w:rsidR="00F742F1" w:rsidRPr="00BC0FED">
        <w:rPr>
          <w:lang w:val="fr-FR"/>
        </w:rPr>
        <w:t>Rev</w:t>
      </w:r>
      <w:proofErr w:type="spellEnd"/>
      <w:r w:rsidR="00835743" w:rsidRPr="00BC0FED">
        <w:rPr>
          <w:lang w:val="fr-FR"/>
        </w:rPr>
        <w:t xml:space="preserve">. </w:t>
      </w:r>
      <w:proofErr w:type="gramStart"/>
      <w:r w:rsidRPr="00BC0FED">
        <w:rPr>
          <w:lang w:val="fr-FR"/>
        </w:rPr>
        <w:t>aux</w:t>
      </w:r>
      <w:proofErr w:type="gramEnd"/>
      <w:r w:rsidRPr="00BC0FED">
        <w:rPr>
          <w:lang w:val="fr-FR"/>
        </w:rPr>
        <w:t xml:space="preserve"> fins de son inclusion dans une future révision du document</w:t>
      </w:r>
      <w:r w:rsidR="002E4035" w:rsidRPr="00BC0FED">
        <w:rPr>
          <w:lang w:val="fr-FR"/>
        </w:rPr>
        <w:t> </w:t>
      </w:r>
      <w:r w:rsidRPr="00BC0FED">
        <w:rPr>
          <w:lang w:val="fr-FR"/>
        </w:rPr>
        <w:t>TGP/10 “Examen de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homogénéité” et ont formulé les observations suivantes</w:t>
      </w:r>
      <w:r w:rsidR="00F85D2F" w:rsidRPr="00BC0FED">
        <w:rPr>
          <w:lang w:val="fr-FR"/>
        </w:rPr>
        <w:t> :</w:t>
      </w:r>
    </w:p>
    <w:p w:rsidR="00B91E18" w:rsidRPr="00BC0FED" w:rsidRDefault="00B91E18" w:rsidP="00B30509">
      <w:pPr>
        <w:spacing w:line="360" w:lineRule="auto"/>
        <w:rPr>
          <w:lang w:val="fr-FR"/>
        </w:rPr>
      </w:pPr>
    </w:p>
    <w:p w:rsidR="00B91E18" w:rsidRPr="00BC0FED" w:rsidRDefault="00B91E18" w:rsidP="00B91E18">
      <w:pPr>
        <w:pStyle w:val="Heading3"/>
        <w:rPr>
          <w:lang w:val="fr-FR"/>
        </w:rPr>
      </w:pPr>
      <w:bookmarkStart w:id="9" w:name="_Toc524697866"/>
      <w:r w:rsidRPr="00BC0FED">
        <w:rPr>
          <w:rFonts w:eastAsia="MS Mincho"/>
          <w:color w:val="000000"/>
          <w:szCs w:val="24"/>
          <w:lang w:val="fr-FR"/>
        </w:rPr>
        <w:t>Variation des conditions environnementales</w:t>
      </w:r>
      <w:bookmarkEnd w:id="9"/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 TWV, le TWF, le TWC et le TWA sont convenus de proposer que la nouvelle phrase qui avait été introduite dans l</w:t>
      </w:r>
      <w:r w:rsidR="00F85D2F" w:rsidRPr="00BC0FED">
        <w:rPr>
          <w:lang w:val="fr-FR"/>
        </w:rPr>
        <w:t>’</w:t>
      </w:r>
      <w:r w:rsidR="00F742F1" w:rsidRPr="00BC0FED">
        <w:rPr>
          <w:lang w:val="fr-FR"/>
        </w:rPr>
        <w:t>annexe I du</w:t>
      </w:r>
      <w:r w:rsidRPr="00BC0FED">
        <w:rPr>
          <w:lang w:val="fr-FR"/>
        </w:rPr>
        <w:t xml:space="preserve"> projet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orientations soit modifiée comme suit</w:t>
      </w:r>
      <w:r w:rsidR="00F85D2F" w:rsidRPr="00BC0FED">
        <w:rPr>
          <w:lang w:val="fr-FR"/>
        </w:rPr>
        <w:t> :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ind w:left="567" w:right="567"/>
        <w:rPr>
          <w:sz w:val="18"/>
          <w:u w:val="single"/>
          <w:lang w:val="fr-FR" w:eastAsia="zh-CN"/>
        </w:rPr>
      </w:pPr>
      <w:r w:rsidRPr="00BC0FED">
        <w:rPr>
          <w:sz w:val="18"/>
          <w:lang w:val="fr-FR"/>
        </w:rPr>
        <w:t>“Il est important d</w:t>
      </w:r>
      <w:r w:rsidR="00F85D2F" w:rsidRPr="00BC0FED">
        <w:rPr>
          <w:sz w:val="18"/>
          <w:lang w:val="fr-FR"/>
        </w:rPr>
        <w:t>’</w:t>
      </w:r>
      <w:r w:rsidRPr="00BC0FED">
        <w:rPr>
          <w:sz w:val="18"/>
          <w:lang w:val="fr-FR"/>
        </w:rPr>
        <w:t>identifier si la variation du nombre de plantes hors</w:t>
      </w:r>
      <w:r w:rsidR="002E4035" w:rsidRPr="00BC0FED">
        <w:rPr>
          <w:sz w:val="18"/>
          <w:lang w:val="fr-FR"/>
        </w:rPr>
        <w:noBreakHyphen/>
      </w:r>
      <w:r w:rsidRPr="00BC0FED">
        <w:rPr>
          <w:sz w:val="18"/>
          <w:lang w:val="fr-FR"/>
        </w:rPr>
        <w:t>type entre les cycles s</w:t>
      </w:r>
      <w:r w:rsidR="00F85D2F" w:rsidRPr="00BC0FED">
        <w:rPr>
          <w:sz w:val="18"/>
          <w:lang w:val="fr-FR"/>
        </w:rPr>
        <w:t>’</w:t>
      </w:r>
      <w:r w:rsidRPr="00BC0FED">
        <w:rPr>
          <w:sz w:val="18"/>
          <w:lang w:val="fr-FR"/>
        </w:rPr>
        <w:t xml:space="preserve">explique par des conditions </w:t>
      </w:r>
      <w:r w:rsidRPr="00BC0FED">
        <w:rPr>
          <w:strike/>
          <w:sz w:val="18"/>
          <w:highlight w:val="lightGray"/>
          <w:lang w:val="fr-FR"/>
        </w:rPr>
        <w:t xml:space="preserve">biologiques </w:t>
      </w:r>
      <w:r w:rsidRPr="00BC0FED">
        <w:rPr>
          <w:sz w:val="18"/>
          <w:highlight w:val="lightGray"/>
          <w:u w:val="single"/>
          <w:lang w:val="fr-FR"/>
        </w:rPr>
        <w:t>environnementales</w:t>
      </w:r>
      <w:r w:rsidRPr="00883329">
        <w:rPr>
          <w:sz w:val="18"/>
          <w:lang w:val="fr-FR"/>
        </w:rPr>
        <w:t xml:space="preserve"> </w:t>
      </w:r>
      <w:r w:rsidRPr="00BC0FED">
        <w:rPr>
          <w:sz w:val="18"/>
          <w:lang w:val="fr-FR"/>
        </w:rPr>
        <w:t>ou des fluctuations d</w:t>
      </w:r>
      <w:r w:rsidR="00F85D2F" w:rsidRPr="00BC0FED">
        <w:rPr>
          <w:sz w:val="18"/>
          <w:lang w:val="fr-FR"/>
        </w:rPr>
        <w:t>’</w:t>
      </w:r>
      <w:r w:rsidRPr="00BC0FED">
        <w:rPr>
          <w:sz w:val="18"/>
          <w:lang w:val="fr-FR"/>
        </w:rPr>
        <w:t>échantillonnage”.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 TWF et le TWV sont convenus de</w:t>
      </w:r>
      <w:r w:rsidR="00F742F1" w:rsidRPr="00BC0FED">
        <w:rPr>
          <w:lang w:val="fr-FR"/>
        </w:rPr>
        <w:t xml:space="preserve"> proposer que</w:t>
      </w:r>
      <w:r w:rsidRPr="00BC0FED">
        <w:rPr>
          <w:lang w:val="fr-FR"/>
        </w:rPr>
        <w:t xml:space="preserve"> la nouvelle phrase qui avait été introduite dans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ann</w:t>
      </w:r>
      <w:r w:rsidR="00F742F1" w:rsidRPr="00BC0FED">
        <w:rPr>
          <w:lang w:val="fr-FR"/>
        </w:rPr>
        <w:t>exe I du projet d</w:t>
      </w:r>
      <w:r w:rsidR="00F85D2F" w:rsidRPr="00BC0FED">
        <w:rPr>
          <w:lang w:val="fr-FR"/>
        </w:rPr>
        <w:t>’</w:t>
      </w:r>
      <w:r w:rsidR="00F742F1" w:rsidRPr="00BC0FED">
        <w:rPr>
          <w:lang w:val="fr-FR"/>
        </w:rPr>
        <w:t xml:space="preserve">orientations soit clarifiée </w:t>
      </w:r>
      <w:r w:rsidRPr="00BC0FED">
        <w:rPr>
          <w:lang w:val="fr-FR"/>
        </w:rPr>
        <w:t>comme suit pour chacune des méthodes</w:t>
      </w:r>
      <w:r w:rsidR="00F85D2F" w:rsidRPr="00BC0FED">
        <w:rPr>
          <w:lang w:val="fr-FR"/>
        </w:rPr>
        <w:t> :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ind w:left="567" w:right="567"/>
        <w:rPr>
          <w:sz w:val="18"/>
          <w:u w:val="single"/>
          <w:lang w:val="fr-FR"/>
        </w:rPr>
      </w:pPr>
      <w:r w:rsidRPr="00BC0FED">
        <w:rPr>
          <w:sz w:val="18"/>
          <w:lang w:val="fr-FR"/>
        </w:rPr>
        <w:t>“Il est important d</w:t>
      </w:r>
      <w:r w:rsidR="00F85D2F" w:rsidRPr="00BC0FED">
        <w:rPr>
          <w:sz w:val="18"/>
          <w:lang w:val="fr-FR"/>
        </w:rPr>
        <w:t>’</w:t>
      </w:r>
      <w:r w:rsidRPr="00BC0FED">
        <w:rPr>
          <w:sz w:val="18"/>
          <w:lang w:val="fr-FR"/>
        </w:rPr>
        <w:t>identifier si la variation du nombre de plantes hors</w:t>
      </w:r>
      <w:r w:rsidR="002E4035" w:rsidRPr="00BC0FED">
        <w:rPr>
          <w:sz w:val="18"/>
          <w:lang w:val="fr-FR"/>
        </w:rPr>
        <w:noBreakHyphen/>
      </w:r>
      <w:r w:rsidRPr="00BC0FED">
        <w:rPr>
          <w:sz w:val="18"/>
          <w:lang w:val="fr-FR"/>
        </w:rPr>
        <w:t xml:space="preserve">type entre les cycles </w:t>
      </w:r>
      <w:r w:rsidR="00F742F1" w:rsidRPr="00BC0FED">
        <w:rPr>
          <w:sz w:val="18"/>
          <w:highlight w:val="lightGray"/>
          <w:u w:val="single"/>
          <w:lang w:val="fr-FR"/>
        </w:rPr>
        <w:t>ne</w:t>
      </w:r>
      <w:r w:rsidRPr="00BC0FED">
        <w:rPr>
          <w:sz w:val="18"/>
          <w:lang w:val="fr-FR"/>
        </w:rPr>
        <w:t xml:space="preserve"> </w:t>
      </w:r>
      <w:r w:rsidR="00F742F1" w:rsidRPr="00BC0FED">
        <w:rPr>
          <w:sz w:val="18"/>
          <w:lang w:val="fr-FR"/>
        </w:rPr>
        <w:t>s</w:t>
      </w:r>
      <w:r w:rsidR="00F85D2F" w:rsidRPr="00BC0FED">
        <w:rPr>
          <w:sz w:val="18"/>
          <w:lang w:val="fr-FR"/>
        </w:rPr>
        <w:t>’</w:t>
      </w:r>
      <w:r w:rsidR="00F742F1" w:rsidRPr="00BC0FED">
        <w:rPr>
          <w:sz w:val="18"/>
          <w:lang w:val="fr-FR"/>
        </w:rPr>
        <w:t xml:space="preserve">explique </w:t>
      </w:r>
      <w:r w:rsidR="00F742F1" w:rsidRPr="00BC0FED">
        <w:rPr>
          <w:sz w:val="18"/>
          <w:highlight w:val="lightGray"/>
          <w:u w:val="single"/>
          <w:lang w:val="fr-FR"/>
        </w:rPr>
        <w:t>pas</w:t>
      </w:r>
      <w:r w:rsidR="00F742F1" w:rsidRPr="00BC0FED">
        <w:rPr>
          <w:sz w:val="18"/>
          <w:lang w:val="fr-FR"/>
        </w:rPr>
        <w:t xml:space="preserve"> </w:t>
      </w:r>
      <w:r w:rsidRPr="00BC0FED">
        <w:rPr>
          <w:sz w:val="18"/>
          <w:lang w:val="fr-FR"/>
        </w:rPr>
        <w:t xml:space="preserve">par des conditions </w:t>
      </w:r>
      <w:r w:rsidRPr="00BC0FED">
        <w:rPr>
          <w:strike/>
          <w:sz w:val="18"/>
          <w:highlight w:val="lightGray"/>
          <w:lang w:val="fr-FR"/>
        </w:rPr>
        <w:t>biologiques</w:t>
      </w:r>
      <w:r w:rsidRPr="00BC0FED">
        <w:rPr>
          <w:sz w:val="18"/>
          <w:highlight w:val="lightGray"/>
          <w:u w:val="single"/>
          <w:lang w:val="fr-FR"/>
        </w:rPr>
        <w:t xml:space="preserve"> environnementales</w:t>
      </w:r>
      <w:r w:rsidRPr="00883329">
        <w:rPr>
          <w:sz w:val="18"/>
          <w:lang w:val="fr-FR"/>
        </w:rPr>
        <w:t xml:space="preserve"> </w:t>
      </w:r>
      <w:r w:rsidRPr="00BC0FED">
        <w:rPr>
          <w:sz w:val="18"/>
          <w:lang w:val="fr-FR"/>
        </w:rPr>
        <w:t>ou des fluctuations d</w:t>
      </w:r>
      <w:r w:rsidR="00F85D2F" w:rsidRPr="00BC0FED">
        <w:rPr>
          <w:sz w:val="18"/>
          <w:lang w:val="fr-FR"/>
        </w:rPr>
        <w:t>’</w:t>
      </w:r>
      <w:r w:rsidRPr="00BC0FED">
        <w:rPr>
          <w:sz w:val="18"/>
          <w:lang w:val="fr-FR"/>
        </w:rPr>
        <w:t>échantillonnage”</w:t>
      </w:r>
      <w:r w:rsidR="00F742F1" w:rsidRPr="00BC0FED">
        <w:rPr>
          <w:sz w:val="18"/>
          <w:lang w:val="fr-FR"/>
        </w:rPr>
        <w:t>.</w:t>
      </w:r>
    </w:p>
    <w:p w:rsidR="00B91E18" w:rsidRPr="00BC0FED" w:rsidRDefault="00B91E18" w:rsidP="00B30509">
      <w:pPr>
        <w:spacing w:line="360" w:lineRule="auto"/>
        <w:rPr>
          <w:lang w:val="fr-FR"/>
        </w:rPr>
      </w:pPr>
    </w:p>
    <w:p w:rsidR="00B91E18" w:rsidRPr="00BC0FED" w:rsidRDefault="00B91E18" w:rsidP="00B91E18">
      <w:pPr>
        <w:pStyle w:val="Heading3"/>
        <w:keepLines/>
        <w:rPr>
          <w:lang w:val="fr-FR"/>
        </w:rPr>
      </w:pPr>
      <w:bookmarkStart w:id="10" w:name="_Toc524697867"/>
      <w:r w:rsidRPr="00BC0FED">
        <w:rPr>
          <w:rFonts w:eastAsia="MS Mincho"/>
          <w:color w:val="000000"/>
          <w:szCs w:val="24"/>
          <w:lang w:val="fr-FR"/>
        </w:rPr>
        <w:t>Critères fondant le rejet d</w:t>
      </w:r>
      <w:r w:rsidR="00F85D2F" w:rsidRPr="00BC0FED">
        <w:rPr>
          <w:rFonts w:eastAsia="MS Mincho"/>
          <w:color w:val="000000"/>
          <w:szCs w:val="24"/>
          <w:lang w:val="fr-FR"/>
        </w:rPr>
        <w:t>’</w:t>
      </w:r>
      <w:r w:rsidRPr="00BC0FED">
        <w:rPr>
          <w:rFonts w:eastAsia="MS Mincho"/>
          <w:color w:val="000000"/>
          <w:szCs w:val="24"/>
          <w:lang w:val="fr-FR"/>
        </w:rPr>
        <w:t>une variété après un seul cycle de végétation</w:t>
      </w:r>
      <w:bookmarkEnd w:id="10"/>
    </w:p>
    <w:p w:rsidR="00B91E18" w:rsidRPr="00BC0FED" w:rsidRDefault="00B91E18" w:rsidP="00B30509">
      <w:pPr>
        <w:rPr>
          <w:lang w:val="fr-FR"/>
        </w:rPr>
      </w:pPr>
    </w:p>
    <w:p w:rsidR="00B91E18" w:rsidRPr="00BC0FED" w:rsidRDefault="00B91E18" w:rsidP="00B91E18">
      <w:pPr>
        <w:keepNext/>
        <w:keepLines/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Les TWP ont examiné s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il fallait, dans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 xml:space="preserve">annexe I, </w:t>
      </w:r>
      <w:r w:rsidR="005A6F81" w:rsidRPr="00BC0FED">
        <w:rPr>
          <w:lang w:val="fr-FR"/>
        </w:rPr>
        <w:t xml:space="preserve">que </w:t>
      </w:r>
      <w:r w:rsidRPr="00BC0FED">
        <w:rPr>
          <w:lang w:val="fr-FR"/>
        </w:rPr>
        <w:t>le rejet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une variété après un seul cycle de végétation se fonde sur plusieurs critères généraux plutôt que sur le cas précis où le nombre de plantes hors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type autorisé pour deux</w:t>
      </w:r>
      <w:r w:rsidR="008E2723" w:rsidRPr="00BC0FED">
        <w:rPr>
          <w:lang w:val="fr-FR"/>
        </w:rPr>
        <w:t> </w:t>
      </w:r>
      <w:r w:rsidRPr="00BC0FED">
        <w:rPr>
          <w:lang w:val="fr-FR"/>
        </w:rPr>
        <w:t>cycles de végétation est dépas</w:t>
      </w:r>
      <w:r w:rsidR="005F032D" w:rsidRPr="00BC0FED">
        <w:rPr>
          <w:lang w:val="fr-FR"/>
        </w:rPr>
        <w:t>sé.  Le</w:t>
      </w:r>
      <w:r w:rsidRPr="00BC0FED">
        <w:rPr>
          <w:lang w:val="fr-FR"/>
        </w:rPr>
        <w:t xml:space="preserve"> libellé proposé est le suivant</w:t>
      </w:r>
      <w:r w:rsidR="00F85D2F" w:rsidRPr="00BC0FED">
        <w:rPr>
          <w:lang w:val="fr-FR"/>
        </w:rPr>
        <w:t> :</w:t>
      </w:r>
    </w:p>
    <w:p w:rsidR="00B91E18" w:rsidRPr="00BC0FED" w:rsidRDefault="00B91E18" w:rsidP="00B30509">
      <w:pPr>
        <w:rPr>
          <w:lang w:val="fr-FR"/>
        </w:rPr>
      </w:pPr>
    </w:p>
    <w:p w:rsidR="00B91E18" w:rsidRPr="00BC0FED" w:rsidRDefault="00B91E18" w:rsidP="00B91E18">
      <w:pPr>
        <w:keepNext/>
        <w:keepLines/>
        <w:ind w:left="567" w:right="567"/>
        <w:rPr>
          <w:sz w:val="18"/>
          <w:lang w:val="fr-FR"/>
        </w:rPr>
      </w:pPr>
      <w:proofErr w:type="gramStart"/>
      <w:r w:rsidRPr="00BC0FED">
        <w:rPr>
          <w:rFonts w:eastAsia="SimSun"/>
          <w:sz w:val="18"/>
          <w:szCs w:val="24"/>
          <w:lang w:val="fr-FR"/>
        </w:rPr>
        <w:t>“[</w:t>
      </w:r>
      <w:proofErr w:type="gramEnd"/>
      <w:r w:rsidR="008E2723" w:rsidRPr="00BC0FED">
        <w:rPr>
          <w:rFonts w:eastAsia="SimSun"/>
          <w:sz w:val="18"/>
          <w:szCs w:val="24"/>
          <w:lang w:val="fr-FR"/>
        </w:rPr>
        <w:t>…</w:t>
      </w:r>
      <w:r w:rsidRPr="00BC0FED">
        <w:rPr>
          <w:rFonts w:eastAsia="SimSun"/>
          <w:sz w:val="18"/>
          <w:szCs w:val="24"/>
          <w:lang w:val="fr-FR"/>
        </w:rPr>
        <w:t>] En outre, si pour une variété le nombre de plantes hors</w:t>
      </w:r>
      <w:r w:rsidR="002E4035" w:rsidRPr="00BC0FED">
        <w:rPr>
          <w:rFonts w:eastAsia="SimSun"/>
          <w:sz w:val="18"/>
          <w:szCs w:val="24"/>
          <w:lang w:val="fr-FR"/>
        </w:rPr>
        <w:noBreakHyphen/>
      </w:r>
      <w:r w:rsidRPr="00BC0FED">
        <w:rPr>
          <w:rFonts w:eastAsia="SimSun"/>
          <w:sz w:val="18"/>
          <w:szCs w:val="24"/>
          <w:lang w:val="fr-FR"/>
        </w:rPr>
        <w:t>type autorisé pour deux</w:t>
      </w:r>
      <w:r w:rsidR="008E2723" w:rsidRPr="00BC0FED">
        <w:rPr>
          <w:rFonts w:eastAsia="SimSun"/>
          <w:sz w:val="18"/>
          <w:szCs w:val="24"/>
          <w:lang w:val="fr-FR"/>
        </w:rPr>
        <w:t> </w:t>
      </w:r>
      <w:r w:rsidRPr="00BC0FED">
        <w:rPr>
          <w:rFonts w:eastAsia="SimSun"/>
          <w:sz w:val="18"/>
          <w:szCs w:val="24"/>
          <w:lang w:val="fr-FR"/>
        </w:rPr>
        <w:t>cycles de végétation est dépassé durant le premier cycle de végétation, la variété peut être écartée après un seul cycle de végétation”.</w:t>
      </w:r>
    </w:p>
    <w:p w:rsidR="00B91E18" w:rsidRPr="00BC0FED" w:rsidRDefault="00B91E18" w:rsidP="00B91E18">
      <w:pPr>
        <w:rPr>
          <w:lang w:val="fr-FR"/>
        </w:rPr>
      </w:pPr>
    </w:p>
    <w:p w:rsidR="00B91E18" w:rsidRDefault="00B91E18" w:rsidP="00B30509">
      <w:pPr>
        <w:keepNext/>
        <w:keepLines/>
        <w:rPr>
          <w:lang w:val="fr-FR"/>
        </w:rPr>
      </w:pPr>
      <w:r w:rsidRPr="00BC0FED">
        <w:rPr>
          <w:snapToGrid w:val="0"/>
          <w:lang w:val="fr-FR"/>
        </w:rPr>
        <w:lastRenderedPageBreak/>
        <w:fldChar w:fldCharType="begin"/>
      </w:r>
      <w:r w:rsidRPr="00BC0FED">
        <w:rPr>
          <w:snapToGrid w:val="0"/>
          <w:lang w:val="fr-FR"/>
        </w:rPr>
        <w:instrText xml:space="preserve"> AUTONUM  </w:instrText>
      </w:r>
      <w:r w:rsidRPr="00BC0FED">
        <w:rPr>
          <w:snapToGrid w:val="0"/>
          <w:lang w:val="fr-FR"/>
        </w:rPr>
        <w:fldChar w:fldCharType="end"/>
      </w:r>
      <w:r w:rsidRPr="00BC0FED">
        <w:rPr>
          <w:snapToGrid w:val="0"/>
          <w:lang w:val="fr-FR"/>
        </w:rPr>
        <w:tab/>
        <w:t xml:space="preserve">Le TWA </w:t>
      </w:r>
      <w:r w:rsidRPr="00BC0FED">
        <w:rPr>
          <w:lang w:val="fr-FR"/>
        </w:rPr>
        <w:t>est convenu de proposer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introduction, dans les différentes méthodes figurant au projet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orientations,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un critère plus général pour fonder le rejet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une variété après un seul cycle de végétation, qui serait libellé comme suit</w:t>
      </w:r>
      <w:r w:rsidR="00F85D2F" w:rsidRPr="00BC0FED">
        <w:rPr>
          <w:lang w:val="fr-FR"/>
        </w:rPr>
        <w:t> :</w:t>
      </w:r>
    </w:p>
    <w:p w:rsidR="00B30509" w:rsidRPr="00BC0FED" w:rsidRDefault="00B30509" w:rsidP="00B30509">
      <w:pPr>
        <w:keepNext/>
        <w:keepLines/>
        <w:rPr>
          <w:rFonts w:cs="Arial"/>
          <w:lang w:val="fr-FR"/>
        </w:rPr>
      </w:pPr>
    </w:p>
    <w:p w:rsidR="00B91E18" w:rsidRPr="00BC0FED" w:rsidRDefault="00B91E18" w:rsidP="00B30509">
      <w:pPr>
        <w:keepNext/>
        <w:keepLines/>
        <w:ind w:left="567" w:right="567"/>
        <w:rPr>
          <w:sz w:val="18"/>
          <w:szCs w:val="18"/>
          <w:u w:val="single"/>
          <w:lang w:val="fr-FR" w:eastAsia="zh-CN"/>
        </w:rPr>
      </w:pPr>
      <w:r w:rsidRPr="00BC0FED">
        <w:rPr>
          <w:rFonts w:eastAsia="SimSun"/>
          <w:sz w:val="18"/>
          <w:szCs w:val="22"/>
          <w:highlight w:val="lightGray"/>
          <w:u w:val="single"/>
          <w:lang w:val="fr-FR"/>
        </w:rPr>
        <w:t>“Si au cours du premier cycle de végétation, le nombre de plantes hors</w:t>
      </w:r>
      <w:r w:rsidR="002E4035" w:rsidRPr="00BC0FED">
        <w:rPr>
          <w:rFonts w:eastAsia="SimSun"/>
          <w:sz w:val="18"/>
          <w:szCs w:val="22"/>
          <w:highlight w:val="lightGray"/>
          <w:u w:val="single"/>
          <w:lang w:val="fr-FR"/>
        </w:rPr>
        <w:noBreakHyphen/>
      </w:r>
      <w:r w:rsidRPr="00BC0FED">
        <w:rPr>
          <w:rFonts w:eastAsia="SimSun"/>
          <w:sz w:val="18"/>
          <w:szCs w:val="22"/>
          <w:highlight w:val="lightGray"/>
          <w:u w:val="single"/>
          <w:lang w:val="fr-FR"/>
        </w:rPr>
        <w:t>type dépasse une limite supérieure prédéfinie, la</w:t>
      </w:r>
      <w:r w:rsidRPr="00361A76">
        <w:rPr>
          <w:sz w:val="18"/>
          <w:szCs w:val="18"/>
          <w:highlight w:val="lightGray"/>
          <w:lang w:val="fr-FR"/>
        </w:rPr>
        <w:t xml:space="preserve"> </w:t>
      </w:r>
      <w:r w:rsidRPr="00BC0FED">
        <w:rPr>
          <w:sz w:val="18"/>
          <w:szCs w:val="18"/>
          <w:lang w:val="fr-FR"/>
        </w:rPr>
        <w:t>variété peut être rejetée après un seul cycle de végétation”.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snapToGrid w:val="0"/>
          <w:lang w:val="fr-FR"/>
        </w:rPr>
        <w:fldChar w:fldCharType="begin"/>
      </w:r>
      <w:r w:rsidRPr="00BC0FED">
        <w:rPr>
          <w:snapToGrid w:val="0"/>
          <w:lang w:val="fr-FR"/>
        </w:rPr>
        <w:instrText xml:space="preserve"> AUTONUM  </w:instrText>
      </w:r>
      <w:r w:rsidRPr="00BC0FED">
        <w:rPr>
          <w:snapToGrid w:val="0"/>
          <w:lang w:val="fr-FR"/>
        </w:rPr>
        <w:fldChar w:fldCharType="end"/>
      </w:r>
      <w:r w:rsidRPr="00BC0FED">
        <w:rPr>
          <w:snapToGrid w:val="0"/>
          <w:lang w:val="fr-FR"/>
        </w:rPr>
        <w:tab/>
      </w:r>
      <w:r w:rsidRPr="00BC0FED">
        <w:rPr>
          <w:lang w:val="fr-FR"/>
        </w:rPr>
        <w:t>Le TWA est convenu que la</w:t>
      </w:r>
      <w:r w:rsidR="00835743" w:rsidRPr="00BC0FED">
        <w:rPr>
          <w:lang w:val="fr-FR"/>
        </w:rPr>
        <w:t xml:space="preserve"> </w:t>
      </w:r>
      <w:r w:rsidRPr="00BC0FED">
        <w:rPr>
          <w:rFonts w:eastAsia="SimSun"/>
          <w:szCs w:val="24"/>
          <w:lang w:val="fr-FR"/>
        </w:rPr>
        <w:t>limite supérieure du nombre de plantes hors</w:t>
      </w:r>
      <w:r w:rsidR="002E4035" w:rsidRPr="00BC0FED">
        <w:rPr>
          <w:rFonts w:eastAsia="SimSun"/>
          <w:szCs w:val="24"/>
          <w:lang w:val="fr-FR"/>
        </w:rPr>
        <w:noBreakHyphen/>
      </w:r>
      <w:r w:rsidRPr="00BC0FED">
        <w:rPr>
          <w:rFonts w:eastAsia="SimSun"/>
          <w:szCs w:val="24"/>
          <w:lang w:val="fr-FR"/>
        </w:rPr>
        <w:t>type pourrait être définie par chaque service en fonction des méthodes employées pour évaluer l</w:t>
      </w:r>
      <w:r w:rsidR="00F85D2F" w:rsidRPr="00BC0FED">
        <w:rPr>
          <w:rFonts w:eastAsia="SimSun"/>
          <w:szCs w:val="24"/>
          <w:lang w:val="fr-FR"/>
        </w:rPr>
        <w:t>’</w:t>
      </w:r>
      <w:r w:rsidRPr="00BC0FED">
        <w:rPr>
          <w:rFonts w:eastAsia="SimSun"/>
          <w:szCs w:val="24"/>
          <w:lang w:val="fr-FR"/>
        </w:rPr>
        <w:t>homogénéité d</w:t>
      </w:r>
      <w:r w:rsidR="00F85D2F" w:rsidRPr="00BC0FED">
        <w:rPr>
          <w:rFonts w:eastAsia="SimSun"/>
          <w:szCs w:val="24"/>
          <w:lang w:val="fr-FR"/>
        </w:rPr>
        <w:t>’</w:t>
      </w:r>
      <w:r w:rsidRPr="00BC0FED">
        <w:rPr>
          <w:rFonts w:eastAsia="SimSun"/>
          <w:szCs w:val="24"/>
          <w:lang w:val="fr-FR"/>
        </w:rPr>
        <w:t>après les plantes hors</w:t>
      </w:r>
      <w:r w:rsidR="002E4035" w:rsidRPr="00BC0FED">
        <w:rPr>
          <w:rFonts w:eastAsia="SimSun"/>
          <w:szCs w:val="24"/>
          <w:lang w:val="fr-FR"/>
        </w:rPr>
        <w:noBreakHyphen/>
      </w:r>
      <w:r w:rsidRPr="00BC0FED">
        <w:rPr>
          <w:rFonts w:eastAsia="SimSun"/>
          <w:szCs w:val="24"/>
          <w:lang w:val="fr-FR"/>
        </w:rPr>
        <w:t>type.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 TWF et le TWV sont convenus de proposer de modifier la phrase suivante pour la méthode 1, comme suit</w:t>
      </w:r>
      <w:r w:rsidR="00F85D2F" w:rsidRPr="00BC0FED">
        <w:rPr>
          <w:lang w:val="fr-FR"/>
        </w:rPr>
        <w:t> :</w:t>
      </w:r>
    </w:p>
    <w:p w:rsidR="00B91E18" w:rsidRPr="00BC0FED" w:rsidRDefault="00B91E18" w:rsidP="00B30509">
      <w:pPr>
        <w:rPr>
          <w:rFonts w:eastAsia="SimSun"/>
          <w:lang w:val="fr-FR" w:eastAsia="zh-CN"/>
        </w:rPr>
      </w:pPr>
    </w:p>
    <w:p w:rsidR="00B91E18" w:rsidRPr="00BC0FED" w:rsidRDefault="00B91E18" w:rsidP="00B91E18">
      <w:pPr>
        <w:keepNext/>
        <w:keepLines/>
        <w:ind w:left="567" w:right="567"/>
        <w:rPr>
          <w:rFonts w:eastAsia="SimSun"/>
          <w:sz w:val="18"/>
          <w:szCs w:val="24"/>
          <w:lang w:val="fr-FR" w:eastAsia="zh-CN"/>
        </w:rPr>
      </w:pPr>
      <w:r w:rsidRPr="00BC0FED">
        <w:rPr>
          <w:rFonts w:eastAsia="SimSun"/>
          <w:sz w:val="18"/>
          <w:szCs w:val="24"/>
          <w:lang w:val="fr-FR"/>
        </w:rPr>
        <w:t>“En outre, si pour une variété le nombre de plantes hors</w:t>
      </w:r>
      <w:r w:rsidR="002E4035" w:rsidRPr="00BC0FED">
        <w:rPr>
          <w:rFonts w:eastAsia="SimSun"/>
          <w:sz w:val="18"/>
          <w:szCs w:val="24"/>
          <w:lang w:val="fr-FR"/>
        </w:rPr>
        <w:noBreakHyphen/>
      </w:r>
      <w:r w:rsidRPr="00BC0FED">
        <w:rPr>
          <w:rFonts w:eastAsia="SimSun"/>
          <w:sz w:val="18"/>
          <w:szCs w:val="24"/>
          <w:lang w:val="fr-FR"/>
        </w:rPr>
        <w:t>type autorisé pour deux</w:t>
      </w:r>
      <w:r w:rsidR="008E2723" w:rsidRPr="00BC0FED">
        <w:rPr>
          <w:rFonts w:eastAsia="SimSun"/>
          <w:sz w:val="18"/>
          <w:szCs w:val="24"/>
          <w:lang w:val="fr-FR"/>
        </w:rPr>
        <w:t> </w:t>
      </w:r>
      <w:r w:rsidRPr="00BC0FED">
        <w:rPr>
          <w:rFonts w:eastAsia="SimSun"/>
          <w:sz w:val="18"/>
          <w:szCs w:val="24"/>
          <w:lang w:val="fr-FR"/>
        </w:rPr>
        <w:t xml:space="preserve">cycles de végétation est </w:t>
      </w:r>
      <w:r w:rsidR="005A6F81" w:rsidRPr="00BC0FED">
        <w:rPr>
          <w:rFonts w:eastAsia="SimSun"/>
          <w:sz w:val="18"/>
          <w:szCs w:val="24"/>
          <w:highlight w:val="lightGray"/>
          <w:u w:val="single"/>
          <w:lang w:val="fr-FR"/>
        </w:rPr>
        <w:t>clairem</w:t>
      </w:r>
      <w:r w:rsidRPr="00BC0FED">
        <w:rPr>
          <w:rFonts w:eastAsia="SimSun"/>
          <w:sz w:val="18"/>
          <w:szCs w:val="24"/>
          <w:highlight w:val="lightGray"/>
          <w:u w:val="single"/>
          <w:lang w:val="fr-FR"/>
        </w:rPr>
        <w:t>ent</w:t>
      </w:r>
      <w:r w:rsidRPr="00BC0FED">
        <w:rPr>
          <w:rFonts w:eastAsia="SimSun"/>
          <w:sz w:val="18"/>
          <w:szCs w:val="24"/>
          <w:lang w:val="fr-FR"/>
        </w:rPr>
        <w:t xml:space="preserve"> dépassé durant le premier cycle de végétation, la variété peut être écartée après un seul cycle de végétation”.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rFonts w:eastAsia="SimSun"/>
          <w:sz w:val="18"/>
          <w:szCs w:val="24"/>
          <w:lang w:val="fr-FR" w:eastAsia="zh-CN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 TWC est convenu que la limite supérieure prédéfinie pour le nombre de plantes hors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type autorisé pour deux</w:t>
      </w:r>
      <w:r w:rsidR="008E2723" w:rsidRPr="00BC0FED">
        <w:rPr>
          <w:lang w:val="fr-FR"/>
        </w:rPr>
        <w:t> </w:t>
      </w:r>
      <w:r w:rsidRPr="00BC0FED">
        <w:rPr>
          <w:lang w:val="fr-FR"/>
        </w:rPr>
        <w:t xml:space="preserve">cycles de végétation était une référence utile </w:t>
      </w:r>
      <w:r w:rsidR="00F85D2F" w:rsidRPr="00BC0FED">
        <w:rPr>
          <w:lang w:val="fr-FR"/>
        </w:rPr>
        <w:t>à l’égard</w:t>
      </w:r>
      <w:r w:rsidRPr="00BC0FED">
        <w:rPr>
          <w:lang w:val="fr-FR"/>
        </w:rPr>
        <w:t xml:space="preserve"> de nombreuses plantes, et </w:t>
      </w:r>
      <w:r w:rsidR="008832A6" w:rsidRPr="00BC0FED">
        <w:rPr>
          <w:lang w:val="fr-FR"/>
        </w:rPr>
        <w:t>a décidé</w:t>
      </w:r>
      <w:r w:rsidRPr="00BC0FED">
        <w:rPr>
          <w:lang w:val="fr-FR"/>
        </w:rPr>
        <w:t xml:space="preserve"> de proposer que le projet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orientations soit</w:t>
      </w:r>
      <w:r w:rsidR="00657C75" w:rsidRPr="00BC0FED">
        <w:rPr>
          <w:lang w:val="fr-FR"/>
        </w:rPr>
        <w:t>,</w:t>
      </w:r>
      <w:r w:rsidRPr="00BC0FED">
        <w:rPr>
          <w:lang w:val="fr-FR"/>
        </w:rPr>
        <w:t xml:space="preserve"> </w:t>
      </w:r>
      <w:r w:rsidR="00657C75" w:rsidRPr="00BC0FED">
        <w:rPr>
          <w:lang w:val="fr-FR"/>
        </w:rPr>
        <w:t xml:space="preserve">en ce qui concernait les méthodes 1 et 2, </w:t>
      </w:r>
      <w:r w:rsidRPr="00BC0FED">
        <w:rPr>
          <w:lang w:val="fr-FR"/>
        </w:rPr>
        <w:t xml:space="preserve">libellé </w:t>
      </w:r>
      <w:r w:rsidR="00657C75" w:rsidRPr="00BC0FED">
        <w:rPr>
          <w:lang w:val="fr-FR"/>
        </w:rPr>
        <w:t>comme proposé par le</w:t>
      </w:r>
      <w:r w:rsidRPr="00BC0FED">
        <w:rPr>
          <w:lang w:val="fr-FR"/>
        </w:rPr>
        <w:t xml:space="preserve"> TWV et </w:t>
      </w:r>
      <w:r w:rsidR="00657C75" w:rsidRPr="00BC0FED">
        <w:rPr>
          <w:lang w:val="fr-FR"/>
        </w:rPr>
        <w:t>le</w:t>
      </w:r>
      <w:r w:rsidRPr="00BC0FED">
        <w:rPr>
          <w:lang w:val="fr-FR"/>
        </w:rPr>
        <w:t> TWF</w:t>
      </w:r>
      <w:r w:rsidR="00657C75" w:rsidRPr="00BC0FED">
        <w:rPr>
          <w:lang w:val="fr-FR"/>
        </w:rPr>
        <w:t>.</w:t>
      </w:r>
    </w:p>
    <w:p w:rsidR="00B91E18" w:rsidRPr="00BC0FED" w:rsidRDefault="00B91E18" w:rsidP="00B30509">
      <w:pPr>
        <w:spacing w:line="360" w:lineRule="auto"/>
        <w:rPr>
          <w:lang w:val="fr-FR"/>
        </w:rPr>
      </w:pPr>
    </w:p>
    <w:p w:rsidR="00B91E18" w:rsidRPr="00BC0FED" w:rsidRDefault="00B91E18" w:rsidP="00B91E18">
      <w:pPr>
        <w:pStyle w:val="Heading3"/>
        <w:rPr>
          <w:lang w:val="fr-FR"/>
        </w:rPr>
      </w:pPr>
      <w:bookmarkStart w:id="11" w:name="_Toc524697868"/>
      <w:r w:rsidRPr="00BC0FED">
        <w:rPr>
          <w:lang w:val="fr-FR"/>
        </w:rPr>
        <w:t>Informations sur les</w:t>
      </w:r>
      <w:r w:rsidRPr="00BC0FED">
        <w:rPr>
          <w:rFonts w:cs="Arial"/>
          <w:lang w:val="fr-FR"/>
        </w:rPr>
        <w:t xml:space="preserve"> critères permettant de choisir la méthode la plus appropriée</w:t>
      </w:r>
      <w:bookmarkEnd w:id="11"/>
    </w:p>
    <w:p w:rsidR="00B91E18" w:rsidRPr="00BC0FED" w:rsidRDefault="00B91E18" w:rsidP="00B91E18">
      <w:pPr>
        <w:tabs>
          <w:tab w:val="left" w:pos="3852"/>
        </w:tabs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snapToGrid w:val="0"/>
          <w:lang w:val="fr-FR"/>
        </w:rPr>
        <w:fldChar w:fldCharType="begin"/>
      </w:r>
      <w:r w:rsidRPr="00BC0FED">
        <w:rPr>
          <w:snapToGrid w:val="0"/>
          <w:lang w:val="fr-FR"/>
        </w:rPr>
        <w:instrText xml:space="preserve"> AUTONUM  </w:instrText>
      </w:r>
      <w:r w:rsidRPr="00BC0FED">
        <w:rPr>
          <w:snapToGrid w:val="0"/>
          <w:lang w:val="fr-FR"/>
        </w:rPr>
        <w:fldChar w:fldCharType="end"/>
      </w:r>
      <w:r w:rsidRPr="00BC0FED">
        <w:rPr>
          <w:snapToGrid w:val="0"/>
          <w:lang w:val="fr-FR"/>
        </w:rPr>
        <w:tab/>
        <w:t>Le TWA a assisté aux exposés ci</w:t>
      </w:r>
      <w:r w:rsidR="002E4035" w:rsidRPr="00BC0FED">
        <w:rPr>
          <w:snapToGrid w:val="0"/>
          <w:lang w:val="fr-FR"/>
        </w:rPr>
        <w:noBreakHyphen/>
      </w:r>
      <w:r w:rsidRPr="00BC0FED">
        <w:rPr>
          <w:snapToGrid w:val="0"/>
          <w:lang w:val="fr-FR"/>
        </w:rPr>
        <w:t>après</w:t>
      </w:r>
      <w:r w:rsidRPr="00BC0FED">
        <w:rPr>
          <w:lang w:val="fr-FR"/>
        </w:rPr>
        <w:t xml:space="preserve"> qui comparaient les effets que les méthodes 1 et </w:t>
      </w:r>
      <w:r w:rsidR="00657C75" w:rsidRPr="00BC0FED">
        <w:rPr>
          <w:lang w:val="fr-FR"/>
        </w:rPr>
        <w:t>3 figurant au document TWP/1/17 </w:t>
      </w:r>
      <w:proofErr w:type="spellStart"/>
      <w:r w:rsidRPr="00BC0FED">
        <w:rPr>
          <w:lang w:val="fr-FR"/>
        </w:rPr>
        <w:t>Rev</w:t>
      </w:r>
      <w:proofErr w:type="spellEnd"/>
      <w:r w:rsidR="00835743" w:rsidRPr="00BC0FED">
        <w:rPr>
          <w:lang w:val="fr-FR"/>
        </w:rPr>
        <w:t xml:space="preserve">. </w:t>
      </w:r>
      <w:proofErr w:type="gramStart"/>
      <w:r w:rsidR="008D2746" w:rsidRPr="00BC0FED">
        <w:rPr>
          <w:lang w:val="fr-FR"/>
        </w:rPr>
        <w:t>pouvaient</w:t>
      </w:r>
      <w:proofErr w:type="gramEnd"/>
      <w:r w:rsidR="00657C75" w:rsidRPr="00BC0FED">
        <w:rPr>
          <w:lang w:val="fr-FR"/>
        </w:rPr>
        <w:t xml:space="preserve"> </w:t>
      </w:r>
      <w:r w:rsidRPr="00BC0FED">
        <w:rPr>
          <w:lang w:val="fr-FR"/>
        </w:rPr>
        <w:t>avoir sur les déci</w:t>
      </w:r>
      <w:r w:rsidR="00657C75" w:rsidRPr="00BC0FED">
        <w:rPr>
          <w:lang w:val="fr-FR"/>
        </w:rPr>
        <w:t>sions relatives à l</w:t>
      </w:r>
      <w:r w:rsidR="00F85D2F" w:rsidRPr="00BC0FED">
        <w:rPr>
          <w:lang w:val="fr-FR"/>
        </w:rPr>
        <w:t>’</w:t>
      </w:r>
      <w:r w:rsidR="00657C75" w:rsidRPr="00BC0FED">
        <w:rPr>
          <w:lang w:val="fr-FR"/>
        </w:rPr>
        <w:t>homogénéité</w:t>
      </w:r>
      <w:r w:rsidRPr="00BC0FED">
        <w:rPr>
          <w:lang w:val="fr-FR"/>
        </w:rPr>
        <w:t xml:space="preserve"> et qui sont reproduits aux annexes des </w:t>
      </w:r>
      <w:r w:rsidR="00F85D2F" w:rsidRPr="00BC0FED">
        <w:rPr>
          <w:lang w:val="fr-FR"/>
        </w:rPr>
        <w:t>documents TW</w:t>
      </w:r>
      <w:r w:rsidRPr="00BC0FED">
        <w:rPr>
          <w:lang w:val="fr-FR"/>
        </w:rPr>
        <w:t>A/46/4 et TWA/46/4 </w:t>
      </w:r>
      <w:proofErr w:type="spellStart"/>
      <w:r w:rsidR="00721B05" w:rsidRPr="00BC0FED">
        <w:rPr>
          <w:lang w:val="fr-FR"/>
        </w:rPr>
        <w:t>Add</w:t>
      </w:r>
      <w:proofErr w:type="spellEnd"/>
      <w:r w:rsidR="00721B05" w:rsidRPr="00BC0FED">
        <w:rPr>
          <w:lang w:val="fr-FR"/>
        </w:rPr>
        <w:t xml:space="preserve">. </w:t>
      </w:r>
      <w:r w:rsidRPr="00BC0FED">
        <w:rPr>
          <w:lang w:val="fr-FR"/>
        </w:rPr>
        <w:t>(</w:t>
      </w:r>
      <w:proofErr w:type="gramStart"/>
      <w:r w:rsidRPr="00BC0FED">
        <w:rPr>
          <w:lang w:val="fr-FR"/>
        </w:rPr>
        <w:t>dans</w:t>
      </w:r>
      <w:proofErr w:type="gramEnd"/>
      <w:r w:rsidRPr="00BC0FED">
        <w:rPr>
          <w:lang w:val="fr-FR"/>
        </w:rPr>
        <w:t xml:space="preserve">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ordre alphabétique)</w:t>
      </w:r>
      <w:r w:rsidR="00F85D2F" w:rsidRPr="00BC0FED">
        <w:rPr>
          <w:lang w:val="fr-FR"/>
        </w:rPr>
        <w:t> :</w:t>
      </w:r>
    </w:p>
    <w:p w:rsidR="00B91E18" w:rsidRPr="00BC0FED" w:rsidRDefault="00B91E18" w:rsidP="00B91E18">
      <w:pPr>
        <w:rPr>
          <w:lang w:val="fr-FR"/>
        </w:rPr>
      </w:pPr>
    </w:p>
    <w:p w:rsidR="00B91E18" w:rsidRPr="009D3491" w:rsidRDefault="00B91E18" w:rsidP="00B91E18">
      <w:pPr>
        <w:pStyle w:val="ListParagraph"/>
        <w:numPr>
          <w:ilvl w:val="0"/>
          <w:numId w:val="1"/>
        </w:numPr>
        <w:spacing w:line="276" w:lineRule="auto"/>
        <w:ind w:left="1134" w:right="567" w:hanging="567"/>
      </w:pPr>
      <w:r w:rsidRPr="00361A76">
        <w:rPr>
          <w:sz w:val="18"/>
        </w:rPr>
        <w:t>“</w:t>
      </w:r>
      <w:r w:rsidRPr="00361A76">
        <w:rPr>
          <w:i/>
          <w:sz w:val="18"/>
        </w:rPr>
        <w:t>Effect of different approaches for the assessment of uniformity by off</w:t>
      </w:r>
      <w:r w:rsidR="002E4035" w:rsidRPr="00361A76">
        <w:rPr>
          <w:i/>
          <w:sz w:val="18"/>
        </w:rPr>
        <w:noBreakHyphen/>
      </w:r>
      <w:r w:rsidRPr="00361A76">
        <w:rPr>
          <w:i/>
          <w:sz w:val="18"/>
        </w:rPr>
        <w:t>types</w:t>
      </w:r>
      <w:r w:rsidR="00F85D2F" w:rsidRPr="00361A76">
        <w:rPr>
          <w:i/>
          <w:sz w:val="18"/>
        </w:rPr>
        <w:t xml:space="preserve"> – </w:t>
      </w:r>
      <w:r w:rsidRPr="00361A76">
        <w:rPr>
          <w:i/>
          <w:sz w:val="18"/>
        </w:rPr>
        <w:t>examples for Barley</w:t>
      </w:r>
      <w:r w:rsidRPr="00361A76">
        <w:rPr>
          <w:sz w:val="18"/>
        </w:rPr>
        <w:t xml:space="preserve">”, </w:t>
      </w:r>
      <w:proofErr w:type="spellStart"/>
      <w:r w:rsidRPr="009D3491">
        <w:rPr>
          <w:sz w:val="18"/>
        </w:rPr>
        <w:t>établi</w:t>
      </w:r>
      <w:proofErr w:type="spellEnd"/>
      <w:r w:rsidRPr="009D3491">
        <w:rPr>
          <w:sz w:val="18"/>
        </w:rPr>
        <w:t xml:space="preserve"> par un expert de </w:t>
      </w:r>
      <w:proofErr w:type="spellStart"/>
      <w:r w:rsidRPr="009D3491">
        <w:rPr>
          <w:sz w:val="18"/>
        </w:rPr>
        <w:t>l</w:t>
      </w:r>
      <w:r w:rsidR="00F85D2F" w:rsidRPr="009D3491">
        <w:rPr>
          <w:sz w:val="18"/>
        </w:rPr>
        <w:t>’</w:t>
      </w:r>
      <w:r w:rsidRPr="009D3491">
        <w:rPr>
          <w:sz w:val="18"/>
        </w:rPr>
        <w:t>Allemagne</w:t>
      </w:r>
      <w:proofErr w:type="spellEnd"/>
      <w:r w:rsidR="008D2746" w:rsidRPr="009D3491">
        <w:rPr>
          <w:sz w:val="18"/>
        </w:rPr>
        <w:t>,</w:t>
      </w:r>
    </w:p>
    <w:p w:rsidR="00B91E18" w:rsidRPr="00361A76" w:rsidRDefault="00B91E18" w:rsidP="00B91E18">
      <w:pPr>
        <w:pStyle w:val="ListParagraph"/>
        <w:numPr>
          <w:ilvl w:val="0"/>
          <w:numId w:val="1"/>
        </w:numPr>
        <w:spacing w:line="276" w:lineRule="auto"/>
        <w:ind w:left="1134" w:right="567" w:hanging="567"/>
      </w:pPr>
      <w:r w:rsidRPr="00361A76">
        <w:rPr>
          <w:snapToGrid w:val="0"/>
          <w:sz w:val="18"/>
        </w:rPr>
        <w:t>“</w:t>
      </w:r>
      <w:r w:rsidRPr="00361A76">
        <w:rPr>
          <w:i/>
          <w:snapToGrid w:val="0"/>
          <w:sz w:val="18"/>
        </w:rPr>
        <w:t>Assessing Uniformity by Off</w:t>
      </w:r>
      <w:r w:rsidR="002E4035" w:rsidRPr="00361A76">
        <w:rPr>
          <w:i/>
          <w:snapToGrid w:val="0"/>
          <w:sz w:val="18"/>
        </w:rPr>
        <w:noBreakHyphen/>
      </w:r>
      <w:r w:rsidRPr="00361A76">
        <w:rPr>
          <w:i/>
          <w:snapToGrid w:val="0"/>
          <w:sz w:val="18"/>
        </w:rPr>
        <w:t>types on the basis of more than one Growing Cycle: examples from the Netherlands</w:t>
      </w:r>
      <w:r w:rsidRPr="00361A76">
        <w:rPr>
          <w:snapToGrid w:val="0"/>
          <w:sz w:val="18"/>
        </w:rPr>
        <w:t xml:space="preserve">”, </w:t>
      </w:r>
      <w:proofErr w:type="spellStart"/>
      <w:r w:rsidRPr="009D3491">
        <w:rPr>
          <w:snapToGrid w:val="0"/>
          <w:sz w:val="18"/>
        </w:rPr>
        <w:t>établi</w:t>
      </w:r>
      <w:proofErr w:type="spellEnd"/>
      <w:r w:rsidRPr="00361A76">
        <w:rPr>
          <w:snapToGrid w:val="0"/>
          <w:sz w:val="18"/>
        </w:rPr>
        <w:t xml:space="preserve"> par un expert des Pays</w:t>
      </w:r>
      <w:r w:rsidR="002E4035" w:rsidRPr="00361A76">
        <w:rPr>
          <w:snapToGrid w:val="0"/>
          <w:sz w:val="18"/>
        </w:rPr>
        <w:noBreakHyphen/>
      </w:r>
      <w:r w:rsidRPr="00361A76">
        <w:rPr>
          <w:snapToGrid w:val="0"/>
          <w:sz w:val="18"/>
        </w:rPr>
        <w:t>Bas</w:t>
      </w:r>
      <w:r w:rsidR="008D2746" w:rsidRPr="00361A76">
        <w:rPr>
          <w:snapToGrid w:val="0"/>
          <w:sz w:val="18"/>
        </w:rPr>
        <w:t>,</w:t>
      </w:r>
    </w:p>
    <w:p w:rsidR="00B91E18" w:rsidRPr="00361A76" w:rsidRDefault="00B91E18" w:rsidP="00B91E18">
      <w:pPr>
        <w:pStyle w:val="ListParagraph"/>
        <w:numPr>
          <w:ilvl w:val="0"/>
          <w:numId w:val="1"/>
        </w:numPr>
        <w:spacing w:line="276" w:lineRule="auto"/>
        <w:ind w:left="1134" w:right="567" w:hanging="567"/>
      </w:pPr>
      <w:r w:rsidRPr="00361A76">
        <w:rPr>
          <w:snapToGrid w:val="0"/>
          <w:sz w:val="18"/>
        </w:rPr>
        <w:t>“</w:t>
      </w:r>
      <w:r w:rsidRPr="00361A76">
        <w:rPr>
          <w:i/>
          <w:snapToGrid w:val="0"/>
          <w:sz w:val="18"/>
        </w:rPr>
        <w:t>Assessing uniformity by off</w:t>
      </w:r>
      <w:r w:rsidR="002E4035" w:rsidRPr="00361A76">
        <w:rPr>
          <w:i/>
          <w:snapToGrid w:val="0"/>
          <w:sz w:val="18"/>
        </w:rPr>
        <w:noBreakHyphen/>
      </w:r>
      <w:r w:rsidRPr="00361A76">
        <w:rPr>
          <w:i/>
          <w:snapToGrid w:val="0"/>
          <w:sz w:val="18"/>
        </w:rPr>
        <w:t>types on the basis of more than one growing cycle in wheat</w:t>
      </w:r>
      <w:r w:rsidRPr="00361A76">
        <w:rPr>
          <w:snapToGrid w:val="0"/>
          <w:sz w:val="18"/>
        </w:rPr>
        <w:t xml:space="preserve">”, </w:t>
      </w:r>
      <w:proofErr w:type="spellStart"/>
      <w:r w:rsidRPr="009D3491">
        <w:rPr>
          <w:snapToGrid w:val="0"/>
          <w:sz w:val="18"/>
        </w:rPr>
        <w:t>établi</w:t>
      </w:r>
      <w:proofErr w:type="spellEnd"/>
      <w:r w:rsidRPr="009D3491">
        <w:rPr>
          <w:snapToGrid w:val="0"/>
          <w:sz w:val="18"/>
        </w:rPr>
        <w:t xml:space="preserve"> par un expert de la </w:t>
      </w:r>
      <w:proofErr w:type="spellStart"/>
      <w:r w:rsidRPr="009D3491">
        <w:rPr>
          <w:snapToGrid w:val="0"/>
          <w:sz w:val="18"/>
        </w:rPr>
        <w:t>Pologne</w:t>
      </w:r>
      <w:proofErr w:type="spellEnd"/>
      <w:r w:rsidR="008D2746" w:rsidRPr="00361A76">
        <w:rPr>
          <w:snapToGrid w:val="0"/>
          <w:sz w:val="18"/>
        </w:rPr>
        <w:t>,</w:t>
      </w:r>
    </w:p>
    <w:p w:rsidR="00B91E18" w:rsidRPr="00B30509" w:rsidRDefault="00B91E18" w:rsidP="00B91E18">
      <w:pPr>
        <w:pStyle w:val="ListParagraph"/>
        <w:numPr>
          <w:ilvl w:val="0"/>
          <w:numId w:val="1"/>
        </w:numPr>
        <w:spacing w:line="276" w:lineRule="auto"/>
        <w:ind w:left="1134" w:right="567" w:hanging="567"/>
      </w:pPr>
      <w:r w:rsidRPr="00361A76">
        <w:rPr>
          <w:snapToGrid w:val="0"/>
          <w:sz w:val="18"/>
        </w:rPr>
        <w:t>“</w:t>
      </w:r>
      <w:r w:rsidRPr="00361A76">
        <w:rPr>
          <w:i/>
          <w:snapToGrid w:val="0"/>
          <w:sz w:val="18"/>
        </w:rPr>
        <w:t>The United Kingdom</w:t>
      </w:r>
      <w:r w:rsidR="00F85D2F" w:rsidRPr="00361A76">
        <w:rPr>
          <w:i/>
          <w:snapToGrid w:val="0"/>
          <w:sz w:val="18"/>
        </w:rPr>
        <w:t>’</w:t>
      </w:r>
      <w:r w:rsidRPr="00361A76">
        <w:rPr>
          <w:i/>
          <w:snapToGrid w:val="0"/>
          <w:sz w:val="18"/>
        </w:rPr>
        <w:t>s Experience with Winter Oilseed Rape (WOSR)</w:t>
      </w:r>
      <w:r w:rsidRPr="00361A76">
        <w:rPr>
          <w:snapToGrid w:val="0"/>
          <w:sz w:val="18"/>
        </w:rPr>
        <w:t xml:space="preserve">”, </w:t>
      </w:r>
      <w:proofErr w:type="spellStart"/>
      <w:r w:rsidR="00B30509" w:rsidRPr="00B30509">
        <w:rPr>
          <w:snapToGrid w:val="0"/>
          <w:sz w:val="18"/>
        </w:rPr>
        <w:t>établi</w:t>
      </w:r>
      <w:proofErr w:type="spellEnd"/>
      <w:r w:rsidR="00B30509" w:rsidRPr="00B30509">
        <w:rPr>
          <w:snapToGrid w:val="0"/>
          <w:sz w:val="18"/>
        </w:rPr>
        <w:t xml:space="preserve"> par </w:t>
      </w:r>
      <w:proofErr w:type="gramStart"/>
      <w:r w:rsidR="00B30509" w:rsidRPr="00B30509">
        <w:rPr>
          <w:snapToGrid w:val="0"/>
          <w:sz w:val="18"/>
        </w:rPr>
        <w:t>un</w:t>
      </w:r>
      <w:proofErr w:type="gramEnd"/>
      <w:r w:rsidR="00B30509" w:rsidRPr="00B30509">
        <w:rPr>
          <w:snapToGrid w:val="0"/>
          <w:sz w:val="18"/>
        </w:rPr>
        <w:t xml:space="preserve"> expert du</w:t>
      </w:r>
      <w:r w:rsidR="00B30509">
        <w:rPr>
          <w:snapToGrid w:val="0"/>
          <w:sz w:val="18"/>
        </w:rPr>
        <w:t> </w:t>
      </w:r>
      <w:proofErr w:type="spellStart"/>
      <w:r w:rsidRPr="00B30509">
        <w:rPr>
          <w:snapToGrid w:val="0"/>
          <w:sz w:val="18"/>
        </w:rPr>
        <w:t>Royaume</w:t>
      </w:r>
      <w:proofErr w:type="spellEnd"/>
      <w:r w:rsidR="002E4035" w:rsidRPr="00B30509">
        <w:rPr>
          <w:snapToGrid w:val="0"/>
          <w:sz w:val="18"/>
        </w:rPr>
        <w:noBreakHyphen/>
      </w:r>
      <w:r w:rsidRPr="00B30509">
        <w:rPr>
          <w:snapToGrid w:val="0"/>
          <w:sz w:val="18"/>
        </w:rPr>
        <w:t>Uni</w:t>
      </w:r>
      <w:r w:rsidR="008D2746" w:rsidRPr="00361A76">
        <w:rPr>
          <w:snapToGrid w:val="0"/>
          <w:sz w:val="18"/>
        </w:rPr>
        <w:t>.</w:t>
      </w:r>
    </w:p>
    <w:p w:rsidR="00B30509" w:rsidRPr="00361A76" w:rsidRDefault="00B30509" w:rsidP="00B30509"/>
    <w:p w:rsidR="00B91E18" w:rsidRPr="00BC0FED" w:rsidRDefault="00B91E18" w:rsidP="00B30509">
      <w:pPr>
        <w:rPr>
          <w:snapToGrid w:val="0"/>
          <w:lang w:val="fr-FR"/>
        </w:rPr>
      </w:pPr>
      <w:r w:rsidRPr="00BC0FED">
        <w:rPr>
          <w:snapToGrid w:val="0"/>
          <w:lang w:val="fr-FR"/>
        </w:rPr>
        <w:fldChar w:fldCharType="begin"/>
      </w:r>
      <w:r w:rsidRPr="00BC0FED">
        <w:rPr>
          <w:snapToGrid w:val="0"/>
          <w:lang w:val="fr-FR"/>
        </w:rPr>
        <w:instrText xml:space="preserve"> AUTONUM  </w:instrText>
      </w:r>
      <w:r w:rsidRPr="00BC0FED">
        <w:rPr>
          <w:snapToGrid w:val="0"/>
          <w:lang w:val="fr-FR"/>
        </w:rPr>
        <w:fldChar w:fldCharType="end"/>
      </w:r>
      <w:r w:rsidRPr="00BC0FED">
        <w:rPr>
          <w:snapToGrid w:val="0"/>
          <w:lang w:val="fr-FR"/>
        </w:rPr>
        <w:tab/>
        <w:t>Le TWA a pris note des méthodes employées pour évaluer l</w:t>
      </w:r>
      <w:r w:rsidR="00F85D2F" w:rsidRPr="00BC0FED">
        <w:rPr>
          <w:snapToGrid w:val="0"/>
          <w:lang w:val="fr-FR"/>
        </w:rPr>
        <w:t>’</w:t>
      </w:r>
      <w:r w:rsidRPr="00BC0FED">
        <w:rPr>
          <w:snapToGrid w:val="0"/>
          <w:lang w:val="fr-FR"/>
        </w:rPr>
        <w:t>homogénéité d</w:t>
      </w:r>
      <w:r w:rsidR="00F85D2F" w:rsidRPr="00BC0FED">
        <w:rPr>
          <w:snapToGrid w:val="0"/>
          <w:lang w:val="fr-FR"/>
        </w:rPr>
        <w:t>’</w:t>
      </w:r>
      <w:r w:rsidRPr="00BC0FED">
        <w:rPr>
          <w:snapToGrid w:val="0"/>
          <w:lang w:val="fr-FR"/>
        </w:rPr>
        <w:t>après les plantes hors</w:t>
      </w:r>
      <w:r w:rsidR="002E4035" w:rsidRPr="00BC0FED">
        <w:rPr>
          <w:snapToGrid w:val="0"/>
          <w:lang w:val="fr-FR"/>
        </w:rPr>
        <w:noBreakHyphen/>
      </w:r>
      <w:r w:rsidRPr="00BC0FED">
        <w:rPr>
          <w:snapToGrid w:val="0"/>
          <w:lang w:val="fr-FR"/>
        </w:rPr>
        <w:t>type en Allemagne et en Pologne pour les céréales, aux Pays</w:t>
      </w:r>
      <w:r w:rsidR="002E4035" w:rsidRPr="00BC0FED">
        <w:rPr>
          <w:snapToGrid w:val="0"/>
          <w:lang w:val="fr-FR"/>
        </w:rPr>
        <w:noBreakHyphen/>
      </w:r>
      <w:r w:rsidRPr="00BC0FED">
        <w:rPr>
          <w:snapToGrid w:val="0"/>
          <w:lang w:val="fr-FR"/>
        </w:rPr>
        <w:t>Bas pour la tomate et au Royaume</w:t>
      </w:r>
      <w:r w:rsidR="002E4035" w:rsidRPr="00BC0FED">
        <w:rPr>
          <w:snapToGrid w:val="0"/>
          <w:lang w:val="fr-FR"/>
        </w:rPr>
        <w:noBreakHyphen/>
      </w:r>
      <w:r w:rsidRPr="00BC0FED">
        <w:rPr>
          <w:snapToGrid w:val="0"/>
          <w:lang w:val="fr-FR"/>
        </w:rPr>
        <w:t>Uni pour le colza.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rFonts w:cs="Arial"/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 TWV et le TWC ont assisté à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 xml:space="preserve">exposé </w:t>
      </w:r>
      <w:r w:rsidR="008D2746" w:rsidRPr="00BC0FED">
        <w:rPr>
          <w:lang w:val="fr-FR"/>
        </w:rPr>
        <w:t>ci</w:t>
      </w:r>
      <w:r w:rsidR="002E4035" w:rsidRPr="00BC0FED">
        <w:rPr>
          <w:lang w:val="fr-FR"/>
        </w:rPr>
        <w:noBreakHyphen/>
      </w:r>
      <w:r w:rsidR="008D2746" w:rsidRPr="00BC0FED">
        <w:rPr>
          <w:lang w:val="fr-FR"/>
        </w:rPr>
        <w:t>après</w:t>
      </w:r>
      <w:r w:rsidRPr="00BC0FED">
        <w:rPr>
          <w:lang w:val="fr-FR"/>
        </w:rPr>
        <w:t xml:space="preserve">, qui est reproduit à </w:t>
      </w:r>
      <w:r w:rsidR="008D2746" w:rsidRPr="00BC0FED">
        <w:rPr>
          <w:rFonts w:cs="Arial"/>
          <w:lang w:val="fr-FR"/>
        </w:rPr>
        <w:t>l</w:t>
      </w:r>
      <w:r w:rsidR="00F85D2F" w:rsidRPr="00BC0FED">
        <w:rPr>
          <w:rFonts w:cs="Arial"/>
          <w:lang w:val="fr-FR"/>
        </w:rPr>
        <w:t>’</w:t>
      </w:r>
      <w:r w:rsidR="008D2746" w:rsidRPr="00BC0FED">
        <w:rPr>
          <w:rFonts w:cs="Arial"/>
          <w:lang w:val="fr-FR"/>
        </w:rPr>
        <w:t xml:space="preserve">annexe des </w:t>
      </w:r>
      <w:r w:rsidR="00F85D2F" w:rsidRPr="00BC0FED">
        <w:rPr>
          <w:rFonts w:cs="Arial"/>
          <w:lang w:val="fr-FR"/>
        </w:rPr>
        <w:t>documents</w:t>
      </w:r>
      <w:r w:rsidR="002E4035" w:rsidRPr="00BC0FED">
        <w:rPr>
          <w:rFonts w:cs="Arial"/>
          <w:lang w:val="fr-FR"/>
        </w:rPr>
        <w:t> </w:t>
      </w:r>
      <w:r w:rsidR="00F85D2F" w:rsidRPr="00BC0FED">
        <w:rPr>
          <w:rFonts w:cs="Arial"/>
          <w:lang w:val="fr-FR"/>
        </w:rPr>
        <w:t>TW</w:t>
      </w:r>
      <w:r w:rsidRPr="00BC0FED">
        <w:rPr>
          <w:rFonts w:cs="Arial"/>
          <w:lang w:val="fr-FR"/>
        </w:rPr>
        <w:t xml:space="preserve">V/51/5 et </w:t>
      </w:r>
      <w:r w:rsidRPr="00BC0FED">
        <w:rPr>
          <w:lang w:val="fr-FR"/>
        </w:rPr>
        <w:t>TWC/35/8</w:t>
      </w:r>
      <w:r w:rsidR="00F85D2F" w:rsidRPr="00BC0FED">
        <w:rPr>
          <w:rFonts w:cs="Arial"/>
          <w:lang w:val="fr-FR"/>
        </w:rPr>
        <w:t> :</w:t>
      </w:r>
    </w:p>
    <w:p w:rsidR="00B91E18" w:rsidRPr="00BC0FED" w:rsidRDefault="00B91E18" w:rsidP="00B91E18">
      <w:pPr>
        <w:rPr>
          <w:rFonts w:cs="Arial"/>
          <w:lang w:val="fr-FR"/>
        </w:rPr>
      </w:pPr>
    </w:p>
    <w:p w:rsidR="00B91E18" w:rsidRPr="00361A76" w:rsidRDefault="00B91E18" w:rsidP="00B91E18">
      <w:pPr>
        <w:pStyle w:val="ListParagraph"/>
        <w:numPr>
          <w:ilvl w:val="0"/>
          <w:numId w:val="1"/>
        </w:numPr>
        <w:spacing w:line="276" w:lineRule="auto"/>
        <w:ind w:left="1134" w:right="567" w:hanging="567"/>
        <w:rPr>
          <w:snapToGrid w:val="0"/>
          <w:sz w:val="18"/>
        </w:rPr>
      </w:pPr>
      <w:r w:rsidRPr="00361A76">
        <w:rPr>
          <w:snapToGrid w:val="0"/>
          <w:sz w:val="18"/>
        </w:rPr>
        <w:t>“</w:t>
      </w:r>
      <w:r w:rsidRPr="00361A76">
        <w:rPr>
          <w:i/>
          <w:snapToGrid w:val="0"/>
          <w:sz w:val="18"/>
        </w:rPr>
        <w:t>Assessing Uniformity by Off</w:t>
      </w:r>
      <w:r w:rsidR="002E4035" w:rsidRPr="00361A76">
        <w:rPr>
          <w:i/>
          <w:snapToGrid w:val="0"/>
          <w:sz w:val="18"/>
        </w:rPr>
        <w:noBreakHyphen/>
      </w:r>
      <w:r w:rsidRPr="00361A76">
        <w:rPr>
          <w:i/>
          <w:snapToGrid w:val="0"/>
          <w:sz w:val="18"/>
        </w:rPr>
        <w:t>types on the Basis of More than One Growing Cycle:</w:t>
      </w:r>
      <w:r w:rsidR="00835743" w:rsidRPr="00361A76">
        <w:rPr>
          <w:i/>
          <w:snapToGrid w:val="0"/>
          <w:sz w:val="18"/>
        </w:rPr>
        <w:t xml:space="preserve"> </w:t>
      </w:r>
      <w:r w:rsidRPr="00361A76">
        <w:rPr>
          <w:i/>
          <w:snapToGrid w:val="0"/>
          <w:sz w:val="18"/>
        </w:rPr>
        <w:t>examples from the Netherlands</w:t>
      </w:r>
      <w:r w:rsidRPr="00361A76">
        <w:rPr>
          <w:snapToGrid w:val="0"/>
          <w:sz w:val="18"/>
        </w:rPr>
        <w:t xml:space="preserve">” </w:t>
      </w:r>
      <w:r w:rsidRPr="004070B1">
        <w:rPr>
          <w:snapToGrid w:val="0"/>
          <w:sz w:val="18"/>
        </w:rPr>
        <w:t>étab</w:t>
      </w:r>
      <w:r w:rsidR="008D2746" w:rsidRPr="004070B1">
        <w:rPr>
          <w:snapToGrid w:val="0"/>
          <w:sz w:val="18"/>
        </w:rPr>
        <w:t>li</w:t>
      </w:r>
      <w:r w:rsidR="008D2746" w:rsidRPr="00361A76">
        <w:rPr>
          <w:snapToGrid w:val="0"/>
          <w:sz w:val="18"/>
        </w:rPr>
        <w:t xml:space="preserve"> par </w:t>
      </w:r>
      <w:proofErr w:type="gramStart"/>
      <w:r w:rsidR="008D2746" w:rsidRPr="00361A76">
        <w:rPr>
          <w:snapToGrid w:val="0"/>
          <w:sz w:val="18"/>
        </w:rPr>
        <w:t>un</w:t>
      </w:r>
      <w:proofErr w:type="gramEnd"/>
      <w:r w:rsidR="008D2746" w:rsidRPr="00361A76">
        <w:rPr>
          <w:snapToGrid w:val="0"/>
          <w:sz w:val="18"/>
        </w:rPr>
        <w:t xml:space="preserve"> expert des Pays</w:t>
      </w:r>
      <w:r w:rsidR="002E4035" w:rsidRPr="00361A76">
        <w:rPr>
          <w:snapToGrid w:val="0"/>
          <w:sz w:val="18"/>
        </w:rPr>
        <w:noBreakHyphen/>
      </w:r>
      <w:r w:rsidR="008D2746" w:rsidRPr="00361A76">
        <w:rPr>
          <w:snapToGrid w:val="0"/>
          <w:sz w:val="18"/>
        </w:rPr>
        <w:t>Bas.</w:t>
      </w:r>
    </w:p>
    <w:p w:rsidR="00B91E18" w:rsidRPr="004070B1" w:rsidRDefault="00B91E18" w:rsidP="00B91E18">
      <w:pPr>
        <w:rPr>
          <w:rFonts w:cs="Arial"/>
        </w:rPr>
      </w:pPr>
    </w:p>
    <w:p w:rsidR="00B91E18" w:rsidRPr="00BC0FED" w:rsidRDefault="00B91E18" w:rsidP="00B91E18">
      <w:pPr>
        <w:rPr>
          <w:snapToGrid w:val="0"/>
          <w:lang w:val="fr-FR"/>
        </w:rPr>
      </w:pPr>
      <w:r w:rsidRPr="00BC0FED">
        <w:rPr>
          <w:snapToGrid w:val="0"/>
          <w:lang w:val="fr-FR"/>
        </w:rPr>
        <w:fldChar w:fldCharType="begin"/>
      </w:r>
      <w:r w:rsidRPr="00BC0FED">
        <w:rPr>
          <w:snapToGrid w:val="0"/>
          <w:lang w:val="fr-FR"/>
        </w:rPr>
        <w:instrText xml:space="preserve"> AUTONUM  </w:instrText>
      </w:r>
      <w:r w:rsidRPr="00BC0FED">
        <w:rPr>
          <w:snapToGrid w:val="0"/>
          <w:lang w:val="fr-FR"/>
        </w:rPr>
        <w:fldChar w:fldCharType="end"/>
      </w:r>
      <w:r w:rsidRPr="00BC0FED">
        <w:rPr>
          <w:snapToGrid w:val="0"/>
          <w:lang w:val="fr-FR"/>
        </w:rPr>
        <w:tab/>
        <w:t>Le TWV est convenu de rappeler que, dans le domaine des plantes potagères, la méthode 1 était la plus couramment utilisée.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 TWC est convenu que dans certains cas, les différentes méthodes utilisées pour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évaluation des plantes hors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type sur la base de plusieurs cycles de végétation produisa</w:t>
      </w:r>
      <w:r w:rsidR="00CF58A6" w:rsidRPr="00BC0FED">
        <w:rPr>
          <w:lang w:val="fr-FR"/>
        </w:rPr>
        <w:t>ient des résultats différen</w:t>
      </w:r>
      <w:r w:rsidR="005F032D" w:rsidRPr="00BC0FED">
        <w:rPr>
          <w:lang w:val="fr-FR"/>
        </w:rPr>
        <w:t>ts.  Le</w:t>
      </w:r>
      <w:r w:rsidRPr="00BC0FED">
        <w:rPr>
          <w:lang w:val="fr-FR"/>
        </w:rPr>
        <w:t> TWC est convenu qu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une réduction de la taille des échantillons et du nombre de plante</w:t>
      </w:r>
      <w:r w:rsidR="00CD5DBD" w:rsidRPr="00BC0FED">
        <w:rPr>
          <w:lang w:val="fr-FR"/>
        </w:rPr>
        <w:t>s hors</w:t>
      </w:r>
      <w:r w:rsidR="002E4035" w:rsidRPr="00BC0FED">
        <w:rPr>
          <w:lang w:val="fr-FR"/>
        </w:rPr>
        <w:noBreakHyphen/>
      </w:r>
      <w:r w:rsidR="00CD5DBD" w:rsidRPr="00BC0FED">
        <w:rPr>
          <w:lang w:val="fr-FR"/>
        </w:rPr>
        <w:t>type au</w:t>
      </w:r>
      <w:r w:rsidR="00CF58A6" w:rsidRPr="00BC0FED">
        <w:rPr>
          <w:lang w:val="fr-FR"/>
        </w:rPr>
        <w:t>torisé (</w:t>
      </w:r>
      <w:r w:rsidR="00835743" w:rsidRPr="00BC0FED">
        <w:rPr>
          <w:lang w:val="fr-FR"/>
        </w:rPr>
        <w:t>p. ex.</w:t>
      </w:r>
      <w:r w:rsidR="00206F75" w:rsidRPr="00BC0FED">
        <w:rPr>
          <w:lang w:val="fr-FR"/>
        </w:rPr>
        <w:t> </w:t>
      </w:r>
      <w:r w:rsidRPr="00BC0FED">
        <w:rPr>
          <w:lang w:val="fr-FR"/>
        </w:rPr>
        <w:t xml:space="preserve">plantes potagères) permettait de mettre en évidence des cas limites où des résultats différents pouvaient être obtenus </w:t>
      </w:r>
      <w:r w:rsidR="00CD5DBD" w:rsidRPr="00BC0FED">
        <w:rPr>
          <w:lang w:val="fr-FR"/>
        </w:rPr>
        <w:t>au moyens des différentes</w:t>
      </w:r>
      <w:r w:rsidR="00CF58A6" w:rsidRPr="00BC0FED">
        <w:rPr>
          <w:lang w:val="fr-FR"/>
        </w:rPr>
        <w:t xml:space="preserve"> méthodes.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 xml:space="preserve">Le TWC est convenu que les différents résultats obtenus </w:t>
      </w:r>
      <w:r w:rsidR="00CD5DBD" w:rsidRPr="00BC0FED">
        <w:rPr>
          <w:lang w:val="fr-FR"/>
        </w:rPr>
        <w:t>au moyen des différentes</w:t>
      </w:r>
      <w:r w:rsidRPr="00BC0FED">
        <w:rPr>
          <w:lang w:val="fr-FR"/>
        </w:rPr>
        <w:t xml:space="preserve"> méthodes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évaluation des plantes hors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type sur la base de plusieurs cycles de végétation s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expliquaient en partie par les différentes probabilités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erreur</w:t>
      </w:r>
      <w:r w:rsidR="00EE1FDF" w:rsidRPr="00BC0FED">
        <w:rPr>
          <w:lang w:val="fr-FR"/>
        </w:rPr>
        <w:t>s</w:t>
      </w:r>
      <w:r w:rsidRPr="00BC0FED">
        <w:rPr>
          <w:lang w:val="fr-FR"/>
        </w:rPr>
        <w:t xml:space="preserve"> de type I et de type </w:t>
      </w:r>
      <w:r w:rsidR="00CF58A6" w:rsidRPr="00BC0FED">
        <w:rPr>
          <w:lang w:val="fr-FR"/>
        </w:rPr>
        <w:t>II associées à chaque méthode.</w:t>
      </w: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lang w:val="fr-FR"/>
        </w:rPr>
        <w:lastRenderedPageBreak/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 TWC est convenu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inviter les experts de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Allemagne, du Royaume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Uni et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autres membres de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 xml:space="preserve">Union à présenter des documents </w:t>
      </w:r>
      <w:r w:rsidR="00CF58A6" w:rsidRPr="00BC0FED">
        <w:rPr>
          <w:lang w:val="fr-FR"/>
        </w:rPr>
        <w:t>concernant</w:t>
      </w:r>
      <w:r w:rsidRPr="00BC0FED">
        <w:rPr>
          <w:lang w:val="fr-FR"/>
        </w:rPr>
        <w:t xml:space="preserve">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analyse des probabilités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erreur associées à chaque méthode, pour examen à sa trente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six</w:t>
      </w:r>
      <w:r w:rsidR="00F85D2F" w:rsidRPr="00BC0FED">
        <w:rPr>
          <w:lang w:val="fr-FR"/>
        </w:rPr>
        <w:t>ième session</w:t>
      </w:r>
      <w:r w:rsidRPr="00BC0FED">
        <w:rPr>
          <w:lang w:val="fr-FR"/>
        </w:rPr>
        <w:t>.</w:t>
      </w:r>
    </w:p>
    <w:p w:rsidR="00B91E18" w:rsidRDefault="00B91E18" w:rsidP="00B91E18">
      <w:pPr>
        <w:rPr>
          <w:lang w:val="fr-FR"/>
        </w:rPr>
      </w:pPr>
    </w:p>
    <w:p w:rsidR="00B30509" w:rsidRPr="00BC0FED" w:rsidRDefault="00B30509" w:rsidP="00B91E18">
      <w:pPr>
        <w:rPr>
          <w:lang w:val="fr-FR"/>
        </w:rPr>
      </w:pPr>
    </w:p>
    <w:p w:rsidR="00BA0125" w:rsidRPr="00BC0FED" w:rsidRDefault="00BA0125" w:rsidP="00BA0125">
      <w:pPr>
        <w:rPr>
          <w:lang w:val="fr-FR"/>
        </w:rPr>
      </w:pPr>
    </w:p>
    <w:p w:rsidR="00BA0125" w:rsidRPr="00BC0FED" w:rsidRDefault="00BA0125" w:rsidP="00291A65">
      <w:pPr>
        <w:pStyle w:val="Heading1"/>
        <w:keepLines/>
        <w:rPr>
          <w:lang w:val="fr-FR"/>
        </w:rPr>
      </w:pPr>
      <w:bookmarkStart w:id="12" w:name="_Toc524697869"/>
      <w:r w:rsidRPr="00BC0FED">
        <w:rPr>
          <w:lang w:val="fr-FR"/>
        </w:rPr>
        <w:t>Faits nouveaux intervenus en 2018</w:t>
      </w:r>
      <w:bookmarkEnd w:id="12"/>
    </w:p>
    <w:p w:rsidR="00BA0125" w:rsidRPr="00BC0FED" w:rsidRDefault="00BA0125" w:rsidP="00291A65">
      <w:pPr>
        <w:keepNext/>
        <w:keepLines/>
        <w:rPr>
          <w:lang w:val="fr-FR"/>
        </w:rPr>
      </w:pPr>
    </w:p>
    <w:p w:rsidR="00BA0125" w:rsidRPr="00BC0FED" w:rsidRDefault="00BA0125" w:rsidP="00633E35">
      <w:pPr>
        <w:pStyle w:val="Heading2"/>
        <w:keepLines/>
        <w:rPr>
          <w:lang w:val="fr-FR"/>
        </w:rPr>
      </w:pPr>
      <w:bookmarkStart w:id="13" w:name="_Toc524697870"/>
      <w:r w:rsidRPr="00BC0FED">
        <w:rPr>
          <w:lang w:val="fr-FR"/>
        </w:rPr>
        <w:t xml:space="preserve">Comité de rédaction </w:t>
      </w:r>
      <w:r w:rsidR="00633E35" w:rsidRPr="00BC0FED">
        <w:rPr>
          <w:lang w:val="fr-FR"/>
        </w:rPr>
        <w:t>élargi</w:t>
      </w:r>
      <w:bookmarkEnd w:id="13"/>
    </w:p>
    <w:p w:rsidR="003851A9" w:rsidRPr="00BC0FED" w:rsidRDefault="003851A9" w:rsidP="00291A65">
      <w:pPr>
        <w:keepNext/>
        <w:keepLines/>
        <w:rPr>
          <w:iCs/>
          <w:lang w:val="fr-FR"/>
        </w:rPr>
      </w:pPr>
    </w:p>
    <w:p w:rsidR="003851A9" w:rsidRPr="00BC0FED" w:rsidRDefault="003851A9" w:rsidP="00291A65">
      <w:pPr>
        <w:keepNext/>
        <w:keepLines/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À sa trente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quatr</w:t>
      </w:r>
      <w:r w:rsidR="00F85D2F" w:rsidRPr="00BC0FED">
        <w:rPr>
          <w:lang w:val="fr-FR"/>
        </w:rPr>
        <w:t>ième session</w:t>
      </w:r>
      <w:r w:rsidRPr="00BC0FED">
        <w:rPr>
          <w:lang w:val="fr-FR"/>
        </w:rPr>
        <w:t xml:space="preserve"> extraordinaire tenue à Genève le 6 avril 2017, le Conseil a décidé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organiser une seule série de sessions à partir de 2018, en octobre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novembre (voir les paragraphes 12 à 14 du document C(</w:t>
      </w:r>
      <w:proofErr w:type="spellStart"/>
      <w:r w:rsidRPr="00BC0FED">
        <w:rPr>
          <w:lang w:val="fr-FR"/>
        </w:rPr>
        <w:t>Extr</w:t>
      </w:r>
      <w:proofErr w:type="spellEnd"/>
      <w:proofErr w:type="gramStart"/>
      <w:r w:rsidRPr="00BC0FED">
        <w:rPr>
          <w:lang w:val="fr-FR"/>
        </w:rPr>
        <w:t>.)/</w:t>
      </w:r>
      <w:proofErr w:type="gramEnd"/>
      <w:r w:rsidRPr="00BC0FED">
        <w:rPr>
          <w:lang w:val="fr-FR"/>
        </w:rPr>
        <w:t>34/6 “Compte rendu des décisions”)</w:t>
      </w:r>
      <w:r w:rsidR="00835743" w:rsidRPr="00BC0FED">
        <w:rPr>
          <w:lang w:val="fr-FR"/>
        </w:rPr>
        <w:t xml:space="preserve">.  </w:t>
      </w:r>
      <w:r w:rsidRPr="00BC0FED">
        <w:rPr>
          <w:lang w:val="fr-FR"/>
        </w:rPr>
        <w:t>À partir de 2018, les réunions du</w:t>
      </w:r>
      <w:r w:rsidR="00F85D2F" w:rsidRPr="00BC0FED">
        <w:rPr>
          <w:lang w:val="fr-FR"/>
        </w:rPr>
        <w:t> TC</w:t>
      </w:r>
      <w:r w:rsidRPr="00BC0FED">
        <w:rPr>
          <w:lang w:val="fr-FR"/>
        </w:rPr>
        <w:t xml:space="preserve"> qui se tenaient en mars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avril auront lieu en octobre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novemb</w:t>
      </w:r>
      <w:r w:rsidR="005F032D" w:rsidRPr="00BC0FED">
        <w:rPr>
          <w:lang w:val="fr-FR"/>
        </w:rPr>
        <w:t>re.  Le</w:t>
      </w:r>
      <w:r w:rsidR="00F85D2F" w:rsidRPr="00BC0FED">
        <w:rPr>
          <w:lang w:val="fr-FR"/>
        </w:rPr>
        <w:t> TC</w:t>
      </w:r>
      <w:r w:rsidR="002E4035" w:rsidRPr="00BC0FED">
        <w:rPr>
          <w:lang w:val="fr-FR"/>
        </w:rPr>
        <w:noBreakHyphen/>
      </w:r>
      <w:r w:rsidR="00F85D2F" w:rsidRPr="00BC0FED">
        <w:rPr>
          <w:lang w:val="fr-FR"/>
        </w:rPr>
        <w:t>EDC</w:t>
      </w:r>
      <w:r w:rsidR="00B30509">
        <w:rPr>
          <w:lang w:val="fr-FR"/>
        </w:rPr>
        <w:t xml:space="preserve"> se réunira deux </w:t>
      </w:r>
      <w:r w:rsidRPr="00BC0FED">
        <w:rPr>
          <w:lang w:val="fr-FR"/>
        </w:rPr>
        <w:t xml:space="preserve">fois par </w:t>
      </w:r>
      <w:proofErr w:type="gramStart"/>
      <w:r w:rsidRPr="00BC0FED">
        <w:rPr>
          <w:lang w:val="fr-FR"/>
        </w:rPr>
        <w:t>an</w:t>
      </w:r>
      <w:r w:rsidR="00835743" w:rsidRPr="00BC0FED">
        <w:rPr>
          <w:lang w:val="fr-FR"/>
        </w:rPr>
        <w:t xml:space="preserve">;  </w:t>
      </w:r>
      <w:r w:rsidR="00B30509">
        <w:rPr>
          <w:lang w:val="fr-FR"/>
        </w:rPr>
        <w:t>une</w:t>
      </w:r>
      <w:proofErr w:type="gramEnd"/>
      <w:r w:rsidR="00B30509">
        <w:rPr>
          <w:lang w:val="fr-FR"/>
        </w:rPr>
        <w:t xml:space="preserve"> fois en </w:t>
      </w:r>
      <w:r w:rsidRPr="00BC0FED">
        <w:rPr>
          <w:lang w:val="fr-FR"/>
        </w:rPr>
        <w:t>mars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avril et une fois dans le cadre des sessions du</w:t>
      </w:r>
      <w:r w:rsidR="00F85D2F" w:rsidRPr="00BC0FED">
        <w:rPr>
          <w:lang w:val="fr-FR"/>
        </w:rPr>
        <w:t> TC</w:t>
      </w:r>
      <w:r w:rsidRPr="00BC0FED">
        <w:rPr>
          <w:lang w:val="fr-FR"/>
        </w:rPr>
        <w:t xml:space="preserve"> plus tard dans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année.</w:t>
      </w:r>
    </w:p>
    <w:p w:rsidR="003851A9" w:rsidRPr="00BC0FED" w:rsidRDefault="003851A9" w:rsidP="003851A9">
      <w:pPr>
        <w:rPr>
          <w:lang w:val="fr-FR"/>
        </w:rPr>
      </w:pPr>
    </w:p>
    <w:p w:rsidR="003851A9" w:rsidRPr="00BC0FED" w:rsidRDefault="003851A9" w:rsidP="003851A9">
      <w:pPr>
        <w:rPr>
          <w:iCs/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 Conseil a décidé, sur recommandation du Comité consultatif,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adopter les propositions for</w:t>
      </w:r>
      <w:r w:rsidR="00CF58A6" w:rsidRPr="00BC0FED">
        <w:rPr>
          <w:lang w:val="fr-FR"/>
        </w:rPr>
        <w:t>mulées par le</w:t>
      </w:r>
      <w:r w:rsidR="00F85D2F" w:rsidRPr="00BC0FED">
        <w:rPr>
          <w:lang w:val="fr-FR"/>
        </w:rPr>
        <w:t> TC</w:t>
      </w:r>
      <w:r w:rsidR="00CF58A6" w:rsidRPr="00BC0FED">
        <w:rPr>
          <w:lang w:val="fr-FR"/>
        </w:rPr>
        <w:t xml:space="preserve"> à sa cinquante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trois</w:t>
      </w:r>
      <w:r w:rsidR="00F85D2F" w:rsidRPr="00BC0FED">
        <w:rPr>
          <w:lang w:val="fr-FR"/>
        </w:rPr>
        <w:t>ième session</w:t>
      </w:r>
      <w:r w:rsidRPr="00BC0FED">
        <w:rPr>
          <w:lang w:val="fr-FR"/>
        </w:rPr>
        <w:t>, de prendre des mesures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urgence durant la période de transition précédant la cinquante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quatr</w:t>
      </w:r>
      <w:r w:rsidR="00F85D2F" w:rsidRPr="00BC0FED">
        <w:rPr>
          <w:lang w:val="fr-FR"/>
        </w:rPr>
        <w:t>ième session</w:t>
      </w:r>
      <w:r w:rsidRPr="00BC0FED">
        <w:rPr>
          <w:lang w:val="fr-FR"/>
        </w:rPr>
        <w:t xml:space="preserve"> du</w:t>
      </w:r>
      <w:r w:rsidR="00F85D2F" w:rsidRPr="00BC0FED">
        <w:rPr>
          <w:lang w:val="fr-FR"/>
        </w:rPr>
        <w:t> TC</w:t>
      </w:r>
      <w:r w:rsidRPr="00BC0FED">
        <w:rPr>
          <w:lang w:val="fr-FR"/>
        </w:rPr>
        <w:t xml:space="preserve"> qui se tiendra en octobre 2018</w:t>
      </w:r>
      <w:r w:rsidR="00835743" w:rsidRPr="00BC0FED">
        <w:rPr>
          <w:lang w:val="fr-FR"/>
        </w:rPr>
        <w:t xml:space="preserve">;  </w:t>
      </w:r>
      <w:r w:rsidRPr="00BC0FED">
        <w:rPr>
          <w:lang w:val="fr-FR"/>
        </w:rPr>
        <w:t>p</w:t>
      </w:r>
      <w:r w:rsidRPr="00BC0FED">
        <w:rPr>
          <w:iCs/>
          <w:lang w:val="fr-FR"/>
        </w:rPr>
        <w:t xml:space="preserve">our les </w:t>
      </w:r>
      <w:r w:rsidR="00F85D2F" w:rsidRPr="00BC0FED">
        <w:rPr>
          <w:iCs/>
          <w:lang w:val="fr-FR"/>
        </w:rPr>
        <w:t>documents TG</w:t>
      </w:r>
      <w:r w:rsidRPr="00BC0FED">
        <w:rPr>
          <w:iCs/>
          <w:lang w:val="fr-FR"/>
        </w:rPr>
        <w:t>P, le</w:t>
      </w:r>
      <w:r w:rsidR="00F85D2F" w:rsidRPr="00BC0FED">
        <w:rPr>
          <w:iCs/>
          <w:lang w:val="fr-FR"/>
        </w:rPr>
        <w:t> TC</w:t>
      </w:r>
      <w:r w:rsidR="002E4035" w:rsidRPr="00BC0FED">
        <w:rPr>
          <w:iCs/>
          <w:lang w:val="fr-FR"/>
        </w:rPr>
        <w:noBreakHyphen/>
      </w:r>
      <w:r w:rsidR="00F85D2F" w:rsidRPr="00BC0FED">
        <w:rPr>
          <w:iCs/>
          <w:lang w:val="fr-FR"/>
        </w:rPr>
        <w:t>EDC</w:t>
      </w:r>
      <w:r w:rsidRPr="00BC0FED">
        <w:rPr>
          <w:iCs/>
          <w:lang w:val="fr-FR"/>
        </w:rPr>
        <w:t xml:space="preserve"> synthétisera les observations faites par les TWP à leurs sessions de 2017 et, en l</w:t>
      </w:r>
      <w:r w:rsidR="00F85D2F" w:rsidRPr="00BC0FED">
        <w:rPr>
          <w:iCs/>
          <w:lang w:val="fr-FR"/>
        </w:rPr>
        <w:t>’</w:t>
      </w:r>
      <w:r w:rsidRPr="00BC0FED">
        <w:rPr>
          <w:iCs/>
          <w:lang w:val="fr-FR"/>
        </w:rPr>
        <w:t xml:space="preserve">absence de consensus entre les TWP, il élaborera des propositions pour un examen ultérieur par les TWP à leurs sessions de 2018 </w:t>
      </w:r>
      <w:r w:rsidRPr="00BC0FED">
        <w:rPr>
          <w:lang w:val="fr-FR"/>
        </w:rPr>
        <w:t>(voir les paragraphes 12 à 14 du document C(</w:t>
      </w:r>
      <w:proofErr w:type="spellStart"/>
      <w:r w:rsidRPr="00BC0FED">
        <w:rPr>
          <w:lang w:val="fr-FR"/>
        </w:rPr>
        <w:t>Extr</w:t>
      </w:r>
      <w:proofErr w:type="spellEnd"/>
      <w:r w:rsidRPr="00BC0FED">
        <w:rPr>
          <w:lang w:val="fr-FR"/>
        </w:rPr>
        <w:t>.)/34/6 “Compte rendu des décisions”)</w:t>
      </w:r>
      <w:r w:rsidR="00CF58A6" w:rsidRPr="00BC0FED">
        <w:rPr>
          <w:iCs/>
          <w:lang w:val="fr-FR"/>
        </w:rPr>
        <w:t>.</w:t>
      </w:r>
    </w:p>
    <w:p w:rsidR="003851A9" w:rsidRPr="00BC0FED" w:rsidRDefault="003851A9" w:rsidP="00804655">
      <w:pPr>
        <w:rPr>
          <w:lang w:val="fr-FR"/>
        </w:rPr>
      </w:pPr>
    </w:p>
    <w:p w:rsidR="00804655" w:rsidRPr="00BC0FED" w:rsidRDefault="00804655" w:rsidP="00804655">
      <w:pPr>
        <w:rPr>
          <w:rFonts w:cs="Arial"/>
          <w:bCs/>
          <w:snapToGrid w:val="0"/>
          <w:lang w:val="fr-FR"/>
        </w:rPr>
      </w:pPr>
      <w:r w:rsidRPr="00BC0FED">
        <w:rPr>
          <w:rFonts w:cs="Arial"/>
          <w:bCs/>
          <w:snapToGrid w:val="0"/>
          <w:lang w:val="fr-FR"/>
        </w:rPr>
        <w:fldChar w:fldCharType="begin"/>
      </w:r>
      <w:r w:rsidRPr="00BC0FED">
        <w:rPr>
          <w:rFonts w:cs="Arial"/>
          <w:bCs/>
          <w:snapToGrid w:val="0"/>
          <w:lang w:val="fr-FR"/>
        </w:rPr>
        <w:instrText xml:space="preserve"> AUTONUM  </w:instrText>
      </w:r>
      <w:r w:rsidRPr="00BC0FED">
        <w:rPr>
          <w:rFonts w:cs="Arial"/>
          <w:bCs/>
          <w:snapToGrid w:val="0"/>
          <w:lang w:val="fr-FR"/>
        </w:rPr>
        <w:fldChar w:fldCharType="end"/>
      </w:r>
      <w:r w:rsidRPr="00BC0FED">
        <w:rPr>
          <w:rFonts w:cs="Arial"/>
          <w:bCs/>
          <w:snapToGrid w:val="0"/>
          <w:lang w:val="fr-FR"/>
        </w:rPr>
        <w:tab/>
        <w:t>À</w:t>
      </w:r>
      <w:r w:rsidR="00BA0125" w:rsidRPr="00BC0FED">
        <w:rPr>
          <w:rFonts w:cs="Arial"/>
          <w:bCs/>
          <w:snapToGrid w:val="0"/>
          <w:lang w:val="fr-FR"/>
        </w:rPr>
        <w:t xml:space="preserve"> sa réunion tenue à Genève les</w:t>
      </w:r>
      <w:r w:rsidR="009D3491">
        <w:rPr>
          <w:rFonts w:cs="Arial"/>
          <w:bCs/>
          <w:snapToGrid w:val="0"/>
          <w:lang w:val="fr-FR"/>
        </w:rPr>
        <w:t xml:space="preserve"> </w:t>
      </w:r>
      <w:r w:rsidR="00BA0125" w:rsidRPr="00BC0FED">
        <w:rPr>
          <w:rFonts w:cs="Arial"/>
          <w:bCs/>
          <w:snapToGrid w:val="0"/>
          <w:lang w:val="fr-FR"/>
        </w:rPr>
        <w:t>26 et 27</w:t>
      </w:r>
      <w:r w:rsidR="009D3491">
        <w:rPr>
          <w:rFonts w:cs="Arial"/>
          <w:bCs/>
          <w:snapToGrid w:val="0"/>
          <w:lang w:val="fr-FR"/>
        </w:rPr>
        <w:t xml:space="preserve"> </w:t>
      </w:r>
      <w:r w:rsidR="00BA0125" w:rsidRPr="00BC0FED">
        <w:rPr>
          <w:rFonts w:cs="Arial"/>
          <w:bCs/>
          <w:snapToGrid w:val="0"/>
          <w:lang w:val="fr-FR"/>
        </w:rPr>
        <w:t>mars</w:t>
      </w:r>
      <w:r w:rsidR="009D3491">
        <w:rPr>
          <w:rFonts w:cs="Arial"/>
          <w:bCs/>
          <w:snapToGrid w:val="0"/>
          <w:lang w:val="fr-FR"/>
        </w:rPr>
        <w:t xml:space="preserve"> </w:t>
      </w:r>
      <w:r w:rsidR="00BA0125" w:rsidRPr="00BC0FED">
        <w:rPr>
          <w:rFonts w:cs="Arial"/>
          <w:bCs/>
          <w:snapToGrid w:val="0"/>
          <w:lang w:val="fr-FR"/>
        </w:rPr>
        <w:t>2018, le</w:t>
      </w:r>
      <w:r w:rsidR="009D3491">
        <w:rPr>
          <w:rFonts w:cs="Arial"/>
          <w:bCs/>
          <w:snapToGrid w:val="0"/>
          <w:lang w:val="fr-FR"/>
        </w:rPr>
        <w:t xml:space="preserve"> </w:t>
      </w:r>
      <w:r w:rsidR="00F85D2F" w:rsidRPr="00BC0FED">
        <w:rPr>
          <w:rFonts w:cs="Arial"/>
          <w:bCs/>
          <w:snapToGrid w:val="0"/>
          <w:lang w:val="fr-FR"/>
        </w:rPr>
        <w:t>TC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="00F85D2F" w:rsidRPr="00BC0FED">
        <w:rPr>
          <w:rFonts w:cs="Arial"/>
          <w:bCs/>
          <w:snapToGrid w:val="0"/>
          <w:lang w:val="fr-FR"/>
        </w:rPr>
        <w:t>EDC</w:t>
      </w:r>
      <w:r w:rsidR="00BA0125" w:rsidRPr="00BC0FED">
        <w:rPr>
          <w:rFonts w:cs="Arial"/>
          <w:bCs/>
          <w:snapToGrid w:val="0"/>
          <w:lang w:val="fr-FR"/>
        </w:rPr>
        <w:t xml:space="preserve"> a examiné le </w:t>
      </w:r>
      <w:r w:rsidR="00F85D2F" w:rsidRPr="00BC0FED">
        <w:rPr>
          <w:rFonts w:cs="Arial"/>
          <w:bCs/>
          <w:snapToGrid w:val="0"/>
          <w:lang w:val="fr-FR"/>
        </w:rPr>
        <w:t>document TC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="00F85D2F" w:rsidRPr="00BC0FED">
        <w:rPr>
          <w:rFonts w:cs="Arial"/>
          <w:bCs/>
          <w:snapToGrid w:val="0"/>
          <w:lang w:val="fr-FR"/>
        </w:rPr>
        <w:t>EDC</w:t>
      </w:r>
      <w:r w:rsidRPr="00BC0FED">
        <w:rPr>
          <w:rFonts w:cs="Arial"/>
          <w:bCs/>
          <w:snapToGrid w:val="0"/>
          <w:lang w:val="fr-FR"/>
        </w:rPr>
        <w:t>/Mar18/17 “</w:t>
      </w:r>
      <w:proofErr w:type="spellStart"/>
      <w:r w:rsidRPr="00BC0FED">
        <w:rPr>
          <w:rFonts w:cs="Arial"/>
          <w:bCs/>
          <w:i/>
          <w:snapToGrid w:val="0"/>
          <w:lang w:val="fr-FR"/>
        </w:rPr>
        <w:t>Assessing</w:t>
      </w:r>
      <w:proofErr w:type="spellEnd"/>
      <w:r w:rsidRPr="00BC0FED">
        <w:rPr>
          <w:rFonts w:cs="Arial"/>
          <w:bCs/>
          <w:i/>
          <w:snapToGrid w:val="0"/>
          <w:lang w:val="fr-FR"/>
        </w:rPr>
        <w:t xml:space="preserve"> </w:t>
      </w:r>
      <w:proofErr w:type="spellStart"/>
      <w:r w:rsidRPr="00BC0FED">
        <w:rPr>
          <w:rFonts w:cs="Arial"/>
          <w:bCs/>
          <w:i/>
          <w:snapToGrid w:val="0"/>
          <w:lang w:val="fr-FR"/>
        </w:rPr>
        <w:t>uniformity</w:t>
      </w:r>
      <w:proofErr w:type="spellEnd"/>
      <w:r w:rsidRPr="00BC0FED">
        <w:rPr>
          <w:rFonts w:cs="Arial"/>
          <w:bCs/>
          <w:i/>
          <w:snapToGrid w:val="0"/>
          <w:lang w:val="fr-FR"/>
        </w:rPr>
        <w:t xml:space="preserve"> by off</w:t>
      </w:r>
      <w:r w:rsidR="002E4035" w:rsidRPr="00BC0FED">
        <w:rPr>
          <w:rFonts w:cs="Arial"/>
          <w:bCs/>
          <w:i/>
          <w:snapToGrid w:val="0"/>
          <w:lang w:val="fr-FR"/>
        </w:rPr>
        <w:noBreakHyphen/>
      </w:r>
      <w:r w:rsidRPr="00BC0FED">
        <w:rPr>
          <w:rFonts w:cs="Arial"/>
          <w:bCs/>
          <w:i/>
          <w:snapToGrid w:val="0"/>
          <w:lang w:val="fr-FR"/>
        </w:rPr>
        <w:t xml:space="preserve">types on the basis of more </w:t>
      </w:r>
      <w:proofErr w:type="spellStart"/>
      <w:r w:rsidRPr="00BC0FED">
        <w:rPr>
          <w:rFonts w:cs="Arial"/>
          <w:bCs/>
          <w:i/>
          <w:snapToGrid w:val="0"/>
          <w:lang w:val="fr-FR"/>
        </w:rPr>
        <w:t>than</w:t>
      </w:r>
      <w:proofErr w:type="spellEnd"/>
      <w:r w:rsidRPr="00BC0FED">
        <w:rPr>
          <w:rFonts w:cs="Arial"/>
          <w:bCs/>
          <w:i/>
          <w:snapToGrid w:val="0"/>
          <w:lang w:val="fr-FR"/>
        </w:rPr>
        <w:t xml:space="preserve"> one </w:t>
      </w:r>
      <w:proofErr w:type="spellStart"/>
      <w:r w:rsidRPr="00BC0FED">
        <w:rPr>
          <w:rFonts w:cs="Arial"/>
          <w:bCs/>
          <w:i/>
          <w:snapToGrid w:val="0"/>
          <w:lang w:val="fr-FR"/>
        </w:rPr>
        <w:t>growing</w:t>
      </w:r>
      <w:proofErr w:type="spellEnd"/>
      <w:r w:rsidRPr="00BC0FED">
        <w:rPr>
          <w:rFonts w:cs="Arial"/>
          <w:bCs/>
          <w:i/>
          <w:snapToGrid w:val="0"/>
          <w:lang w:val="fr-FR"/>
        </w:rPr>
        <w:t xml:space="preserve"> cycle or on the basis of </w:t>
      </w:r>
      <w:proofErr w:type="spellStart"/>
      <w:r w:rsidRPr="00BC0FED">
        <w:rPr>
          <w:rFonts w:cs="Arial"/>
          <w:bCs/>
          <w:i/>
          <w:snapToGrid w:val="0"/>
          <w:lang w:val="fr-FR"/>
        </w:rPr>
        <w:t>sub</w:t>
      </w:r>
      <w:r w:rsidR="002E4035" w:rsidRPr="00BC0FED">
        <w:rPr>
          <w:rFonts w:cs="Arial"/>
          <w:bCs/>
          <w:i/>
          <w:snapToGrid w:val="0"/>
          <w:lang w:val="fr-FR"/>
        </w:rPr>
        <w:noBreakHyphen/>
      </w:r>
      <w:r w:rsidRPr="00BC0FED">
        <w:rPr>
          <w:rFonts w:cs="Arial"/>
          <w:bCs/>
          <w:i/>
          <w:snapToGrid w:val="0"/>
          <w:lang w:val="fr-FR"/>
        </w:rPr>
        <w:t>samples</w:t>
      </w:r>
      <w:proofErr w:type="spellEnd"/>
      <w:r w:rsidRPr="00BC0FED">
        <w:rPr>
          <w:rFonts w:cs="Arial"/>
          <w:bCs/>
          <w:snapToGrid w:val="0"/>
          <w:lang w:val="fr-FR"/>
        </w:rPr>
        <w:t xml:space="preserve">” (voir les paragraphes 31 à 35 du </w:t>
      </w:r>
      <w:r w:rsidR="00F85D2F" w:rsidRPr="00BC0FED">
        <w:rPr>
          <w:rFonts w:cs="Arial"/>
          <w:bCs/>
          <w:snapToGrid w:val="0"/>
          <w:lang w:val="fr-FR"/>
        </w:rPr>
        <w:t>document TC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="00F85D2F" w:rsidRPr="00BC0FED">
        <w:rPr>
          <w:rFonts w:cs="Arial"/>
          <w:bCs/>
          <w:snapToGrid w:val="0"/>
          <w:lang w:val="fr-FR"/>
        </w:rPr>
        <w:t>EDC</w:t>
      </w:r>
      <w:r w:rsidR="00C63DA6" w:rsidRPr="00BC0FED">
        <w:rPr>
          <w:rFonts w:cs="Arial"/>
          <w:bCs/>
          <w:snapToGrid w:val="0"/>
          <w:lang w:val="fr-FR"/>
        </w:rPr>
        <w:t>/Mar18/11 “</w:t>
      </w:r>
      <w:r w:rsidR="00C63DA6" w:rsidRPr="00BC0FED">
        <w:rPr>
          <w:rFonts w:cs="Arial"/>
          <w:bCs/>
          <w:i/>
          <w:snapToGrid w:val="0"/>
          <w:lang w:val="fr-FR"/>
        </w:rPr>
        <w:t>Report</w:t>
      </w:r>
      <w:r w:rsidR="001C1F91" w:rsidRPr="00BC0FED">
        <w:rPr>
          <w:rFonts w:cs="Arial"/>
          <w:bCs/>
          <w:snapToGrid w:val="0"/>
          <w:lang w:val="fr-FR"/>
        </w:rPr>
        <w:t>”).</w:t>
      </w:r>
    </w:p>
    <w:p w:rsidR="00804655" w:rsidRPr="00BC0FED" w:rsidRDefault="00804655" w:rsidP="00804655">
      <w:pPr>
        <w:rPr>
          <w:rFonts w:cs="Arial"/>
          <w:bCs/>
          <w:snapToGrid w:val="0"/>
          <w:lang w:val="fr-FR"/>
        </w:rPr>
      </w:pPr>
    </w:p>
    <w:p w:rsidR="00F85D2F" w:rsidRPr="00BC0FED" w:rsidRDefault="00804655" w:rsidP="00804655">
      <w:pPr>
        <w:rPr>
          <w:rFonts w:cs="Arial"/>
          <w:bCs/>
          <w:snapToGrid w:val="0"/>
          <w:lang w:val="fr-FR"/>
        </w:rPr>
      </w:pPr>
      <w:r w:rsidRPr="00BC0FED">
        <w:rPr>
          <w:rFonts w:cs="Arial"/>
          <w:bCs/>
          <w:snapToGrid w:val="0"/>
          <w:lang w:val="fr-FR"/>
        </w:rPr>
        <w:fldChar w:fldCharType="begin"/>
      </w:r>
      <w:r w:rsidRPr="00BC0FED">
        <w:rPr>
          <w:rFonts w:cs="Arial"/>
          <w:bCs/>
          <w:snapToGrid w:val="0"/>
          <w:lang w:val="fr-FR"/>
        </w:rPr>
        <w:instrText xml:space="preserve"> AUTONUM  </w:instrText>
      </w:r>
      <w:r w:rsidRPr="00BC0FED">
        <w:rPr>
          <w:rFonts w:cs="Arial"/>
          <w:bCs/>
          <w:snapToGrid w:val="0"/>
          <w:lang w:val="fr-FR"/>
        </w:rPr>
        <w:fldChar w:fldCharType="end"/>
      </w:r>
      <w:r w:rsidRPr="00BC0FED">
        <w:rPr>
          <w:rFonts w:cs="Arial"/>
          <w:bCs/>
          <w:snapToGrid w:val="0"/>
          <w:lang w:val="fr-FR"/>
        </w:rPr>
        <w:tab/>
        <w:t>Le</w:t>
      </w:r>
      <w:r w:rsidR="00F85D2F" w:rsidRPr="00BC0FED">
        <w:rPr>
          <w:rFonts w:cs="Arial"/>
          <w:bCs/>
          <w:snapToGrid w:val="0"/>
          <w:lang w:val="fr-FR"/>
        </w:rPr>
        <w:t> TC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="00F85D2F" w:rsidRPr="00BC0FED">
        <w:rPr>
          <w:rFonts w:cs="Arial"/>
          <w:bCs/>
          <w:snapToGrid w:val="0"/>
          <w:lang w:val="fr-FR"/>
        </w:rPr>
        <w:t>EDC</w:t>
      </w:r>
      <w:r w:rsidRPr="00BC0FED">
        <w:rPr>
          <w:rFonts w:cs="Arial"/>
          <w:bCs/>
          <w:snapToGrid w:val="0"/>
          <w:lang w:val="fr-FR"/>
        </w:rPr>
        <w:t xml:space="preserve"> a noté que le TWC avait convenu d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inviter les experts de l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Allemagne, du Royaume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Pr="00BC0FED">
        <w:rPr>
          <w:rFonts w:cs="Arial"/>
          <w:bCs/>
          <w:snapToGrid w:val="0"/>
          <w:lang w:val="fr-FR"/>
        </w:rPr>
        <w:t>Uni et d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autres membres de l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 xml:space="preserve">Union à </w:t>
      </w:r>
      <w:r w:rsidR="00697C45" w:rsidRPr="00BC0FED">
        <w:rPr>
          <w:rFonts w:cs="Arial"/>
          <w:bCs/>
          <w:snapToGrid w:val="0"/>
          <w:lang w:val="fr-FR"/>
        </w:rPr>
        <w:t>présenter</w:t>
      </w:r>
      <w:r w:rsidRPr="00BC0FED">
        <w:rPr>
          <w:rFonts w:cs="Arial"/>
          <w:bCs/>
          <w:snapToGrid w:val="0"/>
          <w:lang w:val="fr-FR"/>
        </w:rPr>
        <w:t xml:space="preserve"> des documents </w:t>
      </w:r>
      <w:r w:rsidR="00697C45" w:rsidRPr="00BC0FED">
        <w:rPr>
          <w:rFonts w:cs="Arial"/>
          <w:bCs/>
          <w:snapToGrid w:val="0"/>
          <w:lang w:val="fr-FR"/>
        </w:rPr>
        <w:t xml:space="preserve">concernant </w:t>
      </w:r>
      <w:r w:rsidRPr="00BC0FED">
        <w:rPr>
          <w:rFonts w:cs="Arial"/>
          <w:bCs/>
          <w:snapToGrid w:val="0"/>
          <w:lang w:val="fr-FR"/>
        </w:rPr>
        <w:t>l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analyse des probabilités d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erreur associées à chaque méthode d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évaluation de l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homogénéité d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après les plantes hors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Pr="00BC0FED">
        <w:rPr>
          <w:rFonts w:cs="Arial"/>
          <w:bCs/>
          <w:snapToGrid w:val="0"/>
          <w:lang w:val="fr-FR"/>
        </w:rPr>
        <w:t>type sur la base de plusieurs cycles de végétation, pour examen à sa trente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Pr="00BC0FED">
        <w:rPr>
          <w:rFonts w:cs="Arial"/>
          <w:bCs/>
          <w:snapToGrid w:val="0"/>
          <w:lang w:val="fr-FR"/>
        </w:rPr>
        <w:t>six</w:t>
      </w:r>
      <w:r w:rsidR="00F85D2F" w:rsidRPr="00BC0FED">
        <w:rPr>
          <w:rFonts w:cs="Arial"/>
          <w:bCs/>
          <w:snapToGrid w:val="0"/>
          <w:lang w:val="fr-FR"/>
        </w:rPr>
        <w:t>ième session</w:t>
      </w:r>
      <w:r w:rsidR="00835743" w:rsidRPr="00BC0FED">
        <w:rPr>
          <w:rFonts w:cs="Arial"/>
          <w:bCs/>
          <w:snapToGrid w:val="0"/>
          <w:lang w:val="fr-FR"/>
        </w:rPr>
        <w:t>.</w:t>
      </w:r>
    </w:p>
    <w:p w:rsidR="00804655" w:rsidRPr="00BC0FED" w:rsidRDefault="00804655" w:rsidP="00804655">
      <w:pPr>
        <w:rPr>
          <w:rFonts w:cs="Arial"/>
          <w:bCs/>
          <w:snapToGrid w:val="0"/>
          <w:lang w:val="fr-FR"/>
        </w:rPr>
      </w:pPr>
    </w:p>
    <w:p w:rsidR="00804655" w:rsidRPr="00BC0FED" w:rsidRDefault="00804655" w:rsidP="00804655">
      <w:pPr>
        <w:rPr>
          <w:rFonts w:cs="Arial"/>
          <w:bCs/>
          <w:snapToGrid w:val="0"/>
          <w:lang w:val="fr-FR"/>
        </w:rPr>
      </w:pPr>
      <w:r w:rsidRPr="00BC0FED">
        <w:rPr>
          <w:rFonts w:cs="Arial"/>
          <w:bCs/>
          <w:snapToGrid w:val="0"/>
          <w:lang w:val="fr-FR"/>
        </w:rPr>
        <w:fldChar w:fldCharType="begin"/>
      </w:r>
      <w:r w:rsidRPr="00BC0FED">
        <w:rPr>
          <w:rFonts w:cs="Arial"/>
          <w:bCs/>
          <w:snapToGrid w:val="0"/>
          <w:lang w:val="fr-FR"/>
        </w:rPr>
        <w:instrText xml:space="preserve"> AUTONUM  </w:instrText>
      </w:r>
      <w:r w:rsidRPr="00BC0FED">
        <w:rPr>
          <w:rFonts w:cs="Arial"/>
          <w:bCs/>
          <w:snapToGrid w:val="0"/>
          <w:lang w:val="fr-FR"/>
        </w:rPr>
        <w:fldChar w:fldCharType="end"/>
      </w:r>
      <w:r w:rsidRPr="00BC0FED">
        <w:rPr>
          <w:rFonts w:cs="Arial"/>
          <w:bCs/>
          <w:snapToGrid w:val="0"/>
          <w:lang w:val="fr-FR"/>
        </w:rPr>
        <w:tab/>
        <w:t>Le</w:t>
      </w:r>
      <w:r w:rsidR="00F85D2F" w:rsidRPr="00BC0FED">
        <w:rPr>
          <w:rFonts w:cs="Arial"/>
          <w:bCs/>
          <w:snapToGrid w:val="0"/>
          <w:lang w:val="fr-FR"/>
        </w:rPr>
        <w:t> TC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="00F85D2F" w:rsidRPr="00BC0FED">
        <w:rPr>
          <w:rFonts w:cs="Arial"/>
          <w:bCs/>
          <w:snapToGrid w:val="0"/>
          <w:lang w:val="fr-FR"/>
        </w:rPr>
        <w:t>EDC</w:t>
      </w:r>
      <w:r w:rsidRPr="00BC0FED">
        <w:rPr>
          <w:rFonts w:cs="Arial"/>
          <w:bCs/>
          <w:snapToGrid w:val="0"/>
          <w:lang w:val="fr-FR"/>
        </w:rPr>
        <w:t xml:space="preserve"> a examiné les observations faites par les TWP à leurs sessions de 2017 et a décidé, sur cette base, de recommander au</w:t>
      </w:r>
      <w:r w:rsidR="00F85D2F" w:rsidRPr="00BC0FED">
        <w:rPr>
          <w:rFonts w:cs="Arial"/>
          <w:bCs/>
          <w:snapToGrid w:val="0"/>
          <w:lang w:val="fr-FR"/>
        </w:rPr>
        <w:t> TC</w:t>
      </w:r>
      <w:r w:rsidRPr="00BC0FED">
        <w:rPr>
          <w:rFonts w:cs="Arial"/>
          <w:bCs/>
          <w:snapToGrid w:val="0"/>
          <w:lang w:val="fr-FR"/>
        </w:rPr>
        <w:t xml:space="preserve"> d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examiner le projet d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orientation</w:t>
      </w:r>
      <w:r w:rsidR="00697C45" w:rsidRPr="00BC0FED">
        <w:rPr>
          <w:rFonts w:cs="Arial"/>
          <w:bCs/>
          <w:snapToGrid w:val="0"/>
          <w:lang w:val="fr-FR"/>
        </w:rPr>
        <w:t>s</w:t>
      </w:r>
      <w:r w:rsidRPr="00BC0FED">
        <w:rPr>
          <w:rFonts w:cs="Arial"/>
          <w:bCs/>
          <w:snapToGrid w:val="0"/>
          <w:lang w:val="fr-FR"/>
        </w:rPr>
        <w:t xml:space="preserve"> à sa cinquante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Pr="00BC0FED">
        <w:rPr>
          <w:rFonts w:cs="Arial"/>
          <w:bCs/>
          <w:snapToGrid w:val="0"/>
          <w:lang w:val="fr-FR"/>
        </w:rPr>
        <w:t>quatr</w:t>
      </w:r>
      <w:r w:rsidR="00F85D2F" w:rsidRPr="00BC0FED">
        <w:rPr>
          <w:rFonts w:cs="Arial"/>
          <w:bCs/>
          <w:snapToGrid w:val="0"/>
          <w:lang w:val="fr-FR"/>
        </w:rPr>
        <w:t>ième session</w:t>
      </w:r>
      <w:r w:rsidRPr="00BC0FED">
        <w:rPr>
          <w:rFonts w:cs="Arial"/>
          <w:bCs/>
          <w:snapToGrid w:val="0"/>
          <w:lang w:val="fr-FR"/>
        </w:rPr>
        <w:t>, avec les modifications suivantes</w:t>
      </w:r>
      <w:r w:rsidR="00F85D2F" w:rsidRPr="00BC0FED">
        <w:rPr>
          <w:rFonts w:cs="Arial"/>
          <w:bCs/>
          <w:snapToGrid w:val="0"/>
          <w:lang w:val="fr-FR"/>
        </w:rPr>
        <w:t> :</w:t>
      </w:r>
    </w:p>
    <w:p w:rsidR="00804655" w:rsidRPr="00BC0FED" w:rsidRDefault="00804655" w:rsidP="00804655">
      <w:pPr>
        <w:rPr>
          <w:rFonts w:cs="Arial"/>
          <w:bCs/>
          <w:snapToGrid w:val="0"/>
          <w:lang w:val="fr-FR"/>
        </w:rPr>
      </w:pPr>
    </w:p>
    <w:p w:rsidR="00804655" w:rsidRPr="00BC0FED" w:rsidRDefault="00804655" w:rsidP="00804655">
      <w:pPr>
        <w:ind w:left="567" w:right="568"/>
        <w:rPr>
          <w:rFonts w:cs="Arial"/>
          <w:bCs/>
          <w:snapToGrid w:val="0"/>
          <w:sz w:val="18"/>
          <w:lang w:val="fr-FR"/>
        </w:rPr>
      </w:pPr>
      <w:r w:rsidRPr="00BC0FED">
        <w:rPr>
          <w:rFonts w:cs="Arial"/>
          <w:bCs/>
          <w:snapToGrid w:val="0"/>
          <w:sz w:val="18"/>
          <w:lang w:val="fr-FR"/>
        </w:rPr>
        <w:t>“[…] Il est important d</w:t>
      </w:r>
      <w:r w:rsidR="00F85D2F" w:rsidRPr="00BC0FED">
        <w:rPr>
          <w:rFonts w:cs="Arial"/>
          <w:bCs/>
          <w:snapToGrid w:val="0"/>
          <w:sz w:val="18"/>
          <w:lang w:val="fr-FR"/>
        </w:rPr>
        <w:t>’</w:t>
      </w:r>
      <w:r w:rsidRPr="00BC0FED">
        <w:rPr>
          <w:rFonts w:cs="Arial"/>
          <w:bCs/>
          <w:snapToGrid w:val="0"/>
          <w:sz w:val="18"/>
          <w:lang w:val="fr-FR"/>
        </w:rPr>
        <w:t>identifier si la variation du nombre de plantes hors</w:t>
      </w:r>
      <w:r w:rsidR="002E4035" w:rsidRPr="00BC0FED">
        <w:rPr>
          <w:rFonts w:cs="Arial"/>
          <w:bCs/>
          <w:snapToGrid w:val="0"/>
          <w:sz w:val="18"/>
          <w:lang w:val="fr-FR"/>
        </w:rPr>
        <w:noBreakHyphen/>
      </w:r>
      <w:r w:rsidRPr="00BC0FED">
        <w:rPr>
          <w:rFonts w:cs="Arial"/>
          <w:bCs/>
          <w:snapToGrid w:val="0"/>
          <w:sz w:val="18"/>
          <w:lang w:val="fr-FR"/>
        </w:rPr>
        <w:t xml:space="preserve">type entre les cycles </w:t>
      </w:r>
      <w:r w:rsidRPr="00BC0FED">
        <w:rPr>
          <w:rFonts w:cs="Arial"/>
          <w:bCs/>
          <w:strike/>
          <w:snapToGrid w:val="0"/>
          <w:sz w:val="18"/>
          <w:highlight w:val="lightGray"/>
          <w:lang w:val="fr-FR"/>
        </w:rPr>
        <w:t xml:space="preserve">ne </w:t>
      </w:r>
      <w:r w:rsidR="00697C45" w:rsidRPr="00BC0FED">
        <w:rPr>
          <w:rFonts w:cs="Arial"/>
          <w:bCs/>
          <w:snapToGrid w:val="0"/>
          <w:sz w:val="18"/>
          <w:lang w:val="fr-FR"/>
        </w:rPr>
        <w:t>s</w:t>
      </w:r>
      <w:r w:rsidR="00F85D2F" w:rsidRPr="00BC0FED">
        <w:rPr>
          <w:rFonts w:cs="Arial"/>
          <w:bCs/>
          <w:snapToGrid w:val="0"/>
          <w:sz w:val="18"/>
          <w:lang w:val="fr-FR"/>
        </w:rPr>
        <w:t>’</w:t>
      </w:r>
      <w:r w:rsidR="00697C45" w:rsidRPr="00BC0FED">
        <w:rPr>
          <w:rFonts w:cs="Arial"/>
          <w:bCs/>
          <w:snapToGrid w:val="0"/>
          <w:sz w:val="18"/>
          <w:lang w:val="fr-FR"/>
        </w:rPr>
        <w:t xml:space="preserve">explique </w:t>
      </w:r>
      <w:r w:rsidR="00697C45" w:rsidRPr="00BC0FED">
        <w:rPr>
          <w:rFonts w:cs="Arial"/>
          <w:bCs/>
          <w:strike/>
          <w:snapToGrid w:val="0"/>
          <w:sz w:val="18"/>
          <w:highlight w:val="lightGray"/>
          <w:lang w:val="fr-FR"/>
        </w:rPr>
        <w:t>pas</w:t>
      </w:r>
      <w:r w:rsidR="00697C45" w:rsidRPr="00BC0FED">
        <w:rPr>
          <w:rFonts w:cs="Arial"/>
          <w:bCs/>
          <w:snapToGrid w:val="0"/>
          <w:sz w:val="18"/>
          <w:lang w:val="fr-FR"/>
        </w:rPr>
        <w:t xml:space="preserve"> p</w:t>
      </w:r>
      <w:r w:rsidRPr="00BC0FED">
        <w:rPr>
          <w:rFonts w:cs="Arial"/>
          <w:bCs/>
          <w:snapToGrid w:val="0"/>
          <w:sz w:val="18"/>
          <w:lang w:val="fr-FR"/>
        </w:rPr>
        <w:t xml:space="preserve">ar des conditions </w:t>
      </w:r>
      <w:r w:rsidRPr="00BC0FED">
        <w:rPr>
          <w:rFonts w:cs="Arial"/>
          <w:bCs/>
          <w:snapToGrid w:val="0"/>
          <w:sz w:val="18"/>
          <w:highlight w:val="lightGray"/>
          <w:u w:val="single"/>
          <w:lang w:val="fr-FR"/>
        </w:rPr>
        <w:t>environnementales</w:t>
      </w:r>
      <w:r w:rsidRPr="00BC0FED">
        <w:rPr>
          <w:rFonts w:cs="Arial"/>
          <w:bCs/>
          <w:snapToGrid w:val="0"/>
          <w:sz w:val="18"/>
          <w:lang w:val="fr-FR"/>
        </w:rPr>
        <w:t xml:space="preserve"> ou des fluctuations d</w:t>
      </w:r>
      <w:r w:rsidR="00F85D2F" w:rsidRPr="00BC0FED">
        <w:rPr>
          <w:rFonts w:cs="Arial"/>
          <w:bCs/>
          <w:snapToGrid w:val="0"/>
          <w:sz w:val="18"/>
          <w:lang w:val="fr-FR"/>
        </w:rPr>
        <w:t>’</w:t>
      </w:r>
      <w:r w:rsidRPr="00BC0FED">
        <w:rPr>
          <w:rFonts w:cs="Arial"/>
          <w:bCs/>
          <w:snapToGrid w:val="0"/>
          <w:sz w:val="18"/>
          <w:lang w:val="fr-FR"/>
        </w:rPr>
        <w:t>échantillon</w:t>
      </w:r>
      <w:r w:rsidR="00697C45" w:rsidRPr="00BC0FED">
        <w:rPr>
          <w:rFonts w:cs="Arial"/>
          <w:bCs/>
          <w:snapToGrid w:val="0"/>
          <w:sz w:val="18"/>
          <w:lang w:val="fr-FR"/>
        </w:rPr>
        <w:t>nage”.</w:t>
      </w:r>
    </w:p>
    <w:p w:rsidR="00804655" w:rsidRPr="00B30509" w:rsidRDefault="00804655" w:rsidP="00B30509">
      <w:pPr>
        <w:ind w:right="568"/>
        <w:rPr>
          <w:rFonts w:cs="Arial"/>
          <w:bCs/>
          <w:snapToGrid w:val="0"/>
          <w:lang w:val="fr-FR"/>
        </w:rPr>
      </w:pPr>
    </w:p>
    <w:p w:rsidR="00804655" w:rsidRPr="00BC0FED" w:rsidRDefault="00804655" w:rsidP="00804655">
      <w:pPr>
        <w:rPr>
          <w:rFonts w:cs="Arial"/>
          <w:bCs/>
          <w:snapToGrid w:val="0"/>
          <w:lang w:val="fr-FR"/>
        </w:rPr>
      </w:pPr>
      <w:r w:rsidRPr="00BC0FED">
        <w:rPr>
          <w:rFonts w:cs="Arial"/>
          <w:bCs/>
          <w:snapToGrid w:val="0"/>
          <w:lang w:val="fr-FR"/>
        </w:rPr>
        <w:fldChar w:fldCharType="begin"/>
      </w:r>
      <w:r w:rsidRPr="00BC0FED">
        <w:rPr>
          <w:rFonts w:cs="Arial"/>
          <w:bCs/>
          <w:snapToGrid w:val="0"/>
          <w:lang w:val="fr-FR"/>
        </w:rPr>
        <w:instrText xml:space="preserve"> AUTONUM  </w:instrText>
      </w:r>
      <w:r w:rsidRPr="00BC0FED">
        <w:rPr>
          <w:rFonts w:cs="Arial"/>
          <w:bCs/>
          <w:snapToGrid w:val="0"/>
          <w:lang w:val="fr-FR"/>
        </w:rPr>
        <w:fldChar w:fldCharType="end"/>
      </w:r>
      <w:r w:rsidRPr="00BC0FED">
        <w:rPr>
          <w:rFonts w:cs="Arial"/>
          <w:bCs/>
          <w:snapToGrid w:val="0"/>
          <w:lang w:val="fr-FR"/>
        </w:rPr>
        <w:tab/>
        <w:t>Le</w:t>
      </w:r>
      <w:r w:rsidR="00F85D2F" w:rsidRPr="00BC0FED">
        <w:rPr>
          <w:rFonts w:cs="Arial"/>
          <w:bCs/>
          <w:snapToGrid w:val="0"/>
          <w:lang w:val="fr-FR"/>
        </w:rPr>
        <w:t> TC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="00F85D2F" w:rsidRPr="00BC0FED">
        <w:rPr>
          <w:rFonts w:cs="Arial"/>
          <w:bCs/>
          <w:snapToGrid w:val="0"/>
          <w:lang w:val="fr-FR"/>
        </w:rPr>
        <w:t>EDC</w:t>
      </w:r>
      <w:r w:rsidRPr="00BC0FED">
        <w:rPr>
          <w:rFonts w:cs="Arial"/>
          <w:bCs/>
          <w:snapToGrid w:val="0"/>
          <w:lang w:val="fr-FR"/>
        </w:rPr>
        <w:t xml:space="preserve"> a pris note de l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invitation faite par le</w:t>
      </w:r>
      <w:r w:rsidR="00F85D2F" w:rsidRPr="00BC0FED">
        <w:rPr>
          <w:rFonts w:cs="Arial"/>
          <w:bCs/>
          <w:snapToGrid w:val="0"/>
          <w:lang w:val="fr-FR"/>
        </w:rPr>
        <w:t> TC</w:t>
      </w:r>
      <w:r w:rsidRPr="00BC0FED">
        <w:rPr>
          <w:rFonts w:cs="Arial"/>
          <w:bCs/>
          <w:snapToGrid w:val="0"/>
          <w:lang w:val="fr-FR"/>
        </w:rPr>
        <w:t xml:space="preserve"> aux TWP, à leurs sessions de 2017, d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examiner s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il fallait que le rejet d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une variété après un seul cycle de végétation se fonde sur plusieurs critères généraux plutôt que sur le cas précis où le nombre de plantes hors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Pr="00BC0FED">
        <w:rPr>
          <w:rFonts w:cs="Arial"/>
          <w:bCs/>
          <w:snapToGrid w:val="0"/>
          <w:lang w:val="fr-FR"/>
        </w:rPr>
        <w:t>type autorisé pour deux</w:t>
      </w:r>
      <w:r w:rsidR="008E2723" w:rsidRPr="00BC0FED">
        <w:rPr>
          <w:rFonts w:cs="Arial"/>
          <w:bCs/>
          <w:snapToGrid w:val="0"/>
          <w:lang w:val="fr-FR"/>
        </w:rPr>
        <w:t> </w:t>
      </w:r>
      <w:r w:rsidRPr="00BC0FED">
        <w:rPr>
          <w:rFonts w:cs="Arial"/>
          <w:bCs/>
          <w:snapToGrid w:val="0"/>
          <w:lang w:val="fr-FR"/>
        </w:rPr>
        <w:t>cycles de végétation est dépas</w:t>
      </w:r>
      <w:r w:rsidR="005F032D" w:rsidRPr="00BC0FED">
        <w:rPr>
          <w:rFonts w:cs="Arial"/>
          <w:bCs/>
          <w:snapToGrid w:val="0"/>
          <w:lang w:val="fr-FR"/>
        </w:rPr>
        <w:t>sé.  Le</w:t>
      </w:r>
      <w:r w:rsidR="00F85D2F" w:rsidRPr="00BC0FED">
        <w:rPr>
          <w:rFonts w:cs="Arial"/>
          <w:bCs/>
          <w:snapToGrid w:val="0"/>
          <w:lang w:val="fr-FR"/>
        </w:rPr>
        <w:t> TC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="00F85D2F" w:rsidRPr="00BC0FED">
        <w:rPr>
          <w:rFonts w:cs="Arial"/>
          <w:bCs/>
          <w:snapToGrid w:val="0"/>
          <w:lang w:val="fr-FR"/>
        </w:rPr>
        <w:t>EDC</w:t>
      </w:r>
      <w:r w:rsidRPr="00BC0FED">
        <w:rPr>
          <w:rFonts w:cs="Arial"/>
          <w:bCs/>
          <w:snapToGrid w:val="0"/>
          <w:lang w:val="fr-FR"/>
        </w:rPr>
        <w:t xml:space="preserve"> a pris note de la préférence exprimée par les TWP, à leurs sessions de 2017, en faveur du maintien des critères fondant le rejet d</w:t>
      </w:r>
      <w:r w:rsidR="00F85D2F" w:rsidRPr="00BC0FED">
        <w:rPr>
          <w:rFonts w:cs="Arial"/>
          <w:bCs/>
          <w:snapToGrid w:val="0"/>
          <w:lang w:val="fr-FR"/>
        </w:rPr>
        <w:t>’</w:t>
      </w:r>
      <w:r w:rsidRPr="00BC0FED">
        <w:rPr>
          <w:rFonts w:cs="Arial"/>
          <w:bCs/>
          <w:snapToGrid w:val="0"/>
          <w:lang w:val="fr-FR"/>
        </w:rPr>
        <w:t>une variété après un seul cycle de végétation qui avaient été examinés précédemment par le</w:t>
      </w:r>
      <w:r w:rsidR="00F85D2F" w:rsidRPr="00BC0FED">
        <w:rPr>
          <w:rFonts w:cs="Arial"/>
          <w:bCs/>
          <w:snapToGrid w:val="0"/>
          <w:lang w:val="fr-FR"/>
        </w:rPr>
        <w:t> TC :</w:t>
      </w:r>
    </w:p>
    <w:p w:rsidR="00804655" w:rsidRPr="00B30509" w:rsidRDefault="00804655" w:rsidP="00B30509">
      <w:pPr>
        <w:ind w:right="568"/>
        <w:rPr>
          <w:rFonts w:cs="Arial"/>
          <w:bCs/>
          <w:snapToGrid w:val="0"/>
          <w:lang w:val="fr-FR"/>
        </w:rPr>
      </w:pPr>
    </w:p>
    <w:p w:rsidR="00804655" w:rsidRPr="00BC0FED" w:rsidRDefault="00697C45" w:rsidP="00804655">
      <w:pPr>
        <w:ind w:left="567" w:right="568"/>
        <w:rPr>
          <w:rFonts w:cs="Arial"/>
          <w:bCs/>
          <w:snapToGrid w:val="0"/>
          <w:sz w:val="18"/>
          <w:lang w:val="fr-FR"/>
        </w:rPr>
      </w:pPr>
      <w:r w:rsidRPr="00BC0FED">
        <w:rPr>
          <w:rFonts w:cs="Arial"/>
          <w:bCs/>
          <w:snapToGrid w:val="0"/>
          <w:sz w:val="18"/>
          <w:lang w:val="fr-FR"/>
        </w:rPr>
        <w:t>“En outre</w:t>
      </w:r>
      <w:r w:rsidR="00AD203D" w:rsidRPr="00BC0FED">
        <w:rPr>
          <w:rFonts w:cs="Arial"/>
          <w:bCs/>
          <w:snapToGrid w:val="0"/>
          <w:sz w:val="18"/>
          <w:lang w:val="fr-FR"/>
        </w:rPr>
        <w:t xml:space="preserve">, si </w:t>
      </w:r>
      <w:r w:rsidR="00804655" w:rsidRPr="00BC0FED">
        <w:rPr>
          <w:rFonts w:cs="Arial"/>
          <w:bCs/>
          <w:snapToGrid w:val="0"/>
          <w:sz w:val="18"/>
          <w:lang w:val="fr-FR"/>
        </w:rPr>
        <w:t>au cours du premier cycle de végétation, le nombre de plantes hors</w:t>
      </w:r>
      <w:r w:rsidR="002E4035" w:rsidRPr="00BC0FED">
        <w:rPr>
          <w:rFonts w:cs="Arial"/>
          <w:bCs/>
          <w:snapToGrid w:val="0"/>
          <w:sz w:val="18"/>
          <w:lang w:val="fr-FR"/>
        </w:rPr>
        <w:noBreakHyphen/>
      </w:r>
      <w:r w:rsidR="00804655" w:rsidRPr="00BC0FED">
        <w:rPr>
          <w:rFonts w:cs="Arial"/>
          <w:bCs/>
          <w:snapToGrid w:val="0"/>
          <w:sz w:val="18"/>
          <w:lang w:val="fr-FR"/>
        </w:rPr>
        <w:t>type dépasse une limite supérieure prédéfinie, la variété peut être rejetée après un seul cycle de végétation”.</w:t>
      </w:r>
    </w:p>
    <w:p w:rsidR="00804655" w:rsidRPr="00BC0FED" w:rsidRDefault="00804655" w:rsidP="00804655">
      <w:pPr>
        <w:tabs>
          <w:tab w:val="left" w:pos="1528"/>
        </w:tabs>
        <w:rPr>
          <w:rFonts w:cs="Arial"/>
          <w:bCs/>
          <w:snapToGrid w:val="0"/>
          <w:lang w:val="fr-FR"/>
        </w:rPr>
      </w:pPr>
    </w:p>
    <w:p w:rsidR="00804655" w:rsidRPr="00BC0FED" w:rsidRDefault="00804655" w:rsidP="00804655">
      <w:pPr>
        <w:rPr>
          <w:rFonts w:cs="Arial"/>
          <w:bCs/>
          <w:snapToGrid w:val="0"/>
          <w:lang w:val="fr-FR"/>
        </w:rPr>
      </w:pPr>
      <w:r w:rsidRPr="00BC0FED">
        <w:rPr>
          <w:rFonts w:cs="Arial"/>
          <w:bCs/>
          <w:snapToGrid w:val="0"/>
          <w:lang w:val="fr-FR"/>
        </w:rPr>
        <w:fldChar w:fldCharType="begin"/>
      </w:r>
      <w:r w:rsidRPr="00BC0FED">
        <w:rPr>
          <w:rFonts w:cs="Arial"/>
          <w:bCs/>
          <w:snapToGrid w:val="0"/>
          <w:lang w:val="fr-FR"/>
        </w:rPr>
        <w:instrText xml:space="preserve"> AUTONUM  </w:instrText>
      </w:r>
      <w:r w:rsidRPr="00BC0FED">
        <w:rPr>
          <w:rFonts w:cs="Arial"/>
          <w:bCs/>
          <w:snapToGrid w:val="0"/>
          <w:lang w:val="fr-FR"/>
        </w:rPr>
        <w:fldChar w:fldCharType="end"/>
      </w:r>
      <w:r w:rsidRPr="00BC0FED">
        <w:rPr>
          <w:rFonts w:cs="Arial"/>
          <w:bCs/>
          <w:snapToGrid w:val="0"/>
          <w:lang w:val="fr-FR"/>
        </w:rPr>
        <w:tab/>
        <w:t>Le</w:t>
      </w:r>
      <w:r w:rsidR="00F85D2F" w:rsidRPr="00BC0FED">
        <w:rPr>
          <w:rFonts w:cs="Arial"/>
          <w:bCs/>
          <w:snapToGrid w:val="0"/>
          <w:lang w:val="fr-FR"/>
        </w:rPr>
        <w:t> TC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="00F85D2F" w:rsidRPr="00BC0FED">
        <w:rPr>
          <w:rFonts w:cs="Arial"/>
          <w:bCs/>
          <w:snapToGrid w:val="0"/>
          <w:lang w:val="fr-FR"/>
        </w:rPr>
        <w:t>EDC</w:t>
      </w:r>
      <w:r w:rsidRPr="00BC0FED">
        <w:rPr>
          <w:rFonts w:cs="Arial"/>
          <w:bCs/>
          <w:snapToGrid w:val="0"/>
          <w:lang w:val="fr-FR"/>
        </w:rPr>
        <w:t xml:space="preserve"> est convenu que la proposition ci</w:t>
      </w:r>
      <w:r w:rsidR="002E4035" w:rsidRPr="00BC0FED">
        <w:rPr>
          <w:rFonts w:cs="Arial"/>
          <w:bCs/>
          <w:snapToGrid w:val="0"/>
          <w:lang w:val="fr-FR"/>
        </w:rPr>
        <w:noBreakHyphen/>
      </w:r>
      <w:r w:rsidRPr="00BC0FED">
        <w:rPr>
          <w:rFonts w:cs="Arial"/>
          <w:bCs/>
          <w:snapToGrid w:val="0"/>
          <w:lang w:val="fr-FR"/>
        </w:rPr>
        <w:t>dessus devrait être examinée par le</w:t>
      </w:r>
      <w:r w:rsidR="00F85D2F" w:rsidRPr="00BC0FED">
        <w:rPr>
          <w:rFonts w:cs="Arial"/>
          <w:bCs/>
          <w:snapToGrid w:val="0"/>
          <w:lang w:val="fr-FR"/>
        </w:rPr>
        <w:t> TC</w:t>
      </w:r>
      <w:r w:rsidRPr="00BC0FED">
        <w:rPr>
          <w:rFonts w:cs="Arial"/>
          <w:bCs/>
          <w:snapToGrid w:val="0"/>
          <w:lang w:val="fr-FR"/>
        </w:rPr>
        <w:t>.</w:t>
      </w:r>
    </w:p>
    <w:p w:rsidR="00804655" w:rsidRDefault="00804655" w:rsidP="00B91E18">
      <w:pPr>
        <w:rPr>
          <w:lang w:val="fr-FR"/>
        </w:rPr>
      </w:pPr>
    </w:p>
    <w:p w:rsidR="00B30509" w:rsidRPr="00BC0FED" w:rsidRDefault="00B30509" w:rsidP="00B91E18">
      <w:pPr>
        <w:rPr>
          <w:lang w:val="fr-FR"/>
        </w:rPr>
      </w:pPr>
    </w:p>
    <w:p w:rsidR="00126DA7" w:rsidRPr="00BC0FED" w:rsidRDefault="00126DA7" w:rsidP="00126DA7">
      <w:pPr>
        <w:pStyle w:val="Heading2"/>
        <w:rPr>
          <w:lang w:val="fr-FR"/>
        </w:rPr>
      </w:pPr>
      <w:bookmarkStart w:id="14" w:name="_Toc524697871"/>
      <w:r w:rsidRPr="00BC0FED">
        <w:rPr>
          <w:rFonts w:eastAsia="PMingLiU"/>
          <w:lang w:val="fr-FR"/>
        </w:rPr>
        <w:t>Groupe de travail technique sur les systèmes d</w:t>
      </w:r>
      <w:r w:rsidR="00F85D2F" w:rsidRPr="00BC0FED">
        <w:rPr>
          <w:rFonts w:eastAsia="PMingLiU"/>
          <w:lang w:val="fr-FR"/>
        </w:rPr>
        <w:t>’</w:t>
      </w:r>
      <w:r w:rsidRPr="00BC0FED">
        <w:rPr>
          <w:rFonts w:eastAsia="PMingLiU"/>
          <w:lang w:val="fr-FR"/>
        </w:rPr>
        <w:t>automatisation et les programmes d</w:t>
      </w:r>
      <w:r w:rsidR="00F85D2F" w:rsidRPr="00BC0FED">
        <w:rPr>
          <w:rFonts w:eastAsia="PMingLiU"/>
          <w:lang w:val="fr-FR"/>
        </w:rPr>
        <w:t>’</w:t>
      </w:r>
      <w:r w:rsidRPr="00BC0FED">
        <w:rPr>
          <w:rFonts w:eastAsia="PMingLiU"/>
          <w:lang w:val="fr-FR"/>
        </w:rPr>
        <w:t>ordinateur</w:t>
      </w:r>
      <w:bookmarkEnd w:id="14"/>
    </w:p>
    <w:p w:rsidR="00903098" w:rsidRPr="00BC0FED" w:rsidRDefault="00903098" w:rsidP="00B91E18">
      <w:pPr>
        <w:rPr>
          <w:lang w:val="fr-FR"/>
        </w:rPr>
      </w:pPr>
    </w:p>
    <w:p w:rsidR="001C55EE" w:rsidRPr="00BC0FED" w:rsidRDefault="001C55EE" w:rsidP="001C55EE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 xml:space="preserve">Le TWC a examiné le document </w:t>
      </w:r>
      <w:hyperlink r:id="rId8" w:history="1">
        <w:r w:rsidRPr="00BC0FED">
          <w:rPr>
            <w:color w:val="0000FF"/>
            <w:u w:val="single"/>
            <w:lang w:val="fr-FR"/>
          </w:rPr>
          <w:t>TWC/36/7</w:t>
        </w:r>
      </w:hyperlink>
      <w:r w:rsidRPr="00BC0FED">
        <w:rPr>
          <w:lang w:val="fr-FR"/>
        </w:rPr>
        <w:t xml:space="preserve"> “</w:t>
      </w:r>
      <w:proofErr w:type="spellStart"/>
      <w:r w:rsidRPr="009D3491">
        <w:rPr>
          <w:i/>
          <w:lang w:val="fr-FR"/>
        </w:rPr>
        <w:t>Risks</w:t>
      </w:r>
      <w:proofErr w:type="spellEnd"/>
      <w:r w:rsidRPr="009D3491">
        <w:rPr>
          <w:i/>
          <w:lang w:val="fr-FR"/>
        </w:rPr>
        <w:t xml:space="preserve"> </w:t>
      </w:r>
      <w:proofErr w:type="spellStart"/>
      <w:r w:rsidRPr="009D3491">
        <w:rPr>
          <w:i/>
          <w:lang w:val="fr-FR"/>
        </w:rPr>
        <w:t>associated</w:t>
      </w:r>
      <w:proofErr w:type="spellEnd"/>
      <w:r w:rsidRPr="009D3491">
        <w:rPr>
          <w:i/>
          <w:lang w:val="fr-FR"/>
        </w:rPr>
        <w:t xml:space="preserve"> </w:t>
      </w:r>
      <w:proofErr w:type="spellStart"/>
      <w:r w:rsidRPr="009D3491">
        <w:rPr>
          <w:i/>
          <w:lang w:val="fr-FR"/>
        </w:rPr>
        <w:t>with</w:t>
      </w:r>
      <w:proofErr w:type="spellEnd"/>
      <w:r w:rsidRPr="009D3491">
        <w:rPr>
          <w:i/>
          <w:lang w:val="fr-FR"/>
        </w:rPr>
        <w:t xml:space="preserve"> </w:t>
      </w:r>
      <w:proofErr w:type="spellStart"/>
      <w:r w:rsidRPr="009D3491">
        <w:rPr>
          <w:i/>
          <w:lang w:val="fr-FR"/>
        </w:rPr>
        <w:t>assessment</w:t>
      </w:r>
      <w:proofErr w:type="spellEnd"/>
      <w:r w:rsidRPr="009D3491">
        <w:rPr>
          <w:i/>
          <w:lang w:val="fr-FR"/>
        </w:rPr>
        <w:t xml:space="preserve"> of </w:t>
      </w:r>
      <w:proofErr w:type="spellStart"/>
      <w:r w:rsidRPr="009D3491">
        <w:rPr>
          <w:i/>
          <w:lang w:val="fr-FR"/>
        </w:rPr>
        <w:t>uniformity</w:t>
      </w:r>
      <w:proofErr w:type="spellEnd"/>
      <w:r w:rsidRPr="009D3491">
        <w:rPr>
          <w:i/>
          <w:lang w:val="fr-FR"/>
        </w:rPr>
        <w:t xml:space="preserve"> by</w:t>
      </w:r>
      <w:r w:rsidR="009D3491">
        <w:rPr>
          <w:i/>
          <w:lang w:val="fr-FR"/>
        </w:rPr>
        <w:t xml:space="preserve"> off-types</w:t>
      </w:r>
      <w:r w:rsidRPr="009D3491">
        <w:rPr>
          <w:i/>
          <w:lang w:val="fr-FR"/>
        </w:rPr>
        <w:t xml:space="preserve"> on the basis of more </w:t>
      </w:r>
      <w:proofErr w:type="spellStart"/>
      <w:r w:rsidRPr="009D3491">
        <w:rPr>
          <w:i/>
          <w:lang w:val="fr-FR"/>
        </w:rPr>
        <w:t>than</w:t>
      </w:r>
      <w:proofErr w:type="spellEnd"/>
      <w:r w:rsidRPr="009D3491">
        <w:rPr>
          <w:i/>
          <w:lang w:val="fr-FR"/>
        </w:rPr>
        <w:t xml:space="preserve"> one </w:t>
      </w:r>
      <w:proofErr w:type="spellStart"/>
      <w:r w:rsidRPr="009D3491">
        <w:rPr>
          <w:i/>
          <w:lang w:val="fr-FR"/>
        </w:rPr>
        <w:t>growing</w:t>
      </w:r>
      <w:proofErr w:type="spellEnd"/>
      <w:r w:rsidRPr="009D3491">
        <w:rPr>
          <w:i/>
          <w:lang w:val="fr-FR"/>
        </w:rPr>
        <w:t xml:space="preserve"> cycle</w:t>
      </w:r>
      <w:r w:rsidRPr="00BC0FED">
        <w:rPr>
          <w:lang w:val="fr-FR"/>
        </w:rPr>
        <w:t>” et a assisté à un exposé présenté par des experts de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Allemagne et du Royaume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Uni, dont une copie fera</w:t>
      </w:r>
      <w:r w:rsidR="001560FA" w:rsidRPr="00BC0FED">
        <w:rPr>
          <w:lang w:val="fr-FR"/>
        </w:rPr>
        <w:t>it</w:t>
      </w:r>
      <w:r w:rsidRPr="00BC0FED">
        <w:rPr>
          <w:lang w:val="fr-FR"/>
        </w:rPr>
        <w:t xml:space="preserve">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objet du document TWC/36/7 </w:t>
      </w:r>
      <w:proofErr w:type="spellStart"/>
      <w:r w:rsidR="00721B05" w:rsidRPr="00BC0FED">
        <w:rPr>
          <w:lang w:val="fr-FR"/>
        </w:rPr>
        <w:t>Add</w:t>
      </w:r>
      <w:proofErr w:type="spellEnd"/>
      <w:r w:rsidR="00721B05" w:rsidRPr="00BC0FED">
        <w:rPr>
          <w:lang w:val="fr-FR"/>
        </w:rPr>
        <w:t xml:space="preserve">. </w:t>
      </w:r>
      <w:r w:rsidRPr="00BC0FED">
        <w:rPr>
          <w:lang w:val="fr-FR"/>
        </w:rPr>
        <w:t>(</w:t>
      </w:r>
      <w:proofErr w:type="gramStart"/>
      <w:r w:rsidRPr="00BC0FED">
        <w:rPr>
          <w:lang w:val="fr-FR"/>
        </w:rPr>
        <w:t>voir</w:t>
      </w:r>
      <w:proofErr w:type="gramEnd"/>
      <w:r w:rsidRPr="00BC0FED">
        <w:rPr>
          <w:lang w:val="fr-FR"/>
        </w:rPr>
        <w:t xml:space="preserve"> les paragraphes 54 à 56 du document</w:t>
      </w:r>
      <w:r w:rsidR="002E4035" w:rsidRPr="00BC0FED">
        <w:rPr>
          <w:lang w:val="fr-FR"/>
        </w:rPr>
        <w:t> </w:t>
      </w:r>
      <w:r w:rsidRPr="00BC0FED">
        <w:rPr>
          <w:lang w:val="fr-FR"/>
        </w:rPr>
        <w:t>TWC/36/15 “</w:t>
      </w:r>
      <w:r w:rsidRPr="00BC0FED">
        <w:rPr>
          <w:i/>
          <w:lang w:val="fr-FR"/>
        </w:rPr>
        <w:t>Report</w:t>
      </w:r>
      <w:r w:rsidRPr="00BC0FED">
        <w:rPr>
          <w:lang w:val="fr-FR"/>
        </w:rPr>
        <w:t>”).</w:t>
      </w:r>
    </w:p>
    <w:p w:rsidR="001C55EE" w:rsidRPr="00BC0FED" w:rsidRDefault="001C55EE" w:rsidP="001C55EE">
      <w:pPr>
        <w:rPr>
          <w:lang w:val="fr-FR"/>
        </w:rPr>
      </w:pPr>
    </w:p>
    <w:p w:rsidR="001C55EE" w:rsidRPr="00BC0FED" w:rsidRDefault="001C55EE" w:rsidP="001C55EE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 TWC est convenu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 xml:space="preserve">inviter les experts de </w:t>
      </w:r>
      <w:r w:rsidR="00FE17E4" w:rsidRPr="00BC0FED">
        <w:rPr>
          <w:lang w:val="fr-FR"/>
        </w:rPr>
        <w:t>l</w:t>
      </w:r>
      <w:r w:rsidR="00F85D2F" w:rsidRPr="00BC0FED">
        <w:rPr>
          <w:lang w:val="fr-FR"/>
        </w:rPr>
        <w:t>’</w:t>
      </w:r>
      <w:r w:rsidR="00FE17E4" w:rsidRPr="00BC0FED">
        <w:rPr>
          <w:lang w:val="fr-FR"/>
        </w:rPr>
        <w:t>Allemagne et du Royaume</w:t>
      </w:r>
      <w:r w:rsidR="002E4035" w:rsidRPr="00BC0FED">
        <w:rPr>
          <w:lang w:val="fr-FR"/>
        </w:rPr>
        <w:noBreakHyphen/>
      </w:r>
      <w:r w:rsidR="00FE17E4" w:rsidRPr="00BC0FED">
        <w:rPr>
          <w:lang w:val="fr-FR"/>
        </w:rPr>
        <w:t xml:space="preserve">Uni à </w:t>
      </w:r>
      <w:r w:rsidRPr="00BC0FED">
        <w:rPr>
          <w:lang w:val="fr-FR"/>
        </w:rPr>
        <w:t>élaborer des exemples illus</w:t>
      </w:r>
      <w:r w:rsidR="00FE17E4" w:rsidRPr="00BC0FED">
        <w:rPr>
          <w:lang w:val="fr-FR"/>
        </w:rPr>
        <w:t>trant les probabilités d</w:t>
      </w:r>
      <w:r w:rsidR="00F85D2F" w:rsidRPr="00BC0FED">
        <w:rPr>
          <w:lang w:val="fr-FR"/>
        </w:rPr>
        <w:t>’</w:t>
      </w:r>
      <w:r w:rsidR="00FE17E4" w:rsidRPr="00BC0FED">
        <w:rPr>
          <w:lang w:val="fr-FR"/>
        </w:rPr>
        <w:t>erreur</w:t>
      </w:r>
      <w:r w:rsidRPr="00BC0FED">
        <w:rPr>
          <w:lang w:val="fr-FR"/>
        </w:rPr>
        <w:t xml:space="preserve"> et les conséquences </w:t>
      </w:r>
      <w:r w:rsidR="00FE17E4" w:rsidRPr="00BC0FED">
        <w:rPr>
          <w:lang w:val="fr-FR"/>
        </w:rPr>
        <w:t>sur</w:t>
      </w:r>
      <w:r w:rsidRPr="00BC0FED">
        <w:rPr>
          <w:lang w:val="fr-FR"/>
        </w:rPr>
        <w:t xml:space="preserve"> les décisi</w:t>
      </w:r>
      <w:r w:rsidR="00FE17E4" w:rsidRPr="00BC0FED">
        <w:rPr>
          <w:lang w:val="fr-FR"/>
        </w:rPr>
        <w:t>ons relatives à l</w:t>
      </w:r>
      <w:r w:rsidR="00F85D2F" w:rsidRPr="00BC0FED">
        <w:rPr>
          <w:lang w:val="fr-FR"/>
        </w:rPr>
        <w:t>’</w:t>
      </w:r>
      <w:r w:rsidR="00FE17E4" w:rsidRPr="00BC0FED">
        <w:rPr>
          <w:lang w:val="fr-FR"/>
        </w:rPr>
        <w:t xml:space="preserve">homogénéité, pour présentation </w:t>
      </w:r>
      <w:r w:rsidRPr="00BC0FED">
        <w:rPr>
          <w:lang w:val="fr-FR"/>
        </w:rPr>
        <w:t>à sa prochaine session.</w:t>
      </w:r>
    </w:p>
    <w:p w:rsidR="001C55EE" w:rsidRPr="00BC0FED" w:rsidRDefault="001C55EE" w:rsidP="001C55EE">
      <w:pPr>
        <w:rPr>
          <w:lang w:val="fr-FR"/>
        </w:rPr>
      </w:pPr>
    </w:p>
    <w:p w:rsidR="001C55EE" w:rsidRPr="00BC0FED" w:rsidRDefault="001C55EE" w:rsidP="001C55EE">
      <w:pPr>
        <w:rPr>
          <w:lang w:val="fr-FR"/>
        </w:rPr>
      </w:pPr>
      <w:r w:rsidRPr="00BC0FED">
        <w:rPr>
          <w:lang w:val="fr-FR"/>
        </w:rPr>
        <w:lastRenderedPageBreak/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 xml:space="preserve">Le TWC a </w:t>
      </w:r>
      <w:r w:rsidR="00EF1494" w:rsidRPr="00BC0FED">
        <w:rPr>
          <w:lang w:val="fr-FR"/>
        </w:rPr>
        <w:t>indiqué qu</w:t>
      </w:r>
      <w:r w:rsidR="00F85D2F" w:rsidRPr="00BC0FED">
        <w:rPr>
          <w:lang w:val="fr-FR"/>
        </w:rPr>
        <w:t>’</w:t>
      </w:r>
      <w:r w:rsidR="00EF1494" w:rsidRPr="00BC0FED">
        <w:rPr>
          <w:lang w:val="fr-FR"/>
        </w:rPr>
        <w:t xml:space="preserve">il importait </w:t>
      </w:r>
      <w:r w:rsidRPr="00BC0FED">
        <w:rPr>
          <w:lang w:val="fr-FR"/>
        </w:rPr>
        <w:t>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e</w:t>
      </w:r>
      <w:r w:rsidR="00EF1494" w:rsidRPr="00BC0FED">
        <w:rPr>
          <w:lang w:val="fr-FR"/>
        </w:rPr>
        <w:t>xaminer les probabilités d</w:t>
      </w:r>
      <w:r w:rsidR="00F85D2F" w:rsidRPr="00BC0FED">
        <w:rPr>
          <w:lang w:val="fr-FR"/>
        </w:rPr>
        <w:t>’</w:t>
      </w:r>
      <w:r w:rsidR="00EF1494" w:rsidRPr="00BC0FED">
        <w:rPr>
          <w:lang w:val="fr-FR"/>
        </w:rPr>
        <w:t>erreur</w:t>
      </w:r>
      <w:r w:rsidRPr="00BC0FED">
        <w:rPr>
          <w:lang w:val="fr-FR"/>
        </w:rPr>
        <w:t xml:space="preserve"> associée</w:t>
      </w:r>
      <w:r w:rsidR="00EF1494" w:rsidRPr="00BC0FED">
        <w:rPr>
          <w:lang w:val="fr-FR"/>
        </w:rPr>
        <w:t>s</w:t>
      </w:r>
      <w:r w:rsidRPr="00BC0FED">
        <w:rPr>
          <w:lang w:val="fr-FR"/>
        </w:rPr>
        <w:t xml:space="preserve"> à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évaluation de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homogénéité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après les plantes hors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type sur la base de plusieurs cycles de végétation et est convenu qu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 xml:space="preserve">il ne serait pas possible, </w:t>
      </w:r>
      <w:r w:rsidR="006511C0" w:rsidRPr="00BC0FED">
        <w:rPr>
          <w:lang w:val="fr-FR"/>
        </w:rPr>
        <w:t>d</w:t>
      </w:r>
      <w:r w:rsidR="00F85D2F" w:rsidRPr="00BC0FED">
        <w:rPr>
          <w:lang w:val="fr-FR"/>
        </w:rPr>
        <w:t>’</w:t>
      </w:r>
      <w:r w:rsidR="006511C0" w:rsidRPr="00BC0FED">
        <w:rPr>
          <w:lang w:val="fr-FR"/>
        </w:rPr>
        <w:t>un point</w:t>
      </w:r>
      <w:r w:rsidRPr="00BC0FED">
        <w:rPr>
          <w:lang w:val="fr-FR"/>
        </w:rPr>
        <w:t xml:space="preserve"> de vue pratique,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élaborer des tableaux indiquant le nombre de plantes hors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 xml:space="preserve">type autorisé </w:t>
      </w:r>
      <w:r w:rsidR="00EF1494" w:rsidRPr="00BC0FED">
        <w:rPr>
          <w:lang w:val="fr-FR"/>
        </w:rPr>
        <w:t>dans ces</w:t>
      </w:r>
      <w:r w:rsidRPr="00BC0FED">
        <w:rPr>
          <w:lang w:val="fr-FR"/>
        </w:rPr>
        <w:t xml:space="preserve"> c</w:t>
      </w:r>
      <w:r w:rsidR="005F032D" w:rsidRPr="00BC0FED">
        <w:rPr>
          <w:lang w:val="fr-FR"/>
        </w:rPr>
        <w:t>as.  Le</w:t>
      </w:r>
      <w:r w:rsidRPr="00BC0FED">
        <w:rPr>
          <w:lang w:val="fr-FR"/>
        </w:rPr>
        <w:t> TWC a noté que, à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avenir, il pourrait être nécessai</w:t>
      </w:r>
      <w:r w:rsidR="00EF1494" w:rsidRPr="00BC0FED">
        <w:rPr>
          <w:lang w:val="fr-FR"/>
        </w:rPr>
        <w:t>re de calculer ces probabilités</w:t>
      </w:r>
      <w:r w:rsidRPr="00BC0FED">
        <w:rPr>
          <w:lang w:val="fr-FR"/>
        </w:rPr>
        <w:t xml:space="preserve"> à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aide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un logiciel.</w:t>
      </w:r>
    </w:p>
    <w:p w:rsidR="00126DA7" w:rsidRDefault="00126DA7" w:rsidP="00B91E18">
      <w:pPr>
        <w:rPr>
          <w:lang w:val="fr-FR"/>
        </w:rPr>
      </w:pPr>
    </w:p>
    <w:p w:rsidR="00B30509" w:rsidRPr="00BC0FED" w:rsidRDefault="00B30509" w:rsidP="00B91E18">
      <w:pPr>
        <w:rPr>
          <w:lang w:val="fr-FR"/>
        </w:rPr>
      </w:pPr>
    </w:p>
    <w:p w:rsidR="00126DA7" w:rsidRPr="00BC0FED" w:rsidRDefault="00126DA7" w:rsidP="00B91E18">
      <w:pPr>
        <w:rPr>
          <w:lang w:val="fr-FR"/>
        </w:rPr>
      </w:pPr>
    </w:p>
    <w:p w:rsidR="00B91E18" w:rsidRPr="00633E35" w:rsidRDefault="00633E35" w:rsidP="002A421F">
      <w:pPr>
        <w:pStyle w:val="Heading1"/>
        <w:rPr>
          <w:rFonts w:eastAsia="MS Mincho"/>
          <w:lang w:val="fr-FR"/>
        </w:rPr>
      </w:pPr>
      <w:bookmarkStart w:id="15" w:name="_Toc524697872"/>
      <w:r w:rsidRPr="00E74017">
        <w:rPr>
          <w:rFonts w:eastAsia="MS Mincho"/>
          <w:lang w:val="fr-FR"/>
        </w:rPr>
        <w:t>RÉSUMÉ</w:t>
      </w:r>
      <w:r w:rsidR="002A421F" w:rsidRPr="00BC0FED">
        <w:rPr>
          <w:lang w:val="fr-FR"/>
        </w:rPr>
        <w:t xml:space="preserve"> des m</w:t>
      </w:r>
      <w:r w:rsidRPr="00E74017">
        <w:rPr>
          <w:rFonts w:eastAsia="MS Mincho"/>
          <w:lang w:val="fr-FR"/>
        </w:rPr>
        <w:t>É</w:t>
      </w:r>
      <w:r w:rsidR="002A421F" w:rsidRPr="00BC0FED">
        <w:rPr>
          <w:lang w:val="fr-FR"/>
        </w:rPr>
        <w:t>thodes</w:t>
      </w:r>
      <w:bookmarkEnd w:id="6"/>
      <w:bookmarkEnd w:id="15"/>
    </w:p>
    <w:p w:rsidR="00B91E18" w:rsidRPr="00BC0FED" w:rsidRDefault="00B91E18" w:rsidP="00B91E18">
      <w:pPr>
        <w:keepNext/>
        <w:rPr>
          <w:rFonts w:cs="Arial"/>
          <w:caps/>
          <w:snapToGrid w:val="0"/>
          <w:lang w:val="fr-FR"/>
        </w:rPr>
      </w:pPr>
    </w:p>
    <w:p w:rsidR="00B91E18" w:rsidRPr="00BC0FED" w:rsidRDefault="00B91E18" w:rsidP="00B91E18">
      <w:pPr>
        <w:rPr>
          <w:szCs w:val="24"/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</w:r>
      <w:r w:rsidRPr="00BC0FED">
        <w:rPr>
          <w:szCs w:val="24"/>
          <w:lang w:val="fr-FR"/>
        </w:rPr>
        <w:t>Les annexes I et II du présent document présentent un résumé des différentes situations dans lesquelles différents échantillons sont combinés aux fins de l</w:t>
      </w:r>
      <w:r w:rsidR="00F85D2F" w:rsidRPr="00BC0FED">
        <w:rPr>
          <w:szCs w:val="24"/>
          <w:lang w:val="fr-FR"/>
        </w:rPr>
        <w:t>’</w:t>
      </w:r>
      <w:r w:rsidRPr="00BC0FED">
        <w:rPr>
          <w:szCs w:val="24"/>
          <w:lang w:val="fr-FR"/>
        </w:rPr>
        <w:t>évaluation globale de l</w:t>
      </w:r>
      <w:r w:rsidR="00F85D2F" w:rsidRPr="00BC0FED">
        <w:rPr>
          <w:szCs w:val="24"/>
          <w:lang w:val="fr-FR"/>
        </w:rPr>
        <w:t>’</w:t>
      </w:r>
      <w:r w:rsidRPr="00BC0FED">
        <w:rPr>
          <w:szCs w:val="24"/>
          <w:lang w:val="fr-FR"/>
        </w:rPr>
        <w:t>homogénéité d</w:t>
      </w:r>
      <w:r w:rsidR="00F85D2F" w:rsidRPr="00BC0FED">
        <w:rPr>
          <w:szCs w:val="24"/>
          <w:lang w:val="fr-FR"/>
        </w:rPr>
        <w:t>’</w:t>
      </w:r>
      <w:r w:rsidRPr="00BC0FED">
        <w:rPr>
          <w:szCs w:val="24"/>
          <w:lang w:val="fr-FR"/>
        </w:rPr>
        <w:t>une variété, conformément aux conclusions formulées par le</w:t>
      </w:r>
      <w:r w:rsidR="00F85D2F" w:rsidRPr="00BC0FED">
        <w:rPr>
          <w:szCs w:val="24"/>
          <w:lang w:val="fr-FR"/>
        </w:rPr>
        <w:t> TC</w:t>
      </w:r>
      <w:r w:rsidRPr="00BC0FED">
        <w:rPr>
          <w:szCs w:val="24"/>
          <w:lang w:val="fr-FR"/>
        </w:rPr>
        <w:t xml:space="preserve"> à sa cinquante</w:t>
      </w:r>
      <w:r w:rsidR="002E4035" w:rsidRPr="00BC0FED">
        <w:rPr>
          <w:szCs w:val="24"/>
          <w:lang w:val="fr-FR"/>
        </w:rPr>
        <w:noBreakHyphen/>
      </w:r>
      <w:r w:rsidRPr="00BC0FED">
        <w:rPr>
          <w:szCs w:val="24"/>
          <w:lang w:val="fr-FR"/>
        </w:rPr>
        <w:t>trois</w:t>
      </w:r>
      <w:r w:rsidR="00F85D2F" w:rsidRPr="00BC0FED">
        <w:rPr>
          <w:szCs w:val="24"/>
          <w:lang w:val="fr-FR"/>
        </w:rPr>
        <w:t>ième session</w:t>
      </w:r>
      <w:r w:rsidRPr="00BC0FED">
        <w:rPr>
          <w:szCs w:val="24"/>
          <w:lang w:val="fr-FR"/>
        </w:rPr>
        <w:t xml:space="preserve"> et sur la base des propositions faites par les TWP à leurs sessions de 2017 et par le</w:t>
      </w:r>
      <w:r w:rsidR="00F85D2F" w:rsidRPr="00BC0FED">
        <w:rPr>
          <w:szCs w:val="24"/>
          <w:lang w:val="fr-FR"/>
        </w:rPr>
        <w:t> TC</w:t>
      </w:r>
      <w:r w:rsidR="002E4035" w:rsidRPr="00BC0FED">
        <w:rPr>
          <w:szCs w:val="24"/>
          <w:lang w:val="fr-FR"/>
        </w:rPr>
        <w:noBreakHyphen/>
      </w:r>
      <w:r w:rsidR="00F85D2F" w:rsidRPr="00BC0FED">
        <w:rPr>
          <w:szCs w:val="24"/>
          <w:lang w:val="fr-FR"/>
        </w:rPr>
        <w:t>EDC</w:t>
      </w:r>
      <w:r w:rsidRPr="00BC0FED">
        <w:rPr>
          <w:szCs w:val="24"/>
          <w:lang w:val="fr-FR"/>
        </w:rPr>
        <w:t xml:space="preserve"> à sa réunion de mars 2018.</w:t>
      </w:r>
    </w:p>
    <w:p w:rsidR="00B91E18" w:rsidRPr="00BC0FED" w:rsidRDefault="00B91E18" w:rsidP="00B91E18">
      <w:pPr>
        <w:rPr>
          <w:rFonts w:cs="Arial"/>
          <w:sz w:val="18"/>
          <w:szCs w:val="22"/>
          <w:u w:val="single"/>
          <w:lang w:val="fr-FR"/>
        </w:rPr>
      </w:pPr>
    </w:p>
    <w:p w:rsidR="00B91E18" w:rsidRPr="00BC0FED" w:rsidRDefault="00B91E18" w:rsidP="00B91E18">
      <w:pPr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Pr="00BC0FED">
        <w:rPr>
          <w:lang w:val="fr-FR"/>
        </w:rPr>
        <w:tab/>
        <w:t>Le résumé qui figure dans les annexes I et II porte uniquement sur des situations dans lesquelle</w:t>
      </w:r>
      <w:r w:rsidR="00954C9D" w:rsidRPr="00BC0FED">
        <w:rPr>
          <w:lang w:val="fr-FR"/>
        </w:rPr>
        <w:t>s plus d</w:t>
      </w:r>
      <w:r w:rsidR="00F85D2F" w:rsidRPr="00BC0FED">
        <w:rPr>
          <w:lang w:val="fr-FR"/>
        </w:rPr>
        <w:t>’</w:t>
      </w:r>
      <w:r w:rsidR="00954C9D" w:rsidRPr="00BC0FED">
        <w:rPr>
          <w:lang w:val="fr-FR"/>
        </w:rPr>
        <w:t>un échantillon ou sous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échantillon concern</w:t>
      </w:r>
      <w:r w:rsidR="00954C9D" w:rsidRPr="00BC0FED">
        <w:rPr>
          <w:lang w:val="fr-FR"/>
        </w:rPr>
        <w:t>ent l</w:t>
      </w:r>
      <w:r w:rsidR="00F85D2F" w:rsidRPr="00BC0FED">
        <w:rPr>
          <w:lang w:val="fr-FR"/>
        </w:rPr>
        <w:t>’</w:t>
      </w:r>
      <w:r w:rsidR="00954C9D" w:rsidRPr="00BC0FED">
        <w:rPr>
          <w:lang w:val="fr-FR"/>
        </w:rPr>
        <w:t>examen du même caractè</w:t>
      </w:r>
      <w:r w:rsidR="005F032D" w:rsidRPr="00BC0FED">
        <w:rPr>
          <w:lang w:val="fr-FR"/>
        </w:rPr>
        <w:t>re.  Lo</w:t>
      </w:r>
      <w:r w:rsidR="00954C9D" w:rsidRPr="00BC0FED">
        <w:rPr>
          <w:lang w:val="fr-FR"/>
        </w:rPr>
        <w:t>rsque les échantillons ou sous</w:t>
      </w:r>
      <w:r w:rsidR="002E4035" w:rsidRPr="00BC0FED">
        <w:rPr>
          <w:lang w:val="fr-FR"/>
        </w:rPr>
        <w:noBreakHyphen/>
      </w:r>
      <w:r w:rsidR="00954C9D" w:rsidRPr="00BC0FED">
        <w:rPr>
          <w:lang w:val="fr-FR"/>
        </w:rPr>
        <w:t>échantillons (</w:t>
      </w:r>
      <w:r w:rsidR="00835743" w:rsidRPr="00BC0FED">
        <w:rPr>
          <w:lang w:val="fr-FR"/>
        </w:rPr>
        <w:t>p. ex.</w:t>
      </w:r>
      <w:r w:rsidR="00206F75" w:rsidRPr="00BC0FED">
        <w:rPr>
          <w:lang w:val="fr-FR"/>
        </w:rPr>
        <w:t> </w:t>
      </w:r>
      <w:r w:rsidRPr="00BC0FED">
        <w:rPr>
          <w:lang w:val="fr-FR"/>
        </w:rPr>
        <w:t>examen spécial) sont différents pour examiner un caractère différent, il n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est pas obligatoire de combiner les résultats car une variété doit être homogène pour tous les caractères pertinents.</w:t>
      </w:r>
    </w:p>
    <w:p w:rsidR="00903098" w:rsidRPr="00BC0FED" w:rsidRDefault="00903098" w:rsidP="00B91E18">
      <w:pPr>
        <w:jc w:val="left"/>
        <w:rPr>
          <w:szCs w:val="24"/>
          <w:lang w:val="fr-FR"/>
        </w:rPr>
      </w:pPr>
    </w:p>
    <w:p w:rsidR="00B91E18" w:rsidRPr="00BC0FED" w:rsidRDefault="00B91E18" w:rsidP="00B91E18">
      <w:pPr>
        <w:pStyle w:val="DecisionParagraphs"/>
        <w:keepNext/>
        <w:tabs>
          <w:tab w:val="left" w:pos="567"/>
          <w:tab w:val="left" w:pos="1134"/>
        </w:tabs>
        <w:rPr>
          <w:lang w:val="fr-FR"/>
        </w:rPr>
      </w:pPr>
      <w:r w:rsidRPr="00BC0FED">
        <w:rPr>
          <w:lang w:val="fr-FR"/>
        </w:rPr>
        <w:fldChar w:fldCharType="begin"/>
      </w:r>
      <w:r w:rsidRPr="00BC0FED">
        <w:rPr>
          <w:lang w:val="fr-FR"/>
        </w:rPr>
        <w:instrText xml:space="preserve"> AUTONUM  </w:instrText>
      </w:r>
      <w:r w:rsidRPr="00BC0FED">
        <w:rPr>
          <w:lang w:val="fr-FR"/>
        </w:rPr>
        <w:fldChar w:fldCharType="end"/>
      </w:r>
      <w:r w:rsidR="00954C9D" w:rsidRPr="00BC0FED">
        <w:rPr>
          <w:lang w:val="fr-FR"/>
        </w:rPr>
        <w:tab/>
        <w:t>Le</w:t>
      </w:r>
      <w:r w:rsidR="00F85D2F" w:rsidRPr="00BC0FED">
        <w:rPr>
          <w:lang w:val="fr-FR"/>
        </w:rPr>
        <w:t> TC</w:t>
      </w:r>
      <w:r w:rsidR="00954C9D" w:rsidRPr="00BC0FED">
        <w:rPr>
          <w:lang w:val="fr-FR"/>
        </w:rPr>
        <w:t xml:space="preserve"> est invité</w:t>
      </w:r>
    </w:p>
    <w:p w:rsidR="00B91E18" w:rsidRPr="00BC0FED" w:rsidRDefault="00B91E18" w:rsidP="00B91E18">
      <w:pPr>
        <w:pStyle w:val="DecisionParagraphs"/>
        <w:keepLines/>
        <w:tabs>
          <w:tab w:val="left" w:pos="567"/>
          <w:tab w:val="left" w:pos="1134"/>
        </w:tabs>
        <w:ind w:firstLine="567"/>
        <w:rPr>
          <w:highlight w:val="cyan"/>
          <w:lang w:val="fr-FR"/>
        </w:rPr>
      </w:pPr>
    </w:p>
    <w:p w:rsidR="003851A9" w:rsidRPr="00BC0FED" w:rsidRDefault="003851A9" w:rsidP="003851A9">
      <w:pPr>
        <w:pStyle w:val="DecisionParagraphs"/>
        <w:keepLines/>
        <w:tabs>
          <w:tab w:val="left" w:pos="567"/>
          <w:tab w:val="left" w:pos="1134"/>
          <w:tab w:val="left" w:pos="5954"/>
        </w:tabs>
        <w:ind w:firstLine="567"/>
        <w:rPr>
          <w:lang w:val="fr-FR"/>
        </w:rPr>
      </w:pPr>
      <w:r w:rsidRPr="00BC0FED">
        <w:rPr>
          <w:lang w:val="fr-FR"/>
        </w:rPr>
        <w:t>a)</w:t>
      </w:r>
      <w:r w:rsidRPr="00BC0FED">
        <w:rPr>
          <w:lang w:val="fr-FR"/>
        </w:rPr>
        <w:tab/>
        <w:t>à examiner le projet d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orientations figurant dans les annexes I et II du présent document, tel que proposé par le TD</w:t>
      </w:r>
      <w:r w:rsidR="002E4035" w:rsidRPr="00BC0FED">
        <w:rPr>
          <w:lang w:val="fr-FR"/>
        </w:rPr>
        <w:noBreakHyphen/>
      </w:r>
      <w:r w:rsidRPr="00BC0FED">
        <w:rPr>
          <w:lang w:val="fr-FR"/>
        </w:rPr>
        <w:t>EDC, aux fins de son inclusion dans une future révision du document</w:t>
      </w:r>
      <w:r w:rsidR="002E4035" w:rsidRPr="00BC0FED">
        <w:rPr>
          <w:lang w:val="fr-FR"/>
        </w:rPr>
        <w:t> </w:t>
      </w:r>
      <w:r w:rsidRPr="00BC0FED">
        <w:rPr>
          <w:lang w:val="fr-FR"/>
        </w:rPr>
        <w:t>TGP/10 “Examen de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homogénéité”,</w:t>
      </w:r>
    </w:p>
    <w:p w:rsidR="003851A9" w:rsidRPr="00BC0FED" w:rsidRDefault="003851A9" w:rsidP="00B91E18">
      <w:pPr>
        <w:pStyle w:val="DecisionParagraphs"/>
        <w:keepLines/>
        <w:tabs>
          <w:tab w:val="left" w:pos="567"/>
          <w:tab w:val="left" w:pos="1134"/>
        </w:tabs>
        <w:ind w:firstLine="567"/>
        <w:rPr>
          <w:highlight w:val="cyan"/>
          <w:lang w:val="fr-FR"/>
        </w:rPr>
      </w:pPr>
    </w:p>
    <w:p w:rsidR="00002AF6" w:rsidRPr="00BC0FED" w:rsidRDefault="00002AF6" w:rsidP="00002AF6">
      <w:pPr>
        <w:pStyle w:val="DecisionParagraphs"/>
        <w:keepLines/>
        <w:tabs>
          <w:tab w:val="left" w:pos="567"/>
          <w:tab w:val="left" w:pos="1134"/>
          <w:tab w:val="left" w:pos="5954"/>
        </w:tabs>
        <w:ind w:firstLine="567"/>
        <w:rPr>
          <w:highlight w:val="cyan"/>
          <w:lang w:val="fr-FR"/>
        </w:rPr>
      </w:pPr>
      <w:r w:rsidRPr="00BC0FED">
        <w:rPr>
          <w:lang w:val="fr-FR"/>
        </w:rPr>
        <w:t>b)</w:t>
      </w:r>
      <w:r w:rsidRPr="00BC0FED">
        <w:rPr>
          <w:lang w:val="fr-FR"/>
        </w:rPr>
        <w:tab/>
        <w:t>à noter que le TWC est convenu que dans certains cas, les différentes méthodes produisaient des résultats différents et qu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une réduction de la taille des échantillons et du nombre de plant</w:t>
      </w:r>
      <w:r w:rsidR="00CD5DBD" w:rsidRPr="00BC0FED">
        <w:rPr>
          <w:lang w:val="fr-FR"/>
        </w:rPr>
        <w:t>es hors</w:t>
      </w:r>
      <w:r w:rsidR="002E4035" w:rsidRPr="00BC0FED">
        <w:rPr>
          <w:lang w:val="fr-FR"/>
        </w:rPr>
        <w:noBreakHyphen/>
      </w:r>
      <w:r w:rsidR="00CD5DBD" w:rsidRPr="00BC0FED">
        <w:rPr>
          <w:lang w:val="fr-FR"/>
        </w:rPr>
        <w:t>type autorisé (</w:t>
      </w:r>
      <w:r w:rsidR="00835743" w:rsidRPr="00BC0FED">
        <w:rPr>
          <w:lang w:val="fr-FR"/>
        </w:rPr>
        <w:t>p. ex.</w:t>
      </w:r>
      <w:r w:rsidR="00206F75" w:rsidRPr="00BC0FED">
        <w:rPr>
          <w:lang w:val="fr-FR"/>
        </w:rPr>
        <w:t> </w:t>
      </w:r>
      <w:r w:rsidRPr="00BC0FED">
        <w:rPr>
          <w:lang w:val="fr-FR"/>
        </w:rPr>
        <w:t xml:space="preserve">plantes potagères) permettait de mettre en évidence des cas limites où des résultats différents pouvaient être obtenus </w:t>
      </w:r>
      <w:r w:rsidR="00CD5DBD" w:rsidRPr="00BC0FED">
        <w:rPr>
          <w:lang w:val="fr-FR"/>
        </w:rPr>
        <w:t>au moyen des différentes</w:t>
      </w:r>
      <w:r w:rsidRPr="00BC0FED">
        <w:rPr>
          <w:lang w:val="fr-FR"/>
        </w:rPr>
        <w:t xml:space="preserve"> méthodes, et</w:t>
      </w:r>
    </w:p>
    <w:p w:rsidR="00002AF6" w:rsidRPr="00BC0FED" w:rsidRDefault="00002AF6" w:rsidP="00002AF6">
      <w:pPr>
        <w:pStyle w:val="DecisionParagraphs"/>
        <w:keepLines/>
        <w:tabs>
          <w:tab w:val="left" w:pos="567"/>
          <w:tab w:val="left" w:pos="1134"/>
          <w:tab w:val="left" w:pos="5954"/>
        </w:tabs>
        <w:ind w:firstLine="567"/>
        <w:rPr>
          <w:lang w:val="fr-FR"/>
        </w:rPr>
      </w:pPr>
    </w:p>
    <w:p w:rsidR="00B91E18" w:rsidRPr="00BC0FED" w:rsidRDefault="00B91E18" w:rsidP="00C63DA6">
      <w:pPr>
        <w:pStyle w:val="DecisionParagraphs"/>
        <w:keepLines/>
        <w:tabs>
          <w:tab w:val="left" w:pos="567"/>
          <w:tab w:val="left" w:pos="1134"/>
          <w:tab w:val="left" w:pos="5954"/>
        </w:tabs>
        <w:ind w:firstLine="567"/>
        <w:rPr>
          <w:lang w:val="fr-FR"/>
        </w:rPr>
      </w:pPr>
      <w:r w:rsidRPr="00BC0FED">
        <w:rPr>
          <w:lang w:val="fr-FR"/>
        </w:rPr>
        <w:t>(c)</w:t>
      </w:r>
      <w:r w:rsidRPr="00BC0FED">
        <w:rPr>
          <w:lang w:val="fr-FR"/>
        </w:rPr>
        <w:tab/>
      </w:r>
      <w:r w:rsidR="00F52756" w:rsidRPr="00BC0FED">
        <w:rPr>
          <w:lang w:val="fr-FR"/>
        </w:rPr>
        <w:t>à noter que le TWC est convenu qu</w:t>
      </w:r>
      <w:r w:rsidR="00F85D2F" w:rsidRPr="00BC0FED">
        <w:rPr>
          <w:lang w:val="fr-FR"/>
        </w:rPr>
        <w:t>’</w:t>
      </w:r>
      <w:r w:rsidR="00F52756" w:rsidRPr="00BC0FED">
        <w:rPr>
          <w:lang w:val="fr-FR"/>
        </w:rPr>
        <w:t xml:space="preserve">il ne serait pas possible, </w:t>
      </w:r>
      <w:r w:rsidR="006511C0" w:rsidRPr="00BC0FED">
        <w:rPr>
          <w:lang w:val="fr-FR"/>
        </w:rPr>
        <w:t>d</w:t>
      </w:r>
      <w:r w:rsidR="00F85D2F" w:rsidRPr="00BC0FED">
        <w:rPr>
          <w:lang w:val="fr-FR"/>
        </w:rPr>
        <w:t>’</w:t>
      </w:r>
      <w:r w:rsidR="006511C0" w:rsidRPr="00BC0FED">
        <w:rPr>
          <w:lang w:val="fr-FR"/>
        </w:rPr>
        <w:t>un point</w:t>
      </w:r>
      <w:r w:rsidR="00F52756" w:rsidRPr="00BC0FED">
        <w:rPr>
          <w:lang w:val="fr-FR"/>
        </w:rPr>
        <w:t xml:space="preserve"> de vue pratique, d</w:t>
      </w:r>
      <w:r w:rsidR="00F85D2F" w:rsidRPr="00BC0FED">
        <w:rPr>
          <w:lang w:val="fr-FR"/>
        </w:rPr>
        <w:t>’</w:t>
      </w:r>
      <w:r w:rsidR="00F52756" w:rsidRPr="00BC0FED">
        <w:rPr>
          <w:lang w:val="fr-FR"/>
        </w:rPr>
        <w:t>élaborer des tableaux indiquant le nombre de plantes hors</w:t>
      </w:r>
      <w:r w:rsidR="002E4035" w:rsidRPr="00BC0FED">
        <w:rPr>
          <w:lang w:val="fr-FR"/>
        </w:rPr>
        <w:noBreakHyphen/>
      </w:r>
      <w:r w:rsidR="00F52756" w:rsidRPr="00BC0FED">
        <w:rPr>
          <w:lang w:val="fr-FR"/>
        </w:rPr>
        <w:t>type autorisé pour l</w:t>
      </w:r>
      <w:r w:rsidR="00F85D2F" w:rsidRPr="00BC0FED">
        <w:rPr>
          <w:lang w:val="fr-FR"/>
        </w:rPr>
        <w:t>’</w:t>
      </w:r>
      <w:r w:rsidR="00F52756" w:rsidRPr="00BC0FED">
        <w:rPr>
          <w:lang w:val="fr-FR"/>
        </w:rPr>
        <w:t>évaluation globale de l</w:t>
      </w:r>
      <w:r w:rsidR="00F85D2F" w:rsidRPr="00BC0FED">
        <w:rPr>
          <w:lang w:val="fr-FR"/>
        </w:rPr>
        <w:t>’</w:t>
      </w:r>
      <w:r w:rsidR="00F52756" w:rsidRPr="00BC0FED">
        <w:rPr>
          <w:lang w:val="fr-FR"/>
        </w:rPr>
        <w:t>homogénéité d</w:t>
      </w:r>
      <w:r w:rsidR="00F85D2F" w:rsidRPr="00BC0FED">
        <w:rPr>
          <w:lang w:val="fr-FR"/>
        </w:rPr>
        <w:t>’</w:t>
      </w:r>
      <w:r w:rsidR="00F52756" w:rsidRPr="00BC0FED">
        <w:rPr>
          <w:lang w:val="fr-FR"/>
        </w:rPr>
        <w:t>après les plantes hors</w:t>
      </w:r>
      <w:r w:rsidR="002E4035" w:rsidRPr="00BC0FED">
        <w:rPr>
          <w:lang w:val="fr-FR"/>
        </w:rPr>
        <w:noBreakHyphen/>
      </w:r>
      <w:r w:rsidR="00F52756" w:rsidRPr="00BC0FED">
        <w:rPr>
          <w:lang w:val="fr-FR"/>
        </w:rPr>
        <w:t>type sur la base de plusieurs cycles de végétation et que, à l</w:t>
      </w:r>
      <w:r w:rsidR="00F85D2F" w:rsidRPr="00BC0FED">
        <w:rPr>
          <w:lang w:val="fr-FR"/>
        </w:rPr>
        <w:t>’</w:t>
      </w:r>
      <w:r w:rsidR="00F52756" w:rsidRPr="00BC0FED">
        <w:rPr>
          <w:lang w:val="fr-FR"/>
        </w:rPr>
        <w:t>avenir, il pourrait être nécessaire de cal</w:t>
      </w:r>
      <w:r w:rsidR="00CE7B0D" w:rsidRPr="00BC0FED">
        <w:rPr>
          <w:lang w:val="fr-FR"/>
        </w:rPr>
        <w:t>culer les probabilités d</w:t>
      </w:r>
      <w:r w:rsidR="00F85D2F" w:rsidRPr="00BC0FED">
        <w:rPr>
          <w:lang w:val="fr-FR"/>
        </w:rPr>
        <w:t>’</w:t>
      </w:r>
      <w:r w:rsidR="00CE7B0D" w:rsidRPr="00BC0FED">
        <w:rPr>
          <w:lang w:val="fr-FR"/>
        </w:rPr>
        <w:t>erreur</w:t>
      </w:r>
      <w:r w:rsidR="00F52756" w:rsidRPr="00BC0FED">
        <w:rPr>
          <w:lang w:val="fr-FR"/>
        </w:rPr>
        <w:t xml:space="preserve"> à l</w:t>
      </w:r>
      <w:r w:rsidR="00F85D2F" w:rsidRPr="00BC0FED">
        <w:rPr>
          <w:lang w:val="fr-FR"/>
        </w:rPr>
        <w:t>’</w:t>
      </w:r>
      <w:r w:rsidR="00F52756" w:rsidRPr="00BC0FED">
        <w:rPr>
          <w:lang w:val="fr-FR"/>
        </w:rPr>
        <w:t>aide d</w:t>
      </w:r>
      <w:r w:rsidR="00F85D2F" w:rsidRPr="00BC0FED">
        <w:rPr>
          <w:lang w:val="fr-FR"/>
        </w:rPr>
        <w:t>’</w:t>
      </w:r>
      <w:r w:rsidR="00F52756" w:rsidRPr="00BC0FED">
        <w:rPr>
          <w:lang w:val="fr-FR"/>
        </w:rPr>
        <w:t>un logiciel.</w:t>
      </w:r>
    </w:p>
    <w:p w:rsidR="00B91E18" w:rsidRPr="00BC0FED" w:rsidRDefault="00B91E18" w:rsidP="00B91E18">
      <w:pPr>
        <w:pStyle w:val="DecisionParagraphs"/>
        <w:keepLines/>
        <w:tabs>
          <w:tab w:val="clear" w:pos="5387"/>
        </w:tabs>
        <w:ind w:left="4536" w:firstLine="567"/>
        <w:rPr>
          <w:lang w:val="fr-FR"/>
        </w:rPr>
      </w:pPr>
    </w:p>
    <w:p w:rsidR="00B91E18" w:rsidRPr="00BC0FED" w:rsidRDefault="00B91E18" w:rsidP="00B91E18">
      <w:pPr>
        <w:pStyle w:val="DecisionParagraphs"/>
        <w:keepLines/>
        <w:tabs>
          <w:tab w:val="clear" w:pos="5387"/>
        </w:tabs>
        <w:ind w:left="4536" w:firstLine="567"/>
        <w:rPr>
          <w:lang w:val="fr-FR"/>
        </w:rPr>
      </w:pPr>
    </w:p>
    <w:p w:rsidR="00B91E18" w:rsidRDefault="00B91E18" w:rsidP="00B91E18">
      <w:pPr>
        <w:jc w:val="right"/>
        <w:rPr>
          <w:lang w:val="fr-FR"/>
        </w:rPr>
      </w:pPr>
      <w:r w:rsidRPr="00BC0FED">
        <w:rPr>
          <w:lang w:val="fr-FR"/>
        </w:rPr>
        <w:t>[Les annexes suivent]</w:t>
      </w:r>
    </w:p>
    <w:p w:rsidR="00B30509" w:rsidRPr="00BC0FED" w:rsidRDefault="00B30509" w:rsidP="00B91E18">
      <w:pPr>
        <w:jc w:val="right"/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jc w:val="left"/>
        <w:rPr>
          <w:lang w:val="fr-FR"/>
        </w:rPr>
        <w:sectPr w:rsidR="00B91E18" w:rsidRPr="00BC0FED" w:rsidSect="005A6F81">
          <w:headerReference w:type="default" r:id="rId9"/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B91E18" w:rsidRPr="0028220E" w:rsidTr="005A6F81">
        <w:trPr>
          <w:trHeight w:val="350"/>
        </w:trPr>
        <w:tc>
          <w:tcPr>
            <w:tcW w:w="9639" w:type="dxa"/>
          </w:tcPr>
          <w:p w:rsidR="00B91E18" w:rsidRPr="00BC0FED" w:rsidRDefault="00B91E18" w:rsidP="005A6F81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val="fr-FR" w:eastAsia="zh-CN"/>
              </w:rPr>
            </w:pPr>
          </w:p>
          <w:p w:rsidR="00F85D2F" w:rsidRPr="00BC0FED" w:rsidRDefault="00B91E18" w:rsidP="005A6F81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val="fr-FR"/>
              </w:rPr>
            </w:pPr>
            <w:r w:rsidRPr="00BC0FED">
              <w:rPr>
                <w:rFonts w:eastAsia="SimSun"/>
                <w:szCs w:val="24"/>
                <w:lang w:val="fr-FR"/>
              </w:rPr>
              <w:t>ÉVALUATION DE L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HOMOGÉNÉITÉ D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APRÈS LES PLANTES HORS</w:t>
            </w:r>
            <w:r w:rsidR="00F85D2F" w:rsidRPr="00BC0FED">
              <w:rPr>
                <w:rFonts w:eastAsia="SimSun"/>
                <w:szCs w:val="24"/>
                <w:lang w:val="fr-FR"/>
              </w:rPr>
              <w:t>-</w:t>
            </w:r>
            <w:r w:rsidRPr="00BC0FED">
              <w:rPr>
                <w:rFonts w:eastAsia="SimSun"/>
                <w:szCs w:val="24"/>
                <w:lang w:val="fr-FR"/>
              </w:rPr>
              <w:t>TYPE SUR LA BASE DE PLUSIEURS CYCLES DE VÉGÉTATION</w:t>
            </w:r>
          </w:p>
          <w:p w:rsidR="00B91E18" w:rsidRPr="00BC0FED" w:rsidRDefault="00B91E18" w:rsidP="005A6F81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val="fr-FR" w:eastAsia="zh-CN"/>
              </w:rPr>
            </w:pPr>
          </w:p>
        </w:tc>
      </w:tr>
      <w:tr w:rsidR="00B91E18" w:rsidRPr="0028220E" w:rsidTr="005A6F81">
        <w:trPr>
          <w:trHeight w:val="5687"/>
        </w:trPr>
        <w:tc>
          <w:tcPr>
            <w:tcW w:w="9639" w:type="dxa"/>
          </w:tcPr>
          <w:p w:rsidR="00B91E18" w:rsidRPr="00BC0FED" w:rsidRDefault="00B91E18" w:rsidP="005A6F81">
            <w:pPr>
              <w:rPr>
                <w:szCs w:val="24"/>
                <w:lang w:val="fr-FR"/>
              </w:rPr>
            </w:pPr>
            <w:r w:rsidRPr="00BC0FED">
              <w:rPr>
                <w:lang w:val="fr-FR"/>
              </w:rPr>
              <w:t>Deux cycles de végétation indépendants pourraient avoir lieu en un seul endroit sur plusieurs années ou en différents endroits la même année, selon ce qui figure dans le document</w:t>
            </w:r>
            <w:r w:rsidR="002E4035" w:rsidRPr="00BC0FED">
              <w:rPr>
                <w:lang w:val="fr-FR"/>
              </w:rPr>
              <w:t> </w:t>
            </w:r>
            <w:r w:rsidRPr="00BC0FED">
              <w:rPr>
                <w:lang w:val="fr-FR"/>
              </w:rPr>
              <w:t>TGP/8, première partie, sections 1.2 et 1.3.</w:t>
            </w:r>
          </w:p>
          <w:p w:rsidR="00B91E18" w:rsidRPr="00BC0FED" w:rsidRDefault="00B91E18" w:rsidP="005A6F81">
            <w:pPr>
              <w:rPr>
                <w:szCs w:val="24"/>
                <w:lang w:val="fr-FR"/>
              </w:rPr>
            </w:pPr>
          </w:p>
          <w:p w:rsidR="00B91E18" w:rsidRPr="00BC0FED" w:rsidRDefault="00B91E18" w:rsidP="005A6F81">
            <w:pPr>
              <w:rPr>
                <w:szCs w:val="24"/>
                <w:lang w:val="fr-FR"/>
              </w:rPr>
            </w:pPr>
            <w:r w:rsidRPr="00BC0FED">
              <w:rPr>
                <w:lang w:val="fr-FR"/>
              </w:rPr>
              <w:t>Les orientations ci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après ne sont pas destinées à être utilisées pour l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évaluation de l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homogénéité d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après les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sur les mêmes plantes pendant deux</w:t>
            </w:r>
            <w:r w:rsidR="008E2723" w:rsidRPr="00BC0FED">
              <w:rPr>
                <w:lang w:val="fr-FR"/>
              </w:rPr>
              <w:t> </w:t>
            </w:r>
            <w:r w:rsidRPr="00BC0FED">
              <w:rPr>
                <w:lang w:val="fr-FR"/>
              </w:rPr>
              <w:t>cycles de végétati</w:t>
            </w:r>
            <w:r w:rsidR="005F032D" w:rsidRPr="00BC0FED">
              <w:rPr>
                <w:lang w:val="fr-FR"/>
              </w:rPr>
              <w:t>on.  Le</w:t>
            </w:r>
            <w:r w:rsidRPr="00BC0FED">
              <w:rPr>
                <w:lang w:val="fr-FR"/>
              </w:rPr>
              <w:t>s résultats issus de cycles de végétation fondés sur des lots différents de matériel végétal ne devraient pas être combinés.</w:t>
            </w:r>
          </w:p>
          <w:p w:rsidR="00056F77" w:rsidRPr="00BC0FED" w:rsidRDefault="00056F77" w:rsidP="005A6F81">
            <w:pPr>
              <w:rPr>
                <w:szCs w:val="24"/>
                <w:lang w:val="fr-FR"/>
              </w:rPr>
            </w:pPr>
          </w:p>
          <w:p w:rsidR="00F85D2F" w:rsidRPr="00BC0FED" w:rsidRDefault="00B91E18" w:rsidP="005A6F81">
            <w:pPr>
              <w:rPr>
                <w:b/>
                <w:szCs w:val="24"/>
                <w:lang w:val="fr-FR"/>
              </w:rPr>
            </w:pPr>
            <w:r w:rsidRPr="00BC0FED">
              <w:rPr>
                <w:b/>
                <w:szCs w:val="24"/>
                <w:lang w:val="fr-FR"/>
              </w:rPr>
              <w:t>Méthode 1</w:t>
            </w:r>
            <w:r w:rsidR="00F85D2F" w:rsidRPr="00BC0FED">
              <w:rPr>
                <w:b/>
                <w:szCs w:val="24"/>
                <w:lang w:val="fr-FR"/>
              </w:rPr>
              <w:t> :</w:t>
            </w:r>
            <w:r w:rsidRPr="00BC0FED">
              <w:rPr>
                <w:b/>
                <w:szCs w:val="24"/>
                <w:lang w:val="fr-FR"/>
              </w:rPr>
              <w:t xml:space="preserve"> Troisième cycle de végétation si les résultats sont incompatibles</w:t>
            </w:r>
          </w:p>
          <w:p w:rsidR="00B91E18" w:rsidRPr="00BC0FED" w:rsidRDefault="00B91E18" w:rsidP="005A6F81">
            <w:pPr>
              <w:jc w:val="center"/>
              <w:rPr>
                <w:b/>
                <w:szCs w:val="24"/>
                <w:lang w:val="fr-FR"/>
              </w:rPr>
            </w:pPr>
          </w:p>
          <w:p w:rsidR="00B91E18" w:rsidRPr="00BC0FED" w:rsidRDefault="00B91E18" w:rsidP="005A6F81">
            <w:pPr>
              <w:rPr>
                <w:rFonts w:eastAsia="SimSun"/>
                <w:szCs w:val="24"/>
                <w:lang w:val="fr-FR" w:eastAsia="zh-CN"/>
              </w:rPr>
            </w:pPr>
            <w:r w:rsidRPr="00BC0FED">
              <w:rPr>
                <w:rFonts w:eastAsia="SimSun"/>
                <w:szCs w:val="24"/>
                <w:lang w:val="fr-FR"/>
              </w:rPr>
              <w:t>Une variété est réputée homogène si elle se situe dans les limites de la norme d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homogénéité sur les deux</w:t>
            </w:r>
            <w:r w:rsidR="008E2723" w:rsidRPr="00BC0FED">
              <w:rPr>
                <w:rFonts w:eastAsia="SimSun"/>
                <w:szCs w:val="24"/>
                <w:lang w:val="fr-FR"/>
              </w:rPr>
              <w:t> </w:t>
            </w:r>
            <w:r w:rsidRPr="00BC0FED">
              <w:rPr>
                <w:rFonts w:eastAsia="SimSun"/>
                <w:szCs w:val="24"/>
                <w:lang w:val="fr-FR"/>
              </w:rPr>
              <w:t>cycles de végétation.</w:t>
            </w:r>
          </w:p>
          <w:p w:rsidR="00B91E18" w:rsidRPr="00BC0FED" w:rsidRDefault="00B91E18" w:rsidP="005A6F81">
            <w:pPr>
              <w:rPr>
                <w:rFonts w:eastAsia="SimSun"/>
                <w:szCs w:val="24"/>
                <w:lang w:val="fr-FR" w:eastAsia="zh-CN"/>
              </w:rPr>
            </w:pPr>
          </w:p>
          <w:p w:rsidR="00B91E18" w:rsidRPr="00BC0FED" w:rsidRDefault="00B91E18" w:rsidP="005A6F81">
            <w:pPr>
              <w:rPr>
                <w:rFonts w:eastAsia="SimSun"/>
                <w:szCs w:val="24"/>
                <w:lang w:val="fr-FR" w:eastAsia="zh-CN"/>
              </w:rPr>
            </w:pPr>
            <w:r w:rsidRPr="00BC0FED">
              <w:rPr>
                <w:rFonts w:eastAsia="SimSun"/>
                <w:szCs w:val="24"/>
                <w:lang w:val="fr-FR"/>
              </w:rPr>
              <w:t>Une variété est réputée non homogène si elle ne se situe pas dans les limites de la norme d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homogénéité sur les deux</w:t>
            </w:r>
            <w:r w:rsidR="008E2723" w:rsidRPr="00BC0FED">
              <w:rPr>
                <w:rFonts w:eastAsia="SimSun"/>
                <w:szCs w:val="24"/>
                <w:lang w:val="fr-FR"/>
              </w:rPr>
              <w:t> </w:t>
            </w:r>
            <w:r w:rsidRPr="00BC0FED">
              <w:rPr>
                <w:rFonts w:eastAsia="SimSun"/>
                <w:szCs w:val="24"/>
                <w:lang w:val="fr-FR"/>
              </w:rPr>
              <w:t>cycles de végétation.</w:t>
            </w:r>
          </w:p>
          <w:p w:rsidR="00B91E18" w:rsidRPr="00BC0FED" w:rsidRDefault="00B91E18" w:rsidP="005A6F81">
            <w:pPr>
              <w:rPr>
                <w:rFonts w:eastAsia="SimSun"/>
                <w:szCs w:val="24"/>
                <w:lang w:val="fr-FR" w:eastAsia="zh-CN"/>
              </w:rPr>
            </w:pPr>
          </w:p>
          <w:p w:rsidR="00B91E18" w:rsidRPr="00BC0FED" w:rsidRDefault="00B91E18" w:rsidP="005A6F8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BC0FED">
              <w:rPr>
                <w:rFonts w:eastAsia="SimSun"/>
                <w:szCs w:val="24"/>
                <w:lang w:val="fr-FR"/>
              </w:rPr>
              <w:t>Si, à l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issue des deux</w:t>
            </w:r>
            <w:r w:rsidR="008E2723" w:rsidRPr="00BC0FED">
              <w:rPr>
                <w:rFonts w:eastAsia="SimSun"/>
                <w:szCs w:val="24"/>
                <w:lang w:val="fr-FR"/>
              </w:rPr>
              <w:t> </w:t>
            </w:r>
            <w:r w:rsidRPr="00BC0FED">
              <w:rPr>
                <w:rFonts w:eastAsia="SimSun"/>
                <w:szCs w:val="24"/>
                <w:lang w:val="fr-FR"/>
              </w:rPr>
              <w:t>cycles de végétation, la variété se situe dans les limites de la norme d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homogénéité pour un cycle et pas l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autre, l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homogénéité peut être évaluée sur un troisième cycle de végétati</w:t>
            </w:r>
            <w:r w:rsidR="005F032D" w:rsidRPr="00BC0FED">
              <w:rPr>
                <w:rFonts w:eastAsia="SimSun"/>
                <w:szCs w:val="24"/>
                <w:lang w:val="fr-FR"/>
              </w:rPr>
              <w:t>on.  Si</w:t>
            </w:r>
            <w:r w:rsidRPr="00BC0FED">
              <w:rPr>
                <w:rFonts w:eastAsia="SimSun"/>
                <w:szCs w:val="24"/>
                <w:lang w:val="fr-FR"/>
              </w:rPr>
              <w:t>, pour ce troisième cycle, elle se situe dans les limites de la norme d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homogénéité, elle est réputée homogè</w:t>
            </w:r>
            <w:r w:rsidR="005F032D" w:rsidRPr="00BC0FED">
              <w:rPr>
                <w:rFonts w:eastAsia="SimSun"/>
                <w:szCs w:val="24"/>
                <w:lang w:val="fr-FR"/>
              </w:rPr>
              <w:t>ne.  Si</w:t>
            </w:r>
            <w:r w:rsidRPr="00BC0FED">
              <w:rPr>
                <w:rFonts w:eastAsia="SimSun"/>
                <w:szCs w:val="24"/>
                <w:lang w:val="fr-FR"/>
              </w:rPr>
              <w:t>, à la fin du troisième cycle de végétation, la variété ne se situe pas dans la norme d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homogénéité, elle est réputée non homogène.</w:t>
            </w:r>
          </w:p>
          <w:p w:rsidR="00B91E18" w:rsidRPr="00BC0FED" w:rsidRDefault="00B91E18" w:rsidP="005A6F81">
            <w:pPr>
              <w:keepNext/>
              <w:keepLines/>
              <w:rPr>
                <w:color w:val="000000"/>
                <w:szCs w:val="24"/>
                <w:lang w:val="fr-FR"/>
              </w:rPr>
            </w:pPr>
          </w:p>
          <w:p w:rsidR="00B91E18" w:rsidRPr="00BC0FED" w:rsidRDefault="00B91E18" w:rsidP="005A6F81">
            <w:pPr>
              <w:keepNext/>
              <w:keepLines/>
              <w:rPr>
                <w:lang w:val="fr-FR"/>
              </w:rPr>
            </w:pPr>
            <w:r w:rsidRPr="00BC0FED">
              <w:rPr>
                <w:color w:val="000000"/>
                <w:szCs w:val="24"/>
                <w:lang w:val="fr-FR"/>
              </w:rPr>
              <w:t>Il faut faire preuve de prudence lorsqu</w:t>
            </w:r>
            <w:r w:rsidR="00F85D2F" w:rsidRPr="00BC0FED">
              <w:rPr>
                <w:color w:val="000000"/>
                <w:szCs w:val="24"/>
                <w:lang w:val="fr-FR"/>
              </w:rPr>
              <w:t>’</w:t>
            </w:r>
            <w:r w:rsidRPr="00BC0FED">
              <w:rPr>
                <w:color w:val="000000"/>
                <w:szCs w:val="24"/>
                <w:lang w:val="fr-FR"/>
              </w:rPr>
              <w:t>on examine des résultats très différents dans chacun des cycles de végétation, notamment lorsqu</w:t>
            </w:r>
            <w:r w:rsidR="00F85D2F" w:rsidRPr="00BC0FED">
              <w:rPr>
                <w:color w:val="000000"/>
                <w:szCs w:val="24"/>
                <w:lang w:val="fr-FR"/>
              </w:rPr>
              <w:t>’</w:t>
            </w:r>
            <w:r w:rsidRPr="00BC0FED">
              <w:rPr>
                <w:color w:val="000000"/>
                <w:szCs w:val="24"/>
                <w:lang w:val="fr-FR"/>
              </w:rPr>
              <w:t>un type de plante hors</w:t>
            </w:r>
            <w:r w:rsidR="00F85D2F" w:rsidRPr="00BC0FED">
              <w:rPr>
                <w:color w:val="000000"/>
                <w:szCs w:val="24"/>
                <w:lang w:val="fr-FR"/>
              </w:rPr>
              <w:t>-</w:t>
            </w:r>
            <w:r w:rsidRPr="00BC0FED">
              <w:rPr>
                <w:color w:val="000000"/>
                <w:szCs w:val="24"/>
                <w:lang w:val="fr-FR"/>
              </w:rPr>
              <w:t>type a été observé à un niveau élevé dans un cycle de végétation tout en étant absent dans un aut</w:t>
            </w:r>
            <w:r w:rsidR="005F032D" w:rsidRPr="00BC0FED">
              <w:rPr>
                <w:color w:val="000000"/>
                <w:szCs w:val="24"/>
                <w:lang w:val="fr-FR"/>
              </w:rPr>
              <w:t xml:space="preserve">re.  </w:t>
            </w:r>
            <w:r w:rsidR="005F032D" w:rsidRPr="00BC0FED">
              <w:rPr>
                <w:lang w:val="fr-FR"/>
              </w:rPr>
              <w:t>Il</w:t>
            </w:r>
            <w:r w:rsidRPr="00BC0FED">
              <w:rPr>
                <w:lang w:val="fr-FR"/>
              </w:rPr>
              <w:t xml:space="preserve"> est important d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 xml:space="preserve">identifier si la variation du </w:t>
            </w:r>
            <w:r w:rsidR="00CE7B0D" w:rsidRPr="00BC0FED">
              <w:rPr>
                <w:lang w:val="fr-FR"/>
              </w:rPr>
              <w:t>nombre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entre les cycles s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explique par des conditions environnementales ou des f</w:t>
            </w:r>
            <w:r w:rsidR="00CE7B0D" w:rsidRPr="00BC0FED">
              <w:rPr>
                <w:lang w:val="fr-FR"/>
              </w:rPr>
              <w:t>luctuations d</w:t>
            </w:r>
            <w:r w:rsidR="00F85D2F" w:rsidRPr="00BC0FED">
              <w:rPr>
                <w:lang w:val="fr-FR"/>
              </w:rPr>
              <w:t>’</w:t>
            </w:r>
            <w:r w:rsidR="00CE7B0D" w:rsidRPr="00BC0FED">
              <w:rPr>
                <w:lang w:val="fr-FR"/>
              </w:rPr>
              <w:t>échantillonnage.</w:t>
            </w:r>
          </w:p>
          <w:p w:rsidR="00B91E18" w:rsidRPr="00BC0FED" w:rsidRDefault="00B91E18" w:rsidP="005A6F81">
            <w:pPr>
              <w:keepNext/>
              <w:keepLines/>
              <w:rPr>
                <w:lang w:val="fr-FR"/>
              </w:rPr>
            </w:pPr>
          </w:p>
          <w:p w:rsidR="00B91E18" w:rsidRPr="00BC0FED" w:rsidRDefault="00CE7B0D" w:rsidP="005A6F8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BC0FED">
              <w:rPr>
                <w:rFonts w:eastAsia="SimSun"/>
                <w:szCs w:val="24"/>
                <w:lang w:val="fr-FR"/>
              </w:rPr>
              <w:t>En outre</w:t>
            </w:r>
            <w:r w:rsidR="00AD203D" w:rsidRPr="00BC0FED">
              <w:rPr>
                <w:rFonts w:eastAsia="SimSun"/>
                <w:szCs w:val="24"/>
                <w:lang w:val="fr-FR"/>
              </w:rPr>
              <w:t>, si</w:t>
            </w:r>
            <w:r w:rsidR="00B91E18" w:rsidRPr="00BC0FED">
              <w:rPr>
                <w:rFonts w:eastAsia="SimSun"/>
                <w:szCs w:val="24"/>
                <w:lang w:val="fr-FR"/>
              </w:rPr>
              <w:t xml:space="preserve"> au cours du premier cycle de végétation, le nombre de plantes hors</w:t>
            </w:r>
            <w:r w:rsidR="00F85D2F" w:rsidRPr="00BC0FED">
              <w:rPr>
                <w:rFonts w:eastAsia="SimSun"/>
                <w:szCs w:val="24"/>
                <w:lang w:val="fr-FR"/>
              </w:rPr>
              <w:t>-</w:t>
            </w:r>
            <w:r w:rsidR="00B91E18" w:rsidRPr="00BC0FED">
              <w:rPr>
                <w:rFonts w:eastAsia="SimSun"/>
                <w:szCs w:val="24"/>
                <w:lang w:val="fr-FR"/>
              </w:rPr>
              <w:t>type dépasse une limite supérieure prédéfinie, la variété peut être rejetée apr</w:t>
            </w:r>
            <w:r w:rsidRPr="00BC0FED">
              <w:rPr>
                <w:rFonts w:eastAsia="SimSun"/>
                <w:szCs w:val="24"/>
                <w:lang w:val="fr-FR"/>
              </w:rPr>
              <w:t>ès un seul cycle de végétation.</w:t>
            </w:r>
          </w:p>
          <w:p w:rsidR="00056F77" w:rsidRPr="00BC0FED" w:rsidRDefault="00056F77" w:rsidP="005A6F8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</w:p>
          <w:p w:rsidR="00B91E18" w:rsidRPr="00BC0FED" w:rsidRDefault="00B91E18" w:rsidP="005A6F81">
            <w:pPr>
              <w:rPr>
                <w:b/>
                <w:szCs w:val="24"/>
                <w:lang w:val="fr-FR"/>
              </w:rPr>
            </w:pPr>
            <w:r w:rsidRPr="00BC0FED">
              <w:rPr>
                <w:b/>
                <w:szCs w:val="24"/>
                <w:lang w:val="fr-FR"/>
              </w:rPr>
              <w:t>Méthode 2</w:t>
            </w:r>
            <w:r w:rsidR="00F85D2F" w:rsidRPr="00BC0FED">
              <w:rPr>
                <w:b/>
                <w:szCs w:val="24"/>
                <w:lang w:val="fr-FR"/>
              </w:rPr>
              <w:t> :</w:t>
            </w:r>
            <w:r w:rsidRPr="00BC0FED">
              <w:rPr>
                <w:b/>
                <w:szCs w:val="24"/>
                <w:lang w:val="fr-FR"/>
              </w:rPr>
              <w:t xml:space="preserve"> Combiner les résultats de deux</w:t>
            </w:r>
            <w:r w:rsidR="008E2723" w:rsidRPr="00BC0FED">
              <w:rPr>
                <w:b/>
                <w:szCs w:val="24"/>
                <w:lang w:val="fr-FR"/>
              </w:rPr>
              <w:t> </w:t>
            </w:r>
            <w:r w:rsidRPr="00BC0FED">
              <w:rPr>
                <w:b/>
                <w:szCs w:val="24"/>
                <w:lang w:val="fr-FR"/>
              </w:rPr>
              <w:t>cycles de végétation si les résultats sont incompatibles</w:t>
            </w:r>
          </w:p>
          <w:p w:rsidR="00B91E18" w:rsidRPr="00BC0FED" w:rsidRDefault="00B91E18" w:rsidP="005A6F81">
            <w:pPr>
              <w:keepNext/>
              <w:keepLines/>
              <w:rPr>
                <w:rFonts w:eastAsia="MS Mincho"/>
                <w:color w:val="000000"/>
                <w:lang w:val="fr-FR" w:eastAsia="ja-JP"/>
              </w:rPr>
            </w:pPr>
          </w:p>
          <w:p w:rsidR="00B91E18" w:rsidRPr="00BC0FED" w:rsidRDefault="00B91E18" w:rsidP="005A6F81">
            <w:pPr>
              <w:rPr>
                <w:rFonts w:eastAsia="SimSun"/>
                <w:lang w:val="fr-FR" w:eastAsia="zh-CN"/>
              </w:rPr>
            </w:pPr>
            <w:r w:rsidRPr="00BC0FED">
              <w:rPr>
                <w:rFonts w:eastAsia="SimSun"/>
                <w:lang w:val="fr-FR"/>
              </w:rPr>
              <w:t>Une variété est réputée homogène si elle se situe dans les limites de la norme d</w:t>
            </w:r>
            <w:r w:rsidR="00F85D2F" w:rsidRPr="00BC0FED">
              <w:rPr>
                <w:rFonts w:eastAsia="SimSun"/>
                <w:lang w:val="fr-FR"/>
              </w:rPr>
              <w:t>’</w:t>
            </w:r>
            <w:r w:rsidRPr="00BC0FED">
              <w:rPr>
                <w:rFonts w:eastAsia="SimSun"/>
                <w:lang w:val="fr-FR"/>
              </w:rPr>
              <w:t>homogénéité sur les deux</w:t>
            </w:r>
            <w:r w:rsidR="008E2723" w:rsidRPr="00BC0FED">
              <w:rPr>
                <w:rFonts w:eastAsia="SimSun"/>
                <w:lang w:val="fr-FR"/>
              </w:rPr>
              <w:t> </w:t>
            </w:r>
            <w:r w:rsidRPr="00BC0FED">
              <w:rPr>
                <w:rFonts w:eastAsia="SimSun"/>
                <w:lang w:val="fr-FR"/>
              </w:rPr>
              <w:t>cycles de végétation.</w:t>
            </w:r>
          </w:p>
          <w:p w:rsidR="00B91E18" w:rsidRPr="00BC0FED" w:rsidRDefault="00B91E18" w:rsidP="005A6F81">
            <w:pPr>
              <w:rPr>
                <w:rFonts w:eastAsia="SimSun"/>
                <w:lang w:val="fr-FR" w:eastAsia="zh-CN"/>
              </w:rPr>
            </w:pPr>
          </w:p>
          <w:p w:rsidR="00B91E18" w:rsidRPr="00BC0FED" w:rsidRDefault="00B91E18" w:rsidP="005A6F81">
            <w:pPr>
              <w:rPr>
                <w:rFonts w:eastAsia="SimSun"/>
                <w:lang w:val="fr-FR" w:eastAsia="zh-CN"/>
              </w:rPr>
            </w:pPr>
            <w:r w:rsidRPr="00BC0FED">
              <w:rPr>
                <w:rFonts w:eastAsia="SimSun"/>
                <w:lang w:val="fr-FR"/>
              </w:rPr>
              <w:t>Une variété est réputée non homogène si elle ne se situe pas dans les limites de la norme d</w:t>
            </w:r>
            <w:r w:rsidR="00F85D2F" w:rsidRPr="00BC0FED">
              <w:rPr>
                <w:rFonts w:eastAsia="SimSun"/>
                <w:lang w:val="fr-FR"/>
              </w:rPr>
              <w:t>’</w:t>
            </w:r>
            <w:r w:rsidRPr="00BC0FED">
              <w:rPr>
                <w:rFonts w:eastAsia="SimSun"/>
                <w:lang w:val="fr-FR"/>
              </w:rPr>
              <w:t>homogénéité sur les deux</w:t>
            </w:r>
            <w:r w:rsidR="008E2723" w:rsidRPr="00BC0FED">
              <w:rPr>
                <w:rFonts w:eastAsia="SimSun"/>
                <w:lang w:val="fr-FR"/>
              </w:rPr>
              <w:t> </w:t>
            </w:r>
            <w:r w:rsidRPr="00BC0FED">
              <w:rPr>
                <w:rFonts w:eastAsia="SimSun"/>
                <w:lang w:val="fr-FR"/>
              </w:rPr>
              <w:t>cycles de végétation.</w:t>
            </w:r>
          </w:p>
          <w:p w:rsidR="00B91E18" w:rsidRPr="00BC0FED" w:rsidRDefault="00B91E18" w:rsidP="005A6F81">
            <w:pPr>
              <w:rPr>
                <w:rFonts w:eastAsia="SimSun"/>
                <w:lang w:val="fr-FR" w:eastAsia="zh-CN"/>
              </w:rPr>
            </w:pPr>
          </w:p>
          <w:p w:rsidR="00B91E18" w:rsidRPr="00BC0FED" w:rsidRDefault="00B91E18" w:rsidP="005A6F81">
            <w:pPr>
              <w:keepNext/>
              <w:keepLines/>
              <w:rPr>
                <w:rFonts w:eastAsia="SimSun"/>
                <w:lang w:val="fr-FR" w:eastAsia="zh-CN"/>
              </w:rPr>
            </w:pPr>
            <w:r w:rsidRPr="00BC0FED">
              <w:rPr>
                <w:rFonts w:eastAsia="SimSun"/>
                <w:lang w:val="fr-FR"/>
              </w:rPr>
              <w:t>Si, à l</w:t>
            </w:r>
            <w:r w:rsidR="00F85D2F" w:rsidRPr="00BC0FED">
              <w:rPr>
                <w:rFonts w:eastAsia="SimSun"/>
                <w:lang w:val="fr-FR"/>
              </w:rPr>
              <w:t>’</w:t>
            </w:r>
            <w:r w:rsidRPr="00BC0FED">
              <w:rPr>
                <w:rFonts w:eastAsia="SimSun"/>
                <w:lang w:val="fr-FR"/>
              </w:rPr>
              <w:t>issue des deux</w:t>
            </w:r>
            <w:r w:rsidR="008E2723" w:rsidRPr="00BC0FED">
              <w:rPr>
                <w:rFonts w:eastAsia="SimSun"/>
                <w:lang w:val="fr-FR"/>
              </w:rPr>
              <w:t> </w:t>
            </w:r>
            <w:r w:rsidRPr="00BC0FED">
              <w:rPr>
                <w:rFonts w:eastAsia="SimSun"/>
                <w:lang w:val="fr-FR"/>
              </w:rPr>
              <w:t>cycles de végétation, la variété se situe dans les limites de la norme d</w:t>
            </w:r>
            <w:r w:rsidR="00F85D2F" w:rsidRPr="00BC0FED">
              <w:rPr>
                <w:rFonts w:eastAsia="SimSun"/>
                <w:lang w:val="fr-FR"/>
              </w:rPr>
              <w:t>’</w:t>
            </w:r>
            <w:r w:rsidRPr="00BC0FED">
              <w:rPr>
                <w:rFonts w:eastAsia="SimSun"/>
                <w:lang w:val="fr-FR"/>
              </w:rPr>
              <w:t>homogénéité pour un cycle et pas l</w:t>
            </w:r>
            <w:r w:rsidR="00F85D2F" w:rsidRPr="00BC0FED">
              <w:rPr>
                <w:rFonts w:eastAsia="SimSun"/>
                <w:lang w:val="fr-FR"/>
              </w:rPr>
              <w:t>’</w:t>
            </w:r>
            <w:r w:rsidRPr="00BC0FED">
              <w:rPr>
                <w:rFonts w:eastAsia="SimSun"/>
                <w:lang w:val="fr-FR"/>
              </w:rPr>
              <w:t>autre, une variété est réputée homogène si le nombre total de plantes hors</w:t>
            </w:r>
            <w:r w:rsidR="00F85D2F" w:rsidRPr="00BC0FED">
              <w:rPr>
                <w:rFonts w:eastAsia="SimSun"/>
                <w:lang w:val="fr-FR"/>
              </w:rPr>
              <w:t>-</w:t>
            </w:r>
            <w:r w:rsidRPr="00BC0FED">
              <w:rPr>
                <w:rFonts w:eastAsia="SimSun"/>
                <w:lang w:val="fr-FR"/>
              </w:rPr>
              <w:t>type à l</w:t>
            </w:r>
            <w:r w:rsidR="00F85D2F" w:rsidRPr="00BC0FED">
              <w:rPr>
                <w:rFonts w:eastAsia="SimSun"/>
                <w:lang w:val="fr-FR"/>
              </w:rPr>
              <w:t>’</w:t>
            </w:r>
            <w:r w:rsidRPr="00BC0FED">
              <w:rPr>
                <w:rFonts w:eastAsia="SimSun"/>
                <w:lang w:val="fr-FR"/>
              </w:rPr>
              <w:t>issue des deux</w:t>
            </w:r>
            <w:r w:rsidR="008E2723" w:rsidRPr="00BC0FED">
              <w:rPr>
                <w:rFonts w:eastAsia="SimSun"/>
                <w:lang w:val="fr-FR"/>
              </w:rPr>
              <w:t> </w:t>
            </w:r>
            <w:r w:rsidRPr="00BC0FED">
              <w:rPr>
                <w:rFonts w:eastAsia="SimSun"/>
                <w:lang w:val="fr-FR"/>
              </w:rPr>
              <w:t>cycles de végétation ne dépasse pas le nombre de plantes hors</w:t>
            </w:r>
            <w:r w:rsidR="00F85D2F" w:rsidRPr="00BC0FED">
              <w:rPr>
                <w:rFonts w:eastAsia="SimSun"/>
                <w:lang w:val="fr-FR"/>
              </w:rPr>
              <w:t>-</w:t>
            </w:r>
            <w:r w:rsidRPr="00BC0FED">
              <w:rPr>
                <w:rFonts w:eastAsia="SimSun"/>
                <w:lang w:val="fr-FR"/>
              </w:rPr>
              <w:t>type autorisé pour la taille de l</w:t>
            </w:r>
            <w:r w:rsidR="00F85D2F" w:rsidRPr="00BC0FED">
              <w:rPr>
                <w:rFonts w:eastAsia="SimSun"/>
                <w:lang w:val="fr-FR"/>
              </w:rPr>
              <w:t>’</w:t>
            </w:r>
            <w:r w:rsidRPr="00BC0FED">
              <w:rPr>
                <w:rFonts w:eastAsia="SimSun"/>
                <w:lang w:val="fr-FR"/>
              </w:rPr>
              <w:t>échantillon des cycles de végétation 1 et 2 combinés.</w:t>
            </w:r>
          </w:p>
          <w:p w:rsidR="00B91E18" w:rsidRPr="00BC0FED" w:rsidRDefault="00B91E18" w:rsidP="005A6F81">
            <w:pPr>
              <w:keepNext/>
              <w:keepLines/>
              <w:ind w:right="459"/>
              <w:rPr>
                <w:rFonts w:eastAsia="SimSun"/>
                <w:lang w:val="fr-FR" w:eastAsia="zh-CN"/>
              </w:rPr>
            </w:pPr>
          </w:p>
          <w:p w:rsidR="00B91E18" w:rsidRPr="00BC0FED" w:rsidRDefault="00B91E18" w:rsidP="005A6F8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BC0FED">
              <w:rPr>
                <w:rFonts w:eastAsia="SimSun"/>
                <w:lang w:val="fr-FR"/>
              </w:rPr>
              <w:t>Il faut faire preuve de prudence lorsqu</w:t>
            </w:r>
            <w:r w:rsidR="00F85D2F" w:rsidRPr="00BC0FED">
              <w:rPr>
                <w:rFonts w:eastAsia="SimSun"/>
                <w:lang w:val="fr-FR"/>
              </w:rPr>
              <w:t>’</w:t>
            </w:r>
            <w:r w:rsidRPr="00BC0FED">
              <w:rPr>
                <w:rFonts w:eastAsia="SimSun"/>
                <w:lang w:val="fr-FR"/>
              </w:rPr>
              <w:t>on examine des résultats très différents dans chacun des cycles de végétation, notamment lorsqu</w:t>
            </w:r>
            <w:r w:rsidR="00F85D2F" w:rsidRPr="00BC0FED">
              <w:rPr>
                <w:rFonts w:eastAsia="SimSun"/>
                <w:lang w:val="fr-FR"/>
              </w:rPr>
              <w:t>’</w:t>
            </w:r>
            <w:r w:rsidRPr="00BC0FED">
              <w:rPr>
                <w:rFonts w:eastAsia="SimSun"/>
                <w:lang w:val="fr-FR"/>
              </w:rPr>
              <w:t>un type de plante hors</w:t>
            </w:r>
            <w:r w:rsidR="00F85D2F" w:rsidRPr="00BC0FED">
              <w:rPr>
                <w:rFonts w:eastAsia="SimSun"/>
                <w:lang w:val="fr-FR"/>
              </w:rPr>
              <w:t>-</w:t>
            </w:r>
            <w:r w:rsidRPr="00BC0FED">
              <w:rPr>
                <w:rFonts w:eastAsia="SimSun"/>
                <w:lang w:val="fr-FR"/>
              </w:rPr>
              <w:t>type a été observé à un niveau élevé dans un cycle de végétation tout en étant absent dans un aut</w:t>
            </w:r>
            <w:r w:rsidR="005F032D" w:rsidRPr="00BC0FED">
              <w:rPr>
                <w:rFonts w:eastAsia="SimSun"/>
                <w:lang w:val="fr-FR"/>
              </w:rPr>
              <w:t xml:space="preserve">re.  </w:t>
            </w:r>
            <w:r w:rsidR="005F032D" w:rsidRPr="00BC0FED">
              <w:rPr>
                <w:lang w:val="fr-FR"/>
              </w:rPr>
              <w:t>Un</w:t>
            </w:r>
            <w:r w:rsidRPr="00BC0FED">
              <w:rPr>
                <w:lang w:val="fr-FR"/>
              </w:rPr>
              <w:t xml:space="preserve"> test statistique d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homogénéité devrait être pratiqué, le cas échéa</w:t>
            </w:r>
            <w:r w:rsidR="005F032D" w:rsidRPr="00BC0FED">
              <w:rPr>
                <w:lang w:val="fr-FR"/>
              </w:rPr>
              <w:t>nt.  Il</w:t>
            </w:r>
            <w:r w:rsidRPr="00BC0FED">
              <w:rPr>
                <w:lang w:val="fr-FR"/>
              </w:rPr>
              <w:t xml:space="preserve"> est important d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identifier si la variation du nombre de plantes hors</w:t>
            </w:r>
            <w:r w:rsidR="00F85D2F" w:rsidRPr="00BC0FED">
              <w:rPr>
                <w:lang w:val="fr-FR"/>
              </w:rPr>
              <w:t>-</w:t>
            </w:r>
            <w:r w:rsidR="00C63DA6" w:rsidRPr="00BC0FED">
              <w:rPr>
                <w:lang w:val="fr-FR"/>
              </w:rPr>
              <w:t>type entre les cycles s</w:t>
            </w:r>
            <w:r w:rsidR="00F85D2F" w:rsidRPr="00BC0FED">
              <w:rPr>
                <w:lang w:val="fr-FR"/>
              </w:rPr>
              <w:t>’</w:t>
            </w:r>
            <w:r w:rsidR="00C63DA6" w:rsidRPr="00BC0FED">
              <w:rPr>
                <w:lang w:val="fr-FR"/>
              </w:rPr>
              <w:t>explique par des conditions environnementales ou des f</w:t>
            </w:r>
            <w:r w:rsidR="00CE7B0D" w:rsidRPr="00BC0FED">
              <w:rPr>
                <w:lang w:val="fr-FR"/>
              </w:rPr>
              <w:t>luctuations d</w:t>
            </w:r>
            <w:r w:rsidR="00F85D2F" w:rsidRPr="00BC0FED">
              <w:rPr>
                <w:lang w:val="fr-FR"/>
              </w:rPr>
              <w:t>’</w:t>
            </w:r>
            <w:r w:rsidR="00CE7B0D" w:rsidRPr="00BC0FED">
              <w:rPr>
                <w:lang w:val="fr-FR"/>
              </w:rPr>
              <w:t>échantillonnage.</w:t>
            </w:r>
          </w:p>
          <w:p w:rsidR="00B91E18" w:rsidRPr="00BC0FED" w:rsidRDefault="00B91E18" w:rsidP="005A6F81">
            <w:pPr>
              <w:keepNext/>
              <w:keepLines/>
              <w:rPr>
                <w:lang w:val="fr-FR"/>
              </w:rPr>
            </w:pPr>
          </w:p>
          <w:p w:rsidR="00B91E18" w:rsidRPr="00BC0FED" w:rsidRDefault="00CE7B0D" w:rsidP="005A6F81">
            <w:pPr>
              <w:keepNext/>
              <w:keepLines/>
              <w:rPr>
                <w:rFonts w:eastAsia="SimSun"/>
                <w:szCs w:val="24"/>
                <w:u w:val="single"/>
                <w:lang w:val="fr-FR" w:eastAsia="zh-CN"/>
              </w:rPr>
            </w:pPr>
            <w:r w:rsidRPr="00BC0FED">
              <w:rPr>
                <w:rFonts w:eastAsia="SimSun"/>
                <w:szCs w:val="24"/>
                <w:lang w:val="fr-FR"/>
              </w:rPr>
              <w:t>En outre</w:t>
            </w:r>
            <w:r w:rsidR="00AD203D" w:rsidRPr="00BC0FED">
              <w:rPr>
                <w:rFonts w:eastAsia="SimSun"/>
                <w:szCs w:val="24"/>
                <w:lang w:val="fr-FR"/>
              </w:rPr>
              <w:t>, si</w:t>
            </w:r>
            <w:r w:rsidR="00056F77" w:rsidRPr="00BC0FED">
              <w:rPr>
                <w:rFonts w:eastAsia="SimSun"/>
                <w:szCs w:val="24"/>
                <w:lang w:val="fr-FR"/>
              </w:rPr>
              <w:t xml:space="preserve"> au cours du premier cycle de végétation, le nombre de plantes hors</w:t>
            </w:r>
            <w:r w:rsidR="00F85D2F" w:rsidRPr="00BC0FED">
              <w:rPr>
                <w:rFonts w:eastAsia="SimSun"/>
                <w:szCs w:val="24"/>
                <w:lang w:val="fr-FR"/>
              </w:rPr>
              <w:t>-</w:t>
            </w:r>
            <w:r w:rsidR="00056F77" w:rsidRPr="00BC0FED">
              <w:rPr>
                <w:rFonts w:eastAsia="SimSun"/>
                <w:szCs w:val="24"/>
                <w:lang w:val="fr-FR"/>
              </w:rPr>
              <w:t>type dépasse une limite supérieure prédéfinie, la variété peut être rejetée après un seul cycle de végétation.</w:t>
            </w:r>
          </w:p>
          <w:p w:rsidR="00056F77" w:rsidRPr="00BC0FED" w:rsidRDefault="00056F77" w:rsidP="005A6F8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</w:p>
          <w:p w:rsidR="00B91E18" w:rsidRPr="00BC0FED" w:rsidRDefault="00B91E18" w:rsidP="005A6F81">
            <w:pPr>
              <w:keepNext/>
              <w:ind w:left="34"/>
              <w:rPr>
                <w:b/>
                <w:bCs/>
                <w:lang w:val="fr-FR"/>
              </w:rPr>
            </w:pPr>
            <w:r w:rsidRPr="00BC0FED">
              <w:rPr>
                <w:b/>
                <w:bCs/>
                <w:lang w:val="fr-FR"/>
              </w:rPr>
              <w:t>Méthode 3</w:t>
            </w:r>
            <w:r w:rsidR="00F85D2F" w:rsidRPr="00BC0FED">
              <w:rPr>
                <w:b/>
                <w:bCs/>
                <w:lang w:val="fr-FR"/>
              </w:rPr>
              <w:t> :</w:t>
            </w:r>
            <w:r w:rsidRPr="00BC0FED">
              <w:rPr>
                <w:b/>
                <w:bCs/>
                <w:lang w:val="fr-FR"/>
              </w:rPr>
              <w:t xml:space="preserve"> Combiner les résultats de deux</w:t>
            </w:r>
            <w:r w:rsidR="008E2723" w:rsidRPr="00BC0FED">
              <w:rPr>
                <w:b/>
                <w:bCs/>
                <w:lang w:val="fr-FR"/>
              </w:rPr>
              <w:t> </w:t>
            </w:r>
            <w:r w:rsidRPr="00BC0FED">
              <w:rPr>
                <w:b/>
                <w:bCs/>
                <w:lang w:val="fr-FR"/>
              </w:rPr>
              <w:t>cycles de végétation</w:t>
            </w:r>
          </w:p>
          <w:p w:rsidR="00B91E18" w:rsidRPr="00BC0FED" w:rsidRDefault="00B91E18" w:rsidP="005A6F81">
            <w:pPr>
              <w:keepNext/>
              <w:ind w:left="34"/>
              <w:rPr>
                <w:lang w:val="fr-FR"/>
              </w:rPr>
            </w:pPr>
          </w:p>
          <w:p w:rsidR="00B91E18" w:rsidRDefault="00B91E18" w:rsidP="00E80AA8">
            <w:pPr>
              <w:spacing w:after="120"/>
              <w:ind w:left="34"/>
              <w:rPr>
                <w:lang w:val="fr-FR"/>
              </w:rPr>
            </w:pPr>
            <w:r w:rsidRPr="00BC0FED">
              <w:rPr>
                <w:lang w:val="fr-FR"/>
              </w:rPr>
              <w:t>Une variété est réputée homogène si le nombre total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à l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issue des deux</w:t>
            </w:r>
            <w:r w:rsidR="008E2723" w:rsidRPr="00BC0FED">
              <w:rPr>
                <w:lang w:val="fr-FR"/>
              </w:rPr>
              <w:t> </w:t>
            </w:r>
            <w:r w:rsidRPr="00BC0FED">
              <w:rPr>
                <w:lang w:val="fr-FR"/>
              </w:rPr>
              <w:t>cycles de végétation ne dépasse pas le nombre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 xml:space="preserve">type </w:t>
            </w:r>
            <w:proofErr w:type="gramStart"/>
            <w:r w:rsidRPr="00BC0FED">
              <w:rPr>
                <w:lang w:val="fr-FR"/>
              </w:rPr>
              <w:t>autorisé</w:t>
            </w:r>
            <w:proofErr w:type="gramEnd"/>
            <w:r w:rsidRPr="00BC0FED">
              <w:rPr>
                <w:lang w:val="fr-FR"/>
              </w:rPr>
              <w:t xml:space="preserve"> pour l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échantillon combiné.</w:t>
            </w:r>
          </w:p>
          <w:p w:rsidR="00E80AA8" w:rsidRDefault="00E80AA8" w:rsidP="00E80AA8">
            <w:pPr>
              <w:spacing w:before="120"/>
              <w:ind w:left="34"/>
              <w:rPr>
                <w:lang w:val="fr-FR"/>
              </w:rPr>
            </w:pPr>
          </w:p>
          <w:p w:rsidR="00B91E18" w:rsidRPr="00BC0FED" w:rsidRDefault="00B91E18" w:rsidP="00E80AA8">
            <w:pPr>
              <w:ind w:left="34"/>
              <w:rPr>
                <w:lang w:val="fr-FR"/>
              </w:rPr>
            </w:pPr>
            <w:r w:rsidRPr="00BC0FED">
              <w:rPr>
                <w:lang w:val="fr-FR"/>
              </w:rPr>
              <w:t>Une variété est réputée non homogène si le nombre total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à la fin des deux</w:t>
            </w:r>
            <w:r w:rsidR="008E2723" w:rsidRPr="00BC0FED">
              <w:rPr>
                <w:lang w:val="fr-FR"/>
              </w:rPr>
              <w:t> </w:t>
            </w:r>
            <w:r w:rsidRPr="00BC0FED">
              <w:rPr>
                <w:lang w:val="fr-FR"/>
              </w:rPr>
              <w:t>cycles de végétation dépasse le nombre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 xml:space="preserve">type </w:t>
            </w:r>
            <w:proofErr w:type="gramStart"/>
            <w:r w:rsidRPr="00BC0FED">
              <w:rPr>
                <w:lang w:val="fr-FR"/>
              </w:rPr>
              <w:t>autorisé</w:t>
            </w:r>
            <w:proofErr w:type="gramEnd"/>
            <w:r w:rsidRPr="00BC0FED">
              <w:rPr>
                <w:lang w:val="fr-FR"/>
              </w:rPr>
              <w:t xml:space="preserve"> pour l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échantillon combiné.</w:t>
            </w:r>
          </w:p>
          <w:p w:rsidR="00B91E18" w:rsidRPr="00BC0FED" w:rsidRDefault="00B91E18" w:rsidP="005A6F81">
            <w:pPr>
              <w:ind w:left="34"/>
              <w:rPr>
                <w:lang w:val="fr-FR"/>
              </w:rPr>
            </w:pPr>
          </w:p>
          <w:p w:rsidR="00B91E18" w:rsidRPr="00BC0FED" w:rsidRDefault="00B91E18" w:rsidP="005A6F81">
            <w:pPr>
              <w:ind w:left="34"/>
              <w:rPr>
                <w:lang w:val="fr-FR"/>
              </w:rPr>
            </w:pPr>
            <w:r w:rsidRPr="00BC0FED">
              <w:rPr>
                <w:lang w:val="fr-FR"/>
              </w:rPr>
              <w:t>Une variété peut être rejetée après un seul cycle de végétation si le nombre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dépasse le nombre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autorisé pour l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échantillon combiné (sur deux</w:t>
            </w:r>
            <w:r w:rsidR="008E2723" w:rsidRPr="00BC0FED">
              <w:rPr>
                <w:lang w:val="fr-FR"/>
              </w:rPr>
              <w:t> </w:t>
            </w:r>
            <w:r w:rsidRPr="00BC0FED">
              <w:rPr>
                <w:lang w:val="fr-FR"/>
              </w:rPr>
              <w:t>cycles).</w:t>
            </w:r>
          </w:p>
          <w:p w:rsidR="00B91E18" w:rsidRPr="00BC0FED" w:rsidRDefault="00B91E18" w:rsidP="005A6F81">
            <w:pPr>
              <w:keepNext/>
              <w:keepLines/>
              <w:ind w:left="34"/>
              <w:rPr>
                <w:lang w:val="fr-FR"/>
              </w:rPr>
            </w:pPr>
          </w:p>
          <w:p w:rsidR="00B91E18" w:rsidRPr="00BC0FED" w:rsidRDefault="00B91E18" w:rsidP="005A6F81">
            <w:pPr>
              <w:keepNext/>
              <w:ind w:left="34"/>
              <w:rPr>
                <w:rFonts w:eastAsia="SimSun"/>
                <w:szCs w:val="24"/>
                <w:lang w:val="fr-FR" w:eastAsia="zh-CN"/>
              </w:rPr>
            </w:pPr>
            <w:r w:rsidRPr="00BC0FED">
              <w:rPr>
                <w:lang w:val="fr-FR"/>
              </w:rPr>
              <w:t>Il faut faire preuve de prudence lorsqu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on examine des résultats très différents dans chacun des cycles de végétation, notamment lorsqu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un type de plante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est observé à un niveau élevé dans un cycle de végétation tout en étant absent dans un aut</w:t>
            </w:r>
            <w:r w:rsidR="005F032D" w:rsidRPr="00BC0FED">
              <w:rPr>
                <w:lang w:val="fr-FR"/>
              </w:rPr>
              <w:t xml:space="preserve">re.  </w:t>
            </w:r>
            <w:r w:rsidR="005F032D" w:rsidRPr="00BC0FED">
              <w:rPr>
                <w:rFonts w:eastAsia="SimSun"/>
                <w:lang w:val="fr-FR"/>
              </w:rPr>
              <w:t>Un</w:t>
            </w:r>
            <w:r w:rsidRPr="00BC0FED">
              <w:rPr>
                <w:rFonts w:eastAsia="SimSun"/>
                <w:lang w:val="fr-FR"/>
              </w:rPr>
              <w:t xml:space="preserve"> test statistique d</w:t>
            </w:r>
            <w:r w:rsidR="00F85D2F" w:rsidRPr="00BC0FED">
              <w:rPr>
                <w:rFonts w:eastAsia="SimSun"/>
                <w:lang w:val="fr-FR"/>
              </w:rPr>
              <w:t>’</w:t>
            </w:r>
            <w:r w:rsidRPr="00BC0FED">
              <w:rPr>
                <w:rFonts w:eastAsia="SimSun"/>
                <w:lang w:val="fr-FR"/>
              </w:rPr>
              <w:t>homogénéité devrait être pratiqué, le cas échéa</w:t>
            </w:r>
            <w:r w:rsidR="005F032D" w:rsidRPr="00BC0FED">
              <w:rPr>
                <w:rFonts w:eastAsia="SimSun"/>
                <w:lang w:val="fr-FR"/>
              </w:rPr>
              <w:t xml:space="preserve">nt.  </w:t>
            </w:r>
            <w:r w:rsidR="005F032D" w:rsidRPr="00BC0FED">
              <w:rPr>
                <w:lang w:val="fr-FR"/>
              </w:rPr>
              <w:t>Il</w:t>
            </w:r>
            <w:r w:rsidR="00C63DA6" w:rsidRPr="00BC0FED">
              <w:rPr>
                <w:lang w:val="fr-FR"/>
              </w:rPr>
              <w:t xml:space="preserve"> est important d</w:t>
            </w:r>
            <w:r w:rsidR="00F85D2F" w:rsidRPr="00BC0FED">
              <w:rPr>
                <w:lang w:val="fr-FR"/>
              </w:rPr>
              <w:t>’</w:t>
            </w:r>
            <w:r w:rsidR="00C63DA6" w:rsidRPr="00BC0FED">
              <w:rPr>
                <w:lang w:val="fr-FR"/>
              </w:rPr>
              <w:t>identifier si la variation</w:t>
            </w:r>
            <w:r w:rsidR="00835743" w:rsidRPr="00BC0FED">
              <w:rPr>
                <w:lang w:val="fr-FR"/>
              </w:rPr>
              <w:t xml:space="preserve"> du nombre de plantes hors</w:t>
            </w:r>
            <w:r w:rsidR="00F85D2F" w:rsidRPr="00BC0FED">
              <w:rPr>
                <w:lang w:val="fr-FR"/>
              </w:rPr>
              <w:t>-</w:t>
            </w:r>
            <w:r w:rsidR="00C63DA6" w:rsidRPr="00BC0FED">
              <w:rPr>
                <w:lang w:val="fr-FR"/>
              </w:rPr>
              <w:t>type entre les cycles s</w:t>
            </w:r>
            <w:r w:rsidR="00F85D2F" w:rsidRPr="00BC0FED">
              <w:rPr>
                <w:lang w:val="fr-FR"/>
              </w:rPr>
              <w:t>’</w:t>
            </w:r>
            <w:r w:rsidR="00C63DA6" w:rsidRPr="00BC0FED">
              <w:rPr>
                <w:lang w:val="fr-FR"/>
              </w:rPr>
              <w:t>explique par des conditions</w:t>
            </w:r>
            <w:r w:rsidR="00835743" w:rsidRPr="00BC0FED">
              <w:rPr>
                <w:lang w:val="fr-FR"/>
              </w:rPr>
              <w:t xml:space="preserve"> environnementales ou des fluctuations d</w:t>
            </w:r>
            <w:r w:rsidR="00F85D2F" w:rsidRPr="00BC0FED">
              <w:rPr>
                <w:lang w:val="fr-FR"/>
              </w:rPr>
              <w:t>’</w:t>
            </w:r>
            <w:r w:rsidR="00835743" w:rsidRPr="00BC0FED">
              <w:rPr>
                <w:lang w:val="fr-FR"/>
              </w:rPr>
              <w:t>échantillonnage.</w:t>
            </w:r>
          </w:p>
          <w:p w:rsidR="00B91E18" w:rsidRPr="00BC0FED" w:rsidRDefault="00B91E18" w:rsidP="005A6F8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</w:p>
          <w:p w:rsidR="00B91E18" w:rsidRPr="00BC0FED" w:rsidRDefault="00B91E18" w:rsidP="005A6F81">
            <w:pPr>
              <w:keepNext/>
              <w:keepLines/>
              <w:jc w:val="left"/>
              <w:rPr>
                <w:szCs w:val="24"/>
                <w:lang w:val="fr-FR"/>
              </w:rPr>
            </w:pPr>
          </w:p>
          <w:p w:rsidR="00B91E18" w:rsidRPr="00BC0FED" w:rsidRDefault="00B91E18" w:rsidP="005A6F81">
            <w:pPr>
              <w:keepNext/>
              <w:keepLines/>
              <w:jc w:val="left"/>
              <w:rPr>
                <w:szCs w:val="24"/>
                <w:lang w:val="fr-FR"/>
              </w:rPr>
            </w:pPr>
            <w:r w:rsidRPr="00BC0FED">
              <w:rPr>
                <w:szCs w:val="24"/>
                <w:lang w:val="fr-FR"/>
              </w:rPr>
              <w:t>Exemple</w:t>
            </w:r>
            <w:r w:rsidR="00F85D2F" w:rsidRPr="00BC0FED">
              <w:rPr>
                <w:szCs w:val="24"/>
                <w:lang w:val="fr-FR"/>
              </w:rPr>
              <w:t> :</w:t>
            </w:r>
          </w:p>
          <w:p w:rsidR="00B91E18" w:rsidRPr="00BC0FED" w:rsidRDefault="00B91E18" w:rsidP="005A6F81">
            <w:pPr>
              <w:keepNext/>
              <w:keepLines/>
              <w:jc w:val="left"/>
              <w:rPr>
                <w:szCs w:val="24"/>
                <w:lang w:val="fr-FR"/>
              </w:rPr>
            </w:pPr>
          </w:p>
          <w:tbl>
            <w:tblPr>
              <w:tblW w:w="8701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1134"/>
              <w:gridCol w:w="180"/>
              <w:gridCol w:w="954"/>
              <w:gridCol w:w="1807"/>
              <w:gridCol w:w="320"/>
              <w:gridCol w:w="1985"/>
              <w:gridCol w:w="1624"/>
            </w:tblGrid>
            <w:tr w:rsidR="00B91E18" w:rsidRPr="00BC0FED" w:rsidTr="008C5B59">
              <w:trPr>
                <w:gridAfter w:val="1"/>
                <w:wAfter w:w="1624" w:type="dxa"/>
                <w:trHeight w:val="255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Norme de population = 1%</w:t>
                  </w:r>
                  <w:r w:rsidR="00835743" w:rsidRPr="00BC0FED">
                    <w:rPr>
                      <w:rFonts w:cs="Arial"/>
                      <w:color w:val="000000"/>
                      <w:lang w:val="fr-FR"/>
                    </w:rPr>
                    <w:t xml:space="preserve"> </w:t>
                  </w:r>
                </w:p>
              </w:tc>
            </w:tr>
            <w:tr w:rsidR="00B91E18" w:rsidRPr="00BC0FED" w:rsidTr="008C5B59">
              <w:trPr>
                <w:gridAfter w:val="1"/>
                <w:wAfter w:w="1624" w:type="dxa"/>
                <w:trHeight w:val="270"/>
              </w:trPr>
              <w:tc>
                <w:tcPr>
                  <w:tcW w:w="69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Probabilité d</w:t>
                  </w:r>
                  <w:r w:rsidR="00F85D2F" w:rsidRPr="00BC0FED">
                    <w:rPr>
                      <w:rFonts w:cs="Arial"/>
                      <w:color w:val="000000"/>
                      <w:lang w:val="fr-FR"/>
                    </w:rPr>
                    <w:t>’</w:t>
                  </w:r>
                  <w:r w:rsidRPr="00BC0FED">
                    <w:rPr>
                      <w:rFonts w:cs="Arial"/>
                      <w:color w:val="000000"/>
                      <w:lang w:val="fr-FR"/>
                    </w:rPr>
                    <w:t>acceptation ≥ 95%</w:t>
                  </w:r>
                </w:p>
              </w:tc>
            </w:tr>
            <w:tr w:rsidR="00B91E18" w:rsidRPr="0028220E" w:rsidTr="008C5B59">
              <w:trPr>
                <w:gridBefore w:val="1"/>
                <w:gridAfter w:val="1"/>
                <w:wBefore w:w="697" w:type="dxa"/>
                <w:wAfter w:w="1624" w:type="dxa"/>
                <w:trHeight w:val="255"/>
              </w:trPr>
              <w:tc>
                <w:tcPr>
                  <w:tcW w:w="63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Taille de l</w:t>
                  </w:r>
                  <w:r w:rsidR="00F85D2F" w:rsidRPr="00BC0FED">
                    <w:rPr>
                      <w:rFonts w:cs="Arial"/>
                      <w:color w:val="000000"/>
                      <w:lang w:val="fr-FR"/>
                    </w:rPr>
                    <w:t>’</w:t>
                  </w:r>
                  <w:r w:rsidRPr="00BC0FED">
                    <w:rPr>
                      <w:rFonts w:cs="Arial"/>
                      <w:color w:val="000000"/>
                      <w:lang w:val="fr-FR"/>
                    </w:rPr>
                    <w:t>échantillon dans chacun des cycles de végétation 1 et 2 = 50</w:t>
                  </w:r>
                </w:p>
              </w:tc>
            </w:tr>
            <w:tr w:rsidR="00B91E18" w:rsidRPr="0028220E" w:rsidTr="008C5B59">
              <w:trPr>
                <w:gridBefore w:val="1"/>
                <w:gridAfter w:val="1"/>
                <w:wBefore w:w="697" w:type="dxa"/>
                <w:wAfter w:w="1624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Nombre maximum de plantes hors</w:t>
                  </w:r>
                  <w:r w:rsidR="00F85D2F" w:rsidRPr="00BC0FED">
                    <w:rPr>
                      <w:rFonts w:cs="Arial"/>
                      <w:color w:val="000000"/>
                      <w:lang w:val="fr-FR"/>
                    </w:rPr>
                    <w:t>-</w:t>
                  </w:r>
                  <w:r w:rsidRPr="00BC0FED">
                    <w:rPr>
                      <w:rFonts w:cs="Arial"/>
                      <w:color w:val="000000"/>
                      <w:lang w:val="fr-FR"/>
                    </w:rPr>
                    <w:t>type = 2</w:t>
                  </w:r>
                </w:p>
              </w:tc>
            </w:tr>
            <w:tr w:rsidR="00B91E18" w:rsidRPr="0028220E" w:rsidTr="008C5B59">
              <w:trPr>
                <w:gridBefore w:val="1"/>
                <w:gridAfter w:val="1"/>
                <w:wBefore w:w="697" w:type="dxa"/>
                <w:wAfter w:w="1624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Taille de l</w:t>
                  </w:r>
                  <w:r w:rsidR="00F85D2F" w:rsidRPr="00BC0FED">
                    <w:rPr>
                      <w:rFonts w:cs="Arial"/>
                      <w:color w:val="000000"/>
                      <w:lang w:val="fr-FR"/>
                    </w:rPr>
                    <w:t>’</w:t>
                  </w:r>
                  <w:r w:rsidRPr="00BC0FED">
                    <w:rPr>
                      <w:rFonts w:cs="Arial"/>
                      <w:color w:val="000000"/>
                      <w:lang w:val="fr-FR"/>
                    </w:rPr>
                    <w:t>échantillon dans les cycles de végétation 1 et 2 combinés = 100</w:t>
                  </w:r>
                </w:p>
              </w:tc>
            </w:tr>
            <w:tr w:rsidR="00B91E18" w:rsidRPr="0028220E" w:rsidTr="008C5B59">
              <w:trPr>
                <w:gridBefore w:val="1"/>
                <w:gridAfter w:val="1"/>
                <w:wBefore w:w="697" w:type="dxa"/>
                <w:wAfter w:w="1624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Nombre maximum de plantes hors</w:t>
                  </w:r>
                  <w:r w:rsidR="00F85D2F" w:rsidRPr="00BC0FED">
                    <w:rPr>
                      <w:rFonts w:cs="Arial"/>
                      <w:color w:val="000000"/>
                      <w:lang w:val="fr-FR"/>
                    </w:rPr>
                    <w:t>-</w:t>
                  </w:r>
                  <w:r w:rsidRPr="00BC0FED">
                    <w:rPr>
                      <w:rFonts w:cs="Arial"/>
                      <w:color w:val="000000"/>
                      <w:lang w:val="fr-FR"/>
                    </w:rPr>
                    <w:t>type = 3</w:t>
                  </w:r>
                </w:p>
              </w:tc>
            </w:tr>
            <w:tr w:rsidR="00B91E18" w:rsidRPr="0028220E" w:rsidTr="008C5B59">
              <w:trPr>
                <w:gridBefore w:val="1"/>
                <w:gridAfter w:val="1"/>
                <w:wBefore w:w="697" w:type="dxa"/>
                <w:wAfter w:w="1624" w:type="dxa"/>
                <w:trHeight w:val="239"/>
              </w:trPr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 </w:t>
                  </w:r>
                </w:p>
              </w:tc>
              <w:tc>
                <w:tcPr>
                  <w:tcW w:w="2305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 </w:t>
                  </w:r>
                </w:p>
              </w:tc>
            </w:tr>
            <w:tr w:rsidR="00B91E18" w:rsidRPr="00BC0FED" w:rsidTr="008C5B59">
              <w:trPr>
                <w:trHeight w:val="38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Cycle de végétation</w:t>
                  </w:r>
                </w:p>
              </w:tc>
              <w:tc>
                <w:tcPr>
                  <w:tcW w:w="573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Décision</w:t>
                  </w:r>
                </w:p>
              </w:tc>
            </w:tr>
            <w:tr w:rsidR="00B91E18" w:rsidRPr="00BC0FED" w:rsidTr="008C5B59">
              <w:trPr>
                <w:trHeight w:val="236"/>
              </w:trPr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1E18" w:rsidRPr="00BC0FED" w:rsidRDefault="00B91E18" w:rsidP="005A6F81">
                  <w:pPr>
                    <w:spacing w:after="100" w:afterAutospacing="1"/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Premier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Deuxième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Méthode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Méthode 2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1E18" w:rsidRPr="00BC0FED" w:rsidRDefault="00B91E18" w:rsidP="005A6F81">
                  <w:pPr>
                    <w:jc w:val="center"/>
                    <w:rPr>
                      <w:lang w:val="fr-FR"/>
                    </w:rPr>
                  </w:pPr>
                  <w:r w:rsidRPr="00BC0FED">
                    <w:rPr>
                      <w:lang w:val="fr-FR"/>
                    </w:rPr>
                    <w:t>Méthode 3</w:t>
                  </w:r>
                </w:p>
              </w:tc>
            </w:tr>
            <w:tr w:rsidR="00B91E18" w:rsidRPr="0028220E" w:rsidTr="008C5B59">
              <w:trPr>
                <w:trHeight w:val="240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 xml:space="preserve">Nombre de plantes </w:t>
                  </w:r>
                  <w:r w:rsidRPr="00BC0FED">
                    <w:rPr>
                      <w:rFonts w:cs="Arial"/>
                      <w:color w:val="000000"/>
                      <w:lang w:val="fr-FR"/>
                    </w:rPr>
                    <w:br/>
                    <w:t>hors</w:t>
                  </w:r>
                  <w:r w:rsidR="00F85D2F" w:rsidRPr="00BC0FED">
                    <w:rPr>
                      <w:rFonts w:cs="Arial"/>
                      <w:color w:val="000000"/>
                      <w:lang w:val="fr-FR"/>
                    </w:rPr>
                    <w:t>-</w:t>
                  </w:r>
                  <w:r w:rsidRPr="00BC0FED">
                    <w:rPr>
                      <w:rFonts w:cs="Arial"/>
                      <w:color w:val="000000"/>
                      <w:lang w:val="fr-FR"/>
                    </w:rPr>
                    <w:t>type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1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homogène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homogène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1E18" w:rsidRPr="00BC0FED" w:rsidRDefault="00B91E18" w:rsidP="005A6F81">
                  <w:pPr>
                    <w:jc w:val="center"/>
                    <w:rPr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homogène</w:t>
                  </w:r>
                </w:p>
              </w:tc>
            </w:tr>
            <w:tr w:rsidR="00B91E18" w:rsidRPr="0028220E" w:rsidTr="008C5B59">
              <w:trPr>
                <w:trHeight w:val="240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2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homogène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homogène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1E18" w:rsidRPr="00BC0FED" w:rsidRDefault="00B91E18" w:rsidP="005A6F81">
                  <w:pPr>
                    <w:jc w:val="center"/>
                    <w:rPr>
                      <w:lang w:val="fr-FR"/>
                    </w:rPr>
                  </w:pPr>
                  <w:r w:rsidRPr="00BC0FED">
                    <w:rPr>
                      <w:lang w:val="fr-FR"/>
                    </w:rPr>
                    <w:t>non homogène</w:t>
                  </w:r>
                </w:p>
              </w:tc>
            </w:tr>
            <w:tr w:rsidR="00B91E18" w:rsidRPr="0028220E" w:rsidTr="008C5B59">
              <w:trPr>
                <w:trHeight w:val="273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3*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troisième cycle de végétation*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homogène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1E18" w:rsidRPr="00BC0FED" w:rsidRDefault="00B91E18" w:rsidP="005A6F81">
                  <w:pPr>
                    <w:jc w:val="center"/>
                    <w:rPr>
                      <w:lang w:val="fr-FR"/>
                    </w:rPr>
                  </w:pPr>
                  <w:r w:rsidRPr="00BC0FED">
                    <w:rPr>
                      <w:lang w:val="fr-FR"/>
                    </w:rPr>
                    <w:t>homogène</w:t>
                  </w:r>
                </w:p>
              </w:tc>
            </w:tr>
            <w:tr w:rsidR="00B91E18" w:rsidRPr="0028220E" w:rsidTr="008C5B59">
              <w:trPr>
                <w:trHeight w:val="248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3*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troisième cycle de végétation*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non homogène*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1E18" w:rsidRPr="00BC0FED" w:rsidRDefault="00B91E18" w:rsidP="005A6F81">
                  <w:pPr>
                    <w:jc w:val="center"/>
                    <w:rPr>
                      <w:lang w:val="fr-FR"/>
                    </w:rPr>
                  </w:pPr>
                  <w:r w:rsidRPr="00BC0FED">
                    <w:rPr>
                      <w:lang w:val="fr-FR"/>
                    </w:rPr>
                    <w:t>non homogène*</w:t>
                  </w:r>
                </w:p>
              </w:tc>
            </w:tr>
            <w:tr w:rsidR="00B91E18" w:rsidRPr="0028220E" w:rsidTr="008C5B59">
              <w:trPr>
                <w:trHeight w:val="267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ind w:left="49"/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4*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troisième cycle de végétation*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non homogène*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1E18" w:rsidRPr="00BC0FED" w:rsidRDefault="00B91E18" w:rsidP="005A6F81">
                  <w:pPr>
                    <w:jc w:val="center"/>
                    <w:rPr>
                      <w:lang w:val="fr-FR"/>
                    </w:rPr>
                  </w:pPr>
                  <w:r w:rsidRPr="00BC0FED">
                    <w:rPr>
                      <w:lang w:val="fr-FR"/>
                    </w:rPr>
                    <w:t>non homogène*</w:t>
                  </w:r>
                </w:p>
              </w:tc>
            </w:tr>
            <w:tr w:rsidR="00B91E18" w:rsidRPr="0028220E" w:rsidTr="008C5B59">
              <w:trPr>
                <w:trHeight w:val="266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91E18" w:rsidRPr="00BC0FED" w:rsidRDefault="00B91E18" w:rsidP="005A6F81">
                  <w:pPr>
                    <w:jc w:val="left"/>
                    <w:rPr>
                      <w:rFonts w:cs="Arial"/>
                      <w:color w:val="000000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ind w:left="49"/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4**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ind w:right="-123"/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1*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ind w:right="-122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troisième cycle de végétation*</w:t>
                  </w:r>
                  <w:r w:rsidR="00835743" w:rsidRPr="00BC0FED">
                    <w:rPr>
                      <w:rFonts w:cs="Arial"/>
                      <w:color w:val="00000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1E18" w:rsidRPr="00BC0FED" w:rsidRDefault="00B91E18" w:rsidP="005A6F81">
                  <w:pPr>
                    <w:jc w:val="center"/>
                    <w:rPr>
                      <w:rFonts w:cs="Arial"/>
                      <w:color w:val="000000"/>
                      <w:lang w:val="fr-FR"/>
                    </w:rPr>
                  </w:pPr>
                  <w:r w:rsidRPr="00BC0FED">
                    <w:rPr>
                      <w:rFonts w:cs="Arial"/>
                      <w:color w:val="000000"/>
                      <w:lang w:val="fr-FR"/>
                    </w:rPr>
                    <w:t>non homogène*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1E18" w:rsidRPr="00BC0FED" w:rsidRDefault="00B91E18" w:rsidP="005A6F81">
                  <w:pPr>
                    <w:jc w:val="center"/>
                    <w:rPr>
                      <w:lang w:val="fr-FR"/>
                    </w:rPr>
                  </w:pPr>
                  <w:r w:rsidRPr="00BC0FED">
                    <w:rPr>
                      <w:lang w:val="fr-FR"/>
                    </w:rPr>
                    <w:t>non homogène*</w:t>
                  </w:r>
                </w:p>
              </w:tc>
            </w:tr>
          </w:tbl>
          <w:p w:rsidR="00B91E18" w:rsidRPr="00BC0FED" w:rsidRDefault="00B91E18" w:rsidP="005A6F81">
            <w:pPr>
              <w:pStyle w:val="Titleofdoc0"/>
              <w:spacing w:before="0"/>
              <w:jc w:val="both"/>
              <w:rPr>
                <w:sz w:val="12"/>
                <w:szCs w:val="24"/>
                <w:lang w:val="fr-FR"/>
              </w:rPr>
            </w:pPr>
          </w:p>
          <w:p w:rsidR="00B91E18" w:rsidRPr="00BC0FED" w:rsidRDefault="00B91E18" w:rsidP="005A6F81">
            <w:pPr>
              <w:keepNext/>
              <w:keepLines/>
              <w:ind w:left="34"/>
              <w:rPr>
                <w:sz w:val="16"/>
                <w:u w:val="single"/>
                <w:lang w:val="fr-FR"/>
              </w:rPr>
            </w:pPr>
            <w:r w:rsidRPr="00BC0FED">
              <w:rPr>
                <w:sz w:val="18"/>
                <w:szCs w:val="24"/>
                <w:lang w:val="fr-FR"/>
              </w:rPr>
              <w:t xml:space="preserve">* </w:t>
            </w:r>
            <w:r w:rsidRPr="00BC0FED">
              <w:rPr>
                <w:rFonts w:eastAsia="SimSun"/>
                <w:sz w:val="18"/>
                <w:lang w:val="fr-FR"/>
              </w:rPr>
              <w:t>Il faut faire preuve de prudence lorsqu</w:t>
            </w:r>
            <w:r w:rsidR="00F85D2F" w:rsidRPr="00BC0FED">
              <w:rPr>
                <w:rFonts w:eastAsia="SimSun"/>
                <w:sz w:val="18"/>
                <w:lang w:val="fr-FR"/>
              </w:rPr>
              <w:t>’</w:t>
            </w:r>
            <w:r w:rsidRPr="00BC0FED">
              <w:rPr>
                <w:rFonts w:eastAsia="SimSun"/>
                <w:sz w:val="18"/>
                <w:lang w:val="fr-FR"/>
              </w:rPr>
              <w:t>on examine des résultats très différents dans chacun des cycles de végétation, notamment lorsqu</w:t>
            </w:r>
            <w:r w:rsidR="00F85D2F" w:rsidRPr="00BC0FED">
              <w:rPr>
                <w:rFonts w:eastAsia="SimSun"/>
                <w:sz w:val="18"/>
                <w:lang w:val="fr-FR"/>
              </w:rPr>
              <w:t>’</w:t>
            </w:r>
            <w:r w:rsidRPr="00BC0FED">
              <w:rPr>
                <w:rFonts w:eastAsia="SimSun"/>
                <w:sz w:val="18"/>
                <w:lang w:val="fr-FR"/>
              </w:rPr>
              <w:t>un type de plante hors</w:t>
            </w:r>
            <w:r w:rsidR="00F85D2F" w:rsidRPr="00BC0FED">
              <w:rPr>
                <w:rFonts w:eastAsia="SimSun"/>
                <w:sz w:val="18"/>
                <w:lang w:val="fr-FR"/>
              </w:rPr>
              <w:t>-</w:t>
            </w:r>
            <w:r w:rsidRPr="00BC0FED">
              <w:rPr>
                <w:rFonts w:eastAsia="SimSun"/>
                <w:sz w:val="18"/>
                <w:lang w:val="fr-FR"/>
              </w:rPr>
              <w:t>type a été observé à un niveau élevé dans un cycle de végétation tout</w:t>
            </w:r>
            <w:r w:rsidR="00835743" w:rsidRPr="00BC0FED">
              <w:rPr>
                <w:rFonts w:eastAsia="SimSun"/>
                <w:sz w:val="18"/>
                <w:lang w:val="fr-FR"/>
              </w:rPr>
              <w:t xml:space="preserve"> en étant absent dans un aut</w:t>
            </w:r>
            <w:r w:rsidR="005F032D" w:rsidRPr="00BC0FED">
              <w:rPr>
                <w:rFonts w:eastAsia="SimSun"/>
                <w:sz w:val="18"/>
                <w:lang w:val="fr-FR"/>
              </w:rPr>
              <w:t xml:space="preserve">re.  </w:t>
            </w:r>
            <w:r w:rsidR="005F032D" w:rsidRPr="00BC0FED">
              <w:rPr>
                <w:sz w:val="18"/>
                <w:lang w:val="fr-FR"/>
              </w:rPr>
              <w:t>Un</w:t>
            </w:r>
            <w:r w:rsidRPr="00BC0FED">
              <w:rPr>
                <w:sz w:val="18"/>
                <w:lang w:val="fr-FR"/>
              </w:rPr>
              <w:t xml:space="preserve"> test statistique d</w:t>
            </w:r>
            <w:r w:rsidR="00F85D2F" w:rsidRPr="00BC0FED">
              <w:rPr>
                <w:sz w:val="18"/>
                <w:lang w:val="fr-FR"/>
              </w:rPr>
              <w:t>’</w:t>
            </w:r>
            <w:r w:rsidRPr="00BC0FED">
              <w:rPr>
                <w:sz w:val="18"/>
                <w:lang w:val="fr-FR"/>
              </w:rPr>
              <w:t>homogénéité devrait être pratiqué, le cas échéa</w:t>
            </w:r>
            <w:r w:rsidR="005F032D" w:rsidRPr="00BC0FED">
              <w:rPr>
                <w:sz w:val="18"/>
                <w:lang w:val="fr-FR"/>
              </w:rPr>
              <w:t>nt.  Il</w:t>
            </w:r>
            <w:r w:rsidR="00360AC6" w:rsidRPr="00BC0FED">
              <w:rPr>
                <w:sz w:val="18"/>
                <w:lang w:val="fr-FR"/>
              </w:rPr>
              <w:t xml:space="preserve"> est important d</w:t>
            </w:r>
            <w:r w:rsidR="00F85D2F" w:rsidRPr="00BC0FED">
              <w:rPr>
                <w:sz w:val="18"/>
                <w:lang w:val="fr-FR"/>
              </w:rPr>
              <w:t>’</w:t>
            </w:r>
            <w:r w:rsidR="00360AC6" w:rsidRPr="00BC0FED">
              <w:rPr>
                <w:sz w:val="18"/>
                <w:lang w:val="fr-FR"/>
              </w:rPr>
              <w:t>identifier si la variation du nombre de plantes hors</w:t>
            </w:r>
            <w:r w:rsidR="00F85D2F" w:rsidRPr="00BC0FED">
              <w:rPr>
                <w:sz w:val="18"/>
                <w:lang w:val="fr-FR"/>
              </w:rPr>
              <w:t>-</w:t>
            </w:r>
            <w:r w:rsidR="00360AC6" w:rsidRPr="00BC0FED">
              <w:rPr>
                <w:sz w:val="18"/>
                <w:lang w:val="fr-FR"/>
              </w:rPr>
              <w:t>type entre les cycles s</w:t>
            </w:r>
            <w:r w:rsidR="00F85D2F" w:rsidRPr="00BC0FED">
              <w:rPr>
                <w:sz w:val="18"/>
                <w:lang w:val="fr-FR"/>
              </w:rPr>
              <w:t>’</w:t>
            </w:r>
            <w:r w:rsidR="00360AC6" w:rsidRPr="00BC0FED">
              <w:rPr>
                <w:sz w:val="18"/>
                <w:lang w:val="fr-FR"/>
              </w:rPr>
              <w:t>explique par des conditions environnementales ou des fluctuations d</w:t>
            </w:r>
            <w:r w:rsidR="00F85D2F" w:rsidRPr="00BC0FED">
              <w:rPr>
                <w:sz w:val="18"/>
                <w:lang w:val="fr-FR"/>
              </w:rPr>
              <w:t>’</w:t>
            </w:r>
            <w:r w:rsidR="00360AC6" w:rsidRPr="00BC0FED">
              <w:rPr>
                <w:sz w:val="18"/>
                <w:lang w:val="fr-FR"/>
              </w:rPr>
              <w:t>échantillonnage.</w:t>
            </w:r>
          </w:p>
          <w:p w:rsidR="00B91E18" w:rsidRPr="00BC0FED" w:rsidRDefault="00B91E18" w:rsidP="005A6F81">
            <w:pPr>
              <w:keepNext/>
              <w:keepLines/>
              <w:ind w:left="34"/>
              <w:rPr>
                <w:sz w:val="18"/>
                <w:lang w:val="fr-FR"/>
              </w:rPr>
            </w:pPr>
          </w:p>
          <w:p w:rsidR="00B91E18" w:rsidRDefault="00AD203D" w:rsidP="00E80AA8">
            <w:pPr>
              <w:keepNext/>
              <w:keepLines/>
              <w:spacing w:after="120"/>
              <w:ind w:left="34"/>
              <w:rPr>
                <w:sz w:val="18"/>
                <w:lang w:val="fr-FR"/>
              </w:rPr>
            </w:pPr>
            <w:r w:rsidRPr="00BC0FED">
              <w:rPr>
                <w:sz w:val="18"/>
                <w:lang w:val="fr-FR"/>
              </w:rPr>
              <w:t>** Si</w:t>
            </w:r>
            <w:r w:rsidR="00B91E18" w:rsidRPr="00BC0FED">
              <w:rPr>
                <w:sz w:val="18"/>
                <w:lang w:val="fr-FR"/>
              </w:rPr>
              <w:t xml:space="preserve"> au cours du premier cycle de végétation, le nombre de plantes hors</w:t>
            </w:r>
            <w:r w:rsidR="00F85D2F" w:rsidRPr="00BC0FED">
              <w:rPr>
                <w:sz w:val="18"/>
                <w:lang w:val="fr-FR"/>
              </w:rPr>
              <w:t>-</w:t>
            </w:r>
            <w:r w:rsidR="00B91E18" w:rsidRPr="00BC0FED">
              <w:rPr>
                <w:sz w:val="18"/>
                <w:lang w:val="fr-FR"/>
              </w:rPr>
              <w:t>type dépasse une limite supérieure prédéfinie, la variété peut être rejetée après un seul cycle de végétation.</w:t>
            </w:r>
          </w:p>
          <w:p w:rsidR="00E80AA8" w:rsidRPr="00E80AA8" w:rsidRDefault="00E80AA8" w:rsidP="00E80AA8">
            <w:pPr>
              <w:keepNext/>
              <w:keepLines/>
              <w:spacing w:after="120"/>
              <w:ind w:left="34"/>
              <w:rPr>
                <w:rFonts w:eastAsia="SimSun"/>
                <w:sz w:val="8"/>
                <w:lang w:val="fr-FR" w:eastAsia="zh-CN"/>
              </w:rPr>
            </w:pPr>
          </w:p>
        </w:tc>
      </w:tr>
    </w:tbl>
    <w:p w:rsidR="00B91E18" w:rsidRPr="00BC0FED" w:rsidRDefault="00B91E18" w:rsidP="00B91E18">
      <w:pPr>
        <w:jc w:val="left"/>
        <w:rPr>
          <w:lang w:val="fr-FR"/>
        </w:rPr>
      </w:pPr>
    </w:p>
    <w:p w:rsidR="00B91E18" w:rsidRPr="00BC0FED" w:rsidRDefault="00B91E18" w:rsidP="00B91E18">
      <w:pPr>
        <w:jc w:val="left"/>
        <w:rPr>
          <w:lang w:val="fr-FR"/>
        </w:rPr>
      </w:pPr>
    </w:p>
    <w:p w:rsidR="00B91E18" w:rsidRPr="00BC0FED" w:rsidRDefault="00B91E18" w:rsidP="00B91E18">
      <w:pPr>
        <w:jc w:val="left"/>
        <w:rPr>
          <w:lang w:val="fr-FR"/>
        </w:rPr>
      </w:pPr>
    </w:p>
    <w:p w:rsidR="00B91E18" w:rsidRPr="00BC0FED" w:rsidRDefault="00B91E18" w:rsidP="00B91E18">
      <w:pPr>
        <w:jc w:val="right"/>
        <w:rPr>
          <w:lang w:val="fr-FR"/>
        </w:rPr>
      </w:pPr>
      <w:bookmarkStart w:id="16" w:name="_GoBack"/>
      <w:bookmarkEnd w:id="16"/>
      <w:r w:rsidRPr="00BC0FED">
        <w:rPr>
          <w:rFonts w:eastAsia="MS Mincho"/>
          <w:color w:val="000000"/>
          <w:lang w:val="fr-FR"/>
        </w:rPr>
        <w:t>[L</w:t>
      </w:r>
      <w:r w:rsidR="00F85D2F" w:rsidRPr="00BC0FED">
        <w:rPr>
          <w:rFonts w:eastAsia="MS Mincho"/>
          <w:color w:val="000000"/>
          <w:lang w:val="fr-FR"/>
        </w:rPr>
        <w:t>’</w:t>
      </w:r>
      <w:r w:rsidRPr="00BC0FED">
        <w:rPr>
          <w:rFonts w:eastAsia="MS Mincho"/>
          <w:color w:val="000000"/>
          <w:lang w:val="fr-FR"/>
        </w:rPr>
        <w:t>annexe II suit]</w:t>
      </w:r>
    </w:p>
    <w:p w:rsidR="00B91E18" w:rsidRPr="00BC0FED" w:rsidRDefault="00B91E18" w:rsidP="00B91E18">
      <w:pPr>
        <w:jc w:val="right"/>
        <w:rPr>
          <w:lang w:val="fr-FR"/>
        </w:rPr>
        <w:sectPr w:rsidR="00B91E18" w:rsidRPr="00BC0FED" w:rsidSect="005A6F81">
          <w:headerReference w:type="default" r:id="rId10"/>
          <w:headerReference w:type="first" r:id="rId11"/>
          <w:pgSz w:w="11907" w:h="16840" w:code="9"/>
          <w:pgMar w:top="510" w:right="1134" w:bottom="993" w:left="1134" w:header="510" w:footer="680" w:gutter="0"/>
          <w:pgNumType w:start="1"/>
          <w:cols w:space="720"/>
          <w:titlePg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91E18" w:rsidRPr="0028220E" w:rsidTr="005A6F81">
        <w:trPr>
          <w:trHeight w:val="350"/>
        </w:trPr>
        <w:tc>
          <w:tcPr>
            <w:tcW w:w="9639" w:type="dxa"/>
          </w:tcPr>
          <w:p w:rsidR="00B91E18" w:rsidRPr="00BC0FED" w:rsidRDefault="00B91E18" w:rsidP="005A6F81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val="fr-FR" w:eastAsia="zh-CN"/>
              </w:rPr>
            </w:pPr>
          </w:p>
          <w:p w:rsidR="00B91E18" w:rsidRPr="00BC0FED" w:rsidRDefault="00B91E18" w:rsidP="005A6F81">
            <w:pPr>
              <w:autoSpaceDE w:val="0"/>
              <w:autoSpaceDN w:val="0"/>
              <w:adjustRightInd w:val="0"/>
              <w:jc w:val="center"/>
              <w:rPr>
                <w:szCs w:val="24"/>
                <w:lang w:val="fr-FR"/>
              </w:rPr>
            </w:pPr>
            <w:r w:rsidRPr="00BC0FED">
              <w:rPr>
                <w:rFonts w:eastAsia="SimSun"/>
                <w:szCs w:val="24"/>
                <w:lang w:val="fr-FR"/>
              </w:rPr>
              <w:t>SITUATION</w:t>
            </w:r>
            <w:r w:rsidR="00F85D2F" w:rsidRPr="00BC0FED">
              <w:rPr>
                <w:rFonts w:eastAsia="SimSun"/>
                <w:szCs w:val="24"/>
                <w:lang w:val="fr-FR"/>
              </w:rPr>
              <w:t> :</w:t>
            </w:r>
            <w:r w:rsidRPr="00BC0FED">
              <w:rPr>
                <w:rFonts w:eastAsia="SimSun"/>
                <w:szCs w:val="24"/>
                <w:lang w:val="fr-FR"/>
              </w:rPr>
              <w:t xml:space="preserve"> ÉVALUATION DE L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HOMOGÉNÉITÉ D</w:t>
            </w:r>
            <w:r w:rsidR="00F85D2F" w:rsidRPr="00BC0FED">
              <w:rPr>
                <w:rFonts w:eastAsia="SimSun"/>
                <w:szCs w:val="24"/>
                <w:lang w:val="fr-FR"/>
              </w:rPr>
              <w:t>’</w:t>
            </w:r>
            <w:r w:rsidRPr="00BC0FED">
              <w:rPr>
                <w:rFonts w:eastAsia="SimSun"/>
                <w:szCs w:val="24"/>
                <w:lang w:val="fr-FR"/>
              </w:rPr>
              <w:t>APRÈS LES PLANTES HORS</w:t>
            </w:r>
            <w:r w:rsidR="00F85D2F" w:rsidRPr="00BC0FED">
              <w:rPr>
                <w:rFonts w:eastAsia="SimSun"/>
                <w:szCs w:val="24"/>
                <w:lang w:val="fr-FR"/>
              </w:rPr>
              <w:t>-</w:t>
            </w:r>
            <w:r w:rsidRPr="00BC0FED">
              <w:rPr>
                <w:rFonts w:eastAsia="SimSun"/>
                <w:szCs w:val="24"/>
                <w:lang w:val="fr-FR"/>
              </w:rPr>
              <w:t xml:space="preserve">TYPE SUR LA BASE DE </w:t>
            </w:r>
            <w:r w:rsidRPr="00BC0FED">
              <w:rPr>
                <w:szCs w:val="24"/>
                <w:lang w:val="fr-FR"/>
              </w:rPr>
              <w:t>SOUS</w:t>
            </w:r>
            <w:r w:rsidR="00F85D2F" w:rsidRPr="00BC0FED">
              <w:rPr>
                <w:szCs w:val="24"/>
                <w:lang w:val="fr-FR"/>
              </w:rPr>
              <w:t>-</w:t>
            </w:r>
            <w:r w:rsidRPr="00BC0FED">
              <w:rPr>
                <w:szCs w:val="24"/>
                <w:lang w:val="fr-FR"/>
              </w:rPr>
              <w:t>ÉCHANTILLONS DANS LE CADRE D</w:t>
            </w:r>
            <w:r w:rsidR="00F85D2F" w:rsidRPr="00BC0FED">
              <w:rPr>
                <w:szCs w:val="24"/>
                <w:lang w:val="fr-FR"/>
              </w:rPr>
              <w:t>’</w:t>
            </w:r>
            <w:r w:rsidRPr="00BC0FED">
              <w:rPr>
                <w:szCs w:val="24"/>
                <w:lang w:val="fr-FR"/>
              </w:rPr>
              <w:t>UN SEUL EXAMEN/ESSAI</w:t>
            </w:r>
          </w:p>
          <w:p w:rsidR="00B91E18" w:rsidRPr="00BC0FED" w:rsidRDefault="00B91E18" w:rsidP="005A6F81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val="fr-FR" w:eastAsia="zh-CN"/>
              </w:rPr>
            </w:pPr>
          </w:p>
        </w:tc>
      </w:tr>
      <w:tr w:rsidR="00B91E18" w:rsidRPr="0028220E" w:rsidTr="005A6F81">
        <w:trPr>
          <w:trHeight w:val="6949"/>
        </w:trPr>
        <w:tc>
          <w:tcPr>
            <w:tcW w:w="9639" w:type="dxa"/>
          </w:tcPr>
          <w:p w:rsidR="00B91E18" w:rsidRPr="00BC0FED" w:rsidRDefault="00B91E18" w:rsidP="005A6F81">
            <w:pPr>
              <w:rPr>
                <w:lang w:val="fr-FR"/>
              </w:rPr>
            </w:pPr>
          </w:p>
          <w:p w:rsidR="00B91E18" w:rsidRPr="00BC0FED" w:rsidRDefault="00B91E18" w:rsidP="005A6F81">
            <w:pPr>
              <w:rPr>
                <w:b/>
                <w:lang w:val="fr-FR"/>
              </w:rPr>
            </w:pPr>
            <w:r w:rsidRPr="00BC0FED">
              <w:rPr>
                <w:b/>
                <w:lang w:val="fr-FR"/>
              </w:rPr>
              <w:t>Méthode</w:t>
            </w:r>
            <w:r w:rsidR="00F85D2F" w:rsidRPr="00BC0FED">
              <w:rPr>
                <w:b/>
                <w:lang w:val="fr-FR"/>
              </w:rPr>
              <w:t> :</w:t>
            </w:r>
            <w:r w:rsidRPr="00BC0FED">
              <w:rPr>
                <w:b/>
                <w:lang w:val="fr-FR"/>
              </w:rPr>
              <w:t xml:space="preserve"> Utilisation du sous</w:t>
            </w:r>
            <w:r w:rsidR="00F85D2F" w:rsidRPr="00BC0FED">
              <w:rPr>
                <w:b/>
                <w:lang w:val="fr-FR"/>
              </w:rPr>
              <w:t>-</w:t>
            </w:r>
            <w:r w:rsidRPr="00BC0FED">
              <w:rPr>
                <w:b/>
                <w:lang w:val="fr-FR"/>
              </w:rPr>
              <w:t>échantillon comme première étape d</w:t>
            </w:r>
            <w:r w:rsidR="00F85D2F" w:rsidRPr="00BC0FED">
              <w:rPr>
                <w:b/>
                <w:lang w:val="fr-FR"/>
              </w:rPr>
              <w:t>’</w:t>
            </w:r>
            <w:r w:rsidRPr="00BC0FED">
              <w:rPr>
                <w:b/>
                <w:lang w:val="fr-FR"/>
              </w:rPr>
              <w:t>évaluation</w:t>
            </w:r>
          </w:p>
          <w:p w:rsidR="00B91E18" w:rsidRPr="00BC0FED" w:rsidRDefault="006511C0" w:rsidP="006511C0">
            <w:pPr>
              <w:tabs>
                <w:tab w:val="left" w:pos="1275"/>
              </w:tabs>
              <w:rPr>
                <w:b/>
                <w:lang w:val="fr-FR"/>
              </w:rPr>
            </w:pPr>
            <w:r w:rsidRPr="00BC0FED">
              <w:rPr>
                <w:b/>
                <w:lang w:val="fr-FR"/>
              </w:rPr>
              <w:tab/>
            </w:r>
          </w:p>
          <w:p w:rsidR="00B91E18" w:rsidRPr="00BC0FED" w:rsidRDefault="00B91E18" w:rsidP="005A6F81">
            <w:pPr>
              <w:rPr>
                <w:lang w:val="fr-FR"/>
              </w:rPr>
            </w:pPr>
            <w:r w:rsidRPr="00BC0FED">
              <w:rPr>
                <w:lang w:val="fr-FR"/>
              </w:rPr>
              <w:t>Une variété est réputée homogène si le nombre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ne dépasse pas une limite inf</w:t>
            </w:r>
            <w:r w:rsidR="00835743" w:rsidRPr="00BC0FED">
              <w:rPr>
                <w:lang w:val="fr-FR"/>
              </w:rPr>
              <w:t>érieure prédéfinie dans le sous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échantillon.</w:t>
            </w:r>
          </w:p>
          <w:p w:rsidR="00B91E18" w:rsidRPr="00BC0FED" w:rsidRDefault="00B91E18" w:rsidP="005A6F81">
            <w:pPr>
              <w:rPr>
                <w:lang w:val="fr-FR"/>
              </w:rPr>
            </w:pPr>
          </w:p>
          <w:p w:rsidR="00B91E18" w:rsidRPr="00BC0FED" w:rsidRDefault="00B91E18" w:rsidP="005A6F81">
            <w:pPr>
              <w:rPr>
                <w:lang w:val="fr-FR"/>
              </w:rPr>
            </w:pPr>
            <w:r w:rsidRPr="00BC0FED">
              <w:rPr>
                <w:lang w:val="fr-FR"/>
              </w:rPr>
              <w:t>Une variété est réputée non homogène si le nombre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dépasse une limite supérieure prédéfinie dans le sous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échantillon.</w:t>
            </w:r>
          </w:p>
          <w:p w:rsidR="00B91E18" w:rsidRPr="00BC0FED" w:rsidRDefault="00B91E18" w:rsidP="005A6F81">
            <w:pPr>
              <w:rPr>
                <w:lang w:val="fr-FR"/>
              </w:rPr>
            </w:pPr>
          </w:p>
          <w:p w:rsidR="00B91E18" w:rsidRPr="00BC0FED" w:rsidRDefault="00B91E18" w:rsidP="005A6F81">
            <w:pPr>
              <w:rPr>
                <w:lang w:val="fr-FR"/>
              </w:rPr>
            </w:pPr>
            <w:r w:rsidRPr="00BC0FED">
              <w:rPr>
                <w:lang w:val="fr-FR"/>
              </w:rPr>
              <w:t>Si le nombre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se situe entre les limites inférieure et supérieure prédéfinies, l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échantillon tout entier est éval</w:t>
            </w:r>
            <w:r w:rsidR="005F032D" w:rsidRPr="00BC0FED">
              <w:rPr>
                <w:lang w:val="fr-FR"/>
              </w:rPr>
              <w:t>ué.  Le</w:t>
            </w:r>
            <w:r w:rsidRPr="00BC0FED">
              <w:rPr>
                <w:lang w:val="fr-FR"/>
              </w:rPr>
              <w:t>s limites inférieure et supérieure doivent être choisies compte tenu des probabilités d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erreurs de type I et de type II comparables entre le sous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échantillon et l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échantillon tout entier.</w:t>
            </w:r>
          </w:p>
          <w:p w:rsidR="00B91E18" w:rsidRPr="00BC0FED" w:rsidRDefault="00A77C6D" w:rsidP="005A6F81">
            <w:pPr>
              <w:rPr>
                <w:lang w:val="fr-FR"/>
              </w:rPr>
            </w:pPr>
            <w:r>
              <w:rPr>
                <w:rFonts w:eastAsia="SimSun"/>
                <w:szCs w:val="24"/>
                <w:lang w:val="fr-FR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91E18" w:rsidRPr="00BC0FED" w:rsidRDefault="00B91E18" w:rsidP="005A6F81">
            <w:pPr>
              <w:rPr>
                <w:szCs w:val="24"/>
                <w:lang w:val="fr-FR"/>
              </w:rPr>
            </w:pPr>
          </w:p>
          <w:p w:rsidR="00B91E18" w:rsidRPr="00BC0FED" w:rsidRDefault="00B91E18" w:rsidP="005A6F81">
            <w:pPr>
              <w:rPr>
                <w:szCs w:val="24"/>
                <w:lang w:val="fr-FR"/>
              </w:rPr>
            </w:pPr>
            <w:r w:rsidRPr="00BC0FED">
              <w:rPr>
                <w:szCs w:val="24"/>
                <w:lang w:val="fr-FR"/>
              </w:rPr>
              <w:t>Exemple</w:t>
            </w:r>
            <w:r w:rsidR="00F85D2F" w:rsidRPr="00BC0FED">
              <w:rPr>
                <w:szCs w:val="24"/>
                <w:lang w:val="fr-FR"/>
              </w:rPr>
              <w:t> :</w:t>
            </w:r>
          </w:p>
          <w:p w:rsidR="00B91E18" w:rsidRPr="00BC0FED" w:rsidRDefault="00B91E18" w:rsidP="005A6F81">
            <w:pPr>
              <w:rPr>
                <w:szCs w:val="24"/>
                <w:lang w:val="fr-FR"/>
              </w:rPr>
            </w:pPr>
          </w:p>
          <w:p w:rsidR="00B91E18" w:rsidRPr="00BC0FED" w:rsidRDefault="00B91E18" w:rsidP="005A6F81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fr-FR"/>
              </w:rPr>
            </w:pPr>
            <w:r w:rsidRPr="00BC0FED">
              <w:rPr>
                <w:color w:val="000000"/>
                <w:szCs w:val="24"/>
                <w:lang w:val="fr-FR"/>
              </w:rPr>
              <w:t>Dans un échantillon de 100 plantes, le nombre acceptable de plantes hors</w:t>
            </w:r>
            <w:r w:rsidR="00F85D2F" w:rsidRPr="00BC0FED">
              <w:rPr>
                <w:color w:val="000000"/>
                <w:szCs w:val="24"/>
                <w:lang w:val="fr-FR"/>
              </w:rPr>
              <w:t>-</w:t>
            </w:r>
            <w:r w:rsidRPr="00BC0FED">
              <w:rPr>
                <w:color w:val="000000"/>
                <w:szCs w:val="24"/>
                <w:lang w:val="fr-FR"/>
              </w:rPr>
              <w:t>type est de 3 (sur la base d</w:t>
            </w:r>
            <w:r w:rsidR="00F85D2F" w:rsidRPr="00BC0FED">
              <w:rPr>
                <w:color w:val="000000"/>
                <w:szCs w:val="24"/>
                <w:lang w:val="fr-FR"/>
              </w:rPr>
              <w:t>’</w:t>
            </w:r>
            <w:r w:rsidRPr="00BC0FED">
              <w:rPr>
                <w:color w:val="000000"/>
                <w:szCs w:val="24"/>
                <w:lang w:val="fr-FR"/>
              </w:rPr>
              <w:t>une norme de population de 1% et d</w:t>
            </w:r>
            <w:r w:rsidR="00F85D2F" w:rsidRPr="00BC0FED">
              <w:rPr>
                <w:color w:val="000000"/>
                <w:szCs w:val="24"/>
                <w:lang w:val="fr-FR"/>
              </w:rPr>
              <w:t>’</w:t>
            </w:r>
            <w:r w:rsidRPr="00BC0FED">
              <w:rPr>
                <w:color w:val="000000"/>
                <w:szCs w:val="24"/>
                <w:lang w:val="fr-FR"/>
              </w:rPr>
              <w:t>une probabilité d</w:t>
            </w:r>
            <w:r w:rsidR="00F85D2F" w:rsidRPr="00BC0FED">
              <w:rPr>
                <w:color w:val="000000"/>
                <w:szCs w:val="24"/>
                <w:lang w:val="fr-FR"/>
              </w:rPr>
              <w:t>’</w:t>
            </w:r>
            <w:r w:rsidRPr="00BC0FED">
              <w:rPr>
                <w:color w:val="000000"/>
                <w:szCs w:val="24"/>
                <w:lang w:val="fr-FR"/>
              </w:rPr>
              <w:t>acceptation d</w:t>
            </w:r>
            <w:r w:rsidR="00F85D2F" w:rsidRPr="00BC0FED">
              <w:rPr>
                <w:color w:val="000000"/>
                <w:szCs w:val="24"/>
                <w:lang w:val="fr-FR"/>
              </w:rPr>
              <w:t>’</w:t>
            </w:r>
            <w:r w:rsidRPr="00BC0FED">
              <w:rPr>
                <w:color w:val="000000"/>
                <w:szCs w:val="24"/>
                <w:lang w:val="fr-FR"/>
              </w:rPr>
              <w:t>au moins 95%).</w:t>
            </w:r>
          </w:p>
          <w:p w:rsidR="00B91E18" w:rsidRPr="00BC0FED" w:rsidRDefault="00B91E18" w:rsidP="005A6F81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fr-FR"/>
              </w:rPr>
            </w:pPr>
          </w:p>
          <w:p w:rsidR="00B91E18" w:rsidRPr="00BC0FED" w:rsidRDefault="00B91E18" w:rsidP="005A6F81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fr-FR"/>
              </w:rPr>
            </w:pPr>
            <w:r w:rsidRPr="00BC0FED">
              <w:rPr>
                <w:color w:val="000000"/>
                <w:szCs w:val="24"/>
                <w:lang w:val="fr-FR"/>
              </w:rPr>
              <w:t>Dans un sous</w:t>
            </w:r>
            <w:r w:rsidR="00F85D2F" w:rsidRPr="00BC0FED">
              <w:rPr>
                <w:color w:val="000000"/>
                <w:szCs w:val="24"/>
                <w:lang w:val="fr-FR"/>
              </w:rPr>
              <w:t>-</w:t>
            </w:r>
            <w:r w:rsidRPr="00BC0FED">
              <w:rPr>
                <w:color w:val="000000"/>
                <w:szCs w:val="24"/>
                <w:lang w:val="fr-FR"/>
              </w:rPr>
              <w:t>échantillon de 20 plantes utilisé dans le contexte de l</w:t>
            </w:r>
            <w:r w:rsidR="00F85D2F" w:rsidRPr="00BC0FED">
              <w:rPr>
                <w:color w:val="000000"/>
                <w:szCs w:val="24"/>
                <w:lang w:val="fr-FR"/>
              </w:rPr>
              <w:t>’</w:t>
            </w:r>
            <w:r w:rsidRPr="00BC0FED">
              <w:rPr>
                <w:color w:val="000000"/>
                <w:szCs w:val="24"/>
                <w:lang w:val="fr-FR"/>
              </w:rPr>
              <w:t>échantillon de 100 plantes ci</w:t>
            </w:r>
            <w:r w:rsidR="00F85D2F" w:rsidRPr="00BC0FED">
              <w:rPr>
                <w:color w:val="000000"/>
                <w:szCs w:val="24"/>
                <w:lang w:val="fr-FR"/>
              </w:rPr>
              <w:t>-</w:t>
            </w:r>
            <w:r w:rsidRPr="00BC0FED">
              <w:rPr>
                <w:color w:val="000000"/>
                <w:szCs w:val="24"/>
                <w:lang w:val="fr-FR"/>
              </w:rPr>
              <w:t>dessus</w:t>
            </w:r>
            <w:r w:rsidR="00F85D2F" w:rsidRPr="00BC0FED">
              <w:rPr>
                <w:color w:val="000000"/>
                <w:szCs w:val="24"/>
                <w:lang w:val="fr-FR"/>
              </w:rPr>
              <w:t> :</w:t>
            </w:r>
          </w:p>
          <w:p w:rsidR="00B91E18" w:rsidRPr="00BC0FED" w:rsidRDefault="00B91E18" w:rsidP="005A6F81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fr-FR"/>
              </w:rPr>
            </w:pPr>
          </w:p>
          <w:p w:rsidR="00B91E18" w:rsidRPr="00BC0FED" w:rsidRDefault="00B91E18" w:rsidP="005A6F81">
            <w:pPr>
              <w:ind w:left="567"/>
              <w:rPr>
                <w:lang w:val="fr-FR"/>
              </w:rPr>
            </w:pPr>
            <w:r w:rsidRPr="00BC0FED">
              <w:rPr>
                <w:lang w:val="fr-FR"/>
              </w:rPr>
              <w:t>Une variété est réputée homogène si aucune plante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n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est observée dans le sous</w:t>
            </w:r>
            <w:r w:rsidR="00BD59A6">
              <w:rPr>
                <w:lang w:val="fr-FR"/>
              </w:rPr>
              <w:noBreakHyphen/>
            </w:r>
            <w:r w:rsidRPr="00BC0FED">
              <w:rPr>
                <w:lang w:val="fr-FR"/>
              </w:rPr>
              <w:t>échantillon.</w:t>
            </w:r>
          </w:p>
          <w:p w:rsidR="00B91E18" w:rsidRPr="00BC0FED" w:rsidRDefault="00B91E18" w:rsidP="005A6F81">
            <w:pPr>
              <w:rPr>
                <w:lang w:val="fr-FR"/>
              </w:rPr>
            </w:pPr>
          </w:p>
          <w:p w:rsidR="00B91E18" w:rsidRPr="00BC0FED" w:rsidRDefault="00B91E18" w:rsidP="005A6F81">
            <w:pPr>
              <w:ind w:left="567"/>
              <w:rPr>
                <w:lang w:val="fr-FR"/>
              </w:rPr>
            </w:pPr>
            <w:r w:rsidRPr="00BC0FED">
              <w:rPr>
                <w:lang w:val="fr-FR"/>
              </w:rPr>
              <w:t>Une variété est réputée non homogène si le nombre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dans le sous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échantillon dépasse 3.</w:t>
            </w:r>
          </w:p>
          <w:p w:rsidR="00B91E18" w:rsidRPr="00BC0FED" w:rsidRDefault="00B91E18" w:rsidP="005A6F81">
            <w:pPr>
              <w:rPr>
                <w:lang w:val="fr-FR"/>
              </w:rPr>
            </w:pPr>
          </w:p>
          <w:p w:rsidR="00B91E18" w:rsidRPr="00BC0FED" w:rsidRDefault="00B91E18" w:rsidP="005A6F81">
            <w:pPr>
              <w:ind w:left="567"/>
              <w:rPr>
                <w:lang w:val="fr-FR"/>
              </w:rPr>
            </w:pPr>
            <w:r w:rsidRPr="00BC0FED">
              <w:rPr>
                <w:lang w:val="fr-FR"/>
              </w:rPr>
              <w:t>Si le nombre de plantes hors</w:t>
            </w:r>
            <w:r w:rsidR="00F85D2F" w:rsidRPr="00BC0FED">
              <w:rPr>
                <w:lang w:val="fr-FR"/>
              </w:rPr>
              <w:t>-</w:t>
            </w:r>
            <w:r w:rsidRPr="00BC0FED">
              <w:rPr>
                <w:lang w:val="fr-FR"/>
              </w:rPr>
              <w:t>type varie entre 1 et 3, l</w:t>
            </w:r>
            <w:r w:rsidR="00F85D2F" w:rsidRPr="00BC0FED">
              <w:rPr>
                <w:lang w:val="fr-FR"/>
              </w:rPr>
              <w:t>’</w:t>
            </w:r>
            <w:r w:rsidRPr="00BC0FED">
              <w:rPr>
                <w:lang w:val="fr-FR"/>
              </w:rPr>
              <w:t>échantillon tout entier de 100 plantes est évalué.</w:t>
            </w:r>
          </w:p>
          <w:p w:rsidR="00B91E18" w:rsidRPr="00BC0FED" w:rsidRDefault="00B91E18" w:rsidP="005A6F81">
            <w:pPr>
              <w:ind w:left="567"/>
              <w:rPr>
                <w:lang w:val="fr-FR"/>
              </w:rPr>
            </w:pPr>
          </w:p>
          <w:p w:rsidR="00B91E18" w:rsidRPr="00BC0FED" w:rsidRDefault="00B91E18" w:rsidP="005A6F81">
            <w:pPr>
              <w:ind w:left="567"/>
              <w:rPr>
                <w:lang w:val="fr-FR"/>
              </w:rPr>
            </w:pPr>
            <w:r w:rsidRPr="00BC0FED">
              <w:rPr>
                <w:rFonts w:cs="Arial"/>
                <w:lang w:val="fr-FR"/>
              </w:rPr>
              <w:t>Dans l</w:t>
            </w:r>
            <w:r w:rsidR="00F85D2F" w:rsidRPr="00BC0FED">
              <w:rPr>
                <w:rFonts w:cs="Arial"/>
                <w:lang w:val="fr-FR"/>
              </w:rPr>
              <w:t>’</w:t>
            </w:r>
            <w:r w:rsidRPr="00BC0FED">
              <w:rPr>
                <w:rFonts w:cs="Arial"/>
                <w:lang w:val="fr-FR"/>
              </w:rPr>
              <w:t>échantillon de 100 plantes, si le nombre de plantes hors</w:t>
            </w:r>
            <w:r w:rsidR="00F85D2F" w:rsidRPr="00BC0FED">
              <w:rPr>
                <w:rFonts w:cs="Arial"/>
                <w:lang w:val="fr-FR"/>
              </w:rPr>
              <w:t>-</w:t>
            </w:r>
            <w:r w:rsidRPr="00BC0FED">
              <w:rPr>
                <w:rFonts w:cs="Arial"/>
                <w:lang w:val="fr-FR"/>
              </w:rPr>
              <w:t>type dépasse 3, la variété est réputée non homogène.</w:t>
            </w:r>
          </w:p>
          <w:p w:rsidR="00B91E18" w:rsidRPr="00BC0FED" w:rsidRDefault="00B91E18" w:rsidP="005A6F81">
            <w:pPr>
              <w:ind w:left="34" w:right="600"/>
              <w:rPr>
                <w:szCs w:val="24"/>
                <w:lang w:val="fr-FR"/>
              </w:rPr>
            </w:pPr>
          </w:p>
          <w:p w:rsidR="00B91E18" w:rsidRPr="00BC0FED" w:rsidRDefault="00B91E18" w:rsidP="005A6F81">
            <w:pPr>
              <w:ind w:left="34" w:right="600"/>
              <w:rPr>
                <w:szCs w:val="24"/>
                <w:lang w:val="fr-FR"/>
              </w:rPr>
            </w:pPr>
          </w:p>
        </w:tc>
      </w:tr>
    </w:tbl>
    <w:p w:rsidR="00B91E18" w:rsidRPr="00BC0FED" w:rsidRDefault="00B91E18" w:rsidP="00B91E18">
      <w:pPr>
        <w:rPr>
          <w:lang w:val="fr-FR"/>
        </w:rPr>
      </w:pPr>
    </w:p>
    <w:p w:rsidR="00B91E18" w:rsidRPr="00BC0FED" w:rsidRDefault="00B91E18" w:rsidP="00B91E18">
      <w:pPr>
        <w:rPr>
          <w:lang w:val="fr-FR"/>
        </w:rPr>
      </w:pPr>
    </w:p>
    <w:p w:rsidR="00F85D2F" w:rsidRPr="00BC0FED" w:rsidRDefault="00F85D2F" w:rsidP="00B91E18">
      <w:pPr>
        <w:rPr>
          <w:lang w:val="fr-FR"/>
        </w:rPr>
      </w:pPr>
    </w:p>
    <w:p w:rsidR="00B91E18" w:rsidRPr="00BC0FED" w:rsidRDefault="00B91E18" w:rsidP="00B91E18">
      <w:pPr>
        <w:jc w:val="right"/>
        <w:rPr>
          <w:lang w:val="fr-FR"/>
        </w:rPr>
      </w:pPr>
      <w:r w:rsidRPr="00BC0FED">
        <w:rPr>
          <w:lang w:val="fr-FR"/>
        </w:rPr>
        <w:t>[Fin de l</w:t>
      </w:r>
      <w:r w:rsidR="00F85D2F" w:rsidRPr="00BC0FED">
        <w:rPr>
          <w:lang w:val="fr-FR"/>
        </w:rPr>
        <w:t>’</w:t>
      </w:r>
      <w:r w:rsidRPr="00BC0FED">
        <w:rPr>
          <w:lang w:val="fr-FR"/>
        </w:rPr>
        <w:t>annexe II et du document]</w:t>
      </w:r>
    </w:p>
    <w:sectPr w:rsidR="00B91E18" w:rsidRPr="00BC0FED" w:rsidSect="00906DDC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35" w:rsidRDefault="002E4035" w:rsidP="006655D3">
      <w:r>
        <w:separator/>
      </w:r>
    </w:p>
    <w:p w:rsidR="002E4035" w:rsidRDefault="002E4035" w:rsidP="006655D3"/>
    <w:p w:rsidR="002E4035" w:rsidRDefault="002E4035" w:rsidP="006655D3"/>
  </w:endnote>
  <w:endnote w:type="continuationSeparator" w:id="0">
    <w:p w:rsidR="002E4035" w:rsidRDefault="002E4035" w:rsidP="006655D3">
      <w:r>
        <w:separator/>
      </w:r>
    </w:p>
    <w:p w:rsidR="002E4035" w:rsidRPr="00294751" w:rsidRDefault="002E4035">
      <w:pPr>
        <w:pStyle w:val="Footer"/>
        <w:spacing w:after="60"/>
        <w:rPr>
          <w:sz w:val="18"/>
          <w:lang w:val="fr-FR"/>
        </w:rPr>
      </w:pPr>
      <w:r w:rsidRPr="00B713BF">
        <w:rPr>
          <w:sz w:val="18"/>
          <w:lang w:val="fr-FR"/>
        </w:rPr>
        <w:t>[Suite de la note de la page précédente]</w:t>
      </w:r>
    </w:p>
    <w:p w:rsidR="002E4035" w:rsidRPr="00294751" w:rsidRDefault="002E4035" w:rsidP="006655D3">
      <w:pPr>
        <w:rPr>
          <w:lang w:val="fr-FR"/>
        </w:rPr>
      </w:pPr>
    </w:p>
    <w:p w:rsidR="002E4035" w:rsidRPr="00294751" w:rsidRDefault="002E4035" w:rsidP="006655D3">
      <w:pPr>
        <w:rPr>
          <w:lang w:val="fr-FR"/>
        </w:rPr>
      </w:pPr>
    </w:p>
  </w:endnote>
  <w:endnote w:type="continuationNotice" w:id="1">
    <w:p w:rsidR="002E4035" w:rsidRPr="00294751" w:rsidRDefault="002E4035" w:rsidP="006655D3">
      <w:pPr>
        <w:rPr>
          <w:lang w:val="fr-FR"/>
        </w:rPr>
      </w:pPr>
      <w:r w:rsidRPr="00B713BF">
        <w:rPr>
          <w:lang w:val="fr-FR"/>
        </w:rPr>
        <w:t>[Suite de la note page suivante]</w:t>
      </w:r>
    </w:p>
    <w:p w:rsidR="002E4035" w:rsidRPr="00294751" w:rsidRDefault="002E4035" w:rsidP="006655D3">
      <w:pPr>
        <w:rPr>
          <w:lang w:val="fr-FR"/>
        </w:rPr>
      </w:pPr>
    </w:p>
    <w:p w:rsidR="002E4035" w:rsidRPr="00294751" w:rsidRDefault="002E40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35" w:rsidRDefault="002E4035" w:rsidP="006655D3">
      <w:r>
        <w:separator/>
      </w:r>
    </w:p>
  </w:footnote>
  <w:footnote w:type="continuationSeparator" w:id="0">
    <w:p w:rsidR="002E4035" w:rsidRDefault="002E4035" w:rsidP="006655D3">
      <w:r>
        <w:separator/>
      </w:r>
    </w:p>
  </w:footnote>
  <w:footnote w:type="continuationNotice" w:id="1">
    <w:p w:rsidR="002E4035" w:rsidRPr="00AB530F" w:rsidRDefault="002E403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35" w:rsidRDefault="002E4035" w:rsidP="005A6F81">
    <w:pPr>
      <w:pStyle w:val="Header"/>
      <w:rPr>
        <w:lang w:val="en-US"/>
      </w:rPr>
    </w:pPr>
    <w:r w:rsidRPr="002A5517">
      <w:t>TC/54/20</w:t>
    </w:r>
  </w:p>
  <w:p w:rsidR="002E4035" w:rsidRPr="00C5280D" w:rsidRDefault="002E4035" w:rsidP="00EB048E">
    <w:pPr>
      <w:pStyle w:val="Header"/>
      <w:rPr>
        <w:lang w:val="en-US"/>
      </w:rPr>
    </w:pPr>
    <w:r w:rsidRPr="00C5280D">
      <w:t>page</w:t>
    </w:r>
    <w: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7C6D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2E4035" w:rsidRPr="00C5280D" w:rsidRDefault="002E4035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35" w:rsidRPr="00C906FF" w:rsidRDefault="002E4035" w:rsidP="00EB048E">
    <w:pPr>
      <w:pStyle w:val="Header"/>
      <w:rPr>
        <w:rStyle w:val="PageNumber"/>
        <w:lang w:val="pt-BR"/>
      </w:rPr>
    </w:pPr>
    <w:r w:rsidRPr="002A5517">
      <w:t>TC/54/20</w:t>
    </w:r>
  </w:p>
  <w:p w:rsidR="002E4035" w:rsidRPr="0061523C" w:rsidRDefault="002E4035" w:rsidP="00EB048E">
    <w:pPr>
      <w:pStyle w:val="Header"/>
      <w:rPr>
        <w:lang w:val="pt-BR"/>
      </w:rPr>
    </w:pPr>
    <w:r w:rsidRPr="00C906FF">
      <w:t>Annex</w:t>
    </w:r>
    <w:r>
      <w:t>e</w:t>
    </w:r>
    <w:r w:rsidRPr="00C906FF">
      <w:t xml:space="preserve"> I, page</w:t>
    </w:r>
    <w:r>
      <w:t xml:space="preserve"> </w:t>
    </w:r>
    <w:r w:rsidRPr="00C5280D">
      <w:rPr>
        <w:rStyle w:val="PageNumber"/>
        <w:lang w:val="en-US"/>
      </w:rPr>
      <w:fldChar w:fldCharType="begin"/>
    </w:r>
    <w:r w:rsidRPr="0061523C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7C6D">
      <w:rPr>
        <w:rStyle w:val="PageNumber"/>
        <w:noProof/>
        <w:lang w:val="pt-BR"/>
      </w:rPr>
      <w:t>2</w:t>
    </w:r>
    <w:r w:rsidRPr="00C5280D">
      <w:rPr>
        <w:rStyle w:val="PageNumber"/>
        <w:lang w:val="en-US"/>
      </w:rPr>
      <w:fldChar w:fldCharType="end"/>
    </w:r>
  </w:p>
  <w:p w:rsidR="002E4035" w:rsidRPr="0061523C" w:rsidRDefault="002E4035" w:rsidP="00B30509">
    <w:pPr>
      <w:jc w:val="center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35" w:rsidRDefault="002E4035">
    <w:pPr>
      <w:pStyle w:val="Header"/>
      <w:rPr>
        <w:lang w:val="en-US"/>
      </w:rPr>
    </w:pPr>
    <w:r w:rsidRPr="002A5517">
      <w:t>TC/54/20</w:t>
    </w:r>
  </w:p>
  <w:p w:rsidR="002E4035" w:rsidRPr="00C906FF" w:rsidRDefault="002E4035">
    <w:pPr>
      <w:pStyle w:val="Header"/>
      <w:rPr>
        <w:lang w:val="pt-BR"/>
      </w:rPr>
    </w:pPr>
  </w:p>
  <w:p w:rsidR="002E4035" w:rsidRPr="00C906FF" w:rsidRDefault="002E4035">
    <w:pPr>
      <w:pStyle w:val="Header"/>
      <w:rPr>
        <w:lang w:val="pt-BR"/>
      </w:rPr>
    </w:pPr>
    <w:r w:rsidRPr="00C906FF">
      <w:t>ANNEXE I</w:t>
    </w:r>
  </w:p>
  <w:p w:rsidR="002E4035" w:rsidRDefault="002E4035">
    <w:pPr>
      <w:pStyle w:val="Header"/>
      <w:rPr>
        <w:lang w:val="pt-BR"/>
      </w:rPr>
    </w:pPr>
  </w:p>
  <w:p w:rsidR="00B30509" w:rsidRPr="00C906FF" w:rsidRDefault="00B30509">
    <w:pPr>
      <w:pStyle w:val="Header"/>
      <w:rPr>
        <w:lang w:val="pt-B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35" w:rsidRPr="00C5280D" w:rsidRDefault="002E4035" w:rsidP="00EB048E">
    <w:pPr>
      <w:pStyle w:val="Header"/>
      <w:rPr>
        <w:rStyle w:val="PageNumber"/>
        <w:lang w:val="en-US"/>
      </w:rPr>
    </w:pPr>
    <w:r>
      <w:rPr>
        <w:rStyle w:val="PageNumber"/>
      </w:rPr>
      <w:t>TC/54/</w:t>
    </w:r>
  </w:p>
  <w:p w:rsidR="002E4035" w:rsidRPr="00C5280D" w:rsidRDefault="002E4035" w:rsidP="00EB048E">
    <w:pPr>
      <w:pStyle w:val="Header"/>
      <w:rPr>
        <w:lang w:val="en-US"/>
      </w:rPr>
    </w:pPr>
    <w:r w:rsidRPr="00C5280D"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2E4035" w:rsidRPr="00C5280D" w:rsidRDefault="002E4035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35" w:rsidRDefault="002E4035">
    <w:pPr>
      <w:pStyle w:val="Header"/>
      <w:rPr>
        <w:lang w:val="en-US"/>
      </w:rPr>
    </w:pPr>
    <w:r w:rsidRPr="002A5517">
      <w:t>TC/54/20</w:t>
    </w:r>
  </w:p>
  <w:p w:rsidR="002E4035" w:rsidRPr="00C906FF" w:rsidRDefault="002E4035">
    <w:pPr>
      <w:pStyle w:val="Header"/>
      <w:rPr>
        <w:lang w:val="pt-BR"/>
      </w:rPr>
    </w:pPr>
  </w:p>
  <w:p w:rsidR="002E4035" w:rsidRPr="00C906FF" w:rsidRDefault="002E4035">
    <w:pPr>
      <w:pStyle w:val="Header"/>
      <w:rPr>
        <w:lang w:val="pt-BR"/>
      </w:rPr>
    </w:pPr>
    <w:r w:rsidRPr="00C906FF">
      <w:t>ANNEXE II</w:t>
    </w:r>
  </w:p>
  <w:p w:rsidR="002E4035" w:rsidRDefault="002E4035">
    <w:pPr>
      <w:pStyle w:val="Header"/>
      <w:rPr>
        <w:lang w:val="pt-BR"/>
      </w:rPr>
    </w:pPr>
  </w:p>
  <w:p w:rsidR="00B30509" w:rsidRPr="00C906FF" w:rsidRDefault="00B30509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7878"/>
    <w:multiLevelType w:val="hybridMultilevel"/>
    <w:tmpl w:val="B652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18"/>
    <w:rsid w:val="00002AF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6F77"/>
    <w:rsid w:val="00057BB4"/>
    <w:rsid w:val="0006795E"/>
    <w:rsid w:val="000779E7"/>
    <w:rsid w:val="00080E8B"/>
    <w:rsid w:val="00085505"/>
    <w:rsid w:val="00092C22"/>
    <w:rsid w:val="000C4E25"/>
    <w:rsid w:val="000C7021"/>
    <w:rsid w:val="000D4DE9"/>
    <w:rsid w:val="000D6BBC"/>
    <w:rsid w:val="000D7780"/>
    <w:rsid w:val="000E636A"/>
    <w:rsid w:val="000F2F11"/>
    <w:rsid w:val="00105929"/>
    <w:rsid w:val="00110C36"/>
    <w:rsid w:val="001131D5"/>
    <w:rsid w:val="00126DA7"/>
    <w:rsid w:val="00141DB8"/>
    <w:rsid w:val="00153395"/>
    <w:rsid w:val="001560FA"/>
    <w:rsid w:val="00172084"/>
    <w:rsid w:val="0017474A"/>
    <w:rsid w:val="001758C6"/>
    <w:rsid w:val="00182B99"/>
    <w:rsid w:val="001A6CA4"/>
    <w:rsid w:val="001C1F91"/>
    <w:rsid w:val="001C55EE"/>
    <w:rsid w:val="001F160F"/>
    <w:rsid w:val="00206F75"/>
    <w:rsid w:val="0021332C"/>
    <w:rsid w:val="00213982"/>
    <w:rsid w:val="0024416D"/>
    <w:rsid w:val="00271911"/>
    <w:rsid w:val="002800A0"/>
    <w:rsid w:val="002801B3"/>
    <w:rsid w:val="00281060"/>
    <w:rsid w:val="0028220E"/>
    <w:rsid w:val="002902CC"/>
    <w:rsid w:val="00291A65"/>
    <w:rsid w:val="002940E8"/>
    <w:rsid w:val="00294751"/>
    <w:rsid w:val="002A421F"/>
    <w:rsid w:val="002A5517"/>
    <w:rsid w:val="002A5D37"/>
    <w:rsid w:val="002A6E50"/>
    <w:rsid w:val="002B4298"/>
    <w:rsid w:val="002C13FA"/>
    <w:rsid w:val="002C256A"/>
    <w:rsid w:val="002E4035"/>
    <w:rsid w:val="00304827"/>
    <w:rsid w:val="00305A7F"/>
    <w:rsid w:val="003152FE"/>
    <w:rsid w:val="00327436"/>
    <w:rsid w:val="00342FFD"/>
    <w:rsid w:val="00344BD6"/>
    <w:rsid w:val="003471C2"/>
    <w:rsid w:val="0035528D"/>
    <w:rsid w:val="00360AC6"/>
    <w:rsid w:val="00361821"/>
    <w:rsid w:val="00361A76"/>
    <w:rsid w:val="00361E9E"/>
    <w:rsid w:val="003851A9"/>
    <w:rsid w:val="003C7FBE"/>
    <w:rsid w:val="003D227C"/>
    <w:rsid w:val="003D2B4D"/>
    <w:rsid w:val="003E7EB0"/>
    <w:rsid w:val="004070B1"/>
    <w:rsid w:val="00433556"/>
    <w:rsid w:val="00444A88"/>
    <w:rsid w:val="004605F2"/>
    <w:rsid w:val="00474DA4"/>
    <w:rsid w:val="00476B4D"/>
    <w:rsid w:val="004805FA"/>
    <w:rsid w:val="004935D2"/>
    <w:rsid w:val="004B1215"/>
    <w:rsid w:val="004B36EC"/>
    <w:rsid w:val="004D047D"/>
    <w:rsid w:val="004F1E9E"/>
    <w:rsid w:val="004F305A"/>
    <w:rsid w:val="00512164"/>
    <w:rsid w:val="00520297"/>
    <w:rsid w:val="00533600"/>
    <w:rsid w:val="005338F9"/>
    <w:rsid w:val="0054281C"/>
    <w:rsid w:val="00544581"/>
    <w:rsid w:val="0055268D"/>
    <w:rsid w:val="00576BE4"/>
    <w:rsid w:val="005A400A"/>
    <w:rsid w:val="005A6F81"/>
    <w:rsid w:val="005F032D"/>
    <w:rsid w:val="005F7B92"/>
    <w:rsid w:val="00612379"/>
    <w:rsid w:val="006153B6"/>
    <w:rsid w:val="0061555F"/>
    <w:rsid w:val="00633E35"/>
    <w:rsid w:val="00636CA6"/>
    <w:rsid w:val="00641200"/>
    <w:rsid w:val="00645CA8"/>
    <w:rsid w:val="006511C0"/>
    <w:rsid w:val="00657C75"/>
    <w:rsid w:val="006655D3"/>
    <w:rsid w:val="00667404"/>
    <w:rsid w:val="00687EB4"/>
    <w:rsid w:val="00695C56"/>
    <w:rsid w:val="00697C45"/>
    <w:rsid w:val="006A5CDE"/>
    <w:rsid w:val="006A644A"/>
    <w:rsid w:val="006B17D2"/>
    <w:rsid w:val="006B56C5"/>
    <w:rsid w:val="006C224E"/>
    <w:rsid w:val="006D780A"/>
    <w:rsid w:val="0071271E"/>
    <w:rsid w:val="00721B05"/>
    <w:rsid w:val="00725D05"/>
    <w:rsid w:val="00732DEC"/>
    <w:rsid w:val="00735BD5"/>
    <w:rsid w:val="0075144F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3EAD"/>
    <w:rsid w:val="00804655"/>
    <w:rsid w:val="0080679D"/>
    <w:rsid w:val="008108B0"/>
    <w:rsid w:val="00811B20"/>
    <w:rsid w:val="0082047B"/>
    <w:rsid w:val="008211B5"/>
    <w:rsid w:val="0082296E"/>
    <w:rsid w:val="00824099"/>
    <w:rsid w:val="00835743"/>
    <w:rsid w:val="00846D7C"/>
    <w:rsid w:val="00867AC1"/>
    <w:rsid w:val="008832A6"/>
    <w:rsid w:val="00883329"/>
    <w:rsid w:val="00890DF8"/>
    <w:rsid w:val="008A743F"/>
    <w:rsid w:val="008B6E60"/>
    <w:rsid w:val="008C0970"/>
    <w:rsid w:val="008C5B59"/>
    <w:rsid w:val="008D0BC5"/>
    <w:rsid w:val="008D2746"/>
    <w:rsid w:val="008D2CF7"/>
    <w:rsid w:val="008D307C"/>
    <w:rsid w:val="008D793B"/>
    <w:rsid w:val="008D7E86"/>
    <w:rsid w:val="008E2723"/>
    <w:rsid w:val="00900C26"/>
    <w:rsid w:val="0090197F"/>
    <w:rsid w:val="00903098"/>
    <w:rsid w:val="00906DDC"/>
    <w:rsid w:val="00934E09"/>
    <w:rsid w:val="00936253"/>
    <w:rsid w:val="00940D46"/>
    <w:rsid w:val="00952DD4"/>
    <w:rsid w:val="00954C9D"/>
    <w:rsid w:val="00965AE7"/>
    <w:rsid w:val="00970FED"/>
    <w:rsid w:val="0097112E"/>
    <w:rsid w:val="00977D8E"/>
    <w:rsid w:val="00992D82"/>
    <w:rsid w:val="00997029"/>
    <w:rsid w:val="009A7339"/>
    <w:rsid w:val="009B440E"/>
    <w:rsid w:val="009D3491"/>
    <w:rsid w:val="009D690D"/>
    <w:rsid w:val="009E65B6"/>
    <w:rsid w:val="00A24C10"/>
    <w:rsid w:val="00A34A4B"/>
    <w:rsid w:val="00A42AC3"/>
    <w:rsid w:val="00A430CF"/>
    <w:rsid w:val="00A54309"/>
    <w:rsid w:val="00A77C6D"/>
    <w:rsid w:val="00AB2B93"/>
    <w:rsid w:val="00AB530F"/>
    <w:rsid w:val="00AB7E5B"/>
    <w:rsid w:val="00AC2883"/>
    <w:rsid w:val="00AC55EE"/>
    <w:rsid w:val="00AD203D"/>
    <w:rsid w:val="00AE0EF1"/>
    <w:rsid w:val="00AE2937"/>
    <w:rsid w:val="00B07301"/>
    <w:rsid w:val="00B11F3E"/>
    <w:rsid w:val="00B224DE"/>
    <w:rsid w:val="00B30509"/>
    <w:rsid w:val="00B324D4"/>
    <w:rsid w:val="00B46575"/>
    <w:rsid w:val="00B61777"/>
    <w:rsid w:val="00B713BF"/>
    <w:rsid w:val="00B73E82"/>
    <w:rsid w:val="00B84BBD"/>
    <w:rsid w:val="00B91E18"/>
    <w:rsid w:val="00BA0125"/>
    <w:rsid w:val="00BA43FB"/>
    <w:rsid w:val="00BA4A19"/>
    <w:rsid w:val="00BC0FED"/>
    <w:rsid w:val="00BC127D"/>
    <w:rsid w:val="00BC1FE6"/>
    <w:rsid w:val="00BD59A6"/>
    <w:rsid w:val="00C061B6"/>
    <w:rsid w:val="00C2446C"/>
    <w:rsid w:val="00C36AE5"/>
    <w:rsid w:val="00C41F17"/>
    <w:rsid w:val="00C527FA"/>
    <w:rsid w:val="00C5280D"/>
    <w:rsid w:val="00C53EB3"/>
    <w:rsid w:val="00C5791C"/>
    <w:rsid w:val="00C63DA6"/>
    <w:rsid w:val="00C66290"/>
    <w:rsid w:val="00C72B7A"/>
    <w:rsid w:val="00C973F2"/>
    <w:rsid w:val="00CA304C"/>
    <w:rsid w:val="00CA774A"/>
    <w:rsid w:val="00CC11B0"/>
    <w:rsid w:val="00CC2841"/>
    <w:rsid w:val="00CD326D"/>
    <w:rsid w:val="00CD5DBD"/>
    <w:rsid w:val="00CE7B0D"/>
    <w:rsid w:val="00CF1330"/>
    <w:rsid w:val="00CF58A6"/>
    <w:rsid w:val="00CF7E36"/>
    <w:rsid w:val="00D3708D"/>
    <w:rsid w:val="00D40426"/>
    <w:rsid w:val="00D57C96"/>
    <w:rsid w:val="00D57D18"/>
    <w:rsid w:val="00D66C97"/>
    <w:rsid w:val="00D91203"/>
    <w:rsid w:val="00D95174"/>
    <w:rsid w:val="00DA4973"/>
    <w:rsid w:val="00DA5D47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80AA8"/>
    <w:rsid w:val="00E935F1"/>
    <w:rsid w:val="00E94A81"/>
    <w:rsid w:val="00EA1FFB"/>
    <w:rsid w:val="00EB048E"/>
    <w:rsid w:val="00EB4E9C"/>
    <w:rsid w:val="00ED158B"/>
    <w:rsid w:val="00EE1FDF"/>
    <w:rsid w:val="00EE34DF"/>
    <w:rsid w:val="00EF1494"/>
    <w:rsid w:val="00EF2F89"/>
    <w:rsid w:val="00EF493C"/>
    <w:rsid w:val="00F03E98"/>
    <w:rsid w:val="00F1237A"/>
    <w:rsid w:val="00F22CBD"/>
    <w:rsid w:val="00F272F1"/>
    <w:rsid w:val="00F45372"/>
    <w:rsid w:val="00F52756"/>
    <w:rsid w:val="00F560F7"/>
    <w:rsid w:val="00F6334D"/>
    <w:rsid w:val="00F742F1"/>
    <w:rsid w:val="00F85D2F"/>
    <w:rsid w:val="00F95848"/>
    <w:rsid w:val="00FA49AB"/>
    <w:rsid w:val="00FC7601"/>
    <w:rsid w:val="00FE0EF8"/>
    <w:rsid w:val="00FE17E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87C19D8"/>
  <w15:docId w15:val="{FA079354-3510-4238-B5CF-91180A5F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28220E"/>
    <w:pPr>
      <w:tabs>
        <w:tab w:val="right" w:leader="dot" w:pos="9639"/>
      </w:tabs>
      <w:spacing w:before="60"/>
      <w:ind w:left="568" w:right="851" w:hanging="284"/>
      <w:contextualSpacing/>
    </w:pPr>
    <w:rPr>
      <w:rFonts w:ascii="Arial" w:hAnsi="Arial"/>
      <w:noProof/>
      <w:sz w:val="18"/>
      <w:lang w:val="fr-FR"/>
    </w:rPr>
  </w:style>
  <w:style w:type="paragraph" w:styleId="TOC3">
    <w:name w:val="toc 3"/>
    <w:next w:val="Normal"/>
    <w:autoRedefine/>
    <w:uiPriority w:val="39"/>
    <w:rsid w:val="0028220E"/>
    <w:pPr>
      <w:tabs>
        <w:tab w:val="right" w:leader="dot" w:pos="9639"/>
      </w:tabs>
      <w:spacing w:before="60"/>
      <w:ind w:left="851" w:right="1418" w:hanging="284"/>
      <w:contextualSpacing/>
    </w:pPr>
    <w:rPr>
      <w:rFonts w:ascii="Arial" w:hAnsi="Arial"/>
      <w:i/>
      <w:noProof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633E35"/>
    <w:rPr>
      <w:color w:val="0000FF" w:themeColor="hyperlink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33E35"/>
    <w:pPr>
      <w:tabs>
        <w:tab w:val="right" w:leader="dot" w:pos="9639"/>
      </w:tabs>
      <w:spacing w:before="60"/>
      <w:ind w:right="1418"/>
    </w:pPr>
    <w:rPr>
      <w:rFonts w:ascii="Arial" w:hAnsi="Arial"/>
      <w:caps/>
      <w:noProof/>
      <w:sz w:val="18"/>
      <w:lang w:val="fr-FR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B91E18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B91E18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B91E18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B91E18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B91E1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514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144F"/>
  </w:style>
  <w:style w:type="character" w:customStyle="1" w:styleId="CommentTextChar">
    <w:name w:val="Comment Text Char"/>
    <w:basedOn w:val="DefaultParagraphFont"/>
    <w:link w:val="CommentText"/>
    <w:rsid w:val="007514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1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144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F032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meetings/fr/doc_details.jsp?meeting_id=47210&amp;doc_id=409249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3707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</vt:lpstr>
    </vt:vector>
  </TitlesOfParts>
  <Company>UPOV</Company>
  <LinksUpToDate>false</LinksUpToDate>
  <CharactersWithSpaces>24654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TAVEIRA Leontino</dc:creator>
  <cp:lastModifiedBy>SANTOS Carla Marina</cp:lastModifiedBy>
  <cp:revision>9</cp:revision>
  <cp:lastPrinted>2018-09-14T12:27:00Z</cp:lastPrinted>
  <dcterms:created xsi:type="dcterms:W3CDTF">2018-09-11T14:14:00Z</dcterms:created>
  <dcterms:modified xsi:type="dcterms:W3CDTF">2018-09-14T12:27:00Z</dcterms:modified>
</cp:coreProperties>
</file>