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F3565" w:rsidRPr="008D43BE" w:rsidTr="00B05D50">
        <w:tc>
          <w:tcPr>
            <w:tcW w:w="6522" w:type="dxa"/>
          </w:tcPr>
          <w:p w:rsidR="002045AD" w:rsidRPr="008D43BE" w:rsidRDefault="002045AD" w:rsidP="00B05D50">
            <w:pPr>
              <w:rPr>
                <w:lang w:val="fr-FR"/>
              </w:rPr>
            </w:pPr>
            <w:r w:rsidRPr="008D43BE">
              <w:rPr>
                <w:noProof/>
              </w:rPr>
              <w:drawing>
                <wp:inline distT="0" distB="0" distL="0" distR="0" wp14:anchorId="256B338B" wp14:editId="1CA520C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045AD" w:rsidRPr="008D43BE" w:rsidRDefault="002045AD" w:rsidP="00B05D50">
            <w:pPr>
              <w:pStyle w:val="Lettrine"/>
              <w:rPr>
                <w:lang w:val="fr-FR"/>
              </w:rPr>
            </w:pPr>
            <w:r w:rsidRPr="008D43BE">
              <w:rPr>
                <w:lang w:val="fr-FR"/>
              </w:rPr>
              <w:t>F</w:t>
            </w:r>
          </w:p>
        </w:tc>
      </w:tr>
      <w:tr w:rsidR="002045AD" w:rsidRPr="004963A7" w:rsidTr="00B05D50">
        <w:trPr>
          <w:trHeight w:val="219"/>
        </w:trPr>
        <w:tc>
          <w:tcPr>
            <w:tcW w:w="6522" w:type="dxa"/>
          </w:tcPr>
          <w:p w:rsidR="002045AD" w:rsidRPr="008D43BE" w:rsidRDefault="002045AD" w:rsidP="00B05D50">
            <w:pPr>
              <w:pStyle w:val="upove"/>
              <w:rPr>
                <w:lang w:val="fr-FR"/>
              </w:rPr>
            </w:pPr>
            <w:r w:rsidRPr="008D43B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045AD" w:rsidRPr="008D43BE" w:rsidRDefault="002045AD" w:rsidP="00B05D50">
            <w:pPr>
              <w:rPr>
                <w:lang w:val="fr-FR"/>
              </w:rPr>
            </w:pPr>
          </w:p>
        </w:tc>
      </w:tr>
    </w:tbl>
    <w:p w:rsidR="002045AD" w:rsidRPr="008D43BE" w:rsidRDefault="002045AD" w:rsidP="002045AD">
      <w:pPr>
        <w:rPr>
          <w:lang w:val="fr-FR"/>
        </w:rPr>
      </w:pPr>
    </w:p>
    <w:p w:rsidR="002045AD" w:rsidRPr="008D43BE" w:rsidRDefault="002045AD" w:rsidP="002045A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F3565" w:rsidRPr="004963A7" w:rsidTr="00B05D50">
        <w:tc>
          <w:tcPr>
            <w:tcW w:w="6512" w:type="dxa"/>
          </w:tcPr>
          <w:p w:rsidR="002045AD" w:rsidRPr="008D43BE" w:rsidRDefault="002045AD" w:rsidP="00B05D50">
            <w:pPr>
              <w:pStyle w:val="Sessiontc"/>
              <w:spacing w:line="240" w:lineRule="auto"/>
              <w:rPr>
                <w:lang w:val="fr-FR"/>
              </w:rPr>
            </w:pPr>
            <w:r w:rsidRPr="008D43BE">
              <w:rPr>
                <w:lang w:val="fr-FR"/>
              </w:rPr>
              <w:t>Comité technique</w:t>
            </w:r>
          </w:p>
          <w:p w:rsidR="002045AD" w:rsidRPr="008D43BE" w:rsidRDefault="002045AD" w:rsidP="00B05D50">
            <w:pPr>
              <w:pStyle w:val="Sessiontcplacedate"/>
              <w:rPr>
                <w:sz w:val="22"/>
                <w:lang w:val="fr-FR"/>
              </w:rPr>
            </w:pPr>
            <w:r w:rsidRPr="008D43BE">
              <w:rPr>
                <w:lang w:val="fr-FR"/>
              </w:rPr>
              <w:t>Cinquante-quatrième session</w:t>
            </w:r>
            <w:r w:rsidRPr="008D43BE">
              <w:rPr>
                <w:lang w:val="fr-FR"/>
              </w:rPr>
              <w:br/>
              <w:t>Genève, 29 et 30 octobre 2018</w:t>
            </w:r>
          </w:p>
        </w:tc>
        <w:tc>
          <w:tcPr>
            <w:tcW w:w="3127" w:type="dxa"/>
          </w:tcPr>
          <w:p w:rsidR="002045AD" w:rsidRPr="008D43BE" w:rsidRDefault="002045AD" w:rsidP="00B05D50">
            <w:pPr>
              <w:pStyle w:val="Doccode"/>
              <w:rPr>
                <w:lang w:val="fr-FR"/>
              </w:rPr>
            </w:pPr>
            <w:r w:rsidRPr="008D43BE">
              <w:rPr>
                <w:lang w:val="fr-FR"/>
              </w:rPr>
              <w:t>TC/54/19</w:t>
            </w:r>
          </w:p>
          <w:p w:rsidR="002045AD" w:rsidRPr="008D43BE" w:rsidRDefault="002045AD" w:rsidP="00B05D50">
            <w:pPr>
              <w:pStyle w:val="Docoriginal"/>
              <w:rPr>
                <w:lang w:val="fr-FR"/>
              </w:rPr>
            </w:pPr>
            <w:r w:rsidRPr="008D43BE">
              <w:rPr>
                <w:lang w:val="fr-FR"/>
              </w:rPr>
              <w:t>Original</w:t>
            </w:r>
            <w:r w:rsidR="00A315AA" w:rsidRPr="008D43BE">
              <w:rPr>
                <w:lang w:val="fr-FR"/>
              </w:rPr>
              <w:t> :</w:t>
            </w:r>
            <w:r w:rsidRPr="008D43BE">
              <w:rPr>
                <w:b w:val="0"/>
                <w:spacing w:val="0"/>
                <w:lang w:val="fr-FR"/>
              </w:rPr>
              <w:t xml:space="preserve"> anglais</w:t>
            </w:r>
          </w:p>
          <w:p w:rsidR="002045AD" w:rsidRPr="008D43BE" w:rsidRDefault="002045AD" w:rsidP="008D43BE">
            <w:pPr>
              <w:pStyle w:val="Docoriginal"/>
              <w:rPr>
                <w:lang w:val="fr-FR"/>
              </w:rPr>
            </w:pPr>
            <w:r w:rsidRPr="008D43BE">
              <w:rPr>
                <w:lang w:val="fr-FR"/>
              </w:rPr>
              <w:t>Date</w:t>
            </w:r>
            <w:r w:rsidR="00A315AA" w:rsidRPr="008D43BE">
              <w:rPr>
                <w:lang w:val="fr-FR"/>
              </w:rPr>
              <w:t> :</w:t>
            </w:r>
            <w:r w:rsidRPr="008D43BE">
              <w:rPr>
                <w:b w:val="0"/>
                <w:spacing w:val="0"/>
                <w:lang w:val="fr-FR"/>
              </w:rPr>
              <w:t xml:space="preserve"> </w:t>
            </w:r>
            <w:r w:rsidR="008D43BE">
              <w:rPr>
                <w:b w:val="0"/>
                <w:spacing w:val="0"/>
                <w:lang w:val="fr-FR"/>
              </w:rPr>
              <w:t>25 septembre</w:t>
            </w:r>
            <w:r w:rsidRPr="008D43BE">
              <w:rPr>
                <w:b w:val="0"/>
                <w:spacing w:val="0"/>
                <w:lang w:val="fr-FR"/>
              </w:rPr>
              <w:t xml:space="preserve"> 2018</w:t>
            </w:r>
          </w:p>
        </w:tc>
      </w:tr>
    </w:tbl>
    <w:p w:rsidR="002045AD" w:rsidRPr="004A5557" w:rsidRDefault="004A5557" w:rsidP="004963A7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4A5557">
        <w:rPr>
          <w:lang w:val="fr-FR"/>
        </w:rPr>
        <w:t xml:space="preserve">Évaluation </w:t>
      </w:r>
      <w:r w:rsidR="002045AD" w:rsidRPr="004A5557">
        <w:rPr>
          <w:lang w:val="fr-FR"/>
        </w:rPr>
        <w:t>de l’homogénéité fondée sur les hors-types : Méthode au-delà d’un</w:t>
      </w:r>
      <w:r w:rsidR="004963A7">
        <w:rPr>
          <w:lang w:val="fr-FR"/>
        </w:rPr>
        <w:t> S</w:t>
      </w:r>
      <w:r w:rsidR="002045AD" w:rsidRPr="004A5557">
        <w:rPr>
          <w:lang w:val="fr-FR"/>
        </w:rPr>
        <w:t>eul essai (une année)</w:t>
      </w:r>
    </w:p>
    <w:p w:rsidR="002045AD" w:rsidRPr="008D43BE" w:rsidRDefault="002045AD" w:rsidP="002045AD">
      <w:pPr>
        <w:pStyle w:val="preparedby1"/>
        <w:jc w:val="left"/>
        <w:rPr>
          <w:lang w:val="fr-FR"/>
        </w:rPr>
      </w:pPr>
      <w:r w:rsidRPr="008D43BE">
        <w:rPr>
          <w:lang w:val="fr-FR"/>
        </w:rPr>
        <w:t>Document établi par le Bureau de l’Union</w:t>
      </w:r>
    </w:p>
    <w:p w:rsidR="002045AD" w:rsidRPr="008D43BE" w:rsidRDefault="002045AD" w:rsidP="008D43BE">
      <w:pPr>
        <w:pStyle w:val="Disclaimer"/>
        <w:rPr>
          <w:lang w:val="fr-FR"/>
        </w:rPr>
      </w:pPr>
      <w:r w:rsidRPr="008D43BE">
        <w:rPr>
          <w:lang w:val="fr-FR"/>
        </w:rPr>
        <w:t>Avertissement : le présent document ne représente pas les principes ou les orientations de l’UPOV</w:t>
      </w:r>
    </w:p>
    <w:p w:rsidR="00826A96" w:rsidRPr="004963A7" w:rsidRDefault="004A5557" w:rsidP="004A5557">
      <w:pPr>
        <w:pStyle w:val="Heading1"/>
        <w:rPr>
          <w:lang w:val="fr-CH"/>
        </w:rPr>
      </w:pPr>
      <w:bookmarkStart w:id="2" w:name="_Toc526495423"/>
      <w:r w:rsidRPr="004963A7">
        <w:rPr>
          <w:lang w:val="fr-CH"/>
        </w:rPr>
        <w:t>Résumé</w:t>
      </w:r>
      <w:bookmarkEnd w:id="2"/>
    </w:p>
    <w:p w:rsidR="00826A96" w:rsidRPr="006F3565" w:rsidRDefault="00826A96" w:rsidP="00245109">
      <w:pPr>
        <w:autoSpaceDE w:val="0"/>
        <w:autoSpaceDN w:val="0"/>
        <w:adjustRightInd w:val="0"/>
        <w:rPr>
          <w:szCs w:val="24"/>
          <w:lang w:val="fr-FR"/>
        </w:rPr>
      </w:pPr>
    </w:p>
    <w:p w:rsidR="00826A96" w:rsidRPr="006F3565" w:rsidRDefault="00245109" w:rsidP="001B0193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6F3565">
        <w:rPr>
          <w:szCs w:val="24"/>
          <w:lang w:val="fr-FR"/>
        </w:rPr>
        <w:fldChar w:fldCharType="begin"/>
      </w:r>
      <w:r w:rsidRPr="006F3565">
        <w:rPr>
          <w:szCs w:val="24"/>
          <w:lang w:val="fr-FR"/>
        </w:rPr>
        <w:instrText xml:space="preserve"> AUTONUM  </w:instrText>
      </w:r>
      <w:r w:rsidRPr="006F3565">
        <w:rPr>
          <w:szCs w:val="24"/>
          <w:lang w:val="fr-FR"/>
        </w:rPr>
        <w:fldChar w:fldCharType="end"/>
      </w:r>
      <w:r w:rsidRPr="006F3565">
        <w:rPr>
          <w:szCs w:val="24"/>
          <w:lang w:val="fr-FR"/>
        </w:rPr>
        <w:tab/>
      </w:r>
      <w:r w:rsidR="001B0193" w:rsidRPr="006F3565">
        <w:rPr>
          <w:szCs w:val="24"/>
          <w:lang w:val="fr-FR"/>
        </w:rPr>
        <w:t>L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 xml:space="preserve">objet du présent document est de rendre compte des faits nouveaux concernant la révision des orientations figurant dans le </w:t>
      </w:r>
      <w:r w:rsidR="002045AD" w:rsidRPr="006F3565">
        <w:rPr>
          <w:szCs w:val="24"/>
          <w:lang w:val="fr-FR"/>
        </w:rPr>
        <w:t>document</w:t>
      </w:r>
      <w:r w:rsidR="006F3565" w:rsidRPr="006F3565">
        <w:rPr>
          <w:szCs w:val="24"/>
          <w:lang w:val="fr-FR"/>
        </w:rPr>
        <w:t> </w:t>
      </w:r>
      <w:r w:rsidR="002045AD" w:rsidRPr="006F3565">
        <w:rPr>
          <w:szCs w:val="24"/>
          <w:lang w:val="fr-FR"/>
        </w:rPr>
        <w:t>TG</w:t>
      </w:r>
      <w:r w:rsidR="001B0193" w:rsidRPr="006F3565">
        <w:rPr>
          <w:szCs w:val="24"/>
          <w:lang w:val="fr-FR"/>
        </w:rPr>
        <w:t xml:space="preserve">P/8/2, deuxième partie, </w:t>
      </w:r>
      <w:r w:rsidR="002045AD" w:rsidRPr="006F3565">
        <w:rPr>
          <w:szCs w:val="24"/>
          <w:lang w:val="fr-FR"/>
        </w:rPr>
        <w:t>section 8</w:t>
      </w:r>
      <w:r w:rsidR="001B0193" w:rsidRPr="006F3565">
        <w:rPr>
          <w:szCs w:val="24"/>
          <w:lang w:val="fr-FR"/>
        </w:rPr>
        <w:t xml:space="preserve"> “La méthode d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>évaluation de l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>homogénéité fondée sur les hors</w:t>
      </w:r>
      <w:r w:rsidR="00804488">
        <w:rPr>
          <w:szCs w:val="24"/>
          <w:lang w:val="fr-FR"/>
        </w:rPr>
        <w:noBreakHyphen/>
      </w:r>
      <w:r w:rsidR="001B0193" w:rsidRPr="006F3565">
        <w:rPr>
          <w:szCs w:val="24"/>
          <w:lang w:val="fr-FR"/>
        </w:rPr>
        <w:t>types”</w:t>
      </w:r>
      <w:r w:rsidR="00D4077E" w:rsidRPr="006F3565">
        <w:rPr>
          <w:szCs w:val="24"/>
          <w:lang w:val="fr-FR"/>
        </w:rPr>
        <w:t>,</w:t>
      </w:r>
      <w:r w:rsidR="001B0193" w:rsidRPr="006F3565">
        <w:rPr>
          <w:szCs w:val="24"/>
          <w:lang w:val="fr-FR"/>
        </w:rPr>
        <w:t xml:space="preserve"> afin de tenir compte de la pratique des membres de l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>Union quant à l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>utilisation de méthodes au</w:t>
      </w:r>
      <w:r w:rsidR="00804488">
        <w:rPr>
          <w:szCs w:val="24"/>
          <w:lang w:val="fr-FR"/>
        </w:rPr>
        <w:noBreakHyphen/>
      </w:r>
      <w:r w:rsidR="001B0193" w:rsidRPr="006F3565">
        <w:rPr>
          <w:szCs w:val="24"/>
          <w:lang w:val="fr-FR"/>
        </w:rPr>
        <w:t>delà d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 xml:space="preserve">un </w:t>
      </w:r>
      <w:r w:rsidR="00FF2263" w:rsidRPr="006F3565">
        <w:rPr>
          <w:szCs w:val="24"/>
          <w:lang w:val="fr-FR"/>
        </w:rPr>
        <w:t xml:space="preserve">seul </w:t>
      </w:r>
      <w:r w:rsidR="001B0193" w:rsidRPr="006F3565">
        <w:rPr>
          <w:szCs w:val="24"/>
          <w:lang w:val="fr-FR"/>
        </w:rPr>
        <w:t>essai (</w:t>
      </w:r>
      <w:r w:rsidR="00FF2263" w:rsidRPr="006F3565">
        <w:rPr>
          <w:szCs w:val="24"/>
          <w:lang w:val="fr-FR"/>
        </w:rPr>
        <w:t xml:space="preserve">une </w:t>
      </w:r>
      <w:r w:rsidR="001B0193" w:rsidRPr="006F3565">
        <w:rPr>
          <w:szCs w:val="24"/>
          <w:lang w:val="fr-FR"/>
        </w:rPr>
        <w:t>année), à l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 xml:space="preserve">occasion de la révision du </w:t>
      </w:r>
      <w:r w:rsidR="002045AD" w:rsidRPr="006F3565">
        <w:rPr>
          <w:szCs w:val="24"/>
          <w:lang w:val="fr-FR"/>
        </w:rPr>
        <w:t>document</w:t>
      </w:r>
      <w:r w:rsidR="006F3565" w:rsidRPr="006F3565">
        <w:rPr>
          <w:szCs w:val="24"/>
          <w:lang w:val="fr-FR"/>
        </w:rPr>
        <w:t> </w:t>
      </w:r>
      <w:r w:rsidR="002045AD" w:rsidRPr="006F3565">
        <w:rPr>
          <w:szCs w:val="24"/>
          <w:lang w:val="fr-FR"/>
        </w:rPr>
        <w:t>TG</w:t>
      </w:r>
      <w:r w:rsidR="001B0193" w:rsidRPr="006F3565">
        <w:rPr>
          <w:szCs w:val="24"/>
          <w:lang w:val="fr-FR"/>
        </w:rPr>
        <w:t>P/10 “Évaluation de l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>homogénéité d</w:t>
      </w:r>
      <w:r w:rsidR="002045AD" w:rsidRPr="006F3565">
        <w:rPr>
          <w:szCs w:val="24"/>
          <w:lang w:val="fr-FR"/>
        </w:rPr>
        <w:t>’</w:t>
      </w:r>
      <w:r w:rsidR="001B0193" w:rsidRPr="006F3565">
        <w:rPr>
          <w:szCs w:val="24"/>
          <w:lang w:val="fr-FR"/>
        </w:rPr>
        <w:t>après les plantes hors</w:t>
      </w:r>
      <w:r w:rsidR="00804488">
        <w:rPr>
          <w:szCs w:val="24"/>
          <w:lang w:val="fr-FR"/>
        </w:rPr>
        <w:noBreakHyphen/>
      </w:r>
      <w:r w:rsidR="001B0193" w:rsidRPr="006F3565">
        <w:rPr>
          <w:szCs w:val="24"/>
          <w:lang w:val="fr-FR"/>
        </w:rPr>
        <w:t>type sur la base de plusieurs cycles de végétation ou sur la base de sous</w:t>
      </w:r>
      <w:r w:rsidR="00804488">
        <w:rPr>
          <w:szCs w:val="24"/>
          <w:lang w:val="fr-FR"/>
        </w:rPr>
        <w:noBreakHyphen/>
      </w:r>
      <w:r w:rsidR="001B0193" w:rsidRPr="006F3565">
        <w:rPr>
          <w:szCs w:val="24"/>
          <w:lang w:val="fr-FR"/>
        </w:rPr>
        <w:t>échantillons”.</w:t>
      </w: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BE66C5" w:rsidP="00823E66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823E66" w:rsidRPr="006F3565">
        <w:rPr>
          <w:lang w:val="fr-FR"/>
        </w:rPr>
        <w:t>Le</w:t>
      </w:r>
      <w:r w:rsidR="002045AD" w:rsidRPr="006F3565">
        <w:rPr>
          <w:lang w:val="fr-FR"/>
        </w:rPr>
        <w:t> TC</w:t>
      </w:r>
      <w:r w:rsidR="00823E66" w:rsidRPr="006F3565">
        <w:rPr>
          <w:lang w:val="fr-FR"/>
        </w:rPr>
        <w:t xml:space="preserve"> est invité à examiner la proposition de révision des orientations figurant dans le document</w:t>
      </w:r>
      <w:r w:rsidR="006F3565" w:rsidRPr="006F3565">
        <w:rPr>
          <w:lang w:val="fr-FR"/>
        </w:rPr>
        <w:t> </w:t>
      </w:r>
      <w:r w:rsidR="00823E66" w:rsidRPr="006F3565">
        <w:rPr>
          <w:lang w:val="fr-FR"/>
        </w:rPr>
        <w:t xml:space="preserve">TGP/8/2, deuxième partie, </w:t>
      </w:r>
      <w:r w:rsidR="002045AD" w:rsidRPr="006F3565">
        <w:rPr>
          <w:lang w:val="fr-FR"/>
        </w:rPr>
        <w:t>section 8</w:t>
      </w:r>
      <w:r w:rsidR="00823E66" w:rsidRPr="006F3565">
        <w:rPr>
          <w:lang w:val="fr-FR"/>
        </w:rPr>
        <w:t>, sous</w:t>
      </w:r>
      <w:r w:rsidR="00804488">
        <w:rPr>
          <w:lang w:val="fr-FR"/>
        </w:rPr>
        <w:noBreakHyphen/>
      </w:r>
      <w:r w:rsidR="002045AD" w:rsidRPr="006F3565">
        <w:rPr>
          <w:lang w:val="fr-FR"/>
        </w:rPr>
        <w:t>section 8</w:t>
      </w:r>
      <w:r w:rsidR="00823E66" w:rsidRPr="006F3565">
        <w:rPr>
          <w:lang w:val="fr-FR"/>
        </w:rPr>
        <w:t>.1.7 “Méthode au</w:t>
      </w:r>
      <w:r w:rsidR="00804488">
        <w:rPr>
          <w:lang w:val="fr-FR"/>
        </w:rPr>
        <w:noBreakHyphen/>
      </w:r>
      <w:r w:rsidR="00823E66" w:rsidRPr="006F3565">
        <w:rPr>
          <w:lang w:val="fr-FR"/>
        </w:rPr>
        <w:t>delà d</w:t>
      </w:r>
      <w:r w:rsidR="002045AD" w:rsidRPr="006F3565">
        <w:rPr>
          <w:lang w:val="fr-FR"/>
        </w:rPr>
        <w:t>’</w:t>
      </w:r>
      <w:r w:rsidR="00823E66" w:rsidRPr="006F3565">
        <w:rPr>
          <w:lang w:val="fr-FR"/>
        </w:rPr>
        <w:t>un essai unique (année)”</w:t>
      </w:r>
      <w:r w:rsidR="00D4077E" w:rsidRPr="006F3565">
        <w:rPr>
          <w:lang w:val="fr-FR"/>
        </w:rPr>
        <w:t>,</w:t>
      </w:r>
      <w:r w:rsidR="00823E66" w:rsidRPr="006F3565">
        <w:rPr>
          <w:lang w:val="fr-FR"/>
        </w:rPr>
        <w:t xml:space="preserve"> sur la base du projet présenté dans l</w:t>
      </w:r>
      <w:r w:rsidR="002045AD" w:rsidRPr="006F3565">
        <w:rPr>
          <w:lang w:val="fr-FR"/>
        </w:rPr>
        <w:t>’annexe I</w:t>
      </w:r>
      <w:r w:rsidR="00823E66" w:rsidRPr="006F3565">
        <w:rPr>
          <w:lang w:val="fr-FR"/>
        </w:rPr>
        <w:t>I du présent document, en tenant compte des observations formulées par les TWP à leurs sessions de 2018.</w:t>
      </w:r>
    </w:p>
    <w:p w:rsidR="00826A96" w:rsidRPr="006F3565" w:rsidRDefault="00826A96" w:rsidP="00BE66C5">
      <w:pPr>
        <w:rPr>
          <w:sz w:val="16"/>
          <w:lang w:val="fr-FR"/>
        </w:rPr>
      </w:pPr>
    </w:p>
    <w:p w:rsidR="00826A96" w:rsidRPr="006F3565" w:rsidRDefault="00A56E3A" w:rsidP="00823E66">
      <w:pPr>
        <w:rPr>
          <w:snapToGrid w:val="0"/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823E66" w:rsidRPr="006F3565">
        <w:rPr>
          <w:lang w:val="fr-FR"/>
        </w:rPr>
        <w:t>La structure du présent document est la suivante</w:t>
      </w:r>
      <w:r w:rsidR="002045AD" w:rsidRPr="006F3565">
        <w:rPr>
          <w:lang w:val="fr-FR"/>
        </w:rPr>
        <w:t> :</w:t>
      </w:r>
    </w:p>
    <w:p w:rsidR="00826A96" w:rsidRPr="006F3565" w:rsidRDefault="00826A96" w:rsidP="00BD2981">
      <w:pPr>
        <w:rPr>
          <w:rFonts w:cs="Arial"/>
          <w:snapToGrid w:val="0"/>
          <w:lang w:val="fr-FR"/>
        </w:rPr>
      </w:pPr>
    </w:p>
    <w:p w:rsidR="009221D7" w:rsidRPr="004963A7" w:rsidRDefault="00BD2981" w:rsidP="003B6FE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6F3565">
        <w:rPr>
          <w:rFonts w:cs="Arial"/>
          <w:snapToGrid w:val="0"/>
          <w:lang w:val="fr-FR"/>
        </w:rPr>
        <w:fldChar w:fldCharType="begin"/>
      </w:r>
      <w:r w:rsidRPr="006F3565">
        <w:rPr>
          <w:rFonts w:cs="Arial"/>
          <w:snapToGrid w:val="0"/>
          <w:lang w:val="fr-FR"/>
        </w:rPr>
        <w:instrText xml:space="preserve"> TOC \o "1-2" \u </w:instrText>
      </w:r>
      <w:r w:rsidRPr="006F3565">
        <w:rPr>
          <w:rFonts w:cs="Arial"/>
          <w:snapToGrid w:val="0"/>
          <w:lang w:val="fr-FR"/>
        </w:rPr>
        <w:fldChar w:fldCharType="separate"/>
      </w:r>
      <w:r w:rsidR="009221D7" w:rsidRPr="004963A7">
        <w:rPr>
          <w:noProof/>
          <w:lang w:val="fr-CH"/>
        </w:rPr>
        <w:t>Résumé</w:t>
      </w:r>
      <w:r w:rsidR="009221D7" w:rsidRPr="004963A7">
        <w:rPr>
          <w:noProof/>
          <w:lang w:val="fr-CH"/>
        </w:rPr>
        <w:tab/>
      </w:r>
      <w:r w:rsidR="009221D7">
        <w:rPr>
          <w:noProof/>
        </w:rPr>
        <w:fldChar w:fldCharType="begin"/>
      </w:r>
      <w:r w:rsidR="009221D7" w:rsidRPr="004963A7">
        <w:rPr>
          <w:noProof/>
          <w:lang w:val="fr-CH"/>
        </w:rPr>
        <w:instrText xml:space="preserve"> PAGEREF _Toc526495423 \h </w:instrText>
      </w:r>
      <w:r w:rsidR="009221D7">
        <w:rPr>
          <w:noProof/>
        </w:rPr>
      </w:r>
      <w:r w:rsidR="009221D7">
        <w:rPr>
          <w:noProof/>
        </w:rPr>
        <w:fldChar w:fldCharType="separate"/>
      </w:r>
      <w:r w:rsidR="009221D7" w:rsidRPr="004963A7">
        <w:rPr>
          <w:noProof/>
          <w:lang w:val="fr-CH"/>
        </w:rPr>
        <w:t>1</w:t>
      </w:r>
      <w:r w:rsidR="009221D7">
        <w:rPr>
          <w:noProof/>
        </w:rPr>
        <w:fldChar w:fldCharType="end"/>
      </w:r>
    </w:p>
    <w:p w:rsidR="009221D7" w:rsidRPr="004963A7" w:rsidRDefault="009221D7" w:rsidP="003B6FE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4963A7">
        <w:rPr>
          <w:rFonts w:eastAsia="MS Mincho"/>
          <w:noProof/>
          <w:lang w:val="fr-CH"/>
        </w:rPr>
        <w:t>Rappel</w:t>
      </w:r>
      <w:r w:rsidRPr="004963A7">
        <w:rPr>
          <w:noProof/>
          <w:lang w:val="fr-CH"/>
        </w:rPr>
        <w:tab/>
      </w:r>
      <w:r>
        <w:rPr>
          <w:noProof/>
        </w:rPr>
        <w:fldChar w:fldCharType="begin"/>
      </w:r>
      <w:r w:rsidRPr="004963A7">
        <w:rPr>
          <w:noProof/>
          <w:lang w:val="fr-CH"/>
        </w:rPr>
        <w:instrText xml:space="preserve"> PAGEREF _Toc526495424 \h </w:instrText>
      </w:r>
      <w:r>
        <w:rPr>
          <w:noProof/>
        </w:rPr>
      </w:r>
      <w:r>
        <w:rPr>
          <w:noProof/>
        </w:rPr>
        <w:fldChar w:fldCharType="separate"/>
      </w:r>
      <w:r w:rsidRPr="004963A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9221D7" w:rsidRPr="004963A7" w:rsidRDefault="009221D7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fr-CH"/>
        </w:rPr>
      </w:pPr>
      <w:r w:rsidRPr="00FF27BE">
        <w:rPr>
          <w:rFonts w:eastAsia="PMingLiU"/>
          <w:noProof/>
          <w:lang w:val="fr-FR"/>
        </w:rPr>
        <w:t>Orientations figurant dans le document TGP/8</w:t>
      </w:r>
      <w:r w:rsidRPr="004963A7">
        <w:rPr>
          <w:noProof/>
          <w:lang w:val="fr-CH"/>
        </w:rPr>
        <w:tab/>
      </w:r>
      <w:r>
        <w:rPr>
          <w:noProof/>
        </w:rPr>
        <w:fldChar w:fldCharType="begin"/>
      </w:r>
      <w:r w:rsidRPr="004963A7">
        <w:rPr>
          <w:noProof/>
          <w:lang w:val="fr-CH"/>
        </w:rPr>
        <w:instrText xml:space="preserve"> PAGEREF _Toc526495425 \h </w:instrText>
      </w:r>
      <w:r>
        <w:rPr>
          <w:noProof/>
        </w:rPr>
      </w:r>
      <w:r>
        <w:rPr>
          <w:noProof/>
        </w:rPr>
        <w:fldChar w:fldCharType="separate"/>
      </w:r>
      <w:r w:rsidRPr="004963A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9221D7" w:rsidRPr="004963A7" w:rsidRDefault="009221D7" w:rsidP="003B6FE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4963A7">
        <w:rPr>
          <w:noProof/>
          <w:lang w:val="fr-CH"/>
        </w:rPr>
        <w:t>Examen par le Comité de rédaction élargi</w:t>
      </w:r>
      <w:r w:rsidRPr="004963A7">
        <w:rPr>
          <w:noProof/>
          <w:lang w:val="fr-CH"/>
        </w:rPr>
        <w:tab/>
      </w:r>
      <w:r>
        <w:rPr>
          <w:noProof/>
        </w:rPr>
        <w:fldChar w:fldCharType="begin"/>
      </w:r>
      <w:r w:rsidRPr="004963A7">
        <w:rPr>
          <w:noProof/>
          <w:lang w:val="fr-CH"/>
        </w:rPr>
        <w:instrText xml:space="preserve"> PAGEREF _Toc526495426 \h </w:instrText>
      </w:r>
      <w:r>
        <w:rPr>
          <w:noProof/>
        </w:rPr>
      </w:r>
      <w:r>
        <w:rPr>
          <w:noProof/>
        </w:rPr>
        <w:fldChar w:fldCharType="separate"/>
      </w:r>
      <w:r w:rsidRPr="004963A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9221D7" w:rsidRPr="004963A7" w:rsidRDefault="009221D7" w:rsidP="003B6FEC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/>
        </w:rPr>
      </w:pPr>
      <w:r w:rsidRPr="004963A7">
        <w:rPr>
          <w:noProof/>
          <w:lang w:val="fr-CH"/>
        </w:rPr>
        <w:t>Examen par les groupes de travail techniques</w:t>
      </w:r>
      <w:r w:rsidRPr="004963A7">
        <w:rPr>
          <w:noProof/>
          <w:lang w:val="fr-CH"/>
        </w:rPr>
        <w:tab/>
      </w:r>
      <w:r>
        <w:rPr>
          <w:noProof/>
        </w:rPr>
        <w:fldChar w:fldCharType="begin"/>
      </w:r>
      <w:r w:rsidRPr="004963A7">
        <w:rPr>
          <w:noProof/>
          <w:lang w:val="fr-CH"/>
        </w:rPr>
        <w:instrText xml:space="preserve"> PAGEREF _Toc526495427 \h </w:instrText>
      </w:r>
      <w:r>
        <w:rPr>
          <w:noProof/>
        </w:rPr>
      </w:r>
      <w:r>
        <w:rPr>
          <w:noProof/>
        </w:rPr>
        <w:fldChar w:fldCharType="separate"/>
      </w:r>
      <w:r w:rsidRPr="004963A7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3B6FEC" w:rsidRDefault="00BD2981" w:rsidP="00E13C80">
      <w:pPr>
        <w:ind w:left="1134" w:hanging="1134"/>
        <w:rPr>
          <w:rFonts w:cs="Arial"/>
          <w:snapToGrid w:val="0"/>
          <w:lang w:val="fr-FR"/>
        </w:rPr>
      </w:pPr>
      <w:r w:rsidRPr="006F3565">
        <w:rPr>
          <w:rFonts w:cs="Arial"/>
          <w:snapToGrid w:val="0"/>
          <w:lang w:val="fr-FR"/>
        </w:rPr>
        <w:fldChar w:fldCharType="end"/>
      </w:r>
    </w:p>
    <w:p w:rsidR="00826A96" w:rsidRPr="003B6FEC" w:rsidRDefault="00C50B06" w:rsidP="00E13C80">
      <w:pPr>
        <w:ind w:left="1134" w:hanging="1134"/>
        <w:rPr>
          <w:sz w:val="18"/>
          <w:lang w:val="fr-FR"/>
        </w:rPr>
      </w:pPr>
      <w:bookmarkStart w:id="3" w:name="_GoBack"/>
      <w:r w:rsidRPr="003B6FEC">
        <w:rPr>
          <w:rFonts w:cs="Arial"/>
          <w:snapToGrid w:val="0"/>
          <w:sz w:val="18"/>
          <w:lang w:val="fr-FR"/>
        </w:rPr>
        <w:t>ANNEXE I</w:t>
      </w:r>
      <w:r w:rsidRPr="003B6FEC">
        <w:rPr>
          <w:rFonts w:cs="Arial"/>
          <w:snapToGrid w:val="0"/>
          <w:sz w:val="18"/>
          <w:lang w:val="fr-FR"/>
        </w:rPr>
        <w:tab/>
        <w:t>Extrait du document</w:t>
      </w:r>
      <w:r w:rsidR="006F3565" w:rsidRPr="003B6FEC">
        <w:rPr>
          <w:rFonts w:cs="Arial"/>
          <w:snapToGrid w:val="0"/>
          <w:sz w:val="18"/>
          <w:lang w:val="fr-FR"/>
        </w:rPr>
        <w:t> </w:t>
      </w:r>
      <w:r w:rsidRPr="003B6FEC">
        <w:rPr>
          <w:rFonts w:cs="Arial"/>
          <w:snapToGrid w:val="0"/>
          <w:sz w:val="18"/>
          <w:lang w:val="fr-FR"/>
        </w:rPr>
        <w:t xml:space="preserve">TGP/8, deuxième partie, </w:t>
      </w:r>
      <w:r w:rsidR="002045AD" w:rsidRPr="003B6FEC">
        <w:rPr>
          <w:rFonts w:cs="Arial"/>
          <w:snapToGrid w:val="0"/>
          <w:sz w:val="18"/>
          <w:lang w:val="fr-FR"/>
        </w:rPr>
        <w:t>section 8</w:t>
      </w:r>
      <w:r w:rsidRPr="003B6FEC">
        <w:rPr>
          <w:rFonts w:cs="Arial"/>
          <w:snapToGrid w:val="0"/>
          <w:sz w:val="18"/>
          <w:lang w:val="fr-FR"/>
        </w:rPr>
        <w:t xml:space="preserve"> “La méthode d</w:t>
      </w:r>
      <w:r w:rsidR="002045AD" w:rsidRPr="003B6FEC">
        <w:rPr>
          <w:rFonts w:cs="Arial"/>
          <w:snapToGrid w:val="0"/>
          <w:sz w:val="18"/>
          <w:lang w:val="fr-FR"/>
        </w:rPr>
        <w:t>’</w:t>
      </w:r>
      <w:r w:rsidRPr="003B6FEC">
        <w:rPr>
          <w:rFonts w:cs="Arial"/>
          <w:snapToGrid w:val="0"/>
          <w:sz w:val="18"/>
          <w:lang w:val="fr-FR"/>
        </w:rPr>
        <w:t>évaluation de l</w:t>
      </w:r>
      <w:r w:rsidR="002045AD" w:rsidRPr="003B6FEC">
        <w:rPr>
          <w:rFonts w:cs="Arial"/>
          <w:snapToGrid w:val="0"/>
          <w:sz w:val="18"/>
          <w:lang w:val="fr-FR"/>
        </w:rPr>
        <w:t>’</w:t>
      </w:r>
      <w:r w:rsidRPr="003B6FEC">
        <w:rPr>
          <w:rFonts w:cs="Arial"/>
          <w:snapToGrid w:val="0"/>
          <w:sz w:val="18"/>
          <w:lang w:val="fr-FR"/>
        </w:rPr>
        <w:t>homogénéité fondée sur les hors</w:t>
      </w:r>
      <w:r w:rsidR="00804488" w:rsidRPr="003B6FEC">
        <w:rPr>
          <w:rFonts w:cs="Arial"/>
          <w:snapToGrid w:val="0"/>
          <w:sz w:val="18"/>
          <w:lang w:val="fr-FR"/>
        </w:rPr>
        <w:noBreakHyphen/>
      </w:r>
      <w:r w:rsidRPr="003B6FEC">
        <w:rPr>
          <w:rFonts w:cs="Arial"/>
          <w:snapToGrid w:val="0"/>
          <w:sz w:val="18"/>
          <w:lang w:val="fr-FR"/>
        </w:rPr>
        <w:t>types”</w:t>
      </w:r>
    </w:p>
    <w:p w:rsidR="00826A96" w:rsidRPr="003B6FEC" w:rsidRDefault="00C50B06" w:rsidP="00C50B06">
      <w:pPr>
        <w:keepNext/>
        <w:tabs>
          <w:tab w:val="left" w:pos="1418"/>
        </w:tabs>
        <w:spacing w:before="120"/>
        <w:ind w:left="1134" w:right="283" w:hanging="1134"/>
        <w:rPr>
          <w:sz w:val="18"/>
          <w:lang w:val="fr-FR"/>
        </w:rPr>
      </w:pPr>
      <w:r w:rsidRPr="003B6FEC">
        <w:rPr>
          <w:sz w:val="18"/>
          <w:lang w:val="fr-FR"/>
        </w:rPr>
        <w:t>ANNEXE</w:t>
      </w:r>
      <w:r w:rsidR="006F3565" w:rsidRPr="003B6FEC">
        <w:rPr>
          <w:sz w:val="18"/>
          <w:lang w:val="fr-FR"/>
        </w:rPr>
        <w:t> </w:t>
      </w:r>
      <w:r w:rsidRPr="003B6FEC">
        <w:rPr>
          <w:sz w:val="18"/>
          <w:lang w:val="fr-FR"/>
        </w:rPr>
        <w:t>II</w:t>
      </w:r>
      <w:r w:rsidRPr="003B6FEC">
        <w:rPr>
          <w:sz w:val="18"/>
          <w:lang w:val="fr-FR"/>
        </w:rPr>
        <w:tab/>
        <w:t>Projet de proposition pour la révision du document</w:t>
      </w:r>
      <w:r w:rsidR="006F3565" w:rsidRPr="003B6FEC">
        <w:rPr>
          <w:sz w:val="18"/>
          <w:lang w:val="fr-FR"/>
        </w:rPr>
        <w:t> </w:t>
      </w:r>
      <w:r w:rsidRPr="003B6FEC">
        <w:rPr>
          <w:sz w:val="18"/>
          <w:lang w:val="fr-FR"/>
        </w:rPr>
        <w:t xml:space="preserve">TGP/8, deuxième partie, </w:t>
      </w:r>
      <w:r w:rsidR="002045AD" w:rsidRPr="003B6FEC">
        <w:rPr>
          <w:sz w:val="18"/>
          <w:lang w:val="fr-FR"/>
        </w:rPr>
        <w:t>section 8</w:t>
      </w:r>
      <w:r w:rsidRPr="003B6FEC">
        <w:rPr>
          <w:sz w:val="18"/>
          <w:lang w:val="fr-FR"/>
        </w:rPr>
        <w:t xml:space="preserve"> “La</w:t>
      </w:r>
      <w:r w:rsidR="00E1133F" w:rsidRPr="003B6FEC">
        <w:rPr>
          <w:sz w:val="18"/>
          <w:lang w:val="fr-FR"/>
        </w:rPr>
        <w:t> </w:t>
      </w:r>
      <w:r w:rsidRPr="003B6FEC">
        <w:rPr>
          <w:sz w:val="18"/>
          <w:lang w:val="fr-FR"/>
        </w:rPr>
        <w:t>méthode d</w:t>
      </w:r>
      <w:r w:rsidR="002045AD" w:rsidRPr="003B6FEC">
        <w:rPr>
          <w:sz w:val="18"/>
          <w:lang w:val="fr-FR"/>
        </w:rPr>
        <w:t>’</w:t>
      </w:r>
      <w:r w:rsidRPr="003B6FEC">
        <w:rPr>
          <w:sz w:val="18"/>
          <w:lang w:val="fr-FR"/>
        </w:rPr>
        <w:t>évaluation de l</w:t>
      </w:r>
      <w:r w:rsidR="002045AD" w:rsidRPr="003B6FEC">
        <w:rPr>
          <w:sz w:val="18"/>
          <w:lang w:val="fr-FR"/>
        </w:rPr>
        <w:t>’</w:t>
      </w:r>
      <w:r w:rsidRPr="003B6FEC">
        <w:rPr>
          <w:sz w:val="18"/>
          <w:lang w:val="fr-FR"/>
        </w:rPr>
        <w:t>homogénéité fondée sur les hors</w:t>
      </w:r>
      <w:r w:rsidR="00804488" w:rsidRPr="003B6FEC">
        <w:rPr>
          <w:sz w:val="18"/>
          <w:lang w:val="fr-FR"/>
        </w:rPr>
        <w:noBreakHyphen/>
      </w:r>
      <w:r w:rsidRPr="003B6FEC">
        <w:rPr>
          <w:sz w:val="18"/>
          <w:lang w:val="fr-FR"/>
        </w:rPr>
        <w:t>types”</w:t>
      </w:r>
    </w:p>
    <w:bookmarkEnd w:id="3"/>
    <w:p w:rsidR="00826A96" w:rsidRPr="006F3565" w:rsidRDefault="00826A96" w:rsidP="00A56E3A">
      <w:pPr>
        <w:rPr>
          <w:lang w:val="fr-FR" w:eastAsia="ja-JP"/>
        </w:rPr>
      </w:pPr>
    </w:p>
    <w:p w:rsidR="00826A96" w:rsidRPr="006F3565" w:rsidRDefault="00A56E3A" w:rsidP="00C50B06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C50B06" w:rsidRPr="006F3565">
        <w:rPr>
          <w:lang w:val="fr-FR"/>
        </w:rPr>
        <w:t>Les abréviations ci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après sont utilisées dans le présent document</w:t>
      </w:r>
      <w:r w:rsidR="002045AD" w:rsidRPr="006F3565">
        <w:rPr>
          <w:lang w:val="fr-FR"/>
        </w:rPr>
        <w:t> :</w:t>
      </w:r>
    </w:p>
    <w:p w:rsidR="00826A96" w:rsidRPr="006F3565" w:rsidRDefault="00826A96" w:rsidP="00A56E3A">
      <w:pPr>
        <w:rPr>
          <w:sz w:val="16"/>
          <w:lang w:val="fr-FR"/>
        </w:rPr>
      </w:pPr>
    </w:p>
    <w:p w:rsidR="002045AD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CAJ</w:t>
      </w:r>
      <w:r w:rsidR="006F3565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Comité administratif et juridique</w:t>
      </w:r>
    </w:p>
    <w:p w:rsidR="00826A96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TC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Comité technique</w:t>
      </w:r>
    </w:p>
    <w:p w:rsidR="00826A96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TC</w:t>
      </w:r>
      <w:r w:rsidR="00804488">
        <w:rPr>
          <w:lang w:val="fr-FR"/>
        </w:rPr>
        <w:noBreakHyphen/>
      </w:r>
      <w:r w:rsidRPr="006F3565">
        <w:rPr>
          <w:lang w:val="fr-FR"/>
        </w:rPr>
        <w:t>EDC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Comité de rédaction élargi</w:t>
      </w:r>
    </w:p>
    <w:p w:rsidR="00826A96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TWA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Groupe de travail technique sur les plantes agricoles</w:t>
      </w:r>
    </w:p>
    <w:p w:rsidR="00826A96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TWC</w:t>
      </w:r>
      <w:r w:rsidR="00A315AA" w:rsidRPr="006F3565">
        <w:rPr>
          <w:lang w:val="fr-FR"/>
        </w:rPr>
        <w:t> </w:t>
      </w:r>
      <w:r w:rsidRPr="006F3565">
        <w:rPr>
          <w:lang w:val="fr-FR"/>
        </w:rPr>
        <w:t xml:space="preserve">: </w:t>
      </w:r>
      <w:r w:rsidRPr="006F3565">
        <w:rPr>
          <w:lang w:val="fr-FR"/>
        </w:rPr>
        <w:tab/>
        <w:t>Groupe de travail technique sur les systèmes d</w:t>
      </w:r>
      <w:r w:rsidR="002045AD" w:rsidRPr="006F3565">
        <w:rPr>
          <w:lang w:val="fr-FR"/>
        </w:rPr>
        <w:t>’</w:t>
      </w:r>
      <w:r w:rsidRPr="006F3565">
        <w:rPr>
          <w:lang w:val="fr-FR"/>
        </w:rPr>
        <w:t>automatisation et les programmes d</w:t>
      </w:r>
      <w:r w:rsidR="002045AD" w:rsidRPr="006F3565">
        <w:rPr>
          <w:lang w:val="fr-FR"/>
        </w:rPr>
        <w:t>’</w:t>
      </w:r>
      <w:r w:rsidRPr="006F3565">
        <w:rPr>
          <w:lang w:val="fr-FR"/>
        </w:rPr>
        <w:t>ordinateur</w:t>
      </w:r>
    </w:p>
    <w:p w:rsidR="002045AD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TWF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Groupe de travail technique sur les plantes fruitières</w:t>
      </w:r>
    </w:p>
    <w:p w:rsidR="002045AD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TWO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Groupe de travail technique sur les plantes ornementales et les arbres forestiers</w:t>
      </w:r>
    </w:p>
    <w:p w:rsidR="00826A96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TWP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Groupe de travail technique</w:t>
      </w:r>
    </w:p>
    <w:p w:rsidR="00826A96" w:rsidRPr="006F3565" w:rsidRDefault="00C50B06" w:rsidP="00C50B06">
      <w:pPr>
        <w:ind w:left="1701" w:hanging="1134"/>
        <w:rPr>
          <w:lang w:val="fr-FR"/>
        </w:rPr>
      </w:pPr>
      <w:r w:rsidRPr="006F3565">
        <w:rPr>
          <w:lang w:val="fr-FR"/>
        </w:rPr>
        <w:t>TWV</w:t>
      </w:r>
      <w:r w:rsidR="002045AD" w:rsidRPr="006F3565">
        <w:rPr>
          <w:lang w:val="fr-FR"/>
        </w:rPr>
        <w:t> :</w:t>
      </w:r>
      <w:r w:rsidRPr="006F3565">
        <w:rPr>
          <w:lang w:val="fr-FR"/>
        </w:rPr>
        <w:t xml:space="preserve"> </w:t>
      </w:r>
      <w:r w:rsidRPr="006F3565">
        <w:rPr>
          <w:lang w:val="fr-FR"/>
        </w:rPr>
        <w:tab/>
        <w:t>Groupe de travail technique sur les plantes potagères</w:t>
      </w: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E13C80">
      <w:pPr>
        <w:jc w:val="left"/>
        <w:rPr>
          <w:rFonts w:eastAsia="MS Mincho"/>
          <w:caps/>
          <w:lang w:val="fr-FR" w:eastAsia="ja-JP"/>
        </w:rPr>
      </w:pPr>
      <w:bookmarkStart w:id="4" w:name="_Toc484625147"/>
      <w:bookmarkStart w:id="5" w:name="_Toc503881394"/>
      <w:bookmarkStart w:id="6" w:name="_Toc504464834"/>
      <w:bookmarkStart w:id="7" w:name="_Toc525661373"/>
      <w:bookmarkStart w:id="8" w:name="_Toc525721993"/>
      <w:r w:rsidRPr="006F3565">
        <w:rPr>
          <w:rFonts w:eastAsia="MS Mincho"/>
          <w:lang w:val="fr-FR" w:eastAsia="ja-JP"/>
        </w:rPr>
        <w:br w:type="page"/>
      </w:r>
    </w:p>
    <w:p w:rsidR="00826A96" w:rsidRPr="004963A7" w:rsidRDefault="004A5557" w:rsidP="004A5557">
      <w:pPr>
        <w:pStyle w:val="Heading1"/>
        <w:rPr>
          <w:rFonts w:eastAsia="MS Mincho"/>
          <w:lang w:val="fr-CH"/>
        </w:rPr>
      </w:pPr>
      <w:bookmarkStart w:id="9" w:name="_Toc526495424"/>
      <w:bookmarkEnd w:id="4"/>
      <w:bookmarkEnd w:id="5"/>
      <w:bookmarkEnd w:id="6"/>
      <w:bookmarkEnd w:id="7"/>
      <w:bookmarkEnd w:id="8"/>
      <w:r w:rsidRPr="004963A7">
        <w:rPr>
          <w:rFonts w:eastAsia="MS Mincho"/>
          <w:lang w:val="fr-CH"/>
        </w:rPr>
        <w:lastRenderedPageBreak/>
        <w:t>Rappel</w:t>
      </w:r>
      <w:bookmarkEnd w:id="9"/>
    </w:p>
    <w:p w:rsidR="00826A96" w:rsidRPr="006F3565" w:rsidRDefault="00826A96" w:rsidP="00BD2981">
      <w:pPr>
        <w:keepNext/>
        <w:rPr>
          <w:rFonts w:eastAsia="PMingLiU"/>
          <w:lang w:val="fr-FR"/>
        </w:rPr>
      </w:pPr>
    </w:p>
    <w:p w:rsidR="00826A96" w:rsidRPr="006F3565" w:rsidRDefault="00245109" w:rsidP="00C50B06">
      <w:pPr>
        <w:rPr>
          <w:rFonts w:eastAsia="PMingLiU"/>
          <w:lang w:val="fr-FR"/>
        </w:rPr>
      </w:pPr>
      <w:r w:rsidRPr="006F3565">
        <w:rPr>
          <w:rFonts w:eastAsia="PMingLiU"/>
          <w:lang w:val="fr-FR"/>
        </w:rPr>
        <w:fldChar w:fldCharType="begin"/>
      </w:r>
      <w:r w:rsidRPr="006F3565">
        <w:rPr>
          <w:rFonts w:eastAsia="PMingLiU"/>
          <w:lang w:val="fr-FR"/>
        </w:rPr>
        <w:instrText xml:space="preserve"> AUTONUM  </w:instrText>
      </w:r>
      <w:r w:rsidRPr="006F3565">
        <w:rPr>
          <w:rFonts w:eastAsia="PMingLiU"/>
          <w:lang w:val="fr-FR"/>
        </w:rPr>
        <w:fldChar w:fldCharType="end"/>
      </w:r>
      <w:r w:rsidRPr="006F3565">
        <w:rPr>
          <w:rFonts w:eastAsia="PMingLiU"/>
          <w:lang w:val="fr-FR"/>
        </w:rPr>
        <w:tab/>
      </w:r>
      <w:r w:rsidR="00C50B06" w:rsidRPr="006F3565">
        <w:rPr>
          <w:rFonts w:eastAsia="PMingLiU"/>
          <w:lang w:val="fr-FR"/>
        </w:rPr>
        <w:t>À sa cinquante</w:t>
      </w:r>
      <w:r w:rsidR="00804488">
        <w:rPr>
          <w:rFonts w:eastAsia="PMingLiU"/>
          <w:lang w:val="fr-FR"/>
        </w:rPr>
        <w:noBreakHyphen/>
      </w:r>
      <w:r w:rsidR="00C50B06" w:rsidRPr="006F3565">
        <w:rPr>
          <w:rFonts w:eastAsia="PMingLiU"/>
          <w:lang w:val="fr-FR"/>
        </w:rPr>
        <w:t>trois</w:t>
      </w:r>
      <w:r w:rsidR="002045AD" w:rsidRPr="006F3565">
        <w:rPr>
          <w:rFonts w:eastAsia="PMingLiU"/>
          <w:lang w:val="fr-FR"/>
        </w:rPr>
        <w:t>ième session</w:t>
      </w:r>
      <w:r w:rsidR="00C50B06" w:rsidRPr="006F3565">
        <w:rPr>
          <w:rFonts w:eastAsia="PMingLiU"/>
          <w:lang w:val="fr-FR"/>
        </w:rPr>
        <w:t xml:space="preserve"> tenue à Genève du 3 au </w:t>
      </w:r>
      <w:r w:rsidR="002045AD" w:rsidRPr="006F3565">
        <w:rPr>
          <w:rFonts w:eastAsia="PMingLiU"/>
          <w:lang w:val="fr-FR"/>
        </w:rPr>
        <w:t>5 avril 20</w:t>
      </w:r>
      <w:r w:rsidR="00C50B06" w:rsidRPr="006F3565">
        <w:rPr>
          <w:rFonts w:eastAsia="PMingLiU"/>
          <w:lang w:val="fr-FR"/>
        </w:rPr>
        <w:t>17, le</w:t>
      </w:r>
      <w:r w:rsidR="002045AD" w:rsidRPr="006F3565">
        <w:rPr>
          <w:rFonts w:eastAsia="PMingLiU"/>
          <w:lang w:val="fr-FR"/>
        </w:rPr>
        <w:t> TC</w:t>
      </w:r>
      <w:r w:rsidR="00C50B06" w:rsidRPr="006F3565">
        <w:rPr>
          <w:rFonts w:eastAsia="PMingLiU"/>
          <w:lang w:val="fr-FR"/>
        </w:rPr>
        <w:t xml:space="preserve"> a examiné le </w:t>
      </w:r>
      <w:r w:rsidR="002045AD" w:rsidRPr="006F3565">
        <w:rPr>
          <w:rFonts w:eastAsia="PMingLiU"/>
          <w:lang w:val="fr-FR"/>
        </w:rPr>
        <w:t>document</w:t>
      </w:r>
      <w:r w:rsidR="006F3565" w:rsidRPr="006F3565">
        <w:rPr>
          <w:rFonts w:eastAsia="PMingLiU"/>
          <w:lang w:val="fr-FR"/>
        </w:rPr>
        <w:t> </w:t>
      </w:r>
      <w:r w:rsidR="002045AD" w:rsidRPr="006F3565">
        <w:rPr>
          <w:rFonts w:eastAsia="PMingLiU"/>
          <w:lang w:val="fr-FR"/>
        </w:rPr>
        <w:t>TC</w:t>
      </w:r>
      <w:r w:rsidR="00C50B06" w:rsidRPr="006F3565">
        <w:rPr>
          <w:rFonts w:eastAsia="PMingLiU"/>
          <w:lang w:val="fr-FR"/>
        </w:rPr>
        <w:t>/53/19 “Révision du document</w:t>
      </w:r>
      <w:r w:rsidR="006F3565" w:rsidRPr="006F3565">
        <w:rPr>
          <w:rFonts w:eastAsia="PMingLiU"/>
          <w:lang w:val="fr-FR"/>
        </w:rPr>
        <w:t> </w:t>
      </w:r>
      <w:r w:rsidR="00C50B06" w:rsidRPr="006F3565">
        <w:rPr>
          <w:rFonts w:eastAsia="PMingLiU"/>
          <w:lang w:val="fr-FR"/>
        </w:rPr>
        <w:t>TGP/10</w:t>
      </w:r>
      <w:r w:rsidR="002045AD" w:rsidRPr="006F3565">
        <w:rPr>
          <w:rFonts w:eastAsia="PMingLiU"/>
          <w:lang w:val="fr-FR"/>
        </w:rPr>
        <w:t> :</w:t>
      </w:r>
      <w:r w:rsidR="00C50B06" w:rsidRPr="006F3565">
        <w:rPr>
          <w:rFonts w:eastAsia="PMingLiU"/>
          <w:lang w:val="fr-FR"/>
        </w:rPr>
        <w:t xml:space="preserve"> Nouvelle section</w:t>
      </w:r>
      <w:r w:rsidR="002045AD" w:rsidRPr="006F3565">
        <w:rPr>
          <w:rFonts w:eastAsia="PMingLiU"/>
          <w:lang w:val="fr-FR"/>
        </w:rPr>
        <w:t> :</w:t>
      </w:r>
      <w:r w:rsidR="00C50B06" w:rsidRPr="006F3565">
        <w:rPr>
          <w:rFonts w:eastAsia="PMingLiU"/>
          <w:lang w:val="fr-FR"/>
        </w:rPr>
        <w:t xml:space="preserve"> Évaluation de l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 xml:space="preserve">homogénéité </w:t>
      </w:r>
      <w:r w:rsidR="00B14338" w:rsidRPr="006F3565">
        <w:rPr>
          <w:rFonts w:eastAsia="PMingLiU"/>
          <w:lang w:val="fr-FR"/>
        </w:rPr>
        <w:t>d</w:t>
      </w:r>
      <w:r w:rsidR="002045AD" w:rsidRPr="006F3565">
        <w:rPr>
          <w:rFonts w:eastAsia="PMingLiU"/>
          <w:lang w:val="fr-FR"/>
        </w:rPr>
        <w:t>’</w:t>
      </w:r>
      <w:r w:rsidR="00B14338" w:rsidRPr="006F3565">
        <w:rPr>
          <w:rFonts w:eastAsia="PMingLiU"/>
          <w:lang w:val="fr-FR"/>
        </w:rPr>
        <w:t xml:space="preserve">après les </w:t>
      </w:r>
      <w:r w:rsidR="00C50B06" w:rsidRPr="006F3565">
        <w:rPr>
          <w:rFonts w:eastAsia="PMingLiU"/>
          <w:lang w:val="fr-FR"/>
        </w:rPr>
        <w:t>plantes hors</w:t>
      </w:r>
      <w:r w:rsidR="00804488">
        <w:rPr>
          <w:rFonts w:eastAsia="PMingLiU"/>
          <w:lang w:val="fr-FR"/>
        </w:rPr>
        <w:noBreakHyphen/>
      </w:r>
      <w:r w:rsidR="00C50B06" w:rsidRPr="006F3565">
        <w:rPr>
          <w:rFonts w:eastAsia="PMingLiU"/>
          <w:lang w:val="fr-FR"/>
        </w:rPr>
        <w:t xml:space="preserve">type sur la base de plusieurs cycles de végétation ou </w:t>
      </w:r>
      <w:r w:rsidR="00B14338" w:rsidRPr="006F3565">
        <w:rPr>
          <w:rFonts w:eastAsia="PMingLiU"/>
          <w:lang w:val="fr-FR"/>
        </w:rPr>
        <w:t xml:space="preserve">sur la base de </w:t>
      </w:r>
      <w:r w:rsidR="00C50B06" w:rsidRPr="006F3565">
        <w:rPr>
          <w:rFonts w:eastAsia="PMingLiU"/>
          <w:lang w:val="fr-FR"/>
        </w:rPr>
        <w:t>sous</w:t>
      </w:r>
      <w:r w:rsidR="00804488">
        <w:rPr>
          <w:rFonts w:eastAsia="PMingLiU"/>
          <w:lang w:val="fr-FR"/>
        </w:rPr>
        <w:noBreakHyphen/>
      </w:r>
      <w:r w:rsidR="00C50B06" w:rsidRPr="006F3565">
        <w:rPr>
          <w:rFonts w:eastAsia="PMingLiU"/>
          <w:lang w:val="fr-FR"/>
        </w:rPr>
        <w:t>échantillons” et il est convenu qu</w:t>
      </w:r>
      <w:r w:rsidR="00B14338" w:rsidRPr="006F3565">
        <w:rPr>
          <w:rFonts w:eastAsia="PMingLiU"/>
          <w:lang w:val="fr-FR"/>
        </w:rPr>
        <w:t xml:space="preserve">e, </w:t>
      </w:r>
      <w:r w:rsidR="00C50B06" w:rsidRPr="006F3565">
        <w:rPr>
          <w:rFonts w:eastAsia="PMingLiU"/>
          <w:lang w:val="fr-FR"/>
        </w:rPr>
        <w:t>à l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>occasion de la révision du document</w:t>
      </w:r>
      <w:r w:rsidR="006F3565" w:rsidRPr="006F3565">
        <w:rPr>
          <w:rFonts w:eastAsia="PMingLiU"/>
          <w:lang w:val="fr-FR"/>
        </w:rPr>
        <w:t> </w:t>
      </w:r>
      <w:r w:rsidR="00C50B06" w:rsidRPr="006F3565">
        <w:rPr>
          <w:rFonts w:eastAsia="PMingLiU"/>
          <w:lang w:val="fr-FR"/>
        </w:rPr>
        <w:t xml:space="preserve">TGP/10, les orientations figurant dans le </w:t>
      </w:r>
      <w:r w:rsidR="002045AD" w:rsidRPr="006F3565">
        <w:rPr>
          <w:rFonts w:eastAsia="PMingLiU"/>
          <w:lang w:val="fr-FR"/>
        </w:rPr>
        <w:t>document</w:t>
      </w:r>
      <w:r w:rsidR="006F3565" w:rsidRPr="006F3565">
        <w:rPr>
          <w:rFonts w:eastAsia="PMingLiU"/>
          <w:lang w:val="fr-FR"/>
        </w:rPr>
        <w:t> </w:t>
      </w:r>
      <w:r w:rsidR="002045AD" w:rsidRPr="006F3565">
        <w:rPr>
          <w:rFonts w:eastAsia="PMingLiU"/>
          <w:lang w:val="fr-FR"/>
        </w:rPr>
        <w:t>TG</w:t>
      </w:r>
      <w:r w:rsidR="00C50B06" w:rsidRPr="006F3565">
        <w:rPr>
          <w:rFonts w:eastAsia="PMingLiU"/>
          <w:lang w:val="fr-FR"/>
        </w:rPr>
        <w:t xml:space="preserve">P/8/2, deuxième partie, </w:t>
      </w:r>
      <w:r w:rsidR="002045AD" w:rsidRPr="006F3565">
        <w:rPr>
          <w:rFonts w:eastAsia="PMingLiU"/>
          <w:lang w:val="fr-FR"/>
        </w:rPr>
        <w:t>section 8</w:t>
      </w:r>
      <w:r w:rsidR="00C50B06" w:rsidRPr="006F3565">
        <w:rPr>
          <w:rFonts w:eastAsia="PMingLiU"/>
          <w:lang w:val="fr-FR"/>
        </w:rPr>
        <w:t xml:space="preserve"> “La méthode d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>évaluation de l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>homogénéité fondée sur les hors</w:t>
      </w:r>
      <w:r w:rsidR="00804488">
        <w:rPr>
          <w:rFonts w:eastAsia="PMingLiU"/>
          <w:lang w:val="fr-FR"/>
        </w:rPr>
        <w:noBreakHyphen/>
      </w:r>
      <w:r w:rsidR="00C50B06" w:rsidRPr="006F3565">
        <w:rPr>
          <w:rFonts w:eastAsia="PMingLiU"/>
          <w:lang w:val="fr-FR"/>
        </w:rPr>
        <w:t>types”</w:t>
      </w:r>
      <w:r w:rsidR="00B14338" w:rsidRPr="006F3565">
        <w:rPr>
          <w:rFonts w:eastAsia="PMingLiU"/>
          <w:lang w:val="fr-FR"/>
        </w:rPr>
        <w:t>,</w:t>
      </w:r>
      <w:r w:rsidR="00C50B06" w:rsidRPr="006F3565">
        <w:rPr>
          <w:rFonts w:eastAsia="PMingLiU"/>
          <w:lang w:val="fr-FR"/>
        </w:rPr>
        <w:t xml:space="preserve"> devaient être révisées </w:t>
      </w:r>
      <w:r w:rsidR="00B14338" w:rsidRPr="006F3565">
        <w:rPr>
          <w:rFonts w:eastAsia="PMingLiU"/>
          <w:lang w:val="fr-FR"/>
        </w:rPr>
        <w:t>afin de</w:t>
      </w:r>
      <w:r w:rsidR="00C50B06" w:rsidRPr="006F3565">
        <w:rPr>
          <w:rFonts w:eastAsia="PMingLiU"/>
          <w:lang w:val="fr-FR"/>
        </w:rPr>
        <w:t xml:space="preserve"> tenir compte de la pratique des membres de l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>Union quant à l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>utilisation de méthodes au</w:t>
      </w:r>
      <w:r w:rsidR="00804488">
        <w:rPr>
          <w:rFonts w:eastAsia="PMingLiU"/>
          <w:lang w:val="fr-FR"/>
        </w:rPr>
        <w:noBreakHyphen/>
      </w:r>
      <w:r w:rsidR="00C50B06" w:rsidRPr="006F3565">
        <w:rPr>
          <w:rFonts w:eastAsia="PMingLiU"/>
          <w:lang w:val="fr-FR"/>
        </w:rPr>
        <w:t>delà d</w:t>
      </w:r>
      <w:r w:rsidR="002045AD" w:rsidRPr="006F3565">
        <w:rPr>
          <w:rFonts w:eastAsia="PMingLiU"/>
          <w:lang w:val="fr-FR"/>
        </w:rPr>
        <w:t>’</w:t>
      </w:r>
      <w:r w:rsidR="00C50B06" w:rsidRPr="006F3565">
        <w:rPr>
          <w:rFonts w:eastAsia="PMingLiU"/>
          <w:lang w:val="fr-FR"/>
        </w:rPr>
        <w:t xml:space="preserve">un </w:t>
      </w:r>
      <w:r w:rsidR="00FF2263" w:rsidRPr="006F3565">
        <w:rPr>
          <w:rFonts w:eastAsia="PMingLiU"/>
          <w:lang w:val="fr-FR"/>
        </w:rPr>
        <w:t xml:space="preserve">seul </w:t>
      </w:r>
      <w:r w:rsidR="00C50B06" w:rsidRPr="006F3565">
        <w:rPr>
          <w:rFonts w:eastAsia="PMingLiU"/>
          <w:lang w:val="fr-FR"/>
        </w:rPr>
        <w:t>essai (</w:t>
      </w:r>
      <w:r w:rsidR="00FF2263" w:rsidRPr="006F3565">
        <w:rPr>
          <w:rFonts w:eastAsia="PMingLiU"/>
          <w:lang w:val="fr-FR"/>
        </w:rPr>
        <w:t xml:space="preserve">une </w:t>
      </w:r>
      <w:r w:rsidR="00C50B06" w:rsidRPr="006F3565">
        <w:rPr>
          <w:rFonts w:eastAsia="PMingLiU"/>
          <w:lang w:val="fr-FR"/>
        </w:rPr>
        <w:t xml:space="preserve">année) (voir le </w:t>
      </w:r>
      <w:r w:rsidR="002045AD" w:rsidRPr="006F3565">
        <w:rPr>
          <w:rFonts w:eastAsia="PMingLiU"/>
          <w:lang w:val="fr-FR"/>
        </w:rPr>
        <w:t>paragraphe 1</w:t>
      </w:r>
      <w:r w:rsidR="00C50B06" w:rsidRPr="006F3565">
        <w:rPr>
          <w:rFonts w:eastAsia="PMingLiU"/>
          <w:lang w:val="fr-FR"/>
        </w:rPr>
        <w:t xml:space="preserve">25 du </w:t>
      </w:r>
      <w:r w:rsidR="002045AD" w:rsidRPr="006F3565">
        <w:rPr>
          <w:rFonts w:eastAsia="PMingLiU"/>
          <w:lang w:val="fr-FR"/>
        </w:rPr>
        <w:t>document</w:t>
      </w:r>
      <w:r w:rsidR="006F3565" w:rsidRPr="006F3565">
        <w:rPr>
          <w:rFonts w:eastAsia="PMingLiU"/>
          <w:lang w:val="fr-FR"/>
        </w:rPr>
        <w:t> </w:t>
      </w:r>
      <w:r w:rsidR="002045AD" w:rsidRPr="006F3565">
        <w:rPr>
          <w:rFonts w:eastAsia="PMingLiU"/>
          <w:lang w:val="fr-FR"/>
        </w:rPr>
        <w:t>TC</w:t>
      </w:r>
      <w:r w:rsidR="00C50B06" w:rsidRPr="006F3565">
        <w:rPr>
          <w:rFonts w:eastAsia="PMingLiU"/>
          <w:lang w:val="fr-FR"/>
        </w:rPr>
        <w:t>/53/31 “Compte rendu”).</w:t>
      </w:r>
    </w:p>
    <w:p w:rsidR="00826A96" w:rsidRPr="006F3565" w:rsidRDefault="00826A96" w:rsidP="00245109">
      <w:pPr>
        <w:rPr>
          <w:rFonts w:eastAsia="PMingLiU"/>
          <w:lang w:val="fr-FR"/>
        </w:rPr>
      </w:pPr>
    </w:p>
    <w:p w:rsidR="00826A96" w:rsidRPr="006F3565" w:rsidRDefault="00C50B06" w:rsidP="00C50B06">
      <w:pPr>
        <w:pStyle w:val="Heading2"/>
        <w:rPr>
          <w:rFonts w:eastAsia="PMingLiU"/>
          <w:lang w:val="fr-FR"/>
        </w:rPr>
      </w:pPr>
      <w:bookmarkStart w:id="10" w:name="_Toc526495425"/>
      <w:r w:rsidRPr="006F3565">
        <w:rPr>
          <w:rFonts w:eastAsia="PMingLiU"/>
          <w:lang w:val="fr-FR"/>
        </w:rPr>
        <w:t>Orientations figurant dans le document</w:t>
      </w:r>
      <w:r w:rsidR="006F3565" w:rsidRPr="006F3565">
        <w:rPr>
          <w:rFonts w:eastAsia="PMingLiU"/>
          <w:lang w:val="fr-FR"/>
        </w:rPr>
        <w:t> </w:t>
      </w:r>
      <w:r w:rsidRPr="006F3565">
        <w:rPr>
          <w:rFonts w:eastAsia="PMingLiU"/>
          <w:lang w:val="fr-FR"/>
        </w:rPr>
        <w:t>TGP/8</w:t>
      </w:r>
      <w:bookmarkEnd w:id="10"/>
    </w:p>
    <w:p w:rsidR="00826A96" w:rsidRPr="006F3565" w:rsidRDefault="00826A96" w:rsidP="00245109">
      <w:pPr>
        <w:keepNext/>
        <w:keepLines/>
        <w:rPr>
          <w:rFonts w:eastAsia="PMingLiU"/>
          <w:lang w:val="fr-FR"/>
        </w:rPr>
      </w:pPr>
    </w:p>
    <w:p w:rsidR="002045AD" w:rsidRPr="006F3565" w:rsidRDefault="00245109" w:rsidP="00C50B06">
      <w:pPr>
        <w:keepNext/>
        <w:keepLines/>
        <w:rPr>
          <w:snapToGrid w:val="0"/>
          <w:lang w:val="fr-FR"/>
        </w:rPr>
      </w:pPr>
      <w:r w:rsidRPr="006F3565">
        <w:rPr>
          <w:snapToGrid w:val="0"/>
          <w:lang w:val="fr-FR"/>
        </w:rPr>
        <w:fldChar w:fldCharType="begin"/>
      </w:r>
      <w:r w:rsidRPr="006F3565">
        <w:rPr>
          <w:snapToGrid w:val="0"/>
          <w:lang w:val="fr-FR"/>
        </w:rPr>
        <w:instrText xml:space="preserve"> AUTONUM  </w:instrText>
      </w:r>
      <w:r w:rsidRPr="006F3565">
        <w:rPr>
          <w:snapToGrid w:val="0"/>
          <w:lang w:val="fr-FR"/>
        </w:rPr>
        <w:fldChar w:fldCharType="end"/>
      </w:r>
      <w:r w:rsidRPr="006F3565">
        <w:rPr>
          <w:snapToGrid w:val="0"/>
          <w:lang w:val="fr-FR"/>
        </w:rPr>
        <w:tab/>
      </w:r>
      <w:r w:rsidR="00C50B06" w:rsidRPr="006F3565">
        <w:rPr>
          <w:snapToGrid w:val="0"/>
          <w:lang w:val="fr-FR"/>
        </w:rPr>
        <w:t xml:space="preserve">Les orientations figurant dans le </w:t>
      </w:r>
      <w:r w:rsidR="002045AD" w:rsidRPr="006F3565">
        <w:rPr>
          <w:snapToGrid w:val="0"/>
          <w:lang w:val="fr-FR"/>
        </w:rPr>
        <w:t>document</w:t>
      </w:r>
      <w:r w:rsidR="006F3565" w:rsidRPr="006F3565">
        <w:rPr>
          <w:snapToGrid w:val="0"/>
          <w:lang w:val="fr-FR"/>
        </w:rPr>
        <w:t> </w:t>
      </w:r>
      <w:r w:rsidR="002045AD" w:rsidRPr="006F3565">
        <w:rPr>
          <w:snapToGrid w:val="0"/>
          <w:lang w:val="fr-FR"/>
        </w:rPr>
        <w:t>TG</w:t>
      </w:r>
      <w:r w:rsidR="00704CBD">
        <w:rPr>
          <w:snapToGrid w:val="0"/>
          <w:lang w:val="fr-FR"/>
        </w:rPr>
        <w:t>P/8</w:t>
      </w:r>
      <w:r w:rsidR="00C50B06" w:rsidRPr="006F3565">
        <w:rPr>
          <w:snapToGrid w:val="0"/>
          <w:lang w:val="fr-FR"/>
        </w:rPr>
        <w:t xml:space="preserve">, deuxième partie, </w:t>
      </w:r>
      <w:r w:rsidR="002045AD" w:rsidRPr="006F3565">
        <w:rPr>
          <w:snapToGrid w:val="0"/>
          <w:lang w:val="fr-FR"/>
        </w:rPr>
        <w:t>section 8</w:t>
      </w:r>
      <w:r w:rsidR="00C50B06" w:rsidRPr="006F3565">
        <w:rPr>
          <w:snapToGrid w:val="0"/>
          <w:lang w:val="fr-FR"/>
        </w:rPr>
        <w:t xml:space="preserve"> “La méthode d</w:t>
      </w:r>
      <w:r w:rsidR="002045AD" w:rsidRPr="006F3565">
        <w:rPr>
          <w:snapToGrid w:val="0"/>
          <w:lang w:val="fr-FR"/>
        </w:rPr>
        <w:t>’</w:t>
      </w:r>
      <w:r w:rsidR="00C50B06" w:rsidRPr="006F3565">
        <w:rPr>
          <w:snapToGrid w:val="0"/>
          <w:lang w:val="fr-FR"/>
        </w:rPr>
        <w:t>évaluation de l</w:t>
      </w:r>
      <w:r w:rsidR="002045AD" w:rsidRPr="006F3565">
        <w:rPr>
          <w:snapToGrid w:val="0"/>
          <w:lang w:val="fr-FR"/>
        </w:rPr>
        <w:t>’</w:t>
      </w:r>
      <w:r w:rsidR="00C50B06" w:rsidRPr="006F3565">
        <w:rPr>
          <w:snapToGrid w:val="0"/>
          <w:lang w:val="fr-FR"/>
        </w:rPr>
        <w:t>homogénéité fondée sur les hors</w:t>
      </w:r>
      <w:r w:rsidR="00804488">
        <w:rPr>
          <w:snapToGrid w:val="0"/>
          <w:lang w:val="fr-FR"/>
        </w:rPr>
        <w:noBreakHyphen/>
      </w:r>
      <w:r w:rsidR="00C50B06" w:rsidRPr="006F3565">
        <w:rPr>
          <w:snapToGrid w:val="0"/>
          <w:lang w:val="fr-FR"/>
        </w:rPr>
        <w:t xml:space="preserve">types”, </w:t>
      </w:r>
      <w:r w:rsidR="00B14338" w:rsidRPr="006F3565">
        <w:rPr>
          <w:snapToGrid w:val="0"/>
          <w:lang w:val="fr-FR"/>
        </w:rPr>
        <w:t>s</w:t>
      </w:r>
      <w:r w:rsidR="00C50B06" w:rsidRPr="006F3565">
        <w:rPr>
          <w:snapToGrid w:val="0"/>
          <w:lang w:val="fr-FR"/>
        </w:rPr>
        <w:t>ous</w:t>
      </w:r>
      <w:r w:rsidR="00804488">
        <w:rPr>
          <w:snapToGrid w:val="0"/>
          <w:lang w:val="fr-FR"/>
        </w:rPr>
        <w:noBreakHyphen/>
      </w:r>
      <w:r w:rsidR="002045AD" w:rsidRPr="006F3565">
        <w:rPr>
          <w:snapToGrid w:val="0"/>
          <w:lang w:val="fr-FR"/>
        </w:rPr>
        <w:t>section 8</w:t>
      </w:r>
      <w:r w:rsidR="00C50B06" w:rsidRPr="006F3565">
        <w:rPr>
          <w:snapToGrid w:val="0"/>
          <w:lang w:val="fr-FR"/>
        </w:rPr>
        <w:t>.1.7 “Méthode au</w:t>
      </w:r>
      <w:r w:rsidR="00804488">
        <w:rPr>
          <w:snapToGrid w:val="0"/>
          <w:lang w:val="fr-FR"/>
        </w:rPr>
        <w:noBreakHyphen/>
      </w:r>
      <w:r w:rsidR="00C50B06" w:rsidRPr="006F3565">
        <w:rPr>
          <w:snapToGrid w:val="0"/>
          <w:lang w:val="fr-FR"/>
        </w:rPr>
        <w:t>delà d</w:t>
      </w:r>
      <w:r w:rsidR="002045AD" w:rsidRPr="006F3565">
        <w:rPr>
          <w:snapToGrid w:val="0"/>
          <w:lang w:val="fr-FR"/>
        </w:rPr>
        <w:t>’</w:t>
      </w:r>
      <w:r w:rsidR="00C50B06" w:rsidRPr="006F3565">
        <w:rPr>
          <w:snapToGrid w:val="0"/>
          <w:lang w:val="fr-FR"/>
        </w:rPr>
        <w:t>un essai unique (année)”</w:t>
      </w:r>
      <w:r w:rsidR="00B14338" w:rsidRPr="006F3565">
        <w:rPr>
          <w:snapToGrid w:val="0"/>
          <w:lang w:val="fr-FR"/>
        </w:rPr>
        <w:t>,</w:t>
      </w:r>
      <w:r w:rsidR="00C50B06" w:rsidRPr="006F3565">
        <w:rPr>
          <w:snapToGrid w:val="0"/>
          <w:lang w:val="fr-FR"/>
        </w:rPr>
        <w:t xml:space="preserve"> sont reproduites dans l</w:t>
      </w:r>
      <w:r w:rsidR="002045AD" w:rsidRPr="006F3565">
        <w:rPr>
          <w:snapToGrid w:val="0"/>
          <w:lang w:val="fr-FR"/>
        </w:rPr>
        <w:t>’annexe I</w:t>
      </w:r>
      <w:r w:rsidR="00C50B06" w:rsidRPr="006F3565">
        <w:rPr>
          <w:snapToGrid w:val="0"/>
          <w:lang w:val="fr-FR"/>
        </w:rPr>
        <w:t xml:space="preserve"> du présent document.</w:t>
      </w:r>
    </w:p>
    <w:p w:rsidR="00826A96" w:rsidRPr="006F3565" w:rsidRDefault="00826A96" w:rsidP="00BD2981">
      <w:pPr>
        <w:rPr>
          <w:lang w:val="fr-FR"/>
        </w:rPr>
      </w:pPr>
    </w:p>
    <w:p w:rsidR="00826A96" w:rsidRPr="006F3565" w:rsidRDefault="00826A96" w:rsidP="00BD2981">
      <w:pPr>
        <w:rPr>
          <w:lang w:val="fr-FR"/>
        </w:rPr>
      </w:pPr>
    </w:p>
    <w:p w:rsidR="00826A96" w:rsidRPr="004963A7" w:rsidRDefault="00C50B06" w:rsidP="004A5557">
      <w:pPr>
        <w:pStyle w:val="Heading1"/>
        <w:rPr>
          <w:lang w:val="fr-CH"/>
        </w:rPr>
      </w:pPr>
      <w:bookmarkStart w:id="11" w:name="_Toc526495426"/>
      <w:r w:rsidRPr="004963A7">
        <w:rPr>
          <w:lang w:val="fr-CH"/>
        </w:rPr>
        <w:t>Examen par le Comité de rédaction élargi</w:t>
      </w:r>
      <w:bookmarkEnd w:id="11"/>
    </w:p>
    <w:p w:rsidR="00826A96" w:rsidRPr="006F3565" w:rsidRDefault="00826A96" w:rsidP="005C5F05">
      <w:pPr>
        <w:rPr>
          <w:rFonts w:cs="Arial"/>
          <w:iCs/>
          <w:lang w:val="fr-FR"/>
        </w:rPr>
      </w:pPr>
    </w:p>
    <w:p w:rsidR="00826A96" w:rsidRPr="006F3565" w:rsidRDefault="005C5F05" w:rsidP="00C50B06">
      <w:pPr>
        <w:keepNext/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C50B06" w:rsidRPr="006F3565">
        <w:rPr>
          <w:lang w:val="fr-FR"/>
        </w:rPr>
        <w:t>À sa trente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quatr</w:t>
      </w:r>
      <w:r w:rsidR="002045AD" w:rsidRPr="006F3565">
        <w:rPr>
          <w:lang w:val="fr-FR"/>
        </w:rPr>
        <w:t>ième session</w:t>
      </w:r>
      <w:r w:rsidR="00C50B06" w:rsidRPr="006F3565">
        <w:rPr>
          <w:lang w:val="fr-FR"/>
        </w:rPr>
        <w:t xml:space="preserve"> extraordinaire tenue à Genève le </w:t>
      </w:r>
      <w:r w:rsidR="002045AD" w:rsidRPr="006F3565">
        <w:rPr>
          <w:lang w:val="fr-FR"/>
        </w:rPr>
        <w:t>6 avril 20</w:t>
      </w:r>
      <w:r w:rsidR="00C50B06" w:rsidRPr="006F3565">
        <w:rPr>
          <w:lang w:val="fr-FR"/>
        </w:rPr>
        <w:t>17, le Conseil a décidé d</w:t>
      </w:r>
      <w:r w:rsidR="002045AD" w:rsidRPr="006F3565">
        <w:rPr>
          <w:lang w:val="fr-FR"/>
        </w:rPr>
        <w:t>’</w:t>
      </w:r>
      <w:r w:rsidR="00C50B06" w:rsidRPr="006F3565">
        <w:rPr>
          <w:lang w:val="fr-FR"/>
        </w:rPr>
        <w:t xml:space="preserve">organiser une seule série de sessions à partir </w:t>
      </w:r>
      <w:r w:rsidR="002045AD" w:rsidRPr="006F3565">
        <w:rPr>
          <w:lang w:val="fr-FR"/>
        </w:rPr>
        <w:t>de 2018</w:t>
      </w:r>
      <w:r w:rsidR="00C50B06" w:rsidRPr="006F3565">
        <w:rPr>
          <w:lang w:val="fr-FR"/>
        </w:rPr>
        <w:t>, en octobre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 xml:space="preserve">novembre (voir les </w:t>
      </w:r>
      <w:r w:rsidR="002045AD" w:rsidRPr="006F3565">
        <w:rPr>
          <w:lang w:val="fr-FR"/>
        </w:rPr>
        <w:t>paragraphes 1</w:t>
      </w:r>
      <w:r w:rsidR="00C50B06" w:rsidRPr="006F3565">
        <w:rPr>
          <w:lang w:val="fr-FR"/>
        </w:rPr>
        <w:t>2 à 14 du document C(</w:t>
      </w:r>
      <w:proofErr w:type="spellStart"/>
      <w:r w:rsidR="00C50B06" w:rsidRPr="006F3565">
        <w:rPr>
          <w:lang w:val="fr-FR"/>
        </w:rPr>
        <w:t>Extr</w:t>
      </w:r>
      <w:proofErr w:type="spellEnd"/>
      <w:proofErr w:type="gramStart"/>
      <w:r w:rsidR="00C50B06" w:rsidRPr="006F3565">
        <w:rPr>
          <w:lang w:val="fr-FR"/>
        </w:rPr>
        <w:t>.)/</w:t>
      </w:r>
      <w:proofErr w:type="gramEnd"/>
      <w:r w:rsidR="00C50B06" w:rsidRPr="006F3565">
        <w:rPr>
          <w:lang w:val="fr-FR"/>
        </w:rPr>
        <w:t xml:space="preserve">34/6 “Compte rendu des décisions”).  À partir </w:t>
      </w:r>
      <w:r w:rsidR="002045AD" w:rsidRPr="006F3565">
        <w:rPr>
          <w:lang w:val="fr-FR"/>
        </w:rPr>
        <w:t>de 2018</w:t>
      </w:r>
      <w:r w:rsidR="00C50B06" w:rsidRPr="006F3565">
        <w:rPr>
          <w:lang w:val="fr-FR"/>
        </w:rPr>
        <w:t>, les réunions du</w:t>
      </w:r>
      <w:r w:rsidR="002045AD" w:rsidRPr="006F3565">
        <w:rPr>
          <w:lang w:val="fr-FR"/>
        </w:rPr>
        <w:t> TC</w:t>
      </w:r>
      <w:r w:rsidR="00C50B06" w:rsidRPr="006F3565">
        <w:rPr>
          <w:lang w:val="fr-FR"/>
        </w:rPr>
        <w:t xml:space="preserve"> qui se tenaient en mars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avril auront lieu en octobre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novemb</w:t>
      </w:r>
      <w:r w:rsidR="006F3565" w:rsidRPr="006F3565">
        <w:rPr>
          <w:lang w:val="fr-FR"/>
        </w:rPr>
        <w:t>re.  Le</w:t>
      </w:r>
      <w:r w:rsidR="002045AD" w:rsidRPr="006F3565">
        <w:rPr>
          <w:lang w:val="fr-FR"/>
        </w:rPr>
        <w:t> TC</w:t>
      </w:r>
      <w:r w:rsidR="00804488">
        <w:rPr>
          <w:lang w:val="fr-FR"/>
        </w:rPr>
        <w:noBreakHyphen/>
      </w:r>
      <w:r w:rsidR="002045AD" w:rsidRPr="006F3565">
        <w:rPr>
          <w:lang w:val="fr-FR"/>
        </w:rPr>
        <w:t>EDC</w:t>
      </w:r>
      <w:r w:rsidR="00C50B06" w:rsidRPr="006F3565">
        <w:rPr>
          <w:lang w:val="fr-FR"/>
        </w:rPr>
        <w:t xml:space="preserve"> se réunira deux</w:t>
      </w:r>
      <w:r w:rsidR="00A315AA" w:rsidRPr="006F3565">
        <w:rPr>
          <w:lang w:val="fr-FR"/>
        </w:rPr>
        <w:t> </w:t>
      </w:r>
      <w:r w:rsidR="00C50B06" w:rsidRPr="006F3565">
        <w:rPr>
          <w:lang w:val="fr-FR"/>
        </w:rPr>
        <w:t>fois par an;  une fois en mars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avril et une fois dans le cadre des sessions du</w:t>
      </w:r>
      <w:r w:rsidR="002045AD" w:rsidRPr="006F3565">
        <w:rPr>
          <w:lang w:val="fr-FR"/>
        </w:rPr>
        <w:t> TC</w:t>
      </w:r>
      <w:r w:rsidR="00C50B06" w:rsidRPr="006F3565">
        <w:rPr>
          <w:lang w:val="fr-FR"/>
        </w:rPr>
        <w:t xml:space="preserve"> plus tard dans l</w:t>
      </w:r>
      <w:r w:rsidR="002045AD" w:rsidRPr="006F3565">
        <w:rPr>
          <w:lang w:val="fr-FR"/>
        </w:rPr>
        <w:t>’</w:t>
      </w:r>
      <w:r w:rsidR="00C50B06" w:rsidRPr="006F3565">
        <w:rPr>
          <w:lang w:val="fr-FR"/>
        </w:rPr>
        <w:t>année.</w:t>
      </w:r>
    </w:p>
    <w:p w:rsidR="00826A96" w:rsidRPr="006F3565" w:rsidRDefault="00826A96" w:rsidP="005C5F05">
      <w:pPr>
        <w:rPr>
          <w:lang w:val="fr-FR"/>
        </w:rPr>
      </w:pPr>
    </w:p>
    <w:p w:rsidR="002045AD" w:rsidRPr="006F3565" w:rsidRDefault="005C5F05" w:rsidP="00C50B06">
      <w:pPr>
        <w:rPr>
          <w:rFonts w:cs="Arial"/>
          <w:iCs/>
          <w:snapToGrid w:val="0"/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C50B06" w:rsidRPr="006F3565">
        <w:rPr>
          <w:lang w:val="fr-FR"/>
        </w:rPr>
        <w:t>Le Conseil a décidé, sur recommandation du Comité consultatif, d</w:t>
      </w:r>
      <w:r w:rsidR="002045AD" w:rsidRPr="006F3565">
        <w:rPr>
          <w:lang w:val="fr-FR"/>
        </w:rPr>
        <w:t>’</w:t>
      </w:r>
      <w:r w:rsidR="00C50B06" w:rsidRPr="006F3565">
        <w:rPr>
          <w:lang w:val="fr-FR"/>
        </w:rPr>
        <w:t>adopter les propositions formulées par le</w:t>
      </w:r>
      <w:r w:rsidR="002045AD" w:rsidRPr="006F3565">
        <w:rPr>
          <w:lang w:val="fr-FR"/>
        </w:rPr>
        <w:t> TC</w:t>
      </w:r>
      <w:r w:rsidR="00D4077E" w:rsidRPr="006F3565">
        <w:rPr>
          <w:lang w:val="fr-FR"/>
        </w:rPr>
        <w:t>,</w:t>
      </w:r>
      <w:r w:rsidR="00C50B06" w:rsidRPr="006F3565">
        <w:rPr>
          <w:lang w:val="fr-FR"/>
        </w:rPr>
        <w:t xml:space="preserve"> à sa cinquante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trois</w:t>
      </w:r>
      <w:r w:rsidR="002045AD" w:rsidRPr="006F3565">
        <w:rPr>
          <w:lang w:val="fr-FR"/>
        </w:rPr>
        <w:t>ième session</w:t>
      </w:r>
      <w:r w:rsidR="00D4077E" w:rsidRPr="006F3565">
        <w:rPr>
          <w:lang w:val="fr-FR"/>
        </w:rPr>
        <w:t>,</w:t>
      </w:r>
      <w:r w:rsidR="00B14338" w:rsidRPr="006F3565">
        <w:rPr>
          <w:lang w:val="fr-FR"/>
        </w:rPr>
        <w:t xml:space="preserve"> </w:t>
      </w:r>
      <w:r w:rsidR="00C50B06" w:rsidRPr="006F3565">
        <w:rPr>
          <w:lang w:val="fr-FR"/>
        </w:rPr>
        <w:t>de prendre des mesures d</w:t>
      </w:r>
      <w:r w:rsidR="002045AD" w:rsidRPr="006F3565">
        <w:rPr>
          <w:lang w:val="fr-FR"/>
        </w:rPr>
        <w:t>’</w:t>
      </w:r>
      <w:r w:rsidR="00C50B06" w:rsidRPr="006F3565">
        <w:rPr>
          <w:lang w:val="fr-FR"/>
        </w:rPr>
        <w:t>urgence durant la période de transition précédant la cinquante</w:t>
      </w:r>
      <w:r w:rsidR="00804488">
        <w:rPr>
          <w:lang w:val="fr-FR"/>
        </w:rPr>
        <w:noBreakHyphen/>
      </w:r>
      <w:r w:rsidR="00C50B06" w:rsidRPr="006F3565">
        <w:rPr>
          <w:lang w:val="fr-FR"/>
        </w:rPr>
        <w:t>quatr</w:t>
      </w:r>
      <w:r w:rsidR="002045AD" w:rsidRPr="006F3565">
        <w:rPr>
          <w:lang w:val="fr-FR"/>
        </w:rPr>
        <w:t>ième session</w:t>
      </w:r>
      <w:r w:rsidR="00C50B06" w:rsidRPr="006F3565">
        <w:rPr>
          <w:lang w:val="fr-FR"/>
        </w:rPr>
        <w:t xml:space="preserve"> du</w:t>
      </w:r>
      <w:r w:rsidR="002045AD" w:rsidRPr="006F3565">
        <w:rPr>
          <w:lang w:val="fr-FR"/>
        </w:rPr>
        <w:t> TC</w:t>
      </w:r>
      <w:r w:rsidR="00C50B06" w:rsidRPr="006F3565">
        <w:rPr>
          <w:lang w:val="fr-FR"/>
        </w:rPr>
        <w:t xml:space="preserve"> qui se tiendra</w:t>
      </w:r>
      <w:r w:rsidR="00D4077E" w:rsidRPr="006F3565">
        <w:rPr>
          <w:lang w:val="fr-FR"/>
        </w:rPr>
        <w:t>it</w:t>
      </w:r>
      <w:r w:rsidR="00C50B06" w:rsidRPr="006F3565">
        <w:rPr>
          <w:lang w:val="fr-FR"/>
        </w:rPr>
        <w:t xml:space="preserve"> en </w:t>
      </w:r>
      <w:r w:rsidR="002045AD" w:rsidRPr="006F3565">
        <w:rPr>
          <w:lang w:val="fr-FR"/>
        </w:rPr>
        <w:t>octobre 20</w:t>
      </w:r>
      <w:r w:rsidR="00C50B06" w:rsidRPr="006F3565">
        <w:rPr>
          <w:lang w:val="fr-FR"/>
        </w:rPr>
        <w:t>18;  pour les documents TGP, le</w:t>
      </w:r>
      <w:r w:rsidR="002045AD" w:rsidRPr="006F3565">
        <w:rPr>
          <w:lang w:val="fr-FR"/>
        </w:rPr>
        <w:t> TC</w:t>
      </w:r>
      <w:r w:rsidR="00804488">
        <w:rPr>
          <w:lang w:val="fr-FR"/>
        </w:rPr>
        <w:noBreakHyphen/>
      </w:r>
      <w:r w:rsidR="002045AD" w:rsidRPr="006F3565">
        <w:rPr>
          <w:lang w:val="fr-FR"/>
        </w:rPr>
        <w:t>EDC</w:t>
      </w:r>
      <w:r w:rsidR="00C50B06" w:rsidRPr="006F3565">
        <w:rPr>
          <w:lang w:val="fr-FR"/>
        </w:rPr>
        <w:t xml:space="preserve"> synthétisera</w:t>
      </w:r>
      <w:r w:rsidR="00D4077E" w:rsidRPr="006F3565">
        <w:rPr>
          <w:lang w:val="fr-FR"/>
        </w:rPr>
        <w:t>it</w:t>
      </w:r>
      <w:r w:rsidR="00C50B06" w:rsidRPr="006F3565">
        <w:rPr>
          <w:lang w:val="fr-FR"/>
        </w:rPr>
        <w:t xml:space="preserve"> les observations faites par</w:t>
      </w:r>
      <w:r w:rsidR="002045AD" w:rsidRPr="006F3565">
        <w:rPr>
          <w:lang w:val="fr-FR"/>
        </w:rPr>
        <w:t xml:space="preserve"> les TWP</w:t>
      </w:r>
      <w:r w:rsidR="00C50B06" w:rsidRPr="006F3565">
        <w:rPr>
          <w:lang w:val="fr-FR"/>
        </w:rPr>
        <w:t xml:space="preserve"> à leurs sessions </w:t>
      </w:r>
      <w:r w:rsidR="002045AD" w:rsidRPr="006F3565">
        <w:rPr>
          <w:lang w:val="fr-FR"/>
        </w:rPr>
        <w:t>de 2017</w:t>
      </w:r>
      <w:r w:rsidR="00C50B06" w:rsidRPr="006F3565">
        <w:rPr>
          <w:lang w:val="fr-FR"/>
        </w:rPr>
        <w:t xml:space="preserve"> et, en l</w:t>
      </w:r>
      <w:r w:rsidR="002045AD" w:rsidRPr="006F3565">
        <w:rPr>
          <w:lang w:val="fr-FR"/>
        </w:rPr>
        <w:t>’</w:t>
      </w:r>
      <w:r w:rsidR="00C50B06" w:rsidRPr="006F3565">
        <w:rPr>
          <w:lang w:val="fr-FR"/>
        </w:rPr>
        <w:t>absence de consensus entre</w:t>
      </w:r>
      <w:r w:rsidR="002045AD" w:rsidRPr="006F3565">
        <w:rPr>
          <w:lang w:val="fr-FR"/>
        </w:rPr>
        <w:t xml:space="preserve"> les TWP</w:t>
      </w:r>
      <w:r w:rsidR="00C50B06" w:rsidRPr="006F3565">
        <w:rPr>
          <w:lang w:val="fr-FR"/>
        </w:rPr>
        <w:t>, il élaborera</w:t>
      </w:r>
      <w:r w:rsidR="00D4077E" w:rsidRPr="006F3565">
        <w:rPr>
          <w:lang w:val="fr-FR"/>
        </w:rPr>
        <w:t>it</w:t>
      </w:r>
      <w:r w:rsidR="00C50B06" w:rsidRPr="006F3565">
        <w:rPr>
          <w:lang w:val="fr-FR"/>
        </w:rPr>
        <w:t xml:space="preserve"> des propositions p</w:t>
      </w:r>
      <w:r w:rsidR="00B14338" w:rsidRPr="006F3565">
        <w:rPr>
          <w:lang w:val="fr-FR"/>
        </w:rPr>
        <w:t>our un examen ultérieur par les </w:t>
      </w:r>
      <w:r w:rsidR="00C50B06" w:rsidRPr="006F3565">
        <w:rPr>
          <w:lang w:val="fr-FR"/>
        </w:rPr>
        <w:t xml:space="preserve">TWP à leurs sessions </w:t>
      </w:r>
      <w:r w:rsidR="002045AD" w:rsidRPr="006F3565">
        <w:rPr>
          <w:lang w:val="fr-FR"/>
        </w:rPr>
        <w:t>de 2018</w:t>
      </w:r>
      <w:r w:rsidR="00C50B06" w:rsidRPr="006F3565">
        <w:rPr>
          <w:lang w:val="fr-FR"/>
        </w:rPr>
        <w:t xml:space="preserve"> (voir les </w:t>
      </w:r>
      <w:r w:rsidR="002045AD" w:rsidRPr="006F3565">
        <w:rPr>
          <w:lang w:val="fr-FR"/>
        </w:rPr>
        <w:t>paragraphes 1</w:t>
      </w:r>
      <w:r w:rsidR="00C50B06" w:rsidRPr="006F3565">
        <w:rPr>
          <w:lang w:val="fr-FR"/>
        </w:rPr>
        <w:t>2 à 14 du document C(</w:t>
      </w:r>
      <w:proofErr w:type="spellStart"/>
      <w:r w:rsidR="00C50B06" w:rsidRPr="006F3565">
        <w:rPr>
          <w:lang w:val="fr-FR"/>
        </w:rPr>
        <w:t>Extr</w:t>
      </w:r>
      <w:proofErr w:type="spellEnd"/>
      <w:r w:rsidR="00C50B06" w:rsidRPr="006F3565">
        <w:rPr>
          <w:lang w:val="fr-FR"/>
        </w:rPr>
        <w:t>.)/34/6 “Compte rendu des décisions”).</w:t>
      </w:r>
    </w:p>
    <w:p w:rsidR="00826A96" w:rsidRPr="006F3565" w:rsidRDefault="00826A96" w:rsidP="005C5F05">
      <w:pPr>
        <w:rPr>
          <w:lang w:val="fr-FR"/>
        </w:rPr>
      </w:pPr>
    </w:p>
    <w:p w:rsidR="002045AD" w:rsidRPr="006F3565" w:rsidRDefault="00245109" w:rsidP="00C50B06">
      <w:pPr>
        <w:rPr>
          <w:bCs/>
          <w:lang w:val="fr-FR"/>
        </w:rPr>
      </w:pPr>
      <w:r w:rsidRPr="006F3565">
        <w:rPr>
          <w:bCs/>
          <w:lang w:val="fr-FR"/>
        </w:rPr>
        <w:fldChar w:fldCharType="begin"/>
      </w:r>
      <w:r w:rsidRPr="006F3565">
        <w:rPr>
          <w:bCs/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bCs/>
          <w:lang w:val="fr-FR"/>
        </w:rPr>
        <w:tab/>
      </w:r>
      <w:r w:rsidR="00C50B06" w:rsidRPr="006F3565">
        <w:rPr>
          <w:bCs/>
          <w:lang w:val="fr-FR"/>
        </w:rPr>
        <w:t>À sa réunion tenue à Genève les 26 et 2</w:t>
      </w:r>
      <w:r w:rsidR="002045AD" w:rsidRPr="006F3565">
        <w:rPr>
          <w:bCs/>
          <w:lang w:val="fr-FR"/>
        </w:rPr>
        <w:t>7 mars 20</w:t>
      </w:r>
      <w:r w:rsidR="00C50B06" w:rsidRPr="006F3565">
        <w:rPr>
          <w:bCs/>
          <w:lang w:val="fr-FR"/>
        </w:rPr>
        <w:t>18, le</w:t>
      </w:r>
      <w:r w:rsidR="002045AD" w:rsidRPr="006F3565">
        <w:rPr>
          <w:bCs/>
          <w:lang w:val="fr-FR"/>
        </w:rPr>
        <w:t> TC</w:t>
      </w:r>
      <w:r w:rsidR="00804488">
        <w:rPr>
          <w:bCs/>
          <w:lang w:val="fr-FR"/>
        </w:rPr>
        <w:noBreakHyphen/>
      </w:r>
      <w:r w:rsidR="002045AD" w:rsidRPr="006F3565">
        <w:rPr>
          <w:bCs/>
          <w:lang w:val="fr-FR"/>
        </w:rPr>
        <w:t>EDC</w:t>
      </w:r>
      <w:r w:rsidR="00C50B06" w:rsidRPr="006F3565">
        <w:rPr>
          <w:bCs/>
          <w:lang w:val="fr-FR"/>
        </w:rPr>
        <w:t xml:space="preserve"> a examiné le </w:t>
      </w:r>
      <w:r w:rsidR="002045AD" w:rsidRPr="006F3565">
        <w:rPr>
          <w:bCs/>
          <w:lang w:val="fr-FR"/>
        </w:rPr>
        <w:t>document</w:t>
      </w:r>
      <w:r w:rsidR="006F3565" w:rsidRPr="006F3565">
        <w:rPr>
          <w:bCs/>
          <w:lang w:val="fr-FR"/>
        </w:rPr>
        <w:t> </w:t>
      </w:r>
      <w:r w:rsidR="002045AD" w:rsidRPr="006F3565">
        <w:rPr>
          <w:bCs/>
          <w:lang w:val="fr-FR"/>
        </w:rPr>
        <w:t>TC</w:t>
      </w:r>
      <w:r w:rsidR="00804488">
        <w:rPr>
          <w:bCs/>
          <w:lang w:val="fr-FR"/>
        </w:rPr>
        <w:noBreakHyphen/>
      </w:r>
      <w:r w:rsidR="002045AD" w:rsidRPr="006F3565">
        <w:rPr>
          <w:bCs/>
          <w:lang w:val="fr-FR"/>
        </w:rPr>
        <w:t>EDC</w:t>
      </w:r>
      <w:r w:rsidR="00C50B06" w:rsidRPr="006F3565">
        <w:rPr>
          <w:bCs/>
          <w:lang w:val="fr-FR"/>
        </w:rPr>
        <w:t>/Mar18/16 “</w:t>
      </w:r>
      <w:proofErr w:type="spellStart"/>
      <w:r w:rsidR="00FF2263" w:rsidRPr="004963A7">
        <w:rPr>
          <w:bCs/>
          <w:lang w:val="fr-FR"/>
        </w:rPr>
        <w:t>Uniformity</w:t>
      </w:r>
      <w:proofErr w:type="spellEnd"/>
      <w:r w:rsidR="00FF2263" w:rsidRPr="004963A7">
        <w:rPr>
          <w:bCs/>
          <w:lang w:val="fr-FR"/>
        </w:rPr>
        <w:t xml:space="preserve"> </w:t>
      </w:r>
      <w:proofErr w:type="spellStart"/>
      <w:r w:rsidR="00FF2263" w:rsidRPr="004963A7">
        <w:rPr>
          <w:bCs/>
          <w:lang w:val="fr-FR"/>
        </w:rPr>
        <w:t>assessment</w:t>
      </w:r>
      <w:proofErr w:type="spellEnd"/>
      <w:r w:rsidR="00FF2263" w:rsidRPr="004963A7">
        <w:rPr>
          <w:bCs/>
          <w:lang w:val="fr-FR"/>
        </w:rPr>
        <w:t xml:space="preserve"> on the basis of off types</w:t>
      </w:r>
      <w:r w:rsidR="00A315AA" w:rsidRPr="004963A7">
        <w:rPr>
          <w:bCs/>
          <w:lang w:val="fr-FR"/>
        </w:rPr>
        <w:t> </w:t>
      </w:r>
      <w:r w:rsidR="00FF2263" w:rsidRPr="004963A7">
        <w:rPr>
          <w:bCs/>
          <w:lang w:val="fr-FR"/>
        </w:rPr>
        <w:t xml:space="preserve">: </w:t>
      </w:r>
      <w:proofErr w:type="spellStart"/>
      <w:r w:rsidR="00FF2263" w:rsidRPr="004963A7">
        <w:rPr>
          <w:bCs/>
          <w:lang w:val="fr-FR"/>
        </w:rPr>
        <w:t>methods</w:t>
      </w:r>
      <w:proofErr w:type="spellEnd"/>
      <w:r w:rsidR="00FF2263" w:rsidRPr="004963A7">
        <w:rPr>
          <w:bCs/>
          <w:lang w:val="fr-FR"/>
        </w:rPr>
        <w:t xml:space="preserve"> for more </w:t>
      </w:r>
      <w:proofErr w:type="spellStart"/>
      <w:r w:rsidR="00FF2263" w:rsidRPr="004963A7">
        <w:rPr>
          <w:bCs/>
          <w:lang w:val="fr-FR"/>
        </w:rPr>
        <w:t>than</w:t>
      </w:r>
      <w:proofErr w:type="spellEnd"/>
      <w:r w:rsidR="00FF2263" w:rsidRPr="004963A7">
        <w:rPr>
          <w:bCs/>
          <w:lang w:val="fr-FR"/>
        </w:rPr>
        <w:t xml:space="preserve"> one single test (</w:t>
      </w:r>
      <w:proofErr w:type="spellStart"/>
      <w:r w:rsidR="00FF2263" w:rsidRPr="004963A7">
        <w:rPr>
          <w:bCs/>
          <w:lang w:val="fr-FR"/>
        </w:rPr>
        <w:t>year</w:t>
      </w:r>
      <w:proofErr w:type="spellEnd"/>
      <w:r w:rsidR="00FF2263" w:rsidRPr="004963A7">
        <w:rPr>
          <w:bCs/>
          <w:lang w:val="fr-FR"/>
        </w:rPr>
        <w:t>)</w:t>
      </w:r>
      <w:r w:rsidR="00C50B06" w:rsidRPr="006F3565">
        <w:rPr>
          <w:bCs/>
          <w:lang w:val="fr-FR"/>
        </w:rPr>
        <w:t>”.</w:t>
      </w:r>
    </w:p>
    <w:p w:rsidR="00826A96" w:rsidRPr="006F3565" w:rsidRDefault="00826A96" w:rsidP="00245109">
      <w:pPr>
        <w:rPr>
          <w:bCs/>
          <w:lang w:val="fr-FR"/>
        </w:rPr>
      </w:pPr>
    </w:p>
    <w:p w:rsidR="00826A96" w:rsidRPr="006F3565" w:rsidRDefault="00245109" w:rsidP="003A7724">
      <w:pPr>
        <w:rPr>
          <w:bCs/>
          <w:lang w:val="fr-FR"/>
        </w:rPr>
      </w:pPr>
      <w:r w:rsidRPr="006F3565">
        <w:rPr>
          <w:bCs/>
          <w:lang w:val="fr-FR"/>
        </w:rPr>
        <w:fldChar w:fldCharType="begin"/>
      </w:r>
      <w:r w:rsidRPr="006F3565">
        <w:rPr>
          <w:bCs/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bCs/>
          <w:lang w:val="fr-FR"/>
        </w:rPr>
        <w:tab/>
      </w:r>
      <w:r w:rsidR="003A7724" w:rsidRPr="006F3565">
        <w:rPr>
          <w:bCs/>
          <w:lang w:val="fr-FR"/>
        </w:rPr>
        <w:t>Le</w:t>
      </w:r>
      <w:r w:rsidR="002045AD" w:rsidRPr="006F3565">
        <w:rPr>
          <w:bCs/>
          <w:lang w:val="fr-FR"/>
        </w:rPr>
        <w:t> TC</w:t>
      </w:r>
      <w:r w:rsidR="00804488">
        <w:rPr>
          <w:bCs/>
          <w:lang w:val="fr-FR"/>
        </w:rPr>
        <w:noBreakHyphen/>
      </w:r>
      <w:r w:rsidR="002045AD" w:rsidRPr="006F3565">
        <w:rPr>
          <w:bCs/>
          <w:lang w:val="fr-FR"/>
        </w:rPr>
        <w:t>EDC</w:t>
      </w:r>
      <w:r w:rsidR="003A7724" w:rsidRPr="006F3565">
        <w:rPr>
          <w:bCs/>
          <w:lang w:val="fr-FR"/>
        </w:rPr>
        <w:t xml:space="preserve"> est convenu d</w:t>
      </w:r>
      <w:r w:rsidR="002045AD" w:rsidRPr="006F3565">
        <w:rPr>
          <w:bCs/>
          <w:lang w:val="fr-FR"/>
        </w:rPr>
        <w:t>’</w:t>
      </w:r>
      <w:r w:rsidR="003A7724" w:rsidRPr="006F3565">
        <w:rPr>
          <w:bCs/>
          <w:lang w:val="fr-FR"/>
        </w:rPr>
        <w:t>inviter l</w:t>
      </w:r>
      <w:r w:rsidR="002045AD" w:rsidRPr="006F3565">
        <w:rPr>
          <w:bCs/>
          <w:lang w:val="fr-FR"/>
        </w:rPr>
        <w:t>’</w:t>
      </w:r>
      <w:r w:rsidR="003A7724" w:rsidRPr="006F3565">
        <w:rPr>
          <w:bCs/>
          <w:lang w:val="fr-FR"/>
        </w:rPr>
        <w:t>expert du Royaume</w:t>
      </w:r>
      <w:r w:rsidR="00804488">
        <w:rPr>
          <w:bCs/>
          <w:lang w:val="fr-FR"/>
        </w:rPr>
        <w:noBreakHyphen/>
      </w:r>
      <w:r w:rsidR="003A7724" w:rsidRPr="006F3565">
        <w:rPr>
          <w:bCs/>
          <w:lang w:val="fr-FR"/>
        </w:rPr>
        <w:t>Uni à élaborer une proposition de révision des orientations figurant dans le document</w:t>
      </w:r>
      <w:r w:rsidR="006F3565" w:rsidRPr="006F3565">
        <w:rPr>
          <w:bCs/>
          <w:lang w:val="fr-FR"/>
        </w:rPr>
        <w:t> </w:t>
      </w:r>
      <w:r w:rsidR="003A7724" w:rsidRPr="006F3565">
        <w:rPr>
          <w:bCs/>
          <w:lang w:val="fr-FR"/>
        </w:rPr>
        <w:t xml:space="preserve">TGP/8/2, deuxième partie, </w:t>
      </w:r>
      <w:r w:rsidR="002045AD" w:rsidRPr="006F3565">
        <w:rPr>
          <w:bCs/>
          <w:lang w:val="fr-FR"/>
        </w:rPr>
        <w:t>section 8</w:t>
      </w:r>
      <w:r w:rsidR="00B14338" w:rsidRPr="006F3565">
        <w:rPr>
          <w:bCs/>
          <w:lang w:val="fr-FR"/>
        </w:rPr>
        <w:t>, sous</w:t>
      </w:r>
      <w:r w:rsidR="00804488">
        <w:rPr>
          <w:bCs/>
          <w:lang w:val="fr-FR"/>
        </w:rPr>
        <w:noBreakHyphen/>
      </w:r>
      <w:r w:rsidR="002045AD" w:rsidRPr="006F3565">
        <w:rPr>
          <w:bCs/>
          <w:lang w:val="fr-FR"/>
        </w:rPr>
        <w:t>section 8</w:t>
      </w:r>
      <w:r w:rsidR="00B14338" w:rsidRPr="006F3565">
        <w:rPr>
          <w:bCs/>
          <w:lang w:val="fr-FR"/>
        </w:rPr>
        <w:t xml:space="preserve">.1.7 </w:t>
      </w:r>
      <w:r w:rsidR="003A7724" w:rsidRPr="006F3565">
        <w:rPr>
          <w:bCs/>
          <w:lang w:val="fr-FR"/>
        </w:rPr>
        <w:t>“Méthode au</w:t>
      </w:r>
      <w:r w:rsidR="00804488">
        <w:rPr>
          <w:bCs/>
          <w:lang w:val="fr-FR"/>
        </w:rPr>
        <w:noBreakHyphen/>
      </w:r>
      <w:r w:rsidR="003A7724" w:rsidRPr="006F3565">
        <w:rPr>
          <w:bCs/>
          <w:lang w:val="fr-FR"/>
        </w:rPr>
        <w:t>delà d</w:t>
      </w:r>
      <w:r w:rsidR="002045AD" w:rsidRPr="006F3565">
        <w:rPr>
          <w:bCs/>
          <w:lang w:val="fr-FR"/>
        </w:rPr>
        <w:t>’</w:t>
      </w:r>
      <w:r w:rsidR="003A7724" w:rsidRPr="006F3565">
        <w:rPr>
          <w:bCs/>
          <w:lang w:val="fr-FR"/>
        </w:rPr>
        <w:t>un essai unique (année)”</w:t>
      </w:r>
      <w:r w:rsidR="00B14338" w:rsidRPr="006F3565">
        <w:rPr>
          <w:bCs/>
          <w:lang w:val="fr-FR"/>
        </w:rPr>
        <w:t>,</w:t>
      </w:r>
      <w:r w:rsidR="003A7724" w:rsidRPr="006F3565">
        <w:rPr>
          <w:bCs/>
          <w:lang w:val="fr-FR"/>
        </w:rPr>
        <w:t xml:space="preserve"> pour examen p</w:t>
      </w:r>
      <w:r w:rsidR="00B14338" w:rsidRPr="006F3565">
        <w:rPr>
          <w:bCs/>
          <w:lang w:val="fr-FR"/>
        </w:rPr>
        <w:t>a</w:t>
      </w:r>
      <w:r w:rsidR="003A7724" w:rsidRPr="006F3565">
        <w:rPr>
          <w:bCs/>
          <w:lang w:val="fr-FR"/>
        </w:rPr>
        <w:t>r</w:t>
      </w:r>
      <w:r w:rsidR="002045AD" w:rsidRPr="006F3565">
        <w:rPr>
          <w:bCs/>
          <w:lang w:val="fr-FR"/>
        </w:rPr>
        <w:t xml:space="preserve"> les TWP</w:t>
      </w:r>
      <w:r w:rsidR="003A7724" w:rsidRPr="006F3565">
        <w:rPr>
          <w:bCs/>
          <w:lang w:val="fr-FR"/>
        </w:rPr>
        <w:t xml:space="preserve"> à leurs sessions </w:t>
      </w:r>
      <w:r w:rsidR="002045AD" w:rsidRPr="006F3565">
        <w:rPr>
          <w:bCs/>
          <w:lang w:val="fr-FR"/>
        </w:rPr>
        <w:t>de 2018</w:t>
      </w:r>
      <w:r w:rsidR="003A7724" w:rsidRPr="006F3565">
        <w:rPr>
          <w:bCs/>
          <w:lang w:val="fr-FR"/>
        </w:rPr>
        <w:t>.</w:t>
      </w:r>
    </w:p>
    <w:p w:rsidR="00826A96" w:rsidRPr="006F3565" w:rsidRDefault="00826A96" w:rsidP="00BD2981">
      <w:pPr>
        <w:rPr>
          <w:lang w:val="fr-FR"/>
        </w:rPr>
      </w:pPr>
    </w:p>
    <w:p w:rsidR="00826A96" w:rsidRPr="006F3565" w:rsidRDefault="00826A96" w:rsidP="00BD2981">
      <w:pPr>
        <w:rPr>
          <w:lang w:val="fr-FR"/>
        </w:rPr>
      </w:pPr>
    </w:p>
    <w:p w:rsidR="00826A96" w:rsidRPr="004963A7" w:rsidRDefault="003A7724" w:rsidP="004A5557">
      <w:pPr>
        <w:pStyle w:val="Heading1"/>
        <w:rPr>
          <w:lang w:val="fr-CH"/>
        </w:rPr>
      </w:pPr>
      <w:bookmarkStart w:id="12" w:name="_Toc526495427"/>
      <w:r w:rsidRPr="004963A7">
        <w:rPr>
          <w:lang w:val="fr-CH"/>
        </w:rPr>
        <w:t>Examen par les groupes de travail techniques</w:t>
      </w:r>
      <w:bookmarkEnd w:id="12"/>
    </w:p>
    <w:p w:rsidR="00826A96" w:rsidRPr="006F3565" w:rsidRDefault="00826A96" w:rsidP="003A1915">
      <w:pPr>
        <w:rPr>
          <w:lang w:val="fr-FR"/>
        </w:rPr>
      </w:pPr>
    </w:p>
    <w:p w:rsidR="002045AD" w:rsidRPr="006F3565" w:rsidRDefault="003A1915" w:rsidP="000E5B14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0E5B14" w:rsidRPr="006F3565">
        <w:rPr>
          <w:lang w:val="fr-FR"/>
        </w:rPr>
        <w:t>Le TWA,</w:t>
      </w:r>
      <w:r w:rsidR="002045AD" w:rsidRPr="006F3565">
        <w:rPr>
          <w:lang w:val="fr-FR"/>
        </w:rPr>
        <w:t xml:space="preserve"> le TWC</w:t>
      </w:r>
      <w:r w:rsidR="000E5B14" w:rsidRPr="006F3565">
        <w:rPr>
          <w:lang w:val="fr-FR"/>
        </w:rPr>
        <w:t xml:space="preserve"> et</w:t>
      </w:r>
      <w:r w:rsidR="002045AD" w:rsidRPr="006F3565">
        <w:rPr>
          <w:lang w:val="fr-FR"/>
        </w:rPr>
        <w:t xml:space="preserve"> le TWV</w:t>
      </w:r>
      <w:r w:rsidR="000E5B14" w:rsidRPr="006F3565">
        <w:rPr>
          <w:lang w:val="fr-FR"/>
        </w:rPr>
        <w:t xml:space="preserve"> ont examiné le document</w:t>
      </w:r>
      <w:r w:rsidR="006F3565" w:rsidRPr="006F3565">
        <w:rPr>
          <w:lang w:val="fr-FR"/>
        </w:rPr>
        <w:t> </w:t>
      </w:r>
      <w:hyperlink r:id="rId9" w:history="1">
        <w:r w:rsidR="000E5B14" w:rsidRPr="00804488">
          <w:rPr>
            <w:rStyle w:val="Hyperlink"/>
            <w:rFonts w:cs="Arial"/>
            <w:lang w:val="fr-FR"/>
          </w:rPr>
          <w:t>TWP/2/10</w:t>
        </w:r>
      </w:hyperlink>
      <w:r w:rsidR="000E5B14" w:rsidRPr="006F3565">
        <w:rPr>
          <w:lang w:val="fr-FR"/>
        </w:rPr>
        <w:t xml:space="preserve"> et le projet de proposition pour la révision des orientations figurant dans le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 xml:space="preserve">TGP/8/2, deuxième partie, </w:t>
      </w:r>
      <w:r w:rsidR="002045AD" w:rsidRPr="006F3565">
        <w:rPr>
          <w:lang w:val="fr-FR"/>
        </w:rPr>
        <w:t>section 8</w:t>
      </w:r>
      <w:r w:rsidR="00B14338" w:rsidRPr="006F3565">
        <w:rPr>
          <w:lang w:val="fr-FR"/>
        </w:rPr>
        <w:t>, sous</w:t>
      </w:r>
      <w:r w:rsidR="00804488">
        <w:rPr>
          <w:lang w:val="fr-FR"/>
        </w:rPr>
        <w:noBreakHyphen/>
      </w:r>
      <w:r w:rsidR="002045AD" w:rsidRPr="006F3565">
        <w:rPr>
          <w:lang w:val="fr-FR"/>
        </w:rPr>
        <w:t>section 8</w:t>
      </w:r>
      <w:r w:rsidR="00B14338" w:rsidRPr="006F3565">
        <w:rPr>
          <w:lang w:val="fr-FR"/>
        </w:rPr>
        <w:t xml:space="preserve">.1.7 </w:t>
      </w:r>
      <w:r w:rsidR="000E5B14" w:rsidRPr="006F3565">
        <w:rPr>
          <w:lang w:val="fr-FR"/>
        </w:rPr>
        <w:t>“Méthode au</w:t>
      </w:r>
      <w:r w:rsidR="00804488">
        <w:rPr>
          <w:lang w:val="fr-FR"/>
        </w:rPr>
        <w:noBreakHyphen/>
      </w:r>
      <w:r w:rsidR="000E5B14" w:rsidRPr="006F3565">
        <w:rPr>
          <w:lang w:val="fr-FR"/>
        </w:rPr>
        <w:t>delà d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>un essai unique (année)”, établi par l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 xml:space="preserve">expert du </w:t>
      </w:r>
      <w:r w:rsidR="00D4077E" w:rsidRPr="006F3565">
        <w:rPr>
          <w:lang w:val="fr-FR"/>
        </w:rPr>
        <w:t>Royaume</w:t>
      </w:r>
      <w:r w:rsidR="00804488">
        <w:rPr>
          <w:lang w:val="fr-FR"/>
        </w:rPr>
        <w:noBreakHyphen/>
      </w:r>
      <w:r w:rsidR="00D4077E" w:rsidRPr="006F3565">
        <w:rPr>
          <w:lang w:val="fr-FR"/>
        </w:rPr>
        <w:t>Uni,</w:t>
      </w:r>
      <w:r w:rsidR="000E5B14" w:rsidRPr="006F3565">
        <w:rPr>
          <w:lang w:val="fr-FR"/>
        </w:rPr>
        <w:t xml:space="preserve"> qui figure dans l</w:t>
      </w:r>
      <w:r w:rsidR="002045AD" w:rsidRPr="006F3565">
        <w:rPr>
          <w:lang w:val="fr-FR"/>
        </w:rPr>
        <w:t>’annexe I</w:t>
      </w:r>
      <w:r w:rsidR="000E5B14" w:rsidRPr="006F3565">
        <w:rPr>
          <w:lang w:val="fr-FR"/>
        </w:rPr>
        <w:t>I du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 xml:space="preserve">TWP/2/10 (voir les </w:t>
      </w:r>
      <w:r w:rsidR="002045AD" w:rsidRPr="006F3565">
        <w:rPr>
          <w:lang w:val="fr-FR"/>
        </w:rPr>
        <w:t>paragraphes 3</w:t>
      </w:r>
      <w:r w:rsidR="000E5B14" w:rsidRPr="006F3565">
        <w:rPr>
          <w:lang w:val="fr-FR"/>
        </w:rPr>
        <w:t>0 à 32 du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 xml:space="preserve">TWA/47/7 “Report”;  les </w:t>
      </w:r>
      <w:r w:rsidR="002045AD" w:rsidRPr="006F3565">
        <w:rPr>
          <w:lang w:val="fr-FR"/>
        </w:rPr>
        <w:t>paragraphes 5</w:t>
      </w:r>
      <w:r w:rsidR="000E5B14" w:rsidRPr="006F3565">
        <w:rPr>
          <w:lang w:val="fr-FR"/>
        </w:rPr>
        <w:t>0 à 56 du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 xml:space="preserve">TWC/36/15 “Report”;  et les </w:t>
      </w:r>
      <w:r w:rsidR="002045AD" w:rsidRPr="006F3565">
        <w:rPr>
          <w:lang w:val="fr-FR"/>
        </w:rPr>
        <w:t>paragraphes 3</w:t>
      </w:r>
      <w:r w:rsidR="000E5B14" w:rsidRPr="006F3565">
        <w:rPr>
          <w:lang w:val="fr-FR"/>
        </w:rPr>
        <w:t>1 à 34 du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>TWV/52/20 “Report”).</w:t>
      </w:r>
    </w:p>
    <w:p w:rsidR="00826A96" w:rsidRPr="006F3565" w:rsidRDefault="00826A96" w:rsidP="00BE66C5">
      <w:pPr>
        <w:rPr>
          <w:lang w:val="fr-FR"/>
        </w:rPr>
      </w:pPr>
    </w:p>
    <w:p w:rsidR="002045AD" w:rsidRPr="006F3565" w:rsidRDefault="00BE66C5" w:rsidP="000E5B14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0E5B14" w:rsidRPr="006F3565">
        <w:rPr>
          <w:lang w:val="fr-FR"/>
        </w:rPr>
        <w:t>Le TWC a approuvé le projet de proposition pour la révision des orientations figurant dans le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>TGP/8/2, deuxième partie,</w:t>
      </w:r>
      <w:r w:rsidR="00B14338" w:rsidRPr="006F3565">
        <w:rPr>
          <w:lang w:val="fr-FR"/>
        </w:rPr>
        <w:t xml:space="preserve"> </w:t>
      </w:r>
      <w:r w:rsidR="002045AD" w:rsidRPr="006F3565">
        <w:rPr>
          <w:lang w:val="fr-FR"/>
        </w:rPr>
        <w:t>section 8</w:t>
      </w:r>
      <w:r w:rsidR="00B14338" w:rsidRPr="006F3565">
        <w:rPr>
          <w:lang w:val="fr-FR"/>
        </w:rPr>
        <w:t>, sous</w:t>
      </w:r>
      <w:r w:rsidR="00804488">
        <w:rPr>
          <w:lang w:val="fr-FR"/>
        </w:rPr>
        <w:noBreakHyphen/>
      </w:r>
      <w:r w:rsidR="002045AD" w:rsidRPr="006F3565">
        <w:rPr>
          <w:lang w:val="fr-FR"/>
        </w:rPr>
        <w:t>section 8</w:t>
      </w:r>
      <w:r w:rsidR="00B14338" w:rsidRPr="006F3565">
        <w:rPr>
          <w:lang w:val="fr-FR"/>
        </w:rPr>
        <w:t>.1.7</w:t>
      </w:r>
      <w:r w:rsidR="000E5B14" w:rsidRPr="006F3565">
        <w:rPr>
          <w:lang w:val="fr-FR"/>
        </w:rPr>
        <w:t xml:space="preserve"> “Méthode au</w:t>
      </w:r>
      <w:r w:rsidR="00804488">
        <w:rPr>
          <w:lang w:val="fr-FR"/>
        </w:rPr>
        <w:noBreakHyphen/>
      </w:r>
      <w:r w:rsidR="000E5B14" w:rsidRPr="006F3565">
        <w:rPr>
          <w:lang w:val="fr-FR"/>
        </w:rPr>
        <w:t>delà d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>un essai unique (année)”</w:t>
      </w:r>
      <w:r w:rsidR="00B14338" w:rsidRPr="006F3565">
        <w:rPr>
          <w:lang w:val="fr-FR"/>
        </w:rPr>
        <w:t>,</w:t>
      </w:r>
      <w:r w:rsidR="000E5B14" w:rsidRPr="006F3565">
        <w:rPr>
          <w:lang w:val="fr-FR"/>
        </w:rPr>
        <w:t xml:space="preserve"> établi par l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>expert du Royaume</w:t>
      </w:r>
      <w:r w:rsidR="00804488">
        <w:rPr>
          <w:lang w:val="fr-FR"/>
        </w:rPr>
        <w:noBreakHyphen/>
      </w:r>
      <w:r w:rsidR="000E5B14" w:rsidRPr="006F3565">
        <w:rPr>
          <w:lang w:val="fr-FR"/>
        </w:rPr>
        <w:t>Uni.</w:t>
      </w:r>
    </w:p>
    <w:p w:rsidR="00826A96" w:rsidRPr="006F3565" w:rsidRDefault="00826A96" w:rsidP="003A1915">
      <w:pPr>
        <w:rPr>
          <w:lang w:val="fr-FR"/>
        </w:rPr>
      </w:pPr>
    </w:p>
    <w:p w:rsidR="00826A96" w:rsidRPr="006F3565" w:rsidRDefault="003A1915" w:rsidP="000E5B14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0E5B14" w:rsidRPr="006F3565">
        <w:rPr>
          <w:lang w:val="fr-FR"/>
        </w:rPr>
        <w:t>Le TWA est convenu qu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 xml:space="preserve">une précision devait être ajoutée au </w:t>
      </w:r>
      <w:r w:rsidR="002045AD" w:rsidRPr="006F3565">
        <w:rPr>
          <w:lang w:val="fr-FR"/>
        </w:rPr>
        <w:t>paragraphe 8</w:t>
      </w:r>
      <w:r w:rsidR="000E5B14" w:rsidRPr="006F3565">
        <w:rPr>
          <w:lang w:val="fr-FR"/>
        </w:rPr>
        <w:t>.1.7.1 co</w:t>
      </w:r>
      <w:r w:rsidR="00B14338" w:rsidRPr="006F3565">
        <w:rPr>
          <w:lang w:val="fr-FR"/>
        </w:rPr>
        <w:t>ncernant les solutions b) et c)</w:t>
      </w:r>
      <w:r w:rsidR="00A315AA" w:rsidRPr="006F3565">
        <w:rPr>
          <w:lang w:val="fr-FR"/>
        </w:rPr>
        <w:t> </w:t>
      </w:r>
      <w:r w:rsidR="00B14338" w:rsidRPr="006F3565">
        <w:rPr>
          <w:lang w:val="fr-FR"/>
        </w:rPr>
        <w:t xml:space="preserve">pour indiquer que </w:t>
      </w:r>
      <w:r w:rsidR="000E5B14" w:rsidRPr="006F3565">
        <w:rPr>
          <w:lang w:val="fr-FR"/>
        </w:rPr>
        <w:t>les résultats issus de cycles de végétation fondés sur des échantillons différents de matériel végétal ne devraient pas être combinés, comm</w:t>
      </w:r>
      <w:r w:rsidR="00BB44D6" w:rsidRPr="006F3565">
        <w:rPr>
          <w:lang w:val="fr-FR"/>
        </w:rPr>
        <w:t>e</w:t>
      </w:r>
      <w:r w:rsidR="000E5B14" w:rsidRPr="006F3565">
        <w:rPr>
          <w:lang w:val="fr-FR"/>
        </w:rPr>
        <w:t xml:space="preserve"> indiqué</w:t>
      </w:r>
      <w:r w:rsidR="00BB44D6" w:rsidRPr="006F3565">
        <w:rPr>
          <w:lang w:val="fr-FR"/>
        </w:rPr>
        <w:t xml:space="preserve"> </w:t>
      </w:r>
      <w:r w:rsidR="000E5B14" w:rsidRPr="006F3565">
        <w:rPr>
          <w:lang w:val="fr-FR"/>
        </w:rPr>
        <w:t>dans les orientations proposées pour le document</w:t>
      </w:r>
      <w:r w:rsidR="006F3565" w:rsidRPr="006F3565">
        <w:rPr>
          <w:lang w:val="fr-FR"/>
        </w:rPr>
        <w:t> </w:t>
      </w:r>
      <w:r w:rsidR="000E5B14" w:rsidRPr="006F3565">
        <w:rPr>
          <w:lang w:val="fr-FR"/>
        </w:rPr>
        <w:t>TGP/10 sur l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>évaluation de l</w:t>
      </w:r>
      <w:r w:rsidR="002045AD" w:rsidRPr="006F3565">
        <w:rPr>
          <w:lang w:val="fr-FR"/>
        </w:rPr>
        <w:t>’</w:t>
      </w:r>
      <w:r w:rsidR="000E5B14" w:rsidRPr="006F3565">
        <w:rPr>
          <w:lang w:val="fr-FR"/>
        </w:rPr>
        <w:t xml:space="preserve">homogénéité </w:t>
      </w:r>
      <w:r w:rsidR="00B14338" w:rsidRPr="006F3565">
        <w:rPr>
          <w:lang w:val="fr-FR"/>
        </w:rPr>
        <w:t>d</w:t>
      </w:r>
      <w:r w:rsidR="002045AD" w:rsidRPr="006F3565">
        <w:rPr>
          <w:lang w:val="fr-FR"/>
        </w:rPr>
        <w:t>’</w:t>
      </w:r>
      <w:r w:rsidR="00B14338" w:rsidRPr="006F3565">
        <w:rPr>
          <w:lang w:val="fr-FR"/>
        </w:rPr>
        <w:t>après les</w:t>
      </w:r>
      <w:r w:rsidR="000E5B14" w:rsidRPr="006F3565">
        <w:rPr>
          <w:lang w:val="fr-FR"/>
        </w:rPr>
        <w:t xml:space="preserve"> plantes hors</w:t>
      </w:r>
      <w:r w:rsidR="00804488">
        <w:rPr>
          <w:lang w:val="fr-FR"/>
        </w:rPr>
        <w:noBreakHyphen/>
      </w:r>
      <w:r w:rsidR="000E5B14" w:rsidRPr="006F3565">
        <w:rPr>
          <w:lang w:val="fr-FR"/>
        </w:rPr>
        <w:t xml:space="preserve">type sur la base de plusieurs cycles de végétation ou </w:t>
      </w:r>
      <w:r w:rsidR="00B14338" w:rsidRPr="006F3565">
        <w:rPr>
          <w:lang w:val="fr-FR"/>
        </w:rPr>
        <w:t xml:space="preserve">sur la base de </w:t>
      </w:r>
      <w:r w:rsidR="000E5B14" w:rsidRPr="006F3565">
        <w:rPr>
          <w:lang w:val="fr-FR"/>
        </w:rPr>
        <w:t>sous</w:t>
      </w:r>
      <w:r w:rsidR="00804488">
        <w:rPr>
          <w:lang w:val="fr-FR"/>
        </w:rPr>
        <w:noBreakHyphen/>
      </w:r>
      <w:r w:rsidR="000E5B14" w:rsidRPr="006F3565">
        <w:rPr>
          <w:lang w:val="fr-FR"/>
        </w:rPr>
        <w:t>échantillons.</w:t>
      </w:r>
    </w:p>
    <w:p w:rsidR="00826A96" w:rsidRPr="006F3565" w:rsidRDefault="00826A96" w:rsidP="008A0841">
      <w:pPr>
        <w:rPr>
          <w:lang w:val="fr-FR"/>
        </w:rPr>
      </w:pPr>
    </w:p>
    <w:p w:rsidR="00826A96" w:rsidRPr="006F3565" w:rsidRDefault="008A0841" w:rsidP="00DC2A98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DC2A98" w:rsidRPr="006F3565">
        <w:rPr>
          <w:lang w:val="fr-FR"/>
        </w:rPr>
        <w:t>Le TWC et</w:t>
      </w:r>
      <w:r w:rsidR="002045AD" w:rsidRPr="006F3565">
        <w:rPr>
          <w:lang w:val="fr-FR"/>
        </w:rPr>
        <w:t xml:space="preserve"> le TWV</w:t>
      </w:r>
      <w:r w:rsidR="00DC2A98" w:rsidRPr="006F3565">
        <w:rPr>
          <w:lang w:val="fr-FR"/>
        </w:rPr>
        <w:t xml:space="preserve"> sont convenus avec</w:t>
      </w:r>
      <w:r w:rsidR="002045AD" w:rsidRPr="006F3565">
        <w:rPr>
          <w:lang w:val="fr-FR"/>
        </w:rPr>
        <w:t xml:space="preserve"> le TWA</w:t>
      </w:r>
      <w:r w:rsidR="00DC2A98" w:rsidRPr="006F3565">
        <w:rPr>
          <w:lang w:val="fr-FR"/>
        </w:rPr>
        <w:t xml:space="preserve"> que les résultats des différents cycles de végétation ne dev</w:t>
      </w:r>
      <w:r w:rsidR="00B14338" w:rsidRPr="006F3565">
        <w:rPr>
          <w:lang w:val="fr-FR"/>
        </w:rPr>
        <w:t>r</w:t>
      </w:r>
      <w:r w:rsidR="00DC2A98" w:rsidRPr="006F3565">
        <w:rPr>
          <w:lang w:val="fr-FR"/>
        </w:rPr>
        <w:t>aient êt</w:t>
      </w:r>
      <w:r w:rsidR="00B14338" w:rsidRPr="006F3565">
        <w:rPr>
          <w:lang w:val="fr-FR"/>
        </w:rPr>
        <w:t>r</w:t>
      </w:r>
      <w:r w:rsidR="00DC2A98" w:rsidRPr="006F3565">
        <w:rPr>
          <w:lang w:val="fr-FR"/>
        </w:rPr>
        <w:t xml:space="preserve">e combinés que si les </w:t>
      </w:r>
      <w:r w:rsidR="00026D58" w:rsidRPr="006F3565">
        <w:rPr>
          <w:lang w:val="fr-FR"/>
        </w:rPr>
        <w:t>essais</w:t>
      </w:r>
      <w:r w:rsidR="00DC2A98" w:rsidRPr="006F3565">
        <w:rPr>
          <w:lang w:val="fr-FR"/>
        </w:rPr>
        <w:t xml:space="preserve"> étaient réalisés avec les mêmes échantillons de matériel végétal.</w:t>
      </w:r>
    </w:p>
    <w:p w:rsidR="00826A96" w:rsidRPr="006F3565" w:rsidRDefault="00826A96" w:rsidP="003A1915">
      <w:pPr>
        <w:rPr>
          <w:lang w:val="fr-FR"/>
        </w:rPr>
      </w:pPr>
    </w:p>
    <w:p w:rsidR="00826A96" w:rsidRPr="006F3565" w:rsidRDefault="003A1915" w:rsidP="00DC2A98">
      <w:pPr>
        <w:rPr>
          <w:rFonts w:eastAsia="Calibri" w:cs="Arial"/>
          <w:lang w:val="fr-FR"/>
        </w:rPr>
      </w:pPr>
      <w:r w:rsidRPr="006F3565">
        <w:rPr>
          <w:lang w:val="fr-FR"/>
        </w:rPr>
        <w:lastRenderedPageBreak/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DC2A98" w:rsidRPr="006F3565">
        <w:rPr>
          <w:lang w:val="fr-FR"/>
        </w:rPr>
        <w:t>Le TWA est convenu que l</w:t>
      </w:r>
      <w:r w:rsidR="002045AD" w:rsidRPr="006F3565">
        <w:rPr>
          <w:lang w:val="fr-FR"/>
        </w:rPr>
        <w:t>’</w:t>
      </w:r>
      <w:r w:rsidR="00026D58" w:rsidRPr="006F3565">
        <w:rPr>
          <w:lang w:val="fr-FR"/>
        </w:rPr>
        <w:t xml:space="preserve">essai </w:t>
      </w:r>
      <w:r w:rsidR="00DC2A98" w:rsidRPr="006F3565">
        <w:rPr>
          <w:lang w:val="fr-FR"/>
        </w:rPr>
        <w:t>en deux</w:t>
      </w:r>
      <w:r w:rsidR="00A315AA" w:rsidRPr="006F3565">
        <w:rPr>
          <w:lang w:val="fr-FR"/>
        </w:rPr>
        <w:t> </w:t>
      </w:r>
      <w:r w:rsidR="00DC2A98" w:rsidRPr="006F3565">
        <w:rPr>
          <w:lang w:val="fr-FR"/>
        </w:rPr>
        <w:t xml:space="preserve">étapes décrit au </w:t>
      </w:r>
      <w:r w:rsidR="002045AD" w:rsidRPr="006F3565">
        <w:rPr>
          <w:lang w:val="fr-FR"/>
        </w:rPr>
        <w:t>paragraphe 8</w:t>
      </w:r>
      <w:r w:rsidR="00DC2A98" w:rsidRPr="006F3565">
        <w:rPr>
          <w:lang w:val="fr-FR"/>
        </w:rPr>
        <w:t>.1.8 ne serait possible que si l</w:t>
      </w:r>
      <w:r w:rsidR="002045AD" w:rsidRPr="006F3565">
        <w:rPr>
          <w:lang w:val="fr-FR"/>
        </w:rPr>
        <w:t>’</w:t>
      </w:r>
      <w:r w:rsidR="00DC2A98" w:rsidRPr="006F3565">
        <w:rPr>
          <w:lang w:val="fr-FR"/>
        </w:rPr>
        <w:t>homogénéité d</w:t>
      </w:r>
      <w:r w:rsidR="002045AD" w:rsidRPr="006F3565">
        <w:rPr>
          <w:lang w:val="fr-FR"/>
        </w:rPr>
        <w:t>’</w:t>
      </w:r>
      <w:r w:rsidR="00DC2A98" w:rsidRPr="006F3565">
        <w:rPr>
          <w:lang w:val="fr-FR"/>
        </w:rPr>
        <w:t xml:space="preserve">une variété </w:t>
      </w:r>
      <w:r w:rsidR="00B14338" w:rsidRPr="006F3565">
        <w:rPr>
          <w:lang w:val="fr-FR"/>
        </w:rPr>
        <w:t>était</w:t>
      </w:r>
      <w:r w:rsidR="00DC2A98" w:rsidRPr="006F3565">
        <w:rPr>
          <w:lang w:val="fr-FR"/>
        </w:rPr>
        <w:t xml:space="preserve"> </w:t>
      </w:r>
      <w:r w:rsidR="00B14338" w:rsidRPr="006F3565">
        <w:rPr>
          <w:lang w:val="fr-FR"/>
        </w:rPr>
        <w:t xml:space="preserve">examinée de manière distincte </w:t>
      </w:r>
      <w:r w:rsidR="00DC2A98" w:rsidRPr="006F3565">
        <w:rPr>
          <w:lang w:val="fr-FR"/>
        </w:rPr>
        <w:t>pour ch</w:t>
      </w:r>
      <w:r w:rsidR="00B14338" w:rsidRPr="006F3565">
        <w:rPr>
          <w:lang w:val="fr-FR"/>
        </w:rPr>
        <w:t>aque cycle et évaluée lors d</w:t>
      </w:r>
      <w:r w:rsidR="002045AD" w:rsidRPr="006F3565">
        <w:rPr>
          <w:lang w:val="fr-FR"/>
        </w:rPr>
        <w:t>’</w:t>
      </w:r>
      <w:r w:rsidR="00B14338" w:rsidRPr="006F3565">
        <w:rPr>
          <w:lang w:val="fr-FR"/>
        </w:rPr>
        <w:t>un</w:t>
      </w:r>
      <w:r w:rsidR="00DC2A98" w:rsidRPr="006F3565">
        <w:rPr>
          <w:lang w:val="fr-FR"/>
        </w:rPr>
        <w:t xml:space="preserve"> troisième cycle de végétation en cas de résultats divergents (solution a) au </w:t>
      </w:r>
      <w:r w:rsidR="002045AD" w:rsidRPr="006F3565">
        <w:rPr>
          <w:lang w:val="fr-FR"/>
        </w:rPr>
        <w:t>paragraphe 8</w:t>
      </w:r>
      <w:r w:rsidR="00DC2A98" w:rsidRPr="006F3565">
        <w:rPr>
          <w:lang w:val="fr-FR"/>
        </w:rPr>
        <w:t>.1.7).</w:t>
      </w:r>
    </w:p>
    <w:p w:rsidR="00826A96" w:rsidRPr="006F3565" w:rsidRDefault="00826A96" w:rsidP="008A0841">
      <w:pPr>
        <w:rPr>
          <w:lang w:val="fr-FR"/>
        </w:rPr>
      </w:pPr>
    </w:p>
    <w:p w:rsidR="00826A96" w:rsidRPr="006F3565" w:rsidRDefault="008A0841" w:rsidP="00DC2A98">
      <w:pPr>
        <w:rPr>
          <w:rFonts w:eastAsia="Calibri" w:cs="Arial"/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DC2A98" w:rsidRPr="006F3565">
        <w:rPr>
          <w:lang w:val="fr-FR"/>
        </w:rPr>
        <w:t>Le TWV est convenu avec</w:t>
      </w:r>
      <w:r w:rsidR="002045AD" w:rsidRPr="006F3565">
        <w:rPr>
          <w:lang w:val="fr-FR"/>
        </w:rPr>
        <w:t xml:space="preserve"> le TWC</w:t>
      </w:r>
      <w:r w:rsidR="00DC2A98" w:rsidRPr="006F3565">
        <w:rPr>
          <w:lang w:val="fr-FR"/>
        </w:rPr>
        <w:t xml:space="preserve"> que </w:t>
      </w:r>
      <w:r w:rsidR="00D4077E" w:rsidRPr="006F3565">
        <w:rPr>
          <w:lang w:val="fr-FR"/>
        </w:rPr>
        <w:t>l</w:t>
      </w:r>
      <w:r w:rsidR="002045AD" w:rsidRPr="006F3565">
        <w:rPr>
          <w:lang w:val="fr-FR"/>
        </w:rPr>
        <w:t>’</w:t>
      </w:r>
      <w:r w:rsidR="00026D58" w:rsidRPr="006F3565">
        <w:rPr>
          <w:lang w:val="fr-FR"/>
        </w:rPr>
        <w:t xml:space="preserve">essai </w:t>
      </w:r>
      <w:r w:rsidR="00DC2A98" w:rsidRPr="006F3565">
        <w:rPr>
          <w:lang w:val="fr-FR"/>
        </w:rPr>
        <w:t>en deux</w:t>
      </w:r>
      <w:r w:rsidR="00A315AA" w:rsidRPr="006F3565">
        <w:rPr>
          <w:lang w:val="fr-FR"/>
        </w:rPr>
        <w:t> </w:t>
      </w:r>
      <w:r w:rsidR="00DC2A98" w:rsidRPr="006F3565">
        <w:rPr>
          <w:lang w:val="fr-FR"/>
        </w:rPr>
        <w:t>étapes</w:t>
      </w:r>
      <w:r w:rsidR="00B14338" w:rsidRPr="006F3565">
        <w:rPr>
          <w:lang w:val="fr-FR"/>
        </w:rPr>
        <w:t xml:space="preserve"> décrit au </w:t>
      </w:r>
      <w:r w:rsidR="002045AD" w:rsidRPr="006F3565">
        <w:rPr>
          <w:lang w:val="fr-FR"/>
        </w:rPr>
        <w:t>paragraphe 8</w:t>
      </w:r>
      <w:r w:rsidR="00B14338" w:rsidRPr="006F3565">
        <w:rPr>
          <w:lang w:val="fr-FR"/>
        </w:rPr>
        <w:t>.1.8 dev</w:t>
      </w:r>
      <w:r w:rsidR="00DC2A98" w:rsidRPr="006F3565">
        <w:rPr>
          <w:lang w:val="fr-FR"/>
        </w:rPr>
        <w:t xml:space="preserve">ait être précisé </w:t>
      </w:r>
      <w:r w:rsidR="00D4077E" w:rsidRPr="006F3565">
        <w:rPr>
          <w:lang w:val="fr-FR"/>
        </w:rPr>
        <w:t>afin d</w:t>
      </w:r>
      <w:r w:rsidR="002045AD" w:rsidRPr="006F3565">
        <w:rPr>
          <w:lang w:val="fr-FR"/>
        </w:rPr>
        <w:t>’</w:t>
      </w:r>
      <w:r w:rsidR="00DC2A98" w:rsidRPr="006F3565">
        <w:rPr>
          <w:lang w:val="fr-FR"/>
        </w:rPr>
        <w:t>indiquer qu</w:t>
      </w:r>
      <w:r w:rsidR="002045AD" w:rsidRPr="006F3565">
        <w:rPr>
          <w:lang w:val="fr-FR"/>
        </w:rPr>
        <w:t>’</w:t>
      </w:r>
      <w:r w:rsidR="00DC2A98" w:rsidRPr="006F3565">
        <w:rPr>
          <w:lang w:val="fr-FR"/>
        </w:rPr>
        <w:t xml:space="preserve">il </w:t>
      </w:r>
      <w:r w:rsidR="00B14338" w:rsidRPr="006F3565">
        <w:rPr>
          <w:lang w:val="fr-FR"/>
        </w:rPr>
        <w:t>était</w:t>
      </w:r>
      <w:r w:rsidR="00DC2A98" w:rsidRPr="006F3565">
        <w:rPr>
          <w:lang w:val="fr-FR"/>
        </w:rPr>
        <w:t xml:space="preserve"> destiné à un </w:t>
      </w:r>
      <w:r w:rsidR="00026D58" w:rsidRPr="006F3565">
        <w:rPr>
          <w:lang w:val="fr-FR"/>
        </w:rPr>
        <w:t>essai</w:t>
      </w:r>
      <w:r w:rsidR="00DC2A98" w:rsidRPr="006F3565">
        <w:rPr>
          <w:lang w:val="fr-FR"/>
        </w:rPr>
        <w:t xml:space="preserve"> sur un seul cycle de végétation.</w:t>
      </w:r>
    </w:p>
    <w:p w:rsidR="00826A96" w:rsidRPr="006F3565" w:rsidRDefault="00826A96" w:rsidP="00F40441">
      <w:pPr>
        <w:rPr>
          <w:lang w:val="fr-FR"/>
        </w:rPr>
      </w:pPr>
    </w:p>
    <w:p w:rsidR="00826A96" w:rsidRPr="006F3565" w:rsidRDefault="00F40441" w:rsidP="00BB1783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BB1783" w:rsidRPr="006F3565">
        <w:rPr>
          <w:lang w:val="fr-FR"/>
        </w:rPr>
        <w:t>Le TWC a examiné le document</w:t>
      </w:r>
      <w:r w:rsidR="006F3565" w:rsidRPr="006F3565">
        <w:rPr>
          <w:lang w:val="fr-FR"/>
        </w:rPr>
        <w:t> </w:t>
      </w:r>
      <w:hyperlink r:id="rId10" w:history="1">
        <w:r w:rsidR="00BB1783" w:rsidRPr="00804488">
          <w:rPr>
            <w:rStyle w:val="Hyperlink"/>
            <w:lang w:val="fr-FR"/>
          </w:rPr>
          <w:t>TWC/36/7</w:t>
        </w:r>
      </w:hyperlink>
      <w:r w:rsidR="00BB1783" w:rsidRPr="006F3565">
        <w:rPr>
          <w:lang w:val="fr-FR"/>
        </w:rPr>
        <w:t xml:space="preserve"> “</w:t>
      </w:r>
      <w:proofErr w:type="spellStart"/>
      <w:r w:rsidR="00BB1783" w:rsidRPr="006F3565">
        <w:rPr>
          <w:lang w:val="fr-FR"/>
        </w:rPr>
        <w:t>Risks</w:t>
      </w:r>
      <w:proofErr w:type="spellEnd"/>
      <w:r w:rsidR="00BB1783" w:rsidRPr="006F3565">
        <w:rPr>
          <w:lang w:val="fr-FR"/>
        </w:rPr>
        <w:t xml:space="preserve"> </w:t>
      </w:r>
      <w:proofErr w:type="spellStart"/>
      <w:r w:rsidR="00BB1783" w:rsidRPr="006F3565">
        <w:rPr>
          <w:lang w:val="fr-FR"/>
        </w:rPr>
        <w:t>associated</w:t>
      </w:r>
      <w:proofErr w:type="spellEnd"/>
      <w:r w:rsidR="00BB1783" w:rsidRPr="006F3565">
        <w:rPr>
          <w:lang w:val="fr-FR"/>
        </w:rPr>
        <w:t xml:space="preserve"> </w:t>
      </w:r>
      <w:proofErr w:type="spellStart"/>
      <w:r w:rsidR="00BB1783" w:rsidRPr="006F3565">
        <w:rPr>
          <w:lang w:val="fr-FR"/>
        </w:rPr>
        <w:t>with</w:t>
      </w:r>
      <w:proofErr w:type="spellEnd"/>
      <w:r w:rsidR="00BB1783" w:rsidRPr="006F3565">
        <w:rPr>
          <w:lang w:val="fr-FR"/>
        </w:rPr>
        <w:t xml:space="preserve"> </w:t>
      </w:r>
      <w:proofErr w:type="spellStart"/>
      <w:r w:rsidR="00BB1783" w:rsidRPr="006F3565">
        <w:rPr>
          <w:lang w:val="fr-FR"/>
        </w:rPr>
        <w:t>assessment</w:t>
      </w:r>
      <w:proofErr w:type="spellEnd"/>
      <w:r w:rsidR="00BB1783" w:rsidRPr="006F3565">
        <w:rPr>
          <w:lang w:val="fr-FR"/>
        </w:rPr>
        <w:t xml:space="preserve"> of </w:t>
      </w:r>
      <w:proofErr w:type="spellStart"/>
      <w:r w:rsidR="00BB1783" w:rsidRPr="006F3565">
        <w:rPr>
          <w:lang w:val="fr-FR"/>
        </w:rPr>
        <w:t>uniformity</w:t>
      </w:r>
      <w:proofErr w:type="spellEnd"/>
      <w:r w:rsidR="00BB1783" w:rsidRPr="006F3565">
        <w:rPr>
          <w:lang w:val="fr-FR"/>
        </w:rPr>
        <w:t xml:space="preserve"> by off</w:t>
      </w:r>
      <w:r w:rsidR="00804488">
        <w:rPr>
          <w:lang w:val="fr-FR"/>
        </w:rPr>
        <w:noBreakHyphen/>
      </w:r>
      <w:r w:rsidR="00BB1783" w:rsidRPr="006F3565">
        <w:rPr>
          <w:lang w:val="fr-FR"/>
        </w:rPr>
        <w:t xml:space="preserve">types on the basis of more </w:t>
      </w:r>
      <w:proofErr w:type="spellStart"/>
      <w:r w:rsidR="00BB1783" w:rsidRPr="006F3565">
        <w:rPr>
          <w:lang w:val="fr-FR"/>
        </w:rPr>
        <w:t>than</w:t>
      </w:r>
      <w:proofErr w:type="spellEnd"/>
      <w:r w:rsidR="00BB1783" w:rsidRPr="006F3565">
        <w:rPr>
          <w:lang w:val="fr-FR"/>
        </w:rPr>
        <w:t xml:space="preserve"> one </w:t>
      </w:r>
      <w:proofErr w:type="spellStart"/>
      <w:r w:rsidR="00BB1783" w:rsidRPr="006F3565">
        <w:rPr>
          <w:lang w:val="fr-FR"/>
        </w:rPr>
        <w:t>growing</w:t>
      </w:r>
      <w:proofErr w:type="spellEnd"/>
      <w:r w:rsidR="00BB1783" w:rsidRPr="006F3565">
        <w:rPr>
          <w:lang w:val="fr-FR"/>
        </w:rPr>
        <w:t xml:space="preserve"> cycle” et a suivi un exposé présenté par des experts de l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Allemagne et du Royaume</w:t>
      </w:r>
      <w:r w:rsidR="00804488">
        <w:rPr>
          <w:lang w:val="fr-FR"/>
        </w:rPr>
        <w:noBreakHyphen/>
      </w:r>
      <w:r w:rsidR="00BB1783" w:rsidRPr="006F3565">
        <w:rPr>
          <w:lang w:val="fr-FR"/>
        </w:rPr>
        <w:t xml:space="preserve">Uni, </w:t>
      </w:r>
      <w:r w:rsidR="00D4077E" w:rsidRPr="006F3565">
        <w:rPr>
          <w:lang w:val="fr-FR"/>
        </w:rPr>
        <w:t xml:space="preserve">qui est </w:t>
      </w:r>
      <w:r w:rsidR="00BB1783" w:rsidRPr="006F3565">
        <w:rPr>
          <w:lang w:val="fr-FR"/>
        </w:rPr>
        <w:t>reproduit dans le document</w:t>
      </w:r>
      <w:r w:rsidR="006F3565" w:rsidRPr="006F3565">
        <w:rPr>
          <w:lang w:val="fr-FR"/>
        </w:rPr>
        <w:t> </w:t>
      </w:r>
      <w:r w:rsidR="00BB1783" w:rsidRPr="006F3565">
        <w:rPr>
          <w:lang w:val="fr-FR"/>
        </w:rPr>
        <w:t>TWC/36/7</w:t>
      </w:r>
      <w:r w:rsidR="00A315AA" w:rsidRPr="006F3565">
        <w:rPr>
          <w:lang w:val="fr-FR"/>
        </w:rPr>
        <w:t> </w:t>
      </w:r>
      <w:proofErr w:type="spellStart"/>
      <w:r w:rsidR="00BB1783" w:rsidRPr="006F3565">
        <w:rPr>
          <w:lang w:val="fr-FR"/>
        </w:rPr>
        <w:t>Add</w:t>
      </w:r>
      <w:proofErr w:type="spellEnd"/>
      <w:r w:rsidR="00BB1783" w:rsidRPr="006F3565">
        <w:rPr>
          <w:lang w:val="fr-FR"/>
        </w:rPr>
        <w:t>.</w:t>
      </w:r>
    </w:p>
    <w:p w:rsidR="00826A96" w:rsidRPr="006F3565" w:rsidRDefault="00826A96" w:rsidP="00F40441">
      <w:pPr>
        <w:rPr>
          <w:lang w:val="fr-FR"/>
        </w:rPr>
      </w:pPr>
    </w:p>
    <w:p w:rsidR="00826A96" w:rsidRPr="006F3565" w:rsidRDefault="00F40441" w:rsidP="00BB1783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BB1783" w:rsidRPr="006F3565">
        <w:rPr>
          <w:lang w:val="fr-FR"/>
        </w:rPr>
        <w:t>Le TWC est convenu d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inviter les experts de l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Allemagne et du Royaume</w:t>
      </w:r>
      <w:r w:rsidR="00804488">
        <w:rPr>
          <w:lang w:val="fr-FR"/>
        </w:rPr>
        <w:noBreakHyphen/>
      </w:r>
      <w:r w:rsidR="00BB1783" w:rsidRPr="006F3565">
        <w:rPr>
          <w:lang w:val="fr-FR"/>
        </w:rPr>
        <w:t xml:space="preserve">Uni à élaborer des exemples présentant les risques et les conséquences pour les décisions </w:t>
      </w:r>
      <w:r w:rsidR="00B14338" w:rsidRPr="006F3565">
        <w:rPr>
          <w:lang w:val="fr-FR"/>
        </w:rPr>
        <w:t>sur</w:t>
      </w:r>
      <w:r w:rsidR="00BB1783" w:rsidRPr="006F3565">
        <w:rPr>
          <w:lang w:val="fr-FR"/>
        </w:rPr>
        <w:t xml:space="preserve"> l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homogénéité</w:t>
      </w:r>
      <w:r w:rsidR="00D4077E" w:rsidRPr="006F3565">
        <w:rPr>
          <w:lang w:val="fr-FR"/>
        </w:rPr>
        <w:t xml:space="preserve"> et</w:t>
      </w:r>
      <w:r w:rsidR="00BB1783" w:rsidRPr="006F3565">
        <w:rPr>
          <w:lang w:val="fr-FR"/>
        </w:rPr>
        <w:t xml:space="preserve"> à </w:t>
      </w:r>
      <w:r w:rsidR="00D4077E" w:rsidRPr="006F3565">
        <w:rPr>
          <w:lang w:val="fr-FR"/>
        </w:rPr>
        <w:t xml:space="preserve">les </w:t>
      </w:r>
      <w:r w:rsidR="00BB1783" w:rsidRPr="006F3565">
        <w:rPr>
          <w:lang w:val="fr-FR"/>
        </w:rPr>
        <w:t>présenter à la prochaine session.</w:t>
      </w:r>
    </w:p>
    <w:p w:rsidR="00826A96" w:rsidRPr="006F3565" w:rsidRDefault="00826A96" w:rsidP="00F40441">
      <w:pPr>
        <w:rPr>
          <w:lang w:val="fr-FR"/>
        </w:rPr>
      </w:pPr>
    </w:p>
    <w:p w:rsidR="00826A96" w:rsidRPr="006F3565" w:rsidRDefault="00F40441" w:rsidP="00BB1783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BB1783" w:rsidRPr="006F3565">
        <w:rPr>
          <w:lang w:val="fr-FR"/>
        </w:rPr>
        <w:t>Le TWC a noté qu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il était important de tenir compte des risques associés à l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évaluation de l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homogénéité d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après les plantes hors</w:t>
      </w:r>
      <w:r w:rsidR="00804488">
        <w:rPr>
          <w:lang w:val="fr-FR"/>
        </w:rPr>
        <w:noBreakHyphen/>
      </w:r>
      <w:r w:rsidR="00BB1783" w:rsidRPr="006F3565">
        <w:rPr>
          <w:lang w:val="fr-FR"/>
        </w:rPr>
        <w:t>type sur la base de plusieurs cycles de végétation et il est convenu qu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il ne serait pas possible d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>élaborer des tableaux avec le nombre de plantes hors</w:t>
      </w:r>
      <w:r w:rsidR="00804488">
        <w:rPr>
          <w:lang w:val="fr-FR"/>
        </w:rPr>
        <w:noBreakHyphen/>
      </w:r>
      <w:r w:rsidR="00BB1783" w:rsidRPr="006F3565">
        <w:rPr>
          <w:lang w:val="fr-FR"/>
        </w:rPr>
        <w:t xml:space="preserve">type </w:t>
      </w:r>
      <w:r w:rsidR="00B14338" w:rsidRPr="006F3565">
        <w:rPr>
          <w:lang w:val="fr-FR"/>
        </w:rPr>
        <w:t>tolérées</w:t>
      </w:r>
      <w:r w:rsidR="00BB1783" w:rsidRPr="006F3565">
        <w:rPr>
          <w:lang w:val="fr-FR"/>
        </w:rPr>
        <w:t xml:space="preserve"> dans ces c</w:t>
      </w:r>
      <w:r w:rsidR="006F3565" w:rsidRPr="006F3565">
        <w:rPr>
          <w:lang w:val="fr-FR"/>
        </w:rPr>
        <w:t>as.  Il</w:t>
      </w:r>
      <w:r w:rsidR="00BB1783" w:rsidRPr="006F3565">
        <w:rPr>
          <w:lang w:val="fr-FR"/>
        </w:rPr>
        <w:t xml:space="preserve"> a noté que, dans l</w:t>
      </w:r>
      <w:r w:rsidR="002045AD" w:rsidRPr="006F3565">
        <w:rPr>
          <w:lang w:val="fr-FR"/>
        </w:rPr>
        <w:t>’</w:t>
      </w:r>
      <w:r w:rsidR="00BB1783" w:rsidRPr="006F3565">
        <w:rPr>
          <w:lang w:val="fr-FR"/>
        </w:rPr>
        <w:t xml:space="preserve">avenir, un logiciel </w:t>
      </w:r>
      <w:r w:rsidR="00B14338" w:rsidRPr="006F3565">
        <w:rPr>
          <w:lang w:val="fr-FR"/>
        </w:rPr>
        <w:t>serait peut</w:t>
      </w:r>
      <w:r w:rsidR="00804488">
        <w:rPr>
          <w:lang w:val="fr-FR"/>
        </w:rPr>
        <w:noBreakHyphen/>
      </w:r>
      <w:r w:rsidR="00B14338" w:rsidRPr="006F3565">
        <w:rPr>
          <w:lang w:val="fr-FR"/>
        </w:rPr>
        <w:t>être nécessaire</w:t>
      </w:r>
      <w:r w:rsidR="00BB1783" w:rsidRPr="006F3565">
        <w:rPr>
          <w:lang w:val="fr-FR"/>
        </w:rPr>
        <w:t xml:space="preserve"> pour calculer ces risques.</w:t>
      </w:r>
    </w:p>
    <w:p w:rsidR="00826A96" w:rsidRPr="006F3565" w:rsidRDefault="00826A96" w:rsidP="00F40441">
      <w:pPr>
        <w:rPr>
          <w:rFonts w:eastAsia="MS Mincho"/>
          <w:lang w:val="fr-FR"/>
        </w:rPr>
      </w:pPr>
    </w:p>
    <w:p w:rsidR="00826A96" w:rsidRPr="006F3565" w:rsidRDefault="00F40441" w:rsidP="00875D6A">
      <w:pPr>
        <w:rPr>
          <w:lang w:val="fr-FR"/>
        </w:rPr>
      </w:pPr>
      <w:r w:rsidRPr="006F3565">
        <w:rPr>
          <w:lang w:val="fr-FR"/>
        </w:rPr>
        <w:fldChar w:fldCharType="begin"/>
      </w:r>
      <w:r w:rsidRPr="006F3565">
        <w:rPr>
          <w:lang w:val="fr-FR"/>
        </w:rPr>
        <w:instrText xml:space="preserve"> AUTONUM  </w:instrText>
      </w:r>
      <w:r w:rsidRPr="006F3565">
        <w:rPr>
          <w:lang w:val="fr-FR"/>
        </w:rPr>
        <w:fldChar w:fldCharType="end"/>
      </w:r>
      <w:r w:rsidRPr="006F3565">
        <w:rPr>
          <w:lang w:val="fr-FR"/>
        </w:rPr>
        <w:tab/>
      </w:r>
      <w:r w:rsidR="006816FA" w:rsidRPr="006F3565">
        <w:rPr>
          <w:lang w:val="fr-FR"/>
        </w:rPr>
        <w:t>Le TWV est convenu avec</w:t>
      </w:r>
      <w:r w:rsidR="002045AD" w:rsidRPr="006F3565">
        <w:rPr>
          <w:lang w:val="fr-FR"/>
        </w:rPr>
        <w:t xml:space="preserve"> le TWC</w:t>
      </w:r>
      <w:r w:rsidR="006816FA" w:rsidRPr="006F3565">
        <w:rPr>
          <w:lang w:val="fr-FR"/>
        </w:rPr>
        <w:t xml:space="preserve"> qu</w:t>
      </w:r>
      <w:r w:rsidR="002045AD" w:rsidRPr="006F3565">
        <w:rPr>
          <w:lang w:val="fr-FR"/>
        </w:rPr>
        <w:t>’</w:t>
      </w:r>
      <w:r w:rsidR="006816FA" w:rsidRPr="006F3565">
        <w:rPr>
          <w:lang w:val="fr-FR"/>
        </w:rPr>
        <w:t>il était important de tenir compte des risques associés à l</w:t>
      </w:r>
      <w:r w:rsidR="002045AD" w:rsidRPr="006F3565">
        <w:rPr>
          <w:lang w:val="fr-FR"/>
        </w:rPr>
        <w:t>’</w:t>
      </w:r>
      <w:r w:rsidR="006816FA" w:rsidRPr="006F3565">
        <w:rPr>
          <w:lang w:val="fr-FR"/>
        </w:rPr>
        <w:t>évaluation de l</w:t>
      </w:r>
      <w:r w:rsidR="002045AD" w:rsidRPr="006F3565">
        <w:rPr>
          <w:lang w:val="fr-FR"/>
        </w:rPr>
        <w:t>’</w:t>
      </w:r>
      <w:r w:rsidR="006816FA" w:rsidRPr="006F3565">
        <w:rPr>
          <w:lang w:val="fr-FR"/>
        </w:rPr>
        <w:t>homogénéité d</w:t>
      </w:r>
      <w:r w:rsidR="002045AD" w:rsidRPr="006F3565">
        <w:rPr>
          <w:lang w:val="fr-FR"/>
        </w:rPr>
        <w:t>’</w:t>
      </w:r>
      <w:r w:rsidR="006816FA" w:rsidRPr="006F3565">
        <w:rPr>
          <w:lang w:val="fr-FR"/>
        </w:rPr>
        <w:t>après les plantes hors</w:t>
      </w:r>
      <w:r w:rsidR="00804488">
        <w:rPr>
          <w:lang w:val="fr-FR"/>
        </w:rPr>
        <w:noBreakHyphen/>
      </w:r>
      <w:r w:rsidR="006816FA" w:rsidRPr="006F3565">
        <w:rPr>
          <w:lang w:val="fr-FR"/>
        </w:rPr>
        <w:t>type sur la base de plusieurs cycles de végétation et il a estimé que le calcul de la limite supérieure prédéfinie en matière d</w:t>
      </w:r>
      <w:r w:rsidR="002045AD" w:rsidRPr="006F3565">
        <w:rPr>
          <w:lang w:val="fr-FR"/>
        </w:rPr>
        <w:t>’</w:t>
      </w:r>
      <w:r w:rsidR="006816FA" w:rsidRPr="006F3565">
        <w:rPr>
          <w:lang w:val="fr-FR"/>
        </w:rPr>
        <w:t>homogénéité devait être préci</w:t>
      </w:r>
      <w:r w:rsidR="006F3565" w:rsidRPr="006F3565">
        <w:rPr>
          <w:lang w:val="fr-FR"/>
        </w:rPr>
        <w:t xml:space="preserve">sé.  À </w:t>
      </w:r>
      <w:r w:rsidR="00875D6A" w:rsidRPr="006F3565">
        <w:rPr>
          <w:lang w:val="fr-FR"/>
        </w:rPr>
        <w:t>cet égard,</w:t>
      </w:r>
      <w:r w:rsidR="002045AD" w:rsidRPr="006F3565">
        <w:rPr>
          <w:lang w:val="fr-FR"/>
        </w:rPr>
        <w:t xml:space="preserve"> le TWV</w:t>
      </w:r>
      <w:r w:rsidR="00875D6A" w:rsidRPr="006F3565">
        <w:rPr>
          <w:lang w:val="fr-FR"/>
        </w:rPr>
        <w:t xml:space="preserve"> a pris note de la solution élaborée par la France pour le calcul théorique d</w:t>
      </w:r>
      <w:r w:rsidR="002045AD" w:rsidRPr="006F3565">
        <w:rPr>
          <w:lang w:val="fr-FR"/>
        </w:rPr>
        <w:t>’</w:t>
      </w:r>
      <w:r w:rsidR="00875D6A" w:rsidRPr="006F3565">
        <w:rPr>
          <w:lang w:val="fr-FR"/>
        </w:rPr>
        <w:t xml:space="preserve">une limite supérieure prédéfinie, </w:t>
      </w:r>
      <w:r w:rsidR="002045AD" w:rsidRPr="006F3565">
        <w:rPr>
          <w:lang w:val="fr-FR"/>
        </w:rPr>
        <w:t>à savoir</w:t>
      </w:r>
      <w:r w:rsidR="00875D6A" w:rsidRPr="006F3565">
        <w:rPr>
          <w:lang w:val="fr-FR"/>
        </w:rPr>
        <w:t xml:space="preserve"> le nombre maxim</w:t>
      </w:r>
      <w:r w:rsidR="00B14338" w:rsidRPr="006F3565">
        <w:rPr>
          <w:lang w:val="fr-FR"/>
        </w:rPr>
        <w:t>al</w:t>
      </w:r>
      <w:r w:rsidR="00875D6A" w:rsidRPr="006F3565">
        <w:rPr>
          <w:lang w:val="fr-FR"/>
        </w:rPr>
        <w:t xml:space="preserve"> de plantes hors</w:t>
      </w:r>
      <w:r w:rsidR="00804488">
        <w:rPr>
          <w:lang w:val="fr-FR"/>
        </w:rPr>
        <w:noBreakHyphen/>
      </w:r>
      <w:r w:rsidR="00875D6A" w:rsidRPr="006F3565">
        <w:rPr>
          <w:lang w:val="fr-FR"/>
        </w:rPr>
        <w:t>type accepté</w:t>
      </w:r>
      <w:r w:rsidR="00BA3267" w:rsidRPr="006F3565">
        <w:rPr>
          <w:lang w:val="fr-FR"/>
        </w:rPr>
        <w:t>es</w:t>
      </w:r>
      <w:r w:rsidR="00875D6A" w:rsidRPr="006F3565">
        <w:rPr>
          <w:lang w:val="fr-FR"/>
        </w:rPr>
        <w:t xml:space="preserve"> plus une sur la somme totale des plantes pour deux</w:t>
      </w:r>
      <w:r w:rsidR="00A315AA" w:rsidRPr="006F3565">
        <w:rPr>
          <w:lang w:val="fr-FR"/>
        </w:rPr>
        <w:t> </w:t>
      </w:r>
      <w:r w:rsidR="00875D6A" w:rsidRPr="006F3565">
        <w:rPr>
          <w:lang w:val="fr-FR"/>
        </w:rPr>
        <w:t>cycles d</w:t>
      </w:r>
      <w:r w:rsidR="002045AD" w:rsidRPr="006F3565">
        <w:rPr>
          <w:lang w:val="fr-FR"/>
        </w:rPr>
        <w:t>’</w:t>
      </w:r>
      <w:r w:rsidR="00026D58" w:rsidRPr="006F3565">
        <w:rPr>
          <w:lang w:val="fr-FR"/>
        </w:rPr>
        <w:t>essais</w:t>
      </w:r>
      <w:r w:rsidR="00D4077E" w:rsidRPr="006F3565">
        <w:rPr>
          <w:lang w:val="fr-FR"/>
        </w:rPr>
        <w:t xml:space="preserve"> </w:t>
      </w:r>
      <w:r w:rsidR="00875D6A" w:rsidRPr="006F3565">
        <w:rPr>
          <w:lang w:val="fr-FR"/>
        </w:rPr>
        <w:t xml:space="preserve">(par exemple, </w:t>
      </w:r>
      <w:r w:rsidR="00D4077E" w:rsidRPr="006F3565">
        <w:rPr>
          <w:lang w:val="fr-FR"/>
        </w:rPr>
        <w:t xml:space="preserve">si </w:t>
      </w:r>
      <w:r w:rsidR="00875D6A" w:rsidRPr="006F3565">
        <w:rPr>
          <w:lang w:val="fr-FR"/>
        </w:rPr>
        <w:t>chaque cycle de végétation requiert 20</w:t>
      </w:r>
      <w:r w:rsidR="006F3565" w:rsidRPr="006F3565">
        <w:rPr>
          <w:lang w:val="fr-FR"/>
        </w:rPr>
        <w:t> </w:t>
      </w:r>
      <w:r w:rsidR="00875D6A" w:rsidRPr="006F3565">
        <w:rPr>
          <w:lang w:val="fr-FR"/>
        </w:rPr>
        <w:t>plantes, la limite supérieure prédéfinie pour l</w:t>
      </w:r>
      <w:r w:rsidR="002045AD" w:rsidRPr="006F3565">
        <w:rPr>
          <w:lang w:val="fr-FR"/>
        </w:rPr>
        <w:t>’</w:t>
      </w:r>
      <w:r w:rsidR="00875D6A" w:rsidRPr="006F3565">
        <w:rPr>
          <w:lang w:val="fr-FR"/>
        </w:rPr>
        <w:t>évaluation de l</w:t>
      </w:r>
      <w:r w:rsidR="002045AD" w:rsidRPr="006F3565">
        <w:rPr>
          <w:lang w:val="fr-FR"/>
        </w:rPr>
        <w:t>’</w:t>
      </w:r>
      <w:r w:rsidR="00875D6A" w:rsidRPr="006F3565">
        <w:rPr>
          <w:lang w:val="fr-FR"/>
        </w:rPr>
        <w:t>homogénéité lors du premier cycle serait fondée sur le nombre de plantes hors</w:t>
      </w:r>
      <w:r w:rsidR="00804488">
        <w:rPr>
          <w:lang w:val="fr-FR"/>
        </w:rPr>
        <w:noBreakHyphen/>
      </w:r>
      <w:r w:rsidR="00875D6A" w:rsidRPr="006F3565">
        <w:rPr>
          <w:lang w:val="fr-FR"/>
        </w:rPr>
        <w:t>type accepté</w:t>
      </w:r>
      <w:r w:rsidR="00BA3267" w:rsidRPr="006F3565">
        <w:rPr>
          <w:lang w:val="fr-FR"/>
        </w:rPr>
        <w:t>es</w:t>
      </w:r>
      <w:r w:rsidR="00875D6A" w:rsidRPr="006F3565">
        <w:rPr>
          <w:lang w:val="fr-FR"/>
        </w:rPr>
        <w:t xml:space="preserve"> plus une sur le nombre total de plantes sur la base de la somme des plantes à observer sur deux</w:t>
      </w:r>
      <w:r w:rsidR="00A315AA" w:rsidRPr="006F3565">
        <w:rPr>
          <w:lang w:val="fr-FR"/>
        </w:rPr>
        <w:t> </w:t>
      </w:r>
      <w:r w:rsidR="00875D6A" w:rsidRPr="006F3565">
        <w:rPr>
          <w:lang w:val="fr-FR"/>
        </w:rPr>
        <w:t>cycles, dans ce cas au moins 40</w:t>
      </w:r>
      <w:r w:rsidR="006F3565" w:rsidRPr="006F3565">
        <w:rPr>
          <w:lang w:val="fr-FR"/>
        </w:rPr>
        <w:t> </w:t>
      </w:r>
      <w:r w:rsidR="00875D6A" w:rsidRPr="006F3565">
        <w:rPr>
          <w:lang w:val="fr-FR"/>
        </w:rPr>
        <w:t>plantes).</w:t>
      </w:r>
    </w:p>
    <w:p w:rsidR="00826A96" w:rsidRPr="006F3565" w:rsidRDefault="00826A96" w:rsidP="00500B72">
      <w:pPr>
        <w:rPr>
          <w:bCs/>
          <w:lang w:val="fr-FR"/>
        </w:rPr>
      </w:pPr>
    </w:p>
    <w:p w:rsidR="00826A96" w:rsidRPr="006F3565" w:rsidRDefault="00245109" w:rsidP="00875D6A">
      <w:pPr>
        <w:keepNext/>
        <w:keepLines/>
        <w:tabs>
          <w:tab w:val="left" w:pos="5387"/>
        </w:tabs>
        <w:ind w:left="4820"/>
        <w:rPr>
          <w:i/>
          <w:lang w:val="fr-FR"/>
        </w:rPr>
      </w:pPr>
      <w:r w:rsidRPr="006F3565">
        <w:rPr>
          <w:i/>
          <w:lang w:val="fr-FR"/>
        </w:rPr>
        <w:fldChar w:fldCharType="begin"/>
      </w:r>
      <w:r w:rsidRPr="006F3565">
        <w:rPr>
          <w:i/>
          <w:lang w:val="fr-FR"/>
        </w:rPr>
        <w:instrText xml:space="preserve"> AUTONUM  </w:instrText>
      </w:r>
      <w:r w:rsidRPr="006F3565">
        <w:rPr>
          <w:i/>
          <w:lang w:val="fr-FR"/>
        </w:rPr>
        <w:fldChar w:fldCharType="end"/>
      </w:r>
      <w:r w:rsidRPr="006F3565">
        <w:rPr>
          <w:i/>
          <w:lang w:val="fr-FR"/>
        </w:rPr>
        <w:tab/>
      </w:r>
      <w:r w:rsidR="00875D6A" w:rsidRPr="006F3565">
        <w:rPr>
          <w:i/>
          <w:lang w:val="fr-FR"/>
        </w:rPr>
        <w:t>Le</w:t>
      </w:r>
      <w:r w:rsidR="002045AD" w:rsidRPr="006F3565">
        <w:rPr>
          <w:i/>
          <w:lang w:val="fr-FR"/>
        </w:rPr>
        <w:t> TC</w:t>
      </w:r>
      <w:r w:rsidR="00875D6A" w:rsidRPr="006F3565">
        <w:rPr>
          <w:i/>
          <w:lang w:val="fr-FR"/>
        </w:rPr>
        <w:t xml:space="preserve"> est invité à examiner la proposition de révision des orientations figurant dans le document</w:t>
      </w:r>
      <w:r w:rsidR="006F3565" w:rsidRPr="006F3565">
        <w:rPr>
          <w:i/>
          <w:lang w:val="fr-FR"/>
        </w:rPr>
        <w:t> </w:t>
      </w:r>
      <w:r w:rsidR="00875D6A" w:rsidRPr="006F3565">
        <w:rPr>
          <w:i/>
          <w:lang w:val="fr-FR"/>
        </w:rPr>
        <w:t>TGP/8/2, deuxième partie,</w:t>
      </w:r>
      <w:r w:rsidR="00B14338" w:rsidRPr="006F3565">
        <w:rPr>
          <w:i/>
          <w:lang w:val="fr-FR"/>
        </w:rPr>
        <w:t xml:space="preserve"> </w:t>
      </w:r>
      <w:r w:rsidR="002045AD" w:rsidRPr="006F3565">
        <w:rPr>
          <w:i/>
          <w:lang w:val="fr-FR"/>
        </w:rPr>
        <w:t>section 8</w:t>
      </w:r>
      <w:r w:rsidR="00B14338" w:rsidRPr="006F3565">
        <w:rPr>
          <w:i/>
          <w:lang w:val="fr-FR"/>
        </w:rPr>
        <w:t>, sous</w:t>
      </w:r>
      <w:r w:rsidR="00804488">
        <w:rPr>
          <w:i/>
          <w:lang w:val="fr-FR"/>
        </w:rPr>
        <w:noBreakHyphen/>
      </w:r>
      <w:r w:rsidR="002045AD" w:rsidRPr="006F3565">
        <w:rPr>
          <w:i/>
          <w:lang w:val="fr-FR"/>
        </w:rPr>
        <w:t>section 8</w:t>
      </w:r>
      <w:r w:rsidR="00B14338" w:rsidRPr="006F3565">
        <w:rPr>
          <w:i/>
          <w:lang w:val="fr-FR"/>
        </w:rPr>
        <w:t>.1.7</w:t>
      </w:r>
      <w:r w:rsidR="00875D6A" w:rsidRPr="006F3565">
        <w:rPr>
          <w:i/>
          <w:lang w:val="fr-FR"/>
        </w:rPr>
        <w:t xml:space="preserve"> “Méthode au</w:t>
      </w:r>
      <w:r w:rsidR="00804488">
        <w:rPr>
          <w:i/>
          <w:lang w:val="fr-FR"/>
        </w:rPr>
        <w:noBreakHyphen/>
      </w:r>
      <w:r w:rsidR="00875D6A" w:rsidRPr="006F3565">
        <w:rPr>
          <w:i/>
          <w:lang w:val="fr-FR"/>
        </w:rPr>
        <w:t>delà d</w:t>
      </w:r>
      <w:r w:rsidR="002045AD" w:rsidRPr="006F3565">
        <w:rPr>
          <w:i/>
          <w:lang w:val="fr-FR"/>
        </w:rPr>
        <w:t>’</w:t>
      </w:r>
      <w:r w:rsidR="00875D6A" w:rsidRPr="006F3565">
        <w:rPr>
          <w:i/>
          <w:lang w:val="fr-FR"/>
        </w:rPr>
        <w:t>un essai unique (année)”</w:t>
      </w:r>
      <w:r w:rsidR="00B14338" w:rsidRPr="006F3565">
        <w:rPr>
          <w:i/>
          <w:lang w:val="fr-FR"/>
        </w:rPr>
        <w:t>,</w:t>
      </w:r>
      <w:r w:rsidR="00875D6A" w:rsidRPr="006F3565">
        <w:rPr>
          <w:i/>
          <w:lang w:val="fr-FR"/>
        </w:rPr>
        <w:t xml:space="preserve"> sur la base du projet présenté dans l</w:t>
      </w:r>
      <w:r w:rsidR="002045AD" w:rsidRPr="006F3565">
        <w:rPr>
          <w:i/>
          <w:lang w:val="fr-FR"/>
        </w:rPr>
        <w:t>’annexe I</w:t>
      </w:r>
      <w:r w:rsidR="00875D6A" w:rsidRPr="006F3565">
        <w:rPr>
          <w:i/>
          <w:lang w:val="fr-FR"/>
        </w:rPr>
        <w:t>I du présent document, en tenant compte des observations formulées par les TWP à leurs sessions de 2018.</w:t>
      </w: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75D6A" w:rsidP="00875D6A">
      <w:pPr>
        <w:jc w:val="right"/>
        <w:rPr>
          <w:lang w:val="fr-FR"/>
        </w:rPr>
      </w:pPr>
      <w:r w:rsidRPr="006F3565">
        <w:rPr>
          <w:lang w:val="fr-FR"/>
        </w:rPr>
        <w:t>[Les annexes suivent]</w:t>
      </w:r>
    </w:p>
    <w:p w:rsidR="00245109" w:rsidRPr="006F3565" w:rsidRDefault="00245109" w:rsidP="00245109">
      <w:pPr>
        <w:rPr>
          <w:lang w:val="fr-FR"/>
        </w:rPr>
        <w:sectPr w:rsidR="00245109" w:rsidRPr="006F3565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75D6A" w:rsidP="00875D6A">
      <w:pPr>
        <w:jc w:val="center"/>
        <w:rPr>
          <w:caps/>
          <w:lang w:val="fr-FR"/>
        </w:rPr>
      </w:pPr>
      <w:r w:rsidRPr="006F3565">
        <w:rPr>
          <w:caps/>
          <w:lang w:val="fr-FR"/>
        </w:rPr>
        <w:t>Extrait du document</w:t>
      </w:r>
      <w:r w:rsidR="006F3565" w:rsidRPr="006F3565">
        <w:rPr>
          <w:caps/>
          <w:lang w:val="fr-FR"/>
        </w:rPr>
        <w:t> </w:t>
      </w:r>
      <w:r w:rsidRPr="006F3565">
        <w:rPr>
          <w:caps/>
          <w:lang w:val="fr-FR"/>
        </w:rPr>
        <w:t>TGP/</w:t>
      </w:r>
      <w:r w:rsidR="00D4077E" w:rsidRPr="006F3565">
        <w:rPr>
          <w:caps/>
          <w:lang w:val="fr-FR"/>
        </w:rPr>
        <w:t xml:space="preserve">8, deuxième partie, </w:t>
      </w:r>
      <w:r w:rsidR="002045AD" w:rsidRPr="006F3565">
        <w:rPr>
          <w:caps/>
          <w:lang w:val="fr-FR"/>
        </w:rPr>
        <w:t>section 8</w:t>
      </w:r>
      <w:r w:rsidR="00D4077E" w:rsidRPr="006F3565">
        <w:rPr>
          <w:caps/>
          <w:lang w:val="fr-FR"/>
        </w:rPr>
        <w:t xml:space="preserve"> </w:t>
      </w:r>
      <w:r w:rsidRPr="006F3565">
        <w:rPr>
          <w:caps/>
          <w:lang w:val="fr-FR"/>
        </w:rPr>
        <w:t>“La méthode d</w:t>
      </w:r>
      <w:r w:rsidR="002045AD" w:rsidRPr="006F3565">
        <w:rPr>
          <w:caps/>
          <w:lang w:val="fr-FR"/>
        </w:rPr>
        <w:t>’</w:t>
      </w:r>
      <w:r w:rsidRPr="006F3565">
        <w:rPr>
          <w:caps/>
          <w:lang w:val="fr-FR"/>
        </w:rPr>
        <w:t>évaluation de l</w:t>
      </w:r>
      <w:r w:rsidR="002045AD" w:rsidRPr="006F3565">
        <w:rPr>
          <w:caps/>
          <w:lang w:val="fr-FR"/>
        </w:rPr>
        <w:t>’</w:t>
      </w:r>
      <w:r w:rsidRPr="006F3565">
        <w:rPr>
          <w:caps/>
          <w:lang w:val="fr-FR"/>
        </w:rPr>
        <w:t>homogénéité fondée sur les hors</w:t>
      </w:r>
      <w:r w:rsidR="00804488">
        <w:rPr>
          <w:caps/>
          <w:lang w:val="fr-FR"/>
        </w:rPr>
        <w:noBreakHyphen/>
      </w:r>
      <w:r w:rsidRPr="006F3565">
        <w:rPr>
          <w:caps/>
          <w:lang w:val="fr-FR"/>
        </w:rPr>
        <w:t>types”</w:t>
      </w: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75D6A" w:rsidP="001F60ED">
      <w:pPr>
        <w:pStyle w:val="Heading4"/>
      </w:pPr>
      <w:bookmarkStart w:id="13" w:name="_Toc463361709"/>
      <w:r w:rsidRPr="00E00310">
        <w:rPr>
          <w:i w:val="0"/>
        </w:rPr>
        <w:t>8.1.7</w:t>
      </w:r>
      <w:r w:rsidRPr="006F3565">
        <w:tab/>
        <w:t>Méthode au</w:t>
      </w:r>
      <w:r w:rsidR="00804488">
        <w:noBreakHyphen/>
      </w:r>
      <w:r w:rsidRPr="006F3565">
        <w:t>delà d</w:t>
      </w:r>
      <w:r w:rsidR="002045AD" w:rsidRPr="006F3565">
        <w:t>’</w:t>
      </w:r>
      <w:r w:rsidRPr="006F3565">
        <w:t>un essai unique (année)</w:t>
      </w:r>
      <w:bookmarkEnd w:id="13"/>
    </w:p>
    <w:p w:rsidR="00826A96" w:rsidRPr="006F3565" w:rsidRDefault="00826A96" w:rsidP="001F60ED">
      <w:pPr>
        <w:rPr>
          <w:lang w:val="fr-FR"/>
        </w:rPr>
      </w:pPr>
    </w:p>
    <w:p w:rsidR="00826A96" w:rsidRPr="006F3565" w:rsidRDefault="00875D6A" w:rsidP="00875D6A">
      <w:pPr>
        <w:pStyle w:val="Heading5"/>
        <w:rPr>
          <w:lang w:val="fr-FR"/>
        </w:rPr>
      </w:pPr>
      <w:bookmarkStart w:id="14" w:name="_Toc463361710"/>
      <w:r w:rsidRPr="00E00310">
        <w:rPr>
          <w:i w:val="0"/>
          <w:lang w:val="fr-FR"/>
        </w:rPr>
        <w:t>8.1.7.1</w:t>
      </w:r>
      <w:r w:rsidRPr="006F3565">
        <w:rPr>
          <w:lang w:val="fr-FR"/>
        </w:rPr>
        <w:tab/>
        <w:t>Introduction</w:t>
      </w:r>
      <w:bookmarkEnd w:id="14"/>
    </w:p>
    <w:p w:rsidR="00826A96" w:rsidRPr="006F3565" w:rsidRDefault="00826A96" w:rsidP="001F60ED">
      <w:pPr>
        <w:rPr>
          <w:lang w:val="fr-FR"/>
        </w:rPr>
      </w:pPr>
    </w:p>
    <w:p w:rsidR="00826A96" w:rsidRPr="006F3565" w:rsidRDefault="00875D6A" w:rsidP="00875D6A">
      <w:pPr>
        <w:tabs>
          <w:tab w:val="left" w:pos="1134"/>
        </w:tabs>
        <w:rPr>
          <w:noProof/>
          <w:lang w:val="fr-FR"/>
        </w:rPr>
      </w:pPr>
      <w:r w:rsidRPr="006F3565">
        <w:rPr>
          <w:noProof/>
          <w:szCs w:val="24"/>
          <w:lang w:val="fr-FR"/>
        </w:rPr>
        <w:t>8</w:t>
      </w:r>
      <w:r w:rsidRPr="006F3565">
        <w:rPr>
          <w:noProof/>
          <w:lang w:val="fr-FR"/>
        </w:rPr>
        <w:t>.1.7.1.1</w:t>
      </w:r>
      <w:r w:rsidRPr="006F3565">
        <w:rPr>
          <w:noProof/>
          <w:lang w:val="fr-FR"/>
        </w:rPr>
        <w:tab/>
        <w:t>Il arrive souvent qu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une variété candidate soit cultivée pendant deux</w:t>
      </w:r>
      <w:r w:rsidR="00A315AA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(ou trois) anné</w:t>
      </w:r>
      <w:r w:rsidR="006F3565" w:rsidRPr="006F3565">
        <w:rPr>
          <w:noProof/>
          <w:lang w:val="fr-FR"/>
        </w:rPr>
        <w:t>es.  Il</w:t>
      </w:r>
      <w:r w:rsidRPr="006F3565">
        <w:rPr>
          <w:noProof/>
          <w:lang w:val="fr-FR"/>
        </w:rPr>
        <w:t xml:space="preserve"> s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agit alors de savoir comment procéder pour regrouper les informations sur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hétérogénéité dont on dispose pour chaque ann</w:t>
      </w:r>
      <w:r w:rsidR="006F3565" w:rsidRPr="006F3565">
        <w:rPr>
          <w:noProof/>
          <w:lang w:val="fr-FR"/>
        </w:rPr>
        <w:t>ée.  De</w:t>
      </w:r>
      <w:r w:rsidRPr="006F3565">
        <w:rPr>
          <w:noProof/>
          <w:lang w:val="fr-FR"/>
        </w:rPr>
        <w:t>ux solutions sont possibles</w:t>
      </w:r>
      <w:r w:rsidR="002045AD" w:rsidRPr="006F3565">
        <w:rPr>
          <w:noProof/>
          <w:lang w:val="fr-FR"/>
        </w:rPr>
        <w:t> :</w:t>
      </w: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5938D7">
      <w:pPr>
        <w:pStyle w:val="ListParagraph"/>
        <w:numPr>
          <w:ilvl w:val="0"/>
          <w:numId w:val="2"/>
        </w:numPr>
        <w:tabs>
          <w:tab w:val="left" w:pos="567"/>
        </w:tabs>
        <w:ind w:left="567" w:firstLine="0"/>
        <w:rPr>
          <w:noProof/>
        </w:rPr>
      </w:pPr>
      <w:r w:rsidRPr="006F3565">
        <w:rPr>
          <w:noProof/>
        </w:rPr>
        <w:t>prendre une décision après deux</w:t>
      </w:r>
      <w:r w:rsidR="00A315AA" w:rsidRPr="006F3565">
        <w:rPr>
          <w:noProof/>
        </w:rPr>
        <w:t> </w:t>
      </w:r>
      <w:r w:rsidRPr="006F3565">
        <w:rPr>
          <w:noProof/>
        </w:rPr>
        <w:t>(ou trois) années sur la base du nombre total de plantes examinées et du nombre total de plantes hors</w:t>
      </w:r>
      <w:r w:rsidR="00804488">
        <w:rPr>
          <w:noProof/>
        </w:rPr>
        <w:noBreakHyphen/>
      </w:r>
      <w:r w:rsidRPr="006F3565">
        <w:rPr>
          <w:noProof/>
        </w:rPr>
        <w:t>type enregistrées (il s</w:t>
      </w:r>
      <w:r w:rsidR="002045AD" w:rsidRPr="006F3565">
        <w:rPr>
          <w:noProof/>
        </w:rPr>
        <w:t>’</w:t>
      </w:r>
      <w:r w:rsidRPr="006F3565">
        <w:rPr>
          <w:noProof/>
        </w:rPr>
        <w:t>agit d</w:t>
      </w:r>
      <w:r w:rsidR="002045AD" w:rsidRPr="006F3565">
        <w:rPr>
          <w:noProof/>
        </w:rPr>
        <w:t>’</w:t>
      </w:r>
      <w:r w:rsidRPr="006F3565">
        <w:rPr>
          <w:noProof/>
        </w:rPr>
        <w:t>un examen combiné);</w:t>
      </w: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5938D7">
      <w:pPr>
        <w:pStyle w:val="ListParagraph"/>
        <w:numPr>
          <w:ilvl w:val="0"/>
          <w:numId w:val="2"/>
        </w:numPr>
        <w:ind w:left="567" w:firstLine="0"/>
        <w:rPr>
          <w:noProof/>
        </w:rPr>
      </w:pPr>
      <w:r w:rsidRPr="006F3565">
        <w:rPr>
          <w:noProof/>
        </w:rPr>
        <w:t>se fonder sur les résultats obtenus la première année pour déterminer si une décision (rejet ou acceptation) peut être pri</w:t>
      </w:r>
      <w:r w:rsidR="006F3565" w:rsidRPr="006F3565">
        <w:rPr>
          <w:noProof/>
        </w:rPr>
        <w:t>se.  Si</w:t>
      </w:r>
      <w:r w:rsidRPr="006F3565">
        <w:rPr>
          <w:noProof/>
        </w:rPr>
        <w:t xml:space="preserve"> aucune décision ne peut être prise, procéder à un examen lors de la deuxième année au terme de laquelle une décision sera prise (il s</w:t>
      </w:r>
      <w:r w:rsidR="002045AD" w:rsidRPr="006F3565">
        <w:rPr>
          <w:noProof/>
        </w:rPr>
        <w:t>’</w:t>
      </w:r>
      <w:r w:rsidRPr="006F3565">
        <w:rPr>
          <w:noProof/>
        </w:rPr>
        <w:t>agit d</w:t>
      </w:r>
      <w:r w:rsidR="002045AD" w:rsidRPr="006F3565">
        <w:rPr>
          <w:noProof/>
        </w:rPr>
        <w:t>’</w:t>
      </w:r>
      <w:r w:rsidRPr="006F3565">
        <w:rPr>
          <w:noProof/>
        </w:rPr>
        <w:t>un examen en deux étapes).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8.1.7.1.2</w:t>
      </w:r>
      <w:r w:rsidRPr="006F3565">
        <w:rPr>
          <w:noProof/>
          <w:lang w:val="fr-FR"/>
        </w:rPr>
        <w:tab/>
        <w:t>Les deux</w:t>
      </w:r>
      <w:r w:rsidR="00A315AA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méthodes précitées admettent toutefois des variantes (on peut, par exemple, prendre une décision chaque année et opter finalement pour le rejet de la variété candidate si celle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ci a comporté trop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au cours des deux années (ou au cours de deux années sur trois)).  De même, la réalisation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un examen sur plus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une seule année entraîne certaines complicatio</w:t>
      </w:r>
      <w:r w:rsidR="006F3565" w:rsidRPr="006F3565">
        <w:rPr>
          <w:noProof/>
          <w:lang w:val="fr-FR"/>
        </w:rPr>
        <w:t>ns.  Il</w:t>
      </w:r>
      <w:r w:rsidRPr="006F3565">
        <w:rPr>
          <w:noProof/>
          <w:lang w:val="fr-FR"/>
        </w:rPr>
        <w:t xml:space="preserve"> est par conséquent proposé de consulter un statisticien lorsqu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un examen sur deux années ou plus doit être effectué.</w:t>
      </w:r>
    </w:p>
    <w:p w:rsidR="00826A96" w:rsidRPr="006F3565" w:rsidRDefault="00826A96" w:rsidP="00875D6A">
      <w:pPr>
        <w:rPr>
          <w:lang w:val="fr-FR"/>
        </w:rPr>
      </w:pPr>
    </w:p>
    <w:p w:rsidR="00826A96" w:rsidRPr="006F3565" w:rsidRDefault="00875D6A" w:rsidP="00875D6A">
      <w:pPr>
        <w:pStyle w:val="Heading5"/>
        <w:rPr>
          <w:lang w:val="fr-FR"/>
        </w:rPr>
      </w:pPr>
      <w:bookmarkStart w:id="15" w:name="_Toc154368852"/>
      <w:bookmarkStart w:id="16" w:name="_Toc219640839"/>
      <w:bookmarkStart w:id="17" w:name="_Toc463361711"/>
      <w:r w:rsidRPr="00E00310">
        <w:rPr>
          <w:i w:val="0"/>
          <w:szCs w:val="24"/>
          <w:lang w:val="fr-FR"/>
        </w:rPr>
        <w:t>8.</w:t>
      </w:r>
      <w:r w:rsidRPr="00E00310">
        <w:rPr>
          <w:i w:val="0"/>
          <w:lang w:val="fr-FR"/>
        </w:rPr>
        <w:t>1.7.2</w:t>
      </w:r>
      <w:r w:rsidRPr="006F3565">
        <w:rPr>
          <w:lang w:val="fr-FR"/>
        </w:rPr>
        <w:tab/>
        <w:t>Essai combiné</w:t>
      </w:r>
      <w:bookmarkEnd w:id="15"/>
      <w:bookmarkEnd w:id="16"/>
      <w:bookmarkEnd w:id="17"/>
    </w:p>
    <w:p w:rsidR="00826A96" w:rsidRPr="006F3565" w:rsidRDefault="00826A96" w:rsidP="001F60ED">
      <w:pPr>
        <w:rPr>
          <w:lang w:val="fr-FR"/>
        </w:rPr>
      </w:pP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Soit n</w:t>
      </w:r>
      <w:r w:rsidRPr="006F3565">
        <w:rPr>
          <w:noProof/>
          <w:vertAlign w:val="subscript"/>
          <w:lang w:val="fr-FR"/>
        </w:rPr>
        <w:t>i</w:t>
      </w:r>
      <w:r w:rsidRPr="006F3565">
        <w:rPr>
          <w:noProof/>
          <w:lang w:val="fr-FR"/>
        </w:rPr>
        <w:t>, la taille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échantillon utilisé pour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examen i.</w:t>
      </w:r>
      <w:r w:rsidR="00A315AA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Une fois le dernier examen effectué, la taille totale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 xml:space="preserve">échantillon est </w:t>
      </w:r>
      <w:r w:rsidRPr="006F3565">
        <w:rPr>
          <w:lang w:val="fr-FR"/>
        </w:rPr>
        <w:t>n = </w:t>
      </w:r>
      <w:r w:rsidRPr="006F3565">
        <w:rPr>
          <w:rFonts w:ascii="Symbol" w:hAnsi="Symbol"/>
          <w:lang w:val="fr-FR"/>
        </w:rPr>
        <w:t></w:t>
      </w:r>
      <w:r w:rsidR="006F3565" w:rsidRPr="006F3565">
        <w:rPr>
          <w:lang w:val="fr-FR"/>
        </w:rPr>
        <w:t>n</w:t>
      </w:r>
      <w:r w:rsidR="006F3565" w:rsidRPr="006F3565">
        <w:rPr>
          <w:vertAlign w:val="subscript"/>
          <w:lang w:val="fr-FR"/>
        </w:rPr>
        <w:t>i</w:t>
      </w:r>
      <w:r w:rsidR="006F3565" w:rsidRPr="006F3565">
        <w:rPr>
          <w:lang w:val="fr-FR"/>
        </w:rPr>
        <w:t xml:space="preserve">.  </w:t>
      </w:r>
      <w:r w:rsidR="006F3565" w:rsidRPr="006F3565">
        <w:rPr>
          <w:noProof/>
          <w:lang w:val="fr-FR"/>
        </w:rPr>
        <w:t>Le</w:t>
      </w:r>
      <w:r w:rsidRPr="006F3565">
        <w:rPr>
          <w:noProof/>
          <w:lang w:val="fr-FR"/>
        </w:rPr>
        <w:t xml:space="preserve"> schéma de décision est défini exactement de la même manière que si la taille totale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échantillon avait été obtenue au cours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un examen uniq</w:t>
      </w:r>
      <w:r w:rsidR="006F3565" w:rsidRPr="006F3565">
        <w:rPr>
          <w:noProof/>
          <w:lang w:val="fr-FR"/>
        </w:rPr>
        <w:t>ue.  Pa</w:t>
      </w:r>
      <w:r w:rsidRPr="006F3565">
        <w:rPr>
          <w:noProof/>
          <w:lang w:val="fr-FR"/>
        </w:rPr>
        <w:t>r conséquent, le nombre total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enregistrées au cours des examens peut être comparé au nombre maximum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tolérées dans le cadre du schéma de décision choisi.</w:t>
      </w: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875D6A">
      <w:pPr>
        <w:pStyle w:val="Heading5"/>
        <w:rPr>
          <w:lang w:val="fr-FR"/>
        </w:rPr>
      </w:pPr>
      <w:bookmarkStart w:id="18" w:name="_Toc154368853"/>
      <w:bookmarkStart w:id="19" w:name="_Toc219640840"/>
      <w:bookmarkStart w:id="20" w:name="_Toc463361712"/>
      <w:r w:rsidRPr="00E00310">
        <w:rPr>
          <w:i w:val="0"/>
          <w:szCs w:val="24"/>
          <w:lang w:val="fr-FR"/>
        </w:rPr>
        <w:t>8.</w:t>
      </w:r>
      <w:r w:rsidRPr="00E00310">
        <w:rPr>
          <w:i w:val="0"/>
          <w:lang w:val="fr-FR"/>
        </w:rPr>
        <w:t>1.7.3</w:t>
      </w:r>
      <w:r w:rsidRPr="006F3565">
        <w:rPr>
          <w:lang w:val="fr-FR"/>
        </w:rPr>
        <w:tab/>
        <w:t>Essai en deux</w:t>
      </w:r>
      <w:r w:rsidR="00A315AA" w:rsidRPr="006F3565">
        <w:rPr>
          <w:lang w:val="fr-FR"/>
        </w:rPr>
        <w:t> </w:t>
      </w:r>
      <w:r w:rsidRPr="006F3565">
        <w:rPr>
          <w:lang w:val="fr-FR"/>
        </w:rPr>
        <w:t>phases</w:t>
      </w:r>
      <w:bookmarkEnd w:id="18"/>
      <w:bookmarkEnd w:id="19"/>
      <w:bookmarkEnd w:id="20"/>
    </w:p>
    <w:p w:rsidR="00826A96" w:rsidRPr="006F3565" w:rsidRDefault="00826A96" w:rsidP="001F60ED">
      <w:pPr>
        <w:rPr>
          <w:lang w:val="fr-FR"/>
        </w:rPr>
      </w:pPr>
    </w:p>
    <w:p w:rsidR="00925E5A" w:rsidRPr="006F3565" w:rsidRDefault="00875D6A" w:rsidP="00875D6A">
      <w:pPr>
        <w:rPr>
          <w:noProof/>
          <w:lang w:val="fr-FR"/>
        </w:rPr>
      </w:pPr>
      <w:r w:rsidRPr="006F3565">
        <w:rPr>
          <w:noProof/>
          <w:szCs w:val="24"/>
          <w:lang w:val="fr-FR"/>
        </w:rPr>
        <w:t>8.1.7.</w:t>
      </w:r>
      <w:r w:rsidRPr="006F3565">
        <w:rPr>
          <w:noProof/>
          <w:lang w:val="fr-FR"/>
        </w:rPr>
        <w:t>3</w:t>
      </w:r>
      <w:r w:rsidRPr="006F3565">
        <w:rPr>
          <w:noProof/>
          <w:szCs w:val="24"/>
          <w:lang w:val="fr-FR"/>
        </w:rPr>
        <w:t>.1</w:t>
      </w:r>
      <w:r w:rsidRPr="006F3565">
        <w:rPr>
          <w:noProof/>
          <w:lang w:val="fr-FR"/>
        </w:rPr>
        <w:tab/>
        <w:t>La méthode à utiliser pour un examen réparti sur deux années est la suivante</w:t>
      </w:r>
      <w:r w:rsidR="002045AD" w:rsidRPr="006F3565">
        <w:rPr>
          <w:noProof/>
          <w:lang w:val="fr-FR"/>
        </w:rPr>
        <w:t> :</w:t>
      </w:r>
      <w:r w:rsidRPr="006F3565">
        <w:rPr>
          <w:noProof/>
          <w:lang w:val="fr-FR"/>
        </w:rPr>
        <w:t xml:space="preserve"> au cours de la première année, prélever un échantillon de taille n.</w:t>
      </w:r>
      <w:r w:rsidR="00A315AA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Rejeter la variété candidate lorsque le nombre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enregistrées est supérieur à r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 xml:space="preserve"> et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accepter lorsque le nombre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enregistrées est inférieur à a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>.  La seconde année, prélever un échantillon de taille n (comme la première année) et rejeter la variété candidate lorsque le nombre total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enregistrées au cours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examen réparti sur les deux années est supérieur à r.  Si tel n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est pas le cas, accepter la variété candida</w:t>
      </w:r>
      <w:r w:rsidR="006F3565" w:rsidRPr="006F3565">
        <w:rPr>
          <w:noProof/>
          <w:lang w:val="fr-FR"/>
        </w:rPr>
        <w:t>te.  Po</w:t>
      </w:r>
      <w:r w:rsidRPr="006F3565">
        <w:rPr>
          <w:noProof/>
          <w:lang w:val="fr-FR"/>
        </w:rPr>
        <w:t>ur calculer les risques finals et la taille attendue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échantillon dans le cadre de cette méthode, procéder comme suit</w:t>
      </w:r>
      <w:r w:rsidR="002045AD" w:rsidRPr="006F3565">
        <w:rPr>
          <w:noProof/>
          <w:lang w:val="fr-FR"/>
        </w:rPr>
        <w:t> :</w:t>
      </w:r>
    </w:p>
    <w:p w:rsidR="00925E5A" w:rsidRPr="006F3565" w:rsidRDefault="00925E5A">
      <w:pPr>
        <w:jc w:val="left"/>
        <w:rPr>
          <w:noProof/>
          <w:lang w:val="fr-FR"/>
        </w:rPr>
      </w:pPr>
      <w:r w:rsidRPr="006F3565">
        <w:rPr>
          <w:noProof/>
          <w:lang w:val="fr-FR"/>
        </w:rPr>
        <w:br w:type="page"/>
      </w: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rPr>
          <w:lang w:val="pt-BR"/>
        </w:rPr>
      </w:pPr>
      <w:r w:rsidRPr="00892563">
        <w:rPr>
          <w:rFonts w:ascii="Greek Symbols" w:hAnsi="Greek Symbols"/>
          <w:lang w:val="pt-BR"/>
        </w:rPr>
        <w:lastRenderedPageBreak/>
        <w:br w:type="page"/>
      </w:r>
      <w:r w:rsidRPr="00245109">
        <w:t>α</w:t>
      </w:r>
      <w:r w:rsidRPr="00245109">
        <w:rPr>
          <w:lang w:val="pt-BR"/>
        </w:rPr>
        <w:tab/>
        <w:t xml:space="preserve">= </w:t>
      </w:r>
      <w:proofErr w:type="gramStart"/>
      <w:r w:rsidRPr="00245109">
        <w:rPr>
          <w:lang w:val="pt-BR"/>
        </w:rPr>
        <w:t>P(</w:t>
      </w:r>
      <w:proofErr w:type="gramEnd"/>
      <w:r w:rsidRPr="00245109">
        <w:rPr>
          <w:lang w:val="pt-BR"/>
        </w:rPr>
        <w:t>K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 xml:space="preserve"> &gt; r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>) + P(K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 xml:space="preserve"> + K</w:t>
      </w:r>
      <w:r w:rsidRPr="00245109">
        <w:rPr>
          <w:vertAlign w:val="subscript"/>
          <w:lang w:val="pt-BR"/>
        </w:rPr>
        <w:t>2</w:t>
      </w:r>
      <w:r w:rsidRPr="00245109">
        <w:rPr>
          <w:lang w:val="pt-BR"/>
        </w:rPr>
        <w:t xml:space="preserve"> &gt; r</w:t>
      </w:r>
      <w:r w:rsidRPr="00245109">
        <w:rPr>
          <w:rFonts w:ascii="Symbol" w:hAnsi="Symbol"/>
        </w:rPr>
        <w:t></w:t>
      </w:r>
      <w:r w:rsidRPr="00245109">
        <w:rPr>
          <w:lang w:val="pt-BR"/>
        </w:rPr>
        <w:t>K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>)</w:t>
      </w: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rPr>
          <w:lang w:val="pt-BR"/>
        </w:rPr>
      </w:pPr>
      <w:r w:rsidRPr="00245109">
        <w:rPr>
          <w:lang w:val="pt-BR"/>
        </w:rPr>
        <w:tab/>
        <w:t>= P(K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 xml:space="preserve"> &gt; r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>) + P(K</w:t>
      </w:r>
      <w:r w:rsidRPr="00245109">
        <w:rPr>
          <w:vertAlign w:val="subscript"/>
          <w:lang w:val="pt-BR"/>
        </w:rPr>
        <w:t>2</w:t>
      </w:r>
      <w:r w:rsidRPr="00245109">
        <w:rPr>
          <w:lang w:val="pt-BR"/>
        </w:rPr>
        <w:t xml:space="preserve"> &gt; r-K</w:t>
      </w:r>
      <w:r w:rsidRPr="00245109">
        <w:rPr>
          <w:vertAlign w:val="subscript"/>
          <w:lang w:val="pt-BR"/>
        </w:rPr>
        <w:t>1</w:t>
      </w:r>
      <w:r w:rsidRPr="00245109">
        <w:rPr>
          <w:rFonts w:ascii="Symbol" w:hAnsi="Symbol"/>
        </w:rPr>
        <w:t></w:t>
      </w:r>
      <w:r w:rsidRPr="00245109">
        <w:rPr>
          <w:lang w:val="pt-BR"/>
        </w:rPr>
        <w:t>K</w:t>
      </w:r>
      <w:r w:rsidRPr="00245109">
        <w:rPr>
          <w:vertAlign w:val="subscript"/>
          <w:lang w:val="pt-BR"/>
        </w:rPr>
        <w:t>1</w:t>
      </w:r>
      <w:r w:rsidRPr="00245109">
        <w:rPr>
          <w:lang w:val="pt-BR"/>
        </w:rPr>
        <w:t>)</w:t>
      </w: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  <w:rPr>
          <w:lang w:val="pt-BR"/>
        </w:rPr>
      </w:pP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245109">
        <w:rPr>
          <w:position w:val="-32"/>
        </w:rPr>
        <w:object w:dxaOrig="6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9pt;height:36.55pt" o:ole="" fillcolor="window">
            <v:imagedata r:id="rId12" o:title=""/>
          </v:shape>
          <o:OLEObject Type="Embed" ProgID="Equation.3" ShapeID="_x0000_i1025" DrawAspect="Content" ObjectID="_1600607965" r:id="rId13"/>
        </w:object>
      </w: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</w:pP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245109">
        <w:t>β</w:t>
      </w:r>
      <w:r w:rsidRPr="00245109">
        <w:rPr>
          <w:vertAlign w:val="subscript"/>
        </w:rPr>
        <w:t xml:space="preserve"> q</w:t>
      </w:r>
      <w:r w:rsidRPr="00245109">
        <w:rPr>
          <w:vertAlign w:val="subscript"/>
        </w:rPr>
        <w:tab/>
      </w:r>
      <w:r w:rsidRPr="00245109">
        <w:t>= P(K</w:t>
      </w:r>
      <w:r w:rsidRPr="00245109">
        <w:rPr>
          <w:vertAlign w:val="subscript"/>
        </w:rPr>
        <w:t>1</w:t>
      </w:r>
      <w:r w:rsidRPr="00245109">
        <w:t xml:space="preserve"> &lt; α</w:t>
      </w:r>
      <w:r w:rsidRPr="00245109">
        <w:rPr>
          <w:vertAlign w:val="subscript"/>
        </w:rPr>
        <w:t xml:space="preserve"> 1</w:t>
      </w:r>
      <w:r w:rsidRPr="00245109">
        <w:t>) + P(K</w:t>
      </w:r>
      <w:r w:rsidRPr="00245109">
        <w:rPr>
          <w:vertAlign w:val="subscript"/>
        </w:rPr>
        <w:t>1</w:t>
      </w:r>
      <w:r w:rsidRPr="00245109">
        <w:t xml:space="preserve"> + K</w:t>
      </w:r>
      <w:r w:rsidRPr="00245109">
        <w:rPr>
          <w:vertAlign w:val="subscript"/>
        </w:rPr>
        <w:t>2</w:t>
      </w:r>
      <w:r w:rsidRPr="00245109">
        <w:t xml:space="preserve"> </w:t>
      </w:r>
      <w:r w:rsidRPr="00245109">
        <w:rPr>
          <w:rFonts w:ascii="Symbol" w:hAnsi="Symbol"/>
        </w:rPr>
        <w:t></w:t>
      </w:r>
      <w:r w:rsidRPr="00245109">
        <w:t xml:space="preserve"> r</w:t>
      </w:r>
      <w:r w:rsidRPr="00245109">
        <w:rPr>
          <w:rFonts w:ascii="Symbol" w:hAnsi="Symbol"/>
        </w:rPr>
        <w:t></w:t>
      </w:r>
      <w:r w:rsidRPr="00245109">
        <w:t>K</w:t>
      </w:r>
      <w:r w:rsidRPr="00245109">
        <w:rPr>
          <w:vertAlign w:val="subscript"/>
        </w:rPr>
        <w:t>1</w:t>
      </w:r>
      <w:r w:rsidRPr="00245109">
        <w:t xml:space="preserve">)  </w:t>
      </w: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ind w:firstLine="339"/>
      </w:pPr>
      <w:r w:rsidRPr="00245109">
        <w:t>= P(K</w:t>
      </w:r>
      <w:r w:rsidRPr="00245109">
        <w:rPr>
          <w:vertAlign w:val="subscript"/>
        </w:rPr>
        <w:t>1</w:t>
      </w:r>
      <w:r w:rsidRPr="00245109">
        <w:t xml:space="preserve"> &lt; α</w:t>
      </w:r>
      <w:r w:rsidRPr="00245109">
        <w:rPr>
          <w:vertAlign w:val="subscript"/>
        </w:rPr>
        <w:t xml:space="preserve"> 1</w:t>
      </w:r>
      <w:r w:rsidRPr="00245109">
        <w:t>) + P(K</w:t>
      </w:r>
      <w:r w:rsidRPr="00245109">
        <w:rPr>
          <w:vertAlign w:val="subscript"/>
        </w:rPr>
        <w:t>2</w:t>
      </w:r>
      <w:r w:rsidRPr="00245109">
        <w:t xml:space="preserve"> </w:t>
      </w:r>
      <w:r w:rsidRPr="00245109">
        <w:rPr>
          <w:rFonts w:ascii="Symbol" w:hAnsi="Symbol"/>
        </w:rPr>
        <w:t></w:t>
      </w:r>
      <w:r w:rsidRPr="00245109">
        <w:t xml:space="preserve"> r-K</w:t>
      </w:r>
      <w:r w:rsidRPr="00245109">
        <w:rPr>
          <w:vertAlign w:val="subscript"/>
        </w:rPr>
        <w:t>1</w:t>
      </w:r>
      <w:r w:rsidRPr="00245109">
        <w:rPr>
          <w:rFonts w:ascii="Symbol" w:hAnsi="Symbol"/>
        </w:rPr>
        <w:t></w:t>
      </w:r>
      <w:r w:rsidRPr="00245109">
        <w:t>K</w:t>
      </w:r>
      <w:r w:rsidRPr="00245109">
        <w:rPr>
          <w:vertAlign w:val="subscript"/>
        </w:rPr>
        <w:t>1</w:t>
      </w:r>
      <w:r w:rsidRPr="00245109">
        <w:t>)</w:t>
      </w: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jc w:val="center"/>
      </w:pPr>
    </w:p>
    <w:p w:rsidR="005938D7" w:rsidRPr="00245109" w:rsidRDefault="005938D7" w:rsidP="005938D7">
      <w:pPr>
        <w:framePr w:w="8835" w:hSpace="240" w:vSpace="240" w:wrap="auto" w:vAnchor="text" w:hAnchor="page" w:x="1725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</w:pPr>
      <w:r w:rsidRPr="00245109">
        <w:rPr>
          <w:position w:val="-32"/>
        </w:rPr>
        <w:object w:dxaOrig="6540" w:dyaOrig="740">
          <v:shape id="_x0000_i1026" type="#_x0000_t75" style="width:326.15pt;height:36.55pt" o:ole="" fillcolor="window">
            <v:imagedata r:id="rId14" o:title=""/>
          </v:shape>
          <o:OLEObject Type="Embed" ProgID="Equation.3" ShapeID="_x0000_i1026" DrawAspect="Content" ObjectID="_1600607966" r:id="rId15"/>
        </w:object>
      </w:r>
    </w:p>
    <w:p w:rsidR="00826A96" w:rsidRPr="006F3565" w:rsidRDefault="00826A96" w:rsidP="00875D6A">
      <w:pPr>
        <w:rPr>
          <w:noProof/>
          <w:lang w:val="fr-FR"/>
        </w:rPr>
      </w:pPr>
    </w:p>
    <w:p w:rsidR="005938D7" w:rsidRPr="00245109" w:rsidRDefault="005938D7" w:rsidP="005938D7">
      <w:pPr>
        <w:framePr w:w="8835" w:hSpace="240" w:vSpace="240" w:wrap="auto" w:vAnchor="text" w:hAnchor="margin" w:x="-2" w:y="1"/>
        <w:pBdr>
          <w:top w:val="single" w:sz="6" w:space="5" w:color="FFFFFF"/>
          <w:left w:val="single" w:sz="6" w:space="5" w:color="FFFFFF"/>
          <w:bottom w:val="single" w:sz="6" w:space="5" w:color="FFFFFF"/>
          <w:right w:val="single" w:sz="6" w:space="5" w:color="FFFFFF"/>
        </w:pBdr>
        <w:ind w:left="851"/>
      </w:pPr>
      <w:r w:rsidRPr="00245109">
        <w:rPr>
          <w:position w:val="-34"/>
        </w:rPr>
        <w:object w:dxaOrig="6540" w:dyaOrig="800">
          <v:shape id="_x0000_i1027" type="#_x0000_t75" style="width:326.15pt;height:39.75pt" o:ole="" fillcolor="window">
            <v:imagedata r:id="rId16" o:title=""/>
          </v:shape>
          <o:OLEObject Type="Embed" ProgID="Equation.3" ShapeID="_x0000_i1027" DrawAspect="Content" ObjectID="_1600607967" r:id="rId17"/>
        </w:objec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étant entendu que</w:t>
      </w:r>
    </w:p>
    <w:p w:rsidR="00826A96" w:rsidRPr="006F3565" w:rsidRDefault="00826A96" w:rsidP="00875D6A">
      <w:pPr>
        <w:pStyle w:val="CommentText"/>
        <w:tabs>
          <w:tab w:val="left" w:pos="-850"/>
          <w:tab w:val="left" w:pos="0"/>
          <w:tab w:val="left" w:pos="339"/>
          <w:tab w:val="left" w:pos="1132"/>
          <w:tab w:val="left" w:pos="1700"/>
          <w:tab w:val="left" w:pos="2552"/>
          <w:tab w:val="left" w:pos="3403"/>
          <w:tab w:val="left" w:pos="3684"/>
          <w:tab w:val="left" w:pos="4254"/>
          <w:tab w:val="left" w:pos="5104"/>
          <w:tab w:val="left" w:pos="5954"/>
          <w:tab w:val="left" w:pos="6804"/>
          <w:tab w:val="left" w:pos="7654"/>
          <w:tab w:val="left" w:pos="8504"/>
        </w:tabs>
        <w:rPr>
          <w:rFonts w:ascii="Arial" w:hAnsi="Arial" w:cs="Arial"/>
          <w:noProof/>
          <w:sz w:val="20"/>
        </w:rPr>
      </w:pP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rFonts w:cs="Arial"/>
          <w:noProof/>
          <w:lang w:val="fr-FR"/>
        </w:rPr>
        <w:t>P</w:t>
      </w:r>
      <w:r w:rsidRPr="006F3565">
        <w:rPr>
          <w:rFonts w:cs="Arial"/>
          <w:noProof/>
          <w:lang w:val="fr-FR"/>
        </w:rPr>
        <w:tab/>
        <w:t>=</w:t>
      </w:r>
      <w:r w:rsidRPr="006F3565">
        <w:rPr>
          <w:rFonts w:cs="Arial"/>
          <w:noProof/>
          <w:lang w:val="fr-FR"/>
        </w:rPr>
        <w:tab/>
        <w:t>norme de population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α</w:t>
      </w:r>
      <w:r w:rsidRPr="006F3565">
        <w:rPr>
          <w:noProof/>
          <w:lang w:val="fr-FR"/>
        </w:rPr>
        <w:tab/>
        <w:t>=</w:t>
      </w:r>
      <w:r w:rsidRPr="006F3565">
        <w:rPr>
          <w:noProof/>
          <w:lang w:val="fr-FR"/>
        </w:rPr>
        <w:tab/>
        <w:t>probabilité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erreur effective de type I pour P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β</w:t>
      </w:r>
      <w:r w:rsidRPr="006F3565">
        <w:rPr>
          <w:noProof/>
          <w:vertAlign w:val="subscript"/>
          <w:lang w:val="fr-FR"/>
        </w:rPr>
        <w:t>q</w:t>
      </w:r>
      <w:r w:rsidRPr="006F3565">
        <w:rPr>
          <w:noProof/>
          <w:lang w:val="fr-FR"/>
        </w:rPr>
        <w:tab/>
        <w:t>=</w:t>
      </w:r>
      <w:r w:rsidRPr="006F3565">
        <w:rPr>
          <w:noProof/>
          <w:lang w:val="fr-FR"/>
        </w:rPr>
        <w:tab/>
        <w:t>probabilité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erreur effective de type</w:t>
      </w:r>
      <w:r w:rsidR="006F3565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II pour q P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n</w:t>
      </w:r>
      <w:r w:rsidRPr="006F3565">
        <w:rPr>
          <w:noProof/>
          <w:vertAlign w:val="subscript"/>
          <w:lang w:val="fr-FR"/>
        </w:rPr>
        <w:t xml:space="preserve">e </w:t>
      </w:r>
      <w:r w:rsidRPr="006F3565">
        <w:rPr>
          <w:noProof/>
          <w:lang w:val="fr-FR"/>
        </w:rPr>
        <w:tab/>
        <w:t xml:space="preserve">= </w:t>
      </w:r>
      <w:r w:rsidRPr="006F3565">
        <w:rPr>
          <w:noProof/>
          <w:lang w:val="fr-FR"/>
        </w:rPr>
        <w:tab/>
        <w:t>taille attendue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échantillon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r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>, a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 xml:space="preserve"> et r sont les paramètres de décision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P</w:t>
      </w:r>
      <w:r w:rsidRPr="006F3565">
        <w:rPr>
          <w:noProof/>
          <w:vertAlign w:val="subscript"/>
          <w:lang w:val="fr-FR"/>
        </w:rPr>
        <w:t>q</w:t>
      </w:r>
      <w:r w:rsidRPr="006F3565">
        <w:rPr>
          <w:noProof/>
          <w:lang w:val="fr-FR"/>
        </w:rPr>
        <w:t xml:space="preserve"> </w:t>
      </w:r>
      <w:r w:rsidRPr="006F3565">
        <w:rPr>
          <w:noProof/>
          <w:lang w:val="fr-FR"/>
        </w:rPr>
        <w:tab/>
        <w:t xml:space="preserve">= </w:t>
      </w:r>
      <w:r w:rsidRPr="006F3565">
        <w:rPr>
          <w:noProof/>
          <w:lang w:val="fr-FR"/>
        </w:rPr>
        <w:tab/>
        <w:t>q fois la norme de population = q P</w:t>
      </w: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K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 xml:space="preserve"> et K</w:t>
      </w:r>
      <w:r w:rsidRPr="006F3565">
        <w:rPr>
          <w:noProof/>
          <w:vertAlign w:val="subscript"/>
          <w:lang w:val="fr-FR"/>
        </w:rPr>
        <w:t>2</w:t>
      </w:r>
      <w:r w:rsidRPr="006F3565">
        <w:rPr>
          <w:noProof/>
          <w:lang w:val="fr-FR"/>
        </w:rPr>
        <w:t xml:space="preserve"> représentent le nombre de plantes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 enregistrées au cours des années 1 et 2, respectivement.</w:t>
      </w: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Les paramètres de décision</w:t>
      </w:r>
      <w:r w:rsidR="006F3565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a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>, r</w:t>
      </w:r>
      <w:r w:rsidRPr="006F3565">
        <w:rPr>
          <w:noProof/>
          <w:vertAlign w:val="subscript"/>
          <w:lang w:val="fr-FR"/>
        </w:rPr>
        <w:t>1</w:t>
      </w:r>
      <w:r w:rsidRPr="006F3565">
        <w:rPr>
          <w:noProof/>
          <w:lang w:val="fr-FR"/>
        </w:rPr>
        <w:t xml:space="preserve"> et r peuvent être choisis en fonction des critères suivants</w:t>
      </w:r>
      <w:r w:rsidR="002045AD" w:rsidRPr="006F3565">
        <w:rPr>
          <w:noProof/>
          <w:lang w:val="fr-FR"/>
        </w:rPr>
        <w:t> :</w:t>
      </w: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5938D7">
      <w:pPr>
        <w:pStyle w:val="ListParagraph"/>
        <w:numPr>
          <w:ilvl w:val="0"/>
          <w:numId w:val="3"/>
        </w:numPr>
        <w:ind w:left="567" w:firstLine="0"/>
        <w:rPr>
          <w:noProof/>
        </w:rPr>
      </w:pPr>
      <w:r w:rsidRPr="006F3565">
        <w:rPr>
          <w:noProof/>
        </w:rPr>
        <w:t>α doit être inférieur à α</w:t>
      </w:r>
      <w:r w:rsidRPr="006F3565">
        <w:rPr>
          <w:noProof/>
          <w:vertAlign w:val="subscript"/>
        </w:rPr>
        <w:t>0</w:t>
      </w:r>
      <w:r w:rsidRPr="006F3565">
        <w:rPr>
          <w:noProof/>
        </w:rPr>
        <w:t>, α</w:t>
      </w:r>
      <w:r w:rsidRPr="006F3565">
        <w:rPr>
          <w:noProof/>
          <w:vertAlign w:val="subscript"/>
        </w:rPr>
        <w:t>0</w:t>
      </w:r>
      <w:r w:rsidRPr="006F3565">
        <w:rPr>
          <w:noProof/>
        </w:rPr>
        <w:t xml:space="preserve"> représentant la probabilité maximum d</w:t>
      </w:r>
      <w:r w:rsidR="002045AD" w:rsidRPr="006F3565">
        <w:rPr>
          <w:noProof/>
        </w:rPr>
        <w:t>’</w:t>
      </w:r>
      <w:r w:rsidRPr="006F3565">
        <w:rPr>
          <w:noProof/>
        </w:rPr>
        <w:t>erreur de type I (α</w:t>
      </w:r>
      <w:r w:rsidRPr="006F3565">
        <w:rPr>
          <w:noProof/>
          <w:vertAlign w:val="subscript"/>
        </w:rPr>
        <w:t>0</w:t>
      </w:r>
      <w:r w:rsidRPr="006F3565">
        <w:rPr>
          <w:noProof/>
        </w:rPr>
        <w:t>est égal à</w:t>
      </w:r>
      <w:r w:rsidR="005938D7">
        <w:rPr>
          <w:noProof/>
        </w:rPr>
        <w:t> </w:t>
      </w:r>
      <w:r w:rsidRPr="006F3565">
        <w:rPr>
          <w:noProof/>
        </w:rPr>
        <w:t>100% moins la probabilité d</w:t>
      </w:r>
      <w:r w:rsidR="002045AD" w:rsidRPr="006F3565">
        <w:rPr>
          <w:noProof/>
        </w:rPr>
        <w:t>’</w:t>
      </w:r>
      <w:r w:rsidRPr="006F3565">
        <w:rPr>
          <w:noProof/>
        </w:rPr>
        <w:t>acceptation requise);</w:t>
      </w:r>
    </w:p>
    <w:p w:rsidR="00826A96" w:rsidRPr="006F3565" w:rsidRDefault="00F350C9" w:rsidP="005938D7">
      <w:pPr>
        <w:pStyle w:val="ListParagraph"/>
        <w:numPr>
          <w:ilvl w:val="0"/>
          <w:numId w:val="3"/>
        </w:numPr>
        <w:ind w:left="1134" w:hanging="567"/>
        <w:rPr>
          <w:noProof/>
        </w:rPr>
      </w:pPr>
      <w:r w:rsidRPr="006F3565">
        <w:rPr>
          <w:noProof/>
        </w:rPr>
        <w:t>β</w:t>
      </w:r>
      <w:r w:rsidRPr="006F3565">
        <w:rPr>
          <w:noProof/>
          <w:vertAlign w:val="subscript"/>
        </w:rPr>
        <w:t>q</w:t>
      </w:r>
      <w:r w:rsidR="00875D6A" w:rsidRPr="006F3565">
        <w:rPr>
          <w:noProof/>
        </w:rPr>
        <w:t xml:space="preserve"> (pour q=5) doit être aussi petit que possible mais pas inférieur à α</w:t>
      </w:r>
      <w:r w:rsidR="00875D6A" w:rsidRPr="006F3565">
        <w:rPr>
          <w:noProof/>
          <w:vertAlign w:val="subscript"/>
        </w:rPr>
        <w:t>0</w:t>
      </w:r>
      <w:r w:rsidR="00875D6A" w:rsidRPr="006F3565">
        <w:rPr>
          <w:noProof/>
        </w:rPr>
        <w:t>;</w:t>
      </w:r>
    </w:p>
    <w:p w:rsidR="00826A96" w:rsidRPr="006F3565" w:rsidRDefault="00875D6A" w:rsidP="005938D7">
      <w:pPr>
        <w:pStyle w:val="ListParagraph"/>
        <w:numPr>
          <w:ilvl w:val="0"/>
          <w:numId w:val="3"/>
        </w:numPr>
        <w:ind w:left="1134" w:hanging="567"/>
        <w:rPr>
          <w:noProof/>
        </w:rPr>
      </w:pPr>
      <w:r w:rsidRPr="006F3565">
        <w:rPr>
          <w:noProof/>
        </w:rPr>
        <w:t>si β</w:t>
      </w:r>
      <w:r w:rsidRPr="006F3565">
        <w:rPr>
          <w:noProof/>
          <w:vertAlign w:val="subscript"/>
        </w:rPr>
        <w:t>q</w:t>
      </w:r>
      <w:r w:rsidRPr="006F3565">
        <w:rPr>
          <w:noProof/>
        </w:rPr>
        <w:t xml:space="preserve"> (pour q=5) &lt; α</w:t>
      </w:r>
      <w:r w:rsidRPr="006F3565">
        <w:rPr>
          <w:noProof/>
          <w:vertAlign w:val="subscript"/>
        </w:rPr>
        <w:t>0</w:t>
      </w:r>
      <w:r w:rsidRPr="006F3565">
        <w:rPr>
          <w:noProof/>
        </w:rPr>
        <w:t>, n</w:t>
      </w:r>
      <w:r w:rsidRPr="006F3565">
        <w:rPr>
          <w:noProof/>
          <w:vertAlign w:val="subscript"/>
        </w:rPr>
        <w:t>e</w:t>
      </w:r>
      <w:r w:rsidRPr="006F3565">
        <w:rPr>
          <w:noProof/>
        </w:rPr>
        <w:t xml:space="preserve"> doit être aussi petit que possible.</w:t>
      </w: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875D6A">
      <w:pPr>
        <w:rPr>
          <w:noProof/>
          <w:lang w:val="fr-FR"/>
        </w:rPr>
      </w:pPr>
      <w:r w:rsidRPr="006F3565">
        <w:rPr>
          <w:bCs/>
          <w:noProof/>
          <w:lang w:val="fr-FR"/>
        </w:rPr>
        <w:t>8</w:t>
      </w:r>
      <w:r w:rsidRPr="006F3565">
        <w:rPr>
          <w:noProof/>
          <w:lang w:val="fr-FR"/>
        </w:rPr>
        <w:t>.1.7.3.2</w:t>
      </w:r>
      <w:r w:rsidRPr="006F3565">
        <w:rPr>
          <w:noProof/>
          <w:lang w:val="fr-FR"/>
        </w:rPr>
        <w:tab/>
        <w:t>Il existe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autres méthodes pour lesquelles aucune table ni figure n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est reproduite dans le présent document car on pourrait avoir plusieurs schémas de décision différents pour un certain niveau de risq</w:t>
      </w:r>
      <w:r w:rsidR="006F3565" w:rsidRPr="006F3565">
        <w:rPr>
          <w:noProof/>
          <w:lang w:val="fr-FR"/>
        </w:rPr>
        <w:t>ue.  Il</w:t>
      </w:r>
      <w:r w:rsidRPr="006F3565">
        <w:rPr>
          <w:noProof/>
          <w:lang w:val="fr-FR"/>
        </w:rPr>
        <w:t xml:space="preserve"> est proposé de consulter un statisticien si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on doit conduire un examen en deux étapes (ou tout autre examen séquentiel).</w:t>
      </w: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26A96" w:rsidP="00875D6A">
      <w:pPr>
        <w:rPr>
          <w:noProof/>
          <w:lang w:val="fr-FR"/>
        </w:rPr>
      </w:pPr>
    </w:p>
    <w:p w:rsidR="00826A96" w:rsidRPr="006F3565" w:rsidRDefault="00875D6A" w:rsidP="00875D6A">
      <w:pPr>
        <w:pStyle w:val="Heading5"/>
        <w:rPr>
          <w:lang w:val="fr-FR"/>
        </w:rPr>
      </w:pPr>
      <w:bookmarkStart w:id="21" w:name="_Toc154368854"/>
      <w:bookmarkStart w:id="22" w:name="_Toc219640841"/>
      <w:bookmarkStart w:id="23" w:name="_Toc463361713"/>
      <w:r w:rsidRPr="00E00310">
        <w:rPr>
          <w:i w:val="0"/>
          <w:szCs w:val="24"/>
          <w:lang w:val="fr-FR"/>
        </w:rPr>
        <w:t>8.</w:t>
      </w:r>
      <w:r w:rsidRPr="00E00310">
        <w:rPr>
          <w:i w:val="0"/>
          <w:lang w:val="fr-FR"/>
        </w:rPr>
        <w:t>1.7.4</w:t>
      </w:r>
      <w:r w:rsidRPr="006F3565">
        <w:rPr>
          <w:lang w:val="fr-FR"/>
        </w:rPr>
        <w:tab/>
        <w:t>Essais séquentiels</w:t>
      </w:r>
      <w:bookmarkEnd w:id="21"/>
      <w:bookmarkEnd w:id="22"/>
      <w:bookmarkEnd w:id="23"/>
    </w:p>
    <w:p w:rsidR="00826A96" w:rsidRPr="006F3565" w:rsidRDefault="00826A96" w:rsidP="001F60ED">
      <w:pPr>
        <w:rPr>
          <w:lang w:val="fr-FR"/>
        </w:rPr>
      </w:pPr>
    </w:p>
    <w:p w:rsidR="002045AD" w:rsidRPr="006F3565" w:rsidRDefault="00875D6A" w:rsidP="00875D6A">
      <w:pPr>
        <w:rPr>
          <w:noProof/>
          <w:lang w:val="fr-FR"/>
        </w:rPr>
      </w:pPr>
      <w:r w:rsidRPr="006F3565">
        <w:rPr>
          <w:noProof/>
          <w:lang w:val="fr-FR"/>
        </w:rPr>
        <w:t>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examen en deux</w:t>
      </w:r>
      <w:r w:rsidR="00A315AA" w:rsidRPr="006F3565">
        <w:rPr>
          <w:noProof/>
          <w:lang w:val="fr-FR"/>
        </w:rPr>
        <w:t> </w:t>
      </w:r>
      <w:r w:rsidRPr="006F3565">
        <w:rPr>
          <w:noProof/>
          <w:lang w:val="fr-FR"/>
        </w:rPr>
        <w:t>étapes susmentionné est un examen séquentiel dans lequel les résultats obtenus lors de la première étape permettent de décider si la seconde étape doit avoir li</w:t>
      </w:r>
      <w:r w:rsidR="006F3565" w:rsidRPr="006F3565">
        <w:rPr>
          <w:noProof/>
          <w:lang w:val="fr-FR"/>
        </w:rPr>
        <w:t>eu.  D’a</w:t>
      </w:r>
      <w:r w:rsidRPr="006F3565">
        <w:rPr>
          <w:noProof/>
          <w:lang w:val="fr-FR"/>
        </w:rPr>
        <w:t>utres types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examen séquentiel peuvent être aussi utilis</w:t>
      </w:r>
      <w:r w:rsidR="006F3565" w:rsidRPr="006F3565">
        <w:rPr>
          <w:noProof/>
          <w:lang w:val="fr-FR"/>
        </w:rPr>
        <w:t>és.  Il</w:t>
      </w:r>
      <w:r w:rsidRPr="006F3565">
        <w:rPr>
          <w:noProof/>
          <w:lang w:val="fr-FR"/>
        </w:rPr>
        <w:t>s peuvent en particulier être utiles lorsqu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il est possible d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observer les plantes pour recherches les hors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types à différents moments de l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examen de la varié</w:t>
      </w:r>
      <w:r w:rsidR="006F3565" w:rsidRPr="006F3565">
        <w:rPr>
          <w:noProof/>
          <w:lang w:val="fr-FR"/>
        </w:rPr>
        <w:t>té.  Le</w:t>
      </w:r>
      <w:r w:rsidRPr="006F3565">
        <w:rPr>
          <w:noProof/>
          <w:lang w:val="fr-FR"/>
        </w:rPr>
        <w:t>s schémas de décision découlant de ces analyses peuvent être établis de nombreuses manières différentes;  aussi est</w:t>
      </w:r>
      <w:r w:rsidR="00804488">
        <w:rPr>
          <w:noProof/>
          <w:lang w:val="fr-FR"/>
        </w:rPr>
        <w:noBreakHyphen/>
      </w:r>
      <w:r w:rsidRPr="006F3565">
        <w:rPr>
          <w:noProof/>
          <w:lang w:val="fr-FR"/>
        </w:rPr>
        <w:t>il recommandé de consulter un statisticien lorsqu</w:t>
      </w:r>
      <w:r w:rsidR="002045AD" w:rsidRPr="006F3565">
        <w:rPr>
          <w:noProof/>
          <w:lang w:val="fr-FR"/>
        </w:rPr>
        <w:t>’</w:t>
      </w:r>
      <w:r w:rsidRPr="006F3565">
        <w:rPr>
          <w:noProof/>
          <w:lang w:val="fr-FR"/>
        </w:rPr>
        <w:t>on souhaite recourir aux examens séquentiels.</w:t>
      </w:r>
    </w:p>
    <w:p w:rsidR="00826A96" w:rsidRPr="006F3565" w:rsidRDefault="00826A96" w:rsidP="00245109">
      <w:pPr>
        <w:rPr>
          <w:lang w:val="fr-FR"/>
        </w:rPr>
      </w:pPr>
    </w:p>
    <w:p w:rsidR="00826A96" w:rsidRPr="006F3565" w:rsidRDefault="00826A96" w:rsidP="00245109">
      <w:pPr>
        <w:rPr>
          <w:lang w:val="fr-FR"/>
        </w:rPr>
      </w:pPr>
    </w:p>
    <w:p w:rsidR="002045AD" w:rsidRPr="006F3565" w:rsidRDefault="002045AD" w:rsidP="00E13C80">
      <w:pPr>
        <w:rPr>
          <w:lang w:val="fr-FR"/>
        </w:rPr>
      </w:pPr>
    </w:p>
    <w:p w:rsidR="00826A96" w:rsidRPr="006F3565" w:rsidRDefault="00245109" w:rsidP="0089512B">
      <w:pPr>
        <w:jc w:val="right"/>
        <w:rPr>
          <w:lang w:val="fr-FR"/>
        </w:rPr>
      </w:pPr>
      <w:r w:rsidRPr="006F3565">
        <w:rPr>
          <w:lang w:val="fr-FR"/>
        </w:rPr>
        <w:t>[</w:t>
      </w:r>
      <w:r w:rsidR="00875D6A" w:rsidRPr="006F3565">
        <w:rPr>
          <w:lang w:val="fr-FR"/>
        </w:rPr>
        <w:t>L</w:t>
      </w:r>
      <w:r w:rsidR="002045AD" w:rsidRPr="006F3565">
        <w:rPr>
          <w:lang w:val="fr-FR"/>
        </w:rPr>
        <w:t>’annexe I</w:t>
      </w:r>
      <w:r w:rsidRPr="006F3565">
        <w:rPr>
          <w:lang w:val="fr-FR"/>
        </w:rPr>
        <w:t xml:space="preserve">I </w:t>
      </w:r>
      <w:r w:rsidR="00875D6A" w:rsidRPr="006F3565">
        <w:rPr>
          <w:lang w:val="fr-FR"/>
        </w:rPr>
        <w:t>suit</w:t>
      </w:r>
      <w:r w:rsidRPr="006F3565">
        <w:rPr>
          <w:lang w:val="fr-FR"/>
        </w:rPr>
        <w:t>]</w:t>
      </w:r>
    </w:p>
    <w:p w:rsidR="00245109" w:rsidRPr="006F3565" w:rsidRDefault="00245109" w:rsidP="0089512B">
      <w:pPr>
        <w:jc w:val="right"/>
        <w:rPr>
          <w:lang w:val="fr-FR"/>
        </w:rPr>
        <w:sectPr w:rsidR="00245109" w:rsidRPr="006F3565" w:rsidSect="00E2214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26A96" w:rsidRPr="006F3565" w:rsidRDefault="00826A96" w:rsidP="00245109">
      <w:pPr>
        <w:ind w:left="-567" w:right="-567"/>
        <w:rPr>
          <w:rFonts w:cs="Arial"/>
          <w:caps/>
          <w:snapToGrid w:val="0"/>
          <w:lang w:val="fr-FR"/>
        </w:rPr>
      </w:pPr>
    </w:p>
    <w:p w:rsidR="00826A96" w:rsidRPr="006F3565" w:rsidRDefault="00826A96" w:rsidP="00245109">
      <w:pPr>
        <w:ind w:left="-567" w:right="-567"/>
        <w:rPr>
          <w:rFonts w:cs="Arial"/>
          <w:caps/>
          <w:snapToGrid w:val="0"/>
          <w:lang w:val="fr-FR"/>
        </w:rPr>
      </w:pPr>
    </w:p>
    <w:p w:rsidR="00826A96" w:rsidRPr="006F3565" w:rsidRDefault="00826A96" w:rsidP="00826A96">
      <w:pPr>
        <w:jc w:val="center"/>
        <w:rPr>
          <w:caps/>
          <w:lang w:val="fr-FR"/>
        </w:rPr>
      </w:pPr>
      <w:bookmarkStart w:id="24" w:name="ANN2"/>
      <w:bookmarkEnd w:id="24"/>
      <w:r w:rsidRPr="006F3565">
        <w:rPr>
          <w:caps/>
          <w:lang w:val="fr-FR"/>
        </w:rPr>
        <w:t>Projet de proposition pour la révision du document</w:t>
      </w:r>
      <w:r w:rsidR="006F3565" w:rsidRPr="006F3565">
        <w:rPr>
          <w:caps/>
          <w:lang w:val="fr-FR"/>
        </w:rPr>
        <w:t> </w:t>
      </w:r>
      <w:r w:rsidRPr="006F3565">
        <w:rPr>
          <w:caps/>
          <w:lang w:val="fr-FR"/>
        </w:rPr>
        <w:t>TGP/</w:t>
      </w:r>
      <w:r w:rsidR="00D4077E" w:rsidRPr="006F3565">
        <w:rPr>
          <w:caps/>
          <w:lang w:val="fr-FR"/>
        </w:rPr>
        <w:t xml:space="preserve">8, deuxième partie, section 8 </w:t>
      </w:r>
      <w:r w:rsidRPr="006F3565">
        <w:rPr>
          <w:caps/>
          <w:lang w:val="fr-FR"/>
        </w:rPr>
        <w:t>“La méthode d</w:t>
      </w:r>
      <w:r w:rsidR="002045AD" w:rsidRPr="006F3565">
        <w:rPr>
          <w:caps/>
          <w:lang w:val="fr-FR"/>
        </w:rPr>
        <w:t>’</w:t>
      </w:r>
      <w:r w:rsidRPr="006F3565">
        <w:rPr>
          <w:caps/>
          <w:lang w:val="fr-FR"/>
        </w:rPr>
        <w:t>évaluation de l</w:t>
      </w:r>
      <w:r w:rsidR="002045AD" w:rsidRPr="006F3565">
        <w:rPr>
          <w:caps/>
          <w:lang w:val="fr-FR"/>
        </w:rPr>
        <w:t>’</w:t>
      </w:r>
      <w:r w:rsidRPr="006F3565">
        <w:rPr>
          <w:caps/>
          <w:lang w:val="fr-FR"/>
        </w:rPr>
        <w:t>homogénéité fondée sur les hors</w:t>
      </w:r>
      <w:r w:rsidR="00804488">
        <w:rPr>
          <w:caps/>
          <w:lang w:val="fr-FR"/>
        </w:rPr>
        <w:noBreakHyphen/>
      </w:r>
      <w:r w:rsidRPr="006F3565">
        <w:rPr>
          <w:caps/>
          <w:lang w:val="fr-FR"/>
        </w:rPr>
        <w:t>types”</w:t>
      </w:r>
    </w:p>
    <w:p w:rsidR="00826A96" w:rsidRDefault="00826A96" w:rsidP="00245109">
      <w:pPr>
        <w:rPr>
          <w:rFonts w:eastAsia="Calibri"/>
          <w:lang w:val="fr-FR"/>
        </w:rPr>
      </w:pPr>
    </w:p>
    <w:p w:rsidR="00826A96" w:rsidRPr="006F3565" w:rsidRDefault="001B54D2" w:rsidP="001B54D2">
      <w:pPr>
        <w:tabs>
          <w:tab w:val="left" w:pos="1134"/>
        </w:tabs>
        <w:rPr>
          <w:rFonts w:cs="Arial"/>
          <w:i/>
          <w:lang w:val="fr-FR"/>
        </w:rPr>
      </w:pPr>
      <w:r w:rsidRPr="00E00310">
        <w:rPr>
          <w:rFonts w:cs="Arial"/>
          <w:lang w:val="fr-FR"/>
        </w:rPr>
        <w:t>8.1.7</w:t>
      </w:r>
      <w:r w:rsidRPr="006F3565">
        <w:rPr>
          <w:rFonts w:cs="Arial"/>
          <w:i/>
          <w:lang w:val="fr-FR"/>
        </w:rPr>
        <w:tab/>
        <w:t>Méthode pour plusieurs cycles de végétation</w:t>
      </w:r>
    </w:p>
    <w:p w:rsidR="00826A96" w:rsidRPr="006F3565" w:rsidRDefault="00826A96" w:rsidP="00245109">
      <w:pPr>
        <w:rPr>
          <w:rFonts w:cs="Arial"/>
          <w:lang w:val="fr-FR"/>
        </w:rPr>
      </w:pPr>
    </w:p>
    <w:p w:rsidR="00826A96" w:rsidRPr="006F3565" w:rsidRDefault="001B54D2" w:rsidP="00B73B85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8.1.7.1.</w:t>
      </w:r>
      <w:r w:rsidRPr="006F3565">
        <w:rPr>
          <w:rFonts w:eastAsia="Calibri" w:cs="Arial"/>
          <w:lang w:val="fr-FR"/>
        </w:rPr>
        <w:tab/>
        <w:t>Une variété candidate est souvent évaluée sur deux</w:t>
      </w:r>
      <w:r w:rsidR="00A315AA" w:rsidRPr="006F3565">
        <w:rPr>
          <w:rFonts w:eastAsia="Calibri" w:cs="Arial"/>
          <w:lang w:val="fr-FR"/>
        </w:rPr>
        <w:t> </w:t>
      </w:r>
      <w:r w:rsidRPr="006F3565">
        <w:rPr>
          <w:rFonts w:eastAsia="Calibri" w:cs="Arial"/>
          <w:lang w:val="fr-FR"/>
        </w:rPr>
        <w:t>cycles de végétati</w:t>
      </w:r>
      <w:r w:rsidR="006F3565" w:rsidRPr="006F3565">
        <w:rPr>
          <w:rFonts w:eastAsia="Calibri" w:cs="Arial"/>
          <w:lang w:val="fr-FR"/>
        </w:rPr>
        <w:t>on.  Il</w:t>
      </w:r>
      <w:r w:rsidR="00B73B85" w:rsidRPr="006F3565">
        <w:rPr>
          <w:rFonts w:eastAsia="Calibri" w:cs="Arial"/>
          <w:lang w:val="fr-FR"/>
        </w:rPr>
        <w:t xml:space="preserve"> s</w:t>
      </w:r>
      <w:r w:rsidR="002045AD" w:rsidRPr="006F3565">
        <w:rPr>
          <w:rFonts w:eastAsia="Calibri" w:cs="Arial"/>
          <w:lang w:val="fr-FR"/>
        </w:rPr>
        <w:t>’</w:t>
      </w:r>
      <w:r w:rsidR="00B73B85" w:rsidRPr="006F3565">
        <w:rPr>
          <w:rFonts w:eastAsia="Calibri" w:cs="Arial"/>
          <w:lang w:val="fr-FR"/>
        </w:rPr>
        <w:t>agit alors de savoir comment procéder pour regrouper les informations relatives aux différents cycles afin de se prononcer sur l</w:t>
      </w:r>
      <w:r w:rsidR="002045AD" w:rsidRPr="006F3565">
        <w:rPr>
          <w:rFonts w:eastAsia="Calibri" w:cs="Arial"/>
          <w:lang w:val="fr-FR"/>
        </w:rPr>
        <w:t>’</w:t>
      </w:r>
      <w:r w:rsidR="00B73B85" w:rsidRPr="006F3565">
        <w:rPr>
          <w:rFonts w:eastAsia="Calibri" w:cs="Arial"/>
          <w:lang w:val="fr-FR"/>
        </w:rPr>
        <w:t>homogénéi</w:t>
      </w:r>
      <w:r w:rsidR="006F3565" w:rsidRPr="006F3565">
        <w:rPr>
          <w:rFonts w:eastAsia="Calibri" w:cs="Arial"/>
          <w:lang w:val="fr-FR"/>
        </w:rPr>
        <w:t>té.  Tr</w:t>
      </w:r>
      <w:r w:rsidR="00B73B85" w:rsidRPr="006F3565">
        <w:rPr>
          <w:rFonts w:eastAsia="Calibri" w:cs="Arial"/>
          <w:lang w:val="fr-FR"/>
        </w:rPr>
        <w:t>ois</w:t>
      </w:r>
      <w:r w:rsidR="00A315AA" w:rsidRPr="006F3565">
        <w:rPr>
          <w:rFonts w:eastAsia="Calibri" w:cs="Arial"/>
          <w:lang w:val="fr-FR"/>
        </w:rPr>
        <w:t> </w:t>
      </w:r>
      <w:r w:rsidR="00B73B85" w:rsidRPr="006F3565">
        <w:rPr>
          <w:rFonts w:eastAsia="Calibri" w:cs="Arial"/>
          <w:lang w:val="fr-FR"/>
        </w:rPr>
        <w:t xml:space="preserve">solutions sont </w:t>
      </w:r>
      <w:r w:rsidR="00B14338" w:rsidRPr="006F3565">
        <w:rPr>
          <w:rFonts w:eastAsia="Calibri" w:cs="Arial"/>
          <w:lang w:val="fr-FR"/>
        </w:rPr>
        <w:t>possibles</w:t>
      </w:r>
      <w:r w:rsidR="00B73B85" w:rsidRPr="006F3565">
        <w:rPr>
          <w:rFonts w:eastAsia="Calibri" w:cs="Arial"/>
          <w:lang w:val="fr-FR"/>
        </w:rPr>
        <w:t>.</w:t>
      </w:r>
    </w:p>
    <w:p w:rsidR="00826A96" w:rsidRPr="006F3565" w:rsidRDefault="00826A96" w:rsidP="00245109">
      <w:pPr>
        <w:rPr>
          <w:rFonts w:cs="Arial"/>
          <w:lang w:val="fr-FR"/>
        </w:rPr>
      </w:pPr>
    </w:p>
    <w:p w:rsidR="00826A96" w:rsidRPr="006F3565" w:rsidRDefault="00B73B85" w:rsidP="00B73B85">
      <w:pPr>
        <w:ind w:left="567"/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a)</w:t>
      </w:r>
      <w:r w:rsidRPr="006F3565">
        <w:rPr>
          <w:rFonts w:eastAsia="Calibri" w:cs="Arial"/>
          <w:lang w:val="fr-FR"/>
        </w:rPr>
        <w:tab/>
        <w:t>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d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une variété est examinée de manière distincte à chaque cyc</w:t>
      </w:r>
      <w:r w:rsidR="006F3565" w:rsidRPr="006F3565">
        <w:rPr>
          <w:rFonts w:eastAsia="Calibri" w:cs="Arial"/>
          <w:lang w:val="fr-FR"/>
        </w:rPr>
        <w:t>le.  Si</w:t>
      </w:r>
      <w:r w:rsidRPr="006F3565">
        <w:rPr>
          <w:rFonts w:eastAsia="Calibri" w:cs="Arial"/>
          <w:lang w:val="fr-FR"/>
        </w:rPr>
        <w:t xml:space="preserve"> les conclusions sont identiques, la décision générale est fondée sur ce résultat comm</w:t>
      </w:r>
      <w:r w:rsidR="006F3565" w:rsidRPr="006F3565">
        <w:rPr>
          <w:rFonts w:eastAsia="Calibri" w:cs="Arial"/>
          <w:lang w:val="fr-FR"/>
        </w:rPr>
        <w:t>un.  To</w:t>
      </w:r>
      <w:r w:rsidRPr="006F3565">
        <w:rPr>
          <w:rFonts w:eastAsia="Calibri" w:cs="Arial"/>
          <w:lang w:val="fr-FR"/>
        </w:rPr>
        <w:t>utefois, si la variété se situe dans les limites de la norme d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pour un cycle et pas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autre,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peut être évaluée sur un troisième cycle de végétati</w:t>
      </w:r>
      <w:r w:rsidR="006F3565" w:rsidRPr="006F3565">
        <w:rPr>
          <w:rFonts w:eastAsia="Calibri" w:cs="Arial"/>
          <w:lang w:val="fr-FR"/>
        </w:rPr>
        <w:t>on.  Da</w:t>
      </w:r>
      <w:r w:rsidRPr="006F3565">
        <w:rPr>
          <w:rFonts w:eastAsia="Calibri" w:cs="Arial"/>
          <w:lang w:val="fr-FR"/>
        </w:rPr>
        <w:t>ns ce cas, la décision générale est fondée sur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évaluation de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lors du troisième cycle.</w:t>
      </w:r>
    </w:p>
    <w:p w:rsidR="00826A96" w:rsidRPr="006F3565" w:rsidRDefault="00826A96" w:rsidP="00245109">
      <w:pPr>
        <w:ind w:left="567"/>
        <w:rPr>
          <w:rFonts w:eastAsia="Calibri" w:cs="Arial"/>
          <w:lang w:val="fr-FR"/>
        </w:rPr>
      </w:pPr>
    </w:p>
    <w:p w:rsidR="00826A96" w:rsidRPr="006F3565" w:rsidRDefault="00B73B85" w:rsidP="00AE13F5">
      <w:pPr>
        <w:ind w:left="567"/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b)</w:t>
      </w:r>
      <w:r w:rsidRPr="006F3565">
        <w:rPr>
          <w:rFonts w:eastAsia="Calibri" w:cs="Arial"/>
          <w:lang w:val="fr-FR"/>
        </w:rPr>
        <w:tab/>
        <w:t>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d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une variété est examinée de manière distincte à chaque cyc</w:t>
      </w:r>
      <w:r w:rsidR="006F3565" w:rsidRPr="006F3565">
        <w:rPr>
          <w:rFonts w:eastAsia="Calibri" w:cs="Arial"/>
          <w:lang w:val="fr-FR"/>
        </w:rPr>
        <w:t>le.  Si</w:t>
      </w:r>
      <w:r w:rsidRPr="006F3565">
        <w:rPr>
          <w:rFonts w:eastAsia="Calibri" w:cs="Arial"/>
          <w:lang w:val="fr-FR"/>
        </w:rPr>
        <w:t xml:space="preserve"> les conclusions sont identiques, la décision générale est fondée sur ce résultat comm</w:t>
      </w:r>
      <w:r w:rsidR="006F3565" w:rsidRPr="006F3565">
        <w:rPr>
          <w:rFonts w:eastAsia="Calibri" w:cs="Arial"/>
          <w:lang w:val="fr-FR"/>
        </w:rPr>
        <w:t>un.  To</w:t>
      </w:r>
      <w:r w:rsidRPr="006F3565">
        <w:rPr>
          <w:rFonts w:eastAsia="Calibri" w:cs="Arial"/>
          <w:lang w:val="fr-FR"/>
        </w:rPr>
        <w:t>utefois, si la variété se situe dans les limites de la norme d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pour un cycle et pas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 xml:space="preserve">autre, les informations </w:t>
      </w:r>
      <w:r w:rsidR="00B14338" w:rsidRPr="006F3565">
        <w:rPr>
          <w:rFonts w:eastAsia="Calibri" w:cs="Arial"/>
          <w:lang w:val="fr-FR"/>
        </w:rPr>
        <w:t>tirées</w:t>
      </w:r>
      <w:r w:rsidRPr="006F3565">
        <w:rPr>
          <w:rFonts w:eastAsia="Calibri" w:cs="Arial"/>
          <w:lang w:val="fr-FR"/>
        </w:rPr>
        <w:t xml:space="preserve"> des deux</w:t>
      </w:r>
      <w:r w:rsidR="00A315AA" w:rsidRPr="006F3565">
        <w:rPr>
          <w:rFonts w:eastAsia="Calibri" w:cs="Arial"/>
          <w:lang w:val="fr-FR"/>
        </w:rPr>
        <w:t> </w:t>
      </w:r>
      <w:r w:rsidRPr="006F3565">
        <w:rPr>
          <w:rFonts w:eastAsia="Calibri" w:cs="Arial"/>
          <w:lang w:val="fr-FR"/>
        </w:rPr>
        <w:t>cycles sont combiné</w:t>
      </w:r>
      <w:r w:rsidR="006F3565" w:rsidRPr="006F3565">
        <w:rPr>
          <w:rFonts w:eastAsia="Calibri" w:cs="Arial"/>
          <w:lang w:val="fr-FR"/>
        </w:rPr>
        <w:t>es.  Da</w:t>
      </w:r>
      <w:r w:rsidR="00AE13F5" w:rsidRPr="006F3565">
        <w:rPr>
          <w:rFonts w:eastAsia="Calibri" w:cs="Arial"/>
          <w:lang w:val="fr-FR"/>
        </w:rPr>
        <w:t>ns ce cas, si le nombre total de plantes hors</w:t>
      </w:r>
      <w:r w:rsidR="00804488">
        <w:rPr>
          <w:rFonts w:eastAsia="Calibri" w:cs="Arial"/>
          <w:lang w:val="fr-FR"/>
        </w:rPr>
        <w:noBreakHyphen/>
      </w:r>
      <w:r w:rsidR="00AE13F5" w:rsidRPr="006F3565">
        <w:rPr>
          <w:rFonts w:eastAsia="Calibri" w:cs="Arial"/>
          <w:lang w:val="fr-FR"/>
        </w:rPr>
        <w:t>type à l</w:t>
      </w:r>
      <w:r w:rsidR="002045AD" w:rsidRPr="006F3565">
        <w:rPr>
          <w:rFonts w:eastAsia="Calibri" w:cs="Arial"/>
          <w:lang w:val="fr-FR"/>
        </w:rPr>
        <w:t>’</w:t>
      </w:r>
      <w:r w:rsidR="00AE13F5" w:rsidRPr="006F3565">
        <w:rPr>
          <w:rFonts w:eastAsia="Calibri" w:cs="Arial"/>
          <w:lang w:val="fr-FR"/>
        </w:rPr>
        <w:t>issue des deux cycles de végétation ne dépasse pas le nombre de plantes hors</w:t>
      </w:r>
      <w:r w:rsidR="00804488">
        <w:rPr>
          <w:rFonts w:eastAsia="Calibri" w:cs="Arial"/>
          <w:lang w:val="fr-FR"/>
        </w:rPr>
        <w:noBreakHyphen/>
      </w:r>
      <w:r w:rsidR="00AE13F5" w:rsidRPr="006F3565">
        <w:rPr>
          <w:rFonts w:eastAsia="Calibri" w:cs="Arial"/>
          <w:lang w:val="fr-FR"/>
        </w:rPr>
        <w:t xml:space="preserve">type </w:t>
      </w:r>
      <w:r w:rsidR="00B14338" w:rsidRPr="006F3565">
        <w:rPr>
          <w:rFonts w:eastAsia="Calibri" w:cs="Arial"/>
          <w:lang w:val="fr-FR"/>
        </w:rPr>
        <w:t>tolérées</w:t>
      </w:r>
      <w:r w:rsidR="00AE13F5" w:rsidRPr="006F3565">
        <w:rPr>
          <w:rFonts w:eastAsia="Calibri" w:cs="Arial"/>
          <w:lang w:val="fr-FR"/>
        </w:rPr>
        <w:t xml:space="preserve"> pour la taille de l</w:t>
      </w:r>
      <w:r w:rsidR="002045AD" w:rsidRPr="006F3565">
        <w:rPr>
          <w:rFonts w:eastAsia="Calibri" w:cs="Arial"/>
          <w:lang w:val="fr-FR"/>
        </w:rPr>
        <w:t>’</w:t>
      </w:r>
      <w:r w:rsidR="00AE13F5" w:rsidRPr="006F3565">
        <w:rPr>
          <w:rFonts w:eastAsia="Calibri" w:cs="Arial"/>
          <w:lang w:val="fr-FR"/>
        </w:rPr>
        <w:t>échantillon combiné, la variété est réputée homogène.</w:t>
      </w:r>
    </w:p>
    <w:p w:rsidR="00826A96" w:rsidRPr="006F3565" w:rsidRDefault="00826A96" w:rsidP="00245109">
      <w:pPr>
        <w:ind w:left="567"/>
        <w:rPr>
          <w:rFonts w:eastAsia="Calibri" w:cs="Arial"/>
          <w:lang w:val="fr-FR"/>
        </w:rPr>
      </w:pPr>
    </w:p>
    <w:p w:rsidR="00826A96" w:rsidRPr="006F3565" w:rsidRDefault="00AE13F5" w:rsidP="00AE13F5">
      <w:pPr>
        <w:ind w:left="567"/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c)</w:t>
      </w:r>
      <w:r w:rsidRPr="006F3565">
        <w:rPr>
          <w:rFonts w:eastAsia="Calibri" w:cs="Arial"/>
          <w:lang w:val="fr-FR"/>
        </w:rPr>
        <w:tab/>
        <w:t>Les informations relatives à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 sont combinées sur les deux</w:t>
      </w:r>
      <w:r w:rsidR="00A315AA" w:rsidRPr="006F3565">
        <w:rPr>
          <w:rFonts w:eastAsia="Calibri" w:cs="Arial"/>
          <w:lang w:val="fr-FR"/>
        </w:rPr>
        <w:t> </w:t>
      </w:r>
      <w:r w:rsidRPr="006F3565">
        <w:rPr>
          <w:rFonts w:eastAsia="Calibri" w:cs="Arial"/>
          <w:lang w:val="fr-FR"/>
        </w:rPr>
        <w:t>cycl</w:t>
      </w:r>
      <w:r w:rsidR="006F3565" w:rsidRPr="006F3565">
        <w:rPr>
          <w:rFonts w:eastAsia="Calibri" w:cs="Arial"/>
          <w:lang w:val="fr-FR"/>
        </w:rPr>
        <w:t>es.  Si</w:t>
      </w:r>
      <w:r w:rsidRPr="006F3565">
        <w:rPr>
          <w:rFonts w:eastAsia="Calibri" w:cs="Arial"/>
          <w:lang w:val="fr-FR"/>
        </w:rPr>
        <w:t xml:space="preserve"> le nombre total de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>type à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issue des deux cycles de végétation ne dépasse pas le nombre de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 xml:space="preserve">type </w:t>
      </w:r>
      <w:r w:rsidR="00B14338" w:rsidRPr="006F3565">
        <w:rPr>
          <w:rFonts w:eastAsia="Calibri" w:cs="Arial"/>
          <w:lang w:val="fr-FR"/>
        </w:rPr>
        <w:t>tolérées</w:t>
      </w:r>
      <w:r w:rsidRPr="006F3565">
        <w:rPr>
          <w:rFonts w:eastAsia="Calibri" w:cs="Arial"/>
          <w:lang w:val="fr-FR"/>
        </w:rPr>
        <w:t xml:space="preserve"> pour la taille de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échantillon combiné, la variété est réputée homogène.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826A96" w:rsidRPr="006F3565" w:rsidRDefault="00B14338" w:rsidP="00AE13F5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S</w:t>
      </w:r>
      <w:r w:rsidR="00AE13F5" w:rsidRPr="006F3565">
        <w:rPr>
          <w:rFonts w:eastAsia="Calibri" w:cs="Arial"/>
          <w:lang w:val="fr-FR"/>
        </w:rPr>
        <w:t>i</w:t>
      </w:r>
      <w:r w:rsidRPr="006F3565">
        <w:rPr>
          <w:rFonts w:eastAsia="Calibri" w:cs="Arial"/>
          <w:lang w:val="fr-FR"/>
        </w:rPr>
        <w:t>,</w:t>
      </w:r>
      <w:r w:rsidR="00AE13F5" w:rsidRPr="006F3565">
        <w:rPr>
          <w:rFonts w:eastAsia="Calibri" w:cs="Arial"/>
          <w:lang w:val="fr-FR"/>
        </w:rPr>
        <w:t xml:space="preserve"> lors du premier cycle de végétation</w:t>
      </w:r>
      <w:r w:rsidRPr="006F3565">
        <w:rPr>
          <w:rFonts w:eastAsia="Calibri" w:cs="Arial"/>
          <w:lang w:val="fr-FR"/>
        </w:rPr>
        <w:t>,</w:t>
      </w:r>
      <w:r w:rsidR="00AE13F5" w:rsidRPr="006F3565">
        <w:rPr>
          <w:rFonts w:eastAsia="Calibri" w:cs="Arial"/>
          <w:lang w:val="fr-FR"/>
        </w:rPr>
        <w:t xml:space="preserve"> une variété dépasse </w:t>
      </w:r>
      <w:r w:rsidR="00AE53BE" w:rsidRPr="006F3565">
        <w:rPr>
          <w:rFonts w:eastAsia="Calibri" w:cs="Arial"/>
          <w:lang w:val="fr-FR"/>
        </w:rPr>
        <w:t>la</w:t>
      </w:r>
      <w:r w:rsidR="00AE13F5" w:rsidRPr="006F3565">
        <w:rPr>
          <w:rFonts w:eastAsia="Calibri" w:cs="Arial"/>
          <w:lang w:val="fr-FR"/>
        </w:rPr>
        <w:t xml:space="preserve"> limite supérieure prédéfinie de plantes hors</w:t>
      </w:r>
      <w:r w:rsidR="00804488">
        <w:rPr>
          <w:rFonts w:eastAsia="Calibri" w:cs="Arial"/>
          <w:lang w:val="fr-FR"/>
        </w:rPr>
        <w:noBreakHyphen/>
      </w:r>
      <w:r w:rsidR="00AE13F5" w:rsidRPr="006F3565">
        <w:rPr>
          <w:rFonts w:eastAsia="Calibri" w:cs="Arial"/>
          <w:lang w:val="fr-FR"/>
        </w:rPr>
        <w:t>type, elle peut être rejetée après un seul cycle de végétation</w:t>
      </w:r>
      <w:r w:rsidRPr="006F3565">
        <w:rPr>
          <w:rFonts w:eastAsia="Calibri" w:cs="Arial"/>
          <w:lang w:val="fr-FR"/>
        </w:rPr>
        <w:t xml:space="preserve"> avec</w:t>
      </w:r>
      <w:r w:rsidR="00D4077E" w:rsidRPr="006F3565">
        <w:rPr>
          <w:rFonts w:eastAsia="Calibri" w:cs="Arial"/>
          <w:lang w:val="fr-FR"/>
        </w:rPr>
        <w:t xml:space="preserve"> chacune d</w:t>
      </w:r>
      <w:r w:rsidRPr="006F3565">
        <w:rPr>
          <w:rFonts w:eastAsia="Calibri" w:cs="Arial"/>
          <w:lang w:val="fr-FR"/>
        </w:rPr>
        <w:t>es trois</w:t>
      </w:r>
      <w:r w:rsidR="00A315AA" w:rsidRPr="006F3565">
        <w:rPr>
          <w:rFonts w:eastAsia="Calibri" w:cs="Arial"/>
          <w:lang w:val="fr-FR"/>
        </w:rPr>
        <w:t> </w:t>
      </w:r>
      <w:r w:rsidR="00D4077E" w:rsidRPr="006F3565">
        <w:rPr>
          <w:rFonts w:eastAsia="Calibri" w:cs="Arial"/>
          <w:lang w:val="fr-FR"/>
        </w:rPr>
        <w:t>méthodes</w:t>
      </w:r>
      <w:r w:rsidR="00AE13F5" w:rsidRPr="006F3565">
        <w:rPr>
          <w:rFonts w:eastAsia="Calibri" w:cs="Arial"/>
          <w:lang w:val="fr-FR"/>
        </w:rPr>
        <w:t>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2045AD" w:rsidRPr="006F3565" w:rsidRDefault="00AE13F5" w:rsidP="00B32D2D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8.1.7.2</w:t>
      </w:r>
      <w:r w:rsidRPr="006F3565">
        <w:rPr>
          <w:rFonts w:eastAsia="Calibri" w:cs="Arial"/>
          <w:lang w:val="fr-FR"/>
        </w:rPr>
        <w:tab/>
        <w:t>Ces trois</w:t>
      </w:r>
      <w:r w:rsidR="00A315AA" w:rsidRPr="006F3565">
        <w:rPr>
          <w:rFonts w:eastAsia="Calibri" w:cs="Arial"/>
          <w:lang w:val="fr-FR"/>
        </w:rPr>
        <w:t> </w:t>
      </w:r>
      <w:r w:rsidR="00B14338" w:rsidRPr="006F3565">
        <w:rPr>
          <w:rFonts w:eastAsia="Calibri" w:cs="Arial"/>
          <w:lang w:val="fr-FR"/>
        </w:rPr>
        <w:t>méthodes</w:t>
      </w:r>
      <w:r w:rsidRPr="006F3565">
        <w:rPr>
          <w:rFonts w:eastAsia="Calibri" w:cs="Arial"/>
          <w:lang w:val="fr-FR"/>
        </w:rPr>
        <w:t xml:space="preserve"> sont décrites plus </w:t>
      </w:r>
      <w:r w:rsidR="00D4077E" w:rsidRPr="006F3565">
        <w:rPr>
          <w:rFonts w:eastAsia="Calibri" w:cs="Arial"/>
          <w:lang w:val="fr-FR"/>
        </w:rPr>
        <w:t>en détail</w:t>
      </w:r>
      <w:r w:rsidRPr="006F3565">
        <w:rPr>
          <w:rFonts w:eastAsia="Calibri" w:cs="Arial"/>
          <w:lang w:val="fr-FR"/>
        </w:rPr>
        <w:t xml:space="preserve"> dans le document</w:t>
      </w:r>
      <w:r w:rsidR="006F3565" w:rsidRPr="006F3565">
        <w:rPr>
          <w:rFonts w:eastAsia="Calibri" w:cs="Arial"/>
          <w:lang w:val="fr-FR"/>
        </w:rPr>
        <w:t> </w:t>
      </w:r>
      <w:r w:rsidRPr="006F3565">
        <w:rPr>
          <w:rFonts w:eastAsia="Calibri" w:cs="Arial"/>
          <w:lang w:val="fr-FR"/>
        </w:rPr>
        <w:t>TGP/10 “Examen de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homogénéité”.</w:t>
      </w:r>
      <w:r w:rsidR="00245109" w:rsidRPr="006F3565">
        <w:rPr>
          <w:rFonts w:eastAsia="Calibri"/>
          <w:lang w:val="fr-FR"/>
        </w:rPr>
        <w:t xml:space="preserve">  </w:t>
      </w:r>
      <w:r w:rsidR="00B32D2D" w:rsidRPr="006F3565">
        <w:rPr>
          <w:rFonts w:eastAsia="Calibri" w:cs="Arial"/>
          <w:lang w:val="fr-FR"/>
        </w:rPr>
        <w:t>Les risques associés aux différentes solutions peuvent être calculés selon les principes décrits dans la présente secti</w:t>
      </w:r>
      <w:r w:rsidR="006F3565" w:rsidRPr="006F3565">
        <w:rPr>
          <w:rFonts w:eastAsia="Calibri" w:cs="Arial"/>
          <w:lang w:val="fr-FR"/>
        </w:rPr>
        <w:t>on.  Le</w:t>
      </w:r>
      <w:r w:rsidR="00B32D2D" w:rsidRPr="006F3565">
        <w:rPr>
          <w:rFonts w:eastAsia="Calibri" w:cs="Arial"/>
          <w:lang w:val="fr-FR"/>
        </w:rPr>
        <w:t xml:space="preserve"> calcul des risques peut être complexe et il est souhaitable de consulter un statisticien.</w:t>
      </w:r>
    </w:p>
    <w:p w:rsidR="00826A96" w:rsidRPr="006F3565" w:rsidRDefault="00826A96" w:rsidP="00245109">
      <w:pPr>
        <w:rPr>
          <w:rFonts w:cs="Arial"/>
          <w:lang w:val="fr-FR" w:eastAsia="ja-JP" w:bidi="th-TH"/>
        </w:rPr>
      </w:pPr>
    </w:p>
    <w:p w:rsidR="002045AD" w:rsidRPr="006F3565" w:rsidRDefault="007D278C" w:rsidP="007D278C">
      <w:pPr>
        <w:tabs>
          <w:tab w:val="left" w:pos="1134"/>
        </w:tabs>
        <w:rPr>
          <w:rFonts w:eastAsia="Calibri" w:cs="Arial"/>
          <w:i/>
          <w:lang w:val="fr-FR"/>
        </w:rPr>
      </w:pPr>
      <w:r w:rsidRPr="006F3565">
        <w:rPr>
          <w:rFonts w:eastAsia="Calibri" w:cs="Arial"/>
          <w:i/>
          <w:lang w:val="fr-FR"/>
        </w:rPr>
        <w:t>8.1.8</w:t>
      </w:r>
      <w:r w:rsidRPr="006F3565">
        <w:rPr>
          <w:rFonts w:eastAsia="Calibri" w:cs="Arial"/>
          <w:i/>
          <w:lang w:val="fr-FR"/>
        </w:rPr>
        <w:tab/>
        <w:t>L</w:t>
      </w:r>
      <w:r w:rsidR="002045AD" w:rsidRPr="006F3565">
        <w:rPr>
          <w:rFonts w:eastAsia="Calibri" w:cs="Arial"/>
          <w:i/>
          <w:lang w:val="fr-FR"/>
        </w:rPr>
        <w:t>’</w:t>
      </w:r>
      <w:r w:rsidRPr="006F3565">
        <w:rPr>
          <w:rFonts w:eastAsia="Calibri" w:cs="Arial"/>
          <w:i/>
          <w:lang w:val="fr-FR"/>
        </w:rPr>
        <w:t>évaluation de l</w:t>
      </w:r>
      <w:r w:rsidR="002045AD" w:rsidRPr="006F3565">
        <w:rPr>
          <w:rFonts w:eastAsia="Calibri" w:cs="Arial"/>
          <w:i/>
          <w:lang w:val="fr-FR"/>
        </w:rPr>
        <w:t>’</w:t>
      </w:r>
      <w:r w:rsidRPr="006F3565">
        <w:rPr>
          <w:rFonts w:eastAsia="Calibri" w:cs="Arial"/>
          <w:i/>
          <w:lang w:val="fr-FR"/>
        </w:rPr>
        <w:t>homogénéité sur la base de sous</w:t>
      </w:r>
      <w:r w:rsidR="00804488">
        <w:rPr>
          <w:rFonts w:eastAsia="Calibri" w:cs="Arial"/>
          <w:i/>
          <w:lang w:val="fr-FR"/>
        </w:rPr>
        <w:noBreakHyphen/>
      </w:r>
      <w:r w:rsidRPr="006F3565">
        <w:rPr>
          <w:rFonts w:eastAsia="Calibri" w:cs="Arial"/>
          <w:i/>
          <w:lang w:val="fr-FR"/>
        </w:rPr>
        <w:t>échantillons dans le cadre d</w:t>
      </w:r>
      <w:r w:rsidR="002045AD" w:rsidRPr="006F3565">
        <w:rPr>
          <w:rFonts w:eastAsia="Calibri" w:cs="Arial"/>
          <w:i/>
          <w:lang w:val="fr-FR"/>
        </w:rPr>
        <w:t>’</w:t>
      </w:r>
      <w:r w:rsidRPr="006F3565">
        <w:rPr>
          <w:rFonts w:eastAsia="Calibri" w:cs="Arial"/>
          <w:i/>
          <w:lang w:val="fr-FR"/>
        </w:rPr>
        <w:t>un seul examen ou essai</w:t>
      </w:r>
    </w:p>
    <w:p w:rsidR="00826A96" w:rsidRPr="006F3565" w:rsidRDefault="00826A96" w:rsidP="00245109">
      <w:pPr>
        <w:tabs>
          <w:tab w:val="left" w:pos="1134"/>
        </w:tabs>
        <w:rPr>
          <w:rFonts w:eastAsia="Calibri" w:cs="Arial"/>
          <w:lang w:val="fr-FR"/>
        </w:rPr>
      </w:pPr>
    </w:p>
    <w:p w:rsidR="00826A96" w:rsidRPr="006F3565" w:rsidRDefault="007D278C" w:rsidP="007D278C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8.1.8.1</w:t>
      </w:r>
      <w:r w:rsidRPr="006F3565">
        <w:rPr>
          <w:rFonts w:eastAsia="Calibri" w:cs="Arial"/>
          <w:lang w:val="fr-FR"/>
        </w:rPr>
        <w:tab/>
        <w:t>Parfois, il est possible de réduire les coûts de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évaluation des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 xml:space="preserve">type en </w:t>
      </w:r>
      <w:r w:rsidR="00B14338" w:rsidRPr="006F3565">
        <w:rPr>
          <w:rFonts w:eastAsia="Calibri" w:cs="Arial"/>
          <w:lang w:val="fr-FR"/>
        </w:rPr>
        <w:t>procédant</w:t>
      </w:r>
      <w:r w:rsidRPr="006F3565">
        <w:rPr>
          <w:rFonts w:eastAsia="Calibri" w:cs="Arial"/>
          <w:lang w:val="fr-FR"/>
        </w:rPr>
        <w:t xml:space="preserve"> en deux</w:t>
      </w:r>
      <w:r w:rsidR="00A315AA" w:rsidRPr="006F3565">
        <w:rPr>
          <w:rFonts w:eastAsia="Calibri" w:cs="Arial"/>
          <w:lang w:val="fr-FR"/>
        </w:rPr>
        <w:t> </w:t>
      </w:r>
      <w:r w:rsidRPr="006F3565">
        <w:rPr>
          <w:rFonts w:eastAsia="Calibri" w:cs="Arial"/>
          <w:lang w:val="fr-FR"/>
        </w:rPr>
        <w:t>étap</w:t>
      </w:r>
      <w:r w:rsidR="006F3565" w:rsidRPr="006F3565">
        <w:rPr>
          <w:rFonts w:eastAsia="Calibri" w:cs="Arial"/>
          <w:lang w:val="fr-FR"/>
        </w:rPr>
        <w:t>es.  Da</w:t>
      </w:r>
      <w:r w:rsidR="00B14338" w:rsidRPr="006F3565">
        <w:rPr>
          <w:rFonts w:eastAsia="Calibri" w:cs="Arial"/>
          <w:lang w:val="fr-FR"/>
        </w:rPr>
        <w:t>ns un premier temps</w:t>
      </w:r>
      <w:r w:rsidRPr="006F3565">
        <w:rPr>
          <w:rFonts w:eastAsia="Calibri" w:cs="Arial"/>
          <w:lang w:val="fr-FR"/>
        </w:rPr>
        <w:t>, un sous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>échantillon de plantes est exami</w:t>
      </w:r>
      <w:r w:rsidR="006F3565" w:rsidRPr="006F3565">
        <w:rPr>
          <w:rFonts w:eastAsia="Calibri" w:cs="Arial"/>
          <w:lang w:val="fr-FR"/>
        </w:rPr>
        <w:t>né.  Se</w:t>
      </w:r>
      <w:r w:rsidRPr="006F3565">
        <w:rPr>
          <w:rFonts w:eastAsia="Calibri" w:cs="Arial"/>
          <w:lang w:val="fr-FR"/>
        </w:rPr>
        <w:t>lon le nombre de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 xml:space="preserve">type </w:t>
      </w:r>
      <w:r w:rsidR="00AE53BE" w:rsidRPr="006F3565">
        <w:rPr>
          <w:rFonts w:eastAsia="Calibri" w:cs="Arial"/>
          <w:lang w:val="fr-FR"/>
        </w:rPr>
        <w:t xml:space="preserve">figurant </w:t>
      </w:r>
      <w:r w:rsidRPr="006F3565">
        <w:rPr>
          <w:rFonts w:eastAsia="Calibri" w:cs="Arial"/>
          <w:lang w:val="fr-FR"/>
        </w:rPr>
        <w:t>dans le sous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>échantillon, soit une décision est prise sur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homogénéité, soit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échantillon entier de plantes est examiné</w:t>
      </w:r>
      <w:r w:rsidR="00D4077E" w:rsidRPr="006F3565">
        <w:rPr>
          <w:rFonts w:eastAsia="Calibri" w:cs="Arial"/>
          <w:lang w:val="fr-FR"/>
        </w:rPr>
        <w:t xml:space="preserve"> (deuxième temps)</w:t>
      </w:r>
      <w:r w:rsidRPr="006F3565">
        <w:rPr>
          <w:rFonts w:eastAsia="Calibri" w:cs="Arial"/>
          <w:lang w:val="fr-FR"/>
        </w:rPr>
        <w:t>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826A96" w:rsidRPr="006F3565" w:rsidRDefault="007D278C" w:rsidP="007D278C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8.1.8.2.</w:t>
      </w:r>
      <w:r w:rsidRPr="006F3565">
        <w:rPr>
          <w:rFonts w:eastAsia="Calibri" w:cs="Arial"/>
          <w:lang w:val="fr-FR"/>
        </w:rPr>
        <w:tab/>
        <w:t>Une variété est réputée homogène si le nombre de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 xml:space="preserve">type </w:t>
      </w:r>
      <w:r w:rsidR="00AE53BE" w:rsidRPr="006F3565">
        <w:rPr>
          <w:rFonts w:eastAsia="Calibri" w:cs="Arial"/>
          <w:lang w:val="fr-FR"/>
        </w:rPr>
        <w:t xml:space="preserve">figurant </w:t>
      </w:r>
      <w:r w:rsidR="00D4077E" w:rsidRPr="006F3565">
        <w:rPr>
          <w:rFonts w:eastAsia="Calibri" w:cs="Arial"/>
          <w:lang w:val="fr-FR"/>
        </w:rPr>
        <w:t>dans le sous</w:t>
      </w:r>
      <w:r w:rsidR="00804488">
        <w:rPr>
          <w:rFonts w:eastAsia="Calibri" w:cs="Arial"/>
          <w:lang w:val="fr-FR"/>
        </w:rPr>
        <w:noBreakHyphen/>
      </w:r>
      <w:r w:rsidR="00D4077E" w:rsidRPr="006F3565">
        <w:rPr>
          <w:rFonts w:eastAsia="Calibri" w:cs="Arial"/>
          <w:lang w:val="fr-FR"/>
        </w:rPr>
        <w:t xml:space="preserve">échantillon </w:t>
      </w:r>
      <w:r w:rsidRPr="006F3565">
        <w:rPr>
          <w:rFonts w:eastAsia="Calibri" w:cs="Arial"/>
          <w:lang w:val="fr-FR"/>
        </w:rPr>
        <w:t>ne dépasse pas une limite inférieure prédéfinie.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826A96" w:rsidRPr="006F3565" w:rsidRDefault="007D278C" w:rsidP="007D278C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8.1.8.3.</w:t>
      </w:r>
      <w:r w:rsidRPr="006F3565">
        <w:rPr>
          <w:rFonts w:eastAsia="Calibri" w:cs="Arial"/>
          <w:lang w:val="fr-FR"/>
        </w:rPr>
        <w:tab/>
        <w:t>Une variété est réputée non homogène si le nombre de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 xml:space="preserve">type </w:t>
      </w:r>
      <w:r w:rsidR="00AE53BE" w:rsidRPr="006F3565">
        <w:rPr>
          <w:rFonts w:eastAsia="Calibri" w:cs="Arial"/>
          <w:lang w:val="fr-FR"/>
        </w:rPr>
        <w:t xml:space="preserve">figurant </w:t>
      </w:r>
      <w:r w:rsidR="00D4077E" w:rsidRPr="006F3565">
        <w:rPr>
          <w:rFonts w:eastAsia="Calibri" w:cs="Arial"/>
          <w:lang w:val="fr-FR"/>
        </w:rPr>
        <w:t>dans le sous</w:t>
      </w:r>
      <w:r w:rsidR="00804488">
        <w:rPr>
          <w:rFonts w:eastAsia="Calibri" w:cs="Arial"/>
          <w:lang w:val="fr-FR"/>
        </w:rPr>
        <w:noBreakHyphen/>
      </w:r>
      <w:r w:rsidR="00D4077E" w:rsidRPr="006F3565">
        <w:rPr>
          <w:rFonts w:eastAsia="Calibri" w:cs="Arial"/>
          <w:lang w:val="fr-FR"/>
        </w:rPr>
        <w:t xml:space="preserve">échantillon </w:t>
      </w:r>
      <w:r w:rsidRPr="006F3565">
        <w:rPr>
          <w:rFonts w:eastAsia="Calibri" w:cs="Arial"/>
          <w:lang w:val="fr-FR"/>
        </w:rPr>
        <w:t>dépasse une limite supérieure prédéfinie.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2045AD" w:rsidRPr="006F3565" w:rsidRDefault="007D278C" w:rsidP="007D278C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8.1.8.4.</w:t>
      </w:r>
      <w:r w:rsidRPr="006F3565">
        <w:rPr>
          <w:rFonts w:eastAsia="Calibri" w:cs="Arial"/>
          <w:lang w:val="fr-FR"/>
        </w:rPr>
        <w:tab/>
        <w:t>Si le nombre de plantes hors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>type se situe entre les limites inférieure et supérieure prédéfinies,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échantillon entier est évalué.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2045AD" w:rsidRPr="006F3565" w:rsidRDefault="0074433A" w:rsidP="0074433A">
      <w:pPr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8.1.8.5</w:t>
      </w:r>
      <w:r w:rsidRPr="006F3565">
        <w:rPr>
          <w:rFonts w:eastAsia="Calibri" w:cs="Arial"/>
          <w:lang w:val="fr-FR"/>
        </w:rPr>
        <w:tab/>
        <w:t>Les limites inférieure et supérieure prédéfinies devraient être choisies compte tenu des probabilités d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erreurs de type I et de type</w:t>
      </w:r>
      <w:r w:rsidR="006F3565" w:rsidRPr="006F3565">
        <w:rPr>
          <w:rFonts w:eastAsia="Calibri" w:cs="Arial"/>
          <w:lang w:val="fr-FR"/>
        </w:rPr>
        <w:t> </w:t>
      </w:r>
      <w:r w:rsidRPr="006F3565">
        <w:rPr>
          <w:rFonts w:eastAsia="Calibri" w:cs="Arial"/>
          <w:lang w:val="fr-FR"/>
        </w:rPr>
        <w:t>II comparables entre le sous</w:t>
      </w:r>
      <w:r w:rsidR="00804488">
        <w:rPr>
          <w:rFonts w:eastAsia="Calibri" w:cs="Arial"/>
          <w:lang w:val="fr-FR"/>
        </w:rPr>
        <w:noBreakHyphen/>
      </w:r>
      <w:r w:rsidRPr="006F3565">
        <w:rPr>
          <w:rFonts w:eastAsia="Calibri" w:cs="Arial"/>
          <w:lang w:val="fr-FR"/>
        </w:rPr>
        <w:t>échantillon et l</w:t>
      </w:r>
      <w:r w:rsidR="002045AD" w:rsidRPr="006F3565">
        <w:rPr>
          <w:rFonts w:eastAsia="Calibri" w:cs="Arial"/>
          <w:lang w:val="fr-FR"/>
        </w:rPr>
        <w:t>’</w:t>
      </w:r>
      <w:r w:rsidRPr="006F3565">
        <w:rPr>
          <w:rFonts w:eastAsia="Calibri" w:cs="Arial"/>
          <w:lang w:val="fr-FR"/>
        </w:rPr>
        <w:t>échantillon enti</w:t>
      </w:r>
      <w:r w:rsidR="006F3565" w:rsidRPr="006F3565">
        <w:rPr>
          <w:rFonts w:eastAsia="Calibri" w:cs="Arial"/>
          <w:lang w:val="fr-FR"/>
        </w:rPr>
        <w:t>er.  La</w:t>
      </w:r>
      <w:r w:rsidR="00925E5A" w:rsidRPr="006F3565">
        <w:rPr>
          <w:rFonts w:eastAsia="Calibri" w:cs="Arial"/>
          <w:lang w:val="fr-FR"/>
        </w:rPr>
        <w:t xml:space="preserve"> mise en place </w:t>
      </w:r>
      <w:r w:rsidR="00B14338" w:rsidRPr="006F3565">
        <w:rPr>
          <w:rFonts w:eastAsia="Calibri" w:cs="Arial"/>
          <w:lang w:val="fr-FR"/>
        </w:rPr>
        <w:t>d</w:t>
      </w:r>
      <w:r w:rsidR="002045AD" w:rsidRPr="006F3565">
        <w:rPr>
          <w:rFonts w:eastAsia="Calibri" w:cs="Arial"/>
          <w:lang w:val="fr-FR"/>
        </w:rPr>
        <w:t>’</w:t>
      </w:r>
      <w:r w:rsidR="00026D58" w:rsidRPr="006F3565">
        <w:rPr>
          <w:rFonts w:eastAsia="Calibri" w:cs="Arial"/>
          <w:lang w:val="fr-FR"/>
        </w:rPr>
        <w:t xml:space="preserve">essais </w:t>
      </w:r>
      <w:r w:rsidR="00925E5A" w:rsidRPr="006F3565">
        <w:rPr>
          <w:rFonts w:eastAsia="Calibri" w:cs="Arial"/>
          <w:lang w:val="fr-FR"/>
        </w:rPr>
        <w:t>en deux</w:t>
      </w:r>
      <w:r w:rsidR="00A315AA" w:rsidRPr="006F3565">
        <w:rPr>
          <w:rFonts w:eastAsia="Calibri" w:cs="Arial"/>
          <w:lang w:val="fr-FR"/>
        </w:rPr>
        <w:t> </w:t>
      </w:r>
      <w:r w:rsidR="00B14338" w:rsidRPr="006F3565">
        <w:rPr>
          <w:rFonts w:eastAsia="Calibri" w:cs="Arial"/>
          <w:lang w:val="fr-FR"/>
        </w:rPr>
        <w:t>étapes</w:t>
      </w:r>
      <w:r w:rsidRPr="006F3565">
        <w:rPr>
          <w:rFonts w:eastAsia="Calibri" w:cs="Arial"/>
          <w:lang w:val="fr-FR"/>
        </w:rPr>
        <w:t xml:space="preserve"> est complexe et il est souhaitable de consulter un statisticien.</w:t>
      </w: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826A96" w:rsidRPr="006F3565" w:rsidRDefault="00826A96" w:rsidP="00245109">
      <w:pPr>
        <w:rPr>
          <w:rFonts w:eastAsia="Calibri" w:cs="Arial"/>
          <w:lang w:val="fr-FR"/>
        </w:rPr>
      </w:pPr>
    </w:p>
    <w:p w:rsidR="00826A96" w:rsidRPr="006F3565" w:rsidRDefault="0074433A" w:rsidP="0074433A">
      <w:pPr>
        <w:jc w:val="right"/>
        <w:rPr>
          <w:rFonts w:eastAsia="Calibri" w:cs="Arial"/>
          <w:lang w:val="fr-FR"/>
        </w:rPr>
      </w:pPr>
      <w:r w:rsidRPr="006F3565">
        <w:rPr>
          <w:rFonts w:eastAsia="Calibri" w:cs="Arial"/>
          <w:lang w:val="fr-FR"/>
        </w:rPr>
        <w:t>[Fin de l</w:t>
      </w:r>
      <w:r w:rsidR="002045AD" w:rsidRPr="006F3565">
        <w:rPr>
          <w:rFonts w:eastAsia="Calibri" w:cs="Arial"/>
          <w:lang w:val="fr-FR"/>
        </w:rPr>
        <w:t>’annexe I</w:t>
      </w:r>
      <w:r w:rsidRPr="006F3565">
        <w:rPr>
          <w:rFonts w:eastAsia="Calibri" w:cs="Arial"/>
          <w:lang w:val="fr-FR"/>
        </w:rPr>
        <w:t>I et du document]</w:t>
      </w:r>
    </w:p>
    <w:sectPr w:rsidR="00826A96" w:rsidRPr="006F3565" w:rsidSect="00906DDC">
      <w:headerReference w:type="default" r:id="rId24"/>
      <w:headerReference w:type="first" r:id="rId2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A8" w:rsidRDefault="00A362A8" w:rsidP="006655D3">
      <w:r>
        <w:separator/>
      </w:r>
    </w:p>
    <w:p w:rsidR="00A362A8" w:rsidRDefault="00A362A8" w:rsidP="006655D3"/>
    <w:p w:rsidR="00A362A8" w:rsidRDefault="00A362A8" w:rsidP="006655D3"/>
  </w:endnote>
  <w:endnote w:type="continuationSeparator" w:id="0">
    <w:p w:rsidR="00A362A8" w:rsidRDefault="00A362A8" w:rsidP="006655D3">
      <w:r>
        <w:separator/>
      </w:r>
    </w:p>
    <w:p w:rsidR="00A362A8" w:rsidRPr="00294751" w:rsidRDefault="00A362A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362A8" w:rsidRPr="00294751" w:rsidRDefault="00A362A8" w:rsidP="006655D3">
      <w:pPr>
        <w:rPr>
          <w:lang w:val="fr-FR"/>
        </w:rPr>
      </w:pPr>
    </w:p>
    <w:p w:rsidR="00A362A8" w:rsidRPr="00294751" w:rsidRDefault="00A362A8" w:rsidP="006655D3">
      <w:pPr>
        <w:rPr>
          <w:lang w:val="fr-FR"/>
        </w:rPr>
      </w:pPr>
    </w:p>
  </w:endnote>
  <w:endnote w:type="continuationNotice" w:id="1">
    <w:p w:rsidR="00A362A8" w:rsidRPr="00294751" w:rsidRDefault="00A362A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362A8" w:rsidRPr="00294751" w:rsidRDefault="00A362A8" w:rsidP="006655D3">
      <w:pPr>
        <w:rPr>
          <w:lang w:val="fr-FR"/>
        </w:rPr>
      </w:pPr>
    </w:p>
    <w:p w:rsidR="00A362A8" w:rsidRPr="00294751" w:rsidRDefault="00A362A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reek Symbols">
    <w:panose1 w:val="00000000000000000000"/>
    <w:charset w:val="02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Default="00245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Default="00245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Default="00245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A8" w:rsidRDefault="00A362A8" w:rsidP="006655D3">
      <w:r>
        <w:separator/>
      </w:r>
    </w:p>
  </w:footnote>
  <w:footnote w:type="continuationSeparator" w:id="0">
    <w:p w:rsidR="00A362A8" w:rsidRDefault="00A362A8" w:rsidP="006655D3">
      <w:r>
        <w:separator/>
      </w:r>
    </w:p>
  </w:footnote>
  <w:footnote w:type="continuationNotice" w:id="1">
    <w:p w:rsidR="00A362A8" w:rsidRPr="00AB530F" w:rsidRDefault="00A362A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Pr="00C5280D" w:rsidRDefault="002451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TC/54/19</w:t>
    </w:r>
  </w:p>
  <w:p w:rsidR="00245109" w:rsidRPr="00C5280D" w:rsidRDefault="0024510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6F356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B6FE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245109" w:rsidRPr="00C5280D" w:rsidRDefault="0024510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Default="00245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Pr="00C5280D" w:rsidRDefault="00245109" w:rsidP="0024510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TC/54/19</w:t>
    </w:r>
  </w:p>
  <w:p w:rsidR="00245109" w:rsidRPr="00C5280D" w:rsidRDefault="00245109" w:rsidP="00EB048E">
    <w:pPr>
      <w:pStyle w:val="Header"/>
      <w:rPr>
        <w:lang w:val="en-US"/>
      </w:rPr>
    </w:pPr>
    <w:r>
      <w:rPr>
        <w:lang w:val="en-US"/>
      </w:rPr>
      <w:t>Annex</w:t>
    </w:r>
    <w:r w:rsidR="00925E5A">
      <w:rPr>
        <w:lang w:val="en-US"/>
      </w:rPr>
      <w:t>e</w:t>
    </w:r>
    <w:r>
      <w:rPr>
        <w:lang w:val="en-US"/>
      </w:rPr>
      <w:t xml:space="preserve">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B6FE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45109" w:rsidRPr="00C5280D" w:rsidRDefault="00245109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Pr="00C5280D" w:rsidRDefault="00245109" w:rsidP="0024510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TC/54/19</w:t>
    </w:r>
  </w:p>
  <w:p w:rsidR="00245109" w:rsidRDefault="00245109">
    <w:pPr>
      <w:pStyle w:val="Header"/>
      <w:rPr>
        <w:lang w:val="en-US"/>
      </w:rPr>
    </w:pPr>
  </w:p>
  <w:p w:rsidR="00245109" w:rsidRPr="00E22148" w:rsidRDefault="00245109">
    <w:pPr>
      <w:pStyle w:val="Header"/>
      <w:rPr>
        <w:lang w:val="en-US"/>
      </w:rPr>
    </w:pPr>
    <w:r>
      <w:rPr>
        <w:lang w:val="en-US"/>
      </w:rPr>
      <w:t>ANNEX</w:t>
    </w:r>
    <w:r w:rsidR="00910304">
      <w:rPr>
        <w:lang w:val="en-US"/>
      </w:rPr>
      <w:t>E</w:t>
    </w:r>
    <w:r>
      <w:rPr>
        <w:lang w:val="en-US"/>
      </w:rPr>
      <w:t xml:space="preserve"> 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313C9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  <w:p w:rsidR="00E618AC" w:rsidRDefault="00E618AC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09" w:rsidRPr="00C5280D" w:rsidRDefault="00245109" w:rsidP="0024510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TC/54/19</w:t>
    </w:r>
  </w:p>
  <w:p w:rsidR="00245109" w:rsidRDefault="00245109">
    <w:pPr>
      <w:pStyle w:val="Header"/>
      <w:rPr>
        <w:lang w:val="en-US"/>
      </w:rPr>
    </w:pPr>
  </w:p>
  <w:p w:rsidR="00245109" w:rsidRPr="00E22148" w:rsidRDefault="00245109">
    <w:pPr>
      <w:pStyle w:val="Header"/>
      <w:rPr>
        <w:lang w:val="en-US"/>
      </w:rPr>
    </w:pPr>
    <w:r>
      <w:rPr>
        <w:lang w:val="en-US"/>
      </w:rPr>
      <w:t>ANNEX</w:t>
    </w:r>
    <w:r w:rsidR="00302D35">
      <w:rPr>
        <w:lang w:val="en-US"/>
      </w:rPr>
      <w:t>E</w:t>
    </w:r>
    <w:r>
      <w:rPr>
        <w:lang w:val="en-US"/>
      </w:rPr>
      <w:t xml:space="preserve">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4567A"/>
    <w:multiLevelType w:val="singleLevel"/>
    <w:tmpl w:val="68A61006"/>
    <w:lvl w:ilvl="0">
      <w:start w:val="1"/>
      <w:numFmt w:val="lowerLetter"/>
      <w:lvlText w:val="(%1)"/>
      <w:legacy w:legacy="1" w:legacySpace="0" w:legacyIndent="567"/>
      <w:lvlJc w:val="left"/>
    </w:lvl>
  </w:abstractNum>
  <w:abstractNum w:abstractNumId="1" w15:restartNumberingAfterBreak="0">
    <w:nsid w:val="38FC4C8D"/>
    <w:multiLevelType w:val="hybridMultilevel"/>
    <w:tmpl w:val="739817E6"/>
    <w:lvl w:ilvl="0" w:tplc="1F78B9DE">
      <w:start w:val="1"/>
      <w:numFmt w:val="bullet"/>
      <w:pStyle w:val="ListParagraph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283EC6"/>
    <w:multiLevelType w:val="hybridMultilevel"/>
    <w:tmpl w:val="D294232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D2686"/>
    <w:multiLevelType w:val="hybridMultilevel"/>
    <w:tmpl w:val="6E0C1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245109"/>
    <w:rsid w:val="00010CF3"/>
    <w:rsid w:val="00011E27"/>
    <w:rsid w:val="000148BC"/>
    <w:rsid w:val="00024AB8"/>
    <w:rsid w:val="00026D58"/>
    <w:rsid w:val="00030854"/>
    <w:rsid w:val="0003133E"/>
    <w:rsid w:val="00036028"/>
    <w:rsid w:val="00044642"/>
    <w:rsid w:val="000446B9"/>
    <w:rsid w:val="00047E21"/>
    <w:rsid w:val="00050E16"/>
    <w:rsid w:val="000706DC"/>
    <w:rsid w:val="00074520"/>
    <w:rsid w:val="00085505"/>
    <w:rsid w:val="000C4E25"/>
    <w:rsid w:val="000C7021"/>
    <w:rsid w:val="000D6BBC"/>
    <w:rsid w:val="000D7780"/>
    <w:rsid w:val="000E5B14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0193"/>
    <w:rsid w:val="001B54D2"/>
    <w:rsid w:val="001F60ED"/>
    <w:rsid w:val="002045AD"/>
    <w:rsid w:val="00212BB3"/>
    <w:rsid w:val="0021332C"/>
    <w:rsid w:val="00213982"/>
    <w:rsid w:val="0024416D"/>
    <w:rsid w:val="00245109"/>
    <w:rsid w:val="00271911"/>
    <w:rsid w:val="002800A0"/>
    <w:rsid w:val="002801B3"/>
    <w:rsid w:val="00281060"/>
    <w:rsid w:val="002940E8"/>
    <w:rsid w:val="00294751"/>
    <w:rsid w:val="002A2DC5"/>
    <w:rsid w:val="002A6E50"/>
    <w:rsid w:val="002B4298"/>
    <w:rsid w:val="002C256A"/>
    <w:rsid w:val="00302D35"/>
    <w:rsid w:val="00304827"/>
    <w:rsid w:val="00305A7F"/>
    <w:rsid w:val="003152FE"/>
    <w:rsid w:val="00326DDF"/>
    <w:rsid w:val="00327436"/>
    <w:rsid w:val="00344BD6"/>
    <w:rsid w:val="0035528D"/>
    <w:rsid w:val="00355E3C"/>
    <w:rsid w:val="00361821"/>
    <w:rsid w:val="00361E9E"/>
    <w:rsid w:val="003A1915"/>
    <w:rsid w:val="003A7724"/>
    <w:rsid w:val="003B6FEC"/>
    <w:rsid w:val="003C7FBE"/>
    <w:rsid w:val="003D227C"/>
    <w:rsid w:val="003D2B4D"/>
    <w:rsid w:val="00444A88"/>
    <w:rsid w:val="00474DA4"/>
    <w:rsid w:val="00476B4D"/>
    <w:rsid w:val="004805FA"/>
    <w:rsid w:val="004815AC"/>
    <w:rsid w:val="004935D2"/>
    <w:rsid w:val="004963A7"/>
    <w:rsid w:val="004A5557"/>
    <w:rsid w:val="004B1215"/>
    <w:rsid w:val="004D047D"/>
    <w:rsid w:val="004F1E9E"/>
    <w:rsid w:val="004F305A"/>
    <w:rsid w:val="00500B72"/>
    <w:rsid w:val="00512164"/>
    <w:rsid w:val="00520297"/>
    <w:rsid w:val="005338F9"/>
    <w:rsid w:val="0054281C"/>
    <w:rsid w:val="00544581"/>
    <w:rsid w:val="0055268D"/>
    <w:rsid w:val="00576BE4"/>
    <w:rsid w:val="005938D7"/>
    <w:rsid w:val="005A400A"/>
    <w:rsid w:val="005C5F0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16FA"/>
    <w:rsid w:val="00685D2F"/>
    <w:rsid w:val="00687EB4"/>
    <w:rsid w:val="00695C56"/>
    <w:rsid w:val="006A5CDE"/>
    <w:rsid w:val="006A644A"/>
    <w:rsid w:val="006B17D2"/>
    <w:rsid w:val="006C224E"/>
    <w:rsid w:val="006D780A"/>
    <w:rsid w:val="006F3565"/>
    <w:rsid w:val="00704CBD"/>
    <w:rsid w:val="0071271E"/>
    <w:rsid w:val="00732DEC"/>
    <w:rsid w:val="00735BD5"/>
    <w:rsid w:val="0074433A"/>
    <w:rsid w:val="007467E3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278C"/>
    <w:rsid w:val="007F498F"/>
    <w:rsid w:val="00804488"/>
    <w:rsid w:val="0080679D"/>
    <w:rsid w:val="008108B0"/>
    <w:rsid w:val="00811B20"/>
    <w:rsid w:val="008211B5"/>
    <w:rsid w:val="0082296E"/>
    <w:rsid w:val="00823E66"/>
    <w:rsid w:val="00824099"/>
    <w:rsid w:val="00826A96"/>
    <w:rsid w:val="00846D7C"/>
    <w:rsid w:val="00867AC1"/>
    <w:rsid w:val="00872F51"/>
    <w:rsid w:val="00875D6A"/>
    <w:rsid w:val="00890DF8"/>
    <w:rsid w:val="00892563"/>
    <w:rsid w:val="0089512B"/>
    <w:rsid w:val="008A0841"/>
    <w:rsid w:val="008A743F"/>
    <w:rsid w:val="008B6E60"/>
    <w:rsid w:val="008C0970"/>
    <w:rsid w:val="008C64AF"/>
    <w:rsid w:val="008D0BC5"/>
    <w:rsid w:val="008D2CF7"/>
    <w:rsid w:val="008D43BE"/>
    <w:rsid w:val="008D7E86"/>
    <w:rsid w:val="00900C26"/>
    <w:rsid w:val="0090197F"/>
    <w:rsid w:val="00906DDC"/>
    <w:rsid w:val="00910304"/>
    <w:rsid w:val="0091199F"/>
    <w:rsid w:val="009221D7"/>
    <w:rsid w:val="00925E5A"/>
    <w:rsid w:val="00934E09"/>
    <w:rsid w:val="00936253"/>
    <w:rsid w:val="00940D46"/>
    <w:rsid w:val="00946CF8"/>
    <w:rsid w:val="00952DD4"/>
    <w:rsid w:val="00965AE7"/>
    <w:rsid w:val="00970FED"/>
    <w:rsid w:val="00992D82"/>
    <w:rsid w:val="0099304C"/>
    <w:rsid w:val="00997029"/>
    <w:rsid w:val="009A7339"/>
    <w:rsid w:val="009B440E"/>
    <w:rsid w:val="009D690D"/>
    <w:rsid w:val="009E65B6"/>
    <w:rsid w:val="00A24C10"/>
    <w:rsid w:val="00A315AA"/>
    <w:rsid w:val="00A362A8"/>
    <w:rsid w:val="00A42AC3"/>
    <w:rsid w:val="00A430CF"/>
    <w:rsid w:val="00A54309"/>
    <w:rsid w:val="00A56E3A"/>
    <w:rsid w:val="00AA447D"/>
    <w:rsid w:val="00AB2B93"/>
    <w:rsid w:val="00AB530F"/>
    <w:rsid w:val="00AB7E5B"/>
    <w:rsid w:val="00AC2883"/>
    <w:rsid w:val="00AE0EF1"/>
    <w:rsid w:val="00AE13F5"/>
    <w:rsid w:val="00AE2937"/>
    <w:rsid w:val="00AE53BE"/>
    <w:rsid w:val="00B07301"/>
    <w:rsid w:val="00B11F3E"/>
    <w:rsid w:val="00B139D6"/>
    <w:rsid w:val="00B14338"/>
    <w:rsid w:val="00B224DE"/>
    <w:rsid w:val="00B324D4"/>
    <w:rsid w:val="00B32D2D"/>
    <w:rsid w:val="00B46575"/>
    <w:rsid w:val="00B61777"/>
    <w:rsid w:val="00B73B85"/>
    <w:rsid w:val="00B84BBD"/>
    <w:rsid w:val="00BA3267"/>
    <w:rsid w:val="00BA43FB"/>
    <w:rsid w:val="00BB1783"/>
    <w:rsid w:val="00BB44D6"/>
    <w:rsid w:val="00BC127D"/>
    <w:rsid w:val="00BC1FE6"/>
    <w:rsid w:val="00BD2981"/>
    <w:rsid w:val="00BE66C5"/>
    <w:rsid w:val="00BF6FDF"/>
    <w:rsid w:val="00C061B6"/>
    <w:rsid w:val="00C2446C"/>
    <w:rsid w:val="00C313C9"/>
    <w:rsid w:val="00C36AE5"/>
    <w:rsid w:val="00C41F17"/>
    <w:rsid w:val="00C50B06"/>
    <w:rsid w:val="00C527FA"/>
    <w:rsid w:val="00C5280D"/>
    <w:rsid w:val="00C53EB3"/>
    <w:rsid w:val="00C5791C"/>
    <w:rsid w:val="00C66290"/>
    <w:rsid w:val="00C72B7A"/>
    <w:rsid w:val="00C747CB"/>
    <w:rsid w:val="00C973F2"/>
    <w:rsid w:val="00CA304C"/>
    <w:rsid w:val="00CA774A"/>
    <w:rsid w:val="00CC11B0"/>
    <w:rsid w:val="00CC2841"/>
    <w:rsid w:val="00CF1330"/>
    <w:rsid w:val="00CF7E36"/>
    <w:rsid w:val="00D32530"/>
    <w:rsid w:val="00D34D07"/>
    <w:rsid w:val="00D3708D"/>
    <w:rsid w:val="00D40426"/>
    <w:rsid w:val="00D4077E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2A98"/>
    <w:rsid w:val="00DC3802"/>
    <w:rsid w:val="00DD2E8E"/>
    <w:rsid w:val="00E00310"/>
    <w:rsid w:val="00E07D87"/>
    <w:rsid w:val="00E1133F"/>
    <w:rsid w:val="00E13C80"/>
    <w:rsid w:val="00E32F7E"/>
    <w:rsid w:val="00E45588"/>
    <w:rsid w:val="00E5267B"/>
    <w:rsid w:val="00E618AC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32F5"/>
    <w:rsid w:val="00F03E98"/>
    <w:rsid w:val="00F06547"/>
    <w:rsid w:val="00F1237A"/>
    <w:rsid w:val="00F22CBD"/>
    <w:rsid w:val="00F272F1"/>
    <w:rsid w:val="00F350C9"/>
    <w:rsid w:val="00F40441"/>
    <w:rsid w:val="00F45372"/>
    <w:rsid w:val="00F560F7"/>
    <w:rsid w:val="00F6334D"/>
    <w:rsid w:val="00F80C90"/>
    <w:rsid w:val="00FA49AB"/>
    <w:rsid w:val="00FA6094"/>
    <w:rsid w:val="00FC21EE"/>
    <w:rsid w:val="00FE39C7"/>
    <w:rsid w:val="00FF2263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8155216"/>
  <w15:docId w15:val="{699C761B-DF17-46E0-8DDF-B77C7F6D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1F60ED"/>
    <w:pPr>
      <w:keepNext/>
      <w:ind w:left="567"/>
      <w:jc w:val="both"/>
      <w:outlineLvl w:val="3"/>
    </w:pPr>
    <w:rPr>
      <w:rFonts w:ascii="Arial" w:hAnsi="Arial"/>
      <w:i/>
      <w:szCs w:val="24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3B6FEC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3B6FEC"/>
    <w:pPr>
      <w:tabs>
        <w:tab w:val="right" w:leader="dot" w:pos="9639"/>
      </w:tabs>
      <w:spacing w:before="60"/>
      <w:ind w:right="1418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D298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semiHidden/>
    <w:unhideWhenUsed/>
    <w:rsid w:val="000E5B14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875D6A"/>
    <w:pPr>
      <w:jc w:val="left"/>
    </w:pPr>
    <w:rPr>
      <w:rFonts w:ascii="Times New Roman" w:hAnsi="Times New Roman"/>
      <w:sz w:val="22"/>
      <w:lang w:val="fr-FR"/>
    </w:rPr>
  </w:style>
  <w:style w:type="character" w:customStyle="1" w:styleId="CommentTextChar">
    <w:name w:val="Comment Text Char"/>
    <w:basedOn w:val="DefaultParagraphFont"/>
    <w:link w:val="CommentText"/>
    <w:rsid w:val="00875D6A"/>
    <w:rPr>
      <w:sz w:val="22"/>
      <w:lang w:val="fr-FR"/>
    </w:rPr>
  </w:style>
  <w:style w:type="paragraph" w:styleId="ListParagraph">
    <w:name w:val="List Paragraph"/>
    <w:basedOn w:val="Normal"/>
    <w:uiPriority w:val="34"/>
    <w:qFormat/>
    <w:rsid w:val="00875D6A"/>
    <w:pPr>
      <w:numPr>
        <w:numId w:val="4"/>
      </w:numPr>
      <w:spacing w:after="240"/>
      <w:ind w:left="850" w:hanging="425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3.xml"/><Relationship Id="rId10" Type="http://schemas.openxmlformats.org/officeDocument/2006/relationships/hyperlink" Target="http://www.upov.int/meetings/fr/doc_details.jsp?meeting_id=47210&amp;doc_id=409249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upov.int/meetings/fr/doc_details.jsp?meeting_id=47206&amp;doc_id=405877" TargetMode="External"/><Relationship Id="rId14" Type="http://schemas.openxmlformats.org/officeDocument/2006/relationships/image" Target="media/image3.wmf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tino\Desktop\Tc54\templates\TC_54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B406-C38B-436B-BAF0-958E9CEC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TC_54_EN</Template>
  <TotalTime>0</TotalTime>
  <Pages>6</Pages>
  <Words>2813</Words>
  <Characters>15563</Characters>
  <Application>Microsoft Office Word</Application>
  <DocSecurity>0</DocSecurity>
  <Lines>379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18209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Leontino Taveira</dc:creator>
  <cp:lastModifiedBy>MAY Jessica</cp:lastModifiedBy>
  <cp:revision>4</cp:revision>
  <cp:lastPrinted>2018-10-04T14:06:00Z</cp:lastPrinted>
  <dcterms:created xsi:type="dcterms:W3CDTF">2018-10-09T14:29:00Z</dcterms:created>
  <dcterms:modified xsi:type="dcterms:W3CDTF">2018-10-09T14:32:00Z</dcterms:modified>
</cp:coreProperties>
</file>