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32EB0" w:rsidRPr="00815738" w:rsidTr="000E72AC">
        <w:tc>
          <w:tcPr>
            <w:tcW w:w="6522" w:type="dxa"/>
          </w:tcPr>
          <w:p w:rsidR="00F32EB0" w:rsidRPr="00AC2883" w:rsidRDefault="00F32EB0" w:rsidP="000E72AC">
            <w:r w:rsidRPr="00D250C5">
              <w:rPr>
                <w:noProof/>
                <w:lang w:val="en-US"/>
              </w:rPr>
              <w:drawing>
                <wp:inline distT="0" distB="0" distL="0" distR="0" wp14:anchorId="344C0699" wp14:editId="63A5DA2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32EB0" w:rsidRPr="007C1D92" w:rsidRDefault="00F32EB0" w:rsidP="000E72AC">
            <w:pPr>
              <w:pStyle w:val="Lettrine"/>
            </w:pPr>
            <w:r>
              <w:t>F</w:t>
            </w:r>
          </w:p>
        </w:tc>
      </w:tr>
      <w:tr w:rsidR="00F32EB0" w:rsidRPr="00DA4973" w:rsidTr="000E72AC">
        <w:trPr>
          <w:trHeight w:val="219"/>
        </w:trPr>
        <w:tc>
          <w:tcPr>
            <w:tcW w:w="6522" w:type="dxa"/>
          </w:tcPr>
          <w:p w:rsidR="00F32EB0" w:rsidRPr="00AC2883" w:rsidRDefault="00F32EB0" w:rsidP="000E72A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F32EB0" w:rsidRPr="00DA4973" w:rsidRDefault="00F32EB0" w:rsidP="000E72AC"/>
        </w:tc>
      </w:tr>
    </w:tbl>
    <w:p w:rsidR="00F32EB0" w:rsidRDefault="00F32EB0" w:rsidP="00F32EB0"/>
    <w:p w:rsidR="00F32EB0" w:rsidRPr="00365DC1" w:rsidRDefault="00F32EB0" w:rsidP="00F32EB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32EB0" w:rsidRPr="00C5280D" w:rsidTr="000E72AC">
        <w:tc>
          <w:tcPr>
            <w:tcW w:w="6512" w:type="dxa"/>
          </w:tcPr>
          <w:p w:rsidR="00F32EB0" w:rsidRPr="00AC2883" w:rsidRDefault="00F32EB0" w:rsidP="000E72AC">
            <w:pPr>
              <w:pStyle w:val="Sessiontc"/>
              <w:spacing w:line="240" w:lineRule="auto"/>
            </w:pPr>
            <w:r>
              <w:t>Comité technique</w:t>
            </w:r>
          </w:p>
          <w:p w:rsidR="00F32EB0" w:rsidRPr="00DC3802" w:rsidRDefault="00F32EB0" w:rsidP="000E72AC">
            <w:pPr>
              <w:pStyle w:val="Sessiontcplacedate"/>
              <w:rPr>
                <w:sz w:val="22"/>
              </w:rPr>
            </w:pPr>
            <w:r>
              <w:t>Cinquante-quatrième s</w:t>
            </w:r>
            <w:r w:rsidRPr="00DA4973">
              <w:t>ession</w:t>
            </w:r>
            <w:r w:rsidRPr="00DA4973">
              <w:br/>
              <w:t>Gen</w:t>
            </w:r>
            <w:r>
              <w:t>è</w:t>
            </w:r>
            <w:r w:rsidRPr="00DA4973">
              <w:t>v</w:t>
            </w:r>
            <w:r>
              <w:t>e</w:t>
            </w:r>
            <w:r w:rsidRPr="00DA4973">
              <w:t xml:space="preserve">, </w:t>
            </w:r>
            <w:r>
              <w:t>29 et 30 octobre 2018</w:t>
            </w:r>
          </w:p>
        </w:tc>
        <w:tc>
          <w:tcPr>
            <w:tcW w:w="3127" w:type="dxa"/>
          </w:tcPr>
          <w:p w:rsidR="00F32EB0" w:rsidRPr="008A287E" w:rsidRDefault="00F32EB0" w:rsidP="000E72AC">
            <w:pPr>
              <w:pStyle w:val="Doccode"/>
              <w:rPr>
                <w:lang w:val="fr-CH"/>
              </w:rPr>
            </w:pPr>
            <w:r w:rsidRPr="008A287E">
              <w:rPr>
                <w:lang w:val="fr-CH"/>
              </w:rPr>
              <w:t>TC/54/17</w:t>
            </w:r>
          </w:p>
          <w:p w:rsidR="00F32EB0" w:rsidRPr="003C7FBE" w:rsidRDefault="00F32EB0" w:rsidP="000E72AC">
            <w:pPr>
              <w:pStyle w:val="Docoriginal"/>
            </w:pPr>
            <w:r w:rsidRPr="00AC2883">
              <w:t>Original:</w:t>
            </w:r>
            <w:r>
              <w:rPr>
                <w:b w:val="0"/>
                <w:spacing w:val="0"/>
              </w:rPr>
              <w:t xml:space="preserve"> anglais</w:t>
            </w:r>
          </w:p>
          <w:p w:rsidR="00F32EB0" w:rsidRPr="007C1D92" w:rsidRDefault="00F32EB0" w:rsidP="008A287E">
            <w:pPr>
              <w:pStyle w:val="Docoriginal"/>
            </w:pPr>
            <w:r w:rsidRPr="00AC2883">
              <w:t>Date:</w:t>
            </w:r>
            <w:r>
              <w:rPr>
                <w:b w:val="0"/>
                <w:spacing w:val="0"/>
              </w:rPr>
              <w:t xml:space="preserve"> </w:t>
            </w:r>
            <w:r w:rsidR="008A287E">
              <w:rPr>
                <w:b w:val="0"/>
                <w:spacing w:val="0"/>
              </w:rPr>
              <w:t>23</w:t>
            </w:r>
            <w:r w:rsidRPr="008A287E">
              <w:rPr>
                <w:b w:val="0"/>
                <w:spacing w:val="0"/>
              </w:rPr>
              <w:t xml:space="preserve"> août 2018</w:t>
            </w:r>
          </w:p>
        </w:tc>
      </w:tr>
    </w:tbl>
    <w:p w:rsidR="00F32EB0" w:rsidRPr="00F32EB0" w:rsidRDefault="00F32EB0" w:rsidP="00F32EB0">
      <w:pPr>
        <w:pStyle w:val="Titleofdoc0"/>
        <w:rPr>
          <w:rFonts w:eastAsiaTheme="minorEastAsia"/>
        </w:rPr>
      </w:pPr>
      <w:bookmarkStart w:id="0" w:name="TitleOfDoc"/>
      <w:bookmarkStart w:id="1" w:name="Prepared"/>
      <w:bookmarkEnd w:id="0"/>
      <w:bookmarkEnd w:id="1"/>
      <w:r w:rsidRPr="00F32EB0">
        <w:rPr>
          <w:rFonts w:eastAsiaTheme="minorEastAsia"/>
        </w:rPr>
        <w:t>RÉVISION DU DOCUMENT TGP/8 : DEUXIÈME PARTIE : QUELQUES TECHNIQUES UTILISÉES DANS L’EXAMEN DHS, SECTION 9 : ANALYSE GLOBALE DE L’HOMOGÉNÉITÉ SUR PLUSIEURS ANNÉES (MÉTHODE D’ANALYSE COYU)</w:t>
      </w:r>
    </w:p>
    <w:p w:rsidR="00F32EB0" w:rsidRPr="006A644A" w:rsidRDefault="00F32EB0" w:rsidP="00F32EB0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F32EB0" w:rsidRPr="00F32EB0" w:rsidRDefault="00F32EB0" w:rsidP="00F32EB0">
      <w:pPr>
        <w:pStyle w:val="Disclaimer"/>
        <w:rPr>
          <w:lang w:val="fr-FR"/>
        </w:rPr>
      </w:pPr>
      <w:r w:rsidRPr="00F32EB0">
        <w:rPr>
          <w:lang w:val="fr-FR"/>
        </w:rPr>
        <w:t>Avertissement : le présent document ne représente pas les principes ou les orientations de l’UPOV</w:t>
      </w:r>
    </w:p>
    <w:p w:rsidR="008169B8" w:rsidRPr="008A287E" w:rsidRDefault="0093300C" w:rsidP="006C113F">
      <w:pPr>
        <w:pStyle w:val="Heading1"/>
        <w:rPr>
          <w:rFonts w:eastAsiaTheme="minorEastAsia"/>
          <w:lang w:val="fr-CH"/>
        </w:rPr>
      </w:pPr>
      <w:bookmarkStart w:id="2" w:name="_Toc524690953"/>
      <w:r w:rsidRPr="008A287E">
        <w:rPr>
          <w:rFonts w:eastAsiaTheme="minorEastAsia"/>
          <w:lang w:val="fr-CH"/>
        </w:rPr>
        <w:t>Résumé</w:t>
      </w:r>
      <w:bookmarkEnd w:id="2"/>
    </w:p>
    <w:p w:rsidR="008169B8" w:rsidRPr="00F32EB0" w:rsidRDefault="008169B8" w:rsidP="00B55ED6">
      <w:pPr>
        <w:rPr>
          <w:rFonts w:eastAsiaTheme="minorEastAsia"/>
          <w:lang w:eastAsia="ja-JP"/>
        </w:rPr>
      </w:pPr>
    </w:p>
    <w:p w:rsidR="008169B8" w:rsidRPr="00F32EB0" w:rsidRDefault="00C11A4B" w:rsidP="00FF7B42">
      <w:pPr>
        <w:rPr>
          <w:rFonts w:eastAsiaTheme="minorEastAsia"/>
        </w:rPr>
      </w:pPr>
      <w:r w:rsidRPr="00F32EB0">
        <w:rPr>
          <w:rFonts w:eastAsiaTheme="minorEastAsia"/>
        </w:rPr>
        <w:fldChar w:fldCharType="begin"/>
      </w:r>
      <w:r w:rsidRPr="00F32EB0">
        <w:rPr>
          <w:rFonts w:eastAsiaTheme="minorEastAsia"/>
        </w:rPr>
        <w:instrText xml:space="preserve"> AUTONUM  </w:instrText>
      </w:r>
      <w:r w:rsidRPr="00F32EB0">
        <w:rPr>
          <w:rFonts w:eastAsiaTheme="minorEastAsia"/>
        </w:rPr>
        <w:fldChar w:fldCharType="end"/>
      </w:r>
      <w:r w:rsidRPr="00F32EB0">
        <w:rPr>
          <w:rFonts w:eastAsiaTheme="minorEastAsia"/>
        </w:rPr>
        <w:tab/>
      </w:r>
      <w:r w:rsidR="00FF7B42" w:rsidRPr="00F32EB0">
        <w:rPr>
          <w:rFonts w:eastAsiaTheme="minorEastAsia"/>
        </w:rPr>
        <w:t>L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 xml:space="preserve">objet du présent document est de </w:t>
      </w:r>
      <w:r w:rsidR="006D23DF" w:rsidRPr="00F32EB0">
        <w:rPr>
          <w:rFonts w:eastAsiaTheme="minorEastAsia"/>
        </w:rPr>
        <w:t>rendre compte d</w:t>
      </w:r>
      <w:r w:rsidR="00FF7B42" w:rsidRPr="00F32EB0">
        <w:rPr>
          <w:rFonts w:eastAsiaTheme="minorEastAsia"/>
        </w:rPr>
        <w:t xml:space="preserve">es éléments nouveaux concernant la méthode </w:t>
      </w:r>
      <w:r w:rsidR="001A3031" w:rsidRPr="00F32EB0">
        <w:rPr>
          <w:rFonts w:eastAsiaTheme="minorEastAsia"/>
        </w:rPr>
        <w:t>améliorée</w:t>
      </w:r>
      <w:r w:rsidR="00FF7B42" w:rsidRPr="00F32EB0">
        <w:rPr>
          <w:rFonts w:eastAsiaTheme="minorEastAsia"/>
        </w:rPr>
        <w:t xml:space="preserve"> de calcul de l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>analyse globale de l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>homogénéité sur plu</w:t>
      </w:r>
      <w:r w:rsidR="0022320F" w:rsidRPr="00F32EB0">
        <w:rPr>
          <w:rFonts w:eastAsiaTheme="minorEastAsia"/>
        </w:rPr>
        <w:t>sieurs années (</w:t>
      </w:r>
      <w:r w:rsidR="006D23DF" w:rsidRPr="00F32EB0">
        <w:rPr>
          <w:rFonts w:eastAsiaTheme="minorEastAsia"/>
        </w:rPr>
        <w:t>méthode</w:t>
      </w:r>
      <w:r w:rsidR="00FE4887" w:rsidRPr="00F32EB0">
        <w:rPr>
          <w:rFonts w:eastAsiaTheme="minorEastAsia"/>
        </w:rPr>
        <w:t xml:space="preserve"> d</w:t>
      </w:r>
      <w:r w:rsidR="00BF4883" w:rsidRPr="00F32EB0">
        <w:rPr>
          <w:rFonts w:eastAsiaTheme="minorEastAsia"/>
        </w:rPr>
        <w:t>’</w:t>
      </w:r>
      <w:r w:rsidR="00FE4887" w:rsidRPr="00F32EB0">
        <w:rPr>
          <w:rFonts w:eastAsiaTheme="minorEastAsia"/>
        </w:rPr>
        <w:t>analyse COYU</w:t>
      </w:r>
      <w:r w:rsidR="00FF7B42" w:rsidRPr="00F32EB0">
        <w:rPr>
          <w:rFonts w:eastAsiaTheme="minorEastAsia"/>
        </w:rPr>
        <w:t>).</w:t>
      </w:r>
      <w:r w:rsidRPr="00F32EB0">
        <w:rPr>
          <w:rFonts w:eastAsiaTheme="minorEastAsia"/>
        </w:rPr>
        <w:t xml:space="preserve"> </w:t>
      </w:r>
      <w:r w:rsidR="000B0934" w:rsidRPr="00F32EB0">
        <w:rPr>
          <w:rFonts w:eastAsiaTheme="minorEastAsia"/>
        </w:rPr>
        <w:t xml:space="preserve"> </w:t>
      </w:r>
      <w:r w:rsidR="00FF7B42" w:rsidRPr="00F32EB0">
        <w:rPr>
          <w:rFonts w:eastAsiaTheme="minorEastAsia"/>
        </w:rPr>
        <w:t>La méthode de calcul actue</w:t>
      </w:r>
      <w:r w:rsidR="006D23DF" w:rsidRPr="00F32EB0">
        <w:rPr>
          <w:rFonts w:eastAsiaTheme="minorEastAsia"/>
        </w:rPr>
        <w:t xml:space="preserve">lle du critère </w:t>
      </w:r>
      <w:r w:rsidR="00FE4887" w:rsidRPr="00F32EB0">
        <w:rPr>
          <w:rFonts w:eastAsiaTheme="minorEastAsia"/>
        </w:rPr>
        <w:t>COYU</w:t>
      </w:r>
      <w:r w:rsidR="00FF7B42" w:rsidRPr="00F32EB0">
        <w:rPr>
          <w:rFonts w:eastAsiaTheme="minorEastAsia"/>
        </w:rPr>
        <w:t xml:space="preserve"> est décrite dans le document</w:t>
      </w:r>
      <w:r w:rsidR="0035154E">
        <w:rPr>
          <w:rFonts w:eastAsiaTheme="minorEastAsia"/>
        </w:rPr>
        <w:t xml:space="preserve"> TPG/8</w:t>
      </w:r>
      <w:r w:rsidR="00FF7B42" w:rsidRPr="00F32EB0">
        <w:rPr>
          <w:rFonts w:eastAsiaTheme="minorEastAsia"/>
        </w:rPr>
        <w:t xml:space="preserve"> </w:t>
      </w:r>
      <w:r w:rsidR="00BF4883" w:rsidRPr="00F32EB0">
        <w:rPr>
          <w:rFonts w:eastAsiaTheme="minorEastAsia"/>
        </w:rPr>
        <w:t>“P</w:t>
      </w:r>
      <w:r w:rsidR="00FF7B42" w:rsidRPr="00F32EB0">
        <w:rPr>
          <w:rFonts w:eastAsiaTheme="minorEastAsia"/>
        </w:rPr>
        <w:t>rotocole d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>essai et techniques utilisés dans l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>examen de la distinction, de l</w:t>
      </w:r>
      <w:r w:rsidR="00BF4883" w:rsidRPr="00F32EB0">
        <w:rPr>
          <w:rFonts w:eastAsiaTheme="minorEastAsia"/>
        </w:rPr>
        <w:t>’</w:t>
      </w:r>
      <w:r w:rsidR="00FF7B42" w:rsidRPr="00F32EB0">
        <w:rPr>
          <w:rFonts w:eastAsiaTheme="minorEastAsia"/>
        </w:rPr>
        <w:t>homogénéité et de la stabilité”.</w:t>
      </w:r>
    </w:p>
    <w:p w:rsidR="008169B8" w:rsidRPr="00F32EB0" w:rsidRDefault="008169B8" w:rsidP="00C11A4B">
      <w:pPr>
        <w:rPr>
          <w:rFonts w:eastAsiaTheme="minorEastAsia"/>
          <w:lang w:eastAsia="ja-JP"/>
        </w:rPr>
      </w:pPr>
    </w:p>
    <w:p w:rsidR="00BF4883" w:rsidRPr="00F32EB0" w:rsidRDefault="00C11A4B" w:rsidP="007F5B84">
      <w:pPr>
        <w:rPr>
          <w:rFonts w:eastAsiaTheme="minorEastAsia"/>
        </w:rPr>
      </w:pPr>
      <w:r w:rsidRPr="00F32EB0">
        <w:rPr>
          <w:rFonts w:eastAsiaTheme="minorEastAsia"/>
        </w:rPr>
        <w:fldChar w:fldCharType="begin"/>
      </w:r>
      <w:r w:rsidRPr="00F32EB0">
        <w:rPr>
          <w:rFonts w:eastAsiaTheme="minorEastAsia"/>
        </w:rPr>
        <w:instrText xml:space="preserve"> AUTONUM  </w:instrText>
      </w:r>
      <w:r w:rsidRPr="00F32EB0">
        <w:rPr>
          <w:rFonts w:eastAsiaTheme="minorEastAsia"/>
        </w:rPr>
        <w:fldChar w:fldCharType="end"/>
      </w:r>
      <w:r w:rsidRPr="00F32EB0">
        <w:rPr>
          <w:rFonts w:eastAsiaTheme="minorEastAsia"/>
        </w:rPr>
        <w:tab/>
      </w:r>
      <w:r w:rsidR="00DD1892" w:rsidRPr="00F32EB0">
        <w:rPr>
          <w:rFonts w:eastAsiaTheme="minorEastAsia"/>
        </w:rPr>
        <w:t>Le critère COYU est utilisé</w:t>
      </w:r>
      <w:r w:rsidR="007F5B84" w:rsidRPr="00F32EB0">
        <w:rPr>
          <w:rFonts w:eastAsiaTheme="minorEastAsia"/>
        </w:rPr>
        <w:t xml:space="preserve"> pour l</w:t>
      </w:r>
      <w:r w:rsidR="00BF4883" w:rsidRPr="00F32EB0">
        <w:rPr>
          <w:rFonts w:eastAsiaTheme="minorEastAsia"/>
        </w:rPr>
        <w:t>’</w:t>
      </w:r>
      <w:r w:rsidR="007F5B84" w:rsidRPr="00F32EB0">
        <w:rPr>
          <w:rFonts w:eastAsiaTheme="minorEastAsia"/>
        </w:rPr>
        <w:t>évaluation de l</w:t>
      </w:r>
      <w:r w:rsidR="00BF4883" w:rsidRPr="00F32EB0">
        <w:rPr>
          <w:rFonts w:eastAsiaTheme="minorEastAsia"/>
        </w:rPr>
        <w:t>’</w:t>
      </w:r>
      <w:r w:rsidR="007F5B84" w:rsidRPr="00F32EB0">
        <w:rPr>
          <w:rFonts w:eastAsiaTheme="minorEastAsia"/>
        </w:rPr>
        <w:t>homogénéité avec des caractères quantitatifs, quand les observations sont réalisées plante par plante et sur deux</w:t>
      </w:r>
      <w:r w:rsidR="000B0934" w:rsidRPr="00F32EB0">
        <w:rPr>
          <w:rFonts w:eastAsiaTheme="minorEastAsia"/>
        </w:rPr>
        <w:t> </w:t>
      </w:r>
      <w:r w:rsidR="007F5B84" w:rsidRPr="00F32EB0">
        <w:rPr>
          <w:rFonts w:eastAsiaTheme="minorEastAsia"/>
        </w:rPr>
        <w:t>ou plusieurs cycles et quand il existe une variation quantitative entre les plantes d</w:t>
      </w:r>
      <w:r w:rsidR="00BF4883" w:rsidRPr="00F32EB0">
        <w:rPr>
          <w:rFonts w:eastAsiaTheme="minorEastAsia"/>
        </w:rPr>
        <w:t>’</w:t>
      </w:r>
      <w:r w:rsidR="007F5B84" w:rsidRPr="00F32EB0">
        <w:rPr>
          <w:rFonts w:eastAsiaTheme="minorEastAsia"/>
        </w:rPr>
        <w:t>une variété donnée.</w:t>
      </w:r>
    </w:p>
    <w:p w:rsidR="008169B8" w:rsidRPr="00F32EB0" w:rsidRDefault="008169B8" w:rsidP="00C11A4B">
      <w:pPr>
        <w:rPr>
          <w:rFonts w:eastAsiaTheme="minorEastAsia"/>
          <w:lang w:eastAsia="ja-JP"/>
        </w:rPr>
      </w:pPr>
    </w:p>
    <w:p w:rsidR="00BF4883" w:rsidRPr="00F32EB0" w:rsidRDefault="00F13B91" w:rsidP="007F5B84">
      <w:pPr>
        <w:tabs>
          <w:tab w:val="left" w:pos="567"/>
          <w:tab w:val="left" w:pos="1134"/>
          <w:tab w:val="left" w:pos="5400"/>
        </w:tabs>
        <w:rPr>
          <w:rFonts w:eastAsiaTheme="minorEastAsia"/>
        </w:rPr>
      </w:pPr>
      <w:r w:rsidRPr="00F32EB0">
        <w:rPr>
          <w:rFonts w:eastAsiaTheme="minorEastAsia"/>
        </w:rPr>
        <w:fldChar w:fldCharType="begin"/>
      </w:r>
      <w:r w:rsidRPr="00F32EB0">
        <w:rPr>
          <w:rFonts w:eastAsiaTheme="minorEastAsia"/>
        </w:rPr>
        <w:instrText xml:space="preserve"> AUTONUM  </w:instrText>
      </w:r>
      <w:r w:rsidRPr="00F32EB0">
        <w:rPr>
          <w:rFonts w:eastAsiaTheme="minorEastAsia"/>
        </w:rPr>
        <w:fldChar w:fldCharType="end"/>
      </w:r>
      <w:r w:rsidRPr="00F32EB0">
        <w:rPr>
          <w:rFonts w:eastAsiaTheme="minorEastAsia"/>
        </w:rPr>
        <w:tab/>
      </w:r>
      <w:r w:rsidR="007F5B84" w:rsidRPr="00F32EB0">
        <w:rPr>
          <w:rFonts w:eastAsiaTheme="minorEastAsia"/>
        </w:rPr>
        <w:t>Le</w:t>
      </w:r>
      <w:r w:rsidR="00BF4883" w:rsidRPr="00F32EB0">
        <w:rPr>
          <w:rFonts w:eastAsiaTheme="minorEastAsia"/>
        </w:rPr>
        <w:t> TC</w:t>
      </w:r>
      <w:r w:rsidR="007F5B84" w:rsidRPr="00F32EB0">
        <w:rPr>
          <w:rFonts w:eastAsiaTheme="minorEastAsia"/>
        </w:rPr>
        <w:t xml:space="preserve"> est i</w:t>
      </w:r>
      <w:r w:rsidR="003A7358" w:rsidRPr="00F32EB0">
        <w:rPr>
          <w:rFonts w:eastAsiaTheme="minorEastAsia"/>
        </w:rPr>
        <w:t xml:space="preserve">nvité à </w:t>
      </w:r>
      <w:r w:rsidR="00C725C5" w:rsidRPr="00F32EB0">
        <w:rPr>
          <w:rFonts w:eastAsiaTheme="minorEastAsia"/>
        </w:rPr>
        <w:t>noter :</w:t>
      </w:r>
    </w:p>
    <w:p w:rsidR="008169B8" w:rsidRPr="00F32EB0" w:rsidRDefault="008169B8" w:rsidP="001F19CC">
      <w:pPr>
        <w:tabs>
          <w:tab w:val="left" w:pos="567"/>
          <w:tab w:val="left" w:pos="1134"/>
        </w:tabs>
        <w:rPr>
          <w:rFonts w:eastAsiaTheme="minorEastAsia"/>
        </w:rPr>
      </w:pPr>
    </w:p>
    <w:p w:rsidR="008169B8" w:rsidRPr="00F32EB0" w:rsidRDefault="001F19CC" w:rsidP="00BE4C26">
      <w:pPr>
        <w:tabs>
          <w:tab w:val="left" w:pos="567"/>
          <w:tab w:val="left" w:pos="1134"/>
        </w:tabs>
        <w:rPr>
          <w:rFonts w:eastAsiaTheme="minorEastAsia"/>
        </w:rPr>
      </w:pPr>
      <w:r w:rsidRPr="00F32EB0">
        <w:rPr>
          <w:rFonts w:eastAsiaTheme="minorEastAsia"/>
        </w:rPr>
        <w:tab/>
      </w:r>
      <w:r w:rsidR="003A7358" w:rsidRPr="00F32EB0">
        <w:rPr>
          <w:rFonts w:eastAsiaTheme="minorEastAsia"/>
        </w:rPr>
        <w:t>a)</w:t>
      </w:r>
      <w:r w:rsidR="003A7358" w:rsidRPr="00F32EB0">
        <w:rPr>
          <w:rFonts w:eastAsiaTheme="minorEastAsia"/>
        </w:rPr>
        <w:tab/>
        <w:t>qu</w:t>
      </w:r>
      <w:r w:rsidR="00BF4883" w:rsidRPr="00F32EB0">
        <w:rPr>
          <w:rFonts w:eastAsiaTheme="minorEastAsia"/>
        </w:rPr>
        <w:t>’</w:t>
      </w:r>
      <w:r w:rsidR="00BE4C26" w:rsidRPr="00F32EB0">
        <w:rPr>
          <w:rFonts w:eastAsiaTheme="minorEastAsia"/>
        </w:rPr>
        <w:t>à sa quarante</w:t>
      </w:r>
      <w:r w:rsidR="00DB478B" w:rsidRPr="00F32EB0">
        <w:rPr>
          <w:rFonts w:eastAsiaTheme="minorEastAsia"/>
        </w:rPr>
        <w:noBreakHyphen/>
      </w:r>
      <w:r w:rsidR="00BE4C26" w:rsidRPr="00F32EB0">
        <w:rPr>
          <w:rFonts w:eastAsiaTheme="minorEastAsia"/>
        </w:rPr>
        <w:t>huit</w:t>
      </w:r>
      <w:r w:rsidR="00BF4883" w:rsidRPr="00F32EB0">
        <w:rPr>
          <w:rFonts w:eastAsiaTheme="minorEastAsia"/>
        </w:rPr>
        <w:t>ième session</w:t>
      </w:r>
      <w:r w:rsidR="00BE4C26" w:rsidRPr="00F32EB0">
        <w:rPr>
          <w:rFonts w:eastAsiaTheme="minorEastAsia"/>
        </w:rPr>
        <w:t>,</w:t>
      </w:r>
      <w:r w:rsidR="00BF4883" w:rsidRPr="00F32EB0">
        <w:rPr>
          <w:rFonts w:eastAsiaTheme="minorEastAsia"/>
        </w:rPr>
        <w:t xml:space="preserve"> le TWF</w:t>
      </w:r>
      <w:r w:rsidR="00BE4C26" w:rsidRPr="00F32EB0">
        <w:rPr>
          <w:rFonts w:eastAsiaTheme="minorEastAsia"/>
        </w:rPr>
        <w:t xml:space="preserve"> a suggéré de réaliser une enquête auprès des membres de l</w:t>
      </w:r>
      <w:r w:rsidR="00BF4883" w:rsidRPr="00F32EB0">
        <w:rPr>
          <w:rFonts w:eastAsiaTheme="minorEastAsia"/>
        </w:rPr>
        <w:t>’</w:t>
      </w:r>
      <w:r w:rsidR="00BE4C26" w:rsidRPr="00F32EB0">
        <w:rPr>
          <w:rFonts w:eastAsiaTheme="minorEastAsia"/>
        </w:rPr>
        <w:t xml:space="preserve">Union pour évaluer le nombre de services utilisant la </w:t>
      </w:r>
      <w:r w:rsidR="006D23DF" w:rsidRPr="00F32EB0">
        <w:rPr>
          <w:rFonts w:eastAsiaTheme="minorEastAsia"/>
        </w:rPr>
        <w:t>méthode</w:t>
      </w:r>
      <w:r w:rsidR="00FE4887" w:rsidRPr="00F32EB0">
        <w:rPr>
          <w:rFonts w:eastAsiaTheme="minorEastAsia"/>
        </w:rPr>
        <w:t xml:space="preserve"> d</w:t>
      </w:r>
      <w:r w:rsidR="00BF4883" w:rsidRPr="00F32EB0">
        <w:rPr>
          <w:rFonts w:eastAsiaTheme="minorEastAsia"/>
        </w:rPr>
        <w:t>’</w:t>
      </w:r>
      <w:r w:rsidR="00FE4887" w:rsidRPr="00F32EB0">
        <w:rPr>
          <w:rFonts w:eastAsiaTheme="minorEastAsia"/>
        </w:rPr>
        <w:t>analyse COYU</w:t>
      </w:r>
      <w:r w:rsidR="006D23DF" w:rsidRPr="00F32EB0">
        <w:rPr>
          <w:rFonts w:eastAsiaTheme="minorEastAsia"/>
        </w:rPr>
        <w:t xml:space="preserve"> pour chaque type de culture</w:t>
      </w:r>
      <w:r w:rsidR="00BE4C26" w:rsidRPr="00F32EB0">
        <w:rPr>
          <w:rFonts w:eastAsiaTheme="minorEastAsia"/>
        </w:rPr>
        <w:t xml:space="preserve"> afin d</w:t>
      </w:r>
      <w:r w:rsidR="00BF4883" w:rsidRPr="00F32EB0">
        <w:rPr>
          <w:rFonts w:eastAsiaTheme="minorEastAsia"/>
        </w:rPr>
        <w:t>’</w:t>
      </w:r>
      <w:r w:rsidR="00BE4C26" w:rsidRPr="00F32EB0">
        <w:rPr>
          <w:rFonts w:eastAsiaTheme="minorEastAsia"/>
        </w:rPr>
        <w:t>évaluer quel serait le meilleur moyen de présenter les renseignements concernant l</w:t>
      </w:r>
      <w:r w:rsidR="00BF4883" w:rsidRPr="00F32EB0">
        <w:rPr>
          <w:rFonts w:eastAsiaTheme="minorEastAsia"/>
        </w:rPr>
        <w:t>’</w:t>
      </w:r>
      <w:r w:rsidR="00BE4C26" w:rsidRPr="00F32EB0">
        <w:rPr>
          <w:rFonts w:eastAsiaTheme="minorEastAsia"/>
        </w:rPr>
        <w:t>analyse globale de l</w:t>
      </w:r>
      <w:r w:rsidR="00BF4883" w:rsidRPr="00F32EB0">
        <w:rPr>
          <w:rFonts w:eastAsiaTheme="minorEastAsia"/>
        </w:rPr>
        <w:t>’</w:t>
      </w:r>
      <w:r w:rsidR="00BE4C26" w:rsidRPr="00F32EB0">
        <w:rPr>
          <w:rFonts w:eastAsiaTheme="minorEastAsia"/>
        </w:rPr>
        <w:t>homogénéité sur plusieurs années</w:t>
      </w:r>
      <w:r w:rsidR="00BF4883" w:rsidRPr="00F32EB0">
        <w:rPr>
          <w:rFonts w:eastAsiaTheme="minorEastAsia"/>
        </w:rPr>
        <w:t xml:space="preserve"> aux TWP</w:t>
      </w:r>
      <w:r w:rsidR="00BE4C26" w:rsidRPr="00F32EB0">
        <w:rPr>
          <w:rFonts w:eastAsiaTheme="minorEastAsia"/>
        </w:rPr>
        <w:t>;</w:t>
      </w:r>
    </w:p>
    <w:p w:rsidR="008169B8" w:rsidRPr="00F32EB0" w:rsidRDefault="008169B8" w:rsidP="001F19CC">
      <w:pPr>
        <w:tabs>
          <w:tab w:val="left" w:pos="567"/>
          <w:tab w:val="left" w:pos="1134"/>
        </w:tabs>
        <w:rPr>
          <w:rFonts w:eastAsiaTheme="minorEastAsia"/>
        </w:rPr>
      </w:pPr>
    </w:p>
    <w:p w:rsidR="00BF4883" w:rsidRPr="00F32EB0" w:rsidRDefault="001F19CC" w:rsidP="00D7646E">
      <w:pPr>
        <w:tabs>
          <w:tab w:val="left" w:pos="567"/>
          <w:tab w:val="left" w:pos="1134"/>
        </w:tabs>
        <w:rPr>
          <w:rFonts w:eastAsiaTheme="minorEastAsia"/>
        </w:rPr>
      </w:pPr>
      <w:r w:rsidRPr="00F32EB0">
        <w:rPr>
          <w:rFonts w:eastAsiaTheme="minorEastAsia"/>
        </w:rPr>
        <w:tab/>
      </w:r>
      <w:r w:rsidR="003A7358" w:rsidRPr="00F32EB0">
        <w:rPr>
          <w:rFonts w:eastAsiaTheme="minorEastAsia"/>
        </w:rPr>
        <w:t>b)</w:t>
      </w:r>
      <w:r w:rsidR="003A7358" w:rsidRPr="00F32EB0">
        <w:rPr>
          <w:rFonts w:eastAsiaTheme="minorEastAsia"/>
        </w:rPr>
        <w:tab/>
        <w:t>qu</w:t>
      </w:r>
      <w:r w:rsidR="00BF4883" w:rsidRPr="00F32EB0">
        <w:rPr>
          <w:rFonts w:eastAsiaTheme="minorEastAsia"/>
        </w:rPr>
        <w:t>’</w:t>
      </w:r>
      <w:r w:rsidR="00D7646E" w:rsidRPr="00F32EB0">
        <w:rPr>
          <w:rFonts w:eastAsiaTheme="minorEastAsia"/>
        </w:rPr>
        <w:t>à sa trente</w:t>
      </w:r>
      <w:r w:rsidR="00DB478B" w:rsidRPr="00F32EB0">
        <w:rPr>
          <w:rFonts w:eastAsiaTheme="minorEastAsia"/>
        </w:rPr>
        <w:noBreakHyphen/>
      </w:r>
      <w:r w:rsidR="00142FEA">
        <w:rPr>
          <w:rFonts w:eastAsiaTheme="minorEastAsia"/>
        </w:rPr>
        <w:t>cinqu</w:t>
      </w:r>
      <w:r w:rsidR="00BF4883" w:rsidRPr="00F32EB0">
        <w:rPr>
          <w:rFonts w:eastAsiaTheme="minorEastAsia"/>
        </w:rPr>
        <w:t>ième session</w:t>
      </w:r>
      <w:r w:rsidR="00D7646E" w:rsidRPr="00F32EB0">
        <w:rPr>
          <w:rFonts w:eastAsiaTheme="minorEastAsia"/>
        </w:rPr>
        <w:t>,</w:t>
      </w:r>
      <w:r w:rsidR="00BF4883" w:rsidRPr="00F32EB0">
        <w:rPr>
          <w:rFonts w:eastAsiaTheme="minorEastAsia"/>
        </w:rPr>
        <w:t xml:space="preserve"> le TWC</w:t>
      </w:r>
      <w:r w:rsidR="003A7358" w:rsidRPr="00F32EB0">
        <w:rPr>
          <w:rFonts w:eastAsiaTheme="minorEastAsia"/>
        </w:rPr>
        <w:t xml:space="preserve"> </w:t>
      </w:r>
      <w:r w:rsidR="00D7646E" w:rsidRPr="00F32EB0">
        <w:rPr>
          <w:rFonts w:eastAsiaTheme="minorEastAsia"/>
        </w:rPr>
        <w:t>est convenu d</w:t>
      </w:r>
      <w:r w:rsidR="00BF4883" w:rsidRPr="00F32EB0">
        <w:rPr>
          <w:rFonts w:eastAsiaTheme="minorEastAsia"/>
        </w:rPr>
        <w:t>’</w:t>
      </w:r>
      <w:r w:rsidR="00D7646E" w:rsidRPr="00F32EB0">
        <w:rPr>
          <w:rFonts w:eastAsiaTheme="minorEastAsia"/>
        </w:rPr>
        <w:t>inviter l</w:t>
      </w:r>
      <w:r w:rsidR="00BF4883" w:rsidRPr="00F32EB0">
        <w:rPr>
          <w:rFonts w:eastAsiaTheme="minorEastAsia"/>
        </w:rPr>
        <w:t>’</w:t>
      </w:r>
      <w:r w:rsidR="00D7646E" w:rsidRPr="00F32EB0">
        <w:rPr>
          <w:rFonts w:eastAsiaTheme="minorEastAsia"/>
        </w:rPr>
        <w:t>expert du Royaume</w:t>
      </w:r>
      <w:r w:rsidR="00DB478B" w:rsidRPr="00F32EB0">
        <w:rPr>
          <w:rFonts w:eastAsiaTheme="minorEastAsia"/>
        </w:rPr>
        <w:noBreakHyphen/>
      </w:r>
      <w:r w:rsidR="00D7646E" w:rsidRPr="00F32EB0">
        <w:rPr>
          <w:rFonts w:eastAsiaTheme="minorEastAsia"/>
        </w:rPr>
        <w:t>Uni à faire rapport sur les moyens d</w:t>
      </w:r>
      <w:r w:rsidR="00BF4883" w:rsidRPr="00F32EB0">
        <w:rPr>
          <w:rFonts w:eastAsiaTheme="minorEastAsia"/>
        </w:rPr>
        <w:t>’</w:t>
      </w:r>
      <w:r w:rsidR="00D7646E" w:rsidRPr="00F32EB0">
        <w:rPr>
          <w:rFonts w:eastAsiaTheme="minorEastAsia"/>
        </w:rPr>
        <w:t>améliorer encore le logiciel à l</w:t>
      </w:r>
      <w:r w:rsidR="00BF4883" w:rsidRPr="00F32EB0">
        <w:rPr>
          <w:rFonts w:eastAsiaTheme="minorEastAsia"/>
        </w:rPr>
        <w:t>’</w:t>
      </w:r>
      <w:r w:rsidR="00D7646E" w:rsidRPr="00F32EB0">
        <w:rPr>
          <w:rFonts w:eastAsiaTheme="minorEastAsia"/>
        </w:rPr>
        <w:t>aide de la nouvelle méthode de calcul de</w:t>
      </w:r>
      <w:r w:rsidR="00BF4883" w:rsidRPr="00F32EB0">
        <w:rPr>
          <w:rFonts w:eastAsiaTheme="minorEastAsia"/>
        </w:rPr>
        <w:t xml:space="preserve"> la COY</w:t>
      </w:r>
      <w:r w:rsidR="00D7646E" w:rsidRPr="00F32EB0">
        <w:rPr>
          <w:rFonts w:eastAsiaTheme="minorEastAsia"/>
        </w:rPr>
        <w:t xml:space="preserve">U </w:t>
      </w:r>
      <w:r w:rsidR="00D51019" w:rsidRPr="00F32EB0">
        <w:rPr>
          <w:rFonts w:eastAsiaTheme="minorEastAsia"/>
        </w:rPr>
        <w:t xml:space="preserve">à </w:t>
      </w:r>
      <w:r w:rsidR="00D7646E" w:rsidRPr="00F32EB0">
        <w:rPr>
          <w:rFonts w:eastAsiaTheme="minorEastAsia"/>
        </w:rPr>
        <w:t>sa trente</w:t>
      </w:r>
      <w:r w:rsidR="00DB478B" w:rsidRPr="00F32EB0">
        <w:rPr>
          <w:rFonts w:eastAsiaTheme="minorEastAsia"/>
        </w:rPr>
        <w:noBreakHyphen/>
      </w:r>
      <w:r w:rsidR="00D7646E" w:rsidRPr="00F32EB0">
        <w:rPr>
          <w:rFonts w:eastAsiaTheme="minorEastAsia"/>
        </w:rPr>
        <w:t>six</w:t>
      </w:r>
      <w:r w:rsidR="00BF4883" w:rsidRPr="00F32EB0">
        <w:rPr>
          <w:rFonts w:eastAsiaTheme="minorEastAsia"/>
        </w:rPr>
        <w:t>ième session</w:t>
      </w:r>
      <w:r w:rsidR="00D7646E" w:rsidRPr="00F32EB0">
        <w:rPr>
          <w:rFonts w:eastAsiaTheme="minorEastAsia"/>
        </w:rPr>
        <w:t>;</w:t>
      </w:r>
    </w:p>
    <w:p w:rsidR="008169B8" w:rsidRPr="00F32EB0" w:rsidRDefault="008169B8" w:rsidP="00D752D3">
      <w:pPr>
        <w:tabs>
          <w:tab w:val="left" w:pos="567"/>
          <w:tab w:val="left" w:pos="1134"/>
          <w:tab w:val="left" w:pos="5400"/>
          <w:tab w:val="left" w:pos="5954"/>
        </w:tabs>
        <w:ind w:firstLine="567"/>
        <w:rPr>
          <w:rFonts w:eastAsiaTheme="minorEastAsia"/>
          <w:iCs/>
          <w:lang w:eastAsia="ja-JP"/>
        </w:rPr>
      </w:pPr>
    </w:p>
    <w:p w:rsidR="00BF4883" w:rsidRPr="00F32EB0" w:rsidRDefault="003A7358" w:rsidP="00D7646E">
      <w:pPr>
        <w:tabs>
          <w:tab w:val="left" w:pos="567"/>
          <w:tab w:val="left" w:pos="1134"/>
          <w:tab w:val="left" w:pos="5400"/>
          <w:tab w:val="left" w:pos="5954"/>
        </w:tabs>
        <w:ind w:firstLine="567"/>
        <w:rPr>
          <w:rFonts w:eastAsiaTheme="minorEastAsia"/>
          <w:iCs/>
          <w:lang w:eastAsia="ja-JP"/>
        </w:rPr>
      </w:pPr>
      <w:r w:rsidRPr="00F32EB0">
        <w:rPr>
          <w:rFonts w:eastAsiaTheme="minorEastAsia"/>
          <w:iCs/>
          <w:lang w:eastAsia="ja-JP"/>
        </w:rPr>
        <w:t>c)</w:t>
      </w:r>
      <w:r w:rsidRPr="00F32EB0">
        <w:rPr>
          <w:rFonts w:eastAsiaTheme="minorEastAsia"/>
          <w:iCs/>
          <w:lang w:eastAsia="ja-JP"/>
        </w:rPr>
        <w:tab/>
        <w:t>que</w:t>
      </w:r>
      <w:r w:rsidR="00BF4883" w:rsidRPr="00F32EB0">
        <w:rPr>
          <w:rFonts w:eastAsiaTheme="minorEastAsia"/>
          <w:iCs/>
          <w:lang w:eastAsia="ja-JP"/>
        </w:rPr>
        <w:t xml:space="preserve"> le TWC</w:t>
      </w:r>
      <w:r w:rsidR="00D7646E" w:rsidRPr="00F32EB0">
        <w:rPr>
          <w:rFonts w:eastAsiaTheme="minorEastAsia"/>
          <w:iCs/>
          <w:lang w:eastAsia="ja-JP"/>
        </w:rPr>
        <w:t xml:space="preserve"> a noté que le Royaume</w:t>
      </w:r>
      <w:r w:rsidR="00DB478B" w:rsidRPr="00F32EB0">
        <w:rPr>
          <w:rFonts w:eastAsiaTheme="minorEastAsia"/>
          <w:iCs/>
          <w:lang w:eastAsia="ja-JP"/>
        </w:rPr>
        <w:noBreakHyphen/>
      </w:r>
      <w:r w:rsidR="00D7646E" w:rsidRPr="00F32EB0">
        <w:rPr>
          <w:rFonts w:eastAsiaTheme="minorEastAsia"/>
          <w:iCs/>
          <w:lang w:eastAsia="ja-JP"/>
        </w:rPr>
        <w:t xml:space="preserve">Uni avait invité les experts intéressés à se mettre en rapport pour tester le nouveau logiciel </w:t>
      </w:r>
      <w:r w:rsidR="00DD1892" w:rsidRPr="00F32EB0">
        <w:rPr>
          <w:rFonts w:eastAsiaTheme="minorEastAsia"/>
          <w:iCs/>
          <w:lang w:eastAsia="ja-JP"/>
        </w:rPr>
        <w:t xml:space="preserve">incorporant </w:t>
      </w:r>
      <w:r w:rsidR="00D7646E" w:rsidRPr="00F32EB0">
        <w:rPr>
          <w:rFonts w:eastAsiaTheme="minorEastAsia"/>
          <w:iCs/>
          <w:lang w:eastAsia="ja-JP"/>
        </w:rPr>
        <w:t>la méthode améliorée de calcul de</w:t>
      </w:r>
      <w:r w:rsidR="00BF4883" w:rsidRPr="00F32EB0">
        <w:rPr>
          <w:rFonts w:eastAsiaTheme="minorEastAsia"/>
          <w:iCs/>
          <w:lang w:eastAsia="ja-JP"/>
        </w:rPr>
        <w:t xml:space="preserve"> la COY</w:t>
      </w:r>
      <w:r w:rsidR="00563CD9" w:rsidRPr="00F32EB0">
        <w:rPr>
          <w:rFonts w:eastAsiaTheme="minorEastAsia"/>
          <w:iCs/>
          <w:lang w:eastAsia="ja-JP"/>
        </w:rPr>
        <w:t>U</w:t>
      </w:r>
      <w:r w:rsidR="00D7646E" w:rsidRPr="00F32EB0">
        <w:rPr>
          <w:rFonts w:eastAsiaTheme="minorEastAsia"/>
          <w:iCs/>
          <w:lang w:eastAsia="ja-JP"/>
        </w:rPr>
        <w:t>;</w:t>
      </w:r>
    </w:p>
    <w:p w:rsidR="008169B8" w:rsidRPr="00F32EB0" w:rsidRDefault="008169B8" w:rsidP="00D752D3">
      <w:pPr>
        <w:tabs>
          <w:tab w:val="left" w:pos="567"/>
          <w:tab w:val="left" w:pos="1134"/>
          <w:tab w:val="left" w:pos="5400"/>
          <w:tab w:val="left" w:pos="5954"/>
        </w:tabs>
        <w:ind w:firstLine="567"/>
        <w:rPr>
          <w:rFonts w:eastAsiaTheme="minorEastAsia"/>
          <w:iCs/>
          <w:lang w:eastAsia="ja-JP"/>
        </w:rPr>
      </w:pPr>
    </w:p>
    <w:p w:rsidR="008169B8" w:rsidRPr="00F32EB0" w:rsidRDefault="003A7358" w:rsidP="00AF1942">
      <w:pPr>
        <w:tabs>
          <w:tab w:val="left" w:pos="567"/>
          <w:tab w:val="left" w:pos="1134"/>
          <w:tab w:val="left" w:pos="5400"/>
          <w:tab w:val="left" w:pos="5954"/>
        </w:tabs>
        <w:ind w:firstLine="567"/>
        <w:rPr>
          <w:rFonts w:eastAsiaTheme="minorEastAsia"/>
          <w:iCs/>
          <w:lang w:eastAsia="ja-JP"/>
        </w:rPr>
      </w:pPr>
      <w:r w:rsidRPr="00F32EB0">
        <w:rPr>
          <w:rFonts w:eastAsiaTheme="minorEastAsia"/>
          <w:iCs/>
          <w:lang w:eastAsia="ja-JP"/>
        </w:rPr>
        <w:t>d)</w:t>
      </w:r>
      <w:r w:rsidRPr="00F32EB0">
        <w:rPr>
          <w:rFonts w:eastAsiaTheme="minorEastAsia"/>
          <w:iCs/>
          <w:lang w:eastAsia="ja-JP"/>
        </w:rPr>
        <w:tab/>
        <w:t>que</w:t>
      </w:r>
      <w:r w:rsidR="00BF4883" w:rsidRPr="00F32EB0">
        <w:rPr>
          <w:rFonts w:eastAsiaTheme="minorEastAsia"/>
          <w:iCs/>
          <w:lang w:eastAsia="ja-JP"/>
        </w:rPr>
        <w:t xml:space="preserve"> le TWC</w:t>
      </w:r>
      <w:r w:rsidR="00AF1942" w:rsidRPr="00F32EB0">
        <w:rPr>
          <w:rFonts w:eastAsiaTheme="minorEastAsia"/>
          <w:iCs/>
          <w:lang w:eastAsia="ja-JP"/>
        </w:rPr>
        <w:t xml:space="preserve"> est convenu d</w:t>
      </w:r>
      <w:r w:rsidR="00BF4883" w:rsidRPr="00F32EB0">
        <w:rPr>
          <w:rFonts w:eastAsiaTheme="minorEastAsia"/>
          <w:iCs/>
          <w:lang w:eastAsia="ja-JP"/>
        </w:rPr>
        <w:t>’</w:t>
      </w:r>
      <w:r w:rsidR="00AF1942" w:rsidRPr="00F32EB0">
        <w:rPr>
          <w:rFonts w:eastAsiaTheme="minorEastAsia"/>
          <w:iCs/>
          <w:lang w:eastAsia="ja-JP"/>
        </w:rPr>
        <w:t>inviter l</w:t>
      </w:r>
      <w:r w:rsidR="00BF4883" w:rsidRPr="00F32EB0">
        <w:rPr>
          <w:rFonts w:eastAsiaTheme="minorEastAsia"/>
          <w:iCs/>
          <w:lang w:eastAsia="ja-JP"/>
        </w:rPr>
        <w:t>’</w:t>
      </w:r>
      <w:r w:rsidR="00AF1942" w:rsidRPr="00F32EB0">
        <w:rPr>
          <w:rFonts w:eastAsiaTheme="minorEastAsia"/>
          <w:iCs/>
          <w:lang w:eastAsia="ja-JP"/>
        </w:rPr>
        <w:t>expert du Royaume</w:t>
      </w:r>
      <w:r w:rsidR="00DB478B" w:rsidRPr="00F32EB0">
        <w:rPr>
          <w:rFonts w:eastAsiaTheme="minorEastAsia"/>
          <w:iCs/>
          <w:lang w:eastAsia="ja-JP"/>
        </w:rPr>
        <w:noBreakHyphen/>
      </w:r>
      <w:r w:rsidR="00AF1942" w:rsidRPr="00F32EB0">
        <w:rPr>
          <w:rFonts w:eastAsiaTheme="minorEastAsia"/>
          <w:iCs/>
          <w:lang w:eastAsia="ja-JP"/>
        </w:rPr>
        <w:t>Uni à élaborer une section visant à remplacer le texte du document</w:t>
      </w:r>
      <w:r w:rsidR="0093300C" w:rsidRPr="00F32EB0">
        <w:rPr>
          <w:rFonts w:eastAsiaTheme="minorEastAsia"/>
          <w:iCs/>
          <w:lang w:eastAsia="ja-JP"/>
        </w:rPr>
        <w:t> </w:t>
      </w:r>
      <w:r w:rsidR="00AF1942" w:rsidRPr="00F32EB0">
        <w:rPr>
          <w:rFonts w:eastAsiaTheme="minorEastAsia"/>
          <w:iCs/>
          <w:lang w:eastAsia="ja-JP"/>
        </w:rPr>
        <w:t xml:space="preserve">TGP/8 </w:t>
      </w:r>
      <w:r w:rsidR="00DD1892" w:rsidRPr="00F32EB0">
        <w:rPr>
          <w:rFonts w:eastAsiaTheme="minorEastAsia"/>
          <w:iCs/>
          <w:lang w:eastAsia="ja-JP"/>
        </w:rPr>
        <w:t xml:space="preserve">concernant </w:t>
      </w:r>
      <w:r w:rsidR="00E76695" w:rsidRPr="00F32EB0">
        <w:rPr>
          <w:rFonts w:eastAsiaTheme="minorEastAsia"/>
          <w:iCs/>
          <w:lang w:eastAsia="ja-JP"/>
        </w:rPr>
        <w:t>la méthode de calcul de</w:t>
      </w:r>
      <w:r w:rsidR="00BF4883" w:rsidRPr="00F32EB0">
        <w:rPr>
          <w:rFonts w:eastAsiaTheme="minorEastAsia"/>
          <w:iCs/>
          <w:lang w:eastAsia="ja-JP"/>
        </w:rPr>
        <w:t xml:space="preserve"> la COY</w:t>
      </w:r>
      <w:r w:rsidR="00E76695" w:rsidRPr="00F32EB0">
        <w:rPr>
          <w:rFonts w:eastAsiaTheme="minorEastAsia"/>
          <w:iCs/>
          <w:lang w:eastAsia="ja-JP"/>
        </w:rPr>
        <w:t>U</w:t>
      </w:r>
      <w:r w:rsidR="00AF1942" w:rsidRPr="00F32EB0">
        <w:rPr>
          <w:rFonts w:eastAsiaTheme="minorEastAsia"/>
          <w:iCs/>
          <w:lang w:eastAsia="ja-JP"/>
        </w:rPr>
        <w:t xml:space="preserve">; </w:t>
      </w:r>
      <w:r w:rsidR="000B0934" w:rsidRPr="00F32EB0">
        <w:rPr>
          <w:rFonts w:eastAsiaTheme="minorEastAsia"/>
          <w:iCs/>
          <w:lang w:eastAsia="ja-JP"/>
        </w:rPr>
        <w:t xml:space="preserve"> </w:t>
      </w:r>
      <w:r w:rsidR="00AF1942" w:rsidRPr="00F32EB0">
        <w:rPr>
          <w:rFonts w:eastAsiaTheme="minorEastAsia"/>
          <w:iCs/>
          <w:lang w:eastAsia="ja-JP"/>
        </w:rPr>
        <w:t>et</w:t>
      </w:r>
    </w:p>
    <w:p w:rsidR="008169B8" w:rsidRPr="00F32EB0" w:rsidRDefault="008D6062" w:rsidP="008D6062">
      <w:pPr>
        <w:tabs>
          <w:tab w:val="left" w:pos="567"/>
          <w:tab w:val="left" w:pos="1134"/>
        </w:tabs>
        <w:rPr>
          <w:rFonts w:eastAsiaTheme="minorEastAsia"/>
        </w:rPr>
      </w:pPr>
      <w:r w:rsidRPr="00F32EB0">
        <w:rPr>
          <w:rFonts w:eastAsiaTheme="minorEastAsia"/>
        </w:rPr>
        <w:tab/>
      </w:r>
    </w:p>
    <w:p w:rsidR="00BF4883" w:rsidRDefault="008D6062" w:rsidP="003D40E7">
      <w:pPr>
        <w:tabs>
          <w:tab w:val="left" w:pos="567"/>
          <w:tab w:val="left" w:pos="1134"/>
        </w:tabs>
        <w:rPr>
          <w:rFonts w:eastAsiaTheme="minorEastAsia"/>
        </w:rPr>
      </w:pPr>
      <w:r w:rsidRPr="00F32EB0">
        <w:rPr>
          <w:rFonts w:eastAsiaTheme="minorEastAsia"/>
        </w:rPr>
        <w:tab/>
      </w:r>
      <w:r w:rsidR="003D40E7" w:rsidRPr="00F32EB0">
        <w:rPr>
          <w:rFonts w:eastAsiaTheme="minorEastAsia"/>
        </w:rPr>
        <w:t>e)</w:t>
      </w:r>
      <w:r w:rsidR="003D40E7" w:rsidRPr="00F32EB0">
        <w:rPr>
          <w:rFonts w:eastAsiaTheme="minorEastAsia"/>
        </w:rPr>
        <w:tab/>
        <w:t>qu</w:t>
      </w:r>
      <w:r w:rsidR="00BF4883" w:rsidRPr="00F32EB0">
        <w:rPr>
          <w:rFonts w:eastAsiaTheme="minorEastAsia"/>
        </w:rPr>
        <w:t>’</w:t>
      </w:r>
      <w:r w:rsidR="003D40E7" w:rsidRPr="00F32EB0">
        <w:rPr>
          <w:rFonts w:eastAsiaTheme="minorEastAsia"/>
        </w:rPr>
        <w:t>aucun fait nouveau n</w:t>
      </w:r>
      <w:r w:rsidR="00BF4883" w:rsidRPr="00F32EB0">
        <w:rPr>
          <w:rFonts w:eastAsiaTheme="minorEastAsia"/>
        </w:rPr>
        <w:t>’</w:t>
      </w:r>
      <w:r w:rsidR="003D40E7" w:rsidRPr="00F32EB0">
        <w:rPr>
          <w:rFonts w:eastAsiaTheme="minorEastAsia"/>
        </w:rPr>
        <w:t>est intervenu à la trente</w:t>
      </w:r>
      <w:r w:rsidR="00DB478B" w:rsidRPr="00F32EB0">
        <w:rPr>
          <w:rFonts w:eastAsiaTheme="minorEastAsia"/>
        </w:rPr>
        <w:noBreakHyphen/>
      </w:r>
      <w:r w:rsidR="003D40E7" w:rsidRPr="00F32EB0">
        <w:rPr>
          <w:rFonts w:eastAsiaTheme="minorEastAsia"/>
        </w:rPr>
        <w:t>six</w:t>
      </w:r>
      <w:r w:rsidR="00BF4883" w:rsidRPr="00F32EB0">
        <w:rPr>
          <w:rFonts w:eastAsiaTheme="minorEastAsia"/>
        </w:rPr>
        <w:t>ième session du TWC</w:t>
      </w:r>
      <w:r w:rsidR="003D40E7" w:rsidRPr="00F32EB0">
        <w:rPr>
          <w:rFonts w:eastAsiaTheme="minorEastAsia"/>
        </w:rPr>
        <w:t xml:space="preserve"> en ce qui c</w:t>
      </w:r>
      <w:r w:rsidR="0078545B" w:rsidRPr="00F32EB0">
        <w:rPr>
          <w:rFonts w:eastAsiaTheme="minorEastAsia"/>
        </w:rPr>
        <w:t>oncerne la demande du</w:t>
      </w:r>
      <w:r w:rsidR="00BF4883" w:rsidRPr="00F32EB0">
        <w:rPr>
          <w:rFonts w:eastAsiaTheme="minorEastAsia"/>
        </w:rPr>
        <w:t> TC</w:t>
      </w:r>
      <w:r w:rsidR="00DB478B" w:rsidRPr="00F32EB0">
        <w:rPr>
          <w:rFonts w:eastAsiaTheme="minorEastAsia"/>
        </w:rPr>
        <w:noBreakHyphen/>
      </w:r>
      <w:r w:rsidR="00BF4883" w:rsidRPr="00F32EB0">
        <w:rPr>
          <w:rFonts w:eastAsiaTheme="minorEastAsia"/>
        </w:rPr>
        <w:t>EDC</w:t>
      </w:r>
      <w:r w:rsidR="0078545B" w:rsidRPr="00F32EB0">
        <w:rPr>
          <w:rFonts w:eastAsiaTheme="minorEastAsia"/>
        </w:rPr>
        <w:t xml:space="preserve"> d</w:t>
      </w:r>
      <w:r w:rsidR="00BF4883" w:rsidRPr="00F32EB0">
        <w:rPr>
          <w:rFonts w:eastAsiaTheme="minorEastAsia"/>
        </w:rPr>
        <w:t>’</w:t>
      </w:r>
      <w:r w:rsidR="0078545B" w:rsidRPr="00F32EB0">
        <w:rPr>
          <w:rFonts w:eastAsiaTheme="minorEastAsia"/>
        </w:rPr>
        <w:t xml:space="preserve">élaborer </w:t>
      </w:r>
      <w:r w:rsidR="004D79B4" w:rsidRPr="00F32EB0">
        <w:rPr>
          <w:rFonts w:eastAsiaTheme="minorEastAsia"/>
        </w:rPr>
        <w:t>une proposition</w:t>
      </w:r>
      <w:r w:rsidR="003D40E7" w:rsidRPr="00F32EB0">
        <w:rPr>
          <w:rFonts w:eastAsiaTheme="minorEastAsia"/>
        </w:rPr>
        <w:t xml:space="preserve"> relative à une nouvelle méthode de calcul de</w:t>
      </w:r>
      <w:r w:rsidR="00BF4883" w:rsidRPr="00F32EB0">
        <w:rPr>
          <w:rFonts w:eastAsiaTheme="minorEastAsia"/>
        </w:rPr>
        <w:t xml:space="preserve"> la COY</w:t>
      </w:r>
      <w:r w:rsidR="003D40E7" w:rsidRPr="00F32EB0">
        <w:rPr>
          <w:rFonts w:eastAsiaTheme="minorEastAsia"/>
        </w:rPr>
        <w:t>U</w:t>
      </w:r>
      <w:r w:rsidR="004D79B4" w:rsidRPr="00F32EB0">
        <w:rPr>
          <w:rFonts w:eastAsiaTheme="minorEastAsia"/>
        </w:rPr>
        <w:t>, qui sera examinée par le</w:t>
      </w:r>
      <w:r w:rsidR="00BF4883" w:rsidRPr="00F32EB0">
        <w:rPr>
          <w:rFonts w:eastAsiaTheme="minorEastAsia"/>
        </w:rPr>
        <w:t> TC</w:t>
      </w:r>
      <w:r w:rsidR="004D79B4" w:rsidRPr="00F32EB0">
        <w:rPr>
          <w:rFonts w:eastAsiaTheme="minorEastAsia"/>
        </w:rPr>
        <w:t xml:space="preserve"> à sa cinquante</w:t>
      </w:r>
      <w:r w:rsidR="00DB478B" w:rsidRPr="00F32EB0">
        <w:rPr>
          <w:rFonts w:eastAsiaTheme="minorEastAsia"/>
        </w:rPr>
        <w:noBreakHyphen/>
      </w:r>
      <w:r w:rsidR="004D79B4" w:rsidRPr="00F32EB0">
        <w:rPr>
          <w:rFonts w:eastAsiaTheme="minorEastAsia"/>
        </w:rPr>
        <w:t>quatr</w:t>
      </w:r>
      <w:r w:rsidR="00BF4883" w:rsidRPr="00F32EB0">
        <w:rPr>
          <w:rFonts w:eastAsiaTheme="minorEastAsia"/>
        </w:rPr>
        <w:t>ième session</w:t>
      </w:r>
      <w:r w:rsidR="003D40E7" w:rsidRPr="00F32EB0">
        <w:rPr>
          <w:rFonts w:eastAsiaTheme="minorEastAsia"/>
        </w:rPr>
        <w:t>.</w:t>
      </w:r>
    </w:p>
    <w:p w:rsidR="00F32EB0" w:rsidRPr="00F32EB0" w:rsidRDefault="00F32EB0" w:rsidP="003D40E7">
      <w:pPr>
        <w:tabs>
          <w:tab w:val="left" w:pos="567"/>
          <w:tab w:val="left" w:pos="1134"/>
        </w:tabs>
        <w:rPr>
          <w:rFonts w:eastAsiaTheme="minorEastAsia"/>
        </w:rPr>
      </w:pPr>
    </w:p>
    <w:p w:rsidR="008169B8" w:rsidRPr="00F32EB0" w:rsidRDefault="00B10801" w:rsidP="002C2109">
      <w:pPr>
        <w:rPr>
          <w:rFonts w:eastAsiaTheme="minorEastAsia" w:cs="Arial"/>
        </w:rPr>
      </w:pPr>
      <w:r w:rsidRPr="00F32EB0">
        <w:rPr>
          <w:rFonts w:eastAsiaTheme="minorEastAsia"/>
        </w:rPr>
        <w:fldChar w:fldCharType="begin"/>
      </w:r>
      <w:r w:rsidRPr="00F32EB0">
        <w:rPr>
          <w:rFonts w:eastAsiaTheme="minorEastAsia"/>
        </w:rPr>
        <w:instrText xml:space="preserve"> AUTONUM  </w:instrText>
      </w:r>
      <w:r w:rsidRPr="00F32EB0">
        <w:rPr>
          <w:rFonts w:eastAsiaTheme="minorEastAsia"/>
        </w:rPr>
        <w:fldChar w:fldCharType="end"/>
      </w:r>
      <w:r w:rsidRPr="00F32EB0">
        <w:rPr>
          <w:rFonts w:eastAsiaTheme="minorEastAsia"/>
        </w:rPr>
        <w:tab/>
      </w:r>
      <w:r w:rsidR="002C2109" w:rsidRPr="00F32EB0">
        <w:rPr>
          <w:rFonts w:eastAsiaTheme="minorEastAsia"/>
        </w:rPr>
        <w:t>Les abréviations ci</w:t>
      </w:r>
      <w:r w:rsidR="00DB478B" w:rsidRPr="00F32EB0">
        <w:rPr>
          <w:rFonts w:eastAsiaTheme="minorEastAsia"/>
        </w:rPr>
        <w:noBreakHyphen/>
      </w:r>
      <w:r w:rsidR="002C2109" w:rsidRPr="00F32EB0">
        <w:rPr>
          <w:rFonts w:eastAsiaTheme="minorEastAsia"/>
        </w:rPr>
        <w:t>après sont utilisées dans le présent document</w:t>
      </w:r>
      <w:r w:rsidR="00BF4883" w:rsidRPr="00F32EB0">
        <w:rPr>
          <w:rFonts w:eastAsiaTheme="minorEastAsia"/>
        </w:rPr>
        <w:t> :</w:t>
      </w:r>
    </w:p>
    <w:p w:rsidR="008169B8" w:rsidRPr="00F32EB0" w:rsidRDefault="008169B8" w:rsidP="00B10801">
      <w:pPr>
        <w:rPr>
          <w:rFonts w:eastAsiaTheme="minorEastAsia" w:cs="Arial"/>
          <w:sz w:val="16"/>
        </w:rPr>
      </w:pPr>
    </w:p>
    <w:p w:rsidR="008169B8" w:rsidRPr="00F32EB0" w:rsidRDefault="00B10801" w:rsidP="002C2109">
      <w:pPr>
        <w:rPr>
          <w:rFonts w:eastAsiaTheme="minorEastAsia" w:cs="Arial"/>
        </w:rPr>
      </w:pPr>
      <w:r w:rsidRPr="00F32EB0">
        <w:rPr>
          <w:rFonts w:eastAsiaTheme="minorEastAsia" w:cs="Arial"/>
        </w:rPr>
        <w:tab/>
      </w:r>
      <w:r w:rsidR="002C2109" w:rsidRPr="00F32EB0">
        <w:rPr>
          <w:rFonts w:eastAsiaTheme="minorEastAsia" w:cs="Arial"/>
        </w:rPr>
        <w:t>TC</w:t>
      </w:r>
      <w:r w:rsidR="00BF4883" w:rsidRPr="00F32EB0">
        <w:rPr>
          <w:rFonts w:eastAsiaTheme="minorEastAsia" w:cs="Arial"/>
        </w:rPr>
        <w:t> :</w:t>
      </w:r>
      <w:r w:rsidR="002C2109" w:rsidRPr="00F32EB0">
        <w:rPr>
          <w:rFonts w:eastAsiaTheme="minorEastAsia" w:cs="Arial"/>
        </w:rPr>
        <w:tab/>
      </w:r>
      <w:r w:rsidR="0093300C" w:rsidRPr="00F32EB0">
        <w:rPr>
          <w:rFonts w:eastAsiaTheme="minorEastAsia" w:cs="Arial"/>
        </w:rPr>
        <w:tab/>
      </w:r>
      <w:r w:rsidR="002C2109" w:rsidRPr="00F32EB0">
        <w:rPr>
          <w:rFonts w:eastAsiaTheme="minorEastAsia" w:cs="Arial"/>
        </w:rPr>
        <w:t>Comité technique</w:t>
      </w:r>
    </w:p>
    <w:p w:rsidR="008169B8" w:rsidRPr="00F32EB0" w:rsidRDefault="002C2109" w:rsidP="00970ED5">
      <w:pPr>
        <w:ind w:firstLine="567"/>
        <w:rPr>
          <w:rFonts w:eastAsiaTheme="minorEastAsia" w:cs="Arial"/>
        </w:rPr>
      </w:pPr>
      <w:r w:rsidRPr="00F32EB0">
        <w:rPr>
          <w:rFonts w:eastAsiaTheme="minorEastAsia" w:cs="Arial"/>
        </w:rPr>
        <w:t>TC</w:t>
      </w:r>
      <w:r w:rsidR="00DB478B" w:rsidRPr="00F32EB0">
        <w:rPr>
          <w:rFonts w:eastAsiaTheme="minorEastAsia" w:cs="Arial"/>
        </w:rPr>
        <w:noBreakHyphen/>
      </w:r>
      <w:r w:rsidRPr="00F32EB0">
        <w:rPr>
          <w:rFonts w:eastAsiaTheme="minorEastAsia" w:cs="Arial"/>
        </w:rPr>
        <w:t>EDC</w:t>
      </w:r>
      <w:r w:rsidR="00BF4883" w:rsidRPr="00F32EB0">
        <w:rPr>
          <w:rFonts w:eastAsiaTheme="minorEastAsia" w:cs="Arial"/>
        </w:rPr>
        <w:t> :</w:t>
      </w:r>
      <w:r w:rsidRPr="00F32EB0">
        <w:rPr>
          <w:rFonts w:eastAsiaTheme="minorEastAsia" w:cs="Arial"/>
        </w:rPr>
        <w:tab/>
        <w:t>Comité de rédaction élargi du Comité technique</w:t>
      </w:r>
    </w:p>
    <w:p w:rsidR="008169B8" w:rsidRPr="00F32EB0" w:rsidRDefault="00B10801" w:rsidP="002C2109">
      <w:pPr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TWA</w:t>
      </w:r>
      <w:r w:rsidR="00BF4883" w:rsidRPr="00F32EB0">
        <w:rPr>
          <w:rFonts w:eastAsia="PMingLiU" w:cs="Arial"/>
          <w:szCs w:val="24"/>
        </w:rPr>
        <w:t> :</w:t>
      </w:r>
      <w:r w:rsidR="002C2109" w:rsidRPr="00F32EB0">
        <w:rPr>
          <w:rFonts w:eastAsia="PMingLiU" w:cs="Arial"/>
          <w:szCs w:val="24"/>
        </w:rPr>
        <w:tab/>
      </w:r>
      <w:r w:rsidR="00970ED5"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Groupe de travail technique sur les plantes agricoles</w:t>
      </w:r>
    </w:p>
    <w:p w:rsidR="008169B8" w:rsidRPr="00F32EB0" w:rsidRDefault="002C2109" w:rsidP="00E907C6">
      <w:pPr>
        <w:ind w:left="1701" w:hanging="1134"/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>TWC</w:t>
      </w:r>
      <w:r w:rsidR="00BF4883" w:rsidRPr="00F32EB0">
        <w:rPr>
          <w:rFonts w:eastAsia="PMingLiU" w:cs="Arial"/>
          <w:szCs w:val="24"/>
        </w:rPr>
        <w:t> :</w:t>
      </w:r>
      <w:r w:rsidR="00970ED5" w:rsidRPr="00F32EB0">
        <w:rPr>
          <w:rFonts w:eastAsia="PMingLiU" w:cs="Arial"/>
          <w:szCs w:val="24"/>
        </w:rPr>
        <w:tab/>
      </w:r>
      <w:r w:rsidRPr="00F32EB0">
        <w:rPr>
          <w:rFonts w:eastAsia="PMingLiU" w:cs="Arial"/>
          <w:szCs w:val="24"/>
        </w:rPr>
        <w:t>Groupe de travail technique sur les systèmes d</w:t>
      </w:r>
      <w:r w:rsidR="00BF4883" w:rsidRPr="00F32EB0">
        <w:rPr>
          <w:rFonts w:eastAsia="PMingLiU" w:cs="Arial"/>
          <w:szCs w:val="24"/>
        </w:rPr>
        <w:t>’</w:t>
      </w:r>
      <w:r w:rsidRPr="00F32EB0">
        <w:rPr>
          <w:rFonts w:eastAsia="PMingLiU" w:cs="Arial"/>
          <w:szCs w:val="24"/>
        </w:rPr>
        <w:t>automatisation et les programmes d</w:t>
      </w:r>
      <w:r w:rsidR="00BF4883" w:rsidRPr="00F32EB0">
        <w:rPr>
          <w:rFonts w:eastAsia="PMingLiU" w:cs="Arial"/>
          <w:szCs w:val="24"/>
        </w:rPr>
        <w:t>’</w:t>
      </w:r>
      <w:r w:rsidRPr="00F32EB0">
        <w:rPr>
          <w:rFonts w:eastAsia="PMingLiU" w:cs="Arial"/>
          <w:szCs w:val="24"/>
        </w:rPr>
        <w:t>ordinateur</w:t>
      </w:r>
    </w:p>
    <w:p w:rsidR="008169B8" w:rsidRPr="00F32EB0" w:rsidRDefault="00B10801" w:rsidP="002C2109">
      <w:pPr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TWF</w:t>
      </w:r>
      <w:r w:rsidR="00BF4883" w:rsidRPr="00F32EB0">
        <w:rPr>
          <w:rFonts w:eastAsia="PMingLiU" w:cs="Arial"/>
          <w:szCs w:val="24"/>
        </w:rPr>
        <w:t> :</w:t>
      </w:r>
      <w:r w:rsidR="00970ED5"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ab/>
        <w:t>Groupe de travail technique sur les plantes fruitières</w:t>
      </w:r>
    </w:p>
    <w:p w:rsidR="008169B8" w:rsidRPr="00F32EB0" w:rsidRDefault="00B10801" w:rsidP="002C2109">
      <w:pPr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TWO</w:t>
      </w:r>
      <w:r w:rsidR="00BF4883" w:rsidRPr="00F32EB0">
        <w:rPr>
          <w:rFonts w:eastAsia="PMingLiU" w:cs="Arial"/>
          <w:szCs w:val="24"/>
        </w:rPr>
        <w:t> :</w:t>
      </w:r>
      <w:r w:rsidR="002C2109" w:rsidRPr="00F32EB0">
        <w:rPr>
          <w:rFonts w:eastAsia="PMingLiU" w:cs="Arial"/>
          <w:szCs w:val="24"/>
        </w:rPr>
        <w:tab/>
        <w:t>Groupe de travail technique sur les plantes ornementales et les arbres forestiers</w:t>
      </w:r>
    </w:p>
    <w:p w:rsidR="008169B8" w:rsidRPr="00F32EB0" w:rsidRDefault="00B10801" w:rsidP="002C2109">
      <w:pPr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TWP</w:t>
      </w:r>
      <w:r w:rsidR="00BF4883" w:rsidRPr="00F32EB0">
        <w:rPr>
          <w:rFonts w:eastAsia="PMingLiU" w:cs="Arial"/>
          <w:szCs w:val="24"/>
        </w:rPr>
        <w:t> :</w:t>
      </w:r>
      <w:r w:rsidR="00970ED5"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ab/>
        <w:t>Groupe de travail technique</w:t>
      </w:r>
    </w:p>
    <w:p w:rsidR="008169B8" w:rsidRPr="00F32EB0" w:rsidRDefault="00B10801" w:rsidP="002C2109">
      <w:pPr>
        <w:rPr>
          <w:rFonts w:eastAsia="PMingLiU" w:cs="Arial"/>
          <w:szCs w:val="24"/>
        </w:rPr>
      </w:pPr>
      <w:r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>TWV</w:t>
      </w:r>
      <w:r w:rsidR="00BF4883" w:rsidRPr="00F32EB0">
        <w:rPr>
          <w:rFonts w:eastAsia="PMingLiU" w:cs="Arial"/>
          <w:szCs w:val="24"/>
        </w:rPr>
        <w:t> :</w:t>
      </w:r>
      <w:r w:rsidR="00970ED5" w:rsidRPr="00F32EB0">
        <w:rPr>
          <w:rFonts w:eastAsia="PMingLiU" w:cs="Arial"/>
          <w:szCs w:val="24"/>
        </w:rPr>
        <w:tab/>
      </w:r>
      <w:r w:rsidR="002C2109" w:rsidRPr="00F32EB0">
        <w:rPr>
          <w:rFonts w:eastAsia="PMingLiU" w:cs="Arial"/>
          <w:szCs w:val="24"/>
        </w:rPr>
        <w:tab/>
        <w:t>Groupe de travail technique sur les plantes potagères</w:t>
      </w:r>
    </w:p>
    <w:p w:rsidR="008169B8" w:rsidRPr="00F32EB0" w:rsidRDefault="00B10801">
      <w:pPr>
        <w:jc w:val="left"/>
        <w:rPr>
          <w:rFonts w:eastAsiaTheme="minorEastAsia"/>
          <w:lang w:eastAsia="ja-JP"/>
        </w:rPr>
      </w:pPr>
      <w:r w:rsidRPr="00F32EB0">
        <w:rPr>
          <w:rFonts w:eastAsiaTheme="minorEastAsia"/>
          <w:lang w:eastAsia="ja-JP"/>
        </w:rPr>
        <w:br w:type="page"/>
      </w:r>
    </w:p>
    <w:p w:rsidR="008169B8" w:rsidRPr="00F32EB0" w:rsidRDefault="00B10801" w:rsidP="001D1761">
      <w:pPr>
        <w:keepNext/>
        <w:keepLines/>
        <w:spacing w:line="360" w:lineRule="auto"/>
      </w:pPr>
      <w:r w:rsidRPr="00F32EB0">
        <w:lastRenderedPageBreak/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1D1761" w:rsidRPr="00F32EB0">
        <w:t>Le présent document est structuré comme suit</w:t>
      </w:r>
      <w:r w:rsidR="00BF4883" w:rsidRPr="00F32EB0">
        <w:t> :</w:t>
      </w:r>
    </w:p>
    <w:p w:rsidR="001206C5" w:rsidRDefault="00B10801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r w:rsidRPr="00F32EB0">
        <w:rPr>
          <w:bCs w:val="0"/>
          <w:noProof w:val="0"/>
          <w:sz w:val="20"/>
        </w:rPr>
        <w:fldChar w:fldCharType="begin"/>
      </w:r>
      <w:r w:rsidRPr="00F32EB0">
        <w:instrText xml:space="preserve"> TOC \o "1-3" \h \z \u </w:instrText>
      </w:r>
      <w:r w:rsidRPr="00F32EB0">
        <w:rPr>
          <w:bCs w:val="0"/>
          <w:noProof w:val="0"/>
          <w:sz w:val="20"/>
        </w:rPr>
        <w:fldChar w:fldCharType="separate"/>
      </w:r>
      <w:hyperlink w:anchor="_Toc524690953" w:history="1">
        <w:r w:rsidR="001206C5" w:rsidRPr="006843A5">
          <w:rPr>
            <w:rStyle w:val="Hyperlink"/>
          </w:rPr>
          <w:t>Résumé</w:t>
        </w:r>
        <w:r w:rsidR="001206C5">
          <w:rPr>
            <w:webHidden/>
          </w:rPr>
          <w:tab/>
        </w:r>
        <w:r w:rsidR="001206C5">
          <w:rPr>
            <w:webHidden/>
          </w:rPr>
          <w:fldChar w:fldCharType="begin"/>
        </w:r>
        <w:r w:rsidR="001206C5">
          <w:rPr>
            <w:webHidden/>
          </w:rPr>
          <w:instrText xml:space="preserve"> PAGEREF _Toc524690953 \h </w:instrText>
        </w:r>
        <w:r w:rsidR="001206C5">
          <w:rPr>
            <w:webHidden/>
          </w:rPr>
        </w:r>
        <w:r w:rsidR="001206C5">
          <w:rPr>
            <w:webHidden/>
          </w:rPr>
          <w:fldChar w:fldCharType="separate"/>
        </w:r>
        <w:r w:rsidR="00DE4C67">
          <w:rPr>
            <w:webHidden/>
          </w:rPr>
          <w:t>1</w:t>
        </w:r>
        <w:r w:rsidR="001206C5">
          <w:rPr>
            <w:webHidden/>
          </w:rPr>
          <w:fldChar w:fldCharType="end"/>
        </w:r>
      </w:hyperlink>
    </w:p>
    <w:p w:rsidR="001206C5" w:rsidRDefault="001206C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hyperlink w:anchor="_Toc524690954" w:history="1">
        <w:r w:rsidRPr="006843A5">
          <w:rPr>
            <w:rStyle w:val="Hyperlink"/>
          </w:rPr>
          <w:t>Généralités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4C6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206C5" w:rsidRDefault="001206C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hyperlink w:anchor="_Toc524690955" w:history="1">
        <w:r w:rsidRPr="006843A5">
          <w:rPr>
            <w:rStyle w:val="Hyperlink"/>
          </w:rPr>
          <w:t>Faits nouveaux en 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4C67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206C5" w:rsidRDefault="001206C5">
      <w:pPr>
        <w:pStyle w:val="TOC1"/>
        <w:rPr>
          <w:rFonts w:asciiTheme="minorHAnsi" w:hAnsiTheme="minorHAnsi" w:cstheme="minorBidi"/>
          <w:bCs w:val="0"/>
          <w:caps w:val="0"/>
          <w:sz w:val="22"/>
          <w:szCs w:val="22"/>
          <w:lang w:val="en-US" w:eastAsia="en-US"/>
        </w:rPr>
      </w:pPr>
      <w:hyperlink w:anchor="_Toc524690956" w:history="1">
        <w:r w:rsidRPr="006843A5">
          <w:rPr>
            <w:rStyle w:val="Hyperlink"/>
          </w:rPr>
          <w:t>Faits nouveaux en 2018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4C6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206C5" w:rsidRDefault="001206C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4690957" w:history="1">
        <w:r w:rsidRPr="006843A5">
          <w:rPr>
            <w:rStyle w:val="Hyperlink"/>
          </w:rPr>
          <w:t>Comité de rédaction élargi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4C6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1206C5" w:rsidRDefault="001206C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hyperlink w:anchor="_Toc524690958" w:history="1">
        <w:r w:rsidRPr="006843A5">
          <w:rPr>
            <w:rStyle w:val="Hyperlink"/>
          </w:rPr>
          <w:t>Groupe de travail technique sur les systèmes d’automatisation et les programmes d’ordinateur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_Toc524690958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DE4C6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169B8" w:rsidRPr="00F32EB0" w:rsidRDefault="00B10801" w:rsidP="00B10801">
      <w:pPr>
        <w:rPr>
          <w:b/>
          <w:bCs/>
          <w:noProof/>
          <w:sz w:val="18"/>
          <w:szCs w:val="18"/>
        </w:rPr>
      </w:pPr>
      <w:r w:rsidRPr="00F32EB0">
        <w:rPr>
          <w:b/>
          <w:bCs/>
          <w:noProof/>
          <w:sz w:val="18"/>
          <w:szCs w:val="18"/>
        </w:rPr>
        <w:fldChar w:fldCharType="end"/>
      </w:r>
    </w:p>
    <w:p w:rsidR="008169B8" w:rsidRPr="00F32EB0" w:rsidRDefault="001D1761" w:rsidP="001C2047">
      <w:pPr>
        <w:keepNext/>
        <w:keepLines/>
        <w:spacing w:before="60"/>
        <w:ind w:left="1134" w:hanging="1134"/>
        <w:jc w:val="left"/>
        <w:rPr>
          <w:snapToGrid w:val="0"/>
          <w:sz w:val="18"/>
          <w:szCs w:val="18"/>
          <w:lang w:eastAsia="ja-JP"/>
        </w:rPr>
      </w:pPr>
      <w:r w:rsidRPr="00F32EB0">
        <w:rPr>
          <w:snapToGrid w:val="0"/>
          <w:sz w:val="18"/>
          <w:szCs w:val="18"/>
          <w:lang w:eastAsia="ja-JP"/>
        </w:rPr>
        <w:t>ANNEXE</w:t>
      </w:r>
      <w:r w:rsidRPr="00F32EB0">
        <w:rPr>
          <w:snapToGrid w:val="0"/>
          <w:sz w:val="18"/>
          <w:szCs w:val="18"/>
          <w:lang w:eastAsia="ja-JP"/>
        </w:rPr>
        <w:tab/>
        <w:t>MÉTHODE DE CALCUL DE L</w:t>
      </w:r>
      <w:r w:rsidR="00BF4883" w:rsidRPr="00F32EB0">
        <w:rPr>
          <w:snapToGrid w:val="0"/>
          <w:sz w:val="18"/>
          <w:szCs w:val="18"/>
          <w:lang w:eastAsia="ja-JP"/>
        </w:rPr>
        <w:t>’</w:t>
      </w:r>
      <w:r w:rsidRPr="00F32EB0">
        <w:rPr>
          <w:snapToGrid w:val="0"/>
          <w:sz w:val="18"/>
          <w:szCs w:val="18"/>
          <w:lang w:eastAsia="ja-JP"/>
        </w:rPr>
        <w:t>ANALYSE GLOBALE DE L</w:t>
      </w:r>
      <w:r w:rsidR="00BF4883" w:rsidRPr="00F32EB0">
        <w:rPr>
          <w:snapToGrid w:val="0"/>
          <w:sz w:val="18"/>
          <w:szCs w:val="18"/>
          <w:lang w:eastAsia="ja-JP"/>
        </w:rPr>
        <w:t>’</w:t>
      </w:r>
      <w:r w:rsidRPr="00F32EB0">
        <w:rPr>
          <w:snapToGrid w:val="0"/>
          <w:sz w:val="18"/>
          <w:szCs w:val="18"/>
          <w:lang w:eastAsia="ja-JP"/>
        </w:rPr>
        <w:t>HOMOGÉNÉITÉ SUR PLUS</w:t>
      </w:r>
      <w:r w:rsidR="00B16ABC" w:rsidRPr="00F32EB0">
        <w:rPr>
          <w:snapToGrid w:val="0"/>
          <w:sz w:val="18"/>
          <w:szCs w:val="18"/>
          <w:lang w:eastAsia="ja-JP"/>
        </w:rPr>
        <w:t>IEURS ANNÉES (</w:t>
      </w:r>
      <w:r w:rsidR="006D23DF" w:rsidRPr="00F32EB0">
        <w:rPr>
          <w:snapToGrid w:val="0"/>
          <w:sz w:val="18"/>
          <w:szCs w:val="18"/>
          <w:lang w:eastAsia="ja-JP"/>
        </w:rPr>
        <w:t>MÉTHODE</w:t>
      </w:r>
      <w:r w:rsidR="00FE4887" w:rsidRPr="00F32EB0">
        <w:rPr>
          <w:snapToGrid w:val="0"/>
          <w:sz w:val="18"/>
          <w:szCs w:val="18"/>
          <w:lang w:eastAsia="ja-JP"/>
        </w:rPr>
        <w:t xml:space="preserve"> D</w:t>
      </w:r>
      <w:r w:rsidR="00BF4883" w:rsidRPr="00F32EB0">
        <w:rPr>
          <w:snapToGrid w:val="0"/>
          <w:sz w:val="18"/>
          <w:szCs w:val="18"/>
          <w:lang w:eastAsia="ja-JP"/>
        </w:rPr>
        <w:t>’</w:t>
      </w:r>
      <w:r w:rsidR="00FE4887" w:rsidRPr="00F32EB0">
        <w:rPr>
          <w:snapToGrid w:val="0"/>
          <w:sz w:val="18"/>
          <w:szCs w:val="18"/>
          <w:lang w:eastAsia="ja-JP"/>
        </w:rPr>
        <w:t>ANALYSE COYU</w:t>
      </w:r>
      <w:r w:rsidRPr="00F32EB0">
        <w:rPr>
          <w:snapToGrid w:val="0"/>
          <w:sz w:val="18"/>
          <w:szCs w:val="18"/>
          <w:lang w:eastAsia="ja-JP"/>
        </w:rPr>
        <w:t>)</w:t>
      </w:r>
      <w:r w:rsidR="00BF4883" w:rsidRPr="00F32EB0">
        <w:rPr>
          <w:snapToGrid w:val="0"/>
          <w:sz w:val="18"/>
          <w:szCs w:val="18"/>
          <w:lang w:eastAsia="ja-JP"/>
        </w:rPr>
        <w:t> :</w:t>
      </w:r>
      <w:r w:rsidRPr="00F32EB0">
        <w:rPr>
          <w:snapToGrid w:val="0"/>
          <w:sz w:val="18"/>
          <w:szCs w:val="18"/>
          <w:lang w:eastAsia="ja-JP"/>
        </w:rPr>
        <w:t xml:space="preserve"> POINT SUR L</w:t>
      </w:r>
      <w:r w:rsidR="00BF4883" w:rsidRPr="00F32EB0">
        <w:rPr>
          <w:snapToGrid w:val="0"/>
          <w:sz w:val="18"/>
          <w:szCs w:val="18"/>
          <w:lang w:eastAsia="ja-JP"/>
        </w:rPr>
        <w:t>’</w:t>
      </w:r>
      <w:r w:rsidRPr="00F32EB0">
        <w:rPr>
          <w:snapToGrid w:val="0"/>
          <w:sz w:val="18"/>
          <w:szCs w:val="18"/>
          <w:lang w:eastAsia="ja-JP"/>
        </w:rPr>
        <w:t>ÉTAT D</w:t>
      </w:r>
      <w:r w:rsidR="00BF4883" w:rsidRPr="00F32EB0">
        <w:rPr>
          <w:snapToGrid w:val="0"/>
          <w:sz w:val="18"/>
          <w:szCs w:val="18"/>
          <w:lang w:eastAsia="ja-JP"/>
        </w:rPr>
        <w:t>’</w:t>
      </w:r>
      <w:r w:rsidRPr="00F32EB0">
        <w:rPr>
          <w:snapToGrid w:val="0"/>
          <w:sz w:val="18"/>
          <w:szCs w:val="18"/>
          <w:lang w:eastAsia="ja-JP"/>
        </w:rPr>
        <w:t>AVANCEMENT</w:t>
      </w:r>
    </w:p>
    <w:p w:rsidR="008169B8" w:rsidRPr="001C2047" w:rsidRDefault="008169B8" w:rsidP="00B10801">
      <w:pPr>
        <w:rPr>
          <w:sz w:val="18"/>
          <w:szCs w:val="18"/>
        </w:rPr>
      </w:pPr>
    </w:p>
    <w:p w:rsidR="008169B8" w:rsidRPr="001C2047" w:rsidRDefault="008169B8" w:rsidP="00B10801">
      <w:pPr>
        <w:rPr>
          <w:sz w:val="18"/>
          <w:szCs w:val="18"/>
        </w:rPr>
      </w:pPr>
    </w:p>
    <w:p w:rsidR="001C2047" w:rsidRPr="001C2047" w:rsidRDefault="001C2047" w:rsidP="00B10801">
      <w:pPr>
        <w:rPr>
          <w:sz w:val="18"/>
          <w:szCs w:val="18"/>
        </w:rPr>
      </w:pPr>
    </w:p>
    <w:p w:rsidR="008169B8" w:rsidRPr="008A287E" w:rsidRDefault="0093300C" w:rsidP="006C113F">
      <w:pPr>
        <w:pStyle w:val="Heading1"/>
        <w:rPr>
          <w:lang w:val="fr-CH"/>
        </w:rPr>
      </w:pPr>
      <w:bookmarkStart w:id="3" w:name="_Toc524690954"/>
      <w:r w:rsidRPr="008A287E">
        <w:rPr>
          <w:lang w:val="fr-CH"/>
        </w:rPr>
        <w:t>Généralités</w:t>
      </w:r>
      <w:bookmarkEnd w:id="3"/>
    </w:p>
    <w:p w:rsidR="008169B8" w:rsidRPr="00F32EB0" w:rsidRDefault="008169B8" w:rsidP="00F13B91">
      <w:pPr>
        <w:rPr>
          <w:u w:val="single"/>
          <w:lang w:eastAsia="ja-JP"/>
        </w:rPr>
      </w:pPr>
    </w:p>
    <w:p w:rsidR="008169B8" w:rsidRPr="00F32EB0" w:rsidRDefault="00F13B91" w:rsidP="004A3F91">
      <w:pPr>
        <w:rPr>
          <w:szCs w:val="24"/>
          <w:lang w:eastAsia="ja-JP"/>
        </w:rPr>
      </w:pPr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4A3F91" w:rsidRPr="00F32EB0">
        <w:t xml:space="preserve">Les informations générales sur cette question sont fournies dans le </w:t>
      </w:r>
      <w:r w:rsidR="00BF4883" w:rsidRPr="00F32EB0">
        <w:t>document</w:t>
      </w:r>
      <w:r w:rsidR="0093300C" w:rsidRPr="00F32EB0">
        <w:t> </w:t>
      </w:r>
      <w:r w:rsidR="00BF4883" w:rsidRPr="00F32EB0">
        <w:t>TC</w:t>
      </w:r>
      <w:r w:rsidR="004A3F91" w:rsidRPr="00F32EB0">
        <w:t>/53/16 “Révision du document</w:t>
      </w:r>
      <w:r w:rsidR="0093300C" w:rsidRPr="00F32EB0">
        <w:t> </w:t>
      </w:r>
      <w:r w:rsidR="004A3F91" w:rsidRPr="00F32EB0">
        <w:t>TGP/8</w:t>
      </w:r>
      <w:r w:rsidR="00BF4883" w:rsidRPr="00F32EB0">
        <w:t> :</w:t>
      </w:r>
      <w:r w:rsidR="004A3F91" w:rsidRPr="00F32EB0">
        <w:t xml:space="preserve"> deuxième partie</w:t>
      </w:r>
      <w:r w:rsidR="00BF4883" w:rsidRPr="00F32EB0">
        <w:t> :</w:t>
      </w:r>
      <w:r w:rsidR="004A3F91" w:rsidRPr="00F32EB0">
        <w:t xml:space="preserve"> quelques techniques utilisées dans l</w:t>
      </w:r>
      <w:r w:rsidR="00BF4883" w:rsidRPr="00F32EB0">
        <w:t>’</w:t>
      </w:r>
      <w:r w:rsidR="004A3F91" w:rsidRPr="00F32EB0">
        <w:t>examen DHS, section 9</w:t>
      </w:r>
      <w:r w:rsidR="00BF4883" w:rsidRPr="00F32EB0">
        <w:t> :</w:t>
      </w:r>
      <w:r w:rsidR="004A3F91" w:rsidRPr="00F32EB0">
        <w:t xml:space="preserve"> analyse globale de l</w:t>
      </w:r>
      <w:r w:rsidR="00BF4883" w:rsidRPr="00F32EB0">
        <w:t>’</w:t>
      </w:r>
      <w:r w:rsidR="004A3F91" w:rsidRPr="00F32EB0">
        <w:t>homogénéité sur plus</w:t>
      </w:r>
      <w:r w:rsidR="009607AD" w:rsidRPr="00F32EB0">
        <w:t xml:space="preserve">ieurs années (méthode </w:t>
      </w:r>
      <w:r w:rsidR="00DD1892" w:rsidRPr="00F32EB0">
        <w:t>d</w:t>
      </w:r>
      <w:r w:rsidR="00BF4883" w:rsidRPr="00F32EB0">
        <w:t>’</w:t>
      </w:r>
      <w:r w:rsidR="00DD1892" w:rsidRPr="00F32EB0">
        <w:t xml:space="preserve">analyse </w:t>
      </w:r>
      <w:r w:rsidR="004A3F91" w:rsidRPr="00F32EB0">
        <w:t>COYU)”.</w:t>
      </w:r>
    </w:p>
    <w:p w:rsidR="008169B8" w:rsidRPr="001C2047" w:rsidRDefault="008169B8" w:rsidP="00F13B91">
      <w:pPr>
        <w:keepNext/>
        <w:keepLines/>
        <w:rPr>
          <w:sz w:val="18"/>
          <w:szCs w:val="18"/>
          <w:lang w:eastAsia="ja-JP"/>
        </w:rPr>
      </w:pPr>
    </w:p>
    <w:p w:rsidR="001C2047" w:rsidRPr="001C2047" w:rsidRDefault="001C2047" w:rsidP="00F13B91">
      <w:pPr>
        <w:keepNext/>
        <w:keepLines/>
        <w:rPr>
          <w:sz w:val="18"/>
          <w:szCs w:val="18"/>
          <w:lang w:eastAsia="ja-JP"/>
        </w:rPr>
      </w:pPr>
    </w:p>
    <w:p w:rsidR="008169B8" w:rsidRPr="001C2047" w:rsidRDefault="008169B8" w:rsidP="00B55ED6">
      <w:pPr>
        <w:rPr>
          <w:sz w:val="18"/>
          <w:szCs w:val="18"/>
          <w:u w:val="single"/>
          <w:lang w:eastAsia="ja-JP"/>
        </w:rPr>
      </w:pPr>
    </w:p>
    <w:p w:rsidR="008169B8" w:rsidRPr="006C113F" w:rsidRDefault="0093300C" w:rsidP="006C113F">
      <w:pPr>
        <w:pStyle w:val="Heading1"/>
        <w:rPr>
          <w:rFonts w:eastAsiaTheme="minorEastAsia"/>
        </w:rPr>
      </w:pPr>
      <w:bookmarkStart w:id="4" w:name="_Toc524690955"/>
      <w:r w:rsidRPr="006C113F">
        <w:rPr>
          <w:rFonts w:eastAsiaTheme="minorEastAsia"/>
        </w:rPr>
        <w:t>Faits nouveaux en 2017</w:t>
      </w:r>
      <w:bookmarkEnd w:id="4"/>
    </w:p>
    <w:p w:rsidR="008169B8" w:rsidRPr="00F32EB0" w:rsidRDefault="008169B8" w:rsidP="001C2047">
      <w:pPr>
        <w:rPr>
          <w:rFonts w:eastAsiaTheme="minorEastAsia"/>
          <w:lang w:eastAsia="ja-JP"/>
        </w:rPr>
      </w:pPr>
    </w:p>
    <w:p w:rsidR="00BF4883" w:rsidRPr="00F32EB0" w:rsidRDefault="00014559" w:rsidP="00E743BC">
      <w:r w:rsidRPr="00F32EB0">
        <w:fldChar w:fldCharType="begin"/>
      </w:r>
      <w:r w:rsidRPr="00F32EB0">
        <w:rPr>
          <w:lang w:val="en-US"/>
        </w:rPr>
        <w:instrText xml:space="preserve"> AUTONUM  </w:instrText>
      </w:r>
      <w:r w:rsidRPr="00F32EB0">
        <w:fldChar w:fldCharType="end"/>
      </w:r>
      <w:r w:rsidRPr="00F32EB0">
        <w:rPr>
          <w:lang w:val="en-US"/>
        </w:rPr>
        <w:tab/>
      </w:r>
      <w:r w:rsidR="00767B16" w:rsidRPr="00F32EB0">
        <w:rPr>
          <w:lang w:val="en-US"/>
        </w:rPr>
        <w:t xml:space="preserve">Les TWA, TWV, TWO, TWF </w:t>
      </w:r>
      <w:proofErr w:type="gramStart"/>
      <w:r w:rsidR="00767B16" w:rsidRPr="00F32EB0">
        <w:rPr>
          <w:lang w:val="en-US"/>
        </w:rPr>
        <w:t>et</w:t>
      </w:r>
      <w:proofErr w:type="gramEnd"/>
      <w:r w:rsidR="00767B16" w:rsidRPr="00F32EB0">
        <w:rPr>
          <w:lang w:val="en-US"/>
        </w:rPr>
        <w:t xml:space="preserve"> TWC </w:t>
      </w:r>
      <w:r w:rsidR="00767B16" w:rsidRPr="00F90743">
        <w:rPr>
          <w:lang w:val="en-US"/>
        </w:rPr>
        <w:t>ont examiné</w:t>
      </w:r>
      <w:r w:rsidR="00767B16" w:rsidRPr="00F32EB0">
        <w:rPr>
          <w:lang w:val="en-US"/>
        </w:rPr>
        <w:t xml:space="preserve"> le document TWP/1/13 “</w:t>
      </w:r>
      <w:r w:rsidR="00FE0C8A" w:rsidRPr="00F32EB0">
        <w:rPr>
          <w:lang w:val="en-US"/>
        </w:rPr>
        <w:t>The combined</w:t>
      </w:r>
      <w:r w:rsidR="00BF4883" w:rsidRPr="00F32EB0">
        <w:rPr>
          <w:lang w:val="en-US"/>
        </w:rPr>
        <w:t>-</w:t>
      </w:r>
      <w:r w:rsidR="00FE0C8A" w:rsidRPr="00F32EB0">
        <w:rPr>
          <w:lang w:val="en-US"/>
        </w:rPr>
        <w:t>over</w:t>
      </w:r>
      <w:r w:rsidR="00BF4883" w:rsidRPr="00F32EB0">
        <w:rPr>
          <w:lang w:val="en-US"/>
        </w:rPr>
        <w:t>-</w:t>
      </w:r>
      <w:r w:rsidR="00FE0C8A" w:rsidRPr="00F32EB0">
        <w:rPr>
          <w:lang w:val="en-US"/>
        </w:rPr>
        <w:t>years uniformity criterion (</w:t>
      </w:r>
      <w:r w:rsidR="00767B16" w:rsidRPr="00F32EB0">
        <w:rPr>
          <w:lang w:val="en-US"/>
        </w:rPr>
        <w:t>COYU)”.</w:t>
      </w:r>
      <w:r w:rsidRPr="00F32EB0">
        <w:rPr>
          <w:lang w:val="en-US"/>
        </w:rPr>
        <w:t xml:space="preserve"> </w:t>
      </w:r>
      <w:r w:rsidR="00BF4883" w:rsidRPr="00F32EB0">
        <w:rPr>
          <w:lang w:val="en-US"/>
        </w:rPr>
        <w:t xml:space="preserve"> </w:t>
      </w:r>
      <w:r w:rsidR="00BF4883" w:rsidRPr="00F32EB0">
        <w:t>Le</w:t>
      </w:r>
      <w:r w:rsidR="00BF4883" w:rsidRPr="00F32EB0">
        <w:rPr>
          <w:lang w:val="fr-FR"/>
        </w:rPr>
        <w:t> </w:t>
      </w:r>
      <w:r w:rsidR="00BF4883" w:rsidRPr="00F32EB0">
        <w:t>TWC</w:t>
      </w:r>
      <w:r w:rsidR="00767B16" w:rsidRPr="00F32EB0">
        <w:t xml:space="preserve"> a en outre examiné le document TWC</w:t>
      </w:r>
      <w:r w:rsidR="008A7BE0" w:rsidRPr="00F32EB0">
        <w:t>/35/6 “Me</w:t>
      </w:r>
      <w:r w:rsidR="00767B16" w:rsidRPr="00F32EB0">
        <w:t>thod</w:t>
      </w:r>
      <w:r w:rsidR="008A7BE0" w:rsidRPr="00F32EB0">
        <w:t xml:space="preserve"> of </w:t>
      </w:r>
      <w:r w:rsidR="008A7BE0" w:rsidRPr="00F90743">
        <w:t>calculation</w:t>
      </w:r>
      <w:r w:rsidR="008A7BE0" w:rsidRPr="00F32EB0">
        <w:t xml:space="preserve"> of </w:t>
      </w:r>
      <w:r w:rsidR="00767B16" w:rsidRPr="00F32EB0">
        <w:t>COYU</w:t>
      </w:r>
      <w:r w:rsidR="00BF4883" w:rsidRPr="00F32EB0">
        <w:t>:</w:t>
      </w:r>
      <w:r w:rsidR="00767B16" w:rsidRPr="00F32EB0">
        <w:t xml:space="preserve"> </w:t>
      </w:r>
      <w:r w:rsidR="00897AF2" w:rsidRPr="00F90743">
        <w:t>practical exercis</w:t>
      </w:r>
      <w:r w:rsidR="008A7BE0" w:rsidRPr="00F90743">
        <w:t>e, probability levels,</w:t>
      </w:r>
      <w:r w:rsidR="008A7BE0" w:rsidRPr="00F32EB0">
        <w:t xml:space="preserve"> extrapolation and software</w:t>
      </w:r>
      <w:r w:rsidR="00767B16" w:rsidRPr="00F32EB0">
        <w:t>” et assisté à un exposé présenté par le Royaume</w:t>
      </w:r>
      <w:r w:rsidR="00DB478B" w:rsidRPr="00F32EB0">
        <w:noBreakHyphen/>
      </w:r>
      <w:r w:rsidR="00767B16" w:rsidRPr="00F32EB0">
        <w:t>Uni, dont une copie figure dans le document TWC/35/6</w:t>
      </w:r>
      <w:r w:rsidR="000B0934" w:rsidRPr="00F32EB0">
        <w:t> </w:t>
      </w:r>
      <w:proofErr w:type="spellStart"/>
      <w:r w:rsidR="00767B16" w:rsidRPr="00F32EB0">
        <w:t>Add</w:t>
      </w:r>
      <w:proofErr w:type="spellEnd"/>
      <w:r w:rsidR="00767B16" w:rsidRPr="00F32EB0">
        <w:t>.</w:t>
      </w:r>
      <w:r w:rsidRPr="00F32EB0">
        <w:t xml:space="preserve"> </w:t>
      </w:r>
      <w:r w:rsidR="00E743BC" w:rsidRPr="00F32EB0">
        <w:t>(</w:t>
      </w:r>
      <w:proofErr w:type="gramStart"/>
      <w:r w:rsidR="00E743BC" w:rsidRPr="00F32EB0">
        <w:t>voir</w:t>
      </w:r>
      <w:proofErr w:type="gramEnd"/>
      <w:r w:rsidR="00E743BC" w:rsidRPr="00F32EB0">
        <w:t xml:space="preserve"> le </w:t>
      </w:r>
      <w:r w:rsidR="00BF4883" w:rsidRPr="00F32EB0">
        <w:t>paragraphe 2</w:t>
      </w:r>
      <w:r w:rsidR="00E743BC" w:rsidRPr="00F32EB0">
        <w:t xml:space="preserve">4 du document TWA/46/10 “Report”, le </w:t>
      </w:r>
      <w:r w:rsidR="00BF4883" w:rsidRPr="00F32EB0">
        <w:t>paragraphe 3</w:t>
      </w:r>
      <w:r w:rsidR="00E743BC" w:rsidRPr="00F32EB0">
        <w:t>4 du document</w:t>
      </w:r>
      <w:r w:rsidR="0093300C" w:rsidRPr="00F32EB0">
        <w:t> </w:t>
      </w:r>
      <w:r w:rsidR="00E743BC" w:rsidRPr="00F32EB0">
        <w:t xml:space="preserve">TWW/51/16, le paragraphe 32 du document TWO/50/14 “Report”, les </w:t>
      </w:r>
      <w:r w:rsidR="00BF4883" w:rsidRPr="00F32EB0">
        <w:t>paragraphes 3</w:t>
      </w:r>
      <w:r w:rsidR="00E743BC" w:rsidRPr="00F32EB0">
        <w:t xml:space="preserve">7 et 38 du document TWF/48/13 “Report”, et les </w:t>
      </w:r>
      <w:r w:rsidR="00BF4883" w:rsidRPr="00F32EB0">
        <w:t>paragraphes 8</w:t>
      </w:r>
      <w:r w:rsidR="00E743BC" w:rsidRPr="00F32EB0">
        <w:t>1 à 84 du document TWC/35/21 “Report”).</w:t>
      </w:r>
    </w:p>
    <w:p w:rsidR="008169B8" w:rsidRPr="00F32EB0" w:rsidRDefault="008169B8" w:rsidP="00014559"/>
    <w:p w:rsidR="00BF4883" w:rsidRPr="00F32EB0" w:rsidRDefault="00014559" w:rsidP="00E635FF"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E635FF" w:rsidRPr="00F32EB0">
        <w:t>Les TWA, TWV, TWO et TWF</w:t>
      </w:r>
      <w:r w:rsidR="008E6B21" w:rsidRPr="00F32EB0">
        <w:t xml:space="preserve"> </w:t>
      </w:r>
      <w:r w:rsidR="00E635FF" w:rsidRPr="00F32EB0">
        <w:t xml:space="preserve">ont pris note du </w:t>
      </w:r>
      <w:r w:rsidR="00BA34EF" w:rsidRPr="00F32EB0">
        <w:t xml:space="preserve">rapport sur les faits nouveaux </w:t>
      </w:r>
      <w:r w:rsidR="00E635FF" w:rsidRPr="00F32EB0">
        <w:t>concernant</w:t>
      </w:r>
      <w:r w:rsidR="00BA34EF" w:rsidRPr="00F32EB0">
        <w:t xml:space="preserve"> la nouvelle méthode de calcul </w:t>
      </w:r>
      <w:r w:rsidR="00E635FF" w:rsidRPr="00F32EB0">
        <w:t>de</w:t>
      </w:r>
      <w:r w:rsidR="00BF4883" w:rsidRPr="00F32EB0">
        <w:t xml:space="preserve"> la COY</w:t>
      </w:r>
      <w:r w:rsidR="00E635FF" w:rsidRPr="00F32EB0">
        <w:t>U reproduit dans le document</w:t>
      </w:r>
      <w:r w:rsidR="0093300C" w:rsidRPr="00F32EB0">
        <w:t> </w:t>
      </w:r>
      <w:r w:rsidR="00E635FF" w:rsidRPr="00F32EB0">
        <w:t>TWP/1/13.</w:t>
      </w:r>
      <w:r w:rsidR="00BF4883" w:rsidRPr="00F32EB0">
        <w:t xml:space="preserve"> </w:t>
      </w:r>
      <w:r w:rsidR="000B0934" w:rsidRPr="00F32EB0">
        <w:t xml:space="preserve"> </w:t>
      </w:r>
      <w:r w:rsidR="00BF4883" w:rsidRPr="00F32EB0">
        <w:t>Le TWA</w:t>
      </w:r>
      <w:r w:rsidR="00E635FF" w:rsidRPr="00F32EB0">
        <w:t xml:space="preserve"> a noté que l</w:t>
      </w:r>
      <w:r w:rsidR="00BF4883" w:rsidRPr="00F32EB0">
        <w:t>’</w:t>
      </w:r>
      <w:r w:rsidR="00E635FF" w:rsidRPr="00F32EB0">
        <w:t>expert du Royaume</w:t>
      </w:r>
      <w:r w:rsidR="00DB478B" w:rsidRPr="00F32EB0">
        <w:noBreakHyphen/>
      </w:r>
      <w:r w:rsidR="00E635FF" w:rsidRPr="00F32EB0">
        <w:t>Uni rendrait compte de l</w:t>
      </w:r>
      <w:r w:rsidR="00BF4883" w:rsidRPr="00F32EB0">
        <w:t>’</w:t>
      </w:r>
      <w:r w:rsidR="00E635FF" w:rsidRPr="00F32EB0">
        <w:t>état d</w:t>
      </w:r>
      <w:r w:rsidR="00BF4883" w:rsidRPr="00F32EB0">
        <w:t>’</w:t>
      </w:r>
      <w:r w:rsidR="00E635FF" w:rsidRPr="00F32EB0">
        <w:t xml:space="preserve">avancement de </w:t>
      </w:r>
      <w:r w:rsidR="00BA34EF" w:rsidRPr="00F32EB0">
        <w:t xml:space="preserve">la mise au point des niveaux </w:t>
      </w:r>
      <w:r w:rsidR="00E635FF" w:rsidRPr="00F32EB0">
        <w:t>de probabilité pour la méthode améliorée de calcul de</w:t>
      </w:r>
      <w:r w:rsidR="00BF4883" w:rsidRPr="00F32EB0">
        <w:t xml:space="preserve"> la COY</w:t>
      </w:r>
      <w:r w:rsidR="00E635FF" w:rsidRPr="00F32EB0">
        <w:t>U</w:t>
      </w:r>
      <w:r w:rsidR="00BF4883" w:rsidRPr="00F32EB0">
        <w:t xml:space="preserve"> au TWC</w:t>
      </w:r>
      <w:r w:rsidR="00E635FF" w:rsidRPr="00F32EB0">
        <w:t xml:space="preserve"> à sa trente</w:t>
      </w:r>
      <w:r w:rsidR="00DB478B" w:rsidRPr="00F32EB0">
        <w:noBreakHyphen/>
      </w:r>
      <w:r w:rsidR="00E635FF" w:rsidRPr="00F32EB0">
        <w:t>cinqu</w:t>
      </w:r>
      <w:r w:rsidR="00BF4883" w:rsidRPr="00F32EB0">
        <w:t>ième session</w:t>
      </w:r>
      <w:r w:rsidR="00E635FF" w:rsidRPr="00F32EB0">
        <w:t>.</w:t>
      </w:r>
    </w:p>
    <w:p w:rsidR="008169B8" w:rsidRPr="00F32EB0" w:rsidRDefault="008169B8" w:rsidP="00014559"/>
    <w:p w:rsidR="00BF4883" w:rsidRPr="00F32EB0" w:rsidRDefault="00014559" w:rsidP="00E635FF">
      <w:r w:rsidRPr="00F32EB0">
        <w:fldChar w:fldCharType="begin"/>
      </w:r>
      <w:r w:rsidR="00474BE5" w:rsidRPr="00F32EB0">
        <w:instrText xml:space="preserve"> autonum  </w:instrText>
      </w:r>
      <w:r w:rsidRPr="00F32EB0">
        <w:fldChar w:fldCharType="end"/>
      </w:r>
      <w:r w:rsidRPr="00F32EB0">
        <w:tab/>
      </w:r>
      <w:r w:rsidR="00E635FF" w:rsidRPr="00F32EB0">
        <w:t>Le TWF est convenu de suggérer au</w:t>
      </w:r>
      <w:r w:rsidR="00BF4883" w:rsidRPr="00F32EB0">
        <w:t> TC</w:t>
      </w:r>
      <w:r w:rsidR="00503BFE" w:rsidRPr="00F32EB0">
        <w:t xml:space="preserve"> </w:t>
      </w:r>
      <w:r w:rsidR="00E635FF" w:rsidRPr="00F32EB0">
        <w:t>de réaliser une enquête auprès des membres de l</w:t>
      </w:r>
      <w:r w:rsidR="00BF4883" w:rsidRPr="00F32EB0">
        <w:t>’</w:t>
      </w:r>
      <w:r w:rsidR="00E635FF" w:rsidRPr="00F32EB0">
        <w:t>Union pour évaluer le nombre de services utilisant la méthode d</w:t>
      </w:r>
      <w:r w:rsidR="00BF4883" w:rsidRPr="00F32EB0">
        <w:t>’</w:t>
      </w:r>
      <w:r w:rsidR="00E635FF" w:rsidRPr="00F32EB0">
        <w:t>analyse de</w:t>
      </w:r>
      <w:r w:rsidR="00BF4883" w:rsidRPr="00F32EB0">
        <w:t xml:space="preserve"> la COY</w:t>
      </w:r>
      <w:r w:rsidR="00E635FF" w:rsidRPr="00F32EB0">
        <w:t xml:space="preserve">U pour chaque </w:t>
      </w:r>
      <w:r w:rsidR="00BA34EF" w:rsidRPr="00F32EB0">
        <w:t>type de culture</w:t>
      </w:r>
      <w:r w:rsidR="00E635FF" w:rsidRPr="00F32EB0">
        <w:t xml:space="preserve"> afin d</w:t>
      </w:r>
      <w:r w:rsidR="00BF4883" w:rsidRPr="00F32EB0">
        <w:t>’</w:t>
      </w:r>
      <w:r w:rsidR="00E635FF" w:rsidRPr="00F32EB0">
        <w:t>évaluer quel serait le meilleur moyen de présenter les renseignements concernant l</w:t>
      </w:r>
      <w:r w:rsidR="00BF4883" w:rsidRPr="00F32EB0">
        <w:t>’</w:t>
      </w:r>
      <w:r w:rsidR="00E635FF" w:rsidRPr="00F32EB0">
        <w:t>analyse globale de l</w:t>
      </w:r>
      <w:r w:rsidR="00BF4883" w:rsidRPr="00F32EB0">
        <w:t>’</w:t>
      </w:r>
      <w:r w:rsidR="00E635FF" w:rsidRPr="00F32EB0">
        <w:t>homogénéité sur plusieurs années</w:t>
      </w:r>
      <w:r w:rsidR="00BF4883" w:rsidRPr="00F32EB0">
        <w:t xml:space="preserve"> aux TWP</w:t>
      </w:r>
      <w:r w:rsidR="00E635FF" w:rsidRPr="00F32EB0">
        <w:t xml:space="preserve">, notamment </w:t>
      </w:r>
      <w:r w:rsidR="00B9322C" w:rsidRPr="00F32EB0">
        <w:t>lorsque cela ne s</w:t>
      </w:r>
      <w:r w:rsidR="00BF4883" w:rsidRPr="00F32EB0">
        <w:t>’</w:t>
      </w:r>
      <w:r w:rsidR="00B9322C" w:rsidRPr="00F32EB0">
        <w:t>applique pas au type de culture</w:t>
      </w:r>
      <w:r w:rsidR="00E635FF" w:rsidRPr="00F32EB0">
        <w:t>.</w:t>
      </w:r>
    </w:p>
    <w:p w:rsidR="008169B8" w:rsidRPr="00F32EB0" w:rsidRDefault="008169B8" w:rsidP="00014559">
      <w:pPr>
        <w:rPr>
          <w:rFonts w:eastAsiaTheme="minorEastAsia"/>
          <w:lang w:eastAsia="ja-JP"/>
        </w:rPr>
      </w:pPr>
    </w:p>
    <w:p w:rsidR="00BF4883" w:rsidRPr="00F32EB0" w:rsidRDefault="00014559" w:rsidP="008E6B21"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8E6B21" w:rsidRPr="00F32EB0">
        <w:t xml:space="preserve">Le </w:t>
      </w:r>
      <w:r w:rsidR="008724B5" w:rsidRPr="00F32EB0">
        <w:t>TWC</w:t>
      </w:r>
      <w:r w:rsidR="008E6B21" w:rsidRPr="00F32EB0">
        <w:t xml:space="preserve"> a examiné le rapport sur les faits nouveaux concernant la nouvelle méthode </w:t>
      </w:r>
      <w:r w:rsidR="00AE3AF1" w:rsidRPr="00F32EB0">
        <w:t xml:space="preserve">de </w:t>
      </w:r>
      <w:r w:rsidR="008E6B21" w:rsidRPr="00F32EB0">
        <w:t>calcul de</w:t>
      </w:r>
      <w:r w:rsidR="00BF4883" w:rsidRPr="00F32EB0">
        <w:t xml:space="preserve"> la COY</w:t>
      </w:r>
      <w:r w:rsidR="008724B5" w:rsidRPr="00F32EB0">
        <w:t>U</w:t>
      </w:r>
      <w:r w:rsidR="007F3224" w:rsidRPr="00F32EB0">
        <w:t xml:space="preserve"> </w:t>
      </w:r>
      <w:r w:rsidR="008E6B21" w:rsidRPr="00F32EB0">
        <w:t>présenté par un expert du Royaume</w:t>
      </w:r>
      <w:r w:rsidR="00DB478B" w:rsidRPr="00F32EB0">
        <w:noBreakHyphen/>
      </w:r>
      <w:r w:rsidR="008E6B21" w:rsidRPr="00F32EB0">
        <w:t>Uni et noté que la mise au point statistique de la méthode avait été menée à bien.</w:t>
      </w:r>
    </w:p>
    <w:p w:rsidR="008169B8" w:rsidRPr="00F32EB0" w:rsidRDefault="008169B8" w:rsidP="00014559"/>
    <w:p w:rsidR="00BF4883" w:rsidRPr="00F32EB0" w:rsidRDefault="00014559" w:rsidP="00712A25">
      <w:pPr>
        <w:rPr>
          <w:bCs/>
        </w:rPr>
      </w:pPr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712A25" w:rsidRPr="00F32EB0">
        <w:t>Le TWC a pris note des résultats de l</w:t>
      </w:r>
      <w:r w:rsidR="00BF4883" w:rsidRPr="00F32EB0">
        <w:t>’</w:t>
      </w:r>
      <w:r w:rsidR="00712A25" w:rsidRPr="00F32EB0">
        <w:t>exercice prat</w:t>
      </w:r>
      <w:r w:rsidR="00E26BD5" w:rsidRPr="00F32EB0">
        <w:t>ique et du relèvement des niveaux</w:t>
      </w:r>
      <w:r w:rsidR="00712A25" w:rsidRPr="00F32EB0">
        <w:t xml:space="preserve"> de probabilité exigés par la nouvelle méthode qui se rapprochent le plus des décisions prises au moyen de la méthode actuelle de calcul de</w:t>
      </w:r>
      <w:r w:rsidR="00BF4883" w:rsidRPr="00F32EB0">
        <w:t xml:space="preserve"> la COY</w:t>
      </w:r>
      <w:r w:rsidR="00712A25" w:rsidRPr="00F32EB0">
        <w:t>U.</w:t>
      </w:r>
    </w:p>
    <w:p w:rsidR="008169B8" w:rsidRPr="00F32EB0" w:rsidRDefault="008169B8" w:rsidP="00014559"/>
    <w:p w:rsidR="008169B8" w:rsidRPr="00F32EB0" w:rsidRDefault="00AE3AF1" w:rsidP="00712A25">
      <w:pPr>
        <w:numPr>
          <w:ilvl w:val="2"/>
          <w:numId w:val="2"/>
        </w:numPr>
        <w:tabs>
          <w:tab w:val="clear" w:pos="2160"/>
          <w:tab w:val="left" w:pos="1134"/>
          <w:tab w:val="num" w:pos="1843"/>
        </w:tabs>
        <w:ind w:hanging="1593"/>
      </w:pPr>
      <w:r w:rsidRPr="00F32EB0">
        <w:t xml:space="preserve">Niveaux </w:t>
      </w:r>
      <w:r w:rsidR="00712A25" w:rsidRPr="00F32EB0">
        <w:t xml:space="preserve">de probabilité </w:t>
      </w:r>
      <w:r w:rsidRPr="00F32EB0">
        <w:t xml:space="preserve">de </w:t>
      </w:r>
      <w:r w:rsidR="00712A25" w:rsidRPr="00F32EB0">
        <w:t xml:space="preserve">0.003 correspondant à 0.001 pour la </w:t>
      </w:r>
      <w:r w:rsidR="006D23DF" w:rsidRPr="00F32EB0">
        <w:t>méthode</w:t>
      </w:r>
      <w:r w:rsidR="00FE4887" w:rsidRPr="00F32EB0">
        <w:t xml:space="preserve"> d</w:t>
      </w:r>
      <w:r w:rsidR="00BF4883" w:rsidRPr="00F32EB0">
        <w:t>’</w:t>
      </w:r>
      <w:r w:rsidR="00FE4887" w:rsidRPr="00F32EB0">
        <w:t>analyse COYU</w:t>
      </w:r>
      <w:r w:rsidR="00206288" w:rsidRPr="00F32EB0">
        <w:t xml:space="preserve"> </w:t>
      </w:r>
      <w:r w:rsidR="00712A25" w:rsidRPr="00F32EB0">
        <w:t>actuelle</w:t>
      </w:r>
    </w:p>
    <w:p w:rsidR="008169B8" w:rsidRPr="00F32EB0" w:rsidRDefault="00AE3AF1" w:rsidP="00712A25">
      <w:pPr>
        <w:numPr>
          <w:ilvl w:val="2"/>
          <w:numId w:val="2"/>
        </w:numPr>
        <w:tabs>
          <w:tab w:val="clear" w:pos="2160"/>
          <w:tab w:val="left" w:pos="1134"/>
          <w:tab w:val="num" w:pos="1843"/>
        </w:tabs>
        <w:ind w:hanging="1593"/>
      </w:pPr>
      <w:r w:rsidRPr="00F32EB0">
        <w:t>Niveaux</w:t>
      </w:r>
      <w:r w:rsidR="00712A25" w:rsidRPr="00F32EB0">
        <w:t xml:space="preserve"> de probabilité </w:t>
      </w:r>
      <w:r w:rsidRPr="00F32EB0">
        <w:t xml:space="preserve">de </w:t>
      </w:r>
      <w:r w:rsidR="00712A25" w:rsidRPr="00F32EB0">
        <w:t xml:space="preserve">0.02 correspondant à 0.01 pour la </w:t>
      </w:r>
      <w:r w:rsidR="006D23DF" w:rsidRPr="00F32EB0">
        <w:t>méthode</w:t>
      </w:r>
      <w:r w:rsidR="00FE4887" w:rsidRPr="00F32EB0">
        <w:t xml:space="preserve"> d</w:t>
      </w:r>
      <w:r w:rsidR="00BF4883" w:rsidRPr="00F32EB0">
        <w:t>’</w:t>
      </w:r>
      <w:r w:rsidR="00FE4887" w:rsidRPr="00F32EB0">
        <w:t>analyse COYU</w:t>
      </w:r>
      <w:r w:rsidR="00712A25" w:rsidRPr="00F32EB0">
        <w:t xml:space="preserve"> actuelle</w:t>
      </w:r>
    </w:p>
    <w:p w:rsidR="008169B8" w:rsidRPr="00F32EB0" w:rsidRDefault="008169B8" w:rsidP="00014559"/>
    <w:p w:rsidR="008169B8" w:rsidRPr="00F32EB0" w:rsidRDefault="00014559" w:rsidP="006C113F">
      <w:pPr>
        <w:keepNext/>
        <w:keepLines/>
      </w:pPr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55113F" w:rsidRPr="00F32EB0">
        <w:t xml:space="preserve">Le TWC a pris note des domaines suivants </w:t>
      </w:r>
      <w:r w:rsidR="00C1313E" w:rsidRPr="00F32EB0">
        <w:t xml:space="preserve">qui ont été </w:t>
      </w:r>
      <w:r w:rsidR="0055113F" w:rsidRPr="00F32EB0">
        <w:t xml:space="preserve">recensés </w:t>
      </w:r>
      <w:r w:rsidR="00C1313E" w:rsidRPr="00F32EB0">
        <w:t>en vue d</w:t>
      </w:r>
      <w:r w:rsidR="00BF4883" w:rsidRPr="00F32EB0">
        <w:t>’</w:t>
      </w:r>
      <w:r w:rsidR="0055113F" w:rsidRPr="00F32EB0">
        <w:t>améliorer encore le logiciel à l</w:t>
      </w:r>
      <w:r w:rsidR="00BF4883" w:rsidRPr="00F32EB0">
        <w:t>’</w:t>
      </w:r>
      <w:r w:rsidR="0055113F" w:rsidRPr="00F32EB0">
        <w:t>aide de la nouvell</w:t>
      </w:r>
      <w:r w:rsidR="00023BDC" w:rsidRPr="00F32EB0">
        <w:t>e méthode de calcul de</w:t>
      </w:r>
      <w:r w:rsidR="00BF4883" w:rsidRPr="00F32EB0">
        <w:t xml:space="preserve"> la COY</w:t>
      </w:r>
      <w:r w:rsidR="00023BDC" w:rsidRPr="00F32EB0">
        <w:t xml:space="preserve">U </w:t>
      </w:r>
      <w:r w:rsidR="0055113F" w:rsidRPr="00F32EB0">
        <w:t>et est convenu d</w:t>
      </w:r>
      <w:r w:rsidR="00BF4883" w:rsidRPr="00F32EB0">
        <w:t>’</w:t>
      </w:r>
      <w:r w:rsidR="0055113F" w:rsidRPr="00F32EB0">
        <w:t>inviter l</w:t>
      </w:r>
      <w:r w:rsidR="00BF4883" w:rsidRPr="00F32EB0">
        <w:t>’</w:t>
      </w:r>
      <w:r w:rsidR="0055113F" w:rsidRPr="00F32EB0">
        <w:t>expert du Royaume</w:t>
      </w:r>
      <w:r w:rsidR="00DB478B" w:rsidRPr="00F32EB0">
        <w:noBreakHyphen/>
      </w:r>
      <w:r w:rsidR="0055113F" w:rsidRPr="00F32EB0">
        <w:t>Uni à rendre compte des faits nouveaux à sa trente</w:t>
      </w:r>
      <w:r w:rsidR="00DB478B" w:rsidRPr="00F32EB0">
        <w:noBreakHyphen/>
      </w:r>
      <w:r w:rsidR="0055113F" w:rsidRPr="00F32EB0">
        <w:t>six</w:t>
      </w:r>
      <w:r w:rsidR="00BF4883" w:rsidRPr="00F32EB0">
        <w:t>ième session :</w:t>
      </w:r>
    </w:p>
    <w:p w:rsidR="008169B8" w:rsidRPr="001C2047" w:rsidRDefault="008169B8" w:rsidP="006C113F">
      <w:pPr>
        <w:keepNext/>
        <w:keepLines/>
      </w:pPr>
    </w:p>
    <w:p w:rsidR="008169B8" w:rsidRPr="00F32EB0" w:rsidRDefault="000B1C2B" w:rsidP="006C113F">
      <w:pPr>
        <w:keepNext/>
        <w:keepLines/>
        <w:numPr>
          <w:ilvl w:val="0"/>
          <w:numId w:val="3"/>
        </w:numPr>
        <w:tabs>
          <w:tab w:val="clear" w:pos="720"/>
          <w:tab w:val="num" w:pos="1134"/>
        </w:tabs>
        <w:ind w:left="1134" w:hanging="567"/>
      </w:pPr>
      <w:r w:rsidRPr="00F32EB0">
        <w:t>Améliorer l</w:t>
      </w:r>
      <w:r w:rsidR="00BF4883" w:rsidRPr="00F32EB0">
        <w:t>’</w:t>
      </w:r>
      <w:r w:rsidRPr="00F32EB0">
        <w:t xml:space="preserve">installation avec </w:t>
      </w:r>
      <w:r w:rsidR="00023BDC" w:rsidRPr="00F32EB0">
        <w:t xml:space="preserve">le programme informatique </w:t>
      </w:r>
      <w:r w:rsidRPr="00F32EB0">
        <w:t>DUST</w:t>
      </w:r>
    </w:p>
    <w:p w:rsidR="008169B8" w:rsidRPr="00F32EB0" w:rsidRDefault="000B1C2B" w:rsidP="006C113F">
      <w:pPr>
        <w:keepNext/>
        <w:keepLines/>
        <w:numPr>
          <w:ilvl w:val="0"/>
          <w:numId w:val="3"/>
        </w:numPr>
        <w:tabs>
          <w:tab w:val="clear" w:pos="720"/>
          <w:tab w:val="num" w:pos="1134"/>
        </w:tabs>
        <w:ind w:left="1134" w:hanging="567"/>
      </w:pPr>
      <w:r w:rsidRPr="00F32EB0">
        <w:t>Améliorer les messages d</w:t>
      </w:r>
      <w:r w:rsidR="00BF4883" w:rsidRPr="00F32EB0">
        <w:t>’</w:t>
      </w:r>
      <w:r w:rsidRPr="00F32EB0">
        <w:t>erreur</w:t>
      </w:r>
    </w:p>
    <w:p w:rsidR="008169B8" w:rsidRPr="00F32EB0" w:rsidRDefault="000B1C2B" w:rsidP="006C113F">
      <w:pPr>
        <w:keepNext/>
        <w:keepLines/>
        <w:numPr>
          <w:ilvl w:val="0"/>
          <w:numId w:val="3"/>
        </w:numPr>
        <w:tabs>
          <w:tab w:val="clear" w:pos="720"/>
          <w:tab w:val="num" w:pos="1134"/>
        </w:tabs>
        <w:ind w:left="1134" w:hanging="567"/>
      </w:pPr>
      <w:r w:rsidRPr="00F32EB0">
        <w:t xml:space="preserve">Veiller à ce que les ensembles de données </w:t>
      </w:r>
      <w:r w:rsidR="00023BDC" w:rsidRPr="00F32EB0">
        <w:t xml:space="preserve">qui posent des problèmes </w:t>
      </w:r>
      <w:r w:rsidRPr="00F32EB0">
        <w:t>puissent être traitées de façon appropriée.</w:t>
      </w:r>
    </w:p>
    <w:p w:rsidR="008169B8" w:rsidRPr="00F32EB0" w:rsidRDefault="007138DF" w:rsidP="006C113F">
      <w:pPr>
        <w:keepNext/>
        <w:keepLines/>
        <w:numPr>
          <w:ilvl w:val="0"/>
          <w:numId w:val="3"/>
        </w:numPr>
        <w:tabs>
          <w:tab w:val="clear" w:pos="720"/>
          <w:tab w:val="num" w:pos="1134"/>
        </w:tabs>
        <w:ind w:left="1134" w:hanging="567"/>
      </w:pPr>
      <w:r w:rsidRPr="00F32EB0">
        <w:t>Générer des drapeaux d</w:t>
      </w:r>
      <w:r w:rsidR="00BF4883" w:rsidRPr="00F32EB0">
        <w:t>’</w:t>
      </w:r>
      <w:r w:rsidRPr="00F32EB0">
        <w:t>extrapolation conformément à l</w:t>
      </w:r>
      <w:r w:rsidR="00BF4883" w:rsidRPr="00F32EB0">
        <w:t>’</w:t>
      </w:r>
      <w:r w:rsidRPr="00F32EB0">
        <w:t>approche approuvée par</w:t>
      </w:r>
      <w:r w:rsidR="00BF4883" w:rsidRPr="00F32EB0">
        <w:t xml:space="preserve"> le TWC</w:t>
      </w:r>
    </w:p>
    <w:p w:rsidR="0058286F" w:rsidRPr="00F32EB0" w:rsidRDefault="007138DF" w:rsidP="0058286F">
      <w:pPr>
        <w:keepNext/>
        <w:keepLines/>
        <w:numPr>
          <w:ilvl w:val="0"/>
          <w:numId w:val="3"/>
        </w:numPr>
        <w:tabs>
          <w:tab w:val="clear" w:pos="720"/>
          <w:tab w:val="num" w:pos="1134"/>
        </w:tabs>
        <w:ind w:left="1134" w:hanging="567"/>
      </w:pPr>
      <w:r w:rsidRPr="00F32EB0">
        <w:t>Veiller au bon fonctionnement de l</w:t>
      </w:r>
      <w:r w:rsidR="00BF4883" w:rsidRPr="00F32EB0">
        <w:t>’</w:t>
      </w:r>
      <w:r w:rsidRPr="00F32EB0">
        <w:t>algorithme pour les données non équilibrées (pour la mise en culture cyclique).</w:t>
      </w:r>
    </w:p>
    <w:p w:rsidR="0058286F" w:rsidRDefault="0058286F">
      <w:pPr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:rsidR="008169B8" w:rsidRPr="008A287E" w:rsidRDefault="0093300C" w:rsidP="006C113F">
      <w:pPr>
        <w:pStyle w:val="Heading1"/>
        <w:rPr>
          <w:rFonts w:eastAsiaTheme="minorEastAsia"/>
          <w:lang w:val="fr-CH"/>
        </w:rPr>
      </w:pPr>
      <w:bookmarkStart w:id="5" w:name="_Toc524690956"/>
      <w:r w:rsidRPr="008A287E">
        <w:rPr>
          <w:rFonts w:eastAsiaTheme="minorEastAsia"/>
          <w:lang w:val="fr-CH"/>
        </w:rPr>
        <w:lastRenderedPageBreak/>
        <w:t>Faits nouveaux en 2018</w:t>
      </w:r>
      <w:bookmarkEnd w:id="5"/>
    </w:p>
    <w:p w:rsidR="008169B8" w:rsidRPr="00F32EB0" w:rsidRDefault="008169B8" w:rsidP="0026420A">
      <w:pPr>
        <w:keepNext/>
        <w:keepLines/>
        <w:rPr>
          <w:rFonts w:eastAsiaTheme="minorEastAsia"/>
          <w:lang w:eastAsia="ja-JP"/>
        </w:rPr>
      </w:pPr>
    </w:p>
    <w:p w:rsidR="008169B8" w:rsidRPr="00F32EB0" w:rsidRDefault="007138DF" w:rsidP="007138DF">
      <w:pPr>
        <w:pStyle w:val="Heading2"/>
        <w:rPr>
          <w:rFonts w:eastAsiaTheme="minorEastAsia"/>
          <w:lang w:val="fr-CH" w:eastAsia="ja-JP"/>
        </w:rPr>
      </w:pPr>
      <w:bookmarkStart w:id="6" w:name="_Toc524690957"/>
      <w:r w:rsidRPr="00F32EB0">
        <w:rPr>
          <w:rFonts w:eastAsiaTheme="minorEastAsia"/>
          <w:lang w:val="fr-CH" w:eastAsia="ja-JP"/>
        </w:rPr>
        <w:t>Comité de rédaction élargi</w:t>
      </w:r>
      <w:bookmarkEnd w:id="6"/>
    </w:p>
    <w:p w:rsidR="008169B8" w:rsidRPr="00F32EB0" w:rsidRDefault="008169B8" w:rsidP="0026420A">
      <w:pPr>
        <w:keepNext/>
        <w:rPr>
          <w:rFonts w:cs="Arial"/>
          <w:bCs/>
          <w:snapToGrid w:val="0"/>
        </w:rPr>
      </w:pPr>
    </w:p>
    <w:p w:rsidR="00BF4883" w:rsidRPr="00F32EB0" w:rsidRDefault="00F9632E" w:rsidP="007138DF">
      <w:pPr>
        <w:keepNext/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7138DF" w:rsidRPr="00F32EB0">
        <w:rPr>
          <w:rFonts w:cs="Arial"/>
          <w:bCs/>
          <w:snapToGrid w:val="0"/>
        </w:rPr>
        <w:t>À sa trente</w:t>
      </w:r>
      <w:r w:rsidR="00DB478B" w:rsidRPr="00F32EB0">
        <w:rPr>
          <w:rFonts w:cs="Arial"/>
          <w:bCs/>
          <w:snapToGrid w:val="0"/>
        </w:rPr>
        <w:noBreakHyphen/>
      </w:r>
      <w:r w:rsidR="007138DF" w:rsidRPr="00F32EB0">
        <w:rPr>
          <w:rFonts w:cs="Arial"/>
          <w:bCs/>
          <w:snapToGrid w:val="0"/>
        </w:rPr>
        <w:t>quatr</w:t>
      </w:r>
      <w:r w:rsidR="00BF4883" w:rsidRPr="00F32EB0">
        <w:rPr>
          <w:rFonts w:cs="Arial"/>
          <w:bCs/>
          <w:snapToGrid w:val="0"/>
        </w:rPr>
        <w:t>ième session</w:t>
      </w:r>
      <w:r w:rsidR="007138DF" w:rsidRPr="00F32EB0">
        <w:rPr>
          <w:rFonts w:cs="Arial"/>
          <w:bCs/>
          <w:snapToGrid w:val="0"/>
        </w:rPr>
        <w:t xml:space="preserve"> extraordinaire tenue à Genève le </w:t>
      </w:r>
      <w:r w:rsidR="00BF4883" w:rsidRPr="00F32EB0">
        <w:rPr>
          <w:rFonts w:cs="Arial"/>
          <w:bCs/>
          <w:snapToGrid w:val="0"/>
        </w:rPr>
        <w:t>6 avril 20</w:t>
      </w:r>
      <w:r w:rsidR="007138DF" w:rsidRPr="00F32EB0">
        <w:rPr>
          <w:rFonts w:cs="Arial"/>
          <w:bCs/>
          <w:snapToGrid w:val="0"/>
        </w:rPr>
        <w:t>17, le Conseil a décidé d</w:t>
      </w:r>
      <w:r w:rsidR="00BF4883" w:rsidRPr="00F32EB0">
        <w:rPr>
          <w:rFonts w:cs="Arial"/>
          <w:bCs/>
          <w:snapToGrid w:val="0"/>
        </w:rPr>
        <w:t>’</w:t>
      </w:r>
      <w:r w:rsidR="007138DF" w:rsidRPr="00F32EB0">
        <w:rPr>
          <w:rFonts w:cs="Arial"/>
          <w:bCs/>
          <w:snapToGrid w:val="0"/>
        </w:rPr>
        <w:t xml:space="preserve">organiser une seule série de sessions à partir </w:t>
      </w:r>
      <w:r w:rsidR="00BF4883" w:rsidRPr="00F32EB0">
        <w:rPr>
          <w:rFonts w:cs="Arial"/>
          <w:bCs/>
          <w:snapToGrid w:val="0"/>
        </w:rPr>
        <w:t>de 2018</w:t>
      </w:r>
      <w:r w:rsidR="007138DF" w:rsidRPr="00F32EB0">
        <w:rPr>
          <w:rFonts w:cs="Arial"/>
          <w:bCs/>
          <w:snapToGrid w:val="0"/>
        </w:rPr>
        <w:t>, en octobre</w:t>
      </w:r>
      <w:r w:rsidR="00DB478B" w:rsidRPr="00F32EB0">
        <w:rPr>
          <w:rFonts w:cs="Arial"/>
          <w:bCs/>
          <w:snapToGrid w:val="0"/>
        </w:rPr>
        <w:noBreakHyphen/>
      </w:r>
      <w:r w:rsidR="007138DF" w:rsidRPr="00F32EB0">
        <w:rPr>
          <w:rFonts w:cs="Arial"/>
          <w:bCs/>
          <w:snapToGrid w:val="0"/>
        </w:rPr>
        <w:t xml:space="preserve">novembre (voir les </w:t>
      </w:r>
      <w:r w:rsidR="00BF4883" w:rsidRPr="00F32EB0">
        <w:rPr>
          <w:rFonts w:cs="Arial"/>
          <w:bCs/>
          <w:snapToGrid w:val="0"/>
        </w:rPr>
        <w:t>paragraphes 1</w:t>
      </w:r>
      <w:r w:rsidR="007138DF" w:rsidRPr="00F32EB0">
        <w:rPr>
          <w:rFonts w:cs="Arial"/>
          <w:bCs/>
          <w:snapToGrid w:val="0"/>
        </w:rPr>
        <w:t>2 à 14 du document C(</w:t>
      </w:r>
      <w:proofErr w:type="spellStart"/>
      <w:r w:rsidR="007138DF" w:rsidRPr="00F32EB0">
        <w:rPr>
          <w:rFonts w:cs="Arial"/>
          <w:bCs/>
          <w:snapToGrid w:val="0"/>
        </w:rPr>
        <w:t>Extr</w:t>
      </w:r>
      <w:proofErr w:type="spellEnd"/>
      <w:proofErr w:type="gramStart"/>
      <w:r w:rsidR="007138DF" w:rsidRPr="00F32EB0">
        <w:rPr>
          <w:rFonts w:cs="Arial"/>
          <w:bCs/>
          <w:snapToGrid w:val="0"/>
        </w:rPr>
        <w:t>.)/</w:t>
      </w:r>
      <w:proofErr w:type="gramEnd"/>
      <w:r w:rsidR="007138DF" w:rsidRPr="00F32EB0">
        <w:rPr>
          <w:rFonts w:cs="Arial"/>
          <w:bCs/>
          <w:snapToGrid w:val="0"/>
        </w:rPr>
        <w:t xml:space="preserve">34/6 “Compte rendu des décisions”). </w:t>
      </w:r>
      <w:r w:rsidR="000B0934" w:rsidRPr="00F32EB0">
        <w:rPr>
          <w:rFonts w:cs="Arial"/>
          <w:bCs/>
          <w:snapToGrid w:val="0"/>
        </w:rPr>
        <w:t xml:space="preserve"> </w:t>
      </w:r>
      <w:r w:rsidR="007138DF" w:rsidRPr="00F32EB0">
        <w:rPr>
          <w:rFonts w:cs="Arial"/>
          <w:bCs/>
          <w:snapToGrid w:val="0"/>
        </w:rPr>
        <w:t xml:space="preserve">À partir </w:t>
      </w:r>
      <w:r w:rsidR="00BF4883" w:rsidRPr="00F32EB0">
        <w:rPr>
          <w:rFonts w:cs="Arial"/>
          <w:bCs/>
          <w:snapToGrid w:val="0"/>
        </w:rPr>
        <w:t>de 2018</w:t>
      </w:r>
      <w:r w:rsidR="007138DF" w:rsidRPr="00F32EB0">
        <w:rPr>
          <w:rFonts w:cs="Arial"/>
          <w:bCs/>
          <w:snapToGrid w:val="0"/>
        </w:rPr>
        <w:t>, les réunions du</w:t>
      </w:r>
      <w:r w:rsidR="00BF4883" w:rsidRPr="00F32EB0">
        <w:rPr>
          <w:rFonts w:cs="Arial"/>
          <w:bCs/>
          <w:snapToGrid w:val="0"/>
        </w:rPr>
        <w:t> TC</w:t>
      </w:r>
      <w:r w:rsidR="007138DF" w:rsidRPr="00F32EB0">
        <w:rPr>
          <w:rFonts w:cs="Arial"/>
          <w:bCs/>
          <w:snapToGrid w:val="0"/>
        </w:rPr>
        <w:t xml:space="preserve"> qui se tenaient en mars</w:t>
      </w:r>
      <w:r w:rsidR="00DB478B" w:rsidRPr="00F32EB0">
        <w:rPr>
          <w:rFonts w:cs="Arial"/>
          <w:bCs/>
          <w:snapToGrid w:val="0"/>
        </w:rPr>
        <w:noBreakHyphen/>
      </w:r>
      <w:r w:rsidR="007138DF" w:rsidRPr="00F32EB0">
        <w:rPr>
          <w:rFonts w:cs="Arial"/>
          <w:bCs/>
          <w:snapToGrid w:val="0"/>
        </w:rPr>
        <w:t>avril auront lieu en octobre</w:t>
      </w:r>
      <w:r w:rsidR="00DB478B" w:rsidRPr="00F32EB0">
        <w:rPr>
          <w:rFonts w:cs="Arial"/>
          <w:bCs/>
          <w:snapToGrid w:val="0"/>
        </w:rPr>
        <w:noBreakHyphen/>
      </w:r>
      <w:r w:rsidR="007138DF" w:rsidRPr="00F32EB0">
        <w:rPr>
          <w:rFonts w:cs="Arial"/>
          <w:bCs/>
          <w:snapToGrid w:val="0"/>
        </w:rPr>
        <w:t>novembre.</w:t>
      </w:r>
    </w:p>
    <w:p w:rsidR="008169B8" w:rsidRPr="00F32EB0" w:rsidRDefault="008169B8" w:rsidP="00F9632E">
      <w:pPr>
        <w:keepNext/>
        <w:rPr>
          <w:rFonts w:cs="Arial"/>
          <w:bCs/>
          <w:snapToGrid w:val="0"/>
        </w:rPr>
      </w:pPr>
    </w:p>
    <w:p w:rsidR="008169B8" w:rsidRPr="00F32EB0" w:rsidRDefault="00F9632E" w:rsidP="007B04D6">
      <w:pPr>
        <w:keepNext/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7B04D6" w:rsidRPr="00F32EB0">
        <w:rPr>
          <w:rFonts w:cs="Arial"/>
          <w:bCs/>
          <w:snapToGrid w:val="0"/>
        </w:rPr>
        <w:t>Le Conseil a décidé d</w:t>
      </w:r>
      <w:r w:rsidR="00BF4883" w:rsidRPr="00F32EB0">
        <w:rPr>
          <w:rFonts w:cs="Arial"/>
          <w:bCs/>
          <w:snapToGrid w:val="0"/>
        </w:rPr>
        <w:t>’</w:t>
      </w:r>
      <w:r w:rsidR="007B04D6" w:rsidRPr="00F32EB0">
        <w:rPr>
          <w:rFonts w:cs="Arial"/>
          <w:bCs/>
          <w:snapToGrid w:val="0"/>
        </w:rPr>
        <w:t>adopter les propositions formulées par le</w:t>
      </w:r>
      <w:r w:rsidR="00BF4883" w:rsidRPr="00F32EB0">
        <w:rPr>
          <w:rFonts w:cs="Arial"/>
          <w:bCs/>
          <w:snapToGrid w:val="0"/>
        </w:rPr>
        <w:t> TC</w:t>
      </w:r>
      <w:r w:rsidR="007B04D6" w:rsidRPr="00F32EB0">
        <w:rPr>
          <w:rFonts w:cs="Arial"/>
          <w:bCs/>
          <w:snapToGrid w:val="0"/>
        </w:rPr>
        <w:t xml:space="preserve"> à sa cinquante</w:t>
      </w:r>
      <w:r w:rsidR="00DB478B" w:rsidRPr="00F32EB0">
        <w:rPr>
          <w:rFonts w:cs="Arial"/>
          <w:bCs/>
          <w:snapToGrid w:val="0"/>
        </w:rPr>
        <w:noBreakHyphen/>
      </w:r>
      <w:r w:rsidR="007B04D6" w:rsidRPr="00F32EB0">
        <w:rPr>
          <w:rFonts w:cs="Arial"/>
          <w:bCs/>
          <w:snapToGrid w:val="0"/>
        </w:rPr>
        <w:t>trois</w:t>
      </w:r>
      <w:r w:rsidR="00BF4883" w:rsidRPr="00F32EB0">
        <w:rPr>
          <w:rFonts w:cs="Arial"/>
          <w:bCs/>
          <w:snapToGrid w:val="0"/>
        </w:rPr>
        <w:t>ième session</w:t>
      </w:r>
      <w:r w:rsidR="007B04D6" w:rsidRPr="00F32EB0">
        <w:rPr>
          <w:rFonts w:cs="Arial"/>
          <w:bCs/>
          <w:snapToGrid w:val="0"/>
        </w:rPr>
        <w:t>, de prendre des mesures d</w:t>
      </w:r>
      <w:r w:rsidR="00BF4883" w:rsidRPr="00F32EB0">
        <w:rPr>
          <w:rFonts w:cs="Arial"/>
          <w:bCs/>
          <w:snapToGrid w:val="0"/>
        </w:rPr>
        <w:t>’</w:t>
      </w:r>
      <w:r w:rsidR="007B04D6" w:rsidRPr="00F32EB0">
        <w:rPr>
          <w:rFonts w:cs="Arial"/>
          <w:bCs/>
          <w:snapToGrid w:val="0"/>
        </w:rPr>
        <w:t>urgence durant la période de transition précédant la cinquante</w:t>
      </w:r>
      <w:r w:rsidR="00DB478B" w:rsidRPr="00F32EB0">
        <w:rPr>
          <w:rFonts w:cs="Arial"/>
          <w:bCs/>
          <w:snapToGrid w:val="0"/>
        </w:rPr>
        <w:noBreakHyphen/>
      </w:r>
      <w:r w:rsidR="007B04D6" w:rsidRPr="00F32EB0">
        <w:rPr>
          <w:rFonts w:cs="Arial"/>
          <w:bCs/>
          <w:snapToGrid w:val="0"/>
        </w:rPr>
        <w:t>quatr</w:t>
      </w:r>
      <w:r w:rsidR="00BF4883" w:rsidRPr="00F32EB0">
        <w:rPr>
          <w:rFonts w:cs="Arial"/>
          <w:bCs/>
          <w:snapToGrid w:val="0"/>
        </w:rPr>
        <w:t>ième session</w:t>
      </w:r>
      <w:r w:rsidR="007B04D6" w:rsidRPr="00F32EB0">
        <w:rPr>
          <w:rFonts w:cs="Arial"/>
          <w:bCs/>
          <w:snapToGrid w:val="0"/>
        </w:rPr>
        <w:t xml:space="preserve"> du</w:t>
      </w:r>
      <w:r w:rsidR="00BF4883" w:rsidRPr="00F32EB0">
        <w:rPr>
          <w:rFonts w:cs="Arial"/>
          <w:bCs/>
          <w:snapToGrid w:val="0"/>
        </w:rPr>
        <w:t> TC</w:t>
      </w:r>
      <w:r w:rsidR="007B04D6" w:rsidRPr="00F32EB0">
        <w:rPr>
          <w:rFonts w:cs="Arial"/>
          <w:bCs/>
          <w:snapToGrid w:val="0"/>
        </w:rPr>
        <w:t xml:space="preserve"> qui se tiendra en </w:t>
      </w:r>
      <w:r w:rsidR="00BF4883" w:rsidRPr="00F32EB0">
        <w:rPr>
          <w:rFonts w:cs="Arial"/>
          <w:bCs/>
          <w:snapToGrid w:val="0"/>
        </w:rPr>
        <w:t>octobre 20</w:t>
      </w:r>
      <w:r w:rsidR="007B04D6" w:rsidRPr="00F32EB0">
        <w:rPr>
          <w:rFonts w:cs="Arial"/>
          <w:bCs/>
          <w:snapToGrid w:val="0"/>
        </w:rPr>
        <w:t>18;  pour les documents TGP, le</w:t>
      </w:r>
      <w:r w:rsidR="00BF4883" w:rsidRPr="00F32EB0">
        <w:rPr>
          <w:rFonts w:cs="Arial"/>
          <w:bCs/>
          <w:snapToGrid w:val="0"/>
        </w:rPr>
        <w:t> 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7B04D6" w:rsidRPr="00F32EB0">
        <w:rPr>
          <w:rFonts w:cs="Arial"/>
          <w:bCs/>
          <w:snapToGrid w:val="0"/>
        </w:rPr>
        <w:t xml:space="preserve"> synthétisera les observations faites par</w:t>
      </w:r>
      <w:r w:rsidR="00BF4883" w:rsidRPr="00F32EB0">
        <w:rPr>
          <w:rFonts w:cs="Arial"/>
          <w:bCs/>
          <w:snapToGrid w:val="0"/>
        </w:rPr>
        <w:t xml:space="preserve"> les TWP</w:t>
      </w:r>
      <w:r w:rsidR="007B04D6" w:rsidRPr="00F32EB0">
        <w:rPr>
          <w:rFonts w:cs="Arial"/>
          <w:bCs/>
          <w:snapToGrid w:val="0"/>
        </w:rPr>
        <w:t xml:space="preserve"> à leurs sessions </w:t>
      </w:r>
      <w:r w:rsidR="00BF4883" w:rsidRPr="00F32EB0">
        <w:rPr>
          <w:rFonts w:cs="Arial"/>
          <w:bCs/>
          <w:snapToGrid w:val="0"/>
        </w:rPr>
        <w:t>de 2017</w:t>
      </w:r>
      <w:r w:rsidR="007B04D6" w:rsidRPr="00F32EB0">
        <w:rPr>
          <w:rFonts w:cs="Arial"/>
          <w:bCs/>
          <w:snapToGrid w:val="0"/>
        </w:rPr>
        <w:t xml:space="preserve"> et, en l</w:t>
      </w:r>
      <w:r w:rsidR="00BF4883" w:rsidRPr="00F32EB0">
        <w:rPr>
          <w:rFonts w:cs="Arial"/>
          <w:bCs/>
          <w:snapToGrid w:val="0"/>
        </w:rPr>
        <w:t>’</w:t>
      </w:r>
      <w:r w:rsidR="007B04D6" w:rsidRPr="00F32EB0">
        <w:rPr>
          <w:rFonts w:cs="Arial"/>
          <w:bCs/>
          <w:snapToGrid w:val="0"/>
        </w:rPr>
        <w:t>absence de consensus entre</w:t>
      </w:r>
      <w:r w:rsidR="00BF4883" w:rsidRPr="00F32EB0">
        <w:rPr>
          <w:rFonts w:cs="Arial"/>
          <w:bCs/>
          <w:snapToGrid w:val="0"/>
        </w:rPr>
        <w:t xml:space="preserve"> les TWP</w:t>
      </w:r>
      <w:r w:rsidR="007B04D6" w:rsidRPr="00F32EB0">
        <w:rPr>
          <w:rFonts w:cs="Arial"/>
          <w:bCs/>
          <w:snapToGrid w:val="0"/>
        </w:rPr>
        <w:t>, il élaborera des propositions pour un examen ultérieur par</w:t>
      </w:r>
      <w:r w:rsidR="00BF4883" w:rsidRPr="00F32EB0">
        <w:rPr>
          <w:rFonts w:cs="Arial"/>
          <w:bCs/>
          <w:snapToGrid w:val="0"/>
        </w:rPr>
        <w:t xml:space="preserve"> les TWP</w:t>
      </w:r>
      <w:r w:rsidR="007B04D6" w:rsidRPr="00F32EB0">
        <w:rPr>
          <w:rFonts w:cs="Arial"/>
          <w:bCs/>
          <w:snapToGrid w:val="0"/>
        </w:rPr>
        <w:t xml:space="preserve"> à leurs sessions </w:t>
      </w:r>
      <w:r w:rsidR="00BF4883" w:rsidRPr="00F32EB0">
        <w:rPr>
          <w:rFonts w:cs="Arial"/>
          <w:bCs/>
          <w:snapToGrid w:val="0"/>
        </w:rPr>
        <w:t>de 2018</w:t>
      </w:r>
      <w:r w:rsidR="007B04D6" w:rsidRPr="00F32EB0">
        <w:rPr>
          <w:rFonts w:cs="Arial"/>
          <w:bCs/>
          <w:snapToGrid w:val="0"/>
        </w:rPr>
        <w:t xml:space="preserve"> (voir les </w:t>
      </w:r>
      <w:r w:rsidR="00BF4883" w:rsidRPr="00F32EB0">
        <w:rPr>
          <w:rFonts w:cs="Arial"/>
          <w:bCs/>
          <w:snapToGrid w:val="0"/>
        </w:rPr>
        <w:t>paragraphes 1</w:t>
      </w:r>
      <w:r w:rsidR="007B04D6" w:rsidRPr="00F32EB0">
        <w:rPr>
          <w:rFonts w:cs="Arial"/>
          <w:bCs/>
          <w:snapToGrid w:val="0"/>
        </w:rPr>
        <w:t>2 à 14 du document C(</w:t>
      </w:r>
      <w:proofErr w:type="spellStart"/>
      <w:r w:rsidR="007B04D6" w:rsidRPr="00F32EB0">
        <w:rPr>
          <w:rFonts w:cs="Arial"/>
          <w:bCs/>
          <w:snapToGrid w:val="0"/>
        </w:rPr>
        <w:t>Extr</w:t>
      </w:r>
      <w:proofErr w:type="spellEnd"/>
      <w:r w:rsidR="007B04D6" w:rsidRPr="00F32EB0">
        <w:rPr>
          <w:rFonts w:cs="Arial"/>
          <w:bCs/>
          <w:snapToGrid w:val="0"/>
        </w:rPr>
        <w:t>.)/34/6 “Compte rendu des décisions”).</w:t>
      </w:r>
    </w:p>
    <w:p w:rsidR="008169B8" w:rsidRPr="00F32EB0" w:rsidRDefault="008169B8" w:rsidP="0026420A">
      <w:pPr>
        <w:keepNext/>
        <w:rPr>
          <w:rFonts w:cs="Arial"/>
          <w:bCs/>
          <w:snapToGrid w:val="0"/>
        </w:rPr>
      </w:pPr>
    </w:p>
    <w:p w:rsidR="00BF4883" w:rsidRPr="00F32EB0" w:rsidRDefault="0026420A" w:rsidP="00FB03F0">
      <w:pPr>
        <w:keepNext/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FB03F0" w:rsidRPr="00F32EB0">
        <w:rPr>
          <w:rFonts w:cs="Arial"/>
          <w:bCs/>
          <w:snapToGrid w:val="0"/>
        </w:rPr>
        <w:t>À sa réunion de mars/avril à Genève les 26 et 2</w:t>
      </w:r>
      <w:r w:rsidR="00BF4883" w:rsidRPr="00F32EB0">
        <w:rPr>
          <w:rFonts w:cs="Arial"/>
          <w:bCs/>
          <w:snapToGrid w:val="0"/>
        </w:rPr>
        <w:t>7 mars 20</w:t>
      </w:r>
      <w:r w:rsidR="00FB03F0" w:rsidRPr="00F32EB0">
        <w:rPr>
          <w:rFonts w:cs="Arial"/>
          <w:bCs/>
          <w:snapToGrid w:val="0"/>
        </w:rPr>
        <w:t>18, le Comité de rédaction élargi (TC</w:t>
      </w:r>
      <w:r w:rsidR="00DB478B" w:rsidRPr="00F32EB0">
        <w:rPr>
          <w:rFonts w:cs="Arial"/>
          <w:bCs/>
          <w:snapToGrid w:val="0"/>
        </w:rPr>
        <w:noBreakHyphen/>
      </w:r>
      <w:r w:rsidR="00FB03F0" w:rsidRPr="00F32EB0">
        <w:rPr>
          <w:rFonts w:cs="Arial"/>
          <w:bCs/>
          <w:snapToGrid w:val="0"/>
        </w:rPr>
        <w:t xml:space="preserve">EDC) a examiné le </w:t>
      </w:r>
      <w:r w:rsidR="00BF4883" w:rsidRPr="00F32EB0">
        <w:rPr>
          <w:rFonts w:cs="Arial"/>
          <w:bCs/>
          <w:snapToGrid w:val="0"/>
        </w:rPr>
        <w:t>document 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FB03F0" w:rsidRPr="00F32EB0">
        <w:rPr>
          <w:rFonts w:cs="Arial"/>
          <w:bCs/>
          <w:snapToGrid w:val="0"/>
        </w:rPr>
        <w:t>/Mar18/14 “</w:t>
      </w:r>
      <w:r w:rsidR="007C72BB" w:rsidRPr="00F32EB0">
        <w:rPr>
          <w:rFonts w:cs="Arial"/>
          <w:bCs/>
          <w:snapToGrid w:val="0"/>
        </w:rPr>
        <w:t xml:space="preserve">The </w:t>
      </w:r>
      <w:proofErr w:type="spellStart"/>
      <w:r w:rsidR="007C72BB" w:rsidRPr="008A287E">
        <w:rPr>
          <w:rFonts w:cs="Arial"/>
          <w:bCs/>
          <w:snapToGrid w:val="0"/>
        </w:rPr>
        <w:t>combined</w:t>
      </w:r>
      <w:proofErr w:type="spellEnd"/>
      <w:r w:rsidR="00BF4883" w:rsidRPr="008A287E">
        <w:rPr>
          <w:rFonts w:cs="Arial"/>
          <w:bCs/>
          <w:snapToGrid w:val="0"/>
        </w:rPr>
        <w:t>-</w:t>
      </w:r>
      <w:r w:rsidR="007C72BB" w:rsidRPr="008A287E">
        <w:rPr>
          <w:rFonts w:cs="Arial"/>
          <w:bCs/>
          <w:snapToGrid w:val="0"/>
        </w:rPr>
        <w:t>over</w:t>
      </w:r>
      <w:r w:rsidR="00BF4883" w:rsidRPr="008A287E">
        <w:rPr>
          <w:rFonts w:cs="Arial"/>
          <w:bCs/>
          <w:snapToGrid w:val="0"/>
        </w:rPr>
        <w:t>-</w:t>
      </w:r>
      <w:r w:rsidR="007C72BB" w:rsidRPr="008A287E">
        <w:rPr>
          <w:rFonts w:cs="Arial"/>
          <w:bCs/>
          <w:snapToGrid w:val="0"/>
        </w:rPr>
        <w:t>the</w:t>
      </w:r>
      <w:r w:rsidR="00BF4883" w:rsidRPr="008A287E">
        <w:rPr>
          <w:rFonts w:cs="Arial"/>
          <w:bCs/>
          <w:snapToGrid w:val="0"/>
        </w:rPr>
        <w:t>-</w:t>
      </w:r>
      <w:proofErr w:type="spellStart"/>
      <w:r w:rsidR="007C72BB" w:rsidRPr="008A287E">
        <w:rPr>
          <w:rFonts w:cs="Arial"/>
          <w:bCs/>
          <w:snapToGrid w:val="0"/>
        </w:rPr>
        <w:t>years</w:t>
      </w:r>
      <w:proofErr w:type="spellEnd"/>
      <w:r w:rsidR="007C72BB" w:rsidRPr="008A287E">
        <w:rPr>
          <w:rFonts w:cs="Arial"/>
          <w:bCs/>
          <w:snapToGrid w:val="0"/>
        </w:rPr>
        <w:t xml:space="preserve"> </w:t>
      </w:r>
      <w:proofErr w:type="spellStart"/>
      <w:r w:rsidR="007C72BB" w:rsidRPr="008A287E">
        <w:rPr>
          <w:rFonts w:cs="Arial"/>
          <w:bCs/>
          <w:snapToGrid w:val="0"/>
        </w:rPr>
        <w:t>uniformity</w:t>
      </w:r>
      <w:proofErr w:type="spellEnd"/>
      <w:r w:rsidR="007C72BB" w:rsidRPr="008A287E">
        <w:rPr>
          <w:rFonts w:cs="Arial"/>
          <w:bCs/>
          <w:snapToGrid w:val="0"/>
        </w:rPr>
        <w:t xml:space="preserve"> </w:t>
      </w:r>
      <w:proofErr w:type="spellStart"/>
      <w:r w:rsidR="007C72BB" w:rsidRPr="008A287E">
        <w:rPr>
          <w:rFonts w:cs="Arial"/>
          <w:bCs/>
          <w:snapToGrid w:val="0"/>
        </w:rPr>
        <w:t>criterion</w:t>
      </w:r>
      <w:proofErr w:type="spellEnd"/>
      <w:r w:rsidR="007C72BB" w:rsidRPr="00F32EB0">
        <w:rPr>
          <w:rFonts w:cs="Arial"/>
          <w:bCs/>
          <w:snapToGrid w:val="0"/>
        </w:rPr>
        <w:t xml:space="preserve"> (</w:t>
      </w:r>
      <w:r w:rsidR="00FB03F0" w:rsidRPr="00F32EB0">
        <w:rPr>
          <w:rFonts w:cs="Arial"/>
          <w:bCs/>
          <w:snapToGrid w:val="0"/>
        </w:rPr>
        <w:t>COYU)”.</w:t>
      </w:r>
    </w:p>
    <w:p w:rsidR="008169B8" w:rsidRPr="00F32EB0" w:rsidRDefault="008169B8" w:rsidP="0026420A">
      <w:pPr>
        <w:rPr>
          <w:rFonts w:cs="Arial"/>
          <w:bCs/>
          <w:snapToGrid w:val="0"/>
        </w:rPr>
      </w:pPr>
    </w:p>
    <w:p w:rsidR="00BF4883" w:rsidRPr="00F32EB0" w:rsidRDefault="0026420A" w:rsidP="008B2325">
      <w:pPr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31396B" w:rsidRPr="00F32EB0">
        <w:rPr>
          <w:rFonts w:cs="Arial"/>
          <w:bCs/>
          <w:snapToGrid w:val="0"/>
        </w:rPr>
        <w:t>Le</w:t>
      </w:r>
      <w:r w:rsidR="00BF4883" w:rsidRPr="00F32EB0">
        <w:rPr>
          <w:rFonts w:cs="Arial"/>
          <w:bCs/>
          <w:snapToGrid w:val="0"/>
        </w:rPr>
        <w:t> 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8B2325" w:rsidRPr="00F32EB0">
        <w:rPr>
          <w:rFonts w:cs="Arial"/>
          <w:bCs/>
          <w:snapToGrid w:val="0"/>
        </w:rPr>
        <w:t xml:space="preserve"> a noté que</w:t>
      </w:r>
      <w:r w:rsidR="00BF4883" w:rsidRPr="00F32EB0">
        <w:rPr>
          <w:rFonts w:cs="Arial"/>
          <w:bCs/>
          <w:snapToGrid w:val="0"/>
        </w:rPr>
        <w:t xml:space="preserve"> le TWF</w:t>
      </w:r>
      <w:r w:rsidR="008B2325" w:rsidRPr="00F32EB0">
        <w:rPr>
          <w:rFonts w:cs="Arial"/>
          <w:bCs/>
          <w:snapToGrid w:val="0"/>
        </w:rPr>
        <w:t xml:space="preserve"> avait suggéré de réaliser une enquête </w:t>
      </w:r>
      <w:r w:rsidR="00E76695" w:rsidRPr="00F32EB0">
        <w:rPr>
          <w:rFonts w:cs="Arial"/>
          <w:bCs/>
          <w:snapToGrid w:val="0"/>
        </w:rPr>
        <w:t>auprès</w:t>
      </w:r>
      <w:r w:rsidR="008B2325" w:rsidRPr="00F32EB0">
        <w:rPr>
          <w:rFonts w:cs="Arial"/>
          <w:bCs/>
          <w:snapToGrid w:val="0"/>
        </w:rPr>
        <w:t xml:space="preserve"> des membres de l</w:t>
      </w:r>
      <w:r w:rsidR="00BF4883" w:rsidRPr="00F32EB0">
        <w:rPr>
          <w:rFonts w:cs="Arial"/>
          <w:bCs/>
          <w:snapToGrid w:val="0"/>
        </w:rPr>
        <w:t>’</w:t>
      </w:r>
      <w:r w:rsidR="008B2325" w:rsidRPr="00F32EB0">
        <w:rPr>
          <w:rFonts w:cs="Arial"/>
          <w:bCs/>
          <w:snapToGrid w:val="0"/>
        </w:rPr>
        <w:t xml:space="preserve">Union pour évaluer le nombre de services utilisant la </w:t>
      </w:r>
      <w:r w:rsidR="006D23DF" w:rsidRPr="00F32EB0">
        <w:rPr>
          <w:rFonts w:cs="Arial"/>
          <w:bCs/>
          <w:snapToGrid w:val="0"/>
        </w:rPr>
        <w:t>méthode</w:t>
      </w:r>
      <w:r w:rsidR="00FE4887" w:rsidRPr="00F32EB0">
        <w:rPr>
          <w:rFonts w:cs="Arial"/>
          <w:bCs/>
          <w:snapToGrid w:val="0"/>
        </w:rPr>
        <w:t xml:space="preserve"> d</w:t>
      </w:r>
      <w:r w:rsidR="00BF4883" w:rsidRPr="00F32EB0">
        <w:rPr>
          <w:rFonts w:cs="Arial"/>
          <w:bCs/>
          <w:snapToGrid w:val="0"/>
        </w:rPr>
        <w:t>’</w:t>
      </w:r>
      <w:r w:rsidR="00FE4887" w:rsidRPr="00F32EB0">
        <w:rPr>
          <w:rFonts w:cs="Arial"/>
          <w:bCs/>
          <w:snapToGrid w:val="0"/>
        </w:rPr>
        <w:t>analyse COYU</w:t>
      </w:r>
      <w:r w:rsidR="008B2325" w:rsidRPr="00F32EB0">
        <w:rPr>
          <w:rFonts w:cs="Arial"/>
          <w:bCs/>
          <w:snapToGrid w:val="0"/>
        </w:rPr>
        <w:t xml:space="preserve"> pour chaque </w:t>
      </w:r>
      <w:r w:rsidR="00EB7C93" w:rsidRPr="00F32EB0">
        <w:rPr>
          <w:rFonts w:cs="Arial"/>
          <w:bCs/>
          <w:snapToGrid w:val="0"/>
        </w:rPr>
        <w:t xml:space="preserve">type </w:t>
      </w:r>
      <w:r w:rsidR="008B2325" w:rsidRPr="00F32EB0">
        <w:rPr>
          <w:rFonts w:cs="Arial"/>
          <w:bCs/>
          <w:snapToGrid w:val="0"/>
        </w:rPr>
        <w:t>de culture, afin d</w:t>
      </w:r>
      <w:r w:rsidR="00BF4883" w:rsidRPr="00F32EB0">
        <w:rPr>
          <w:rFonts w:cs="Arial"/>
          <w:bCs/>
          <w:snapToGrid w:val="0"/>
        </w:rPr>
        <w:t>’</w:t>
      </w:r>
      <w:r w:rsidR="008B2325" w:rsidRPr="00F32EB0">
        <w:rPr>
          <w:rFonts w:cs="Arial"/>
          <w:bCs/>
          <w:snapToGrid w:val="0"/>
        </w:rPr>
        <w:t>évaluer quel serait le meilleur moyen de présenter les renseignements concernant l</w:t>
      </w:r>
      <w:r w:rsidR="00BF4883" w:rsidRPr="00F32EB0">
        <w:rPr>
          <w:rFonts w:cs="Arial"/>
          <w:bCs/>
          <w:snapToGrid w:val="0"/>
        </w:rPr>
        <w:t>’</w:t>
      </w:r>
      <w:r w:rsidR="008B2325" w:rsidRPr="00F32EB0">
        <w:rPr>
          <w:rFonts w:cs="Arial"/>
          <w:bCs/>
          <w:snapToGrid w:val="0"/>
        </w:rPr>
        <w:t>analyse globale de l</w:t>
      </w:r>
      <w:r w:rsidR="00BF4883" w:rsidRPr="00F32EB0">
        <w:rPr>
          <w:rFonts w:cs="Arial"/>
          <w:bCs/>
          <w:snapToGrid w:val="0"/>
        </w:rPr>
        <w:t>’</w:t>
      </w:r>
      <w:r w:rsidR="008B2325" w:rsidRPr="00F32EB0">
        <w:rPr>
          <w:rFonts w:cs="Arial"/>
          <w:bCs/>
          <w:snapToGrid w:val="0"/>
        </w:rPr>
        <w:t>homogénéité sur plusieurs années</w:t>
      </w:r>
      <w:r w:rsidR="00BF4883" w:rsidRPr="00F32EB0">
        <w:rPr>
          <w:rFonts w:cs="Arial"/>
          <w:bCs/>
          <w:snapToGrid w:val="0"/>
        </w:rPr>
        <w:t xml:space="preserve"> aux TWP</w:t>
      </w:r>
      <w:r w:rsidR="008B2325" w:rsidRPr="00F32EB0">
        <w:rPr>
          <w:rFonts w:cs="Arial"/>
          <w:bCs/>
          <w:snapToGrid w:val="0"/>
        </w:rPr>
        <w:t>.</w:t>
      </w:r>
    </w:p>
    <w:p w:rsidR="008169B8" w:rsidRPr="00F32EB0" w:rsidRDefault="008169B8" w:rsidP="0026420A">
      <w:pPr>
        <w:rPr>
          <w:rFonts w:cs="Arial"/>
          <w:bCs/>
          <w:snapToGrid w:val="0"/>
        </w:rPr>
      </w:pPr>
    </w:p>
    <w:p w:rsidR="00BF4883" w:rsidRPr="00F32EB0" w:rsidRDefault="0026420A" w:rsidP="0078545B">
      <w:pPr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78545B" w:rsidRPr="00F32EB0">
        <w:rPr>
          <w:rFonts w:cs="Arial"/>
          <w:bCs/>
          <w:snapToGrid w:val="0"/>
        </w:rPr>
        <w:t>Le</w:t>
      </w:r>
      <w:r w:rsidR="00BF4883" w:rsidRPr="00F32EB0">
        <w:rPr>
          <w:rFonts w:cs="Arial"/>
          <w:bCs/>
          <w:snapToGrid w:val="0"/>
        </w:rPr>
        <w:t> 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78545B" w:rsidRPr="00F32EB0">
        <w:rPr>
          <w:rFonts w:cs="Arial"/>
          <w:bCs/>
          <w:snapToGrid w:val="0"/>
        </w:rPr>
        <w:t xml:space="preserve"> a noté que</w:t>
      </w:r>
      <w:r w:rsidR="00BF4883" w:rsidRPr="00F32EB0">
        <w:rPr>
          <w:rFonts w:cs="Arial"/>
          <w:bCs/>
          <w:snapToGrid w:val="0"/>
        </w:rPr>
        <w:t xml:space="preserve"> le TWC</w:t>
      </w:r>
      <w:r w:rsidR="0078545B" w:rsidRPr="00F32EB0">
        <w:rPr>
          <w:rFonts w:cs="Arial"/>
          <w:bCs/>
          <w:snapToGrid w:val="0"/>
        </w:rPr>
        <w:t xml:space="preserve"> était convenu d</w:t>
      </w:r>
      <w:r w:rsidR="00BF4883" w:rsidRPr="00F32EB0">
        <w:rPr>
          <w:rFonts w:cs="Arial"/>
          <w:bCs/>
          <w:snapToGrid w:val="0"/>
        </w:rPr>
        <w:t>’</w:t>
      </w:r>
      <w:r w:rsidR="0078545B" w:rsidRPr="00F32EB0">
        <w:rPr>
          <w:rFonts w:cs="Arial"/>
          <w:bCs/>
          <w:snapToGrid w:val="0"/>
        </w:rPr>
        <w:t>inviter l</w:t>
      </w:r>
      <w:r w:rsidR="00BF4883" w:rsidRPr="00F32EB0">
        <w:rPr>
          <w:rFonts w:cs="Arial"/>
          <w:bCs/>
          <w:snapToGrid w:val="0"/>
        </w:rPr>
        <w:t>’</w:t>
      </w:r>
      <w:r w:rsidR="0078545B" w:rsidRPr="00F32EB0">
        <w:rPr>
          <w:rFonts w:cs="Arial"/>
          <w:bCs/>
          <w:snapToGrid w:val="0"/>
        </w:rPr>
        <w:t>expert du Royaume</w:t>
      </w:r>
      <w:r w:rsidR="00DB478B" w:rsidRPr="00F32EB0">
        <w:rPr>
          <w:rFonts w:cs="Arial"/>
          <w:bCs/>
          <w:snapToGrid w:val="0"/>
        </w:rPr>
        <w:noBreakHyphen/>
      </w:r>
      <w:r w:rsidR="0078545B" w:rsidRPr="00F32EB0">
        <w:rPr>
          <w:rFonts w:cs="Arial"/>
          <w:bCs/>
          <w:snapToGrid w:val="0"/>
        </w:rPr>
        <w:t>Uni à faire rapport sur les moyens d</w:t>
      </w:r>
      <w:r w:rsidR="00BF4883" w:rsidRPr="00F32EB0">
        <w:rPr>
          <w:rFonts w:cs="Arial"/>
          <w:bCs/>
          <w:snapToGrid w:val="0"/>
        </w:rPr>
        <w:t>’</w:t>
      </w:r>
      <w:r w:rsidR="0078545B" w:rsidRPr="00F32EB0">
        <w:rPr>
          <w:rFonts w:cs="Arial"/>
          <w:bCs/>
          <w:snapToGrid w:val="0"/>
        </w:rPr>
        <w:t>améliorer encore le logiciel à l</w:t>
      </w:r>
      <w:r w:rsidR="00BF4883" w:rsidRPr="00F32EB0">
        <w:rPr>
          <w:rFonts w:cs="Arial"/>
          <w:bCs/>
          <w:snapToGrid w:val="0"/>
        </w:rPr>
        <w:t>’</w:t>
      </w:r>
      <w:r w:rsidR="0078545B" w:rsidRPr="00F32EB0">
        <w:rPr>
          <w:rFonts w:cs="Arial"/>
          <w:bCs/>
          <w:snapToGrid w:val="0"/>
        </w:rPr>
        <w:t>aide de la nouvelle méthode de calcul de</w:t>
      </w:r>
      <w:r w:rsidR="00BF4883" w:rsidRPr="00F32EB0">
        <w:rPr>
          <w:rFonts w:cs="Arial"/>
          <w:bCs/>
          <w:snapToGrid w:val="0"/>
        </w:rPr>
        <w:t xml:space="preserve"> la COY</w:t>
      </w:r>
      <w:r w:rsidR="0078545B" w:rsidRPr="00F32EB0">
        <w:rPr>
          <w:rFonts w:cs="Arial"/>
          <w:bCs/>
          <w:snapToGrid w:val="0"/>
        </w:rPr>
        <w:t>U à sa trente</w:t>
      </w:r>
      <w:r w:rsidR="00DB478B" w:rsidRPr="00F32EB0">
        <w:rPr>
          <w:rFonts w:cs="Arial"/>
          <w:bCs/>
          <w:snapToGrid w:val="0"/>
        </w:rPr>
        <w:noBreakHyphen/>
      </w:r>
      <w:r w:rsidR="0078545B" w:rsidRPr="00F32EB0">
        <w:rPr>
          <w:rFonts w:cs="Arial"/>
          <w:bCs/>
          <w:snapToGrid w:val="0"/>
        </w:rPr>
        <w:t>six</w:t>
      </w:r>
      <w:r w:rsidR="00BF4883" w:rsidRPr="00F32EB0">
        <w:rPr>
          <w:rFonts w:cs="Arial"/>
          <w:bCs/>
          <w:snapToGrid w:val="0"/>
        </w:rPr>
        <w:t>ième session</w:t>
      </w:r>
      <w:r w:rsidR="0078545B" w:rsidRPr="00F32EB0">
        <w:rPr>
          <w:rFonts w:cs="Arial"/>
          <w:bCs/>
          <w:snapToGrid w:val="0"/>
        </w:rPr>
        <w:t>.</w:t>
      </w:r>
    </w:p>
    <w:p w:rsidR="008169B8" w:rsidRPr="00F32EB0" w:rsidRDefault="008169B8" w:rsidP="0026420A">
      <w:pPr>
        <w:rPr>
          <w:rFonts w:cs="Arial"/>
          <w:b/>
          <w:bCs/>
          <w:snapToGrid w:val="0"/>
        </w:rPr>
      </w:pPr>
    </w:p>
    <w:p w:rsidR="008169B8" w:rsidRPr="00F32EB0" w:rsidRDefault="0026420A" w:rsidP="00812CFC">
      <w:pPr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812CFC" w:rsidRPr="00F32EB0">
        <w:rPr>
          <w:rFonts w:cs="Arial"/>
          <w:bCs/>
          <w:snapToGrid w:val="0"/>
        </w:rPr>
        <w:t>Le</w:t>
      </w:r>
      <w:r w:rsidR="00BF4883" w:rsidRPr="00F32EB0">
        <w:rPr>
          <w:rFonts w:cs="Arial"/>
          <w:bCs/>
          <w:snapToGrid w:val="0"/>
        </w:rPr>
        <w:t> 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812CFC" w:rsidRPr="00F32EB0">
        <w:rPr>
          <w:rFonts w:cs="Arial"/>
          <w:bCs/>
          <w:snapToGrid w:val="0"/>
        </w:rPr>
        <w:t xml:space="preserve"> est convenu de proposer</w:t>
      </w:r>
      <w:r w:rsidR="00BF4883" w:rsidRPr="00F32EB0">
        <w:rPr>
          <w:rFonts w:cs="Arial"/>
          <w:bCs/>
          <w:snapToGrid w:val="0"/>
        </w:rPr>
        <w:t xml:space="preserve"> au TWC</w:t>
      </w:r>
      <w:r w:rsidR="00812CFC" w:rsidRPr="00F32EB0">
        <w:rPr>
          <w:rFonts w:cs="Arial"/>
          <w:bCs/>
          <w:snapToGrid w:val="0"/>
        </w:rPr>
        <w:t xml:space="preserve"> d</w:t>
      </w:r>
      <w:r w:rsidR="00BF4883" w:rsidRPr="00F32EB0">
        <w:rPr>
          <w:rFonts w:cs="Arial"/>
          <w:bCs/>
          <w:snapToGrid w:val="0"/>
        </w:rPr>
        <w:t>’</w:t>
      </w:r>
      <w:r w:rsidR="00812CFC" w:rsidRPr="00F32EB0">
        <w:rPr>
          <w:rFonts w:cs="Arial"/>
          <w:bCs/>
          <w:snapToGrid w:val="0"/>
        </w:rPr>
        <w:t>élaborer une proposition</w:t>
      </w:r>
      <w:r w:rsidR="00614C10" w:rsidRPr="00F32EB0">
        <w:rPr>
          <w:rFonts w:cs="Arial"/>
          <w:bCs/>
          <w:snapToGrid w:val="0"/>
        </w:rPr>
        <w:t xml:space="preserve"> relative à une nouvelle méthode de calcul de</w:t>
      </w:r>
      <w:r w:rsidR="00BF4883" w:rsidRPr="00F32EB0">
        <w:rPr>
          <w:rFonts w:cs="Arial"/>
          <w:bCs/>
          <w:snapToGrid w:val="0"/>
        </w:rPr>
        <w:t xml:space="preserve"> la COY</w:t>
      </w:r>
      <w:r w:rsidR="00614C10" w:rsidRPr="00F32EB0">
        <w:rPr>
          <w:rFonts w:cs="Arial"/>
          <w:bCs/>
          <w:snapToGrid w:val="0"/>
        </w:rPr>
        <w:t xml:space="preserve">U, qui sera examiné par </w:t>
      </w:r>
      <w:r w:rsidR="00812CFC" w:rsidRPr="00F32EB0">
        <w:rPr>
          <w:rFonts w:cs="Arial"/>
          <w:bCs/>
          <w:snapToGrid w:val="0"/>
        </w:rPr>
        <w:t>le</w:t>
      </w:r>
      <w:r w:rsidR="00BF4883" w:rsidRPr="00F32EB0">
        <w:rPr>
          <w:rFonts w:cs="Arial"/>
          <w:bCs/>
          <w:snapToGrid w:val="0"/>
        </w:rPr>
        <w:t> TC</w:t>
      </w:r>
      <w:r w:rsidR="00812CFC" w:rsidRPr="00F32EB0">
        <w:rPr>
          <w:rFonts w:cs="Arial"/>
          <w:bCs/>
          <w:snapToGrid w:val="0"/>
        </w:rPr>
        <w:t xml:space="preserve"> à sa cinquante</w:t>
      </w:r>
      <w:r w:rsidR="00DB478B" w:rsidRPr="00F32EB0">
        <w:rPr>
          <w:rFonts w:cs="Arial"/>
          <w:bCs/>
          <w:snapToGrid w:val="0"/>
        </w:rPr>
        <w:noBreakHyphen/>
      </w:r>
      <w:r w:rsidR="00812CFC" w:rsidRPr="00F32EB0">
        <w:rPr>
          <w:rFonts w:cs="Arial"/>
          <w:bCs/>
          <w:snapToGrid w:val="0"/>
        </w:rPr>
        <w:t>quatr</w:t>
      </w:r>
      <w:r w:rsidR="00BF4883" w:rsidRPr="00F32EB0">
        <w:rPr>
          <w:rFonts w:cs="Arial"/>
          <w:bCs/>
          <w:snapToGrid w:val="0"/>
        </w:rPr>
        <w:t>ième session</w:t>
      </w:r>
      <w:r w:rsidR="00812CFC" w:rsidRPr="00F32EB0">
        <w:rPr>
          <w:rFonts w:cs="Arial"/>
          <w:bCs/>
          <w:snapToGrid w:val="0"/>
        </w:rPr>
        <w:t>.</w:t>
      </w:r>
    </w:p>
    <w:p w:rsidR="008169B8" w:rsidRPr="00F32EB0" w:rsidRDefault="008169B8" w:rsidP="0026420A">
      <w:pPr>
        <w:rPr>
          <w:rFonts w:cs="Arial"/>
          <w:bCs/>
          <w:snapToGrid w:val="0"/>
        </w:rPr>
      </w:pPr>
    </w:p>
    <w:p w:rsidR="00BF4883" w:rsidRPr="00F32EB0" w:rsidRDefault="0026420A" w:rsidP="00A073DC">
      <w:pPr>
        <w:rPr>
          <w:rFonts w:cs="Arial"/>
          <w:bCs/>
          <w:snapToGrid w:val="0"/>
        </w:rPr>
      </w:pPr>
      <w:r w:rsidRPr="00F32EB0">
        <w:rPr>
          <w:rFonts w:cs="Arial"/>
          <w:bCs/>
          <w:snapToGrid w:val="0"/>
        </w:rPr>
        <w:fldChar w:fldCharType="begin"/>
      </w:r>
      <w:r w:rsidRPr="00F32EB0">
        <w:rPr>
          <w:rFonts w:cs="Arial"/>
          <w:bCs/>
          <w:snapToGrid w:val="0"/>
        </w:rPr>
        <w:instrText xml:space="preserve"> AUTONUM  </w:instrText>
      </w:r>
      <w:r w:rsidRPr="00F32EB0">
        <w:rPr>
          <w:rFonts w:cs="Arial"/>
          <w:bCs/>
          <w:snapToGrid w:val="0"/>
        </w:rPr>
        <w:fldChar w:fldCharType="end"/>
      </w:r>
      <w:r w:rsidRPr="00F32EB0">
        <w:rPr>
          <w:rFonts w:cs="Arial"/>
          <w:bCs/>
          <w:snapToGrid w:val="0"/>
        </w:rPr>
        <w:tab/>
      </w:r>
      <w:r w:rsidR="00A073DC" w:rsidRPr="00F32EB0">
        <w:rPr>
          <w:rFonts w:cs="Arial"/>
          <w:bCs/>
          <w:snapToGrid w:val="0"/>
        </w:rPr>
        <w:t>Le</w:t>
      </w:r>
      <w:r w:rsidR="00BF4883" w:rsidRPr="00F32EB0">
        <w:rPr>
          <w:rFonts w:cs="Arial"/>
          <w:bCs/>
          <w:snapToGrid w:val="0"/>
        </w:rPr>
        <w:t> TC</w:t>
      </w:r>
      <w:r w:rsidR="00DB478B" w:rsidRPr="00F32EB0">
        <w:rPr>
          <w:rFonts w:cs="Arial"/>
          <w:bCs/>
          <w:snapToGrid w:val="0"/>
        </w:rPr>
        <w:noBreakHyphen/>
      </w:r>
      <w:r w:rsidR="00BF4883" w:rsidRPr="00F32EB0">
        <w:rPr>
          <w:rFonts w:cs="Arial"/>
          <w:bCs/>
          <w:snapToGrid w:val="0"/>
        </w:rPr>
        <w:t>EDC</w:t>
      </w:r>
      <w:r w:rsidR="00A073DC" w:rsidRPr="00F32EB0">
        <w:rPr>
          <w:rFonts w:cs="Arial"/>
          <w:bCs/>
          <w:snapToGrid w:val="0"/>
        </w:rPr>
        <w:t xml:space="preserve"> est convenu que la méthode améliorée de calcul de</w:t>
      </w:r>
      <w:r w:rsidR="00BF4883" w:rsidRPr="00F32EB0">
        <w:rPr>
          <w:rFonts w:cs="Arial"/>
          <w:bCs/>
          <w:snapToGrid w:val="0"/>
        </w:rPr>
        <w:t xml:space="preserve"> la COY</w:t>
      </w:r>
      <w:r w:rsidR="00A073DC" w:rsidRPr="00F32EB0">
        <w:rPr>
          <w:rFonts w:cs="Arial"/>
          <w:bCs/>
          <w:snapToGrid w:val="0"/>
        </w:rPr>
        <w:t>U ne soit examinée que par</w:t>
      </w:r>
      <w:r w:rsidR="00BF4883" w:rsidRPr="00F32EB0">
        <w:rPr>
          <w:rFonts w:cs="Arial"/>
          <w:bCs/>
          <w:snapToGrid w:val="0"/>
        </w:rPr>
        <w:t xml:space="preserve"> le TWC</w:t>
      </w:r>
      <w:r w:rsidR="00A073DC" w:rsidRPr="00F32EB0">
        <w:rPr>
          <w:rFonts w:cs="Arial"/>
          <w:bCs/>
          <w:snapToGrid w:val="0"/>
        </w:rPr>
        <w:t xml:space="preserve"> et le</w:t>
      </w:r>
      <w:r w:rsidR="00BF4883" w:rsidRPr="00F32EB0">
        <w:rPr>
          <w:rFonts w:cs="Arial"/>
          <w:bCs/>
          <w:snapToGrid w:val="0"/>
        </w:rPr>
        <w:t> TC</w:t>
      </w:r>
      <w:r w:rsidR="00A073DC" w:rsidRPr="00F32EB0">
        <w:rPr>
          <w:rFonts w:cs="Arial"/>
          <w:bCs/>
          <w:snapToGrid w:val="0"/>
        </w:rPr>
        <w:t xml:space="preserve"> à leurs sessions </w:t>
      </w:r>
      <w:r w:rsidR="00BF4883" w:rsidRPr="00F32EB0">
        <w:rPr>
          <w:rFonts w:cs="Arial"/>
          <w:bCs/>
          <w:snapToGrid w:val="0"/>
        </w:rPr>
        <w:t>de 2018</w:t>
      </w:r>
      <w:r w:rsidR="00A073DC" w:rsidRPr="00F32EB0">
        <w:rPr>
          <w:rFonts w:cs="Arial"/>
          <w:bCs/>
          <w:snapToGrid w:val="0"/>
        </w:rPr>
        <w:t>.</w:t>
      </w:r>
    </w:p>
    <w:p w:rsidR="008169B8" w:rsidRDefault="008169B8" w:rsidP="00435658">
      <w:pPr>
        <w:rPr>
          <w:rFonts w:eastAsiaTheme="minorEastAsia"/>
          <w:lang w:eastAsia="ja-JP"/>
        </w:rPr>
      </w:pPr>
    </w:p>
    <w:p w:rsidR="0058286F" w:rsidRPr="00F32EB0" w:rsidRDefault="0058286F" w:rsidP="00435658">
      <w:pPr>
        <w:rPr>
          <w:rFonts w:eastAsiaTheme="minorEastAsia"/>
          <w:lang w:eastAsia="ja-JP"/>
        </w:rPr>
      </w:pPr>
    </w:p>
    <w:p w:rsidR="008169B8" w:rsidRPr="00F32EB0" w:rsidRDefault="004274FD" w:rsidP="00435658">
      <w:pPr>
        <w:pStyle w:val="Heading2"/>
        <w:keepNext w:val="0"/>
        <w:rPr>
          <w:rFonts w:eastAsiaTheme="minorEastAsia"/>
          <w:lang w:val="fr-CH" w:eastAsia="ja-JP"/>
        </w:rPr>
      </w:pPr>
      <w:bookmarkStart w:id="7" w:name="_Toc524690958"/>
      <w:r w:rsidRPr="00F32EB0">
        <w:rPr>
          <w:rFonts w:eastAsiaTheme="minorEastAsia"/>
          <w:lang w:val="fr-CH" w:eastAsia="ja-JP"/>
        </w:rPr>
        <w:t>Groupe de travail technique sur les systèmes d</w:t>
      </w:r>
      <w:r w:rsidR="00BF4883" w:rsidRPr="00F32EB0">
        <w:rPr>
          <w:rFonts w:eastAsiaTheme="minorEastAsia"/>
          <w:lang w:val="fr-CH" w:eastAsia="ja-JP"/>
        </w:rPr>
        <w:t>’</w:t>
      </w:r>
      <w:r w:rsidRPr="00F32EB0">
        <w:rPr>
          <w:rFonts w:eastAsiaTheme="minorEastAsia"/>
          <w:lang w:val="fr-CH" w:eastAsia="ja-JP"/>
        </w:rPr>
        <w:t>automatisation et les programmes d</w:t>
      </w:r>
      <w:r w:rsidR="00BF4883" w:rsidRPr="00F32EB0">
        <w:rPr>
          <w:rFonts w:eastAsiaTheme="minorEastAsia"/>
          <w:lang w:val="fr-CH" w:eastAsia="ja-JP"/>
        </w:rPr>
        <w:t>’</w:t>
      </w:r>
      <w:r w:rsidRPr="00F32EB0">
        <w:rPr>
          <w:rFonts w:eastAsiaTheme="minorEastAsia"/>
          <w:lang w:val="fr-CH" w:eastAsia="ja-JP"/>
        </w:rPr>
        <w:t>ordinateur</w:t>
      </w:r>
      <w:bookmarkEnd w:id="7"/>
    </w:p>
    <w:p w:rsidR="008169B8" w:rsidRPr="00F32EB0" w:rsidRDefault="008169B8" w:rsidP="00435658">
      <w:pPr>
        <w:rPr>
          <w:rFonts w:eastAsiaTheme="minorEastAsia"/>
          <w:lang w:eastAsia="ja-JP"/>
        </w:rPr>
      </w:pPr>
    </w:p>
    <w:p w:rsidR="008169B8" w:rsidRPr="00F32EB0" w:rsidRDefault="00606B76" w:rsidP="00435658"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6E1ECE" w:rsidRPr="00F32EB0">
        <w:t>À</w:t>
      </w:r>
      <w:r w:rsidR="00D73825" w:rsidRPr="00F32EB0">
        <w:t xml:space="preserve"> sa </w:t>
      </w:r>
      <w:r w:rsidR="00CD0A99" w:rsidRPr="00F32EB0">
        <w:t>trente</w:t>
      </w:r>
      <w:r w:rsidR="00DB478B" w:rsidRPr="00F32EB0">
        <w:noBreakHyphen/>
      </w:r>
      <w:r w:rsidR="00CD0A99" w:rsidRPr="00F32EB0">
        <w:t>six</w:t>
      </w:r>
      <w:r w:rsidR="00BF4883" w:rsidRPr="00F32EB0">
        <w:t>ième session</w:t>
      </w:r>
      <w:r w:rsidR="00CD0A99" w:rsidRPr="00F32EB0">
        <w:t xml:space="preserve"> tenue à Hanovre (A</w:t>
      </w:r>
      <w:r w:rsidR="00D73825" w:rsidRPr="00F32EB0">
        <w:t>llemagne</w:t>
      </w:r>
      <w:r w:rsidR="00F12EB4" w:rsidRPr="00F32EB0">
        <w:t xml:space="preserve">) du 2 au </w:t>
      </w:r>
      <w:r w:rsidR="00BF4883" w:rsidRPr="00F32EB0">
        <w:t>5 juillet 20</w:t>
      </w:r>
      <w:r w:rsidR="00F12EB4" w:rsidRPr="00F32EB0">
        <w:t>18,</w:t>
      </w:r>
      <w:r w:rsidR="00BF4883" w:rsidRPr="00F32EB0">
        <w:t xml:space="preserve"> le TWC</w:t>
      </w:r>
      <w:r w:rsidR="00D73825" w:rsidRPr="00F32EB0">
        <w:t xml:space="preserve"> a examiné le document </w:t>
      </w:r>
      <w:r w:rsidR="00BD6972" w:rsidRPr="00F32EB0">
        <w:t>TWC</w:t>
      </w:r>
      <w:r w:rsidR="00C80B74" w:rsidRPr="00F32EB0">
        <w:t>/36/4 “M</w:t>
      </w:r>
      <w:r w:rsidR="00D73825" w:rsidRPr="00F32EB0">
        <w:t xml:space="preserve">ethod of </w:t>
      </w:r>
      <w:proofErr w:type="spellStart"/>
      <w:r w:rsidR="00D73825" w:rsidRPr="008A287E">
        <w:t>calculation</w:t>
      </w:r>
      <w:proofErr w:type="spellEnd"/>
      <w:r w:rsidR="00D73825" w:rsidRPr="008A287E">
        <w:t xml:space="preserve"> of the </w:t>
      </w:r>
      <w:proofErr w:type="spellStart"/>
      <w:r w:rsidR="00D73825" w:rsidRPr="008A287E">
        <w:t>combined</w:t>
      </w:r>
      <w:proofErr w:type="spellEnd"/>
      <w:r w:rsidR="00DB478B" w:rsidRPr="008A287E">
        <w:noBreakHyphen/>
      </w:r>
      <w:r w:rsidR="00D73825" w:rsidRPr="008A287E">
        <w:t>over</w:t>
      </w:r>
      <w:r w:rsidR="00DB478B" w:rsidRPr="008A287E">
        <w:noBreakHyphen/>
      </w:r>
      <w:proofErr w:type="spellStart"/>
      <w:r w:rsidR="00D73825" w:rsidRPr="008A287E">
        <w:t>years</w:t>
      </w:r>
      <w:proofErr w:type="spellEnd"/>
      <w:r w:rsidR="00D73825" w:rsidRPr="008A287E">
        <w:t xml:space="preserve"> </w:t>
      </w:r>
      <w:proofErr w:type="spellStart"/>
      <w:r w:rsidR="00D73825" w:rsidRPr="008A287E">
        <w:t>uniformity</w:t>
      </w:r>
      <w:proofErr w:type="spellEnd"/>
      <w:r w:rsidR="00D73825" w:rsidRPr="008A287E">
        <w:t xml:space="preserve"> </w:t>
      </w:r>
      <w:proofErr w:type="spellStart"/>
      <w:r w:rsidR="00D73825" w:rsidRPr="008A287E">
        <w:t>criterion</w:t>
      </w:r>
      <w:proofErr w:type="spellEnd"/>
      <w:r w:rsidR="00D73825" w:rsidRPr="008A287E">
        <w:t xml:space="preserve"> (</w:t>
      </w:r>
      <w:r w:rsidR="003F0817" w:rsidRPr="008A287E">
        <w:t>COYU</w:t>
      </w:r>
      <w:r w:rsidR="00D73825" w:rsidRPr="008A287E">
        <w:t>)</w:t>
      </w:r>
      <w:r w:rsidR="000B0934" w:rsidRPr="008A287E">
        <w:t>:</w:t>
      </w:r>
      <w:r w:rsidR="00D73825" w:rsidRPr="008A287E">
        <w:t xml:space="preserve"> an update on </w:t>
      </w:r>
      <w:proofErr w:type="spellStart"/>
      <w:r w:rsidR="00D73825" w:rsidRPr="008A287E">
        <w:t>progress</w:t>
      </w:r>
      <w:proofErr w:type="spellEnd"/>
      <w:r w:rsidR="00D73825" w:rsidRPr="00F32EB0">
        <w:t>”, dont une copie figure dans l</w:t>
      </w:r>
      <w:r w:rsidR="00BF4883" w:rsidRPr="00F32EB0">
        <w:t>’</w:t>
      </w:r>
      <w:r w:rsidR="00D73825" w:rsidRPr="00F32EB0">
        <w:t>annexe du présent rapport.</w:t>
      </w:r>
    </w:p>
    <w:p w:rsidR="008169B8" w:rsidRPr="00F32EB0" w:rsidRDefault="008169B8" w:rsidP="00435658">
      <w:pPr>
        <w:rPr>
          <w:rFonts w:eastAsia="MS Mincho"/>
          <w:highlight w:val="cyan"/>
        </w:rPr>
      </w:pPr>
    </w:p>
    <w:p w:rsidR="008169B8" w:rsidRPr="00F32EB0" w:rsidRDefault="00B0603F" w:rsidP="00435658">
      <w:pPr>
        <w:rPr>
          <w:rFonts w:eastAsia="MS Mincho"/>
        </w:rPr>
      </w:pPr>
      <w:r w:rsidRPr="00F32EB0">
        <w:fldChar w:fldCharType="begin"/>
      </w:r>
      <w:r w:rsidR="00D73825" w:rsidRPr="00F32EB0">
        <w:instrText xml:space="preserve"> autonum  </w:instrText>
      </w:r>
      <w:r w:rsidRPr="00F32EB0">
        <w:fldChar w:fldCharType="end"/>
      </w:r>
      <w:r w:rsidRPr="00F32EB0">
        <w:tab/>
      </w:r>
      <w:r w:rsidR="00D73825" w:rsidRPr="00F32EB0">
        <w:t>Le TWC a noté que le Royaume</w:t>
      </w:r>
      <w:r w:rsidR="00DB478B" w:rsidRPr="00F32EB0">
        <w:noBreakHyphen/>
      </w:r>
      <w:r w:rsidR="00D73825" w:rsidRPr="00F32EB0">
        <w:t>Uni avait invité les experts intéressés à se mettre en rapport p</w:t>
      </w:r>
      <w:r w:rsidR="00C80B74" w:rsidRPr="00F32EB0">
        <w:t>our tester le nouveau logiciel incorporant</w:t>
      </w:r>
      <w:r w:rsidR="00D73825" w:rsidRPr="00F32EB0">
        <w:t xml:space="preserve"> la méthode améliorée de calcul de</w:t>
      </w:r>
      <w:r w:rsidR="00BF4883" w:rsidRPr="00F32EB0">
        <w:t xml:space="preserve"> la C</w:t>
      </w:r>
      <w:r w:rsidR="00897AF2" w:rsidRPr="00F32EB0">
        <w:t xml:space="preserve">OYU.  </w:t>
      </w:r>
      <w:r w:rsidR="00897AF2" w:rsidRPr="00F32EB0">
        <w:rPr>
          <w:rFonts w:eastAsia="MS Mincho"/>
        </w:rPr>
        <w:t>Le</w:t>
      </w:r>
      <w:r w:rsidR="00BF4883" w:rsidRPr="00F32EB0">
        <w:rPr>
          <w:rFonts w:eastAsia="MS Mincho"/>
        </w:rPr>
        <w:t> TWC</w:t>
      </w:r>
      <w:r w:rsidR="00C748DB" w:rsidRPr="00F32EB0">
        <w:rPr>
          <w:rFonts w:eastAsia="MS Mincho"/>
        </w:rPr>
        <w:t xml:space="preserve"> a noté que les experts avaient exprimé le souhait d</w:t>
      </w:r>
      <w:r w:rsidR="00BF4883" w:rsidRPr="00F32EB0">
        <w:rPr>
          <w:rFonts w:eastAsia="MS Mincho"/>
        </w:rPr>
        <w:t>’</w:t>
      </w:r>
      <w:r w:rsidR="00C748DB" w:rsidRPr="00F32EB0">
        <w:rPr>
          <w:rFonts w:eastAsia="MS Mincho"/>
        </w:rPr>
        <w:t>intégrer la nouve</w:t>
      </w:r>
      <w:r w:rsidR="00480E56" w:rsidRPr="00F32EB0">
        <w:rPr>
          <w:rFonts w:eastAsia="MS Mincho"/>
        </w:rPr>
        <w:t xml:space="preserve">lle méthode dans des logiciels </w:t>
      </w:r>
      <w:r w:rsidR="00C748DB" w:rsidRPr="00F32EB0">
        <w:rPr>
          <w:rFonts w:eastAsia="MS Mincho"/>
        </w:rPr>
        <w:t xml:space="preserve">autres que le </w:t>
      </w:r>
      <w:r w:rsidR="00134B7C" w:rsidRPr="00F32EB0">
        <w:rPr>
          <w:rFonts w:eastAsia="MS Mincho"/>
        </w:rPr>
        <w:t>logiciel</w:t>
      </w:r>
      <w:r w:rsidR="00C748DB" w:rsidRPr="00F32EB0">
        <w:rPr>
          <w:rFonts w:eastAsia="MS Mincho"/>
        </w:rPr>
        <w:t xml:space="preserve"> </w:t>
      </w:r>
      <w:r w:rsidR="00BF4883" w:rsidRPr="00F32EB0">
        <w:rPr>
          <w:rFonts w:eastAsia="MS Mincho"/>
        </w:rPr>
        <w:t>“R”</w:t>
      </w:r>
      <w:r w:rsidR="00C748DB" w:rsidRPr="00F32EB0">
        <w:rPr>
          <w:rFonts w:eastAsia="MS Mincho"/>
        </w:rPr>
        <w:t xml:space="preserve"> (voir les </w:t>
      </w:r>
      <w:r w:rsidR="00BF4883" w:rsidRPr="00F32EB0">
        <w:rPr>
          <w:rFonts w:eastAsia="MS Mincho"/>
        </w:rPr>
        <w:t>paragraphes 1</w:t>
      </w:r>
      <w:r w:rsidR="00114766" w:rsidRPr="00F32EB0">
        <w:rPr>
          <w:rFonts w:eastAsia="MS Mincho"/>
        </w:rPr>
        <w:t>8 et 19 du document</w:t>
      </w:r>
      <w:r w:rsidR="0093300C" w:rsidRPr="00F32EB0">
        <w:rPr>
          <w:rFonts w:eastAsia="MS Mincho"/>
        </w:rPr>
        <w:t> </w:t>
      </w:r>
      <w:r w:rsidR="00C748DB" w:rsidRPr="00F32EB0">
        <w:rPr>
          <w:rFonts w:eastAsia="MS Mincho"/>
        </w:rPr>
        <w:t>TWC/36/15 “Report”).</w:t>
      </w:r>
    </w:p>
    <w:p w:rsidR="008169B8" w:rsidRPr="00F32EB0" w:rsidRDefault="008169B8" w:rsidP="00435658">
      <w:pPr>
        <w:rPr>
          <w:rFonts w:eastAsia="MS Mincho"/>
          <w:highlight w:val="cyan"/>
        </w:rPr>
      </w:pPr>
    </w:p>
    <w:p w:rsidR="00BF4883" w:rsidRPr="00F32EB0" w:rsidRDefault="00B0603F" w:rsidP="00435658">
      <w:r w:rsidRPr="00F32EB0">
        <w:fldChar w:fldCharType="begin"/>
      </w:r>
      <w:r w:rsidR="007E2EB6" w:rsidRPr="00F32EB0">
        <w:instrText xml:space="preserve"> autonum  </w:instrText>
      </w:r>
      <w:r w:rsidRPr="00F32EB0">
        <w:fldChar w:fldCharType="end"/>
      </w:r>
      <w:r w:rsidRPr="00F32EB0">
        <w:tab/>
      </w:r>
      <w:r w:rsidR="004E16EC" w:rsidRPr="00F32EB0">
        <w:t>Le TWC est convenu d</w:t>
      </w:r>
      <w:r w:rsidR="00BF4883" w:rsidRPr="00F32EB0">
        <w:t>’</w:t>
      </w:r>
      <w:r w:rsidR="004E16EC" w:rsidRPr="00F32EB0">
        <w:t>inviter l</w:t>
      </w:r>
      <w:r w:rsidR="00BF4883" w:rsidRPr="00F32EB0">
        <w:t>’</w:t>
      </w:r>
      <w:r w:rsidR="004E16EC" w:rsidRPr="00F32EB0">
        <w:t>expert du Royaume</w:t>
      </w:r>
      <w:r w:rsidR="00DB478B" w:rsidRPr="00F32EB0">
        <w:noBreakHyphen/>
      </w:r>
      <w:r w:rsidR="004E16EC" w:rsidRPr="00F32EB0">
        <w:t>Uni à élaborer une section visant à remplacer le texte du document</w:t>
      </w:r>
      <w:r w:rsidR="0093300C" w:rsidRPr="00F32EB0">
        <w:t> </w:t>
      </w:r>
      <w:r w:rsidR="004E16EC" w:rsidRPr="00F32EB0">
        <w:t>TGP/8 concernant la méthode de calcul de</w:t>
      </w:r>
      <w:r w:rsidR="00BF4883" w:rsidRPr="00F32EB0">
        <w:t xml:space="preserve"> la COY</w:t>
      </w:r>
      <w:r w:rsidR="004E16EC" w:rsidRPr="00F32EB0">
        <w:t>U.</w:t>
      </w:r>
    </w:p>
    <w:p w:rsidR="008169B8" w:rsidRPr="00F32EB0" w:rsidRDefault="008169B8" w:rsidP="00435658">
      <w:pPr>
        <w:rPr>
          <w:rFonts w:eastAsia="MS Mincho"/>
          <w:highlight w:val="cyan"/>
        </w:rPr>
      </w:pPr>
    </w:p>
    <w:p w:rsidR="00BF4883" w:rsidRPr="00F32EB0" w:rsidRDefault="00F9632E" w:rsidP="00435658"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6E1ECE" w:rsidRPr="00F32EB0">
        <w:t>S</w:t>
      </w:r>
      <w:r w:rsidR="00BF4883" w:rsidRPr="00F32EB0">
        <w:t>’</w:t>
      </w:r>
      <w:r w:rsidR="006E1ECE" w:rsidRPr="00F32EB0">
        <w:t>agissant de la proposition du</w:t>
      </w:r>
      <w:r w:rsidR="00BF4883" w:rsidRPr="00F32EB0">
        <w:t> TC</w:t>
      </w:r>
      <w:r w:rsidR="006E1ECE" w:rsidRPr="00F32EB0">
        <w:t xml:space="preserve"> selon laquelle</w:t>
      </w:r>
      <w:r w:rsidR="00BF4883" w:rsidRPr="00F32EB0">
        <w:t xml:space="preserve"> le TWC</w:t>
      </w:r>
      <w:r w:rsidR="006E1ECE" w:rsidRPr="00F32EB0">
        <w:t xml:space="preserve"> élabore une proposition </w:t>
      </w:r>
      <w:r w:rsidR="001624F0" w:rsidRPr="00F32EB0">
        <w:t>concernant une nouvelle méthode de calcul de</w:t>
      </w:r>
      <w:r w:rsidR="00BF4883" w:rsidRPr="00F32EB0">
        <w:t xml:space="preserve"> la COY</w:t>
      </w:r>
      <w:r w:rsidR="001624F0" w:rsidRPr="00F32EB0">
        <w:t xml:space="preserve">U, qui sera </w:t>
      </w:r>
      <w:r w:rsidR="006E1ECE" w:rsidRPr="00F32EB0">
        <w:t>soumise au</w:t>
      </w:r>
      <w:r w:rsidR="00BF4883" w:rsidRPr="00F32EB0">
        <w:t> TC</w:t>
      </w:r>
      <w:r w:rsidR="006E1ECE" w:rsidRPr="00F32EB0">
        <w:t xml:space="preserve"> pour examen à sa </w:t>
      </w:r>
      <w:r w:rsidR="001624F0" w:rsidRPr="00F32EB0">
        <w:t>cinquante</w:t>
      </w:r>
      <w:r w:rsidR="00DB478B" w:rsidRPr="00F32EB0">
        <w:noBreakHyphen/>
      </w:r>
      <w:r w:rsidR="001624F0" w:rsidRPr="00F32EB0">
        <w:t>quatr</w:t>
      </w:r>
      <w:r w:rsidR="00BF4883" w:rsidRPr="00F32EB0">
        <w:t>ième session</w:t>
      </w:r>
      <w:r w:rsidR="001624F0" w:rsidRPr="00F32EB0">
        <w:t xml:space="preserve">, </w:t>
      </w:r>
      <w:r w:rsidR="006E1ECE" w:rsidRPr="00F32EB0">
        <w:t>aucun fait nouveau n</w:t>
      </w:r>
      <w:r w:rsidR="00BF4883" w:rsidRPr="00F32EB0">
        <w:t>’</w:t>
      </w:r>
      <w:r w:rsidR="006E1ECE" w:rsidRPr="00F32EB0">
        <w:t>est à signaler.</w:t>
      </w:r>
    </w:p>
    <w:p w:rsidR="008169B8" w:rsidRDefault="008169B8" w:rsidP="00435658">
      <w:pPr>
        <w:rPr>
          <w:rFonts w:eastAsia="MS Mincho"/>
        </w:rPr>
      </w:pPr>
    </w:p>
    <w:p w:rsidR="00BF4883" w:rsidRPr="00F32EB0" w:rsidRDefault="00B0603F" w:rsidP="00435658">
      <w:pPr>
        <w:pStyle w:val="DecisionParagraphs"/>
        <w:keepNext/>
      </w:pPr>
      <w:r w:rsidRPr="00F32EB0">
        <w:fldChar w:fldCharType="begin"/>
      </w:r>
      <w:r w:rsidRPr="00F32EB0">
        <w:instrText xml:space="preserve"> AUTONUM  </w:instrText>
      </w:r>
      <w:r w:rsidRPr="00F32EB0">
        <w:fldChar w:fldCharType="end"/>
      </w:r>
      <w:r w:rsidRPr="00F32EB0">
        <w:tab/>
      </w:r>
      <w:r w:rsidR="006E1ECE" w:rsidRPr="00F32EB0">
        <w:t>Le</w:t>
      </w:r>
      <w:r w:rsidR="00BF4883" w:rsidRPr="00F32EB0">
        <w:t> TC</w:t>
      </w:r>
      <w:r w:rsidR="006E1ECE" w:rsidRPr="00F32EB0">
        <w:t xml:space="preserve"> est invité à </w:t>
      </w:r>
      <w:r w:rsidR="00C725C5" w:rsidRPr="00F32EB0">
        <w:t>noter</w:t>
      </w:r>
    </w:p>
    <w:p w:rsidR="008169B8" w:rsidRPr="00F32EB0" w:rsidRDefault="008169B8" w:rsidP="00435658">
      <w:pPr>
        <w:pStyle w:val="DecisionParagraphs"/>
        <w:keepNext/>
        <w:keepLines/>
      </w:pPr>
    </w:p>
    <w:p w:rsidR="00BF4883" w:rsidRPr="00F32EB0" w:rsidRDefault="00B10801" w:rsidP="00435658">
      <w:pPr>
        <w:pStyle w:val="DecisionParagraphs"/>
        <w:keepNext/>
        <w:keepLines/>
        <w:tabs>
          <w:tab w:val="left" w:pos="5954"/>
        </w:tabs>
      </w:pPr>
      <w:r w:rsidRPr="00F32EB0">
        <w:tab/>
      </w:r>
      <w:r w:rsidR="00596A25" w:rsidRPr="00F32EB0">
        <w:t>a)</w:t>
      </w:r>
      <w:r w:rsidR="00596A25" w:rsidRPr="00F32EB0">
        <w:tab/>
        <w:t>qu</w:t>
      </w:r>
      <w:r w:rsidR="00BF4883" w:rsidRPr="00F32EB0">
        <w:t>’</w:t>
      </w:r>
      <w:r w:rsidR="00596A25" w:rsidRPr="00F32EB0">
        <w:t>à sa quarante</w:t>
      </w:r>
      <w:r w:rsidR="00DB478B" w:rsidRPr="00F32EB0">
        <w:noBreakHyphen/>
      </w:r>
      <w:r w:rsidR="00596A25" w:rsidRPr="00F32EB0">
        <w:t>huit</w:t>
      </w:r>
      <w:r w:rsidR="00BF4883" w:rsidRPr="00F32EB0">
        <w:t>ième session</w:t>
      </w:r>
      <w:r w:rsidR="00596A25" w:rsidRPr="00F32EB0">
        <w:t>,</w:t>
      </w:r>
      <w:r w:rsidR="00BF4883" w:rsidRPr="00F32EB0">
        <w:t xml:space="preserve"> le TWF</w:t>
      </w:r>
      <w:r w:rsidR="00596A25" w:rsidRPr="00F32EB0">
        <w:t xml:space="preserve"> a suggéré de réaliser une enquête auprès des membres de l</w:t>
      </w:r>
      <w:r w:rsidR="00BF4883" w:rsidRPr="00F32EB0">
        <w:t>’</w:t>
      </w:r>
      <w:r w:rsidR="00596A25" w:rsidRPr="00F32EB0">
        <w:t xml:space="preserve">Union pour évaluer le nombre de services utilisant la </w:t>
      </w:r>
      <w:r w:rsidR="006D23DF" w:rsidRPr="00F32EB0">
        <w:t>méthode</w:t>
      </w:r>
      <w:r w:rsidR="00FE4887" w:rsidRPr="00F32EB0">
        <w:t xml:space="preserve"> d</w:t>
      </w:r>
      <w:r w:rsidR="00BF4883" w:rsidRPr="00F32EB0">
        <w:t>’</w:t>
      </w:r>
      <w:r w:rsidR="00FE4887" w:rsidRPr="00F32EB0">
        <w:t>analyse COYU</w:t>
      </w:r>
      <w:r w:rsidR="00596A25" w:rsidRPr="00F32EB0">
        <w:t xml:space="preserve"> pour </w:t>
      </w:r>
      <w:r w:rsidR="007A76C1" w:rsidRPr="00F32EB0">
        <w:t>chaque type de culture</w:t>
      </w:r>
      <w:r w:rsidR="00596A25" w:rsidRPr="00F32EB0">
        <w:t xml:space="preserve"> afin d</w:t>
      </w:r>
      <w:r w:rsidR="00BF4883" w:rsidRPr="00F32EB0">
        <w:t>’</w:t>
      </w:r>
      <w:r w:rsidR="00596A25" w:rsidRPr="00F32EB0">
        <w:t>évaluer quel serait le meilleur moyen de présenter les renseignements concernant l</w:t>
      </w:r>
      <w:r w:rsidR="00BF4883" w:rsidRPr="00F32EB0">
        <w:t>’</w:t>
      </w:r>
      <w:r w:rsidR="00596A25" w:rsidRPr="00F32EB0">
        <w:t>analyse globale de l</w:t>
      </w:r>
      <w:r w:rsidR="00BF4883" w:rsidRPr="00F32EB0">
        <w:t>’</w:t>
      </w:r>
      <w:r w:rsidR="00596A25" w:rsidRPr="00F32EB0">
        <w:t>homogénéité sur plusieurs années</w:t>
      </w:r>
      <w:r w:rsidR="00BF4883" w:rsidRPr="00F32EB0">
        <w:t xml:space="preserve"> aux TWP</w:t>
      </w:r>
      <w:r w:rsidR="00C725C5" w:rsidRPr="00F32EB0">
        <w:t>,</w:t>
      </w:r>
    </w:p>
    <w:p w:rsidR="008169B8" w:rsidRPr="00F32EB0" w:rsidRDefault="008169B8" w:rsidP="00435658">
      <w:pPr>
        <w:pStyle w:val="DecisionParagraphs"/>
        <w:keepLines/>
        <w:tabs>
          <w:tab w:val="left" w:pos="5954"/>
        </w:tabs>
      </w:pPr>
    </w:p>
    <w:p w:rsidR="00BF4883" w:rsidRPr="00F32EB0" w:rsidRDefault="00B10801" w:rsidP="00435658">
      <w:pPr>
        <w:pStyle w:val="DecisionParagraphs"/>
        <w:keepLines/>
        <w:tabs>
          <w:tab w:val="left" w:pos="5954"/>
        </w:tabs>
      </w:pPr>
      <w:r w:rsidRPr="00F32EB0">
        <w:lastRenderedPageBreak/>
        <w:tab/>
      </w:r>
      <w:r w:rsidR="00F809E6" w:rsidRPr="00F32EB0">
        <w:t>b)</w:t>
      </w:r>
      <w:r w:rsidR="00F809E6" w:rsidRPr="00F32EB0">
        <w:tab/>
        <w:t>qu</w:t>
      </w:r>
      <w:r w:rsidR="00BF4883" w:rsidRPr="00F32EB0">
        <w:t>’</w:t>
      </w:r>
      <w:r w:rsidR="00F809E6" w:rsidRPr="00F32EB0">
        <w:t>à sa trente</w:t>
      </w:r>
      <w:r w:rsidR="00DB478B" w:rsidRPr="00F32EB0">
        <w:noBreakHyphen/>
      </w:r>
      <w:r w:rsidR="00624C2E">
        <w:t>cinqu</w:t>
      </w:r>
      <w:r w:rsidR="00BF4883" w:rsidRPr="00F32EB0">
        <w:t>ième session</w:t>
      </w:r>
      <w:r w:rsidR="00F809E6" w:rsidRPr="00F32EB0">
        <w:t>,</w:t>
      </w:r>
      <w:r w:rsidR="00BF4883" w:rsidRPr="00F32EB0">
        <w:t xml:space="preserve"> le TWC</w:t>
      </w:r>
      <w:r w:rsidR="00F809E6" w:rsidRPr="00F32EB0">
        <w:t xml:space="preserve"> est convenu d</w:t>
      </w:r>
      <w:r w:rsidR="00BF4883" w:rsidRPr="00F32EB0">
        <w:t>’</w:t>
      </w:r>
      <w:r w:rsidR="00F809E6" w:rsidRPr="00F32EB0">
        <w:t>inviter l</w:t>
      </w:r>
      <w:r w:rsidR="00BF4883" w:rsidRPr="00F32EB0">
        <w:t>’</w:t>
      </w:r>
      <w:r w:rsidR="00F809E6" w:rsidRPr="00F32EB0">
        <w:t>expert du Royaume</w:t>
      </w:r>
      <w:r w:rsidR="00DB478B" w:rsidRPr="00F32EB0">
        <w:noBreakHyphen/>
      </w:r>
      <w:r w:rsidR="00F809E6" w:rsidRPr="00F32EB0">
        <w:t>Uni à faire rapport sur les moyens d</w:t>
      </w:r>
      <w:r w:rsidR="00BF4883" w:rsidRPr="00F32EB0">
        <w:t>’</w:t>
      </w:r>
      <w:r w:rsidR="00F809E6" w:rsidRPr="00F32EB0">
        <w:t>améliorer encore le logiciel à l</w:t>
      </w:r>
      <w:r w:rsidR="00BF4883" w:rsidRPr="00F32EB0">
        <w:t>’</w:t>
      </w:r>
      <w:r w:rsidR="00F809E6" w:rsidRPr="00F32EB0">
        <w:t>aide de la nouvelle méthode de calcul de</w:t>
      </w:r>
      <w:r w:rsidR="00BF4883" w:rsidRPr="00F32EB0">
        <w:t xml:space="preserve"> la COY</w:t>
      </w:r>
      <w:r w:rsidR="00F809E6" w:rsidRPr="00F32EB0">
        <w:t xml:space="preserve">U </w:t>
      </w:r>
      <w:r w:rsidR="00377928" w:rsidRPr="00F32EB0">
        <w:t xml:space="preserve">à </w:t>
      </w:r>
      <w:r w:rsidR="00F809E6" w:rsidRPr="00F32EB0">
        <w:t>sa trente</w:t>
      </w:r>
      <w:r w:rsidR="00DB478B" w:rsidRPr="00F32EB0">
        <w:noBreakHyphen/>
      </w:r>
      <w:r w:rsidR="00F809E6" w:rsidRPr="00F32EB0">
        <w:t>six</w:t>
      </w:r>
      <w:r w:rsidR="00BF4883" w:rsidRPr="00F32EB0">
        <w:t>ième session</w:t>
      </w:r>
      <w:r w:rsidR="00C725C5" w:rsidRPr="00F32EB0">
        <w:t>,</w:t>
      </w:r>
    </w:p>
    <w:p w:rsidR="008169B8" w:rsidRPr="00F32EB0" w:rsidRDefault="008169B8" w:rsidP="00435658">
      <w:pPr>
        <w:pStyle w:val="DecisionParagraphs"/>
        <w:keepLines/>
        <w:tabs>
          <w:tab w:val="left" w:pos="5954"/>
        </w:tabs>
      </w:pPr>
    </w:p>
    <w:p w:rsidR="00BF4883" w:rsidRPr="00F32EB0" w:rsidRDefault="00B10801" w:rsidP="00435658">
      <w:pPr>
        <w:pStyle w:val="DecisionParagraphs"/>
        <w:keepLines/>
        <w:tabs>
          <w:tab w:val="left" w:pos="5954"/>
        </w:tabs>
        <w:rPr>
          <w:iCs/>
        </w:rPr>
      </w:pPr>
      <w:r w:rsidRPr="00F32EB0">
        <w:rPr>
          <w:iCs/>
        </w:rPr>
        <w:tab/>
      </w:r>
      <w:r w:rsidR="00F9632E" w:rsidRPr="00F32EB0">
        <w:rPr>
          <w:iCs/>
        </w:rPr>
        <w:t>c</w:t>
      </w:r>
      <w:r w:rsidRPr="00F32EB0">
        <w:rPr>
          <w:iCs/>
        </w:rPr>
        <w:t>)</w:t>
      </w:r>
      <w:r w:rsidRPr="00F32EB0">
        <w:rPr>
          <w:iCs/>
        </w:rPr>
        <w:tab/>
      </w:r>
      <w:r w:rsidR="00F11E7C" w:rsidRPr="00F32EB0">
        <w:rPr>
          <w:iCs/>
        </w:rPr>
        <w:t>que</w:t>
      </w:r>
      <w:r w:rsidR="00BF4883" w:rsidRPr="00F32EB0">
        <w:rPr>
          <w:iCs/>
        </w:rPr>
        <w:t xml:space="preserve"> le TWC</w:t>
      </w:r>
      <w:r w:rsidR="00F11E7C" w:rsidRPr="00F32EB0">
        <w:rPr>
          <w:iCs/>
        </w:rPr>
        <w:t xml:space="preserve"> a noté que le Royaume</w:t>
      </w:r>
      <w:r w:rsidR="00DB478B" w:rsidRPr="00F32EB0">
        <w:rPr>
          <w:iCs/>
        </w:rPr>
        <w:noBreakHyphen/>
      </w:r>
      <w:r w:rsidR="00F11E7C" w:rsidRPr="00F32EB0">
        <w:rPr>
          <w:iCs/>
        </w:rPr>
        <w:t>Uni avait invité les experts intéressés à se mettre en rapport pour test</w:t>
      </w:r>
      <w:r w:rsidR="007A0100" w:rsidRPr="00F32EB0">
        <w:rPr>
          <w:iCs/>
        </w:rPr>
        <w:t>er le nouveau logiciel incorporant</w:t>
      </w:r>
      <w:r w:rsidR="00F11E7C" w:rsidRPr="00F32EB0">
        <w:rPr>
          <w:iCs/>
        </w:rPr>
        <w:t xml:space="preserve"> la méthode améliorée de calcul de</w:t>
      </w:r>
      <w:r w:rsidR="00BF4883" w:rsidRPr="00F32EB0">
        <w:rPr>
          <w:iCs/>
        </w:rPr>
        <w:t xml:space="preserve"> la COY</w:t>
      </w:r>
      <w:r w:rsidR="00F11E7C" w:rsidRPr="00F32EB0">
        <w:rPr>
          <w:iCs/>
        </w:rPr>
        <w:t>U</w:t>
      </w:r>
      <w:r w:rsidR="00C725C5" w:rsidRPr="00F32EB0">
        <w:rPr>
          <w:iCs/>
        </w:rPr>
        <w:t>,</w:t>
      </w:r>
    </w:p>
    <w:p w:rsidR="008169B8" w:rsidRPr="00F32EB0" w:rsidRDefault="008169B8" w:rsidP="00435658">
      <w:pPr>
        <w:pStyle w:val="DecisionParagraphs"/>
        <w:keepLines/>
        <w:tabs>
          <w:tab w:val="left" w:pos="5954"/>
        </w:tabs>
        <w:rPr>
          <w:iCs/>
        </w:rPr>
      </w:pPr>
    </w:p>
    <w:p w:rsidR="008169B8" w:rsidRPr="00F32EB0" w:rsidRDefault="00FF6664" w:rsidP="00FF6664">
      <w:pPr>
        <w:keepLines/>
        <w:tabs>
          <w:tab w:val="left" w:pos="5400"/>
          <w:tab w:val="left" w:pos="5954"/>
        </w:tabs>
        <w:ind w:left="4820"/>
        <w:rPr>
          <w:rFonts w:eastAsiaTheme="minorEastAsia"/>
          <w:i/>
          <w:iCs/>
          <w:lang w:eastAsia="ja-JP"/>
        </w:rPr>
      </w:pPr>
      <w:r>
        <w:rPr>
          <w:rFonts w:eastAsia="Calibri"/>
        </w:rPr>
        <w:tab/>
      </w:r>
      <w:r w:rsidR="008C012A" w:rsidRPr="00F32EB0">
        <w:rPr>
          <w:rFonts w:eastAsia="Calibri"/>
          <w:i/>
        </w:rPr>
        <w:t>d)</w:t>
      </w:r>
      <w:r w:rsidR="008C012A" w:rsidRPr="00F32EB0">
        <w:rPr>
          <w:rFonts w:eastAsia="Calibri"/>
          <w:i/>
        </w:rPr>
        <w:tab/>
      </w:r>
      <w:r w:rsidR="008C012A" w:rsidRPr="00F32EB0">
        <w:rPr>
          <w:rFonts w:eastAsiaTheme="minorEastAsia"/>
          <w:i/>
          <w:iCs/>
          <w:lang w:eastAsia="ja-JP"/>
        </w:rPr>
        <w:t>que</w:t>
      </w:r>
      <w:r w:rsidR="00BF4883" w:rsidRPr="00F32EB0">
        <w:rPr>
          <w:rFonts w:eastAsiaTheme="minorEastAsia"/>
          <w:i/>
          <w:iCs/>
          <w:lang w:eastAsia="ja-JP"/>
        </w:rPr>
        <w:t xml:space="preserve"> le TWC</w:t>
      </w:r>
      <w:r w:rsidR="008C012A" w:rsidRPr="00F32EB0">
        <w:rPr>
          <w:rFonts w:eastAsiaTheme="minorEastAsia"/>
          <w:i/>
          <w:iCs/>
          <w:lang w:eastAsia="ja-JP"/>
        </w:rPr>
        <w:t xml:space="preserve"> est convenu d</w:t>
      </w:r>
      <w:r w:rsidR="00BF4883" w:rsidRPr="00F32EB0">
        <w:rPr>
          <w:rFonts w:eastAsiaTheme="minorEastAsia"/>
          <w:i/>
          <w:iCs/>
          <w:lang w:eastAsia="ja-JP"/>
        </w:rPr>
        <w:t>’</w:t>
      </w:r>
      <w:r w:rsidR="008C012A" w:rsidRPr="00F32EB0">
        <w:rPr>
          <w:rFonts w:eastAsiaTheme="minorEastAsia"/>
          <w:i/>
          <w:iCs/>
          <w:lang w:eastAsia="ja-JP"/>
        </w:rPr>
        <w:t>inviter l</w:t>
      </w:r>
      <w:r w:rsidR="00BF4883" w:rsidRPr="00F32EB0">
        <w:rPr>
          <w:rFonts w:eastAsiaTheme="minorEastAsia"/>
          <w:i/>
          <w:iCs/>
          <w:lang w:eastAsia="ja-JP"/>
        </w:rPr>
        <w:t>’</w:t>
      </w:r>
      <w:r w:rsidR="008C012A" w:rsidRPr="00F32EB0">
        <w:rPr>
          <w:rFonts w:eastAsiaTheme="minorEastAsia"/>
          <w:i/>
          <w:iCs/>
          <w:lang w:eastAsia="ja-JP"/>
        </w:rPr>
        <w:t>expert du Royaume</w:t>
      </w:r>
      <w:r w:rsidR="00DB478B" w:rsidRPr="00F32EB0">
        <w:rPr>
          <w:rFonts w:eastAsiaTheme="minorEastAsia"/>
          <w:i/>
          <w:iCs/>
          <w:lang w:eastAsia="ja-JP"/>
        </w:rPr>
        <w:noBreakHyphen/>
      </w:r>
      <w:r w:rsidR="008C012A" w:rsidRPr="00F32EB0">
        <w:rPr>
          <w:rFonts w:eastAsiaTheme="minorEastAsia"/>
          <w:i/>
          <w:iCs/>
          <w:lang w:eastAsia="ja-JP"/>
        </w:rPr>
        <w:t>Uni à élaborer une section visant à remplacer le texte du document</w:t>
      </w:r>
      <w:r w:rsidR="0093300C" w:rsidRPr="00F32EB0">
        <w:rPr>
          <w:rFonts w:eastAsiaTheme="minorEastAsia"/>
          <w:i/>
          <w:iCs/>
          <w:lang w:eastAsia="ja-JP"/>
        </w:rPr>
        <w:t> </w:t>
      </w:r>
      <w:r w:rsidR="008C012A" w:rsidRPr="00F32EB0">
        <w:rPr>
          <w:rFonts w:eastAsiaTheme="minorEastAsia"/>
          <w:i/>
          <w:iCs/>
          <w:lang w:eastAsia="ja-JP"/>
        </w:rPr>
        <w:t>TGP/8 concernant la méthode de calcul de</w:t>
      </w:r>
      <w:r w:rsidR="00BF4883" w:rsidRPr="00F32EB0">
        <w:rPr>
          <w:rFonts w:eastAsiaTheme="minorEastAsia"/>
          <w:i/>
          <w:iCs/>
          <w:lang w:eastAsia="ja-JP"/>
        </w:rPr>
        <w:t xml:space="preserve"> la COY</w:t>
      </w:r>
      <w:r w:rsidR="008C012A" w:rsidRPr="00F32EB0">
        <w:rPr>
          <w:rFonts w:eastAsiaTheme="minorEastAsia"/>
          <w:i/>
          <w:iCs/>
          <w:lang w:eastAsia="ja-JP"/>
        </w:rPr>
        <w:t>U</w:t>
      </w:r>
      <w:r w:rsidR="000B0934" w:rsidRPr="00F32EB0">
        <w:rPr>
          <w:rFonts w:eastAsiaTheme="minorEastAsia"/>
          <w:i/>
          <w:iCs/>
          <w:lang w:eastAsia="ja-JP"/>
        </w:rPr>
        <w:t xml:space="preserve"> </w:t>
      </w:r>
      <w:r w:rsidR="008C012A" w:rsidRPr="00F32EB0">
        <w:rPr>
          <w:rFonts w:eastAsiaTheme="minorEastAsia"/>
          <w:i/>
          <w:iCs/>
          <w:lang w:eastAsia="ja-JP"/>
        </w:rPr>
        <w:t>et</w:t>
      </w:r>
    </w:p>
    <w:p w:rsidR="008169B8" w:rsidRPr="00F32EB0" w:rsidRDefault="008169B8" w:rsidP="00435658">
      <w:pPr>
        <w:keepLines/>
        <w:tabs>
          <w:tab w:val="left" w:pos="567"/>
          <w:tab w:val="left" w:pos="1134"/>
          <w:tab w:val="left" w:pos="5400"/>
          <w:tab w:val="left" w:pos="5954"/>
        </w:tabs>
        <w:ind w:left="4820" w:hanging="4253"/>
        <w:rPr>
          <w:rFonts w:eastAsiaTheme="minorEastAsia"/>
          <w:i/>
          <w:iCs/>
          <w:lang w:eastAsia="ja-JP"/>
        </w:rPr>
      </w:pPr>
    </w:p>
    <w:p w:rsidR="00BF4883" w:rsidRPr="00F32EB0" w:rsidRDefault="00FF6664" w:rsidP="00FF6664">
      <w:pPr>
        <w:keepLines/>
        <w:tabs>
          <w:tab w:val="left" w:pos="5400"/>
          <w:tab w:val="left" w:pos="5954"/>
        </w:tabs>
        <w:ind w:left="4820"/>
        <w:rPr>
          <w:rFonts w:eastAsia="Calibri"/>
          <w:i/>
        </w:rPr>
      </w:pPr>
      <w:r>
        <w:rPr>
          <w:rFonts w:eastAsiaTheme="minorEastAsia"/>
          <w:i/>
          <w:iCs/>
          <w:lang w:eastAsia="ja-JP"/>
        </w:rPr>
        <w:tab/>
      </w:r>
      <w:r w:rsidR="008C012A" w:rsidRPr="00F32EB0">
        <w:rPr>
          <w:rFonts w:eastAsiaTheme="minorEastAsia"/>
          <w:i/>
          <w:iCs/>
          <w:lang w:eastAsia="ja-JP"/>
        </w:rPr>
        <w:t>e)</w:t>
      </w:r>
      <w:r w:rsidR="0093300C" w:rsidRPr="00F32EB0">
        <w:rPr>
          <w:rFonts w:eastAsiaTheme="minorEastAsia"/>
        </w:rPr>
        <w:tab/>
      </w:r>
      <w:r w:rsidR="00DD0E20" w:rsidRPr="00F32EB0">
        <w:rPr>
          <w:rFonts w:eastAsiaTheme="minorEastAsia"/>
          <w:i/>
        </w:rPr>
        <w:t>qu</w:t>
      </w:r>
      <w:r w:rsidR="00BF4883" w:rsidRPr="00F32EB0">
        <w:rPr>
          <w:rFonts w:eastAsiaTheme="minorEastAsia"/>
          <w:i/>
        </w:rPr>
        <w:t>’</w:t>
      </w:r>
      <w:r w:rsidR="00DD0E20" w:rsidRPr="00F32EB0">
        <w:rPr>
          <w:rFonts w:eastAsiaTheme="minorEastAsia"/>
          <w:i/>
        </w:rPr>
        <w:t>aucun fait nouveau n</w:t>
      </w:r>
      <w:r w:rsidR="00BF4883" w:rsidRPr="00F32EB0">
        <w:rPr>
          <w:rFonts w:eastAsiaTheme="minorEastAsia"/>
          <w:i/>
        </w:rPr>
        <w:t>’</w:t>
      </w:r>
      <w:r w:rsidR="00DD0E20" w:rsidRPr="00F32EB0">
        <w:rPr>
          <w:rFonts w:eastAsiaTheme="minorEastAsia"/>
          <w:i/>
        </w:rPr>
        <w:t>est intervenu à la trente</w:t>
      </w:r>
      <w:r w:rsidR="00DB478B" w:rsidRPr="00F32EB0">
        <w:rPr>
          <w:rFonts w:eastAsiaTheme="minorEastAsia"/>
          <w:i/>
        </w:rPr>
        <w:noBreakHyphen/>
      </w:r>
      <w:r w:rsidR="00DD0E20" w:rsidRPr="00F32EB0">
        <w:rPr>
          <w:rFonts w:eastAsiaTheme="minorEastAsia"/>
          <w:i/>
        </w:rPr>
        <w:t>six</w:t>
      </w:r>
      <w:r w:rsidR="00BF4883" w:rsidRPr="00F32EB0">
        <w:rPr>
          <w:rFonts w:eastAsiaTheme="minorEastAsia"/>
          <w:i/>
        </w:rPr>
        <w:t>ième session du TWC</w:t>
      </w:r>
      <w:r w:rsidR="00DD0E20" w:rsidRPr="00F32EB0">
        <w:rPr>
          <w:rFonts w:eastAsiaTheme="minorEastAsia"/>
          <w:i/>
        </w:rPr>
        <w:t xml:space="preserve"> en ce qui concerne la demande du</w:t>
      </w:r>
      <w:r w:rsidR="00BF4883" w:rsidRPr="00F32EB0">
        <w:rPr>
          <w:rFonts w:eastAsiaTheme="minorEastAsia"/>
          <w:i/>
        </w:rPr>
        <w:t> TC</w:t>
      </w:r>
      <w:r w:rsidR="00DB478B" w:rsidRPr="00F32EB0">
        <w:rPr>
          <w:rFonts w:eastAsiaTheme="minorEastAsia"/>
          <w:i/>
        </w:rPr>
        <w:noBreakHyphen/>
      </w:r>
      <w:r w:rsidR="00BF4883" w:rsidRPr="00F32EB0">
        <w:rPr>
          <w:rFonts w:eastAsiaTheme="minorEastAsia"/>
          <w:i/>
        </w:rPr>
        <w:t>EDC</w:t>
      </w:r>
      <w:r w:rsidR="00DD0E20" w:rsidRPr="00F32EB0">
        <w:rPr>
          <w:rFonts w:eastAsiaTheme="minorEastAsia"/>
          <w:i/>
        </w:rPr>
        <w:t xml:space="preserve"> d</w:t>
      </w:r>
      <w:r w:rsidR="00BF4883" w:rsidRPr="00F32EB0">
        <w:rPr>
          <w:rFonts w:eastAsiaTheme="minorEastAsia"/>
          <w:i/>
        </w:rPr>
        <w:t>’</w:t>
      </w:r>
      <w:r w:rsidR="00DD0E20" w:rsidRPr="00F32EB0">
        <w:rPr>
          <w:rFonts w:eastAsiaTheme="minorEastAsia"/>
          <w:i/>
        </w:rPr>
        <w:t>élaborer une proposition relative à une nouvelle méthode de calcul de</w:t>
      </w:r>
      <w:r w:rsidR="00BF4883" w:rsidRPr="00F32EB0">
        <w:rPr>
          <w:rFonts w:eastAsiaTheme="minorEastAsia"/>
          <w:i/>
        </w:rPr>
        <w:t xml:space="preserve"> la COY</w:t>
      </w:r>
      <w:r w:rsidR="00DD0E20" w:rsidRPr="00F32EB0">
        <w:rPr>
          <w:rFonts w:eastAsiaTheme="minorEastAsia"/>
          <w:i/>
        </w:rPr>
        <w:t>U, qui sera examinée par le</w:t>
      </w:r>
      <w:r w:rsidR="00BF4883" w:rsidRPr="00F32EB0">
        <w:rPr>
          <w:rFonts w:eastAsiaTheme="minorEastAsia"/>
          <w:i/>
        </w:rPr>
        <w:t> TC</w:t>
      </w:r>
      <w:r w:rsidR="00DD0E20" w:rsidRPr="00F32EB0">
        <w:rPr>
          <w:rFonts w:eastAsiaTheme="minorEastAsia"/>
          <w:i/>
        </w:rPr>
        <w:t xml:space="preserve"> à sa cinquante</w:t>
      </w:r>
      <w:r w:rsidR="00DB478B" w:rsidRPr="00F32EB0">
        <w:rPr>
          <w:rFonts w:eastAsiaTheme="minorEastAsia"/>
          <w:i/>
        </w:rPr>
        <w:noBreakHyphen/>
      </w:r>
      <w:r w:rsidR="00DD0E20" w:rsidRPr="00F32EB0">
        <w:rPr>
          <w:rFonts w:eastAsiaTheme="minorEastAsia"/>
          <w:i/>
        </w:rPr>
        <w:t>quatr</w:t>
      </w:r>
      <w:r w:rsidR="00BF4883" w:rsidRPr="00F32EB0">
        <w:rPr>
          <w:rFonts w:eastAsiaTheme="minorEastAsia"/>
          <w:i/>
        </w:rPr>
        <w:t>ième session</w:t>
      </w:r>
      <w:r w:rsidR="00F11E7C" w:rsidRPr="00F32EB0">
        <w:rPr>
          <w:rFonts w:eastAsia="Calibri"/>
          <w:i/>
        </w:rPr>
        <w:t>.</w:t>
      </w:r>
    </w:p>
    <w:p w:rsidR="008169B8" w:rsidRDefault="008169B8" w:rsidP="00C16647"/>
    <w:p w:rsidR="00C35628" w:rsidRPr="00F32EB0" w:rsidRDefault="00C35628" w:rsidP="00C16647"/>
    <w:p w:rsidR="008169B8" w:rsidRDefault="00114A6A" w:rsidP="00114A6A">
      <w:pPr>
        <w:jc w:val="right"/>
      </w:pPr>
      <w:r w:rsidRPr="00F32EB0">
        <w:t>[L</w:t>
      </w:r>
      <w:r w:rsidR="00BF4883" w:rsidRPr="00F32EB0">
        <w:t>’</w:t>
      </w:r>
      <w:r w:rsidRPr="00F32EB0">
        <w:t>annexe suit]</w:t>
      </w:r>
    </w:p>
    <w:p w:rsidR="00C16647" w:rsidRPr="00F32EB0" w:rsidRDefault="00C16647" w:rsidP="00114A6A">
      <w:pPr>
        <w:jc w:val="right"/>
      </w:pPr>
    </w:p>
    <w:p w:rsidR="008169B8" w:rsidRPr="00F32EB0" w:rsidRDefault="008169B8" w:rsidP="003C51C1"/>
    <w:p w:rsidR="003C51C1" w:rsidRPr="00F32EB0" w:rsidRDefault="003C51C1" w:rsidP="003C51C1">
      <w:pPr>
        <w:jc w:val="left"/>
        <w:sectPr w:rsidR="003C51C1" w:rsidRPr="00F32EB0" w:rsidSect="00FA1A7D">
          <w:headerReference w:type="default" r:id="rId9"/>
          <w:pgSz w:w="11907" w:h="16840" w:code="9"/>
          <w:pgMar w:top="510" w:right="1134" w:bottom="851" w:left="1134" w:header="510" w:footer="680" w:gutter="0"/>
          <w:cols w:space="720"/>
          <w:titlePg/>
        </w:sectPr>
      </w:pPr>
      <w:bookmarkStart w:id="12" w:name="_GoBack"/>
      <w:bookmarkEnd w:id="12"/>
    </w:p>
    <w:p w:rsidR="008169B8" w:rsidRPr="006C113F" w:rsidRDefault="008169B8" w:rsidP="006C113F">
      <w:r w:rsidRPr="006C113F">
        <w:lastRenderedPageBreak/>
        <w:t>MÉTHODE DE CALCUL DE L</w:t>
      </w:r>
      <w:r w:rsidR="00BF4883" w:rsidRPr="006C113F">
        <w:t>’</w:t>
      </w:r>
      <w:r w:rsidRPr="006C113F">
        <w:t>ANALYSE GLOBALE DE L</w:t>
      </w:r>
      <w:r w:rsidR="00BF4883" w:rsidRPr="006C113F">
        <w:t>’</w:t>
      </w:r>
      <w:r w:rsidRPr="006C113F">
        <w:t>HOMOGÉNÉITÉ SUR PLUSIEURS ANNÉES (</w:t>
      </w:r>
      <w:r w:rsidR="006D23DF" w:rsidRPr="006C113F">
        <w:t>MÉTHODE</w:t>
      </w:r>
      <w:r w:rsidR="00FE4887" w:rsidRPr="006C113F">
        <w:t xml:space="preserve"> D</w:t>
      </w:r>
      <w:r w:rsidR="00BF4883" w:rsidRPr="006C113F">
        <w:t>’</w:t>
      </w:r>
      <w:r w:rsidR="00FE4887" w:rsidRPr="006C113F">
        <w:t>ANALYSE COYU</w:t>
      </w:r>
      <w:r w:rsidRPr="006C113F">
        <w:t>)</w:t>
      </w:r>
      <w:r w:rsidR="00BF4883" w:rsidRPr="006C113F">
        <w:t> :</w:t>
      </w:r>
      <w:r w:rsidRPr="006C113F">
        <w:t xml:space="preserve"> POINT SUR L</w:t>
      </w:r>
      <w:r w:rsidR="00BF4883" w:rsidRPr="006C113F">
        <w:t>’</w:t>
      </w:r>
      <w:r w:rsidRPr="006C113F">
        <w:t>ÉTAT D</w:t>
      </w:r>
      <w:r w:rsidR="00BF4883" w:rsidRPr="006C113F">
        <w:t>’</w:t>
      </w:r>
      <w:r w:rsidRPr="006C113F">
        <w:t>AVANCEMENT</w:t>
      </w:r>
    </w:p>
    <w:p w:rsidR="008169B8" w:rsidRDefault="008169B8" w:rsidP="001206C5"/>
    <w:p w:rsidR="001206C5" w:rsidRPr="00C35628" w:rsidRDefault="001206C5" w:rsidP="001206C5"/>
    <w:p w:rsidR="008169B8" w:rsidRPr="00F32EB0" w:rsidRDefault="00853548" w:rsidP="00853548">
      <w:pPr>
        <w:rPr>
          <w:rFonts w:eastAsia="Calibri"/>
        </w:rPr>
      </w:pPr>
      <w:bookmarkStart w:id="13" w:name="_Toc523747515"/>
      <w:r w:rsidRPr="00F32EB0">
        <w:rPr>
          <w:rFonts w:eastAsia="Calibri"/>
        </w:rPr>
        <w:t>GÉNÉRALITÉS</w:t>
      </w:r>
      <w:bookmarkEnd w:id="13"/>
    </w:p>
    <w:p w:rsidR="008169B8" w:rsidRPr="001206C5" w:rsidRDefault="008169B8" w:rsidP="001206C5">
      <w:pPr>
        <w:rPr>
          <w:rFonts w:eastAsia="Calibri"/>
        </w:rPr>
      </w:pPr>
    </w:p>
    <w:p w:rsidR="008169B8" w:rsidRPr="00F32EB0" w:rsidRDefault="008169B8" w:rsidP="00E63C89">
      <w:pPr>
        <w:pStyle w:val="ListParagraph"/>
        <w:numPr>
          <w:ilvl w:val="0"/>
          <w:numId w:val="7"/>
        </w:numPr>
        <w:ind w:left="0" w:firstLine="0"/>
        <w:rPr>
          <w:rFonts w:eastAsia="Calibri"/>
        </w:rPr>
      </w:pPr>
      <w:r w:rsidRPr="00F32EB0">
        <w:rPr>
          <w:rFonts w:eastAsia="Calibri"/>
        </w:rPr>
        <w:t>Suivant les recommandations f</w:t>
      </w:r>
      <w:r w:rsidR="0048076B" w:rsidRPr="00F32EB0">
        <w:rPr>
          <w:rFonts w:eastAsia="Calibri"/>
        </w:rPr>
        <w:t>ormulées par des experts du Dane</w:t>
      </w:r>
      <w:r w:rsidRPr="00F32EB0">
        <w:rPr>
          <w:rFonts w:eastAsia="Calibri"/>
        </w:rPr>
        <w:t>mark et du Royaume</w:t>
      </w:r>
      <w:r w:rsidR="00DB478B" w:rsidRPr="00F32EB0">
        <w:rPr>
          <w:rFonts w:eastAsia="Calibri"/>
        </w:rPr>
        <w:noBreakHyphen/>
      </w:r>
      <w:r w:rsidRPr="00F32EB0">
        <w:rPr>
          <w:rFonts w:eastAsia="Calibri"/>
        </w:rPr>
        <w:t>Uni, il a été décidé d</w:t>
      </w:r>
      <w:r w:rsidR="00BF4883" w:rsidRPr="00F32EB0">
        <w:rPr>
          <w:rFonts w:eastAsia="Calibri"/>
        </w:rPr>
        <w:t>’</w:t>
      </w:r>
      <w:r w:rsidRPr="00F32EB0">
        <w:rPr>
          <w:rFonts w:eastAsia="Calibri"/>
        </w:rPr>
        <w:t xml:space="preserve">apporter des améliorations à la </w:t>
      </w:r>
      <w:r w:rsidR="006D23DF" w:rsidRPr="00F32EB0">
        <w:rPr>
          <w:rFonts w:eastAsia="Calibri"/>
        </w:rPr>
        <w:t>méthode</w:t>
      </w:r>
      <w:r w:rsidR="00FE4887" w:rsidRPr="00F32EB0">
        <w:rPr>
          <w:rFonts w:eastAsia="Calibri"/>
        </w:rPr>
        <w:t xml:space="preserve"> d</w:t>
      </w:r>
      <w:r w:rsidR="00BF4883" w:rsidRPr="00F32EB0">
        <w:rPr>
          <w:rFonts w:eastAsia="Calibri"/>
        </w:rPr>
        <w:t>’</w:t>
      </w:r>
      <w:r w:rsidR="00FE4887" w:rsidRPr="00F32EB0">
        <w:rPr>
          <w:rFonts w:eastAsia="Calibri"/>
        </w:rPr>
        <w:t>analyse COYU</w:t>
      </w:r>
      <w:r w:rsidRPr="00F32EB0">
        <w:rPr>
          <w:rFonts w:eastAsia="Calibri"/>
        </w:rPr>
        <w:t>.</w:t>
      </w:r>
    </w:p>
    <w:p w:rsidR="008169B8" w:rsidRPr="001206C5" w:rsidRDefault="008169B8" w:rsidP="001206C5">
      <w:pPr>
        <w:rPr>
          <w:rFonts w:eastAsia="Calibri"/>
        </w:rPr>
      </w:pPr>
    </w:p>
    <w:p w:rsidR="008169B8" w:rsidRPr="00F32EB0" w:rsidRDefault="00897AF2" w:rsidP="00E63C89">
      <w:pPr>
        <w:pStyle w:val="ListParagraph"/>
        <w:numPr>
          <w:ilvl w:val="0"/>
          <w:numId w:val="7"/>
        </w:numPr>
        <w:ind w:left="0" w:firstLine="0"/>
        <w:rPr>
          <w:rFonts w:eastAsia="Calibri"/>
        </w:rPr>
      </w:pPr>
      <w:r w:rsidRPr="00F32EB0">
        <w:rPr>
          <w:rFonts w:eastAsia="Calibri"/>
        </w:rPr>
        <w:t>À</w:t>
      </w:r>
      <w:r w:rsidR="008169B8" w:rsidRPr="00F32EB0">
        <w:rPr>
          <w:rFonts w:eastAsia="Calibri"/>
        </w:rPr>
        <w:t xml:space="preserve"> sa trente</w:t>
      </w:r>
      <w:r w:rsidR="00DB478B" w:rsidRPr="00F32EB0">
        <w:rPr>
          <w:rFonts w:eastAsia="Calibri"/>
        </w:rPr>
        <w:noBreakHyphen/>
      </w:r>
      <w:r w:rsidR="008169B8" w:rsidRPr="00F32EB0">
        <w:rPr>
          <w:rFonts w:eastAsia="Calibri"/>
        </w:rPr>
        <w:t>cinqu</w:t>
      </w:r>
      <w:r w:rsidR="00BF4883" w:rsidRPr="00F32EB0">
        <w:rPr>
          <w:rFonts w:eastAsia="Calibri"/>
        </w:rPr>
        <w:t>ième session</w:t>
      </w:r>
      <w:r w:rsidR="008169B8" w:rsidRPr="00F32EB0">
        <w:rPr>
          <w:rFonts w:eastAsia="Calibri"/>
        </w:rPr>
        <w:t>, le Groupe de travail technique sur les systèmes d</w:t>
      </w:r>
      <w:r w:rsidR="00BF4883" w:rsidRPr="00F32EB0">
        <w:rPr>
          <w:rFonts w:eastAsia="Calibri"/>
        </w:rPr>
        <w:t>’</w:t>
      </w:r>
      <w:r w:rsidR="008169B8" w:rsidRPr="00F32EB0">
        <w:rPr>
          <w:rFonts w:eastAsia="Calibri"/>
        </w:rPr>
        <w:t>automatisation et les programmes d</w:t>
      </w:r>
      <w:r w:rsidR="00BF4883" w:rsidRPr="00F32EB0">
        <w:rPr>
          <w:rFonts w:eastAsia="Calibri"/>
        </w:rPr>
        <w:t>’</w:t>
      </w:r>
      <w:r w:rsidR="008169B8" w:rsidRPr="00F32EB0">
        <w:rPr>
          <w:rFonts w:eastAsia="Calibri"/>
        </w:rPr>
        <w:t xml:space="preserve">ordinateur (TWC) a pris note des progrès accomplis (voir les </w:t>
      </w:r>
      <w:r w:rsidR="00BF4883" w:rsidRPr="00F32EB0">
        <w:rPr>
          <w:rFonts w:eastAsia="Calibri"/>
        </w:rPr>
        <w:t>paragraphes 8</w:t>
      </w:r>
      <w:r w:rsidR="008169B8" w:rsidRPr="00F32EB0">
        <w:rPr>
          <w:rFonts w:eastAsia="Calibri"/>
        </w:rPr>
        <w:t>1 à 84 du document</w:t>
      </w:r>
      <w:r w:rsidR="0093300C" w:rsidRPr="00F32EB0">
        <w:rPr>
          <w:rFonts w:eastAsia="Calibri"/>
        </w:rPr>
        <w:t> </w:t>
      </w:r>
      <w:r w:rsidR="008169B8" w:rsidRPr="00F32EB0">
        <w:rPr>
          <w:rFonts w:eastAsia="Calibri"/>
        </w:rPr>
        <w:t>TW/35/21 “Report”)</w:t>
      </w:r>
      <w:r w:rsidR="00BF4883" w:rsidRPr="00F32EB0">
        <w:rPr>
          <w:rFonts w:eastAsia="Calibri"/>
        </w:rPr>
        <w:t> :</w:t>
      </w:r>
    </w:p>
    <w:p w:rsidR="008169B8" w:rsidRPr="001206C5" w:rsidRDefault="008169B8" w:rsidP="001206C5">
      <w:pPr>
        <w:rPr>
          <w:rFonts w:eastAsia="Calibri"/>
        </w:rPr>
      </w:pPr>
    </w:p>
    <w:p w:rsidR="008169B8" w:rsidRPr="00F32EB0" w:rsidRDefault="008169B8" w:rsidP="008169B8">
      <w:pPr>
        <w:spacing w:after="160" w:line="259" w:lineRule="auto"/>
        <w:ind w:left="567" w:right="567"/>
        <w:rPr>
          <w:rFonts w:eastAsia="Calibri" w:cs="Arial"/>
          <w:bCs/>
          <w:sz w:val="18"/>
          <w:szCs w:val="18"/>
        </w:rPr>
      </w:pPr>
      <w:r w:rsidRPr="00F32EB0">
        <w:rPr>
          <w:rFonts w:eastAsia="Calibri" w:cs="Arial"/>
          <w:bCs/>
          <w:sz w:val="18"/>
          <w:szCs w:val="18"/>
        </w:rPr>
        <w:t>“81.</w:t>
      </w:r>
      <w:r w:rsidRPr="00F32EB0">
        <w:rPr>
          <w:rFonts w:eastAsia="Calibri" w:cs="Arial"/>
          <w:bCs/>
          <w:sz w:val="18"/>
          <w:szCs w:val="18"/>
        </w:rPr>
        <w:tab/>
        <w:t>Le TWC a examiné les documents</w:t>
      </w:r>
      <w:r w:rsidR="0093300C" w:rsidRPr="00F32EB0">
        <w:rPr>
          <w:rFonts w:eastAsia="Calibri" w:cs="Arial"/>
          <w:bCs/>
          <w:sz w:val="18"/>
          <w:szCs w:val="18"/>
        </w:rPr>
        <w:t> </w:t>
      </w:r>
      <w:r w:rsidRPr="00F32EB0">
        <w:rPr>
          <w:rFonts w:eastAsia="Calibri" w:cs="Arial"/>
          <w:bCs/>
          <w:sz w:val="18"/>
          <w:szCs w:val="18"/>
        </w:rPr>
        <w:t>TWP1/13 et TWC/35/6 “</w:t>
      </w:r>
      <w:r w:rsidRPr="008A287E">
        <w:rPr>
          <w:rFonts w:eastAsia="Calibri" w:cs="Arial"/>
          <w:bCs/>
          <w:sz w:val="18"/>
          <w:szCs w:val="18"/>
        </w:rPr>
        <w:t xml:space="preserve">Method of </w:t>
      </w:r>
      <w:proofErr w:type="spellStart"/>
      <w:r w:rsidRPr="008A287E">
        <w:rPr>
          <w:rFonts w:eastAsia="Calibri" w:cs="Arial"/>
          <w:bCs/>
          <w:sz w:val="18"/>
          <w:szCs w:val="18"/>
        </w:rPr>
        <w:t>calculation</w:t>
      </w:r>
      <w:proofErr w:type="spellEnd"/>
      <w:r w:rsidRPr="008A287E">
        <w:rPr>
          <w:rFonts w:eastAsia="Calibri" w:cs="Arial"/>
          <w:bCs/>
          <w:sz w:val="18"/>
          <w:szCs w:val="18"/>
        </w:rPr>
        <w:t xml:space="preserve"> of COYU: </w:t>
      </w:r>
      <w:proofErr w:type="spellStart"/>
      <w:r w:rsidRPr="008A287E">
        <w:rPr>
          <w:rFonts w:eastAsia="Calibri" w:cs="Arial"/>
          <w:bCs/>
          <w:sz w:val="18"/>
          <w:szCs w:val="18"/>
        </w:rPr>
        <w:t>practical</w:t>
      </w:r>
      <w:proofErr w:type="spellEnd"/>
      <w:r w:rsidRPr="008A287E">
        <w:rPr>
          <w:rFonts w:eastAsia="Calibri" w:cs="Arial"/>
          <w:bCs/>
          <w:sz w:val="18"/>
          <w:szCs w:val="18"/>
        </w:rPr>
        <w:t xml:space="preserve"> </w:t>
      </w:r>
      <w:proofErr w:type="spellStart"/>
      <w:r w:rsidRPr="008A287E">
        <w:rPr>
          <w:rFonts w:eastAsia="Calibri" w:cs="Arial"/>
          <w:bCs/>
          <w:sz w:val="18"/>
          <w:szCs w:val="18"/>
        </w:rPr>
        <w:t>exercise</w:t>
      </w:r>
      <w:proofErr w:type="spellEnd"/>
      <w:r w:rsidRPr="008A287E">
        <w:rPr>
          <w:rFonts w:eastAsia="Calibri" w:cs="Arial"/>
          <w:bCs/>
          <w:sz w:val="18"/>
          <w:szCs w:val="18"/>
        </w:rPr>
        <w:t xml:space="preserve">, </w:t>
      </w:r>
      <w:proofErr w:type="spellStart"/>
      <w:r w:rsidRPr="008A287E">
        <w:rPr>
          <w:rFonts w:eastAsia="Calibri" w:cs="Arial"/>
          <w:bCs/>
          <w:sz w:val="18"/>
          <w:szCs w:val="18"/>
        </w:rPr>
        <w:t>probability</w:t>
      </w:r>
      <w:proofErr w:type="spellEnd"/>
      <w:r w:rsidRPr="008A287E">
        <w:rPr>
          <w:rFonts w:eastAsia="Calibri" w:cs="Arial"/>
          <w:bCs/>
          <w:sz w:val="18"/>
          <w:szCs w:val="18"/>
        </w:rPr>
        <w:t xml:space="preserve"> </w:t>
      </w:r>
      <w:proofErr w:type="spellStart"/>
      <w:r w:rsidRPr="008A287E">
        <w:rPr>
          <w:rFonts w:eastAsia="Calibri" w:cs="Arial"/>
          <w:bCs/>
          <w:sz w:val="18"/>
          <w:szCs w:val="18"/>
        </w:rPr>
        <w:t>levels</w:t>
      </w:r>
      <w:proofErr w:type="spellEnd"/>
      <w:r w:rsidRPr="00F32EB0">
        <w:rPr>
          <w:rFonts w:eastAsia="Calibri" w:cs="Arial"/>
          <w:bCs/>
          <w:sz w:val="18"/>
          <w:szCs w:val="18"/>
        </w:rPr>
        <w:t>, e</w:t>
      </w:r>
      <w:r w:rsidR="00A47C3C" w:rsidRPr="00F32EB0">
        <w:rPr>
          <w:rFonts w:eastAsia="Calibri" w:cs="Arial"/>
          <w:bCs/>
          <w:sz w:val="18"/>
          <w:szCs w:val="18"/>
        </w:rPr>
        <w:t xml:space="preserve">xtrapolation and software” et </w:t>
      </w:r>
      <w:r w:rsidR="00CF02DF" w:rsidRPr="00F32EB0">
        <w:rPr>
          <w:rFonts w:eastAsia="Calibri" w:cs="Arial"/>
          <w:bCs/>
          <w:sz w:val="18"/>
          <w:szCs w:val="18"/>
        </w:rPr>
        <w:t>assisté</w:t>
      </w:r>
      <w:r w:rsidRPr="00F32EB0">
        <w:rPr>
          <w:rFonts w:eastAsia="Calibri" w:cs="Arial"/>
          <w:bCs/>
          <w:sz w:val="18"/>
          <w:szCs w:val="18"/>
        </w:rPr>
        <w:t xml:space="preserve"> à un exposé présenté par le Royaume</w:t>
      </w:r>
      <w:r w:rsidR="00DB478B" w:rsidRPr="00F32EB0">
        <w:rPr>
          <w:rFonts w:eastAsia="Calibri" w:cs="Arial"/>
          <w:bCs/>
          <w:sz w:val="18"/>
          <w:szCs w:val="18"/>
        </w:rPr>
        <w:noBreakHyphen/>
      </w:r>
      <w:r w:rsidR="00CF02DF" w:rsidRPr="00F32EB0">
        <w:rPr>
          <w:rFonts w:eastAsia="Calibri" w:cs="Arial"/>
          <w:bCs/>
          <w:sz w:val="18"/>
          <w:szCs w:val="18"/>
        </w:rPr>
        <w:t>Uni,</w:t>
      </w:r>
      <w:r w:rsidRPr="00F32EB0">
        <w:rPr>
          <w:rFonts w:eastAsia="Calibri" w:cs="Arial"/>
          <w:bCs/>
          <w:sz w:val="18"/>
          <w:szCs w:val="18"/>
        </w:rPr>
        <w:t xml:space="preserve"> dont une copie figure dans le document TWC/35/6</w:t>
      </w:r>
      <w:r w:rsidR="000B0934" w:rsidRPr="00F32EB0">
        <w:rPr>
          <w:rFonts w:eastAsia="Calibri" w:cs="Arial"/>
          <w:bCs/>
          <w:sz w:val="18"/>
          <w:szCs w:val="18"/>
        </w:rPr>
        <w:t> </w:t>
      </w:r>
      <w:proofErr w:type="spellStart"/>
      <w:r w:rsidRPr="00F32EB0">
        <w:rPr>
          <w:rFonts w:eastAsia="Calibri" w:cs="Arial"/>
          <w:bCs/>
          <w:sz w:val="18"/>
          <w:szCs w:val="18"/>
        </w:rPr>
        <w:t>Add</w:t>
      </w:r>
      <w:proofErr w:type="spellEnd"/>
      <w:r w:rsidRPr="00F32EB0">
        <w:rPr>
          <w:rFonts w:eastAsia="Calibri" w:cs="Arial"/>
          <w:bCs/>
          <w:sz w:val="18"/>
          <w:szCs w:val="18"/>
        </w:rPr>
        <w:t>.</w:t>
      </w:r>
    </w:p>
    <w:p w:rsidR="00BF4883" w:rsidRPr="00F32EB0" w:rsidRDefault="008169B8" w:rsidP="008169B8">
      <w:pPr>
        <w:spacing w:after="160" w:line="259" w:lineRule="auto"/>
        <w:ind w:left="567" w:right="567"/>
        <w:rPr>
          <w:rFonts w:eastAsia="Calibri" w:cs="Arial"/>
          <w:bCs/>
          <w:sz w:val="18"/>
          <w:szCs w:val="18"/>
        </w:rPr>
      </w:pPr>
      <w:r w:rsidRPr="00F32EB0">
        <w:rPr>
          <w:rFonts w:eastAsia="Calibri" w:cs="Arial"/>
          <w:bCs/>
          <w:sz w:val="18"/>
          <w:szCs w:val="18"/>
        </w:rPr>
        <w:t>82.</w:t>
      </w:r>
      <w:r w:rsidRPr="00F32EB0">
        <w:rPr>
          <w:rFonts w:eastAsia="Calibri" w:cs="Arial"/>
          <w:bCs/>
          <w:sz w:val="18"/>
          <w:szCs w:val="18"/>
        </w:rPr>
        <w:tab/>
        <w:t>Le</w:t>
      </w:r>
      <w:r w:rsidR="007B5F08" w:rsidRPr="00F32EB0">
        <w:rPr>
          <w:rFonts w:eastAsia="Calibri" w:cs="Arial"/>
          <w:bCs/>
          <w:sz w:val="18"/>
          <w:szCs w:val="18"/>
        </w:rPr>
        <w:t xml:space="preserve"> </w:t>
      </w:r>
      <w:r w:rsidRPr="00F32EB0">
        <w:rPr>
          <w:rFonts w:eastAsia="Calibri" w:cs="Arial"/>
          <w:bCs/>
          <w:sz w:val="18"/>
          <w:szCs w:val="18"/>
        </w:rPr>
        <w:t>TWC a examiné le rapport sur les faits nouveaux concernant la nouvelle méthode calcul de</w:t>
      </w:r>
      <w:r w:rsidR="00BF4883" w:rsidRPr="00F32EB0">
        <w:rPr>
          <w:rFonts w:eastAsia="Calibri" w:cs="Arial"/>
          <w:bCs/>
          <w:sz w:val="18"/>
          <w:szCs w:val="18"/>
        </w:rPr>
        <w:t xml:space="preserve"> la COY</w:t>
      </w:r>
      <w:r w:rsidRPr="00F32EB0">
        <w:rPr>
          <w:rFonts w:eastAsia="Calibri" w:cs="Arial"/>
          <w:bCs/>
          <w:sz w:val="18"/>
          <w:szCs w:val="18"/>
        </w:rPr>
        <w:t>U présenté par un expert du Royaume</w:t>
      </w:r>
      <w:r w:rsidR="00DB478B" w:rsidRPr="00F32EB0">
        <w:rPr>
          <w:rFonts w:eastAsia="Calibri" w:cs="Arial"/>
          <w:bCs/>
          <w:sz w:val="18"/>
          <w:szCs w:val="18"/>
        </w:rPr>
        <w:noBreakHyphen/>
      </w:r>
      <w:r w:rsidRPr="00F32EB0">
        <w:rPr>
          <w:rFonts w:eastAsia="Calibri" w:cs="Arial"/>
          <w:bCs/>
          <w:sz w:val="18"/>
          <w:szCs w:val="18"/>
        </w:rPr>
        <w:t>Uni et noté que la mise au point statistique de la méthode avait été menée à bien.</w:t>
      </w:r>
    </w:p>
    <w:p w:rsidR="00BF4883" w:rsidRPr="00F32EB0" w:rsidRDefault="00945C3F" w:rsidP="008169B8">
      <w:pPr>
        <w:spacing w:after="160" w:line="259" w:lineRule="auto"/>
        <w:ind w:left="567" w:right="567"/>
        <w:rPr>
          <w:rFonts w:eastAsia="Calibri" w:cs="Arial"/>
          <w:bCs/>
          <w:sz w:val="18"/>
          <w:szCs w:val="18"/>
        </w:rPr>
      </w:pPr>
      <w:r w:rsidRPr="00F32EB0">
        <w:rPr>
          <w:rFonts w:eastAsia="Calibri" w:cs="Arial"/>
          <w:bCs/>
          <w:sz w:val="18"/>
          <w:szCs w:val="18"/>
        </w:rPr>
        <w:t>83.</w:t>
      </w:r>
      <w:r w:rsidRPr="00F32EB0">
        <w:rPr>
          <w:rFonts w:eastAsia="Calibri" w:cs="Arial"/>
          <w:bCs/>
          <w:sz w:val="18"/>
          <w:szCs w:val="18"/>
        </w:rPr>
        <w:tab/>
        <w:t>Le TWC a</w:t>
      </w:r>
      <w:r w:rsidR="008169B8" w:rsidRPr="00F32EB0">
        <w:rPr>
          <w:rFonts w:eastAsia="Calibri" w:cs="Arial"/>
          <w:bCs/>
          <w:sz w:val="18"/>
          <w:szCs w:val="18"/>
        </w:rPr>
        <w:t xml:space="preserve"> pris note des résultats de l</w:t>
      </w:r>
      <w:r w:rsidR="00BF4883" w:rsidRPr="00F32EB0">
        <w:rPr>
          <w:rFonts w:eastAsia="Calibri" w:cs="Arial"/>
          <w:bCs/>
          <w:sz w:val="18"/>
          <w:szCs w:val="18"/>
        </w:rPr>
        <w:t>’</w:t>
      </w:r>
      <w:r w:rsidR="008169B8" w:rsidRPr="00F32EB0">
        <w:rPr>
          <w:rFonts w:eastAsia="Calibri" w:cs="Arial"/>
          <w:bCs/>
          <w:sz w:val="18"/>
          <w:szCs w:val="18"/>
        </w:rPr>
        <w:t>exercice prat</w:t>
      </w:r>
      <w:r w:rsidR="00AC799D" w:rsidRPr="00F32EB0">
        <w:rPr>
          <w:rFonts w:eastAsia="Calibri" w:cs="Arial"/>
          <w:bCs/>
          <w:sz w:val="18"/>
          <w:szCs w:val="18"/>
        </w:rPr>
        <w:t>ique et du relèvement des niveaux</w:t>
      </w:r>
      <w:r w:rsidR="008169B8" w:rsidRPr="00F32EB0">
        <w:rPr>
          <w:rFonts w:eastAsia="Calibri" w:cs="Arial"/>
          <w:bCs/>
          <w:sz w:val="18"/>
          <w:szCs w:val="18"/>
        </w:rPr>
        <w:t xml:space="preserve"> de probabilité exigés par la nouvelle méthode qui se rapprochent le plus des décisions prises au moyen de la méthode actuelle de calcul de</w:t>
      </w:r>
      <w:r w:rsidR="00BF4883" w:rsidRPr="00F32EB0">
        <w:rPr>
          <w:rFonts w:eastAsia="Calibri" w:cs="Arial"/>
          <w:bCs/>
          <w:sz w:val="18"/>
          <w:szCs w:val="18"/>
        </w:rPr>
        <w:t xml:space="preserve"> la COY</w:t>
      </w:r>
      <w:r w:rsidR="008169B8" w:rsidRPr="00F32EB0">
        <w:rPr>
          <w:rFonts w:eastAsia="Calibri" w:cs="Arial"/>
          <w:bCs/>
          <w:sz w:val="18"/>
          <w:szCs w:val="18"/>
        </w:rPr>
        <w:t>U</w:t>
      </w:r>
    </w:p>
    <w:p w:rsidR="008169B8" w:rsidRPr="00F32EB0" w:rsidRDefault="000E2201" w:rsidP="008169B8">
      <w:pPr>
        <w:pStyle w:val="ListParagraph"/>
        <w:numPr>
          <w:ilvl w:val="0"/>
          <w:numId w:val="6"/>
        </w:numPr>
        <w:ind w:left="1134" w:right="567" w:hanging="11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>niveaux</w:t>
      </w:r>
      <w:r w:rsidR="008169B8" w:rsidRPr="00F32EB0">
        <w:rPr>
          <w:rFonts w:eastAsia="Calibri"/>
          <w:sz w:val="18"/>
          <w:szCs w:val="18"/>
        </w:rPr>
        <w:t xml:space="preserve"> de probabilité</w:t>
      </w:r>
      <w:r w:rsidR="00B71389" w:rsidRPr="00F32EB0">
        <w:rPr>
          <w:rFonts w:eastAsia="Calibri"/>
          <w:sz w:val="18"/>
          <w:szCs w:val="18"/>
        </w:rPr>
        <w:t xml:space="preserve"> de</w:t>
      </w:r>
      <w:r w:rsidR="008169B8" w:rsidRPr="00F32EB0">
        <w:rPr>
          <w:rFonts w:eastAsia="Calibri"/>
          <w:sz w:val="18"/>
          <w:szCs w:val="18"/>
        </w:rPr>
        <w:t xml:space="preserve"> 0.003 correspondant à 0.001 pour la </w:t>
      </w:r>
      <w:r w:rsidR="006D23DF" w:rsidRPr="00F32EB0">
        <w:rPr>
          <w:rFonts w:eastAsia="Calibri"/>
          <w:sz w:val="18"/>
          <w:szCs w:val="18"/>
        </w:rPr>
        <w:t>méthode</w:t>
      </w:r>
      <w:r w:rsidR="00FE4887" w:rsidRPr="00F32EB0">
        <w:rPr>
          <w:rFonts w:eastAsia="Calibri"/>
          <w:sz w:val="18"/>
          <w:szCs w:val="18"/>
        </w:rPr>
        <w:t xml:space="preserve"> d</w:t>
      </w:r>
      <w:r w:rsidR="00BF4883" w:rsidRPr="00F32EB0">
        <w:rPr>
          <w:rFonts w:eastAsia="Calibri"/>
          <w:sz w:val="18"/>
          <w:szCs w:val="18"/>
        </w:rPr>
        <w:t>’</w:t>
      </w:r>
      <w:r w:rsidR="00FE4887" w:rsidRPr="00F32EB0">
        <w:rPr>
          <w:rFonts w:eastAsia="Calibri"/>
          <w:sz w:val="18"/>
          <w:szCs w:val="18"/>
        </w:rPr>
        <w:t>analyse COYU</w:t>
      </w:r>
      <w:r w:rsidR="008169B8" w:rsidRPr="00F32EB0">
        <w:rPr>
          <w:rFonts w:eastAsia="Calibri"/>
          <w:sz w:val="18"/>
          <w:szCs w:val="18"/>
        </w:rPr>
        <w:t xml:space="preserve"> actuelle</w:t>
      </w:r>
    </w:p>
    <w:p w:rsidR="008169B8" w:rsidRPr="00F32EB0" w:rsidRDefault="000E2201" w:rsidP="008169B8">
      <w:pPr>
        <w:pStyle w:val="ListParagraph"/>
        <w:numPr>
          <w:ilvl w:val="0"/>
          <w:numId w:val="6"/>
        </w:numPr>
        <w:ind w:left="1134" w:right="567" w:hanging="11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>niveaux</w:t>
      </w:r>
      <w:r w:rsidR="008169B8" w:rsidRPr="00F32EB0">
        <w:rPr>
          <w:rFonts w:eastAsia="Calibri"/>
          <w:sz w:val="18"/>
          <w:szCs w:val="18"/>
        </w:rPr>
        <w:t xml:space="preserve"> de probabilité </w:t>
      </w:r>
      <w:r w:rsidR="00B71389" w:rsidRPr="00F32EB0">
        <w:rPr>
          <w:rFonts w:eastAsia="Calibri"/>
          <w:sz w:val="18"/>
          <w:szCs w:val="18"/>
        </w:rPr>
        <w:t xml:space="preserve">de </w:t>
      </w:r>
      <w:r w:rsidR="008169B8" w:rsidRPr="00F32EB0">
        <w:rPr>
          <w:rFonts w:eastAsia="Calibri"/>
          <w:sz w:val="18"/>
          <w:szCs w:val="18"/>
        </w:rPr>
        <w:t xml:space="preserve">0.02 correspondant à 0.01 pour la </w:t>
      </w:r>
      <w:r w:rsidR="006D23DF" w:rsidRPr="00F32EB0">
        <w:rPr>
          <w:rFonts w:eastAsia="Calibri"/>
          <w:sz w:val="18"/>
          <w:szCs w:val="18"/>
        </w:rPr>
        <w:t>méthode</w:t>
      </w:r>
      <w:r w:rsidR="00FE4887" w:rsidRPr="00F32EB0">
        <w:rPr>
          <w:rFonts w:eastAsia="Calibri"/>
          <w:sz w:val="18"/>
          <w:szCs w:val="18"/>
        </w:rPr>
        <w:t xml:space="preserve"> d</w:t>
      </w:r>
      <w:r w:rsidR="00BF4883" w:rsidRPr="00F32EB0">
        <w:rPr>
          <w:rFonts w:eastAsia="Calibri"/>
          <w:sz w:val="18"/>
          <w:szCs w:val="18"/>
        </w:rPr>
        <w:t>’</w:t>
      </w:r>
      <w:r w:rsidR="00FE4887" w:rsidRPr="00F32EB0">
        <w:rPr>
          <w:rFonts w:eastAsia="Calibri"/>
          <w:sz w:val="18"/>
          <w:szCs w:val="18"/>
        </w:rPr>
        <w:t>analyse COYU</w:t>
      </w:r>
      <w:r w:rsidR="008169B8" w:rsidRPr="00F32EB0">
        <w:rPr>
          <w:rFonts w:eastAsia="Calibri"/>
          <w:sz w:val="18"/>
          <w:szCs w:val="18"/>
        </w:rPr>
        <w:t xml:space="preserve"> actuelle</w:t>
      </w:r>
    </w:p>
    <w:p w:rsidR="008169B8" w:rsidRPr="00F32EB0" w:rsidRDefault="008169B8" w:rsidP="008169B8">
      <w:pPr>
        <w:ind w:left="567" w:right="567"/>
        <w:rPr>
          <w:rFonts w:eastAsia="Calibri"/>
          <w:sz w:val="18"/>
          <w:szCs w:val="18"/>
        </w:rPr>
      </w:pPr>
    </w:p>
    <w:p w:rsidR="00BF4883" w:rsidRPr="00F32EB0" w:rsidRDefault="008169B8" w:rsidP="008169B8">
      <w:pPr>
        <w:spacing w:after="160" w:line="259" w:lineRule="auto"/>
        <w:ind w:left="567" w:right="567"/>
        <w:rPr>
          <w:rFonts w:eastAsia="Calibri" w:cs="Arial"/>
          <w:bCs/>
          <w:sz w:val="18"/>
          <w:szCs w:val="18"/>
        </w:rPr>
      </w:pPr>
      <w:r w:rsidRPr="00F32EB0">
        <w:rPr>
          <w:rFonts w:eastAsia="Calibri" w:cs="Arial"/>
          <w:bCs/>
          <w:sz w:val="18"/>
          <w:szCs w:val="18"/>
        </w:rPr>
        <w:t>84.</w:t>
      </w:r>
      <w:r w:rsidRPr="00F32EB0">
        <w:rPr>
          <w:rFonts w:eastAsia="Calibri" w:cs="Arial"/>
          <w:bCs/>
          <w:sz w:val="18"/>
          <w:szCs w:val="18"/>
        </w:rPr>
        <w:tab/>
        <w:t xml:space="preserve">Le TWC a pris note des domaines suivants </w:t>
      </w:r>
      <w:r w:rsidR="00BB2E07" w:rsidRPr="00F32EB0">
        <w:rPr>
          <w:rFonts w:eastAsia="Calibri" w:cs="Arial"/>
          <w:bCs/>
          <w:sz w:val="18"/>
          <w:szCs w:val="18"/>
        </w:rPr>
        <w:t>qui ont été recensés en vue d</w:t>
      </w:r>
      <w:r w:rsidR="00BF4883" w:rsidRPr="00F32EB0">
        <w:rPr>
          <w:rFonts w:eastAsia="Calibri" w:cs="Arial"/>
          <w:bCs/>
          <w:sz w:val="18"/>
          <w:szCs w:val="18"/>
        </w:rPr>
        <w:t>’</w:t>
      </w:r>
      <w:r w:rsidRPr="00F32EB0">
        <w:rPr>
          <w:rFonts w:eastAsia="Calibri" w:cs="Arial"/>
          <w:bCs/>
          <w:sz w:val="18"/>
          <w:szCs w:val="18"/>
        </w:rPr>
        <w:t>améliorer encore le logiciel à l</w:t>
      </w:r>
      <w:r w:rsidR="00BF4883" w:rsidRPr="00F32EB0">
        <w:rPr>
          <w:rFonts w:eastAsia="Calibri" w:cs="Arial"/>
          <w:bCs/>
          <w:sz w:val="18"/>
          <w:szCs w:val="18"/>
        </w:rPr>
        <w:t>’</w:t>
      </w:r>
      <w:r w:rsidRPr="00F32EB0">
        <w:rPr>
          <w:rFonts w:eastAsia="Calibri" w:cs="Arial"/>
          <w:bCs/>
          <w:sz w:val="18"/>
          <w:szCs w:val="18"/>
        </w:rPr>
        <w:t>aide de la nouvelle méthode de calc</w:t>
      </w:r>
      <w:r w:rsidR="008E7C7C" w:rsidRPr="00F32EB0">
        <w:rPr>
          <w:rFonts w:eastAsia="Calibri" w:cs="Arial"/>
          <w:bCs/>
          <w:sz w:val="18"/>
          <w:szCs w:val="18"/>
        </w:rPr>
        <w:t>ul de</w:t>
      </w:r>
      <w:r w:rsidR="00BF4883" w:rsidRPr="00F32EB0">
        <w:rPr>
          <w:rFonts w:eastAsia="Calibri" w:cs="Arial"/>
          <w:bCs/>
          <w:sz w:val="18"/>
          <w:szCs w:val="18"/>
        </w:rPr>
        <w:t xml:space="preserve"> la COY</w:t>
      </w:r>
      <w:r w:rsidR="008E7C7C" w:rsidRPr="00F32EB0">
        <w:rPr>
          <w:rFonts w:eastAsia="Calibri" w:cs="Arial"/>
          <w:bCs/>
          <w:sz w:val="18"/>
          <w:szCs w:val="18"/>
        </w:rPr>
        <w:t xml:space="preserve">U </w:t>
      </w:r>
      <w:r w:rsidRPr="00F32EB0">
        <w:rPr>
          <w:rFonts w:eastAsia="Calibri" w:cs="Arial"/>
          <w:bCs/>
          <w:sz w:val="18"/>
          <w:szCs w:val="18"/>
        </w:rPr>
        <w:t>et est convenu d</w:t>
      </w:r>
      <w:r w:rsidR="00BF4883" w:rsidRPr="00F32EB0">
        <w:rPr>
          <w:rFonts w:eastAsia="Calibri" w:cs="Arial"/>
          <w:bCs/>
          <w:sz w:val="18"/>
          <w:szCs w:val="18"/>
        </w:rPr>
        <w:t>’</w:t>
      </w:r>
      <w:r w:rsidRPr="00F32EB0">
        <w:rPr>
          <w:rFonts w:eastAsia="Calibri" w:cs="Arial"/>
          <w:bCs/>
          <w:sz w:val="18"/>
          <w:szCs w:val="18"/>
        </w:rPr>
        <w:t>inviter l</w:t>
      </w:r>
      <w:r w:rsidR="00BF4883" w:rsidRPr="00F32EB0">
        <w:rPr>
          <w:rFonts w:eastAsia="Calibri" w:cs="Arial"/>
          <w:bCs/>
          <w:sz w:val="18"/>
          <w:szCs w:val="18"/>
        </w:rPr>
        <w:t>’</w:t>
      </w:r>
      <w:r w:rsidRPr="00F32EB0">
        <w:rPr>
          <w:rFonts w:eastAsia="Calibri" w:cs="Arial"/>
          <w:bCs/>
          <w:sz w:val="18"/>
          <w:szCs w:val="18"/>
        </w:rPr>
        <w:t>expert du Royaume</w:t>
      </w:r>
      <w:r w:rsidR="00DB478B" w:rsidRPr="00F32EB0">
        <w:rPr>
          <w:rFonts w:eastAsia="Calibri" w:cs="Arial"/>
          <w:bCs/>
          <w:sz w:val="18"/>
          <w:szCs w:val="18"/>
        </w:rPr>
        <w:noBreakHyphen/>
      </w:r>
      <w:r w:rsidRPr="00F32EB0">
        <w:rPr>
          <w:rFonts w:eastAsia="Calibri" w:cs="Arial"/>
          <w:bCs/>
          <w:sz w:val="18"/>
          <w:szCs w:val="18"/>
        </w:rPr>
        <w:t>Uni à rendre compte des faits nouveaux à sa trente</w:t>
      </w:r>
      <w:r w:rsidR="00DB478B" w:rsidRPr="00F32EB0">
        <w:rPr>
          <w:rFonts w:eastAsia="Calibri" w:cs="Arial"/>
          <w:bCs/>
          <w:sz w:val="18"/>
          <w:szCs w:val="18"/>
        </w:rPr>
        <w:noBreakHyphen/>
      </w:r>
      <w:r w:rsidRPr="00F32EB0">
        <w:rPr>
          <w:rFonts w:eastAsia="Calibri" w:cs="Arial"/>
          <w:bCs/>
          <w:sz w:val="18"/>
          <w:szCs w:val="18"/>
        </w:rPr>
        <w:t>six</w:t>
      </w:r>
      <w:r w:rsidR="00BF4883" w:rsidRPr="00F32EB0">
        <w:rPr>
          <w:rFonts w:eastAsia="Calibri" w:cs="Arial"/>
          <w:bCs/>
          <w:sz w:val="18"/>
          <w:szCs w:val="18"/>
        </w:rPr>
        <w:t>ième session :</w:t>
      </w:r>
    </w:p>
    <w:p w:rsidR="008169B8" w:rsidRPr="00F32EB0" w:rsidRDefault="008169B8" w:rsidP="0051674E">
      <w:pPr>
        <w:pStyle w:val="ListParagraph"/>
        <w:numPr>
          <w:ilvl w:val="0"/>
          <w:numId w:val="6"/>
        </w:numPr>
        <w:ind w:left="1134" w:right="567" w:firstLine="0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>Améliorer l</w:t>
      </w:r>
      <w:r w:rsidR="00BF4883" w:rsidRPr="00F32EB0">
        <w:rPr>
          <w:rFonts w:eastAsia="Calibri"/>
          <w:sz w:val="18"/>
          <w:szCs w:val="18"/>
        </w:rPr>
        <w:t>’</w:t>
      </w:r>
      <w:r w:rsidRPr="00F32EB0">
        <w:rPr>
          <w:rFonts w:eastAsia="Calibri"/>
          <w:sz w:val="18"/>
          <w:szCs w:val="18"/>
        </w:rPr>
        <w:t xml:space="preserve">installation avec </w:t>
      </w:r>
      <w:r w:rsidR="006B1525" w:rsidRPr="00F32EB0">
        <w:rPr>
          <w:rFonts w:eastAsia="Calibri"/>
          <w:sz w:val="18"/>
          <w:szCs w:val="18"/>
        </w:rPr>
        <w:t xml:space="preserve">le programme </w:t>
      </w:r>
      <w:r w:rsidRPr="00F32EB0">
        <w:rPr>
          <w:rFonts w:eastAsia="Calibri"/>
          <w:sz w:val="18"/>
          <w:szCs w:val="18"/>
        </w:rPr>
        <w:t>DUST</w:t>
      </w:r>
    </w:p>
    <w:p w:rsidR="008169B8" w:rsidRPr="0051674E" w:rsidRDefault="008169B8" w:rsidP="0051674E">
      <w:pPr>
        <w:pStyle w:val="ListParagraph"/>
        <w:numPr>
          <w:ilvl w:val="0"/>
          <w:numId w:val="6"/>
        </w:numPr>
        <w:ind w:left="1134" w:right="567" w:firstLine="0"/>
        <w:rPr>
          <w:rFonts w:eastAsia="Calibri"/>
          <w:sz w:val="18"/>
          <w:szCs w:val="18"/>
        </w:rPr>
      </w:pPr>
      <w:r w:rsidRPr="0051674E">
        <w:rPr>
          <w:rFonts w:eastAsia="Calibri"/>
          <w:sz w:val="18"/>
          <w:szCs w:val="18"/>
        </w:rPr>
        <w:t>Améliorer les messages d</w:t>
      </w:r>
      <w:r w:rsidR="00BF4883" w:rsidRPr="0051674E">
        <w:rPr>
          <w:rFonts w:eastAsia="Calibri"/>
          <w:sz w:val="18"/>
          <w:szCs w:val="18"/>
        </w:rPr>
        <w:t>’</w:t>
      </w:r>
      <w:r w:rsidRPr="0051674E">
        <w:rPr>
          <w:rFonts w:eastAsia="Calibri"/>
          <w:sz w:val="18"/>
          <w:szCs w:val="18"/>
        </w:rPr>
        <w:t>erreur</w:t>
      </w:r>
    </w:p>
    <w:p w:rsidR="008169B8" w:rsidRPr="00F32EB0" w:rsidRDefault="008169B8" w:rsidP="0051674E">
      <w:pPr>
        <w:pStyle w:val="ListParagraph"/>
        <w:numPr>
          <w:ilvl w:val="0"/>
          <w:numId w:val="6"/>
        </w:numPr>
        <w:ind w:left="1701" w:right="567" w:hanging="567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 xml:space="preserve">Veiller à ce que les ensembles de données </w:t>
      </w:r>
      <w:r w:rsidR="008E7C7C" w:rsidRPr="00F32EB0">
        <w:rPr>
          <w:rFonts w:eastAsia="Calibri"/>
          <w:sz w:val="18"/>
          <w:szCs w:val="18"/>
        </w:rPr>
        <w:t xml:space="preserve">qui posent des problèmes </w:t>
      </w:r>
      <w:r w:rsidRPr="00F32EB0">
        <w:rPr>
          <w:rFonts w:eastAsia="Calibri"/>
          <w:sz w:val="18"/>
          <w:szCs w:val="18"/>
        </w:rPr>
        <w:t>puissent être traitées de façon appropriée</w:t>
      </w:r>
    </w:p>
    <w:p w:rsidR="008169B8" w:rsidRPr="00F32EB0" w:rsidRDefault="008169B8" w:rsidP="0051674E">
      <w:pPr>
        <w:pStyle w:val="ListParagraph"/>
        <w:numPr>
          <w:ilvl w:val="0"/>
          <w:numId w:val="6"/>
        </w:numPr>
        <w:ind w:left="1134" w:right="567" w:firstLine="0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>Générer des drapeaux d</w:t>
      </w:r>
      <w:r w:rsidR="00BF4883" w:rsidRPr="00F32EB0">
        <w:rPr>
          <w:rFonts w:eastAsia="Calibri"/>
          <w:sz w:val="18"/>
          <w:szCs w:val="18"/>
        </w:rPr>
        <w:t>’</w:t>
      </w:r>
      <w:r w:rsidRPr="00F32EB0">
        <w:rPr>
          <w:rFonts w:eastAsia="Calibri"/>
          <w:sz w:val="18"/>
          <w:szCs w:val="18"/>
        </w:rPr>
        <w:t>extrapolation conformément à l</w:t>
      </w:r>
      <w:r w:rsidR="00BF4883" w:rsidRPr="00F32EB0">
        <w:rPr>
          <w:rFonts w:eastAsia="Calibri"/>
          <w:sz w:val="18"/>
          <w:szCs w:val="18"/>
        </w:rPr>
        <w:t>’</w:t>
      </w:r>
      <w:r w:rsidRPr="00F32EB0">
        <w:rPr>
          <w:rFonts w:eastAsia="Calibri"/>
          <w:sz w:val="18"/>
          <w:szCs w:val="18"/>
        </w:rPr>
        <w:t>approche approuvée par</w:t>
      </w:r>
      <w:r w:rsidR="00BF4883" w:rsidRPr="00F32EB0">
        <w:rPr>
          <w:rFonts w:eastAsia="Calibri"/>
          <w:sz w:val="18"/>
          <w:szCs w:val="18"/>
        </w:rPr>
        <w:t xml:space="preserve"> le TWC</w:t>
      </w:r>
    </w:p>
    <w:p w:rsidR="008169B8" w:rsidRPr="00F32EB0" w:rsidRDefault="008169B8" w:rsidP="00DA0B2A">
      <w:pPr>
        <w:pStyle w:val="ListParagraph"/>
        <w:numPr>
          <w:ilvl w:val="0"/>
          <w:numId w:val="6"/>
        </w:numPr>
        <w:ind w:left="1701" w:right="567" w:hanging="567"/>
        <w:rPr>
          <w:rFonts w:eastAsia="Calibri"/>
          <w:sz w:val="18"/>
          <w:szCs w:val="18"/>
        </w:rPr>
      </w:pPr>
      <w:r w:rsidRPr="00F32EB0">
        <w:rPr>
          <w:rFonts w:eastAsia="Calibri"/>
          <w:sz w:val="18"/>
          <w:szCs w:val="18"/>
        </w:rPr>
        <w:t>Veiller au bon fonctionnement de l</w:t>
      </w:r>
      <w:r w:rsidR="00BF4883" w:rsidRPr="00F32EB0">
        <w:rPr>
          <w:rFonts w:eastAsia="Calibri"/>
          <w:sz w:val="18"/>
          <w:szCs w:val="18"/>
        </w:rPr>
        <w:t>’</w:t>
      </w:r>
      <w:r w:rsidRPr="00F32EB0">
        <w:rPr>
          <w:rFonts w:eastAsia="Calibri"/>
          <w:sz w:val="18"/>
          <w:szCs w:val="18"/>
        </w:rPr>
        <w:t>algorithme pour les données non équilibrées (pour la mise en culture cyclique).”</w:t>
      </w:r>
    </w:p>
    <w:p w:rsidR="008169B8" w:rsidRPr="001206C5" w:rsidRDefault="008169B8" w:rsidP="001206C5">
      <w:pPr>
        <w:rPr>
          <w:rFonts w:eastAsia="Calibri"/>
          <w:szCs w:val="16"/>
        </w:rPr>
      </w:pPr>
    </w:p>
    <w:p w:rsidR="001206C5" w:rsidRPr="001206C5" w:rsidRDefault="001206C5" w:rsidP="001206C5">
      <w:pPr>
        <w:rPr>
          <w:rFonts w:eastAsia="Calibri"/>
        </w:rPr>
      </w:pPr>
    </w:p>
    <w:p w:rsidR="008169B8" w:rsidRPr="001206C5" w:rsidRDefault="008169B8" w:rsidP="001206C5">
      <w:pPr>
        <w:rPr>
          <w:rFonts w:eastAsia="Calibri"/>
        </w:rPr>
      </w:pPr>
    </w:p>
    <w:p w:rsidR="008169B8" w:rsidRPr="001206C5" w:rsidRDefault="00853548" w:rsidP="00853548">
      <w:pPr>
        <w:rPr>
          <w:rFonts w:eastAsia="Calibri"/>
        </w:rPr>
      </w:pPr>
      <w:bookmarkStart w:id="14" w:name="_Toc523747516"/>
      <w:r w:rsidRPr="001206C5">
        <w:rPr>
          <w:rFonts w:eastAsia="Calibri"/>
          <w:lang w:val="fr-FR"/>
        </w:rPr>
        <w:t>PROGRES ACCOMPLIS DEPUIS LA TRENTE</w:t>
      </w:r>
      <w:r w:rsidRPr="001206C5">
        <w:rPr>
          <w:rFonts w:eastAsia="Calibri"/>
          <w:lang w:val="fr-FR"/>
        </w:rPr>
        <w:noBreakHyphen/>
        <w:t>CINQUIEME SESSION DU TWC</w:t>
      </w:r>
      <w:bookmarkEnd w:id="14"/>
    </w:p>
    <w:p w:rsidR="008169B8" w:rsidRPr="001206C5" w:rsidRDefault="008169B8" w:rsidP="008169B8">
      <w:pPr>
        <w:rPr>
          <w:rFonts w:eastAsia="Calibri"/>
        </w:rPr>
      </w:pPr>
    </w:p>
    <w:p w:rsidR="00BF4883" w:rsidRPr="001206C5" w:rsidRDefault="008169B8" w:rsidP="00E63C89">
      <w:pPr>
        <w:pStyle w:val="ListParagraph"/>
        <w:numPr>
          <w:ilvl w:val="0"/>
          <w:numId w:val="7"/>
        </w:numPr>
        <w:ind w:left="0" w:firstLine="0"/>
        <w:rPr>
          <w:rFonts w:eastAsia="Calibri"/>
        </w:rPr>
      </w:pPr>
      <w:r w:rsidRPr="001206C5">
        <w:rPr>
          <w:rFonts w:eastAsia="Calibri"/>
        </w:rPr>
        <w:t>Depui</w:t>
      </w:r>
      <w:r w:rsidR="00AE0ED4" w:rsidRPr="001206C5">
        <w:rPr>
          <w:rFonts w:eastAsia="Calibri"/>
        </w:rPr>
        <w:t>s la trente</w:t>
      </w:r>
      <w:r w:rsidR="00DB478B" w:rsidRPr="001206C5">
        <w:rPr>
          <w:rFonts w:eastAsia="Calibri"/>
        </w:rPr>
        <w:noBreakHyphen/>
      </w:r>
      <w:r w:rsidR="00AE0ED4" w:rsidRPr="001206C5">
        <w:rPr>
          <w:rFonts w:eastAsia="Calibri"/>
        </w:rPr>
        <w:t>cinqu</w:t>
      </w:r>
      <w:r w:rsidR="00BF4883" w:rsidRPr="001206C5">
        <w:rPr>
          <w:rFonts w:eastAsia="Calibri"/>
        </w:rPr>
        <w:t>ième session du TWC</w:t>
      </w:r>
      <w:r w:rsidRPr="001206C5">
        <w:rPr>
          <w:rFonts w:eastAsia="Calibri"/>
        </w:rPr>
        <w:t xml:space="preserve">, nous nous sommes attachés à améliorer la fonctionnalité du logiciel (dans R). </w:t>
      </w:r>
      <w:r w:rsidR="000B0934" w:rsidRPr="001206C5">
        <w:rPr>
          <w:rFonts w:eastAsia="Calibri"/>
        </w:rPr>
        <w:t xml:space="preserve"> </w:t>
      </w:r>
      <w:r w:rsidRPr="001206C5">
        <w:rPr>
          <w:rFonts w:eastAsia="Calibri"/>
        </w:rPr>
        <w:t>Nous avons notamment</w:t>
      </w:r>
    </w:p>
    <w:p w:rsidR="008169B8" w:rsidRPr="001206C5" w:rsidRDefault="008169B8" w:rsidP="008169B8">
      <w:pPr>
        <w:rPr>
          <w:rFonts w:eastAsia="Calibri"/>
        </w:rPr>
      </w:pPr>
    </w:p>
    <w:p w:rsidR="00BF4883" w:rsidRPr="001206C5" w:rsidRDefault="008169B8" w:rsidP="008169B8">
      <w:pPr>
        <w:numPr>
          <w:ilvl w:val="0"/>
          <w:numId w:val="4"/>
        </w:numPr>
        <w:spacing w:after="160" w:line="259" w:lineRule="auto"/>
        <w:ind w:left="1134" w:hanging="425"/>
        <w:contextualSpacing/>
        <w:jc w:val="left"/>
        <w:rPr>
          <w:rFonts w:eastAsia="Calibri"/>
        </w:rPr>
      </w:pPr>
      <w:proofErr w:type="gramStart"/>
      <w:r w:rsidRPr="001206C5">
        <w:rPr>
          <w:rFonts w:eastAsia="Calibri"/>
        </w:rPr>
        <w:t>amélioré</w:t>
      </w:r>
      <w:proofErr w:type="gramEnd"/>
      <w:r w:rsidRPr="001206C5">
        <w:rPr>
          <w:rFonts w:eastAsia="Calibri"/>
        </w:rPr>
        <w:t xml:space="preserve"> les parcelles montrant </w:t>
      </w:r>
      <w:r w:rsidR="004A18F4" w:rsidRPr="001206C5">
        <w:rPr>
          <w:rFonts w:eastAsia="Calibri"/>
        </w:rPr>
        <w:t xml:space="preserve">la relation </w:t>
      </w:r>
      <w:r w:rsidRPr="001206C5">
        <w:rPr>
          <w:rFonts w:eastAsia="Calibri"/>
        </w:rPr>
        <w:t>entre l</w:t>
      </w:r>
      <w:r w:rsidR="00BF4883" w:rsidRPr="001206C5">
        <w:rPr>
          <w:rFonts w:eastAsia="Calibri"/>
        </w:rPr>
        <w:t>’</w:t>
      </w:r>
      <w:r w:rsidRPr="001206C5">
        <w:rPr>
          <w:rFonts w:eastAsia="Calibri"/>
        </w:rPr>
        <w:t>homogénéité et le niveau d</w:t>
      </w:r>
      <w:r w:rsidR="00BF4883" w:rsidRPr="001206C5">
        <w:rPr>
          <w:rFonts w:eastAsia="Calibri"/>
        </w:rPr>
        <w:t>’</w:t>
      </w:r>
      <w:r w:rsidRPr="001206C5">
        <w:rPr>
          <w:rFonts w:eastAsia="Calibri"/>
        </w:rPr>
        <w:t>expression en ajoutant des points pour les variétés candidates;</w:t>
      </w:r>
    </w:p>
    <w:p w:rsidR="008169B8" w:rsidRPr="001206C5" w:rsidRDefault="008169B8" w:rsidP="008169B8">
      <w:pPr>
        <w:numPr>
          <w:ilvl w:val="0"/>
          <w:numId w:val="4"/>
        </w:numPr>
        <w:spacing w:after="160" w:line="259" w:lineRule="auto"/>
        <w:ind w:left="1134" w:hanging="425"/>
        <w:contextualSpacing/>
        <w:jc w:val="left"/>
        <w:rPr>
          <w:rFonts w:eastAsia="Calibri"/>
        </w:rPr>
      </w:pPr>
      <w:proofErr w:type="gramStart"/>
      <w:r w:rsidRPr="001206C5">
        <w:rPr>
          <w:rFonts w:eastAsia="Calibri"/>
        </w:rPr>
        <w:t>ajouté</w:t>
      </w:r>
      <w:proofErr w:type="gramEnd"/>
      <w:r w:rsidRPr="001206C5">
        <w:rPr>
          <w:rFonts w:eastAsia="Calibri"/>
        </w:rPr>
        <w:t xml:space="preserve"> des calculs du niveau d</w:t>
      </w:r>
      <w:r w:rsidR="00BF4883" w:rsidRPr="001206C5">
        <w:rPr>
          <w:rFonts w:eastAsia="Calibri"/>
        </w:rPr>
        <w:t>’</w:t>
      </w:r>
      <w:r w:rsidRPr="001206C5">
        <w:rPr>
          <w:rFonts w:eastAsia="Calibri"/>
        </w:rPr>
        <w:t>extrapolation (méthode b utilisant le degré d</w:t>
      </w:r>
      <w:r w:rsidR="00BF4883" w:rsidRPr="001206C5">
        <w:rPr>
          <w:rFonts w:eastAsia="Calibri"/>
        </w:rPr>
        <w:t>’</w:t>
      </w:r>
      <w:r w:rsidRPr="001206C5">
        <w:rPr>
          <w:rFonts w:eastAsia="Calibri"/>
        </w:rPr>
        <w:t>inflation) pour chaque variété candidate;</w:t>
      </w:r>
    </w:p>
    <w:p w:rsidR="008169B8" w:rsidRPr="001206C5" w:rsidRDefault="008169B8" w:rsidP="008169B8">
      <w:pPr>
        <w:numPr>
          <w:ilvl w:val="0"/>
          <w:numId w:val="4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tenu</w:t>
      </w:r>
      <w:proofErr w:type="gramEnd"/>
      <w:r w:rsidRPr="001206C5">
        <w:rPr>
          <w:rFonts w:eastAsia="Calibri" w:cs="Arial"/>
          <w:bCs/>
        </w:rPr>
        <w:t xml:space="preserve"> des discussions préliminaires sur l</w:t>
      </w:r>
      <w:r w:rsidR="00BF4883" w:rsidRPr="001206C5">
        <w:rPr>
          <w:rFonts w:eastAsia="Calibri" w:cs="Arial"/>
          <w:bCs/>
        </w:rPr>
        <w:t>’</w:t>
      </w:r>
      <w:r w:rsidRPr="001206C5">
        <w:rPr>
          <w:rFonts w:eastAsia="Calibri" w:cs="Arial"/>
          <w:bCs/>
        </w:rPr>
        <w:t>amélioration des messages d</w:t>
      </w:r>
      <w:r w:rsidR="00BF4883" w:rsidRPr="001206C5">
        <w:rPr>
          <w:rFonts w:eastAsia="Calibri" w:cs="Arial"/>
          <w:bCs/>
        </w:rPr>
        <w:t>’</w:t>
      </w:r>
      <w:r w:rsidRPr="001206C5">
        <w:rPr>
          <w:rFonts w:eastAsia="Calibri" w:cs="Arial"/>
          <w:bCs/>
        </w:rPr>
        <w:t>erreur.</w:t>
      </w:r>
    </w:p>
    <w:p w:rsidR="008169B8" w:rsidRPr="001206C5" w:rsidRDefault="008169B8" w:rsidP="008169B8">
      <w:pPr>
        <w:rPr>
          <w:rFonts w:eastAsia="Calibri"/>
          <w:szCs w:val="16"/>
        </w:rPr>
      </w:pPr>
    </w:p>
    <w:p w:rsidR="001206C5" w:rsidRPr="001206C5" w:rsidRDefault="001206C5" w:rsidP="008169B8">
      <w:pPr>
        <w:rPr>
          <w:rFonts w:eastAsia="Calibri"/>
          <w:szCs w:val="16"/>
        </w:rPr>
      </w:pPr>
    </w:p>
    <w:p w:rsidR="008169B8" w:rsidRPr="001206C5" w:rsidRDefault="008169B8" w:rsidP="0093300C">
      <w:pPr>
        <w:rPr>
          <w:rFonts w:eastAsia="Calibri"/>
          <w:szCs w:val="16"/>
        </w:rPr>
      </w:pPr>
    </w:p>
    <w:p w:rsidR="00BF4883" w:rsidRPr="00F32EB0" w:rsidRDefault="00853548" w:rsidP="001206C5">
      <w:pPr>
        <w:keepNext/>
        <w:keepLines/>
        <w:rPr>
          <w:rFonts w:eastAsia="Calibri"/>
          <w:lang w:val="fr-FR"/>
        </w:rPr>
      </w:pPr>
      <w:bookmarkStart w:id="15" w:name="_Toc523747517"/>
      <w:r w:rsidRPr="00F32EB0">
        <w:rPr>
          <w:rFonts w:eastAsia="Calibri"/>
          <w:lang w:val="fr-FR"/>
        </w:rPr>
        <w:lastRenderedPageBreak/>
        <w:t>PROCHAINES ETAPES ET PROPOSITIONS</w:t>
      </w:r>
      <w:bookmarkEnd w:id="15"/>
    </w:p>
    <w:p w:rsidR="008169B8" w:rsidRPr="001206C5" w:rsidRDefault="008169B8" w:rsidP="001206C5">
      <w:pPr>
        <w:keepNext/>
        <w:keepLines/>
        <w:rPr>
          <w:rFonts w:eastAsia="Calibri"/>
        </w:rPr>
      </w:pPr>
    </w:p>
    <w:p w:rsidR="008169B8" w:rsidRPr="001206C5" w:rsidRDefault="00BF4883" w:rsidP="001206C5">
      <w:pPr>
        <w:pStyle w:val="ListParagraph"/>
        <w:keepNext/>
        <w:keepLines/>
        <w:numPr>
          <w:ilvl w:val="0"/>
          <w:numId w:val="7"/>
        </w:numPr>
        <w:ind w:left="567" w:hanging="567"/>
        <w:rPr>
          <w:rFonts w:eastAsia="Calibri"/>
        </w:rPr>
      </w:pPr>
      <w:r w:rsidRPr="001206C5">
        <w:rPr>
          <w:rFonts w:eastAsia="Calibri"/>
        </w:rPr>
        <w:t>En 2019</w:t>
      </w:r>
      <w:r w:rsidR="008169B8" w:rsidRPr="001206C5">
        <w:rPr>
          <w:rFonts w:eastAsia="Calibri"/>
        </w:rPr>
        <w:t>, nous prévoyons</w:t>
      </w:r>
    </w:p>
    <w:p w:rsidR="008169B8" w:rsidRPr="001206C5" w:rsidRDefault="008169B8" w:rsidP="001206C5">
      <w:pPr>
        <w:keepNext/>
        <w:keepLines/>
        <w:rPr>
          <w:rFonts w:eastAsia="Calibri" w:cs="Arial"/>
        </w:rPr>
      </w:pPr>
    </w:p>
    <w:p w:rsidR="008169B8" w:rsidRPr="001206C5" w:rsidRDefault="008169B8" w:rsidP="001206C5">
      <w:pPr>
        <w:keepNext/>
        <w:keepLines/>
        <w:numPr>
          <w:ilvl w:val="0"/>
          <w:numId w:val="5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de</w:t>
      </w:r>
      <w:proofErr w:type="gramEnd"/>
      <w:r w:rsidRPr="001206C5">
        <w:rPr>
          <w:rFonts w:eastAsia="Calibri" w:cs="Arial"/>
          <w:bCs/>
        </w:rPr>
        <w:t xml:space="preserve"> passer en revue les messages d</w:t>
      </w:r>
      <w:r w:rsidR="00BF4883" w:rsidRPr="001206C5">
        <w:rPr>
          <w:rFonts w:eastAsia="Calibri" w:cs="Arial"/>
          <w:bCs/>
        </w:rPr>
        <w:t>’</w:t>
      </w:r>
      <w:r w:rsidRPr="001206C5">
        <w:rPr>
          <w:rFonts w:eastAsia="Calibri" w:cs="Arial"/>
          <w:bCs/>
        </w:rPr>
        <w:t>erreur;</w:t>
      </w:r>
    </w:p>
    <w:p w:rsidR="00BF4883" w:rsidRPr="001206C5" w:rsidRDefault="008169B8" w:rsidP="001206C5">
      <w:pPr>
        <w:keepNext/>
        <w:keepLines/>
        <w:numPr>
          <w:ilvl w:val="0"/>
          <w:numId w:val="5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de</w:t>
      </w:r>
      <w:proofErr w:type="gramEnd"/>
      <w:r w:rsidRPr="001206C5">
        <w:rPr>
          <w:rFonts w:eastAsia="Calibri" w:cs="Arial"/>
          <w:bCs/>
        </w:rPr>
        <w:t xml:space="preserve"> produire une nouvelle version du logiciel COYU R et de le tester en interne;</w:t>
      </w:r>
    </w:p>
    <w:p w:rsidR="008169B8" w:rsidRPr="001206C5" w:rsidRDefault="008169B8" w:rsidP="001206C5">
      <w:pPr>
        <w:keepNext/>
        <w:keepLines/>
        <w:numPr>
          <w:ilvl w:val="0"/>
          <w:numId w:val="5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de</w:t>
      </w:r>
      <w:proofErr w:type="gramEnd"/>
      <w:r w:rsidRPr="001206C5">
        <w:rPr>
          <w:rFonts w:eastAsia="Calibri" w:cs="Arial"/>
          <w:bCs/>
        </w:rPr>
        <w:t xml:space="preserve"> résoudre les problèmes d</w:t>
      </w:r>
      <w:r w:rsidR="00BF4883" w:rsidRPr="001206C5">
        <w:rPr>
          <w:rFonts w:eastAsia="Calibri" w:cs="Arial"/>
          <w:bCs/>
        </w:rPr>
        <w:t>’</w:t>
      </w:r>
      <w:r w:rsidRPr="001206C5">
        <w:rPr>
          <w:rFonts w:eastAsia="Calibri" w:cs="Arial"/>
          <w:bCs/>
        </w:rPr>
        <w:t xml:space="preserve">installation avec le programme DUST, </w:t>
      </w:r>
      <w:r w:rsidR="00BF4883" w:rsidRPr="001206C5">
        <w:rPr>
          <w:rFonts w:eastAsia="Calibri" w:cs="Arial"/>
          <w:bCs/>
        </w:rPr>
        <w:t>y compris</w:t>
      </w:r>
      <w:r w:rsidRPr="001206C5">
        <w:rPr>
          <w:rFonts w:eastAsia="Calibri" w:cs="Arial"/>
          <w:bCs/>
        </w:rPr>
        <w:t xml:space="preserve"> le nouveau module COYU.</w:t>
      </w:r>
    </w:p>
    <w:p w:rsidR="008169B8" w:rsidRPr="001206C5" w:rsidRDefault="008169B8" w:rsidP="001206C5">
      <w:pPr>
        <w:rPr>
          <w:rFonts w:eastAsia="Calibri"/>
        </w:rPr>
      </w:pPr>
    </w:p>
    <w:p w:rsidR="008169B8" w:rsidRPr="001206C5" w:rsidRDefault="008169B8" w:rsidP="00C049CE">
      <w:pPr>
        <w:pStyle w:val="ListParagraph"/>
        <w:numPr>
          <w:ilvl w:val="0"/>
          <w:numId w:val="7"/>
        </w:numPr>
        <w:ind w:left="567" w:hanging="567"/>
        <w:rPr>
          <w:rFonts w:eastAsia="Calibri"/>
        </w:rPr>
      </w:pPr>
      <w:r w:rsidRPr="001206C5">
        <w:rPr>
          <w:rFonts w:eastAsia="Calibri"/>
        </w:rPr>
        <w:t>Nous proposons</w:t>
      </w:r>
    </w:p>
    <w:p w:rsidR="008169B8" w:rsidRPr="001206C5" w:rsidRDefault="008169B8" w:rsidP="008169B8">
      <w:pPr>
        <w:keepNext/>
        <w:rPr>
          <w:rFonts w:eastAsia="Calibri"/>
        </w:rPr>
      </w:pPr>
    </w:p>
    <w:p w:rsidR="008169B8" w:rsidRPr="001206C5" w:rsidRDefault="0048076B" w:rsidP="008169B8">
      <w:pPr>
        <w:keepNext/>
        <w:numPr>
          <w:ilvl w:val="0"/>
          <w:numId w:val="5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que</w:t>
      </w:r>
      <w:proofErr w:type="gramEnd"/>
      <w:r w:rsidRPr="001206C5">
        <w:rPr>
          <w:rFonts w:eastAsia="Calibri" w:cs="Arial"/>
          <w:bCs/>
        </w:rPr>
        <w:t xml:space="preserve"> le nouveau logiciel soit envoyé pour être testé par les experts intéressés</w:t>
      </w:r>
      <w:r w:rsidR="008169B8" w:rsidRPr="001206C5">
        <w:rPr>
          <w:rFonts w:eastAsia="Calibri" w:cs="Arial"/>
          <w:bCs/>
        </w:rPr>
        <w:t>;</w:t>
      </w:r>
    </w:p>
    <w:p w:rsidR="008169B8" w:rsidRPr="001206C5" w:rsidRDefault="0048076B" w:rsidP="008169B8">
      <w:pPr>
        <w:keepNext/>
        <w:numPr>
          <w:ilvl w:val="0"/>
          <w:numId w:val="5"/>
        </w:numPr>
        <w:spacing w:after="160" w:line="259" w:lineRule="auto"/>
        <w:ind w:left="1134" w:hanging="425"/>
        <w:contextualSpacing/>
        <w:jc w:val="left"/>
        <w:rPr>
          <w:rFonts w:eastAsia="Calibri" w:cs="Arial"/>
          <w:bCs/>
        </w:rPr>
      </w:pPr>
      <w:proofErr w:type="gramStart"/>
      <w:r w:rsidRPr="001206C5">
        <w:rPr>
          <w:rFonts w:eastAsia="Calibri" w:cs="Arial"/>
          <w:bCs/>
        </w:rPr>
        <w:t>que</w:t>
      </w:r>
      <w:proofErr w:type="gramEnd"/>
      <w:r w:rsidRPr="001206C5">
        <w:rPr>
          <w:rFonts w:eastAsia="Calibri" w:cs="Arial"/>
          <w:bCs/>
        </w:rPr>
        <w:t xml:space="preserve"> le Royaume</w:t>
      </w:r>
      <w:r w:rsidR="00DB478B" w:rsidRPr="001206C5">
        <w:rPr>
          <w:rFonts w:eastAsia="Calibri" w:cs="Arial"/>
          <w:bCs/>
        </w:rPr>
        <w:noBreakHyphen/>
      </w:r>
      <w:r w:rsidRPr="001206C5">
        <w:rPr>
          <w:rFonts w:eastAsia="Calibri" w:cs="Arial"/>
          <w:bCs/>
        </w:rPr>
        <w:t>Uni élabore une section visant à remplac</w:t>
      </w:r>
      <w:r w:rsidR="00FC158B" w:rsidRPr="001206C5">
        <w:rPr>
          <w:rFonts w:eastAsia="Calibri" w:cs="Arial"/>
          <w:bCs/>
        </w:rPr>
        <w:t xml:space="preserve">er le texte </w:t>
      </w:r>
      <w:r w:rsidRPr="001206C5">
        <w:rPr>
          <w:rFonts w:eastAsia="Calibri" w:cs="Arial"/>
          <w:bCs/>
        </w:rPr>
        <w:t>du document</w:t>
      </w:r>
      <w:r w:rsidR="0093300C" w:rsidRPr="001206C5">
        <w:rPr>
          <w:rFonts w:eastAsia="Calibri" w:cs="Arial"/>
          <w:bCs/>
        </w:rPr>
        <w:t> </w:t>
      </w:r>
      <w:r w:rsidR="008169B8" w:rsidRPr="001206C5">
        <w:rPr>
          <w:rFonts w:eastAsia="Calibri" w:cs="Arial"/>
          <w:bCs/>
        </w:rPr>
        <w:t xml:space="preserve">TGP/8 </w:t>
      </w:r>
      <w:r w:rsidR="00FC158B" w:rsidRPr="001206C5">
        <w:rPr>
          <w:rFonts w:eastAsia="Calibri" w:cs="Arial"/>
          <w:bCs/>
        </w:rPr>
        <w:t xml:space="preserve">concernant </w:t>
      </w:r>
      <w:r w:rsidRPr="001206C5">
        <w:rPr>
          <w:rFonts w:eastAsia="Calibri" w:cs="Arial"/>
          <w:bCs/>
        </w:rPr>
        <w:t>la méthode d</w:t>
      </w:r>
      <w:r w:rsidR="00BF4883" w:rsidRPr="001206C5">
        <w:rPr>
          <w:rFonts w:eastAsia="Calibri" w:cs="Arial"/>
          <w:bCs/>
        </w:rPr>
        <w:t>’</w:t>
      </w:r>
      <w:r w:rsidRPr="001206C5">
        <w:rPr>
          <w:rFonts w:eastAsia="Calibri" w:cs="Arial"/>
          <w:bCs/>
        </w:rPr>
        <w:t>analyse COYU</w:t>
      </w:r>
      <w:r w:rsidR="008169B8" w:rsidRPr="001206C5">
        <w:rPr>
          <w:rFonts w:eastAsia="Calibri" w:cs="Arial"/>
          <w:bCs/>
        </w:rPr>
        <w:t>.</w:t>
      </w:r>
    </w:p>
    <w:p w:rsidR="008169B8" w:rsidRPr="001206C5" w:rsidRDefault="008169B8" w:rsidP="008169B8">
      <w:pPr>
        <w:rPr>
          <w:snapToGrid w:val="0"/>
        </w:rPr>
      </w:pPr>
    </w:p>
    <w:p w:rsidR="00BF4883" w:rsidRPr="001206C5" w:rsidRDefault="00BF4883" w:rsidP="008169B8"/>
    <w:p w:rsidR="008169B8" w:rsidRPr="001206C5" w:rsidRDefault="008169B8" w:rsidP="008169B8">
      <w:pPr>
        <w:jc w:val="right"/>
        <w:rPr>
          <w:snapToGrid w:val="0"/>
        </w:rPr>
      </w:pPr>
      <w:r w:rsidRPr="001206C5">
        <w:rPr>
          <w:iCs/>
          <w:spacing w:val="-4"/>
          <w:lang w:eastAsia="ja-JP"/>
        </w:rPr>
        <w:t>[</w:t>
      </w:r>
      <w:r w:rsidR="00FC0BF8" w:rsidRPr="001206C5">
        <w:rPr>
          <w:iCs/>
          <w:spacing w:val="-4"/>
          <w:lang w:eastAsia="ja-JP"/>
        </w:rPr>
        <w:t>Fin de l</w:t>
      </w:r>
      <w:r w:rsidR="00BF4883" w:rsidRPr="001206C5">
        <w:rPr>
          <w:iCs/>
          <w:spacing w:val="-4"/>
          <w:lang w:eastAsia="ja-JP"/>
        </w:rPr>
        <w:t>’</w:t>
      </w:r>
      <w:r w:rsidR="00FC0BF8" w:rsidRPr="001206C5">
        <w:rPr>
          <w:iCs/>
          <w:spacing w:val="-4"/>
          <w:lang w:eastAsia="ja-JP"/>
        </w:rPr>
        <w:t>annexe et du document</w:t>
      </w:r>
      <w:r w:rsidRPr="001206C5">
        <w:rPr>
          <w:iCs/>
          <w:spacing w:val="-4"/>
          <w:lang w:eastAsia="ja-JP"/>
        </w:rPr>
        <w:t>]</w:t>
      </w:r>
    </w:p>
    <w:p w:rsidR="00B55ED6" w:rsidRPr="00F32EB0" w:rsidRDefault="00B55ED6" w:rsidP="00BA66C8">
      <w:pPr>
        <w:jc w:val="right"/>
        <w:rPr>
          <w:snapToGrid w:val="0"/>
        </w:rPr>
      </w:pPr>
    </w:p>
    <w:sectPr w:rsidR="00B55ED6" w:rsidRPr="00F32EB0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46" w:rsidRDefault="006C6B46" w:rsidP="006655D3">
      <w:r>
        <w:separator/>
      </w:r>
    </w:p>
    <w:p w:rsidR="006C6B46" w:rsidRDefault="006C6B46" w:rsidP="006655D3"/>
    <w:p w:rsidR="006C6B46" w:rsidRDefault="006C6B46" w:rsidP="006655D3"/>
  </w:endnote>
  <w:endnote w:type="continuationSeparator" w:id="0">
    <w:p w:rsidR="006C6B46" w:rsidRDefault="006C6B46" w:rsidP="006655D3">
      <w:r>
        <w:separator/>
      </w:r>
    </w:p>
    <w:p w:rsidR="006C6B46" w:rsidRPr="00294751" w:rsidRDefault="006C6B4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C6B46" w:rsidRPr="00294751" w:rsidRDefault="006C6B46" w:rsidP="006655D3">
      <w:pPr>
        <w:rPr>
          <w:lang w:val="fr-FR"/>
        </w:rPr>
      </w:pPr>
    </w:p>
    <w:p w:rsidR="006C6B46" w:rsidRPr="00294751" w:rsidRDefault="006C6B46" w:rsidP="006655D3">
      <w:pPr>
        <w:rPr>
          <w:lang w:val="fr-FR"/>
        </w:rPr>
      </w:pPr>
    </w:p>
  </w:endnote>
  <w:endnote w:type="continuationNotice" w:id="1">
    <w:p w:rsidR="006C6B46" w:rsidRPr="00294751" w:rsidRDefault="006C6B4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C6B46" w:rsidRPr="00294751" w:rsidRDefault="006C6B46" w:rsidP="006655D3">
      <w:pPr>
        <w:rPr>
          <w:lang w:val="fr-FR"/>
        </w:rPr>
      </w:pPr>
    </w:p>
    <w:p w:rsidR="006C6B46" w:rsidRPr="00294751" w:rsidRDefault="006C6B4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46" w:rsidRDefault="006C6B46" w:rsidP="006655D3">
      <w:r>
        <w:separator/>
      </w:r>
    </w:p>
  </w:footnote>
  <w:footnote w:type="continuationSeparator" w:id="0">
    <w:p w:rsidR="006C6B46" w:rsidRDefault="006C6B46" w:rsidP="006655D3">
      <w:r>
        <w:separator/>
      </w:r>
    </w:p>
  </w:footnote>
  <w:footnote w:type="continuationNotice" w:id="1">
    <w:p w:rsidR="006C6B46" w:rsidRPr="00AB530F" w:rsidRDefault="006C6B4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1C1" w:rsidRPr="00C5280D" w:rsidRDefault="003C51C1" w:rsidP="00011BA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TC/54/17</w:t>
    </w:r>
  </w:p>
  <w:p w:rsidR="003C51C1" w:rsidRPr="00C5280D" w:rsidRDefault="003C51C1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93300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E4C67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  <w:bookmarkStart w:id="8" w:name="_Toc410822398"/>
    <w:bookmarkStart w:id="9" w:name="_Toc410822802"/>
  </w:p>
  <w:p w:rsidR="003C51C1" w:rsidRPr="00C5280D" w:rsidRDefault="003C51C1" w:rsidP="006655D3">
    <w:bookmarkStart w:id="10" w:name="_Toc441145847"/>
    <w:bookmarkStart w:id="11" w:name="_Toc374716168"/>
    <w:bookmarkEnd w:id="8"/>
    <w:bookmarkEnd w:id="9"/>
    <w:bookmarkEnd w:id="10"/>
    <w:bookmarkEnd w:id="1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1C9" w:rsidRPr="00C5280D" w:rsidRDefault="007A21C9" w:rsidP="007A21C9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TC/54/17</w:t>
    </w:r>
  </w:p>
  <w:p w:rsidR="007A21C9" w:rsidRPr="00C5280D" w:rsidRDefault="007A21C9" w:rsidP="007A21C9">
    <w:pPr>
      <w:pStyle w:val="Header"/>
      <w:rPr>
        <w:lang w:val="en-US"/>
      </w:rPr>
    </w:pPr>
    <w:r w:rsidRPr="00C35628">
      <w:t>Annex</w:t>
    </w:r>
    <w:r w:rsidR="00C35628" w:rsidRPr="00C35628">
      <w:t>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>
      <w:rPr>
        <w:rStyle w:val="PageNumber"/>
        <w:lang w:val="en-US"/>
      </w:rPr>
      <w:t>2</w:t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96B" w:rsidRDefault="00A4496B" w:rsidP="00BA66C8">
    <w:pPr>
      <w:pStyle w:val="Header"/>
      <w:rPr>
        <w:lang w:eastAsia="ja-JP"/>
      </w:rPr>
    </w:pPr>
    <w:r>
      <w:t>TC/54/17</w:t>
    </w:r>
  </w:p>
  <w:p w:rsidR="00A4496B" w:rsidRPr="001206C5" w:rsidRDefault="00A4496B" w:rsidP="00BA66C8">
    <w:pPr>
      <w:pStyle w:val="Header"/>
      <w:rPr>
        <w:sz w:val="18"/>
      </w:rPr>
    </w:pPr>
  </w:p>
  <w:p w:rsidR="00A4496B" w:rsidRPr="00C5280D" w:rsidRDefault="00A4496B" w:rsidP="00BA66C8">
    <w:pPr>
      <w:pStyle w:val="Header"/>
    </w:pPr>
    <w:r>
      <w:t>ANNEX</w:t>
    </w:r>
    <w:r w:rsidR="00041DF6">
      <w:t>E</w:t>
    </w:r>
  </w:p>
  <w:p w:rsidR="00A4496B" w:rsidRPr="001206C5" w:rsidRDefault="00A4496B">
    <w:pPr>
      <w:pStyle w:val="Header"/>
      <w:rPr>
        <w:sz w:val="18"/>
      </w:rPr>
    </w:pPr>
  </w:p>
  <w:p w:rsidR="001206C5" w:rsidRPr="001206C5" w:rsidRDefault="001206C5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2F3F"/>
    <w:multiLevelType w:val="hybridMultilevel"/>
    <w:tmpl w:val="6888B4D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E3D633B"/>
    <w:multiLevelType w:val="hybridMultilevel"/>
    <w:tmpl w:val="12FEDFBE"/>
    <w:lvl w:ilvl="0" w:tplc="2416B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FE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C00FE">
      <w:start w:val="11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87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C67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E2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87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2D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1C3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F70060A"/>
    <w:multiLevelType w:val="hybridMultilevel"/>
    <w:tmpl w:val="C8D40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4077C"/>
    <w:multiLevelType w:val="hybridMultilevel"/>
    <w:tmpl w:val="CEBA5DAA"/>
    <w:lvl w:ilvl="0" w:tplc="AD062BF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E8319B"/>
    <w:multiLevelType w:val="hybridMultilevel"/>
    <w:tmpl w:val="01567A3E"/>
    <w:lvl w:ilvl="0" w:tplc="617EB7C2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BB294B"/>
    <w:multiLevelType w:val="hybridMultilevel"/>
    <w:tmpl w:val="9FAAACA8"/>
    <w:lvl w:ilvl="0" w:tplc="29262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0F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EF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EB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CC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5C8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42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69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BEE20F8"/>
    <w:multiLevelType w:val="hybridMultilevel"/>
    <w:tmpl w:val="140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UPOVOld|UPOV_Beta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Default"/>
    <w:docVar w:name="TextBaseURL" w:val="empty"/>
    <w:docVar w:name="UILng" w:val="en"/>
  </w:docVars>
  <w:rsids>
    <w:rsidRoot w:val="00B55ED6"/>
    <w:rsid w:val="00010CF3"/>
    <w:rsid w:val="00011E27"/>
    <w:rsid w:val="00014559"/>
    <w:rsid w:val="000148BC"/>
    <w:rsid w:val="00023BDC"/>
    <w:rsid w:val="00024AB8"/>
    <w:rsid w:val="00025088"/>
    <w:rsid w:val="00030854"/>
    <w:rsid w:val="00036028"/>
    <w:rsid w:val="00041DF6"/>
    <w:rsid w:val="00044642"/>
    <w:rsid w:val="000446B9"/>
    <w:rsid w:val="00047E21"/>
    <w:rsid w:val="00050E16"/>
    <w:rsid w:val="00051B87"/>
    <w:rsid w:val="000657C8"/>
    <w:rsid w:val="00085505"/>
    <w:rsid w:val="00096457"/>
    <w:rsid w:val="000A32C0"/>
    <w:rsid w:val="000B0934"/>
    <w:rsid w:val="000B1C2B"/>
    <w:rsid w:val="000C4E25"/>
    <w:rsid w:val="000C7021"/>
    <w:rsid w:val="000D6BBC"/>
    <w:rsid w:val="000D7780"/>
    <w:rsid w:val="000E2201"/>
    <w:rsid w:val="000E636A"/>
    <w:rsid w:val="000F2F11"/>
    <w:rsid w:val="00105929"/>
    <w:rsid w:val="00110C36"/>
    <w:rsid w:val="001131D5"/>
    <w:rsid w:val="00114766"/>
    <w:rsid w:val="00114A6A"/>
    <w:rsid w:val="001206C5"/>
    <w:rsid w:val="0012313E"/>
    <w:rsid w:val="00134B7C"/>
    <w:rsid w:val="00141DB8"/>
    <w:rsid w:val="00142FEA"/>
    <w:rsid w:val="00155B4D"/>
    <w:rsid w:val="0016177F"/>
    <w:rsid w:val="001624F0"/>
    <w:rsid w:val="00172084"/>
    <w:rsid w:val="0017474A"/>
    <w:rsid w:val="001758C6"/>
    <w:rsid w:val="001815EF"/>
    <w:rsid w:val="00182B99"/>
    <w:rsid w:val="001A3031"/>
    <w:rsid w:val="001A58A8"/>
    <w:rsid w:val="001C2047"/>
    <w:rsid w:val="001C437F"/>
    <w:rsid w:val="001D1761"/>
    <w:rsid w:val="001D396B"/>
    <w:rsid w:val="001F19CC"/>
    <w:rsid w:val="00206288"/>
    <w:rsid w:val="0021332C"/>
    <w:rsid w:val="00213982"/>
    <w:rsid w:val="0022320F"/>
    <w:rsid w:val="0024416D"/>
    <w:rsid w:val="00253CF8"/>
    <w:rsid w:val="0026420A"/>
    <w:rsid w:val="00271911"/>
    <w:rsid w:val="002800A0"/>
    <w:rsid w:val="002801B3"/>
    <w:rsid w:val="00281060"/>
    <w:rsid w:val="002940E8"/>
    <w:rsid w:val="00294751"/>
    <w:rsid w:val="002A1FFB"/>
    <w:rsid w:val="002A504E"/>
    <w:rsid w:val="002A6E50"/>
    <w:rsid w:val="002B4298"/>
    <w:rsid w:val="002C1CFF"/>
    <w:rsid w:val="002C2109"/>
    <w:rsid w:val="002C256A"/>
    <w:rsid w:val="002E20EC"/>
    <w:rsid w:val="002E69F3"/>
    <w:rsid w:val="00304827"/>
    <w:rsid w:val="00305A7F"/>
    <w:rsid w:val="00307AE0"/>
    <w:rsid w:val="0031396B"/>
    <w:rsid w:val="003152FE"/>
    <w:rsid w:val="00315DE1"/>
    <w:rsid w:val="00324BD8"/>
    <w:rsid w:val="00327436"/>
    <w:rsid w:val="00330711"/>
    <w:rsid w:val="00344BD6"/>
    <w:rsid w:val="0035154E"/>
    <w:rsid w:val="0035528D"/>
    <w:rsid w:val="00357DE2"/>
    <w:rsid w:val="00361821"/>
    <w:rsid w:val="00361E9E"/>
    <w:rsid w:val="003719AF"/>
    <w:rsid w:val="00377928"/>
    <w:rsid w:val="003A7358"/>
    <w:rsid w:val="003C51C1"/>
    <w:rsid w:val="003C7FBE"/>
    <w:rsid w:val="003D227C"/>
    <w:rsid w:val="003D2B4D"/>
    <w:rsid w:val="003D40E7"/>
    <w:rsid w:val="003F0817"/>
    <w:rsid w:val="004274FD"/>
    <w:rsid w:val="00435658"/>
    <w:rsid w:val="00436CBE"/>
    <w:rsid w:val="004449E1"/>
    <w:rsid w:val="00444A88"/>
    <w:rsid w:val="00446117"/>
    <w:rsid w:val="00474BE5"/>
    <w:rsid w:val="00474DA4"/>
    <w:rsid w:val="00476B4D"/>
    <w:rsid w:val="004805FA"/>
    <w:rsid w:val="0048076B"/>
    <w:rsid w:val="00480E56"/>
    <w:rsid w:val="00482AF6"/>
    <w:rsid w:val="004843FD"/>
    <w:rsid w:val="004874A9"/>
    <w:rsid w:val="004935D2"/>
    <w:rsid w:val="004A18F4"/>
    <w:rsid w:val="004A3F91"/>
    <w:rsid w:val="004B1215"/>
    <w:rsid w:val="004D047D"/>
    <w:rsid w:val="004D701A"/>
    <w:rsid w:val="004D79B4"/>
    <w:rsid w:val="004E16EC"/>
    <w:rsid w:val="004F1E9E"/>
    <w:rsid w:val="004F305A"/>
    <w:rsid w:val="004F6591"/>
    <w:rsid w:val="00503BFE"/>
    <w:rsid w:val="00512164"/>
    <w:rsid w:val="0051674E"/>
    <w:rsid w:val="00520297"/>
    <w:rsid w:val="00520D4C"/>
    <w:rsid w:val="0053140B"/>
    <w:rsid w:val="005338F9"/>
    <w:rsid w:val="0054281C"/>
    <w:rsid w:val="00544581"/>
    <w:rsid w:val="0055113F"/>
    <w:rsid w:val="0055268D"/>
    <w:rsid w:val="005607C1"/>
    <w:rsid w:val="00563CD9"/>
    <w:rsid w:val="00576BE4"/>
    <w:rsid w:val="0058286F"/>
    <w:rsid w:val="00596A25"/>
    <w:rsid w:val="005A400A"/>
    <w:rsid w:val="005A6E6A"/>
    <w:rsid w:val="005E32B9"/>
    <w:rsid w:val="005E60F6"/>
    <w:rsid w:val="005E6C91"/>
    <w:rsid w:val="005F5184"/>
    <w:rsid w:val="005F7B92"/>
    <w:rsid w:val="00606B76"/>
    <w:rsid w:val="00612379"/>
    <w:rsid w:val="00614C10"/>
    <w:rsid w:val="006153B6"/>
    <w:rsid w:val="006153F7"/>
    <w:rsid w:val="0061555F"/>
    <w:rsid w:val="00624C2E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525"/>
    <w:rsid w:val="006B17D2"/>
    <w:rsid w:val="006C113F"/>
    <w:rsid w:val="006C224E"/>
    <w:rsid w:val="006C6B46"/>
    <w:rsid w:val="006D23DF"/>
    <w:rsid w:val="006D780A"/>
    <w:rsid w:val="006E1ECE"/>
    <w:rsid w:val="006E7C0D"/>
    <w:rsid w:val="006F6851"/>
    <w:rsid w:val="00712438"/>
    <w:rsid w:val="0071271E"/>
    <w:rsid w:val="00712A25"/>
    <w:rsid w:val="007138DF"/>
    <w:rsid w:val="00722817"/>
    <w:rsid w:val="00732DEC"/>
    <w:rsid w:val="00735BD5"/>
    <w:rsid w:val="00741D51"/>
    <w:rsid w:val="00751613"/>
    <w:rsid w:val="007556F6"/>
    <w:rsid w:val="00760EEF"/>
    <w:rsid w:val="00767B16"/>
    <w:rsid w:val="00777EE5"/>
    <w:rsid w:val="00781B98"/>
    <w:rsid w:val="00784836"/>
    <w:rsid w:val="0078545B"/>
    <w:rsid w:val="0079023E"/>
    <w:rsid w:val="00792997"/>
    <w:rsid w:val="007A0100"/>
    <w:rsid w:val="007A21C9"/>
    <w:rsid w:val="007A2854"/>
    <w:rsid w:val="007A76C1"/>
    <w:rsid w:val="007B04D6"/>
    <w:rsid w:val="007B5F08"/>
    <w:rsid w:val="007C1D92"/>
    <w:rsid w:val="007C4CB9"/>
    <w:rsid w:val="007C72BB"/>
    <w:rsid w:val="007D0B9D"/>
    <w:rsid w:val="007D19B0"/>
    <w:rsid w:val="007E2EB6"/>
    <w:rsid w:val="007E7565"/>
    <w:rsid w:val="007F3224"/>
    <w:rsid w:val="007F498F"/>
    <w:rsid w:val="007F5B84"/>
    <w:rsid w:val="0080679D"/>
    <w:rsid w:val="008108B0"/>
    <w:rsid w:val="00811B20"/>
    <w:rsid w:val="00812CFC"/>
    <w:rsid w:val="008169B8"/>
    <w:rsid w:val="008211B5"/>
    <w:rsid w:val="0082296E"/>
    <w:rsid w:val="00824099"/>
    <w:rsid w:val="00846D7C"/>
    <w:rsid w:val="00853548"/>
    <w:rsid w:val="00867AC1"/>
    <w:rsid w:val="008724B5"/>
    <w:rsid w:val="00890DF8"/>
    <w:rsid w:val="00897AF2"/>
    <w:rsid w:val="008A287E"/>
    <w:rsid w:val="008A5784"/>
    <w:rsid w:val="008A743F"/>
    <w:rsid w:val="008A7BE0"/>
    <w:rsid w:val="008B2325"/>
    <w:rsid w:val="008B6E60"/>
    <w:rsid w:val="008C012A"/>
    <w:rsid w:val="008C0290"/>
    <w:rsid w:val="008C0970"/>
    <w:rsid w:val="008D0BC5"/>
    <w:rsid w:val="008D2CF7"/>
    <w:rsid w:val="008D6062"/>
    <w:rsid w:val="008D7E86"/>
    <w:rsid w:val="008E627B"/>
    <w:rsid w:val="008E6B21"/>
    <w:rsid w:val="008E7C7C"/>
    <w:rsid w:val="00900C26"/>
    <w:rsid w:val="0090197F"/>
    <w:rsid w:val="00906DDC"/>
    <w:rsid w:val="00911919"/>
    <w:rsid w:val="00916EAC"/>
    <w:rsid w:val="00917129"/>
    <w:rsid w:val="00923363"/>
    <w:rsid w:val="0093300C"/>
    <w:rsid w:val="00933AD9"/>
    <w:rsid w:val="00934E09"/>
    <w:rsid w:val="00936253"/>
    <w:rsid w:val="00940D46"/>
    <w:rsid w:val="00941DD3"/>
    <w:rsid w:val="00945C3F"/>
    <w:rsid w:val="00952DD4"/>
    <w:rsid w:val="009607AD"/>
    <w:rsid w:val="00965AE7"/>
    <w:rsid w:val="00970ED5"/>
    <w:rsid w:val="00970FED"/>
    <w:rsid w:val="0098564F"/>
    <w:rsid w:val="00992D82"/>
    <w:rsid w:val="00994D86"/>
    <w:rsid w:val="00997029"/>
    <w:rsid w:val="009A7339"/>
    <w:rsid w:val="009B440E"/>
    <w:rsid w:val="009C0804"/>
    <w:rsid w:val="009D2AA1"/>
    <w:rsid w:val="009D690D"/>
    <w:rsid w:val="009E65B6"/>
    <w:rsid w:val="00A073DC"/>
    <w:rsid w:val="00A24C10"/>
    <w:rsid w:val="00A42AC3"/>
    <w:rsid w:val="00A430CF"/>
    <w:rsid w:val="00A4496B"/>
    <w:rsid w:val="00A47C3C"/>
    <w:rsid w:val="00A54309"/>
    <w:rsid w:val="00A73430"/>
    <w:rsid w:val="00AA2E58"/>
    <w:rsid w:val="00AB2B93"/>
    <w:rsid w:val="00AB530F"/>
    <w:rsid w:val="00AB5EB7"/>
    <w:rsid w:val="00AB7E5B"/>
    <w:rsid w:val="00AC2883"/>
    <w:rsid w:val="00AC799D"/>
    <w:rsid w:val="00AD0CD1"/>
    <w:rsid w:val="00AE0ED4"/>
    <w:rsid w:val="00AE0EF1"/>
    <w:rsid w:val="00AE2937"/>
    <w:rsid w:val="00AE3AF1"/>
    <w:rsid w:val="00AF1942"/>
    <w:rsid w:val="00B0603F"/>
    <w:rsid w:val="00B07301"/>
    <w:rsid w:val="00B10801"/>
    <w:rsid w:val="00B10AB4"/>
    <w:rsid w:val="00B11536"/>
    <w:rsid w:val="00B11F3E"/>
    <w:rsid w:val="00B16ABC"/>
    <w:rsid w:val="00B224DE"/>
    <w:rsid w:val="00B324D4"/>
    <w:rsid w:val="00B46575"/>
    <w:rsid w:val="00B55ED6"/>
    <w:rsid w:val="00B61777"/>
    <w:rsid w:val="00B71389"/>
    <w:rsid w:val="00B84BBD"/>
    <w:rsid w:val="00B91172"/>
    <w:rsid w:val="00B9322C"/>
    <w:rsid w:val="00BA0F2E"/>
    <w:rsid w:val="00BA34EF"/>
    <w:rsid w:val="00BA43FB"/>
    <w:rsid w:val="00BA66C8"/>
    <w:rsid w:val="00BB2E07"/>
    <w:rsid w:val="00BC127D"/>
    <w:rsid w:val="00BC1FE6"/>
    <w:rsid w:val="00BC4A1A"/>
    <w:rsid w:val="00BC4D1D"/>
    <w:rsid w:val="00BD45FA"/>
    <w:rsid w:val="00BD6972"/>
    <w:rsid w:val="00BE4C26"/>
    <w:rsid w:val="00BF4883"/>
    <w:rsid w:val="00C049CE"/>
    <w:rsid w:val="00C061B6"/>
    <w:rsid w:val="00C11A4B"/>
    <w:rsid w:val="00C1313E"/>
    <w:rsid w:val="00C16647"/>
    <w:rsid w:val="00C2446C"/>
    <w:rsid w:val="00C32693"/>
    <w:rsid w:val="00C35628"/>
    <w:rsid w:val="00C36AE5"/>
    <w:rsid w:val="00C41F17"/>
    <w:rsid w:val="00C527FA"/>
    <w:rsid w:val="00C5280D"/>
    <w:rsid w:val="00C53EB3"/>
    <w:rsid w:val="00C5791C"/>
    <w:rsid w:val="00C66290"/>
    <w:rsid w:val="00C725C5"/>
    <w:rsid w:val="00C72B7A"/>
    <w:rsid w:val="00C748DB"/>
    <w:rsid w:val="00C80B74"/>
    <w:rsid w:val="00C973F2"/>
    <w:rsid w:val="00CA304C"/>
    <w:rsid w:val="00CA774A"/>
    <w:rsid w:val="00CC11B0"/>
    <w:rsid w:val="00CC2841"/>
    <w:rsid w:val="00CC709C"/>
    <w:rsid w:val="00CD0A99"/>
    <w:rsid w:val="00CD3FB8"/>
    <w:rsid w:val="00CF02DF"/>
    <w:rsid w:val="00CF1330"/>
    <w:rsid w:val="00CF4444"/>
    <w:rsid w:val="00CF7E36"/>
    <w:rsid w:val="00D12FD0"/>
    <w:rsid w:val="00D35FAE"/>
    <w:rsid w:val="00D3708D"/>
    <w:rsid w:val="00D40426"/>
    <w:rsid w:val="00D51019"/>
    <w:rsid w:val="00D57C96"/>
    <w:rsid w:val="00D57D18"/>
    <w:rsid w:val="00D73825"/>
    <w:rsid w:val="00D752D3"/>
    <w:rsid w:val="00D7646E"/>
    <w:rsid w:val="00D81B31"/>
    <w:rsid w:val="00D91203"/>
    <w:rsid w:val="00D92FF7"/>
    <w:rsid w:val="00D95174"/>
    <w:rsid w:val="00DA0B2A"/>
    <w:rsid w:val="00DA4973"/>
    <w:rsid w:val="00DA6F36"/>
    <w:rsid w:val="00DA788D"/>
    <w:rsid w:val="00DB478B"/>
    <w:rsid w:val="00DB596E"/>
    <w:rsid w:val="00DB7773"/>
    <w:rsid w:val="00DC00EA"/>
    <w:rsid w:val="00DC3802"/>
    <w:rsid w:val="00DD0E20"/>
    <w:rsid w:val="00DD1892"/>
    <w:rsid w:val="00DE4C67"/>
    <w:rsid w:val="00E07D87"/>
    <w:rsid w:val="00E26BD5"/>
    <w:rsid w:val="00E270CC"/>
    <w:rsid w:val="00E32F7E"/>
    <w:rsid w:val="00E36A4C"/>
    <w:rsid w:val="00E44665"/>
    <w:rsid w:val="00E5267B"/>
    <w:rsid w:val="00E635FF"/>
    <w:rsid w:val="00E63C0E"/>
    <w:rsid w:val="00E63C89"/>
    <w:rsid w:val="00E72D49"/>
    <w:rsid w:val="00E743BC"/>
    <w:rsid w:val="00E7593C"/>
    <w:rsid w:val="00E76695"/>
    <w:rsid w:val="00E7678A"/>
    <w:rsid w:val="00E907C6"/>
    <w:rsid w:val="00E935F1"/>
    <w:rsid w:val="00E94A81"/>
    <w:rsid w:val="00EA0F85"/>
    <w:rsid w:val="00EA1FFB"/>
    <w:rsid w:val="00EB048E"/>
    <w:rsid w:val="00EB4E9C"/>
    <w:rsid w:val="00EB7C93"/>
    <w:rsid w:val="00EE34DF"/>
    <w:rsid w:val="00EF2F89"/>
    <w:rsid w:val="00F001CC"/>
    <w:rsid w:val="00F03E98"/>
    <w:rsid w:val="00F11E7C"/>
    <w:rsid w:val="00F1237A"/>
    <w:rsid w:val="00F12EB4"/>
    <w:rsid w:val="00F13B91"/>
    <w:rsid w:val="00F22CBD"/>
    <w:rsid w:val="00F272F1"/>
    <w:rsid w:val="00F32EB0"/>
    <w:rsid w:val="00F37FB9"/>
    <w:rsid w:val="00F43B29"/>
    <w:rsid w:val="00F45372"/>
    <w:rsid w:val="00F560F7"/>
    <w:rsid w:val="00F6334D"/>
    <w:rsid w:val="00F809E6"/>
    <w:rsid w:val="00F90743"/>
    <w:rsid w:val="00F9632E"/>
    <w:rsid w:val="00FA49AB"/>
    <w:rsid w:val="00FA6905"/>
    <w:rsid w:val="00FB03F0"/>
    <w:rsid w:val="00FC0BF8"/>
    <w:rsid w:val="00FC158B"/>
    <w:rsid w:val="00FC3EC1"/>
    <w:rsid w:val="00FE0C8A"/>
    <w:rsid w:val="00FE2B73"/>
    <w:rsid w:val="00FE39C7"/>
    <w:rsid w:val="00FE4887"/>
    <w:rsid w:val="00FF4D07"/>
    <w:rsid w:val="00FF6664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3464DE"/>
  <w15:docId w15:val="{BED74246-6F5F-4406-9A77-35E30301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CH"/>
    </w:rPr>
  </w:style>
  <w:style w:type="paragraph" w:styleId="Heading1">
    <w:name w:val="heading 1"/>
    <w:next w:val="Normal"/>
    <w:link w:val="Heading1Char"/>
    <w:autoRedefine/>
    <w:qFormat/>
    <w:rsid w:val="00853548"/>
    <w:pPr>
      <w:keepNext/>
      <w:jc w:val="both"/>
      <w:outlineLvl w:val="0"/>
    </w:pPr>
    <w:rPr>
      <w:rFonts w:ascii="Arial" w:eastAsia="Calibri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B55ED6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B55ED6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B55ED6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B55ED6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55ED6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B55ED6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BA66C8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853548"/>
    <w:rPr>
      <w:rFonts w:ascii="Arial" w:eastAsia="Calibri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85C8E-8427-41FB-9B38-A8BA9610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2269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TC/54/17</vt:lpstr>
    </vt:vector>
  </TitlesOfParts>
  <Company>UPOV</Company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TC/54/17</dc:title>
  <dc:creator>FALQUET Kasumi</dc:creator>
  <cp:lastModifiedBy>SANTOS Carla Marina</cp:lastModifiedBy>
  <cp:revision>15</cp:revision>
  <cp:lastPrinted>2018-09-14T10:25:00Z</cp:lastPrinted>
  <dcterms:created xsi:type="dcterms:W3CDTF">2018-09-05T13:05:00Z</dcterms:created>
  <dcterms:modified xsi:type="dcterms:W3CDTF">2018-09-14T10:26:00Z</dcterms:modified>
</cp:coreProperties>
</file>