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A706D3" w:rsidP="00AC2883">
            <w:pPr>
              <w:pStyle w:val="Lettrine"/>
            </w:pPr>
            <w:r>
              <w:t>F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706D3">
            <w:pPr>
              <w:pStyle w:val="upove"/>
            </w:pPr>
            <w:r w:rsidRPr="00AC2883">
              <w:t xml:space="preserve">Union </w:t>
            </w:r>
            <w:r w:rsidR="00A706D3">
              <w:t>i</w:t>
            </w:r>
            <w:r w:rsidR="00A706D3" w:rsidRPr="00AC2883">
              <w:t>nternational</w:t>
            </w:r>
            <w:r w:rsidR="00A706D3">
              <w:t>e</w:t>
            </w:r>
            <w:r w:rsidR="00A706D3" w:rsidRPr="00AC2883">
              <w:t xml:space="preserve"> </w:t>
            </w:r>
            <w:r w:rsidR="00A706D3">
              <w:t>pour la protection des obtentions végétales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A706D3" w:rsidP="00AC2883">
            <w:pPr>
              <w:pStyle w:val="Sessiontc"/>
              <w:spacing w:line="240" w:lineRule="auto"/>
            </w:pPr>
            <w:r>
              <w:t>Comité technique</w:t>
            </w:r>
          </w:p>
          <w:p w:rsidR="00EB4E9C" w:rsidRPr="00DC3802" w:rsidRDefault="00A706D3" w:rsidP="00A706D3">
            <w:pPr>
              <w:pStyle w:val="Sessiontcplacedate"/>
              <w:rPr>
                <w:sz w:val="22"/>
              </w:rPr>
            </w:pPr>
            <w:r>
              <w:t>Cinquante-troisième s</w:t>
            </w:r>
            <w:r w:rsidR="00EB4E9C" w:rsidRPr="00DA4973">
              <w:t>ession</w:t>
            </w:r>
            <w:r w:rsidR="00EB4E9C" w:rsidRPr="00DA4973">
              <w:br/>
              <w:t>Gen</w:t>
            </w:r>
            <w:r>
              <w:t>è</w:t>
            </w:r>
            <w:r w:rsidR="00EB4E9C" w:rsidRPr="00DA4973">
              <w:t>v</w:t>
            </w:r>
            <w:r>
              <w:t>e</w:t>
            </w:r>
            <w:r w:rsidR="00EB4E9C" w:rsidRPr="00DA4973">
              <w:t xml:space="preserve">, </w:t>
            </w:r>
            <w:r>
              <w:t xml:space="preserve">3-5 avril </w:t>
            </w:r>
            <w:r w:rsidR="00EB4E9C" w:rsidRPr="00DA4973">
              <w:t>2017</w:t>
            </w:r>
          </w:p>
        </w:tc>
        <w:tc>
          <w:tcPr>
            <w:tcW w:w="3127" w:type="dxa"/>
          </w:tcPr>
          <w:p w:rsidR="00EB4E9C" w:rsidRPr="00BD642C" w:rsidRDefault="00EB4E9C" w:rsidP="003C7FBE">
            <w:pPr>
              <w:pStyle w:val="Doccode"/>
              <w:rPr>
                <w:lang w:val="fr-CH"/>
              </w:rPr>
            </w:pPr>
            <w:r w:rsidRPr="00BD642C">
              <w:rPr>
                <w:lang w:val="fr-CH"/>
              </w:rPr>
              <w:t>TC/53/</w:t>
            </w:r>
            <w:r w:rsidR="00566048">
              <w:rPr>
                <w:lang w:val="fr-CH"/>
              </w:rPr>
              <w:t>27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</w:t>
            </w:r>
            <w:proofErr w:type="gramStart"/>
            <w:r w:rsidRPr="00AC2883">
              <w:t>:</w:t>
            </w:r>
            <w:r w:rsidRPr="000E636A">
              <w:rPr>
                <w:b w:val="0"/>
                <w:spacing w:val="0"/>
              </w:rPr>
              <w:t xml:space="preserve">  </w:t>
            </w:r>
            <w:r w:rsidR="00A706D3">
              <w:rPr>
                <w:b w:val="0"/>
                <w:spacing w:val="0"/>
              </w:rPr>
              <w:t>anglais</w:t>
            </w:r>
            <w:proofErr w:type="gramEnd"/>
          </w:p>
          <w:p w:rsidR="00EB4E9C" w:rsidRPr="007C1D92" w:rsidRDefault="00EB4E9C" w:rsidP="00A706D3">
            <w:pPr>
              <w:pStyle w:val="Docoriginal"/>
            </w:pPr>
            <w:r w:rsidRPr="00AC2883">
              <w:t>Date</w:t>
            </w:r>
            <w:proofErr w:type="gramStart"/>
            <w:r w:rsidRPr="00AC2883">
              <w:t>:</w:t>
            </w:r>
            <w:r w:rsidRPr="000E636A">
              <w:rPr>
                <w:b w:val="0"/>
                <w:spacing w:val="0"/>
              </w:rPr>
              <w:t xml:space="preserve">  </w:t>
            </w:r>
            <w:r w:rsidR="0056567D" w:rsidRPr="0056567D">
              <w:rPr>
                <w:b w:val="0"/>
                <w:spacing w:val="0"/>
              </w:rPr>
              <w:t>10</w:t>
            </w:r>
            <w:proofErr w:type="gramEnd"/>
            <w:r w:rsidR="00A216F2" w:rsidRPr="0056567D">
              <w:rPr>
                <w:b w:val="0"/>
                <w:spacing w:val="0"/>
              </w:rPr>
              <w:t> mars</w:t>
            </w:r>
            <w:r w:rsidRPr="0056567D">
              <w:rPr>
                <w:b w:val="0"/>
                <w:spacing w:val="0"/>
              </w:rPr>
              <w:t xml:space="preserve"> 20</w:t>
            </w:r>
            <w:r w:rsidRPr="000E636A">
              <w:rPr>
                <w:b w:val="0"/>
                <w:spacing w:val="0"/>
              </w:rPr>
              <w:t>17</w:t>
            </w:r>
          </w:p>
        </w:tc>
      </w:tr>
    </w:tbl>
    <w:p w:rsidR="000D7780" w:rsidRPr="006A644A" w:rsidRDefault="00566048" w:rsidP="006A644A">
      <w:pPr>
        <w:pStyle w:val="Titleofdoc0"/>
      </w:pPr>
      <w:bookmarkStart w:id="0" w:name="TitleOfDoc"/>
      <w:bookmarkEnd w:id="0"/>
      <w:r w:rsidRPr="003C4437">
        <w:t>Révision partielle des principes directeurs d’examen POUR la tomate</w:t>
      </w:r>
    </w:p>
    <w:p w:rsidR="006A644A" w:rsidRPr="006A644A" w:rsidRDefault="00AE0EF1" w:rsidP="006A644A">
      <w:pPr>
        <w:pStyle w:val="preparedby1"/>
        <w:jc w:val="left"/>
      </w:pPr>
      <w:bookmarkStart w:id="1" w:name="Prepared"/>
      <w:bookmarkEnd w:id="1"/>
      <w:r w:rsidRPr="000C4E25">
        <w:t xml:space="preserve">Document </w:t>
      </w:r>
      <w:r w:rsidR="00A706D3">
        <w:t>établi par le Bureau de l’Union</w:t>
      </w:r>
    </w:p>
    <w:p w:rsidR="00050E16" w:rsidRPr="006A644A" w:rsidRDefault="00A706D3" w:rsidP="006A644A">
      <w:pPr>
        <w:pStyle w:val="Disclaimer"/>
      </w:pPr>
      <w:r w:rsidRPr="00A706D3">
        <w:t>Avertissement : le présent document ne représente pas les principes ou les orientations de l’UPOV</w:t>
      </w:r>
    </w:p>
    <w:p w:rsidR="00566048" w:rsidRPr="003C4437" w:rsidRDefault="00566048" w:rsidP="00566048">
      <w:r w:rsidRPr="003C4437">
        <w:fldChar w:fldCharType="begin"/>
      </w:r>
      <w:r w:rsidRPr="003C4437">
        <w:instrText xml:space="preserve"> AUTONUM  </w:instrText>
      </w:r>
      <w:r w:rsidRPr="003C4437">
        <w:fldChar w:fldCharType="end"/>
      </w:r>
      <w:r w:rsidRPr="003C4437">
        <w:tab/>
        <w:t>À sa cinquante-deuxième session tenue à Genève du 14 au 16 mars 2016, le Comité technique (TC) était convenu d’in</w:t>
      </w:r>
      <w:r>
        <w:t>scrir</w:t>
      </w:r>
      <w:r w:rsidRPr="003C4437">
        <w:t>e des discussions sur la révision partielle des principes directeurs d’examen pour la tomate (document TG/44/11 </w:t>
      </w:r>
      <w:proofErr w:type="spellStart"/>
      <w:r w:rsidRPr="003C4437">
        <w:t>Rev</w:t>
      </w:r>
      <w:proofErr w:type="spellEnd"/>
      <w:r w:rsidRPr="003C4437">
        <w:t>.), notamment le caractère 57 “Résistance au virus des feuilles jaunes en cuillère de la tomate (TYLCV)”, à l’ordre du jour de la cinquantième session du TWV prévue à Brno (République tchèque) du 27 juin au 1</w:t>
      </w:r>
      <w:r w:rsidRPr="003C4437">
        <w:rPr>
          <w:vertAlign w:val="superscript"/>
        </w:rPr>
        <w:t>er</w:t>
      </w:r>
      <w:r w:rsidRPr="003C4437">
        <w:t> juillet 2016, sur la base d’un document qui serait élaboré par un expert de l’Union européenne (voir le paragraphe 197 du document TC/52/29 </w:t>
      </w:r>
      <w:proofErr w:type="spellStart"/>
      <w:r w:rsidRPr="003C4437">
        <w:t>Rev</w:t>
      </w:r>
      <w:proofErr w:type="spellEnd"/>
      <w:r w:rsidRPr="003C4437">
        <w:t>. “Compte rendu révisé”).</w:t>
      </w:r>
    </w:p>
    <w:p w:rsidR="00566048" w:rsidRPr="003C4437" w:rsidRDefault="00566048" w:rsidP="00566048">
      <w:pPr>
        <w:rPr>
          <w:rFonts w:cs="Arial"/>
        </w:rPr>
      </w:pPr>
    </w:p>
    <w:p w:rsidR="00566048" w:rsidRPr="003C4437" w:rsidRDefault="00566048" w:rsidP="00566048">
      <w:pPr>
        <w:rPr>
          <w:rFonts w:cs="Arial"/>
        </w:rPr>
      </w:pPr>
      <w:r w:rsidRPr="003C4437">
        <w:rPr>
          <w:rFonts w:cs="Arial"/>
        </w:rPr>
        <w:fldChar w:fldCharType="begin"/>
      </w:r>
      <w:r w:rsidRPr="003C4437">
        <w:rPr>
          <w:rFonts w:cs="Arial"/>
        </w:rPr>
        <w:instrText xml:space="preserve"> AUTONUM  </w:instrText>
      </w:r>
      <w:r w:rsidRPr="003C4437">
        <w:rPr>
          <w:rFonts w:cs="Arial"/>
        </w:rPr>
        <w:fldChar w:fldCharType="end"/>
      </w:r>
      <w:r w:rsidRPr="003C4437">
        <w:rPr>
          <w:rFonts w:cs="Arial"/>
        </w:rPr>
        <w:tab/>
        <w:t>À sa cinquantième session, le TWV a examiné une proposition de révision partielle des principes directeurs d’examen pour la tomate sur la base des documents TG/44/11 </w:t>
      </w:r>
      <w:proofErr w:type="spellStart"/>
      <w:r w:rsidRPr="003C4437">
        <w:rPr>
          <w:rFonts w:cs="Arial"/>
        </w:rPr>
        <w:t>Rev</w:t>
      </w:r>
      <w:proofErr w:type="spellEnd"/>
      <w:r w:rsidRPr="003C4437">
        <w:rPr>
          <w:rFonts w:cs="Arial"/>
        </w:rPr>
        <w:t xml:space="preserve">. </w:t>
      </w:r>
      <w:proofErr w:type="gramStart"/>
      <w:r w:rsidRPr="003C4437">
        <w:rPr>
          <w:rFonts w:cs="Arial"/>
        </w:rPr>
        <w:t>et</w:t>
      </w:r>
      <w:proofErr w:type="gramEnd"/>
      <w:r w:rsidRPr="003C4437">
        <w:rPr>
          <w:rFonts w:cs="Arial"/>
        </w:rPr>
        <w:t xml:space="preserve"> TWV/50/20 “</w:t>
      </w:r>
      <w:r w:rsidRPr="00DE5B03">
        <w:rPr>
          <w:rFonts w:cs="Arial"/>
          <w:i/>
        </w:rPr>
        <w:t xml:space="preserve">Partial </w:t>
      </w:r>
      <w:proofErr w:type="spellStart"/>
      <w:r w:rsidRPr="00DE5B03">
        <w:rPr>
          <w:rFonts w:cs="Arial"/>
          <w:i/>
        </w:rPr>
        <w:t>Revision</w:t>
      </w:r>
      <w:proofErr w:type="spellEnd"/>
      <w:r w:rsidRPr="00DE5B03">
        <w:rPr>
          <w:rFonts w:cs="Arial"/>
          <w:i/>
        </w:rPr>
        <w:t xml:space="preserve"> of the Test Guidelines for </w:t>
      </w:r>
      <w:proofErr w:type="spellStart"/>
      <w:r w:rsidRPr="00DE5B03">
        <w:rPr>
          <w:rFonts w:cs="Arial"/>
          <w:i/>
        </w:rPr>
        <w:t>To</w:t>
      </w:r>
      <w:bookmarkStart w:id="2" w:name="_GoBack"/>
      <w:bookmarkEnd w:id="2"/>
      <w:r w:rsidRPr="00DE5B03">
        <w:rPr>
          <w:rFonts w:cs="Arial"/>
          <w:i/>
        </w:rPr>
        <w:t>mato</w:t>
      </w:r>
      <w:proofErr w:type="spellEnd"/>
      <w:r w:rsidRPr="00DE5B03">
        <w:rPr>
          <w:rFonts w:cs="Arial"/>
          <w:i/>
        </w:rPr>
        <w:t xml:space="preserve"> (document TG/44/11 </w:t>
      </w:r>
      <w:proofErr w:type="spellStart"/>
      <w:r w:rsidRPr="00DE5B03">
        <w:rPr>
          <w:rFonts w:cs="Arial"/>
          <w:i/>
        </w:rPr>
        <w:t>Rev</w:t>
      </w:r>
      <w:proofErr w:type="spellEnd"/>
      <w:r w:rsidRPr="00DE5B03">
        <w:rPr>
          <w:rFonts w:cs="Arial"/>
          <w:i/>
        </w:rPr>
        <w:t>.)</w:t>
      </w:r>
      <w:r w:rsidRPr="003C4437">
        <w:rPr>
          <w:rFonts w:cs="Arial"/>
        </w:rPr>
        <w:t>” et proposé de réviser comme suit les principes directeurs d’examen pour la tomate (voir le paragraphe 90 du document TWV/50/25 “</w:t>
      </w:r>
      <w:r w:rsidRPr="00DE5B03">
        <w:rPr>
          <w:rFonts w:cs="Arial"/>
          <w:i/>
        </w:rPr>
        <w:t>Report</w:t>
      </w:r>
      <w:r w:rsidRPr="003C4437">
        <w:rPr>
          <w:rFonts w:cs="Arial"/>
        </w:rPr>
        <w:t>”) :</w:t>
      </w:r>
    </w:p>
    <w:p w:rsidR="00566048" w:rsidRPr="003C4437" w:rsidRDefault="00566048" w:rsidP="00566048">
      <w:pPr>
        <w:rPr>
          <w:rFonts w:cs="Arial"/>
        </w:rPr>
      </w:pPr>
    </w:p>
    <w:p w:rsidR="00566048" w:rsidRPr="003C4437" w:rsidRDefault="00566048" w:rsidP="00566048">
      <w:pPr>
        <w:pStyle w:val="ListParagraph"/>
        <w:numPr>
          <w:ilvl w:val="0"/>
          <w:numId w:val="1"/>
        </w:numPr>
        <w:ind w:left="1134" w:hanging="567"/>
      </w:pPr>
      <w:r w:rsidRPr="003C4437">
        <w:t>Révision du caractère 57 “Résistance au virus des feuilles jaunes en cuillère de la tomate (TYLCV)” :</w:t>
      </w:r>
    </w:p>
    <w:p w:rsidR="00566048" w:rsidRPr="003C4437" w:rsidRDefault="00566048" w:rsidP="00566048">
      <w:pPr>
        <w:pStyle w:val="ListParagraph"/>
        <w:numPr>
          <w:ilvl w:val="0"/>
          <w:numId w:val="2"/>
        </w:numPr>
      </w:pPr>
      <w:r w:rsidRPr="003C4437">
        <w:t>Révision des exemples pour le niveau d’expression 1 “absente”</w:t>
      </w:r>
    </w:p>
    <w:p w:rsidR="00566048" w:rsidRPr="003C4437" w:rsidRDefault="00566048" w:rsidP="00566048">
      <w:pPr>
        <w:pStyle w:val="ListParagraph"/>
        <w:numPr>
          <w:ilvl w:val="0"/>
          <w:numId w:val="2"/>
        </w:numPr>
      </w:pPr>
      <w:r w:rsidRPr="003C4437">
        <w:t>Révision de la méthode actuellement employée pour évaluer la résistance à TYLCV comme indiqué à l’</w:t>
      </w:r>
      <w:r>
        <w:t>a</w:t>
      </w:r>
      <w:r w:rsidRPr="003C4437">
        <w:t>d. 57.i) et ajout d’une autre méthode utilisant l’inoculation de la mouche blanche comme indiqué à l’</w:t>
      </w:r>
      <w:r>
        <w:t>a</w:t>
      </w:r>
      <w:r w:rsidRPr="003C4437">
        <w:t>d. 57</w:t>
      </w:r>
      <w:proofErr w:type="gramStart"/>
      <w:r w:rsidRPr="003C4437">
        <w:t>.ii</w:t>
      </w:r>
      <w:proofErr w:type="gramEnd"/>
      <w:r w:rsidRPr="003C4437">
        <w:t>).</w:t>
      </w:r>
    </w:p>
    <w:p w:rsidR="00566048" w:rsidRPr="003C4437" w:rsidRDefault="00566048" w:rsidP="00566048"/>
    <w:p w:rsidR="00566048" w:rsidRPr="003C4437" w:rsidRDefault="00566048" w:rsidP="00566048">
      <w:pPr>
        <w:pStyle w:val="Default"/>
        <w:jc w:val="both"/>
        <w:rPr>
          <w:color w:val="auto"/>
          <w:sz w:val="20"/>
          <w:szCs w:val="20"/>
          <w:lang w:val="fr-FR"/>
        </w:rPr>
      </w:pPr>
      <w:r w:rsidRPr="003C4437">
        <w:rPr>
          <w:color w:val="auto"/>
          <w:sz w:val="20"/>
          <w:lang w:val="fr-FR"/>
        </w:rPr>
        <w:fldChar w:fldCharType="begin"/>
      </w:r>
      <w:r w:rsidRPr="003C4437">
        <w:rPr>
          <w:color w:val="auto"/>
          <w:sz w:val="20"/>
          <w:lang w:val="fr-FR"/>
        </w:rPr>
        <w:instrText xml:space="preserve"> AUTONUM  </w:instrText>
      </w:r>
      <w:r w:rsidRPr="003C4437">
        <w:rPr>
          <w:color w:val="auto"/>
          <w:sz w:val="20"/>
          <w:lang w:val="fr-FR"/>
        </w:rPr>
        <w:fldChar w:fldCharType="end"/>
      </w:r>
      <w:r w:rsidRPr="003C4437">
        <w:rPr>
          <w:color w:val="auto"/>
          <w:lang w:val="fr-FR"/>
        </w:rPr>
        <w:tab/>
      </w:r>
      <w:r w:rsidRPr="003C4437">
        <w:rPr>
          <w:color w:val="auto"/>
          <w:sz w:val="20"/>
          <w:szCs w:val="20"/>
          <w:lang w:val="fr-FR"/>
        </w:rPr>
        <w:t xml:space="preserve">Les modifications proposées sont indiquées ci-dessous en surbrillance et </w:t>
      </w:r>
      <w:r w:rsidRPr="001D4C8A">
        <w:rPr>
          <w:color w:val="auto"/>
          <w:sz w:val="20"/>
          <w:szCs w:val="20"/>
          <w:highlight w:val="lightGray"/>
          <w:u w:val="single"/>
          <w:lang w:val="fr-FR"/>
        </w:rPr>
        <w:t>soulignées</w:t>
      </w:r>
      <w:r w:rsidRPr="003C4437">
        <w:rPr>
          <w:color w:val="auto"/>
          <w:sz w:val="20"/>
          <w:szCs w:val="20"/>
          <w:lang w:val="fr-FR"/>
        </w:rPr>
        <w:t xml:space="preserve"> pour les insertions, en surbrillance et </w:t>
      </w:r>
      <w:r w:rsidRPr="002858BD">
        <w:rPr>
          <w:strike/>
          <w:color w:val="auto"/>
          <w:sz w:val="20"/>
          <w:szCs w:val="20"/>
          <w:highlight w:val="lightGray"/>
          <w:lang w:val="fr-FR"/>
        </w:rPr>
        <w:t>biffées</w:t>
      </w:r>
      <w:r w:rsidRPr="003C4437">
        <w:rPr>
          <w:color w:val="auto"/>
          <w:sz w:val="20"/>
          <w:szCs w:val="20"/>
          <w:lang w:val="fr-FR"/>
        </w:rPr>
        <w:t xml:space="preserve"> pour les </w:t>
      </w:r>
      <w:r w:rsidRPr="002858BD">
        <w:rPr>
          <w:color w:val="auto"/>
          <w:sz w:val="20"/>
          <w:szCs w:val="20"/>
          <w:lang w:val="fr-FR"/>
        </w:rPr>
        <w:t>suppressions</w:t>
      </w:r>
      <w:r w:rsidRPr="003C4437">
        <w:rPr>
          <w:color w:val="auto"/>
          <w:sz w:val="20"/>
          <w:szCs w:val="20"/>
          <w:lang w:val="fr-FR"/>
        </w:rPr>
        <w:t>.</w:t>
      </w:r>
    </w:p>
    <w:p w:rsidR="00566048" w:rsidRPr="003C4437" w:rsidRDefault="00566048" w:rsidP="00566048">
      <w:pPr>
        <w:pStyle w:val="Default"/>
        <w:rPr>
          <w:color w:val="auto"/>
          <w:lang w:val="fr-FR"/>
        </w:rPr>
      </w:pPr>
      <w:r w:rsidRPr="003C4437">
        <w:rPr>
          <w:color w:val="auto"/>
          <w:lang w:val="fr-FR"/>
        </w:rPr>
        <w:br w:type="page"/>
      </w:r>
    </w:p>
    <w:p w:rsidR="00566048" w:rsidRPr="003C4437" w:rsidRDefault="00566048" w:rsidP="00566048">
      <w:pPr>
        <w:pStyle w:val="Heading2"/>
        <w:rPr>
          <w:lang w:val="fr-FR"/>
        </w:rPr>
      </w:pPr>
      <w:r w:rsidRPr="003C4437">
        <w:rPr>
          <w:lang w:val="fr-FR"/>
        </w:rPr>
        <w:lastRenderedPageBreak/>
        <w:t>Proposition de révision de l’exemple donné pour le niveau d’expression 1 “absente”</w:t>
      </w:r>
    </w:p>
    <w:p w:rsidR="00566048" w:rsidRPr="003C4437" w:rsidRDefault="00566048" w:rsidP="00566048">
      <w:pPr>
        <w:jc w:val="left"/>
      </w:pPr>
    </w:p>
    <w:p w:rsidR="00566048" w:rsidRPr="003C4437" w:rsidRDefault="00566048" w:rsidP="00566048">
      <w:pPr>
        <w:jc w:val="left"/>
        <w:rPr>
          <w:i/>
        </w:rPr>
      </w:pPr>
      <w:r w:rsidRPr="003C4437">
        <w:rPr>
          <w:i/>
        </w:rPr>
        <w:t>Libellé actuel :</w:t>
      </w:r>
    </w:p>
    <w:p w:rsidR="00566048" w:rsidRPr="003C4437" w:rsidRDefault="00566048" w:rsidP="00566048">
      <w:pPr>
        <w:jc w:val="left"/>
        <w:rPr>
          <w:i/>
        </w:rPr>
      </w:pPr>
    </w:p>
    <w:tbl>
      <w:tblPr>
        <w:tblW w:w="112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74"/>
        <w:gridCol w:w="577"/>
        <w:gridCol w:w="1867"/>
        <w:gridCol w:w="1866"/>
        <w:gridCol w:w="1866"/>
        <w:gridCol w:w="1866"/>
        <w:gridCol w:w="2010"/>
        <w:gridCol w:w="574"/>
      </w:tblGrid>
      <w:tr w:rsidR="00566048" w:rsidRPr="003C4437" w:rsidTr="00D23974">
        <w:trPr>
          <w:cantSplit/>
          <w:jc w:val="center"/>
        </w:trPr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66048" w:rsidRPr="003C4437" w:rsidRDefault="00566048" w:rsidP="00D23974">
            <w:pPr>
              <w:pStyle w:val="Normaltb"/>
            </w:pP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566048" w:rsidRPr="003C4437" w:rsidRDefault="00566048" w:rsidP="00D23974">
            <w:pPr>
              <w:pStyle w:val="Normaltb"/>
              <w:rPr>
                <w:b w:val="0"/>
              </w:rPr>
            </w:pP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</w:tcPr>
          <w:p w:rsidR="00566048" w:rsidRPr="003C4437" w:rsidRDefault="00566048" w:rsidP="00D23974">
            <w:pPr>
              <w:pStyle w:val="Normaltb"/>
              <w:rPr>
                <w:b w:val="0"/>
              </w:rPr>
            </w:pPr>
            <w:r w:rsidRPr="003C4437">
              <w:rPr>
                <w:b w:val="0"/>
              </w:rPr>
              <w:br/>
              <w:t>English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566048" w:rsidRPr="003C4437" w:rsidRDefault="00566048" w:rsidP="00D23974">
            <w:pPr>
              <w:pStyle w:val="Normaltb"/>
              <w:rPr>
                <w:b w:val="0"/>
              </w:rPr>
            </w:pPr>
            <w:r w:rsidRPr="003C4437">
              <w:rPr>
                <w:b w:val="0"/>
              </w:rPr>
              <w:br/>
              <w:t>français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566048" w:rsidRPr="003C4437" w:rsidRDefault="00566048" w:rsidP="00D23974">
            <w:pPr>
              <w:pStyle w:val="Normaltb"/>
              <w:rPr>
                <w:b w:val="0"/>
              </w:rPr>
            </w:pPr>
            <w:r w:rsidRPr="003C4437">
              <w:rPr>
                <w:b w:val="0"/>
              </w:rPr>
              <w:br/>
            </w:r>
            <w:proofErr w:type="spellStart"/>
            <w:r w:rsidRPr="003C4437">
              <w:rPr>
                <w:b w:val="0"/>
              </w:rPr>
              <w:t>deutsch</w:t>
            </w:r>
            <w:proofErr w:type="spellEnd"/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566048" w:rsidRPr="003C4437" w:rsidRDefault="00566048" w:rsidP="00D23974">
            <w:pPr>
              <w:pStyle w:val="Normaltb"/>
              <w:rPr>
                <w:b w:val="0"/>
                <w:bCs w:val="0"/>
                <w:lang w:eastAsia="es-MX"/>
              </w:rPr>
            </w:pPr>
            <w:r w:rsidRPr="003C4437">
              <w:rPr>
                <w:b w:val="0"/>
                <w:bCs w:val="0"/>
                <w:lang w:eastAsia="es-MX"/>
              </w:rPr>
              <w:br/>
            </w:r>
            <w:proofErr w:type="spellStart"/>
            <w:r w:rsidRPr="003C4437">
              <w:rPr>
                <w:b w:val="0"/>
                <w:bCs w:val="0"/>
                <w:lang w:eastAsia="es-MX"/>
              </w:rPr>
              <w:t>español</w:t>
            </w:r>
            <w:proofErr w:type="spellEnd"/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</w:tcPr>
          <w:p w:rsidR="00566048" w:rsidRPr="003C4437" w:rsidRDefault="00566048" w:rsidP="00D23974">
            <w:pPr>
              <w:pStyle w:val="Normaltb"/>
              <w:rPr>
                <w:b w:val="0"/>
              </w:rPr>
            </w:pPr>
            <w:proofErr w:type="spellStart"/>
            <w:r w:rsidRPr="003C4437">
              <w:rPr>
                <w:b w:val="0"/>
              </w:rPr>
              <w:t>Example</w:t>
            </w:r>
            <w:proofErr w:type="spellEnd"/>
            <w:r w:rsidRPr="003C4437">
              <w:rPr>
                <w:b w:val="0"/>
              </w:rPr>
              <w:t xml:space="preserve"> </w:t>
            </w:r>
            <w:proofErr w:type="spellStart"/>
            <w:r w:rsidRPr="003C4437">
              <w:rPr>
                <w:b w:val="0"/>
              </w:rPr>
              <w:t>Varieties</w:t>
            </w:r>
            <w:proofErr w:type="spellEnd"/>
            <w:r w:rsidRPr="003C4437">
              <w:rPr>
                <w:b w:val="0"/>
              </w:rPr>
              <w:br/>
              <w:t>Exemples</w:t>
            </w:r>
            <w:r w:rsidRPr="003C4437">
              <w:rPr>
                <w:b w:val="0"/>
              </w:rPr>
              <w:br/>
            </w:r>
            <w:proofErr w:type="spellStart"/>
            <w:r w:rsidRPr="003C4437">
              <w:rPr>
                <w:b w:val="0"/>
              </w:rPr>
              <w:t>Beispielssorten</w:t>
            </w:r>
            <w:proofErr w:type="spellEnd"/>
            <w:r w:rsidRPr="003C4437">
              <w:rPr>
                <w:b w:val="0"/>
              </w:rPr>
              <w:br/>
            </w:r>
            <w:proofErr w:type="spellStart"/>
            <w:r w:rsidRPr="003C4437">
              <w:rPr>
                <w:b w:val="0"/>
              </w:rPr>
              <w:t>Variedades</w:t>
            </w:r>
            <w:proofErr w:type="spellEnd"/>
            <w:r w:rsidRPr="003C4437">
              <w:rPr>
                <w:b w:val="0"/>
              </w:rPr>
              <w:t xml:space="preserve"> </w:t>
            </w:r>
            <w:proofErr w:type="spellStart"/>
            <w:r w:rsidRPr="003C4437">
              <w:rPr>
                <w:b w:val="0"/>
              </w:rPr>
              <w:t>ejemplo</w:t>
            </w:r>
            <w:proofErr w:type="spellEnd"/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66048" w:rsidRPr="003C4437" w:rsidRDefault="00566048" w:rsidP="00D23974">
            <w:pPr>
              <w:pStyle w:val="Normaltb"/>
            </w:pPr>
            <w:r w:rsidRPr="003C4437">
              <w:br/>
            </w:r>
            <w:r w:rsidRPr="003C4437">
              <w:rPr>
                <w:b w:val="0"/>
              </w:rPr>
              <w:t>Note</w:t>
            </w:r>
            <w:r w:rsidRPr="003C4437">
              <w:t>/</w:t>
            </w:r>
            <w:r w:rsidRPr="003C4437">
              <w:br/>
            </w:r>
            <w:r w:rsidRPr="003C4437">
              <w:rPr>
                <w:b w:val="0"/>
              </w:rPr>
              <w:t>Nota</w:t>
            </w:r>
          </w:p>
        </w:tc>
      </w:tr>
      <w:tr w:rsidR="00566048" w:rsidRPr="0056567D" w:rsidTr="00D23974">
        <w:trPr>
          <w:cantSplit/>
          <w:jc w:val="center"/>
        </w:trPr>
        <w:tc>
          <w:tcPr>
            <w:tcW w:w="574" w:type="dxa"/>
            <w:tcBorders>
              <w:top w:val="single" w:sz="4" w:space="0" w:color="auto"/>
              <w:left w:val="nil"/>
              <w:bottom w:val="nil"/>
            </w:tcBorders>
          </w:tcPr>
          <w:p w:rsidR="00566048" w:rsidRPr="003C4437" w:rsidRDefault="00566048" w:rsidP="00D23974">
            <w:pPr>
              <w:pStyle w:val="Normaltb"/>
              <w:jc w:val="center"/>
            </w:pPr>
            <w:r w:rsidRPr="003C4437">
              <w:t xml:space="preserve">57. </w:t>
            </w:r>
            <w:r w:rsidRPr="003C4437">
              <w:br/>
            </w:r>
            <w:r w:rsidRPr="003C4437">
              <w:br/>
              <w:t>(+)</w:t>
            </w:r>
          </w:p>
        </w:tc>
        <w:tc>
          <w:tcPr>
            <w:tcW w:w="577" w:type="dxa"/>
            <w:tcBorders>
              <w:top w:val="single" w:sz="4" w:space="0" w:color="auto"/>
              <w:bottom w:val="nil"/>
            </w:tcBorders>
          </w:tcPr>
          <w:p w:rsidR="00566048" w:rsidRPr="003C4437" w:rsidRDefault="00566048" w:rsidP="00D23974">
            <w:pPr>
              <w:pStyle w:val="Normaltb"/>
              <w:jc w:val="center"/>
            </w:pPr>
            <w:r w:rsidRPr="003C4437">
              <w:t>VG</w:t>
            </w:r>
          </w:p>
        </w:tc>
        <w:tc>
          <w:tcPr>
            <w:tcW w:w="1867" w:type="dxa"/>
            <w:tcBorders>
              <w:top w:val="single" w:sz="4" w:space="0" w:color="auto"/>
              <w:bottom w:val="nil"/>
            </w:tcBorders>
          </w:tcPr>
          <w:p w:rsidR="00566048" w:rsidRPr="00DE5B03" w:rsidRDefault="00566048" w:rsidP="00D23974">
            <w:pPr>
              <w:pStyle w:val="Normaltb"/>
              <w:rPr>
                <w:lang w:val="en-US"/>
              </w:rPr>
            </w:pPr>
            <w:r w:rsidRPr="00DE5B03">
              <w:rPr>
                <w:lang w:val="en-US"/>
              </w:rPr>
              <w:t>Resistance to Tomato yellow leaf curl virus (TYLCV)</w:t>
            </w:r>
          </w:p>
        </w:tc>
        <w:tc>
          <w:tcPr>
            <w:tcW w:w="1866" w:type="dxa"/>
            <w:tcBorders>
              <w:top w:val="single" w:sz="4" w:space="0" w:color="auto"/>
              <w:bottom w:val="nil"/>
            </w:tcBorders>
          </w:tcPr>
          <w:p w:rsidR="00566048" w:rsidRPr="003C4437" w:rsidRDefault="00566048" w:rsidP="00D23974">
            <w:pPr>
              <w:pStyle w:val="Normaltb"/>
            </w:pPr>
            <w:r w:rsidRPr="003C4437">
              <w:t>Résistance au </w:t>
            </w:r>
            <w:r w:rsidRPr="003C4437">
              <w:rPr>
                <w:iCs/>
              </w:rPr>
              <w:t>virus des feuilles jaunes en cuillère de la tomate (TYLCV)</w:t>
            </w:r>
          </w:p>
        </w:tc>
        <w:tc>
          <w:tcPr>
            <w:tcW w:w="1866" w:type="dxa"/>
            <w:tcBorders>
              <w:top w:val="single" w:sz="4" w:space="0" w:color="auto"/>
              <w:bottom w:val="nil"/>
            </w:tcBorders>
          </w:tcPr>
          <w:p w:rsidR="00566048" w:rsidRPr="00566048" w:rsidRDefault="00566048" w:rsidP="00D23974">
            <w:pPr>
              <w:pStyle w:val="Normaltb"/>
              <w:rPr>
                <w:lang w:val="de-CH"/>
              </w:rPr>
            </w:pPr>
            <w:r w:rsidRPr="00566048">
              <w:rPr>
                <w:lang w:val="de-CH"/>
              </w:rPr>
              <w:t xml:space="preserve">Resistenz gegen gelbes Tomatenblatt-rollvirus </w:t>
            </w:r>
            <w:r w:rsidRPr="00566048">
              <w:rPr>
                <w:iCs/>
                <w:lang w:val="de-CH"/>
              </w:rPr>
              <w:t>(TYLCV)</w:t>
            </w:r>
          </w:p>
        </w:tc>
        <w:tc>
          <w:tcPr>
            <w:tcW w:w="1866" w:type="dxa"/>
            <w:tcBorders>
              <w:top w:val="single" w:sz="4" w:space="0" w:color="auto"/>
              <w:bottom w:val="nil"/>
            </w:tcBorders>
          </w:tcPr>
          <w:p w:rsidR="00566048" w:rsidRPr="00566048" w:rsidRDefault="00566048" w:rsidP="00D23974">
            <w:pPr>
              <w:pStyle w:val="Normaltb"/>
              <w:rPr>
                <w:lang w:val="es-ES_tradnl"/>
              </w:rPr>
            </w:pPr>
            <w:r w:rsidRPr="00566048">
              <w:rPr>
                <w:bCs w:val="0"/>
                <w:lang w:val="es-ES_tradnl" w:eastAsia="es-MX"/>
              </w:rPr>
              <w:t>Resistencia al virus</w:t>
            </w:r>
            <w:r w:rsidRPr="00566048">
              <w:rPr>
                <w:b w:val="0"/>
                <w:bCs w:val="0"/>
                <w:lang w:val="es-ES_tradnl" w:eastAsia="es-MX"/>
              </w:rPr>
              <w:t xml:space="preserve"> </w:t>
            </w:r>
            <w:r w:rsidRPr="00566048">
              <w:rPr>
                <w:bCs w:val="0"/>
                <w:lang w:val="es-ES_tradnl" w:eastAsia="es-MX"/>
              </w:rPr>
              <w:t>del rizado amarillo de la hoja del tomate (TYLCV)</w:t>
            </w:r>
          </w:p>
        </w:tc>
        <w:tc>
          <w:tcPr>
            <w:tcW w:w="2010" w:type="dxa"/>
            <w:tcBorders>
              <w:top w:val="single" w:sz="4" w:space="0" w:color="auto"/>
              <w:bottom w:val="nil"/>
            </w:tcBorders>
          </w:tcPr>
          <w:p w:rsidR="00566048" w:rsidRPr="00566048" w:rsidRDefault="00566048" w:rsidP="00D23974">
            <w:pPr>
              <w:pStyle w:val="Normaltb"/>
              <w:rPr>
                <w:lang w:val="es-ES_tradnl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nil"/>
              <w:right w:val="nil"/>
            </w:tcBorders>
          </w:tcPr>
          <w:p w:rsidR="00566048" w:rsidRPr="00566048" w:rsidRDefault="00566048" w:rsidP="00D23974">
            <w:pPr>
              <w:pStyle w:val="Normaltb"/>
              <w:jc w:val="center"/>
              <w:rPr>
                <w:lang w:val="es-ES_tradnl"/>
              </w:rPr>
            </w:pPr>
          </w:p>
        </w:tc>
      </w:tr>
      <w:tr w:rsidR="00566048" w:rsidRPr="003C4437" w:rsidTr="00D23974">
        <w:trPr>
          <w:cantSplit/>
          <w:jc w:val="center"/>
        </w:trPr>
        <w:tc>
          <w:tcPr>
            <w:tcW w:w="574" w:type="dxa"/>
            <w:tcBorders>
              <w:top w:val="nil"/>
              <w:left w:val="nil"/>
              <w:bottom w:val="nil"/>
            </w:tcBorders>
          </w:tcPr>
          <w:p w:rsidR="00566048" w:rsidRPr="003C4437" w:rsidRDefault="00566048" w:rsidP="00D23974">
            <w:pPr>
              <w:pStyle w:val="Normaltb"/>
              <w:keepNext w:val="0"/>
              <w:widowControl w:val="0"/>
              <w:jc w:val="center"/>
            </w:pPr>
            <w:r w:rsidRPr="003C4437">
              <w:t>QL</w:t>
            </w:r>
          </w:p>
        </w:tc>
        <w:tc>
          <w:tcPr>
            <w:tcW w:w="577" w:type="dxa"/>
            <w:tcBorders>
              <w:top w:val="nil"/>
              <w:bottom w:val="nil"/>
            </w:tcBorders>
          </w:tcPr>
          <w:p w:rsidR="00566048" w:rsidRPr="003C4437" w:rsidRDefault="00566048" w:rsidP="00D23974">
            <w:pPr>
              <w:pStyle w:val="Normaltb"/>
              <w:keepNext w:val="0"/>
              <w:widowControl w:val="0"/>
              <w:jc w:val="center"/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566048" w:rsidRPr="003C4437" w:rsidRDefault="00566048" w:rsidP="00D23974">
            <w:pPr>
              <w:pStyle w:val="Normalt"/>
              <w:widowControl w:val="0"/>
            </w:pPr>
            <w:r w:rsidRPr="003C4437">
              <w:t>absent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566048" w:rsidRPr="003C4437" w:rsidRDefault="00566048" w:rsidP="00D23974">
            <w:pPr>
              <w:pStyle w:val="Normalt"/>
              <w:widowControl w:val="0"/>
            </w:pPr>
            <w:r w:rsidRPr="003C4437">
              <w:t>absente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566048" w:rsidRPr="003C4437" w:rsidRDefault="00566048" w:rsidP="00D23974">
            <w:pPr>
              <w:pStyle w:val="Normalt"/>
            </w:pPr>
            <w:proofErr w:type="spellStart"/>
            <w:r w:rsidRPr="003C4437">
              <w:t>fehlend</w:t>
            </w:r>
            <w:proofErr w:type="spellEnd"/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566048" w:rsidRPr="003C4437" w:rsidRDefault="00566048" w:rsidP="00D23974">
            <w:pPr>
              <w:pStyle w:val="Normalt"/>
            </w:pPr>
            <w:proofErr w:type="spellStart"/>
            <w:r w:rsidRPr="003C4437">
              <w:t>ausente</w:t>
            </w:r>
            <w:proofErr w:type="spellEnd"/>
          </w:p>
        </w:tc>
        <w:tc>
          <w:tcPr>
            <w:tcW w:w="2010" w:type="dxa"/>
            <w:tcBorders>
              <w:top w:val="nil"/>
              <w:bottom w:val="nil"/>
            </w:tcBorders>
          </w:tcPr>
          <w:p w:rsidR="00566048" w:rsidRPr="003C4437" w:rsidRDefault="00566048" w:rsidP="00D23974">
            <w:pPr>
              <w:pStyle w:val="Normalt"/>
              <w:widowControl w:val="0"/>
            </w:pPr>
            <w:proofErr w:type="spellStart"/>
            <w:r w:rsidRPr="003C4437">
              <w:t>Montfavet</w:t>
            </w:r>
            <w:proofErr w:type="spellEnd"/>
            <w:r w:rsidRPr="003C4437">
              <w:t xml:space="preserve"> H 63.5</w:t>
            </w:r>
          </w:p>
        </w:tc>
        <w:tc>
          <w:tcPr>
            <w:tcW w:w="574" w:type="dxa"/>
            <w:tcBorders>
              <w:top w:val="nil"/>
              <w:bottom w:val="nil"/>
              <w:right w:val="nil"/>
            </w:tcBorders>
          </w:tcPr>
          <w:p w:rsidR="00566048" w:rsidRPr="003C4437" w:rsidRDefault="00566048" w:rsidP="00D23974">
            <w:pPr>
              <w:pStyle w:val="Normalt"/>
              <w:widowControl w:val="0"/>
              <w:jc w:val="center"/>
            </w:pPr>
            <w:r w:rsidRPr="003C4437">
              <w:t>1</w:t>
            </w:r>
          </w:p>
        </w:tc>
      </w:tr>
      <w:tr w:rsidR="00566048" w:rsidRPr="003C4437" w:rsidTr="00D23974">
        <w:trPr>
          <w:cantSplit/>
          <w:jc w:val="center"/>
        </w:trPr>
        <w:tc>
          <w:tcPr>
            <w:tcW w:w="574" w:type="dxa"/>
            <w:tcBorders>
              <w:top w:val="nil"/>
              <w:left w:val="nil"/>
              <w:bottom w:val="single" w:sz="4" w:space="0" w:color="auto"/>
            </w:tcBorders>
          </w:tcPr>
          <w:p w:rsidR="00566048" w:rsidRPr="003C4437" w:rsidRDefault="00566048" w:rsidP="00D23974">
            <w:pPr>
              <w:pStyle w:val="Normaltb"/>
              <w:keepNext w:val="0"/>
              <w:widowControl w:val="0"/>
              <w:jc w:val="center"/>
            </w:pPr>
          </w:p>
        </w:tc>
        <w:tc>
          <w:tcPr>
            <w:tcW w:w="577" w:type="dxa"/>
            <w:tcBorders>
              <w:top w:val="nil"/>
              <w:bottom w:val="single" w:sz="4" w:space="0" w:color="auto"/>
            </w:tcBorders>
          </w:tcPr>
          <w:p w:rsidR="00566048" w:rsidRPr="003C4437" w:rsidRDefault="00566048" w:rsidP="00D23974">
            <w:pPr>
              <w:pStyle w:val="Normaltb"/>
              <w:keepNext w:val="0"/>
              <w:widowControl w:val="0"/>
              <w:jc w:val="center"/>
            </w:pPr>
          </w:p>
        </w:tc>
        <w:tc>
          <w:tcPr>
            <w:tcW w:w="1867" w:type="dxa"/>
            <w:tcBorders>
              <w:top w:val="nil"/>
              <w:bottom w:val="single" w:sz="4" w:space="0" w:color="auto"/>
            </w:tcBorders>
          </w:tcPr>
          <w:p w:rsidR="00566048" w:rsidRPr="003C4437" w:rsidRDefault="00566048" w:rsidP="00D23974">
            <w:pPr>
              <w:pStyle w:val="Normalt"/>
              <w:widowControl w:val="0"/>
            </w:pPr>
            <w:proofErr w:type="spellStart"/>
            <w:r w:rsidRPr="003C4437">
              <w:t>present</w:t>
            </w:r>
            <w:proofErr w:type="spellEnd"/>
          </w:p>
        </w:tc>
        <w:tc>
          <w:tcPr>
            <w:tcW w:w="1866" w:type="dxa"/>
            <w:tcBorders>
              <w:top w:val="nil"/>
              <w:bottom w:val="single" w:sz="4" w:space="0" w:color="auto"/>
            </w:tcBorders>
          </w:tcPr>
          <w:p w:rsidR="00566048" w:rsidRPr="003C4437" w:rsidRDefault="00566048" w:rsidP="00D23974">
            <w:pPr>
              <w:pStyle w:val="Normalt"/>
              <w:widowControl w:val="0"/>
            </w:pPr>
            <w:r w:rsidRPr="003C4437">
              <w:t>présente</w:t>
            </w:r>
          </w:p>
        </w:tc>
        <w:tc>
          <w:tcPr>
            <w:tcW w:w="1866" w:type="dxa"/>
            <w:tcBorders>
              <w:top w:val="nil"/>
              <w:bottom w:val="single" w:sz="4" w:space="0" w:color="auto"/>
            </w:tcBorders>
          </w:tcPr>
          <w:p w:rsidR="00566048" w:rsidRPr="003C4437" w:rsidRDefault="00566048" w:rsidP="00D23974">
            <w:pPr>
              <w:pStyle w:val="Normalt"/>
            </w:pPr>
            <w:proofErr w:type="spellStart"/>
            <w:r w:rsidRPr="003C4437">
              <w:t>vorhanden</w:t>
            </w:r>
            <w:proofErr w:type="spellEnd"/>
          </w:p>
        </w:tc>
        <w:tc>
          <w:tcPr>
            <w:tcW w:w="1866" w:type="dxa"/>
            <w:tcBorders>
              <w:top w:val="nil"/>
              <w:bottom w:val="single" w:sz="4" w:space="0" w:color="auto"/>
            </w:tcBorders>
          </w:tcPr>
          <w:p w:rsidR="00566048" w:rsidRPr="003C4437" w:rsidRDefault="00566048" w:rsidP="00D23974">
            <w:pPr>
              <w:pStyle w:val="Normalt"/>
            </w:pPr>
            <w:proofErr w:type="spellStart"/>
            <w:r w:rsidRPr="003C4437">
              <w:t>presente</w:t>
            </w:r>
            <w:proofErr w:type="spellEnd"/>
          </w:p>
        </w:tc>
        <w:tc>
          <w:tcPr>
            <w:tcW w:w="2010" w:type="dxa"/>
            <w:tcBorders>
              <w:top w:val="nil"/>
              <w:bottom w:val="single" w:sz="4" w:space="0" w:color="auto"/>
            </w:tcBorders>
          </w:tcPr>
          <w:p w:rsidR="00566048" w:rsidRPr="003C4437" w:rsidRDefault="00566048" w:rsidP="00D23974">
            <w:pPr>
              <w:pStyle w:val="Normalt"/>
              <w:widowControl w:val="0"/>
            </w:pPr>
            <w:r w:rsidRPr="003C4437">
              <w:t>Anastasia, Mohawk, TY 20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  <w:right w:val="nil"/>
            </w:tcBorders>
          </w:tcPr>
          <w:p w:rsidR="00566048" w:rsidRPr="003C4437" w:rsidRDefault="00566048" w:rsidP="00D23974">
            <w:pPr>
              <w:pStyle w:val="Normalt"/>
              <w:widowControl w:val="0"/>
              <w:jc w:val="center"/>
            </w:pPr>
            <w:r w:rsidRPr="003C4437">
              <w:t>9</w:t>
            </w:r>
          </w:p>
        </w:tc>
      </w:tr>
    </w:tbl>
    <w:p w:rsidR="00566048" w:rsidRPr="003C4437" w:rsidRDefault="00566048" w:rsidP="00566048">
      <w:pPr>
        <w:jc w:val="left"/>
        <w:rPr>
          <w:i/>
        </w:rPr>
      </w:pPr>
    </w:p>
    <w:p w:rsidR="00566048" w:rsidRPr="003C4437" w:rsidRDefault="00566048" w:rsidP="00566048">
      <w:pPr>
        <w:jc w:val="left"/>
        <w:rPr>
          <w:i/>
        </w:rPr>
      </w:pPr>
    </w:p>
    <w:p w:rsidR="00566048" w:rsidRPr="003C4437" w:rsidRDefault="00566048" w:rsidP="00566048">
      <w:pPr>
        <w:rPr>
          <w:i/>
        </w:rPr>
      </w:pPr>
      <w:r w:rsidRPr="003C4437">
        <w:rPr>
          <w:i/>
        </w:rPr>
        <w:t>Nouveau libellé proposé :</w:t>
      </w:r>
    </w:p>
    <w:p w:rsidR="00566048" w:rsidRPr="003C4437" w:rsidRDefault="00566048" w:rsidP="00566048">
      <w:pPr>
        <w:rPr>
          <w:i/>
        </w:rPr>
      </w:pPr>
    </w:p>
    <w:tbl>
      <w:tblPr>
        <w:tblW w:w="112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74"/>
        <w:gridCol w:w="577"/>
        <w:gridCol w:w="1867"/>
        <w:gridCol w:w="1866"/>
        <w:gridCol w:w="1866"/>
        <w:gridCol w:w="1866"/>
        <w:gridCol w:w="2010"/>
        <w:gridCol w:w="574"/>
      </w:tblGrid>
      <w:tr w:rsidR="00566048" w:rsidRPr="003C4437" w:rsidTr="00D23974">
        <w:trPr>
          <w:cantSplit/>
          <w:jc w:val="center"/>
        </w:trPr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66048" w:rsidRPr="003C4437" w:rsidRDefault="00566048" w:rsidP="00D23974">
            <w:pPr>
              <w:pStyle w:val="Normaltb"/>
            </w:pP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566048" w:rsidRPr="003C4437" w:rsidRDefault="00566048" w:rsidP="00D23974">
            <w:pPr>
              <w:pStyle w:val="Normaltb"/>
              <w:rPr>
                <w:b w:val="0"/>
              </w:rPr>
            </w:pP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</w:tcPr>
          <w:p w:rsidR="00566048" w:rsidRPr="003C4437" w:rsidRDefault="00566048" w:rsidP="00D23974">
            <w:pPr>
              <w:pStyle w:val="Normaltb"/>
              <w:rPr>
                <w:b w:val="0"/>
              </w:rPr>
            </w:pPr>
            <w:r w:rsidRPr="003C4437">
              <w:rPr>
                <w:b w:val="0"/>
              </w:rPr>
              <w:br/>
              <w:t>English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566048" w:rsidRPr="003C4437" w:rsidRDefault="00566048" w:rsidP="00D23974">
            <w:pPr>
              <w:pStyle w:val="Normaltb"/>
              <w:rPr>
                <w:b w:val="0"/>
              </w:rPr>
            </w:pPr>
            <w:r w:rsidRPr="003C4437">
              <w:rPr>
                <w:b w:val="0"/>
              </w:rPr>
              <w:br/>
              <w:t>français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566048" w:rsidRPr="003C4437" w:rsidRDefault="00566048" w:rsidP="00D23974">
            <w:pPr>
              <w:pStyle w:val="Normaltb"/>
              <w:rPr>
                <w:b w:val="0"/>
              </w:rPr>
            </w:pPr>
            <w:r w:rsidRPr="003C4437">
              <w:rPr>
                <w:b w:val="0"/>
              </w:rPr>
              <w:br/>
            </w:r>
            <w:proofErr w:type="spellStart"/>
            <w:r w:rsidRPr="003C4437">
              <w:rPr>
                <w:b w:val="0"/>
              </w:rPr>
              <w:t>deutsch</w:t>
            </w:r>
            <w:proofErr w:type="spellEnd"/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566048" w:rsidRPr="003C4437" w:rsidRDefault="00566048" w:rsidP="00D23974">
            <w:pPr>
              <w:pStyle w:val="Normaltb"/>
              <w:rPr>
                <w:b w:val="0"/>
                <w:bCs w:val="0"/>
                <w:lang w:eastAsia="es-MX"/>
              </w:rPr>
            </w:pPr>
            <w:r w:rsidRPr="003C4437">
              <w:rPr>
                <w:b w:val="0"/>
                <w:bCs w:val="0"/>
                <w:lang w:eastAsia="es-MX"/>
              </w:rPr>
              <w:br/>
            </w:r>
            <w:proofErr w:type="spellStart"/>
            <w:r w:rsidRPr="003C4437">
              <w:rPr>
                <w:b w:val="0"/>
                <w:bCs w:val="0"/>
                <w:lang w:eastAsia="es-MX"/>
              </w:rPr>
              <w:t>español</w:t>
            </w:r>
            <w:proofErr w:type="spellEnd"/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</w:tcPr>
          <w:p w:rsidR="00566048" w:rsidRPr="003C4437" w:rsidRDefault="00566048" w:rsidP="00D23974">
            <w:pPr>
              <w:pStyle w:val="Normaltb"/>
              <w:rPr>
                <w:b w:val="0"/>
              </w:rPr>
            </w:pPr>
            <w:proofErr w:type="spellStart"/>
            <w:r w:rsidRPr="003C4437">
              <w:rPr>
                <w:b w:val="0"/>
              </w:rPr>
              <w:t>Example</w:t>
            </w:r>
            <w:proofErr w:type="spellEnd"/>
            <w:r w:rsidRPr="003C4437">
              <w:rPr>
                <w:b w:val="0"/>
              </w:rPr>
              <w:t xml:space="preserve"> </w:t>
            </w:r>
            <w:proofErr w:type="spellStart"/>
            <w:r w:rsidRPr="003C4437">
              <w:rPr>
                <w:b w:val="0"/>
              </w:rPr>
              <w:t>Varieties</w:t>
            </w:r>
            <w:proofErr w:type="spellEnd"/>
            <w:r w:rsidRPr="003C4437">
              <w:rPr>
                <w:b w:val="0"/>
              </w:rPr>
              <w:br/>
              <w:t>Exemples</w:t>
            </w:r>
            <w:r w:rsidRPr="003C4437">
              <w:rPr>
                <w:b w:val="0"/>
              </w:rPr>
              <w:br/>
            </w:r>
            <w:proofErr w:type="spellStart"/>
            <w:r w:rsidRPr="003C4437">
              <w:rPr>
                <w:b w:val="0"/>
              </w:rPr>
              <w:t>Beispielssorten</w:t>
            </w:r>
            <w:proofErr w:type="spellEnd"/>
            <w:r w:rsidRPr="003C4437">
              <w:rPr>
                <w:b w:val="0"/>
              </w:rPr>
              <w:br/>
            </w:r>
            <w:proofErr w:type="spellStart"/>
            <w:r w:rsidRPr="003C4437">
              <w:rPr>
                <w:b w:val="0"/>
              </w:rPr>
              <w:t>Variedades</w:t>
            </w:r>
            <w:proofErr w:type="spellEnd"/>
            <w:r w:rsidRPr="003C4437">
              <w:rPr>
                <w:b w:val="0"/>
              </w:rPr>
              <w:t xml:space="preserve"> </w:t>
            </w:r>
            <w:proofErr w:type="spellStart"/>
            <w:r w:rsidRPr="003C4437">
              <w:rPr>
                <w:b w:val="0"/>
              </w:rPr>
              <w:t>ejemplo</w:t>
            </w:r>
            <w:proofErr w:type="spellEnd"/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66048" w:rsidRPr="003C4437" w:rsidRDefault="00566048" w:rsidP="00D23974">
            <w:pPr>
              <w:pStyle w:val="Normaltb"/>
            </w:pPr>
            <w:r w:rsidRPr="003C4437">
              <w:br/>
            </w:r>
            <w:r w:rsidRPr="003C4437">
              <w:rPr>
                <w:b w:val="0"/>
              </w:rPr>
              <w:t>Note</w:t>
            </w:r>
            <w:r w:rsidRPr="003C4437">
              <w:t>/</w:t>
            </w:r>
            <w:r w:rsidRPr="003C4437">
              <w:br/>
            </w:r>
            <w:r w:rsidRPr="003C4437">
              <w:rPr>
                <w:b w:val="0"/>
              </w:rPr>
              <w:t>Nota</w:t>
            </w:r>
          </w:p>
        </w:tc>
      </w:tr>
      <w:tr w:rsidR="00566048" w:rsidRPr="0056567D" w:rsidTr="00D23974">
        <w:trPr>
          <w:cantSplit/>
          <w:jc w:val="center"/>
        </w:trPr>
        <w:tc>
          <w:tcPr>
            <w:tcW w:w="574" w:type="dxa"/>
            <w:tcBorders>
              <w:top w:val="single" w:sz="4" w:space="0" w:color="auto"/>
              <w:left w:val="nil"/>
              <w:bottom w:val="nil"/>
            </w:tcBorders>
          </w:tcPr>
          <w:p w:rsidR="00566048" w:rsidRPr="003C4437" w:rsidRDefault="00566048" w:rsidP="00D23974">
            <w:pPr>
              <w:pStyle w:val="Normaltb"/>
              <w:jc w:val="center"/>
            </w:pPr>
            <w:r w:rsidRPr="003C4437">
              <w:t xml:space="preserve">57. </w:t>
            </w:r>
            <w:r w:rsidRPr="003C4437">
              <w:br/>
            </w:r>
            <w:r w:rsidRPr="003C4437">
              <w:br/>
              <w:t>(+)</w:t>
            </w:r>
          </w:p>
        </w:tc>
        <w:tc>
          <w:tcPr>
            <w:tcW w:w="577" w:type="dxa"/>
            <w:tcBorders>
              <w:top w:val="single" w:sz="4" w:space="0" w:color="auto"/>
              <w:bottom w:val="nil"/>
            </w:tcBorders>
          </w:tcPr>
          <w:p w:rsidR="00566048" w:rsidRPr="003C4437" w:rsidRDefault="00566048" w:rsidP="00D23974">
            <w:pPr>
              <w:pStyle w:val="Normaltb"/>
              <w:jc w:val="center"/>
            </w:pPr>
            <w:r w:rsidRPr="003C4437">
              <w:t>VG</w:t>
            </w:r>
          </w:p>
        </w:tc>
        <w:tc>
          <w:tcPr>
            <w:tcW w:w="1867" w:type="dxa"/>
            <w:tcBorders>
              <w:top w:val="single" w:sz="4" w:space="0" w:color="auto"/>
              <w:bottom w:val="nil"/>
            </w:tcBorders>
          </w:tcPr>
          <w:p w:rsidR="00566048" w:rsidRPr="00DE5B03" w:rsidRDefault="00566048" w:rsidP="00D23974">
            <w:pPr>
              <w:pStyle w:val="Normaltb"/>
              <w:rPr>
                <w:lang w:val="en-US"/>
              </w:rPr>
            </w:pPr>
            <w:r w:rsidRPr="00DE5B03">
              <w:rPr>
                <w:lang w:val="en-US"/>
              </w:rPr>
              <w:t>Resistance to Tomato yellow leaf curl virus (TYLCV)</w:t>
            </w:r>
          </w:p>
        </w:tc>
        <w:tc>
          <w:tcPr>
            <w:tcW w:w="1866" w:type="dxa"/>
            <w:tcBorders>
              <w:top w:val="single" w:sz="4" w:space="0" w:color="auto"/>
              <w:bottom w:val="nil"/>
            </w:tcBorders>
          </w:tcPr>
          <w:p w:rsidR="00566048" w:rsidRPr="003C4437" w:rsidRDefault="00566048" w:rsidP="00D23974">
            <w:pPr>
              <w:pStyle w:val="Normaltb"/>
            </w:pPr>
            <w:r w:rsidRPr="003C4437">
              <w:t>Résistance au </w:t>
            </w:r>
            <w:r w:rsidRPr="003C4437">
              <w:rPr>
                <w:iCs/>
              </w:rPr>
              <w:t>virus des feuilles jaunes en cuillère de la tomate (TYLCV)</w:t>
            </w:r>
          </w:p>
        </w:tc>
        <w:tc>
          <w:tcPr>
            <w:tcW w:w="1866" w:type="dxa"/>
            <w:tcBorders>
              <w:top w:val="single" w:sz="4" w:space="0" w:color="auto"/>
              <w:bottom w:val="nil"/>
            </w:tcBorders>
          </w:tcPr>
          <w:p w:rsidR="00566048" w:rsidRPr="00566048" w:rsidRDefault="00566048" w:rsidP="00D23974">
            <w:pPr>
              <w:pStyle w:val="Normaltb"/>
              <w:rPr>
                <w:lang w:val="de-CH"/>
              </w:rPr>
            </w:pPr>
            <w:r w:rsidRPr="00566048">
              <w:rPr>
                <w:lang w:val="de-CH"/>
              </w:rPr>
              <w:t xml:space="preserve">Resistenz gegen gelbes Tomatenblatt-rollvirus </w:t>
            </w:r>
            <w:r w:rsidRPr="00566048">
              <w:rPr>
                <w:iCs/>
                <w:lang w:val="de-CH"/>
              </w:rPr>
              <w:t>(TYLCV)</w:t>
            </w:r>
          </w:p>
        </w:tc>
        <w:tc>
          <w:tcPr>
            <w:tcW w:w="1866" w:type="dxa"/>
            <w:tcBorders>
              <w:top w:val="single" w:sz="4" w:space="0" w:color="auto"/>
              <w:bottom w:val="nil"/>
            </w:tcBorders>
          </w:tcPr>
          <w:p w:rsidR="00566048" w:rsidRPr="00566048" w:rsidRDefault="00566048" w:rsidP="00D23974">
            <w:pPr>
              <w:pStyle w:val="Normaltb"/>
              <w:rPr>
                <w:lang w:val="es-ES_tradnl"/>
              </w:rPr>
            </w:pPr>
            <w:r w:rsidRPr="00566048">
              <w:rPr>
                <w:bCs w:val="0"/>
                <w:lang w:val="es-ES_tradnl" w:eastAsia="es-MX"/>
              </w:rPr>
              <w:t>Resistencia al virus</w:t>
            </w:r>
            <w:r w:rsidRPr="00566048">
              <w:rPr>
                <w:b w:val="0"/>
                <w:bCs w:val="0"/>
                <w:lang w:val="es-ES_tradnl" w:eastAsia="es-MX"/>
              </w:rPr>
              <w:t xml:space="preserve"> </w:t>
            </w:r>
            <w:r w:rsidRPr="00566048">
              <w:rPr>
                <w:bCs w:val="0"/>
                <w:lang w:val="es-ES_tradnl" w:eastAsia="es-MX"/>
              </w:rPr>
              <w:t>del rizado amarillo de la hoja del tomate (TYLCV)</w:t>
            </w:r>
          </w:p>
        </w:tc>
        <w:tc>
          <w:tcPr>
            <w:tcW w:w="2010" w:type="dxa"/>
            <w:tcBorders>
              <w:top w:val="single" w:sz="4" w:space="0" w:color="auto"/>
              <w:bottom w:val="nil"/>
            </w:tcBorders>
          </w:tcPr>
          <w:p w:rsidR="00566048" w:rsidRPr="00566048" w:rsidRDefault="00566048" w:rsidP="00D23974">
            <w:pPr>
              <w:pStyle w:val="Normaltb"/>
              <w:rPr>
                <w:lang w:val="es-ES_tradnl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nil"/>
              <w:right w:val="nil"/>
            </w:tcBorders>
          </w:tcPr>
          <w:p w:rsidR="00566048" w:rsidRPr="00566048" w:rsidRDefault="00566048" w:rsidP="00D23974">
            <w:pPr>
              <w:pStyle w:val="Normaltb"/>
              <w:jc w:val="center"/>
              <w:rPr>
                <w:lang w:val="es-ES_tradnl"/>
              </w:rPr>
            </w:pPr>
          </w:p>
        </w:tc>
      </w:tr>
      <w:tr w:rsidR="00566048" w:rsidRPr="003C4437" w:rsidTr="00D23974">
        <w:trPr>
          <w:cantSplit/>
          <w:jc w:val="center"/>
        </w:trPr>
        <w:tc>
          <w:tcPr>
            <w:tcW w:w="574" w:type="dxa"/>
            <w:tcBorders>
              <w:top w:val="nil"/>
              <w:left w:val="nil"/>
              <w:bottom w:val="nil"/>
            </w:tcBorders>
          </w:tcPr>
          <w:p w:rsidR="00566048" w:rsidRPr="003C4437" w:rsidRDefault="00566048" w:rsidP="00D23974">
            <w:pPr>
              <w:pStyle w:val="Normaltb"/>
              <w:keepNext w:val="0"/>
              <w:widowControl w:val="0"/>
              <w:jc w:val="center"/>
            </w:pPr>
            <w:r w:rsidRPr="003C4437">
              <w:t>QL</w:t>
            </w:r>
          </w:p>
        </w:tc>
        <w:tc>
          <w:tcPr>
            <w:tcW w:w="577" w:type="dxa"/>
            <w:tcBorders>
              <w:top w:val="nil"/>
              <w:bottom w:val="nil"/>
            </w:tcBorders>
          </w:tcPr>
          <w:p w:rsidR="00566048" w:rsidRPr="003C4437" w:rsidRDefault="00566048" w:rsidP="00D23974">
            <w:pPr>
              <w:pStyle w:val="Normaltb"/>
              <w:keepNext w:val="0"/>
              <w:widowControl w:val="0"/>
              <w:jc w:val="center"/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566048" w:rsidRPr="003C4437" w:rsidRDefault="00566048" w:rsidP="00D23974">
            <w:pPr>
              <w:pStyle w:val="Normalt"/>
              <w:widowControl w:val="0"/>
            </w:pPr>
            <w:r w:rsidRPr="003C4437">
              <w:t>absent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566048" w:rsidRPr="003C4437" w:rsidRDefault="00566048" w:rsidP="00D23974">
            <w:pPr>
              <w:pStyle w:val="Normalt"/>
              <w:widowControl w:val="0"/>
            </w:pPr>
            <w:r w:rsidRPr="003C4437">
              <w:t>absente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566048" w:rsidRPr="003C4437" w:rsidRDefault="00566048" w:rsidP="00D23974">
            <w:pPr>
              <w:pStyle w:val="Normalt"/>
            </w:pPr>
            <w:proofErr w:type="spellStart"/>
            <w:r w:rsidRPr="003C4437">
              <w:t>fehlend</w:t>
            </w:r>
            <w:proofErr w:type="spellEnd"/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566048" w:rsidRPr="003C4437" w:rsidRDefault="00566048" w:rsidP="00D23974">
            <w:pPr>
              <w:pStyle w:val="Normalt"/>
            </w:pPr>
            <w:proofErr w:type="spellStart"/>
            <w:r w:rsidRPr="003C4437">
              <w:t>ausente</w:t>
            </w:r>
            <w:proofErr w:type="spellEnd"/>
          </w:p>
        </w:tc>
        <w:tc>
          <w:tcPr>
            <w:tcW w:w="2010" w:type="dxa"/>
            <w:tcBorders>
              <w:top w:val="nil"/>
              <w:bottom w:val="nil"/>
            </w:tcBorders>
          </w:tcPr>
          <w:p w:rsidR="00566048" w:rsidRPr="003C4437" w:rsidRDefault="00566048" w:rsidP="00D23974">
            <w:pPr>
              <w:pStyle w:val="Normalt"/>
              <w:widowControl w:val="0"/>
            </w:pPr>
            <w:proofErr w:type="spellStart"/>
            <w:r w:rsidRPr="003C4437">
              <w:rPr>
                <w:strike/>
                <w:highlight w:val="lightGray"/>
              </w:rPr>
              <w:t>Montfavet</w:t>
            </w:r>
            <w:proofErr w:type="spellEnd"/>
            <w:r w:rsidRPr="003C4437">
              <w:rPr>
                <w:strike/>
                <w:highlight w:val="lightGray"/>
              </w:rPr>
              <w:t xml:space="preserve"> H 63.5</w:t>
            </w:r>
            <w:r w:rsidRPr="003C4437">
              <w:rPr>
                <w:highlight w:val="lightGray"/>
              </w:rPr>
              <w:br/>
            </w:r>
            <w:r w:rsidRPr="003C4437">
              <w:rPr>
                <w:rFonts w:cs="Tahoma"/>
                <w:szCs w:val="18"/>
                <w:highlight w:val="lightGray"/>
                <w:u w:val="single"/>
              </w:rPr>
              <w:t xml:space="preserve">Marmande, </w:t>
            </w:r>
            <w:proofErr w:type="spellStart"/>
            <w:r w:rsidRPr="003C4437">
              <w:rPr>
                <w:rFonts w:cs="Tahoma"/>
                <w:szCs w:val="18"/>
                <w:highlight w:val="lightGray"/>
                <w:u w:val="single"/>
              </w:rPr>
              <w:t>Moneymaker</w:t>
            </w:r>
            <w:proofErr w:type="spellEnd"/>
          </w:p>
        </w:tc>
        <w:tc>
          <w:tcPr>
            <w:tcW w:w="574" w:type="dxa"/>
            <w:tcBorders>
              <w:top w:val="nil"/>
              <w:bottom w:val="nil"/>
              <w:right w:val="nil"/>
            </w:tcBorders>
          </w:tcPr>
          <w:p w:rsidR="00566048" w:rsidRPr="003C4437" w:rsidRDefault="00566048" w:rsidP="00D23974">
            <w:pPr>
              <w:pStyle w:val="Normalt"/>
              <w:widowControl w:val="0"/>
              <w:jc w:val="center"/>
            </w:pPr>
            <w:r w:rsidRPr="003C4437">
              <w:t>1</w:t>
            </w:r>
          </w:p>
        </w:tc>
      </w:tr>
      <w:tr w:rsidR="00566048" w:rsidRPr="003C4437" w:rsidTr="00D23974">
        <w:trPr>
          <w:cantSplit/>
          <w:jc w:val="center"/>
        </w:trPr>
        <w:tc>
          <w:tcPr>
            <w:tcW w:w="574" w:type="dxa"/>
            <w:tcBorders>
              <w:top w:val="nil"/>
              <w:left w:val="nil"/>
              <w:bottom w:val="single" w:sz="4" w:space="0" w:color="auto"/>
            </w:tcBorders>
          </w:tcPr>
          <w:p w:rsidR="00566048" w:rsidRPr="003C4437" w:rsidRDefault="00566048" w:rsidP="00D23974">
            <w:pPr>
              <w:pStyle w:val="Normaltb"/>
              <w:keepNext w:val="0"/>
              <w:widowControl w:val="0"/>
              <w:jc w:val="center"/>
            </w:pPr>
          </w:p>
        </w:tc>
        <w:tc>
          <w:tcPr>
            <w:tcW w:w="577" w:type="dxa"/>
            <w:tcBorders>
              <w:top w:val="nil"/>
              <w:bottom w:val="single" w:sz="4" w:space="0" w:color="auto"/>
            </w:tcBorders>
          </w:tcPr>
          <w:p w:rsidR="00566048" w:rsidRPr="003C4437" w:rsidRDefault="00566048" w:rsidP="00D23974">
            <w:pPr>
              <w:pStyle w:val="Normaltb"/>
              <w:keepNext w:val="0"/>
              <w:widowControl w:val="0"/>
              <w:jc w:val="center"/>
            </w:pPr>
          </w:p>
        </w:tc>
        <w:tc>
          <w:tcPr>
            <w:tcW w:w="1867" w:type="dxa"/>
            <w:tcBorders>
              <w:top w:val="nil"/>
              <w:bottom w:val="single" w:sz="4" w:space="0" w:color="auto"/>
            </w:tcBorders>
          </w:tcPr>
          <w:p w:rsidR="00566048" w:rsidRPr="003C4437" w:rsidRDefault="00566048" w:rsidP="00D23974">
            <w:pPr>
              <w:pStyle w:val="Normalt"/>
              <w:widowControl w:val="0"/>
            </w:pPr>
            <w:proofErr w:type="spellStart"/>
            <w:r w:rsidRPr="003C4437">
              <w:t>present</w:t>
            </w:r>
            <w:proofErr w:type="spellEnd"/>
          </w:p>
        </w:tc>
        <w:tc>
          <w:tcPr>
            <w:tcW w:w="1866" w:type="dxa"/>
            <w:tcBorders>
              <w:top w:val="nil"/>
              <w:bottom w:val="single" w:sz="4" w:space="0" w:color="auto"/>
            </w:tcBorders>
          </w:tcPr>
          <w:p w:rsidR="00566048" w:rsidRPr="003C4437" w:rsidRDefault="00566048" w:rsidP="00D23974">
            <w:pPr>
              <w:pStyle w:val="Normalt"/>
              <w:widowControl w:val="0"/>
            </w:pPr>
            <w:r w:rsidRPr="003C4437">
              <w:t>présente</w:t>
            </w:r>
          </w:p>
        </w:tc>
        <w:tc>
          <w:tcPr>
            <w:tcW w:w="1866" w:type="dxa"/>
            <w:tcBorders>
              <w:top w:val="nil"/>
              <w:bottom w:val="single" w:sz="4" w:space="0" w:color="auto"/>
            </w:tcBorders>
          </w:tcPr>
          <w:p w:rsidR="00566048" w:rsidRPr="003C4437" w:rsidRDefault="00566048" w:rsidP="00D23974">
            <w:pPr>
              <w:pStyle w:val="Normalt"/>
            </w:pPr>
            <w:proofErr w:type="spellStart"/>
            <w:r w:rsidRPr="003C4437">
              <w:t>vorhanden</w:t>
            </w:r>
            <w:proofErr w:type="spellEnd"/>
          </w:p>
        </w:tc>
        <w:tc>
          <w:tcPr>
            <w:tcW w:w="1866" w:type="dxa"/>
            <w:tcBorders>
              <w:top w:val="nil"/>
              <w:bottom w:val="single" w:sz="4" w:space="0" w:color="auto"/>
            </w:tcBorders>
          </w:tcPr>
          <w:p w:rsidR="00566048" w:rsidRPr="003C4437" w:rsidRDefault="00566048" w:rsidP="00D23974">
            <w:pPr>
              <w:pStyle w:val="Normalt"/>
            </w:pPr>
            <w:proofErr w:type="spellStart"/>
            <w:r w:rsidRPr="003C4437">
              <w:t>presente</w:t>
            </w:r>
            <w:proofErr w:type="spellEnd"/>
          </w:p>
        </w:tc>
        <w:tc>
          <w:tcPr>
            <w:tcW w:w="2010" w:type="dxa"/>
            <w:tcBorders>
              <w:top w:val="nil"/>
              <w:bottom w:val="single" w:sz="4" w:space="0" w:color="auto"/>
            </w:tcBorders>
          </w:tcPr>
          <w:p w:rsidR="00566048" w:rsidRPr="003C4437" w:rsidRDefault="00566048" w:rsidP="00D23974">
            <w:pPr>
              <w:pStyle w:val="Normalt"/>
              <w:widowControl w:val="0"/>
            </w:pPr>
            <w:r w:rsidRPr="003C4437">
              <w:t>Anastasia, Mohawk, TY 20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  <w:right w:val="nil"/>
            </w:tcBorders>
          </w:tcPr>
          <w:p w:rsidR="00566048" w:rsidRPr="003C4437" w:rsidRDefault="00566048" w:rsidP="00D23974">
            <w:pPr>
              <w:pStyle w:val="Normalt"/>
              <w:widowControl w:val="0"/>
              <w:jc w:val="center"/>
            </w:pPr>
            <w:r w:rsidRPr="003C4437">
              <w:t>9</w:t>
            </w:r>
          </w:p>
        </w:tc>
      </w:tr>
    </w:tbl>
    <w:p w:rsidR="00566048" w:rsidRPr="003C4437" w:rsidRDefault="00566048" w:rsidP="00566048">
      <w:pPr>
        <w:jc w:val="left"/>
        <w:rPr>
          <w:i/>
        </w:rPr>
      </w:pPr>
    </w:p>
    <w:p w:rsidR="00566048" w:rsidRPr="003C4437" w:rsidRDefault="00566048" w:rsidP="00566048">
      <w:pPr>
        <w:pStyle w:val="Heading2"/>
        <w:rPr>
          <w:lang w:val="fr-FR"/>
        </w:rPr>
      </w:pPr>
    </w:p>
    <w:p w:rsidR="00566048" w:rsidRPr="003C4437" w:rsidRDefault="00566048" w:rsidP="00566048">
      <w:pPr>
        <w:jc w:val="left"/>
        <w:rPr>
          <w:u w:val="single"/>
        </w:rPr>
      </w:pPr>
      <w:r w:rsidRPr="003C4437">
        <w:br w:type="page"/>
      </w:r>
    </w:p>
    <w:p w:rsidR="00566048" w:rsidRPr="003C4437" w:rsidRDefault="00566048" w:rsidP="00566048">
      <w:pPr>
        <w:pStyle w:val="Heading2"/>
        <w:rPr>
          <w:lang w:val="fr-FR"/>
        </w:rPr>
      </w:pPr>
      <w:r w:rsidRPr="003C4437">
        <w:rPr>
          <w:lang w:val="fr-FR"/>
        </w:rPr>
        <w:lastRenderedPageBreak/>
        <w:t>Proposition de révision de la méthode actuellement employée pour évaluer la résistance à TYLCV comme indiqué à l’ad. 57.i) et d’ajout d’une autre méthode utilisant l’inoculation de la mouche blanche comme indiqué à l’ad. 57</w:t>
      </w:r>
      <w:proofErr w:type="gramStart"/>
      <w:r w:rsidRPr="003C4437">
        <w:rPr>
          <w:lang w:val="fr-FR"/>
        </w:rPr>
        <w:t>.ii</w:t>
      </w:r>
      <w:proofErr w:type="gramEnd"/>
      <w:r w:rsidRPr="003C4437">
        <w:rPr>
          <w:lang w:val="fr-FR"/>
        </w:rPr>
        <w:t>)</w:t>
      </w:r>
    </w:p>
    <w:p w:rsidR="00566048" w:rsidRPr="003C4437" w:rsidRDefault="00566048" w:rsidP="00566048">
      <w:pPr>
        <w:jc w:val="left"/>
      </w:pPr>
    </w:p>
    <w:p w:rsidR="00566048" w:rsidRPr="003C4437" w:rsidRDefault="00566048" w:rsidP="00566048">
      <w:pPr>
        <w:jc w:val="left"/>
        <w:rPr>
          <w:i/>
        </w:rPr>
      </w:pPr>
      <w:r w:rsidRPr="003C4437">
        <w:rPr>
          <w:i/>
        </w:rPr>
        <w:t>Libellé actuel :</w:t>
      </w:r>
    </w:p>
    <w:p w:rsidR="00566048" w:rsidRPr="003C4437" w:rsidRDefault="00566048" w:rsidP="00566048">
      <w:pPr>
        <w:jc w:val="left"/>
        <w:rPr>
          <w:i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4253"/>
        <w:gridCol w:w="1309"/>
      </w:tblGrid>
      <w:tr w:rsidR="00566048" w:rsidRPr="003C4437" w:rsidTr="00D23974">
        <w:trPr>
          <w:trHeight w:val="247"/>
        </w:trPr>
        <w:tc>
          <w:tcPr>
            <w:tcW w:w="8472" w:type="dxa"/>
            <w:gridSpan w:val="2"/>
          </w:tcPr>
          <w:p w:rsidR="00566048" w:rsidRPr="003C4437" w:rsidRDefault="00566048" w:rsidP="00D23974">
            <w:pPr>
              <w:autoSpaceDE w:val="0"/>
              <w:autoSpaceDN w:val="0"/>
              <w:adjustRightInd w:val="0"/>
              <w:jc w:val="left"/>
              <w:rPr>
                <w:rFonts w:cs="Arial"/>
                <w:u w:val="single"/>
              </w:rPr>
            </w:pPr>
            <w:r w:rsidRPr="003C4437">
              <w:rPr>
                <w:rFonts w:cs="Arial"/>
                <w:u w:val="single"/>
              </w:rPr>
              <w:t>Ad. 57 : Résistance au virus des feuilles jaunes en cuillère de la tomate (TYLCV)</w:t>
            </w:r>
          </w:p>
          <w:p w:rsidR="00566048" w:rsidRPr="003C4437" w:rsidRDefault="00566048" w:rsidP="00D23974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</w:p>
        </w:tc>
        <w:tc>
          <w:tcPr>
            <w:tcW w:w="1309" w:type="dxa"/>
          </w:tcPr>
          <w:p w:rsidR="00566048" w:rsidRPr="003C4437" w:rsidRDefault="00566048" w:rsidP="00D23974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</w:p>
          <w:p w:rsidR="00566048" w:rsidRPr="003C4437" w:rsidRDefault="00566048" w:rsidP="00D23974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</w:p>
        </w:tc>
      </w:tr>
      <w:tr w:rsidR="00566048" w:rsidRPr="003C4437" w:rsidTr="00D23974">
        <w:trPr>
          <w:trHeight w:val="109"/>
        </w:trPr>
        <w:tc>
          <w:tcPr>
            <w:tcW w:w="4219" w:type="dxa"/>
          </w:tcPr>
          <w:p w:rsidR="00566048" w:rsidRPr="003C4437" w:rsidRDefault="00566048" w:rsidP="00D23974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3C4437">
              <w:rPr>
                <w:rFonts w:cs="Arial"/>
              </w:rPr>
              <w:t>1. Agent pathogène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</w:r>
          </w:p>
        </w:tc>
        <w:tc>
          <w:tcPr>
            <w:tcW w:w="5562" w:type="dxa"/>
            <w:gridSpan w:val="2"/>
          </w:tcPr>
          <w:p w:rsidR="00566048" w:rsidRPr="003C4437" w:rsidRDefault="00566048" w:rsidP="00D23974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3C4437">
              <w:rPr>
                <w:rFonts w:cs="Arial"/>
              </w:rPr>
              <w:t>virus des feuilles jaunes en cuillère de la tomate</w:t>
            </w:r>
          </w:p>
        </w:tc>
      </w:tr>
      <w:tr w:rsidR="00566048" w:rsidRPr="003C4437" w:rsidTr="00D23974">
        <w:trPr>
          <w:trHeight w:val="109"/>
        </w:trPr>
        <w:tc>
          <w:tcPr>
            <w:tcW w:w="4219" w:type="dxa"/>
          </w:tcPr>
          <w:p w:rsidR="00566048" w:rsidRPr="003C4437" w:rsidRDefault="00566048" w:rsidP="00D23974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3C4437">
              <w:rPr>
                <w:rFonts w:cs="Arial"/>
              </w:rPr>
              <w:t xml:space="preserve">2. État de quarantaine </w:t>
            </w:r>
            <w:r>
              <w:rPr>
                <w:rFonts w:cs="Arial"/>
              </w:rPr>
              <w:tab/>
            </w:r>
            <w:r w:rsidRPr="003C4437">
              <w:rPr>
                <w:rFonts w:cs="Arial"/>
              </w:rPr>
              <w:t xml:space="preserve"> </w:t>
            </w:r>
          </w:p>
        </w:tc>
        <w:tc>
          <w:tcPr>
            <w:tcW w:w="5562" w:type="dxa"/>
            <w:gridSpan w:val="2"/>
          </w:tcPr>
          <w:p w:rsidR="00566048" w:rsidRPr="003C4437" w:rsidRDefault="00566048" w:rsidP="00D23974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3C4437">
              <w:rPr>
                <w:rFonts w:cs="Arial"/>
              </w:rPr>
              <w:t xml:space="preserve">oui </w:t>
            </w:r>
          </w:p>
        </w:tc>
      </w:tr>
      <w:tr w:rsidR="00566048" w:rsidRPr="003C4437" w:rsidTr="00D23974">
        <w:trPr>
          <w:trHeight w:val="109"/>
        </w:trPr>
        <w:tc>
          <w:tcPr>
            <w:tcW w:w="4219" w:type="dxa"/>
          </w:tcPr>
          <w:p w:rsidR="00566048" w:rsidRPr="003C4437" w:rsidRDefault="00566048" w:rsidP="00D23974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3C4437">
              <w:rPr>
                <w:rFonts w:cs="Arial"/>
              </w:rPr>
              <w:t xml:space="preserve">3. Espèces hôtes </w:t>
            </w:r>
            <w:r>
              <w:rPr>
                <w:rFonts w:cs="Arial"/>
              </w:rPr>
              <w:tab/>
            </w:r>
            <w:r w:rsidRPr="003C4437">
              <w:rPr>
                <w:rFonts w:cs="Arial"/>
              </w:rPr>
              <w:t xml:space="preserve"> </w:t>
            </w:r>
          </w:p>
        </w:tc>
        <w:tc>
          <w:tcPr>
            <w:tcW w:w="5562" w:type="dxa"/>
            <w:gridSpan w:val="2"/>
          </w:tcPr>
          <w:p w:rsidR="00566048" w:rsidRPr="003C4437" w:rsidRDefault="00566048" w:rsidP="00D23974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proofErr w:type="spellStart"/>
            <w:r w:rsidRPr="003C4437">
              <w:rPr>
                <w:rFonts w:cs="Arial"/>
                <w:i/>
                <w:iCs/>
              </w:rPr>
              <w:t>Solanum</w:t>
            </w:r>
            <w:proofErr w:type="spellEnd"/>
            <w:r w:rsidRPr="003C4437">
              <w:rPr>
                <w:rFonts w:cs="Arial"/>
                <w:i/>
                <w:iCs/>
              </w:rPr>
              <w:t xml:space="preserve"> </w:t>
            </w:r>
            <w:proofErr w:type="spellStart"/>
            <w:r w:rsidRPr="003C4437">
              <w:rPr>
                <w:rFonts w:cs="Arial"/>
                <w:i/>
                <w:iCs/>
              </w:rPr>
              <w:t>lycopersicum</w:t>
            </w:r>
            <w:proofErr w:type="spellEnd"/>
            <w:r w:rsidRPr="003C4437">
              <w:rPr>
                <w:rFonts w:cs="Arial"/>
                <w:i/>
                <w:iCs/>
              </w:rPr>
              <w:t xml:space="preserve"> </w:t>
            </w:r>
          </w:p>
        </w:tc>
      </w:tr>
      <w:tr w:rsidR="00566048" w:rsidRPr="003C4437" w:rsidTr="00D23974">
        <w:trPr>
          <w:trHeight w:val="111"/>
        </w:trPr>
        <w:tc>
          <w:tcPr>
            <w:tcW w:w="4219" w:type="dxa"/>
          </w:tcPr>
          <w:p w:rsidR="00566048" w:rsidRPr="003C4437" w:rsidRDefault="00566048" w:rsidP="00D23974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3C4437">
              <w:rPr>
                <w:rFonts w:cs="Arial"/>
              </w:rPr>
              <w:t xml:space="preserve">4. Source de l’inoculum </w:t>
            </w:r>
            <w:r>
              <w:rPr>
                <w:rFonts w:cs="Arial"/>
              </w:rPr>
              <w:tab/>
            </w:r>
            <w:r w:rsidRPr="003C4437">
              <w:rPr>
                <w:rFonts w:cs="Arial"/>
              </w:rPr>
              <w:t xml:space="preserve"> </w:t>
            </w:r>
          </w:p>
        </w:tc>
        <w:tc>
          <w:tcPr>
            <w:tcW w:w="5562" w:type="dxa"/>
            <w:gridSpan w:val="2"/>
          </w:tcPr>
          <w:p w:rsidR="00566048" w:rsidRPr="003C4437" w:rsidRDefault="00566048" w:rsidP="00D23974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3C4437">
              <w:rPr>
                <w:rFonts w:cs="Arial"/>
                <w:b/>
                <w:bCs/>
              </w:rPr>
              <w:t xml:space="preserve">- </w:t>
            </w:r>
          </w:p>
        </w:tc>
      </w:tr>
      <w:tr w:rsidR="00566048" w:rsidRPr="003C4437" w:rsidTr="00D23974">
        <w:trPr>
          <w:trHeight w:val="111"/>
        </w:trPr>
        <w:tc>
          <w:tcPr>
            <w:tcW w:w="4219" w:type="dxa"/>
          </w:tcPr>
          <w:p w:rsidR="00566048" w:rsidRPr="003C4437" w:rsidRDefault="00566048" w:rsidP="00D23974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3C4437">
              <w:rPr>
                <w:rFonts w:cs="Arial"/>
              </w:rPr>
              <w:t xml:space="preserve">5. Isolat </w:t>
            </w:r>
            <w:r>
              <w:rPr>
                <w:rFonts w:cs="Arial"/>
              </w:rPr>
              <w:tab/>
            </w:r>
            <w:r w:rsidRPr="003C4437">
              <w:rPr>
                <w:rFonts w:cs="Arial"/>
              </w:rPr>
              <w:t xml:space="preserve"> </w:t>
            </w:r>
          </w:p>
        </w:tc>
        <w:tc>
          <w:tcPr>
            <w:tcW w:w="5562" w:type="dxa"/>
            <w:gridSpan w:val="2"/>
          </w:tcPr>
          <w:p w:rsidR="00566048" w:rsidRPr="003C4437" w:rsidRDefault="00566048" w:rsidP="00D23974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3C4437">
              <w:rPr>
                <w:rFonts w:cs="Arial"/>
                <w:b/>
                <w:bCs/>
              </w:rPr>
              <w:t xml:space="preserve">- </w:t>
            </w:r>
          </w:p>
        </w:tc>
      </w:tr>
      <w:tr w:rsidR="00566048" w:rsidRPr="003C4437" w:rsidTr="00D23974">
        <w:trPr>
          <w:trHeight w:val="109"/>
        </w:trPr>
        <w:tc>
          <w:tcPr>
            <w:tcW w:w="9781" w:type="dxa"/>
            <w:gridSpan w:val="3"/>
          </w:tcPr>
          <w:p w:rsidR="00566048" w:rsidRPr="003C4437" w:rsidRDefault="00566048" w:rsidP="00D23974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3C4437">
              <w:rPr>
                <w:rFonts w:cs="Arial"/>
              </w:rPr>
              <w:t xml:space="preserve">8. Multiplication de l’inoculum </w:t>
            </w:r>
          </w:p>
        </w:tc>
      </w:tr>
      <w:tr w:rsidR="00566048" w:rsidRPr="003C4437" w:rsidTr="00D23974">
        <w:trPr>
          <w:trHeight w:val="247"/>
        </w:trPr>
        <w:tc>
          <w:tcPr>
            <w:tcW w:w="4219" w:type="dxa"/>
          </w:tcPr>
          <w:p w:rsidR="00566048" w:rsidRPr="003C4437" w:rsidRDefault="00566048" w:rsidP="00D23974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3C4437">
              <w:rPr>
                <w:rFonts w:cs="Arial"/>
              </w:rPr>
              <w:t xml:space="preserve">8.6 Récolte de l’inoculum </w:t>
            </w:r>
            <w:r>
              <w:rPr>
                <w:rFonts w:cs="Arial"/>
              </w:rPr>
              <w:tab/>
            </w:r>
            <w:r w:rsidRPr="003C4437">
              <w:rPr>
                <w:rFonts w:cs="Arial"/>
              </w:rPr>
              <w:t xml:space="preserve"> </w:t>
            </w:r>
          </w:p>
        </w:tc>
        <w:tc>
          <w:tcPr>
            <w:tcW w:w="5562" w:type="dxa"/>
            <w:gridSpan w:val="2"/>
          </w:tcPr>
          <w:p w:rsidR="00566048" w:rsidRPr="003C4437" w:rsidRDefault="00566048" w:rsidP="00D23974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3C4437">
              <w:rPr>
                <w:rFonts w:cs="Arial"/>
              </w:rPr>
              <w:t xml:space="preserve">les feuilles symptomatiques peuvent être stockées à </w:t>
            </w:r>
            <w:r>
              <w:rPr>
                <w:rFonts w:cs="Arial"/>
              </w:rPr>
              <w:noBreakHyphen/>
            </w:r>
            <w:r w:rsidRPr="003C4437">
              <w:rPr>
                <w:rFonts w:cs="Arial"/>
              </w:rPr>
              <w:t>70</w:t>
            </w:r>
            <w:r>
              <w:rPr>
                <w:rFonts w:cs="Arial"/>
              </w:rPr>
              <w:t> °</w:t>
            </w:r>
            <w:r w:rsidRPr="003C4437">
              <w:rPr>
                <w:rFonts w:cs="Arial"/>
              </w:rPr>
              <w:t xml:space="preserve">C </w:t>
            </w:r>
          </w:p>
        </w:tc>
      </w:tr>
      <w:tr w:rsidR="00566048" w:rsidRPr="003C4437" w:rsidTr="00D23974">
        <w:trPr>
          <w:trHeight w:val="109"/>
        </w:trPr>
        <w:tc>
          <w:tcPr>
            <w:tcW w:w="9781" w:type="dxa"/>
            <w:gridSpan w:val="3"/>
          </w:tcPr>
          <w:p w:rsidR="00566048" w:rsidRPr="003C4437" w:rsidRDefault="00566048" w:rsidP="00D23974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3C4437">
              <w:rPr>
                <w:rFonts w:cs="Arial"/>
              </w:rPr>
              <w:t xml:space="preserve">9. Format de l’essai </w:t>
            </w:r>
          </w:p>
        </w:tc>
      </w:tr>
      <w:tr w:rsidR="00566048" w:rsidRPr="003C4437" w:rsidTr="00D23974">
        <w:trPr>
          <w:trHeight w:val="109"/>
        </w:trPr>
        <w:tc>
          <w:tcPr>
            <w:tcW w:w="4219" w:type="dxa"/>
          </w:tcPr>
          <w:p w:rsidR="00566048" w:rsidRPr="003C4437" w:rsidRDefault="00566048" w:rsidP="00D23974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3C4437">
              <w:rPr>
                <w:rFonts w:cs="Arial"/>
              </w:rPr>
              <w:t xml:space="preserve">9.1 Nombre de plantes par génotype </w:t>
            </w:r>
            <w:r>
              <w:rPr>
                <w:rFonts w:cs="Arial"/>
              </w:rPr>
              <w:tab/>
            </w:r>
            <w:r w:rsidRPr="003C4437">
              <w:rPr>
                <w:rFonts w:cs="Arial"/>
              </w:rPr>
              <w:t xml:space="preserve"> </w:t>
            </w:r>
          </w:p>
        </w:tc>
        <w:tc>
          <w:tcPr>
            <w:tcW w:w="5562" w:type="dxa"/>
            <w:gridSpan w:val="2"/>
          </w:tcPr>
          <w:p w:rsidR="00566048" w:rsidRPr="003C4437" w:rsidRDefault="00566048" w:rsidP="00D23974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3C4437">
              <w:rPr>
                <w:rFonts w:cs="Arial"/>
              </w:rPr>
              <w:t xml:space="preserve">20 plantes </w:t>
            </w:r>
          </w:p>
        </w:tc>
      </w:tr>
      <w:tr w:rsidR="00566048" w:rsidRPr="003C4437" w:rsidTr="00D23974">
        <w:trPr>
          <w:trHeight w:val="109"/>
        </w:trPr>
        <w:tc>
          <w:tcPr>
            <w:tcW w:w="4219" w:type="dxa"/>
          </w:tcPr>
          <w:p w:rsidR="00566048" w:rsidRPr="003C4437" w:rsidRDefault="00566048" w:rsidP="00D23974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3C4437">
              <w:rPr>
                <w:rFonts w:cs="Arial"/>
              </w:rPr>
              <w:t xml:space="preserve">9.2 Nombre de répétitions </w:t>
            </w:r>
            <w:r>
              <w:rPr>
                <w:rFonts w:cs="Arial"/>
              </w:rPr>
              <w:tab/>
            </w:r>
            <w:r w:rsidRPr="003C4437">
              <w:rPr>
                <w:rFonts w:cs="Arial"/>
              </w:rPr>
              <w:t xml:space="preserve"> </w:t>
            </w:r>
          </w:p>
        </w:tc>
        <w:tc>
          <w:tcPr>
            <w:tcW w:w="5562" w:type="dxa"/>
            <w:gridSpan w:val="2"/>
          </w:tcPr>
          <w:p w:rsidR="00566048" w:rsidRPr="003C4437" w:rsidRDefault="00566048" w:rsidP="00D23974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3C4437">
              <w:rPr>
                <w:rFonts w:cs="Arial"/>
              </w:rPr>
              <w:t xml:space="preserve">1 répétition </w:t>
            </w:r>
          </w:p>
        </w:tc>
      </w:tr>
      <w:tr w:rsidR="00566048" w:rsidRPr="0056567D" w:rsidTr="00D23974">
        <w:trPr>
          <w:trHeight w:val="385"/>
        </w:trPr>
        <w:tc>
          <w:tcPr>
            <w:tcW w:w="4219" w:type="dxa"/>
          </w:tcPr>
          <w:p w:rsidR="00566048" w:rsidRPr="003C4437" w:rsidRDefault="00566048" w:rsidP="00D23974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3C4437">
              <w:rPr>
                <w:rFonts w:cs="Arial"/>
              </w:rPr>
              <w:t>9.3 Variétés témoins</w:t>
            </w:r>
          </w:p>
          <w:p w:rsidR="00566048" w:rsidRPr="003C4437" w:rsidRDefault="00566048" w:rsidP="00D23974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ind w:left="567"/>
              <w:jc w:val="left"/>
              <w:rPr>
                <w:rFonts w:cs="Arial"/>
              </w:rPr>
            </w:pPr>
            <w:r w:rsidRPr="003C4437">
              <w:rPr>
                <w:rFonts w:cs="Arial"/>
              </w:rPr>
              <w:t xml:space="preserve">Sensibles </w:t>
            </w:r>
            <w:r>
              <w:rPr>
                <w:rFonts w:cs="Arial"/>
              </w:rPr>
              <w:tab/>
            </w:r>
          </w:p>
          <w:p w:rsidR="00566048" w:rsidRPr="003C4437" w:rsidRDefault="00566048" w:rsidP="00D23974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ind w:left="567"/>
              <w:jc w:val="left"/>
              <w:rPr>
                <w:rFonts w:cs="Arial"/>
              </w:rPr>
            </w:pPr>
            <w:r w:rsidRPr="003C4437">
              <w:rPr>
                <w:rFonts w:cs="Arial"/>
              </w:rPr>
              <w:t xml:space="preserve">Résistantes </w:t>
            </w:r>
            <w:r>
              <w:rPr>
                <w:rFonts w:cs="Arial"/>
              </w:rPr>
              <w:tab/>
            </w:r>
            <w:r w:rsidRPr="003C4437">
              <w:rPr>
                <w:rFonts w:cs="Arial"/>
              </w:rPr>
              <w:t xml:space="preserve"> </w:t>
            </w:r>
          </w:p>
        </w:tc>
        <w:tc>
          <w:tcPr>
            <w:tcW w:w="5562" w:type="dxa"/>
            <w:gridSpan w:val="2"/>
          </w:tcPr>
          <w:p w:rsidR="00566048" w:rsidRPr="00A216F2" w:rsidRDefault="00566048" w:rsidP="00D23974">
            <w:pPr>
              <w:autoSpaceDE w:val="0"/>
              <w:autoSpaceDN w:val="0"/>
              <w:adjustRightInd w:val="0"/>
              <w:jc w:val="left"/>
              <w:rPr>
                <w:rFonts w:cs="Arial"/>
                <w:lang w:val="pt-BR"/>
              </w:rPr>
            </w:pPr>
            <w:r w:rsidRPr="00A216F2">
              <w:rPr>
                <w:rFonts w:cs="Arial"/>
                <w:lang w:val="pt-BR"/>
              </w:rPr>
              <w:t>Montfavet H 63.5</w:t>
            </w:r>
          </w:p>
          <w:p w:rsidR="00566048" w:rsidRPr="00A216F2" w:rsidRDefault="00566048" w:rsidP="00D23974">
            <w:pPr>
              <w:autoSpaceDE w:val="0"/>
              <w:autoSpaceDN w:val="0"/>
              <w:adjustRightInd w:val="0"/>
              <w:jc w:val="left"/>
              <w:rPr>
                <w:rFonts w:cs="Arial"/>
                <w:lang w:val="pt-BR"/>
              </w:rPr>
            </w:pPr>
            <w:r w:rsidRPr="00A216F2">
              <w:rPr>
                <w:rFonts w:cs="Arial"/>
                <w:lang w:val="pt-BR"/>
              </w:rPr>
              <w:t xml:space="preserve">TY 20, Anastasia, Mohawk </w:t>
            </w:r>
          </w:p>
        </w:tc>
      </w:tr>
      <w:tr w:rsidR="00566048" w:rsidRPr="003C4437" w:rsidTr="00D23974">
        <w:trPr>
          <w:trHeight w:val="247"/>
        </w:trPr>
        <w:tc>
          <w:tcPr>
            <w:tcW w:w="4219" w:type="dxa"/>
          </w:tcPr>
          <w:p w:rsidR="00566048" w:rsidRPr="003C4437" w:rsidRDefault="00566048" w:rsidP="00D23974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3C4437">
              <w:rPr>
                <w:rFonts w:cs="Arial"/>
              </w:rPr>
              <w:t xml:space="preserve">9.5 Installation d’essai </w:t>
            </w:r>
            <w:r>
              <w:rPr>
                <w:rFonts w:cs="Arial"/>
              </w:rPr>
              <w:tab/>
            </w:r>
            <w:r w:rsidRPr="003C4437">
              <w:rPr>
                <w:rFonts w:cs="Arial"/>
              </w:rPr>
              <w:t xml:space="preserve"> </w:t>
            </w:r>
          </w:p>
        </w:tc>
        <w:tc>
          <w:tcPr>
            <w:tcW w:w="5562" w:type="dxa"/>
            <w:gridSpan w:val="2"/>
          </w:tcPr>
          <w:p w:rsidR="00566048" w:rsidRPr="003C4437" w:rsidRDefault="00566048" w:rsidP="00D23974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3C4437">
              <w:rPr>
                <w:rFonts w:cs="Arial"/>
              </w:rPr>
              <w:t xml:space="preserve">parcelle de plein champ soumise à des pressions de maladies naturelles </w:t>
            </w:r>
          </w:p>
        </w:tc>
      </w:tr>
      <w:tr w:rsidR="00566048" w:rsidRPr="003C4437" w:rsidTr="00D23974">
        <w:trPr>
          <w:trHeight w:val="247"/>
        </w:trPr>
        <w:tc>
          <w:tcPr>
            <w:tcW w:w="4219" w:type="dxa"/>
          </w:tcPr>
          <w:p w:rsidR="00566048" w:rsidRPr="003C4437" w:rsidRDefault="00566048" w:rsidP="00D23974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3C4437">
              <w:rPr>
                <w:rFonts w:cs="Arial"/>
              </w:rPr>
              <w:t>9.9 Mesures spéciales</w:t>
            </w:r>
            <w:r>
              <w:rPr>
                <w:rFonts w:cs="Arial"/>
              </w:rPr>
              <w:tab/>
            </w:r>
            <w:r w:rsidRPr="003C4437">
              <w:rPr>
                <w:rFonts w:cs="Arial"/>
              </w:rPr>
              <w:t xml:space="preserve"> </w:t>
            </w:r>
          </w:p>
        </w:tc>
        <w:tc>
          <w:tcPr>
            <w:tcW w:w="5562" w:type="dxa"/>
            <w:gridSpan w:val="2"/>
          </w:tcPr>
          <w:p w:rsidR="00566048" w:rsidRPr="003C4437" w:rsidRDefault="00566048" w:rsidP="00D23974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3C4437">
              <w:rPr>
                <w:rFonts w:cs="Arial"/>
              </w:rPr>
              <w:t xml:space="preserve">empêcher la propagation de mouches blanches </w:t>
            </w:r>
          </w:p>
        </w:tc>
      </w:tr>
      <w:tr w:rsidR="00566048" w:rsidRPr="003C4437" w:rsidTr="00D23974">
        <w:trPr>
          <w:trHeight w:val="109"/>
        </w:trPr>
        <w:tc>
          <w:tcPr>
            <w:tcW w:w="9781" w:type="dxa"/>
            <w:gridSpan w:val="3"/>
          </w:tcPr>
          <w:p w:rsidR="00566048" w:rsidRPr="003C4437" w:rsidRDefault="00566048" w:rsidP="00D23974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3C4437">
              <w:rPr>
                <w:rFonts w:cs="Arial"/>
              </w:rPr>
              <w:t xml:space="preserve">10. Inoculation </w:t>
            </w:r>
          </w:p>
        </w:tc>
      </w:tr>
      <w:tr w:rsidR="00566048" w:rsidRPr="003C4437" w:rsidTr="00D23974">
        <w:trPr>
          <w:trHeight w:val="109"/>
        </w:trPr>
        <w:tc>
          <w:tcPr>
            <w:tcW w:w="4219" w:type="dxa"/>
          </w:tcPr>
          <w:p w:rsidR="00566048" w:rsidRPr="003C4437" w:rsidRDefault="00566048" w:rsidP="00D23974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3C4437">
              <w:rPr>
                <w:rFonts w:cs="Arial"/>
              </w:rPr>
              <w:t xml:space="preserve">10.3 Stade de la plante lors de l’inoculation </w:t>
            </w:r>
            <w:r>
              <w:rPr>
                <w:rFonts w:cs="Arial"/>
              </w:rPr>
              <w:tab/>
            </w:r>
            <w:r w:rsidRPr="003C4437">
              <w:rPr>
                <w:rFonts w:cs="Arial"/>
              </w:rPr>
              <w:t xml:space="preserve"> </w:t>
            </w:r>
          </w:p>
        </w:tc>
        <w:tc>
          <w:tcPr>
            <w:tcW w:w="5562" w:type="dxa"/>
            <w:gridSpan w:val="2"/>
          </w:tcPr>
          <w:p w:rsidR="00566048" w:rsidRPr="003C4437" w:rsidRDefault="00566048" w:rsidP="00D23974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3C4437">
              <w:rPr>
                <w:rFonts w:cs="Arial"/>
              </w:rPr>
              <w:t>6 à 12</w:t>
            </w:r>
            <w:r>
              <w:rPr>
                <w:rFonts w:cs="Arial"/>
              </w:rPr>
              <w:t> </w:t>
            </w:r>
            <w:r w:rsidRPr="003C4437">
              <w:rPr>
                <w:rFonts w:cs="Arial"/>
              </w:rPr>
              <w:t xml:space="preserve">semaines (plantes adultes) </w:t>
            </w:r>
          </w:p>
        </w:tc>
      </w:tr>
      <w:tr w:rsidR="00566048" w:rsidRPr="003C4437" w:rsidTr="00D23974">
        <w:trPr>
          <w:trHeight w:val="247"/>
        </w:trPr>
        <w:tc>
          <w:tcPr>
            <w:tcW w:w="4219" w:type="dxa"/>
          </w:tcPr>
          <w:p w:rsidR="00566048" w:rsidRPr="003C4437" w:rsidRDefault="00566048" w:rsidP="00D23974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3C4437">
              <w:rPr>
                <w:rFonts w:cs="Arial"/>
              </w:rPr>
              <w:t xml:space="preserve">10.4 Méthode de l’inoculation </w:t>
            </w:r>
            <w:r>
              <w:rPr>
                <w:rFonts w:cs="Arial"/>
              </w:rPr>
              <w:tab/>
            </w:r>
            <w:r w:rsidRPr="003C4437">
              <w:rPr>
                <w:rFonts w:cs="Arial"/>
              </w:rPr>
              <w:t xml:space="preserve"> </w:t>
            </w:r>
          </w:p>
        </w:tc>
        <w:tc>
          <w:tcPr>
            <w:tcW w:w="5562" w:type="dxa"/>
            <w:gridSpan w:val="2"/>
          </w:tcPr>
          <w:p w:rsidR="00566048" w:rsidRPr="003C4437" w:rsidRDefault="00566048" w:rsidP="00D23974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3C4437">
              <w:rPr>
                <w:rFonts w:cs="Arial"/>
              </w:rPr>
              <w:t xml:space="preserve">vecteur (mouches blanches </w:t>
            </w:r>
            <w:proofErr w:type="spellStart"/>
            <w:r w:rsidRPr="003C4437">
              <w:rPr>
                <w:rFonts w:cs="Arial"/>
              </w:rPr>
              <w:t>Bemisia</w:t>
            </w:r>
            <w:proofErr w:type="spellEnd"/>
            <w:r w:rsidRPr="003C4437">
              <w:rPr>
                <w:rFonts w:cs="Arial"/>
              </w:rPr>
              <w:t xml:space="preserve"> porteuses du virus) </w:t>
            </w:r>
          </w:p>
        </w:tc>
      </w:tr>
      <w:tr w:rsidR="00566048" w:rsidRPr="003C4437" w:rsidTr="00D23974">
        <w:trPr>
          <w:trHeight w:val="109"/>
        </w:trPr>
        <w:tc>
          <w:tcPr>
            <w:tcW w:w="4219" w:type="dxa"/>
          </w:tcPr>
          <w:p w:rsidR="00566048" w:rsidRPr="003C4437" w:rsidRDefault="00566048" w:rsidP="00D23974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3C4437">
              <w:rPr>
                <w:rFonts w:cs="Arial"/>
              </w:rPr>
              <w:t xml:space="preserve">10.7 Observations finales </w:t>
            </w:r>
            <w:r>
              <w:rPr>
                <w:rFonts w:cs="Arial"/>
              </w:rPr>
              <w:tab/>
            </w:r>
            <w:r w:rsidRPr="003C4437">
              <w:rPr>
                <w:rFonts w:cs="Arial"/>
              </w:rPr>
              <w:t xml:space="preserve"> </w:t>
            </w:r>
          </w:p>
        </w:tc>
        <w:tc>
          <w:tcPr>
            <w:tcW w:w="5562" w:type="dxa"/>
            <w:gridSpan w:val="2"/>
          </w:tcPr>
          <w:p w:rsidR="00566048" w:rsidRPr="003C4437" w:rsidRDefault="00566048" w:rsidP="00D23974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3C4437">
              <w:rPr>
                <w:rFonts w:cs="Arial"/>
              </w:rPr>
              <w:t>1 à 2</w:t>
            </w:r>
            <w:r>
              <w:rPr>
                <w:rFonts w:cs="Arial"/>
              </w:rPr>
              <w:t> </w:t>
            </w:r>
            <w:r w:rsidRPr="003C4437">
              <w:rPr>
                <w:rFonts w:cs="Arial"/>
              </w:rPr>
              <w:t xml:space="preserve">mois après l’inoculation </w:t>
            </w:r>
          </w:p>
        </w:tc>
      </w:tr>
      <w:tr w:rsidR="00566048" w:rsidRPr="003C4437" w:rsidTr="00D23974">
        <w:trPr>
          <w:trHeight w:val="109"/>
        </w:trPr>
        <w:tc>
          <w:tcPr>
            <w:tcW w:w="9781" w:type="dxa"/>
            <w:gridSpan w:val="3"/>
          </w:tcPr>
          <w:p w:rsidR="00566048" w:rsidRPr="003C4437" w:rsidRDefault="00566048" w:rsidP="00D23974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3C4437">
              <w:rPr>
                <w:rFonts w:cs="Arial"/>
              </w:rPr>
              <w:t xml:space="preserve">11. Observations </w:t>
            </w:r>
          </w:p>
        </w:tc>
      </w:tr>
      <w:tr w:rsidR="00566048" w:rsidRPr="003C4437" w:rsidTr="00D23974">
        <w:trPr>
          <w:trHeight w:val="109"/>
        </w:trPr>
        <w:tc>
          <w:tcPr>
            <w:tcW w:w="4219" w:type="dxa"/>
          </w:tcPr>
          <w:p w:rsidR="00566048" w:rsidRPr="003C4437" w:rsidRDefault="00566048" w:rsidP="00D23974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3C4437">
              <w:rPr>
                <w:rFonts w:cs="Arial"/>
              </w:rPr>
              <w:t xml:space="preserve">11.1 Méthode </w:t>
            </w:r>
            <w:r>
              <w:rPr>
                <w:rFonts w:cs="Arial"/>
              </w:rPr>
              <w:tab/>
            </w:r>
            <w:r w:rsidRPr="003C4437">
              <w:rPr>
                <w:rFonts w:cs="Arial"/>
              </w:rPr>
              <w:t xml:space="preserve"> </w:t>
            </w:r>
          </w:p>
        </w:tc>
        <w:tc>
          <w:tcPr>
            <w:tcW w:w="5562" w:type="dxa"/>
            <w:gridSpan w:val="2"/>
          </w:tcPr>
          <w:p w:rsidR="00566048" w:rsidRPr="003C4437" w:rsidRDefault="00566048" w:rsidP="00D23974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3C4437">
              <w:rPr>
                <w:rFonts w:cs="Arial"/>
              </w:rPr>
              <w:t xml:space="preserve">visuelle </w:t>
            </w:r>
          </w:p>
        </w:tc>
      </w:tr>
      <w:tr w:rsidR="00566048" w:rsidRPr="003C4437" w:rsidTr="00D23974">
        <w:trPr>
          <w:trHeight w:val="247"/>
        </w:trPr>
        <w:tc>
          <w:tcPr>
            <w:tcW w:w="4219" w:type="dxa"/>
          </w:tcPr>
          <w:p w:rsidR="00566048" w:rsidRPr="003C4437" w:rsidRDefault="00566048" w:rsidP="00D23974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3C4437">
              <w:rPr>
                <w:rFonts w:cs="Arial"/>
              </w:rPr>
              <w:t xml:space="preserve">11.2 Échelle d’observation </w:t>
            </w:r>
            <w:r>
              <w:rPr>
                <w:rFonts w:cs="Arial"/>
              </w:rPr>
              <w:tab/>
            </w:r>
            <w:r w:rsidRPr="003C4437">
              <w:rPr>
                <w:rFonts w:cs="Arial"/>
              </w:rPr>
              <w:t xml:space="preserve"> </w:t>
            </w:r>
          </w:p>
        </w:tc>
        <w:tc>
          <w:tcPr>
            <w:tcW w:w="5562" w:type="dxa"/>
            <w:gridSpan w:val="2"/>
          </w:tcPr>
          <w:p w:rsidR="00566048" w:rsidRPr="003C4437" w:rsidRDefault="00566048" w:rsidP="00D23974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3C4437">
              <w:rPr>
                <w:rFonts w:cs="Arial"/>
              </w:rPr>
              <w:t xml:space="preserve">symptômes : jaunissement et frisure des feuilles </w:t>
            </w:r>
          </w:p>
        </w:tc>
      </w:tr>
      <w:tr w:rsidR="00566048" w:rsidRPr="003C4437" w:rsidTr="00D23974">
        <w:trPr>
          <w:trHeight w:val="383"/>
        </w:trPr>
        <w:tc>
          <w:tcPr>
            <w:tcW w:w="4219" w:type="dxa"/>
          </w:tcPr>
          <w:p w:rsidR="00566048" w:rsidRPr="003C4437" w:rsidRDefault="00566048" w:rsidP="00D23974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3C4437">
              <w:rPr>
                <w:rFonts w:cs="Arial"/>
              </w:rPr>
              <w:t xml:space="preserve">11.3 Validation de l’essai </w:t>
            </w:r>
            <w:r>
              <w:rPr>
                <w:rFonts w:cs="Arial"/>
              </w:rPr>
              <w:tab/>
            </w:r>
            <w:r w:rsidRPr="003C4437">
              <w:rPr>
                <w:rFonts w:cs="Arial"/>
              </w:rPr>
              <w:t xml:space="preserve"> </w:t>
            </w:r>
          </w:p>
        </w:tc>
        <w:tc>
          <w:tcPr>
            <w:tcW w:w="5562" w:type="dxa"/>
            <w:gridSpan w:val="2"/>
          </w:tcPr>
          <w:p w:rsidR="00566048" w:rsidRPr="003C4437" w:rsidRDefault="00566048" w:rsidP="00D23974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3C4437">
              <w:rPr>
                <w:rFonts w:cs="Arial"/>
              </w:rPr>
              <w:t xml:space="preserve">l’évaluation de la résistance des variétés doit être calibrée avec les résultats des contrôles de résistance et de sensibilité </w:t>
            </w:r>
          </w:p>
        </w:tc>
      </w:tr>
      <w:tr w:rsidR="00566048" w:rsidRPr="003C4437" w:rsidTr="00D23974">
        <w:trPr>
          <w:trHeight w:val="109"/>
        </w:trPr>
        <w:tc>
          <w:tcPr>
            <w:tcW w:w="9781" w:type="dxa"/>
            <w:gridSpan w:val="3"/>
          </w:tcPr>
          <w:p w:rsidR="00566048" w:rsidRPr="003C4437" w:rsidRDefault="00566048" w:rsidP="00D23974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3C4437">
              <w:rPr>
                <w:rFonts w:cs="Arial"/>
              </w:rPr>
              <w:t xml:space="preserve">12. Interprétation des résultats du test en comparaison avec les variétés témoins : </w:t>
            </w:r>
          </w:p>
        </w:tc>
      </w:tr>
      <w:tr w:rsidR="00566048" w:rsidRPr="003C4437" w:rsidTr="00D23974">
        <w:trPr>
          <w:trHeight w:val="109"/>
        </w:trPr>
        <w:tc>
          <w:tcPr>
            <w:tcW w:w="4219" w:type="dxa"/>
          </w:tcPr>
          <w:p w:rsidR="00566048" w:rsidRPr="003C4437" w:rsidRDefault="00566048" w:rsidP="00D23974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ind w:left="567"/>
              <w:jc w:val="left"/>
              <w:rPr>
                <w:rFonts w:cs="Arial"/>
              </w:rPr>
            </w:pPr>
            <w:r w:rsidRPr="003C4437">
              <w:rPr>
                <w:rFonts w:cs="Arial"/>
              </w:rPr>
              <w:t xml:space="preserve">absente </w:t>
            </w:r>
            <w:r>
              <w:rPr>
                <w:rFonts w:cs="Arial"/>
              </w:rPr>
              <w:tab/>
            </w:r>
            <w:r w:rsidRPr="003C4437">
              <w:rPr>
                <w:rFonts w:cs="Arial"/>
              </w:rPr>
              <w:t xml:space="preserve"> </w:t>
            </w:r>
          </w:p>
        </w:tc>
        <w:tc>
          <w:tcPr>
            <w:tcW w:w="5562" w:type="dxa"/>
            <w:gridSpan w:val="2"/>
          </w:tcPr>
          <w:p w:rsidR="00566048" w:rsidRPr="003C4437" w:rsidRDefault="00566048" w:rsidP="00D23974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3C4437">
              <w:rPr>
                <w:rFonts w:cs="Arial"/>
              </w:rPr>
              <w:t xml:space="preserve">[1] symptômes sévères </w:t>
            </w:r>
          </w:p>
        </w:tc>
      </w:tr>
      <w:tr w:rsidR="00566048" w:rsidRPr="003C4437" w:rsidTr="00D23974">
        <w:trPr>
          <w:trHeight w:val="247"/>
        </w:trPr>
        <w:tc>
          <w:tcPr>
            <w:tcW w:w="4219" w:type="dxa"/>
          </w:tcPr>
          <w:p w:rsidR="00566048" w:rsidRPr="003C4437" w:rsidRDefault="00566048" w:rsidP="00D23974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ind w:left="567"/>
              <w:jc w:val="left"/>
              <w:rPr>
                <w:rFonts w:cs="Arial"/>
              </w:rPr>
            </w:pPr>
            <w:r w:rsidRPr="003C4437">
              <w:rPr>
                <w:rFonts w:cs="Arial"/>
              </w:rPr>
              <w:t xml:space="preserve">présente </w:t>
            </w:r>
            <w:r>
              <w:rPr>
                <w:rFonts w:cs="Arial"/>
              </w:rPr>
              <w:tab/>
            </w:r>
            <w:r w:rsidRPr="003C4437">
              <w:rPr>
                <w:rFonts w:cs="Arial"/>
              </w:rPr>
              <w:t xml:space="preserve"> </w:t>
            </w:r>
          </w:p>
        </w:tc>
        <w:tc>
          <w:tcPr>
            <w:tcW w:w="5562" w:type="dxa"/>
            <w:gridSpan w:val="2"/>
          </w:tcPr>
          <w:p w:rsidR="00566048" w:rsidRPr="003C4437" w:rsidRDefault="00566048" w:rsidP="00D23974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3C4437">
              <w:rPr>
                <w:rFonts w:cs="Arial"/>
              </w:rPr>
              <w:t xml:space="preserve">[9] aucun symptôme ou symptômes légers </w:t>
            </w:r>
          </w:p>
        </w:tc>
      </w:tr>
      <w:tr w:rsidR="00566048" w:rsidRPr="003C4437" w:rsidTr="00D23974">
        <w:trPr>
          <w:trHeight w:val="661"/>
        </w:trPr>
        <w:tc>
          <w:tcPr>
            <w:tcW w:w="9781" w:type="dxa"/>
            <w:gridSpan w:val="3"/>
          </w:tcPr>
          <w:p w:rsidR="00566048" w:rsidRPr="003C4437" w:rsidRDefault="00566048" w:rsidP="00D23974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3C4437">
              <w:rPr>
                <w:rFonts w:cs="Arial"/>
              </w:rPr>
              <w:t>13. Points critiques de contrôle :</w:t>
            </w:r>
          </w:p>
          <w:p w:rsidR="00566048" w:rsidRPr="003C4437" w:rsidRDefault="00566048" w:rsidP="00D23974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3C4437">
              <w:rPr>
                <w:rFonts w:cs="Arial"/>
              </w:rPr>
              <w:t xml:space="preserve">Ce virus est endémique dans de nombreuses zones tropicales et subtropicales et est classé comme </w:t>
            </w:r>
            <w:proofErr w:type="spellStart"/>
            <w:r w:rsidRPr="003C4437">
              <w:rPr>
                <w:rFonts w:cs="Arial"/>
              </w:rPr>
              <w:t>bioagresseur</w:t>
            </w:r>
            <w:proofErr w:type="spellEnd"/>
            <w:r w:rsidRPr="003C4437">
              <w:rPr>
                <w:rFonts w:cs="Arial"/>
              </w:rPr>
              <w:t xml:space="preserve"> de quarantaine dans de nombreux pays à climat tempéré.  Il figure sur la liste d’alerte EPPO.  Quelques variétés résistantes au virus peuvent être sensibles au virus étroitement apparenté </w:t>
            </w:r>
            <w:proofErr w:type="spellStart"/>
            <w:r w:rsidRPr="003C4437">
              <w:rPr>
                <w:rFonts w:cs="Arial"/>
              </w:rPr>
              <w:t>Sardinia</w:t>
            </w:r>
            <w:proofErr w:type="spellEnd"/>
            <w:r w:rsidRPr="003C4437">
              <w:rPr>
                <w:rFonts w:cs="Arial"/>
              </w:rPr>
              <w:t xml:space="preserve"> des feuilles jaunes en cuillère de la tomate (TYLCSV).  </w:t>
            </w:r>
          </w:p>
        </w:tc>
      </w:tr>
    </w:tbl>
    <w:p w:rsidR="00566048" w:rsidRPr="003C4437" w:rsidRDefault="00566048" w:rsidP="00566048"/>
    <w:p w:rsidR="00566048" w:rsidRPr="003C4437" w:rsidRDefault="00566048" w:rsidP="00566048">
      <w:pPr>
        <w:jc w:val="left"/>
      </w:pPr>
    </w:p>
    <w:p w:rsidR="00566048" w:rsidRPr="003C4437" w:rsidRDefault="00566048" w:rsidP="00566048">
      <w:pPr>
        <w:rPr>
          <w:i/>
        </w:rPr>
      </w:pPr>
      <w:r w:rsidRPr="003C4437">
        <w:rPr>
          <w:i/>
        </w:rPr>
        <w:t>Nouveau libellé proposé :</w:t>
      </w:r>
    </w:p>
    <w:p w:rsidR="00566048" w:rsidRPr="003C4437" w:rsidRDefault="00566048" w:rsidP="00566048">
      <w:pPr>
        <w:rPr>
          <w:i/>
        </w:rPr>
      </w:pPr>
    </w:p>
    <w:p w:rsidR="00566048" w:rsidRPr="00DE5B03" w:rsidRDefault="00566048" w:rsidP="00566048">
      <w:pPr>
        <w:tabs>
          <w:tab w:val="left" w:pos="0"/>
          <w:tab w:val="left" w:pos="672"/>
          <w:tab w:val="left" w:pos="2592"/>
          <w:tab w:val="left" w:pos="3072"/>
        </w:tabs>
        <w:rPr>
          <w:rFonts w:cs="Tahoma"/>
          <w:szCs w:val="18"/>
          <w:u w:val="single"/>
        </w:rPr>
      </w:pPr>
      <w:r w:rsidRPr="00DE5B03">
        <w:rPr>
          <w:rFonts w:cs="Tahoma"/>
          <w:szCs w:val="18"/>
          <w:u w:val="single"/>
        </w:rPr>
        <w:t xml:space="preserve">Ad. 57 : </w:t>
      </w:r>
      <w:r w:rsidRPr="00DE5B03">
        <w:rPr>
          <w:rFonts w:cs="Arial"/>
          <w:u w:val="single"/>
        </w:rPr>
        <w:t>Résistance au virus des feuilles jaunes en cuillère de la tomate (TYLCV)</w:t>
      </w:r>
    </w:p>
    <w:p w:rsidR="00566048" w:rsidRPr="00DE5B03" w:rsidRDefault="00566048" w:rsidP="00566048">
      <w:pPr>
        <w:tabs>
          <w:tab w:val="left" w:pos="0"/>
          <w:tab w:val="left" w:pos="672"/>
          <w:tab w:val="left" w:pos="2592"/>
          <w:tab w:val="left" w:pos="3072"/>
        </w:tabs>
        <w:rPr>
          <w:rFonts w:cs="Tahoma"/>
          <w:szCs w:val="18"/>
        </w:rPr>
      </w:pPr>
      <w:r w:rsidRPr="00DE5B03">
        <w:rPr>
          <w:rFonts w:cs="Tahoma"/>
          <w:szCs w:val="18"/>
        </w:rPr>
        <w:tab/>
      </w:r>
    </w:p>
    <w:p w:rsidR="00566048" w:rsidRPr="00DE5B03" w:rsidRDefault="00566048" w:rsidP="00566048">
      <w:pPr>
        <w:tabs>
          <w:tab w:val="left" w:pos="0"/>
          <w:tab w:val="left" w:pos="672"/>
        </w:tabs>
        <w:rPr>
          <w:i/>
        </w:rPr>
      </w:pPr>
      <w:r w:rsidRPr="00DE5B03">
        <w:rPr>
          <w:rFonts w:cs="Tahoma"/>
          <w:szCs w:val="18"/>
        </w:rPr>
        <w:tab/>
      </w:r>
      <w:r w:rsidRPr="00DE5B03">
        <w:rPr>
          <w:rFonts w:cs="Tahoma"/>
          <w:i/>
          <w:szCs w:val="18"/>
        </w:rPr>
        <w:t>i)</w:t>
      </w:r>
      <w:r w:rsidRPr="00DE5B03">
        <w:rPr>
          <w:rFonts w:cs="Tahoma"/>
          <w:i/>
          <w:szCs w:val="18"/>
        </w:rPr>
        <w:tab/>
        <w:t>méthode d’</w:t>
      </w:r>
      <w:r w:rsidRPr="00DE5B03">
        <w:rPr>
          <w:i/>
        </w:rPr>
        <w:t>inoculation</w:t>
      </w:r>
    </w:p>
    <w:p w:rsidR="00566048" w:rsidRPr="003C4437" w:rsidRDefault="00566048" w:rsidP="00566048">
      <w:pPr>
        <w:tabs>
          <w:tab w:val="left" w:leader="dot" w:pos="3544"/>
        </w:tabs>
        <w:autoSpaceDE w:val="0"/>
        <w:autoSpaceDN w:val="0"/>
        <w:adjustRightInd w:val="0"/>
        <w:ind w:left="3544" w:hanging="3544"/>
        <w:rPr>
          <w:rFonts w:cs="Tahoma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5563"/>
      </w:tblGrid>
      <w:tr w:rsidR="00566048" w:rsidRPr="00540918" w:rsidTr="00D23974">
        <w:tc>
          <w:tcPr>
            <w:tcW w:w="4219" w:type="dxa"/>
          </w:tcPr>
          <w:p w:rsidR="00566048" w:rsidRPr="00540918" w:rsidRDefault="00566048" w:rsidP="00D23974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540918">
              <w:rPr>
                <w:rFonts w:cs="Arial"/>
              </w:rPr>
              <w:t>1. Agent pathogène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</w:r>
          </w:p>
        </w:tc>
        <w:tc>
          <w:tcPr>
            <w:tcW w:w="5563" w:type="dxa"/>
          </w:tcPr>
          <w:p w:rsidR="00566048" w:rsidRPr="00540918" w:rsidRDefault="00566048" w:rsidP="00D23974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540918">
              <w:rPr>
                <w:rFonts w:cs="Arial"/>
              </w:rPr>
              <w:t xml:space="preserve">virus des feuilles jaunes en cuillère de la tomate </w:t>
            </w:r>
            <w:r w:rsidRPr="00540918">
              <w:rPr>
                <w:rFonts w:cs="Tahoma"/>
                <w:szCs w:val="18"/>
              </w:rPr>
              <w:t>(TYLCV) souche IL (voir la note ci-dessous).</w:t>
            </w:r>
          </w:p>
        </w:tc>
      </w:tr>
      <w:tr w:rsidR="00566048" w:rsidRPr="00540918" w:rsidTr="00D23974">
        <w:tc>
          <w:tcPr>
            <w:tcW w:w="4219" w:type="dxa"/>
          </w:tcPr>
          <w:p w:rsidR="00566048" w:rsidRPr="007A3E5E" w:rsidRDefault="00566048" w:rsidP="00D23974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7A3E5E">
              <w:rPr>
                <w:rFonts w:cs="Arial"/>
              </w:rPr>
              <w:t xml:space="preserve">2. État de quarantaine </w:t>
            </w:r>
            <w:r w:rsidRPr="007A3E5E">
              <w:rPr>
                <w:rFonts w:cs="Arial"/>
              </w:rPr>
              <w:tab/>
            </w:r>
          </w:p>
        </w:tc>
        <w:tc>
          <w:tcPr>
            <w:tcW w:w="5563" w:type="dxa"/>
          </w:tcPr>
          <w:p w:rsidR="00566048" w:rsidRPr="007A3E5E" w:rsidRDefault="00566048" w:rsidP="00D23974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7A3E5E">
              <w:rPr>
                <w:rFonts w:cs="Arial"/>
              </w:rPr>
              <w:t xml:space="preserve">oui </w:t>
            </w:r>
            <w:r w:rsidR="0003105F" w:rsidRPr="007A3E5E">
              <w:rPr>
                <w:rFonts w:cs="Arial"/>
              </w:rPr>
              <w:t>(voir 13.)</w:t>
            </w:r>
          </w:p>
        </w:tc>
      </w:tr>
      <w:tr w:rsidR="00566048" w:rsidRPr="00540918" w:rsidTr="00D23974">
        <w:tc>
          <w:tcPr>
            <w:tcW w:w="4219" w:type="dxa"/>
          </w:tcPr>
          <w:p w:rsidR="00566048" w:rsidRPr="00540918" w:rsidRDefault="00566048" w:rsidP="00D23974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540918">
              <w:rPr>
                <w:rFonts w:cs="Arial"/>
              </w:rPr>
              <w:t>3. Espèces hôtes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</w:r>
          </w:p>
        </w:tc>
        <w:tc>
          <w:tcPr>
            <w:tcW w:w="5563" w:type="dxa"/>
          </w:tcPr>
          <w:p w:rsidR="00566048" w:rsidRPr="00540918" w:rsidRDefault="00566048" w:rsidP="00D23974">
            <w:pPr>
              <w:autoSpaceDE w:val="0"/>
              <w:autoSpaceDN w:val="0"/>
              <w:adjustRightInd w:val="0"/>
              <w:rPr>
                <w:rFonts w:cs="Tahoma"/>
                <w:bCs/>
                <w:szCs w:val="18"/>
              </w:rPr>
            </w:pPr>
            <w:proofErr w:type="spellStart"/>
            <w:r w:rsidRPr="00540918">
              <w:rPr>
                <w:rFonts w:cs="Tahoma"/>
                <w:bCs/>
                <w:i/>
                <w:szCs w:val="18"/>
              </w:rPr>
              <w:t>Solanum</w:t>
            </w:r>
            <w:proofErr w:type="spellEnd"/>
            <w:r w:rsidRPr="00540918">
              <w:rPr>
                <w:rFonts w:cs="Tahoma"/>
                <w:bCs/>
                <w:i/>
                <w:szCs w:val="18"/>
              </w:rPr>
              <w:t xml:space="preserve"> </w:t>
            </w:r>
            <w:proofErr w:type="spellStart"/>
            <w:r w:rsidRPr="00540918">
              <w:rPr>
                <w:rFonts w:cs="Tahoma"/>
                <w:bCs/>
                <w:i/>
                <w:szCs w:val="18"/>
              </w:rPr>
              <w:t>lycopersicum</w:t>
            </w:r>
            <w:proofErr w:type="spellEnd"/>
          </w:p>
        </w:tc>
      </w:tr>
      <w:tr w:rsidR="00566048" w:rsidRPr="00540918" w:rsidTr="00D23974">
        <w:tc>
          <w:tcPr>
            <w:tcW w:w="4219" w:type="dxa"/>
          </w:tcPr>
          <w:p w:rsidR="00566048" w:rsidRPr="00540918" w:rsidRDefault="00566048" w:rsidP="00D23974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540918">
              <w:rPr>
                <w:rFonts w:cs="Arial"/>
              </w:rPr>
              <w:t xml:space="preserve">4. Source des </w:t>
            </w:r>
            <w:proofErr w:type="spellStart"/>
            <w:r w:rsidRPr="00540918">
              <w:rPr>
                <w:rFonts w:cs="Arial"/>
              </w:rPr>
              <w:t>inoculums</w:t>
            </w:r>
            <w:proofErr w:type="spellEnd"/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</w:r>
          </w:p>
        </w:tc>
        <w:tc>
          <w:tcPr>
            <w:tcW w:w="5563" w:type="dxa"/>
          </w:tcPr>
          <w:p w:rsidR="00566048" w:rsidRPr="00540918" w:rsidRDefault="00566048" w:rsidP="00D23974">
            <w:pPr>
              <w:autoSpaceDE w:val="0"/>
              <w:autoSpaceDN w:val="0"/>
              <w:adjustRightInd w:val="0"/>
              <w:rPr>
                <w:rFonts w:cs="Tahoma"/>
                <w:bCs/>
                <w:szCs w:val="18"/>
              </w:rPr>
            </w:pPr>
            <w:r w:rsidRPr="00540918">
              <w:rPr>
                <w:rFonts w:cs="Tahoma"/>
                <w:bCs/>
                <w:szCs w:val="18"/>
              </w:rPr>
              <w:t>M. Eduardo R. </w:t>
            </w:r>
            <w:proofErr w:type="spellStart"/>
            <w:r w:rsidRPr="00540918">
              <w:rPr>
                <w:rFonts w:cs="Tahoma"/>
                <w:bCs/>
                <w:szCs w:val="18"/>
              </w:rPr>
              <w:t>Bejarano</w:t>
            </w:r>
            <w:proofErr w:type="spellEnd"/>
            <w:r w:rsidRPr="00540918">
              <w:rPr>
                <w:rFonts w:cs="Tahoma"/>
                <w:bCs/>
                <w:szCs w:val="18"/>
              </w:rPr>
              <w:t xml:space="preserve">, Laboratoire de recherche </w:t>
            </w:r>
            <w:proofErr w:type="spellStart"/>
            <w:r w:rsidRPr="00540918">
              <w:rPr>
                <w:rFonts w:cs="Tahoma"/>
                <w:bCs/>
                <w:szCs w:val="18"/>
              </w:rPr>
              <w:t>phytogénétique</w:t>
            </w:r>
            <w:proofErr w:type="spellEnd"/>
            <w:r w:rsidRPr="00540918">
              <w:rPr>
                <w:rFonts w:cs="Tahoma"/>
                <w:bCs/>
                <w:szCs w:val="18"/>
              </w:rPr>
              <w:t xml:space="preserve">, </w:t>
            </w:r>
            <w:r>
              <w:rPr>
                <w:rFonts w:cs="Tahoma"/>
                <w:bCs/>
                <w:szCs w:val="18"/>
              </w:rPr>
              <w:t>IH</w:t>
            </w:r>
            <w:r w:rsidRPr="00B325AB">
              <w:rPr>
                <w:rFonts w:cs="Tahoma"/>
                <w:bCs/>
                <w:szCs w:val="18"/>
              </w:rPr>
              <w:t>S</w:t>
            </w:r>
            <w:r>
              <w:rPr>
                <w:rFonts w:cs="Tahoma"/>
                <w:bCs/>
                <w:szCs w:val="18"/>
              </w:rPr>
              <w:t>M</w:t>
            </w:r>
            <w:r w:rsidRPr="00540918">
              <w:rPr>
                <w:rFonts w:cs="Tahoma"/>
                <w:bCs/>
                <w:szCs w:val="18"/>
              </w:rPr>
              <w:t xml:space="preserve"> UMA-CSIC)</w:t>
            </w:r>
            <w:r w:rsidRPr="00540918">
              <w:rPr>
                <w:rStyle w:val="FootnoteReference"/>
                <w:rFonts w:cs="Tahoma"/>
                <w:bCs/>
                <w:szCs w:val="18"/>
              </w:rPr>
              <w:footnoteReference w:id="2"/>
            </w:r>
          </w:p>
        </w:tc>
      </w:tr>
      <w:tr w:rsidR="00566048" w:rsidRPr="00540918" w:rsidTr="00D23974">
        <w:tc>
          <w:tcPr>
            <w:tcW w:w="4219" w:type="dxa"/>
          </w:tcPr>
          <w:p w:rsidR="00566048" w:rsidRPr="00540918" w:rsidRDefault="00566048" w:rsidP="00D23974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540918">
              <w:rPr>
                <w:rFonts w:cs="Arial"/>
              </w:rPr>
              <w:t>5. Isolat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</w:r>
          </w:p>
        </w:tc>
        <w:tc>
          <w:tcPr>
            <w:tcW w:w="5563" w:type="dxa"/>
          </w:tcPr>
          <w:p w:rsidR="00566048" w:rsidRPr="00540918" w:rsidRDefault="00566048" w:rsidP="00D23974">
            <w:pPr>
              <w:autoSpaceDE w:val="0"/>
              <w:autoSpaceDN w:val="0"/>
              <w:adjustRightInd w:val="0"/>
              <w:rPr>
                <w:rFonts w:cs="Tahoma"/>
                <w:bCs/>
                <w:szCs w:val="18"/>
              </w:rPr>
            </w:pPr>
            <w:r w:rsidRPr="00540918">
              <w:rPr>
                <w:rFonts w:cs="Tahoma"/>
                <w:szCs w:val="18"/>
              </w:rPr>
              <w:t xml:space="preserve">Alm:Pep:99, </w:t>
            </w:r>
            <w:r w:rsidRPr="00540918">
              <w:rPr>
                <w:rFonts w:eastAsia="Arial Unicode MS" w:cs="Tahoma"/>
                <w:szCs w:val="18"/>
              </w:rPr>
              <w:t>souche IL</w:t>
            </w:r>
          </w:p>
        </w:tc>
      </w:tr>
      <w:tr w:rsidR="00566048" w:rsidRPr="00540918" w:rsidTr="00D23974">
        <w:tc>
          <w:tcPr>
            <w:tcW w:w="4219" w:type="dxa"/>
          </w:tcPr>
          <w:p w:rsidR="00566048" w:rsidRPr="00540918" w:rsidRDefault="00566048" w:rsidP="00D23974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540918">
              <w:rPr>
                <w:rFonts w:cs="Arial"/>
              </w:rPr>
              <w:t>6. Identification de l’isolat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</w:r>
          </w:p>
        </w:tc>
        <w:tc>
          <w:tcPr>
            <w:tcW w:w="5563" w:type="dxa"/>
          </w:tcPr>
          <w:p w:rsidR="00566048" w:rsidRPr="00540918" w:rsidRDefault="00566048" w:rsidP="00D23974">
            <w:pPr>
              <w:autoSpaceDE w:val="0"/>
              <w:autoSpaceDN w:val="0"/>
              <w:adjustRightInd w:val="0"/>
              <w:rPr>
                <w:rFonts w:cs="Tahoma"/>
                <w:szCs w:val="18"/>
              </w:rPr>
            </w:pPr>
          </w:p>
        </w:tc>
      </w:tr>
      <w:tr w:rsidR="00566048" w:rsidRPr="00540918" w:rsidTr="00D23974">
        <w:tc>
          <w:tcPr>
            <w:tcW w:w="4219" w:type="dxa"/>
          </w:tcPr>
          <w:p w:rsidR="00566048" w:rsidRPr="00540918" w:rsidRDefault="00566048" w:rsidP="00D23974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540918">
              <w:rPr>
                <w:rFonts w:cs="Arial"/>
              </w:rPr>
              <w:t>7. Détermination du pouvoir pathogène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</w:r>
          </w:p>
        </w:tc>
        <w:tc>
          <w:tcPr>
            <w:tcW w:w="5563" w:type="dxa"/>
          </w:tcPr>
          <w:p w:rsidR="00566048" w:rsidRPr="00540918" w:rsidRDefault="00566048" w:rsidP="00D23974">
            <w:pPr>
              <w:autoSpaceDE w:val="0"/>
              <w:autoSpaceDN w:val="0"/>
              <w:adjustRightInd w:val="0"/>
              <w:rPr>
                <w:rFonts w:cs="Tahoma"/>
                <w:szCs w:val="18"/>
              </w:rPr>
            </w:pPr>
          </w:p>
        </w:tc>
      </w:tr>
      <w:tr w:rsidR="00566048" w:rsidRPr="00540918" w:rsidTr="00D23974">
        <w:tc>
          <w:tcPr>
            <w:tcW w:w="4219" w:type="dxa"/>
          </w:tcPr>
          <w:p w:rsidR="00566048" w:rsidRPr="00540918" w:rsidRDefault="00566048" w:rsidP="00D23974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540918">
              <w:rPr>
                <w:rFonts w:cs="Arial"/>
              </w:rPr>
              <w:lastRenderedPageBreak/>
              <w:t>8. Multiplication de l’inoculum</w:t>
            </w:r>
          </w:p>
        </w:tc>
        <w:tc>
          <w:tcPr>
            <w:tcW w:w="5563" w:type="dxa"/>
          </w:tcPr>
          <w:p w:rsidR="00566048" w:rsidRPr="00540918" w:rsidRDefault="00566048" w:rsidP="00D23974">
            <w:pPr>
              <w:autoSpaceDE w:val="0"/>
              <w:autoSpaceDN w:val="0"/>
              <w:adjustRightInd w:val="0"/>
              <w:rPr>
                <w:rFonts w:cs="Tahoma"/>
                <w:szCs w:val="18"/>
              </w:rPr>
            </w:pPr>
          </w:p>
        </w:tc>
      </w:tr>
      <w:tr w:rsidR="00566048" w:rsidRPr="00540918" w:rsidTr="00D23974">
        <w:tc>
          <w:tcPr>
            <w:tcW w:w="4219" w:type="dxa"/>
          </w:tcPr>
          <w:p w:rsidR="00566048" w:rsidRPr="00540918" w:rsidRDefault="00566048" w:rsidP="00D23974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540918">
              <w:rPr>
                <w:rFonts w:cs="Arial"/>
              </w:rPr>
              <w:t>8.1 Milieu de multiplication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</w:r>
          </w:p>
        </w:tc>
        <w:tc>
          <w:tcPr>
            <w:tcW w:w="5563" w:type="dxa"/>
          </w:tcPr>
          <w:p w:rsidR="00566048" w:rsidRPr="00540918" w:rsidRDefault="00566048" w:rsidP="00D23974">
            <w:pPr>
              <w:rPr>
                <w:rFonts w:cs="Tahoma"/>
                <w:szCs w:val="18"/>
              </w:rPr>
            </w:pPr>
            <w:r w:rsidRPr="00540918">
              <w:rPr>
                <w:rFonts w:cs="Tahoma"/>
                <w:szCs w:val="18"/>
              </w:rPr>
              <w:t>YEP/</w:t>
            </w:r>
            <w:proofErr w:type="spellStart"/>
            <w:r w:rsidRPr="00540918">
              <w:rPr>
                <w:rFonts w:cs="Tahoma"/>
                <w:szCs w:val="18"/>
              </w:rPr>
              <w:t>Kanamycine</w:t>
            </w:r>
            <w:proofErr w:type="spellEnd"/>
            <w:r w:rsidRPr="00540918">
              <w:rPr>
                <w:rFonts w:cs="Tahoma"/>
                <w:szCs w:val="18"/>
              </w:rPr>
              <w:t>.</w:t>
            </w:r>
          </w:p>
        </w:tc>
      </w:tr>
      <w:tr w:rsidR="00566048" w:rsidRPr="00540918" w:rsidTr="00D23974">
        <w:tc>
          <w:tcPr>
            <w:tcW w:w="4219" w:type="dxa"/>
          </w:tcPr>
          <w:p w:rsidR="00566048" w:rsidRPr="00540918" w:rsidRDefault="00566048" w:rsidP="00D23974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540918">
              <w:rPr>
                <w:rFonts w:cs="Arial"/>
              </w:rPr>
              <w:t>8.2 Variété multipliée</w:t>
            </w:r>
          </w:p>
        </w:tc>
        <w:tc>
          <w:tcPr>
            <w:tcW w:w="5563" w:type="dxa"/>
          </w:tcPr>
          <w:p w:rsidR="00566048" w:rsidRPr="00540918" w:rsidRDefault="00566048" w:rsidP="00D23974">
            <w:pPr>
              <w:autoSpaceDE w:val="0"/>
              <w:autoSpaceDN w:val="0"/>
              <w:adjustRightInd w:val="0"/>
              <w:rPr>
                <w:rFonts w:cs="Tahoma"/>
                <w:szCs w:val="18"/>
              </w:rPr>
            </w:pPr>
          </w:p>
        </w:tc>
      </w:tr>
      <w:tr w:rsidR="00566048" w:rsidRPr="00540918" w:rsidTr="00D23974">
        <w:tc>
          <w:tcPr>
            <w:tcW w:w="4219" w:type="dxa"/>
          </w:tcPr>
          <w:p w:rsidR="00566048" w:rsidRPr="00540918" w:rsidRDefault="00566048" w:rsidP="00D23974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540918">
              <w:rPr>
                <w:rFonts w:cs="Arial"/>
              </w:rPr>
              <w:t>8.3 Stade de la plante lors de l’inoculation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</w:r>
          </w:p>
        </w:tc>
        <w:tc>
          <w:tcPr>
            <w:tcW w:w="5563" w:type="dxa"/>
          </w:tcPr>
          <w:p w:rsidR="00566048" w:rsidRPr="00540918" w:rsidRDefault="00566048" w:rsidP="00D23974">
            <w:pPr>
              <w:autoSpaceDE w:val="0"/>
              <w:autoSpaceDN w:val="0"/>
              <w:adjustRightInd w:val="0"/>
              <w:rPr>
                <w:rFonts w:cs="Tahoma"/>
                <w:szCs w:val="18"/>
              </w:rPr>
            </w:pPr>
            <w:r w:rsidRPr="00540918">
              <w:rPr>
                <w:rFonts w:cs="Tahoma"/>
                <w:szCs w:val="18"/>
              </w:rPr>
              <w:t>3 ou 4 feuilles</w:t>
            </w:r>
          </w:p>
        </w:tc>
      </w:tr>
      <w:tr w:rsidR="00566048" w:rsidRPr="00540918" w:rsidTr="00D23974">
        <w:tc>
          <w:tcPr>
            <w:tcW w:w="4219" w:type="dxa"/>
          </w:tcPr>
          <w:p w:rsidR="00566048" w:rsidRPr="00540918" w:rsidRDefault="00566048" w:rsidP="00D23974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540918">
              <w:rPr>
                <w:rFonts w:cs="Arial"/>
              </w:rPr>
              <w:t>8.4 Milieu de multiplication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</w:r>
          </w:p>
        </w:tc>
        <w:tc>
          <w:tcPr>
            <w:tcW w:w="5563" w:type="dxa"/>
          </w:tcPr>
          <w:p w:rsidR="00566048" w:rsidRPr="00540918" w:rsidRDefault="00566048" w:rsidP="00D23974">
            <w:pPr>
              <w:autoSpaceDE w:val="0"/>
              <w:autoSpaceDN w:val="0"/>
              <w:adjustRightInd w:val="0"/>
              <w:rPr>
                <w:rFonts w:cs="Tahoma"/>
                <w:szCs w:val="18"/>
              </w:rPr>
            </w:pPr>
            <w:r w:rsidRPr="00540918">
              <w:rPr>
                <w:rFonts w:cs="Tahoma"/>
                <w:szCs w:val="18"/>
              </w:rPr>
              <w:t>YEP</w:t>
            </w:r>
          </w:p>
        </w:tc>
      </w:tr>
      <w:tr w:rsidR="00566048" w:rsidRPr="00540918" w:rsidTr="00D23974">
        <w:tc>
          <w:tcPr>
            <w:tcW w:w="4219" w:type="dxa"/>
          </w:tcPr>
          <w:p w:rsidR="00566048" w:rsidRPr="00540918" w:rsidRDefault="00566048" w:rsidP="00D23974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540918">
              <w:rPr>
                <w:rFonts w:cs="Arial"/>
              </w:rPr>
              <w:t>8.5 Méthode d’inoculation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</w:r>
          </w:p>
        </w:tc>
        <w:tc>
          <w:tcPr>
            <w:tcW w:w="5563" w:type="dxa"/>
          </w:tcPr>
          <w:p w:rsidR="00566048" w:rsidRPr="00540918" w:rsidRDefault="00566048" w:rsidP="00D23974">
            <w:pPr>
              <w:autoSpaceDE w:val="0"/>
              <w:autoSpaceDN w:val="0"/>
              <w:adjustRightInd w:val="0"/>
              <w:rPr>
                <w:rFonts w:cs="Tahoma"/>
                <w:szCs w:val="18"/>
              </w:rPr>
            </w:pPr>
            <w:r w:rsidRPr="00540918">
              <w:rPr>
                <w:rFonts w:cs="Tahoma"/>
                <w:szCs w:val="18"/>
              </w:rPr>
              <w:t>Infiltration par piqûre de la tige.  L’</w:t>
            </w:r>
            <w:r w:rsidRPr="00540918">
              <w:rPr>
                <w:rFonts w:cs="Tahoma"/>
                <w:bCs/>
                <w:szCs w:val="18"/>
              </w:rPr>
              <w:t xml:space="preserve">inoculation de la plante est réalisée en utilisant la bactérie </w:t>
            </w:r>
            <w:proofErr w:type="spellStart"/>
            <w:r w:rsidRPr="00540918">
              <w:rPr>
                <w:rFonts w:cs="Tahoma"/>
                <w:bCs/>
                <w:szCs w:val="18"/>
              </w:rPr>
              <w:t>Agrobacterium</w:t>
            </w:r>
            <w:proofErr w:type="spellEnd"/>
            <w:r w:rsidRPr="00540918">
              <w:rPr>
                <w:rFonts w:cs="Tahoma"/>
                <w:bCs/>
                <w:szCs w:val="18"/>
              </w:rPr>
              <w:t xml:space="preserve"> </w:t>
            </w:r>
            <w:proofErr w:type="spellStart"/>
            <w:r w:rsidRPr="00540918">
              <w:rPr>
                <w:rFonts w:cs="Tahoma"/>
                <w:bCs/>
                <w:szCs w:val="18"/>
              </w:rPr>
              <w:t>tumefaciens</w:t>
            </w:r>
            <w:proofErr w:type="spellEnd"/>
            <w:r w:rsidRPr="00540918">
              <w:rPr>
                <w:rFonts w:cs="Tahoma"/>
                <w:bCs/>
                <w:szCs w:val="18"/>
              </w:rPr>
              <w:t xml:space="preserve"> transformée avec des plasmides contenant les clones infectieux </w:t>
            </w:r>
            <w:r w:rsidRPr="00540918">
              <w:rPr>
                <w:rFonts w:cs="Tahoma"/>
                <w:szCs w:val="18"/>
              </w:rPr>
              <w:t>(</w:t>
            </w:r>
            <w:proofErr w:type="spellStart"/>
            <w:r w:rsidRPr="00540918">
              <w:rPr>
                <w:rFonts w:cs="Tahoma"/>
                <w:szCs w:val="18"/>
              </w:rPr>
              <w:t>Morilla</w:t>
            </w:r>
            <w:proofErr w:type="spellEnd"/>
            <w:r w:rsidRPr="00540918">
              <w:rPr>
                <w:rFonts w:cs="Tahoma"/>
                <w:szCs w:val="18"/>
              </w:rPr>
              <w:t xml:space="preserve">, et al. 2005.  </w:t>
            </w:r>
            <w:proofErr w:type="spellStart"/>
            <w:r w:rsidRPr="00540918">
              <w:rPr>
                <w:rFonts w:cs="Tahoma"/>
                <w:szCs w:val="18"/>
              </w:rPr>
              <w:t>Phytopathology</w:t>
            </w:r>
            <w:proofErr w:type="spellEnd"/>
            <w:r w:rsidRPr="00540918">
              <w:rPr>
                <w:rFonts w:cs="Tahoma"/>
                <w:szCs w:val="18"/>
              </w:rPr>
              <w:t xml:space="preserve"> 95 : 1089-1097)</w:t>
            </w:r>
          </w:p>
        </w:tc>
      </w:tr>
      <w:tr w:rsidR="00566048" w:rsidRPr="00540918" w:rsidTr="00D23974">
        <w:tc>
          <w:tcPr>
            <w:tcW w:w="4219" w:type="dxa"/>
          </w:tcPr>
          <w:p w:rsidR="00566048" w:rsidRPr="00540918" w:rsidRDefault="00566048" w:rsidP="00D23974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540918">
              <w:rPr>
                <w:rFonts w:cs="Arial"/>
              </w:rPr>
              <w:t xml:space="preserve">8.6 Récolte des </w:t>
            </w:r>
            <w:proofErr w:type="spellStart"/>
            <w:r w:rsidRPr="00540918">
              <w:rPr>
                <w:rFonts w:cs="Arial"/>
              </w:rPr>
              <w:t>inoculums</w:t>
            </w:r>
            <w:proofErr w:type="spellEnd"/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</w:r>
          </w:p>
        </w:tc>
        <w:tc>
          <w:tcPr>
            <w:tcW w:w="5563" w:type="dxa"/>
          </w:tcPr>
          <w:p w:rsidR="00566048" w:rsidRPr="00540918" w:rsidRDefault="00566048" w:rsidP="00D23974">
            <w:pPr>
              <w:autoSpaceDE w:val="0"/>
              <w:autoSpaceDN w:val="0"/>
              <w:adjustRightInd w:val="0"/>
              <w:rPr>
                <w:rFonts w:cs="Tahoma"/>
                <w:szCs w:val="18"/>
              </w:rPr>
            </w:pPr>
          </w:p>
        </w:tc>
      </w:tr>
      <w:tr w:rsidR="00566048" w:rsidRPr="00540918" w:rsidTr="00D23974">
        <w:tc>
          <w:tcPr>
            <w:tcW w:w="4219" w:type="dxa"/>
          </w:tcPr>
          <w:p w:rsidR="00566048" w:rsidRPr="00540918" w:rsidRDefault="00566048" w:rsidP="00D23974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540918">
              <w:rPr>
                <w:rFonts w:cs="Arial"/>
              </w:rPr>
              <w:t xml:space="preserve">8.7 Vérification des </w:t>
            </w:r>
            <w:proofErr w:type="spellStart"/>
            <w:r w:rsidRPr="00540918">
              <w:rPr>
                <w:rFonts w:cs="Arial"/>
              </w:rPr>
              <w:t>inoculums</w:t>
            </w:r>
            <w:proofErr w:type="spellEnd"/>
            <w:r w:rsidRPr="00540918">
              <w:rPr>
                <w:rFonts w:cs="Arial"/>
              </w:rPr>
              <w:t xml:space="preserve"> récoltés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</w:r>
          </w:p>
        </w:tc>
        <w:tc>
          <w:tcPr>
            <w:tcW w:w="5563" w:type="dxa"/>
          </w:tcPr>
          <w:p w:rsidR="00566048" w:rsidRPr="00540918" w:rsidRDefault="00566048" w:rsidP="00D23974">
            <w:pPr>
              <w:autoSpaceDE w:val="0"/>
              <w:autoSpaceDN w:val="0"/>
              <w:adjustRightInd w:val="0"/>
              <w:rPr>
                <w:rFonts w:cs="Tahoma"/>
                <w:szCs w:val="18"/>
              </w:rPr>
            </w:pPr>
          </w:p>
        </w:tc>
      </w:tr>
      <w:tr w:rsidR="00566048" w:rsidRPr="00540918" w:rsidTr="00D23974">
        <w:tc>
          <w:tcPr>
            <w:tcW w:w="4219" w:type="dxa"/>
          </w:tcPr>
          <w:p w:rsidR="00566048" w:rsidRPr="00540918" w:rsidRDefault="00566048" w:rsidP="00D23974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540918">
              <w:rPr>
                <w:rFonts w:cs="Arial"/>
              </w:rPr>
              <w:t xml:space="preserve">8.8 Durée de conservation/viabilité des </w:t>
            </w:r>
            <w:proofErr w:type="spellStart"/>
            <w:r w:rsidRPr="00540918">
              <w:rPr>
                <w:rFonts w:cs="Arial"/>
              </w:rPr>
              <w:t>inoculums</w:t>
            </w:r>
            <w:proofErr w:type="spellEnd"/>
            <w:r>
              <w:rPr>
                <w:rFonts w:cs="Arial"/>
              </w:rPr>
              <w:tab/>
            </w:r>
          </w:p>
        </w:tc>
        <w:tc>
          <w:tcPr>
            <w:tcW w:w="5563" w:type="dxa"/>
          </w:tcPr>
          <w:p w:rsidR="00566048" w:rsidRPr="00540918" w:rsidRDefault="00566048" w:rsidP="00D23974">
            <w:pPr>
              <w:autoSpaceDE w:val="0"/>
              <w:autoSpaceDN w:val="0"/>
              <w:adjustRightInd w:val="0"/>
              <w:rPr>
                <w:rFonts w:cs="Tahoma"/>
                <w:szCs w:val="18"/>
              </w:rPr>
            </w:pPr>
            <w:r w:rsidRPr="00540918">
              <w:rPr>
                <w:rFonts w:cs="Tahoma"/>
                <w:szCs w:val="18"/>
              </w:rPr>
              <w:t xml:space="preserve">Les stocks de bactéries </w:t>
            </w:r>
            <w:r w:rsidRPr="00540918">
              <w:rPr>
                <w:rFonts w:cs="Tahoma"/>
                <w:i/>
                <w:szCs w:val="18"/>
              </w:rPr>
              <w:t>A</w:t>
            </w:r>
            <w:r w:rsidRPr="00540918">
              <w:t>.</w:t>
            </w:r>
            <w:r w:rsidRPr="00540918">
              <w:rPr>
                <w:rFonts w:cs="Tahoma"/>
                <w:szCs w:val="18"/>
              </w:rPr>
              <w:t> </w:t>
            </w:r>
            <w:proofErr w:type="spellStart"/>
            <w:r w:rsidRPr="00540918">
              <w:rPr>
                <w:rFonts w:cs="Tahoma"/>
                <w:i/>
                <w:szCs w:val="18"/>
              </w:rPr>
              <w:t>tumefaciens</w:t>
            </w:r>
            <w:proofErr w:type="spellEnd"/>
            <w:r w:rsidRPr="00540918">
              <w:rPr>
                <w:rFonts w:cs="Tahoma"/>
                <w:szCs w:val="18"/>
              </w:rPr>
              <w:t xml:space="preserve"> </w:t>
            </w:r>
            <w:r w:rsidRPr="00DE5B03">
              <w:rPr>
                <w:rFonts w:cs="Tahoma"/>
                <w:szCs w:val="18"/>
              </w:rPr>
              <w:t xml:space="preserve">sont conservés congelés à </w:t>
            </w:r>
            <w:r w:rsidRPr="00DE5B03">
              <w:rPr>
                <w:rFonts w:cs="Tahoma"/>
                <w:szCs w:val="18"/>
              </w:rPr>
              <w:noBreakHyphen/>
              <w:t>80 °C dans une solution à 15-20% de glycérol pour une conservation de longue durée.  Les cultures à conserver sont généralement obtenues à partir d’une seule</w:t>
            </w:r>
            <w:r w:rsidRPr="00540918">
              <w:rPr>
                <w:rFonts w:cs="Tahoma"/>
                <w:szCs w:val="18"/>
              </w:rPr>
              <w:t xml:space="preserve"> colonie et cultivées dans 5 ml de YEP </w:t>
            </w:r>
            <w:r>
              <w:rPr>
                <w:rFonts w:cs="Tahoma"/>
                <w:szCs w:val="18"/>
              </w:rPr>
              <w:t xml:space="preserve">et </w:t>
            </w:r>
            <w:r w:rsidRPr="00540918">
              <w:rPr>
                <w:rFonts w:cs="Tahoma"/>
                <w:szCs w:val="18"/>
              </w:rPr>
              <w:t xml:space="preserve">2,5 µl de </w:t>
            </w:r>
            <w:proofErr w:type="spellStart"/>
            <w:r w:rsidRPr="00540918">
              <w:rPr>
                <w:rFonts w:cs="Tahoma"/>
                <w:szCs w:val="18"/>
              </w:rPr>
              <w:t>kanamycine</w:t>
            </w:r>
            <w:proofErr w:type="spellEnd"/>
            <w:r w:rsidRPr="00540918">
              <w:rPr>
                <w:rFonts w:cs="Tahoma"/>
                <w:szCs w:val="18"/>
              </w:rPr>
              <w:t xml:space="preserve"> (100mg/ml) pendant 48 heures à</w:t>
            </w:r>
            <w:r>
              <w:rPr>
                <w:rFonts w:cs="Tahoma"/>
                <w:szCs w:val="18"/>
              </w:rPr>
              <w:t> </w:t>
            </w:r>
            <w:r w:rsidRPr="00540918">
              <w:rPr>
                <w:rFonts w:cs="Tahoma"/>
                <w:szCs w:val="18"/>
              </w:rPr>
              <w:t>28 °C.</w:t>
            </w:r>
          </w:p>
        </w:tc>
      </w:tr>
      <w:tr w:rsidR="00566048" w:rsidRPr="00540918" w:rsidTr="00D23974">
        <w:tc>
          <w:tcPr>
            <w:tcW w:w="4219" w:type="dxa"/>
          </w:tcPr>
          <w:p w:rsidR="00566048" w:rsidRPr="00540918" w:rsidRDefault="00566048" w:rsidP="00D23974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540918">
              <w:rPr>
                <w:rFonts w:cs="Arial"/>
              </w:rPr>
              <w:t>9. Format de l’essai</w:t>
            </w:r>
          </w:p>
        </w:tc>
        <w:tc>
          <w:tcPr>
            <w:tcW w:w="5563" w:type="dxa"/>
          </w:tcPr>
          <w:p w:rsidR="00566048" w:rsidRPr="00540918" w:rsidRDefault="00566048" w:rsidP="00D23974">
            <w:pPr>
              <w:autoSpaceDE w:val="0"/>
              <w:autoSpaceDN w:val="0"/>
              <w:adjustRightInd w:val="0"/>
              <w:rPr>
                <w:rFonts w:cs="Tahoma"/>
                <w:szCs w:val="18"/>
              </w:rPr>
            </w:pPr>
          </w:p>
        </w:tc>
      </w:tr>
      <w:tr w:rsidR="00566048" w:rsidRPr="00540918" w:rsidTr="00D23974">
        <w:tc>
          <w:tcPr>
            <w:tcW w:w="4219" w:type="dxa"/>
          </w:tcPr>
          <w:p w:rsidR="00566048" w:rsidRPr="00540918" w:rsidRDefault="00566048" w:rsidP="00D23974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540918">
              <w:rPr>
                <w:rFonts w:cs="Arial"/>
              </w:rPr>
              <w:t>9.1 Nombre de plantes par génotype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</w:r>
          </w:p>
        </w:tc>
        <w:tc>
          <w:tcPr>
            <w:tcW w:w="5563" w:type="dxa"/>
          </w:tcPr>
          <w:p w:rsidR="00566048" w:rsidRPr="00540918" w:rsidRDefault="00566048" w:rsidP="00D23974">
            <w:pPr>
              <w:autoSpaceDE w:val="0"/>
              <w:autoSpaceDN w:val="0"/>
              <w:adjustRightInd w:val="0"/>
              <w:rPr>
                <w:rFonts w:cs="Tahoma"/>
                <w:bCs/>
                <w:szCs w:val="18"/>
              </w:rPr>
            </w:pPr>
            <w:r w:rsidRPr="00540918">
              <w:rPr>
                <w:rFonts w:cs="Tahoma"/>
                <w:bCs/>
                <w:szCs w:val="18"/>
              </w:rPr>
              <w:t>20</w:t>
            </w:r>
          </w:p>
        </w:tc>
      </w:tr>
      <w:tr w:rsidR="00566048" w:rsidRPr="00540918" w:rsidTr="00D23974">
        <w:tc>
          <w:tcPr>
            <w:tcW w:w="4219" w:type="dxa"/>
          </w:tcPr>
          <w:p w:rsidR="00566048" w:rsidRPr="00540918" w:rsidRDefault="00566048" w:rsidP="00D23974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540918">
              <w:rPr>
                <w:rFonts w:cs="Arial"/>
              </w:rPr>
              <w:t>9.2 Nombre de répétitions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</w:r>
          </w:p>
        </w:tc>
        <w:tc>
          <w:tcPr>
            <w:tcW w:w="5563" w:type="dxa"/>
          </w:tcPr>
          <w:p w:rsidR="00566048" w:rsidRPr="00540918" w:rsidRDefault="00566048" w:rsidP="00D23974">
            <w:pPr>
              <w:autoSpaceDE w:val="0"/>
              <w:autoSpaceDN w:val="0"/>
              <w:adjustRightInd w:val="0"/>
              <w:rPr>
                <w:rFonts w:cs="Tahoma"/>
                <w:bCs/>
                <w:szCs w:val="18"/>
              </w:rPr>
            </w:pPr>
            <w:r w:rsidRPr="00540918">
              <w:rPr>
                <w:rFonts w:cs="Tahoma"/>
                <w:bCs/>
                <w:szCs w:val="18"/>
              </w:rPr>
              <w:t>2</w:t>
            </w:r>
          </w:p>
        </w:tc>
      </w:tr>
      <w:tr w:rsidR="00566048" w:rsidRPr="00540918" w:rsidTr="00D23974">
        <w:tc>
          <w:tcPr>
            <w:tcW w:w="4219" w:type="dxa"/>
          </w:tcPr>
          <w:p w:rsidR="00566048" w:rsidRPr="00540918" w:rsidRDefault="00566048" w:rsidP="00D23974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540918">
              <w:rPr>
                <w:rFonts w:cs="Arial"/>
              </w:rPr>
              <w:t>9.3 Variétés témoins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</w:r>
          </w:p>
        </w:tc>
        <w:tc>
          <w:tcPr>
            <w:tcW w:w="5563" w:type="dxa"/>
          </w:tcPr>
          <w:p w:rsidR="00566048" w:rsidRPr="00540918" w:rsidRDefault="00566048" w:rsidP="00D23974">
            <w:pPr>
              <w:autoSpaceDE w:val="0"/>
              <w:autoSpaceDN w:val="0"/>
              <w:adjustRightInd w:val="0"/>
              <w:rPr>
                <w:rFonts w:cs="Tahoma"/>
                <w:bCs/>
                <w:szCs w:val="18"/>
              </w:rPr>
            </w:pPr>
            <w:r w:rsidRPr="00540918">
              <w:rPr>
                <w:rFonts w:cs="Tahoma"/>
                <w:bCs/>
                <w:szCs w:val="18"/>
              </w:rPr>
              <w:t xml:space="preserve">Sensibles : </w:t>
            </w:r>
            <w:proofErr w:type="spellStart"/>
            <w:r w:rsidRPr="00540918">
              <w:rPr>
                <w:rFonts w:cs="Tahoma"/>
                <w:bCs/>
                <w:szCs w:val="18"/>
              </w:rPr>
              <w:t>Moneymaker</w:t>
            </w:r>
            <w:proofErr w:type="spellEnd"/>
            <w:r w:rsidRPr="00540918">
              <w:rPr>
                <w:rFonts w:cs="Tahoma"/>
                <w:bCs/>
                <w:szCs w:val="18"/>
              </w:rPr>
              <w:t>, Marmande</w:t>
            </w:r>
          </w:p>
        </w:tc>
      </w:tr>
      <w:tr w:rsidR="00566048" w:rsidRPr="00566048" w:rsidTr="00D23974">
        <w:tc>
          <w:tcPr>
            <w:tcW w:w="4219" w:type="dxa"/>
          </w:tcPr>
          <w:p w:rsidR="00566048" w:rsidRPr="00540918" w:rsidRDefault="00566048" w:rsidP="00D23974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>
              <w:rPr>
                <w:rFonts w:cs="Arial"/>
              </w:rPr>
              <w:tab/>
            </w:r>
          </w:p>
        </w:tc>
        <w:tc>
          <w:tcPr>
            <w:tcW w:w="5563" w:type="dxa"/>
          </w:tcPr>
          <w:p w:rsidR="00566048" w:rsidRPr="00566048" w:rsidRDefault="00566048" w:rsidP="00D23974">
            <w:pPr>
              <w:autoSpaceDE w:val="0"/>
              <w:autoSpaceDN w:val="0"/>
              <w:adjustRightInd w:val="0"/>
              <w:rPr>
                <w:rFonts w:cs="Tahoma"/>
                <w:bCs/>
                <w:szCs w:val="18"/>
                <w:lang w:val="es-ES_tradnl"/>
              </w:rPr>
            </w:pPr>
            <w:proofErr w:type="spellStart"/>
            <w:r w:rsidRPr="00566048">
              <w:rPr>
                <w:rFonts w:cs="Tahoma"/>
                <w:bCs/>
                <w:szCs w:val="18"/>
                <w:lang w:val="es-ES_tradnl"/>
              </w:rPr>
              <w:t>Résistantes</w:t>
            </w:r>
            <w:proofErr w:type="spellEnd"/>
            <w:r w:rsidRPr="00566048">
              <w:rPr>
                <w:rFonts w:cs="Tahoma"/>
                <w:bCs/>
                <w:szCs w:val="18"/>
                <w:lang w:val="es-ES_tradnl"/>
              </w:rPr>
              <w:t xml:space="preserve"> : </w:t>
            </w:r>
            <w:proofErr w:type="spellStart"/>
            <w:r w:rsidRPr="00566048">
              <w:rPr>
                <w:rFonts w:cs="Tahoma"/>
                <w:bCs/>
                <w:szCs w:val="18"/>
                <w:lang w:val="es-ES_tradnl"/>
              </w:rPr>
              <w:t>Delyca</w:t>
            </w:r>
            <w:proofErr w:type="spellEnd"/>
            <w:r w:rsidRPr="00566048">
              <w:rPr>
                <w:rFonts w:cs="Tahoma"/>
                <w:bCs/>
                <w:szCs w:val="18"/>
                <w:lang w:val="es-ES_tradnl"/>
              </w:rPr>
              <w:t>, Montenegro, Anastasia, TY20, Mohawk</w:t>
            </w:r>
          </w:p>
        </w:tc>
      </w:tr>
      <w:tr w:rsidR="00566048" w:rsidRPr="00540918" w:rsidTr="00D23974">
        <w:tc>
          <w:tcPr>
            <w:tcW w:w="4219" w:type="dxa"/>
          </w:tcPr>
          <w:p w:rsidR="00566048" w:rsidRPr="00540918" w:rsidRDefault="00566048" w:rsidP="00D23974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540918">
              <w:rPr>
                <w:rFonts w:cs="Arial"/>
              </w:rPr>
              <w:t>9.4 Conception de l’essai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</w:r>
          </w:p>
        </w:tc>
        <w:tc>
          <w:tcPr>
            <w:tcW w:w="5563" w:type="dxa"/>
          </w:tcPr>
          <w:p w:rsidR="00566048" w:rsidRPr="00540918" w:rsidRDefault="00566048" w:rsidP="00D23974">
            <w:pPr>
              <w:autoSpaceDE w:val="0"/>
              <w:autoSpaceDN w:val="0"/>
              <w:adjustRightInd w:val="0"/>
              <w:rPr>
                <w:rFonts w:cs="Tahoma"/>
                <w:szCs w:val="18"/>
              </w:rPr>
            </w:pPr>
          </w:p>
        </w:tc>
      </w:tr>
      <w:tr w:rsidR="00566048" w:rsidRPr="00540918" w:rsidTr="00D23974">
        <w:tc>
          <w:tcPr>
            <w:tcW w:w="4219" w:type="dxa"/>
          </w:tcPr>
          <w:p w:rsidR="00566048" w:rsidRPr="00540918" w:rsidRDefault="00566048" w:rsidP="00D23974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540918">
              <w:rPr>
                <w:rFonts w:cs="Arial"/>
              </w:rPr>
              <w:t>9.5 Installation d’essai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</w:r>
          </w:p>
        </w:tc>
        <w:tc>
          <w:tcPr>
            <w:tcW w:w="5563" w:type="dxa"/>
          </w:tcPr>
          <w:p w:rsidR="00566048" w:rsidRPr="00540918" w:rsidRDefault="00566048" w:rsidP="00D23974">
            <w:pPr>
              <w:autoSpaceDE w:val="0"/>
              <w:autoSpaceDN w:val="0"/>
              <w:adjustRightInd w:val="0"/>
              <w:rPr>
                <w:rFonts w:cs="Tahoma"/>
                <w:szCs w:val="18"/>
              </w:rPr>
            </w:pPr>
            <w:r w:rsidRPr="00540918">
              <w:rPr>
                <w:rFonts w:cs="Tahoma"/>
                <w:szCs w:val="18"/>
              </w:rPr>
              <w:t xml:space="preserve">Serre ou chambre de culture avec autorisation d’utilisation </w:t>
            </w:r>
            <w:r>
              <w:rPr>
                <w:rFonts w:cs="Tahoma"/>
                <w:szCs w:val="18"/>
              </w:rPr>
              <w:t>confin</w:t>
            </w:r>
            <w:r w:rsidRPr="00540918">
              <w:rPr>
                <w:rFonts w:cs="Tahoma"/>
                <w:szCs w:val="18"/>
              </w:rPr>
              <w:t xml:space="preserve">ée d’OGM, niveau de </w:t>
            </w:r>
            <w:r>
              <w:rPr>
                <w:rFonts w:cs="Tahoma"/>
                <w:szCs w:val="18"/>
              </w:rPr>
              <w:t>confinement</w:t>
            </w:r>
            <w:r w:rsidRPr="00540918">
              <w:rPr>
                <w:rFonts w:cs="Tahoma"/>
                <w:szCs w:val="18"/>
              </w:rPr>
              <w:t xml:space="preserve"> 1 (N</w:t>
            </w:r>
            <w:r>
              <w:rPr>
                <w:rFonts w:cs="Tahoma"/>
                <w:szCs w:val="18"/>
              </w:rPr>
              <w:noBreakHyphen/>
            </w:r>
            <w:r w:rsidRPr="00540918">
              <w:rPr>
                <w:rFonts w:cs="Tahoma"/>
                <w:szCs w:val="18"/>
              </w:rPr>
              <w:t>1).</w:t>
            </w:r>
          </w:p>
        </w:tc>
      </w:tr>
      <w:tr w:rsidR="00566048" w:rsidRPr="00540918" w:rsidTr="00D23974">
        <w:tc>
          <w:tcPr>
            <w:tcW w:w="4219" w:type="dxa"/>
          </w:tcPr>
          <w:p w:rsidR="00566048" w:rsidRPr="00540918" w:rsidRDefault="00566048" w:rsidP="00D23974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540918">
              <w:rPr>
                <w:rFonts w:cs="Arial"/>
              </w:rPr>
              <w:t>9.6 Température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</w:r>
          </w:p>
        </w:tc>
        <w:tc>
          <w:tcPr>
            <w:tcW w:w="5563" w:type="dxa"/>
          </w:tcPr>
          <w:p w:rsidR="00566048" w:rsidRPr="00540918" w:rsidRDefault="00566048" w:rsidP="00D23974">
            <w:pPr>
              <w:autoSpaceDE w:val="0"/>
              <w:autoSpaceDN w:val="0"/>
              <w:adjustRightInd w:val="0"/>
              <w:rPr>
                <w:rFonts w:cs="Tahoma"/>
                <w:szCs w:val="18"/>
              </w:rPr>
            </w:pPr>
            <w:r w:rsidRPr="00540918">
              <w:rPr>
                <w:rFonts w:cs="Tahoma"/>
                <w:szCs w:val="18"/>
              </w:rPr>
              <w:t>23 à 25 °C</w:t>
            </w:r>
          </w:p>
        </w:tc>
      </w:tr>
      <w:tr w:rsidR="00566048" w:rsidRPr="00540918" w:rsidTr="00D23974">
        <w:tc>
          <w:tcPr>
            <w:tcW w:w="4219" w:type="dxa"/>
          </w:tcPr>
          <w:p w:rsidR="00566048" w:rsidRPr="00540918" w:rsidRDefault="00566048" w:rsidP="00D23974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540918">
              <w:rPr>
                <w:rFonts w:cs="Arial"/>
              </w:rPr>
              <w:t>9.7 Lumière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</w:r>
          </w:p>
        </w:tc>
        <w:tc>
          <w:tcPr>
            <w:tcW w:w="5563" w:type="dxa"/>
          </w:tcPr>
          <w:p w:rsidR="00566048" w:rsidRPr="00540918" w:rsidRDefault="00566048" w:rsidP="00D23974">
            <w:pPr>
              <w:autoSpaceDE w:val="0"/>
              <w:autoSpaceDN w:val="0"/>
              <w:adjustRightInd w:val="0"/>
              <w:rPr>
                <w:rFonts w:cs="Tahoma"/>
                <w:szCs w:val="18"/>
              </w:rPr>
            </w:pPr>
            <w:r w:rsidRPr="00540918">
              <w:rPr>
                <w:rFonts w:cs="Tahoma"/>
                <w:szCs w:val="18"/>
              </w:rPr>
              <w:t>16 h</w:t>
            </w:r>
          </w:p>
        </w:tc>
      </w:tr>
      <w:tr w:rsidR="00566048" w:rsidRPr="00540918" w:rsidTr="00D23974">
        <w:tc>
          <w:tcPr>
            <w:tcW w:w="4219" w:type="dxa"/>
          </w:tcPr>
          <w:p w:rsidR="00566048" w:rsidRPr="00540918" w:rsidRDefault="00566048" w:rsidP="00D23974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540918">
              <w:rPr>
                <w:rFonts w:cs="Arial"/>
              </w:rPr>
              <w:t>9.8 Saison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</w:r>
          </w:p>
        </w:tc>
        <w:tc>
          <w:tcPr>
            <w:tcW w:w="5563" w:type="dxa"/>
          </w:tcPr>
          <w:p w:rsidR="00566048" w:rsidRPr="00540918" w:rsidRDefault="00566048" w:rsidP="00D23974">
            <w:pPr>
              <w:autoSpaceDE w:val="0"/>
              <w:autoSpaceDN w:val="0"/>
              <w:adjustRightInd w:val="0"/>
              <w:rPr>
                <w:rFonts w:cs="Tahoma"/>
                <w:szCs w:val="18"/>
              </w:rPr>
            </w:pPr>
          </w:p>
        </w:tc>
      </w:tr>
      <w:tr w:rsidR="00566048" w:rsidRPr="00540918" w:rsidTr="00D23974">
        <w:tc>
          <w:tcPr>
            <w:tcW w:w="4219" w:type="dxa"/>
          </w:tcPr>
          <w:p w:rsidR="00566048" w:rsidRPr="00540918" w:rsidRDefault="00566048" w:rsidP="00D23974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540918">
              <w:rPr>
                <w:rFonts w:cs="Arial"/>
              </w:rPr>
              <w:t>9.9 Mesures spéciales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</w:r>
          </w:p>
        </w:tc>
        <w:tc>
          <w:tcPr>
            <w:tcW w:w="5563" w:type="dxa"/>
          </w:tcPr>
          <w:p w:rsidR="00566048" w:rsidRPr="00540918" w:rsidRDefault="00566048" w:rsidP="00D23974">
            <w:pPr>
              <w:autoSpaceDE w:val="0"/>
              <w:autoSpaceDN w:val="0"/>
              <w:adjustRightInd w:val="0"/>
              <w:rPr>
                <w:rFonts w:cs="Tahoma"/>
                <w:szCs w:val="18"/>
              </w:rPr>
            </w:pPr>
            <w:r w:rsidRPr="00540918">
              <w:rPr>
                <w:rFonts w:cs="Tahoma"/>
                <w:szCs w:val="18"/>
              </w:rPr>
              <w:t xml:space="preserve">Autorisation d’utilisation </w:t>
            </w:r>
            <w:r>
              <w:rPr>
                <w:rFonts w:cs="Tahoma"/>
                <w:szCs w:val="18"/>
              </w:rPr>
              <w:t>confin</w:t>
            </w:r>
            <w:r w:rsidRPr="00540918">
              <w:rPr>
                <w:rFonts w:cs="Tahoma"/>
                <w:szCs w:val="18"/>
              </w:rPr>
              <w:t>ée</w:t>
            </w:r>
            <w:r>
              <w:rPr>
                <w:rFonts w:cs="Tahoma"/>
                <w:szCs w:val="18"/>
              </w:rPr>
              <w:t xml:space="preserve"> d’OGM, au moins au niveau de confinement 1 (N</w:t>
            </w:r>
            <w:r>
              <w:rPr>
                <w:rFonts w:cs="Tahoma"/>
                <w:szCs w:val="18"/>
              </w:rPr>
              <w:noBreakHyphen/>
            </w:r>
            <w:r w:rsidRPr="00540918">
              <w:rPr>
                <w:rFonts w:cs="Tahoma"/>
                <w:szCs w:val="18"/>
              </w:rPr>
              <w:t>1)</w:t>
            </w:r>
          </w:p>
        </w:tc>
      </w:tr>
      <w:tr w:rsidR="00566048" w:rsidRPr="00540918" w:rsidTr="00D23974">
        <w:tc>
          <w:tcPr>
            <w:tcW w:w="4219" w:type="dxa"/>
          </w:tcPr>
          <w:p w:rsidR="00566048" w:rsidRPr="00540918" w:rsidRDefault="00566048" w:rsidP="00D23974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540918">
              <w:rPr>
                <w:rFonts w:cs="Arial"/>
              </w:rPr>
              <w:t>10. Inoculation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</w:r>
          </w:p>
        </w:tc>
        <w:tc>
          <w:tcPr>
            <w:tcW w:w="5563" w:type="dxa"/>
          </w:tcPr>
          <w:p w:rsidR="00566048" w:rsidRPr="00540918" w:rsidRDefault="00566048" w:rsidP="00D23974">
            <w:pPr>
              <w:autoSpaceDE w:val="0"/>
              <w:autoSpaceDN w:val="0"/>
              <w:adjustRightInd w:val="0"/>
              <w:rPr>
                <w:rFonts w:cs="Tahoma"/>
                <w:szCs w:val="18"/>
              </w:rPr>
            </w:pPr>
          </w:p>
        </w:tc>
      </w:tr>
      <w:tr w:rsidR="00566048" w:rsidRPr="00540918" w:rsidTr="00D23974">
        <w:tc>
          <w:tcPr>
            <w:tcW w:w="4219" w:type="dxa"/>
          </w:tcPr>
          <w:p w:rsidR="00566048" w:rsidRPr="00540918" w:rsidRDefault="00566048" w:rsidP="00D23974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540918">
              <w:rPr>
                <w:rFonts w:cs="Arial"/>
              </w:rPr>
              <w:t xml:space="preserve">10.1 Préparation des </w:t>
            </w:r>
            <w:proofErr w:type="spellStart"/>
            <w:r w:rsidRPr="00540918">
              <w:rPr>
                <w:rFonts w:cs="Arial"/>
              </w:rPr>
              <w:t>inoculums</w:t>
            </w:r>
            <w:proofErr w:type="spellEnd"/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</w:r>
          </w:p>
        </w:tc>
        <w:tc>
          <w:tcPr>
            <w:tcW w:w="5563" w:type="dxa"/>
          </w:tcPr>
          <w:p w:rsidR="00566048" w:rsidRPr="00540918" w:rsidRDefault="00566048" w:rsidP="00D23974">
            <w:pPr>
              <w:autoSpaceDE w:val="0"/>
              <w:autoSpaceDN w:val="0"/>
              <w:adjustRightInd w:val="0"/>
              <w:rPr>
                <w:rFonts w:cs="Tahoma"/>
                <w:szCs w:val="18"/>
              </w:rPr>
            </w:pPr>
            <w:r w:rsidRPr="00540918">
              <w:rPr>
                <w:rFonts w:cs="Tahoma"/>
                <w:szCs w:val="18"/>
              </w:rPr>
              <w:t xml:space="preserve">Strier la surface du </w:t>
            </w:r>
            <w:r>
              <w:rPr>
                <w:rFonts w:cs="Tahoma"/>
                <w:szCs w:val="18"/>
              </w:rPr>
              <w:t xml:space="preserve">milieu </w:t>
            </w:r>
            <w:r w:rsidRPr="00540918">
              <w:rPr>
                <w:rFonts w:cs="Tahoma"/>
                <w:szCs w:val="18"/>
              </w:rPr>
              <w:t xml:space="preserve">contenant la bactérie </w:t>
            </w:r>
            <w:r w:rsidRPr="00540918">
              <w:rPr>
                <w:rFonts w:cs="Tahoma"/>
                <w:i/>
                <w:szCs w:val="18"/>
              </w:rPr>
              <w:t>A</w:t>
            </w:r>
            <w:r w:rsidRPr="00540918">
              <w:t>.</w:t>
            </w:r>
            <w:r w:rsidRPr="00540918">
              <w:rPr>
                <w:rFonts w:cs="Tahoma"/>
                <w:szCs w:val="18"/>
              </w:rPr>
              <w:t> </w:t>
            </w:r>
            <w:proofErr w:type="spellStart"/>
            <w:r w:rsidRPr="00540918">
              <w:rPr>
                <w:rFonts w:cs="Tahoma"/>
                <w:i/>
                <w:szCs w:val="18"/>
              </w:rPr>
              <w:t>tumefaciens</w:t>
            </w:r>
            <w:proofErr w:type="spellEnd"/>
            <w:r w:rsidRPr="00540918">
              <w:rPr>
                <w:rFonts w:cs="Tahoma"/>
                <w:szCs w:val="18"/>
              </w:rPr>
              <w:t xml:space="preserve"> congelée </w:t>
            </w:r>
            <w:r>
              <w:rPr>
                <w:rFonts w:cs="Tahoma"/>
                <w:szCs w:val="18"/>
              </w:rPr>
              <w:t xml:space="preserve">placé dans un tube </w:t>
            </w:r>
            <w:r w:rsidRPr="00540918">
              <w:rPr>
                <w:rFonts w:cs="Tahoma"/>
                <w:szCs w:val="18"/>
              </w:rPr>
              <w:t>et immerger</w:t>
            </w:r>
            <w:r>
              <w:rPr>
                <w:rFonts w:cs="Tahoma"/>
                <w:szCs w:val="18"/>
              </w:rPr>
              <w:t xml:space="preserve"> le tube</w:t>
            </w:r>
            <w:r w:rsidRPr="00540918">
              <w:rPr>
                <w:rFonts w:cs="Tahoma"/>
                <w:szCs w:val="18"/>
              </w:rPr>
              <w:t xml:space="preserve"> dans 5 ml de YEP </w:t>
            </w:r>
            <w:r>
              <w:rPr>
                <w:rFonts w:cs="Tahoma"/>
                <w:szCs w:val="18"/>
              </w:rPr>
              <w:t xml:space="preserve">et </w:t>
            </w:r>
            <w:r w:rsidRPr="00540918">
              <w:rPr>
                <w:rFonts w:cs="Tahoma"/>
                <w:szCs w:val="18"/>
              </w:rPr>
              <w:t xml:space="preserve">2,5 µl de </w:t>
            </w:r>
            <w:proofErr w:type="spellStart"/>
            <w:r w:rsidRPr="00540918">
              <w:rPr>
                <w:rFonts w:cs="Tahoma"/>
                <w:szCs w:val="18"/>
              </w:rPr>
              <w:t>kanamycine</w:t>
            </w:r>
            <w:proofErr w:type="spellEnd"/>
            <w:r w:rsidRPr="00540918">
              <w:rPr>
                <w:rFonts w:cs="Tahoma"/>
                <w:szCs w:val="18"/>
              </w:rPr>
              <w:t xml:space="preserve"> (100mg/ml) pendant 48 heures à 28 °C.  Il est nécessaire d’agiter le tube.  Prélever 100 µl et les placer dans 100 ml de YEP et 50 µl de </w:t>
            </w:r>
            <w:proofErr w:type="spellStart"/>
            <w:r w:rsidRPr="00540918">
              <w:rPr>
                <w:rFonts w:cs="Tahoma"/>
                <w:szCs w:val="18"/>
              </w:rPr>
              <w:t>kanamycine</w:t>
            </w:r>
            <w:proofErr w:type="spellEnd"/>
            <w:r w:rsidRPr="00540918">
              <w:rPr>
                <w:rFonts w:cs="Tahoma"/>
                <w:szCs w:val="18"/>
              </w:rPr>
              <w:t xml:space="preserve"> (100 mg/ml).  Agiter pendant 48 heures à 28 °C.  Centrifuger la culture saturée pendant 20 min à 3500 tr/min et retirer la solution </w:t>
            </w:r>
            <w:proofErr w:type="spellStart"/>
            <w:r w:rsidRPr="00540918">
              <w:rPr>
                <w:rFonts w:cs="Tahoma"/>
                <w:szCs w:val="18"/>
              </w:rPr>
              <w:t>surnageante</w:t>
            </w:r>
            <w:proofErr w:type="spellEnd"/>
            <w:r w:rsidRPr="00540918">
              <w:rPr>
                <w:rFonts w:cs="Tahoma"/>
                <w:szCs w:val="18"/>
              </w:rPr>
              <w:t>.</w:t>
            </w:r>
          </w:p>
        </w:tc>
      </w:tr>
      <w:tr w:rsidR="00566048" w:rsidRPr="00540918" w:rsidTr="00D23974">
        <w:tc>
          <w:tcPr>
            <w:tcW w:w="4219" w:type="dxa"/>
          </w:tcPr>
          <w:p w:rsidR="00566048" w:rsidRPr="00540918" w:rsidRDefault="00566048" w:rsidP="00D23974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540918">
              <w:rPr>
                <w:rFonts w:cs="Arial"/>
              </w:rPr>
              <w:t xml:space="preserve">10.2 Quantification des </w:t>
            </w:r>
            <w:proofErr w:type="spellStart"/>
            <w:r w:rsidRPr="00540918">
              <w:rPr>
                <w:rFonts w:cs="Arial"/>
              </w:rPr>
              <w:t>inoculums</w:t>
            </w:r>
            <w:proofErr w:type="spellEnd"/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</w:r>
          </w:p>
        </w:tc>
        <w:tc>
          <w:tcPr>
            <w:tcW w:w="5563" w:type="dxa"/>
          </w:tcPr>
          <w:p w:rsidR="00566048" w:rsidRPr="00540918" w:rsidRDefault="00566048" w:rsidP="00D23974">
            <w:pPr>
              <w:autoSpaceDE w:val="0"/>
              <w:autoSpaceDN w:val="0"/>
              <w:adjustRightInd w:val="0"/>
              <w:rPr>
                <w:rFonts w:cs="Tahoma"/>
                <w:szCs w:val="18"/>
              </w:rPr>
            </w:pPr>
            <w:r w:rsidRPr="00540918">
              <w:rPr>
                <w:rFonts w:cs="Tahoma"/>
                <w:szCs w:val="18"/>
              </w:rPr>
              <w:t xml:space="preserve">Dissoudre dans de l’eau </w:t>
            </w:r>
            <w:proofErr w:type="spellStart"/>
            <w:r w:rsidRPr="00540918">
              <w:rPr>
                <w:rFonts w:cs="Tahoma"/>
                <w:szCs w:val="18"/>
              </w:rPr>
              <w:t>déionisée</w:t>
            </w:r>
            <w:proofErr w:type="spellEnd"/>
            <w:r w:rsidRPr="00540918">
              <w:rPr>
                <w:rFonts w:cs="Tahoma"/>
                <w:szCs w:val="18"/>
              </w:rPr>
              <w:t xml:space="preserve"> stérile pour une DO</w:t>
            </w:r>
            <w:r w:rsidRPr="00540918">
              <w:rPr>
                <w:rFonts w:cs="Tahoma"/>
                <w:szCs w:val="18"/>
                <w:vertAlign w:val="subscript"/>
              </w:rPr>
              <w:t>600</w:t>
            </w:r>
            <w:r w:rsidRPr="00540918">
              <w:rPr>
                <w:rFonts w:cs="Tahoma"/>
                <w:szCs w:val="18"/>
              </w:rPr>
              <w:t xml:space="preserve"> de 1.</w:t>
            </w:r>
          </w:p>
        </w:tc>
      </w:tr>
      <w:tr w:rsidR="00566048" w:rsidRPr="00540918" w:rsidTr="00D23974">
        <w:tc>
          <w:tcPr>
            <w:tcW w:w="4219" w:type="dxa"/>
          </w:tcPr>
          <w:p w:rsidR="00566048" w:rsidRPr="00540918" w:rsidRDefault="00566048" w:rsidP="00D23974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540918">
              <w:rPr>
                <w:rFonts w:cs="Arial"/>
              </w:rPr>
              <w:t>10.3 Stade de la plante lors de l’inoculation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</w:r>
          </w:p>
        </w:tc>
        <w:tc>
          <w:tcPr>
            <w:tcW w:w="5563" w:type="dxa"/>
          </w:tcPr>
          <w:p w:rsidR="00566048" w:rsidRPr="00540918" w:rsidRDefault="00566048" w:rsidP="00D23974">
            <w:pPr>
              <w:autoSpaceDE w:val="0"/>
              <w:autoSpaceDN w:val="0"/>
              <w:adjustRightInd w:val="0"/>
              <w:rPr>
                <w:rFonts w:cs="Tahoma"/>
                <w:szCs w:val="18"/>
              </w:rPr>
            </w:pPr>
            <w:r w:rsidRPr="00540918">
              <w:rPr>
                <w:rFonts w:cs="Tahoma"/>
                <w:szCs w:val="18"/>
              </w:rPr>
              <w:t>3</w:t>
            </w:r>
            <w:r w:rsidRPr="00540918">
              <w:rPr>
                <w:rFonts w:cs="Tahoma"/>
                <w:szCs w:val="18"/>
                <w:vertAlign w:val="superscript"/>
              </w:rPr>
              <w:t>e</w:t>
            </w:r>
            <w:r w:rsidRPr="00540918">
              <w:rPr>
                <w:rFonts w:cs="Tahoma"/>
                <w:szCs w:val="18"/>
              </w:rPr>
              <w:t xml:space="preserve"> ou 4</w:t>
            </w:r>
            <w:r w:rsidRPr="00540918">
              <w:rPr>
                <w:rFonts w:cs="Tahoma"/>
                <w:szCs w:val="18"/>
                <w:vertAlign w:val="superscript"/>
              </w:rPr>
              <w:t>e</w:t>
            </w:r>
            <w:r w:rsidRPr="00540918">
              <w:rPr>
                <w:rFonts w:cs="Tahoma"/>
                <w:szCs w:val="18"/>
              </w:rPr>
              <w:t> feuille</w:t>
            </w:r>
          </w:p>
        </w:tc>
      </w:tr>
      <w:tr w:rsidR="00566048" w:rsidRPr="00540918" w:rsidTr="00D23974">
        <w:tc>
          <w:tcPr>
            <w:tcW w:w="4219" w:type="dxa"/>
          </w:tcPr>
          <w:p w:rsidR="00566048" w:rsidRPr="00540918" w:rsidRDefault="00566048" w:rsidP="00D23974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540918">
              <w:rPr>
                <w:rFonts w:cs="Arial"/>
              </w:rPr>
              <w:t xml:space="preserve">10.4 Méthode de l’inoculation </w:t>
            </w:r>
            <w:r>
              <w:rPr>
                <w:rFonts w:cs="Arial"/>
              </w:rPr>
              <w:tab/>
            </w:r>
          </w:p>
        </w:tc>
        <w:tc>
          <w:tcPr>
            <w:tcW w:w="5563" w:type="dxa"/>
          </w:tcPr>
          <w:p w:rsidR="00566048" w:rsidRPr="00540918" w:rsidRDefault="00566048" w:rsidP="00D23974">
            <w:pPr>
              <w:autoSpaceDE w:val="0"/>
              <w:autoSpaceDN w:val="0"/>
              <w:adjustRightInd w:val="0"/>
              <w:rPr>
                <w:rFonts w:eastAsia="Arial Unicode MS" w:cs="Tahoma"/>
                <w:szCs w:val="18"/>
              </w:rPr>
            </w:pPr>
            <w:r w:rsidRPr="00540918">
              <w:rPr>
                <w:rFonts w:cs="Arial"/>
              </w:rPr>
              <w:t>Utiliser une seringue de 1 ml dotée d’une aiguille de calibre 27 et déposer quelques gouttes (environ 20 µl de la culture) sur les 10 à 15 </w:t>
            </w:r>
            <w:r>
              <w:rPr>
                <w:rFonts w:cs="Arial"/>
              </w:rPr>
              <w:t xml:space="preserve">trous de </w:t>
            </w:r>
            <w:r w:rsidRPr="00540918">
              <w:rPr>
                <w:rFonts w:cs="Arial"/>
              </w:rPr>
              <w:t>piqûre effectués avec l’aiguille dans la tige des plants de tomates destinés à l’essai.  Conserver sur la glace pendant l’inoculation des plants.</w:t>
            </w:r>
          </w:p>
        </w:tc>
      </w:tr>
      <w:tr w:rsidR="00566048" w:rsidRPr="00540918" w:rsidTr="00D23974">
        <w:tc>
          <w:tcPr>
            <w:tcW w:w="4219" w:type="dxa"/>
          </w:tcPr>
          <w:p w:rsidR="00566048" w:rsidRPr="00540918" w:rsidRDefault="00566048" w:rsidP="00D23974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540918">
              <w:rPr>
                <w:rFonts w:cs="Arial"/>
              </w:rPr>
              <w:t>10.5 Première observation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</w:r>
          </w:p>
        </w:tc>
        <w:tc>
          <w:tcPr>
            <w:tcW w:w="5563" w:type="dxa"/>
          </w:tcPr>
          <w:p w:rsidR="00566048" w:rsidRPr="00540918" w:rsidRDefault="00566048" w:rsidP="00D23974">
            <w:pPr>
              <w:autoSpaceDE w:val="0"/>
              <w:autoSpaceDN w:val="0"/>
              <w:adjustRightInd w:val="0"/>
              <w:rPr>
                <w:rFonts w:cs="Tahoma"/>
                <w:bCs/>
                <w:szCs w:val="18"/>
              </w:rPr>
            </w:pPr>
            <w:r w:rsidRPr="00540918">
              <w:rPr>
                <w:rFonts w:eastAsia="Arial Unicode MS" w:cs="Tahoma"/>
                <w:szCs w:val="18"/>
              </w:rPr>
              <w:t>20 jours après l’inoculation</w:t>
            </w:r>
          </w:p>
        </w:tc>
      </w:tr>
      <w:tr w:rsidR="00566048" w:rsidRPr="00540918" w:rsidTr="00D23974">
        <w:tc>
          <w:tcPr>
            <w:tcW w:w="4219" w:type="dxa"/>
          </w:tcPr>
          <w:p w:rsidR="00566048" w:rsidRPr="00540918" w:rsidRDefault="00566048" w:rsidP="00D23974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540918">
              <w:rPr>
                <w:rFonts w:cs="Arial"/>
              </w:rPr>
              <w:t>10.6 Seconde observation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</w:r>
          </w:p>
        </w:tc>
        <w:tc>
          <w:tcPr>
            <w:tcW w:w="5563" w:type="dxa"/>
          </w:tcPr>
          <w:p w:rsidR="00566048" w:rsidRPr="00540918" w:rsidRDefault="00566048" w:rsidP="00D23974">
            <w:pPr>
              <w:autoSpaceDE w:val="0"/>
              <w:autoSpaceDN w:val="0"/>
              <w:adjustRightInd w:val="0"/>
              <w:rPr>
                <w:rFonts w:cs="Tahoma"/>
                <w:bCs/>
                <w:szCs w:val="18"/>
              </w:rPr>
            </w:pPr>
            <w:r w:rsidRPr="00540918">
              <w:rPr>
                <w:rFonts w:eastAsia="Arial Unicode MS" w:cs="Tahoma"/>
                <w:szCs w:val="18"/>
              </w:rPr>
              <w:t>30 jours après l’inoculation</w:t>
            </w:r>
          </w:p>
        </w:tc>
      </w:tr>
      <w:tr w:rsidR="00566048" w:rsidRPr="00540918" w:rsidTr="00D23974">
        <w:tc>
          <w:tcPr>
            <w:tcW w:w="4219" w:type="dxa"/>
          </w:tcPr>
          <w:p w:rsidR="00566048" w:rsidRPr="00540918" w:rsidRDefault="00566048" w:rsidP="00D23974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540918">
              <w:rPr>
                <w:rFonts w:cs="Arial"/>
              </w:rPr>
              <w:t>*10.7 Fin de l’essai – Observation finale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</w:r>
          </w:p>
        </w:tc>
        <w:tc>
          <w:tcPr>
            <w:tcW w:w="5563" w:type="dxa"/>
          </w:tcPr>
          <w:p w:rsidR="00566048" w:rsidRPr="00540918" w:rsidRDefault="00566048" w:rsidP="00D23974">
            <w:pPr>
              <w:autoSpaceDE w:val="0"/>
              <w:autoSpaceDN w:val="0"/>
              <w:adjustRightInd w:val="0"/>
              <w:rPr>
                <w:rFonts w:cs="Tahoma"/>
                <w:bCs/>
                <w:szCs w:val="18"/>
              </w:rPr>
            </w:pPr>
            <w:r w:rsidRPr="00540918">
              <w:rPr>
                <w:rFonts w:eastAsia="Arial Unicode MS" w:cs="Tahoma"/>
                <w:szCs w:val="18"/>
              </w:rPr>
              <w:t>45</w:t>
            </w:r>
            <w:r w:rsidRPr="00540918">
              <w:rPr>
                <w:rFonts w:cs="Tahoma"/>
                <w:szCs w:val="18"/>
              </w:rPr>
              <w:t xml:space="preserve"> </w:t>
            </w:r>
            <w:r w:rsidRPr="00540918">
              <w:rPr>
                <w:rFonts w:eastAsia="Arial Unicode MS" w:cs="Tahoma"/>
                <w:szCs w:val="18"/>
              </w:rPr>
              <w:t>jours après l’inoculation</w:t>
            </w:r>
          </w:p>
        </w:tc>
      </w:tr>
      <w:tr w:rsidR="00566048" w:rsidRPr="00540918" w:rsidTr="00D23974">
        <w:tc>
          <w:tcPr>
            <w:tcW w:w="4219" w:type="dxa"/>
          </w:tcPr>
          <w:p w:rsidR="00566048" w:rsidRPr="00540918" w:rsidRDefault="00566048" w:rsidP="00D23974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540918">
              <w:rPr>
                <w:rFonts w:cs="Arial"/>
              </w:rPr>
              <w:t>11. Observations</w:t>
            </w:r>
          </w:p>
        </w:tc>
        <w:tc>
          <w:tcPr>
            <w:tcW w:w="5563" w:type="dxa"/>
          </w:tcPr>
          <w:p w:rsidR="00566048" w:rsidRPr="00540918" w:rsidRDefault="00566048" w:rsidP="00D23974">
            <w:pPr>
              <w:autoSpaceDE w:val="0"/>
              <w:autoSpaceDN w:val="0"/>
              <w:adjustRightInd w:val="0"/>
              <w:rPr>
                <w:rFonts w:cs="Tahoma"/>
                <w:szCs w:val="18"/>
              </w:rPr>
            </w:pPr>
          </w:p>
        </w:tc>
      </w:tr>
      <w:tr w:rsidR="00566048" w:rsidRPr="00540918" w:rsidTr="00D23974">
        <w:tc>
          <w:tcPr>
            <w:tcW w:w="4219" w:type="dxa"/>
          </w:tcPr>
          <w:p w:rsidR="00566048" w:rsidRPr="00540918" w:rsidRDefault="00566048" w:rsidP="00D23974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540918">
              <w:rPr>
                <w:rFonts w:cs="Arial"/>
              </w:rPr>
              <w:t>11.1 Méthode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</w:r>
          </w:p>
        </w:tc>
        <w:tc>
          <w:tcPr>
            <w:tcW w:w="5563" w:type="dxa"/>
          </w:tcPr>
          <w:p w:rsidR="00566048" w:rsidRPr="00540918" w:rsidRDefault="00566048" w:rsidP="00D23974">
            <w:pPr>
              <w:autoSpaceDE w:val="0"/>
              <w:autoSpaceDN w:val="0"/>
              <w:adjustRightInd w:val="0"/>
              <w:rPr>
                <w:rFonts w:cs="Tahoma"/>
                <w:szCs w:val="18"/>
              </w:rPr>
            </w:pPr>
            <w:r w:rsidRPr="00540918">
              <w:rPr>
                <w:rFonts w:cs="Tahoma"/>
                <w:szCs w:val="18"/>
              </w:rPr>
              <w:t>Visuelle</w:t>
            </w:r>
          </w:p>
        </w:tc>
      </w:tr>
      <w:tr w:rsidR="00566048" w:rsidRPr="00540918" w:rsidTr="00D23974">
        <w:tc>
          <w:tcPr>
            <w:tcW w:w="4219" w:type="dxa"/>
          </w:tcPr>
          <w:p w:rsidR="00566048" w:rsidRPr="00540918" w:rsidRDefault="00566048" w:rsidP="00D23974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540918">
              <w:rPr>
                <w:rFonts w:cs="Arial"/>
              </w:rPr>
              <w:t>11.2 Échelle d’observation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</w:r>
          </w:p>
        </w:tc>
        <w:tc>
          <w:tcPr>
            <w:tcW w:w="5563" w:type="dxa"/>
          </w:tcPr>
          <w:p w:rsidR="00566048" w:rsidRPr="00540918" w:rsidRDefault="00566048" w:rsidP="00D23974">
            <w:pPr>
              <w:autoSpaceDE w:val="0"/>
              <w:autoSpaceDN w:val="0"/>
              <w:adjustRightInd w:val="0"/>
              <w:rPr>
                <w:rFonts w:cs="Tahoma"/>
                <w:szCs w:val="18"/>
              </w:rPr>
            </w:pPr>
            <w:r w:rsidRPr="00540918">
              <w:rPr>
                <w:rFonts w:cs="Tahoma"/>
                <w:szCs w:val="18"/>
              </w:rPr>
              <w:t>Symptômes : jaunissement et frisure des feuilles</w:t>
            </w:r>
          </w:p>
        </w:tc>
      </w:tr>
      <w:tr w:rsidR="00566048" w:rsidRPr="00540918" w:rsidTr="00D23974">
        <w:tc>
          <w:tcPr>
            <w:tcW w:w="4219" w:type="dxa"/>
          </w:tcPr>
          <w:p w:rsidR="00566048" w:rsidRPr="00540918" w:rsidRDefault="00566048" w:rsidP="00D23974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540918">
              <w:rPr>
                <w:rFonts w:cs="Arial"/>
              </w:rPr>
              <w:t>11.3 Validation de l’essai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</w:r>
          </w:p>
        </w:tc>
        <w:tc>
          <w:tcPr>
            <w:tcW w:w="5563" w:type="dxa"/>
          </w:tcPr>
          <w:p w:rsidR="00566048" w:rsidRPr="00540918" w:rsidRDefault="00566048" w:rsidP="00D23974">
            <w:pPr>
              <w:autoSpaceDE w:val="0"/>
              <w:autoSpaceDN w:val="0"/>
              <w:adjustRightInd w:val="0"/>
              <w:rPr>
                <w:rFonts w:cs="Tahoma"/>
                <w:szCs w:val="18"/>
              </w:rPr>
            </w:pPr>
            <w:r w:rsidRPr="00540918">
              <w:rPr>
                <w:rFonts w:cs="Tahoma"/>
                <w:szCs w:val="18"/>
              </w:rPr>
              <w:t>L’évaluation de la résistance des variétés doit être calibrée avec les résultats des contrôles de résistance et de sensibilité</w:t>
            </w:r>
          </w:p>
        </w:tc>
      </w:tr>
      <w:tr w:rsidR="00566048" w:rsidRPr="00540918" w:rsidTr="00D23974">
        <w:tc>
          <w:tcPr>
            <w:tcW w:w="9782" w:type="dxa"/>
            <w:gridSpan w:val="2"/>
          </w:tcPr>
          <w:p w:rsidR="00566048" w:rsidRPr="00540918" w:rsidRDefault="00566048" w:rsidP="00D23974">
            <w:pPr>
              <w:keepNext/>
              <w:keepLines/>
              <w:autoSpaceDE w:val="0"/>
              <w:autoSpaceDN w:val="0"/>
              <w:adjustRightInd w:val="0"/>
              <w:rPr>
                <w:rFonts w:cs="Tahoma"/>
                <w:szCs w:val="18"/>
              </w:rPr>
            </w:pPr>
            <w:r w:rsidRPr="00540918">
              <w:rPr>
                <w:rFonts w:cs="Arial"/>
              </w:rPr>
              <w:t>12. Interprétation des données en termes de niveaux d’expression des caractères UPOV</w:t>
            </w:r>
          </w:p>
        </w:tc>
      </w:tr>
      <w:tr w:rsidR="00566048" w:rsidRPr="00540918" w:rsidTr="00D23974">
        <w:tc>
          <w:tcPr>
            <w:tcW w:w="4219" w:type="dxa"/>
          </w:tcPr>
          <w:p w:rsidR="00566048" w:rsidRPr="00540918" w:rsidRDefault="00566048" w:rsidP="00D23974">
            <w:pPr>
              <w:keepNext/>
              <w:keepLines/>
              <w:tabs>
                <w:tab w:val="right" w:leader="dot" w:pos="4319"/>
              </w:tabs>
              <w:autoSpaceDE w:val="0"/>
              <w:autoSpaceDN w:val="0"/>
              <w:adjustRightInd w:val="0"/>
              <w:ind w:left="567"/>
              <w:jc w:val="left"/>
              <w:rPr>
                <w:rFonts w:cs="Arial"/>
              </w:rPr>
            </w:pPr>
            <w:r w:rsidRPr="00540918">
              <w:rPr>
                <w:rFonts w:cs="Arial"/>
              </w:rPr>
              <w:t xml:space="preserve">absente </w:t>
            </w:r>
          </w:p>
        </w:tc>
        <w:tc>
          <w:tcPr>
            <w:tcW w:w="5563" w:type="dxa"/>
          </w:tcPr>
          <w:p w:rsidR="00566048" w:rsidRPr="00540918" w:rsidRDefault="00566048" w:rsidP="00D23974">
            <w:pPr>
              <w:keepNext/>
              <w:keepLines/>
              <w:autoSpaceDE w:val="0"/>
              <w:autoSpaceDN w:val="0"/>
              <w:adjustRightInd w:val="0"/>
              <w:rPr>
                <w:rFonts w:cs="Tahoma"/>
                <w:szCs w:val="18"/>
              </w:rPr>
            </w:pPr>
            <w:r w:rsidRPr="00540918">
              <w:rPr>
                <w:rFonts w:cs="Tahoma"/>
                <w:szCs w:val="18"/>
              </w:rPr>
              <w:t>[1] symptômes sévères</w:t>
            </w:r>
          </w:p>
        </w:tc>
      </w:tr>
      <w:tr w:rsidR="00566048" w:rsidRPr="00540918" w:rsidTr="00D23974">
        <w:tc>
          <w:tcPr>
            <w:tcW w:w="4219" w:type="dxa"/>
          </w:tcPr>
          <w:p w:rsidR="00566048" w:rsidRPr="00540918" w:rsidRDefault="00566048" w:rsidP="00D23974">
            <w:pPr>
              <w:keepNext/>
              <w:keepLines/>
              <w:tabs>
                <w:tab w:val="right" w:leader="dot" w:pos="4319"/>
              </w:tabs>
              <w:autoSpaceDE w:val="0"/>
              <w:autoSpaceDN w:val="0"/>
              <w:adjustRightInd w:val="0"/>
              <w:ind w:left="567"/>
              <w:jc w:val="left"/>
              <w:rPr>
                <w:rFonts w:cs="Arial"/>
              </w:rPr>
            </w:pPr>
            <w:r w:rsidRPr="00540918">
              <w:rPr>
                <w:rFonts w:cs="Arial"/>
              </w:rPr>
              <w:t xml:space="preserve">présente </w:t>
            </w:r>
          </w:p>
        </w:tc>
        <w:tc>
          <w:tcPr>
            <w:tcW w:w="5563" w:type="dxa"/>
          </w:tcPr>
          <w:p w:rsidR="00566048" w:rsidRPr="00540918" w:rsidRDefault="00566048" w:rsidP="00D23974">
            <w:pPr>
              <w:keepNext/>
              <w:keepLines/>
              <w:autoSpaceDE w:val="0"/>
              <w:autoSpaceDN w:val="0"/>
              <w:adjustRightInd w:val="0"/>
              <w:rPr>
                <w:rFonts w:cs="Tahoma"/>
                <w:szCs w:val="18"/>
              </w:rPr>
            </w:pPr>
            <w:r w:rsidRPr="00540918">
              <w:rPr>
                <w:rFonts w:cs="Tahoma"/>
                <w:szCs w:val="18"/>
              </w:rPr>
              <w:t>[9] aucun symptôme</w:t>
            </w:r>
          </w:p>
        </w:tc>
      </w:tr>
      <w:tr w:rsidR="00566048" w:rsidRPr="00540918" w:rsidTr="00D23974">
        <w:tc>
          <w:tcPr>
            <w:tcW w:w="4219" w:type="dxa"/>
          </w:tcPr>
          <w:p w:rsidR="00566048" w:rsidRPr="00540918" w:rsidRDefault="00566048" w:rsidP="00D23974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540918">
              <w:rPr>
                <w:rFonts w:cs="Arial"/>
              </w:rPr>
              <w:t>13. Points critiques de contrôle :</w:t>
            </w:r>
          </w:p>
        </w:tc>
        <w:tc>
          <w:tcPr>
            <w:tcW w:w="5563" w:type="dxa"/>
          </w:tcPr>
          <w:p w:rsidR="00566048" w:rsidRPr="00540918" w:rsidRDefault="00566048" w:rsidP="00D23974">
            <w:pPr>
              <w:autoSpaceDE w:val="0"/>
              <w:autoSpaceDN w:val="0"/>
              <w:adjustRightInd w:val="0"/>
              <w:rPr>
                <w:rFonts w:cs="Tahoma"/>
                <w:szCs w:val="18"/>
              </w:rPr>
            </w:pPr>
          </w:p>
        </w:tc>
      </w:tr>
      <w:tr w:rsidR="00566048" w:rsidRPr="00DE5B03" w:rsidTr="00D23974">
        <w:tc>
          <w:tcPr>
            <w:tcW w:w="9782" w:type="dxa"/>
            <w:gridSpan w:val="2"/>
          </w:tcPr>
          <w:p w:rsidR="00566048" w:rsidRPr="00DE5B03" w:rsidRDefault="00566048" w:rsidP="00D23974">
            <w:pPr>
              <w:autoSpaceDE w:val="0"/>
              <w:autoSpaceDN w:val="0"/>
              <w:adjustRightInd w:val="0"/>
              <w:rPr>
                <w:rFonts w:cs="Tahoma"/>
                <w:szCs w:val="18"/>
              </w:rPr>
            </w:pPr>
            <w:r w:rsidRPr="00DE5B03">
              <w:rPr>
                <w:rFonts w:cs="Arial"/>
              </w:rPr>
              <w:t xml:space="preserve">Ce virus est endémique dans de nombreuses zones tropicales et sous-tropicales et il a un état de </w:t>
            </w:r>
            <w:r w:rsidRPr="00DE5B03">
              <w:rPr>
                <w:rFonts w:cs="Arial"/>
              </w:rPr>
              <w:lastRenderedPageBreak/>
              <w:t>quarantaine dans de nombreux pays à climat tempéré.</w:t>
            </w:r>
          </w:p>
        </w:tc>
      </w:tr>
      <w:tr w:rsidR="00566048" w:rsidRPr="00DE5B03" w:rsidTr="00D23974">
        <w:tc>
          <w:tcPr>
            <w:tcW w:w="9782" w:type="dxa"/>
            <w:gridSpan w:val="2"/>
          </w:tcPr>
          <w:p w:rsidR="00566048" w:rsidRPr="00DE5B03" w:rsidRDefault="00566048" w:rsidP="00D23974">
            <w:pPr>
              <w:autoSpaceDE w:val="0"/>
              <w:autoSpaceDN w:val="0"/>
              <w:adjustRightInd w:val="0"/>
              <w:rPr>
                <w:rFonts w:cs="Tahoma"/>
                <w:szCs w:val="18"/>
              </w:rPr>
            </w:pPr>
            <w:r w:rsidRPr="00DE5B03">
              <w:rPr>
                <w:rFonts w:cs="Arial"/>
              </w:rPr>
              <w:lastRenderedPageBreak/>
              <w:t>TYLCV-IL est la souche la plus répandue dans le monde.  Avec cette souche, les symptômes n’apparaissent pas dans les variétés avec Ty-1 et Ty-2.</w:t>
            </w:r>
          </w:p>
        </w:tc>
      </w:tr>
      <w:tr w:rsidR="00566048" w:rsidRPr="00DE5B03" w:rsidTr="00D23974">
        <w:tc>
          <w:tcPr>
            <w:tcW w:w="9782" w:type="dxa"/>
            <w:gridSpan w:val="2"/>
          </w:tcPr>
          <w:p w:rsidR="00566048" w:rsidRPr="00DE5B03" w:rsidRDefault="00566048" w:rsidP="00D23974">
            <w:pPr>
              <w:autoSpaceDE w:val="0"/>
              <w:autoSpaceDN w:val="0"/>
              <w:adjustRightInd w:val="0"/>
              <w:rPr>
                <w:rFonts w:cs="Tahoma"/>
                <w:szCs w:val="18"/>
              </w:rPr>
            </w:pPr>
            <w:r w:rsidRPr="00DE5B03">
              <w:rPr>
                <w:rFonts w:cs="Arial"/>
              </w:rPr>
              <w:t xml:space="preserve">TYLCV figure sur la liste d’alerte EPPO.  Quelques variétés résistantes au virus peuvent être sensibles au virus étroitement apparenté </w:t>
            </w:r>
            <w:proofErr w:type="spellStart"/>
            <w:r w:rsidRPr="00DE5B03">
              <w:rPr>
                <w:rFonts w:cs="Arial"/>
              </w:rPr>
              <w:t>Sardinia</w:t>
            </w:r>
            <w:proofErr w:type="spellEnd"/>
            <w:r w:rsidRPr="00DE5B03">
              <w:rPr>
                <w:rFonts w:cs="Arial"/>
              </w:rPr>
              <w:t xml:space="preserve"> des feuilles jaunes en cuillère de la tomate (TYLCSV).</w:t>
            </w:r>
          </w:p>
        </w:tc>
      </w:tr>
    </w:tbl>
    <w:p w:rsidR="00566048" w:rsidRPr="00DE5B03" w:rsidRDefault="00566048" w:rsidP="00566048">
      <w:pPr>
        <w:autoSpaceDE w:val="0"/>
        <w:autoSpaceDN w:val="0"/>
        <w:adjustRightInd w:val="0"/>
        <w:rPr>
          <w:rFonts w:cs="Tahoma"/>
          <w:szCs w:val="18"/>
        </w:rPr>
      </w:pPr>
    </w:p>
    <w:p w:rsidR="00566048" w:rsidRPr="00DE5B03" w:rsidRDefault="00566048" w:rsidP="00566048">
      <w:pPr>
        <w:autoSpaceDE w:val="0"/>
        <w:autoSpaceDN w:val="0"/>
        <w:adjustRightInd w:val="0"/>
        <w:rPr>
          <w:rFonts w:cs="Tahoma"/>
          <w:szCs w:val="18"/>
        </w:rPr>
      </w:pPr>
    </w:p>
    <w:p w:rsidR="00566048" w:rsidRPr="00DE5B03" w:rsidRDefault="00566048" w:rsidP="00566048">
      <w:pPr>
        <w:keepNext/>
        <w:widowControl w:val="0"/>
        <w:ind w:left="482" w:hanging="482"/>
        <w:outlineLvl w:val="0"/>
        <w:rPr>
          <w:u w:val="single"/>
        </w:rPr>
      </w:pPr>
      <w:r w:rsidRPr="00DE5B03">
        <w:rPr>
          <w:u w:val="single"/>
        </w:rPr>
        <w:t xml:space="preserve">Ad. 57 : </w:t>
      </w:r>
      <w:r w:rsidRPr="00DE5B03">
        <w:rPr>
          <w:rFonts w:cs="Arial"/>
          <w:u w:val="single"/>
        </w:rPr>
        <w:t>Résistance au virus des feuilles jaunes en cuillère de la tomate (TYLCV</w:t>
      </w:r>
      <w:r w:rsidRPr="00DE5B03">
        <w:rPr>
          <w:u w:val="single"/>
        </w:rPr>
        <w:t>)</w:t>
      </w:r>
    </w:p>
    <w:p w:rsidR="00566048" w:rsidRPr="00DE5B03" w:rsidRDefault="00566048" w:rsidP="00566048">
      <w:pPr>
        <w:keepNext/>
        <w:widowControl w:val="0"/>
        <w:outlineLvl w:val="0"/>
        <w:rPr>
          <w:u w:val="single"/>
        </w:rPr>
      </w:pPr>
    </w:p>
    <w:p w:rsidR="00566048" w:rsidRPr="00DE5B03" w:rsidRDefault="00566048" w:rsidP="00566048">
      <w:pPr>
        <w:keepNext/>
        <w:rPr>
          <w:i/>
        </w:rPr>
      </w:pPr>
      <w:r w:rsidRPr="00DE5B03">
        <w:tab/>
      </w:r>
      <w:r w:rsidRPr="00DE5B03">
        <w:rPr>
          <w:i/>
        </w:rPr>
        <w:t>ii)</w:t>
      </w:r>
      <w:r w:rsidRPr="00DE5B03">
        <w:rPr>
          <w:i/>
        </w:rPr>
        <w:tab/>
        <w:t>Méthode d’inoculation de la mouche blanche</w:t>
      </w:r>
    </w:p>
    <w:p w:rsidR="00566048" w:rsidRPr="00DE5B03" w:rsidRDefault="00566048" w:rsidP="00566048">
      <w:pPr>
        <w:keepNext/>
        <w:rPr>
          <w:i/>
        </w:rPr>
      </w:pPr>
    </w:p>
    <w:p w:rsidR="00566048" w:rsidRPr="00DE5B03" w:rsidRDefault="00566048" w:rsidP="00566048">
      <w:pPr>
        <w:keepNext/>
        <w:widowControl w:val="0"/>
        <w:tabs>
          <w:tab w:val="left" w:leader="dot" w:pos="3458"/>
        </w:tabs>
        <w:ind w:left="482" w:hanging="482"/>
        <w:outlineLvl w:val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560"/>
      </w:tblGrid>
      <w:tr w:rsidR="00566048" w:rsidRPr="00A37483" w:rsidTr="00D23974">
        <w:trPr>
          <w:cantSplit/>
        </w:trPr>
        <w:tc>
          <w:tcPr>
            <w:tcW w:w="4219" w:type="dxa"/>
          </w:tcPr>
          <w:p w:rsidR="00566048" w:rsidRPr="00DE5B03" w:rsidRDefault="00566048" w:rsidP="00D23974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DE5B03">
              <w:rPr>
                <w:rFonts w:cs="Arial"/>
              </w:rPr>
              <w:t xml:space="preserve">1. Agent pathogène </w:t>
            </w:r>
            <w:r w:rsidRPr="00DE5B03">
              <w:rPr>
                <w:rFonts w:cs="Arial"/>
              </w:rPr>
              <w:tab/>
            </w:r>
          </w:p>
        </w:tc>
        <w:tc>
          <w:tcPr>
            <w:tcW w:w="5560" w:type="dxa"/>
          </w:tcPr>
          <w:p w:rsidR="00566048" w:rsidRPr="00A37483" w:rsidRDefault="00566048" w:rsidP="00D23974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DE5B03">
              <w:rPr>
                <w:rFonts w:cs="Arial"/>
              </w:rPr>
              <w:t>virus des feuilles jaunes en cuillère de la tomate (TYLCV) souche IL</w:t>
            </w:r>
          </w:p>
        </w:tc>
      </w:tr>
      <w:tr w:rsidR="00566048" w:rsidRPr="00A37483" w:rsidTr="00D23974">
        <w:trPr>
          <w:cantSplit/>
        </w:trPr>
        <w:tc>
          <w:tcPr>
            <w:tcW w:w="4219" w:type="dxa"/>
          </w:tcPr>
          <w:p w:rsidR="00566048" w:rsidRPr="007A3E5E" w:rsidRDefault="00566048" w:rsidP="00D23974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7A3E5E">
              <w:rPr>
                <w:rFonts w:cs="Arial"/>
              </w:rPr>
              <w:t xml:space="preserve">2. État de quarantaine </w:t>
            </w:r>
            <w:r w:rsidRPr="007A3E5E">
              <w:rPr>
                <w:rFonts w:cs="Arial"/>
              </w:rPr>
              <w:tab/>
              <w:t xml:space="preserve"> </w:t>
            </w:r>
          </w:p>
        </w:tc>
        <w:tc>
          <w:tcPr>
            <w:tcW w:w="5560" w:type="dxa"/>
          </w:tcPr>
          <w:p w:rsidR="00566048" w:rsidRPr="007A3E5E" w:rsidRDefault="00566048" w:rsidP="00D23974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7A3E5E">
              <w:rPr>
                <w:rFonts w:cs="Arial"/>
              </w:rPr>
              <w:t>oui</w:t>
            </w:r>
            <w:r w:rsidR="0003105F" w:rsidRPr="007A3E5E">
              <w:rPr>
                <w:rFonts w:cs="Arial"/>
              </w:rPr>
              <w:t xml:space="preserve"> (voir 13.)</w:t>
            </w:r>
          </w:p>
        </w:tc>
      </w:tr>
      <w:tr w:rsidR="00566048" w:rsidRPr="00A37483" w:rsidTr="00D23974">
        <w:trPr>
          <w:cantSplit/>
        </w:trPr>
        <w:tc>
          <w:tcPr>
            <w:tcW w:w="4219" w:type="dxa"/>
          </w:tcPr>
          <w:p w:rsidR="00566048" w:rsidRPr="00A37483" w:rsidRDefault="00566048" w:rsidP="00D23974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A37483">
              <w:rPr>
                <w:rFonts w:cs="Arial"/>
              </w:rPr>
              <w:t>3. Espèces hôtes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</w:r>
          </w:p>
        </w:tc>
        <w:tc>
          <w:tcPr>
            <w:tcW w:w="5560" w:type="dxa"/>
          </w:tcPr>
          <w:p w:rsidR="00566048" w:rsidRPr="00A37483" w:rsidRDefault="00566048" w:rsidP="00D23974">
            <w:pPr>
              <w:rPr>
                <w:bCs/>
                <w:i/>
                <w:lang w:eastAsia="nl-NL"/>
              </w:rPr>
            </w:pPr>
            <w:proofErr w:type="spellStart"/>
            <w:r w:rsidRPr="00A37483">
              <w:rPr>
                <w:bCs/>
                <w:i/>
                <w:lang w:eastAsia="nl-NL"/>
              </w:rPr>
              <w:t>Solanum</w:t>
            </w:r>
            <w:proofErr w:type="spellEnd"/>
            <w:r w:rsidRPr="00A37483">
              <w:rPr>
                <w:bCs/>
                <w:i/>
                <w:lang w:eastAsia="nl-NL"/>
              </w:rPr>
              <w:t xml:space="preserve"> </w:t>
            </w:r>
            <w:proofErr w:type="spellStart"/>
            <w:r w:rsidRPr="00A37483">
              <w:rPr>
                <w:bCs/>
                <w:i/>
                <w:lang w:eastAsia="nl-NL"/>
              </w:rPr>
              <w:t>lycopersicum</w:t>
            </w:r>
            <w:proofErr w:type="spellEnd"/>
            <w:r w:rsidRPr="00A37483">
              <w:rPr>
                <w:bCs/>
                <w:i/>
                <w:lang w:eastAsia="nl-NL"/>
              </w:rPr>
              <w:t xml:space="preserve"> </w:t>
            </w:r>
          </w:p>
        </w:tc>
      </w:tr>
      <w:tr w:rsidR="00566048" w:rsidRPr="00A37483" w:rsidTr="00D23974">
        <w:trPr>
          <w:cantSplit/>
        </w:trPr>
        <w:tc>
          <w:tcPr>
            <w:tcW w:w="4219" w:type="dxa"/>
          </w:tcPr>
          <w:p w:rsidR="00566048" w:rsidRPr="00A37483" w:rsidRDefault="00566048" w:rsidP="00D23974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A37483">
              <w:rPr>
                <w:rFonts w:cs="Arial"/>
              </w:rPr>
              <w:t>4. Source de l’inoculum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</w:r>
          </w:p>
        </w:tc>
        <w:tc>
          <w:tcPr>
            <w:tcW w:w="5560" w:type="dxa"/>
          </w:tcPr>
          <w:p w:rsidR="00566048" w:rsidRPr="00A37483" w:rsidRDefault="00566048" w:rsidP="00D23974">
            <w:pPr>
              <w:rPr>
                <w:bCs/>
                <w:lang w:eastAsia="nl-NL"/>
              </w:rPr>
            </w:pPr>
            <w:r w:rsidRPr="00A37483">
              <w:rPr>
                <w:bCs/>
                <w:lang w:eastAsia="nl-NL"/>
              </w:rPr>
              <w:t>-Espagne</w:t>
            </w:r>
          </w:p>
        </w:tc>
      </w:tr>
      <w:tr w:rsidR="00566048" w:rsidRPr="00A37483" w:rsidTr="00D23974">
        <w:trPr>
          <w:cantSplit/>
        </w:trPr>
        <w:tc>
          <w:tcPr>
            <w:tcW w:w="4219" w:type="dxa"/>
          </w:tcPr>
          <w:p w:rsidR="00566048" w:rsidRPr="00A37483" w:rsidRDefault="00566048" w:rsidP="00D23974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A37483">
              <w:rPr>
                <w:rFonts w:cs="Arial"/>
              </w:rPr>
              <w:t>5. Isolat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</w:r>
          </w:p>
        </w:tc>
        <w:tc>
          <w:tcPr>
            <w:tcW w:w="5560" w:type="dxa"/>
          </w:tcPr>
          <w:p w:rsidR="00566048" w:rsidRPr="00A37483" w:rsidRDefault="00566048" w:rsidP="00D23974">
            <w:pPr>
              <w:rPr>
                <w:bCs/>
                <w:lang w:eastAsia="nl-NL"/>
              </w:rPr>
            </w:pPr>
            <w:r w:rsidRPr="00A37483">
              <w:rPr>
                <w:bCs/>
                <w:lang w:eastAsia="nl-NL"/>
              </w:rPr>
              <w:t xml:space="preserve">-TYLCV-IL La </w:t>
            </w:r>
            <w:proofErr w:type="spellStart"/>
            <w:r w:rsidRPr="00A37483">
              <w:rPr>
                <w:bCs/>
                <w:lang w:eastAsia="nl-NL"/>
              </w:rPr>
              <w:t>Mayora</w:t>
            </w:r>
            <w:proofErr w:type="spellEnd"/>
          </w:p>
        </w:tc>
      </w:tr>
      <w:tr w:rsidR="00566048" w:rsidRPr="00A37483" w:rsidTr="00D23974">
        <w:trPr>
          <w:cantSplit/>
        </w:trPr>
        <w:tc>
          <w:tcPr>
            <w:tcW w:w="4219" w:type="dxa"/>
          </w:tcPr>
          <w:p w:rsidR="00566048" w:rsidRPr="00A37483" w:rsidRDefault="00566048" w:rsidP="00D23974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A37483">
              <w:rPr>
                <w:rFonts w:cs="Arial"/>
              </w:rPr>
              <w:t>8. Multiplication de l’inoculum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</w:r>
          </w:p>
        </w:tc>
        <w:tc>
          <w:tcPr>
            <w:tcW w:w="5560" w:type="dxa"/>
          </w:tcPr>
          <w:p w:rsidR="00566048" w:rsidRPr="00A37483" w:rsidRDefault="00566048" w:rsidP="00D23974">
            <w:pPr>
              <w:rPr>
                <w:lang w:eastAsia="nl-NL"/>
              </w:rPr>
            </w:pPr>
            <w:r w:rsidRPr="00A37483">
              <w:rPr>
                <w:lang w:eastAsia="nl-NL"/>
              </w:rPr>
              <w:t>Mouches blanches</w:t>
            </w:r>
          </w:p>
        </w:tc>
      </w:tr>
      <w:tr w:rsidR="00566048" w:rsidRPr="00A37483" w:rsidTr="00D23974">
        <w:trPr>
          <w:cantSplit/>
        </w:trPr>
        <w:tc>
          <w:tcPr>
            <w:tcW w:w="4219" w:type="dxa"/>
          </w:tcPr>
          <w:p w:rsidR="00566048" w:rsidRPr="00A37483" w:rsidRDefault="00566048" w:rsidP="00D23974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A37483">
              <w:rPr>
                <w:rFonts w:cs="Arial"/>
              </w:rPr>
              <w:t>8.6 Récolte de l’inoculum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</w:r>
          </w:p>
        </w:tc>
        <w:tc>
          <w:tcPr>
            <w:tcW w:w="5560" w:type="dxa"/>
          </w:tcPr>
          <w:p w:rsidR="00566048" w:rsidRPr="00A37483" w:rsidRDefault="00566048" w:rsidP="00D23974">
            <w:pPr>
              <w:rPr>
                <w:lang w:eastAsia="nl-NL"/>
              </w:rPr>
            </w:pPr>
          </w:p>
        </w:tc>
      </w:tr>
      <w:tr w:rsidR="00566048" w:rsidRPr="00A37483" w:rsidTr="00D23974">
        <w:trPr>
          <w:cantSplit/>
        </w:trPr>
        <w:tc>
          <w:tcPr>
            <w:tcW w:w="4219" w:type="dxa"/>
          </w:tcPr>
          <w:p w:rsidR="00566048" w:rsidRPr="00A37483" w:rsidRDefault="00566048" w:rsidP="00D23974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A37483">
              <w:rPr>
                <w:rFonts w:cs="Arial"/>
              </w:rPr>
              <w:t>9. Format de l’essai</w:t>
            </w:r>
          </w:p>
        </w:tc>
        <w:tc>
          <w:tcPr>
            <w:tcW w:w="5560" w:type="dxa"/>
          </w:tcPr>
          <w:p w:rsidR="00566048" w:rsidRPr="00A37483" w:rsidRDefault="00566048" w:rsidP="00D23974">
            <w:pPr>
              <w:rPr>
                <w:lang w:eastAsia="nl-NL"/>
              </w:rPr>
            </w:pPr>
          </w:p>
        </w:tc>
      </w:tr>
      <w:tr w:rsidR="00566048" w:rsidRPr="00A37483" w:rsidTr="00D23974">
        <w:trPr>
          <w:cantSplit/>
        </w:trPr>
        <w:tc>
          <w:tcPr>
            <w:tcW w:w="4219" w:type="dxa"/>
          </w:tcPr>
          <w:p w:rsidR="00566048" w:rsidRPr="00A37483" w:rsidRDefault="00566048" w:rsidP="00D23974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A37483">
              <w:rPr>
                <w:rFonts w:cs="Arial"/>
              </w:rPr>
              <w:t>9.1 Nombre de plantes par génotype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</w:r>
          </w:p>
        </w:tc>
        <w:tc>
          <w:tcPr>
            <w:tcW w:w="5560" w:type="dxa"/>
          </w:tcPr>
          <w:p w:rsidR="00566048" w:rsidRPr="00A37483" w:rsidRDefault="00566048" w:rsidP="00D23974">
            <w:pPr>
              <w:rPr>
                <w:bCs/>
                <w:lang w:eastAsia="nl-NL"/>
              </w:rPr>
            </w:pPr>
            <w:r w:rsidRPr="00A37483">
              <w:rPr>
                <w:bCs/>
                <w:lang w:eastAsia="nl-NL"/>
              </w:rPr>
              <w:t>20</w:t>
            </w:r>
          </w:p>
        </w:tc>
      </w:tr>
      <w:tr w:rsidR="00566048" w:rsidRPr="00A37483" w:rsidTr="00D23974">
        <w:trPr>
          <w:cantSplit/>
        </w:trPr>
        <w:tc>
          <w:tcPr>
            <w:tcW w:w="4219" w:type="dxa"/>
          </w:tcPr>
          <w:p w:rsidR="00566048" w:rsidRPr="00A37483" w:rsidRDefault="00566048" w:rsidP="00D23974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A37483">
              <w:rPr>
                <w:rFonts w:cs="Arial"/>
              </w:rPr>
              <w:t xml:space="preserve">9.2 Nombre de répétitions </w:t>
            </w:r>
            <w:r>
              <w:rPr>
                <w:rFonts w:cs="Arial"/>
              </w:rPr>
              <w:tab/>
            </w:r>
          </w:p>
        </w:tc>
        <w:tc>
          <w:tcPr>
            <w:tcW w:w="5560" w:type="dxa"/>
          </w:tcPr>
          <w:p w:rsidR="00566048" w:rsidRPr="00A37483" w:rsidRDefault="00566048" w:rsidP="00D23974">
            <w:pPr>
              <w:outlineLvl w:val="0"/>
              <w:rPr>
                <w:bCs/>
                <w:lang w:eastAsia="nl-NL"/>
              </w:rPr>
            </w:pPr>
            <w:r w:rsidRPr="00A37483">
              <w:rPr>
                <w:bCs/>
                <w:lang w:eastAsia="nl-NL"/>
              </w:rPr>
              <w:t>2</w:t>
            </w:r>
          </w:p>
        </w:tc>
      </w:tr>
      <w:tr w:rsidR="00566048" w:rsidRPr="00A37483" w:rsidTr="00D23974">
        <w:trPr>
          <w:cantSplit/>
        </w:trPr>
        <w:tc>
          <w:tcPr>
            <w:tcW w:w="4219" w:type="dxa"/>
          </w:tcPr>
          <w:p w:rsidR="00566048" w:rsidRPr="00A37483" w:rsidRDefault="00566048" w:rsidP="00D23974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A37483">
              <w:rPr>
                <w:rFonts w:cs="Arial"/>
              </w:rPr>
              <w:t>9.3 Variétés témoins</w:t>
            </w:r>
          </w:p>
        </w:tc>
        <w:tc>
          <w:tcPr>
            <w:tcW w:w="5560" w:type="dxa"/>
          </w:tcPr>
          <w:p w:rsidR="00566048" w:rsidRPr="00A37483" w:rsidRDefault="00566048" w:rsidP="00D23974">
            <w:pPr>
              <w:rPr>
                <w:bCs/>
                <w:lang w:eastAsia="nl-NL"/>
              </w:rPr>
            </w:pPr>
          </w:p>
        </w:tc>
      </w:tr>
      <w:tr w:rsidR="00566048" w:rsidRPr="00A37483" w:rsidTr="00D23974">
        <w:trPr>
          <w:cantSplit/>
        </w:trPr>
        <w:tc>
          <w:tcPr>
            <w:tcW w:w="4219" w:type="dxa"/>
          </w:tcPr>
          <w:p w:rsidR="00566048" w:rsidRPr="00A37483" w:rsidRDefault="00566048" w:rsidP="00D23974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ind w:left="567"/>
              <w:jc w:val="left"/>
              <w:rPr>
                <w:rFonts w:cs="Arial"/>
              </w:rPr>
            </w:pPr>
            <w:r w:rsidRPr="00A37483">
              <w:rPr>
                <w:rFonts w:cs="Arial"/>
              </w:rPr>
              <w:t xml:space="preserve">Sensibles : </w:t>
            </w:r>
            <w:r>
              <w:rPr>
                <w:rFonts w:cs="Arial"/>
              </w:rPr>
              <w:tab/>
            </w:r>
          </w:p>
        </w:tc>
        <w:tc>
          <w:tcPr>
            <w:tcW w:w="5560" w:type="dxa"/>
          </w:tcPr>
          <w:p w:rsidR="00566048" w:rsidRPr="00A37483" w:rsidRDefault="00566048" w:rsidP="00D23974">
            <w:pPr>
              <w:autoSpaceDE w:val="0"/>
              <w:autoSpaceDN w:val="0"/>
              <w:adjustRightInd w:val="0"/>
              <w:rPr>
                <w:bCs/>
              </w:rPr>
            </w:pPr>
            <w:proofErr w:type="spellStart"/>
            <w:r w:rsidRPr="00A37483">
              <w:rPr>
                <w:bCs/>
              </w:rPr>
              <w:t>Moneymaker</w:t>
            </w:r>
            <w:proofErr w:type="spellEnd"/>
            <w:r w:rsidRPr="00A37483">
              <w:rPr>
                <w:bCs/>
              </w:rPr>
              <w:t>, Marmande</w:t>
            </w:r>
          </w:p>
        </w:tc>
      </w:tr>
      <w:tr w:rsidR="00566048" w:rsidRPr="00566048" w:rsidTr="00D23974">
        <w:trPr>
          <w:cantSplit/>
        </w:trPr>
        <w:tc>
          <w:tcPr>
            <w:tcW w:w="4219" w:type="dxa"/>
          </w:tcPr>
          <w:p w:rsidR="00566048" w:rsidRPr="00A37483" w:rsidRDefault="00566048" w:rsidP="00D23974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ind w:left="567"/>
              <w:jc w:val="left"/>
              <w:rPr>
                <w:rFonts w:cs="Arial"/>
              </w:rPr>
            </w:pPr>
            <w:r w:rsidRPr="00A37483">
              <w:rPr>
                <w:rFonts w:cs="Arial"/>
              </w:rPr>
              <w:t xml:space="preserve">Résistantes : </w:t>
            </w:r>
            <w:r>
              <w:rPr>
                <w:rFonts w:cs="Arial"/>
              </w:rPr>
              <w:tab/>
            </w:r>
          </w:p>
        </w:tc>
        <w:tc>
          <w:tcPr>
            <w:tcW w:w="5560" w:type="dxa"/>
          </w:tcPr>
          <w:p w:rsidR="00566048" w:rsidRPr="00566048" w:rsidRDefault="00566048" w:rsidP="00D23974">
            <w:pPr>
              <w:rPr>
                <w:lang w:val="es-ES_tradnl"/>
              </w:rPr>
            </w:pPr>
            <w:proofErr w:type="spellStart"/>
            <w:r w:rsidRPr="00566048">
              <w:rPr>
                <w:bCs/>
                <w:lang w:val="es-ES_tradnl"/>
              </w:rPr>
              <w:t>Delyca</w:t>
            </w:r>
            <w:proofErr w:type="spellEnd"/>
            <w:r w:rsidRPr="00566048">
              <w:rPr>
                <w:bCs/>
                <w:lang w:val="es-ES_tradnl"/>
              </w:rPr>
              <w:t>, Montenegro, Anastasia, TY20, Mohawk</w:t>
            </w:r>
          </w:p>
        </w:tc>
      </w:tr>
      <w:tr w:rsidR="00566048" w:rsidRPr="00A37483" w:rsidTr="00D23974">
        <w:trPr>
          <w:cantSplit/>
        </w:trPr>
        <w:tc>
          <w:tcPr>
            <w:tcW w:w="4219" w:type="dxa"/>
          </w:tcPr>
          <w:p w:rsidR="00566048" w:rsidRPr="00A37483" w:rsidRDefault="00566048" w:rsidP="00D23974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A37483">
              <w:rPr>
                <w:rFonts w:cs="Arial"/>
              </w:rPr>
              <w:t>9.5 Installation d’essai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</w:r>
          </w:p>
        </w:tc>
        <w:tc>
          <w:tcPr>
            <w:tcW w:w="5560" w:type="dxa"/>
          </w:tcPr>
          <w:p w:rsidR="00566048" w:rsidRPr="00A37483" w:rsidRDefault="00566048" w:rsidP="00D23974">
            <w:pPr>
              <w:rPr>
                <w:lang w:eastAsia="nl-NL"/>
              </w:rPr>
            </w:pPr>
            <w:r w:rsidRPr="00A37483">
              <w:rPr>
                <w:lang w:eastAsia="nl-NL"/>
              </w:rPr>
              <w:t>Serre/serre tunnel</w:t>
            </w:r>
          </w:p>
        </w:tc>
      </w:tr>
      <w:tr w:rsidR="00566048" w:rsidRPr="00A37483" w:rsidTr="00D23974">
        <w:trPr>
          <w:cantSplit/>
        </w:trPr>
        <w:tc>
          <w:tcPr>
            <w:tcW w:w="4219" w:type="dxa"/>
          </w:tcPr>
          <w:p w:rsidR="00566048" w:rsidRPr="00A37483" w:rsidRDefault="00566048" w:rsidP="00D23974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A37483">
              <w:rPr>
                <w:rFonts w:cs="Arial"/>
              </w:rPr>
              <w:t>9.9 Mesures spéciales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</w:r>
          </w:p>
        </w:tc>
        <w:tc>
          <w:tcPr>
            <w:tcW w:w="5560" w:type="dxa"/>
          </w:tcPr>
          <w:p w:rsidR="00566048" w:rsidRPr="00A37483" w:rsidRDefault="00566048" w:rsidP="00D23974">
            <w:pPr>
              <w:rPr>
                <w:lang w:eastAsia="nl-NL"/>
              </w:rPr>
            </w:pPr>
            <w:r w:rsidRPr="00A37483">
              <w:rPr>
                <w:lang w:eastAsia="nl-NL"/>
              </w:rPr>
              <w:t>empêcher la prolifération des mouches blanches</w:t>
            </w:r>
          </w:p>
        </w:tc>
      </w:tr>
      <w:tr w:rsidR="00566048" w:rsidRPr="00A37483" w:rsidTr="00D23974">
        <w:trPr>
          <w:cantSplit/>
        </w:trPr>
        <w:tc>
          <w:tcPr>
            <w:tcW w:w="4219" w:type="dxa"/>
          </w:tcPr>
          <w:p w:rsidR="00566048" w:rsidRPr="00A37483" w:rsidRDefault="00566048" w:rsidP="00D23974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A37483">
              <w:rPr>
                <w:rFonts w:cs="Arial"/>
              </w:rPr>
              <w:t>10. Inoculation</w:t>
            </w:r>
          </w:p>
        </w:tc>
        <w:tc>
          <w:tcPr>
            <w:tcW w:w="5560" w:type="dxa"/>
          </w:tcPr>
          <w:p w:rsidR="00566048" w:rsidRPr="00A37483" w:rsidRDefault="00566048" w:rsidP="00D23974">
            <w:pPr>
              <w:rPr>
                <w:lang w:eastAsia="nl-NL"/>
              </w:rPr>
            </w:pPr>
          </w:p>
        </w:tc>
      </w:tr>
      <w:tr w:rsidR="00566048" w:rsidRPr="00A37483" w:rsidTr="00D23974">
        <w:trPr>
          <w:cantSplit/>
        </w:trPr>
        <w:tc>
          <w:tcPr>
            <w:tcW w:w="4219" w:type="dxa"/>
          </w:tcPr>
          <w:p w:rsidR="00566048" w:rsidRPr="00A37483" w:rsidRDefault="00566048" w:rsidP="00D23974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A37483">
              <w:rPr>
                <w:rFonts w:cs="Arial"/>
              </w:rPr>
              <w:t>10.3 Stade de la plante lors de l’inoculation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</w:r>
          </w:p>
        </w:tc>
        <w:tc>
          <w:tcPr>
            <w:tcW w:w="5560" w:type="dxa"/>
          </w:tcPr>
          <w:p w:rsidR="00566048" w:rsidRPr="00A37483" w:rsidRDefault="00566048" w:rsidP="00D23974">
            <w:pPr>
              <w:rPr>
                <w:lang w:eastAsia="nl-NL"/>
              </w:rPr>
            </w:pPr>
            <w:r w:rsidRPr="00A37483">
              <w:rPr>
                <w:lang w:eastAsia="nl-NL"/>
              </w:rPr>
              <w:t>2 à 4 semaines</w:t>
            </w:r>
          </w:p>
        </w:tc>
      </w:tr>
      <w:tr w:rsidR="00566048" w:rsidRPr="00A37483" w:rsidTr="00D23974">
        <w:trPr>
          <w:cantSplit/>
        </w:trPr>
        <w:tc>
          <w:tcPr>
            <w:tcW w:w="4219" w:type="dxa"/>
          </w:tcPr>
          <w:p w:rsidR="00566048" w:rsidRPr="00A37483" w:rsidRDefault="00566048" w:rsidP="00D23974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A37483">
              <w:rPr>
                <w:rFonts w:cs="Arial"/>
              </w:rPr>
              <w:t>10.4 Méthode d’inoculation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</w:r>
          </w:p>
        </w:tc>
        <w:tc>
          <w:tcPr>
            <w:tcW w:w="5560" w:type="dxa"/>
          </w:tcPr>
          <w:p w:rsidR="00566048" w:rsidRPr="00A37483" w:rsidRDefault="00566048" w:rsidP="00D23974">
            <w:pPr>
              <w:rPr>
                <w:lang w:eastAsia="nl-NL"/>
              </w:rPr>
            </w:pPr>
            <w:r w:rsidRPr="00A37483">
              <w:rPr>
                <w:lang w:eastAsia="nl-NL"/>
              </w:rPr>
              <w:t>vecteur (</w:t>
            </w:r>
            <w:r w:rsidRPr="00A37483">
              <w:rPr>
                <w:rFonts w:cs="Arial"/>
              </w:rPr>
              <w:t xml:space="preserve">mouches blanches </w:t>
            </w:r>
            <w:proofErr w:type="spellStart"/>
            <w:r w:rsidRPr="00A37483">
              <w:rPr>
                <w:rFonts w:cs="Arial"/>
              </w:rPr>
              <w:t>Bemisia</w:t>
            </w:r>
            <w:proofErr w:type="spellEnd"/>
            <w:r w:rsidRPr="00A37483">
              <w:rPr>
                <w:rFonts w:cs="Arial"/>
              </w:rPr>
              <w:t xml:space="preserve"> porteuses du virus</w:t>
            </w:r>
            <w:r w:rsidRPr="00A37483">
              <w:rPr>
                <w:lang w:eastAsia="nl-NL"/>
              </w:rPr>
              <w:t xml:space="preserve"> TYLCV-IL)</w:t>
            </w:r>
          </w:p>
        </w:tc>
      </w:tr>
      <w:tr w:rsidR="00566048" w:rsidRPr="00A37483" w:rsidTr="00D23974">
        <w:trPr>
          <w:cantSplit/>
        </w:trPr>
        <w:tc>
          <w:tcPr>
            <w:tcW w:w="4219" w:type="dxa"/>
          </w:tcPr>
          <w:p w:rsidR="00566048" w:rsidRPr="00A37483" w:rsidRDefault="00566048" w:rsidP="00D23974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A37483">
              <w:rPr>
                <w:rFonts w:cs="Arial"/>
              </w:rPr>
              <w:t>10.7 Observations finales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</w:r>
          </w:p>
        </w:tc>
        <w:tc>
          <w:tcPr>
            <w:tcW w:w="5560" w:type="dxa"/>
          </w:tcPr>
          <w:p w:rsidR="00566048" w:rsidRPr="00A37483" w:rsidRDefault="00566048" w:rsidP="00D23974">
            <w:pPr>
              <w:rPr>
                <w:bCs/>
                <w:lang w:eastAsia="nl-NL"/>
              </w:rPr>
            </w:pPr>
            <w:r w:rsidRPr="00A37483">
              <w:rPr>
                <w:bCs/>
                <w:lang w:eastAsia="nl-NL"/>
              </w:rPr>
              <w:t>1 à 2 mois après l’inoculation</w:t>
            </w:r>
          </w:p>
        </w:tc>
      </w:tr>
      <w:tr w:rsidR="00566048" w:rsidRPr="00A37483" w:rsidTr="00D23974">
        <w:trPr>
          <w:cantSplit/>
        </w:trPr>
        <w:tc>
          <w:tcPr>
            <w:tcW w:w="4219" w:type="dxa"/>
          </w:tcPr>
          <w:p w:rsidR="00566048" w:rsidRPr="00A37483" w:rsidRDefault="00566048" w:rsidP="00D23974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A37483">
              <w:rPr>
                <w:rFonts w:cs="Arial"/>
              </w:rPr>
              <w:t>11. Observations</w:t>
            </w:r>
          </w:p>
        </w:tc>
        <w:tc>
          <w:tcPr>
            <w:tcW w:w="5560" w:type="dxa"/>
          </w:tcPr>
          <w:p w:rsidR="00566048" w:rsidRPr="00A37483" w:rsidRDefault="00566048" w:rsidP="00D23974">
            <w:pPr>
              <w:rPr>
                <w:lang w:eastAsia="nl-NL"/>
              </w:rPr>
            </w:pPr>
          </w:p>
        </w:tc>
      </w:tr>
      <w:tr w:rsidR="00566048" w:rsidRPr="00A37483" w:rsidTr="00D23974">
        <w:trPr>
          <w:cantSplit/>
        </w:trPr>
        <w:tc>
          <w:tcPr>
            <w:tcW w:w="4219" w:type="dxa"/>
          </w:tcPr>
          <w:p w:rsidR="00566048" w:rsidRPr="00A37483" w:rsidRDefault="00566048" w:rsidP="00D23974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A37483">
              <w:rPr>
                <w:rFonts w:cs="Arial"/>
              </w:rPr>
              <w:t>11.1 Méthode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</w:r>
          </w:p>
        </w:tc>
        <w:tc>
          <w:tcPr>
            <w:tcW w:w="5560" w:type="dxa"/>
          </w:tcPr>
          <w:p w:rsidR="00566048" w:rsidRPr="00A37483" w:rsidRDefault="00566048" w:rsidP="00D23974">
            <w:pPr>
              <w:rPr>
                <w:bCs/>
                <w:lang w:eastAsia="nl-NL"/>
              </w:rPr>
            </w:pPr>
            <w:r w:rsidRPr="00A37483">
              <w:rPr>
                <w:bCs/>
                <w:lang w:eastAsia="nl-NL"/>
              </w:rPr>
              <w:t>visuelle</w:t>
            </w:r>
          </w:p>
        </w:tc>
      </w:tr>
      <w:tr w:rsidR="00566048" w:rsidRPr="00A37483" w:rsidTr="00D23974">
        <w:trPr>
          <w:cantSplit/>
        </w:trPr>
        <w:tc>
          <w:tcPr>
            <w:tcW w:w="4219" w:type="dxa"/>
          </w:tcPr>
          <w:p w:rsidR="00566048" w:rsidRPr="00A37483" w:rsidRDefault="00566048" w:rsidP="00D23974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A37483">
              <w:rPr>
                <w:rFonts w:cs="Arial"/>
              </w:rPr>
              <w:t>11.2 Échelle d’observation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</w:r>
          </w:p>
        </w:tc>
        <w:tc>
          <w:tcPr>
            <w:tcW w:w="5560" w:type="dxa"/>
          </w:tcPr>
          <w:p w:rsidR="00566048" w:rsidRPr="00A37483" w:rsidRDefault="00566048" w:rsidP="00D23974">
            <w:pPr>
              <w:autoSpaceDE w:val="0"/>
              <w:autoSpaceDN w:val="0"/>
              <w:adjustRightInd w:val="0"/>
            </w:pPr>
            <w:r w:rsidRPr="00A37483">
              <w:rPr>
                <w:rFonts w:cs="Arial"/>
              </w:rPr>
              <w:t>symptômes : jaunissement et frisure des feuilles</w:t>
            </w:r>
          </w:p>
        </w:tc>
      </w:tr>
      <w:tr w:rsidR="00566048" w:rsidRPr="00A37483" w:rsidTr="00D23974">
        <w:trPr>
          <w:cantSplit/>
        </w:trPr>
        <w:tc>
          <w:tcPr>
            <w:tcW w:w="4219" w:type="dxa"/>
          </w:tcPr>
          <w:p w:rsidR="00566048" w:rsidRPr="00A37483" w:rsidRDefault="00566048" w:rsidP="00D23974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A37483">
              <w:rPr>
                <w:rFonts w:cs="Arial"/>
              </w:rPr>
              <w:t>11.3 Validation de l’essai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ab/>
            </w:r>
          </w:p>
        </w:tc>
        <w:tc>
          <w:tcPr>
            <w:tcW w:w="5560" w:type="dxa"/>
          </w:tcPr>
          <w:p w:rsidR="00566048" w:rsidRPr="00A37483" w:rsidRDefault="00566048" w:rsidP="00D23974">
            <w:r w:rsidRPr="00A37483">
              <w:rPr>
                <w:rFonts w:cs="Arial"/>
              </w:rPr>
              <w:t>l’évaluation de la résistance des variétés doit être calibrée avec les résultats des contrôles de résistance et de sensibilité</w:t>
            </w:r>
          </w:p>
        </w:tc>
      </w:tr>
      <w:tr w:rsidR="00566048" w:rsidRPr="00A37483" w:rsidTr="00D23974">
        <w:trPr>
          <w:cantSplit/>
        </w:trPr>
        <w:tc>
          <w:tcPr>
            <w:tcW w:w="9779" w:type="dxa"/>
            <w:gridSpan w:val="2"/>
          </w:tcPr>
          <w:p w:rsidR="00566048" w:rsidRPr="00A37483" w:rsidRDefault="00566048" w:rsidP="00D23974">
            <w:pPr>
              <w:rPr>
                <w:bCs/>
                <w:lang w:eastAsia="nl-NL"/>
              </w:rPr>
            </w:pPr>
            <w:r w:rsidRPr="00A37483">
              <w:rPr>
                <w:rFonts w:cs="Arial"/>
              </w:rPr>
              <w:t>12. Interprétation des données en termes de niveaux d’expression des caractères UPOV</w:t>
            </w:r>
          </w:p>
        </w:tc>
      </w:tr>
      <w:tr w:rsidR="00566048" w:rsidRPr="00A37483" w:rsidTr="00D23974">
        <w:trPr>
          <w:cantSplit/>
        </w:trPr>
        <w:tc>
          <w:tcPr>
            <w:tcW w:w="4219" w:type="dxa"/>
          </w:tcPr>
          <w:p w:rsidR="00566048" w:rsidRPr="00A37483" w:rsidRDefault="00566048" w:rsidP="00D23974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ind w:left="567"/>
              <w:jc w:val="left"/>
              <w:rPr>
                <w:rFonts w:cs="Arial"/>
              </w:rPr>
            </w:pPr>
            <w:r w:rsidRPr="00A37483">
              <w:rPr>
                <w:rFonts w:cs="Arial"/>
              </w:rPr>
              <w:t>absente</w:t>
            </w:r>
          </w:p>
        </w:tc>
        <w:tc>
          <w:tcPr>
            <w:tcW w:w="5560" w:type="dxa"/>
          </w:tcPr>
          <w:p w:rsidR="00566048" w:rsidRPr="00A37483" w:rsidRDefault="00566048" w:rsidP="00D23974">
            <w:pPr>
              <w:rPr>
                <w:bCs/>
                <w:lang w:eastAsia="nl-NL"/>
              </w:rPr>
            </w:pPr>
            <w:r w:rsidRPr="00A37483">
              <w:rPr>
                <w:bCs/>
                <w:lang w:eastAsia="nl-NL"/>
              </w:rPr>
              <w:t>[1] symptômes sévères</w:t>
            </w:r>
          </w:p>
        </w:tc>
      </w:tr>
      <w:tr w:rsidR="00566048" w:rsidRPr="00A37483" w:rsidTr="00D23974">
        <w:trPr>
          <w:cantSplit/>
        </w:trPr>
        <w:tc>
          <w:tcPr>
            <w:tcW w:w="4219" w:type="dxa"/>
          </w:tcPr>
          <w:p w:rsidR="00566048" w:rsidRPr="00A37483" w:rsidRDefault="00566048" w:rsidP="00D23974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ind w:left="567"/>
              <w:jc w:val="left"/>
              <w:rPr>
                <w:rFonts w:cs="Arial"/>
              </w:rPr>
            </w:pPr>
            <w:r w:rsidRPr="00A37483">
              <w:rPr>
                <w:rFonts w:cs="Arial"/>
              </w:rPr>
              <w:t>présente</w:t>
            </w:r>
          </w:p>
        </w:tc>
        <w:tc>
          <w:tcPr>
            <w:tcW w:w="5560" w:type="dxa"/>
          </w:tcPr>
          <w:p w:rsidR="00566048" w:rsidRPr="00A37483" w:rsidRDefault="00566048" w:rsidP="00D23974">
            <w:pPr>
              <w:rPr>
                <w:bCs/>
                <w:lang w:eastAsia="nl-NL"/>
              </w:rPr>
            </w:pPr>
            <w:r w:rsidRPr="00A37483">
              <w:rPr>
                <w:bCs/>
                <w:lang w:eastAsia="nl-NL"/>
              </w:rPr>
              <w:t>[9] aucun symptôme ou symptômes légers</w:t>
            </w:r>
          </w:p>
        </w:tc>
      </w:tr>
      <w:tr w:rsidR="00566048" w:rsidRPr="00DE5B03" w:rsidTr="00D23974">
        <w:trPr>
          <w:cantSplit/>
        </w:trPr>
        <w:tc>
          <w:tcPr>
            <w:tcW w:w="4219" w:type="dxa"/>
          </w:tcPr>
          <w:p w:rsidR="00566048" w:rsidRPr="00DE5B03" w:rsidRDefault="00566048" w:rsidP="00D23974">
            <w:pPr>
              <w:tabs>
                <w:tab w:val="right" w:leader="dot" w:pos="4319"/>
              </w:tabs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DE5B03">
              <w:rPr>
                <w:rFonts w:cs="Arial"/>
              </w:rPr>
              <w:t>13. Points critiques de contrôle :</w:t>
            </w:r>
          </w:p>
        </w:tc>
        <w:tc>
          <w:tcPr>
            <w:tcW w:w="5560" w:type="dxa"/>
          </w:tcPr>
          <w:p w:rsidR="00566048" w:rsidRPr="00DE5B03" w:rsidRDefault="00566048" w:rsidP="00D23974">
            <w:pPr>
              <w:rPr>
                <w:lang w:eastAsia="nl-NL"/>
              </w:rPr>
            </w:pPr>
          </w:p>
        </w:tc>
      </w:tr>
      <w:tr w:rsidR="00566048" w:rsidRPr="00DE5B03" w:rsidTr="00D23974">
        <w:trPr>
          <w:cantSplit/>
        </w:trPr>
        <w:tc>
          <w:tcPr>
            <w:tcW w:w="9779" w:type="dxa"/>
            <w:gridSpan w:val="2"/>
          </w:tcPr>
          <w:p w:rsidR="00566048" w:rsidRPr="00DE5B03" w:rsidRDefault="00566048" w:rsidP="00D23974">
            <w:pPr>
              <w:autoSpaceDE w:val="0"/>
              <w:autoSpaceDN w:val="0"/>
              <w:adjustRightInd w:val="0"/>
            </w:pPr>
            <w:r w:rsidRPr="00DE5B03">
              <w:rPr>
                <w:rFonts w:cs="Arial"/>
              </w:rPr>
              <w:t>Ce virus est endémique dans de nombreuses zones tropicales et sous-tropicales et il a un état de quarantaine dans de nombreux pays à climat tempéré.</w:t>
            </w:r>
          </w:p>
        </w:tc>
      </w:tr>
      <w:tr w:rsidR="00566048" w:rsidRPr="00DE5B03" w:rsidTr="00D23974">
        <w:trPr>
          <w:cantSplit/>
        </w:trPr>
        <w:tc>
          <w:tcPr>
            <w:tcW w:w="9779" w:type="dxa"/>
            <w:gridSpan w:val="2"/>
          </w:tcPr>
          <w:p w:rsidR="00566048" w:rsidRPr="00DE5B03" w:rsidRDefault="00566048" w:rsidP="00D23974">
            <w:pPr>
              <w:autoSpaceDE w:val="0"/>
              <w:autoSpaceDN w:val="0"/>
              <w:adjustRightInd w:val="0"/>
            </w:pPr>
            <w:r w:rsidRPr="00DE5B03">
              <w:rPr>
                <w:rFonts w:cs="Arial"/>
              </w:rPr>
              <w:t>TYLCV-IL est la souche la plus répandue dans le monde.  Avec cette souche, les symptômes n’apparaissent pas dans les variétés avec Ty-1 et Ty-2.</w:t>
            </w:r>
          </w:p>
        </w:tc>
      </w:tr>
      <w:tr w:rsidR="00566048" w:rsidRPr="00DE5B03" w:rsidTr="00D23974">
        <w:trPr>
          <w:cantSplit/>
        </w:trPr>
        <w:tc>
          <w:tcPr>
            <w:tcW w:w="9779" w:type="dxa"/>
            <w:gridSpan w:val="2"/>
          </w:tcPr>
          <w:p w:rsidR="00566048" w:rsidRPr="00DE5B03" w:rsidRDefault="00566048" w:rsidP="00D23974">
            <w:pPr>
              <w:autoSpaceDE w:val="0"/>
              <w:autoSpaceDN w:val="0"/>
              <w:adjustRightInd w:val="0"/>
            </w:pPr>
            <w:r w:rsidRPr="00DE5B03">
              <w:rPr>
                <w:rFonts w:cs="Arial"/>
              </w:rPr>
              <w:t xml:space="preserve">Quelques variétés résistantes au virus peuvent être sensibles au virus étroitement apparenté </w:t>
            </w:r>
            <w:proofErr w:type="spellStart"/>
            <w:r w:rsidRPr="00DE5B03">
              <w:rPr>
                <w:rFonts w:cs="Arial"/>
              </w:rPr>
              <w:t>Sardinia</w:t>
            </w:r>
            <w:proofErr w:type="spellEnd"/>
            <w:r w:rsidRPr="00DE5B03">
              <w:rPr>
                <w:rFonts w:cs="Arial"/>
              </w:rPr>
              <w:t xml:space="preserve"> des feuilles jaunes en cuillère de la tomate (TYLCSV).</w:t>
            </w:r>
          </w:p>
        </w:tc>
      </w:tr>
      <w:tr w:rsidR="00566048" w:rsidRPr="00A37483" w:rsidTr="00D23974">
        <w:trPr>
          <w:cantSplit/>
        </w:trPr>
        <w:tc>
          <w:tcPr>
            <w:tcW w:w="9779" w:type="dxa"/>
            <w:gridSpan w:val="2"/>
          </w:tcPr>
          <w:p w:rsidR="00566048" w:rsidRPr="00A37483" w:rsidRDefault="00566048" w:rsidP="00D23974">
            <w:pPr>
              <w:rPr>
                <w:bCs/>
                <w:lang w:eastAsia="nl-NL"/>
              </w:rPr>
            </w:pPr>
            <w:r w:rsidRPr="00DE5B03">
              <w:rPr>
                <w:rFonts w:cs="Arial"/>
              </w:rPr>
              <w:t>Source de l’inoculum : IHSM, CSIC guillamon@eelm.csic.es ou INIA cardaba@inia.es</w:t>
            </w:r>
          </w:p>
        </w:tc>
      </w:tr>
    </w:tbl>
    <w:p w:rsidR="00566048" w:rsidRPr="003C4437" w:rsidRDefault="00566048" w:rsidP="00566048"/>
    <w:p w:rsidR="00566048" w:rsidRPr="003C4437" w:rsidRDefault="00566048" w:rsidP="00566048">
      <w:pPr>
        <w:jc w:val="left"/>
      </w:pPr>
    </w:p>
    <w:p w:rsidR="00566048" w:rsidRPr="003C4437" w:rsidRDefault="00566048" w:rsidP="00566048">
      <w:pPr>
        <w:jc w:val="left"/>
      </w:pPr>
    </w:p>
    <w:p w:rsidR="00566048" w:rsidRPr="003C4437" w:rsidRDefault="00566048" w:rsidP="00566048">
      <w:pPr>
        <w:jc w:val="right"/>
      </w:pPr>
      <w:r w:rsidRPr="003C4437">
        <w:t>[Fin du document]</w:t>
      </w:r>
    </w:p>
    <w:p w:rsidR="00050E16" w:rsidRPr="004B1215" w:rsidRDefault="00050E16" w:rsidP="004B1215"/>
    <w:sectPr w:rsidR="00050E16" w:rsidRPr="004B1215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42C" w:rsidRDefault="00BD642C" w:rsidP="006655D3">
      <w:r>
        <w:separator/>
      </w:r>
    </w:p>
    <w:p w:rsidR="00BD642C" w:rsidRDefault="00BD642C" w:rsidP="006655D3"/>
    <w:p w:rsidR="00BD642C" w:rsidRDefault="00BD642C" w:rsidP="006655D3"/>
  </w:endnote>
  <w:endnote w:type="continuationSeparator" w:id="0">
    <w:p w:rsidR="00BD642C" w:rsidRDefault="00BD642C" w:rsidP="006655D3">
      <w:r>
        <w:separator/>
      </w:r>
    </w:p>
    <w:p w:rsidR="00BD642C" w:rsidRPr="00294751" w:rsidRDefault="00BD642C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BD642C" w:rsidRPr="00294751" w:rsidRDefault="00BD642C" w:rsidP="006655D3"/>
    <w:p w:rsidR="00BD642C" w:rsidRPr="00294751" w:rsidRDefault="00BD642C" w:rsidP="006655D3"/>
  </w:endnote>
  <w:endnote w:type="continuationNotice" w:id="1">
    <w:p w:rsidR="00BD642C" w:rsidRPr="00294751" w:rsidRDefault="00BD642C" w:rsidP="006655D3">
      <w:r w:rsidRPr="00294751">
        <w:t>[Suite de la note page suivante]</w:t>
      </w:r>
    </w:p>
    <w:p w:rsidR="00BD642C" w:rsidRPr="00294751" w:rsidRDefault="00BD642C" w:rsidP="006655D3"/>
    <w:p w:rsidR="00BD642C" w:rsidRPr="00294751" w:rsidRDefault="00BD642C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42C" w:rsidRDefault="00BD642C" w:rsidP="006655D3">
      <w:r>
        <w:separator/>
      </w:r>
    </w:p>
  </w:footnote>
  <w:footnote w:type="continuationSeparator" w:id="0">
    <w:p w:rsidR="00BD642C" w:rsidRDefault="00BD642C" w:rsidP="006655D3">
      <w:r>
        <w:separator/>
      </w:r>
    </w:p>
  </w:footnote>
  <w:footnote w:type="continuationNotice" w:id="1">
    <w:p w:rsidR="00BD642C" w:rsidRPr="00AB530F" w:rsidRDefault="00BD642C" w:rsidP="00AB530F">
      <w:pPr>
        <w:pStyle w:val="Footer"/>
      </w:pPr>
    </w:p>
  </w:footnote>
  <w:footnote w:id="2">
    <w:p w:rsidR="00566048" w:rsidRPr="00B0099F" w:rsidRDefault="00566048" w:rsidP="00566048">
      <w:pPr>
        <w:pStyle w:val="ListParagraph"/>
        <w:spacing w:after="200" w:line="276" w:lineRule="auto"/>
        <w:ind w:left="0"/>
        <w:rPr>
          <w:rFonts w:cs="Arial"/>
          <w:sz w:val="16"/>
        </w:rPr>
      </w:pPr>
      <w:r w:rsidRPr="00B0099F">
        <w:rPr>
          <w:rStyle w:val="FootnoteReference"/>
          <w:sz w:val="16"/>
        </w:rPr>
        <w:footnoteRef/>
      </w:r>
      <w:r w:rsidRPr="00B0099F">
        <w:rPr>
          <w:sz w:val="16"/>
        </w:rPr>
        <w:t xml:space="preserve"> </w:t>
      </w:r>
      <w:r w:rsidRPr="00B0099F">
        <w:rPr>
          <w:sz w:val="16"/>
        </w:rPr>
        <w:tab/>
      </w:r>
      <w:r w:rsidRPr="00B0099F">
        <w:rPr>
          <w:rFonts w:cs="Arial"/>
          <w:sz w:val="16"/>
        </w:rPr>
        <w:t>Source de l’inoculum;  HMS UMA (CSIC) edu_rodri@uma.es;  INIA Cardaba@inia.es.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C53EB3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TC/53</w:t>
    </w:r>
    <w:r w:rsidR="00667404">
      <w:rPr>
        <w:rStyle w:val="PageNumber"/>
        <w:lang w:val="en-US"/>
      </w:rPr>
      <w:t>/</w:t>
    </w:r>
    <w:r w:rsidR="00566048">
      <w:rPr>
        <w:rStyle w:val="PageNumber"/>
        <w:lang w:val="en-US"/>
      </w:rPr>
      <w:t>27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56567D">
      <w:rPr>
        <w:rStyle w:val="PageNumber"/>
        <w:noProof/>
        <w:lang w:val="en-US"/>
      </w:rPr>
      <w:t>5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C297A"/>
    <w:multiLevelType w:val="hybridMultilevel"/>
    <w:tmpl w:val="035C48DC"/>
    <w:lvl w:ilvl="0" w:tplc="2786BE60">
      <w:start w:val="1"/>
      <w:numFmt w:val="lowerRoman"/>
      <w:lvlText w:val="%1)"/>
      <w:lvlJc w:val="left"/>
      <w:pPr>
        <w:ind w:left="1701" w:hanging="567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74C173A3"/>
    <w:multiLevelType w:val="hybridMultilevel"/>
    <w:tmpl w:val="7D441680"/>
    <w:lvl w:ilvl="0" w:tplc="040C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42C"/>
    <w:rsid w:val="00010CF3"/>
    <w:rsid w:val="00011E27"/>
    <w:rsid w:val="000148BC"/>
    <w:rsid w:val="00024AB8"/>
    <w:rsid w:val="00030854"/>
    <w:rsid w:val="0003105F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F3D68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5A7F"/>
    <w:rsid w:val="003152FE"/>
    <w:rsid w:val="00327436"/>
    <w:rsid w:val="00337C0A"/>
    <w:rsid w:val="00344BD6"/>
    <w:rsid w:val="0035084F"/>
    <w:rsid w:val="0035528D"/>
    <w:rsid w:val="00361821"/>
    <w:rsid w:val="00361E9E"/>
    <w:rsid w:val="003C7FBE"/>
    <w:rsid w:val="003D227C"/>
    <w:rsid w:val="003D2B4D"/>
    <w:rsid w:val="0040557F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45E42"/>
    <w:rsid w:val="0055268D"/>
    <w:rsid w:val="0056567D"/>
    <w:rsid w:val="00566048"/>
    <w:rsid w:val="00576BE4"/>
    <w:rsid w:val="005A400A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87EE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A3E5E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4C55"/>
    <w:rsid w:val="00867AC1"/>
    <w:rsid w:val="00890DF8"/>
    <w:rsid w:val="008A743F"/>
    <w:rsid w:val="008C0970"/>
    <w:rsid w:val="008D0BC5"/>
    <w:rsid w:val="008D2CF7"/>
    <w:rsid w:val="00900C26"/>
    <w:rsid w:val="0090197F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A216F2"/>
    <w:rsid w:val="00A24C10"/>
    <w:rsid w:val="00A42AC3"/>
    <w:rsid w:val="00A430CF"/>
    <w:rsid w:val="00A54309"/>
    <w:rsid w:val="00A706D3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C127D"/>
    <w:rsid w:val="00BC1FE6"/>
    <w:rsid w:val="00BD642C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6D3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A706D3"/>
    <w:pPr>
      <w:spacing w:before="60"/>
      <w:ind w:left="567" w:hanging="567"/>
      <w:jc w:val="both"/>
    </w:pPr>
    <w:rPr>
      <w:rFonts w:ascii="Arial" w:hAnsi="Arial"/>
      <w:sz w:val="16"/>
      <w:lang w:val="fr-FR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1F3D68"/>
    <w:pPr>
      <w:spacing w:after="600"/>
    </w:pPr>
    <w:rPr>
      <w:rFonts w:ascii="Arial" w:hAnsi="Arial"/>
      <w:i/>
      <w:iCs/>
      <w:color w:val="A6A6A6" w:themeColor="background1" w:themeShade="A6"/>
      <w:lang w:val="fr-FR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1F3D68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99"/>
    <w:qFormat/>
    <w:rsid w:val="00566048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5660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rsid w:val="00566048"/>
    <w:pPr>
      <w:spacing w:before="80" w:after="80"/>
      <w:jc w:val="left"/>
    </w:pPr>
    <w:rPr>
      <w:sz w:val="16"/>
    </w:rPr>
  </w:style>
  <w:style w:type="paragraph" w:customStyle="1" w:styleId="Normaltb">
    <w:name w:val="Normaltb"/>
    <w:basedOn w:val="Normalt"/>
    <w:rsid w:val="00566048"/>
    <w:pPr>
      <w:keepNext/>
    </w:pPr>
    <w:rPr>
      <w:b/>
      <w:bCs/>
    </w:rPr>
  </w:style>
  <w:style w:type="table" w:styleId="TableGrid">
    <w:name w:val="Table Grid"/>
    <w:basedOn w:val="TableNormal"/>
    <w:rsid w:val="00566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6D3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A706D3"/>
    <w:pPr>
      <w:spacing w:before="60"/>
      <w:ind w:left="567" w:hanging="567"/>
      <w:jc w:val="both"/>
    </w:pPr>
    <w:rPr>
      <w:rFonts w:ascii="Arial" w:hAnsi="Arial"/>
      <w:sz w:val="16"/>
      <w:lang w:val="fr-FR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1F3D68"/>
    <w:pPr>
      <w:spacing w:after="600"/>
    </w:pPr>
    <w:rPr>
      <w:rFonts w:ascii="Arial" w:hAnsi="Arial"/>
      <w:i/>
      <w:iCs/>
      <w:color w:val="A6A6A6" w:themeColor="background1" w:themeShade="A6"/>
      <w:lang w:val="fr-FR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1F3D68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99"/>
    <w:qFormat/>
    <w:rsid w:val="00566048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5660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rsid w:val="00566048"/>
    <w:pPr>
      <w:spacing w:before="80" w:after="80"/>
      <w:jc w:val="left"/>
    </w:pPr>
    <w:rPr>
      <w:sz w:val="16"/>
    </w:rPr>
  </w:style>
  <w:style w:type="paragraph" w:customStyle="1" w:styleId="Normaltb">
    <w:name w:val="Normaltb"/>
    <w:basedOn w:val="Normalt"/>
    <w:rsid w:val="00566048"/>
    <w:pPr>
      <w:keepNext/>
    </w:pPr>
    <w:rPr>
      <w:b/>
      <w:bCs/>
    </w:rPr>
  </w:style>
  <w:style w:type="table" w:styleId="TableGrid">
    <w:name w:val="Table Grid"/>
    <w:basedOn w:val="TableNormal"/>
    <w:rsid w:val="00566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3\templates\TC_53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TC_53_FR</Template>
  <TotalTime>3</TotalTime>
  <Pages>5</Pages>
  <Words>1704</Words>
  <Characters>9847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TC/53</vt:lpstr>
    </vt:vector>
  </TitlesOfParts>
  <Company>UPOV</Company>
  <LinksUpToDate>false</LinksUpToDate>
  <CharactersWithSpaces>11528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TC/53</dc:title>
  <dc:creator>OERTEL Romy</dc:creator>
  <cp:lastModifiedBy>GIACHINO Erika</cp:lastModifiedBy>
  <cp:revision>9</cp:revision>
  <cp:lastPrinted>2016-11-22T15:41:00Z</cp:lastPrinted>
  <dcterms:created xsi:type="dcterms:W3CDTF">2017-03-07T11:39:00Z</dcterms:created>
  <dcterms:modified xsi:type="dcterms:W3CDTF">2017-03-10T08:36:00Z</dcterms:modified>
</cp:coreProperties>
</file>