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143C1" w:rsidRPr="00B357D7" w:rsidTr="00BB7735">
        <w:tc>
          <w:tcPr>
            <w:tcW w:w="6522" w:type="dxa"/>
          </w:tcPr>
          <w:p w:rsidR="009143C1" w:rsidRPr="00B357D7" w:rsidRDefault="009143C1" w:rsidP="00F56A94">
            <w:pPr>
              <w:rPr>
                <w:lang w:val="fr-FR"/>
              </w:rPr>
            </w:pPr>
            <w:bookmarkStart w:id="0" w:name="TitleOfDoc"/>
            <w:bookmarkEnd w:id="0"/>
            <w:r w:rsidRPr="00B357D7">
              <w:rPr>
                <w:noProof/>
              </w:rPr>
              <w:drawing>
                <wp:inline distT="0" distB="0" distL="0" distR="0" wp14:anchorId="74DC9A23" wp14:editId="4E12241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143C1" w:rsidRPr="00B357D7" w:rsidRDefault="009143C1" w:rsidP="00F56A94">
            <w:pPr>
              <w:pStyle w:val="Lettrine"/>
              <w:spacing w:line="240" w:lineRule="auto"/>
              <w:rPr>
                <w:lang w:val="fr-FR"/>
              </w:rPr>
            </w:pPr>
            <w:r w:rsidRPr="00B357D7">
              <w:rPr>
                <w:lang w:val="fr-FR"/>
              </w:rPr>
              <w:t>F</w:t>
            </w:r>
          </w:p>
        </w:tc>
      </w:tr>
      <w:tr w:rsidR="009143C1" w:rsidRPr="00110CFB" w:rsidTr="00BB7735">
        <w:trPr>
          <w:trHeight w:val="219"/>
        </w:trPr>
        <w:tc>
          <w:tcPr>
            <w:tcW w:w="6522" w:type="dxa"/>
          </w:tcPr>
          <w:p w:rsidR="009143C1" w:rsidRPr="00B357D7" w:rsidRDefault="009143C1" w:rsidP="00F56A94">
            <w:pPr>
              <w:pStyle w:val="upove"/>
              <w:rPr>
                <w:lang w:val="fr-FR"/>
              </w:rPr>
            </w:pPr>
            <w:r w:rsidRPr="00B357D7">
              <w:rPr>
                <w:lang w:val="fr-FR"/>
              </w:rPr>
              <w:t>Union internationale pour la protection des obtentions végétales</w:t>
            </w:r>
          </w:p>
        </w:tc>
        <w:tc>
          <w:tcPr>
            <w:tcW w:w="3117" w:type="dxa"/>
          </w:tcPr>
          <w:p w:rsidR="009143C1" w:rsidRPr="00B357D7" w:rsidRDefault="009143C1" w:rsidP="00F56A94">
            <w:pPr>
              <w:rPr>
                <w:lang w:val="fr-FR"/>
              </w:rPr>
            </w:pPr>
          </w:p>
        </w:tc>
      </w:tr>
    </w:tbl>
    <w:p w:rsidR="009143C1" w:rsidRPr="00B357D7" w:rsidRDefault="009143C1" w:rsidP="00F56A94">
      <w:pPr>
        <w:rPr>
          <w:lang w:val="fr-FR"/>
        </w:rPr>
      </w:pPr>
    </w:p>
    <w:p w:rsidR="009143C1" w:rsidRPr="00B357D7" w:rsidRDefault="009143C1" w:rsidP="00F56A9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143C1" w:rsidRPr="00110CFB" w:rsidTr="00BB7735">
        <w:tc>
          <w:tcPr>
            <w:tcW w:w="6512" w:type="dxa"/>
          </w:tcPr>
          <w:p w:rsidR="009143C1" w:rsidRPr="00B357D7" w:rsidRDefault="009143C1" w:rsidP="00F56A94">
            <w:pPr>
              <w:pStyle w:val="Sessiontc"/>
              <w:spacing w:line="240" w:lineRule="auto"/>
              <w:rPr>
                <w:lang w:val="fr-FR"/>
              </w:rPr>
            </w:pPr>
            <w:r w:rsidRPr="00B357D7">
              <w:rPr>
                <w:lang w:val="fr-FR"/>
              </w:rPr>
              <w:t>Comité technique</w:t>
            </w:r>
          </w:p>
          <w:p w:rsidR="009143C1" w:rsidRPr="00B357D7" w:rsidRDefault="009143C1" w:rsidP="00F56A94">
            <w:pPr>
              <w:pStyle w:val="Sessiontcplacedate"/>
              <w:rPr>
                <w:sz w:val="22"/>
                <w:lang w:val="fr-FR"/>
              </w:rPr>
            </w:pPr>
            <w:r w:rsidRPr="00B357D7">
              <w:rPr>
                <w:lang w:val="fr-FR"/>
              </w:rPr>
              <w:t>Cinquante</w:t>
            </w:r>
            <w:r w:rsidR="00F56A94">
              <w:rPr>
                <w:lang w:val="fr-FR"/>
              </w:rPr>
              <w:noBreakHyphen/>
            </w:r>
            <w:r w:rsidRPr="00B357D7">
              <w:rPr>
                <w:lang w:val="fr-FR"/>
              </w:rPr>
              <w:t>troisième session</w:t>
            </w:r>
            <w:r w:rsidRPr="00B357D7">
              <w:rPr>
                <w:lang w:val="fr-FR"/>
              </w:rPr>
              <w:br/>
              <w:t>Genève, 3</w:t>
            </w:r>
            <w:r w:rsidR="00F56A94">
              <w:rPr>
                <w:lang w:val="fr-FR"/>
              </w:rPr>
              <w:noBreakHyphen/>
            </w:r>
            <w:r w:rsidRPr="00B357D7">
              <w:rPr>
                <w:lang w:val="fr-FR"/>
              </w:rPr>
              <w:t>5 avril 2017</w:t>
            </w:r>
          </w:p>
        </w:tc>
        <w:tc>
          <w:tcPr>
            <w:tcW w:w="3127" w:type="dxa"/>
          </w:tcPr>
          <w:p w:rsidR="009143C1" w:rsidRPr="00B357D7" w:rsidRDefault="009143C1" w:rsidP="00F56A94">
            <w:pPr>
              <w:pStyle w:val="Doccode"/>
              <w:rPr>
                <w:lang w:val="fr-FR"/>
              </w:rPr>
            </w:pPr>
            <w:r w:rsidRPr="00B357D7">
              <w:rPr>
                <w:lang w:val="fr-FR"/>
              </w:rPr>
              <w:t>TC/53/23</w:t>
            </w:r>
          </w:p>
          <w:p w:rsidR="009143C1" w:rsidRPr="00B357D7" w:rsidRDefault="009143C1" w:rsidP="00F56A94">
            <w:pPr>
              <w:pStyle w:val="Docoriginal"/>
              <w:spacing w:line="240" w:lineRule="auto"/>
              <w:rPr>
                <w:lang w:val="fr-FR"/>
              </w:rPr>
            </w:pPr>
            <w:r w:rsidRPr="00B357D7">
              <w:rPr>
                <w:lang w:val="fr-FR"/>
              </w:rPr>
              <w:t>Original :</w:t>
            </w:r>
            <w:r w:rsidRPr="00B357D7">
              <w:rPr>
                <w:b w:val="0"/>
                <w:spacing w:val="0"/>
                <w:lang w:val="fr-FR"/>
              </w:rPr>
              <w:t xml:space="preserve"> anglais</w:t>
            </w:r>
          </w:p>
          <w:p w:rsidR="009143C1" w:rsidRPr="00B357D7" w:rsidRDefault="009143C1" w:rsidP="00F56A94">
            <w:pPr>
              <w:pStyle w:val="Docoriginal"/>
              <w:spacing w:line="240" w:lineRule="auto"/>
              <w:rPr>
                <w:lang w:val="fr-FR"/>
              </w:rPr>
            </w:pPr>
            <w:r w:rsidRPr="00B357D7">
              <w:rPr>
                <w:lang w:val="fr-FR"/>
              </w:rPr>
              <w:t>Date </w:t>
            </w:r>
            <w:r w:rsidRPr="00BC20F5">
              <w:rPr>
                <w:lang w:val="fr-FR"/>
              </w:rPr>
              <w:t>:</w:t>
            </w:r>
            <w:r w:rsidRPr="00BC20F5">
              <w:rPr>
                <w:b w:val="0"/>
                <w:spacing w:val="0"/>
                <w:lang w:val="fr-FR"/>
              </w:rPr>
              <w:t xml:space="preserve"> 11 février 2017</w:t>
            </w:r>
          </w:p>
        </w:tc>
      </w:tr>
    </w:tbl>
    <w:p w:rsidR="009143C1" w:rsidRPr="00B357D7" w:rsidRDefault="00134170" w:rsidP="00F56A94">
      <w:pPr>
        <w:pStyle w:val="Titleofdoc0"/>
        <w:tabs>
          <w:tab w:val="left" w:pos="5760"/>
        </w:tabs>
        <w:rPr>
          <w:lang w:val="fr-FR"/>
        </w:rPr>
      </w:pPr>
      <w:r w:rsidRPr="00B357D7">
        <w:rPr>
          <w:lang w:val="fr-FR"/>
        </w:rPr>
        <w:t>Élaboration de seuils calculés aux fins d</w:t>
      </w:r>
      <w:r w:rsidR="009143C1" w:rsidRPr="00B357D7">
        <w:rPr>
          <w:lang w:val="fr-FR"/>
        </w:rPr>
        <w:t>’</w:t>
      </w:r>
      <w:r w:rsidRPr="00B357D7">
        <w:rPr>
          <w:lang w:val="fr-FR"/>
        </w:rPr>
        <w:t>exclusion des variétés notoirement connues du second cycle de végétation lorsque l</w:t>
      </w:r>
      <w:r w:rsidR="009143C1" w:rsidRPr="00B357D7">
        <w:rPr>
          <w:lang w:val="fr-FR"/>
        </w:rPr>
        <w:t>’</w:t>
      </w:r>
      <w:r w:rsidRPr="00B357D7">
        <w:rPr>
          <w:lang w:val="fr-FR"/>
        </w:rPr>
        <w:t>on applique la méthode COYD</w:t>
      </w:r>
    </w:p>
    <w:p w:rsidR="00AA7D33" w:rsidRPr="00B357D7" w:rsidRDefault="00134170" w:rsidP="00F56A94">
      <w:pPr>
        <w:pStyle w:val="preparedby1"/>
        <w:jc w:val="left"/>
        <w:rPr>
          <w:lang w:val="fr-FR"/>
        </w:rPr>
      </w:pPr>
      <w:bookmarkStart w:id="1" w:name="Prepared"/>
      <w:bookmarkEnd w:id="1"/>
      <w:r w:rsidRPr="00B357D7">
        <w:rPr>
          <w:lang w:val="fr-FR"/>
        </w:rPr>
        <w:t>Document établi par le Bureau de l</w:t>
      </w:r>
      <w:r w:rsidR="009143C1" w:rsidRPr="00B357D7">
        <w:rPr>
          <w:lang w:val="fr-FR"/>
        </w:rPr>
        <w:t>’</w:t>
      </w:r>
      <w:r w:rsidRPr="00B357D7">
        <w:rPr>
          <w:lang w:val="fr-FR"/>
        </w:rPr>
        <w:t>Union</w:t>
      </w:r>
    </w:p>
    <w:p w:rsidR="00AA7D33" w:rsidRPr="008A18FF" w:rsidRDefault="00134170" w:rsidP="00F56A94">
      <w:pPr>
        <w:pStyle w:val="Disclaimer"/>
        <w:rPr>
          <w:lang w:val="fr-FR"/>
        </w:rPr>
      </w:pPr>
      <w:r w:rsidRPr="008A18FF">
        <w:rPr>
          <w:lang w:val="fr-FR"/>
        </w:rPr>
        <w:t>Avertissement</w:t>
      </w:r>
      <w:r w:rsidR="009143C1" w:rsidRPr="008A18FF">
        <w:rPr>
          <w:lang w:val="fr-FR"/>
        </w:rPr>
        <w:t> :</w:t>
      </w:r>
      <w:r w:rsidRPr="008A18FF">
        <w:rPr>
          <w:lang w:val="fr-FR"/>
        </w:rPr>
        <w:t xml:space="preserve"> le présent document ne représente pas les principes ou les orientations de l</w:t>
      </w:r>
      <w:r w:rsidR="009143C1" w:rsidRPr="008A18FF">
        <w:rPr>
          <w:lang w:val="fr-FR"/>
        </w:rPr>
        <w:t>’</w:t>
      </w:r>
      <w:r w:rsidRPr="008A18FF">
        <w:rPr>
          <w:lang w:val="fr-FR"/>
        </w:rPr>
        <w:t>UPOV</w:t>
      </w:r>
    </w:p>
    <w:p w:rsidR="00AA7D33" w:rsidRPr="00B357D7" w:rsidRDefault="00C4606D" w:rsidP="00BC20F5">
      <w:pPr>
        <w:pStyle w:val="Heading1"/>
        <w:rPr>
          <w:lang w:val="fr-FR"/>
        </w:rPr>
      </w:pPr>
      <w:bookmarkStart w:id="2" w:name="_Toc475953032"/>
      <w:r w:rsidRPr="00B357D7">
        <w:rPr>
          <w:lang w:val="fr-FR"/>
        </w:rPr>
        <w:t>RÉSUMÉ</w:t>
      </w:r>
      <w:bookmarkEnd w:id="2"/>
    </w:p>
    <w:p w:rsidR="00AA7D33" w:rsidRPr="00B357D7" w:rsidRDefault="00AA7D33" w:rsidP="00F56A94">
      <w:pPr>
        <w:rPr>
          <w:lang w:val="fr-FR"/>
        </w:rPr>
      </w:pPr>
    </w:p>
    <w:p w:rsidR="00AA7D33" w:rsidRPr="00B357D7" w:rsidRDefault="002B5749" w:rsidP="00F56A94">
      <w:pPr>
        <w:rPr>
          <w:lang w:val="fr-FR"/>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rPr>
        <w:tab/>
      </w:r>
      <w:r w:rsidR="00134170" w:rsidRPr="00B357D7">
        <w:rPr>
          <w:lang w:val="fr-FR"/>
        </w:rPr>
        <w:t>L</w:t>
      </w:r>
      <w:r w:rsidR="00C4606D" w:rsidRPr="00B357D7">
        <w:rPr>
          <w:lang w:val="fr-FR"/>
        </w:rPr>
        <w:t xml:space="preserve">e </w:t>
      </w:r>
      <w:r w:rsidR="00134170" w:rsidRPr="00B357D7">
        <w:rPr>
          <w:lang w:val="fr-FR"/>
        </w:rPr>
        <w:t xml:space="preserve">présent document </w:t>
      </w:r>
      <w:r w:rsidR="00C4606D" w:rsidRPr="00B357D7">
        <w:rPr>
          <w:lang w:val="fr-FR"/>
        </w:rPr>
        <w:t>a pour objet</w:t>
      </w:r>
      <w:r w:rsidR="00134170" w:rsidRPr="00B357D7">
        <w:rPr>
          <w:lang w:val="fr-FR"/>
        </w:rPr>
        <w:t xml:space="preserve"> de rendre compte de l</w:t>
      </w:r>
      <w:r w:rsidR="009143C1" w:rsidRPr="00B357D7">
        <w:rPr>
          <w:lang w:val="fr-FR"/>
        </w:rPr>
        <w:t>’</w:t>
      </w:r>
      <w:r w:rsidR="00134170" w:rsidRPr="00B357D7">
        <w:rPr>
          <w:lang w:val="fr-FR"/>
        </w:rPr>
        <w:t>évolution des travaux concernant l</w:t>
      </w:r>
      <w:r w:rsidR="009143C1" w:rsidRPr="00B357D7">
        <w:rPr>
          <w:lang w:val="fr-FR"/>
        </w:rPr>
        <w:t>’</w:t>
      </w:r>
      <w:r w:rsidR="00134170" w:rsidRPr="00B357D7">
        <w:rPr>
          <w:lang w:val="fr-FR"/>
        </w:rPr>
        <w:t>élaboration de seuils calculés aux fins d</w:t>
      </w:r>
      <w:r w:rsidR="009143C1" w:rsidRPr="00B357D7">
        <w:rPr>
          <w:lang w:val="fr-FR"/>
        </w:rPr>
        <w:t>’</w:t>
      </w:r>
      <w:r w:rsidR="00134170" w:rsidRPr="00B357D7">
        <w:rPr>
          <w:lang w:val="fr-FR"/>
        </w:rPr>
        <w:t>exclusion des variétés notoirement connues du second cycle de végétation lorsque l</w:t>
      </w:r>
      <w:r w:rsidR="009143C1" w:rsidRPr="00B357D7">
        <w:rPr>
          <w:lang w:val="fr-FR"/>
        </w:rPr>
        <w:t>’</w:t>
      </w:r>
      <w:r w:rsidR="00134170" w:rsidRPr="00B357D7">
        <w:rPr>
          <w:lang w:val="fr-FR"/>
        </w:rPr>
        <w:t>on applique la méthode COYD.</w:t>
      </w:r>
    </w:p>
    <w:p w:rsidR="00AA7D33" w:rsidRPr="00B357D7" w:rsidRDefault="00AA7D33" w:rsidP="00F56A94">
      <w:pPr>
        <w:rPr>
          <w:lang w:val="fr-FR"/>
        </w:rPr>
      </w:pPr>
    </w:p>
    <w:p w:rsidR="00AA7D33" w:rsidRPr="00B357D7" w:rsidRDefault="00EA41E2" w:rsidP="00F56A94">
      <w:pPr>
        <w:tabs>
          <w:tab w:val="left" w:pos="567"/>
          <w:tab w:val="left" w:pos="1134"/>
          <w:tab w:val="left" w:pos="5387"/>
        </w:tabs>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134170" w:rsidRPr="00B357D7">
        <w:rPr>
          <w:lang w:val="fr-FR" w:eastAsia="ja-JP"/>
        </w:rPr>
        <w:t>Le</w:t>
      </w:r>
      <w:r w:rsidR="009143C1" w:rsidRPr="00B357D7">
        <w:rPr>
          <w:lang w:val="fr-FR" w:eastAsia="ja-JP"/>
        </w:rPr>
        <w:t> TC</w:t>
      </w:r>
      <w:r w:rsidR="00134170" w:rsidRPr="00B357D7">
        <w:rPr>
          <w:lang w:val="fr-FR" w:eastAsia="ja-JP"/>
        </w:rPr>
        <w:t xml:space="preserve"> est invité</w:t>
      </w:r>
      <w:r w:rsidR="00BC20F5">
        <w:rPr>
          <w:lang w:val="fr-FR" w:eastAsia="ja-JP"/>
        </w:rPr>
        <w:t xml:space="preserve"> à :</w:t>
      </w:r>
    </w:p>
    <w:p w:rsidR="00AA7D33" w:rsidRPr="00B357D7" w:rsidRDefault="00AA7D33" w:rsidP="00F56A94">
      <w:pPr>
        <w:tabs>
          <w:tab w:val="left" w:pos="567"/>
          <w:tab w:val="left" w:pos="1134"/>
        </w:tabs>
        <w:rPr>
          <w:lang w:val="fr-FR" w:eastAsia="ja-JP"/>
        </w:rPr>
      </w:pPr>
    </w:p>
    <w:p w:rsidR="009143C1" w:rsidRPr="00B357D7" w:rsidRDefault="00134170" w:rsidP="00F56A94">
      <w:pPr>
        <w:tabs>
          <w:tab w:val="left" w:pos="567"/>
          <w:tab w:val="left" w:pos="1134"/>
          <w:tab w:val="left" w:pos="5954"/>
        </w:tabs>
        <w:ind w:firstLine="567"/>
        <w:rPr>
          <w:lang w:val="fr-FR" w:eastAsia="ja-JP"/>
        </w:rPr>
      </w:pPr>
      <w:r w:rsidRPr="00B357D7">
        <w:rPr>
          <w:lang w:val="fr-FR" w:eastAsia="ja-JP"/>
        </w:rPr>
        <w:t>a)</w:t>
      </w:r>
      <w:r w:rsidRPr="00B357D7">
        <w:rPr>
          <w:lang w:val="fr-FR" w:eastAsia="ja-JP"/>
        </w:rPr>
        <w:tab/>
        <w:t>examiner les renseignements fournis par les experts du Royaume</w:t>
      </w:r>
      <w:r w:rsidR="00F56A94">
        <w:rPr>
          <w:lang w:val="fr-FR" w:eastAsia="ja-JP"/>
        </w:rPr>
        <w:noBreakHyphen/>
      </w:r>
      <w:r w:rsidRPr="00B357D7">
        <w:rPr>
          <w:lang w:val="fr-FR" w:eastAsia="ja-JP"/>
        </w:rPr>
        <w:t>Uni, qui figurent à l</w:t>
      </w:r>
      <w:r w:rsidR="009143C1" w:rsidRPr="00B357D7">
        <w:rPr>
          <w:lang w:val="fr-FR" w:eastAsia="ja-JP"/>
        </w:rPr>
        <w:t>’</w:t>
      </w:r>
      <w:r w:rsidR="00BC20F5">
        <w:rPr>
          <w:lang w:val="fr-FR" w:eastAsia="ja-JP"/>
        </w:rPr>
        <w:t>annexe du présent document;</w:t>
      </w:r>
    </w:p>
    <w:p w:rsidR="00AA7D33" w:rsidRPr="00B357D7" w:rsidRDefault="00AA7D33" w:rsidP="00F56A94">
      <w:pPr>
        <w:tabs>
          <w:tab w:val="left" w:pos="567"/>
          <w:tab w:val="left" w:pos="1134"/>
          <w:tab w:val="left" w:pos="5954"/>
        </w:tabs>
        <w:ind w:firstLine="567"/>
        <w:rPr>
          <w:lang w:val="fr-FR" w:eastAsia="ja-JP"/>
        </w:rPr>
      </w:pPr>
    </w:p>
    <w:p w:rsidR="00AA7D33" w:rsidRPr="00B357D7" w:rsidRDefault="00881FDA" w:rsidP="00F56A94">
      <w:pPr>
        <w:tabs>
          <w:tab w:val="left" w:pos="567"/>
          <w:tab w:val="left" w:pos="1134"/>
          <w:tab w:val="left" w:pos="5954"/>
        </w:tabs>
        <w:ind w:firstLine="567"/>
        <w:rPr>
          <w:lang w:val="fr-FR" w:eastAsia="ja-JP"/>
        </w:rPr>
      </w:pPr>
      <w:r w:rsidRPr="00B357D7">
        <w:rPr>
          <w:lang w:val="fr-FR" w:eastAsia="ja-JP"/>
        </w:rPr>
        <w:t>b)</w:t>
      </w:r>
      <w:r w:rsidRPr="00B357D7">
        <w:rPr>
          <w:lang w:val="fr-FR" w:eastAsia="ja-JP"/>
        </w:rPr>
        <w:tab/>
        <w:t>noter qu</w:t>
      </w:r>
      <w:r w:rsidR="009143C1" w:rsidRPr="00B357D7">
        <w:rPr>
          <w:lang w:val="fr-FR" w:eastAsia="ja-JP"/>
        </w:rPr>
        <w:t>’</w:t>
      </w:r>
      <w:r w:rsidRPr="00B357D7">
        <w:rPr>
          <w:lang w:val="fr-FR" w:eastAsia="ja-JP"/>
        </w:rPr>
        <w:t xml:space="preserve">il est proposé de </w:t>
      </w:r>
      <w:r w:rsidR="00C4606D" w:rsidRPr="00B357D7">
        <w:rPr>
          <w:lang w:val="fr-FR" w:eastAsia="ja-JP"/>
        </w:rPr>
        <w:t>rendre compte de l</w:t>
      </w:r>
      <w:r w:rsidR="009143C1" w:rsidRPr="00B357D7">
        <w:rPr>
          <w:lang w:val="fr-FR" w:eastAsia="ja-JP"/>
        </w:rPr>
        <w:t>’</w:t>
      </w:r>
      <w:r w:rsidR="00C4606D" w:rsidRPr="00B357D7">
        <w:rPr>
          <w:lang w:val="fr-FR" w:eastAsia="ja-JP"/>
        </w:rPr>
        <w:t>évolution des travaux</w:t>
      </w:r>
      <w:r w:rsidRPr="00B357D7">
        <w:rPr>
          <w:lang w:val="fr-FR" w:eastAsia="ja-JP"/>
        </w:rPr>
        <w:t xml:space="preserve"> </w:t>
      </w:r>
      <w:r w:rsidR="002C6251" w:rsidRPr="00B357D7">
        <w:rPr>
          <w:lang w:val="fr-FR" w:eastAsia="ja-JP"/>
        </w:rPr>
        <w:t>concernant</w:t>
      </w:r>
      <w:r w:rsidRPr="00B357D7">
        <w:rPr>
          <w:lang w:val="fr-FR" w:eastAsia="ja-JP"/>
        </w:rPr>
        <w:t xml:space="preserve"> les seuils calculés aux fins d</w:t>
      </w:r>
      <w:r w:rsidR="009143C1" w:rsidRPr="00B357D7">
        <w:rPr>
          <w:lang w:val="fr-FR" w:eastAsia="ja-JP"/>
        </w:rPr>
        <w:t>’</w:t>
      </w:r>
      <w:r w:rsidRPr="00B357D7">
        <w:rPr>
          <w:lang w:val="fr-FR" w:eastAsia="ja-JP"/>
        </w:rPr>
        <w:t>exclusion des variétés notoirement connues du second cycle de végétation lorsque l</w:t>
      </w:r>
      <w:r w:rsidR="009143C1" w:rsidRPr="00B357D7">
        <w:rPr>
          <w:lang w:val="fr-FR" w:eastAsia="ja-JP"/>
        </w:rPr>
        <w:t>’</w:t>
      </w:r>
      <w:r w:rsidRPr="00B357D7">
        <w:rPr>
          <w:lang w:val="fr-FR" w:eastAsia="ja-JP"/>
        </w:rPr>
        <w:t xml:space="preserve">on applique la méthode COYD, </w:t>
      </w:r>
      <w:r w:rsidR="00392C67" w:rsidRPr="00B357D7">
        <w:rPr>
          <w:lang w:val="fr-FR" w:eastAsia="ja-JP"/>
        </w:rPr>
        <w:t>à la trente</w:t>
      </w:r>
      <w:r w:rsidR="00F56A94">
        <w:rPr>
          <w:lang w:val="fr-FR" w:eastAsia="ja-JP"/>
        </w:rPr>
        <w:noBreakHyphen/>
      </w:r>
      <w:r w:rsidR="00392C67" w:rsidRPr="00B357D7">
        <w:rPr>
          <w:lang w:val="fr-FR" w:eastAsia="ja-JP"/>
        </w:rPr>
        <w:t>cinqu</w:t>
      </w:r>
      <w:r w:rsidR="009143C1" w:rsidRPr="00B357D7">
        <w:rPr>
          <w:lang w:val="fr-FR" w:eastAsia="ja-JP"/>
        </w:rPr>
        <w:t>ième session du TWC</w:t>
      </w:r>
      <w:r w:rsidR="00BC20F5">
        <w:rPr>
          <w:lang w:val="fr-FR" w:eastAsia="ja-JP"/>
        </w:rPr>
        <w:t>;</w:t>
      </w:r>
      <w:r w:rsidR="00392C67" w:rsidRPr="00B357D7">
        <w:rPr>
          <w:lang w:val="fr-FR" w:eastAsia="ja-JP"/>
        </w:rPr>
        <w:t xml:space="preserve"> </w:t>
      </w:r>
      <w:r w:rsidR="00BC20F5">
        <w:rPr>
          <w:lang w:val="fr-FR" w:eastAsia="ja-JP"/>
        </w:rPr>
        <w:t xml:space="preserve"> </w:t>
      </w:r>
      <w:r w:rsidRPr="00B357D7">
        <w:rPr>
          <w:lang w:val="fr-FR" w:eastAsia="ja-JP"/>
        </w:rPr>
        <w:t>et</w:t>
      </w:r>
    </w:p>
    <w:p w:rsidR="00AA7D33" w:rsidRPr="00B357D7" w:rsidRDefault="00AA7D33" w:rsidP="00F56A94">
      <w:pPr>
        <w:tabs>
          <w:tab w:val="left" w:pos="567"/>
          <w:tab w:val="left" w:pos="1134"/>
          <w:tab w:val="left" w:pos="5954"/>
        </w:tabs>
        <w:ind w:firstLine="567"/>
        <w:rPr>
          <w:lang w:val="fr-FR" w:eastAsia="ja-JP"/>
        </w:rPr>
      </w:pPr>
    </w:p>
    <w:p w:rsidR="009143C1" w:rsidRPr="00B357D7" w:rsidRDefault="00881FDA" w:rsidP="00F56A94">
      <w:pPr>
        <w:tabs>
          <w:tab w:val="left" w:pos="567"/>
          <w:tab w:val="left" w:pos="1134"/>
          <w:tab w:val="left" w:pos="5954"/>
        </w:tabs>
        <w:ind w:firstLine="567"/>
        <w:rPr>
          <w:lang w:val="fr-FR" w:eastAsia="ja-JP"/>
        </w:rPr>
      </w:pPr>
      <w:r w:rsidRPr="00B357D7">
        <w:rPr>
          <w:lang w:val="fr-FR" w:eastAsia="ja-JP"/>
        </w:rPr>
        <w:t>c)</w:t>
      </w:r>
      <w:r w:rsidRPr="00B357D7">
        <w:rPr>
          <w:lang w:val="fr-FR" w:eastAsia="ja-JP"/>
        </w:rPr>
        <w:tab/>
        <w:t>noter qu</w:t>
      </w:r>
      <w:r w:rsidR="009143C1" w:rsidRPr="00B357D7">
        <w:rPr>
          <w:lang w:val="fr-FR" w:eastAsia="ja-JP"/>
        </w:rPr>
        <w:t>’</w:t>
      </w:r>
      <w:r w:rsidRPr="00B357D7">
        <w:rPr>
          <w:lang w:val="fr-FR" w:eastAsia="ja-JP"/>
        </w:rPr>
        <w:t>un exposé sur l</w:t>
      </w:r>
      <w:r w:rsidR="009143C1" w:rsidRPr="00B357D7">
        <w:rPr>
          <w:lang w:val="fr-FR" w:eastAsia="ja-JP"/>
        </w:rPr>
        <w:t>’</w:t>
      </w:r>
      <w:r w:rsidRPr="00B357D7">
        <w:rPr>
          <w:lang w:val="fr-FR" w:eastAsia="ja-JP"/>
        </w:rPr>
        <w:t>exclusion des variétés notoirement connues du second cycle de végétation lorsque l</w:t>
      </w:r>
      <w:r w:rsidR="009143C1" w:rsidRPr="00B357D7">
        <w:rPr>
          <w:lang w:val="fr-FR" w:eastAsia="ja-JP"/>
        </w:rPr>
        <w:t>’</w:t>
      </w:r>
      <w:r w:rsidRPr="00B357D7">
        <w:rPr>
          <w:lang w:val="fr-FR" w:eastAsia="ja-JP"/>
        </w:rPr>
        <w:t>on applique la m</w:t>
      </w:r>
      <w:r w:rsidR="00392C67" w:rsidRPr="00B357D7">
        <w:rPr>
          <w:lang w:val="fr-FR" w:eastAsia="ja-JP"/>
        </w:rPr>
        <w:t>éthode COYD sera présenté par des experts du</w:t>
      </w:r>
      <w:r w:rsidRPr="00B357D7">
        <w:rPr>
          <w:lang w:val="fr-FR" w:eastAsia="ja-JP"/>
        </w:rPr>
        <w:t xml:space="preserve"> Royaume</w:t>
      </w:r>
      <w:r w:rsidR="00F56A94">
        <w:rPr>
          <w:lang w:val="fr-FR" w:eastAsia="ja-JP"/>
        </w:rPr>
        <w:noBreakHyphen/>
      </w:r>
      <w:r w:rsidRPr="00B357D7">
        <w:rPr>
          <w:lang w:val="fr-FR" w:eastAsia="ja-JP"/>
        </w:rPr>
        <w:t>Uni à la cinquante</w:t>
      </w:r>
      <w:r w:rsidR="00F56A94">
        <w:rPr>
          <w:lang w:val="fr-FR" w:eastAsia="ja-JP"/>
        </w:rPr>
        <w:noBreakHyphen/>
      </w:r>
      <w:r w:rsidRPr="00B357D7">
        <w:rPr>
          <w:lang w:val="fr-FR" w:eastAsia="ja-JP"/>
        </w:rPr>
        <w:t>trois</w:t>
      </w:r>
      <w:r w:rsidR="009143C1" w:rsidRPr="00B357D7">
        <w:rPr>
          <w:lang w:val="fr-FR" w:eastAsia="ja-JP"/>
        </w:rPr>
        <w:t>ième session</w:t>
      </w:r>
      <w:r w:rsidRPr="00B357D7">
        <w:rPr>
          <w:lang w:val="fr-FR" w:eastAsia="ja-JP"/>
        </w:rPr>
        <w:t xml:space="preserve"> du Comité technique.</w:t>
      </w:r>
    </w:p>
    <w:p w:rsidR="00AA7D33" w:rsidRDefault="00AA7D33" w:rsidP="00F56A94">
      <w:pPr>
        <w:keepNext/>
        <w:rPr>
          <w:rFonts w:cs="Arial"/>
          <w:snapToGrid w:val="0"/>
          <w:lang w:val="fr-FR"/>
        </w:rPr>
      </w:pPr>
    </w:p>
    <w:p w:rsidR="00BC20F5" w:rsidRPr="00B357D7" w:rsidRDefault="00BC20F5" w:rsidP="00F56A94">
      <w:pPr>
        <w:keepNext/>
        <w:rPr>
          <w:rFonts w:cs="Arial"/>
          <w:snapToGrid w:val="0"/>
          <w:lang w:val="fr-FR"/>
        </w:rPr>
      </w:pPr>
    </w:p>
    <w:p w:rsidR="00AA7D33" w:rsidRPr="00B357D7" w:rsidRDefault="00B016B2" w:rsidP="00F56A94">
      <w:pPr>
        <w:keepNext/>
        <w:rPr>
          <w:rFonts w:cs="Arial"/>
          <w:snapToGrid w:val="0"/>
          <w:lang w:val="fr-FR" w:eastAsia="ja-JP"/>
        </w:rPr>
      </w:pPr>
      <w:r w:rsidRPr="00B357D7">
        <w:rPr>
          <w:rFonts w:cs="Arial"/>
          <w:snapToGrid w:val="0"/>
          <w:lang w:val="fr-FR"/>
        </w:rPr>
        <w:fldChar w:fldCharType="begin"/>
      </w:r>
      <w:r w:rsidRPr="00B357D7">
        <w:rPr>
          <w:rFonts w:cs="Arial"/>
          <w:snapToGrid w:val="0"/>
          <w:lang w:val="fr-FR"/>
        </w:rPr>
        <w:instrText xml:space="preserve"> AUTONUM  </w:instrText>
      </w:r>
      <w:r w:rsidRPr="00B357D7">
        <w:rPr>
          <w:rFonts w:cs="Arial"/>
          <w:snapToGrid w:val="0"/>
          <w:lang w:val="fr-FR"/>
        </w:rPr>
        <w:fldChar w:fldCharType="end"/>
      </w:r>
      <w:r w:rsidRPr="00B357D7">
        <w:rPr>
          <w:rFonts w:cs="Arial"/>
          <w:snapToGrid w:val="0"/>
          <w:lang w:val="fr-FR"/>
        </w:rPr>
        <w:tab/>
      </w:r>
      <w:r w:rsidR="00881FDA" w:rsidRPr="00B357D7">
        <w:rPr>
          <w:rFonts w:cs="Arial"/>
          <w:snapToGrid w:val="0"/>
          <w:lang w:val="fr-FR"/>
        </w:rPr>
        <w:t>Le présent document est structuré comme suit</w:t>
      </w:r>
      <w:r w:rsidR="009143C1" w:rsidRPr="00B357D7">
        <w:rPr>
          <w:rFonts w:cs="Arial"/>
          <w:snapToGrid w:val="0"/>
          <w:lang w:val="fr-FR"/>
        </w:rPr>
        <w:t> :</w:t>
      </w:r>
    </w:p>
    <w:p w:rsidR="00AA7D33" w:rsidRPr="00B357D7" w:rsidRDefault="00AA7D33" w:rsidP="00F56A94">
      <w:pPr>
        <w:keepNext/>
        <w:rPr>
          <w:rFonts w:cs="Arial"/>
          <w:snapToGrid w:val="0"/>
          <w:lang w:val="fr-FR" w:eastAsia="ja-JP"/>
        </w:rPr>
      </w:pPr>
    </w:p>
    <w:p w:rsidR="00BC20F5" w:rsidRDefault="00B016B2">
      <w:pPr>
        <w:pStyle w:val="TOC1"/>
        <w:rPr>
          <w:rFonts w:asciiTheme="minorHAnsi" w:eastAsiaTheme="minorEastAsia" w:hAnsiTheme="minorHAnsi" w:cstheme="minorBidi"/>
          <w:caps w:val="0"/>
          <w:noProof/>
          <w:sz w:val="22"/>
          <w:szCs w:val="22"/>
        </w:rPr>
      </w:pPr>
      <w:r w:rsidRPr="00F56A94">
        <w:rPr>
          <w:rFonts w:cs="Arial"/>
          <w:bCs/>
          <w:snapToGrid w:val="0"/>
          <w:sz w:val="18"/>
          <w:lang w:val="fr-FR"/>
        </w:rPr>
        <w:fldChar w:fldCharType="begin"/>
      </w:r>
      <w:r w:rsidRPr="00F56A94">
        <w:rPr>
          <w:rFonts w:cs="Arial"/>
          <w:bCs/>
          <w:snapToGrid w:val="0"/>
          <w:sz w:val="18"/>
          <w:lang w:val="fr-FR"/>
        </w:rPr>
        <w:instrText xml:space="preserve"> TOC \o "1-3" \h \z \u </w:instrText>
      </w:r>
      <w:r w:rsidRPr="00F56A94">
        <w:rPr>
          <w:rFonts w:cs="Arial"/>
          <w:bCs/>
          <w:snapToGrid w:val="0"/>
          <w:sz w:val="18"/>
          <w:lang w:val="fr-FR"/>
        </w:rPr>
        <w:fldChar w:fldCharType="separate"/>
      </w:r>
      <w:hyperlink w:anchor="_Toc475953032" w:history="1">
        <w:r w:rsidR="00BC20F5" w:rsidRPr="00E90606">
          <w:rPr>
            <w:rStyle w:val="Hyperlink"/>
            <w:noProof/>
            <w:lang w:val="fr-FR"/>
          </w:rPr>
          <w:t>RÉSUMÉ</w:t>
        </w:r>
        <w:r w:rsidR="00BC20F5">
          <w:rPr>
            <w:noProof/>
            <w:webHidden/>
          </w:rPr>
          <w:tab/>
        </w:r>
        <w:r w:rsidR="00BC20F5">
          <w:rPr>
            <w:noProof/>
            <w:webHidden/>
          </w:rPr>
          <w:fldChar w:fldCharType="begin"/>
        </w:r>
        <w:r w:rsidR="00BC20F5">
          <w:rPr>
            <w:noProof/>
            <w:webHidden/>
          </w:rPr>
          <w:instrText xml:space="preserve"> PAGEREF _Toc475953032 \h </w:instrText>
        </w:r>
        <w:r w:rsidR="00BC20F5">
          <w:rPr>
            <w:noProof/>
            <w:webHidden/>
          </w:rPr>
        </w:r>
        <w:r w:rsidR="00BC20F5">
          <w:rPr>
            <w:noProof/>
            <w:webHidden/>
          </w:rPr>
          <w:fldChar w:fldCharType="separate"/>
        </w:r>
        <w:r w:rsidR="00BC20F5">
          <w:rPr>
            <w:noProof/>
            <w:webHidden/>
          </w:rPr>
          <w:t>1</w:t>
        </w:r>
        <w:r w:rsidR="00BC20F5">
          <w:rPr>
            <w:noProof/>
            <w:webHidden/>
          </w:rPr>
          <w:fldChar w:fldCharType="end"/>
        </w:r>
      </w:hyperlink>
    </w:p>
    <w:p w:rsidR="00BC20F5" w:rsidRDefault="00110CFB">
      <w:pPr>
        <w:pStyle w:val="TOC1"/>
        <w:rPr>
          <w:rFonts w:asciiTheme="minorHAnsi" w:eastAsiaTheme="minorEastAsia" w:hAnsiTheme="minorHAnsi" w:cstheme="minorBidi"/>
          <w:caps w:val="0"/>
          <w:noProof/>
          <w:sz w:val="22"/>
          <w:szCs w:val="22"/>
        </w:rPr>
      </w:pPr>
      <w:hyperlink w:anchor="_Toc475953033" w:history="1">
        <w:r w:rsidR="00BC20F5" w:rsidRPr="00E90606">
          <w:rPr>
            <w:rStyle w:val="Hyperlink"/>
            <w:noProof/>
            <w:lang w:val="fr-FR"/>
          </w:rPr>
          <w:t>Contexte</w:t>
        </w:r>
        <w:r w:rsidR="00BC20F5">
          <w:rPr>
            <w:noProof/>
            <w:webHidden/>
          </w:rPr>
          <w:tab/>
        </w:r>
        <w:r w:rsidR="00BC20F5">
          <w:rPr>
            <w:noProof/>
            <w:webHidden/>
          </w:rPr>
          <w:fldChar w:fldCharType="begin"/>
        </w:r>
        <w:r w:rsidR="00BC20F5">
          <w:rPr>
            <w:noProof/>
            <w:webHidden/>
          </w:rPr>
          <w:instrText xml:space="preserve"> PAGEREF _Toc475953033 \h </w:instrText>
        </w:r>
        <w:r w:rsidR="00BC20F5">
          <w:rPr>
            <w:noProof/>
            <w:webHidden/>
          </w:rPr>
        </w:r>
        <w:r w:rsidR="00BC20F5">
          <w:rPr>
            <w:noProof/>
            <w:webHidden/>
          </w:rPr>
          <w:fldChar w:fldCharType="separate"/>
        </w:r>
        <w:r w:rsidR="00BC20F5">
          <w:rPr>
            <w:noProof/>
            <w:webHidden/>
          </w:rPr>
          <w:t>2</w:t>
        </w:r>
        <w:r w:rsidR="00BC20F5">
          <w:rPr>
            <w:noProof/>
            <w:webHidden/>
          </w:rPr>
          <w:fldChar w:fldCharType="end"/>
        </w:r>
      </w:hyperlink>
    </w:p>
    <w:p w:rsidR="00BC20F5" w:rsidRDefault="00110CFB">
      <w:pPr>
        <w:pStyle w:val="TOC1"/>
        <w:rPr>
          <w:rFonts w:asciiTheme="minorHAnsi" w:eastAsiaTheme="minorEastAsia" w:hAnsiTheme="minorHAnsi" w:cstheme="minorBidi"/>
          <w:caps w:val="0"/>
          <w:noProof/>
          <w:sz w:val="22"/>
          <w:szCs w:val="22"/>
        </w:rPr>
      </w:pPr>
      <w:hyperlink w:anchor="_Toc475953034" w:history="1">
        <w:r w:rsidR="00BC20F5" w:rsidRPr="00E90606">
          <w:rPr>
            <w:rStyle w:val="Hyperlink"/>
            <w:noProof/>
            <w:lang w:val="fr-FR"/>
          </w:rPr>
          <w:t>Groupe de travail technique sur les systèmes d’automatisation et les programmes d’ordinateur</w:t>
        </w:r>
        <w:r w:rsidR="00BC20F5">
          <w:rPr>
            <w:noProof/>
            <w:webHidden/>
          </w:rPr>
          <w:tab/>
        </w:r>
        <w:r w:rsidR="00BC20F5">
          <w:rPr>
            <w:noProof/>
            <w:webHidden/>
          </w:rPr>
          <w:fldChar w:fldCharType="begin"/>
        </w:r>
        <w:r w:rsidR="00BC20F5">
          <w:rPr>
            <w:noProof/>
            <w:webHidden/>
          </w:rPr>
          <w:instrText xml:space="preserve"> PAGEREF _Toc475953034 \h </w:instrText>
        </w:r>
        <w:r w:rsidR="00BC20F5">
          <w:rPr>
            <w:noProof/>
            <w:webHidden/>
          </w:rPr>
        </w:r>
        <w:r w:rsidR="00BC20F5">
          <w:rPr>
            <w:noProof/>
            <w:webHidden/>
          </w:rPr>
          <w:fldChar w:fldCharType="separate"/>
        </w:r>
        <w:r w:rsidR="00BC20F5">
          <w:rPr>
            <w:noProof/>
            <w:webHidden/>
          </w:rPr>
          <w:t>2</w:t>
        </w:r>
        <w:r w:rsidR="00BC20F5">
          <w:rPr>
            <w:noProof/>
            <w:webHidden/>
          </w:rPr>
          <w:fldChar w:fldCharType="end"/>
        </w:r>
      </w:hyperlink>
    </w:p>
    <w:p w:rsidR="00AA7D33" w:rsidRPr="00B357D7" w:rsidRDefault="00B016B2" w:rsidP="00F56A94">
      <w:pPr>
        <w:ind w:left="993" w:right="567" w:hanging="993"/>
        <w:rPr>
          <w:noProof/>
          <w:snapToGrid w:val="0"/>
          <w:lang w:val="fr-FR"/>
        </w:rPr>
      </w:pPr>
      <w:r w:rsidRPr="00F56A94">
        <w:rPr>
          <w:noProof/>
          <w:snapToGrid w:val="0"/>
          <w:lang w:val="fr-FR"/>
        </w:rPr>
        <w:fldChar w:fldCharType="end"/>
      </w:r>
      <w:r w:rsidR="00881FDA" w:rsidRPr="00F56A94">
        <w:rPr>
          <w:caps/>
          <w:noProof/>
          <w:snapToGrid w:val="0"/>
          <w:lang w:val="fr-FR"/>
        </w:rPr>
        <w:t>Annexe</w:t>
      </w:r>
      <w:bookmarkStart w:id="3" w:name="_GoBack"/>
      <w:bookmarkEnd w:id="3"/>
      <w:r w:rsidR="00881FDA" w:rsidRPr="00F56A94">
        <w:rPr>
          <w:caps/>
          <w:noProof/>
          <w:snapToGrid w:val="0"/>
          <w:lang w:val="fr-FR"/>
        </w:rPr>
        <w:tab/>
      </w:r>
      <w:r w:rsidR="00110CFB">
        <w:rPr>
          <w:noProof/>
          <w:snapToGrid w:val="0"/>
          <w:lang w:val="fr-FR"/>
        </w:rPr>
        <w:t>E</w:t>
      </w:r>
      <w:r w:rsidR="00110CFB" w:rsidRPr="00F56A94">
        <w:rPr>
          <w:noProof/>
          <w:snapToGrid w:val="0"/>
          <w:lang w:val="fr-FR"/>
        </w:rPr>
        <w:t>xclusion des varietes notoirement connues du second cycle de vegetation lorsque l’on applique la methode</w:t>
      </w:r>
      <w:r w:rsidR="00881FDA" w:rsidRPr="00F56A94">
        <w:rPr>
          <w:caps/>
          <w:noProof/>
          <w:snapToGrid w:val="0"/>
          <w:lang w:val="fr-FR"/>
        </w:rPr>
        <w:t xml:space="preserve"> COYD</w:t>
      </w:r>
    </w:p>
    <w:p w:rsidR="00AA7D33" w:rsidRDefault="00AA7D33" w:rsidP="00F56A94">
      <w:pPr>
        <w:rPr>
          <w:noProof/>
          <w:snapToGrid w:val="0"/>
          <w:lang w:val="fr-FR"/>
        </w:rPr>
      </w:pPr>
    </w:p>
    <w:p w:rsidR="00BC20F5" w:rsidRPr="00B357D7" w:rsidRDefault="00BC20F5" w:rsidP="00F56A94">
      <w:pPr>
        <w:rPr>
          <w:noProof/>
          <w:snapToGrid w:val="0"/>
          <w:lang w:val="fr-FR"/>
        </w:rPr>
      </w:pPr>
    </w:p>
    <w:p w:rsidR="00AA7D33" w:rsidRPr="00B357D7" w:rsidRDefault="00B016B2" w:rsidP="00F56A94">
      <w:pPr>
        <w:rPr>
          <w:rFonts w:cs="Arial"/>
          <w:lang w:val="fr-FR"/>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rPr>
        <w:tab/>
      </w:r>
      <w:r w:rsidR="00881FDA" w:rsidRPr="00B357D7">
        <w:rPr>
          <w:lang w:val="fr-FR"/>
        </w:rPr>
        <w:t>Les abréviations ci</w:t>
      </w:r>
      <w:r w:rsidR="00F56A94">
        <w:rPr>
          <w:lang w:val="fr-FR"/>
        </w:rPr>
        <w:noBreakHyphen/>
      </w:r>
      <w:r w:rsidR="00881FDA" w:rsidRPr="00B357D7">
        <w:rPr>
          <w:lang w:val="fr-FR"/>
        </w:rPr>
        <w:t>après sont utilisées dans le présent document</w:t>
      </w:r>
      <w:r w:rsidR="009143C1" w:rsidRPr="00B357D7">
        <w:rPr>
          <w:lang w:val="fr-FR"/>
        </w:rPr>
        <w:t> :</w:t>
      </w:r>
    </w:p>
    <w:p w:rsidR="00AA7D33" w:rsidRPr="00B357D7" w:rsidRDefault="00AA7D33" w:rsidP="00F56A94">
      <w:pPr>
        <w:rPr>
          <w:rFonts w:cs="Arial"/>
          <w:lang w:val="fr-FR"/>
        </w:rPr>
      </w:pPr>
    </w:p>
    <w:p w:rsidR="00AA7D33" w:rsidRPr="00B357D7" w:rsidRDefault="00881FDA" w:rsidP="00F56A94">
      <w:pPr>
        <w:ind w:left="1701" w:hanging="1134"/>
        <w:rPr>
          <w:rFonts w:cs="Arial"/>
          <w:lang w:val="fr-FR"/>
        </w:rPr>
      </w:pPr>
      <w:r w:rsidRPr="00B357D7">
        <w:rPr>
          <w:rFonts w:cs="Arial"/>
          <w:lang w:val="fr-FR"/>
        </w:rPr>
        <w:t>TC</w:t>
      </w:r>
      <w:r w:rsidR="009143C1" w:rsidRPr="00B357D7">
        <w:rPr>
          <w:rFonts w:cs="Arial"/>
          <w:lang w:val="fr-FR"/>
        </w:rPr>
        <w:t> :</w:t>
      </w:r>
      <w:r w:rsidRPr="00B357D7">
        <w:rPr>
          <w:rFonts w:cs="Arial"/>
          <w:lang w:val="fr-FR"/>
        </w:rPr>
        <w:t xml:space="preserve"> </w:t>
      </w:r>
      <w:r w:rsidRPr="00B357D7">
        <w:rPr>
          <w:rFonts w:cs="Arial"/>
          <w:lang w:val="fr-FR"/>
        </w:rPr>
        <w:tab/>
        <w:t>Comité technique</w:t>
      </w:r>
    </w:p>
    <w:p w:rsidR="00AA7D33" w:rsidRPr="00B357D7" w:rsidRDefault="00881FDA" w:rsidP="00F56A94">
      <w:pPr>
        <w:ind w:left="1701" w:hanging="1134"/>
        <w:rPr>
          <w:rFonts w:eastAsia="PMingLiU" w:cs="Arial"/>
          <w:szCs w:val="24"/>
          <w:lang w:val="fr-FR"/>
        </w:rPr>
      </w:pPr>
      <w:r w:rsidRPr="00B357D7">
        <w:rPr>
          <w:rFonts w:eastAsia="PMingLiU" w:cs="Arial"/>
          <w:szCs w:val="24"/>
          <w:lang w:val="fr-FR"/>
        </w:rPr>
        <w:t>TWA</w:t>
      </w:r>
      <w:r w:rsidR="009143C1" w:rsidRPr="00B357D7">
        <w:rPr>
          <w:rFonts w:eastAsia="PMingLiU" w:cs="Arial"/>
          <w:szCs w:val="24"/>
          <w:lang w:val="fr-FR"/>
        </w:rPr>
        <w:t> :</w:t>
      </w:r>
      <w:r w:rsidRPr="00B357D7">
        <w:rPr>
          <w:rFonts w:eastAsia="PMingLiU" w:cs="Arial"/>
          <w:szCs w:val="24"/>
          <w:lang w:val="fr-FR"/>
        </w:rPr>
        <w:t xml:space="preserve"> </w:t>
      </w:r>
      <w:r w:rsidRPr="00B357D7">
        <w:rPr>
          <w:rFonts w:eastAsia="PMingLiU" w:cs="Arial"/>
          <w:szCs w:val="24"/>
          <w:lang w:val="fr-FR"/>
        </w:rPr>
        <w:tab/>
        <w:t>Groupe de travail technique sur les plantes agricoles</w:t>
      </w:r>
    </w:p>
    <w:p w:rsidR="00AA7D33" w:rsidRPr="00B357D7" w:rsidRDefault="00881FDA" w:rsidP="00F56A94">
      <w:pPr>
        <w:ind w:left="1701" w:hanging="1134"/>
        <w:rPr>
          <w:rFonts w:eastAsia="PMingLiU" w:cs="Arial"/>
          <w:szCs w:val="24"/>
          <w:lang w:val="fr-FR"/>
        </w:rPr>
      </w:pPr>
      <w:r w:rsidRPr="00B357D7">
        <w:rPr>
          <w:rFonts w:eastAsia="PMingLiU" w:cs="Arial"/>
          <w:szCs w:val="24"/>
          <w:lang w:val="fr-FR"/>
        </w:rPr>
        <w:t>TWC</w:t>
      </w:r>
      <w:r w:rsidR="009143C1" w:rsidRPr="00B357D7">
        <w:rPr>
          <w:rFonts w:eastAsia="PMingLiU" w:cs="Arial"/>
          <w:szCs w:val="24"/>
          <w:lang w:val="fr-FR"/>
        </w:rPr>
        <w:t> :</w:t>
      </w:r>
      <w:r w:rsidRPr="00B357D7">
        <w:rPr>
          <w:rFonts w:eastAsia="PMingLiU" w:cs="Arial"/>
          <w:szCs w:val="24"/>
          <w:lang w:val="fr-FR"/>
        </w:rPr>
        <w:t xml:space="preserve"> </w:t>
      </w:r>
      <w:r w:rsidRPr="00B357D7">
        <w:rPr>
          <w:rFonts w:eastAsia="PMingLiU" w:cs="Arial"/>
          <w:szCs w:val="24"/>
          <w:lang w:val="fr-FR"/>
        </w:rPr>
        <w:tab/>
        <w:t>Groupe de travail technique sur les systèmes d</w:t>
      </w:r>
      <w:r w:rsidR="009143C1" w:rsidRPr="00B357D7">
        <w:rPr>
          <w:rFonts w:eastAsia="PMingLiU" w:cs="Arial"/>
          <w:szCs w:val="24"/>
          <w:lang w:val="fr-FR"/>
        </w:rPr>
        <w:t>’</w:t>
      </w:r>
      <w:r w:rsidRPr="00B357D7">
        <w:rPr>
          <w:rFonts w:eastAsia="PMingLiU" w:cs="Arial"/>
          <w:szCs w:val="24"/>
          <w:lang w:val="fr-FR"/>
        </w:rPr>
        <w:t>automatisation et les programmes d</w:t>
      </w:r>
      <w:r w:rsidR="009143C1" w:rsidRPr="00B357D7">
        <w:rPr>
          <w:rFonts w:eastAsia="PMingLiU" w:cs="Arial"/>
          <w:szCs w:val="24"/>
          <w:lang w:val="fr-FR"/>
        </w:rPr>
        <w:t>’</w:t>
      </w:r>
      <w:r w:rsidRPr="00B357D7">
        <w:rPr>
          <w:rFonts w:eastAsia="PMingLiU" w:cs="Arial"/>
          <w:szCs w:val="24"/>
          <w:lang w:val="fr-FR"/>
        </w:rPr>
        <w:t>ordinateur</w:t>
      </w:r>
    </w:p>
    <w:p w:rsidR="00AA7D33" w:rsidRPr="00B357D7" w:rsidRDefault="00881FDA" w:rsidP="00F56A94">
      <w:pPr>
        <w:ind w:left="1701" w:hanging="1134"/>
        <w:rPr>
          <w:rFonts w:eastAsia="PMingLiU" w:cs="Arial"/>
          <w:szCs w:val="24"/>
          <w:lang w:val="fr-FR"/>
        </w:rPr>
      </w:pPr>
      <w:r w:rsidRPr="00B357D7">
        <w:rPr>
          <w:rFonts w:eastAsia="PMingLiU" w:cs="Arial"/>
          <w:szCs w:val="24"/>
          <w:lang w:val="fr-FR"/>
        </w:rPr>
        <w:t>TWF</w:t>
      </w:r>
      <w:r w:rsidR="009143C1" w:rsidRPr="00B357D7">
        <w:rPr>
          <w:rFonts w:eastAsia="PMingLiU" w:cs="Arial"/>
          <w:szCs w:val="24"/>
          <w:lang w:val="fr-FR"/>
        </w:rPr>
        <w:t> :</w:t>
      </w:r>
      <w:r w:rsidRPr="00B357D7">
        <w:rPr>
          <w:rFonts w:eastAsia="PMingLiU" w:cs="Arial"/>
          <w:szCs w:val="24"/>
          <w:lang w:val="fr-FR"/>
        </w:rPr>
        <w:t xml:space="preserve"> </w:t>
      </w:r>
      <w:r w:rsidRPr="00B357D7">
        <w:rPr>
          <w:rFonts w:eastAsia="PMingLiU" w:cs="Arial"/>
          <w:szCs w:val="24"/>
          <w:lang w:val="fr-FR"/>
        </w:rPr>
        <w:tab/>
        <w:t>Groupe de travail technique sur les plantes fruitières</w:t>
      </w:r>
    </w:p>
    <w:p w:rsidR="00AA7D33" w:rsidRPr="00B357D7" w:rsidRDefault="00881FDA" w:rsidP="00F56A94">
      <w:pPr>
        <w:ind w:left="1701" w:hanging="1134"/>
        <w:rPr>
          <w:rFonts w:eastAsia="PMingLiU" w:cs="Arial"/>
          <w:szCs w:val="24"/>
          <w:lang w:val="fr-FR"/>
        </w:rPr>
      </w:pPr>
      <w:r w:rsidRPr="00B357D7">
        <w:rPr>
          <w:rFonts w:eastAsia="PMingLiU" w:cs="Arial"/>
          <w:szCs w:val="24"/>
          <w:lang w:val="fr-FR"/>
        </w:rPr>
        <w:t>TWO</w:t>
      </w:r>
      <w:r w:rsidR="009143C1" w:rsidRPr="00B357D7">
        <w:rPr>
          <w:rFonts w:eastAsia="PMingLiU" w:cs="Arial"/>
          <w:szCs w:val="24"/>
          <w:lang w:val="fr-FR"/>
        </w:rPr>
        <w:t> :</w:t>
      </w:r>
      <w:r w:rsidRPr="00B357D7">
        <w:rPr>
          <w:rFonts w:eastAsia="PMingLiU" w:cs="Arial"/>
          <w:szCs w:val="24"/>
          <w:lang w:val="fr-FR"/>
        </w:rPr>
        <w:t xml:space="preserve"> </w:t>
      </w:r>
      <w:r w:rsidRPr="00B357D7">
        <w:rPr>
          <w:rFonts w:eastAsia="PMingLiU" w:cs="Arial"/>
          <w:szCs w:val="24"/>
          <w:lang w:val="fr-FR"/>
        </w:rPr>
        <w:tab/>
        <w:t>Groupe de travail technique sur les plantes ornementales et les arbres forestiers</w:t>
      </w:r>
    </w:p>
    <w:p w:rsidR="00AA7D33" w:rsidRPr="00B357D7" w:rsidRDefault="00881FDA" w:rsidP="00F56A94">
      <w:pPr>
        <w:ind w:left="1701" w:hanging="1134"/>
        <w:rPr>
          <w:rFonts w:eastAsia="PMingLiU" w:cs="Arial"/>
          <w:szCs w:val="24"/>
          <w:lang w:val="fr-FR"/>
        </w:rPr>
      </w:pPr>
      <w:r w:rsidRPr="00B357D7">
        <w:rPr>
          <w:rFonts w:eastAsia="PMingLiU" w:cs="Arial"/>
          <w:szCs w:val="24"/>
          <w:lang w:val="fr-FR"/>
        </w:rPr>
        <w:t>TWP</w:t>
      </w:r>
      <w:r w:rsidR="009143C1" w:rsidRPr="00B357D7">
        <w:rPr>
          <w:rFonts w:eastAsia="PMingLiU" w:cs="Arial"/>
          <w:szCs w:val="24"/>
          <w:lang w:val="fr-FR"/>
        </w:rPr>
        <w:t> :</w:t>
      </w:r>
      <w:r w:rsidRPr="00B357D7">
        <w:rPr>
          <w:rFonts w:eastAsia="PMingLiU" w:cs="Arial"/>
          <w:szCs w:val="24"/>
          <w:lang w:val="fr-FR"/>
        </w:rPr>
        <w:t xml:space="preserve"> </w:t>
      </w:r>
      <w:r w:rsidRPr="00B357D7">
        <w:rPr>
          <w:rFonts w:eastAsia="PMingLiU" w:cs="Arial"/>
          <w:szCs w:val="24"/>
          <w:lang w:val="fr-FR"/>
        </w:rPr>
        <w:tab/>
        <w:t>Groupes de travail techniques</w:t>
      </w:r>
    </w:p>
    <w:p w:rsidR="00AA7D33" w:rsidRPr="00B357D7" w:rsidRDefault="00881FDA" w:rsidP="00F56A94">
      <w:pPr>
        <w:ind w:left="1701" w:hanging="1134"/>
        <w:rPr>
          <w:rFonts w:cs="Arial"/>
          <w:szCs w:val="24"/>
          <w:lang w:val="fr-FR" w:eastAsia="ja-JP"/>
        </w:rPr>
      </w:pPr>
      <w:r w:rsidRPr="00B357D7">
        <w:rPr>
          <w:rFonts w:eastAsia="PMingLiU" w:cs="Arial"/>
          <w:szCs w:val="24"/>
          <w:lang w:val="fr-FR"/>
        </w:rPr>
        <w:t>TWV</w:t>
      </w:r>
      <w:r w:rsidR="009143C1" w:rsidRPr="00B357D7">
        <w:rPr>
          <w:rFonts w:eastAsia="PMingLiU" w:cs="Arial"/>
          <w:szCs w:val="24"/>
          <w:lang w:val="fr-FR"/>
        </w:rPr>
        <w:t> :</w:t>
      </w:r>
      <w:r w:rsidRPr="00B357D7">
        <w:rPr>
          <w:rFonts w:eastAsia="PMingLiU" w:cs="Arial"/>
          <w:szCs w:val="24"/>
          <w:lang w:val="fr-FR"/>
        </w:rPr>
        <w:t xml:space="preserve"> </w:t>
      </w:r>
      <w:r w:rsidRPr="00B357D7">
        <w:rPr>
          <w:rFonts w:eastAsia="PMingLiU" w:cs="Arial"/>
          <w:szCs w:val="24"/>
          <w:lang w:val="fr-FR"/>
        </w:rPr>
        <w:tab/>
        <w:t>Groupe de travail technique sur les plantes potagères</w:t>
      </w:r>
    </w:p>
    <w:p w:rsidR="00AA7D33" w:rsidRPr="00B357D7" w:rsidRDefault="00AA7D33" w:rsidP="00F56A94">
      <w:pPr>
        <w:rPr>
          <w:lang w:val="fr-FR"/>
        </w:rPr>
      </w:pPr>
    </w:p>
    <w:p w:rsidR="00AA7D33" w:rsidRPr="00B357D7" w:rsidRDefault="008A18FF" w:rsidP="00F56A94">
      <w:pPr>
        <w:pStyle w:val="Heading1"/>
        <w:rPr>
          <w:lang w:val="fr-FR"/>
        </w:rPr>
      </w:pPr>
      <w:bookmarkStart w:id="4" w:name="_Toc475953033"/>
      <w:r w:rsidRPr="00B357D7">
        <w:rPr>
          <w:lang w:val="fr-FR"/>
        </w:rPr>
        <w:lastRenderedPageBreak/>
        <w:t>Contexte</w:t>
      </w:r>
      <w:bookmarkEnd w:id="4"/>
    </w:p>
    <w:p w:rsidR="00AA7D33" w:rsidRPr="00B357D7" w:rsidRDefault="00AA7D33" w:rsidP="00F56A94">
      <w:pPr>
        <w:keepNext/>
        <w:keepLines/>
        <w:tabs>
          <w:tab w:val="left" w:pos="567"/>
        </w:tabs>
        <w:autoSpaceDE w:val="0"/>
        <w:autoSpaceDN w:val="0"/>
        <w:adjustRightInd w:val="0"/>
        <w:rPr>
          <w:lang w:val="fr-FR" w:eastAsia="ja-JP"/>
        </w:rPr>
      </w:pPr>
    </w:p>
    <w:p w:rsidR="00AA7D33" w:rsidRPr="00B357D7" w:rsidRDefault="00C6260C" w:rsidP="00F56A94">
      <w:pPr>
        <w:keepNext/>
        <w:keepLines/>
        <w:tabs>
          <w:tab w:val="left" w:pos="567"/>
        </w:tabs>
        <w:autoSpaceDE w:val="0"/>
        <w:autoSpaceDN w:val="0"/>
        <w:adjustRightInd w:val="0"/>
        <w:rPr>
          <w:rFonts w:cs="Arial"/>
          <w:lang w:val="fr-FR"/>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940E51" w:rsidRPr="00B357D7">
        <w:rPr>
          <w:lang w:val="fr-FR" w:eastAsia="ja-JP"/>
        </w:rPr>
        <w:t>Le Comité technique, à sa cinquante</w:t>
      </w:r>
      <w:r w:rsidR="00F56A94">
        <w:rPr>
          <w:lang w:val="fr-FR" w:eastAsia="ja-JP"/>
        </w:rPr>
        <w:noBreakHyphen/>
      </w:r>
      <w:r w:rsidR="00940E51" w:rsidRPr="00B357D7">
        <w:rPr>
          <w:lang w:val="fr-FR" w:eastAsia="ja-JP"/>
        </w:rPr>
        <w:t>deux</w:t>
      </w:r>
      <w:r w:rsidR="009143C1" w:rsidRPr="00B357D7">
        <w:rPr>
          <w:lang w:val="fr-FR" w:eastAsia="ja-JP"/>
        </w:rPr>
        <w:t>ième session</w:t>
      </w:r>
      <w:r w:rsidR="00940E51" w:rsidRPr="00B357D7">
        <w:rPr>
          <w:lang w:val="fr-FR" w:eastAsia="ja-JP"/>
        </w:rPr>
        <w:t xml:space="preserve"> tenue à Genève du 14 au 1</w:t>
      </w:r>
      <w:r w:rsidR="009143C1" w:rsidRPr="00B357D7">
        <w:rPr>
          <w:lang w:val="fr-FR" w:eastAsia="ja-JP"/>
        </w:rPr>
        <w:t>6 mars 20</w:t>
      </w:r>
      <w:r w:rsidR="00940E51" w:rsidRPr="00B357D7">
        <w:rPr>
          <w:lang w:val="fr-FR" w:eastAsia="ja-JP"/>
        </w:rPr>
        <w:t xml:space="preserve">16, a examiné le </w:t>
      </w:r>
      <w:r w:rsidR="009143C1" w:rsidRPr="00B357D7">
        <w:rPr>
          <w:lang w:val="fr-FR" w:eastAsia="ja-JP"/>
        </w:rPr>
        <w:t>document TC</w:t>
      </w:r>
      <w:r w:rsidR="00940E51" w:rsidRPr="00B357D7">
        <w:rPr>
          <w:lang w:val="fr-FR" w:eastAsia="ja-JP"/>
        </w:rPr>
        <w:t xml:space="preserve">/52/3, intitulé </w:t>
      </w:r>
      <w:r w:rsidR="003608E2" w:rsidRPr="00B357D7">
        <w:rPr>
          <w:lang w:val="fr-FR" w:eastAsia="ja-JP"/>
        </w:rPr>
        <w:t>“</w:t>
      </w:r>
      <w:r w:rsidR="00940E51" w:rsidRPr="00B357D7">
        <w:rPr>
          <w:lang w:val="fr-FR" w:eastAsia="ja-JP"/>
        </w:rPr>
        <w:t>Questions découlant des travaux des groupes de travail techniques</w:t>
      </w:r>
      <w:r w:rsidR="003608E2" w:rsidRPr="00B357D7">
        <w:rPr>
          <w:lang w:val="fr-FR" w:eastAsia="ja-JP"/>
        </w:rPr>
        <w:t>”</w:t>
      </w:r>
      <w:r w:rsidR="00940E51" w:rsidRPr="00B357D7">
        <w:rPr>
          <w:lang w:val="fr-FR" w:eastAsia="ja-JP"/>
        </w:rPr>
        <w:t>, et a pris note, à la suite d</w:t>
      </w:r>
      <w:r w:rsidR="009143C1" w:rsidRPr="00B357D7">
        <w:rPr>
          <w:lang w:val="fr-FR" w:eastAsia="ja-JP"/>
        </w:rPr>
        <w:t>’</w:t>
      </w:r>
      <w:r w:rsidR="00940E51" w:rsidRPr="00B357D7">
        <w:rPr>
          <w:lang w:val="fr-FR" w:eastAsia="ja-JP"/>
        </w:rPr>
        <w:t>un rapport verbal du président du Groupe de travail technique sur les systèmes d</w:t>
      </w:r>
      <w:r w:rsidR="009143C1" w:rsidRPr="00B357D7">
        <w:rPr>
          <w:lang w:val="fr-FR" w:eastAsia="ja-JP"/>
        </w:rPr>
        <w:t>’</w:t>
      </w:r>
      <w:r w:rsidR="00940E51" w:rsidRPr="00B357D7">
        <w:rPr>
          <w:lang w:val="fr-FR" w:eastAsia="ja-JP"/>
        </w:rPr>
        <w:t>automatisation et les programmes d</w:t>
      </w:r>
      <w:r w:rsidR="009143C1" w:rsidRPr="00B357D7">
        <w:rPr>
          <w:lang w:val="fr-FR" w:eastAsia="ja-JP"/>
        </w:rPr>
        <w:t>’</w:t>
      </w:r>
      <w:r w:rsidR="00940E51" w:rsidRPr="00B357D7">
        <w:rPr>
          <w:lang w:val="fr-FR" w:eastAsia="ja-JP"/>
        </w:rPr>
        <w:t>ordinateur (TWC), qu</w:t>
      </w:r>
      <w:r w:rsidR="009143C1" w:rsidRPr="00B357D7">
        <w:rPr>
          <w:lang w:val="fr-FR" w:eastAsia="ja-JP"/>
        </w:rPr>
        <w:t>’</w:t>
      </w:r>
      <w:r w:rsidR="00940E51" w:rsidRPr="00B357D7">
        <w:rPr>
          <w:lang w:val="fr-FR" w:eastAsia="ja-JP"/>
        </w:rPr>
        <w:t>un expert du Royaume</w:t>
      </w:r>
      <w:r w:rsidR="00F56A94">
        <w:rPr>
          <w:lang w:val="fr-FR" w:eastAsia="ja-JP"/>
        </w:rPr>
        <w:noBreakHyphen/>
      </w:r>
      <w:r w:rsidR="00940E51" w:rsidRPr="00B357D7">
        <w:rPr>
          <w:lang w:val="fr-FR" w:eastAsia="ja-JP"/>
        </w:rPr>
        <w:t>Uni a</w:t>
      </w:r>
      <w:r w:rsidR="006754B0" w:rsidRPr="00B357D7">
        <w:rPr>
          <w:lang w:val="fr-FR" w:eastAsia="ja-JP"/>
        </w:rPr>
        <w:t>vait présenté</w:t>
      </w:r>
      <w:r w:rsidR="00940E51" w:rsidRPr="00B357D7">
        <w:rPr>
          <w:lang w:val="fr-FR" w:eastAsia="ja-JP"/>
        </w:rPr>
        <w:t xml:space="preserve"> un exposé sur les </w:t>
      </w:r>
      <w:r w:rsidR="003608E2" w:rsidRPr="00B357D7">
        <w:rPr>
          <w:lang w:val="fr-FR" w:eastAsia="ja-JP"/>
        </w:rPr>
        <w:t>“</w:t>
      </w:r>
      <w:r w:rsidR="00940E51" w:rsidRPr="00B357D7">
        <w:rPr>
          <w:lang w:val="fr-FR" w:eastAsia="ja-JP"/>
        </w:rPr>
        <w:t>seuils calculés aux fins d</w:t>
      </w:r>
      <w:r w:rsidR="009143C1" w:rsidRPr="00B357D7">
        <w:rPr>
          <w:lang w:val="fr-FR" w:eastAsia="ja-JP"/>
        </w:rPr>
        <w:t>’</w:t>
      </w:r>
      <w:r w:rsidR="00940E51" w:rsidRPr="00B357D7">
        <w:rPr>
          <w:lang w:val="fr-FR" w:eastAsia="ja-JP"/>
        </w:rPr>
        <w:t>exclusion des variétés notoirement connues du second cycle de végétation lorsque l</w:t>
      </w:r>
      <w:r w:rsidR="009143C1" w:rsidRPr="00B357D7">
        <w:rPr>
          <w:lang w:val="fr-FR" w:eastAsia="ja-JP"/>
        </w:rPr>
        <w:t>’</w:t>
      </w:r>
      <w:r w:rsidR="00940E51" w:rsidRPr="00B357D7">
        <w:rPr>
          <w:lang w:val="fr-FR" w:eastAsia="ja-JP"/>
        </w:rPr>
        <w:t>on applique la méthode COYD</w:t>
      </w:r>
      <w:r w:rsidR="003608E2" w:rsidRPr="00B357D7">
        <w:rPr>
          <w:lang w:val="fr-FR" w:eastAsia="ja-JP"/>
        </w:rPr>
        <w:t>”</w:t>
      </w:r>
      <w:r w:rsidR="00940E51" w:rsidRPr="00B357D7">
        <w:rPr>
          <w:lang w:val="fr-FR" w:eastAsia="ja-JP"/>
        </w:rPr>
        <w:t xml:space="preserve"> (document TWC/33/20) et que la méthodolog</w:t>
      </w:r>
      <w:r w:rsidR="006754B0" w:rsidRPr="00B357D7">
        <w:rPr>
          <w:lang w:val="fr-FR" w:eastAsia="ja-JP"/>
        </w:rPr>
        <w:t xml:space="preserve">ie proposée peut convenir pour </w:t>
      </w:r>
      <w:r w:rsidR="00940E51" w:rsidRPr="00B357D7">
        <w:rPr>
          <w:lang w:val="fr-FR" w:eastAsia="ja-JP"/>
        </w:rPr>
        <w:t>les caractères quantitatifs et constitue une amélioration par rapport à la méthode précédemment dé</w:t>
      </w:r>
      <w:r w:rsidR="005D27CE" w:rsidRPr="00B357D7">
        <w:rPr>
          <w:lang w:val="fr-FR" w:eastAsia="ja-JP"/>
        </w:rPr>
        <w:t>c</w:t>
      </w:r>
      <w:r w:rsidR="006754B0" w:rsidRPr="00B357D7">
        <w:rPr>
          <w:lang w:val="fr-FR" w:eastAsia="ja-JP"/>
        </w:rPr>
        <w:t>rite dans la mesure où</w:t>
      </w:r>
      <w:r w:rsidR="00940E51" w:rsidRPr="00B357D7">
        <w:rPr>
          <w:lang w:val="fr-FR" w:eastAsia="ja-JP"/>
        </w:rPr>
        <w:t xml:space="preserve"> elle </w:t>
      </w:r>
      <w:r w:rsidR="006754B0" w:rsidRPr="00B357D7">
        <w:rPr>
          <w:lang w:val="fr-FR" w:eastAsia="ja-JP"/>
        </w:rPr>
        <w:t>tenait</w:t>
      </w:r>
      <w:r w:rsidR="00940E51" w:rsidRPr="00B357D7">
        <w:rPr>
          <w:lang w:val="fr-FR" w:eastAsia="ja-JP"/>
        </w:rPr>
        <w:t xml:space="preserve"> compte de la variabilité </w:t>
      </w:r>
      <w:r w:rsidR="006754B0" w:rsidRPr="00B357D7">
        <w:rPr>
          <w:lang w:val="fr-FR" w:eastAsia="ja-JP"/>
        </w:rPr>
        <w:t>d</w:t>
      </w:r>
      <w:r w:rsidR="009143C1" w:rsidRPr="00B357D7">
        <w:rPr>
          <w:lang w:val="fr-FR" w:eastAsia="ja-JP"/>
        </w:rPr>
        <w:t>’</w:t>
      </w:r>
      <w:r w:rsidR="006754B0" w:rsidRPr="00B357D7">
        <w:rPr>
          <w:lang w:val="fr-FR" w:eastAsia="ja-JP"/>
        </w:rPr>
        <w:t>une année sur l</w:t>
      </w:r>
      <w:r w:rsidR="009143C1" w:rsidRPr="00B357D7">
        <w:rPr>
          <w:lang w:val="fr-FR" w:eastAsia="ja-JP"/>
        </w:rPr>
        <w:t>’</w:t>
      </w:r>
      <w:r w:rsidR="006754B0" w:rsidRPr="00B357D7">
        <w:rPr>
          <w:lang w:val="fr-FR" w:eastAsia="ja-JP"/>
        </w:rPr>
        <w:t>autre dans la méthode d</w:t>
      </w:r>
      <w:r w:rsidR="009143C1" w:rsidRPr="00B357D7">
        <w:rPr>
          <w:lang w:val="fr-FR" w:eastAsia="ja-JP"/>
        </w:rPr>
        <w:t>’</w:t>
      </w:r>
      <w:r w:rsidR="006754B0" w:rsidRPr="00B357D7">
        <w:rPr>
          <w:lang w:val="fr-FR" w:eastAsia="ja-JP"/>
        </w:rPr>
        <w:t>analyse</w:t>
      </w:r>
      <w:r w:rsidR="00940E51" w:rsidRPr="00B357D7">
        <w:rPr>
          <w:lang w:val="fr-FR" w:eastAsia="ja-JP"/>
        </w:rPr>
        <w:t xml:space="preserve"> C</w:t>
      </w:r>
      <w:r w:rsidR="00B357D7" w:rsidRPr="00B357D7">
        <w:rPr>
          <w:lang w:val="fr-FR" w:eastAsia="ja-JP"/>
        </w:rPr>
        <w:t xml:space="preserve">OYD.  </w:t>
      </w:r>
      <w:r w:rsidR="00B357D7" w:rsidRPr="00B357D7">
        <w:rPr>
          <w:rFonts w:cs="Arial"/>
          <w:lang w:val="fr-FR"/>
        </w:rPr>
        <w:t>La</w:t>
      </w:r>
      <w:r w:rsidR="00DD183B" w:rsidRPr="00B357D7">
        <w:rPr>
          <w:rFonts w:cs="Arial"/>
          <w:lang w:val="fr-FR"/>
        </w:rPr>
        <w:t xml:space="preserve"> méthode a été illustrée sur un </w:t>
      </w:r>
      <w:r w:rsidR="00415D88" w:rsidRPr="00B357D7">
        <w:rPr>
          <w:rFonts w:cs="Arial"/>
          <w:lang w:val="fr-FR"/>
        </w:rPr>
        <w:t>jeu de données</w:t>
      </w:r>
      <w:r w:rsidR="00DD183B" w:rsidRPr="00B357D7">
        <w:rPr>
          <w:rFonts w:cs="Arial"/>
          <w:lang w:val="fr-FR"/>
        </w:rPr>
        <w:t xml:space="preserve"> portant sur des pois</w:t>
      </w:r>
      <w:r w:rsidR="006754B0" w:rsidRPr="00B357D7">
        <w:rPr>
          <w:rFonts w:cs="Arial"/>
          <w:lang w:val="fr-FR"/>
        </w:rPr>
        <w:t xml:space="preserve"> fourrage</w:t>
      </w:r>
      <w:r w:rsidR="00B357D7" w:rsidRPr="00B357D7">
        <w:rPr>
          <w:rFonts w:cs="Arial"/>
          <w:lang w:val="fr-FR"/>
        </w:rPr>
        <w:t>rs.  L’e</w:t>
      </w:r>
      <w:r w:rsidR="005B74CA" w:rsidRPr="00B357D7">
        <w:rPr>
          <w:rFonts w:cs="Arial"/>
          <w:lang w:val="fr-FR"/>
        </w:rPr>
        <w:t xml:space="preserve">xpert a </w:t>
      </w:r>
      <w:r w:rsidR="006754B0" w:rsidRPr="00B357D7">
        <w:rPr>
          <w:rFonts w:cs="Arial"/>
          <w:lang w:val="fr-FR"/>
        </w:rPr>
        <w:t>demand</w:t>
      </w:r>
      <w:r w:rsidR="00D76723">
        <w:rPr>
          <w:rFonts w:cs="Arial"/>
          <w:lang w:val="fr-FR"/>
        </w:rPr>
        <w:t>é</w:t>
      </w:r>
      <w:r w:rsidR="006754B0" w:rsidRPr="00B357D7">
        <w:rPr>
          <w:rFonts w:cs="Arial"/>
          <w:lang w:val="fr-FR"/>
        </w:rPr>
        <w:t xml:space="preserve"> à obtenir </w:t>
      </w:r>
      <w:r w:rsidR="005B74CA" w:rsidRPr="00B357D7">
        <w:rPr>
          <w:rFonts w:cs="Arial"/>
          <w:lang w:val="fr-FR"/>
        </w:rPr>
        <w:t>plus d</w:t>
      </w:r>
      <w:r w:rsidR="009143C1" w:rsidRPr="00B357D7">
        <w:rPr>
          <w:rFonts w:cs="Arial"/>
          <w:lang w:val="fr-FR"/>
        </w:rPr>
        <w:t>’</w:t>
      </w:r>
      <w:r w:rsidR="005B74CA" w:rsidRPr="00B357D7">
        <w:rPr>
          <w:rFonts w:cs="Arial"/>
          <w:lang w:val="fr-FR"/>
        </w:rPr>
        <w:t xml:space="preserve">ensembles de données </w:t>
      </w:r>
      <w:r w:rsidR="006754B0" w:rsidRPr="00B357D7">
        <w:rPr>
          <w:rFonts w:cs="Arial"/>
          <w:lang w:val="fr-FR"/>
        </w:rPr>
        <w:t>qui serviront d</w:t>
      </w:r>
      <w:r w:rsidR="009143C1" w:rsidRPr="00B357D7">
        <w:rPr>
          <w:rFonts w:cs="Arial"/>
          <w:lang w:val="fr-FR"/>
        </w:rPr>
        <w:t>’</w:t>
      </w:r>
      <w:r w:rsidR="005B74CA" w:rsidRPr="00B357D7">
        <w:rPr>
          <w:rFonts w:cs="Arial"/>
          <w:lang w:val="fr-FR"/>
        </w:rPr>
        <w:t>exemple</w:t>
      </w:r>
      <w:r w:rsidR="006754B0" w:rsidRPr="00B357D7">
        <w:rPr>
          <w:rFonts w:cs="Arial"/>
          <w:lang w:val="fr-FR"/>
        </w:rPr>
        <w:t>s</w:t>
      </w:r>
      <w:r w:rsidR="005B74CA" w:rsidRPr="00B357D7">
        <w:rPr>
          <w:rFonts w:cs="Arial"/>
          <w:lang w:val="fr-FR"/>
        </w:rPr>
        <w:t xml:space="preserve"> pour évaluer plus avant les méthodes (voir le </w:t>
      </w:r>
      <w:r w:rsidR="009143C1" w:rsidRPr="00B357D7">
        <w:rPr>
          <w:rFonts w:cs="Arial"/>
          <w:lang w:val="fr-FR"/>
        </w:rPr>
        <w:t>paragraphe 3</w:t>
      </w:r>
      <w:r w:rsidR="005B74CA" w:rsidRPr="00B357D7">
        <w:rPr>
          <w:rFonts w:cs="Arial"/>
          <w:lang w:val="fr-FR"/>
        </w:rPr>
        <w:t xml:space="preserve">6 du </w:t>
      </w:r>
      <w:r w:rsidR="009143C1" w:rsidRPr="00B357D7">
        <w:rPr>
          <w:rFonts w:cs="Arial"/>
          <w:lang w:val="fr-FR"/>
        </w:rPr>
        <w:t>document TC</w:t>
      </w:r>
      <w:r w:rsidR="005B74CA" w:rsidRPr="00B357D7">
        <w:rPr>
          <w:rFonts w:cs="Arial"/>
          <w:lang w:val="fr-FR"/>
        </w:rPr>
        <w:t>/52/29</w:t>
      </w:r>
      <w:r w:rsidR="003608E2" w:rsidRPr="00B357D7">
        <w:rPr>
          <w:rFonts w:cs="Arial"/>
          <w:lang w:val="fr-FR"/>
        </w:rPr>
        <w:t> </w:t>
      </w:r>
      <w:proofErr w:type="spellStart"/>
      <w:r w:rsidR="005B74CA" w:rsidRPr="00B357D7">
        <w:rPr>
          <w:rFonts w:cs="Arial"/>
          <w:lang w:val="fr-FR"/>
        </w:rPr>
        <w:t>Rev</w:t>
      </w:r>
      <w:proofErr w:type="spellEnd"/>
      <w:r w:rsidR="005B74CA" w:rsidRPr="00B357D7">
        <w:rPr>
          <w:rFonts w:cs="Arial"/>
          <w:lang w:val="fr-FR"/>
        </w:rPr>
        <w:t xml:space="preserve">., intitulé </w:t>
      </w:r>
      <w:r w:rsidR="003608E2" w:rsidRPr="00B357D7">
        <w:rPr>
          <w:rFonts w:cs="Arial"/>
          <w:lang w:val="fr-FR"/>
        </w:rPr>
        <w:t>“</w:t>
      </w:r>
      <w:r w:rsidR="00BC20F5">
        <w:rPr>
          <w:rFonts w:cs="Arial"/>
          <w:lang w:val="fr-FR"/>
        </w:rPr>
        <w:t>C</w:t>
      </w:r>
      <w:r w:rsidR="005B74CA" w:rsidRPr="00B357D7">
        <w:rPr>
          <w:rFonts w:cs="Arial"/>
          <w:lang w:val="fr-FR"/>
        </w:rPr>
        <w:t>ompte rendu révisé</w:t>
      </w:r>
      <w:r w:rsidR="003608E2" w:rsidRPr="00B357D7">
        <w:rPr>
          <w:rFonts w:cs="Arial"/>
          <w:lang w:val="fr-FR"/>
        </w:rPr>
        <w:t>”</w:t>
      </w:r>
      <w:r w:rsidR="005B74CA" w:rsidRPr="00B357D7">
        <w:rPr>
          <w:rFonts w:cs="Arial"/>
          <w:lang w:val="fr-FR"/>
        </w:rPr>
        <w:t>).</w:t>
      </w:r>
    </w:p>
    <w:p w:rsidR="00AA7D33" w:rsidRPr="00B357D7" w:rsidRDefault="00AA7D33" w:rsidP="00F56A94">
      <w:pPr>
        <w:tabs>
          <w:tab w:val="left" w:pos="567"/>
        </w:tabs>
        <w:autoSpaceDE w:val="0"/>
        <w:autoSpaceDN w:val="0"/>
        <w:adjustRightInd w:val="0"/>
        <w:rPr>
          <w:rFonts w:cs="Arial"/>
          <w:lang w:val="fr-FR"/>
        </w:rPr>
      </w:pPr>
    </w:p>
    <w:p w:rsidR="009143C1" w:rsidRPr="00B357D7" w:rsidRDefault="00C6260C" w:rsidP="00F56A94">
      <w:pPr>
        <w:rPr>
          <w:lang w:val="fr-FR"/>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rPr>
        <w:tab/>
      </w:r>
      <w:r w:rsidR="00E0177C" w:rsidRPr="00B357D7">
        <w:rPr>
          <w:lang w:val="fr-FR"/>
        </w:rPr>
        <w:t>Le</w:t>
      </w:r>
      <w:r w:rsidR="009143C1" w:rsidRPr="00B357D7">
        <w:rPr>
          <w:lang w:val="fr-FR"/>
        </w:rPr>
        <w:t> TC</w:t>
      </w:r>
      <w:r w:rsidR="00E0177C" w:rsidRPr="00B357D7">
        <w:rPr>
          <w:lang w:val="fr-FR"/>
        </w:rPr>
        <w:t xml:space="preserve"> est convenu de demander aux experts des membres de l</w:t>
      </w:r>
      <w:r w:rsidR="009143C1" w:rsidRPr="00B357D7">
        <w:rPr>
          <w:lang w:val="fr-FR"/>
        </w:rPr>
        <w:t>’</w:t>
      </w:r>
      <w:r w:rsidR="00E0177C" w:rsidRPr="00B357D7">
        <w:rPr>
          <w:lang w:val="fr-FR"/>
        </w:rPr>
        <w:t>UPOV de fournir des données au Royaume</w:t>
      </w:r>
      <w:r w:rsidR="00F56A94">
        <w:rPr>
          <w:lang w:val="fr-FR"/>
        </w:rPr>
        <w:noBreakHyphen/>
      </w:r>
      <w:r w:rsidR="00E0177C" w:rsidRPr="00B357D7">
        <w:rPr>
          <w:lang w:val="fr-FR"/>
        </w:rPr>
        <w:t>Uni en vue de la mise au point de la méthodologie pour exclure les variétés notoirement connues du second cycle de végétation lorsque la méthode COYD est appliquée, comme qu</w:t>
      </w:r>
      <w:r w:rsidR="009143C1" w:rsidRPr="00B357D7">
        <w:rPr>
          <w:lang w:val="fr-FR"/>
        </w:rPr>
        <w:t>’</w:t>
      </w:r>
      <w:r w:rsidR="00E0177C" w:rsidRPr="00B357D7">
        <w:rPr>
          <w:lang w:val="fr-FR"/>
        </w:rPr>
        <w:t xml:space="preserve">indiqué au </w:t>
      </w:r>
      <w:r w:rsidR="009143C1" w:rsidRPr="00B357D7">
        <w:rPr>
          <w:lang w:val="fr-FR"/>
        </w:rPr>
        <w:t>paragraphe 6</w:t>
      </w:r>
      <w:r w:rsidR="00E0177C" w:rsidRPr="00B357D7">
        <w:rPr>
          <w:lang w:val="fr-FR"/>
        </w:rPr>
        <w:t xml:space="preserve"> du </w:t>
      </w:r>
      <w:r w:rsidR="009143C1" w:rsidRPr="00B357D7">
        <w:rPr>
          <w:lang w:val="fr-FR"/>
        </w:rPr>
        <w:t>document TC</w:t>
      </w:r>
      <w:r w:rsidR="00E0177C" w:rsidRPr="00B357D7">
        <w:rPr>
          <w:lang w:val="fr-FR"/>
        </w:rPr>
        <w:t xml:space="preserve">/52/3. </w:t>
      </w:r>
      <w:r w:rsidR="003608E2" w:rsidRPr="00B357D7">
        <w:rPr>
          <w:lang w:val="fr-FR"/>
        </w:rPr>
        <w:t xml:space="preserve"> </w:t>
      </w:r>
      <w:r w:rsidR="00E0177C" w:rsidRPr="00B357D7">
        <w:rPr>
          <w:lang w:val="fr-FR"/>
        </w:rPr>
        <w:t>Le</w:t>
      </w:r>
      <w:r w:rsidR="009143C1" w:rsidRPr="00B357D7">
        <w:rPr>
          <w:lang w:val="fr-FR"/>
        </w:rPr>
        <w:t> TC</w:t>
      </w:r>
      <w:r w:rsidR="00E0177C" w:rsidRPr="00B357D7">
        <w:rPr>
          <w:lang w:val="fr-FR"/>
        </w:rPr>
        <w:t xml:space="preserve"> a noté que le Bureau de l</w:t>
      </w:r>
      <w:r w:rsidR="009143C1" w:rsidRPr="00B357D7">
        <w:rPr>
          <w:lang w:val="fr-FR"/>
        </w:rPr>
        <w:t>’</w:t>
      </w:r>
      <w:r w:rsidR="00E0177C" w:rsidRPr="00B357D7">
        <w:rPr>
          <w:lang w:val="fr-FR"/>
        </w:rPr>
        <w:t xml:space="preserve">Union diffuserait une circulaire sollicitant des contributions de </w:t>
      </w:r>
      <w:r w:rsidR="006754B0" w:rsidRPr="00B357D7">
        <w:rPr>
          <w:lang w:val="fr-FR"/>
        </w:rPr>
        <w:t>jeux</w:t>
      </w:r>
      <w:r w:rsidR="00E0177C" w:rsidRPr="00B357D7">
        <w:rPr>
          <w:lang w:val="fr-FR"/>
        </w:rPr>
        <w:t xml:space="preserve"> de données.</w:t>
      </w:r>
    </w:p>
    <w:p w:rsidR="00AA7D33" w:rsidRPr="00B357D7" w:rsidRDefault="00AA7D33" w:rsidP="00F56A94">
      <w:pPr>
        <w:rPr>
          <w:lang w:val="fr-FR"/>
        </w:rPr>
      </w:pPr>
    </w:p>
    <w:p w:rsidR="00AA7D33" w:rsidRPr="00B357D7" w:rsidRDefault="00C6260C" w:rsidP="00F56A94">
      <w:pPr>
        <w:rPr>
          <w:lang w:val="fr-FR"/>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rPr>
        <w:tab/>
      </w:r>
      <w:r w:rsidR="00E0177C" w:rsidRPr="00B357D7">
        <w:rPr>
          <w:lang w:val="fr-FR"/>
        </w:rPr>
        <w:t>Le</w:t>
      </w:r>
      <w:r w:rsidR="009143C1" w:rsidRPr="00B357D7">
        <w:rPr>
          <w:lang w:val="fr-FR"/>
        </w:rPr>
        <w:t> TC</w:t>
      </w:r>
      <w:r w:rsidR="00E0177C" w:rsidRPr="00B357D7">
        <w:rPr>
          <w:lang w:val="fr-FR"/>
        </w:rPr>
        <w:t xml:space="preserve"> est convenu d</w:t>
      </w:r>
      <w:r w:rsidR="009143C1" w:rsidRPr="00B357D7">
        <w:rPr>
          <w:lang w:val="fr-FR"/>
        </w:rPr>
        <w:t>’</w:t>
      </w:r>
      <w:r w:rsidR="00E0177C" w:rsidRPr="00B357D7">
        <w:rPr>
          <w:lang w:val="fr-FR"/>
        </w:rPr>
        <w:t xml:space="preserve">inscrire </w:t>
      </w:r>
      <w:r w:rsidR="00942196" w:rsidRPr="00B357D7">
        <w:rPr>
          <w:lang w:val="fr-FR"/>
        </w:rPr>
        <w:t>la question de l</w:t>
      </w:r>
      <w:r w:rsidR="009143C1" w:rsidRPr="00B357D7">
        <w:rPr>
          <w:lang w:val="fr-FR"/>
        </w:rPr>
        <w:t>’</w:t>
      </w:r>
      <w:r w:rsidR="00942196" w:rsidRPr="00B357D7">
        <w:rPr>
          <w:lang w:val="fr-FR"/>
        </w:rPr>
        <w:t>élaboration</w:t>
      </w:r>
      <w:r w:rsidR="00E0177C" w:rsidRPr="00B357D7">
        <w:rPr>
          <w:lang w:val="fr-FR"/>
        </w:rPr>
        <w:t xml:space="preserve"> de seuils calculés </w:t>
      </w:r>
      <w:r w:rsidR="00942196" w:rsidRPr="00B357D7">
        <w:rPr>
          <w:lang w:val="fr-FR"/>
        </w:rPr>
        <w:t>en vue de l</w:t>
      </w:r>
      <w:r w:rsidR="009143C1" w:rsidRPr="00B357D7">
        <w:rPr>
          <w:lang w:val="fr-FR"/>
        </w:rPr>
        <w:t>’</w:t>
      </w:r>
      <w:r w:rsidR="00942196" w:rsidRPr="00B357D7">
        <w:rPr>
          <w:lang w:val="fr-FR"/>
        </w:rPr>
        <w:t>exclusion d</w:t>
      </w:r>
      <w:r w:rsidR="00E0177C" w:rsidRPr="00B357D7">
        <w:rPr>
          <w:lang w:val="fr-FR"/>
        </w:rPr>
        <w:t>es variétés notoirement connues du second cycle de végétation lorsque la méthode COYD est appliquée à l</w:t>
      </w:r>
      <w:r w:rsidR="009143C1" w:rsidRPr="00B357D7">
        <w:rPr>
          <w:lang w:val="fr-FR"/>
        </w:rPr>
        <w:t>’</w:t>
      </w:r>
      <w:r w:rsidR="00E0177C" w:rsidRPr="00B357D7">
        <w:rPr>
          <w:lang w:val="fr-FR"/>
        </w:rPr>
        <w:t>ordre du jour de la cinquante</w:t>
      </w:r>
      <w:r w:rsidR="00F56A94">
        <w:rPr>
          <w:lang w:val="fr-FR"/>
        </w:rPr>
        <w:noBreakHyphen/>
      </w:r>
      <w:r w:rsidR="00E0177C" w:rsidRPr="00B357D7">
        <w:rPr>
          <w:lang w:val="fr-FR"/>
        </w:rPr>
        <w:t>trois</w:t>
      </w:r>
      <w:r w:rsidR="009143C1" w:rsidRPr="00B357D7">
        <w:rPr>
          <w:lang w:val="fr-FR"/>
        </w:rPr>
        <w:t>ième session</w:t>
      </w:r>
      <w:r w:rsidR="00E0177C" w:rsidRPr="00B357D7">
        <w:rPr>
          <w:lang w:val="fr-FR"/>
        </w:rPr>
        <w:t xml:space="preserve"> du</w:t>
      </w:r>
      <w:r w:rsidR="009143C1" w:rsidRPr="00B357D7">
        <w:rPr>
          <w:lang w:val="fr-FR"/>
        </w:rPr>
        <w:t> TC</w:t>
      </w:r>
      <w:r w:rsidR="00E0177C" w:rsidRPr="00B357D7">
        <w:rPr>
          <w:lang w:val="fr-FR"/>
        </w:rPr>
        <w:t xml:space="preserve"> </w:t>
      </w:r>
      <w:r w:rsidR="00942196" w:rsidRPr="00B357D7">
        <w:rPr>
          <w:lang w:val="fr-FR"/>
        </w:rPr>
        <w:t>sur la base d</w:t>
      </w:r>
      <w:r w:rsidR="009143C1" w:rsidRPr="00B357D7">
        <w:rPr>
          <w:lang w:val="fr-FR"/>
        </w:rPr>
        <w:t>’</w:t>
      </w:r>
      <w:r w:rsidR="00942196" w:rsidRPr="00B357D7">
        <w:rPr>
          <w:lang w:val="fr-FR"/>
        </w:rPr>
        <w:t>un document qui sera établi par</w:t>
      </w:r>
      <w:r w:rsidR="00E0177C" w:rsidRPr="00B357D7">
        <w:rPr>
          <w:lang w:val="fr-FR"/>
        </w:rPr>
        <w:t xml:space="preserve"> le </w:t>
      </w:r>
      <w:r w:rsidR="00942196" w:rsidRPr="00B357D7">
        <w:rPr>
          <w:lang w:val="fr-FR"/>
        </w:rPr>
        <w:t>Royaume</w:t>
      </w:r>
      <w:r w:rsidR="00F56A94">
        <w:rPr>
          <w:lang w:val="fr-FR"/>
        </w:rPr>
        <w:noBreakHyphen/>
      </w:r>
      <w:r w:rsidR="00942196" w:rsidRPr="00B357D7">
        <w:rPr>
          <w:lang w:val="fr-FR"/>
        </w:rPr>
        <w:t>Uni</w:t>
      </w:r>
      <w:r w:rsidR="00E0177C" w:rsidRPr="00B357D7">
        <w:rPr>
          <w:lang w:val="fr-FR"/>
        </w:rPr>
        <w:t>.</w:t>
      </w:r>
    </w:p>
    <w:p w:rsidR="00AA7D33" w:rsidRPr="00B357D7" w:rsidRDefault="00AA7D33" w:rsidP="00F56A94">
      <w:pPr>
        <w:tabs>
          <w:tab w:val="left" w:pos="567"/>
        </w:tabs>
        <w:autoSpaceDE w:val="0"/>
        <w:autoSpaceDN w:val="0"/>
        <w:adjustRightInd w:val="0"/>
        <w:rPr>
          <w:rFonts w:cs="Arial"/>
          <w:lang w:val="fr-FR"/>
        </w:rPr>
      </w:pPr>
    </w:p>
    <w:p w:rsidR="00AA7D33" w:rsidRPr="00B357D7" w:rsidRDefault="001928F5" w:rsidP="00F56A94">
      <w:pPr>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C853AA" w:rsidRPr="00B357D7">
        <w:rPr>
          <w:lang w:val="fr-FR" w:eastAsia="ja-JP"/>
        </w:rPr>
        <w:t>Au moyen d</w:t>
      </w:r>
      <w:r w:rsidR="009143C1" w:rsidRPr="00B357D7">
        <w:rPr>
          <w:lang w:val="fr-FR" w:eastAsia="ja-JP"/>
        </w:rPr>
        <w:t>’</w:t>
      </w:r>
      <w:r w:rsidR="00C853AA" w:rsidRPr="00B357D7">
        <w:rPr>
          <w:lang w:val="fr-FR" w:eastAsia="ja-JP"/>
        </w:rPr>
        <w:t>une circulaire émise le 1</w:t>
      </w:r>
      <w:r w:rsidR="009143C1" w:rsidRPr="00B357D7">
        <w:rPr>
          <w:lang w:val="fr-FR" w:eastAsia="ja-JP"/>
        </w:rPr>
        <w:t>3 avril</w:t>
      </w:r>
      <w:r w:rsidR="00C853AA" w:rsidRPr="00B357D7">
        <w:rPr>
          <w:lang w:val="fr-FR" w:eastAsia="ja-JP"/>
        </w:rPr>
        <w:t> 2016, les membres du</w:t>
      </w:r>
      <w:r w:rsidR="009143C1" w:rsidRPr="00B357D7">
        <w:rPr>
          <w:lang w:val="fr-FR" w:eastAsia="ja-JP"/>
        </w:rPr>
        <w:t> TC</w:t>
      </w:r>
      <w:r w:rsidR="00C853AA" w:rsidRPr="00B357D7">
        <w:rPr>
          <w:lang w:val="fr-FR" w:eastAsia="ja-JP"/>
        </w:rPr>
        <w:t xml:space="preserve"> et des TWP ont été invités à fournir au Royaume</w:t>
      </w:r>
      <w:r w:rsidR="00F56A94">
        <w:rPr>
          <w:lang w:val="fr-FR" w:eastAsia="ja-JP"/>
        </w:rPr>
        <w:noBreakHyphen/>
      </w:r>
      <w:r w:rsidR="00C853AA" w:rsidRPr="00B357D7">
        <w:rPr>
          <w:lang w:val="fr-FR" w:eastAsia="ja-JP"/>
        </w:rPr>
        <w:t xml:space="preserve">Uni les </w:t>
      </w:r>
      <w:r w:rsidR="00942196" w:rsidRPr="00B357D7">
        <w:rPr>
          <w:lang w:val="fr-FR" w:eastAsia="ja-JP"/>
        </w:rPr>
        <w:t>jeux</w:t>
      </w:r>
      <w:r w:rsidR="00C853AA" w:rsidRPr="00B357D7">
        <w:rPr>
          <w:lang w:val="fr-FR" w:eastAsia="ja-JP"/>
        </w:rPr>
        <w:t xml:space="preserve"> de données ci</w:t>
      </w:r>
      <w:r w:rsidR="00F56A94">
        <w:rPr>
          <w:lang w:val="fr-FR" w:eastAsia="ja-JP"/>
        </w:rPr>
        <w:noBreakHyphen/>
      </w:r>
      <w:r w:rsidR="00C853AA" w:rsidRPr="00B357D7">
        <w:rPr>
          <w:lang w:val="fr-FR" w:eastAsia="ja-JP"/>
        </w:rPr>
        <w:t xml:space="preserve">après en vue de </w:t>
      </w:r>
      <w:r w:rsidR="00942196" w:rsidRPr="00B357D7">
        <w:rPr>
          <w:lang w:val="fr-FR" w:eastAsia="ja-JP"/>
        </w:rPr>
        <w:t>l</w:t>
      </w:r>
      <w:r w:rsidR="009143C1" w:rsidRPr="00B357D7">
        <w:rPr>
          <w:lang w:val="fr-FR" w:eastAsia="ja-JP"/>
        </w:rPr>
        <w:t>’</w:t>
      </w:r>
      <w:r w:rsidR="00942196" w:rsidRPr="00B357D7">
        <w:rPr>
          <w:lang w:val="fr-FR" w:eastAsia="ja-JP"/>
        </w:rPr>
        <w:t>élaboration</w:t>
      </w:r>
      <w:r w:rsidR="00C853AA" w:rsidRPr="00B357D7">
        <w:rPr>
          <w:lang w:val="fr-FR" w:eastAsia="ja-JP"/>
        </w:rPr>
        <w:t xml:space="preserve"> de la méthodologie </w:t>
      </w:r>
      <w:r w:rsidR="00942196" w:rsidRPr="00B357D7">
        <w:rPr>
          <w:lang w:val="fr-FR" w:eastAsia="ja-JP"/>
        </w:rPr>
        <w:t>visant à</w:t>
      </w:r>
      <w:r w:rsidR="00C853AA" w:rsidRPr="00B357D7">
        <w:rPr>
          <w:lang w:val="fr-FR" w:eastAsia="ja-JP"/>
        </w:rPr>
        <w:t xml:space="preserve"> exclure les variétés notoirement connues du second cycle de végétation lorsque la méthode COYD est appliquée (voir la circulaire E</w:t>
      </w:r>
      <w:r w:rsidR="00F56A94">
        <w:rPr>
          <w:lang w:val="fr-FR" w:eastAsia="ja-JP"/>
        </w:rPr>
        <w:noBreakHyphen/>
      </w:r>
      <w:r w:rsidR="00C853AA" w:rsidRPr="00B357D7">
        <w:rPr>
          <w:lang w:val="fr-FR" w:eastAsia="ja-JP"/>
        </w:rPr>
        <w:t>16/098).</w:t>
      </w:r>
    </w:p>
    <w:p w:rsidR="00AA7D33" w:rsidRDefault="00AA7D33" w:rsidP="00F56A94">
      <w:pPr>
        <w:rPr>
          <w:lang w:val="fr-FR" w:eastAsia="ja-JP"/>
        </w:rPr>
      </w:pPr>
    </w:p>
    <w:p w:rsidR="00F56A94" w:rsidRPr="00B357D7" w:rsidRDefault="00F56A94" w:rsidP="00F56A94">
      <w:pPr>
        <w:rPr>
          <w:lang w:val="fr-FR" w:eastAsia="ja-JP"/>
        </w:rPr>
      </w:pPr>
    </w:p>
    <w:p w:rsidR="00AA7D33" w:rsidRPr="00B357D7" w:rsidRDefault="00C853AA" w:rsidP="00F56A94">
      <w:pPr>
        <w:pStyle w:val="Heading1"/>
        <w:rPr>
          <w:lang w:val="fr-FR"/>
        </w:rPr>
      </w:pPr>
      <w:bookmarkStart w:id="5" w:name="_Toc475953034"/>
      <w:r w:rsidRPr="00B357D7">
        <w:rPr>
          <w:lang w:val="fr-FR"/>
        </w:rPr>
        <w:t>Groupe de travail technique sur les systèmes d</w:t>
      </w:r>
      <w:r w:rsidR="009143C1" w:rsidRPr="00B357D7">
        <w:rPr>
          <w:lang w:val="fr-FR"/>
        </w:rPr>
        <w:t>’</w:t>
      </w:r>
      <w:r w:rsidRPr="00B357D7">
        <w:rPr>
          <w:lang w:val="fr-FR"/>
        </w:rPr>
        <w:t>automatisation et les programmes d</w:t>
      </w:r>
      <w:r w:rsidR="009143C1" w:rsidRPr="00B357D7">
        <w:rPr>
          <w:lang w:val="fr-FR"/>
        </w:rPr>
        <w:t>’</w:t>
      </w:r>
      <w:r w:rsidRPr="00B357D7">
        <w:rPr>
          <w:lang w:val="fr-FR"/>
        </w:rPr>
        <w:t>ordinateur</w:t>
      </w:r>
      <w:bookmarkEnd w:id="5"/>
    </w:p>
    <w:p w:rsidR="00AA7D33" w:rsidRPr="00B357D7" w:rsidRDefault="00AA7D33" w:rsidP="00F56A94">
      <w:pPr>
        <w:rPr>
          <w:lang w:val="fr-FR" w:eastAsia="ja-JP"/>
        </w:rPr>
      </w:pPr>
    </w:p>
    <w:p w:rsidR="00AA7D33" w:rsidRPr="00B357D7" w:rsidRDefault="005F2E0A" w:rsidP="00F56A94">
      <w:pPr>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C853AA" w:rsidRPr="00B357D7">
        <w:rPr>
          <w:lang w:val="fr-FR" w:eastAsia="ja-JP"/>
        </w:rPr>
        <w:t>Le TWC, à sa trente</w:t>
      </w:r>
      <w:r w:rsidR="00F56A94">
        <w:rPr>
          <w:lang w:val="fr-FR" w:eastAsia="ja-JP"/>
        </w:rPr>
        <w:noBreakHyphen/>
      </w:r>
      <w:r w:rsidR="00C853AA" w:rsidRPr="00B357D7">
        <w:rPr>
          <w:lang w:val="fr-FR" w:eastAsia="ja-JP"/>
        </w:rPr>
        <w:t>quatr</w:t>
      </w:r>
      <w:r w:rsidR="009143C1" w:rsidRPr="00B357D7">
        <w:rPr>
          <w:lang w:val="fr-FR" w:eastAsia="ja-JP"/>
        </w:rPr>
        <w:t>ième session</w:t>
      </w:r>
      <w:r w:rsidR="00C853AA" w:rsidRPr="00B357D7">
        <w:rPr>
          <w:lang w:val="fr-FR" w:eastAsia="ja-JP"/>
        </w:rPr>
        <w:t xml:space="preserve"> tenue à Shanghai (Chine) du 6 au 1</w:t>
      </w:r>
      <w:r w:rsidR="009143C1" w:rsidRPr="00B357D7">
        <w:rPr>
          <w:lang w:val="fr-FR" w:eastAsia="ja-JP"/>
        </w:rPr>
        <w:t>0 juin 20</w:t>
      </w:r>
      <w:r w:rsidR="00C853AA" w:rsidRPr="00B357D7">
        <w:rPr>
          <w:lang w:val="fr-FR" w:eastAsia="ja-JP"/>
        </w:rPr>
        <w:t xml:space="preserve">16, a pris note des informations présentées dans le </w:t>
      </w:r>
      <w:r w:rsidR="005D27CE" w:rsidRPr="00B357D7">
        <w:rPr>
          <w:lang w:val="fr-FR" w:eastAsia="ja-JP"/>
        </w:rPr>
        <w:t>document</w:t>
      </w:r>
      <w:r w:rsidR="00C853AA" w:rsidRPr="00B357D7">
        <w:rPr>
          <w:lang w:val="fr-FR" w:eastAsia="ja-JP"/>
        </w:rPr>
        <w:t xml:space="preserve"> TWC/34/8</w:t>
      </w:r>
      <w:r w:rsidR="005A65B7" w:rsidRPr="00B357D7">
        <w:rPr>
          <w:lang w:val="fr-FR" w:eastAsia="ja-JP"/>
        </w:rPr>
        <w:t>, intitulé “</w:t>
      </w:r>
      <w:proofErr w:type="spellStart"/>
      <w:r w:rsidR="005A65B7" w:rsidRPr="00BC20F5">
        <w:rPr>
          <w:i/>
          <w:lang w:val="fr-FR"/>
        </w:rPr>
        <w:t>Excluding</w:t>
      </w:r>
      <w:proofErr w:type="spellEnd"/>
      <w:r w:rsidR="005A65B7" w:rsidRPr="00BC20F5">
        <w:rPr>
          <w:i/>
          <w:lang w:val="fr-FR"/>
        </w:rPr>
        <w:t xml:space="preserve"> </w:t>
      </w:r>
      <w:proofErr w:type="spellStart"/>
      <w:r w:rsidR="005A65B7" w:rsidRPr="00BC20F5">
        <w:rPr>
          <w:i/>
          <w:lang w:val="fr-FR"/>
        </w:rPr>
        <w:t>varieties</w:t>
      </w:r>
      <w:proofErr w:type="spellEnd"/>
      <w:r w:rsidR="005A65B7" w:rsidRPr="00BC20F5">
        <w:rPr>
          <w:i/>
          <w:lang w:val="fr-FR"/>
        </w:rPr>
        <w:t xml:space="preserve"> of </w:t>
      </w:r>
      <w:proofErr w:type="spellStart"/>
      <w:r w:rsidR="005A65B7" w:rsidRPr="00BC20F5">
        <w:rPr>
          <w:i/>
          <w:lang w:val="fr-FR"/>
        </w:rPr>
        <w:t>common</w:t>
      </w:r>
      <w:proofErr w:type="spellEnd"/>
      <w:r w:rsidR="005A65B7" w:rsidRPr="00BC20F5">
        <w:rPr>
          <w:i/>
          <w:lang w:val="fr-FR"/>
        </w:rPr>
        <w:t xml:space="preserve"> </w:t>
      </w:r>
      <w:proofErr w:type="spellStart"/>
      <w:r w:rsidR="005A65B7" w:rsidRPr="00BC20F5">
        <w:rPr>
          <w:i/>
          <w:lang w:val="fr-FR"/>
        </w:rPr>
        <w:t>knowledge</w:t>
      </w:r>
      <w:proofErr w:type="spellEnd"/>
      <w:r w:rsidR="005A65B7" w:rsidRPr="00BC20F5">
        <w:rPr>
          <w:i/>
          <w:lang w:val="fr-FR"/>
        </w:rPr>
        <w:t xml:space="preserve"> </w:t>
      </w:r>
      <w:proofErr w:type="spellStart"/>
      <w:r w:rsidR="005A65B7" w:rsidRPr="00BC20F5">
        <w:rPr>
          <w:i/>
          <w:lang w:val="fr-FR"/>
        </w:rPr>
        <w:t>from</w:t>
      </w:r>
      <w:proofErr w:type="spellEnd"/>
      <w:r w:rsidR="005A65B7" w:rsidRPr="00BC20F5">
        <w:rPr>
          <w:i/>
          <w:lang w:val="fr-FR"/>
        </w:rPr>
        <w:t xml:space="preserve"> the second </w:t>
      </w:r>
      <w:proofErr w:type="spellStart"/>
      <w:r w:rsidR="005A65B7" w:rsidRPr="00BC20F5">
        <w:rPr>
          <w:i/>
          <w:lang w:val="fr-FR"/>
        </w:rPr>
        <w:t>growing</w:t>
      </w:r>
      <w:proofErr w:type="spellEnd"/>
      <w:r w:rsidR="005A65B7" w:rsidRPr="00BC20F5">
        <w:rPr>
          <w:i/>
          <w:lang w:val="fr-FR"/>
        </w:rPr>
        <w:t xml:space="preserve"> cycle </w:t>
      </w:r>
      <w:proofErr w:type="spellStart"/>
      <w:r w:rsidR="005A65B7" w:rsidRPr="00BC20F5">
        <w:rPr>
          <w:i/>
          <w:lang w:val="fr-FR"/>
        </w:rPr>
        <w:t>when</w:t>
      </w:r>
      <w:proofErr w:type="spellEnd"/>
      <w:r w:rsidR="005A65B7" w:rsidRPr="00BC20F5">
        <w:rPr>
          <w:i/>
          <w:lang w:val="fr-FR"/>
        </w:rPr>
        <w:t xml:space="preserve"> COYD </w:t>
      </w:r>
      <w:proofErr w:type="spellStart"/>
      <w:r w:rsidR="005A65B7" w:rsidRPr="00BC20F5">
        <w:rPr>
          <w:i/>
          <w:lang w:val="fr-FR"/>
        </w:rPr>
        <w:t>is</w:t>
      </w:r>
      <w:proofErr w:type="spellEnd"/>
      <w:r w:rsidR="005A65B7" w:rsidRPr="00BC20F5">
        <w:rPr>
          <w:i/>
          <w:lang w:val="fr-FR"/>
        </w:rPr>
        <w:t xml:space="preserve"> </w:t>
      </w:r>
      <w:proofErr w:type="spellStart"/>
      <w:r w:rsidR="005A65B7" w:rsidRPr="00BC20F5">
        <w:rPr>
          <w:i/>
          <w:lang w:val="fr-FR"/>
        </w:rPr>
        <w:t>used</w:t>
      </w:r>
      <w:proofErr w:type="spellEnd"/>
      <w:r w:rsidR="005A65B7" w:rsidRPr="00B357D7">
        <w:rPr>
          <w:lang w:val="fr-FR"/>
        </w:rPr>
        <w:t xml:space="preserve">” (voir les </w:t>
      </w:r>
      <w:r w:rsidR="009143C1" w:rsidRPr="00B357D7">
        <w:rPr>
          <w:lang w:val="fr-FR"/>
        </w:rPr>
        <w:t>paragraphes 8</w:t>
      </w:r>
      <w:r w:rsidR="005A65B7" w:rsidRPr="00B357D7">
        <w:rPr>
          <w:lang w:val="fr-FR"/>
        </w:rPr>
        <w:t>3 à 85 du document TWC/34/32, intitulé “Report”)</w:t>
      </w:r>
      <w:r w:rsidR="005A65B7" w:rsidRPr="00B357D7">
        <w:rPr>
          <w:lang w:val="fr-FR" w:eastAsia="ja-JP"/>
        </w:rPr>
        <w:t>.</w:t>
      </w:r>
    </w:p>
    <w:p w:rsidR="00AA7D33" w:rsidRPr="00B357D7" w:rsidRDefault="00AA7D33" w:rsidP="00F56A94">
      <w:pPr>
        <w:rPr>
          <w:lang w:val="fr-FR" w:eastAsia="ja-JP"/>
        </w:rPr>
      </w:pPr>
    </w:p>
    <w:p w:rsidR="00AA7D33" w:rsidRPr="00B357D7" w:rsidRDefault="005F2E0A" w:rsidP="00F56A94">
      <w:pPr>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F433EF" w:rsidRPr="00B357D7">
        <w:rPr>
          <w:lang w:val="fr-FR" w:eastAsia="ja-JP"/>
        </w:rPr>
        <w:t>Le TWC a assisté à un exposé présenté par un expert du Royaume</w:t>
      </w:r>
      <w:r w:rsidR="00F56A94">
        <w:rPr>
          <w:lang w:val="fr-FR" w:eastAsia="ja-JP"/>
        </w:rPr>
        <w:noBreakHyphen/>
      </w:r>
      <w:r w:rsidR="00F433EF" w:rsidRPr="00B357D7">
        <w:rPr>
          <w:lang w:val="fr-FR" w:eastAsia="ja-JP"/>
        </w:rPr>
        <w:t xml:space="preserve">Uni sur les </w:t>
      </w:r>
      <w:r w:rsidR="003608E2" w:rsidRPr="00B357D7">
        <w:rPr>
          <w:lang w:val="fr-FR" w:eastAsia="ja-JP"/>
        </w:rPr>
        <w:t>“</w:t>
      </w:r>
      <w:r w:rsidR="00F433EF" w:rsidRPr="00B357D7">
        <w:rPr>
          <w:lang w:val="fr-FR" w:eastAsia="ja-JP"/>
        </w:rPr>
        <w:t>seuils calculés aux fins d</w:t>
      </w:r>
      <w:r w:rsidR="009143C1" w:rsidRPr="00B357D7">
        <w:rPr>
          <w:lang w:val="fr-FR" w:eastAsia="ja-JP"/>
        </w:rPr>
        <w:t>’</w:t>
      </w:r>
      <w:r w:rsidR="00F433EF" w:rsidRPr="00B357D7">
        <w:rPr>
          <w:lang w:val="fr-FR" w:eastAsia="ja-JP"/>
        </w:rPr>
        <w:t>exclusion des variétés notoirement connues du second cycle de végétation lorsque l</w:t>
      </w:r>
      <w:r w:rsidR="009143C1" w:rsidRPr="00B357D7">
        <w:rPr>
          <w:lang w:val="fr-FR" w:eastAsia="ja-JP"/>
        </w:rPr>
        <w:t>’</w:t>
      </w:r>
      <w:r w:rsidR="00F433EF" w:rsidRPr="00B357D7">
        <w:rPr>
          <w:lang w:val="fr-FR" w:eastAsia="ja-JP"/>
        </w:rPr>
        <w:t>on applique la méthode COYD</w:t>
      </w:r>
      <w:r w:rsidR="003608E2" w:rsidRPr="00B357D7">
        <w:rPr>
          <w:lang w:val="fr-FR" w:eastAsia="ja-JP"/>
        </w:rPr>
        <w:t>”</w:t>
      </w:r>
      <w:r w:rsidR="00F433EF" w:rsidRPr="00B357D7">
        <w:rPr>
          <w:lang w:val="fr-FR" w:eastAsia="ja-JP"/>
        </w:rPr>
        <w:t xml:space="preserve"> dont une copie figure à l</w:t>
      </w:r>
      <w:r w:rsidR="009143C1" w:rsidRPr="00B357D7">
        <w:rPr>
          <w:lang w:val="fr-FR" w:eastAsia="ja-JP"/>
        </w:rPr>
        <w:t>’</w:t>
      </w:r>
      <w:r w:rsidR="00F433EF" w:rsidRPr="00B357D7">
        <w:rPr>
          <w:lang w:val="fr-FR" w:eastAsia="ja-JP"/>
        </w:rPr>
        <w:t>annexe du document TWC/34/8</w:t>
      </w:r>
      <w:r w:rsidR="003608E2" w:rsidRPr="00B357D7">
        <w:rPr>
          <w:lang w:val="fr-FR" w:eastAsia="ja-JP"/>
        </w:rPr>
        <w:t> </w:t>
      </w:r>
      <w:proofErr w:type="spellStart"/>
      <w:r w:rsidR="00F433EF" w:rsidRPr="00B357D7">
        <w:rPr>
          <w:lang w:val="fr-FR" w:eastAsia="ja-JP"/>
        </w:rPr>
        <w:t>Add</w:t>
      </w:r>
      <w:proofErr w:type="spellEnd"/>
      <w:r w:rsidR="00F433EF" w:rsidRPr="00B357D7">
        <w:rPr>
          <w:lang w:val="fr-FR" w:eastAsia="ja-JP"/>
        </w:rPr>
        <w:t>.</w:t>
      </w:r>
    </w:p>
    <w:p w:rsidR="00AA7D33" w:rsidRPr="00B357D7" w:rsidRDefault="00AA7D33" w:rsidP="00F56A94">
      <w:pPr>
        <w:rPr>
          <w:lang w:val="fr-FR" w:eastAsia="ja-JP"/>
        </w:rPr>
      </w:pPr>
    </w:p>
    <w:p w:rsidR="00AA7D33" w:rsidRPr="00B357D7" w:rsidRDefault="005F2E0A" w:rsidP="00F56A94">
      <w:pPr>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F433EF" w:rsidRPr="00B357D7">
        <w:rPr>
          <w:lang w:val="fr-FR" w:eastAsia="ja-JP"/>
        </w:rPr>
        <w:t xml:space="preserve">Le TWC a pris note de la demande de soumission </w:t>
      </w:r>
      <w:r w:rsidR="005A65B7" w:rsidRPr="00B357D7">
        <w:rPr>
          <w:lang w:val="fr-FR" w:eastAsia="ja-JP"/>
        </w:rPr>
        <w:t>de jeux</w:t>
      </w:r>
      <w:r w:rsidR="00F433EF" w:rsidRPr="00B357D7">
        <w:rPr>
          <w:lang w:val="fr-FR" w:eastAsia="ja-JP"/>
        </w:rPr>
        <w:t xml:space="preserve"> de données de différentes cultures pour l</w:t>
      </w:r>
      <w:r w:rsidR="009143C1" w:rsidRPr="00B357D7">
        <w:rPr>
          <w:lang w:val="fr-FR" w:eastAsia="ja-JP"/>
        </w:rPr>
        <w:t>’</w:t>
      </w:r>
      <w:r w:rsidR="00F433EF" w:rsidRPr="00B357D7">
        <w:rPr>
          <w:lang w:val="fr-FR" w:eastAsia="ja-JP"/>
        </w:rPr>
        <w:t xml:space="preserve">élaboration de la méthode susvisée et a remercié le Danemark, la Finlande, </w:t>
      </w:r>
      <w:r w:rsidR="005D27CE" w:rsidRPr="00B357D7">
        <w:rPr>
          <w:lang w:val="fr-FR" w:eastAsia="ja-JP"/>
        </w:rPr>
        <w:t>l</w:t>
      </w:r>
      <w:r w:rsidR="009143C1" w:rsidRPr="00B357D7">
        <w:rPr>
          <w:lang w:val="fr-FR" w:eastAsia="ja-JP"/>
        </w:rPr>
        <w:t>’</w:t>
      </w:r>
      <w:r w:rsidR="005D27CE" w:rsidRPr="00B357D7">
        <w:rPr>
          <w:lang w:val="fr-FR" w:eastAsia="ja-JP"/>
        </w:rPr>
        <w:t>Allemagne</w:t>
      </w:r>
      <w:r w:rsidR="00F433EF" w:rsidRPr="00B357D7">
        <w:rPr>
          <w:lang w:val="fr-FR" w:eastAsia="ja-JP"/>
        </w:rPr>
        <w:t xml:space="preserve"> et la Slovaquie de leur proposition de fournir des </w:t>
      </w:r>
      <w:r w:rsidR="005A65B7" w:rsidRPr="00B357D7">
        <w:rPr>
          <w:lang w:val="fr-FR" w:eastAsia="ja-JP"/>
        </w:rPr>
        <w:t>jeux</w:t>
      </w:r>
      <w:r w:rsidR="00F433EF" w:rsidRPr="00B357D7">
        <w:rPr>
          <w:lang w:val="fr-FR" w:eastAsia="ja-JP"/>
        </w:rPr>
        <w:t xml:space="preserve"> de donné</w:t>
      </w:r>
      <w:r w:rsidR="00B357D7" w:rsidRPr="00B357D7">
        <w:rPr>
          <w:lang w:val="fr-FR" w:eastAsia="ja-JP"/>
        </w:rPr>
        <w:t>es.  Le</w:t>
      </w:r>
      <w:r w:rsidR="009143C1" w:rsidRPr="00B357D7">
        <w:rPr>
          <w:lang w:val="fr-FR" w:eastAsia="ja-JP"/>
        </w:rPr>
        <w:t> TWC</w:t>
      </w:r>
      <w:r w:rsidR="0057185E" w:rsidRPr="00B357D7">
        <w:rPr>
          <w:lang w:val="fr-FR" w:eastAsia="ja-JP"/>
        </w:rPr>
        <w:t xml:space="preserve"> a indiqué qu</w:t>
      </w:r>
      <w:r w:rsidR="009143C1" w:rsidRPr="00B357D7">
        <w:rPr>
          <w:lang w:val="fr-FR" w:eastAsia="ja-JP"/>
        </w:rPr>
        <w:t>’</w:t>
      </w:r>
      <w:r w:rsidR="0057185E" w:rsidRPr="00B357D7">
        <w:rPr>
          <w:lang w:val="fr-FR" w:eastAsia="ja-JP"/>
        </w:rPr>
        <w:t>un logiciel en vue de calculer les seuils aux fins de l</w:t>
      </w:r>
      <w:r w:rsidR="009143C1" w:rsidRPr="00B357D7">
        <w:rPr>
          <w:lang w:val="fr-FR" w:eastAsia="ja-JP"/>
        </w:rPr>
        <w:t>’</w:t>
      </w:r>
      <w:r w:rsidR="0057185E" w:rsidRPr="00B357D7">
        <w:rPr>
          <w:lang w:val="fr-FR" w:eastAsia="ja-JP"/>
        </w:rPr>
        <w:t>exclusion de variétés serait élaboré pour faciliter l</w:t>
      </w:r>
      <w:r w:rsidR="009143C1" w:rsidRPr="00B357D7">
        <w:rPr>
          <w:lang w:val="fr-FR" w:eastAsia="ja-JP"/>
        </w:rPr>
        <w:t>’</w:t>
      </w:r>
      <w:r w:rsidR="0057185E" w:rsidRPr="00B357D7">
        <w:rPr>
          <w:lang w:val="fr-FR" w:eastAsia="ja-JP"/>
        </w:rPr>
        <w:t>application de la méthode et que l</w:t>
      </w:r>
      <w:r w:rsidR="009143C1" w:rsidRPr="00B357D7">
        <w:rPr>
          <w:lang w:val="fr-FR" w:eastAsia="ja-JP"/>
        </w:rPr>
        <w:t>’</w:t>
      </w:r>
      <w:r w:rsidR="0057185E" w:rsidRPr="00B357D7">
        <w:rPr>
          <w:lang w:val="fr-FR" w:eastAsia="ja-JP"/>
        </w:rPr>
        <w:t>on prévoirait la possibilité de l</w:t>
      </w:r>
      <w:r w:rsidR="009143C1" w:rsidRPr="00B357D7">
        <w:rPr>
          <w:lang w:val="fr-FR" w:eastAsia="ja-JP"/>
        </w:rPr>
        <w:t>’</w:t>
      </w:r>
      <w:r w:rsidR="0057185E" w:rsidRPr="00B357D7">
        <w:rPr>
          <w:lang w:val="fr-FR" w:eastAsia="ja-JP"/>
        </w:rPr>
        <w:t>intégrer dans le logiciel GAIA.</w:t>
      </w:r>
    </w:p>
    <w:p w:rsidR="00AA7D33" w:rsidRPr="00B357D7" w:rsidRDefault="00AA7D33" w:rsidP="00F56A94">
      <w:pPr>
        <w:rPr>
          <w:lang w:val="fr-FR" w:eastAsia="ja-JP"/>
        </w:rPr>
      </w:pPr>
    </w:p>
    <w:p w:rsidR="009143C1" w:rsidRPr="00B357D7" w:rsidRDefault="002B5749" w:rsidP="00F56A94">
      <w:pPr>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57185E" w:rsidRPr="00B357D7">
        <w:rPr>
          <w:lang w:val="fr-FR" w:eastAsia="ja-JP"/>
        </w:rPr>
        <w:t>Le 2</w:t>
      </w:r>
      <w:r w:rsidR="009143C1" w:rsidRPr="00B357D7">
        <w:rPr>
          <w:lang w:val="fr-FR" w:eastAsia="ja-JP"/>
        </w:rPr>
        <w:t>6 janvier 20</w:t>
      </w:r>
      <w:r w:rsidR="0057185E" w:rsidRPr="00B357D7">
        <w:rPr>
          <w:lang w:val="fr-FR" w:eastAsia="ja-JP"/>
        </w:rPr>
        <w:t>17, le Bureau de l</w:t>
      </w:r>
      <w:r w:rsidR="009143C1" w:rsidRPr="00B357D7">
        <w:rPr>
          <w:lang w:val="fr-FR" w:eastAsia="ja-JP"/>
        </w:rPr>
        <w:t>’</w:t>
      </w:r>
      <w:r w:rsidR="0057185E" w:rsidRPr="00B357D7">
        <w:rPr>
          <w:lang w:val="fr-FR" w:eastAsia="ja-JP"/>
        </w:rPr>
        <w:t>Union a été informé par le rédacteur du Royaume</w:t>
      </w:r>
      <w:r w:rsidR="00F56A94">
        <w:rPr>
          <w:lang w:val="fr-FR" w:eastAsia="ja-JP"/>
        </w:rPr>
        <w:noBreakHyphen/>
      </w:r>
      <w:r w:rsidR="0057185E" w:rsidRPr="00B357D7">
        <w:rPr>
          <w:lang w:val="fr-FR" w:eastAsia="ja-JP"/>
        </w:rPr>
        <w:t>Uni qu</w:t>
      </w:r>
      <w:r w:rsidR="009143C1" w:rsidRPr="00B357D7">
        <w:rPr>
          <w:lang w:val="fr-FR" w:eastAsia="ja-JP"/>
        </w:rPr>
        <w:t>’</w:t>
      </w:r>
      <w:r w:rsidR="0057185E" w:rsidRPr="00B357D7">
        <w:rPr>
          <w:lang w:val="fr-FR" w:eastAsia="ja-JP"/>
        </w:rPr>
        <w:t>il ferait le point de</w:t>
      </w:r>
      <w:r w:rsidR="005A65B7" w:rsidRPr="00B357D7">
        <w:rPr>
          <w:lang w:val="fr-FR" w:eastAsia="ja-JP"/>
        </w:rPr>
        <w:t xml:space="preserve"> l</w:t>
      </w:r>
      <w:r w:rsidR="009143C1" w:rsidRPr="00B357D7">
        <w:rPr>
          <w:lang w:val="fr-FR" w:eastAsia="ja-JP"/>
        </w:rPr>
        <w:t>’</w:t>
      </w:r>
      <w:r w:rsidR="005A65B7" w:rsidRPr="00B357D7">
        <w:rPr>
          <w:lang w:val="fr-FR" w:eastAsia="ja-JP"/>
        </w:rPr>
        <w:t>évolution des travaux</w:t>
      </w:r>
      <w:r w:rsidR="0057185E" w:rsidRPr="00B357D7">
        <w:rPr>
          <w:lang w:val="fr-FR" w:eastAsia="ja-JP"/>
        </w:rPr>
        <w:t xml:space="preserve"> à la trente</w:t>
      </w:r>
      <w:r w:rsidR="00F56A94">
        <w:rPr>
          <w:lang w:val="fr-FR" w:eastAsia="ja-JP"/>
        </w:rPr>
        <w:noBreakHyphen/>
      </w:r>
      <w:r w:rsidR="0057185E" w:rsidRPr="00B357D7">
        <w:rPr>
          <w:lang w:val="fr-FR" w:eastAsia="ja-JP"/>
        </w:rPr>
        <w:t>cinqu</w:t>
      </w:r>
      <w:r w:rsidR="009143C1" w:rsidRPr="00B357D7">
        <w:rPr>
          <w:lang w:val="fr-FR" w:eastAsia="ja-JP"/>
        </w:rPr>
        <w:t>ième session du TWC</w:t>
      </w:r>
      <w:r w:rsidR="0057185E" w:rsidRPr="00B357D7">
        <w:rPr>
          <w:lang w:val="fr-FR" w:eastAsia="ja-JP"/>
        </w:rPr>
        <w:t>, qui aura lieu à Buenos Aires du 14</w:t>
      </w:r>
      <w:r w:rsidR="00BC20F5">
        <w:rPr>
          <w:lang w:val="fr-FR" w:eastAsia="ja-JP"/>
        </w:rPr>
        <w:t> </w:t>
      </w:r>
      <w:r w:rsidR="0057185E" w:rsidRPr="00B357D7">
        <w:rPr>
          <w:lang w:val="fr-FR" w:eastAsia="ja-JP"/>
        </w:rPr>
        <w:t>au</w:t>
      </w:r>
      <w:r w:rsidR="00BC20F5">
        <w:rPr>
          <w:lang w:val="fr-FR" w:eastAsia="ja-JP"/>
        </w:rPr>
        <w:t> </w:t>
      </w:r>
      <w:r w:rsidR="0057185E" w:rsidRPr="00B357D7">
        <w:rPr>
          <w:lang w:val="fr-FR" w:eastAsia="ja-JP"/>
        </w:rPr>
        <w:t>1</w:t>
      </w:r>
      <w:r w:rsidR="009143C1" w:rsidRPr="00B357D7">
        <w:rPr>
          <w:lang w:val="fr-FR" w:eastAsia="ja-JP"/>
        </w:rPr>
        <w:t>7 novembre 20</w:t>
      </w:r>
      <w:r w:rsidR="0057185E" w:rsidRPr="00B357D7">
        <w:rPr>
          <w:lang w:val="fr-FR" w:eastAsia="ja-JP"/>
        </w:rPr>
        <w:t>17.</w:t>
      </w:r>
    </w:p>
    <w:p w:rsidR="00AA7D33" w:rsidRPr="00B357D7" w:rsidRDefault="00AA7D33" w:rsidP="00F56A94">
      <w:pPr>
        <w:rPr>
          <w:lang w:val="fr-FR" w:eastAsia="ja-JP"/>
        </w:rPr>
      </w:pPr>
    </w:p>
    <w:p w:rsidR="00AA7D33" w:rsidRPr="00B357D7" w:rsidRDefault="009A087F" w:rsidP="00F56A94">
      <w:pPr>
        <w:rPr>
          <w:lang w:val="fr-FR" w:eastAsia="ja-JP"/>
        </w:rPr>
      </w:pPr>
      <w:r w:rsidRPr="00B357D7">
        <w:rPr>
          <w:lang w:val="fr-FR" w:eastAsia="ja-JP"/>
        </w:rPr>
        <w:fldChar w:fldCharType="begin"/>
      </w:r>
      <w:r w:rsidRPr="00B357D7">
        <w:rPr>
          <w:lang w:val="fr-FR" w:eastAsia="ja-JP"/>
        </w:rPr>
        <w:instrText xml:space="preserve"> AUTONUM  </w:instrText>
      </w:r>
      <w:r w:rsidRPr="00B357D7">
        <w:rPr>
          <w:lang w:val="fr-FR" w:eastAsia="ja-JP"/>
        </w:rPr>
        <w:fldChar w:fldCharType="end"/>
      </w:r>
      <w:r w:rsidRPr="00B357D7">
        <w:rPr>
          <w:lang w:val="fr-FR" w:eastAsia="ja-JP"/>
        </w:rPr>
        <w:tab/>
      </w:r>
      <w:r w:rsidR="003B435F" w:rsidRPr="00B357D7">
        <w:rPr>
          <w:lang w:val="fr-FR" w:eastAsia="ja-JP"/>
        </w:rPr>
        <w:t>Un exposé sera présenté par des experts du Royaume</w:t>
      </w:r>
      <w:r w:rsidR="00F56A94">
        <w:rPr>
          <w:lang w:val="fr-FR" w:eastAsia="ja-JP"/>
        </w:rPr>
        <w:noBreakHyphen/>
      </w:r>
      <w:r w:rsidR="003B435F" w:rsidRPr="00B357D7">
        <w:rPr>
          <w:lang w:val="fr-FR" w:eastAsia="ja-JP"/>
        </w:rPr>
        <w:t>Uni sur l</w:t>
      </w:r>
      <w:r w:rsidR="009143C1" w:rsidRPr="00B357D7">
        <w:rPr>
          <w:lang w:val="fr-FR" w:eastAsia="ja-JP"/>
        </w:rPr>
        <w:t>’</w:t>
      </w:r>
      <w:r w:rsidR="003B435F" w:rsidRPr="00B357D7">
        <w:rPr>
          <w:lang w:val="fr-FR" w:eastAsia="ja-JP"/>
        </w:rPr>
        <w:t>exclusion des variétés notoirement connues du second cycle de végétation lorsque l</w:t>
      </w:r>
      <w:r w:rsidR="009143C1" w:rsidRPr="00B357D7">
        <w:rPr>
          <w:lang w:val="fr-FR" w:eastAsia="ja-JP"/>
        </w:rPr>
        <w:t>’</w:t>
      </w:r>
      <w:r w:rsidR="003B435F" w:rsidRPr="00B357D7">
        <w:rPr>
          <w:lang w:val="fr-FR" w:eastAsia="ja-JP"/>
        </w:rPr>
        <w:t>on applique la méthode COYD à la cinquante</w:t>
      </w:r>
      <w:r w:rsidR="00F56A94">
        <w:rPr>
          <w:lang w:val="fr-FR" w:eastAsia="ja-JP"/>
        </w:rPr>
        <w:noBreakHyphen/>
      </w:r>
      <w:r w:rsidR="003B435F" w:rsidRPr="00B357D7">
        <w:rPr>
          <w:lang w:val="fr-FR" w:eastAsia="ja-JP"/>
        </w:rPr>
        <w:t>trois</w:t>
      </w:r>
      <w:r w:rsidR="009143C1" w:rsidRPr="00B357D7">
        <w:rPr>
          <w:lang w:val="fr-FR" w:eastAsia="ja-JP"/>
        </w:rPr>
        <w:t>ième session</w:t>
      </w:r>
      <w:r w:rsidR="003B435F" w:rsidRPr="00B357D7">
        <w:rPr>
          <w:lang w:val="fr-FR" w:eastAsia="ja-JP"/>
        </w:rPr>
        <w:t xml:space="preserve"> du Comité technique, qui se tiendra à Genève, du 4 au </w:t>
      </w:r>
      <w:r w:rsidR="009143C1" w:rsidRPr="00B357D7">
        <w:rPr>
          <w:lang w:val="fr-FR" w:eastAsia="ja-JP"/>
        </w:rPr>
        <w:t>6 avril 20</w:t>
      </w:r>
      <w:r w:rsidR="003B435F" w:rsidRPr="00B357D7">
        <w:rPr>
          <w:lang w:val="fr-FR" w:eastAsia="ja-JP"/>
        </w:rPr>
        <w:t>17</w:t>
      </w:r>
      <w:r w:rsidR="00D76723">
        <w:rPr>
          <w:lang w:val="fr-FR" w:eastAsia="ja-JP"/>
        </w:rPr>
        <w:t>.</w:t>
      </w:r>
      <w:r w:rsidR="003B435F" w:rsidRPr="00B357D7">
        <w:rPr>
          <w:lang w:val="fr-FR" w:eastAsia="ja-JP"/>
        </w:rPr>
        <w:t xml:space="preserve"> </w:t>
      </w:r>
      <w:r w:rsidR="003608E2" w:rsidRPr="00B357D7">
        <w:rPr>
          <w:lang w:val="fr-FR" w:eastAsia="ja-JP"/>
        </w:rPr>
        <w:t xml:space="preserve"> </w:t>
      </w:r>
      <w:r w:rsidR="003B435F" w:rsidRPr="00B357D7">
        <w:rPr>
          <w:lang w:val="fr-FR" w:eastAsia="ja-JP"/>
        </w:rPr>
        <w:t>Le texte de cet exposé fera l</w:t>
      </w:r>
      <w:r w:rsidR="009143C1" w:rsidRPr="00B357D7">
        <w:rPr>
          <w:lang w:val="fr-FR" w:eastAsia="ja-JP"/>
        </w:rPr>
        <w:t>’</w:t>
      </w:r>
      <w:r w:rsidR="003B435F" w:rsidRPr="00B357D7">
        <w:rPr>
          <w:lang w:val="fr-FR" w:eastAsia="ja-JP"/>
        </w:rPr>
        <w:t>objet d</w:t>
      </w:r>
      <w:r w:rsidR="009143C1" w:rsidRPr="00B357D7">
        <w:rPr>
          <w:lang w:val="fr-FR" w:eastAsia="ja-JP"/>
        </w:rPr>
        <w:t>’</w:t>
      </w:r>
      <w:r w:rsidR="003B435F" w:rsidRPr="00B357D7">
        <w:rPr>
          <w:lang w:val="fr-FR" w:eastAsia="ja-JP"/>
        </w:rPr>
        <w:t>un additif au présent document.</w:t>
      </w:r>
    </w:p>
    <w:p w:rsidR="00AA7D33" w:rsidRPr="00B357D7" w:rsidRDefault="00AA7D33" w:rsidP="00F56A94">
      <w:pPr>
        <w:rPr>
          <w:lang w:val="fr-FR" w:eastAsia="ja-JP"/>
        </w:rPr>
      </w:pPr>
    </w:p>
    <w:p w:rsidR="00AA7D33" w:rsidRPr="00B357D7" w:rsidRDefault="00713FC4" w:rsidP="00F56A94">
      <w:pPr>
        <w:keepNext/>
        <w:tabs>
          <w:tab w:val="left" w:pos="5387"/>
        </w:tabs>
        <w:ind w:left="4820"/>
        <w:rPr>
          <w:i/>
          <w:lang w:val="fr-FR" w:eastAsia="ja-JP"/>
        </w:rPr>
      </w:pPr>
      <w:r w:rsidRPr="00B357D7">
        <w:rPr>
          <w:i/>
          <w:lang w:val="fr-FR" w:eastAsia="ja-JP"/>
        </w:rPr>
        <w:lastRenderedPageBreak/>
        <w:fldChar w:fldCharType="begin"/>
      </w:r>
      <w:r w:rsidRPr="00B357D7">
        <w:rPr>
          <w:i/>
          <w:lang w:val="fr-FR" w:eastAsia="ja-JP"/>
        </w:rPr>
        <w:instrText xml:space="preserve"> AUTONUM  </w:instrText>
      </w:r>
      <w:r w:rsidRPr="00B357D7">
        <w:rPr>
          <w:i/>
          <w:lang w:val="fr-FR" w:eastAsia="ja-JP"/>
        </w:rPr>
        <w:fldChar w:fldCharType="end"/>
      </w:r>
      <w:r w:rsidRPr="00B357D7">
        <w:rPr>
          <w:i/>
          <w:lang w:val="fr-FR" w:eastAsia="ja-JP"/>
        </w:rPr>
        <w:tab/>
      </w:r>
      <w:r w:rsidR="003B435F" w:rsidRPr="00B357D7">
        <w:rPr>
          <w:i/>
          <w:lang w:val="fr-FR" w:eastAsia="ja-JP"/>
        </w:rPr>
        <w:t>Le</w:t>
      </w:r>
      <w:r w:rsidR="009143C1" w:rsidRPr="00B357D7">
        <w:rPr>
          <w:i/>
          <w:lang w:val="fr-FR" w:eastAsia="ja-JP"/>
        </w:rPr>
        <w:t> TC</w:t>
      </w:r>
      <w:r w:rsidR="003B435F" w:rsidRPr="00B357D7">
        <w:rPr>
          <w:i/>
          <w:lang w:val="fr-FR" w:eastAsia="ja-JP"/>
        </w:rPr>
        <w:t xml:space="preserve"> est invité</w:t>
      </w:r>
      <w:r w:rsidR="00BC20F5">
        <w:rPr>
          <w:i/>
          <w:lang w:val="fr-FR" w:eastAsia="ja-JP"/>
        </w:rPr>
        <w:t xml:space="preserve"> à :</w:t>
      </w:r>
    </w:p>
    <w:p w:rsidR="00AA7D33" w:rsidRPr="00B357D7" w:rsidRDefault="00AA7D33" w:rsidP="00F56A94">
      <w:pPr>
        <w:keepNext/>
        <w:ind w:left="4820"/>
        <w:rPr>
          <w:i/>
          <w:lang w:val="fr-FR" w:eastAsia="ja-JP"/>
        </w:rPr>
      </w:pPr>
    </w:p>
    <w:p w:rsidR="009143C1" w:rsidRPr="00B357D7" w:rsidRDefault="00BC20F5" w:rsidP="00F56A94">
      <w:pPr>
        <w:tabs>
          <w:tab w:val="left" w:pos="5954"/>
        </w:tabs>
        <w:ind w:left="4820" w:firstLine="567"/>
        <w:rPr>
          <w:i/>
          <w:lang w:val="fr-FR" w:eastAsia="ja-JP"/>
        </w:rPr>
      </w:pPr>
      <w:r>
        <w:rPr>
          <w:i/>
          <w:lang w:val="fr-FR" w:eastAsia="ja-JP"/>
        </w:rPr>
        <w:t>a)</w:t>
      </w:r>
      <w:r>
        <w:rPr>
          <w:i/>
          <w:lang w:val="fr-FR" w:eastAsia="ja-JP"/>
        </w:rPr>
        <w:tab/>
      </w:r>
      <w:r w:rsidR="003B435F" w:rsidRPr="00B357D7">
        <w:rPr>
          <w:i/>
          <w:lang w:val="fr-FR" w:eastAsia="ja-JP"/>
        </w:rPr>
        <w:t>examiner les informations fournies par les experts du Royaume</w:t>
      </w:r>
      <w:r w:rsidR="00F56A94">
        <w:rPr>
          <w:i/>
          <w:lang w:val="fr-FR" w:eastAsia="ja-JP"/>
        </w:rPr>
        <w:noBreakHyphen/>
      </w:r>
      <w:r w:rsidR="003B435F" w:rsidRPr="00B357D7">
        <w:rPr>
          <w:i/>
          <w:lang w:val="fr-FR" w:eastAsia="ja-JP"/>
        </w:rPr>
        <w:t xml:space="preserve">Uni, qui </w:t>
      </w:r>
      <w:r w:rsidR="005A65B7" w:rsidRPr="00B357D7">
        <w:rPr>
          <w:i/>
          <w:lang w:val="fr-FR" w:eastAsia="ja-JP"/>
        </w:rPr>
        <w:t>figurent à</w:t>
      </w:r>
      <w:r w:rsidR="003B435F" w:rsidRPr="00B357D7">
        <w:rPr>
          <w:i/>
          <w:lang w:val="fr-FR" w:eastAsia="ja-JP"/>
        </w:rPr>
        <w:t xml:space="preserve"> l</w:t>
      </w:r>
      <w:r w:rsidR="009143C1" w:rsidRPr="00B357D7">
        <w:rPr>
          <w:i/>
          <w:lang w:val="fr-FR" w:eastAsia="ja-JP"/>
        </w:rPr>
        <w:t>’</w:t>
      </w:r>
      <w:r>
        <w:rPr>
          <w:i/>
          <w:lang w:val="fr-FR" w:eastAsia="ja-JP"/>
        </w:rPr>
        <w:t>annexe du présent document;</w:t>
      </w:r>
    </w:p>
    <w:p w:rsidR="00AA7D33" w:rsidRPr="00B357D7" w:rsidRDefault="00AA7D33" w:rsidP="00F56A94">
      <w:pPr>
        <w:tabs>
          <w:tab w:val="left" w:pos="5954"/>
        </w:tabs>
        <w:ind w:left="4820" w:firstLine="567"/>
        <w:rPr>
          <w:i/>
          <w:lang w:val="fr-FR" w:eastAsia="ja-JP"/>
        </w:rPr>
      </w:pPr>
    </w:p>
    <w:p w:rsidR="00AA7D33" w:rsidRPr="00B357D7" w:rsidRDefault="00BC20F5" w:rsidP="00F56A94">
      <w:pPr>
        <w:tabs>
          <w:tab w:val="left" w:pos="5954"/>
        </w:tabs>
        <w:ind w:left="4820" w:firstLine="567"/>
        <w:rPr>
          <w:i/>
          <w:lang w:val="fr-FR" w:eastAsia="ja-JP"/>
        </w:rPr>
      </w:pPr>
      <w:r>
        <w:rPr>
          <w:i/>
          <w:lang w:val="fr-FR" w:eastAsia="ja-JP"/>
        </w:rPr>
        <w:t>b)</w:t>
      </w:r>
      <w:r>
        <w:rPr>
          <w:i/>
          <w:lang w:val="fr-FR" w:eastAsia="ja-JP"/>
        </w:rPr>
        <w:tab/>
      </w:r>
      <w:r w:rsidR="003B435F" w:rsidRPr="00B357D7">
        <w:rPr>
          <w:i/>
          <w:lang w:val="fr-FR" w:eastAsia="ja-JP"/>
        </w:rPr>
        <w:t>noter qu</w:t>
      </w:r>
      <w:r w:rsidR="009143C1" w:rsidRPr="00B357D7">
        <w:rPr>
          <w:i/>
          <w:lang w:val="fr-FR" w:eastAsia="ja-JP"/>
        </w:rPr>
        <w:t>’</w:t>
      </w:r>
      <w:r w:rsidR="003B435F" w:rsidRPr="00B357D7">
        <w:rPr>
          <w:i/>
          <w:lang w:val="fr-FR" w:eastAsia="ja-JP"/>
        </w:rPr>
        <w:t>il est proposé de rendre compte de</w:t>
      </w:r>
      <w:r w:rsidR="005A65B7" w:rsidRPr="00B357D7">
        <w:rPr>
          <w:i/>
          <w:lang w:val="fr-FR" w:eastAsia="ja-JP"/>
        </w:rPr>
        <w:t xml:space="preserve"> l</w:t>
      </w:r>
      <w:r w:rsidR="009143C1" w:rsidRPr="00B357D7">
        <w:rPr>
          <w:i/>
          <w:lang w:val="fr-FR" w:eastAsia="ja-JP"/>
        </w:rPr>
        <w:t>’</w:t>
      </w:r>
      <w:r w:rsidR="005A65B7" w:rsidRPr="00B357D7">
        <w:rPr>
          <w:i/>
          <w:lang w:val="fr-FR" w:eastAsia="ja-JP"/>
        </w:rPr>
        <w:t>évolution des travaux</w:t>
      </w:r>
      <w:r w:rsidR="003B435F" w:rsidRPr="00B357D7">
        <w:rPr>
          <w:i/>
          <w:lang w:val="fr-FR" w:eastAsia="ja-JP"/>
        </w:rPr>
        <w:t xml:space="preserve"> concernant les seuils calculés aux fins d</w:t>
      </w:r>
      <w:r w:rsidR="009143C1" w:rsidRPr="00B357D7">
        <w:rPr>
          <w:i/>
          <w:lang w:val="fr-FR" w:eastAsia="ja-JP"/>
        </w:rPr>
        <w:t>’</w:t>
      </w:r>
      <w:r w:rsidR="003B435F" w:rsidRPr="00B357D7">
        <w:rPr>
          <w:i/>
          <w:lang w:val="fr-FR" w:eastAsia="ja-JP"/>
        </w:rPr>
        <w:t>exclusion des variétés notoirement connues du second cycle de végétation lorsque l</w:t>
      </w:r>
      <w:r w:rsidR="009143C1" w:rsidRPr="00B357D7">
        <w:rPr>
          <w:i/>
          <w:lang w:val="fr-FR" w:eastAsia="ja-JP"/>
        </w:rPr>
        <w:t>’</w:t>
      </w:r>
      <w:r w:rsidR="003B435F" w:rsidRPr="00B357D7">
        <w:rPr>
          <w:i/>
          <w:lang w:val="fr-FR" w:eastAsia="ja-JP"/>
        </w:rPr>
        <w:t>on applique la méthode COYD à la trente</w:t>
      </w:r>
      <w:r w:rsidR="00F56A94">
        <w:rPr>
          <w:i/>
          <w:lang w:val="fr-FR" w:eastAsia="ja-JP"/>
        </w:rPr>
        <w:noBreakHyphen/>
      </w:r>
      <w:r w:rsidR="003B435F" w:rsidRPr="00B357D7">
        <w:rPr>
          <w:i/>
          <w:lang w:val="fr-FR" w:eastAsia="ja-JP"/>
        </w:rPr>
        <w:t>cinqu</w:t>
      </w:r>
      <w:r w:rsidR="009143C1" w:rsidRPr="00B357D7">
        <w:rPr>
          <w:i/>
          <w:lang w:val="fr-FR" w:eastAsia="ja-JP"/>
        </w:rPr>
        <w:t>ième session du TWC</w:t>
      </w:r>
      <w:r>
        <w:rPr>
          <w:i/>
          <w:lang w:val="fr-FR" w:eastAsia="ja-JP"/>
        </w:rPr>
        <w:t>;</w:t>
      </w:r>
      <w:r w:rsidR="003B435F" w:rsidRPr="00B357D7">
        <w:rPr>
          <w:i/>
          <w:lang w:val="fr-FR" w:eastAsia="ja-JP"/>
        </w:rPr>
        <w:t xml:space="preserve"> </w:t>
      </w:r>
      <w:r>
        <w:rPr>
          <w:i/>
          <w:lang w:val="fr-FR" w:eastAsia="ja-JP"/>
        </w:rPr>
        <w:t xml:space="preserve"> </w:t>
      </w:r>
      <w:r w:rsidR="003B435F" w:rsidRPr="00B357D7">
        <w:rPr>
          <w:i/>
          <w:lang w:val="fr-FR" w:eastAsia="ja-JP"/>
        </w:rPr>
        <w:t>et</w:t>
      </w:r>
    </w:p>
    <w:p w:rsidR="00AA7D33" w:rsidRPr="00B357D7" w:rsidRDefault="00AA7D33" w:rsidP="00F56A94">
      <w:pPr>
        <w:tabs>
          <w:tab w:val="left" w:pos="5954"/>
        </w:tabs>
        <w:ind w:left="4820" w:firstLine="567"/>
        <w:rPr>
          <w:i/>
          <w:lang w:val="fr-FR" w:eastAsia="ja-JP"/>
        </w:rPr>
      </w:pPr>
    </w:p>
    <w:p w:rsidR="009143C1" w:rsidRPr="00B357D7" w:rsidRDefault="00BC20F5" w:rsidP="00F56A94">
      <w:pPr>
        <w:tabs>
          <w:tab w:val="left" w:pos="5954"/>
        </w:tabs>
        <w:ind w:left="4820" w:firstLine="567"/>
        <w:rPr>
          <w:i/>
          <w:lang w:val="fr-FR" w:eastAsia="ja-JP"/>
        </w:rPr>
      </w:pPr>
      <w:r>
        <w:rPr>
          <w:i/>
          <w:lang w:val="fr-FR" w:eastAsia="ja-JP"/>
        </w:rPr>
        <w:t>c)</w:t>
      </w:r>
      <w:r>
        <w:rPr>
          <w:i/>
          <w:lang w:val="fr-FR" w:eastAsia="ja-JP"/>
        </w:rPr>
        <w:tab/>
      </w:r>
      <w:r w:rsidR="003B435F" w:rsidRPr="00B357D7">
        <w:rPr>
          <w:i/>
          <w:lang w:val="fr-FR" w:eastAsia="ja-JP"/>
        </w:rPr>
        <w:t>note</w:t>
      </w:r>
      <w:r w:rsidR="005A65B7" w:rsidRPr="00B357D7">
        <w:rPr>
          <w:i/>
          <w:lang w:val="fr-FR" w:eastAsia="ja-JP"/>
        </w:rPr>
        <w:t>r</w:t>
      </w:r>
      <w:r w:rsidR="003B435F" w:rsidRPr="00B357D7">
        <w:rPr>
          <w:i/>
          <w:lang w:val="fr-FR" w:eastAsia="ja-JP"/>
        </w:rPr>
        <w:t xml:space="preserve"> qu</w:t>
      </w:r>
      <w:r w:rsidR="009143C1" w:rsidRPr="00B357D7">
        <w:rPr>
          <w:i/>
          <w:lang w:val="fr-FR" w:eastAsia="ja-JP"/>
        </w:rPr>
        <w:t>’</w:t>
      </w:r>
      <w:r w:rsidR="003B435F" w:rsidRPr="00B357D7">
        <w:rPr>
          <w:i/>
          <w:lang w:val="fr-FR" w:eastAsia="ja-JP"/>
        </w:rPr>
        <w:t xml:space="preserve">un exposé </w:t>
      </w:r>
      <w:r w:rsidR="005A65B7" w:rsidRPr="00B357D7">
        <w:rPr>
          <w:i/>
          <w:lang w:val="fr-FR" w:eastAsia="ja-JP"/>
        </w:rPr>
        <w:t>sur l</w:t>
      </w:r>
      <w:r w:rsidR="009143C1" w:rsidRPr="00B357D7">
        <w:rPr>
          <w:i/>
          <w:lang w:val="fr-FR" w:eastAsia="ja-JP"/>
        </w:rPr>
        <w:t>’</w:t>
      </w:r>
      <w:r w:rsidR="005A65B7" w:rsidRPr="00B357D7">
        <w:rPr>
          <w:i/>
          <w:lang w:val="fr-FR" w:eastAsia="ja-JP"/>
        </w:rPr>
        <w:t>exclusion des variétés notoirement connues du second cycle de végétation lorsque l</w:t>
      </w:r>
      <w:r w:rsidR="009143C1" w:rsidRPr="00B357D7">
        <w:rPr>
          <w:i/>
          <w:lang w:val="fr-FR" w:eastAsia="ja-JP"/>
        </w:rPr>
        <w:t>’</w:t>
      </w:r>
      <w:r w:rsidR="005A65B7" w:rsidRPr="00B357D7">
        <w:rPr>
          <w:i/>
          <w:lang w:val="fr-FR" w:eastAsia="ja-JP"/>
        </w:rPr>
        <w:t xml:space="preserve">on applique la méthode COYD </w:t>
      </w:r>
      <w:r w:rsidR="003B435F" w:rsidRPr="00B357D7">
        <w:rPr>
          <w:i/>
          <w:lang w:val="fr-FR" w:eastAsia="ja-JP"/>
        </w:rPr>
        <w:t>sera présenté par des experts du Royaume</w:t>
      </w:r>
      <w:r w:rsidR="00F56A94">
        <w:rPr>
          <w:i/>
          <w:lang w:val="fr-FR" w:eastAsia="ja-JP"/>
        </w:rPr>
        <w:noBreakHyphen/>
      </w:r>
      <w:r w:rsidR="003B435F" w:rsidRPr="00B357D7">
        <w:rPr>
          <w:i/>
          <w:lang w:val="fr-FR" w:eastAsia="ja-JP"/>
        </w:rPr>
        <w:t>Uni à la cinquante</w:t>
      </w:r>
      <w:r w:rsidR="00F56A94">
        <w:rPr>
          <w:i/>
          <w:lang w:val="fr-FR" w:eastAsia="ja-JP"/>
        </w:rPr>
        <w:noBreakHyphen/>
      </w:r>
      <w:r w:rsidR="003B435F" w:rsidRPr="00B357D7">
        <w:rPr>
          <w:i/>
          <w:lang w:val="fr-FR" w:eastAsia="ja-JP"/>
        </w:rPr>
        <w:t>trois</w:t>
      </w:r>
      <w:r w:rsidR="009143C1" w:rsidRPr="00B357D7">
        <w:rPr>
          <w:i/>
          <w:lang w:val="fr-FR" w:eastAsia="ja-JP"/>
        </w:rPr>
        <w:t>ième session</w:t>
      </w:r>
      <w:r w:rsidR="003B435F" w:rsidRPr="00B357D7">
        <w:rPr>
          <w:i/>
          <w:lang w:val="fr-FR" w:eastAsia="ja-JP"/>
        </w:rPr>
        <w:t xml:space="preserve"> du Comité technique.</w:t>
      </w:r>
    </w:p>
    <w:p w:rsidR="00AA7D33" w:rsidRPr="00B357D7" w:rsidRDefault="00AA7D33" w:rsidP="00F56A94">
      <w:pPr>
        <w:rPr>
          <w:lang w:val="fr-FR" w:eastAsia="ja-JP"/>
        </w:rPr>
      </w:pPr>
    </w:p>
    <w:p w:rsidR="00AA7D33" w:rsidRPr="00B357D7" w:rsidRDefault="00AA7D33" w:rsidP="00F56A94">
      <w:pPr>
        <w:rPr>
          <w:lang w:val="fr-FR" w:eastAsia="ja-JP"/>
        </w:rPr>
      </w:pPr>
    </w:p>
    <w:p w:rsidR="00AA7D33" w:rsidRPr="00B357D7" w:rsidRDefault="00AA7D33" w:rsidP="00F56A94">
      <w:pPr>
        <w:rPr>
          <w:lang w:val="fr-FR" w:eastAsia="ja-JP"/>
        </w:rPr>
      </w:pPr>
    </w:p>
    <w:p w:rsidR="00AA7D33" w:rsidRPr="00B357D7" w:rsidRDefault="003B435F" w:rsidP="00F56A94">
      <w:pPr>
        <w:jc w:val="right"/>
        <w:rPr>
          <w:lang w:val="fr-FR" w:eastAsia="ja-JP"/>
        </w:rPr>
      </w:pPr>
      <w:r w:rsidRPr="00B357D7">
        <w:rPr>
          <w:lang w:val="fr-FR" w:eastAsia="ja-JP"/>
        </w:rPr>
        <w:t>[L</w:t>
      </w:r>
      <w:r w:rsidR="009143C1" w:rsidRPr="00B357D7">
        <w:rPr>
          <w:lang w:val="fr-FR" w:eastAsia="ja-JP"/>
        </w:rPr>
        <w:t>’</w:t>
      </w:r>
      <w:r w:rsidRPr="00B357D7">
        <w:rPr>
          <w:lang w:val="fr-FR" w:eastAsia="ja-JP"/>
        </w:rPr>
        <w:t>annexe suit]</w:t>
      </w:r>
    </w:p>
    <w:p w:rsidR="0042059A" w:rsidRPr="00B357D7" w:rsidRDefault="0042059A" w:rsidP="00F56A94">
      <w:pPr>
        <w:rPr>
          <w:lang w:val="fr-FR" w:eastAsia="ja-JP"/>
        </w:rPr>
        <w:sectPr w:rsidR="0042059A" w:rsidRPr="00B357D7" w:rsidSect="008A18FF">
          <w:headerReference w:type="default" r:id="rId8"/>
          <w:pgSz w:w="11907" w:h="16840" w:code="9"/>
          <w:pgMar w:top="510" w:right="1134" w:bottom="1134" w:left="1134" w:header="510" w:footer="680" w:gutter="0"/>
          <w:cols w:space="720"/>
          <w:titlePg/>
          <w:docGrid w:linePitch="272"/>
        </w:sectPr>
      </w:pPr>
    </w:p>
    <w:p w:rsidR="00AA7D33" w:rsidRPr="00B357D7" w:rsidRDefault="00AA7D33" w:rsidP="00F56A94">
      <w:pPr>
        <w:jc w:val="center"/>
        <w:rPr>
          <w:caps/>
          <w:lang w:val="fr-FR"/>
        </w:rPr>
      </w:pPr>
    </w:p>
    <w:p w:rsidR="00AA7D33" w:rsidRPr="00B357D7" w:rsidRDefault="003B435F" w:rsidP="00F56A94">
      <w:pPr>
        <w:jc w:val="center"/>
        <w:rPr>
          <w:caps/>
          <w:lang w:val="fr-FR" w:eastAsia="ja-JP"/>
        </w:rPr>
      </w:pPr>
      <w:r w:rsidRPr="00B357D7">
        <w:rPr>
          <w:caps/>
          <w:lang w:val="fr-FR" w:eastAsia="ja-JP"/>
        </w:rPr>
        <w:t>exclusion des variétés notoirement connues du second cycle de végétation lorsque l</w:t>
      </w:r>
      <w:r w:rsidR="009143C1" w:rsidRPr="00B357D7">
        <w:rPr>
          <w:caps/>
          <w:lang w:val="fr-FR" w:eastAsia="ja-JP"/>
        </w:rPr>
        <w:t>’</w:t>
      </w:r>
      <w:r w:rsidRPr="00B357D7">
        <w:rPr>
          <w:caps/>
          <w:lang w:val="fr-FR" w:eastAsia="ja-JP"/>
        </w:rPr>
        <w:t>on applique la méthode COYD</w:t>
      </w:r>
    </w:p>
    <w:p w:rsidR="00AA7D33" w:rsidRPr="00B357D7" w:rsidRDefault="00AA7D33" w:rsidP="00F56A94">
      <w:pPr>
        <w:rPr>
          <w:lang w:val="fr-FR" w:eastAsia="ja-JP"/>
        </w:rPr>
      </w:pPr>
    </w:p>
    <w:p w:rsidR="00AA7D33" w:rsidRPr="00B357D7" w:rsidRDefault="00AA7D33" w:rsidP="00F56A94">
      <w:pPr>
        <w:rPr>
          <w:lang w:val="fr-FR" w:eastAsia="ja-JP"/>
        </w:rPr>
      </w:pPr>
    </w:p>
    <w:p w:rsidR="00AA7D33" w:rsidRPr="00B357D7" w:rsidRDefault="003B435F" w:rsidP="00F56A94">
      <w:pPr>
        <w:rPr>
          <w:caps/>
          <w:lang w:val="fr-FR" w:eastAsia="ja-JP"/>
        </w:rPr>
      </w:pPr>
      <w:r w:rsidRPr="00B357D7">
        <w:rPr>
          <w:caps/>
          <w:lang w:val="fr-FR" w:eastAsia="ja-JP"/>
        </w:rPr>
        <w:t>introduction</w:t>
      </w:r>
    </w:p>
    <w:p w:rsidR="00AA7D33" w:rsidRPr="00B357D7" w:rsidRDefault="00AA7D33" w:rsidP="00F56A94">
      <w:pPr>
        <w:rPr>
          <w:lang w:val="fr-FR" w:eastAsia="ja-JP"/>
        </w:rPr>
      </w:pPr>
    </w:p>
    <w:p w:rsidR="00AA7D33" w:rsidRPr="00B357D7" w:rsidRDefault="00C10006" w:rsidP="00F56A94">
      <w:pPr>
        <w:rPr>
          <w:lang w:val="fr-FR" w:eastAsia="ja-JP"/>
        </w:rPr>
      </w:pPr>
      <w:r w:rsidRPr="00B357D7">
        <w:rPr>
          <w:lang w:val="fr-FR" w:eastAsia="ja-JP"/>
        </w:rPr>
        <w:t>1.</w:t>
      </w:r>
      <w:r w:rsidRPr="00B357D7">
        <w:rPr>
          <w:lang w:val="fr-FR" w:eastAsia="ja-JP"/>
        </w:rPr>
        <w:tab/>
        <w:t xml:space="preserve">Lorsque des examens DHS sont effectués sur deux </w:t>
      </w:r>
      <w:r w:rsidR="005868F7" w:rsidRPr="00B357D7">
        <w:rPr>
          <w:lang w:val="fr-FR" w:eastAsia="ja-JP"/>
        </w:rPr>
        <w:t>ou trois</w:t>
      </w:r>
      <w:r w:rsidR="003608E2" w:rsidRPr="00B357D7">
        <w:rPr>
          <w:lang w:val="fr-FR" w:eastAsia="ja-JP"/>
        </w:rPr>
        <w:t> </w:t>
      </w:r>
      <w:r w:rsidRPr="00B357D7">
        <w:rPr>
          <w:lang w:val="fr-FR" w:eastAsia="ja-JP"/>
        </w:rPr>
        <w:t>cycles de végétation indépendants, les résultats peuvent être étudiés après le premier cycle d</w:t>
      </w:r>
      <w:r w:rsidR="009143C1" w:rsidRPr="00B357D7">
        <w:rPr>
          <w:lang w:val="fr-FR" w:eastAsia="ja-JP"/>
        </w:rPr>
        <w:t>’</w:t>
      </w:r>
      <w:r w:rsidR="00EB244B" w:rsidRPr="00B357D7">
        <w:rPr>
          <w:lang w:val="fr-FR" w:eastAsia="ja-JP"/>
        </w:rPr>
        <w:t>examens</w:t>
      </w:r>
      <w:r w:rsidRPr="00B357D7">
        <w:rPr>
          <w:lang w:val="fr-FR" w:eastAsia="ja-JP"/>
        </w:rPr>
        <w:t xml:space="preserve"> afin d</w:t>
      </w:r>
      <w:r w:rsidR="009143C1" w:rsidRPr="00B357D7">
        <w:rPr>
          <w:lang w:val="fr-FR" w:eastAsia="ja-JP"/>
        </w:rPr>
        <w:t>’</w:t>
      </w:r>
      <w:r w:rsidRPr="00B357D7">
        <w:rPr>
          <w:lang w:val="fr-FR" w:eastAsia="ja-JP"/>
        </w:rPr>
        <w:t>exclure les variétés noto</w:t>
      </w:r>
      <w:r w:rsidR="005868F7" w:rsidRPr="00B357D7">
        <w:rPr>
          <w:lang w:val="fr-FR" w:eastAsia="ja-JP"/>
        </w:rPr>
        <w:t>irement connues qui sont net</w:t>
      </w:r>
      <w:r w:rsidRPr="00B357D7">
        <w:rPr>
          <w:lang w:val="fr-FR" w:eastAsia="ja-JP"/>
        </w:rPr>
        <w:t>tement distinctes des variétés candidates (voir le document TGP/9 “Examen de la distinction</w:t>
      </w:r>
      <w:r w:rsidR="005D27CE" w:rsidRPr="00B357D7">
        <w:rPr>
          <w:lang w:val="fr-FR" w:eastAsia="ja-JP"/>
        </w:rPr>
        <w:t>”)</w:t>
      </w:r>
      <w:r w:rsidRPr="00B357D7">
        <w:rPr>
          <w:lang w:val="fr-FR" w:eastAsia="ja-JP"/>
        </w:rPr>
        <w:t>.</w:t>
      </w:r>
      <w:r w:rsidR="00680EB7" w:rsidRPr="00B357D7">
        <w:rPr>
          <w:lang w:val="fr-FR" w:eastAsia="ja-JP"/>
        </w:rPr>
        <w:t xml:space="preserve">  </w:t>
      </w:r>
      <w:r w:rsidR="002B4448" w:rsidRPr="00B357D7">
        <w:rPr>
          <w:lang w:val="fr-FR" w:eastAsia="ja-JP"/>
        </w:rPr>
        <w:t>Lorsque l</w:t>
      </w:r>
      <w:r w:rsidR="009143C1" w:rsidRPr="00B357D7">
        <w:rPr>
          <w:lang w:val="fr-FR" w:eastAsia="ja-JP"/>
        </w:rPr>
        <w:t>’</w:t>
      </w:r>
      <w:r w:rsidR="002B4448" w:rsidRPr="00B357D7">
        <w:rPr>
          <w:lang w:val="fr-FR" w:eastAsia="ja-JP"/>
        </w:rPr>
        <w:t>analyse COYD est utilisée pour évaluer l</w:t>
      </w:r>
      <w:r w:rsidR="005868F7" w:rsidRPr="00B357D7">
        <w:rPr>
          <w:lang w:val="fr-FR" w:eastAsia="ja-JP"/>
        </w:rPr>
        <w:t>a nature</w:t>
      </w:r>
      <w:r w:rsidR="002B4448" w:rsidRPr="00B357D7">
        <w:rPr>
          <w:lang w:val="fr-FR" w:eastAsia="ja-JP"/>
        </w:rPr>
        <w:t xml:space="preserve"> distinct</w:t>
      </w:r>
      <w:r w:rsidR="005868F7" w:rsidRPr="00B357D7">
        <w:rPr>
          <w:lang w:val="fr-FR" w:eastAsia="ja-JP"/>
        </w:rPr>
        <w:t>e</w:t>
      </w:r>
      <w:r w:rsidR="002B4448" w:rsidRPr="00B357D7">
        <w:rPr>
          <w:lang w:val="fr-FR" w:eastAsia="ja-JP"/>
        </w:rPr>
        <w:t xml:space="preserve"> d</w:t>
      </w:r>
      <w:r w:rsidR="009143C1" w:rsidRPr="00B357D7">
        <w:rPr>
          <w:lang w:val="fr-FR" w:eastAsia="ja-JP"/>
        </w:rPr>
        <w:t>’</w:t>
      </w:r>
      <w:r w:rsidR="002B4448" w:rsidRPr="00B357D7">
        <w:rPr>
          <w:lang w:val="fr-FR" w:eastAsia="ja-JP"/>
        </w:rPr>
        <w:t>un caractère, cela peut être difficile à faire concrètement sur la base de l</w:t>
      </w:r>
      <w:r w:rsidR="009143C1" w:rsidRPr="00B357D7">
        <w:rPr>
          <w:lang w:val="fr-FR" w:eastAsia="ja-JP"/>
        </w:rPr>
        <w:t>’</w:t>
      </w:r>
      <w:r w:rsidR="002B4448" w:rsidRPr="00B357D7">
        <w:rPr>
          <w:lang w:val="fr-FR" w:eastAsia="ja-JP"/>
        </w:rPr>
        <w:t>expérience et aucun mécanisme officiel n</w:t>
      </w:r>
      <w:r w:rsidR="009143C1" w:rsidRPr="00B357D7">
        <w:rPr>
          <w:lang w:val="fr-FR" w:eastAsia="ja-JP"/>
        </w:rPr>
        <w:t>’</w:t>
      </w:r>
      <w:r w:rsidR="002B4448" w:rsidRPr="00B357D7">
        <w:rPr>
          <w:lang w:val="fr-FR" w:eastAsia="ja-JP"/>
        </w:rPr>
        <w:t>a jusqu</w:t>
      </w:r>
      <w:r w:rsidR="009143C1" w:rsidRPr="00B357D7">
        <w:rPr>
          <w:lang w:val="fr-FR" w:eastAsia="ja-JP"/>
        </w:rPr>
        <w:t>’</w:t>
      </w:r>
      <w:r w:rsidR="002B4448" w:rsidRPr="00B357D7">
        <w:rPr>
          <w:lang w:val="fr-FR" w:eastAsia="ja-JP"/>
        </w:rPr>
        <w:t>ici été décrit pour éclairer des décisions aussi précoces sur la distinction.</w:t>
      </w:r>
    </w:p>
    <w:p w:rsidR="00AA7D33" w:rsidRPr="00B357D7" w:rsidRDefault="00AA7D33" w:rsidP="00F56A94">
      <w:pPr>
        <w:rPr>
          <w:lang w:val="fr-FR" w:eastAsia="ja-JP"/>
        </w:rPr>
      </w:pPr>
    </w:p>
    <w:p w:rsidR="009143C1" w:rsidRPr="00B357D7" w:rsidRDefault="002B4448" w:rsidP="00F56A94">
      <w:pPr>
        <w:rPr>
          <w:lang w:val="fr-FR" w:eastAsia="ja-JP"/>
        </w:rPr>
      </w:pPr>
      <w:r w:rsidRPr="00B357D7">
        <w:rPr>
          <w:lang w:val="fr-FR" w:eastAsia="ja-JP"/>
        </w:rPr>
        <w:t>2.</w:t>
      </w:r>
      <w:r w:rsidRPr="00B357D7">
        <w:rPr>
          <w:lang w:val="fr-FR" w:eastAsia="ja-JP"/>
        </w:rPr>
        <w:tab/>
        <w:t>Dans le document TWC/33/20</w:t>
      </w:r>
      <w:r w:rsidR="003608E2" w:rsidRPr="00B357D7">
        <w:rPr>
          <w:lang w:val="fr-FR" w:eastAsia="ja-JP"/>
        </w:rPr>
        <w:t> </w:t>
      </w:r>
      <w:proofErr w:type="spellStart"/>
      <w:r w:rsidRPr="00B357D7">
        <w:rPr>
          <w:lang w:val="fr-FR" w:eastAsia="ja-JP"/>
        </w:rPr>
        <w:t>Rev</w:t>
      </w:r>
      <w:proofErr w:type="spellEnd"/>
      <w:r w:rsidRPr="00B357D7">
        <w:rPr>
          <w:lang w:val="fr-FR" w:eastAsia="ja-JP"/>
        </w:rPr>
        <w:t>., une stratégie a été propos</w:t>
      </w:r>
      <w:r w:rsidR="00B357D7" w:rsidRPr="00B357D7">
        <w:rPr>
          <w:lang w:val="fr-FR" w:eastAsia="ja-JP"/>
        </w:rPr>
        <w:t>ée.  Ce</w:t>
      </w:r>
      <w:r w:rsidR="008B3300" w:rsidRPr="00B357D7">
        <w:rPr>
          <w:lang w:val="fr-FR" w:eastAsia="ja-JP"/>
        </w:rPr>
        <w:t>tte méthode a été améliorée par rapport aux versions précédentes en modérant l</w:t>
      </w:r>
      <w:r w:rsidR="009143C1" w:rsidRPr="00B357D7">
        <w:rPr>
          <w:lang w:val="fr-FR" w:eastAsia="ja-JP"/>
        </w:rPr>
        <w:t>’</w:t>
      </w:r>
      <w:r w:rsidR="008B3300" w:rsidRPr="00B357D7">
        <w:rPr>
          <w:lang w:val="fr-FR" w:eastAsia="ja-JP"/>
        </w:rPr>
        <w:t>hypothèse selon laquelle la variation variété</w:t>
      </w:r>
      <w:r w:rsidR="005868F7" w:rsidRPr="00B357D7">
        <w:rPr>
          <w:lang w:val="fr-FR" w:eastAsia="ja-JP"/>
        </w:rPr>
        <w:t>/cycle est constante</w:t>
      </w:r>
      <w:r w:rsidR="008B3300" w:rsidRPr="00B357D7">
        <w:rPr>
          <w:lang w:val="fr-FR" w:eastAsia="ja-JP"/>
        </w:rPr>
        <w:t xml:space="preserve"> d</w:t>
      </w:r>
      <w:r w:rsidR="009143C1" w:rsidRPr="00B357D7">
        <w:rPr>
          <w:lang w:val="fr-FR" w:eastAsia="ja-JP"/>
        </w:rPr>
        <w:t>’</w:t>
      </w:r>
      <w:r w:rsidR="008B3300" w:rsidRPr="00B357D7">
        <w:rPr>
          <w:lang w:val="fr-FR" w:eastAsia="ja-JP"/>
        </w:rPr>
        <w:t>un cycle à l</w:t>
      </w:r>
      <w:r w:rsidR="009143C1" w:rsidRPr="00B357D7">
        <w:rPr>
          <w:lang w:val="fr-FR" w:eastAsia="ja-JP"/>
        </w:rPr>
        <w:t>’</w:t>
      </w:r>
      <w:r w:rsidR="008B3300" w:rsidRPr="00B357D7">
        <w:rPr>
          <w:lang w:val="fr-FR" w:eastAsia="ja-JP"/>
        </w:rPr>
        <w:t>aut</w:t>
      </w:r>
      <w:r w:rsidR="00B357D7" w:rsidRPr="00B357D7">
        <w:rPr>
          <w:lang w:val="fr-FR" w:eastAsia="ja-JP"/>
        </w:rPr>
        <w:t>re.  El</w:t>
      </w:r>
      <w:r w:rsidR="008B7216" w:rsidRPr="00B357D7">
        <w:rPr>
          <w:lang w:val="fr-FR" w:eastAsia="ja-JP"/>
        </w:rPr>
        <w:t>le permet de tenir compte de la variation du matériel d</w:t>
      </w:r>
      <w:r w:rsidR="009143C1" w:rsidRPr="00B357D7">
        <w:rPr>
          <w:lang w:val="fr-FR" w:eastAsia="ja-JP"/>
        </w:rPr>
        <w:t>’</w:t>
      </w:r>
      <w:r w:rsidR="008B7216" w:rsidRPr="00B357D7">
        <w:rPr>
          <w:lang w:val="fr-FR" w:eastAsia="ja-JP"/>
        </w:rPr>
        <w:t>un cycle à l</w:t>
      </w:r>
      <w:r w:rsidR="009143C1" w:rsidRPr="00B357D7">
        <w:rPr>
          <w:lang w:val="fr-FR" w:eastAsia="ja-JP"/>
        </w:rPr>
        <w:t>’</w:t>
      </w:r>
      <w:r w:rsidR="008B7216" w:rsidRPr="00B357D7">
        <w:rPr>
          <w:lang w:val="fr-FR" w:eastAsia="ja-JP"/>
        </w:rPr>
        <w:t>autre, qui est fréquemment observée, dans le cadre de l</w:t>
      </w:r>
      <w:r w:rsidR="009143C1" w:rsidRPr="00B357D7">
        <w:rPr>
          <w:lang w:val="fr-FR" w:eastAsia="ja-JP"/>
        </w:rPr>
        <w:t>’</w:t>
      </w:r>
      <w:r w:rsidR="008B7216" w:rsidRPr="00B357D7">
        <w:rPr>
          <w:lang w:val="fr-FR" w:eastAsia="ja-JP"/>
        </w:rPr>
        <w:t>analyse COYD.</w:t>
      </w:r>
    </w:p>
    <w:p w:rsidR="00AA7D33" w:rsidRPr="00B357D7" w:rsidRDefault="00AA7D33" w:rsidP="00F56A94">
      <w:pPr>
        <w:rPr>
          <w:lang w:val="fr-FR" w:eastAsia="ja-JP"/>
        </w:rPr>
      </w:pPr>
    </w:p>
    <w:p w:rsidR="00AA7D33" w:rsidRPr="00B357D7" w:rsidRDefault="008B7216" w:rsidP="00F56A94">
      <w:pPr>
        <w:rPr>
          <w:lang w:val="fr-FR" w:eastAsia="ja-JP"/>
        </w:rPr>
      </w:pPr>
      <w:r w:rsidRPr="00B357D7">
        <w:rPr>
          <w:lang w:val="fr-FR" w:eastAsia="ja-JP"/>
        </w:rPr>
        <w:t>3.</w:t>
      </w:r>
      <w:r w:rsidRPr="00B357D7">
        <w:rPr>
          <w:lang w:val="fr-FR" w:eastAsia="ja-JP"/>
        </w:rPr>
        <w:tab/>
        <w:t>Le présent document illustre l</w:t>
      </w:r>
      <w:r w:rsidR="009143C1" w:rsidRPr="00B357D7">
        <w:rPr>
          <w:lang w:val="fr-FR" w:eastAsia="ja-JP"/>
        </w:rPr>
        <w:t>’</w:t>
      </w:r>
      <w:r w:rsidRPr="00B357D7">
        <w:rPr>
          <w:lang w:val="fr-FR" w:eastAsia="ja-JP"/>
        </w:rPr>
        <w:t xml:space="preserve">application de la méthode à un </w:t>
      </w:r>
      <w:r w:rsidR="00415D88" w:rsidRPr="00B357D7">
        <w:rPr>
          <w:lang w:val="fr-FR" w:eastAsia="ja-JP"/>
        </w:rPr>
        <w:t>jeu de données</w:t>
      </w:r>
      <w:r w:rsidRPr="00B357D7">
        <w:rPr>
          <w:lang w:val="fr-FR" w:eastAsia="ja-JP"/>
        </w:rPr>
        <w:t xml:space="preserve"> DHS </w:t>
      </w:r>
      <w:r w:rsidR="00EB244B" w:rsidRPr="00B357D7">
        <w:rPr>
          <w:lang w:val="fr-FR" w:eastAsia="ja-JP"/>
        </w:rPr>
        <w:t>concernant</w:t>
      </w:r>
      <w:r w:rsidRPr="00B357D7">
        <w:rPr>
          <w:lang w:val="fr-FR" w:eastAsia="ja-JP"/>
        </w:rPr>
        <w:t xml:space="preserve"> des pois fourragers, </w:t>
      </w:r>
      <w:r w:rsidR="00EB244B" w:rsidRPr="00B357D7">
        <w:rPr>
          <w:lang w:val="fr-FR" w:eastAsia="ja-JP"/>
        </w:rPr>
        <w:t xml:space="preserve">en </w:t>
      </w:r>
      <w:r w:rsidRPr="00B357D7">
        <w:rPr>
          <w:lang w:val="fr-FR" w:eastAsia="ja-JP"/>
        </w:rPr>
        <w:t>démontrant comment elle peut être avantageuse en pratique.</w:t>
      </w:r>
    </w:p>
    <w:p w:rsidR="00AA7D33" w:rsidRPr="00B357D7" w:rsidRDefault="00AA7D33" w:rsidP="00F56A94">
      <w:pPr>
        <w:rPr>
          <w:lang w:val="fr-FR" w:eastAsia="ja-JP"/>
        </w:rPr>
      </w:pPr>
    </w:p>
    <w:p w:rsidR="00AA7D33" w:rsidRPr="00B357D7" w:rsidRDefault="00AA7D33" w:rsidP="00F56A94">
      <w:pPr>
        <w:rPr>
          <w:lang w:val="fr-FR" w:eastAsia="ja-JP"/>
        </w:rPr>
      </w:pPr>
    </w:p>
    <w:p w:rsidR="00AA7D33" w:rsidRPr="00B357D7" w:rsidRDefault="008B7216" w:rsidP="00F56A94">
      <w:pPr>
        <w:rPr>
          <w:caps/>
          <w:lang w:val="fr-FR" w:eastAsia="ja-JP"/>
        </w:rPr>
      </w:pPr>
      <w:r w:rsidRPr="00B357D7">
        <w:rPr>
          <w:caps/>
          <w:lang w:val="fr-FR" w:eastAsia="ja-JP"/>
        </w:rPr>
        <w:t>APERçU</w:t>
      </w:r>
    </w:p>
    <w:p w:rsidR="00AA7D33" w:rsidRPr="00B357D7" w:rsidRDefault="00AA7D33" w:rsidP="00F56A94">
      <w:pPr>
        <w:rPr>
          <w:lang w:val="fr-FR" w:eastAsia="ja-JP"/>
        </w:rPr>
      </w:pPr>
    </w:p>
    <w:p w:rsidR="009143C1" w:rsidRPr="00B357D7" w:rsidRDefault="00B74A46" w:rsidP="00F56A94">
      <w:pPr>
        <w:rPr>
          <w:lang w:val="fr-FR" w:eastAsia="ja-JP"/>
        </w:rPr>
      </w:pPr>
      <w:r w:rsidRPr="00B357D7">
        <w:rPr>
          <w:lang w:val="fr-FR" w:eastAsia="ja-JP"/>
        </w:rPr>
        <w:t>4.</w:t>
      </w:r>
      <w:r w:rsidRPr="00B357D7">
        <w:rPr>
          <w:lang w:val="fr-FR" w:eastAsia="ja-JP"/>
        </w:rPr>
        <w:tab/>
        <w:t>La démarche examinée vise à déterminer, à la suite du premier cycle d</w:t>
      </w:r>
      <w:r w:rsidR="009143C1" w:rsidRPr="00B357D7">
        <w:rPr>
          <w:lang w:val="fr-FR" w:eastAsia="ja-JP"/>
        </w:rPr>
        <w:t>’</w:t>
      </w:r>
      <w:r w:rsidR="00EB244B" w:rsidRPr="00B357D7">
        <w:rPr>
          <w:lang w:val="fr-FR" w:eastAsia="ja-JP"/>
        </w:rPr>
        <w:t>examens</w:t>
      </w:r>
      <w:r w:rsidRPr="00B357D7">
        <w:rPr>
          <w:lang w:val="fr-FR" w:eastAsia="ja-JP"/>
        </w:rPr>
        <w:t>, quelles variétés notoirement connues sont tellement différentes de la variété candidate qu</w:t>
      </w:r>
      <w:r w:rsidR="009143C1" w:rsidRPr="00B357D7">
        <w:rPr>
          <w:lang w:val="fr-FR" w:eastAsia="ja-JP"/>
        </w:rPr>
        <w:t>’</w:t>
      </w:r>
      <w:r w:rsidRPr="00B357D7">
        <w:rPr>
          <w:lang w:val="fr-FR" w:eastAsia="ja-JP"/>
        </w:rPr>
        <w:t>il n</w:t>
      </w:r>
      <w:r w:rsidR="009143C1" w:rsidRPr="00B357D7">
        <w:rPr>
          <w:lang w:val="fr-FR" w:eastAsia="ja-JP"/>
        </w:rPr>
        <w:t>’</w:t>
      </w:r>
      <w:r w:rsidRPr="00B357D7">
        <w:rPr>
          <w:lang w:val="fr-FR" w:eastAsia="ja-JP"/>
        </w:rPr>
        <w:t>y a pas lieu d</w:t>
      </w:r>
      <w:r w:rsidR="009143C1" w:rsidRPr="00B357D7">
        <w:rPr>
          <w:lang w:val="fr-FR" w:eastAsia="ja-JP"/>
        </w:rPr>
        <w:t>’</w:t>
      </w:r>
      <w:r w:rsidRPr="00B357D7">
        <w:rPr>
          <w:lang w:val="fr-FR" w:eastAsia="ja-JP"/>
        </w:rPr>
        <w:t xml:space="preserve">effectuer un </w:t>
      </w:r>
      <w:r w:rsidR="00EB244B" w:rsidRPr="00B357D7">
        <w:rPr>
          <w:lang w:val="fr-FR" w:eastAsia="ja-JP"/>
        </w:rPr>
        <w:t>second</w:t>
      </w:r>
      <w:r w:rsidRPr="00B357D7">
        <w:rPr>
          <w:lang w:val="fr-FR" w:eastAsia="ja-JP"/>
        </w:rPr>
        <w:t xml:space="preserve"> cycle d</w:t>
      </w:r>
      <w:r w:rsidR="009143C1" w:rsidRPr="00B357D7">
        <w:rPr>
          <w:lang w:val="fr-FR" w:eastAsia="ja-JP"/>
        </w:rPr>
        <w:t>’</w:t>
      </w:r>
      <w:r w:rsidR="00EB244B" w:rsidRPr="00B357D7">
        <w:rPr>
          <w:lang w:val="fr-FR" w:eastAsia="ja-JP"/>
        </w:rPr>
        <w:t>examens</w:t>
      </w:r>
      <w:r w:rsidRPr="00B357D7">
        <w:rPr>
          <w:lang w:val="fr-FR" w:eastAsia="ja-JP"/>
        </w:rPr>
        <w:t xml:space="preserve"> pour les comparer.</w:t>
      </w:r>
    </w:p>
    <w:p w:rsidR="00AA7D33" w:rsidRPr="00B357D7" w:rsidRDefault="00AA7D33" w:rsidP="00F56A94">
      <w:pPr>
        <w:rPr>
          <w:lang w:val="fr-FR" w:eastAsia="ja-JP"/>
        </w:rPr>
      </w:pPr>
    </w:p>
    <w:p w:rsidR="009143C1" w:rsidRPr="00B357D7" w:rsidRDefault="00B74A46" w:rsidP="00F56A94">
      <w:pPr>
        <w:rPr>
          <w:lang w:val="fr-FR" w:eastAsia="ja-JP"/>
        </w:rPr>
      </w:pPr>
      <w:r w:rsidRPr="00B357D7">
        <w:rPr>
          <w:lang w:val="fr-FR" w:eastAsia="ja-JP"/>
        </w:rPr>
        <w:t>5.</w:t>
      </w:r>
      <w:r w:rsidRPr="00B357D7">
        <w:rPr>
          <w:lang w:val="fr-FR" w:eastAsia="ja-JP"/>
        </w:rPr>
        <w:tab/>
      </w:r>
      <w:r w:rsidRPr="00B357D7">
        <w:rPr>
          <w:caps/>
          <w:lang w:val="fr-FR" w:eastAsia="ja-JP"/>
        </w:rPr>
        <w:t>à</w:t>
      </w:r>
      <w:r w:rsidRPr="00B357D7">
        <w:rPr>
          <w:lang w:val="fr-FR" w:eastAsia="ja-JP"/>
        </w:rPr>
        <w:t xml:space="preserve"> cette fin, nous estimons la probabilité qu</w:t>
      </w:r>
      <w:r w:rsidR="009143C1" w:rsidRPr="00B357D7">
        <w:rPr>
          <w:lang w:val="fr-FR" w:eastAsia="ja-JP"/>
        </w:rPr>
        <w:t>’</w:t>
      </w:r>
      <w:r w:rsidRPr="00B357D7">
        <w:rPr>
          <w:lang w:val="fr-FR" w:eastAsia="ja-JP"/>
        </w:rPr>
        <w:t xml:space="preserve">une variété candidate soit distincte, après le </w:t>
      </w:r>
      <w:r w:rsidR="00EB244B" w:rsidRPr="00B357D7">
        <w:rPr>
          <w:lang w:val="fr-FR" w:eastAsia="ja-JP"/>
        </w:rPr>
        <w:t>second</w:t>
      </w:r>
      <w:r w:rsidRPr="00B357D7">
        <w:rPr>
          <w:lang w:val="fr-FR" w:eastAsia="ja-JP"/>
        </w:rPr>
        <w:t xml:space="preserve"> cycle de l</w:t>
      </w:r>
      <w:r w:rsidR="009143C1" w:rsidRPr="00B357D7">
        <w:rPr>
          <w:lang w:val="fr-FR" w:eastAsia="ja-JP"/>
        </w:rPr>
        <w:t>’</w:t>
      </w:r>
      <w:r w:rsidRPr="00B357D7">
        <w:rPr>
          <w:lang w:val="fr-FR" w:eastAsia="ja-JP"/>
        </w:rPr>
        <w:t>analyse COYD, d</w:t>
      </w:r>
      <w:r w:rsidR="009143C1" w:rsidRPr="00B357D7">
        <w:rPr>
          <w:lang w:val="fr-FR" w:eastAsia="ja-JP"/>
        </w:rPr>
        <w:t>’</w:t>
      </w:r>
      <w:r w:rsidRPr="00B357D7">
        <w:rPr>
          <w:lang w:val="fr-FR" w:eastAsia="ja-JP"/>
        </w:rPr>
        <w:t xml:space="preserve">une variété donnée notoirement connue, </w:t>
      </w:r>
      <w:r w:rsidR="00EB244B" w:rsidRPr="00B357D7">
        <w:rPr>
          <w:lang w:val="fr-FR" w:eastAsia="ja-JP"/>
        </w:rPr>
        <w:t>sur la base</w:t>
      </w:r>
      <w:r w:rsidRPr="00B357D7">
        <w:rPr>
          <w:lang w:val="fr-FR" w:eastAsia="ja-JP"/>
        </w:rPr>
        <w:t xml:space="preserve"> des résultats obtenus après le premier cycle de végétati</w:t>
      </w:r>
      <w:r w:rsidR="00B357D7" w:rsidRPr="00B357D7">
        <w:rPr>
          <w:lang w:val="fr-FR" w:eastAsia="ja-JP"/>
        </w:rPr>
        <w:t>on.  Si</w:t>
      </w:r>
      <w:r w:rsidRPr="00B357D7">
        <w:rPr>
          <w:lang w:val="fr-FR" w:eastAsia="ja-JP"/>
        </w:rPr>
        <w:t xml:space="preserve"> la probabilité est suffisamment grande, la variété candidate est </w:t>
      </w:r>
      <w:r w:rsidR="00EB244B" w:rsidRPr="00B357D7">
        <w:rPr>
          <w:lang w:val="fr-FR" w:eastAsia="ja-JP"/>
        </w:rPr>
        <w:t>déclarée</w:t>
      </w:r>
      <w:r w:rsidRPr="00B357D7">
        <w:rPr>
          <w:lang w:val="fr-FR" w:eastAsia="ja-JP"/>
        </w:rPr>
        <w:t xml:space="preserve"> distincte de cette variété et il n</w:t>
      </w:r>
      <w:r w:rsidR="009143C1" w:rsidRPr="00B357D7">
        <w:rPr>
          <w:lang w:val="fr-FR" w:eastAsia="ja-JP"/>
        </w:rPr>
        <w:t>’</w:t>
      </w:r>
      <w:r w:rsidRPr="00B357D7">
        <w:rPr>
          <w:lang w:val="fr-FR" w:eastAsia="ja-JP"/>
        </w:rPr>
        <w:t>y a pas lieu de les comparer au cours d</w:t>
      </w:r>
      <w:r w:rsidR="009143C1" w:rsidRPr="00B357D7">
        <w:rPr>
          <w:lang w:val="fr-FR" w:eastAsia="ja-JP"/>
        </w:rPr>
        <w:t>’</w:t>
      </w:r>
      <w:r w:rsidRPr="00B357D7">
        <w:rPr>
          <w:lang w:val="fr-FR" w:eastAsia="ja-JP"/>
        </w:rPr>
        <w:t xml:space="preserve">un </w:t>
      </w:r>
      <w:r w:rsidR="00EB244B" w:rsidRPr="00B357D7">
        <w:rPr>
          <w:lang w:val="fr-FR" w:eastAsia="ja-JP"/>
        </w:rPr>
        <w:t>second</w:t>
      </w:r>
      <w:r w:rsidRPr="00B357D7">
        <w:rPr>
          <w:lang w:val="fr-FR" w:eastAsia="ja-JP"/>
        </w:rPr>
        <w:t xml:space="preserve"> cycle d</w:t>
      </w:r>
      <w:r w:rsidR="009143C1" w:rsidRPr="00B357D7">
        <w:rPr>
          <w:lang w:val="fr-FR" w:eastAsia="ja-JP"/>
        </w:rPr>
        <w:t>’</w:t>
      </w:r>
      <w:r w:rsidR="00EB244B" w:rsidRPr="00B357D7">
        <w:rPr>
          <w:lang w:val="fr-FR" w:eastAsia="ja-JP"/>
        </w:rPr>
        <w:t>examens</w:t>
      </w:r>
      <w:r w:rsidRPr="00B357D7">
        <w:rPr>
          <w:lang w:val="fr-FR" w:eastAsia="ja-JP"/>
        </w:rPr>
        <w:t>.</w:t>
      </w:r>
    </w:p>
    <w:p w:rsidR="00AA7D33" w:rsidRPr="00B357D7" w:rsidRDefault="00AA7D33" w:rsidP="00F56A94">
      <w:pPr>
        <w:rPr>
          <w:lang w:val="fr-FR" w:eastAsia="ja-JP"/>
        </w:rPr>
      </w:pPr>
    </w:p>
    <w:p w:rsidR="00AA7D33" w:rsidRPr="00B357D7" w:rsidRDefault="00B74A46" w:rsidP="00F56A94">
      <w:pPr>
        <w:rPr>
          <w:lang w:val="fr-FR" w:eastAsia="ja-JP"/>
        </w:rPr>
      </w:pPr>
      <w:r w:rsidRPr="00B357D7">
        <w:rPr>
          <w:lang w:val="fr-FR" w:eastAsia="ja-JP"/>
        </w:rPr>
        <w:t>6.</w:t>
      </w:r>
      <w:r w:rsidRPr="00B357D7">
        <w:rPr>
          <w:lang w:val="fr-FR" w:eastAsia="ja-JP"/>
        </w:rPr>
        <w:tab/>
        <w:t>La méthode est appliquée caractère par caractè</w:t>
      </w:r>
      <w:r w:rsidR="00B357D7" w:rsidRPr="00B357D7">
        <w:rPr>
          <w:lang w:val="fr-FR" w:eastAsia="ja-JP"/>
        </w:rPr>
        <w:t>re.  Af</w:t>
      </w:r>
      <w:r w:rsidR="00314D99" w:rsidRPr="00B357D7">
        <w:rPr>
          <w:lang w:val="fr-FR" w:eastAsia="ja-JP"/>
        </w:rPr>
        <w:t>in de juger la variabilité associée aux mesures d</w:t>
      </w:r>
      <w:r w:rsidR="009143C1" w:rsidRPr="00B357D7">
        <w:rPr>
          <w:lang w:val="fr-FR" w:eastAsia="ja-JP"/>
        </w:rPr>
        <w:t>’</w:t>
      </w:r>
      <w:r w:rsidR="00314D99" w:rsidRPr="00B357D7">
        <w:rPr>
          <w:lang w:val="fr-FR" w:eastAsia="ja-JP"/>
        </w:rPr>
        <w:t xml:space="preserve">un caractère particulier nous devons avoir accès aux </w:t>
      </w:r>
      <w:r w:rsidR="00EB244B" w:rsidRPr="00B357D7">
        <w:rPr>
          <w:lang w:val="fr-FR" w:eastAsia="ja-JP"/>
        </w:rPr>
        <w:t>données antérieur</w:t>
      </w:r>
      <w:r w:rsidR="00B357D7" w:rsidRPr="00B357D7">
        <w:rPr>
          <w:lang w:val="fr-FR" w:eastAsia="ja-JP"/>
        </w:rPr>
        <w:t>es.  Ce</w:t>
      </w:r>
      <w:r w:rsidR="00314D99" w:rsidRPr="00B357D7">
        <w:rPr>
          <w:lang w:val="fr-FR" w:eastAsia="ja-JP"/>
        </w:rPr>
        <w:t xml:space="preserve">tte démarche peut être utilisée en association avec des procédures comme GAIA, pour parvenir à un seuil de </w:t>
      </w:r>
      <w:r w:rsidR="003608E2" w:rsidRPr="00B357D7">
        <w:rPr>
          <w:lang w:val="fr-FR" w:eastAsia="ja-JP"/>
        </w:rPr>
        <w:t>“</w:t>
      </w:r>
      <w:r w:rsidR="00314D99" w:rsidRPr="00B357D7">
        <w:rPr>
          <w:lang w:val="fr-FR" w:eastAsia="ja-JP"/>
        </w:rPr>
        <w:t>distinction plus</w:t>
      </w:r>
      <w:r w:rsidR="003608E2" w:rsidRPr="00B357D7">
        <w:rPr>
          <w:lang w:val="fr-FR" w:eastAsia="ja-JP"/>
        </w:rPr>
        <w:t>”</w:t>
      </w:r>
      <w:r w:rsidR="00314D99" w:rsidRPr="00B357D7">
        <w:rPr>
          <w:lang w:val="fr-FR" w:eastAsia="ja-JP"/>
        </w:rPr>
        <w:t xml:space="preserve"> (voir le document TGP/8, intitulé “Protocole d</w:t>
      </w:r>
      <w:r w:rsidR="009143C1" w:rsidRPr="00B357D7">
        <w:rPr>
          <w:lang w:val="fr-FR" w:eastAsia="ja-JP"/>
        </w:rPr>
        <w:t>’</w:t>
      </w:r>
      <w:r w:rsidR="00314D99" w:rsidRPr="00B357D7">
        <w:rPr>
          <w:lang w:val="fr-FR" w:eastAsia="ja-JP"/>
        </w:rPr>
        <w:t>essai et techniques utilisés dans l</w:t>
      </w:r>
      <w:r w:rsidR="009143C1" w:rsidRPr="00B357D7">
        <w:rPr>
          <w:lang w:val="fr-FR" w:eastAsia="ja-JP"/>
        </w:rPr>
        <w:t>’</w:t>
      </w:r>
      <w:r w:rsidR="00314D99" w:rsidRPr="00B357D7">
        <w:rPr>
          <w:lang w:val="fr-FR" w:eastAsia="ja-JP"/>
        </w:rPr>
        <w:t>examen de la distinction, de l</w:t>
      </w:r>
      <w:r w:rsidR="009143C1" w:rsidRPr="00B357D7">
        <w:rPr>
          <w:lang w:val="fr-FR" w:eastAsia="ja-JP"/>
        </w:rPr>
        <w:t>’</w:t>
      </w:r>
      <w:r w:rsidR="00314D99" w:rsidRPr="00B357D7">
        <w:rPr>
          <w:lang w:val="fr-FR" w:eastAsia="ja-JP"/>
        </w:rPr>
        <w:t>homogénéité et de la stabilité”, partie</w:t>
      </w:r>
      <w:r w:rsidR="00D76723">
        <w:rPr>
          <w:lang w:val="fr-FR" w:eastAsia="ja-JP"/>
        </w:rPr>
        <w:t> </w:t>
      </w:r>
      <w:r w:rsidR="00314D99" w:rsidRPr="00B357D7">
        <w:rPr>
          <w:lang w:val="fr-FR" w:eastAsia="ja-JP"/>
        </w:rPr>
        <w:t>II</w:t>
      </w:r>
      <w:r w:rsidR="009143C1" w:rsidRPr="00B357D7">
        <w:rPr>
          <w:lang w:val="fr-FR" w:eastAsia="ja-JP"/>
        </w:rPr>
        <w:t> :</w:t>
      </w:r>
      <w:r w:rsidR="00314D99" w:rsidRPr="00B357D7">
        <w:rPr>
          <w:lang w:val="fr-FR" w:eastAsia="ja-JP"/>
        </w:rPr>
        <w:t xml:space="preserve"> techniques utilisé</w:t>
      </w:r>
      <w:r w:rsidR="00EB244B" w:rsidRPr="00B357D7">
        <w:rPr>
          <w:lang w:val="fr-FR" w:eastAsia="ja-JP"/>
        </w:rPr>
        <w:t>e</w:t>
      </w:r>
      <w:r w:rsidR="00314D99" w:rsidRPr="00B357D7">
        <w:rPr>
          <w:lang w:val="fr-FR" w:eastAsia="ja-JP"/>
        </w:rPr>
        <w:t>s dans l</w:t>
      </w:r>
      <w:r w:rsidR="009143C1" w:rsidRPr="00B357D7">
        <w:rPr>
          <w:lang w:val="fr-FR" w:eastAsia="ja-JP"/>
        </w:rPr>
        <w:t>’</w:t>
      </w:r>
      <w:r w:rsidR="00314D99" w:rsidRPr="00B357D7">
        <w:rPr>
          <w:lang w:val="fr-FR" w:eastAsia="ja-JP"/>
        </w:rPr>
        <w:t>examen</w:t>
      </w:r>
      <w:r w:rsidR="003608E2" w:rsidRPr="00B357D7">
        <w:rPr>
          <w:lang w:val="fr-FR" w:eastAsia="ja-JP"/>
        </w:rPr>
        <w:t> </w:t>
      </w:r>
      <w:r w:rsidR="00314D99" w:rsidRPr="00B357D7">
        <w:rPr>
          <w:lang w:val="fr-FR" w:eastAsia="ja-JP"/>
        </w:rPr>
        <w:t xml:space="preserve">DHS, 1 </w:t>
      </w:r>
      <w:r w:rsidR="003608E2" w:rsidRPr="00B357D7">
        <w:rPr>
          <w:lang w:val="fr-FR" w:eastAsia="ja-JP"/>
        </w:rPr>
        <w:t>“</w:t>
      </w:r>
      <w:r w:rsidR="00314D99" w:rsidRPr="00B357D7">
        <w:rPr>
          <w:lang w:val="fr-FR" w:eastAsia="ja-JP"/>
        </w:rPr>
        <w:t>la méthodologie GAIA</w:t>
      </w:r>
      <w:r w:rsidR="003608E2" w:rsidRPr="00B357D7">
        <w:rPr>
          <w:lang w:val="fr-FR" w:eastAsia="ja-JP"/>
        </w:rPr>
        <w:t>”</w:t>
      </w:r>
      <w:r w:rsidR="00314D99" w:rsidRPr="00B357D7">
        <w:rPr>
          <w:lang w:val="fr-FR" w:eastAsia="ja-JP"/>
        </w:rPr>
        <w:t>).</w:t>
      </w:r>
    </w:p>
    <w:p w:rsidR="00AA7D33" w:rsidRPr="00B357D7" w:rsidRDefault="00AA7D33" w:rsidP="00F56A94">
      <w:pPr>
        <w:jc w:val="left"/>
        <w:rPr>
          <w:caps/>
          <w:lang w:val="fr-FR" w:eastAsia="ja-JP"/>
        </w:rPr>
      </w:pPr>
    </w:p>
    <w:p w:rsidR="00AA7D33" w:rsidRPr="00B357D7" w:rsidRDefault="00AA7D33" w:rsidP="00F56A94">
      <w:pPr>
        <w:jc w:val="left"/>
        <w:rPr>
          <w:caps/>
          <w:lang w:val="fr-FR" w:eastAsia="ja-JP"/>
        </w:rPr>
      </w:pPr>
    </w:p>
    <w:p w:rsidR="00AA7D33" w:rsidRPr="00B357D7" w:rsidRDefault="00314D99" w:rsidP="00F56A94">
      <w:pPr>
        <w:rPr>
          <w:caps/>
          <w:lang w:val="fr-FR" w:eastAsia="ja-JP"/>
        </w:rPr>
      </w:pPr>
      <w:r w:rsidRPr="00B357D7">
        <w:rPr>
          <w:caps/>
          <w:lang w:val="fr-FR" w:eastAsia="ja-JP"/>
        </w:rPr>
        <w:t>LA MéTHODE EN BREF</w:t>
      </w:r>
    </w:p>
    <w:p w:rsidR="00AA7D33" w:rsidRPr="00B357D7" w:rsidRDefault="00AA7D33" w:rsidP="00F56A94">
      <w:pPr>
        <w:rPr>
          <w:lang w:val="fr-FR" w:eastAsia="ja-JP"/>
        </w:rPr>
      </w:pPr>
    </w:p>
    <w:p w:rsidR="009143C1" w:rsidRPr="00B357D7" w:rsidRDefault="007D45F0" w:rsidP="00F56A94">
      <w:pPr>
        <w:rPr>
          <w:lang w:val="fr-FR" w:eastAsia="ja-JP"/>
        </w:rPr>
      </w:pPr>
      <w:r w:rsidRPr="00B357D7">
        <w:rPr>
          <w:lang w:val="fr-FR" w:eastAsia="ja-JP"/>
        </w:rPr>
        <w:t>7.</w:t>
      </w:r>
      <w:r w:rsidRPr="00B357D7">
        <w:rPr>
          <w:lang w:val="fr-FR" w:eastAsia="ja-JP"/>
        </w:rPr>
        <w:tab/>
        <w:t>La méthode est fondée sur le calcul de la probabilité, (probabilité de défaut</w:t>
      </w:r>
      <w:r w:rsidR="009143C1" w:rsidRPr="00B357D7">
        <w:rPr>
          <w:lang w:val="fr-FR" w:eastAsia="ja-JP"/>
        </w:rPr>
        <w:t xml:space="preserve"> – </w:t>
      </w:r>
      <w:proofErr w:type="spellStart"/>
      <w:r w:rsidRPr="00B357D7">
        <w:rPr>
          <w:lang w:val="fr-FR" w:eastAsia="ja-JP"/>
        </w:rPr>
        <w:t>pD</w:t>
      </w:r>
      <w:proofErr w:type="spellEnd"/>
      <w:r w:rsidRPr="00B357D7">
        <w:rPr>
          <w:lang w:val="fr-FR" w:eastAsia="ja-JP"/>
        </w:rPr>
        <w:t>), qu</w:t>
      </w:r>
      <w:r w:rsidR="009143C1" w:rsidRPr="00B357D7">
        <w:rPr>
          <w:lang w:val="fr-FR" w:eastAsia="ja-JP"/>
        </w:rPr>
        <w:t>’</w:t>
      </w:r>
      <w:r w:rsidRPr="00B357D7">
        <w:rPr>
          <w:lang w:val="fr-FR" w:eastAsia="ja-JP"/>
        </w:rPr>
        <w:t>une variété candidate sera</w:t>
      </w:r>
      <w:r w:rsidR="00EB244B" w:rsidRPr="00B357D7">
        <w:rPr>
          <w:lang w:val="fr-FR" w:eastAsia="ja-JP"/>
        </w:rPr>
        <w:t>it</w:t>
      </w:r>
      <w:r w:rsidRPr="00B357D7">
        <w:rPr>
          <w:lang w:val="fr-FR" w:eastAsia="ja-JP"/>
        </w:rPr>
        <w:t xml:space="preserve"> distincte au </w:t>
      </w:r>
      <w:r w:rsidR="00EB244B" w:rsidRPr="00B357D7">
        <w:rPr>
          <w:lang w:val="fr-FR" w:eastAsia="ja-JP"/>
        </w:rPr>
        <w:t>second</w:t>
      </w:r>
      <w:r w:rsidRPr="00B357D7">
        <w:rPr>
          <w:lang w:val="fr-FR" w:eastAsia="ja-JP"/>
        </w:rPr>
        <w:t xml:space="preserve"> cycle de l</w:t>
      </w:r>
      <w:r w:rsidR="009143C1" w:rsidRPr="00B357D7">
        <w:rPr>
          <w:lang w:val="fr-FR" w:eastAsia="ja-JP"/>
        </w:rPr>
        <w:t>’</w:t>
      </w:r>
      <w:r w:rsidRPr="00B357D7">
        <w:rPr>
          <w:lang w:val="fr-FR" w:eastAsia="ja-JP"/>
        </w:rPr>
        <w:t xml:space="preserve">analyse COYD </w:t>
      </w:r>
      <w:r w:rsidR="00EB244B" w:rsidRPr="00B357D7">
        <w:rPr>
          <w:lang w:val="fr-FR" w:eastAsia="ja-JP"/>
        </w:rPr>
        <w:t>en se fondant uniquement sur l</w:t>
      </w:r>
      <w:r w:rsidRPr="00B357D7">
        <w:rPr>
          <w:lang w:val="fr-FR" w:eastAsia="ja-JP"/>
        </w:rPr>
        <w:t>es données du premier cyc</w:t>
      </w:r>
      <w:r w:rsidR="00B357D7" w:rsidRPr="00B357D7">
        <w:rPr>
          <w:lang w:val="fr-FR" w:eastAsia="ja-JP"/>
        </w:rPr>
        <w:t>le.  Si</w:t>
      </w:r>
      <w:r w:rsidRPr="00B357D7">
        <w:rPr>
          <w:lang w:val="fr-FR" w:eastAsia="ja-JP"/>
        </w:rPr>
        <w:t xml:space="preserve"> la probabilité est suffisamment grande, la variété candidate est déclarée distincte de cette variété et il n</w:t>
      </w:r>
      <w:r w:rsidR="009143C1" w:rsidRPr="00B357D7">
        <w:rPr>
          <w:lang w:val="fr-FR" w:eastAsia="ja-JP"/>
        </w:rPr>
        <w:t>’</w:t>
      </w:r>
      <w:r w:rsidRPr="00B357D7">
        <w:rPr>
          <w:lang w:val="fr-FR" w:eastAsia="ja-JP"/>
        </w:rPr>
        <w:t xml:space="preserve">y a pas lieu de procéder à un </w:t>
      </w:r>
      <w:r w:rsidR="00EB244B" w:rsidRPr="00B357D7">
        <w:rPr>
          <w:lang w:val="fr-FR" w:eastAsia="ja-JP"/>
        </w:rPr>
        <w:t>second</w:t>
      </w:r>
      <w:r w:rsidRPr="00B357D7">
        <w:rPr>
          <w:lang w:val="fr-FR" w:eastAsia="ja-JP"/>
        </w:rPr>
        <w:t xml:space="preserve"> cycle de végétation pour la compar</w:t>
      </w:r>
      <w:r w:rsidR="00B357D7" w:rsidRPr="00B357D7">
        <w:rPr>
          <w:lang w:val="fr-FR" w:eastAsia="ja-JP"/>
        </w:rPr>
        <w:t>er.  Ce</w:t>
      </w:r>
      <w:r w:rsidRPr="00B357D7">
        <w:rPr>
          <w:lang w:val="fr-FR" w:eastAsia="ja-JP"/>
        </w:rPr>
        <w:t>tte procédure peut être inversée pour définir des seuils pour des probabilités établies.</w:t>
      </w:r>
    </w:p>
    <w:p w:rsidR="00AA7D33" w:rsidRPr="00B357D7" w:rsidRDefault="00AA7D33" w:rsidP="00F56A94">
      <w:pPr>
        <w:rPr>
          <w:lang w:val="fr-FR" w:eastAsia="ja-JP"/>
        </w:rPr>
      </w:pPr>
    </w:p>
    <w:p w:rsidR="00AA7D33" w:rsidRPr="00B357D7" w:rsidRDefault="00055B9E" w:rsidP="00F56A94">
      <w:pPr>
        <w:rPr>
          <w:lang w:val="fr-FR" w:eastAsia="ja-JP"/>
        </w:rPr>
      </w:pPr>
      <w:r w:rsidRPr="00B357D7">
        <w:rPr>
          <w:lang w:val="fr-FR" w:eastAsia="ja-JP"/>
        </w:rPr>
        <w:t>8.</w:t>
      </w:r>
      <w:r w:rsidRPr="00B357D7">
        <w:rPr>
          <w:lang w:val="fr-FR" w:eastAsia="ja-JP"/>
        </w:rPr>
        <w:tab/>
        <w:t>La méthode s</w:t>
      </w:r>
      <w:r w:rsidR="009143C1" w:rsidRPr="00B357D7">
        <w:rPr>
          <w:lang w:val="fr-FR" w:eastAsia="ja-JP"/>
        </w:rPr>
        <w:t>’</w:t>
      </w:r>
      <w:r w:rsidRPr="00B357D7">
        <w:rPr>
          <w:lang w:val="fr-FR" w:eastAsia="ja-JP"/>
        </w:rPr>
        <w:t>appuie non seulement sur les données obtenues à la suite du premier cycle d</w:t>
      </w:r>
      <w:r w:rsidR="009143C1" w:rsidRPr="00B357D7">
        <w:rPr>
          <w:lang w:val="fr-FR" w:eastAsia="ja-JP"/>
        </w:rPr>
        <w:t>’</w:t>
      </w:r>
      <w:r w:rsidR="00EB244B" w:rsidRPr="00B357D7">
        <w:rPr>
          <w:lang w:val="fr-FR" w:eastAsia="ja-JP"/>
        </w:rPr>
        <w:t>examens</w:t>
      </w:r>
      <w:r w:rsidRPr="00B357D7">
        <w:rPr>
          <w:lang w:val="fr-FR" w:eastAsia="ja-JP"/>
        </w:rPr>
        <w:t>, mais également sur l</w:t>
      </w:r>
      <w:r w:rsidR="009143C1" w:rsidRPr="00B357D7">
        <w:rPr>
          <w:lang w:val="fr-FR" w:eastAsia="ja-JP"/>
        </w:rPr>
        <w:t>’</w:t>
      </w:r>
      <w:r w:rsidRPr="00B357D7">
        <w:rPr>
          <w:lang w:val="fr-FR" w:eastAsia="ja-JP"/>
        </w:rPr>
        <w:t xml:space="preserve">historique des données provenant des </w:t>
      </w:r>
      <w:r w:rsidR="00EB244B" w:rsidRPr="00B357D7">
        <w:rPr>
          <w:lang w:val="fr-FR" w:eastAsia="ja-JP"/>
        </w:rPr>
        <w:t>examens</w:t>
      </w:r>
      <w:r w:rsidRPr="00B357D7">
        <w:rPr>
          <w:lang w:val="fr-FR" w:eastAsia="ja-JP"/>
        </w:rPr>
        <w:t xml:space="preserve"> DHS antérieu</w:t>
      </w:r>
      <w:r w:rsidR="00B357D7" w:rsidRPr="00B357D7">
        <w:rPr>
          <w:lang w:val="fr-FR" w:eastAsia="ja-JP"/>
        </w:rPr>
        <w:t>rs.  Il</w:t>
      </w:r>
      <w:r w:rsidRPr="00B357D7">
        <w:rPr>
          <w:lang w:val="fr-FR" w:eastAsia="ja-JP"/>
        </w:rPr>
        <w:t xml:space="preserve"> faut au moins 10</w:t>
      </w:r>
      <w:r w:rsidR="00D76723">
        <w:rPr>
          <w:lang w:val="fr-FR" w:eastAsia="ja-JP"/>
        </w:rPr>
        <w:t> </w:t>
      </w:r>
      <w:r w:rsidRPr="00B357D7">
        <w:rPr>
          <w:lang w:val="fr-FR" w:eastAsia="ja-JP"/>
        </w:rPr>
        <w:t>cycles d</w:t>
      </w:r>
      <w:r w:rsidR="009143C1" w:rsidRPr="00B357D7">
        <w:rPr>
          <w:lang w:val="fr-FR" w:eastAsia="ja-JP"/>
        </w:rPr>
        <w:t>’</w:t>
      </w:r>
      <w:r w:rsidR="00EB244B" w:rsidRPr="00B357D7">
        <w:rPr>
          <w:lang w:val="fr-FR" w:eastAsia="ja-JP"/>
        </w:rPr>
        <w:t>examens</w:t>
      </w:r>
      <w:r w:rsidRPr="00B357D7">
        <w:rPr>
          <w:lang w:val="fr-FR" w:eastAsia="ja-JP"/>
        </w:rPr>
        <w:t xml:space="preserve"> </w:t>
      </w:r>
      <w:r w:rsidR="00F56A94">
        <w:rPr>
          <w:lang w:val="fr-FR" w:eastAsia="ja-JP"/>
        </w:rPr>
        <w:t>–</w:t>
      </w:r>
      <w:r w:rsidRPr="00B357D7">
        <w:rPr>
          <w:lang w:val="fr-FR" w:eastAsia="ja-JP"/>
        </w:rPr>
        <w:t xml:space="preserve"> plus </w:t>
      </w:r>
      <w:r w:rsidR="00EB244B" w:rsidRPr="00B357D7">
        <w:rPr>
          <w:lang w:val="fr-FR" w:eastAsia="ja-JP"/>
        </w:rPr>
        <w:t xml:space="preserve">ils sont nombreux, </w:t>
      </w:r>
      <w:r w:rsidRPr="00B357D7">
        <w:rPr>
          <w:lang w:val="fr-FR" w:eastAsia="ja-JP"/>
        </w:rPr>
        <w:t>mieux</w:t>
      </w:r>
      <w:r w:rsidR="00EB244B" w:rsidRPr="00B357D7">
        <w:rPr>
          <w:lang w:val="fr-FR" w:eastAsia="ja-JP"/>
        </w:rPr>
        <w:t xml:space="preserve"> c</w:t>
      </w:r>
      <w:r w:rsidR="009143C1" w:rsidRPr="00B357D7">
        <w:rPr>
          <w:lang w:val="fr-FR" w:eastAsia="ja-JP"/>
        </w:rPr>
        <w:t>’</w:t>
      </w:r>
      <w:r w:rsidR="00EB244B" w:rsidRPr="00B357D7">
        <w:rPr>
          <w:lang w:val="fr-FR" w:eastAsia="ja-JP"/>
        </w:rPr>
        <w:t>e</w:t>
      </w:r>
      <w:r w:rsidR="00B357D7" w:rsidRPr="00B357D7">
        <w:rPr>
          <w:lang w:val="fr-FR" w:eastAsia="ja-JP"/>
        </w:rPr>
        <w:t>st.  Ce</w:t>
      </w:r>
      <w:r w:rsidR="003372C3" w:rsidRPr="00B357D7">
        <w:rPr>
          <w:lang w:val="fr-FR" w:eastAsia="ja-JP"/>
        </w:rPr>
        <w:t>tte méthode est utilisée pour estimer la variance de la variété</w:t>
      </w:r>
      <w:r w:rsidR="00EB244B" w:rsidRPr="00B357D7">
        <w:rPr>
          <w:lang w:val="fr-FR" w:eastAsia="ja-JP"/>
        </w:rPr>
        <w:t>/</w:t>
      </w:r>
      <w:r w:rsidR="003372C3" w:rsidRPr="00B357D7">
        <w:rPr>
          <w:lang w:val="fr-FR" w:eastAsia="ja-JP"/>
        </w:rPr>
        <w:t>cycle, pour chaque caractère et, surtout, sa variabilité (ou son niveau d</w:t>
      </w:r>
      <w:r w:rsidR="009143C1" w:rsidRPr="00B357D7">
        <w:rPr>
          <w:lang w:val="fr-FR" w:eastAsia="ja-JP"/>
        </w:rPr>
        <w:t>’</w:t>
      </w:r>
      <w:r w:rsidR="003372C3" w:rsidRPr="00B357D7">
        <w:rPr>
          <w:lang w:val="fr-FR" w:eastAsia="ja-JP"/>
        </w:rPr>
        <w:t>hétérogénéi</w:t>
      </w:r>
      <w:r w:rsidR="00B357D7" w:rsidRPr="00B357D7">
        <w:rPr>
          <w:lang w:val="fr-FR" w:eastAsia="ja-JP"/>
        </w:rPr>
        <w:t>té).  La</w:t>
      </w:r>
      <w:r w:rsidR="00F04F87" w:rsidRPr="00B357D7">
        <w:rPr>
          <w:lang w:val="fr-FR" w:eastAsia="ja-JP"/>
        </w:rPr>
        <w:t xml:space="preserve"> variance de la variété par cycle est une composante fondamentale de la méthode COYD (voir le document TGP/8, intitulé </w:t>
      </w:r>
      <w:r w:rsidR="003608E2" w:rsidRPr="00B357D7">
        <w:rPr>
          <w:lang w:val="fr-FR" w:eastAsia="ja-JP"/>
        </w:rPr>
        <w:t>“</w:t>
      </w:r>
      <w:r w:rsidR="00F04F87" w:rsidRPr="00B357D7">
        <w:rPr>
          <w:lang w:val="fr-FR" w:eastAsia="ja-JP"/>
        </w:rPr>
        <w:t>protocole d</w:t>
      </w:r>
      <w:r w:rsidR="009143C1" w:rsidRPr="00B357D7">
        <w:rPr>
          <w:lang w:val="fr-FR" w:eastAsia="ja-JP"/>
        </w:rPr>
        <w:t>’</w:t>
      </w:r>
      <w:r w:rsidR="00F04F87" w:rsidRPr="00B357D7">
        <w:rPr>
          <w:lang w:val="fr-FR" w:eastAsia="ja-JP"/>
        </w:rPr>
        <w:t>essai et techniques utilisés dans l</w:t>
      </w:r>
      <w:r w:rsidR="009143C1" w:rsidRPr="00B357D7">
        <w:rPr>
          <w:lang w:val="fr-FR" w:eastAsia="ja-JP"/>
        </w:rPr>
        <w:t>’</w:t>
      </w:r>
      <w:r w:rsidR="00F04F87" w:rsidRPr="00B357D7">
        <w:rPr>
          <w:lang w:val="fr-FR" w:eastAsia="ja-JP"/>
        </w:rPr>
        <w:t>examen de la distinction, de l</w:t>
      </w:r>
      <w:r w:rsidR="009143C1" w:rsidRPr="00B357D7">
        <w:rPr>
          <w:lang w:val="fr-FR" w:eastAsia="ja-JP"/>
        </w:rPr>
        <w:t>’</w:t>
      </w:r>
      <w:r w:rsidR="00F04F87" w:rsidRPr="00B357D7">
        <w:rPr>
          <w:lang w:val="fr-FR" w:eastAsia="ja-JP"/>
        </w:rPr>
        <w:t>homogénéité et de la stabilité</w:t>
      </w:r>
      <w:r w:rsidR="003608E2" w:rsidRPr="00B357D7">
        <w:rPr>
          <w:lang w:val="fr-FR" w:eastAsia="ja-JP"/>
        </w:rPr>
        <w:t>”</w:t>
      </w:r>
      <w:r w:rsidR="00F04F87" w:rsidRPr="00B357D7">
        <w:rPr>
          <w:lang w:val="fr-FR" w:eastAsia="ja-JP"/>
        </w:rPr>
        <w:t>).</w:t>
      </w:r>
    </w:p>
    <w:p w:rsidR="00AA7D33" w:rsidRPr="00B357D7" w:rsidRDefault="00AA7D33" w:rsidP="00F56A94">
      <w:pPr>
        <w:rPr>
          <w:lang w:val="fr-FR" w:eastAsia="ja-JP"/>
        </w:rPr>
      </w:pPr>
    </w:p>
    <w:p w:rsidR="00F56A94" w:rsidRDefault="00DB613F" w:rsidP="00F56A94">
      <w:pPr>
        <w:rPr>
          <w:lang w:val="fr-FR" w:eastAsia="ja-JP"/>
        </w:rPr>
      </w:pPr>
      <w:r w:rsidRPr="00B357D7">
        <w:rPr>
          <w:lang w:val="fr-FR" w:eastAsia="ja-JP"/>
        </w:rPr>
        <w:t>9.</w:t>
      </w:r>
      <w:r w:rsidRPr="00B357D7">
        <w:rPr>
          <w:lang w:val="fr-FR" w:eastAsia="ja-JP"/>
        </w:rPr>
        <w:tab/>
        <w:t>Pour le moment, la méthode requiert l</w:t>
      </w:r>
      <w:r w:rsidR="009143C1" w:rsidRPr="00B357D7">
        <w:rPr>
          <w:lang w:val="fr-FR" w:eastAsia="ja-JP"/>
        </w:rPr>
        <w:t>’</w:t>
      </w:r>
      <w:r w:rsidRPr="00B357D7">
        <w:rPr>
          <w:lang w:val="fr-FR" w:eastAsia="ja-JP"/>
        </w:rPr>
        <w:t>utilisation d</w:t>
      </w:r>
      <w:r w:rsidR="009143C1" w:rsidRPr="00B357D7">
        <w:rPr>
          <w:lang w:val="fr-FR" w:eastAsia="ja-JP"/>
        </w:rPr>
        <w:t>’</w:t>
      </w:r>
      <w:r w:rsidRPr="00B357D7">
        <w:rPr>
          <w:lang w:val="fr-FR" w:eastAsia="ja-JP"/>
        </w:rPr>
        <w:t>un logiciel de statistique spécialisé pour estimer l</w:t>
      </w:r>
      <w:r w:rsidR="009143C1" w:rsidRPr="00B357D7">
        <w:rPr>
          <w:lang w:val="fr-FR" w:eastAsia="ja-JP"/>
        </w:rPr>
        <w:t>’</w:t>
      </w:r>
      <w:r w:rsidRPr="00B357D7">
        <w:rPr>
          <w:lang w:val="fr-FR" w:eastAsia="ja-JP"/>
        </w:rPr>
        <w:t>hétérogénéité de la variance variété/cycle et les paramètres d</w:t>
      </w:r>
      <w:r w:rsidR="009143C1" w:rsidRPr="00B357D7">
        <w:rPr>
          <w:lang w:val="fr-FR" w:eastAsia="ja-JP"/>
        </w:rPr>
        <w:t>’</w:t>
      </w:r>
      <w:r w:rsidRPr="00B357D7">
        <w:rPr>
          <w:lang w:val="fr-FR" w:eastAsia="ja-JP"/>
        </w:rPr>
        <w:t>une distribution gam</w:t>
      </w:r>
      <w:r w:rsidR="00B357D7" w:rsidRPr="00B357D7">
        <w:rPr>
          <w:lang w:val="fr-FR" w:eastAsia="ja-JP"/>
        </w:rPr>
        <w:t>ma.  En</w:t>
      </w:r>
      <w:r w:rsidRPr="00B357D7">
        <w:rPr>
          <w:lang w:val="fr-FR" w:eastAsia="ja-JP"/>
        </w:rPr>
        <w:t xml:space="preserve"> l</w:t>
      </w:r>
      <w:r w:rsidR="009143C1" w:rsidRPr="00B357D7">
        <w:rPr>
          <w:lang w:val="fr-FR" w:eastAsia="ja-JP"/>
        </w:rPr>
        <w:t>’</w:t>
      </w:r>
      <w:r w:rsidRPr="00B357D7">
        <w:rPr>
          <w:lang w:val="fr-FR" w:eastAsia="ja-JP"/>
        </w:rPr>
        <w:t>espèce, c</w:t>
      </w:r>
      <w:r w:rsidR="009143C1" w:rsidRPr="00B357D7">
        <w:rPr>
          <w:lang w:val="fr-FR" w:eastAsia="ja-JP"/>
        </w:rPr>
        <w:t>’</w:t>
      </w:r>
      <w:r w:rsidRPr="00B357D7">
        <w:rPr>
          <w:lang w:val="fr-FR" w:eastAsia="ja-JP"/>
        </w:rPr>
        <w:t xml:space="preserve">est </w:t>
      </w:r>
      <w:proofErr w:type="spellStart"/>
      <w:r w:rsidRPr="00B357D7">
        <w:rPr>
          <w:lang w:val="fr-FR" w:eastAsia="ja-JP"/>
        </w:rPr>
        <w:t>GenStat</w:t>
      </w:r>
      <w:proofErr w:type="spellEnd"/>
      <w:r w:rsidRPr="00B357D7">
        <w:rPr>
          <w:lang w:val="fr-FR" w:eastAsia="ja-JP"/>
        </w:rPr>
        <w:t xml:space="preserve"> qui a été utilisé.</w:t>
      </w:r>
      <w:r w:rsidR="00680EB7" w:rsidRPr="00B357D7">
        <w:rPr>
          <w:lang w:val="fr-FR" w:eastAsia="ja-JP"/>
        </w:rPr>
        <w:t xml:space="preserve"> </w:t>
      </w:r>
      <w:r w:rsidR="003608E2" w:rsidRPr="00B357D7">
        <w:rPr>
          <w:lang w:val="fr-FR" w:eastAsia="ja-JP"/>
        </w:rPr>
        <w:t xml:space="preserve"> </w:t>
      </w:r>
      <w:r w:rsidRPr="00B357D7">
        <w:rPr>
          <w:lang w:val="fr-FR" w:eastAsia="ja-JP"/>
        </w:rPr>
        <w:t>ASREML (peut</w:t>
      </w:r>
      <w:r w:rsidR="00F56A94">
        <w:rPr>
          <w:lang w:val="fr-FR" w:eastAsia="ja-JP"/>
        </w:rPr>
        <w:noBreakHyphen/>
      </w:r>
      <w:r w:rsidRPr="00B357D7">
        <w:rPr>
          <w:lang w:val="fr-FR" w:eastAsia="ja-JP"/>
        </w:rPr>
        <w:t>être en association avec R) pourrait aussi faire l</w:t>
      </w:r>
      <w:r w:rsidR="009143C1" w:rsidRPr="00B357D7">
        <w:rPr>
          <w:lang w:val="fr-FR" w:eastAsia="ja-JP"/>
        </w:rPr>
        <w:t>’</w:t>
      </w:r>
      <w:r w:rsidRPr="00B357D7">
        <w:rPr>
          <w:lang w:val="fr-FR" w:eastAsia="ja-JP"/>
        </w:rPr>
        <w:t>affaire et sans doute SAS également.</w:t>
      </w:r>
      <w:r w:rsidR="00F56A94">
        <w:rPr>
          <w:lang w:val="fr-FR" w:eastAsia="ja-JP"/>
        </w:rPr>
        <w:br w:type="page"/>
      </w:r>
    </w:p>
    <w:p w:rsidR="00AA7D33" w:rsidRPr="00B357D7" w:rsidRDefault="00DB613F" w:rsidP="00F56A94">
      <w:pPr>
        <w:rPr>
          <w:lang w:val="fr-FR" w:eastAsia="ja-JP"/>
        </w:rPr>
      </w:pPr>
      <w:r w:rsidRPr="00B357D7">
        <w:rPr>
          <w:lang w:val="fr-FR" w:eastAsia="ja-JP"/>
        </w:rPr>
        <w:lastRenderedPageBreak/>
        <w:t>10.</w:t>
      </w:r>
      <w:r w:rsidRPr="00B357D7">
        <w:rPr>
          <w:lang w:val="fr-FR" w:eastAsia="ja-JP"/>
        </w:rPr>
        <w:tab/>
        <w:t xml:space="preserve">Outre ces éléments, la méthode utilise des formules, qui tout en étant quelque peu complexes, devraient être faciles à mettre en </w:t>
      </w:r>
      <w:r w:rsidR="0094138E" w:rsidRPr="00B357D7">
        <w:rPr>
          <w:lang w:val="fr-FR" w:eastAsia="ja-JP"/>
        </w:rPr>
        <w:t>œuvre</w:t>
      </w:r>
      <w:r w:rsidRPr="00B357D7">
        <w:rPr>
          <w:lang w:val="fr-FR" w:eastAsia="ja-JP"/>
        </w:rPr>
        <w:t xml:space="preserve"> dans un program</w:t>
      </w:r>
      <w:r w:rsidR="00B357D7" w:rsidRPr="00B357D7">
        <w:rPr>
          <w:lang w:val="fr-FR" w:eastAsia="ja-JP"/>
        </w:rPr>
        <w:t>me.  Il</w:t>
      </w:r>
      <w:r w:rsidRPr="00B357D7">
        <w:rPr>
          <w:lang w:val="fr-FR" w:eastAsia="ja-JP"/>
        </w:rPr>
        <w:t xml:space="preserve"> n</w:t>
      </w:r>
      <w:r w:rsidR="009143C1" w:rsidRPr="00B357D7">
        <w:rPr>
          <w:lang w:val="fr-FR" w:eastAsia="ja-JP"/>
        </w:rPr>
        <w:t>’</w:t>
      </w:r>
      <w:r w:rsidRPr="00B357D7">
        <w:rPr>
          <w:lang w:val="fr-FR" w:eastAsia="ja-JP"/>
        </w:rPr>
        <w:t>y a pas lieu de mettre à jour les seuils chaque année.</w:t>
      </w:r>
    </w:p>
    <w:p w:rsidR="00AA7D33" w:rsidRPr="00B357D7" w:rsidRDefault="00AA7D33" w:rsidP="00F56A94">
      <w:pPr>
        <w:rPr>
          <w:lang w:val="fr-FR" w:eastAsia="ja-JP"/>
        </w:rPr>
      </w:pPr>
    </w:p>
    <w:p w:rsidR="00AA7D33" w:rsidRPr="00B357D7" w:rsidRDefault="00141BE7" w:rsidP="00F56A94">
      <w:pPr>
        <w:rPr>
          <w:lang w:val="fr-FR" w:eastAsia="ja-JP"/>
        </w:rPr>
      </w:pPr>
      <w:r w:rsidRPr="00B357D7">
        <w:rPr>
          <w:lang w:val="fr-FR" w:eastAsia="ja-JP"/>
        </w:rPr>
        <w:t>11.</w:t>
      </w:r>
      <w:r w:rsidRPr="00B357D7">
        <w:rPr>
          <w:lang w:val="fr-FR" w:eastAsia="ja-JP"/>
        </w:rPr>
        <w:tab/>
        <w:t>On trouvera des informations complémentaires sur la méthode dans le document TWC/33/20</w:t>
      </w:r>
      <w:r w:rsidR="003608E2" w:rsidRPr="00B357D7">
        <w:rPr>
          <w:lang w:val="fr-FR" w:eastAsia="ja-JP"/>
        </w:rPr>
        <w:t> </w:t>
      </w:r>
      <w:proofErr w:type="spellStart"/>
      <w:r w:rsidRPr="00B357D7">
        <w:rPr>
          <w:lang w:val="fr-FR" w:eastAsia="ja-JP"/>
        </w:rPr>
        <w:t>Rev</w:t>
      </w:r>
      <w:proofErr w:type="spellEnd"/>
      <w:r w:rsidRPr="00B357D7">
        <w:rPr>
          <w:lang w:val="fr-FR" w:eastAsia="ja-JP"/>
        </w:rPr>
        <w:t xml:space="preserve">. </w:t>
      </w:r>
      <w:proofErr w:type="gramStart"/>
      <w:r w:rsidRPr="00B357D7">
        <w:rPr>
          <w:lang w:val="fr-FR" w:eastAsia="ja-JP"/>
        </w:rPr>
        <w:t>et</w:t>
      </w:r>
      <w:proofErr w:type="gramEnd"/>
      <w:r w:rsidRPr="00B357D7">
        <w:rPr>
          <w:lang w:val="fr-FR" w:eastAsia="ja-JP"/>
        </w:rPr>
        <w:t xml:space="preserve"> dans une publication (Roberts A.M.I., </w:t>
      </w:r>
      <w:proofErr w:type="spellStart"/>
      <w:r w:rsidRPr="00B357D7">
        <w:rPr>
          <w:lang w:val="fr-FR" w:eastAsia="ja-JP"/>
        </w:rPr>
        <w:t>Nevison</w:t>
      </w:r>
      <w:proofErr w:type="spellEnd"/>
      <w:r w:rsidRPr="00B357D7">
        <w:rPr>
          <w:lang w:val="fr-FR" w:eastAsia="ja-JP"/>
        </w:rPr>
        <w:t xml:space="preserve"> I.M., Christie</w:t>
      </w:r>
      <w:r w:rsidR="00D76723">
        <w:rPr>
          <w:lang w:val="fr-FR" w:eastAsia="ja-JP"/>
        </w:rPr>
        <w:t> </w:t>
      </w:r>
      <w:r w:rsidRPr="00B357D7">
        <w:rPr>
          <w:lang w:val="fr-FR" w:eastAsia="ja-JP"/>
        </w:rPr>
        <w:t xml:space="preserve">T. (sous presse) intitulée </w:t>
      </w:r>
      <w:r w:rsidR="003608E2" w:rsidRPr="00B357D7">
        <w:rPr>
          <w:lang w:val="fr-FR" w:eastAsia="ja-JP"/>
        </w:rPr>
        <w:t>“</w:t>
      </w:r>
      <w:proofErr w:type="spellStart"/>
      <w:r w:rsidRPr="00BC20F5">
        <w:rPr>
          <w:i/>
          <w:lang w:val="fr-FR" w:eastAsia="ja-JP"/>
        </w:rPr>
        <w:t>Prediction</w:t>
      </w:r>
      <w:proofErr w:type="spellEnd"/>
      <w:r w:rsidRPr="00BC20F5">
        <w:rPr>
          <w:i/>
          <w:lang w:val="fr-FR" w:eastAsia="ja-JP"/>
        </w:rPr>
        <w:t xml:space="preserve"> of </w:t>
      </w:r>
      <w:proofErr w:type="spellStart"/>
      <w:r w:rsidRPr="00BC20F5">
        <w:rPr>
          <w:i/>
          <w:lang w:val="fr-FR" w:eastAsia="ja-JP"/>
        </w:rPr>
        <w:t>variety</w:t>
      </w:r>
      <w:proofErr w:type="spellEnd"/>
      <w:r w:rsidRPr="00BC20F5">
        <w:rPr>
          <w:i/>
          <w:lang w:val="fr-FR" w:eastAsia="ja-JP"/>
        </w:rPr>
        <w:t xml:space="preserve"> </w:t>
      </w:r>
      <w:proofErr w:type="spellStart"/>
      <w:r w:rsidRPr="00BC20F5">
        <w:rPr>
          <w:i/>
          <w:lang w:val="fr-FR" w:eastAsia="ja-JP"/>
        </w:rPr>
        <w:t>distinctness</w:t>
      </w:r>
      <w:proofErr w:type="spellEnd"/>
      <w:r w:rsidRPr="00BC20F5">
        <w:rPr>
          <w:i/>
          <w:lang w:val="fr-FR" w:eastAsia="ja-JP"/>
        </w:rPr>
        <w:t xml:space="preserve"> </w:t>
      </w:r>
      <w:proofErr w:type="spellStart"/>
      <w:r w:rsidRPr="00BC20F5">
        <w:rPr>
          <w:i/>
          <w:lang w:val="fr-FR" w:eastAsia="ja-JP"/>
        </w:rPr>
        <w:t>decisions</w:t>
      </w:r>
      <w:proofErr w:type="spellEnd"/>
      <w:r w:rsidRPr="00BC20F5">
        <w:rPr>
          <w:i/>
          <w:lang w:val="fr-FR" w:eastAsia="ja-JP"/>
        </w:rPr>
        <w:t xml:space="preserve"> </w:t>
      </w:r>
      <w:proofErr w:type="spellStart"/>
      <w:r w:rsidRPr="00BC20F5">
        <w:rPr>
          <w:i/>
          <w:lang w:val="fr-FR" w:eastAsia="ja-JP"/>
        </w:rPr>
        <w:t>under</w:t>
      </w:r>
      <w:proofErr w:type="spellEnd"/>
      <w:r w:rsidRPr="00BC20F5">
        <w:rPr>
          <w:i/>
          <w:lang w:val="fr-FR" w:eastAsia="ja-JP"/>
        </w:rPr>
        <w:t xml:space="preserve"> </w:t>
      </w:r>
      <w:proofErr w:type="spellStart"/>
      <w:r w:rsidRPr="00BC20F5">
        <w:rPr>
          <w:i/>
          <w:lang w:val="fr-FR" w:eastAsia="ja-JP"/>
        </w:rPr>
        <w:t>yearly</w:t>
      </w:r>
      <w:proofErr w:type="spellEnd"/>
      <w:r w:rsidRPr="00BC20F5">
        <w:rPr>
          <w:i/>
          <w:lang w:val="fr-FR" w:eastAsia="ja-JP"/>
        </w:rPr>
        <w:t xml:space="preserve"> </w:t>
      </w:r>
      <w:proofErr w:type="spellStart"/>
      <w:r w:rsidRPr="00BC20F5">
        <w:rPr>
          <w:i/>
          <w:lang w:val="fr-FR" w:eastAsia="ja-JP"/>
        </w:rPr>
        <w:t>heterogeneity</w:t>
      </w:r>
      <w:proofErr w:type="spellEnd"/>
      <w:r w:rsidR="003608E2" w:rsidRPr="00B357D7">
        <w:rPr>
          <w:lang w:val="fr-FR" w:eastAsia="ja-JP"/>
        </w:rPr>
        <w:t xml:space="preserve">”. </w:t>
      </w:r>
      <w:r w:rsidR="00680EB7" w:rsidRPr="00B357D7">
        <w:rPr>
          <w:lang w:val="fr-FR" w:eastAsia="ja-JP"/>
        </w:rPr>
        <w:t xml:space="preserve"> </w:t>
      </w:r>
      <w:r w:rsidRPr="00B357D7">
        <w:rPr>
          <w:lang w:val="fr-FR" w:eastAsia="ja-JP"/>
        </w:rPr>
        <w:t xml:space="preserve">Journal of Agricultural Science </w:t>
      </w:r>
      <w:proofErr w:type="spellStart"/>
      <w:r w:rsidRPr="00B357D7">
        <w:rPr>
          <w:lang w:val="fr-FR" w:eastAsia="ja-JP"/>
        </w:rPr>
        <w:t>doi</w:t>
      </w:r>
      <w:proofErr w:type="spellEnd"/>
      <w:r w:rsidR="00BC20F5">
        <w:rPr>
          <w:lang w:val="fr-FR" w:eastAsia="ja-JP"/>
        </w:rPr>
        <w:t xml:space="preserve"> </w:t>
      </w:r>
      <w:r w:rsidRPr="00B357D7">
        <w:rPr>
          <w:lang w:val="fr-FR" w:eastAsia="ja-JP"/>
        </w:rPr>
        <w:t>: 10.1017/S0021859615001306).</w:t>
      </w:r>
    </w:p>
    <w:p w:rsidR="00AA7D33" w:rsidRDefault="00AA7D33" w:rsidP="00F56A94">
      <w:pPr>
        <w:rPr>
          <w:lang w:val="fr-FR" w:eastAsia="ja-JP"/>
        </w:rPr>
      </w:pPr>
    </w:p>
    <w:p w:rsidR="00F56A94" w:rsidRPr="00B357D7" w:rsidRDefault="00F56A94" w:rsidP="00F56A94">
      <w:pPr>
        <w:rPr>
          <w:lang w:val="fr-FR" w:eastAsia="ja-JP"/>
        </w:rPr>
      </w:pPr>
    </w:p>
    <w:p w:rsidR="00AA7D33" w:rsidRPr="00B357D7" w:rsidRDefault="00141BE7" w:rsidP="00F56A94">
      <w:pPr>
        <w:rPr>
          <w:caps/>
          <w:lang w:val="fr-FR" w:eastAsia="ja-JP"/>
        </w:rPr>
      </w:pPr>
      <w:r w:rsidRPr="00B357D7">
        <w:rPr>
          <w:caps/>
          <w:lang w:val="fr-FR" w:eastAsia="ja-JP"/>
        </w:rPr>
        <w:t>EXEMPLE</w:t>
      </w:r>
    </w:p>
    <w:p w:rsidR="00AA7D33" w:rsidRPr="00B357D7" w:rsidRDefault="00AA7D33" w:rsidP="00F56A94">
      <w:pPr>
        <w:rPr>
          <w:lang w:val="fr-FR" w:eastAsia="ja-JP"/>
        </w:rPr>
      </w:pPr>
    </w:p>
    <w:p w:rsidR="00AA7D33" w:rsidRPr="00B357D7" w:rsidRDefault="00141BE7" w:rsidP="00F56A94">
      <w:pPr>
        <w:rPr>
          <w:lang w:val="fr-FR" w:eastAsia="ja-JP"/>
        </w:rPr>
      </w:pPr>
      <w:r w:rsidRPr="00B357D7">
        <w:rPr>
          <w:lang w:val="fr-FR" w:eastAsia="ja-JP"/>
        </w:rPr>
        <w:t>12.</w:t>
      </w:r>
      <w:r w:rsidRPr="00B357D7">
        <w:rPr>
          <w:lang w:val="fr-FR" w:eastAsia="ja-JP"/>
        </w:rPr>
        <w:tab/>
        <w:t>La méthode proposée est illustrée au moyen d</w:t>
      </w:r>
      <w:r w:rsidR="009143C1" w:rsidRPr="00B357D7">
        <w:rPr>
          <w:lang w:val="fr-FR" w:eastAsia="ja-JP"/>
        </w:rPr>
        <w:t>’</w:t>
      </w:r>
      <w:r w:rsidRPr="00B357D7">
        <w:rPr>
          <w:lang w:val="fr-FR" w:eastAsia="ja-JP"/>
        </w:rPr>
        <w:t xml:space="preserve">un </w:t>
      </w:r>
      <w:r w:rsidR="00415D88" w:rsidRPr="00B357D7">
        <w:rPr>
          <w:lang w:val="fr-FR" w:eastAsia="ja-JP"/>
        </w:rPr>
        <w:t>jeu de données</w:t>
      </w:r>
      <w:r w:rsidRPr="00B357D7">
        <w:rPr>
          <w:lang w:val="fr-FR" w:eastAsia="ja-JP"/>
        </w:rPr>
        <w:t xml:space="preserve"> provenant d</w:t>
      </w:r>
      <w:r w:rsidR="009143C1" w:rsidRPr="00B357D7">
        <w:rPr>
          <w:lang w:val="fr-FR" w:eastAsia="ja-JP"/>
        </w:rPr>
        <w:t>’</w:t>
      </w:r>
      <w:r w:rsidR="00EB244B" w:rsidRPr="00B357D7">
        <w:rPr>
          <w:lang w:val="fr-FR" w:eastAsia="ja-JP"/>
        </w:rPr>
        <w:t>examens</w:t>
      </w:r>
      <w:r w:rsidRPr="00B357D7">
        <w:rPr>
          <w:lang w:val="fr-FR" w:eastAsia="ja-JP"/>
        </w:rPr>
        <w:t xml:space="preserve"> menés au Royaume</w:t>
      </w:r>
      <w:r w:rsidR="00F56A94">
        <w:rPr>
          <w:lang w:val="fr-FR" w:eastAsia="ja-JP"/>
        </w:rPr>
        <w:noBreakHyphen/>
      </w:r>
      <w:r w:rsidRPr="00B357D7">
        <w:rPr>
          <w:lang w:val="fr-FR" w:eastAsia="ja-JP"/>
        </w:rPr>
        <w:t xml:space="preserve">Uni </w:t>
      </w:r>
      <w:r w:rsidR="009143C1" w:rsidRPr="00B357D7">
        <w:rPr>
          <w:lang w:val="fr-FR" w:eastAsia="ja-JP"/>
        </w:rPr>
        <w:t>de 1995</w:t>
      </w:r>
      <w:r w:rsidRPr="00B357D7">
        <w:rPr>
          <w:lang w:val="fr-FR" w:eastAsia="ja-JP"/>
        </w:rPr>
        <w:t xml:space="preserve"> à 2013 en vue d</w:t>
      </w:r>
      <w:r w:rsidR="009143C1" w:rsidRPr="00B357D7">
        <w:rPr>
          <w:lang w:val="fr-FR" w:eastAsia="ja-JP"/>
        </w:rPr>
        <w:t>’</w:t>
      </w:r>
      <w:r w:rsidRPr="00B357D7">
        <w:rPr>
          <w:lang w:val="fr-FR" w:eastAsia="ja-JP"/>
        </w:rPr>
        <w:t>établir le</w:t>
      </w:r>
      <w:r w:rsidR="008644CA" w:rsidRPr="00B357D7">
        <w:rPr>
          <w:lang w:val="fr-FR" w:eastAsia="ja-JP"/>
        </w:rPr>
        <w:t>s caractères distincts</w:t>
      </w:r>
      <w:r w:rsidRPr="00B357D7">
        <w:rPr>
          <w:lang w:val="fr-FR" w:eastAsia="ja-JP"/>
        </w:rPr>
        <w:t xml:space="preserve"> de pois fourrage</w:t>
      </w:r>
      <w:r w:rsidR="00B357D7" w:rsidRPr="00B357D7">
        <w:rPr>
          <w:lang w:val="fr-FR" w:eastAsia="ja-JP"/>
        </w:rPr>
        <w:t>rs.  L’é</w:t>
      </w:r>
      <w:r w:rsidR="008329F2" w:rsidRPr="00B357D7">
        <w:rPr>
          <w:lang w:val="fr-FR" w:eastAsia="ja-JP"/>
        </w:rPr>
        <w:t>tude a porté sur le</w:t>
      </w:r>
      <w:r w:rsidR="00EE7211" w:rsidRPr="00B357D7">
        <w:rPr>
          <w:lang w:val="fr-FR" w:eastAsia="ja-JP"/>
        </w:rPr>
        <w:t xml:space="preserve"> groupe </w:t>
      </w:r>
      <w:r w:rsidR="008644CA" w:rsidRPr="00B357D7">
        <w:rPr>
          <w:lang w:val="fr-FR" w:eastAsia="ja-JP"/>
        </w:rPr>
        <w:t xml:space="preserve">de </w:t>
      </w:r>
      <w:r w:rsidR="00EE7211" w:rsidRPr="00B357D7">
        <w:rPr>
          <w:lang w:val="fr-FR" w:eastAsia="ja-JP"/>
        </w:rPr>
        <w:t>variétés semi</w:t>
      </w:r>
      <w:r w:rsidR="00F56A94">
        <w:rPr>
          <w:lang w:val="fr-FR" w:eastAsia="ja-JP"/>
        </w:rPr>
        <w:noBreakHyphen/>
      </w:r>
      <w:r w:rsidR="00EE7211" w:rsidRPr="00B357D7">
        <w:rPr>
          <w:lang w:val="fr-FR" w:eastAsia="ja-JP"/>
        </w:rPr>
        <w:t>feuillu</w:t>
      </w:r>
      <w:r w:rsidR="00B357D7" w:rsidRPr="00B357D7">
        <w:rPr>
          <w:lang w:val="fr-FR" w:eastAsia="ja-JP"/>
        </w:rPr>
        <w:t>es.  Le</w:t>
      </w:r>
      <w:r w:rsidR="00EE7211" w:rsidRPr="00B357D7">
        <w:rPr>
          <w:lang w:val="fr-FR" w:eastAsia="ja-JP"/>
        </w:rPr>
        <w:t xml:space="preserve">s </w:t>
      </w:r>
      <w:r w:rsidR="00EB244B" w:rsidRPr="00B357D7">
        <w:rPr>
          <w:lang w:val="fr-FR" w:eastAsia="ja-JP"/>
        </w:rPr>
        <w:t>examens</w:t>
      </w:r>
      <w:r w:rsidR="00EE7211" w:rsidRPr="00B357D7">
        <w:rPr>
          <w:lang w:val="fr-FR" w:eastAsia="ja-JP"/>
        </w:rPr>
        <w:t xml:space="preserve"> ont été effectués à Science and </w:t>
      </w:r>
      <w:proofErr w:type="spellStart"/>
      <w:r w:rsidR="00EE7211" w:rsidRPr="00B357D7">
        <w:rPr>
          <w:lang w:val="fr-FR" w:eastAsia="ja-JP"/>
        </w:rPr>
        <w:t>Advice</w:t>
      </w:r>
      <w:proofErr w:type="spellEnd"/>
      <w:r w:rsidR="00EE7211" w:rsidRPr="00B357D7">
        <w:rPr>
          <w:lang w:val="fr-FR" w:eastAsia="ja-JP"/>
        </w:rPr>
        <w:t xml:space="preserve"> for Scottish Agriculture (SASA), à proximité d</w:t>
      </w:r>
      <w:r w:rsidR="009143C1" w:rsidRPr="00B357D7">
        <w:rPr>
          <w:lang w:val="fr-FR" w:eastAsia="ja-JP"/>
        </w:rPr>
        <w:t>’</w:t>
      </w:r>
      <w:r w:rsidR="0094138E" w:rsidRPr="00B357D7">
        <w:rPr>
          <w:lang w:val="fr-FR" w:eastAsia="ja-JP"/>
        </w:rPr>
        <w:t>Édi</w:t>
      </w:r>
      <w:r w:rsidR="00D76723">
        <w:rPr>
          <w:lang w:val="fr-FR" w:eastAsia="ja-JP"/>
        </w:rPr>
        <w:t>m</w:t>
      </w:r>
      <w:r w:rsidR="0094138E" w:rsidRPr="00B357D7">
        <w:rPr>
          <w:lang w:val="fr-FR" w:eastAsia="ja-JP"/>
        </w:rPr>
        <w:t>bou</w:t>
      </w:r>
      <w:r w:rsidR="00B357D7" w:rsidRPr="00B357D7">
        <w:rPr>
          <w:lang w:val="fr-FR" w:eastAsia="ja-JP"/>
        </w:rPr>
        <w:t>rg.  Ch</w:t>
      </w:r>
      <w:r w:rsidR="00EE7211" w:rsidRPr="00B357D7">
        <w:rPr>
          <w:lang w:val="fr-FR" w:eastAsia="ja-JP"/>
        </w:rPr>
        <w:t xml:space="preserve">aque </w:t>
      </w:r>
      <w:r w:rsidR="008329F2" w:rsidRPr="00B357D7">
        <w:rPr>
          <w:lang w:val="fr-FR" w:eastAsia="ja-JP"/>
        </w:rPr>
        <w:t>examen</w:t>
      </w:r>
      <w:r w:rsidR="00EE7211" w:rsidRPr="00B357D7">
        <w:rPr>
          <w:lang w:val="fr-FR" w:eastAsia="ja-JP"/>
        </w:rPr>
        <w:t xml:space="preserve"> </w:t>
      </w:r>
      <w:r w:rsidR="008329F2" w:rsidRPr="00B357D7">
        <w:rPr>
          <w:lang w:val="fr-FR" w:eastAsia="ja-JP"/>
        </w:rPr>
        <w:t>a été effectué en double</w:t>
      </w:r>
      <w:r w:rsidR="00EE7211" w:rsidRPr="00B357D7">
        <w:rPr>
          <w:lang w:val="fr-FR" w:eastAsia="ja-JP"/>
        </w:rPr>
        <w:t xml:space="preserve"> et </w:t>
      </w:r>
      <w:r w:rsidR="008329F2" w:rsidRPr="00B357D7">
        <w:rPr>
          <w:lang w:val="fr-FR" w:eastAsia="ja-JP"/>
        </w:rPr>
        <w:t xml:space="preserve">a concerné </w:t>
      </w:r>
      <w:r w:rsidR="00EE7211" w:rsidRPr="00B357D7">
        <w:rPr>
          <w:lang w:val="fr-FR" w:eastAsia="ja-JP"/>
        </w:rPr>
        <w:t>entre 139 et 290</w:t>
      </w:r>
      <w:r w:rsidR="00D76723">
        <w:rPr>
          <w:lang w:val="fr-FR" w:eastAsia="ja-JP"/>
        </w:rPr>
        <w:t> </w:t>
      </w:r>
      <w:r w:rsidR="00EE7211" w:rsidRPr="00B357D7">
        <w:rPr>
          <w:lang w:val="fr-FR" w:eastAsia="ja-JP"/>
        </w:rPr>
        <w:t>variét</w:t>
      </w:r>
      <w:r w:rsidR="00B357D7" w:rsidRPr="00B357D7">
        <w:rPr>
          <w:lang w:val="fr-FR" w:eastAsia="ja-JP"/>
        </w:rPr>
        <w:t>és.  Tr</w:t>
      </w:r>
      <w:r w:rsidR="00EE7211" w:rsidRPr="00B357D7">
        <w:rPr>
          <w:lang w:val="fr-FR" w:eastAsia="ja-JP"/>
        </w:rPr>
        <w:t>eize caractères quantitatifs ont été pris en comp</w:t>
      </w:r>
      <w:r w:rsidR="00B357D7" w:rsidRPr="00B357D7">
        <w:rPr>
          <w:lang w:val="fr-FR" w:eastAsia="ja-JP"/>
        </w:rPr>
        <w:t>te.  Se</w:t>
      </w:r>
      <w:r w:rsidR="00EE7211" w:rsidRPr="00B357D7">
        <w:rPr>
          <w:lang w:val="fr-FR" w:eastAsia="ja-JP"/>
        </w:rPr>
        <w:t xml:space="preserve">ules les variétés </w:t>
      </w:r>
      <w:r w:rsidR="008329F2" w:rsidRPr="00B357D7">
        <w:rPr>
          <w:lang w:val="fr-FR" w:eastAsia="ja-JP"/>
        </w:rPr>
        <w:t>dont les données ont été examinées sur</w:t>
      </w:r>
      <w:r w:rsidR="00EE7211" w:rsidRPr="00B357D7">
        <w:rPr>
          <w:lang w:val="fr-FR" w:eastAsia="ja-JP"/>
        </w:rPr>
        <w:t xml:space="preserve"> six</w:t>
      </w:r>
      <w:r w:rsidR="003608E2" w:rsidRPr="00B357D7">
        <w:rPr>
          <w:lang w:val="fr-FR" w:eastAsia="ja-JP"/>
        </w:rPr>
        <w:t> </w:t>
      </w:r>
      <w:r w:rsidR="00EE7211" w:rsidRPr="00B357D7">
        <w:rPr>
          <w:lang w:val="fr-FR" w:eastAsia="ja-JP"/>
        </w:rPr>
        <w:t xml:space="preserve">cycles </w:t>
      </w:r>
      <w:r w:rsidR="008329F2" w:rsidRPr="00B357D7">
        <w:rPr>
          <w:lang w:val="fr-FR" w:eastAsia="ja-JP"/>
        </w:rPr>
        <w:t xml:space="preserve">ou plus </w:t>
      </w:r>
      <w:r w:rsidR="00EE7211" w:rsidRPr="00B357D7">
        <w:rPr>
          <w:lang w:val="fr-FR" w:eastAsia="ja-JP"/>
        </w:rPr>
        <w:t>ont été retenues pour l</w:t>
      </w:r>
      <w:r w:rsidR="009143C1" w:rsidRPr="00B357D7">
        <w:rPr>
          <w:lang w:val="fr-FR" w:eastAsia="ja-JP"/>
        </w:rPr>
        <w:t>’</w:t>
      </w:r>
      <w:r w:rsidR="00EE7211" w:rsidRPr="00B357D7">
        <w:rPr>
          <w:lang w:val="fr-FR" w:eastAsia="ja-JP"/>
        </w:rPr>
        <w:t xml:space="preserve">étude; </w:t>
      </w:r>
      <w:r w:rsidR="003608E2" w:rsidRPr="00B357D7">
        <w:rPr>
          <w:lang w:val="fr-FR" w:eastAsia="ja-JP"/>
        </w:rPr>
        <w:t xml:space="preserve"> </w:t>
      </w:r>
      <w:r w:rsidR="00B357D7" w:rsidRPr="00B357D7">
        <w:rPr>
          <w:lang w:val="fr-FR" w:eastAsia="ja-JP"/>
        </w:rPr>
        <w:t>i</w:t>
      </w:r>
      <w:r w:rsidR="00EE7211" w:rsidRPr="00B357D7">
        <w:rPr>
          <w:lang w:val="fr-FR" w:eastAsia="ja-JP"/>
        </w:rPr>
        <w:t>l restait 222</w:t>
      </w:r>
      <w:r w:rsidR="00D76723">
        <w:rPr>
          <w:lang w:val="fr-FR" w:eastAsia="ja-JP"/>
        </w:rPr>
        <w:t> </w:t>
      </w:r>
      <w:r w:rsidR="00EE7211" w:rsidRPr="00B357D7">
        <w:rPr>
          <w:lang w:val="fr-FR" w:eastAsia="ja-JP"/>
        </w:rPr>
        <w:t>variét</w:t>
      </w:r>
      <w:r w:rsidR="00B357D7" w:rsidRPr="00B357D7">
        <w:rPr>
          <w:lang w:val="fr-FR" w:eastAsia="ja-JP"/>
        </w:rPr>
        <w:t>és.  Un</w:t>
      </w:r>
      <w:r w:rsidR="00BC20F5">
        <w:rPr>
          <w:lang w:val="fr-FR" w:eastAsia="ja-JP"/>
        </w:rPr>
        <w:t> </w:t>
      </w:r>
      <w:r w:rsidR="00EE7211" w:rsidRPr="00B357D7">
        <w:rPr>
          <w:lang w:val="fr-FR" w:eastAsia="ja-JP"/>
        </w:rPr>
        <w:t>degré de probabilité de 2% est utilisé pour la méthode COYD.</w:t>
      </w:r>
    </w:p>
    <w:p w:rsidR="00AA7D33" w:rsidRPr="00B357D7" w:rsidRDefault="00AA7D33" w:rsidP="00F56A94">
      <w:pPr>
        <w:rPr>
          <w:lang w:val="fr-FR" w:eastAsia="ja-JP"/>
        </w:rPr>
      </w:pPr>
    </w:p>
    <w:p w:rsidR="00AA7D33" w:rsidRPr="00B357D7" w:rsidRDefault="00EE7211" w:rsidP="00F56A94">
      <w:pPr>
        <w:rPr>
          <w:lang w:val="fr-FR" w:eastAsia="ja-JP"/>
        </w:rPr>
      </w:pPr>
      <w:r w:rsidRPr="00B357D7">
        <w:rPr>
          <w:lang w:val="fr-FR" w:eastAsia="ja-JP"/>
        </w:rPr>
        <w:t>13.</w:t>
      </w:r>
      <w:r w:rsidRPr="00B357D7">
        <w:rPr>
          <w:lang w:val="fr-FR" w:eastAsia="ja-JP"/>
        </w:rPr>
        <w:tab/>
        <w:t>Le tableau</w:t>
      </w:r>
      <w:r w:rsidR="003608E2" w:rsidRPr="00B357D7">
        <w:rPr>
          <w:lang w:val="fr-FR" w:eastAsia="ja-JP"/>
        </w:rPr>
        <w:t> </w:t>
      </w:r>
      <w:r w:rsidRPr="00B357D7">
        <w:rPr>
          <w:lang w:val="fr-FR" w:eastAsia="ja-JP"/>
        </w:rPr>
        <w:t>1 présente les caractères pris en compte, ainsi que quelques statistiques de base pour donner une indication des échell</w:t>
      </w:r>
      <w:r w:rsidR="00B357D7" w:rsidRPr="00B357D7">
        <w:rPr>
          <w:lang w:val="fr-FR" w:eastAsia="ja-JP"/>
        </w:rPr>
        <w:t>es.  Il</w:t>
      </w:r>
      <w:r w:rsidRPr="00B357D7">
        <w:rPr>
          <w:lang w:val="fr-FR" w:eastAsia="ja-JP"/>
        </w:rPr>
        <w:t xml:space="preserve"> est à noter que certaines d</w:t>
      </w:r>
      <w:r w:rsidR="009143C1" w:rsidRPr="00B357D7">
        <w:rPr>
          <w:lang w:val="fr-FR" w:eastAsia="ja-JP"/>
        </w:rPr>
        <w:t>’</w:t>
      </w:r>
      <w:r w:rsidRPr="00B357D7">
        <w:rPr>
          <w:lang w:val="fr-FR" w:eastAsia="ja-JP"/>
        </w:rPr>
        <w:t xml:space="preserve">entre elles </w:t>
      </w:r>
      <w:r w:rsidR="00F3736F" w:rsidRPr="00B357D7">
        <w:rPr>
          <w:lang w:val="fr-FR" w:eastAsia="ja-JP"/>
        </w:rPr>
        <w:t>s</w:t>
      </w:r>
      <w:r w:rsidRPr="00B357D7">
        <w:rPr>
          <w:lang w:val="fr-FR" w:eastAsia="ja-JP"/>
        </w:rPr>
        <w:t xml:space="preserve">ont </w:t>
      </w:r>
      <w:r w:rsidR="00F3736F" w:rsidRPr="00B357D7">
        <w:rPr>
          <w:lang w:val="fr-FR" w:eastAsia="ja-JP"/>
        </w:rPr>
        <w:t>classé</w:t>
      </w:r>
      <w:r w:rsidR="00B357D7" w:rsidRPr="00B357D7">
        <w:rPr>
          <w:lang w:val="fr-FR" w:eastAsia="ja-JP"/>
        </w:rPr>
        <w:t>es.  Un</w:t>
      </w:r>
      <w:r w:rsidRPr="00B357D7">
        <w:rPr>
          <w:lang w:val="fr-FR" w:eastAsia="ja-JP"/>
        </w:rPr>
        <w:t xml:space="preserve"> indice d</w:t>
      </w:r>
      <w:r w:rsidR="009143C1" w:rsidRPr="00B357D7">
        <w:rPr>
          <w:lang w:val="fr-FR" w:eastAsia="ja-JP"/>
        </w:rPr>
        <w:t>’</w:t>
      </w:r>
      <w:r w:rsidR="0094138E" w:rsidRPr="00B357D7">
        <w:rPr>
          <w:lang w:val="fr-FR" w:eastAsia="ja-JP"/>
        </w:rPr>
        <w:t>hétérogénéité</w:t>
      </w:r>
      <w:r w:rsidRPr="00B357D7">
        <w:rPr>
          <w:lang w:val="fr-FR" w:eastAsia="ja-JP"/>
        </w:rPr>
        <w:t xml:space="preserve"> est incl</w:t>
      </w:r>
      <w:r w:rsidR="00B357D7" w:rsidRPr="00B357D7">
        <w:rPr>
          <w:lang w:val="fr-FR" w:eastAsia="ja-JP"/>
        </w:rPr>
        <w:t>us.  Il</w:t>
      </w:r>
      <w:r w:rsidR="00727B5E" w:rsidRPr="00B357D7">
        <w:rPr>
          <w:lang w:val="fr-FR" w:eastAsia="ja-JP"/>
        </w:rPr>
        <w:t xml:space="preserve"> est fondé sur les changements enregistrés sur les écarts entre les modèles avec et sans hétérogénéité sur des cycles divisés par le changement correspondant en degrés de liberté</w:t>
      </w:r>
      <w:r w:rsidR="003608E2" w:rsidRPr="00B357D7">
        <w:rPr>
          <w:lang w:val="fr-FR" w:eastAsia="ja-JP"/>
        </w:rPr>
        <w:t> </w:t>
      </w:r>
      <w:r w:rsidR="00727B5E" w:rsidRPr="00B357D7">
        <w:rPr>
          <w:lang w:val="fr-FR" w:eastAsia="ja-JP"/>
        </w:rPr>
        <w:t>: plus l</w:t>
      </w:r>
      <w:r w:rsidR="009143C1" w:rsidRPr="00B357D7">
        <w:rPr>
          <w:lang w:val="fr-FR" w:eastAsia="ja-JP"/>
        </w:rPr>
        <w:t>’</w:t>
      </w:r>
      <w:r w:rsidR="00727B5E" w:rsidRPr="00B357D7">
        <w:rPr>
          <w:lang w:val="fr-FR" w:eastAsia="ja-JP"/>
        </w:rPr>
        <w:t>indice est élevé plus l</w:t>
      </w:r>
      <w:r w:rsidR="009143C1" w:rsidRPr="00B357D7">
        <w:rPr>
          <w:lang w:val="fr-FR" w:eastAsia="ja-JP"/>
        </w:rPr>
        <w:t>’</w:t>
      </w:r>
      <w:r w:rsidR="00727B5E" w:rsidRPr="00B357D7">
        <w:rPr>
          <w:lang w:val="fr-FR" w:eastAsia="ja-JP"/>
        </w:rPr>
        <w:t>hétérogénéité est importan</w:t>
      </w:r>
      <w:r w:rsidR="00B357D7" w:rsidRPr="00B357D7">
        <w:rPr>
          <w:lang w:val="fr-FR" w:eastAsia="ja-JP"/>
        </w:rPr>
        <w:t>te.  Le</w:t>
      </w:r>
      <w:r w:rsidR="00727B5E" w:rsidRPr="00B357D7">
        <w:rPr>
          <w:lang w:val="fr-FR" w:eastAsia="ja-JP"/>
        </w:rPr>
        <w:t xml:space="preserve"> niveau d</w:t>
      </w:r>
      <w:r w:rsidR="009143C1" w:rsidRPr="00B357D7">
        <w:rPr>
          <w:lang w:val="fr-FR" w:eastAsia="ja-JP"/>
        </w:rPr>
        <w:t>’</w:t>
      </w:r>
      <w:r w:rsidR="00727B5E" w:rsidRPr="00B357D7">
        <w:rPr>
          <w:lang w:val="fr-FR" w:eastAsia="ja-JP"/>
        </w:rPr>
        <w:t>hétérogénéité le plus élevé a été enregistré sur les caractères</w:t>
      </w:r>
      <w:r w:rsidR="00D76723">
        <w:rPr>
          <w:lang w:val="fr-FR" w:eastAsia="ja-JP"/>
        </w:rPr>
        <w:t> </w:t>
      </w:r>
      <w:r w:rsidR="00727B5E" w:rsidRPr="00B357D7">
        <w:rPr>
          <w:lang w:val="fr-FR" w:eastAsia="ja-JP"/>
        </w:rPr>
        <w:t xml:space="preserve">5 et 28. </w:t>
      </w:r>
      <w:r w:rsidR="003608E2" w:rsidRPr="00B357D7">
        <w:rPr>
          <w:lang w:val="fr-FR" w:eastAsia="ja-JP"/>
        </w:rPr>
        <w:t xml:space="preserve"> </w:t>
      </w:r>
      <w:r w:rsidR="00727B5E" w:rsidRPr="00B357D7">
        <w:rPr>
          <w:lang w:val="fr-FR" w:eastAsia="ja-JP"/>
        </w:rPr>
        <w:t>Il est à noter que le niveau d</w:t>
      </w:r>
      <w:r w:rsidR="009143C1" w:rsidRPr="00B357D7">
        <w:rPr>
          <w:lang w:val="fr-FR" w:eastAsia="ja-JP"/>
        </w:rPr>
        <w:t>’</w:t>
      </w:r>
      <w:r w:rsidR="00727B5E" w:rsidRPr="00B357D7">
        <w:rPr>
          <w:lang w:val="fr-FR" w:eastAsia="ja-JP"/>
        </w:rPr>
        <w:t>hétérogénéité variétal dans l</w:t>
      </w:r>
      <w:r w:rsidR="009143C1" w:rsidRPr="00B357D7">
        <w:rPr>
          <w:lang w:val="fr-FR" w:eastAsia="ja-JP"/>
        </w:rPr>
        <w:t>’</w:t>
      </w:r>
      <w:r w:rsidR="00727B5E" w:rsidRPr="00B357D7">
        <w:rPr>
          <w:lang w:val="fr-FR" w:eastAsia="ja-JP"/>
        </w:rPr>
        <w:t xml:space="preserve">écart variété/cycle (non présenté) était bien </w:t>
      </w:r>
      <w:r w:rsidR="00B67E44" w:rsidRPr="00B357D7">
        <w:rPr>
          <w:lang w:val="fr-FR" w:eastAsia="ja-JP"/>
        </w:rPr>
        <w:t>moins élevé</w:t>
      </w:r>
      <w:r w:rsidR="00727B5E" w:rsidRPr="00B357D7">
        <w:rPr>
          <w:lang w:val="fr-FR" w:eastAsia="ja-JP"/>
        </w:rPr>
        <w:t>.</w:t>
      </w:r>
    </w:p>
    <w:p w:rsidR="00AA7D33" w:rsidRPr="00B357D7" w:rsidRDefault="00AA7D33" w:rsidP="00F56A94">
      <w:pPr>
        <w:rPr>
          <w:lang w:val="fr-FR" w:eastAsia="ja-JP"/>
        </w:rPr>
      </w:pPr>
    </w:p>
    <w:p w:rsidR="009143C1" w:rsidRPr="00B357D7" w:rsidRDefault="002C7579" w:rsidP="00F56A94">
      <w:pPr>
        <w:rPr>
          <w:lang w:val="fr-FR" w:eastAsia="ja-JP"/>
        </w:rPr>
      </w:pPr>
      <w:r w:rsidRPr="00B357D7">
        <w:rPr>
          <w:lang w:val="fr-FR" w:eastAsia="ja-JP"/>
        </w:rPr>
        <w:t>14.</w:t>
      </w:r>
      <w:r w:rsidRPr="00B357D7">
        <w:rPr>
          <w:lang w:val="fr-FR" w:eastAsia="ja-JP"/>
        </w:rPr>
        <w:tab/>
        <w:t>Le tableau</w:t>
      </w:r>
      <w:r w:rsidR="003608E2" w:rsidRPr="00B357D7">
        <w:rPr>
          <w:lang w:val="fr-FR" w:eastAsia="ja-JP"/>
        </w:rPr>
        <w:t> </w:t>
      </w:r>
      <w:r w:rsidRPr="00B357D7">
        <w:rPr>
          <w:lang w:val="fr-FR" w:eastAsia="ja-JP"/>
        </w:rPr>
        <w:t xml:space="preserve">2 présente les seuils du premier cycle calculés pour chaque caractère sur la base de probabilités de distinction </w:t>
      </w:r>
      <w:proofErr w:type="spellStart"/>
      <w:r w:rsidRPr="00B357D7">
        <w:rPr>
          <w:lang w:val="fr-FR" w:eastAsia="ja-JP"/>
        </w:rPr>
        <w:t>pD</w:t>
      </w:r>
      <w:proofErr w:type="spellEnd"/>
      <w:r w:rsidRPr="00B357D7">
        <w:rPr>
          <w:lang w:val="fr-FR" w:eastAsia="ja-JP"/>
        </w:rPr>
        <w:t xml:space="preserve"> fixées à 90%, 95% et 99%.</w:t>
      </w:r>
      <w:r w:rsidR="00680EB7" w:rsidRPr="00B357D7">
        <w:rPr>
          <w:lang w:val="fr-FR" w:eastAsia="ja-JP"/>
        </w:rPr>
        <w:t xml:space="preserve"> </w:t>
      </w:r>
      <w:r w:rsidR="009D0C9C" w:rsidRPr="00B357D7">
        <w:rPr>
          <w:lang w:val="fr-FR" w:eastAsia="ja-JP"/>
        </w:rPr>
        <w:t xml:space="preserve"> </w:t>
      </w:r>
      <w:r w:rsidR="00805FDD" w:rsidRPr="00B357D7">
        <w:rPr>
          <w:lang w:val="fr-FR" w:eastAsia="ja-JP"/>
        </w:rPr>
        <w:t>Ces résultats sont comparés à une moyenne de l</w:t>
      </w:r>
      <w:r w:rsidR="009143C1" w:rsidRPr="00B357D7">
        <w:rPr>
          <w:lang w:val="fr-FR" w:eastAsia="ja-JP"/>
        </w:rPr>
        <w:t>’</w:t>
      </w:r>
      <w:r w:rsidR="00805FDD" w:rsidRPr="00B357D7">
        <w:rPr>
          <w:lang w:val="fr-FR" w:eastAsia="ja-JP"/>
        </w:rPr>
        <w:t>analyse COYD pour l</w:t>
      </w:r>
      <w:r w:rsidR="009143C1" w:rsidRPr="00B357D7">
        <w:rPr>
          <w:lang w:val="fr-FR" w:eastAsia="ja-JP"/>
        </w:rPr>
        <w:t>’</w:t>
      </w:r>
      <w:r w:rsidR="008329F2" w:rsidRPr="00B357D7">
        <w:rPr>
          <w:lang w:val="fr-FR" w:eastAsia="ja-JP"/>
        </w:rPr>
        <w:t>examen</w:t>
      </w:r>
      <w:r w:rsidR="00805FDD" w:rsidRPr="00B357D7">
        <w:rPr>
          <w:lang w:val="fr-FR" w:eastAsia="ja-JP"/>
        </w:rPr>
        <w:t xml:space="preserve"> </w:t>
      </w:r>
      <w:r w:rsidR="00F3736F" w:rsidRPr="00B357D7">
        <w:rPr>
          <w:lang w:val="fr-FR" w:eastAsia="ja-JP"/>
        </w:rPr>
        <w:t>sur</w:t>
      </w:r>
      <w:r w:rsidR="00805FDD" w:rsidRPr="00B357D7">
        <w:rPr>
          <w:lang w:val="fr-FR" w:eastAsia="ja-JP"/>
        </w:rPr>
        <w:t xml:space="preserve"> deux</w:t>
      </w:r>
      <w:r w:rsidR="003608E2" w:rsidRPr="00B357D7">
        <w:rPr>
          <w:lang w:val="fr-FR" w:eastAsia="ja-JP"/>
        </w:rPr>
        <w:t> </w:t>
      </w:r>
      <w:r w:rsidR="00805FDD" w:rsidRPr="00B357D7">
        <w:rPr>
          <w:lang w:val="fr-FR" w:eastAsia="ja-JP"/>
        </w:rPr>
        <w:t>cycles (sur la base de données sur le long terme et équivalant à</w:t>
      </w:r>
      <w:r w:rsidR="009143C1" w:rsidRPr="00B357D7">
        <w:rPr>
          <w:lang w:val="fr-FR" w:eastAsia="ja-JP"/>
        </w:rPr>
        <w:t xml:space="preserve"> la PPD</w:t>
      </w:r>
      <w:r w:rsidR="00805FDD" w:rsidRPr="00B357D7">
        <w:rPr>
          <w:lang w:val="fr-FR" w:eastAsia="ja-JP"/>
        </w:rPr>
        <w:t>S sur le long ter</w:t>
      </w:r>
      <w:r w:rsidR="00B357D7" w:rsidRPr="00B357D7">
        <w:rPr>
          <w:lang w:val="fr-FR" w:eastAsia="ja-JP"/>
        </w:rPr>
        <w:t>me).  Il</w:t>
      </w:r>
      <w:r w:rsidR="00805FDD" w:rsidRPr="00B357D7">
        <w:rPr>
          <w:lang w:val="fr-FR" w:eastAsia="ja-JP"/>
        </w:rPr>
        <w:t xml:space="preserve">s sont également comparés aux </w:t>
      </w:r>
      <w:r w:rsidR="00B67E44" w:rsidRPr="00B357D7">
        <w:rPr>
          <w:lang w:val="fr-FR" w:eastAsia="ja-JP"/>
        </w:rPr>
        <w:t xml:space="preserve">valeurs </w:t>
      </w:r>
      <w:r w:rsidR="00805FDD" w:rsidRPr="00B357D7">
        <w:rPr>
          <w:lang w:val="fr-FR" w:eastAsia="ja-JP"/>
        </w:rPr>
        <w:t>tolérance fondé</w:t>
      </w:r>
      <w:r w:rsidR="00F3736F" w:rsidRPr="00B357D7">
        <w:rPr>
          <w:lang w:val="fr-FR" w:eastAsia="ja-JP"/>
        </w:rPr>
        <w:t>e</w:t>
      </w:r>
      <w:r w:rsidR="00805FDD" w:rsidRPr="00B357D7">
        <w:rPr>
          <w:lang w:val="fr-FR" w:eastAsia="ja-JP"/>
        </w:rPr>
        <w:t>s sur l</w:t>
      </w:r>
      <w:r w:rsidR="009143C1" w:rsidRPr="00B357D7">
        <w:rPr>
          <w:lang w:val="fr-FR" w:eastAsia="ja-JP"/>
        </w:rPr>
        <w:t>’</w:t>
      </w:r>
      <w:r w:rsidR="00805FDD" w:rsidRPr="00B357D7">
        <w:rPr>
          <w:lang w:val="fr-FR" w:eastAsia="ja-JP"/>
        </w:rPr>
        <w:t>expérience qui sont actuellement utilisé</w:t>
      </w:r>
      <w:r w:rsidR="00F3736F" w:rsidRPr="00B357D7">
        <w:rPr>
          <w:lang w:val="fr-FR" w:eastAsia="ja-JP"/>
        </w:rPr>
        <w:t>e</w:t>
      </w:r>
      <w:r w:rsidR="00805FDD" w:rsidRPr="00B357D7">
        <w:rPr>
          <w:lang w:val="fr-FR" w:eastAsia="ja-JP"/>
        </w:rPr>
        <w:t>s au Royaume</w:t>
      </w:r>
      <w:r w:rsidR="00F56A94">
        <w:rPr>
          <w:lang w:val="fr-FR" w:eastAsia="ja-JP"/>
        </w:rPr>
        <w:noBreakHyphen/>
      </w:r>
      <w:r w:rsidR="00805FDD" w:rsidRPr="00B357D7">
        <w:rPr>
          <w:lang w:val="fr-FR" w:eastAsia="ja-JP"/>
        </w:rPr>
        <w:t>Uni pour exclure les variétés notoirement connues après le premier cycle.</w:t>
      </w:r>
    </w:p>
    <w:p w:rsidR="00AA7D33" w:rsidRPr="00B357D7" w:rsidRDefault="00AA7D33" w:rsidP="00F56A94">
      <w:pPr>
        <w:rPr>
          <w:lang w:val="fr-FR" w:eastAsia="ja-JP"/>
        </w:rPr>
      </w:pPr>
    </w:p>
    <w:p w:rsidR="00AA7D33" w:rsidRPr="00B357D7" w:rsidRDefault="00AA7D33" w:rsidP="00F56A94">
      <w:pPr>
        <w:rPr>
          <w:lang w:val="fr-FR" w:eastAsia="ja-JP"/>
        </w:rPr>
      </w:pPr>
    </w:p>
    <w:p w:rsidR="009143C1" w:rsidRPr="00B357D7" w:rsidRDefault="00805FDD" w:rsidP="00F56A94">
      <w:pPr>
        <w:rPr>
          <w:lang w:val="fr-FR"/>
        </w:rPr>
      </w:pPr>
      <w:r w:rsidRPr="00B357D7">
        <w:rPr>
          <w:lang w:val="fr-FR"/>
        </w:rPr>
        <w:t>Tableau</w:t>
      </w:r>
      <w:r w:rsidR="003608E2" w:rsidRPr="00B357D7">
        <w:rPr>
          <w:lang w:val="fr-FR"/>
        </w:rPr>
        <w:t> </w:t>
      </w:r>
      <w:r w:rsidRPr="00B357D7">
        <w:rPr>
          <w:lang w:val="fr-FR"/>
        </w:rPr>
        <w:t>1.  Caractères pris en compte dans l</w:t>
      </w:r>
      <w:r w:rsidR="009143C1" w:rsidRPr="00B357D7">
        <w:rPr>
          <w:lang w:val="fr-FR"/>
        </w:rPr>
        <w:t>’</w:t>
      </w:r>
      <w:r w:rsidRPr="00B357D7">
        <w:rPr>
          <w:lang w:val="fr-FR"/>
        </w:rPr>
        <w:t>exemple d</w:t>
      </w:r>
      <w:r w:rsidR="00415D88" w:rsidRPr="00B357D7">
        <w:rPr>
          <w:lang w:val="fr-FR"/>
        </w:rPr>
        <w:t>e jeu de données</w:t>
      </w:r>
      <w:r w:rsidRPr="00B357D7">
        <w:rPr>
          <w:lang w:val="fr-FR"/>
        </w:rPr>
        <w:t xml:space="preserve"> et statistiques</w:t>
      </w:r>
    </w:p>
    <w:p w:rsidR="00680EB7" w:rsidRPr="00B357D7" w:rsidRDefault="00680EB7" w:rsidP="00F56A94">
      <w:pPr>
        <w:rPr>
          <w:i/>
          <w:lang w:val="fr-FR"/>
        </w:rPr>
      </w:pPr>
    </w:p>
    <w:tbl>
      <w:tblPr>
        <w:tblStyle w:val="TableGrid"/>
        <w:tblW w:w="5000" w:type="pct"/>
        <w:tblBorders>
          <w:left w:val="none" w:sz="0" w:space="0" w:color="auto"/>
          <w:right w:val="none" w:sz="0" w:space="0" w:color="auto"/>
          <w:insideH w:val="none" w:sz="0" w:space="0" w:color="auto"/>
          <w:insideV w:val="none" w:sz="0" w:space="0" w:color="auto"/>
        </w:tblBorders>
        <w:tblCellMar>
          <w:left w:w="68" w:type="dxa"/>
          <w:right w:w="68" w:type="dxa"/>
        </w:tblCellMar>
        <w:tblLook w:val="04A0" w:firstRow="1" w:lastRow="0" w:firstColumn="1" w:lastColumn="0" w:noHBand="0" w:noVBand="1"/>
      </w:tblPr>
      <w:tblGrid>
        <w:gridCol w:w="3415"/>
        <w:gridCol w:w="1059"/>
        <w:gridCol w:w="1104"/>
        <w:gridCol w:w="1222"/>
        <w:gridCol w:w="1349"/>
        <w:gridCol w:w="1626"/>
      </w:tblGrid>
      <w:tr w:rsidR="00FC6427" w:rsidRPr="00110CFB" w:rsidTr="00F56A94">
        <w:trPr>
          <w:cantSplit/>
        </w:trPr>
        <w:tc>
          <w:tcPr>
            <w:tcW w:w="3465" w:type="dxa"/>
            <w:tcBorders>
              <w:top w:val="single" w:sz="4" w:space="0" w:color="auto"/>
              <w:bottom w:val="single" w:sz="4" w:space="0" w:color="auto"/>
            </w:tcBorders>
          </w:tcPr>
          <w:p w:rsidR="00680EB7" w:rsidRPr="00B357D7" w:rsidRDefault="00805FDD" w:rsidP="00F56A94">
            <w:pPr>
              <w:rPr>
                <w:lang w:val="fr-FR"/>
              </w:rPr>
            </w:pPr>
            <w:r w:rsidRPr="00B357D7">
              <w:rPr>
                <w:lang w:val="fr-FR"/>
              </w:rPr>
              <w:t>Caractère (numéro UPOV)</w:t>
            </w:r>
          </w:p>
        </w:tc>
        <w:tc>
          <w:tcPr>
            <w:tcW w:w="1061" w:type="dxa"/>
            <w:tcBorders>
              <w:top w:val="single" w:sz="4" w:space="0" w:color="auto"/>
              <w:bottom w:val="single" w:sz="4" w:space="0" w:color="auto"/>
            </w:tcBorders>
          </w:tcPr>
          <w:p w:rsidR="00680EB7" w:rsidRPr="00B357D7" w:rsidRDefault="00805FDD" w:rsidP="00F56A94">
            <w:pPr>
              <w:jc w:val="center"/>
              <w:rPr>
                <w:lang w:val="fr-FR"/>
              </w:rPr>
            </w:pPr>
            <w:r w:rsidRPr="00B357D7">
              <w:rPr>
                <w:lang w:val="fr-FR"/>
              </w:rPr>
              <w:t>Moyenne</w:t>
            </w:r>
          </w:p>
        </w:tc>
        <w:tc>
          <w:tcPr>
            <w:tcW w:w="1115" w:type="dxa"/>
            <w:tcBorders>
              <w:top w:val="single" w:sz="4" w:space="0" w:color="auto"/>
              <w:bottom w:val="single" w:sz="4" w:space="0" w:color="auto"/>
            </w:tcBorders>
          </w:tcPr>
          <w:p w:rsidR="00680EB7" w:rsidRPr="00B357D7" w:rsidRDefault="00805FDD" w:rsidP="00F56A94">
            <w:pPr>
              <w:jc w:val="center"/>
              <w:rPr>
                <w:lang w:val="fr-FR"/>
              </w:rPr>
            </w:pPr>
            <w:r w:rsidRPr="00B357D7">
              <w:rPr>
                <w:lang w:val="fr-FR"/>
              </w:rPr>
              <w:t>Écart type</w:t>
            </w:r>
          </w:p>
        </w:tc>
        <w:tc>
          <w:tcPr>
            <w:tcW w:w="1228" w:type="dxa"/>
            <w:tcBorders>
              <w:top w:val="single" w:sz="4" w:space="0" w:color="auto"/>
              <w:bottom w:val="single" w:sz="4" w:space="0" w:color="auto"/>
            </w:tcBorders>
          </w:tcPr>
          <w:p w:rsidR="00680EB7" w:rsidRPr="00B357D7" w:rsidRDefault="00805FDD" w:rsidP="00F56A94">
            <w:pPr>
              <w:jc w:val="center"/>
              <w:rPr>
                <w:lang w:val="fr-FR"/>
              </w:rPr>
            </w:pPr>
            <w:r w:rsidRPr="00B357D7">
              <w:rPr>
                <w:lang w:val="fr-FR"/>
              </w:rPr>
              <w:t>Minimum</w:t>
            </w:r>
          </w:p>
        </w:tc>
        <w:tc>
          <w:tcPr>
            <w:tcW w:w="1357" w:type="dxa"/>
            <w:tcBorders>
              <w:top w:val="single" w:sz="4" w:space="0" w:color="auto"/>
              <w:bottom w:val="single" w:sz="4" w:space="0" w:color="auto"/>
            </w:tcBorders>
          </w:tcPr>
          <w:p w:rsidR="00680EB7" w:rsidRPr="00B357D7" w:rsidRDefault="00805FDD" w:rsidP="00F56A94">
            <w:pPr>
              <w:jc w:val="center"/>
              <w:rPr>
                <w:lang w:val="fr-FR"/>
              </w:rPr>
            </w:pPr>
            <w:r w:rsidRPr="00B357D7">
              <w:rPr>
                <w:lang w:val="fr-FR"/>
              </w:rPr>
              <w:t>Maximum</w:t>
            </w:r>
          </w:p>
        </w:tc>
        <w:tc>
          <w:tcPr>
            <w:tcW w:w="1629" w:type="dxa"/>
            <w:tcBorders>
              <w:top w:val="single" w:sz="4" w:space="0" w:color="auto"/>
              <w:bottom w:val="single" w:sz="4" w:space="0" w:color="auto"/>
            </w:tcBorders>
          </w:tcPr>
          <w:p w:rsidR="00680EB7" w:rsidRPr="00B357D7" w:rsidRDefault="00805FDD" w:rsidP="00F56A94">
            <w:pPr>
              <w:jc w:val="center"/>
              <w:rPr>
                <w:lang w:val="fr-FR"/>
              </w:rPr>
            </w:pPr>
            <w:r w:rsidRPr="00B357D7">
              <w:rPr>
                <w:lang w:val="fr-FR"/>
              </w:rPr>
              <w:t>Indice d</w:t>
            </w:r>
            <w:r w:rsidR="009143C1" w:rsidRPr="00B357D7">
              <w:rPr>
                <w:lang w:val="fr-FR"/>
              </w:rPr>
              <w:t>’</w:t>
            </w:r>
            <w:r w:rsidRPr="00B357D7">
              <w:rPr>
                <w:lang w:val="fr-FR"/>
              </w:rPr>
              <w:t>hétérogénéité sur un cycle</w:t>
            </w:r>
          </w:p>
        </w:tc>
      </w:tr>
      <w:tr w:rsidR="00FC6427" w:rsidRPr="00B357D7" w:rsidTr="00F56A94">
        <w:trPr>
          <w:cantSplit/>
        </w:trPr>
        <w:tc>
          <w:tcPr>
            <w:tcW w:w="3465" w:type="dxa"/>
            <w:tcBorders>
              <w:top w:val="single" w:sz="4" w:space="0" w:color="auto"/>
              <w:bottom w:val="nil"/>
            </w:tcBorders>
          </w:tcPr>
          <w:p w:rsidR="00680EB7" w:rsidRPr="00B357D7" w:rsidRDefault="00805FDD" w:rsidP="00F56A94">
            <w:pPr>
              <w:rPr>
                <w:lang w:val="fr-FR"/>
              </w:rPr>
            </w:pPr>
            <w:r w:rsidRPr="00B357D7">
              <w:rPr>
                <w:lang w:val="fr-FR"/>
              </w:rPr>
              <w:t>(5) Tige</w:t>
            </w:r>
            <w:r w:rsidR="003608E2" w:rsidRPr="00B357D7">
              <w:rPr>
                <w:lang w:val="fr-FR"/>
              </w:rPr>
              <w:t> </w:t>
            </w:r>
            <w:r w:rsidRPr="00B357D7">
              <w:rPr>
                <w:lang w:val="fr-FR"/>
              </w:rPr>
              <w:t>: nombre de nœuds jusqu</w:t>
            </w:r>
            <w:r w:rsidR="009143C1" w:rsidRPr="00B357D7">
              <w:rPr>
                <w:lang w:val="fr-FR"/>
              </w:rPr>
              <w:t>’</w:t>
            </w:r>
            <w:r w:rsidRPr="00B357D7">
              <w:rPr>
                <w:lang w:val="fr-FR"/>
              </w:rPr>
              <w:t>au premier nœud fertile inclus</w:t>
            </w:r>
          </w:p>
        </w:tc>
        <w:tc>
          <w:tcPr>
            <w:tcW w:w="1061" w:type="dxa"/>
            <w:tcBorders>
              <w:top w:val="single" w:sz="4" w:space="0" w:color="auto"/>
              <w:bottom w:val="nil"/>
            </w:tcBorders>
          </w:tcPr>
          <w:p w:rsidR="00680EB7" w:rsidRPr="00B357D7" w:rsidRDefault="00805FDD" w:rsidP="00F56A94">
            <w:pPr>
              <w:tabs>
                <w:tab w:val="decimal" w:pos="423"/>
              </w:tabs>
              <w:jc w:val="left"/>
              <w:rPr>
                <w:lang w:val="fr-FR"/>
              </w:rPr>
            </w:pPr>
            <w:r w:rsidRPr="00B357D7">
              <w:rPr>
                <w:lang w:val="fr-FR"/>
              </w:rPr>
              <w:t>16,0</w:t>
            </w:r>
          </w:p>
        </w:tc>
        <w:tc>
          <w:tcPr>
            <w:tcW w:w="1115" w:type="dxa"/>
            <w:tcBorders>
              <w:top w:val="single" w:sz="4" w:space="0" w:color="auto"/>
              <w:bottom w:val="nil"/>
            </w:tcBorders>
          </w:tcPr>
          <w:p w:rsidR="00680EB7" w:rsidRPr="00B357D7" w:rsidRDefault="00805FDD" w:rsidP="00F56A94">
            <w:pPr>
              <w:tabs>
                <w:tab w:val="decimal" w:pos="423"/>
              </w:tabs>
              <w:jc w:val="left"/>
              <w:rPr>
                <w:lang w:val="fr-FR"/>
              </w:rPr>
            </w:pPr>
            <w:r w:rsidRPr="00B357D7">
              <w:rPr>
                <w:lang w:val="fr-FR"/>
              </w:rPr>
              <w:t>1,59</w:t>
            </w:r>
          </w:p>
        </w:tc>
        <w:tc>
          <w:tcPr>
            <w:tcW w:w="1228" w:type="dxa"/>
            <w:tcBorders>
              <w:top w:val="single" w:sz="4" w:space="0" w:color="auto"/>
              <w:bottom w:val="nil"/>
            </w:tcBorders>
          </w:tcPr>
          <w:p w:rsidR="00680EB7" w:rsidRPr="00B357D7" w:rsidRDefault="00805FDD" w:rsidP="00F56A94">
            <w:pPr>
              <w:tabs>
                <w:tab w:val="decimal" w:pos="423"/>
              </w:tabs>
              <w:jc w:val="left"/>
              <w:rPr>
                <w:lang w:val="fr-FR"/>
              </w:rPr>
            </w:pPr>
            <w:r w:rsidRPr="00B357D7">
              <w:rPr>
                <w:lang w:val="fr-FR"/>
              </w:rPr>
              <w:t>9,6</w:t>
            </w:r>
          </w:p>
        </w:tc>
        <w:tc>
          <w:tcPr>
            <w:tcW w:w="1357" w:type="dxa"/>
            <w:tcBorders>
              <w:top w:val="single" w:sz="4" w:space="0" w:color="auto"/>
              <w:bottom w:val="nil"/>
            </w:tcBorders>
          </w:tcPr>
          <w:p w:rsidR="00680EB7" w:rsidRPr="00B357D7" w:rsidRDefault="00805FDD" w:rsidP="00F56A94">
            <w:pPr>
              <w:tabs>
                <w:tab w:val="decimal" w:pos="593"/>
              </w:tabs>
              <w:jc w:val="left"/>
              <w:rPr>
                <w:lang w:val="fr-FR"/>
              </w:rPr>
            </w:pPr>
            <w:r w:rsidRPr="00B357D7">
              <w:rPr>
                <w:lang w:val="fr-FR"/>
              </w:rPr>
              <w:t>20,9</w:t>
            </w:r>
          </w:p>
        </w:tc>
        <w:tc>
          <w:tcPr>
            <w:tcW w:w="1629" w:type="dxa"/>
            <w:tcBorders>
              <w:top w:val="single" w:sz="4" w:space="0" w:color="auto"/>
              <w:bottom w:val="nil"/>
            </w:tcBorders>
          </w:tcPr>
          <w:p w:rsidR="00680EB7" w:rsidRPr="00B357D7" w:rsidRDefault="00805FDD" w:rsidP="00F56A94">
            <w:pPr>
              <w:widowControl w:val="0"/>
              <w:tabs>
                <w:tab w:val="decimal" w:pos="593"/>
              </w:tabs>
              <w:jc w:val="left"/>
              <w:rPr>
                <w:szCs w:val="24"/>
                <w:lang w:val="fr-FR"/>
              </w:rPr>
            </w:pPr>
            <w:r w:rsidRPr="00B357D7">
              <w:rPr>
                <w:szCs w:val="24"/>
                <w:lang w:val="fr-FR"/>
              </w:rPr>
              <w:t>13,0</w:t>
            </w:r>
          </w:p>
        </w:tc>
      </w:tr>
      <w:tr w:rsidR="00FC6427" w:rsidRPr="00B357D7" w:rsidTr="00F56A94">
        <w:trPr>
          <w:cantSplit/>
        </w:trPr>
        <w:tc>
          <w:tcPr>
            <w:tcW w:w="3465" w:type="dxa"/>
            <w:tcBorders>
              <w:top w:val="nil"/>
            </w:tcBorders>
          </w:tcPr>
          <w:p w:rsidR="00680EB7" w:rsidRPr="00B357D7" w:rsidRDefault="00805FDD" w:rsidP="00F56A94">
            <w:pPr>
              <w:rPr>
                <w:lang w:val="fr-FR"/>
              </w:rPr>
            </w:pPr>
            <w:r w:rsidRPr="00B357D7">
              <w:rPr>
                <w:lang w:val="fr-FR"/>
              </w:rPr>
              <w:t>(15) Stipule</w:t>
            </w:r>
            <w:r w:rsidR="009143C1" w:rsidRPr="00B357D7">
              <w:rPr>
                <w:lang w:val="fr-FR"/>
              </w:rPr>
              <w:t> :</w:t>
            </w:r>
            <w:r w:rsidRPr="00B357D7">
              <w:rPr>
                <w:lang w:val="fr-FR"/>
              </w:rPr>
              <w:t xml:space="preserve"> longueur (mm)</w:t>
            </w:r>
          </w:p>
        </w:tc>
        <w:tc>
          <w:tcPr>
            <w:tcW w:w="1061" w:type="dxa"/>
            <w:tcBorders>
              <w:top w:val="nil"/>
            </w:tcBorders>
          </w:tcPr>
          <w:p w:rsidR="00680EB7" w:rsidRPr="00B357D7" w:rsidRDefault="00805FDD" w:rsidP="00F56A94">
            <w:pPr>
              <w:tabs>
                <w:tab w:val="decimal" w:pos="423"/>
              </w:tabs>
              <w:jc w:val="left"/>
              <w:rPr>
                <w:lang w:val="fr-FR"/>
              </w:rPr>
            </w:pPr>
            <w:r w:rsidRPr="00B357D7">
              <w:rPr>
                <w:lang w:val="fr-FR"/>
              </w:rPr>
              <w:t>82,3</w:t>
            </w:r>
          </w:p>
        </w:tc>
        <w:tc>
          <w:tcPr>
            <w:tcW w:w="1115" w:type="dxa"/>
            <w:tcBorders>
              <w:top w:val="nil"/>
            </w:tcBorders>
          </w:tcPr>
          <w:p w:rsidR="00680EB7" w:rsidRPr="00B357D7" w:rsidRDefault="00805FDD" w:rsidP="00F56A94">
            <w:pPr>
              <w:tabs>
                <w:tab w:val="decimal" w:pos="423"/>
              </w:tabs>
              <w:jc w:val="left"/>
              <w:rPr>
                <w:lang w:val="fr-FR"/>
              </w:rPr>
            </w:pPr>
            <w:r w:rsidRPr="00B357D7">
              <w:rPr>
                <w:lang w:val="fr-FR"/>
              </w:rPr>
              <w:t>13,48</w:t>
            </w:r>
          </w:p>
        </w:tc>
        <w:tc>
          <w:tcPr>
            <w:tcW w:w="1228" w:type="dxa"/>
            <w:tcBorders>
              <w:top w:val="nil"/>
            </w:tcBorders>
          </w:tcPr>
          <w:p w:rsidR="00680EB7" w:rsidRPr="00B357D7" w:rsidRDefault="00805FDD" w:rsidP="00F56A94">
            <w:pPr>
              <w:tabs>
                <w:tab w:val="decimal" w:pos="423"/>
              </w:tabs>
              <w:jc w:val="left"/>
              <w:rPr>
                <w:lang w:val="fr-FR"/>
              </w:rPr>
            </w:pPr>
            <w:r w:rsidRPr="00B357D7">
              <w:rPr>
                <w:lang w:val="fr-FR"/>
              </w:rPr>
              <w:t>47,2</w:t>
            </w:r>
          </w:p>
        </w:tc>
        <w:tc>
          <w:tcPr>
            <w:tcW w:w="1357" w:type="dxa"/>
            <w:tcBorders>
              <w:top w:val="nil"/>
            </w:tcBorders>
          </w:tcPr>
          <w:p w:rsidR="00680EB7" w:rsidRPr="00B357D7" w:rsidRDefault="00805FDD" w:rsidP="00F56A94">
            <w:pPr>
              <w:tabs>
                <w:tab w:val="decimal" w:pos="593"/>
              </w:tabs>
              <w:jc w:val="left"/>
              <w:rPr>
                <w:lang w:val="fr-FR"/>
              </w:rPr>
            </w:pPr>
            <w:r w:rsidRPr="00B357D7">
              <w:rPr>
                <w:lang w:val="fr-FR"/>
              </w:rPr>
              <w:t>121,5</w:t>
            </w:r>
          </w:p>
        </w:tc>
        <w:tc>
          <w:tcPr>
            <w:tcW w:w="1629" w:type="dxa"/>
            <w:tcBorders>
              <w:top w:val="nil"/>
            </w:tcBorders>
          </w:tcPr>
          <w:p w:rsidR="00680EB7" w:rsidRPr="00B357D7" w:rsidRDefault="00805FDD" w:rsidP="00F56A94">
            <w:pPr>
              <w:widowControl w:val="0"/>
              <w:tabs>
                <w:tab w:val="decimal" w:pos="593"/>
              </w:tabs>
              <w:jc w:val="left"/>
              <w:rPr>
                <w:szCs w:val="24"/>
                <w:lang w:val="fr-FR"/>
              </w:rPr>
            </w:pPr>
            <w:r w:rsidRPr="00B357D7">
              <w:rPr>
                <w:szCs w:val="24"/>
                <w:lang w:val="fr-FR"/>
              </w:rPr>
              <w:t>4,4</w:t>
            </w:r>
          </w:p>
        </w:tc>
      </w:tr>
      <w:tr w:rsidR="00FC6427" w:rsidRPr="00B357D7" w:rsidTr="00F56A94">
        <w:trPr>
          <w:cantSplit/>
        </w:trPr>
        <w:tc>
          <w:tcPr>
            <w:tcW w:w="3465" w:type="dxa"/>
            <w:tcBorders>
              <w:top w:val="nil"/>
            </w:tcBorders>
          </w:tcPr>
          <w:p w:rsidR="00680EB7" w:rsidRPr="00B357D7" w:rsidRDefault="00805FDD" w:rsidP="00F56A94">
            <w:pPr>
              <w:rPr>
                <w:lang w:val="fr-FR"/>
              </w:rPr>
            </w:pPr>
            <w:r w:rsidRPr="00B357D7">
              <w:rPr>
                <w:lang w:val="fr-FR"/>
              </w:rPr>
              <w:t>(16) Stipule</w:t>
            </w:r>
            <w:r w:rsidR="009143C1" w:rsidRPr="00B357D7">
              <w:rPr>
                <w:lang w:val="fr-FR"/>
              </w:rPr>
              <w:t> :</w:t>
            </w:r>
            <w:r w:rsidRPr="00B357D7">
              <w:rPr>
                <w:lang w:val="fr-FR"/>
              </w:rPr>
              <w:t xml:space="preserve"> largeur (mm)</w:t>
            </w:r>
          </w:p>
        </w:tc>
        <w:tc>
          <w:tcPr>
            <w:tcW w:w="1061" w:type="dxa"/>
            <w:tcBorders>
              <w:top w:val="nil"/>
            </w:tcBorders>
          </w:tcPr>
          <w:p w:rsidR="00680EB7" w:rsidRPr="00B357D7" w:rsidRDefault="00805FDD" w:rsidP="00F56A94">
            <w:pPr>
              <w:tabs>
                <w:tab w:val="decimal" w:pos="423"/>
              </w:tabs>
              <w:jc w:val="left"/>
              <w:rPr>
                <w:lang w:val="fr-FR"/>
              </w:rPr>
            </w:pPr>
            <w:r w:rsidRPr="00B357D7">
              <w:rPr>
                <w:lang w:val="fr-FR"/>
              </w:rPr>
              <w:t>46,3</w:t>
            </w:r>
          </w:p>
        </w:tc>
        <w:tc>
          <w:tcPr>
            <w:tcW w:w="1115" w:type="dxa"/>
            <w:tcBorders>
              <w:top w:val="nil"/>
            </w:tcBorders>
          </w:tcPr>
          <w:p w:rsidR="00680EB7" w:rsidRPr="00B357D7" w:rsidRDefault="00805FDD" w:rsidP="00F56A94">
            <w:pPr>
              <w:tabs>
                <w:tab w:val="decimal" w:pos="423"/>
              </w:tabs>
              <w:jc w:val="left"/>
              <w:rPr>
                <w:lang w:val="fr-FR"/>
              </w:rPr>
            </w:pPr>
            <w:r w:rsidRPr="00B357D7">
              <w:rPr>
                <w:lang w:val="fr-FR"/>
              </w:rPr>
              <w:t>8,80</w:t>
            </w:r>
          </w:p>
        </w:tc>
        <w:tc>
          <w:tcPr>
            <w:tcW w:w="1228" w:type="dxa"/>
            <w:tcBorders>
              <w:top w:val="nil"/>
            </w:tcBorders>
          </w:tcPr>
          <w:p w:rsidR="00680EB7" w:rsidRPr="00B357D7" w:rsidRDefault="00805FDD" w:rsidP="00F56A94">
            <w:pPr>
              <w:tabs>
                <w:tab w:val="decimal" w:pos="423"/>
              </w:tabs>
              <w:jc w:val="left"/>
              <w:rPr>
                <w:lang w:val="fr-FR"/>
              </w:rPr>
            </w:pPr>
            <w:r w:rsidRPr="00B357D7">
              <w:rPr>
                <w:lang w:val="fr-FR"/>
              </w:rPr>
              <w:t>23,7</w:t>
            </w:r>
          </w:p>
        </w:tc>
        <w:tc>
          <w:tcPr>
            <w:tcW w:w="1357" w:type="dxa"/>
            <w:tcBorders>
              <w:top w:val="nil"/>
            </w:tcBorders>
          </w:tcPr>
          <w:p w:rsidR="00680EB7" w:rsidRPr="00B357D7" w:rsidRDefault="00805FDD" w:rsidP="00F56A94">
            <w:pPr>
              <w:tabs>
                <w:tab w:val="decimal" w:pos="593"/>
              </w:tabs>
              <w:jc w:val="left"/>
              <w:rPr>
                <w:lang w:val="fr-FR"/>
              </w:rPr>
            </w:pPr>
            <w:r w:rsidRPr="00B357D7">
              <w:rPr>
                <w:lang w:val="fr-FR"/>
              </w:rPr>
              <w:t>79,0</w:t>
            </w:r>
          </w:p>
        </w:tc>
        <w:tc>
          <w:tcPr>
            <w:tcW w:w="1629" w:type="dxa"/>
            <w:tcBorders>
              <w:top w:val="nil"/>
            </w:tcBorders>
          </w:tcPr>
          <w:p w:rsidR="00680EB7" w:rsidRPr="00B357D7" w:rsidRDefault="00805FDD" w:rsidP="00F56A94">
            <w:pPr>
              <w:widowControl w:val="0"/>
              <w:tabs>
                <w:tab w:val="decimal" w:pos="593"/>
              </w:tabs>
              <w:jc w:val="left"/>
              <w:rPr>
                <w:szCs w:val="24"/>
                <w:lang w:val="fr-FR"/>
              </w:rPr>
            </w:pPr>
            <w:r w:rsidRPr="00B357D7">
              <w:rPr>
                <w:szCs w:val="24"/>
                <w:lang w:val="fr-FR"/>
              </w:rPr>
              <w:t>4,1</w:t>
            </w:r>
          </w:p>
        </w:tc>
      </w:tr>
      <w:tr w:rsidR="00FC6427" w:rsidRPr="00B357D7" w:rsidTr="00F56A94">
        <w:trPr>
          <w:cantSplit/>
        </w:trPr>
        <w:tc>
          <w:tcPr>
            <w:tcW w:w="3465" w:type="dxa"/>
            <w:tcBorders>
              <w:top w:val="nil"/>
            </w:tcBorders>
          </w:tcPr>
          <w:p w:rsidR="00680EB7" w:rsidRPr="00B357D7" w:rsidRDefault="00805FDD" w:rsidP="00F56A94">
            <w:pPr>
              <w:rPr>
                <w:lang w:val="fr-FR"/>
              </w:rPr>
            </w:pPr>
            <w:r w:rsidRPr="00B357D7">
              <w:rPr>
                <w:lang w:val="fr-FR"/>
              </w:rPr>
              <w:t>(21)* Stipule</w:t>
            </w:r>
            <w:r w:rsidR="003608E2" w:rsidRPr="00B357D7">
              <w:rPr>
                <w:lang w:val="fr-FR"/>
              </w:rPr>
              <w:t> </w:t>
            </w:r>
            <w:r w:rsidRPr="00B357D7">
              <w:rPr>
                <w:lang w:val="fr-FR"/>
              </w:rPr>
              <w:t>: densité des macules (1</w:t>
            </w:r>
            <w:r w:rsidR="00F56A94">
              <w:rPr>
                <w:lang w:val="fr-FR"/>
              </w:rPr>
              <w:noBreakHyphen/>
            </w:r>
            <w:r w:rsidRPr="00B357D7">
              <w:rPr>
                <w:lang w:val="fr-FR"/>
              </w:rPr>
              <w:t>9)</w:t>
            </w:r>
          </w:p>
        </w:tc>
        <w:tc>
          <w:tcPr>
            <w:tcW w:w="1061" w:type="dxa"/>
            <w:tcBorders>
              <w:top w:val="nil"/>
            </w:tcBorders>
          </w:tcPr>
          <w:p w:rsidR="00680EB7" w:rsidRPr="00B357D7" w:rsidRDefault="00805FDD" w:rsidP="00F56A94">
            <w:pPr>
              <w:tabs>
                <w:tab w:val="decimal" w:pos="423"/>
              </w:tabs>
              <w:jc w:val="left"/>
              <w:rPr>
                <w:lang w:val="fr-FR"/>
              </w:rPr>
            </w:pPr>
            <w:r w:rsidRPr="00B357D7">
              <w:rPr>
                <w:lang w:val="fr-FR"/>
              </w:rPr>
              <w:t>5,3</w:t>
            </w:r>
          </w:p>
        </w:tc>
        <w:tc>
          <w:tcPr>
            <w:tcW w:w="1115" w:type="dxa"/>
            <w:tcBorders>
              <w:top w:val="nil"/>
            </w:tcBorders>
          </w:tcPr>
          <w:p w:rsidR="00680EB7" w:rsidRPr="00B357D7" w:rsidRDefault="00805FDD" w:rsidP="00F56A94">
            <w:pPr>
              <w:tabs>
                <w:tab w:val="decimal" w:pos="423"/>
              </w:tabs>
              <w:jc w:val="left"/>
              <w:rPr>
                <w:lang w:val="fr-FR"/>
              </w:rPr>
            </w:pPr>
            <w:r w:rsidRPr="00B357D7">
              <w:rPr>
                <w:lang w:val="fr-FR"/>
              </w:rPr>
              <w:t>0,90</w:t>
            </w:r>
          </w:p>
        </w:tc>
        <w:tc>
          <w:tcPr>
            <w:tcW w:w="1228" w:type="dxa"/>
            <w:tcBorders>
              <w:top w:val="nil"/>
            </w:tcBorders>
          </w:tcPr>
          <w:p w:rsidR="00680EB7" w:rsidRPr="00B357D7" w:rsidRDefault="00805FDD" w:rsidP="00F56A94">
            <w:pPr>
              <w:tabs>
                <w:tab w:val="decimal" w:pos="423"/>
              </w:tabs>
              <w:jc w:val="left"/>
              <w:rPr>
                <w:lang w:val="fr-FR"/>
              </w:rPr>
            </w:pPr>
            <w:r w:rsidRPr="00B357D7">
              <w:rPr>
                <w:lang w:val="fr-FR"/>
              </w:rPr>
              <w:t>2,5</w:t>
            </w:r>
          </w:p>
        </w:tc>
        <w:tc>
          <w:tcPr>
            <w:tcW w:w="1357" w:type="dxa"/>
            <w:tcBorders>
              <w:top w:val="nil"/>
            </w:tcBorders>
          </w:tcPr>
          <w:p w:rsidR="00680EB7" w:rsidRPr="00B357D7" w:rsidRDefault="00805FDD" w:rsidP="00F56A94">
            <w:pPr>
              <w:tabs>
                <w:tab w:val="decimal" w:pos="593"/>
              </w:tabs>
              <w:jc w:val="left"/>
              <w:rPr>
                <w:lang w:val="fr-FR"/>
              </w:rPr>
            </w:pPr>
            <w:r w:rsidRPr="00B357D7">
              <w:rPr>
                <w:lang w:val="fr-FR"/>
              </w:rPr>
              <w:t>8,0</w:t>
            </w:r>
          </w:p>
        </w:tc>
        <w:tc>
          <w:tcPr>
            <w:tcW w:w="1629" w:type="dxa"/>
            <w:tcBorders>
              <w:top w:val="nil"/>
            </w:tcBorders>
          </w:tcPr>
          <w:p w:rsidR="00680EB7" w:rsidRPr="00B357D7" w:rsidRDefault="00805FDD" w:rsidP="00F56A94">
            <w:pPr>
              <w:tabs>
                <w:tab w:val="decimal" w:pos="593"/>
              </w:tabs>
              <w:jc w:val="left"/>
              <w:rPr>
                <w:b/>
                <w:caps/>
                <w:kern w:val="28"/>
                <w:sz w:val="30"/>
                <w:szCs w:val="24"/>
                <w:lang w:val="fr-FR"/>
              </w:rPr>
            </w:pPr>
            <w:r w:rsidRPr="00B357D7">
              <w:rPr>
                <w:lang w:val="fr-FR"/>
              </w:rPr>
              <w:t>4,3</w:t>
            </w:r>
          </w:p>
        </w:tc>
      </w:tr>
      <w:tr w:rsidR="00FC6427" w:rsidRPr="00B357D7" w:rsidTr="00F56A94">
        <w:trPr>
          <w:cantSplit/>
        </w:trPr>
        <w:tc>
          <w:tcPr>
            <w:tcW w:w="3465" w:type="dxa"/>
            <w:tcBorders>
              <w:top w:val="nil"/>
            </w:tcBorders>
          </w:tcPr>
          <w:p w:rsidR="00680EB7" w:rsidRPr="00B357D7" w:rsidRDefault="00B64742" w:rsidP="00F56A94">
            <w:pPr>
              <w:rPr>
                <w:lang w:val="fr-FR"/>
              </w:rPr>
            </w:pPr>
            <w:r w:rsidRPr="00B357D7">
              <w:rPr>
                <w:lang w:val="fr-FR"/>
              </w:rPr>
              <w:t>(22) Pétiole</w:t>
            </w:r>
            <w:r w:rsidR="009143C1" w:rsidRPr="00B357D7">
              <w:rPr>
                <w:lang w:val="fr-FR"/>
              </w:rPr>
              <w:t> :</w:t>
            </w:r>
            <w:r w:rsidRPr="00B357D7">
              <w:rPr>
                <w:lang w:val="fr-FR"/>
              </w:rPr>
              <w:t xml:space="preserve"> longueur de l</w:t>
            </w:r>
            <w:r w:rsidR="009143C1" w:rsidRPr="00B357D7">
              <w:rPr>
                <w:lang w:val="fr-FR"/>
              </w:rPr>
              <w:t>’</w:t>
            </w:r>
            <w:r w:rsidRPr="00B357D7">
              <w:rPr>
                <w:lang w:val="fr-FR"/>
              </w:rPr>
              <w:t>aisselle à la première foliole ou vrille (mm)</w:t>
            </w:r>
          </w:p>
        </w:tc>
        <w:tc>
          <w:tcPr>
            <w:tcW w:w="1061" w:type="dxa"/>
            <w:tcBorders>
              <w:top w:val="nil"/>
            </w:tcBorders>
          </w:tcPr>
          <w:p w:rsidR="00680EB7" w:rsidRPr="00B357D7" w:rsidRDefault="00B64742" w:rsidP="00F56A94">
            <w:pPr>
              <w:tabs>
                <w:tab w:val="decimal" w:pos="423"/>
              </w:tabs>
              <w:jc w:val="left"/>
              <w:rPr>
                <w:lang w:val="fr-FR"/>
              </w:rPr>
            </w:pPr>
            <w:r w:rsidRPr="00B357D7">
              <w:rPr>
                <w:lang w:val="fr-FR"/>
              </w:rPr>
              <w:t>83,2</w:t>
            </w:r>
          </w:p>
        </w:tc>
        <w:tc>
          <w:tcPr>
            <w:tcW w:w="1115" w:type="dxa"/>
            <w:tcBorders>
              <w:top w:val="nil"/>
            </w:tcBorders>
          </w:tcPr>
          <w:p w:rsidR="00680EB7" w:rsidRPr="00B357D7" w:rsidRDefault="00B64742" w:rsidP="00F56A94">
            <w:pPr>
              <w:tabs>
                <w:tab w:val="decimal" w:pos="423"/>
              </w:tabs>
              <w:jc w:val="left"/>
              <w:rPr>
                <w:lang w:val="fr-FR"/>
              </w:rPr>
            </w:pPr>
            <w:r w:rsidRPr="00B357D7">
              <w:rPr>
                <w:lang w:val="fr-FR"/>
              </w:rPr>
              <w:t>13,34</w:t>
            </w:r>
          </w:p>
        </w:tc>
        <w:tc>
          <w:tcPr>
            <w:tcW w:w="1228" w:type="dxa"/>
            <w:tcBorders>
              <w:top w:val="nil"/>
            </w:tcBorders>
          </w:tcPr>
          <w:p w:rsidR="00680EB7" w:rsidRPr="00B357D7" w:rsidRDefault="00B64742" w:rsidP="00F56A94">
            <w:pPr>
              <w:tabs>
                <w:tab w:val="decimal" w:pos="423"/>
              </w:tabs>
              <w:jc w:val="left"/>
              <w:rPr>
                <w:lang w:val="fr-FR"/>
              </w:rPr>
            </w:pPr>
            <w:r w:rsidRPr="00B357D7">
              <w:rPr>
                <w:lang w:val="fr-FR"/>
              </w:rPr>
              <w:t>34,8</w:t>
            </w:r>
          </w:p>
        </w:tc>
        <w:tc>
          <w:tcPr>
            <w:tcW w:w="1357" w:type="dxa"/>
            <w:tcBorders>
              <w:top w:val="nil"/>
            </w:tcBorders>
          </w:tcPr>
          <w:p w:rsidR="00680EB7" w:rsidRPr="00B357D7" w:rsidRDefault="00B64742" w:rsidP="00F56A94">
            <w:pPr>
              <w:tabs>
                <w:tab w:val="decimal" w:pos="593"/>
              </w:tabs>
              <w:jc w:val="left"/>
              <w:rPr>
                <w:lang w:val="fr-FR"/>
              </w:rPr>
            </w:pPr>
            <w:r w:rsidRPr="00B357D7">
              <w:rPr>
                <w:lang w:val="fr-FR"/>
              </w:rPr>
              <w:t>128,6</w:t>
            </w:r>
          </w:p>
        </w:tc>
        <w:tc>
          <w:tcPr>
            <w:tcW w:w="1629" w:type="dxa"/>
            <w:tcBorders>
              <w:top w:val="nil"/>
            </w:tcBorders>
          </w:tcPr>
          <w:p w:rsidR="00680EB7" w:rsidRPr="00B357D7" w:rsidRDefault="00B64742" w:rsidP="00F56A94">
            <w:pPr>
              <w:widowControl w:val="0"/>
              <w:tabs>
                <w:tab w:val="decimal" w:pos="593"/>
              </w:tabs>
              <w:jc w:val="left"/>
              <w:rPr>
                <w:lang w:val="fr-FR"/>
              </w:rPr>
            </w:pPr>
            <w:r w:rsidRPr="00B357D7">
              <w:rPr>
                <w:lang w:val="fr-FR"/>
              </w:rPr>
              <w:t>5,8</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(28) Fleur</w:t>
            </w:r>
            <w:r w:rsidR="009143C1" w:rsidRPr="00B357D7">
              <w:rPr>
                <w:lang w:val="fr-FR"/>
              </w:rPr>
              <w:t> :</w:t>
            </w:r>
            <w:r w:rsidRPr="00B357D7">
              <w:rPr>
                <w:lang w:val="fr-FR"/>
              </w:rPr>
              <w:t xml:space="preserve"> largeur de l</w:t>
            </w:r>
            <w:r w:rsidR="009143C1" w:rsidRPr="00B357D7">
              <w:rPr>
                <w:lang w:val="fr-FR"/>
              </w:rPr>
              <w:t>’</w:t>
            </w:r>
            <w:r w:rsidRPr="00B357D7">
              <w:rPr>
                <w:lang w:val="fr-FR"/>
              </w:rPr>
              <w:t>étendard (mm)</w:t>
            </w:r>
          </w:p>
        </w:tc>
        <w:tc>
          <w:tcPr>
            <w:tcW w:w="1061" w:type="dxa"/>
          </w:tcPr>
          <w:p w:rsidR="00680EB7" w:rsidRPr="00B357D7" w:rsidRDefault="00B64742" w:rsidP="00F56A94">
            <w:pPr>
              <w:tabs>
                <w:tab w:val="decimal" w:pos="423"/>
              </w:tabs>
              <w:jc w:val="left"/>
              <w:rPr>
                <w:lang w:val="fr-FR"/>
              </w:rPr>
            </w:pPr>
            <w:r w:rsidRPr="00B357D7">
              <w:rPr>
                <w:lang w:val="fr-FR"/>
              </w:rPr>
              <w:t>31,8</w:t>
            </w:r>
          </w:p>
        </w:tc>
        <w:tc>
          <w:tcPr>
            <w:tcW w:w="1115" w:type="dxa"/>
          </w:tcPr>
          <w:p w:rsidR="00680EB7" w:rsidRPr="00B357D7" w:rsidRDefault="00B64742" w:rsidP="00F56A94">
            <w:pPr>
              <w:tabs>
                <w:tab w:val="decimal" w:pos="423"/>
              </w:tabs>
              <w:jc w:val="left"/>
              <w:rPr>
                <w:lang w:val="fr-FR"/>
              </w:rPr>
            </w:pPr>
            <w:r w:rsidRPr="00B357D7">
              <w:rPr>
                <w:lang w:val="fr-FR"/>
              </w:rPr>
              <w:t>2,64</w:t>
            </w:r>
          </w:p>
        </w:tc>
        <w:tc>
          <w:tcPr>
            <w:tcW w:w="1228" w:type="dxa"/>
          </w:tcPr>
          <w:p w:rsidR="00680EB7" w:rsidRPr="00B357D7" w:rsidRDefault="00B64742" w:rsidP="00F56A94">
            <w:pPr>
              <w:tabs>
                <w:tab w:val="decimal" w:pos="423"/>
              </w:tabs>
              <w:jc w:val="left"/>
              <w:rPr>
                <w:lang w:val="fr-FR"/>
              </w:rPr>
            </w:pPr>
            <w:r w:rsidRPr="00B357D7">
              <w:rPr>
                <w:lang w:val="fr-FR"/>
              </w:rPr>
              <w:t>23,3</w:t>
            </w:r>
          </w:p>
        </w:tc>
        <w:tc>
          <w:tcPr>
            <w:tcW w:w="1357" w:type="dxa"/>
          </w:tcPr>
          <w:p w:rsidR="00680EB7" w:rsidRPr="00B357D7" w:rsidRDefault="00B64742" w:rsidP="00F56A94">
            <w:pPr>
              <w:tabs>
                <w:tab w:val="decimal" w:pos="593"/>
              </w:tabs>
              <w:jc w:val="left"/>
              <w:rPr>
                <w:lang w:val="fr-FR"/>
              </w:rPr>
            </w:pPr>
            <w:r w:rsidRPr="00B357D7">
              <w:rPr>
                <w:lang w:val="fr-FR"/>
              </w:rPr>
              <w:t>41,1</w:t>
            </w:r>
          </w:p>
        </w:tc>
        <w:tc>
          <w:tcPr>
            <w:tcW w:w="1629" w:type="dxa"/>
          </w:tcPr>
          <w:p w:rsidR="00680EB7" w:rsidRPr="00B357D7" w:rsidRDefault="00B64742" w:rsidP="00F56A94">
            <w:pPr>
              <w:widowControl w:val="0"/>
              <w:tabs>
                <w:tab w:val="decimal" w:pos="593"/>
              </w:tabs>
              <w:jc w:val="left"/>
              <w:rPr>
                <w:lang w:val="fr-FR"/>
              </w:rPr>
            </w:pPr>
            <w:r w:rsidRPr="00B357D7">
              <w:rPr>
                <w:lang w:val="fr-FR"/>
              </w:rPr>
              <w:t>9,1</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(29)* Fleur</w:t>
            </w:r>
            <w:r w:rsidR="009143C1" w:rsidRPr="00B357D7">
              <w:rPr>
                <w:lang w:val="fr-FR"/>
              </w:rPr>
              <w:t> :</w:t>
            </w:r>
            <w:r w:rsidRPr="00B357D7">
              <w:rPr>
                <w:lang w:val="fr-FR"/>
              </w:rPr>
              <w:t xml:space="preserve"> forme de la base de l</w:t>
            </w:r>
            <w:r w:rsidR="009143C1" w:rsidRPr="00B357D7">
              <w:rPr>
                <w:lang w:val="fr-FR"/>
              </w:rPr>
              <w:t>’</w:t>
            </w:r>
            <w:r w:rsidRPr="00B357D7">
              <w:rPr>
                <w:lang w:val="fr-FR"/>
              </w:rPr>
              <w:t>étendard (1</w:t>
            </w:r>
            <w:r w:rsidR="00F56A94">
              <w:rPr>
                <w:lang w:val="fr-FR"/>
              </w:rPr>
              <w:noBreakHyphen/>
            </w:r>
            <w:r w:rsidRPr="00B357D7">
              <w:rPr>
                <w:lang w:val="fr-FR"/>
              </w:rPr>
              <w:t>9)</w:t>
            </w:r>
          </w:p>
        </w:tc>
        <w:tc>
          <w:tcPr>
            <w:tcW w:w="1061" w:type="dxa"/>
          </w:tcPr>
          <w:p w:rsidR="00680EB7" w:rsidRPr="00B357D7" w:rsidRDefault="00B64742" w:rsidP="00F56A94">
            <w:pPr>
              <w:tabs>
                <w:tab w:val="decimal" w:pos="423"/>
              </w:tabs>
              <w:jc w:val="left"/>
              <w:rPr>
                <w:lang w:val="fr-FR"/>
              </w:rPr>
            </w:pPr>
            <w:r w:rsidRPr="00B357D7">
              <w:rPr>
                <w:lang w:val="fr-FR"/>
              </w:rPr>
              <w:t>6,8</w:t>
            </w:r>
          </w:p>
        </w:tc>
        <w:tc>
          <w:tcPr>
            <w:tcW w:w="1115" w:type="dxa"/>
          </w:tcPr>
          <w:p w:rsidR="00680EB7" w:rsidRPr="00B357D7" w:rsidRDefault="00B64742" w:rsidP="00F56A94">
            <w:pPr>
              <w:tabs>
                <w:tab w:val="decimal" w:pos="423"/>
              </w:tabs>
              <w:jc w:val="left"/>
              <w:rPr>
                <w:lang w:val="fr-FR"/>
              </w:rPr>
            </w:pPr>
            <w:r w:rsidRPr="00B357D7">
              <w:rPr>
                <w:lang w:val="fr-FR"/>
              </w:rPr>
              <w:t>1,02</w:t>
            </w:r>
          </w:p>
        </w:tc>
        <w:tc>
          <w:tcPr>
            <w:tcW w:w="1228" w:type="dxa"/>
          </w:tcPr>
          <w:p w:rsidR="00680EB7" w:rsidRPr="00B357D7" w:rsidRDefault="00B64742" w:rsidP="00F56A94">
            <w:pPr>
              <w:tabs>
                <w:tab w:val="decimal" w:pos="423"/>
              </w:tabs>
              <w:jc w:val="left"/>
              <w:rPr>
                <w:lang w:val="fr-FR"/>
              </w:rPr>
            </w:pPr>
            <w:r w:rsidRPr="00B357D7">
              <w:rPr>
                <w:lang w:val="fr-FR"/>
              </w:rPr>
              <w:t>4,0</w:t>
            </w:r>
          </w:p>
        </w:tc>
        <w:tc>
          <w:tcPr>
            <w:tcW w:w="1357" w:type="dxa"/>
          </w:tcPr>
          <w:p w:rsidR="00680EB7" w:rsidRPr="00B357D7" w:rsidRDefault="00B64742" w:rsidP="00F56A94">
            <w:pPr>
              <w:tabs>
                <w:tab w:val="decimal" w:pos="593"/>
              </w:tabs>
              <w:jc w:val="left"/>
              <w:rPr>
                <w:lang w:val="fr-FR"/>
              </w:rPr>
            </w:pPr>
            <w:r w:rsidRPr="00B357D7">
              <w:rPr>
                <w:lang w:val="fr-FR"/>
              </w:rPr>
              <w:t>9,0</w:t>
            </w:r>
          </w:p>
        </w:tc>
        <w:tc>
          <w:tcPr>
            <w:tcW w:w="1629" w:type="dxa"/>
          </w:tcPr>
          <w:p w:rsidR="00680EB7" w:rsidRPr="00B357D7" w:rsidRDefault="00B64742" w:rsidP="00F56A94">
            <w:pPr>
              <w:widowControl w:val="0"/>
              <w:tabs>
                <w:tab w:val="decimal" w:pos="593"/>
              </w:tabs>
              <w:jc w:val="left"/>
              <w:rPr>
                <w:lang w:val="fr-FR"/>
              </w:rPr>
            </w:pPr>
            <w:r w:rsidRPr="00B357D7">
              <w:rPr>
                <w:lang w:val="fr-FR"/>
              </w:rPr>
              <w:t>3,8</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(34) Pédoncule</w:t>
            </w:r>
            <w:r w:rsidR="009143C1" w:rsidRPr="00B357D7">
              <w:rPr>
                <w:lang w:val="fr-FR"/>
              </w:rPr>
              <w:t> :</w:t>
            </w:r>
            <w:r w:rsidRPr="00B357D7">
              <w:rPr>
                <w:lang w:val="fr-FR"/>
              </w:rPr>
              <w:t xml:space="preserve"> longueur de la tige à la première gousse (mm)</w:t>
            </w:r>
          </w:p>
        </w:tc>
        <w:tc>
          <w:tcPr>
            <w:tcW w:w="1061" w:type="dxa"/>
          </w:tcPr>
          <w:p w:rsidR="00680EB7" w:rsidRPr="00B357D7" w:rsidRDefault="00B64742" w:rsidP="00F56A94">
            <w:pPr>
              <w:tabs>
                <w:tab w:val="decimal" w:pos="423"/>
              </w:tabs>
              <w:jc w:val="left"/>
              <w:rPr>
                <w:lang w:val="fr-FR"/>
              </w:rPr>
            </w:pPr>
            <w:r w:rsidRPr="00B357D7">
              <w:rPr>
                <w:lang w:val="fr-FR"/>
              </w:rPr>
              <w:t>72,9</w:t>
            </w:r>
          </w:p>
        </w:tc>
        <w:tc>
          <w:tcPr>
            <w:tcW w:w="1115" w:type="dxa"/>
          </w:tcPr>
          <w:p w:rsidR="00680EB7" w:rsidRPr="00B357D7" w:rsidRDefault="00B64742" w:rsidP="00F56A94">
            <w:pPr>
              <w:tabs>
                <w:tab w:val="decimal" w:pos="423"/>
              </w:tabs>
              <w:jc w:val="left"/>
              <w:rPr>
                <w:lang w:val="fr-FR"/>
              </w:rPr>
            </w:pPr>
            <w:r w:rsidRPr="00B357D7">
              <w:rPr>
                <w:lang w:val="fr-FR"/>
              </w:rPr>
              <w:t>24,41</w:t>
            </w:r>
          </w:p>
        </w:tc>
        <w:tc>
          <w:tcPr>
            <w:tcW w:w="1228" w:type="dxa"/>
          </w:tcPr>
          <w:p w:rsidR="00680EB7" w:rsidRPr="00B357D7" w:rsidRDefault="00B64742" w:rsidP="00F56A94">
            <w:pPr>
              <w:tabs>
                <w:tab w:val="decimal" w:pos="423"/>
              </w:tabs>
              <w:jc w:val="left"/>
              <w:rPr>
                <w:lang w:val="fr-FR"/>
              </w:rPr>
            </w:pPr>
            <w:r w:rsidRPr="00B357D7">
              <w:rPr>
                <w:lang w:val="fr-FR"/>
              </w:rPr>
              <w:t>12,0</w:t>
            </w:r>
          </w:p>
        </w:tc>
        <w:tc>
          <w:tcPr>
            <w:tcW w:w="1357" w:type="dxa"/>
          </w:tcPr>
          <w:p w:rsidR="00680EB7" w:rsidRPr="00B357D7" w:rsidRDefault="00B64742" w:rsidP="00F56A94">
            <w:pPr>
              <w:tabs>
                <w:tab w:val="decimal" w:pos="593"/>
              </w:tabs>
              <w:jc w:val="left"/>
              <w:rPr>
                <w:lang w:val="fr-FR"/>
              </w:rPr>
            </w:pPr>
            <w:r w:rsidRPr="00B357D7">
              <w:rPr>
                <w:lang w:val="fr-FR"/>
              </w:rPr>
              <w:t>145,7</w:t>
            </w:r>
          </w:p>
        </w:tc>
        <w:tc>
          <w:tcPr>
            <w:tcW w:w="1629" w:type="dxa"/>
          </w:tcPr>
          <w:p w:rsidR="00680EB7" w:rsidRPr="00B357D7" w:rsidRDefault="00B64742" w:rsidP="00F56A94">
            <w:pPr>
              <w:widowControl w:val="0"/>
              <w:tabs>
                <w:tab w:val="decimal" w:pos="593"/>
              </w:tabs>
              <w:jc w:val="left"/>
              <w:rPr>
                <w:lang w:val="fr-FR"/>
              </w:rPr>
            </w:pPr>
            <w:r w:rsidRPr="00B357D7">
              <w:rPr>
                <w:lang w:val="fr-FR"/>
              </w:rPr>
              <w:t>4,6</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(37) Gousse</w:t>
            </w:r>
            <w:r w:rsidR="003608E2" w:rsidRPr="00B357D7">
              <w:rPr>
                <w:lang w:val="fr-FR"/>
              </w:rPr>
              <w:t> </w:t>
            </w:r>
            <w:r w:rsidRPr="00B357D7">
              <w:rPr>
                <w:lang w:val="fr-FR"/>
              </w:rPr>
              <w:t>: longueur (mm)</w:t>
            </w:r>
          </w:p>
        </w:tc>
        <w:tc>
          <w:tcPr>
            <w:tcW w:w="1061" w:type="dxa"/>
          </w:tcPr>
          <w:p w:rsidR="00680EB7" w:rsidRPr="00B357D7" w:rsidRDefault="00B64742" w:rsidP="00F56A94">
            <w:pPr>
              <w:tabs>
                <w:tab w:val="decimal" w:pos="423"/>
              </w:tabs>
              <w:jc w:val="left"/>
              <w:rPr>
                <w:lang w:val="fr-FR"/>
              </w:rPr>
            </w:pPr>
            <w:r w:rsidRPr="00B357D7">
              <w:rPr>
                <w:lang w:val="fr-FR"/>
              </w:rPr>
              <w:t>79,1</w:t>
            </w:r>
          </w:p>
        </w:tc>
        <w:tc>
          <w:tcPr>
            <w:tcW w:w="1115" w:type="dxa"/>
          </w:tcPr>
          <w:p w:rsidR="00680EB7" w:rsidRPr="00B357D7" w:rsidRDefault="00B64742" w:rsidP="00F56A94">
            <w:pPr>
              <w:tabs>
                <w:tab w:val="decimal" w:pos="423"/>
              </w:tabs>
              <w:jc w:val="left"/>
              <w:rPr>
                <w:lang w:val="fr-FR"/>
              </w:rPr>
            </w:pPr>
            <w:r w:rsidRPr="00B357D7">
              <w:rPr>
                <w:lang w:val="fr-FR"/>
              </w:rPr>
              <w:t>6,24</w:t>
            </w:r>
          </w:p>
        </w:tc>
        <w:tc>
          <w:tcPr>
            <w:tcW w:w="1228" w:type="dxa"/>
          </w:tcPr>
          <w:p w:rsidR="00680EB7" w:rsidRPr="00B357D7" w:rsidRDefault="00B64742" w:rsidP="00F56A94">
            <w:pPr>
              <w:tabs>
                <w:tab w:val="decimal" w:pos="423"/>
              </w:tabs>
              <w:jc w:val="left"/>
              <w:rPr>
                <w:lang w:val="fr-FR"/>
              </w:rPr>
            </w:pPr>
            <w:r w:rsidRPr="00B357D7">
              <w:rPr>
                <w:lang w:val="fr-FR"/>
              </w:rPr>
              <w:t>63,3</w:t>
            </w:r>
          </w:p>
        </w:tc>
        <w:tc>
          <w:tcPr>
            <w:tcW w:w="1357" w:type="dxa"/>
          </w:tcPr>
          <w:p w:rsidR="00680EB7" w:rsidRPr="00B357D7" w:rsidRDefault="00B64742" w:rsidP="00F56A94">
            <w:pPr>
              <w:tabs>
                <w:tab w:val="decimal" w:pos="593"/>
              </w:tabs>
              <w:jc w:val="left"/>
              <w:rPr>
                <w:lang w:val="fr-FR"/>
              </w:rPr>
            </w:pPr>
            <w:r w:rsidRPr="00B357D7">
              <w:rPr>
                <w:lang w:val="fr-FR"/>
              </w:rPr>
              <w:t>105,6</w:t>
            </w:r>
          </w:p>
        </w:tc>
        <w:tc>
          <w:tcPr>
            <w:tcW w:w="1629" w:type="dxa"/>
          </w:tcPr>
          <w:p w:rsidR="00680EB7" w:rsidRPr="00B357D7" w:rsidRDefault="00B64742" w:rsidP="00F56A94">
            <w:pPr>
              <w:widowControl w:val="0"/>
              <w:tabs>
                <w:tab w:val="decimal" w:pos="593"/>
              </w:tabs>
              <w:jc w:val="left"/>
              <w:rPr>
                <w:lang w:val="fr-FR"/>
              </w:rPr>
            </w:pPr>
            <w:r w:rsidRPr="00B357D7">
              <w:rPr>
                <w:lang w:val="fr-FR"/>
              </w:rPr>
              <w:t>4,3</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(38) Gousse</w:t>
            </w:r>
            <w:r w:rsidR="003608E2" w:rsidRPr="00B357D7">
              <w:rPr>
                <w:lang w:val="fr-FR"/>
              </w:rPr>
              <w:t> </w:t>
            </w:r>
            <w:r w:rsidRPr="00B357D7">
              <w:rPr>
                <w:lang w:val="fr-FR"/>
              </w:rPr>
              <w:t>: largeur (mm)</w:t>
            </w:r>
          </w:p>
        </w:tc>
        <w:tc>
          <w:tcPr>
            <w:tcW w:w="1061" w:type="dxa"/>
          </w:tcPr>
          <w:p w:rsidR="00680EB7" w:rsidRPr="00B357D7" w:rsidRDefault="00B64742" w:rsidP="00F56A94">
            <w:pPr>
              <w:tabs>
                <w:tab w:val="decimal" w:pos="423"/>
              </w:tabs>
              <w:jc w:val="left"/>
              <w:rPr>
                <w:lang w:val="fr-FR"/>
              </w:rPr>
            </w:pPr>
            <w:r w:rsidRPr="00B357D7">
              <w:rPr>
                <w:lang w:val="fr-FR"/>
              </w:rPr>
              <w:t>13,9</w:t>
            </w:r>
          </w:p>
        </w:tc>
        <w:tc>
          <w:tcPr>
            <w:tcW w:w="1115" w:type="dxa"/>
          </w:tcPr>
          <w:p w:rsidR="00680EB7" w:rsidRPr="00B357D7" w:rsidRDefault="00B64742" w:rsidP="00F56A94">
            <w:pPr>
              <w:tabs>
                <w:tab w:val="decimal" w:pos="423"/>
              </w:tabs>
              <w:jc w:val="left"/>
              <w:rPr>
                <w:lang w:val="fr-FR"/>
              </w:rPr>
            </w:pPr>
            <w:r w:rsidRPr="00B357D7">
              <w:rPr>
                <w:lang w:val="fr-FR"/>
              </w:rPr>
              <w:t>1,22</w:t>
            </w:r>
          </w:p>
        </w:tc>
        <w:tc>
          <w:tcPr>
            <w:tcW w:w="1228" w:type="dxa"/>
          </w:tcPr>
          <w:p w:rsidR="00680EB7" w:rsidRPr="00B357D7" w:rsidRDefault="00B64742" w:rsidP="00F56A94">
            <w:pPr>
              <w:tabs>
                <w:tab w:val="decimal" w:pos="423"/>
              </w:tabs>
              <w:jc w:val="left"/>
              <w:rPr>
                <w:lang w:val="fr-FR"/>
              </w:rPr>
            </w:pPr>
            <w:r w:rsidRPr="00B357D7">
              <w:rPr>
                <w:lang w:val="fr-FR"/>
              </w:rPr>
              <w:t>10,5</w:t>
            </w:r>
          </w:p>
        </w:tc>
        <w:tc>
          <w:tcPr>
            <w:tcW w:w="1357" w:type="dxa"/>
          </w:tcPr>
          <w:p w:rsidR="00680EB7" w:rsidRPr="00B357D7" w:rsidRDefault="00B64742" w:rsidP="00F56A94">
            <w:pPr>
              <w:tabs>
                <w:tab w:val="decimal" w:pos="593"/>
              </w:tabs>
              <w:jc w:val="left"/>
              <w:rPr>
                <w:lang w:val="fr-FR"/>
              </w:rPr>
            </w:pPr>
            <w:r w:rsidRPr="00B357D7">
              <w:rPr>
                <w:lang w:val="fr-FR"/>
              </w:rPr>
              <w:t>18,6</w:t>
            </w:r>
          </w:p>
        </w:tc>
        <w:tc>
          <w:tcPr>
            <w:tcW w:w="1629" w:type="dxa"/>
          </w:tcPr>
          <w:p w:rsidR="00680EB7" w:rsidRPr="00B357D7" w:rsidRDefault="00B64742" w:rsidP="00F56A94">
            <w:pPr>
              <w:widowControl w:val="0"/>
              <w:tabs>
                <w:tab w:val="decimal" w:pos="593"/>
              </w:tabs>
              <w:jc w:val="left"/>
              <w:rPr>
                <w:lang w:val="fr-FR"/>
              </w:rPr>
            </w:pPr>
            <w:r w:rsidRPr="00B357D7">
              <w:rPr>
                <w:lang w:val="fr-FR"/>
              </w:rPr>
              <w:t>3,4</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(42)* Gousse</w:t>
            </w:r>
            <w:r w:rsidR="003608E2" w:rsidRPr="00B357D7">
              <w:rPr>
                <w:lang w:val="fr-FR"/>
              </w:rPr>
              <w:t> </w:t>
            </w:r>
            <w:r w:rsidRPr="00B357D7">
              <w:rPr>
                <w:lang w:val="fr-FR"/>
              </w:rPr>
              <w:t>: courbure (1</w:t>
            </w:r>
            <w:r w:rsidR="00F56A94">
              <w:rPr>
                <w:lang w:val="fr-FR"/>
              </w:rPr>
              <w:noBreakHyphen/>
            </w:r>
            <w:r w:rsidRPr="00B357D7">
              <w:rPr>
                <w:lang w:val="fr-FR"/>
              </w:rPr>
              <w:t>9)</w:t>
            </w:r>
          </w:p>
        </w:tc>
        <w:tc>
          <w:tcPr>
            <w:tcW w:w="1061" w:type="dxa"/>
          </w:tcPr>
          <w:p w:rsidR="00680EB7" w:rsidRPr="00B357D7" w:rsidRDefault="00B64742" w:rsidP="00F56A94">
            <w:pPr>
              <w:tabs>
                <w:tab w:val="decimal" w:pos="423"/>
              </w:tabs>
              <w:jc w:val="left"/>
              <w:rPr>
                <w:lang w:val="fr-FR"/>
              </w:rPr>
            </w:pPr>
            <w:r w:rsidRPr="00B357D7">
              <w:rPr>
                <w:lang w:val="fr-FR"/>
              </w:rPr>
              <w:t>2,4</w:t>
            </w:r>
          </w:p>
        </w:tc>
        <w:tc>
          <w:tcPr>
            <w:tcW w:w="1115" w:type="dxa"/>
          </w:tcPr>
          <w:p w:rsidR="00680EB7" w:rsidRPr="00B357D7" w:rsidRDefault="00B64742" w:rsidP="00F56A94">
            <w:pPr>
              <w:tabs>
                <w:tab w:val="decimal" w:pos="423"/>
              </w:tabs>
              <w:jc w:val="left"/>
              <w:rPr>
                <w:lang w:val="fr-FR"/>
              </w:rPr>
            </w:pPr>
            <w:r w:rsidRPr="00B357D7">
              <w:rPr>
                <w:lang w:val="fr-FR"/>
              </w:rPr>
              <w:t>0,58</w:t>
            </w:r>
          </w:p>
        </w:tc>
        <w:tc>
          <w:tcPr>
            <w:tcW w:w="1228" w:type="dxa"/>
          </w:tcPr>
          <w:p w:rsidR="00680EB7" w:rsidRPr="00B357D7" w:rsidRDefault="00B64742" w:rsidP="00F56A94">
            <w:pPr>
              <w:tabs>
                <w:tab w:val="decimal" w:pos="423"/>
              </w:tabs>
              <w:jc w:val="left"/>
              <w:rPr>
                <w:lang w:val="fr-FR"/>
              </w:rPr>
            </w:pPr>
            <w:r w:rsidRPr="00B357D7">
              <w:rPr>
                <w:lang w:val="fr-FR"/>
              </w:rPr>
              <w:t>1,0</w:t>
            </w:r>
          </w:p>
        </w:tc>
        <w:tc>
          <w:tcPr>
            <w:tcW w:w="1357" w:type="dxa"/>
          </w:tcPr>
          <w:p w:rsidR="00680EB7" w:rsidRPr="00B357D7" w:rsidRDefault="00B64742" w:rsidP="00F56A94">
            <w:pPr>
              <w:tabs>
                <w:tab w:val="decimal" w:pos="593"/>
              </w:tabs>
              <w:jc w:val="left"/>
              <w:rPr>
                <w:lang w:val="fr-FR"/>
              </w:rPr>
            </w:pPr>
            <w:r w:rsidRPr="00B357D7">
              <w:rPr>
                <w:lang w:val="fr-FR"/>
              </w:rPr>
              <w:t>5,5</w:t>
            </w:r>
          </w:p>
        </w:tc>
        <w:tc>
          <w:tcPr>
            <w:tcW w:w="1629" w:type="dxa"/>
          </w:tcPr>
          <w:p w:rsidR="00680EB7" w:rsidRPr="00B357D7" w:rsidRDefault="00B64742" w:rsidP="00F56A94">
            <w:pPr>
              <w:widowControl w:val="0"/>
              <w:tabs>
                <w:tab w:val="decimal" w:pos="593"/>
              </w:tabs>
              <w:jc w:val="left"/>
              <w:rPr>
                <w:lang w:val="fr-FR"/>
              </w:rPr>
            </w:pPr>
            <w:r w:rsidRPr="00B357D7">
              <w:rPr>
                <w:lang w:val="fr-FR"/>
              </w:rPr>
              <w:t>2,5</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(46) Gousse</w:t>
            </w:r>
            <w:r w:rsidR="009143C1" w:rsidRPr="00B357D7">
              <w:rPr>
                <w:lang w:val="fr-FR"/>
              </w:rPr>
              <w:t> :</w:t>
            </w:r>
            <w:r w:rsidRPr="00B357D7">
              <w:rPr>
                <w:lang w:val="fr-FR"/>
              </w:rPr>
              <w:t xml:space="preserve"> nombre d</w:t>
            </w:r>
            <w:r w:rsidR="009143C1" w:rsidRPr="00B357D7">
              <w:rPr>
                <w:lang w:val="fr-FR"/>
              </w:rPr>
              <w:t>’</w:t>
            </w:r>
            <w:r w:rsidRPr="00B357D7">
              <w:rPr>
                <w:lang w:val="fr-FR"/>
              </w:rPr>
              <w:t>ovules</w:t>
            </w:r>
          </w:p>
        </w:tc>
        <w:tc>
          <w:tcPr>
            <w:tcW w:w="1061" w:type="dxa"/>
          </w:tcPr>
          <w:p w:rsidR="00680EB7" w:rsidRPr="00B357D7" w:rsidRDefault="00B64742" w:rsidP="00F56A94">
            <w:pPr>
              <w:tabs>
                <w:tab w:val="decimal" w:pos="423"/>
              </w:tabs>
              <w:jc w:val="left"/>
              <w:rPr>
                <w:lang w:val="fr-FR"/>
              </w:rPr>
            </w:pPr>
            <w:r w:rsidRPr="00B357D7">
              <w:rPr>
                <w:lang w:val="fr-FR"/>
              </w:rPr>
              <w:t>8,2</w:t>
            </w:r>
          </w:p>
        </w:tc>
        <w:tc>
          <w:tcPr>
            <w:tcW w:w="1115" w:type="dxa"/>
          </w:tcPr>
          <w:p w:rsidR="00680EB7" w:rsidRPr="00B357D7" w:rsidRDefault="00B64742" w:rsidP="00F56A94">
            <w:pPr>
              <w:tabs>
                <w:tab w:val="decimal" w:pos="423"/>
              </w:tabs>
              <w:jc w:val="left"/>
              <w:rPr>
                <w:lang w:val="fr-FR"/>
              </w:rPr>
            </w:pPr>
            <w:r w:rsidRPr="00B357D7">
              <w:rPr>
                <w:lang w:val="fr-FR"/>
              </w:rPr>
              <w:t>0,54</w:t>
            </w:r>
          </w:p>
        </w:tc>
        <w:tc>
          <w:tcPr>
            <w:tcW w:w="1228" w:type="dxa"/>
          </w:tcPr>
          <w:p w:rsidR="00680EB7" w:rsidRPr="00B357D7" w:rsidRDefault="00B64742" w:rsidP="00F56A94">
            <w:pPr>
              <w:tabs>
                <w:tab w:val="decimal" w:pos="423"/>
              </w:tabs>
              <w:jc w:val="left"/>
              <w:rPr>
                <w:lang w:val="fr-FR"/>
              </w:rPr>
            </w:pPr>
            <w:r w:rsidRPr="00B357D7">
              <w:rPr>
                <w:lang w:val="fr-FR"/>
              </w:rPr>
              <w:t>6,0</w:t>
            </w:r>
          </w:p>
        </w:tc>
        <w:tc>
          <w:tcPr>
            <w:tcW w:w="1357" w:type="dxa"/>
          </w:tcPr>
          <w:p w:rsidR="00680EB7" w:rsidRPr="00B357D7" w:rsidRDefault="00B64742" w:rsidP="00F56A94">
            <w:pPr>
              <w:tabs>
                <w:tab w:val="decimal" w:pos="593"/>
              </w:tabs>
              <w:jc w:val="left"/>
              <w:rPr>
                <w:lang w:val="fr-FR"/>
              </w:rPr>
            </w:pPr>
            <w:r w:rsidRPr="00B357D7">
              <w:rPr>
                <w:lang w:val="fr-FR"/>
              </w:rPr>
              <w:t>10,0</w:t>
            </w:r>
          </w:p>
        </w:tc>
        <w:tc>
          <w:tcPr>
            <w:tcW w:w="1629" w:type="dxa"/>
          </w:tcPr>
          <w:p w:rsidR="00680EB7" w:rsidRPr="00B357D7" w:rsidRDefault="00B64742" w:rsidP="00F56A94">
            <w:pPr>
              <w:widowControl w:val="0"/>
              <w:tabs>
                <w:tab w:val="decimal" w:pos="593"/>
              </w:tabs>
              <w:jc w:val="left"/>
              <w:rPr>
                <w:lang w:val="fr-FR"/>
              </w:rPr>
            </w:pPr>
            <w:r w:rsidRPr="00B357D7">
              <w:rPr>
                <w:lang w:val="fr-FR"/>
              </w:rPr>
              <w:t>7,5</w:t>
            </w:r>
          </w:p>
        </w:tc>
      </w:tr>
      <w:tr w:rsidR="00FC6427" w:rsidRPr="00B357D7" w:rsidTr="00F56A94">
        <w:trPr>
          <w:cantSplit/>
        </w:trPr>
        <w:tc>
          <w:tcPr>
            <w:tcW w:w="3465" w:type="dxa"/>
          </w:tcPr>
          <w:p w:rsidR="00680EB7" w:rsidRPr="00B357D7" w:rsidRDefault="00B64742" w:rsidP="00F56A94">
            <w:pPr>
              <w:rPr>
                <w:lang w:val="fr-FR"/>
              </w:rPr>
            </w:pPr>
            <w:r w:rsidRPr="00B357D7">
              <w:rPr>
                <w:lang w:val="fr-FR"/>
              </w:rPr>
              <w:t>(57)* Graine</w:t>
            </w:r>
            <w:r w:rsidR="003608E2" w:rsidRPr="00B357D7">
              <w:rPr>
                <w:lang w:val="fr-FR"/>
              </w:rPr>
              <w:t> </w:t>
            </w:r>
            <w:r w:rsidRPr="00B357D7">
              <w:rPr>
                <w:lang w:val="fr-FR"/>
              </w:rPr>
              <w:t>: poids</w:t>
            </w:r>
          </w:p>
        </w:tc>
        <w:tc>
          <w:tcPr>
            <w:tcW w:w="1061" w:type="dxa"/>
          </w:tcPr>
          <w:p w:rsidR="00680EB7" w:rsidRPr="00B357D7" w:rsidRDefault="00B64742" w:rsidP="00F56A94">
            <w:pPr>
              <w:tabs>
                <w:tab w:val="decimal" w:pos="423"/>
              </w:tabs>
              <w:jc w:val="left"/>
              <w:rPr>
                <w:lang w:val="fr-FR"/>
              </w:rPr>
            </w:pPr>
            <w:r w:rsidRPr="00B357D7">
              <w:rPr>
                <w:lang w:val="fr-FR"/>
              </w:rPr>
              <w:t>28,1</w:t>
            </w:r>
          </w:p>
        </w:tc>
        <w:tc>
          <w:tcPr>
            <w:tcW w:w="1115" w:type="dxa"/>
          </w:tcPr>
          <w:p w:rsidR="00680EB7" w:rsidRPr="00B357D7" w:rsidRDefault="00B64742" w:rsidP="00F56A94">
            <w:pPr>
              <w:tabs>
                <w:tab w:val="decimal" w:pos="423"/>
              </w:tabs>
              <w:jc w:val="left"/>
              <w:rPr>
                <w:lang w:val="fr-FR"/>
              </w:rPr>
            </w:pPr>
            <w:r w:rsidRPr="00B357D7">
              <w:rPr>
                <w:lang w:val="fr-FR"/>
              </w:rPr>
              <w:t>5,19</w:t>
            </w:r>
          </w:p>
        </w:tc>
        <w:tc>
          <w:tcPr>
            <w:tcW w:w="1228" w:type="dxa"/>
          </w:tcPr>
          <w:p w:rsidR="00680EB7" w:rsidRPr="00B357D7" w:rsidRDefault="00B64742" w:rsidP="00F56A94">
            <w:pPr>
              <w:tabs>
                <w:tab w:val="decimal" w:pos="423"/>
              </w:tabs>
              <w:jc w:val="left"/>
              <w:rPr>
                <w:lang w:val="fr-FR"/>
              </w:rPr>
            </w:pPr>
            <w:r w:rsidRPr="00B357D7">
              <w:rPr>
                <w:lang w:val="fr-FR"/>
              </w:rPr>
              <w:t>12,2</w:t>
            </w:r>
          </w:p>
        </w:tc>
        <w:tc>
          <w:tcPr>
            <w:tcW w:w="1357" w:type="dxa"/>
          </w:tcPr>
          <w:p w:rsidR="00680EB7" w:rsidRPr="00B357D7" w:rsidRDefault="00B64742" w:rsidP="00F56A94">
            <w:pPr>
              <w:tabs>
                <w:tab w:val="decimal" w:pos="593"/>
              </w:tabs>
              <w:jc w:val="left"/>
              <w:rPr>
                <w:lang w:val="fr-FR"/>
              </w:rPr>
            </w:pPr>
            <w:r w:rsidRPr="00B357D7">
              <w:rPr>
                <w:lang w:val="fr-FR"/>
              </w:rPr>
              <w:t>49,1</w:t>
            </w:r>
          </w:p>
        </w:tc>
        <w:tc>
          <w:tcPr>
            <w:tcW w:w="1629" w:type="dxa"/>
          </w:tcPr>
          <w:p w:rsidR="00680EB7" w:rsidRPr="00B357D7" w:rsidRDefault="00B64742" w:rsidP="00F56A94">
            <w:pPr>
              <w:widowControl w:val="0"/>
              <w:tabs>
                <w:tab w:val="decimal" w:pos="593"/>
              </w:tabs>
              <w:jc w:val="left"/>
              <w:rPr>
                <w:lang w:val="fr-FR"/>
              </w:rPr>
            </w:pPr>
            <w:r w:rsidRPr="00B357D7">
              <w:rPr>
                <w:lang w:val="fr-FR"/>
              </w:rPr>
              <w:t>5,7</w:t>
            </w:r>
          </w:p>
        </w:tc>
      </w:tr>
    </w:tbl>
    <w:p w:rsidR="00D76723" w:rsidRPr="008A18FF" w:rsidRDefault="001F597D" w:rsidP="00F56A94">
      <w:pPr>
        <w:rPr>
          <w:sz w:val="18"/>
          <w:lang w:val="fr-FR"/>
        </w:rPr>
      </w:pPr>
      <w:r w:rsidRPr="008A18FF">
        <w:rPr>
          <w:sz w:val="18"/>
          <w:lang w:val="fr-FR"/>
        </w:rPr>
        <w:t>*</w:t>
      </w:r>
      <w:r w:rsidR="00F3736F" w:rsidRPr="008A18FF">
        <w:rPr>
          <w:sz w:val="18"/>
          <w:lang w:val="fr-FR"/>
        </w:rPr>
        <w:t xml:space="preserve"> Ces caractères sont classés</w:t>
      </w:r>
      <w:r w:rsidRPr="008A18FF">
        <w:rPr>
          <w:sz w:val="18"/>
          <w:lang w:val="fr-FR"/>
        </w:rPr>
        <w:t xml:space="preserve"> VG/MG; </w:t>
      </w:r>
      <w:r w:rsidR="003608E2" w:rsidRPr="008A18FF">
        <w:rPr>
          <w:sz w:val="18"/>
          <w:lang w:val="fr-FR"/>
        </w:rPr>
        <w:t xml:space="preserve"> </w:t>
      </w:r>
      <w:r w:rsidRPr="008A18FF">
        <w:rPr>
          <w:sz w:val="18"/>
          <w:lang w:val="fr-FR"/>
        </w:rPr>
        <w:t>par conséquent il est plus approprié d</w:t>
      </w:r>
      <w:r w:rsidR="009143C1" w:rsidRPr="008A18FF">
        <w:rPr>
          <w:sz w:val="18"/>
          <w:lang w:val="fr-FR"/>
        </w:rPr>
        <w:t>’</w:t>
      </w:r>
      <w:r w:rsidRPr="008A18FF">
        <w:rPr>
          <w:sz w:val="18"/>
          <w:lang w:val="fr-FR"/>
        </w:rPr>
        <w:t>exprimer la valeur tolérance en nombre entier</w:t>
      </w:r>
      <w:r w:rsidR="00D76723" w:rsidRPr="008A18FF">
        <w:rPr>
          <w:sz w:val="18"/>
          <w:lang w:val="fr-FR"/>
        </w:rPr>
        <w:t>.</w:t>
      </w:r>
    </w:p>
    <w:p w:rsidR="00AA7D33" w:rsidRPr="00B357D7" w:rsidRDefault="00AA7D33" w:rsidP="00F56A94">
      <w:pPr>
        <w:rPr>
          <w:lang w:val="fr-FR" w:eastAsia="ja-JP"/>
        </w:rPr>
      </w:pPr>
    </w:p>
    <w:p w:rsidR="009143C1" w:rsidRPr="00B357D7" w:rsidRDefault="00865426" w:rsidP="00F56A94">
      <w:pPr>
        <w:keepNext/>
        <w:rPr>
          <w:lang w:val="fr-FR"/>
        </w:rPr>
      </w:pPr>
      <w:r w:rsidRPr="00B357D7">
        <w:rPr>
          <w:lang w:val="fr-FR"/>
        </w:rPr>
        <w:lastRenderedPageBreak/>
        <w:t>Tableau</w:t>
      </w:r>
      <w:r w:rsidR="003608E2" w:rsidRPr="00B357D7">
        <w:rPr>
          <w:lang w:val="fr-FR"/>
        </w:rPr>
        <w:t> </w:t>
      </w:r>
      <w:r w:rsidRPr="00B357D7">
        <w:rPr>
          <w:lang w:val="fr-FR"/>
        </w:rPr>
        <w:t>2.  Seuils de premier cycle permettant l</w:t>
      </w:r>
      <w:r w:rsidR="009143C1" w:rsidRPr="00B357D7">
        <w:rPr>
          <w:lang w:val="fr-FR"/>
        </w:rPr>
        <w:t>’</w:t>
      </w:r>
      <w:r w:rsidRPr="00B357D7">
        <w:rPr>
          <w:lang w:val="fr-FR"/>
        </w:rPr>
        <w:t xml:space="preserve">hétérogénéité </w:t>
      </w:r>
      <w:r w:rsidR="00B67E44" w:rsidRPr="00B357D7">
        <w:rPr>
          <w:lang w:val="fr-FR"/>
        </w:rPr>
        <w:t>d</w:t>
      </w:r>
      <w:r w:rsidR="009143C1" w:rsidRPr="00B357D7">
        <w:rPr>
          <w:lang w:val="fr-FR"/>
        </w:rPr>
        <w:t>’</w:t>
      </w:r>
      <w:r w:rsidR="00B67E44" w:rsidRPr="00B357D7">
        <w:rPr>
          <w:lang w:val="fr-FR"/>
        </w:rPr>
        <w:t>un</w:t>
      </w:r>
      <w:r w:rsidRPr="00B357D7">
        <w:rPr>
          <w:lang w:val="fr-FR"/>
        </w:rPr>
        <w:t xml:space="preserve"> cycle</w:t>
      </w:r>
      <w:r w:rsidR="00B67E44" w:rsidRPr="00B357D7">
        <w:rPr>
          <w:lang w:val="fr-FR"/>
        </w:rPr>
        <w:t xml:space="preserve"> à l</w:t>
      </w:r>
      <w:r w:rsidR="009143C1" w:rsidRPr="00B357D7">
        <w:rPr>
          <w:lang w:val="fr-FR"/>
        </w:rPr>
        <w:t>’</w:t>
      </w:r>
      <w:r w:rsidR="00B67E44" w:rsidRPr="00B357D7">
        <w:rPr>
          <w:lang w:val="fr-FR"/>
        </w:rPr>
        <w:t>aut</w:t>
      </w:r>
      <w:r w:rsidR="00B357D7" w:rsidRPr="00B357D7">
        <w:rPr>
          <w:lang w:val="fr-FR"/>
        </w:rPr>
        <w:t>re.  Po</w:t>
      </w:r>
      <w:r w:rsidR="00B67E44" w:rsidRPr="00B357D7">
        <w:rPr>
          <w:lang w:val="fr-FR"/>
        </w:rPr>
        <w:t>ur comparaison</w:t>
      </w:r>
      <w:r w:rsidR="003608E2" w:rsidRPr="00B357D7">
        <w:rPr>
          <w:lang w:val="fr-FR"/>
        </w:rPr>
        <w:t> </w:t>
      </w:r>
      <w:r w:rsidR="00B67E44" w:rsidRPr="00B357D7">
        <w:rPr>
          <w:lang w:val="fr-FR"/>
        </w:rPr>
        <w:t>:</w:t>
      </w:r>
      <w:r w:rsidR="002E7953" w:rsidRPr="00B357D7">
        <w:rPr>
          <w:lang w:val="fr-FR"/>
        </w:rPr>
        <w:t xml:space="preserve"> méthod</w:t>
      </w:r>
      <w:r w:rsidR="00B67E44" w:rsidRPr="00B357D7">
        <w:rPr>
          <w:lang w:val="fr-FR"/>
        </w:rPr>
        <w:t>e COYD à 2% sur le long terme, indices</w:t>
      </w:r>
      <w:r w:rsidR="002E7953" w:rsidRPr="00B357D7">
        <w:rPr>
          <w:lang w:val="fr-FR"/>
        </w:rPr>
        <w:t xml:space="preserve"> de tolérance de premier cycle actuellement appliqué</w:t>
      </w:r>
      <w:r w:rsidR="00B67E44" w:rsidRPr="00B357D7">
        <w:rPr>
          <w:lang w:val="fr-FR"/>
        </w:rPr>
        <w:t>s</w:t>
      </w:r>
      <w:r w:rsidR="002E7953" w:rsidRPr="00B357D7">
        <w:rPr>
          <w:lang w:val="fr-FR"/>
        </w:rPr>
        <w:t xml:space="preserve"> par le Royaume</w:t>
      </w:r>
      <w:r w:rsidR="00F56A94">
        <w:rPr>
          <w:lang w:val="fr-FR"/>
        </w:rPr>
        <w:noBreakHyphen/>
      </w:r>
      <w:r w:rsidR="002E7953" w:rsidRPr="00B357D7">
        <w:rPr>
          <w:lang w:val="fr-FR"/>
        </w:rPr>
        <w:t>Uni s</w:t>
      </w:r>
      <w:r w:rsidR="00B67E44" w:rsidRPr="00B357D7">
        <w:rPr>
          <w:lang w:val="fr-FR"/>
        </w:rPr>
        <w:t>ur la base de l</w:t>
      </w:r>
      <w:r w:rsidR="009143C1" w:rsidRPr="00B357D7">
        <w:rPr>
          <w:lang w:val="fr-FR"/>
        </w:rPr>
        <w:t>’</w:t>
      </w:r>
      <w:r w:rsidR="00B67E44" w:rsidRPr="00B357D7">
        <w:rPr>
          <w:lang w:val="fr-FR"/>
        </w:rPr>
        <w:t>expérience et</w:t>
      </w:r>
      <w:r w:rsidR="002E7953" w:rsidRPr="00B357D7">
        <w:rPr>
          <w:lang w:val="fr-FR"/>
        </w:rPr>
        <w:t xml:space="preserve"> nouveaux indices de tolérance proposés sont inclus.</w:t>
      </w:r>
    </w:p>
    <w:p w:rsidR="00680EB7" w:rsidRPr="00B357D7" w:rsidRDefault="00680EB7" w:rsidP="00F56A94">
      <w:pPr>
        <w:keepNext/>
        <w:rPr>
          <w:lang w:val="fr-FR" w:eastAsia="ja-JP"/>
        </w:rPr>
      </w:pPr>
    </w:p>
    <w:tbl>
      <w:tblPr>
        <w:tblStyle w:val="TableGrid"/>
        <w:tblW w:w="5000" w:type="pct"/>
        <w:tblBorders>
          <w:left w:val="none" w:sz="0" w:space="0" w:color="auto"/>
          <w:right w:val="none" w:sz="0" w:space="0" w:color="auto"/>
          <w:insideH w:val="none" w:sz="0" w:space="0" w:color="auto"/>
          <w:insideV w:val="none" w:sz="0" w:space="0" w:color="auto"/>
        </w:tblBorders>
        <w:tblCellMar>
          <w:left w:w="68" w:type="dxa"/>
          <w:right w:w="68" w:type="dxa"/>
        </w:tblCellMar>
        <w:tblLook w:val="04A0" w:firstRow="1" w:lastRow="0" w:firstColumn="1" w:lastColumn="0" w:noHBand="0" w:noVBand="1"/>
      </w:tblPr>
      <w:tblGrid>
        <w:gridCol w:w="1674"/>
        <w:gridCol w:w="1432"/>
        <w:gridCol w:w="1346"/>
        <w:gridCol w:w="1346"/>
        <w:gridCol w:w="1346"/>
        <w:gridCol w:w="1434"/>
        <w:gridCol w:w="1197"/>
      </w:tblGrid>
      <w:tr w:rsidR="00680EB7" w:rsidRPr="00110CFB" w:rsidTr="00F56A94">
        <w:trPr>
          <w:cantSplit/>
        </w:trPr>
        <w:tc>
          <w:tcPr>
            <w:tcW w:w="1586" w:type="dxa"/>
            <w:tcBorders>
              <w:top w:val="single" w:sz="4" w:space="0" w:color="auto"/>
              <w:bottom w:val="single" w:sz="4" w:space="0" w:color="auto"/>
            </w:tcBorders>
          </w:tcPr>
          <w:p w:rsidR="00680EB7" w:rsidRPr="00B357D7" w:rsidRDefault="002E7953" w:rsidP="00F56A94">
            <w:pPr>
              <w:keepNext/>
              <w:jc w:val="center"/>
              <w:rPr>
                <w:lang w:val="fr-FR"/>
              </w:rPr>
            </w:pPr>
            <w:r w:rsidRPr="00B357D7">
              <w:rPr>
                <w:lang w:val="fr-FR"/>
              </w:rPr>
              <w:t>Caractère</w:t>
            </w:r>
          </w:p>
        </w:tc>
        <w:tc>
          <w:tcPr>
            <w:tcW w:w="1357" w:type="dxa"/>
            <w:tcBorders>
              <w:top w:val="single" w:sz="4" w:space="0" w:color="auto"/>
              <w:bottom w:val="single" w:sz="4" w:space="0" w:color="auto"/>
            </w:tcBorders>
          </w:tcPr>
          <w:p w:rsidR="00680EB7" w:rsidRPr="00B357D7" w:rsidRDefault="002E7953" w:rsidP="00F56A94">
            <w:pPr>
              <w:keepNext/>
              <w:jc w:val="center"/>
              <w:rPr>
                <w:lang w:val="fr-FR"/>
              </w:rPr>
            </w:pPr>
            <w:r w:rsidRPr="00B357D7">
              <w:rPr>
                <w:lang w:val="fr-FR"/>
              </w:rPr>
              <w:t>COYD sur le long terme</w:t>
            </w:r>
          </w:p>
        </w:tc>
        <w:tc>
          <w:tcPr>
            <w:tcW w:w="1276" w:type="dxa"/>
            <w:tcBorders>
              <w:top w:val="single" w:sz="4" w:space="0" w:color="auto"/>
              <w:bottom w:val="single" w:sz="4" w:space="0" w:color="auto"/>
            </w:tcBorders>
          </w:tcPr>
          <w:p w:rsidR="00680EB7" w:rsidRPr="00B357D7" w:rsidRDefault="008E687A" w:rsidP="00F56A94">
            <w:pPr>
              <w:keepNext/>
              <w:jc w:val="center"/>
              <w:rPr>
                <w:lang w:val="fr-FR"/>
              </w:rPr>
            </w:pPr>
            <w:r w:rsidRPr="00B357D7">
              <w:rPr>
                <w:lang w:val="fr-FR"/>
              </w:rPr>
              <w:t xml:space="preserve">Seuil avec </w:t>
            </w:r>
            <w:proofErr w:type="spellStart"/>
            <w:r w:rsidRPr="00B357D7">
              <w:rPr>
                <w:lang w:val="fr-FR"/>
              </w:rPr>
              <w:t>pD</w:t>
            </w:r>
            <w:proofErr w:type="spellEnd"/>
            <w:r w:rsidRPr="00B357D7">
              <w:rPr>
                <w:lang w:val="fr-FR"/>
              </w:rPr>
              <w:t>=0,99</w:t>
            </w:r>
          </w:p>
        </w:tc>
        <w:tc>
          <w:tcPr>
            <w:tcW w:w="1276" w:type="dxa"/>
            <w:tcBorders>
              <w:top w:val="single" w:sz="4" w:space="0" w:color="auto"/>
              <w:bottom w:val="single" w:sz="4" w:space="0" w:color="auto"/>
            </w:tcBorders>
          </w:tcPr>
          <w:p w:rsidR="00680EB7" w:rsidRPr="00B357D7" w:rsidRDefault="008E687A" w:rsidP="00F56A94">
            <w:pPr>
              <w:keepNext/>
              <w:jc w:val="center"/>
              <w:rPr>
                <w:lang w:val="fr-FR"/>
              </w:rPr>
            </w:pPr>
            <w:r w:rsidRPr="00B357D7">
              <w:rPr>
                <w:lang w:val="fr-FR"/>
              </w:rPr>
              <w:t xml:space="preserve">Seuil avec </w:t>
            </w:r>
            <w:proofErr w:type="spellStart"/>
            <w:r w:rsidRPr="00B357D7">
              <w:rPr>
                <w:lang w:val="fr-FR"/>
              </w:rPr>
              <w:t>pD</w:t>
            </w:r>
            <w:proofErr w:type="spellEnd"/>
            <w:r w:rsidRPr="00B357D7">
              <w:rPr>
                <w:lang w:val="fr-FR"/>
              </w:rPr>
              <w:t>=0,95</w:t>
            </w:r>
          </w:p>
        </w:tc>
        <w:tc>
          <w:tcPr>
            <w:tcW w:w="1276" w:type="dxa"/>
            <w:tcBorders>
              <w:top w:val="single" w:sz="4" w:space="0" w:color="auto"/>
              <w:bottom w:val="single" w:sz="4" w:space="0" w:color="auto"/>
            </w:tcBorders>
          </w:tcPr>
          <w:p w:rsidR="00680EB7" w:rsidRPr="00B357D7" w:rsidRDefault="008E687A" w:rsidP="00F56A94">
            <w:pPr>
              <w:keepNext/>
              <w:jc w:val="center"/>
              <w:rPr>
                <w:lang w:val="fr-FR"/>
              </w:rPr>
            </w:pPr>
            <w:r w:rsidRPr="00B357D7">
              <w:rPr>
                <w:lang w:val="fr-FR"/>
              </w:rPr>
              <w:t xml:space="preserve">Seuil avec </w:t>
            </w:r>
            <w:proofErr w:type="spellStart"/>
            <w:r w:rsidRPr="00B357D7">
              <w:rPr>
                <w:lang w:val="fr-FR"/>
              </w:rPr>
              <w:t>pD</w:t>
            </w:r>
            <w:proofErr w:type="spellEnd"/>
            <w:r w:rsidRPr="00B357D7">
              <w:rPr>
                <w:lang w:val="fr-FR"/>
              </w:rPr>
              <w:t>=0,9</w:t>
            </w:r>
          </w:p>
        </w:tc>
        <w:tc>
          <w:tcPr>
            <w:tcW w:w="1275" w:type="dxa"/>
            <w:tcBorders>
              <w:top w:val="single" w:sz="4" w:space="0" w:color="auto"/>
              <w:bottom w:val="single" w:sz="4" w:space="0" w:color="auto"/>
            </w:tcBorders>
          </w:tcPr>
          <w:p w:rsidR="00680EB7" w:rsidRPr="00B357D7" w:rsidRDefault="00F03D7F" w:rsidP="00F56A94">
            <w:pPr>
              <w:keepNext/>
              <w:jc w:val="center"/>
              <w:rPr>
                <w:lang w:val="fr-FR" w:eastAsia="ja-JP"/>
              </w:rPr>
            </w:pPr>
            <w:r w:rsidRPr="00B357D7">
              <w:rPr>
                <w:lang w:val="fr-FR" w:eastAsia="ja-JP"/>
              </w:rPr>
              <w:t>Valeur</w:t>
            </w:r>
            <w:r w:rsidR="00B67E44" w:rsidRPr="00B357D7">
              <w:rPr>
                <w:lang w:val="fr-FR" w:eastAsia="ja-JP"/>
              </w:rPr>
              <w:t xml:space="preserve"> de tolérance actuel</w:t>
            </w:r>
            <w:r w:rsidRPr="00B357D7">
              <w:rPr>
                <w:lang w:val="fr-FR" w:eastAsia="ja-JP"/>
              </w:rPr>
              <w:t>le</w:t>
            </w:r>
            <w:r w:rsidR="008E687A" w:rsidRPr="00B357D7">
              <w:rPr>
                <w:lang w:val="fr-FR" w:eastAsia="ja-JP"/>
              </w:rPr>
              <w:t xml:space="preserve"> du Royaume</w:t>
            </w:r>
            <w:r w:rsidR="00F56A94">
              <w:rPr>
                <w:lang w:val="fr-FR" w:eastAsia="ja-JP"/>
              </w:rPr>
              <w:noBreakHyphen/>
            </w:r>
            <w:r w:rsidR="008E687A" w:rsidRPr="00B357D7">
              <w:rPr>
                <w:lang w:val="fr-FR" w:eastAsia="ja-JP"/>
              </w:rPr>
              <w:t>Uni</w:t>
            </w:r>
          </w:p>
        </w:tc>
        <w:tc>
          <w:tcPr>
            <w:tcW w:w="1134" w:type="dxa"/>
            <w:tcBorders>
              <w:top w:val="single" w:sz="4" w:space="0" w:color="auto"/>
              <w:bottom w:val="single" w:sz="4" w:space="0" w:color="auto"/>
            </w:tcBorders>
          </w:tcPr>
          <w:p w:rsidR="00680EB7" w:rsidRPr="00B357D7" w:rsidRDefault="008E687A" w:rsidP="00F56A94">
            <w:pPr>
              <w:keepNext/>
              <w:jc w:val="center"/>
              <w:rPr>
                <w:lang w:val="fr-FR"/>
              </w:rPr>
            </w:pPr>
            <w:r w:rsidRPr="00B357D7">
              <w:rPr>
                <w:lang w:val="fr-FR"/>
              </w:rPr>
              <w:t>Nouvel</w:t>
            </w:r>
            <w:r w:rsidR="00F03D7F" w:rsidRPr="00B357D7">
              <w:rPr>
                <w:lang w:val="fr-FR"/>
              </w:rPr>
              <w:t>le</w:t>
            </w:r>
            <w:r w:rsidR="00B67E44" w:rsidRPr="00B357D7">
              <w:rPr>
                <w:lang w:val="fr-FR"/>
              </w:rPr>
              <w:t xml:space="preserve"> </w:t>
            </w:r>
            <w:r w:rsidR="00F03D7F" w:rsidRPr="00B357D7">
              <w:rPr>
                <w:lang w:val="fr-FR"/>
              </w:rPr>
              <w:t>valeur</w:t>
            </w:r>
            <w:r w:rsidR="00B67E44" w:rsidRPr="00B357D7">
              <w:rPr>
                <w:lang w:val="fr-FR"/>
              </w:rPr>
              <w:t xml:space="preserve"> de</w:t>
            </w:r>
            <w:r w:rsidRPr="00B357D7">
              <w:rPr>
                <w:lang w:val="fr-FR"/>
              </w:rPr>
              <w:t xml:space="preserve"> tolérance proposé</w:t>
            </w:r>
            <w:r w:rsidR="00F03D7F" w:rsidRPr="00B357D7">
              <w:rPr>
                <w:lang w:val="fr-FR"/>
              </w:rPr>
              <w:t>e</w:t>
            </w:r>
          </w:p>
        </w:tc>
      </w:tr>
      <w:tr w:rsidR="00680EB7" w:rsidRPr="00B357D7" w:rsidTr="00F56A94">
        <w:trPr>
          <w:cantSplit/>
        </w:trPr>
        <w:tc>
          <w:tcPr>
            <w:tcW w:w="1586" w:type="dxa"/>
            <w:tcBorders>
              <w:top w:val="single" w:sz="4" w:space="0" w:color="auto"/>
            </w:tcBorders>
          </w:tcPr>
          <w:p w:rsidR="00680EB7" w:rsidRPr="00B357D7" w:rsidRDefault="00680EB7" w:rsidP="00F56A94">
            <w:pPr>
              <w:keepNext/>
              <w:tabs>
                <w:tab w:val="decimal" w:pos="851"/>
              </w:tabs>
              <w:jc w:val="left"/>
              <w:rPr>
                <w:lang w:val="fr-FR"/>
              </w:rPr>
            </w:pPr>
            <w:r w:rsidRPr="00B357D7">
              <w:rPr>
                <w:lang w:val="fr-FR"/>
              </w:rPr>
              <w:t>5</w:t>
            </w:r>
          </w:p>
        </w:tc>
        <w:tc>
          <w:tcPr>
            <w:tcW w:w="1357" w:type="dxa"/>
            <w:tcBorders>
              <w:top w:val="single" w:sz="4" w:space="0" w:color="auto"/>
            </w:tcBorders>
          </w:tcPr>
          <w:p w:rsidR="00680EB7" w:rsidRPr="00B357D7" w:rsidRDefault="008E687A" w:rsidP="00F56A94">
            <w:pPr>
              <w:keepNext/>
              <w:tabs>
                <w:tab w:val="decimal" w:pos="541"/>
              </w:tabs>
              <w:jc w:val="left"/>
              <w:rPr>
                <w:lang w:val="fr-FR"/>
              </w:rPr>
            </w:pPr>
            <w:r w:rsidRPr="00B357D7">
              <w:rPr>
                <w:lang w:val="fr-FR"/>
              </w:rPr>
              <w:t>0,93</w:t>
            </w:r>
          </w:p>
        </w:tc>
        <w:tc>
          <w:tcPr>
            <w:tcW w:w="1276" w:type="dxa"/>
            <w:tcBorders>
              <w:top w:val="single" w:sz="4" w:space="0" w:color="auto"/>
            </w:tcBorders>
          </w:tcPr>
          <w:p w:rsidR="00680EB7" w:rsidRPr="00B357D7" w:rsidRDefault="008E687A" w:rsidP="00F56A94">
            <w:pPr>
              <w:keepNext/>
              <w:widowControl w:val="0"/>
              <w:jc w:val="right"/>
              <w:rPr>
                <w:szCs w:val="24"/>
                <w:lang w:val="fr-FR"/>
              </w:rPr>
            </w:pPr>
            <w:r w:rsidRPr="00B357D7">
              <w:rPr>
                <w:szCs w:val="24"/>
                <w:lang w:val="fr-FR"/>
              </w:rPr>
              <w:t>4,13</w:t>
            </w:r>
          </w:p>
        </w:tc>
        <w:tc>
          <w:tcPr>
            <w:tcW w:w="1276" w:type="dxa"/>
            <w:tcBorders>
              <w:top w:val="single" w:sz="4" w:space="0" w:color="auto"/>
            </w:tcBorders>
          </w:tcPr>
          <w:p w:rsidR="00680EB7" w:rsidRPr="00B357D7" w:rsidRDefault="008E687A" w:rsidP="00F56A94">
            <w:pPr>
              <w:keepNext/>
              <w:widowControl w:val="0"/>
              <w:jc w:val="right"/>
              <w:rPr>
                <w:szCs w:val="24"/>
                <w:lang w:val="fr-FR"/>
              </w:rPr>
            </w:pPr>
            <w:r w:rsidRPr="00B357D7">
              <w:rPr>
                <w:szCs w:val="24"/>
                <w:lang w:val="fr-FR"/>
              </w:rPr>
              <w:t>1,81</w:t>
            </w:r>
          </w:p>
        </w:tc>
        <w:tc>
          <w:tcPr>
            <w:tcW w:w="1276" w:type="dxa"/>
            <w:tcBorders>
              <w:top w:val="single" w:sz="4" w:space="0" w:color="auto"/>
            </w:tcBorders>
          </w:tcPr>
          <w:p w:rsidR="00680EB7" w:rsidRPr="00B357D7" w:rsidRDefault="008E687A" w:rsidP="00F56A94">
            <w:pPr>
              <w:keepNext/>
              <w:widowControl w:val="0"/>
              <w:jc w:val="right"/>
              <w:rPr>
                <w:szCs w:val="24"/>
                <w:lang w:val="fr-FR"/>
              </w:rPr>
            </w:pPr>
            <w:r w:rsidRPr="00B357D7">
              <w:rPr>
                <w:szCs w:val="24"/>
                <w:lang w:val="fr-FR"/>
              </w:rPr>
              <w:t>1,39</w:t>
            </w:r>
          </w:p>
        </w:tc>
        <w:tc>
          <w:tcPr>
            <w:tcW w:w="1275" w:type="dxa"/>
            <w:tcBorders>
              <w:top w:val="single" w:sz="4" w:space="0" w:color="auto"/>
            </w:tcBorders>
          </w:tcPr>
          <w:p w:rsidR="00680EB7" w:rsidRPr="00B357D7" w:rsidRDefault="00680EB7" w:rsidP="00F56A94">
            <w:pPr>
              <w:keepNext/>
              <w:tabs>
                <w:tab w:val="decimal" w:pos="666"/>
              </w:tabs>
              <w:jc w:val="right"/>
              <w:rPr>
                <w:lang w:val="fr-FR"/>
              </w:rPr>
            </w:pPr>
            <w:r w:rsidRPr="00B357D7">
              <w:rPr>
                <w:lang w:val="fr-FR"/>
              </w:rPr>
              <w:t>3</w:t>
            </w:r>
          </w:p>
        </w:tc>
        <w:tc>
          <w:tcPr>
            <w:tcW w:w="1134" w:type="dxa"/>
            <w:tcBorders>
              <w:top w:val="single" w:sz="4" w:space="0" w:color="auto"/>
            </w:tcBorders>
          </w:tcPr>
          <w:p w:rsidR="00680EB7" w:rsidRPr="00B357D7" w:rsidRDefault="008E687A" w:rsidP="00F56A94">
            <w:pPr>
              <w:keepNext/>
              <w:tabs>
                <w:tab w:val="decimal" w:pos="459"/>
              </w:tabs>
              <w:jc w:val="right"/>
              <w:rPr>
                <w:lang w:val="fr-FR"/>
              </w:rPr>
            </w:pPr>
            <w:r w:rsidRPr="00B357D7">
              <w:rPr>
                <w:lang w:val="fr-FR"/>
              </w:rPr>
              <w:t>4,1</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15</w:t>
            </w:r>
          </w:p>
        </w:tc>
        <w:tc>
          <w:tcPr>
            <w:tcW w:w="1357" w:type="dxa"/>
          </w:tcPr>
          <w:p w:rsidR="00680EB7" w:rsidRPr="00B357D7" w:rsidRDefault="008E687A" w:rsidP="00F56A94">
            <w:pPr>
              <w:keepNext/>
              <w:tabs>
                <w:tab w:val="decimal" w:pos="541"/>
              </w:tabs>
              <w:jc w:val="left"/>
              <w:rPr>
                <w:lang w:val="fr-FR"/>
              </w:rPr>
            </w:pPr>
            <w:r w:rsidRPr="00B357D7">
              <w:rPr>
                <w:lang w:val="fr-FR"/>
              </w:rPr>
              <w:t>10,80</w:t>
            </w:r>
          </w:p>
        </w:tc>
        <w:tc>
          <w:tcPr>
            <w:tcW w:w="1276" w:type="dxa"/>
          </w:tcPr>
          <w:p w:rsidR="00680EB7" w:rsidRPr="00B357D7" w:rsidRDefault="008E687A" w:rsidP="00F56A94">
            <w:pPr>
              <w:keepNext/>
              <w:widowControl w:val="0"/>
              <w:jc w:val="right"/>
              <w:rPr>
                <w:szCs w:val="24"/>
                <w:lang w:val="fr-FR"/>
              </w:rPr>
            </w:pPr>
            <w:r w:rsidRPr="00B357D7">
              <w:rPr>
                <w:szCs w:val="24"/>
                <w:lang w:val="fr-FR"/>
              </w:rPr>
              <w:t>23,38</w:t>
            </w:r>
          </w:p>
        </w:tc>
        <w:tc>
          <w:tcPr>
            <w:tcW w:w="1276" w:type="dxa"/>
          </w:tcPr>
          <w:p w:rsidR="00680EB7" w:rsidRPr="00B357D7" w:rsidRDefault="008E687A" w:rsidP="00F56A94">
            <w:pPr>
              <w:keepNext/>
              <w:widowControl w:val="0"/>
              <w:jc w:val="right"/>
              <w:rPr>
                <w:szCs w:val="24"/>
                <w:lang w:val="fr-FR"/>
              </w:rPr>
            </w:pPr>
            <w:r w:rsidRPr="00B357D7">
              <w:rPr>
                <w:szCs w:val="24"/>
                <w:lang w:val="fr-FR"/>
              </w:rPr>
              <w:t>17,90</w:t>
            </w:r>
          </w:p>
        </w:tc>
        <w:tc>
          <w:tcPr>
            <w:tcW w:w="1276" w:type="dxa"/>
          </w:tcPr>
          <w:p w:rsidR="00680EB7" w:rsidRPr="00B357D7" w:rsidRDefault="008E687A" w:rsidP="00F56A94">
            <w:pPr>
              <w:keepNext/>
              <w:widowControl w:val="0"/>
              <w:jc w:val="right"/>
              <w:rPr>
                <w:szCs w:val="24"/>
                <w:lang w:val="fr-FR"/>
              </w:rPr>
            </w:pPr>
            <w:r w:rsidRPr="00B357D7">
              <w:rPr>
                <w:szCs w:val="24"/>
                <w:lang w:val="fr-FR"/>
              </w:rPr>
              <w:t>15,70</w:t>
            </w:r>
          </w:p>
        </w:tc>
        <w:tc>
          <w:tcPr>
            <w:tcW w:w="1275" w:type="dxa"/>
          </w:tcPr>
          <w:p w:rsidR="00680EB7" w:rsidRPr="00B357D7" w:rsidRDefault="00680EB7" w:rsidP="00F56A94">
            <w:pPr>
              <w:keepNext/>
              <w:tabs>
                <w:tab w:val="decimal" w:pos="666"/>
              </w:tabs>
              <w:jc w:val="right"/>
              <w:rPr>
                <w:lang w:val="fr-FR"/>
              </w:rPr>
            </w:pPr>
            <w:r w:rsidRPr="00B357D7">
              <w:rPr>
                <w:lang w:val="fr-FR"/>
              </w:rPr>
              <w:t>25</w:t>
            </w:r>
          </w:p>
        </w:tc>
        <w:tc>
          <w:tcPr>
            <w:tcW w:w="1134" w:type="dxa"/>
          </w:tcPr>
          <w:p w:rsidR="00680EB7" w:rsidRPr="00B357D7" w:rsidRDefault="008E687A" w:rsidP="00F56A94">
            <w:pPr>
              <w:keepNext/>
              <w:tabs>
                <w:tab w:val="decimal" w:pos="459"/>
              </w:tabs>
              <w:jc w:val="right"/>
              <w:rPr>
                <w:lang w:val="fr-FR"/>
              </w:rPr>
            </w:pPr>
            <w:r w:rsidRPr="00B357D7">
              <w:rPr>
                <w:lang w:val="fr-FR"/>
              </w:rPr>
              <w:t>23,4</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16</w:t>
            </w:r>
          </w:p>
        </w:tc>
        <w:tc>
          <w:tcPr>
            <w:tcW w:w="1357" w:type="dxa"/>
          </w:tcPr>
          <w:p w:rsidR="00680EB7" w:rsidRPr="00B357D7" w:rsidRDefault="008E687A" w:rsidP="00F56A94">
            <w:pPr>
              <w:keepNext/>
              <w:tabs>
                <w:tab w:val="decimal" w:pos="541"/>
              </w:tabs>
              <w:jc w:val="left"/>
              <w:rPr>
                <w:lang w:val="fr-FR"/>
              </w:rPr>
            </w:pPr>
            <w:r w:rsidRPr="00B357D7">
              <w:rPr>
                <w:lang w:val="fr-FR"/>
              </w:rPr>
              <w:t>6,95</w:t>
            </w:r>
          </w:p>
        </w:tc>
        <w:tc>
          <w:tcPr>
            <w:tcW w:w="1276" w:type="dxa"/>
          </w:tcPr>
          <w:p w:rsidR="00680EB7" w:rsidRPr="00B357D7" w:rsidRDefault="008E687A" w:rsidP="00F56A94">
            <w:pPr>
              <w:keepNext/>
              <w:widowControl w:val="0"/>
              <w:jc w:val="right"/>
              <w:rPr>
                <w:szCs w:val="24"/>
                <w:lang w:val="fr-FR"/>
              </w:rPr>
            </w:pPr>
            <w:r w:rsidRPr="00B357D7">
              <w:rPr>
                <w:szCs w:val="24"/>
                <w:lang w:val="fr-FR"/>
              </w:rPr>
              <w:t>14,18</w:t>
            </w:r>
          </w:p>
        </w:tc>
        <w:tc>
          <w:tcPr>
            <w:tcW w:w="1276" w:type="dxa"/>
          </w:tcPr>
          <w:p w:rsidR="00680EB7" w:rsidRPr="00B357D7" w:rsidRDefault="008E687A" w:rsidP="00F56A94">
            <w:pPr>
              <w:keepNext/>
              <w:widowControl w:val="0"/>
              <w:jc w:val="right"/>
              <w:rPr>
                <w:szCs w:val="24"/>
                <w:lang w:val="fr-FR"/>
              </w:rPr>
            </w:pPr>
            <w:r w:rsidRPr="00B357D7">
              <w:rPr>
                <w:szCs w:val="24"/>
                <w:lang w:val="fr-FR"/>
              </w:rPr>
              <w:t>11,15</w:t>
            </w:r>
          </w:p>
        </w:tc>
        <w:tc>
          <w:tcPr>
            <w:tcW w:w="1276" w:type="dxa"/>
          </w:tcPr>
          <w:p w:rsidR="00680EB7" w:rsidRPr="00B357D7" w:rsidRDefault="008E687A" w:rsidP="00F56A94">
            <w:pPr>
              <w:keepNext/>
              <w:widowControl w:val="0"/>
              <w:jc w:val="right"/>
              <w:rPr>
                <w:szCs w:val="24"/>
                <w:lang w:val="fr-FR"/>
              </w:rPr>
            </w:pPr>
            <w:r w:rsidRPr="00B357D7">
              <w:rPr>
                <w:szCs w:val="24"/>
                <w:lang w:val="fr-FR"/>
              </w:rPr>
              <w:t>9,87</w:t>
            </w:r>
          </w:p>
        </w:tc>
        <w:tc>
          <w:tcPr>
            <w:tcW w:w="1275" w:type="dxa"/>
          </w:tcPr>
          <w:p w:rsidR="00680EB7" w:rsidRPr="00B357D7" w:rsidRDefault="00680EB7" w:rsidP="00F56A94">
            <w:pPr>
              <w:keepNext/>
              <w:tabs>
                <w:tab w:val="decimal" w:pos="666"/>
              </w:tabs>
              <w:jc w:val="right"/>
              <w:rPr>
                <w:lang w:val="fr-FR"/>
              </w:rPr>
            </w:pPr>
            <w:r w:rsidRPr="00B357D7">
              <w:rPr>
                <w:lang w:val="fr-FR"/>
              </w:rPr>
              <w:t>20</w:t>
            </w:r>
          </w:p>
        </w:tc>
        <w:tc>
          <w:tcPr>
            <w:tcW w:w="1134" w:type="dxa"/>
          </w:tcPr>
          <w:p w:rsidR="00680EB7" w:rsidRPr="00B357D7" w:rsidRDefault="008E687A" w:rsidP="00F56A94">
            <w:pPr>
              <w:keepNext/>
              <w:tabs>
                <w:tab w:val="decimal" w:pos="459"/>
              </w:tabs>
              <w:jc w:val="right"/>
              <w:rPr>
                <w:lang w:val="fr-FR"/>
              </w:rPr>
            </w:pPr>
            <w:r w:rsidRPr="00B357D7">
              <w:rPr>
                <w:lang w:val="fr-FR"/>
              </w:rPr>
              <w:t>14,2</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21*</w:t>
            </w:r>
          </w:p>
        </w:tc>
        <w:tc>
          <w:tcPr>
            <w:tcW w:w="1357" w:type="dxa"/>
          </w:tcPr>
          <w:p w:rsidR="00680EB7" w:rsidRPr="00B357D7" w:rsidRDefault="008E687A" w:rsidP="00F56A94">
            <w:pPr>
              <w:keepNext/>
              <w:tabs>
                <w:tab w:val="decimal" w:pos="541"/>
              </w:tabs>
              <w:jc w:val="left"/>
              <w:rPr>
                <w:lang w:val="fr-FR"/>
              </w:rPr>
            </w:pPr>
            <w:r w:rsidRPr="00B357D7">
              <w:rPr>
                <w:lang w:val="fr-FR"/>
              </w:rPr>
              <w:t>0,95</w:t>
            </w:r>
          </w:p>
        </w:tc>
        <w:tc>
          <w:tcPr>
            <w:tcW w:w="1276" w:type="dxa"/>
          </w:tcPr>
          <w:p w:rsidR="00680EB7" w:rsidRPr="00B357D7" w:rsidRDefault="008E687A" w:rsidP="00F56A94">
            <w:pPr>
              <w:keepNext/>
              <w:widowControl w:val="0"/>
              <w:jc w:val="right"/>
              <w:rPr>
                <w:szCs w:val="24"/>
                <w:lang w:val="fr-FR"/>
              </w:rPr>
            </w:pPr>
            <w:r w:rsidRPr="00B357D7">
              <w:rPr>
                <w:szCs w:val="24"/>
                <w:lang w:val="fr-FR"/>
              </w:rPr>
              <w:t>2,01</w:t>
            </w:r>
          </w:p>
        </w:tc>
        <w:tc>
          <w:tcPr>
            <w:tcW w:w="1276" w:type="dxa"/>
          </w:tcPr>
          <w:p w:rsidR="00680EB7" w:rsidRPr="00B357D7" w:rsidRDefault="008E687A" w:rsidP="00F56A94">
            <w:pPr>
              <w:keepNext/>
              <w:widowControl w:val="0"/>
              <w:jc w:val="right"/>
              <w:rPr>
                <w:szCs w:val="24"/>
                <w:lang w:val="fr-FR"/>
              </w:rPr>
            </w:pPr>
            <w:r w:rsidRPr="00B357D7">
              <w:rPr>
                <w:szCs w:val="24"/>
                <w:lang w:val="fr-FR"/>
              </w:rPr>
              <w:t>1,56</w:t>
            </w:r>
          </w:p>
        </w:tc>
        <w:tc>
          <w:tcPr>
            <w:tcW w:w="1276" w:type="dxa"/>
          </w:tcPr>
          <w:p w:rsidR="00680EB7" w:rsidRPr="00B357D7" w:rsidRDefault="008E687A" w:rsidP="00F56A94">
            <w:pPr>
              <w:keepNext/>
              <w:widowControl w:val="0"/>
              <w:jc w:val="right"/>
              <w:rPr>
                <w:szCs w:val="24"/>
                <w:lang w:val="fr-FR"/>
              </w:rPr>
            </w:pPr>
            <w:r w:rsidRPr="00B357D7">
              <w:rPr>
                <w:szCs w:val="24"/>
                <w:lang w:val="fr-FR"/>
              </w:rPr>
              <w:t>1,38</w:t>
            </w:r>
          </w:p>
        </w:tc>
        <w:tc>
          <w:tcPr>
            <w:tcW w:w="1275" w:type="dxa"/>
          </w:tcPr>
          <w:p w:rsidR="00680EB7" w:rsidRPr="00B357D7" w:rsidRDefault="00680EB7" w:rsidP="00F56A94">
            <w:pPr>
              <w:keepNext/>
              <w:tabs>
                <w:tab w:val="decimal" w:pos="666"/>
              </w:tabs>
              <w:jc w:val="right"/>
              <w:rPr>
                <w:lang w:val="fr-FR"/>
              </w:rPr>
            </w:pPr>
            <w:r w:rsidRPr="00B357D7">
              <w:rPr>
                <w:lang w:val="fr-FR"/>
              </w:rPr>
              <w:t>3</w:t>
            </w:r>
          </w:p>
        </w:tc>
        <w:tc>
          <w:tcPr>
            <w:tcW w:w="1134" w:type="dxa"/>
          </w:tcPr>
          <w:p w:rsidR="00680EB7" w:rsidRPr="00B357D7" w:rsidRDefault="00680EB7" w:rsidP="00F56A94">
            <w:pPr>
              <w:keepNext/>
              <w:tabs>
                <w:tab w:val="decimal" w:pos="459"/>
              </w:tabs>
              <w:jc w:val="right"/>
              <w:rPr>
                <w:lang w:val="fr-FR" w:eastAsia="ja-JP"/>
              </w:rPr>
            </w:pPr>
            <w:r w:rsidRPr="00B357D7">
              <w:rPr>
                <w:lang w:val="fr-FR"/>
              </w:rPr>
              <w:t>3</w:t>
            </w:r>
            <w:r w:rsidRPr="00B357D7">
              <w:rPr>
                <w:lang w:val="fr-FR" w:eastAsia="ja-JP"/>
              </w:rPr>
              <w:t xml:space="preserve"> </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22</w:t>
            </w:r>
          </w:p>
        </w:tc>
        <w:tc>
          <w:tcPr>
            <w:tcW w:w="1357" w:type="dxa"/>
          </w:tcPr>
          <w:p w:rsidR="00680EB7" w:rsidRPr="00B357D7" w:rsidRDefault="008E687A" w:rsidP="00F56A94">
            <w:pPr>
              <w:keepNext/>
              <w:tabs>
                <w:tab w:val="decimal" w:pos="541"/>
              </w:tabs>
              <w:jc w:val="left"/>
              <w:rPr>
                <w:lang w:val="fr-FR"/>
              </w:rPr>
            </w:pPr>
            <w:r w:rsidRPr="00B357D7">
              <w:rPr>
                <w:lang w:val="fr-FR"/>
              </w:rPr>
              <w:t>12,61</w:t>
            </w:r>
          </w:p>
        </w:tc>
        <w:tc>
          <w:tcPr>
            <w:tcW w:w="1276" w:type="dxa"/>
          </w:tcPr>
          <w:p w:rsidR="00680EB7" w:rsidRPr="00B357D7" w:rsidRDefault="008E687A" w:rsidP="00F56A94">
            <w:pPr>
              <w:keepNext/>
              <w:widowControl w:val="0"/>
              <w:jc w:val="right"/>
              <w:rPr>
                <w:szCs w:val="24"/>
                <w:lang w:val="fr-FR"/>
              </w:rPr>
            </w:pPr>
            <w:r w:rsidRPr="00B357D7">
              <w:rPr>
                <w:szCs w:val="24"/>
                <w:lang w:val="fr-FR"/>
              </w:rPr>
              <w:t>28,38</w:t>
            </w:r>
          </w:p>
        </w:tc>
        <w:tc>
          <w:tcPr>
            <w:tcW w:w="1276" w:type="dxa"/>
          </w:tcPr>
          <w:p w:rsidR="00680EB7" w:rsidRPr="00B357D7" w:rsidRDefault="008E687A" w:rsidP="00F56A94">
            <w:pPr>
              <w:keepNext/>
              <w:widowControl w:val="0"/>
              <w:jc w:val="right"/>
              <w:rPr>
                <w:szCs w:val="24"/>
                <w:lang w:val="fr-FR"/>
              </w:rPr>
            </w:pPr>
            <w:r w:rsidRPr="00B357D7">
              <w:rPr>
                <w:szCs w:val="24"/>
                <w:lang w:val="fr-FR"/>
              </w:rPr>
              <w:t>21,31</w:t>
            </w:r>
          </w:p>
        </w:tc>
        <w:tc>
          <w:tcPr>
            <w:tcW w:w="1276" w:type="dxa"/>
          </w:tcPr>
          <w:p w:rsidR="00680EB7" w:rsidRPr="00B357D7" w:rsidRDefault="008E687A" w:rsidP="00F56A94">
            <w:pPr>
              <w:keepNext/>
              <w:widowControl w:val="0"/>
              <w:jc w:val="right"/>
              <w:rPr>
                <w:szCs w:val="24"/>
                <w:lang w:val="fr-FR"/>
              </w:rPr>
            </w:pPr>
            <w:r w:rsidRPr="00B357D7">
              <w:rPr>
                <w:szCs w:val="24"/>
                <w:lang w:val="fr-FR"/>
              </w:rPr>
              <w:t>18,56</w:t>
            </w:r>
          </w:p>
        </w:tc>
        <w:tc>
          <w:tcPr>
            <w:tcW w:w="1275" w:type="dxa"/>
          </w:tcPr>
          <w:p w:rsidR="00680EB7" w:rsidRPr="00B357D7" w:rsidRDefault="00680EB7" w:rsidP="00F56A94">
            <w:pPr>
              <w:keepNext/>
              <w:tabs>
                <w:tab w:val="decimal" w:pos="666"/>
              </w:tabs>
              <w:jc w:val="right"/>
              <w:rPr>
                <w:lang w:val="fr-FR"/>
              </w:rPr>
            </w:pPr>
            <w:r w:rsidRPr="00B357D7">
              <w:rPr>
                <w:lang w:val="fr-FR"/>
              </w:rPr>
              <w:t>30</w:t>
            </w:r>
          </w:p>
        </w:tc>
        <w:tc>
          <w:tcPr>
            <w:tcW w:w="1134" w:type="dxa"/>
          </w:tcPr>
          <w:p w:rsidR="00680EB7" w:rsidRPr="00B357D7" w:rsidRDefault="008E687A" w:rsidP="00F56A94">
            <w:pPr>
              <w:keepNext/>
              <w:tabs>
                <w:tab w:val="decimal" w:pos="459"/>
              </w:tabs>
              <w:jc w:val="right"/>
              <w:rPr>
                <w:lang w:val="fr-FR"/>
              </w:rPr>
            </w:pPr>
            <w:r w:rsidRPr="00B357D7">
              <w:rPr>
                <w:lang w:val="fr-FR"/>
              </w:rPr>
              <w:t>28,4</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28</w:t>
            </w:r>
          </w:p>
        </w:tc>
        <w:tc>
          <w:tcPr>
            <w:tcW w:w="1357" w:type="dxa"/>
          </w:tcPr>
          <w:p w:rsidR="00680EB7" w:rsidRPr="00B357D7" w:rsidRDefault="008E687A" w:rsidP="00F56A94">
            <w:pPr>
              <w:keepNext/>
              <w:tabs>
                <w:tab w:val="decimal" w:pos="541"/>
              </w:tabs>
              <w:jc w:val="left"/>
              <w:rPr>
                <w:lang w:val="fr-FR"/>
              </w:rPr>
            </w:pPr>
            <w:r w:rsidRPr="00B357D7">
              <w:rPr>
                <w:lang w:val="fr-FR"/>
              </w:rPr>
              <w:t>2,39</w:t>
            </w:r>
          </w:p>
        </w:tc>
        <w:tc>
          <w:tcPr>
            <w:tcW w:w="1276" w:type="dxa"/>
          </w:tcPr>
          <w:p w:rsidR="00680EB7" w:rsidRPr="00B357D7" w:rsidRDefault="008E687A" w:rsidP="00F56A94">
            <w:pPr>
              <w:keepNext/>
              <w:widowControl w:val="0"/>
              <w:jc w:val="right"/>
              <w:rPr>
                <w:szCs w:val="24"/>
                <w:lang w:val="fr-FR"/>
              </w:rPr>
            </w:pPr>
            <w:r w:rsidRPr="00B357D7">
              <w:rPr>
                <w:szCs w:val="24"/>
                <w:lang w:val="fr-FR"/>
              </w:rPr>
              <w:t>5,99</w:t>
            </w:r>
          </w:p>
        </w:tc>
        <w:tc>
          <w:tcPr>
            <w:tcW w:w="1276" w:type="dxa"/>
          </w:tcPr>
          <w:p w:rsidR="00680EB7" w:rsidRPr="00B357D7" w:rsidRDefault="008E687A" w:rsidP="00F56A94">
            <w:pPr>
              <w:keepNext/>
              <w:widowControl w:val="0"/>
              <w:jc w:val="right"/>
              <w:rPr>
                <w:szCs w:val="24"/>
                <w:lang w:val="fr-FR"/>
              </w:rPr>
            </w:pPr>
            <w:r w:rsidRPr="00B357D7">
              <w:rPr>
                <w:szCs w:val="24"/>
                <w:lang w:val="fr-FR"/>
              </w:rPr>
              <w:t>4,18</w:t>
            </w:r>
          </w:p>
        </w:tc>
        <w:tc>
          <w:tcPr>
            <w:tcW w:w="1276" w:type="dxa"/>
          </w:tcPr>
          <w:p w:rsidR="00680EB7" w:rsidRPr="00B357D7" w:rsidRDefault="008E687A" w:rsidP="00F56A94">
            <w:pPr>
              <w:keepNext/>
              <w:widowControl w:val="0"/>
              <w:jc w:val="right"/>
              <w:rPr>
                <w:szCs w:val="24"/>
                <w:lang w:val="fr-FR"/>
              </w:rPr>
            </w:pPr>
            <w:r w:rsidRPr="00B357D7">
              <w:rPr>
                <w:szCs w:val="24"/>
                <w:lang w:val="fr-FR"/>
              </w:rPr>
              <w:t>3,56</w:t>
            </w:r>
          </w:p>
        </w:tc>
        <w:tc>
          <w:tcPr>
            <w:tcW w:w="1275" w:type="dxa"/>
          </w:tcPr>
          <w:p w:rsidR="00680EB7" w:rsidRPr="00B357D7" w:rsidRDefault="00680EB7" w:rsidP="00F56A94">
            <w:pPr>
              <w:keepNext/>
              <w:tabs>
                <w:tab w:val="decimal" w:pos="666"/>
              </w:tabs>
              <w:jc w:val="right"/>
              <w:rPr>
                <w:lang w:val="fr-FR"/>
              </w:rPr>
            </w:pPr>
            <w:r w:rsidRPr="00B357D7">
              <w:rPr>
                <w:lang w:val="fr-FR"/>
              </w:rPr>
              <w:t>12</w:t>
            </w:r>
          </w:p>
        </w:tc>
        <w:tc>
          <w:tcPr>
            <w:tcW w:w="1134" w:type="dxa"/>
          </w:tcPr>
          <w:p w:rsidR="00680EB7" w:rsidRPr="00B357D7" w:rsidRDefault="008E687A" w:rsidP="00F56A94">
            <w:pPr>
              <w:keepNext/>
              <w:tabs>
                <w:tab w:val="decimal" w:pos="459"/>
              </w:tabs>
              <w:jc w:val="right"/>
              <w:rPr>
                <w:lang w:val="fr-FR"/>
              </w:rPr>
            </w:pPr>
            <w:r w:rsidRPr="00B357D7">
              <w:rPr>
                <w:lang w:val="fr-FR"/>
              </w:rPr>
              <w:t>6,0</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29*</w:t>
            </w:r>
          </w:p>
        </w:tc>
        <w:tc>
          <w:tcPr>
            <w:tcW w:w="1357" w:type="dxa"/>
          </w:tcPr>
          <w:p w:rsidR="00680EB7" w:rsidRPr="00B357D7" w:rsidRDefault="008E687A" w:rsidP="00F56A94">
            <w:pPr>
              <w:keepNext/>
              <w:tabs>
                <w:tab w:val="decimal" w:pos="541"/>
              </w:tabs>
              <w:jc w:val="left"/>
              <w:rPr>
                <w:lang w:val="fr-FR"/>
              </w:rPr>
            </w:pPr>
            <w:r w:rsidRPr="00B357D7">
              <w:rPr>
                <w:lang w:val="fr-FR"/>
              </w:rPr>
              <w:t>0,93</w:t>
            </w:r>
          </w:p>
        </w:tc>
        <w:tc>
          <w:tcPr>
            <w:tcW w:w="1276" w:type="dxa"/>
          </w:tcPr>
          <w:p w:rsidR="00680EB7" w:rsidRPr="00B357D7" w:rsidRDefault="008E687A" w:rsidP="00F56A94">
            <w:pPr>
              <w:keepNext/>
              <w:widowControl w:val="0"/>
              <w:jc w:val="right"/>
              <w:rPr>
                <w:szCs w:val="24"/>
                <w:lang w:val="fr-FR"/>
              </w:rPr>
            </w:pPr>
            <w:r w:rsidRPr="00B357D7">
              <w:rPr>
                <w:szCs w:val="24"/>
                <w:lang w:val="fr-FR"/>
              </w:rPr>
              <w:t>1,96</w:t>
            </w:r>
          </w:p>
        </w:tc>
        <w:tc>
          <w:tcPr>
            <w:tcW w:w="1276" w:type="dxa"/>
          </w:tcPr>
          <w:p w:rsidR="00680EB7" w:rsidRPr="00B357D7" w:rsidRDefault="008E687A" w:rsidP="00F56A94">
            <w:pPr>
              <w:keepNext/>
              <w:widowControl w:val="0"/>
              <w:jc w:val="right"/>
              <w:rPr>
                <w:szCs w:val="24"/>
                <w:lang w:val="fr-FR"/>
              </w:rPr>
            </w:pPr>
            <w:r w:rsidRPr="00B357D7">
              <w:rPr>
                <w:szCs w:val="24"/>
                <w:lang w:val="fr-FR"/>
              </w:rPr>
              <w:t>1,54</w:t>
            </w:r>
          </w:p>
        </w:tc>
        <w:tc>
          <w:tcPr>
            <w:tcW w:w="1276" w:type="dxa"/>
          </w:tcPr>
          <w:p w:rsidR="00680EB7" w:rsidRPr="00B357D7" w:rsidRDefault="008E687A" w:rsidP="00F56A94">
            <w:pPr>
              <w:keepNext/>
              <w:widowControl w:val="0"/>
              <w:jc w:val="right"/>
              <w:rPr>
                <w:szCs w:val="24"/>
                <w:lang w:val="fr-FR"/>
              </w:rPr>
            </w:pPr>
            <w:r w:rsidRPr="00B357D7">
              <w:rPr>
                <w:szCs w:val="24"/>
                <w:lang w:val="fr-FR"/>
              </w:rPr>
              <w:t>1,37</w:t>
            </w:r>
          </w:p>
        </w:tc>
        <w:tc>
          <w:tcPr>
            <w:tcW w:w="1275" w:type="dxa"/>
          </w:tcPr>
          <w:p w:rsidR="00680EB7" w:rsidRPr="00B357D7" w:rsidRDefault="00680EB7" w:rsidP="00F56A94">
            <w:pPr>
              <w:keepNext/>
              <w:tabs>
                <w:tab w:val="decimal" w:pos="666"/>
              </w:tabs>
              <w:jc w:val="right"/>
              <w:rPr>
                <w:lang w:val="fr-FR"/>
              </w:rPr>
            </w:pPr>
            <w:r w:rsidRPr="00B357D7">
              <w:rPr>
                <w:lang w:val="fr-FR"/>
              </w:rPr>
              <w:t>2</w:t>
            </w:r>
          </w:p>
        </w:tc>
        <w:tc>
          <w:tcPr>
            <w:tcW w:w="1134" w:type="dxa"/>
          </w:tcPr>
          <w:p w:rsidR="00680EB7" w:rsidRPr="00B357D7" w:rsidRDefault="00680EB7" w:rsidP="00F56A94">
            <w:pPr>
              <w:keepNext/>
              <w:tabs>
                <w:tab w:val="decimal" w:pos="459"/>
              </w:tabs>
              <w:jc w:val="right"/>
              <w:rPr>
                <w:lang w:val="fr-FR"/>
              </w:rPr>
            </w:pPr>
            <w:r w:rsidRPr="00B357D7">
              <w:rPr>
                <w:lang w:val="fr-FR"/>
              </w:rPr>
              <w:t>2</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34</w:t>
            </w:r>
          </w:p>
        </w:tc>
        <w:tc>
          <w:tcPr>
            <w:tcW w:w="1357" w:type="dxa"/>
          </w:tcPr>
          <w:p w:rsidR="00680EB7" w:rsidRPr="00B357D7" w:rsidRDefault="008E687A" w:rsidP="00F56A94">
            <w:pPr>
              <w:keepNext/>
              <w:tabs>
                <w:tab w:val="decimal" w:pos="541"/>
              </w:tabs>
              <w:jc w:val="left"/>
              <w:rPr>
                <w:lang w:val="fr-FR"/>
              </w:rPr>
            </w:pPr>
            <w:r w:rsidRPr="00B357D7">
              <w:rPr>
                <w:lang w:val="fr-FR"/>
              </w:rPr>
              <w:t>19,61</w:t>
            </w:r>
          </w:p>
        </w:tc>
        <w:tc>
          <w:tcPr>
            <w:tcW w:w="1276" w:type="dxa"/>
          </w:tcPr>
          <w:p w:rsidR="00680EB7" w:rsidRPr="00B357D7" w:rsidRDefault="008E687A" w:rsidP="00F56A94">
            <w:pPr>
              <w:keepNext/>
              <w:widowControl w:val="0"/>
              <w:jc w:val="right"/>
              <w:rPr>
                <w:szCs w:val="24"/>
                <w:lang w:val="fr-FR"/>
              </w:rPr>
            </w:pPr>
            <w:r w:rsidRPr="00B357D7">
              <w:rPr>
                <w:szCs w:val="24"/>
                <w:lang w:val="fr-FR"/>
              </w:rPr>
              <w:t>45,63</w:t>
            </w:r>
          </w:p>
        </w:tc>
        <w:tc>
          <w:tcPr>
            <w:tcW w:w="1276" w:type="dxa"/>
          </w:tcPr>
          <w:p w:rsidR="00680EB7" w:rsidRPr="00B357D7" w:rsidRDefault="008E687A" w:rsidP="00F56A94">
            <w:pPr>
              <w:keepNext/>
              <w:widowControl w:val="0"/>
              <w:jc w:val="right"/>
              <w:rPr>
                <w:szCs w:val="24"/>
                <w:lang w:val="fr-FR"/>
              </w:rPr>
            </w:pPr>
            <w:r w:rsidRPr="00B357D7">
              <w:rPr>
                <w:szCs w:val="24"/>
                <w:lang w:val="fr-FR"/>
              </w:rPr>
              <w:t>33,46</w:t>
            </w:r>
          </w:p>
        </w:tc>
        <w:tc>
          <w:tcPr>
            <w:tcW w:w="1276" w:type="dxa"/>
          </w:tcPr>
          <w:p w:rsidR="00680EB7" w:rsidRPr="00B357D7" w:rsidRDefault="008E687A" w:rsidP="00F56A94">
            <w:pPr>
              <w:keepNext/>
              <w:widowControl w:val="0"/>
              <w:jc w:val="right"/>
              <w:rPr>
                <w:szCs w:val="24"/>
                <w:lang w:val="fr-FR"/>
              </w:rPr>
            </w:pPr>
            <w:r w:rsidRPr="00B357D7">
              <w:rPr>
                <w:szCs w:val="24"/>
                <w:lang w:val="fr-FR"/>
              </w:rPr>
              <w:t>28,92</w:t>
            </w:r>
          </w:p>
        </w:tc>
        <w:tc>
          <w:tcPr>
            <w:tcW w:w="1275" w:type="dxa"/>
          </w:tcPr>
          <w:p w:rsidR="00680EB7" w:rsidRPr="00B357D7" w:rsidRDefault="00680EB7" w:rsidP="00F56A94">
            <w:pPr>
              <w:keepNext/>
              <w:tabs>
                <w:tab w:val="decimal" w:pos="666"/>
              </w:tabs>
              <w:jc w:val="right"/>
              <w:rPr>
                <w:lang w:val="fr-FR"/>
              </w:rPr>
            </w:pPr>
            <w:r w:rsidRPr="00B357D7">
              <w:rPr>
                <w:lang w:val="fr-FR"/>
              </w:rPr>
              <w:t>40</w:t>
            </w:r>
          </w:p>
        </w:tc>
        <w:tc>
          <w:tcPr>
            <w:tcW w:w="1134" w:type="dxa"/>
          </w:tcPr>
          <w:p w:rsidR="00680EB7" w:rsidRPr="00B357D7" w:rsidRDefault="008E687A" w:rsidP="00F56A94">
            <w:pPr>
              <w:keepNext/>
              <w:tabs>
                <w:tab w:val="decimal" w:pos="459"/>
              </w:tabs>
              <w:jc w:val="right"/>
              <w:rPr>
                <w:lang w:val="fr-FR"/>
              </w:rPr>
            </w:pPr>
            <w:r w:rsidRPr="00B357D7">
              <w:rPr>
                <w:lang w:val="fr-FR"/>
              </w:rPr>
              <w:t>45,6</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37</w:t>
            </w:r>
          </w:p>
        </w:tc>
        <w:tc>
          <w:tcPr>
            <w:tcW w:w="1357" w:type="dxa"/>
          </w:tcPr>
          <w:p w:rsidR="00680EB7" w:rsidRPr="00B357D7" w:rsidRDefault="008E687A" w:rsidP="00F56A94">
            <w:pPr>
              <w:keepNext/>
              <w:tabs>
                <w:tab w:val="decimal" w:pos="541"/>
              </w:tabs>
              <w:jc w:val="left"/>
              <w:rPr>
                <w:lang w:val="fr-FR"/>
              </w:rPr>
            </w:pPr>
            <w:r w:rsidRPr="00B357D7">
              <w:rPr>
                <w:lang w:val="fr-FR"/>
              </w:rPr>
              <w:t>5,84</w:t>
            </w:r>
          </w:p>
        </w:tc>
        <w:tc>
          <w:tcPr>
            <w:tcW w:w="1276" w:type="dxa"/>
          </w:tcPr>
          <w:p w:rsidR="00680EB7" w:rsidRPr="00B357D7" w:rsidRDefault="008E687A" w:rsidP="00F56A94">
            <w:pPr>
              <w:keepNext/>
              <w:widowControl w:val="0"/>
              <w:jc w:val="right"/>
              <w:rPr>
                <w:szCs w:val="24"/>
                <w:lang w:val="fr-FR"/>
              </w:rPr>
            </w:pPr>
            <w:r w:rsidRPr="00B357D7">
              <w:rPr>
                <w:szCs w:val="24"/>
                <w:lang w:val="fr-FR"/>
              </w:rPr>
              <w:t>12,56</w:t>
            </w:r>
          </w:p>
        </w:tc>
        <w:tc>
          <w:tcPr>
            <w:tcW w:w="1276" w:type="dxa"/>
          </w:tcPr>
          <w:p w:rsidR="00680EB7" w:rsidRPr="00B357D7" w:rsidRDefault="008E687A" w:rsidP="00F56A94">
            <w:pPr>
              <w:keepNext/>
              <w:widowControl w:val="0"/>
              <w:jc w:val="right"/>
              <w:rPr>
                <w:szCs w:val="24"/>
                <w:lang w:val="fr-FR"/>
              </w:rPr>
            </w:pPr>
            <w:r w:rsidRPr="00B357D7">
              <w:rPr>
                <w:szCs w:val="24"/>
                <w:lang w:val="fr-FR"/>
              </w:rPr>
              <w:t>9,79</w:t>
            </w:r>
          </w:p>
        </w:tc>
        <w:tc>
          <w:tcPr>
            <w:tcW w:w="1276" w:type="dxa"/>
          </w:tcPr>
          <w:p w:rsidR="00680EB7" w:rsidRPr="00B357D7" w:rsidRDefault="008E687A" w:rsidP="00F56A94">
            <w:pPr>
              <w:keepNext/>
              <w:widowControl w:val="0"/>
              <w:jc w:val="right"/>
              <w:rPr>
                <w:szCs w:val="24"/>
                <w:lang w:val="fr-FR"/>
              </w:rPr>
            </w:pPr>
            <w:r w:rsidRPr="00B357D7">
              <w:rPr>
                <w:szCs w:val="24"/>
                <w:lang w:val="fr-FR"/>
              </w:rPr>
              <w:t>8,64</w:t>
            </w:r>
          </w:p>
        </w:tc>
        <w:tc>
          <w:tcPr>
            <w:tcW w:w="1275" w:type="dxa"/>
          </w:tcPr>
          <w:p w:rsidR="00680EB7" w:rsidRPr="00B357D7" w:rsidRDefault="00680EB7" w:rsidP="00F56A94">
            <w:pPr>
              <w:keepNext/>
              <w:tabs>
                <w:tab w:val="decimal" w:pos="666"/>
              </w:tabs>
              <w:jc w:val="right"/>
              <w:rPr>
                <w:lang w:val="fr-FR"/>
              </w:rPr>
            </w:pPr>
            <w:r w:rsidRPr="00B357D7">
              <w:rPr>
                <w:lang w:val="fr-FR"/>
              </w:rPr>
              <w:t>20</w:t>
            </w:r>
          </w:p>
        </w:tc>
        <w:tc>
          <w:tcPr>
            <w:tcW w:w="1134" w:type="dxa"/>
          </w:tcPr>
          <w:p w:rsidR="00680EB7" w:rsidRPr="00B357D7" w:rsidRDefault="008E687A" w:rsidP="00F56A94">
            <w:pPr>
              <w:keepNext/>
              <w:tabs>
                <w:tab w:val="decimal" w:pos="459"/>
              </w:tabs>
              <w:jc w:val="right"/>
              <w:rPr>
                <w:lang w:val="fr-FR"/>
              </w:rPr>
            </w:pPr>
            <w:r w:rsidRPr="00B357D7">
              <w:rPr>
                <w:lang w:val="fr-FR"/>
              </w:rPr>
              <w:t>12,6</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38</w:t>
            </w:r>
          </w:p>
        </w:tc>
        <w:tc>
          <w:tcPr>
            <w:tcW w:w="1357" w:type="dxa"/>
          </w:tcPr>
          <w:p w:rsidR="00680EB7" w:rsidRPr="00B357D7" w:rsidRDefault="008E687A" w:rsidP="00F56A94">
            <w:pPr>
              <w:keepNext/>
              <w:tabs>
                <w:tab w:val="decimal" w:pos="541"/>
              </w:tabs>
              <w:jc w:val="left"/>
              <w:rPr>
                <w:lang w:val="fr-FR"/>
              </w:rPr>
            </w:pPr>
            <w:r w:rsidRPr="00B357D7">
              <w:rPr>
                <w:lang w:val="fr-FR"/>
              </w:rPr>
              <w:t>0,97</w:t>
            </w:r>
          </w:p>
        </w:tc>
        <w:tc>
          <w:tcPr>
            <w:tcW w:w="1276" w:type="dxa"/>
          </w:tcPr>
          <w:p w:rsidR="00680EB7" w:rsidRPr="00B357D7" w:rsidRDefault="008E687A" w:rsidP="00F56A94">
            <w:pPr>
              <w:keepNext/>
              <w:widowControl w:val="0"/>
              <w:jc w:val="right"/>
              <w:rPr>
                <w:szCs w:val="24"/>
                <w:lang w:val="fr-FR"/>
              </w:rPr>
            </w:pPr>
            <w:r w:rsidRPr="00B357D7">
              <w:rPr>
                <w:szCs w:val="24"/>
                <w:lang w:val="fr-FR"/>
              </w:rPr>
              <w:t>2,00</w:t>
            </w:r>
          </w:p>
        </w:tc>
        <w:tc>
          <w:tcPr>
            <w:tcW w:w="1276" w:type="dxa"/>
          </w:tcPr>
          <w:p w:rsidR="00680EB7" w:rsidRPr="00B357D7" w:rsidRDefault="008E687A" w:rsidP="00F56A94">
            <w:pPr>
              <w:keepNext/>
              <w:widowControl w:val="0"/>
              <w:jc w:val="right"/>
              <w:rPr>
                <w:szCs w:val="24"/>
                <w:lang w:val="fr-FR"/>
              </w:rPr>
            </w:pPr>
            <w:r w:rsidRPr="00B357D7">
              <w:rPr>
                <w:szCs w:val="24"/>
                <w:lang w:val="fr-FR"/>
              </w:rPr>
              <w:t>1,59</w:t>
            </w:r>
          </w:p>
        </w:tc>
        <w:tc>
          <w:tcPr>
            <w:tcW w:w="1276" w:type="dxa"/>
          </w:tcPr>
          <w:p w:rsidR="00680EB7" w:rsidRPr="00B357D7" w:rsidRDefault="008E687A" w:rsidP="00F56A94">
            <w:pPr>
              <w:keepNext/>
              <w:widowControl w:val="0"/>
              <w:jc w:val="right"/>
              <w:rPr>
                <w:szCs w:val="24"/>
                <w:lang w:val="fr-FR"/>
              </w:rPr>
            </w:pPr>
            <w:r w:rsidRPr="00B357D7">
              <w:rPr>
                <w:szCs w:val="24"/>
                <w:lang w:val="fr-FR"/>
              </w:rPr>
              <w:t>1,42</w:t>
            </w:r>
          </w:p>
        </w:tc>
        <w:tc>
          <w:tcPr>
            <w:tcW w:w="1275" w:type="dxa"/>
          </w:tcPr>
          <w:p w:rsidR="00680EB7" w:rsidRPr="00B357D7" w:rsidRDefault="00680EB7" w:rsidP="00F56A94">
            <w:pPr>
              <w:keepNext/>
              <w:tabs>
                <w:tab w:val="decimal" w:pos="666"/>
              </w:tabs>
              <w:jc w:val="right"/>
              <w:rPr>
                <w:lang w:val="fr-FR"/>
              </w:rPr>
            </w:pPr>
            <w:r w:rsidRPr="00B357D7">
              <w:rPr>
                <w:lang w:val="fr-FR"/>
              </w:rPr>
              <w:t>2</w:t>
            </w:r>
          </w:p>
        </w:tc>
        <w:tc>
          <w:tcPr>
            <w:tcW w:w="1134" w:type="dxa"/>
          </w:tcPr>
          <w:p w:rsidR="00680EB7" w:rsidRPr="00B357D7" w:rsidRDefault="008E687A" w:rsidP="00F56A94">
            <w:pPr>
              <w:keepNext/>
              <w:tabs>
                <w:tab w:val="decimal" w:pos="459"/>
              </w:tabs>
              <w:jc w:val="right"/>
              <w:rPr>
                <w:lang w:val="fr-FR"/>
              </w:rPr>
            </w:pPr>
            <w:r w:rsidRPr="00B357D7">
              <w:rPr>
                <w:lang w:val="fr-FR"/>
              </w:rPr>
              <w:t>2,0</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42*</w:t>
            </w:r>
          </w:p>
        </w:tc>
        <w:tc>
          <w:tcPr>
            <w:tcW w:w="1357" w:type="dxa"/>
          </w:tcPr>
          <w:p w:rsidR="00680EB7" w:rsidRPr="00B357D7" w:rsidRDefault="008E687A" w:rsidP="00F56A94">
            <w:pPr>
              <w:keepNext/>
              <w:tabs>
                <w:tab w:val="decimal" w:pos="541"/>
              </w:tabs>
              <w:jc w:val="left"/>
              <w:rPr>
                <w:lang w:val="fr-FR"/>
              </w:rPr>
            </w:pPr>
            <w:r w:rsidRPr="00B357D7">
              <w:rPr>
                <w:lang w:val="fr-FR"/>
              </w:rPr>
              <w:t>0,83</w:t>
            </w:r>
          </w:p>
        </w:tc>
        <w:tc>
          <w:tcPr>
            <w:tcW w:w="1276" w:type="dxa"/>
          </w:tcPr>
          <w:p w:rsidR="00680EB7" w:rsidRPr="00B357D7" w:rsidRDefault="008E687A" w:rsidP="00F56A94">
            <w:pPr>
              <w:keepNext/>
              <w:widowControl w:val="0"/>
              <w:jc w:val="right"/>
              <w:rPr>
                <w:szCs w:val="24"/>
                <w:lang w:val="fr-FR"/>
              </w:rPr>
            </w:pPr>
            <w:r w:rsidRPr="00B357D7">
              <w:rPr>
                <w:szCs w:val="24"/>
                <w:lang w:val="fr-FR"/>
              </w:rPr>
              <w:t>1,66</w:t>
            </w:r>
          </w:p>
        </w:tc>
        <w:tc>
          <w:tcPr>
            <w:tcW w:w="1276" w:type="dxa"/>
          </w:tcPr>
          <w:p w:rsidR="00680EB7" w:rsidRPr="00B357D7" w:rsidRDefault="008E687A" w:rsidP="00F56A94">
            <w:pPr>
              <w:keepNext/>
              <w:widowControl w:val="0"/>
              <w:jc w:val="right"/>
              <w:rPr>
                <w:szCs w:val="24"/>
                <w:lang w:val="fr-FR"/>
              </w:rPr>
            </w:pPr>
            <w:r w:rsidRPr="00B357D7">
              <w:rPr>
                <w:szCs w:val="24"/>
                <w:lang w:val="fr-FR"/>
              </w:rPr>
              <w:t>1,31</w:t>
            </w:r>
          </w:p>
        </w:tc>
        <w:tc>
          <w:tcPr>
            <w:tcW w:w="1276" w:type="dxa"/>
          </w:tcPr>
          <w:p w:rsidR="00680EB7" w:rsidRPr="00B357D7" w:rsidRDefault="008E687A" w:rsidP="00F56A94">
            <w:pPr>
              <w:keepNext/>
              <w:widowControl w:val="0"/>
              <w:jc w:val="right"/>
              <w:rPr>
                <w:szCs w:val="24"/>
                <w:lang w:val="fr-FR"/>
              </w:rPr>
            </w:pPr>
            <w:r w:rsidRPr="00B357D7">
              <w:rPr>
                <w:szCs w:val="24"/>
                <w:lang w:val="fr-FR"/>
              </w:rPr>
              <w:t>1,16</w:t>
            </w:r>
          </w:p>
        </w:tc>
        <w:tc>
          <w:tcPr>
            <w:tcW w:w="1275" w:type="dxa"/>
          </w:tcPr>
          <w:p w:rsidR="00680EB7" w:rsidRPr="00B357D7" w:rsidRDefault="00680EB7" w:rsidP="00F56A94">
            <w:pPr>
              <w:keepNext/>
              <w:tabs>
                <w:tab w:val="decimal" w:pos="666"/>
              </w:tabs>
              <w:jc w:val="right"/>
              <w:rPr>
                <w:lang w:val="fr-FR"/>
              </w:rPr>
            </w:pPr>
            <w:r w:rsidRPr="00B357D7">
              <w:rPr>
                <w:lang w:val="fr-FR"/>
              </w:rPr>
              <w:t>2</w:t>
            </w:r>
          </w:p>
        </w:tc>
        <w:tc>
          <w:tcPr>
            <w:tcW w:w="1134" w:type="dxa"/>
          </w:tcPr>
          <w:p w:rsidR="00680EB7" w:rsidRPr="00B357D7" w:rsidRDefault="00680EB7" w:rsidP="00F56A94">
            <w:pPr>
              <w:keepNext/>
              <w:tabs>
                <w:tab w:val="decimal" w:pos="459"/>
              </w:tabs>
              <w:jc w:val="right"/>
              <w:rPr>
                <w:lang w:val="fr-FR"/>
              </w:rPr>
            </w:pPr>
            <w:r w:rsidRPr="00B357D7">
              <w:rPr>
                <w:lang w:val="fr-FR"/>
              </w:rPr>
              <w:t>2</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46</w:t>
            </w:r>
          </w:p>
        </w:tc>
        <w:tc>
          <w:tcPr>
            <w:tcW w:w="1357" w:type="dxa"/>
          </w:tcPr>
          <w:p w:rsidR="00680EB7" w:rsidRPr="00B357D7" w:rsidRDefault="008E687A" w:rsidP="00F56A94">
            <w:pPr>
              <w:keepNext/>
              <w:tabs>
                <w:tab w:val="decimal" w:pos="541"/>
              </w:tabs>
              <w:jc w:val="left"/>
              <w:rPr>
                <w:lang w:val="fr-FR"/>
              </w:rPr>
            </w:pPr>
            <w:r w:rsidRPr="00B357D7">
              <w:rPr>
                <w:lang w:val="fr-FR"/>
              </w:rPr>
              <w:t>0,47</w:t>
            </w:r>
          </w:p>
        </w:tc>
        <w:tc>
          <w:tcPr>
            <w:tcW w:w="1276" w:type="dxa"/>
          </w:tcPr>
          <w:p w:rsidR="00680EB7" w:rsidRPr="00B357D7" w:rsidRDefault="008E687A" w:rsidP="00F56A94">
            <w:pPr>
              <w:keepNext/>
              <w:widowControl w:val="0"/>
              <w:jc w:val="right"/>
              <w:rPr>
                <w:szCs w:val="24"/>
                <w:lang w:val="fr-FR"/>
              </w:rPr>
            </w:pPr>
            <w:r w:rsidRPr="00B357D7">
              <w:rPr>
                <w:szCs w:val="24"/>
                <w:lang w:val="fr-FR"/>
              </w:rPr>
              <w:t>1,03</w:t>
            </w:r>
          </w:p>
        </w:tc>
        <w:tc>
          <w:tcPr>
            <w:tcW w:w="1276" w:type="dxa"/>
          </w:tcPr>
          <w:p w:rsidR="00680EB7" w:rsidRPr="00B357D7" w:rsidRDefault="008E687A" w:rsidP="00F56A94">
            <w:pPr>
              <w:keepNext/>
              <w:widowControl w:val="0"/>
              <w:jc w:val="right"/>
              <w:rPr>
                <w:szCs w:val="24"/>
                <w:lang w:val="fr-FR"/>
              </w:rPr>
            </w:pPr>
            <w:r w:rsidRPr="00B357D7">
              <w:rPr>
                <w:szCs w:val="24"/>
                <w:lang w:val="fr-FR"/>
              </w:rPr>
              <w:t>0,77</w:t>
            </w:r>
          </w:p>
        </w:tc>
        <w:tc>
          <w:tcPr>
            <w:tcW w:w="1276" w:type="dxa"/>
          </w:tcPr>
          <w:p w:rsidR="00680EB7" w:rsidRPr="00B357D7" w:rsidRDefault="008E687A" w:rsidP="00F56A94">
            <w:pPr>
              <w:keepNext/>
              <w:widowControl w:val="0"/>
              <w:jc w:val="right"/>
              <w:rPr>
                <w:szCs w:val="24"/>
                <w:lang w:val="fr-FR"/>
              </w:rPr>
            </w:pPr>
            <w:r w:rsidRPr="00B357D7">
              <w:rPr>
                <w:szCs w:val="24"/>
                <w:lang w:val="fr-FR"/>
              </w:rPr>
              <w:t>0,67</w:t>
            </w:r>
          </w:p>
        </w:tc>
        <w:tc>
          <w:tcPr>
            <w:tcW w:w="1275" w:type="dxa"/>
          </w:tcPr>
          <w:p w:rsidR="00680EB7" w:rsidRPr="00B357D7" w:rsidRDefault="00680EB7" w:rsidP="00F56A94">
            <w:pPr>
              <w:keepNext/>
              <w:tabs>
                <w:tab w:val="decimal" w:pos="666"/>
              </w:tabs>
              <w:jc w:val="right"/>
              <w:rPr>
                <w:lang w:val="fr-FR"/>
              </w:rPr>
            </w:pPr>
            <w:r w:rsidRPr="00B357D7">
              <w:rPr>
                <w:lang w:val="fr-FR"/>
              </w:rPr>
              <w:t>2</w:t>
            </w:r>
          </w:p>
        </w:tc>
        <w:tc>
          <w:tcPr>
            <w:tcW w:w="1134" w:type="dxa"/>
          </w:tcPr>
          <w:p w:rsidR="00680EB7" w:rsidRPr="00B357D7" w:rsidRDefault="008E687A" w:rsidP="00F56A94">
            <w:pPr>
              <w:keepNext/>
              <w:tabs>
                <w:tab w:val="decimal" w:pos="459"/>
              </w:tabs>
              <w:jc w:val="right"/>
              <w:rPr>
                <w:lang w:val="fr-FR"/>
              </w:rPr>
            </w:pPr>
            <w:r w:rsidRPr="00B357D7">
              <w:rPr>
                <w:lang w:val="fr-FR"/>
              </w:rPr>
              <w:t>1,0</w:t>
            </w:r>
          </w:p>
        </w:tc>
      </w:tr>
      <w:tr w:rsidR="00680EB7" w:rsidRPr="00B357D7" w:rsidTr="00F56A94">
        <w:trPr>
          <w:cantSplit/>
        </w:trPr>
        <w:tc>
          <w:tcPr>
            <w:tcW w:w="1586" w:type="dxa"/>
          </w:tcPr>
          <w:p w:rsidR="00680EB7" w:rsidRPr="00B357D7" w:rsidRDefault="00680EB7" w:rsidP="00F56A94">
            <w:pPr>
              <w:keepNext/>
              <w:tabs>
                <w:tab w:val="decimal" w:pos="851"/>
              </w:tabs>
              <w:jc w:val="left"/>
              <w:rPr>
                <w:lang w:val="fr-FR"/>
              </w:rPr>
            </w:pPr>
            <w:r w:rsidRPr="00B357D7">
              <w:rPr>
                <w:lang w:val="fr-FR"/>
              </w:rPr>
              <w:t>57</w:t>
            </w:r>
          </w:p>
        </w:tc>
        <w:tc>
          <w:tcPr>
            <w:tcW w:w="1357" w:type="dxa"/>
          </w:tcPr>
          <w:p w:rsidR="00680EB7" w:rsidRPr="00B357D7" w:rsidRDefault="008E687A" w:rsidP="00F56A94">
            <w:pPr>
              <w:keepNext/>
              <w:tabs>
                <w:tab w:val="decimal" w:pos="541"/>
              </w:tabs>
              <w:jc w:val="left"/>
              <w:rPr>
                <w:lang w:val="fr-FR"/>
              </w:rPr>
            </w:pPr>
            <w:r w:rsidRPr="00B357D7">
              <w:rPr>
                <w:lang w:val="fr-FR"/>
              </w:rPr>
              <w:t>4,03</w:t>
            </w:r>
          </w:p>
        </w:tc>
        <w:tc>
          <w:tcPr>
            <w:tcW w:w="1276" w:type="dxa"/>
          </w:tcPr>
          <w:p w:rsidR="00680EB7" w:rsidRPr="00B357D7" w:rsidRDefault="008E687A" w:rsidP="00F56A94">
            <w:pPr>
              <w:keepNext/>
              <w:widowControl w:val="0"/>
              <w:jc w:val="right"/>
              <w:rPr>
                <w:szCs w:val="24"/>
                <w:lang w:val="fr-FR"/>
              </w:rPr>
            </w:pPr>
            <w:r w:rsidRPr="00B357D7">
              <w:rPr>
                <w:szCs w:val="24"/>
                <w:lang w:val="fr-FR"/>
              </w:rPr>
              <w:t>9,70</w:t>
            </w:r>
          </w:p>
        </w:tc>
        <w:tc>
          <w:tcPr>
            <w:tcW w:w="1276" w:type="dxa"/>
          </w:tcPr>
          <w:p w:rsidR="00680EB7" w:rsidRPr="00B357D7" w:rsidRDefault="008E687A" w:rsidP="00F56A94">
            <w:pPr>
              <w:keepNext/>
              <w:widowControl w:val="0"/>
              <w:jc w:val="right"/>
              <w:rPr>
                <w:szCs w:val="24"/>
                <w:lang w:val="fr-FR"/>
              </w:rPr>
            </w:pPr>
            <w:r w:rsidRPr="00B357D7">
              <w:rPr>
                <w:szCs w:val="24"/>
                <w:lang w:val="fr-FR"/>
              </w:rPr>
              <w:t>7,01</w:t>
            </w:r>
          </w:p>
        </w:tc>
        <w:tc>
          <w:tcPr>
            <w:tcW w:w="1276" w:type="dxa"/>
          </w:tcPr>
          <w:p w:rsidR="00680EB7" w:rsidRPr="00B357D7" w:rsidRDefault="008E687A" w:rsidP="00F56A94">
            <w:pPr>
              <w:keepNext/>
              <w:widowControl w:val="0"/>
              <w:jc w:val="right"/>
              <w:rPr>
                <w:szCs w:val="24"/>
                <w:lang w:val="fr-FR"/>
              </w:rPr>
            </w:pPr>
            <w:r w:rsidRPr="00B357D7">
              <w:rPr>
                <w:szCs w:val="24"/>
                <w:lang w:val="fr-FR"/>
              </w:rPr>
              <w:t>6,02</w:t>
            </w:r>
          </w:p>
        </w:tc>
        <w:tc>
          <w:tcPr>
            <w:tcW w:w="1275" w:type="dxa"/>
          </w:tcPr>
          <w:p w:rsidR="00680EB7" w:rsidRPr="00B357D7" w:rsidRDefault="00680EB7" w:rsidP="00F56A94">
            <w:pPr>
              <w:keepNext/>
              <w:tabs>
                <w:tab w:val="decimal" w:pos="666"/>
              </w:tabs>
              <w:jc w:val="right"/>
              <w:rPr>
                <w:lang w:val="fr-FR"/>
              </w:rPr>
            </w:pPr>
            <w:r w:rsidRPr="00B357D7">
              <w:rPr>
                <w:lang w:val="fr-FR"/>
              </w:rPr>
              <w:t>8</w:t>
            </w:r>
          </w:p>
        </w:tc>
        <w:tc>
          <w:tcPr>
            <w:tcW w:w="1134" w:type="dxa"/>
          </w:tcPr>
          <w:p w:rsidR="00680EB7" w:rsidRPr="00B357D7" w:rsidRDefault="008E687A" w:rsidP="00F56A94">
            <w:pPr>
              <w:keepNext/>
              <w:tabs>
                <w:tab w:val="decimal" w:pos="459"/>
              </w:tabs>
              <w:jc w:val="right"/>
              <w:rPr>
                <w:lang w:val="fr-FR"/>
              </w:rPr>
            </w:pPr>
            <w:r w:rsidRPr="00B357D7">
              <w:rPr>
                <w:lang w:val="fr-FR"/>
              </w:rPr>
              <w:t>9,7</w:t>
            </w:r>
          </w:p>
        </w:tc>
      </w:tr>
    </w:tbl>
    <w:p w:rsidR="00D76723" w:rsidRPr="008A18FF" w:rsidRDefault="00680EB7" w:rsidP="00F56A94">
      <w:pPr>
        <w:rPr>
          <w:sz w:val="18"/>
          <w:szCs w:val="18"/>
          <w:lang w:val="fr-FR"/>
        </w:rPr>
      </w:pPr>
      <w:r w:rsidRPr="008A18FF">
        <w:rPr>
          <w:sz w:val="18"/>
          <w:szCs w:val="18"/>
          <w:vertAlign w:val="superscript"/>
          <w:lang w:val="fr-FR"/>
        </w:rPr>
        <w:t xml:space="preserve">* </w:t>
      </w:r>
      <w:r w:rsidR="0094138E" w:rsidRPr="008A18FF">
        <w:rPr>
          <w:sz w:val="18"/>
          <w:szCs w:val="18"/>
          <w:lang w:val="fr-FR"/>
        </w:rPr>
        <w:t xml:space="preserve">Ces caractères </w:t>
      </w:r>
      <w:r w:rsidR="00B67E44" w:rsidRPr="008A18FF">
        <w:rPr>
          <w:sz w:val="18"/>
          <w:szCs w:val="18"/>
          <w:lang w:val="fr-FR"/>
        </w:rPr>
        <w:t>sont classés</w:t>
      </w:r>
      <w:r w:rsidR="0094138E" w:rsidRPr="008A18FF">
        <w:rPr>
          <w:sz w:val="18"/>
          <w:szCs w:val="18"/>
          <w:lang w:val="fr-FR"/>
        </w:rPr>
        <w:t xml:space="preserve"> VG/MG;</w:t>
      </w:r>
      <w:r w:rsidR="003608E2" w:rsidRPr="008A18FF">
        <w:rPr>
          <w:sz w:val="18"/>
          <w:szCs w:val="18"/>
          <w:lang w:val="fr-FR"/>
        </w:rPr>
        <w:t xml:space="preserve"> </w:t>
      </w:r>
      <w:r w:rsidR="0094138E" w:rsidRPr="008A18FF">
        <w:rPr>
          <w:sz w:val="18"/>
          <w:szCs w:val="18"/>
          <w:lang w:val="fr-FR"/>
        </w:rPr>
        <w:t xml:space="preserve"> par conséquent il est plus approprié d</w:t>
      </w:r>
      <w:r w:rsidR="009143C1" w:rsidRPr="008A18FF">
        <w:rPr>
          <w:sz w:val="18"/>
          <w:szCs w:val="18"/>
          <w:lang w:val="fr-FR"/>
        </w:rPr>
        <w:t>’</w:t>
      </w:r>
      <w:r w:rsidR="0094138E" w:rsidRPr="008A18FF">
        <w:rPr>
          <w:sz w:val="18"/>
          <w:szCs w:val="18"/>
          <w:lang w:val="fr-FR"/>
        </w:rPr>
        <w:t>exprimer la valeur tolérance en nombre entier</w:t>
      </w:r>
      <w:r w:rsidR="00D76723" w:rsidRPr="008A18FF">
        <w:rPr>
          <w:sz w:val="18"/>
          <w:szCs w:val="18"/>
          <w:lang w:val="fr-FR"/>
        </w:rPr>
        <w:t>.</w:t>
      </w:r>
    </w:p>
    <w:p w:rsidR="00AA7D33" w:rsidRPr="00B357D7" w:rsidRDefault="00AA7D33" w:rsidP="00F56A94">
      <w:pPr>
        <w:rPr>
          <w:lang w:val="fr-FR" w:eastAsia="ja-JP"/>
        </w:rPr>
      </w:pP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8E687A" w:rsidRPr="00B357D7">
        <w:rPr>
          <w:lang w:val="fr-FR" w:eastAsia="ja-JP"/>
        </w:rPr>
        <w:t>Les seuils de premier cycle sont toujours supérieurs à ceux de l</w:t>
      </w:r>
      <w:r w:rsidR="009143C1" w:rsidRPr="00B357D7">
        <w:rPr>
          <w:lang w:val="fr-FR" w:eastAsia="ja-JP"/>
        </w:rPr>
        <w:t>’</w:t>
      </w:r>
      <w:r w:rsidR="008E687A" w:rsidRPr="00B357D7">
        <w:rPr>
          <w:lang w:val="fr-FR" w:eastAsia="ja-JP"/>
        </w:rPr>
        <w:t>analyse C</w:t>
      </w:r>
      <w:r w:rsidR="00B357D7" w:rsidRPr="00B357D7">
        <w:rPr>
          <w:lang w:val="fr-FR" w:eastAsia="ja-JP"/>
        </w:rPr>
        <w:t>OYD.  Le</w:t>
      </w:r>
      <w:r w:rsidR="008E687A" w:rsidRPr="00B357D7">
        <w:rPr>
          <w:lang w:val="fr-FR" w:eastAsia="ja-JP"/>
        </w:rPr>
        <w:t xml:space="preserve"> degré de supériorité dépend du degré d</w:t>
      </w:r>
      <w:r w:rsidR="009143C1" w:rsidRPr="00B357D7">
        <w:rPr>
          <w:lang w:val="fr-FR" w:eastAsia="ja-JP"/>
        </w:rPr>
        <w:t>’</w:t>
      </w:r>
      <w:r w:rsidR="008E687A" w:rsidRPr="00B357D7">
        <w:rPr>
          <w:lang w:val="fr-FR" w:eastAsia="ja-JP"/>
        </w:rPr>
        <w:t xml:space="preserve">hétérogénéité présent, en particulier pour les valeurs les plus élevées de </w:t>
      </w:r>
      <w:proofErr w:type="spellStart"/>
      <w:r w:rsidR="008E687A" w:rsidRPr="00B357D7">
        <w:rPr>
          <w:lang w:val="fr-FR" w:eastAsia="ja-JP"/>
        </w:rPr>
        <w:t>pD</w:t>
      </w:r>
      <w:proofErr w:type="spellEnd"/>
      <w:r w:rsidR="008E687A" w:rsidRPr="00B357D7">
        <w:rPr>
          <w:lang w:val="fr-FR" w:eastAsia="ja-JP"/>
        </w:rPr>
        <w:t>.</w:t>
      </w: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A110B3" w:rsidRPr="00B357D7">
        <w:rPr>
          <w:lang w:val="fr-FR" w:eastAsia="ja-JP"/>
        </w:rPr>
        <w:t>Les résultats ci</w:t>
      </w:r>
      <w:r w:rsidR="00F56A94">
        <w:rPr>
          <w:lang w:val="fr-FR" w:eastAsia="ja-JP"/>
        </w:rPr>
        <w:noBreakHyphen/>
      </w:r>
      <w:r w:rsidR="00A110B3" w:rsidRPr="00B357D7">
        <w:rPr>
          <w:lang w:val="fr-FR" w:eastAsia="ja-JP"/>
        </w:rPr>
        <w:t>dessus sont une actualisation de ceux présentés dans le document TWC/33/20</w:t>
      </w:r>
      <w:r w:rsidR="003608E2" w:rsidRPr="00B357D7">
        <w:rPr>
          <w:lang w:val="fr-FR" w:eastAsia="ja-JP"/>
        </w:rPr>
        <w:t> </w:t>
      </w:r>
      <w:proofErr w:type="spellStart"/>
      <w:r w:rsidR="00A110B3" w:rsidRPr="00B357D7">
        <w:rPr>
          <w:lang w:val="fr-FR" w:eastAsia="ja-JP"/>
        </w:rPr>
        <w:t>R</w:t>
      </w:r>
      <w:r w:rsidR="00B357D7" w:rsidRPr="00B357D7">
        <w:rPr>
          <w:lang w:val="fr-FR" w:eastAsia="ja-JP"/>
        </w:rPr>
        <w:t>ev</w:t>
      </w:r>
      <w:proofErr w:type="spellEnd"/>
      <w:r w:rsidR="00B357D7" w:rsidRPr="00B357D7">
        <w:rPr>
          <w:lang w:val="fr-FR" w:eastAsia="ja-JP"/>
        </w:rPr>
        <w:t>.  Po</w:t>
      </w:r>
      <w:r w:rsidR="00A110B3" w:rsidRPr="00B357D7">
        <w:rPr>
          <w:lang w:val="fr-FR" w:eastAsia="ja-JP"/>
        </w:rPr>
        <w:t>ur déterminer l</w:t>
      </w:r>
      <w:r w:rsidR="009143C1" w:rsidRPr="00B357D7">
        <w:rPr>
          <w:lang w:val="fr-FR" w:eastAsia="ja-JP"/>
        </w:rPr>
        <w:t>’</w:t>
      </w:r>
      <w:r w:rsidR="00A110B3" w:rsidRPr="00B357D7">
        <w:rPr>
          <w:lang w:val="fr-FR" w:eastAsia="ja-JP"/>
        </w:rPr>
        <w:t xml:space="preserve">effet de </w:t>
      </w:r>
      <w:r w:rsidR="00415D88" w:rsidRPr="00B357D7">
        <w:rPr>
          <w:lang w:val="fr-FR" w:eastAsia="ja-JP"/>
        </w:rPr>
        <w:t>l</w:t>
      </w:r>
      <w:r w:rsidR="009143C1" w:rsidRPr="00B357D7">
        <w:rPr>
          <w:lang w:val="fr-FR" w:eastAsia="ja-JP"/>
        </w:rPr>
        <w:t>’</w:t>
      </w:r>
      <w:r w:rsidR="00415D88" w:rsidRPr="00B357D7">
        <w:rPr>
          <w:lang w:val="fr-FR" w:eastAsia="ja-JP"/>
        </w:rPr>
        <w:t>utilisation des tolérances, le jeu de données</w:t>
      </w:r>
      <w:r w:rsidR="00A110B3" w:rsidRPr="00B357D7">
        <w:rPr>
          <w:lang w:val="fr-FR" w:eastAsia="ja-JP"/>
        </w:rPr>
        <w:t xml:space="preserve"> relatif aux pois a été utilisé pour étudier l</w:t>
      </w:r>
      <w:r w:rsidR="009143C1" w:rsidRPr="00B357D7">
        <w:rPr>
          <w:lang w:val="fr-FR" w:eastAsia="ja-JP"/>
        </w:rPr>
        <w:t>’</w:t>
      </w:r>
      <w:r w:rsidR="00A110B3" w:rsidRPr="00B357D7">
        <w:rPr>
          <w:lang w:val="fr-FR" w:eastAsia="ja-JP"/>
        </w:rPr>
        <w:t>effet des décisions de la première année sur la base des tolérances existantes et calculées.</w:t>
      </w:r>
    </w:p>
    <w:p w:rsidR="00AA7D33" w:rsidRPr="00B357D7" w:rsidRDefault="00AA7D33" w:rsidP="00F56A94">
      <w:pPr>
        <w:rPr>
          <w:lang w:val="fr-FR"/>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A110B3" w:rsidRPr="00B357D7">
        <w:rPr>
          <w:lang w:val="fr-FR" w:eastAsia="ja-JP"/>
        </w:rPr>
        <w:t>Les décisions de première année ont été comparées aux décisions de l</w:t>
      </w:r>
      <w:r w:rsidR="009143C1" w:rsidRPr="00B357D7">
        <w:rPr>
          <w:lang w:val="fr-FR" w:eastAsia="ja-JP"/>
        </w:rPr>
        <w:t>’</w:t>
      </w:r>
      <w:r w:rsidR="00A110B3" w:rsidRPr="00B357D7">
        <w:rPr>
          <w:lang w:val="fr-FR" w:eastAsia="ja-JP"/>
        </w:rPr>
        <w:t>analyse COYD sur deux</w:t>
      </w:r>
      <w:r w:rsidR="003608E2" w:rsidRPr="00B357D7">
        <w:rPr>
          <w:lang w:val="fr-FR" w:eastAsia="ja-JP"/>
        </w:rPr>
        <w:t> </w:t>
      </w:r>
      <w:r w:rsidR="00A110B3" w:rsidRPr="00B357D7">
        <w:rPr>
          <w:lang w:val="fr-FR" w:eastAsia="ja-JP"/>
        </w:rPr>
        <w:t>années consécutives (1995</w:t>
      </w:r>
      <w:r w:rsidR="00F56A94">
        <w:rPr>
          <w:lang w:val="fr-FR" w:eastAsia="ja-JP"/>
        </w:rPr>
        <w:noBreakHyphen/>
      </w:r>
      <w:r w:rsidR="00A110B3" w:rsidRPr="00B357D7">
        <w:rPr>
          <w:lang w:val="fr-FR" w:eastAsia="ja-JP"/>
        </w:rPr>
        <w:t>96, 1996</w:t>
      </w:r>
      <w:r w:rsidR="00F56A94">
        <w:rPr>
          <w:lang w:val="fr-FR" w:eastAsia="ja-JP"/>
        </w:rPr>
        <w:noBreakHyphen/>
      </w:r>
      <w:r w:rsidR="00A110B3" w:rsidRPr="00B357D7">
        <w:rPr>
          <w:lang w:val="fr-FR" w:eastAsia="ja-JP"/>
        </w:rPr>
        <w:t>97, 1997</w:t>
      </w:r>
      <w:r w:rsidR="00F56A94">
        <w:rPr>
          <w:lang w:val="fr-FR" w:eastAsia="ja-JP"/>
        </w:rPr>
        <w:noBreakHyphen/>
      </w:r>
      <w:r w:rsidR="00A110B3" w:rsidRPr="00B357D7">
        <w:rPr>
          <w:lang w:val="fr-FR" w:eastAsia="ja-JP"/>
        </w:rPr>
        <w:t>98</w:t>
      </w:r>
      <w:r w:rsidR="003351CC" w:rsidRPr="00B357D7">
        <w:rPr>
          <w:lang w:val="fr-FR" w:eastAsia="ja-JP"/>
        </w:rPr>
        <w:t>,</w:t>
      </w:r>
      <w:r w:rsidR="00A110B3" w:rsidRPr="00B357D7">
        <w:rPr>
          <w:lang w:val="fr-FR" w:eastAsia="ja-JP"/>
        </w:rPr>
        <w:t xml:space="preserve"> etc.) pour chaque caractè</w:t>
      </w:r>
      <w:r w:rsidR="00B357D7" w:rsidRPr="00B357D7">
        <w:rPr>
          <w:lang w:val="fr-FR" w:eastAsia="ja-JP"/>
        </w:rPr>
        <w:t>re.  Po</w:t>
      </w:r>
      <w:r w:rsidR="00A110B3" w:rsidRPr="00B357D7">
        <w:rPr>
          <w:lang w:val="fr-FR" w:eastAsia="ja-JP"/>
        </w:rPr>
        <w:t>ur évaluer les différents seuils, des taux d</w:t>
      </w:r>
      <w:r w:rsidR="009143C1" w:rsidRPr="00B357D7">
        <w:rPr>
          <w:lang w:val="fr-FR" w:eastAsia="ja-JP"/>
        </w:rPr>
        <w:t>’</w:t>
      </w:r>
      <w:r w:rsidR="00A110B3" w:rsidRPr="00B357D7">
        <w:rPr>
          <w:lang w:val="fr-FR" w:eastAsia="ja-JP"/>
        </w:rPr>
        <w:t>erreurs ont été calculés</w:t>
      </w:r>
      <w:r w:rsidR="003608E2" w:rsidRPr="00B357D7">
        <w:rPr>
          <w:lang w:val="fr-FR" w:eastAsia="ja-JP"/>
        </w:rPr>
        <w:t> </w:t>
      </w:r>
      <w:r w:rsidR="00A110B3" w:rsidRPr="00B357D7">
        <w:rPr>
          <w:lang w:val="fr-FR" w:eastAsia="ja-JP"/>
        </w:rPr>
        <w:t>:</w:t>
      </w:r>
    </w:p>
    <w:p w:rsidR="00AA7D33" w:rsidRPr="00B357D7" w:rsidRDefault="00AA7D33" w:rsidP="00F56A94">
      <w:pPr>
        <w:rPr>
          <w:lang w:val="fr-FR" w:eastAsia="ja-JP"/>
        </w:rPr>
      </w:pPr>
    </w:p>
    <w:p w:rsidR="00AA7D33" w:rsidRPr="00B357D7" w:rsidRDefault="009C1D27" w:rsidP="00F56A94">
      <w:pPr>
        <w:ind w:left="1134" w:hanging="567"/>
        <w:rPr>
          <w:lang w:val="fr-FR" w:eastAsia="ja-JP"/>
        </w:rPr>
      </w:pPr>
      <w:r w:rsidRPr="00B357D7">
        <w:rPr>
          <w:lang w:val="fr-FR" w:eastAsia="ja-JP"/>
        </w:rPr>
        <w:t>•</w:t>
      </w:r>
      <w:r w:rsidRPr="00B357D7">
        <w:rPr>
          <w:lang w:val="fr-FR" w:eastAsia="ja-JP"/>
        </w:rPr>
        <w:tab/>
        <w:t xml:space="preserve">Taux </w:t>
      </w:r>
      <w:r w:rsidR="00AA7D33" w:rsidRPr="00B357D7">
        <w:rPr>
          <w:lang w:val="fr-FR" w:eastAsia="ja-JP"/>
        </w:rPr>
        <w:t>de faux</w:t>
      </w:r>
      <w:r w:rsidR="002D752B" w:rsidRPr="00B357D7">
        <w:rPr>
          <w:lang w:val="fr-FR" w:eastAsia="ja-JP"/>
        </w:rPr>
        <w:t xml:space="preserve"> </w:t>
      </w:r>
      <w:r w:rsidRPr="00B357D7">
        <w:rPr>
          <w:lang w:val="fr-FR" w:eastAsia="ja-JP"/>
        </w:rPr>
        <w:t>positif</w:t>
      </w:r>
      <w:r w:rsidR="003608E2" w:rsidRPr="00B357D7">
        <w:rPr>
          <w:lang w:val="fr-FR" w:eastAsia="ja-JP"/>
        </w:rPr>
        <w:t> </w:t>
      </w:r>
      <w:r w:rsidRPr="00B357D7">
        <w:rPr>
          <w:lang w:val="fr-FR" w:eastAsia="ja-JP"/>
        </w:rPr>
        <w:t>: C</w:t>
      </w:r>
      <w:r w:rsidR="009143C1" w:rsidRPr="00B357D7">
        <w:rPr>
          <w:lang w:val="fr-FR" w:eastAsia="ja-JP"/>
        </w:rPr>
        <w:t>’</w:t>
      </w:r>
      <w:r w:rsidRPr="00B357D7">
        <w:rPr>
          <w:lang w:val="fr-FR" w:eastAsia="ja-JP"/>
        </w:rPr>
        <w:t>est l</w:t>
      </w:r>
      <w:r w:rsidR="003351CC" w:rsidRPr="00B357D7">
        <w:rPr>
          <w:lang w:val="fr-FR" w:eastAsia="ja-JP"/>
        </w:rPr>
        <w:t xml:space="preserve">e nombre de </w:t>
      </w:r>
      <w:r w:rsidRPr="00B357D7">
        <w:rPr>
          <w:lang w:val="fr-FR" w:eastAsia="ja-JP"/>
        </w:rPr>
        <w:t xml:space="preserve">fois </w:t>
      </w:r>
      <w:r w:rsidR="003351CC" w:rsidRPr="00B357D7">
        <w:rPr>
          <w:lang w:val="fr-FR" w:eastAsia="ja-JP"/>
        </w:rPr>
        <w:t xml:space="preserve">exprimé en pourcentage </w:t>
      </w:r>
      <w:r w:rsidRPr="00B357D7">
        <w:rPr>
          <w:lang w:val="fr-FR" w:eastAsia="ja-JP"/>
        </w:rPr>
        <w:t>pour chaque caractère que le seuil de la première année a indiqué qu</w:t>
      </w:r>
      <w:r w:rsidR="009143C1" w:rsidRPr="00B357D7">
        <w:rPr>
          <w:lang w:val="fr-FR" w:eastAsia="ja-JP"/>
        </w:rPr>
        <w:t>’</w:t>
      </w:r>
      <w:r w:rsidRPr="00B357D7">
        <w:rPr>
          <w:lang w:val="fr-FR" w:eastAsia="ja-JP"/>
        </w:rPr>
        <w:t>une variété serait distincte d</w:t>
      </w:r>
      <w:r w:rsidR="009143C1" w:rsidRPr="00B357D7">
        <w:rPr>
          <w:lang w:val="fr-FR" w:eastAsia="ja-JP"/>
        </w:rPr>
        <w:t>’</w:t>
      </w:r>
      <w:r w:rsidRPr="00B357D7">
        <w:rPr>
          <w:lang w:val="fr-FR" w:eastAsia="ja-JP"/>
        </w:rPr>
        <w:t>une autre variété alors que la seconde année elle s</w:t>
      </w:r>
      <w:r w:rsidR="009143C1" w:rsidRPr="00B357D7">
        <w:rPr>
          <w:lang w:val="fr-FR" w:eastAsia="ja-JP"/>
        </w:rPr>
        <w:t>’</w:t>
      </w:r>
      <w:r w:rsidRPr="00B357D7">
        <w:rPr>
          <w:lang w:val="fr-FR" w:eastAsia="ja-JP"/>
        </w:rPr>
        <w:t>est révélé</w:t>
      </w:r>
      <w:r w:rsidR="003351CC" w:rsidRPr="00B357D7">
        <w:rPr>
          <w:lang w:val="fr-FR" w:eastAsia="ja-JP"/>
        </w:rPr>
        <w:t>e</w:t>
      </w:r>
      <w:r w:rsidRPr="00B357D7">
        <w:rPr>
          <w:lang w:val="fr-FR" w:eastAsia="ja-JP"/>
        </w:rPr>
        <w:t xml:space="preserve"> non distinc</w:t>
      </w:r>
      <w:r w:rsidR="00B357D7" w:rsidRPr="00B357D7">
        <w:rPr>
          <w:lang w:val="fr-FR" w:eastAsia="ja-JP"/>
        </w:rPr>
        <w:t>te.  Ce</w:t>
      </w:r>
      <w:r w:rsidRPr="00B357D7">
        <w:rPr>
          <w:lang w:val="fr-FR" w:eastAsia="ja-JP"/>
        </w:rPr>
        <w:t>la montre l</w:t>
      </w:r>
      <w:r w:rsidR="009143C1" w:rsidRPr="00B357D7">
        <w:rPr>
          <w:lang w:val="fr-FR" w:eastAsia="ja-JP"/>
        </w:rPr>
        <w:t>’</w:t>
      </w:r>
      <w:r w:rsidRPr="00B357D7">
        <w:rPr>
          <w:lang w:val="fr-FR" w:eastAsia="ja-JP"/>
        </w:rPr>
        <w:t xml:space="preserve">inconvénient de prendre une décision précoce; </w:t>
      </w:r>
      <w:r w:rsidR="003608E2" w:rsidRPr="00B357D7">
        <w:rPr>
          <w:lang w:val="fr-FR" w:eastAsia="ja-JP"/>
        </w:rPr>
        <w:t xml:space="preserve"> </w:t>
      </w:r>
      <w:r w:rsidRPr="00B357D7">
        <w:rPr>
          <w:lang w:val="fr-FR" w:eastAsia="ja-JP"/>
        </w:rPr>
        <w:t>parfois une paire de variétés peut être déclarée distincte la première année et se révéler non distincte ultérieureme</w:t>
      </w:r>
      <w:r w:rsidR="00B357D7" w:rsidRPr="00B357D7">
        <w:rPr>
          <w:lang w:val="fr-FR" w:eastAsia="ja-JP"/>
        </w:rPr>
        <w:t>nt.  Le</w:t>
      </w:r>
      <w:r w:rsidRPr="00B357D7">
        <w:rPr>
          <w:lang w:val="fr-FR" w:eastAsia="ja-JP"/>
        </w:rPr>
        <w:t xml:space="preserve"> taux </w:t>
      </w:r>
      <w:r w:rsidR="003351CC" w:rsidRPr="00B357D7">
        <w:rPr>
          <w:lang w:val="fr-FR" w:eastAsia="ja-JP"/>
        </w:rPr>
        <w:t>de faux positif</w:t>
      </w:r>
      <w:r w:rsidRPr="00B357D7">
        <w:rPr>
          <w:lang w:val="fr-FR" w:eastAsia="ja-JP"/>
        </w:rPr>
        <w:t xml:space="preserve">s est </w:t>
      </w:r>
      <w:r w:rsidR="003351CC" w:rsidRPr="00B357D7">
        <w:rPr>
          <w:lang w:val="fr-FR" w:eastAsia="ja-JP"/>
        </w:rPr>
        <w:t>inférieur</w:t>
      </w:r>
      <w:r w:rsidRPr="00B357D7">
        <w:rPr>
          <w:lang w:val="fr-FR" w:eastAsia="ja-JP"/>
        </w:rPr>
        <w:t xml:space="preserve"> pour les seuils les plus élevés.</w:t>
      </w:r>
    </w:p>
    <w:p w:rsidR="00AA7D33" w:rsidRPr="00B357D7" w:rsidRDefault="00AA7D33" w:rsidP="00F56A94">
      <w:pPr>
        <w:ind w:left="1134" w:hanging="567"/>
        <w:rPr>
          <w:lang w:val="fr-FR" w:eastAsia="ja-JP"/>
        </w:rPr>
      </w:pPr>
    </w:p>
    <w:p w:rsidR="009143C1" w:rsidRPr="00B357D7" w:rsidRDefault="002D752B" w:rsidP="00F56A94">
      <w:pPr>
        <w:ind w:left="1134" w:hanging="567"/>
        <w:rPr>
          <w:lang w:val="fr-FR" w:eastAsia="ja-JP"/>
        </w:rPr>
      </w:pPr>
      <w:r w:rsidRPr="00B357D7">
        <w:rPr>
          <w:lang w:val="fr-FR" w:eastAsia="ja-JP"/>
        </w:rPr>
        <w:t>•</w:t>
      </w:r>
      <w:r w:rsidRPr="00B357D7">
        <w:rPr>
          <w:lang w:val="fr-FR" w:eastAsia="ja-JP"/>
        </w:rPr>
        <w:tab/>
        <w:t>T</w:t>
      </w:r>
      <w:r w:rsidR="0094138E" w:rsidRPr="00B357D7">
        <w:rPr>
          <w:lang w:val="fr-FR" w:eastAsia="ja-JP"/>
        </w:rPr>
        <w:t xml:space="preserve">aux </w:t>
      </w:r>
      <w:r w:rsidR="00AA7D33" w:rsidRPr="00B357D7">
        <w:rPr>
          <w:lang w:val="fr-FR" w:eastAsia="ja-JP"/>
        </w:rPr>
        <w:t>de faux</w:t>
      </w:r>
      <w:r w:rsidRPr="00B357D7">
        <w:rPr>
          <w:lang w:val="fr-FR" w:eastAsia="ja-JP"/>
        </w:rPr>
        <w:t xml:space="preserve"> négatif</w:t>
      </w:r>
      <w:r w:rsidR="003608E2" w:rsidRPr="00B357D7">
        <w:rPr>
          <w:lang w:val="fr-FR" w:eastAsia="ja-JP"/>
        </w:rPr>
        <w:t> </w:t>
      </w:r>
      <w:r w:rsidRPr="00B357D7">
        <w:rPr>
          <w:lang w:val="fr-FR" w:eastAsia="ja-JP"/>
        </w:rPr>
        <w:t>: C</w:t>
      </w:r>
      <w:r w:rsidR="009143C1" w:rsidRPr="00B357D7">
        <w:rPr>
          <w:lang w:val="fr-FR" w:eastAsia="ja-JP"/>
        </w:rPr>
        <w:t>’</w:t>
      </w:r>
      <w:r w:rsidRPr="00B357D7">
        <w:rPr>
          <w:lang w:val="fr-FR" w:eastAsia="ja-JP"/>
        </w:rPr>
        <w:t>est</w:t>
      </w:r>
      <w:r w:rsidR="0094138E" w:rsidRPr="00B357D7">
        <w:rPr>
          <w:lang w:val="fr-FR" w:eastAsia="ja-JP"/>
        </w:rPr>
        <w:t xml:space="preserve"> la proportion de fois ou la décision de la première année était non distincte alors que la variété s</w:t>
      </w:r>
      <w:r w:rsidR="009143C1" w:rsidRPr="00B357D7">
        <w:rPr>
          <w:lang w:val="fr-FR" w:eastAsia="ja-JP"/>
        </w:rPr>
        <w:t>’</w:t>
      </w:r>
      <w:r w:rsidR="0094138E" w:rsidRPr="00B357D7">
        <w:rPr>
          <w:lang w:val="fr-FR" w:eastAsia="ja-JP"/>
        </w:rPr>
        <w:t>est révélée distincte la deuxième ann</w:t>
      </w:r>
      <w:r w:rsidR="00B357D7" w:rsidRPr="00B357D7">
        <w:rPr>
          <w:lang w:val="fr-FR" w:eastAsia="ja-JP"/>
        </w:rPr>
        <w:t>ée.  Ce</w:t>
      </w:r>
      <w:r w:rsidR="0094138E" w:rsidRPr="00B357D7">
        <w:rPr>
          <w:lang w:val="fr-FR" w:eastAsia="ja-JP"/>
        </w:rPr>
        <w:t>la donne une idée de l</w:t>
      </w:r>
      <w:r w:rsidR="009143C1" w:rsidRPr="00B357D7">
        <w:rPr>
          <w:lang w:val="fr-FR" w:eastAsia="ja-JP"/>
        </w:rPr>
        <w:t>’</w:t>
      </w:r>
      <w:r w:rsidR="0094138E" w:rsidRPr="00B357D7">
        <w:rPr>
          <w:lang w:val="fr-FR" w:eastAsia="ja-JP"/>
        </w:rPr>
        <w:t>utilité du seuil dans la pratique, les taux inférieurs indiquant que plus de paires de variétés se rév</w:t>
      </w:r>
      <w:r w:rsidR="00D76723">
        <w:rPr>
          <w:lang w:val="fr-FR" w:eastAsia="ja-JP"/>
        </w:rPr>
        <w:t>é</w:t>
      </w:r>
      <w:r w:rsidR="0094138E" w:rsidRPr="00B357D7">
        <w:rPr>
          <w:lang w:val="fr-FR" w:eastAsia="ja-JP"/>
        </w:rPr>
        <w:t>leront distinctes après la première année.</w:t>
      </w: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AA7D33" w:rsidRPr="00B357D7">
        <w:rPr>
          <w:lang w:val="fr-FR" w:eastAsia="ja-JP"/>
        </w:rPr>
        <w:t>Les résultats de cette étude sont présentés aux tableaux</w:t>
      </w:r>
      <w:r w:rsidR="00D76723">
        <w:rPr>
          <w:lang w:val="fr-FR" w:eastAsia="ja-JP"/>
        </w:rPr>
        <w:t> </w:t>
      </w:r>
      <w:r w:rsidR="00AA7D33" w:rsidRPr="00B357D7">
        <w:rPr>
          <w:lang w:val="fr-FR" w:eastAsia="ja-JP"/>
        </w:rPr>
        <w:t xml:space="preserve">3 et 4. </w:t>
      </w:r>
      <w:r w:rsidR="003608E2" w:rsidRPr="00B357D7">
        <w:rPr>
          <w:lang w:val="fr-FR" w:eastAsia="ja-JP"/>
        </w:rPr>
        <w:t xml:space="preserve"> </w:t>
      </w:r>
      <w:r w:rsidR="00AA7D33" w:rsidRPr="00B357D7">
        <w:rPr>
          <w:lang w:val="fr-FR" w:eastAsia="ja-JP"/>
        </w:rPr>
        <w:t>Ils doivent être interprétés avec circonspection dans la mesure où, le plus souvent, les variétés de référence qui étaient nettement distinctes de la candidate sur au moins un caractère après la première année n</w:t>
      </w:r>
      <w:r w:rsidR="009143C1" w:rsidRPr="00B357D7">
        <w:rPr>
          <w:lang w:val="fr-FR" w:eastAsia="ja-JP"/>
        </w:rPr>
        <w:t>’</w:t>
      </w:r>
      <w:r w:rsidR="00AA7D33" w:rsidRPr="00B357D7">
        <w:rPr>
          <w:lang w:val="fr-FR" w:eastAsia="ja-JP"/>
        </w:rPr>
        <w:t xml:space="preserve">auraient pas </w:t>
      </w:r>
      <w:r w:rsidR="003351CC" w:rsidRPr="00B357D7">
        <w:rPr>
          <w:lang w:val="fr-FR" w:eastAsia="ja-JP"/>
        </w:rPr>
        <w:t>été retenues pour</w:t>
      </w:r>
      <w:r w:rsidR="00AA7D33" w:rsidRPr="00B357D7">
        <w:rPr>
          <w:lang w:val="fr-FR" w:eastAsia="ja-JP"/>
        </w:rPr>
        <w:t xml:space="preserve"> </w:t>
      </w:r>
      <w:r w:rsidR="003351CC" w:rsidRPr="00B357D7">
        <w:rPr>
          <w:lang w:val="fr-FR" w:eastAsia="ja-JP"/>
        </w:rPr>
        <w:t>faire l</w:t>
      </w:r>
      <w:r w:rsidR="009143C1" w:rsidRPr="00B357D7">
        <w:rPr>
          <w:lang w:val="fr-FR" w:eastAsia="ja-JP"/>
        </w:rPr>
        <w:t>’</w:t>
      </w:r>
      <w:r w:rsidR="003351CC" w:rsidRPr="00B357D7">
        <w:rPr>
          <w:lang w:val="fr-FR" w:eastAsia="ja-JP"/>
        </w:rPr>
        <w:t xml:space="preserve">objet </w:t>
      </w:r>
      <w:r w:rsidR="00AA7D33" w:rsidRPr="00B357D7">
        <w:rPr>
          <w:lang w:val="fr-FR" w:eastAsia="ja-JP"/>
        </w:rPr>
        <w:t>d</w:t>
      </w:r>
      <w:r w:rsidR="009143C1" w:rsidRPr="00B357D7">
        <w:rPr>
          <w:lang w:val="fr-FR" w:eastAsia="ja-JP"/>
        </w:rPr>
        <w:t>’</w:t>
      </w:r>
      <w:r w:rsidR="00AA7D33" w:rsidRPr="00B357D7">
        <w:rPr>
          <w:lang w:val="fr-FR" w:eastAsia="ja-JP"/>
        </w:rPr>
        <w:t>autres comparaiso</w:t>
      </w:r>
      <w:r w:rsidR="00B357D7" w:rsidRPr="00B357D7">
        <w:rPr>
          <w:lang w:val="fr-FR" w:eastAsia="ja-JP"/>
        </w:rPr>
        <w:t>ns.  To</w:t>
      </w:r>
      <w:r w:rsidR="00AA7D33" w:rsidRPr="00B357D7">
        <w:rPr>
          <w:lang w:val="fr-FR" w:eastAsia="ja-JP"/>
        </w:rPr>
        <w:t>utefois, l</w:t>
      </w:r>
      <w:r w:rsidR="009143C1" w:rsidRPr="00B357D7">
        <w:rPr>
          <w:lang w:val="fr-FR" w:eastAsia="ja-JP"/>
        </w:rPr>
        <w:t>’</w:t>
      </w:r>
      <w:r w:rsidR="00AA7D33" w:rsidRPr="00B357D7">
        <w:rPr>
          <w:lang w:val="fr-FR" w:eastAsia="ja-JP"/>
        </w:rPr>
        <w:t>effet de cette sélection serait de donner une vision pessimiste des résultats des seuils calculés (taux de faux négatifs).</w:t>
      </w: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DE227B" w:rsidRPr="00B357D7">
        <w:rPr>
          <w:lang w:val="fr-FR" w:eastAsia="ja-JP"/>
        </w:rPr>
        <w:t>Le taux de faux positifs était très bas, en particulier avec la</w:t>
      </w:r>
      <w:r w:rsidR="003351CC" w:rsidRPr="00B357D7">
        <w:rPr>
          <w:lang w:val="fr-FR" w:eastAsia="ja-JP"/>
        </w:rPr>
        <w:t xml:space="preserve"> valeur de</w:t>
      </w:r>
      <w:r w:rsidR="00DE227B" w:rsidRPr="00B357D7">
        <w:rPr>
          <w:lang w:val="fr-FR" w:eastAsia="ja-JP"/>
        </w:rPr>
        <w:t xml:space="preserve"> tolérance existante du Royaume</w:t>
      </w:r>
      <w:r w:rsidR="00F56A94">
        <w:rPr>
          <w:lang w:val="fr-FR" w:eastAsia="ja-JP"/>
        </w:rPr>
        <w:noBreakHyphen/>
      </w:r>
      <w:r w:rsidR="00DE227B" w:rsidRPr="00B357D7">
        <w:rPr>
          <w:lang w:val="fr-FR" w:eastAsia="ja-JP"/>
        </w:rPr>
        <w:t>Uni et avec le calcul des seuils avec une probabilité de défaut à 0</w:t>
      </w:r>
      <w:r w:rsidR="00D76723">
        <w:rPr>
          <w:lang w:val="fr-FR" w:eastAsia="ja-JP"/>
        </w:rPr>
        <w:t>,</w:t>
      </w:r>
      <w:r w:rsidR="00DE227B" w:rsidRPr="00B357D7">
        <w:rPr>
          <w:lang w:val="fr-FR" w:eastAsia="ja-JP"/>
        </w:rPr>
        <w:t xml:space="preserve">99. </w:t>
      </w:r>
      <w:r w:rsidR="003608E2" w:rsidRPr="00B357D7">
        <w:rPr>
          <w:lang w:val="fr-FR" w:eastAsia="ja-JP"/>
        </w:rPr>
        <w:t xml:space="preserve"> </w:t>
      </w:r>
      <w:r w:rsidR="00DE227B" w:rsidRPr="00B357D7">
        <w:rPr>
          <w:lang w:val="fr-FR" w:eastAsia="ja-JP"/>
        </w:rPr>
        <w:t>Il est à noter qu</w:t>
      </w:r>
      <w:r w:rsidR="009143C1" w:rsidRPr="00B357D7">
        <w:rPr>
          <w:lang w:val="fr-FR" w:eastAsia="ja-JP"/>
        </w:rPr>
        <w:t>’</w:t>
      </w:r>
      <w:r w:rsidR="00DE227B" w:rsidRPr="00B357D7">
        <w:rPr>
          <w:lang w:val="fr-FR" w:eastAsia="ja-JP"/>
        </w:rPr>
        <w:t>il est difficile d</w:t>
      </w:r>
      <w:r w:rsidR="009143C1" w:rsidRPr="00B357D7">
        <w:rPr>
          <w:lang w:val="fr-FR" w:eastAsia="ja-JP"/>
        </w:rPr>
        <w:t>’</w:t>
      </w:r>
      <w:r w:rsidR="00DE227B" w:rsidRPr="00B357D7">
        <w:rPr>
          <w:lang w:val="fr-FR" w:eastAsia="ja-JP"/>
        </w:rPr>
        <w:t xml:space="preserve">obtenir un taux </w:t>
      </w:r>
      <w:r w:rsidR="003351CC" w:rsidRPr="00B357D7">
        <w:rPr>
          <w:lang w:val="fr-FR" w:eastAsia="ja-JP"/>
        </w:rPr>
        <w:t xml:space="preserve">de faux </w:t>
      </w:r>
      <w:r w:rsidR="00DE227B" w:rsidRPr="00B357D7">
        <w:rPr>
          <w:lang w:val="fr-FR" w:eastAsia="ja-JP"/>
        </w:rPr>
        <w:t>positif de 0% pour la simple raison que l</w:t>
      </w:r>
      <w:r w:rsidR="009143C1" w:rsidRPr="00B357D7">
        <w:rPr>
          <w:lang w:val="fr-FR" w:eastAsia="ja-JP"/>
        </w:rPr>
        <w:t>’</w:t>
      </w:r>
      <w:r w:rsidR="00DE227B" w:rsidRPr="00B357D7">
        <w:rPr>
          <w:lang w:val="fr-FR" w:eastAsia="ja-JP"/>
        </w:rPr>
        <w:t>analyse COYD sur deux</w:t>
      </w:r>
      <w:r w:rsidR="003608E2" w:rsidRPr="00B357D7">
        <w:rPr>
          <w:lang w:val="fr-FR" w:eastAsia="ja-JP"/>
        </w:rPr>
        <w:t> </w:t>
      </w:r>
      <w:r w:rsidR="00DE227B" w:rsidRPr="00B357D7">
        <w:rPr>
          <w:lang w:val="fr-FR" w:eastAsia="ja-JP"/>
        </w:rPr>
        <w:t>ans est en soi sujette à la variabilité.</w:t>
      </w: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DE227B" w:rsidRPr="00B357D7">
        <w:rPr>
          <w:lang w:val="fr-FR" w:eastAsia="ja-JP"/>
        </w:rPr>
        <w:t>L</w:t>
      </w:r>
      <w:r w:rsidR="009143C1" w:rsidRPr="00B357D7">
        <w:rPr>
          <w:lang w:val="fr-FR" w:eastAsia="ja-JP"/>
        </w:rPr>
        <w:t>’</w:t>
      </w:r>
      <w:r w:rsidR="00DE227B" w:rsidRPr="00B357D7">
        <w:rPr>
          <w:lang w:val="fr-FR" w:eastAsia="ja-JP"/>
        </w:rPr>
        <w:t xml:space="preserve">utilité des </w:t>
      </w:r>
      <w:r w:rsidR="003351CC" w:rsidRPr="00B357D7">
        <w:rPr>
          <w:lang w:val="fr-FR" w:eastAsia="ja-JP"/>
        </w:rPr>
        <w:t>valeurs de tolérance</w:t>
      </w:r>
      <w:r w:rsidR="00DE227B" w:rsidRPr="00B357D7">
        <w:rPr>
          <w:lang w:val="fr-FR" w:eastAsia="ja-JP"/>
        </w:rPr>
        <w:t xml:space="preserve"> est représenté</w:t>
      </w:r>
      <w:r w:rsidR="00FC6427" w:rsidRPr="00B357D7">
        <w:rPr>
          <w:lang w:val="fr-FR" w:eastAsia="ja-JP"/>
        </w:rPr>
        <w:t>e</w:t>
      </w:r>
      <w:r w:rsidR="00DE227B" w:rsidRPr="00B357D7">
        <w:rPr>
          <w:lang w:val="fr-FR" w:eastAsia="ja-JP"/>
        </w:rPr>
        <w:t xml:space="preserve"> par les taux </w:t>
      </w:r>
      <w:r w:rsidR="003351CC" w:rsidRPr="00B357D7">
        <w:rPr>
          <w:lang w:val="fr-FR" w:eastAsia="ja-JP"/>
        </w:rPr>
        <w:t xml:space="preserve">de faux </w:t>
      </w:r>
      <w:r w:rsidR="00DE227B" w:rsidRPr="00B357D7">
        <w:rPr>
          <w:lang w:val="fr-FR" w:eastAsia="ja-JP"/>
        </w:rPr>
        <w:t>négati</w:t>
      </w:r>
      <w:r w:rsidR="00B357D7" w:rsidRPr="00B357D7">
        <w:rPr>
          <w:lang w:val="fr-FR" w:eastAsia="ja-JP"/>
        </w:rPr>
        <w:t>fs.  Le</w:t>
      </w:r>
      <w:r w:rsidR="00EB774D" w:rsidRPr="00B357D7">
        <w:rPr>
          <w:lang w:val="fr-FR" w:eastAsia="ja-JP"/>
        </w:rPr>
        <w:t>s tolérances calculées avec des valeurs de probabilité de défaut moins élevées enregistrent davantage de paires de variétés distinctes la première ann</w:t>
      </w:r>
      <w:r w:rsidR="00B357D7" w:rsidRPr="00B357D7">
        <w:rPr>
          <w:lang w:val="fr-FR" w:eastAsia="ja-JP"/>
        </w:rPr>
        <w:t>ée.  Le</w:t>
      </w:r>
      <w:r w:rsidR="00CD367C" w:rsidRPr="00B357D7">
        <w:rPr>
          <w:lang w:val="fr-FR" w:eastAsia="ja-JP"/>
        </w:rPr>
        <w:t>s résultats varient considérablement d</w:t>
      </w:r>
      <w:r w:rsidR="009143C1" w:rsidRPr="00B357D7">
        <w:rPr>
          <w:lang w:val="fr-FR" w:eastAsia="ja-JP"/>
        </w:rPr>
        <w:t>’</w:t>
      </w:r>
      <w:r w:rsidR="00CD367C" w:rsidRPr="00B357D7">
        <w:rPr>
          <w:lang w:val="fr-FR" w:eastAsia="ja-JP"/>
        </w:rPr>
        <w:t>un caractère à l</w:t>
      </w:r>
      <w:r w:rsidR="009143C1" w:rsidRPr="00B357D7">
        <w:rPr>
          <w:lang w:val="fr-FR" w:eastAsia="ja-JP"/>
        </w:rPr>
        <w:t>’</w:t>
      </w:r>
      <w:r w:rsidR="00CD367C" w:rsidRPr="00B357D7">
        <w:rPr>
          <w:lang w:val="fr-FR" w:eastAsia="ja-JP"/>
        </w:rPr>
        <w:t>aut</w:t>
      </w:r>
      <w:r w:rsidR="00B357D7" w:rsidRPr="00B357D7">
        <w:rPr>
          <w:lang w:val="fr-FR" w:eastAsia="ja-JP"/>
        </w:rPr>
        <w:t>re.  Pa</w:t>
      </w:r>
      <w:r w:rsidR="00CD367C" w:rsidRPr="00B357D7">
        <w:rPr>
          <w:lang w:val="fr-FR" w:eastAsia="ja-JP"/>
        </w:rPr>
        <w:t>r</w:t>
      </w:r>
      <w:r w:rsidR="00F67C3A">
        <w:rPr>
          <w:lang w:val="fr-FR" w:eastAsia="ja-JP"/>
        </w:rPr>
        <w:t> </w:t>
      </w:r>
      <w:r w:rsidR="00CD367C" w:rsidRPr="00B357D7">
        <w:rPr>
          <w:lang w:val="fr-FR" w:eastAsia="ja-JP"/>
        </w:rPr>
        <w:t>exemple, les caractères</w:t>
      </w:r>
      <w:r w:rsidR="00D76723">
        <w:rPr>
          <w:lang w:val="fr-FR" w:eastAsia="ja-JP"/>
        </w:rPr>
        <w:t> </w:t>
      </w:r>
      <w:r w:rsidR="00CD367C" w:rsidRPr="00B357D7">
        <w:rPr>
          <w:lang w:val="fr-FR" w:eastAsia="ja-JP"/>
        </w:rPr>
        <w:t xml:space="preserve">29, 46 et 57 ont des taux </w:t>
      </w:r>
      <w:r w:rsidR="003351CC" w:rsidRPr="00B357D7">
        <w:rPr>
          <w:lang w:val="fr-FR" w:eastAsia="ja-JP"/>
        </w:rPr>
        <w:t xml:space="preserve">de faux </w:t>
      </w:r>
      <w:r w:rsidR="00CD367C" w:rsidRPr="00B357D7">
        <w:rPr>
          <w:lang w:val="fr-FR" w:eastAsia="ja-JP"/>
        </w:rPr>
        <w:t>négatifs d</w:t>
      </w:r>
      <w:r w:rsidR="009143C1" w:rsidRPr="00B357D7">
        <w:rPr>
          <w:lang w:val="fr-FR" w:eastAsia="ja-JP"/>
        </w:rPr>
        <w:t>’</w:t>
      </w:r>
      <w:r w:rsidR="00CD367C" w:rsidRPr="00B357D7">
        <w:rPr>
          <w:lang w:val="fr-FR" w:eastAsia="ja-JP"/>
        </w:rPr>
        <w:t xml:space="preserve">un faible niveau, même avec une </w:t>
      </w:r>
      <w:r w:rsidR="00CD367C" w:rsidRPr="00B357D7">
        <w:rPr>
          <w:lang w:val="fr-FR" w:eastAsia="ja-JP"/>
        </w:rPr>
        <w:lastRenderedPageBreak/>
        <w:t xml:space="preserve">probabilité de défaut de 0,99. </w:t>
      </w:r>
      <w:r w:rsidR="003608E2" w:rsidRPr="00B357D7">
        <w:rPr>
          <w:lang w:val="fr-FR" w:eastAsia="ja-JP"/>
        </w:rPr>
        <w:t xml:space="preserve"> </w:t>
      </w:r>
      <w:r w:rsidR="00CD367C" w:rsidRPr="00B357D7">
        <w:rPr>
          <w:lang w:val="fr-FR" w:eastAsia="ja-JP"/>
        </w:rPr>
        <w:t xml:space="preserve">Il faut se rappeler que ces taux sont </w:t>
      </w:r>
      <w:r w:rsidR="00FC6427" w:rsidRPr="00B357D7">
        <w:rPr>
          <w:lang w:val="fr-FR" w:eastAsia="ja-JP"/>
        </w:rPr>
        <w:t>susceptibles</w:t>
      </w:r>
      <w:r w:rsidR="00CD367C" w:rsidRPr="00B357D7">
        <w:rPr>
          <w:lang w:val="fr-FR" w:eastAsia="ja-JP"/>
        </w:rPr>
        <w:t xml:space="preserve"> d</w:t>
      </w:r>
      <w:r w:rsidR="009143C1" w:rsidRPr="00B357D7">
        <w:rPr>
          <w:lang w:val="fr-FR" w:eastAsia="ja-JP"/>
        </w:rPr>
        <w:t>’</w:t>
      </w:r>
      <w:r w:rsidR="00CD367C" w:rsidRPr="00B357D7">
        <w:rPr>
          <w:lang w:val="fr-FR" w:eastAsia="ja-JP"/>
        </w:rPr>
        <w:t xml:space="preserve">être </w:t>
      </w:r>
      <w:r w:rsidR="00FC6427" w:rsidRPr="00B357D7">
        <w:rPr>
          <w:lang w:val="fr-FR" w:eastAsia="ja-JP"/>
        </w:rPr>
        <w:t>pessimistes</w:t>
      </w:r>
      <w:r w:rsidR="00CD367C" w:rsidRPr="00B357D7">
        <w:rPr>
          <w:lang w:val="fr-FR" w:eastAsia="ja-JP"/>
        </w:rPr>
        <w:t xml:space="preserve"> du fait de la sélection dans l</w:t>
      </w:r>
      <w:r w:rsidR="003351CC" w:rsidRPr="00B357D7">
        <w:rPr>
          <w:lang w:val="fr-FR" w:eastAsia="ja-JP"/>
        </w:rPr>
        <w:t>e</w:t>
      </w:r>
      <w:r w:rsidR="00415D88" w:rsidRPr="00B357D7">
        <w:rPr>
          <w:lang w:val="fr-FR" w:eastAsia="ja-JP"/>
        </w:rPr>
        <w:t xml:space="preserve"> jeu de données</w:t>
      </w:r>
      <w:r w:rsidR="00CD367C" w:rsidRPr="00B357D7">
        <w:rPr>
          <w:lang w:val="fr-FR" w:eastAsia="ja-JP"/>
        </w:rPr>
        <w:t xml:space="preserve"> qui </w:t>
      </w:r>
      <w:r w:rsidR="003351CC" w:rsidRPr="00B357D7">
        <w:rPr>
          <w:lang w:val="fr-FR" w:eastAsia="ja-JP"/>
        </w:rPr>
        <w:t>sert</w:t>
      </w:r>
      <w:r w:rsidR="00CD367C" w:rsidRPr="00B357D7">
        <w:rPr>
          <w:lang w:val="fr-FR" w:eastAsia="ja-JP"/>
        </w:rPr>
        <w:t xml:space="preserve"> d</w:t>
      </w:r>
      <w:r w:rsidR="009143C1" w:rsidRPr="00B357D7">
        <w:rPr>
          <w:lang w:val="fr-FR" w:eastAsia="ja-JP"/>
        </w:rPr>
        <w:t>’</w:t>
      </w:r>
      <w:r w:rsidR="00CD367C" w:rsidRPr="00B357D7">
        <w:rPr>
          <w:lang w:val="fr-FR" w:eastAsia="ja-JP"/>
        </w:rPr>
        <w:t>exemple.</w:t>
      </w: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CD367C" w:rsidRPr="00B357D7">
        <w:rPr>
          <w:lang w:val="fr-FR" w:eastAsia="ja-JP"/>
        </w:rPr>
        <w:t>Le choix d</w:t>
      </w:r>
      <w:r w:rsidR="009143C1" w:rsidRPr="00B357D7">
        <w:rPr>
          <w:lang w:val="fr-FR" w:eastAsia="ja-JP"/>
        </w:rPr>
        <w:t>’</w:t>
      </w:r>
      <w:r w:rsidR="00CD367C" w:rsidRPr="00B357D7">
        <w:rPr>
          <w:lang w:val="fr-FR" w:eastAsia="ja-JP"/>
        </w:rPr>
        <w:t xml:space="preserve">une valeur de probabilité de défaut appropriée pour définir les </w:t>
      </w:r>
      <w:r w:rsidR="00F03D7F" w:rsidRPr="00B357D7">
        <w:rPr>
          <w:lang w:val="fr-FR" w:eastAsia="ja-JP"/>
        </w:rPr>
        <w:t>valeurs de tolérance</w:t>
      </w:r>
      <w:r w:rsidR="00CD367C" w:rsidRPr="00B357D7">
        <w:rPr>
          <w:lang w:val="fr-FR" w:eastAsia="ja-JP"/>
        </w:rPr>
        <w:t xml:space="preserve"> implique d</w:t>
      </w:r>
      <w:r w:rsidR="009143C1" w:rsidRPr="00B357D7">
        <w:rPr>
          <w:lang w:val="fr-FR" w:eastAsia="ja-JP"/>
        </w:rPr>
        <w:t>’</w:t>
      </w:r>
      <w:r w:rsidR="00CD367C" w:rsidRPr="00B357D7">
        <w:rPr>
          <w:lang w:val="fr-FR" w:eastAsia="ja-JP"/>
        </w:rPr>
        <w:t>équilibrer les risques associés aux faux positifs et négati</w:t>
      </w:r>
      <w:r w:rsidR="00B357D7" w:rsidRPr="00B357D7">
        <w:rPr>
          <w:lang w:val="fr-FR" w:eastAsia="ja-JP"/>
        </w:rPr>
        <w:t>fs.  Da</w:t>
      </w:r>
      <w:r w:rsidR="00CD367C" w:rsidRPr="00B357D7">
        <w:rPr>
          <w:lang w:val="fr-FR" w:eastAsia="ja-JP"/>
        </w:rPr>
        <w:t>ns le cas du Royaume</w:t>
      </w:r>
      <w:r w:rsidR="00F56A94">
        <w:rPr>
          <w:lang w:val="fr-FR" w:eastAsia="ja-JP"/>
        </w:rPr>
        <w:noBreakHyphen/>
      </w:r>
      <w:r w:rsidR="00CD367C" w:rsidRPr="00B357D7">
        <w:rPr>
          <w:lang w:val="fr-FR" w:eastAsia="ja-JP"/>
        </w:rPr>
        <w:t xml:space="preserve">Uni, une démarche prudente </w:t>
      </w:r>
      <w:r w:rsidR="00D76723">
        <w:rPr>
          <w:lang w:val="fr-FR" w:eastAsia="ja-JP"/>
        </w:rPr>
        <w:t>a</w:t>
      </w:r>
      <w:r w:rsidR="00CD367C" w:rsidRPr="00B357D7">
        <w:rPr>
          <w:lang w:val="fr-FR" w:eastAsia="ja-JP"/>
        </w:rPr>
        <w:t xml:space="preserve"> été adopt</w:t>
      </w:r>
      <w:r w:rsidR="00B357D7" w:rsidRPr="00B357D7">
        <w:rPr>
          <w:lang w:val="fr-FR" w:eastAsia="ja-JP"/>
        </w:rPr>
        <w:t>ée.  Le</w:t>
      </w:r>
      <w:r w:rsidR="00CD367C" w:rsidRPr="00B357D7">
        <w:rPr>
          <w:lang w:val="fr-FR" w:eastAsia="ja-JP"/>
        </w:rPr>
        <w:t>s seuils calculés avec une probabilité de distinction fixée à 0,99 avaient des niveaux raisonnables de faux positifs et négati</w:t>
      </w:r>
      <w:r w:rsidR="00B357D7" w:rsidRPr="00B357D7">
        <w:rPr>
          <w:lang w:val="fr-FR" w:eastAsia="ja-JP"/>
        </w:rPr>
        <w:t>fs.  Ai</w:t>
      </w:r>
      <w:r w:rsidR="003F7722" w:rsidRPr="00B357D7">
        <w:rPr>
          <w:lang w:val="fr-FR" w:eastAsia="ja-JP"/>
        </w:rPr>
        <w:t xml:space="preserve">nsi, sur la base des seuils calculés avec une valeur de probabilité de défaut de 99%, le </w:t>
      </w:r>
      <w:proofErr w:type="spellStart"/>
      <w:r w:rsidR="003F7722" w:rsidRPr="00B357D7">
        <w:rPr>
          <w:lang w:val="fr-FR" w:eastAsia="ja-JP"/>
        </w:rPr>
        <w:t>phytotechnicien</w:t>
      </w:r>
      <w:proofErr w:type="spellEnd"/>
      <w:r w:rsidR="003F7722" w:rsidRPr="00B357D7">
        <w:rPr>
          <w:lang w:val="fr-FR" w:eastAsia="ja-JP"/>
        </w:rPr>
        <w:t xml:space="preserve"> a proposé d</w:t>
      </w:r>
      <w:r w:rsidR="009143C1" w:rsidRPr="00B357D7">
        <w:rPr>
          <w:lang w:val="fr-FR" w:eastAsia="ja-JP"/>
        </w:rPr>
        <w:t>’</w:t>
      </w:r>
      <w:r w:rsidR="003F7722" w:rsidRPr="00B357D7">
        <w:rPr>
          <w:lang w:val="fr-FR" w:eastAsia="ja-JP"/>
        </w:rPr>
        <w:t>utiliser au Royaume</w:t>
      </w:r>
      <w:r w:rsidR="00F56A94">
        <w:rPr>
          <w:lang w:val="fr-FR" w:eastAsia="ja-JP"/>
        </w:rPr>
        <w:noBreakHyphen/>
      </w:r>
      <w:r w:rsidR="003F7722" w:rsidRPr="00B357D7">
        <w:rPr>
          <w:lang w:val="fr-FR" w:eastAsia="ja-JP"/>
        </w:rPr>
        <w:t xml:space="preserve">Uni de nouvelles tolérances de première année pour les </w:t>
      </w:r>
      <w:r w:rsidR="00EB244B" w:rsidRPr="00B357D7">
        <w:rPr>
          <w:lang w:val="fr-FR" w:eastAsia="ja-JP"/>
        </w:rPr>
        <w:t>examens</w:t>
      </w:r>
      <w:r w:rsidR="003F7722" w:rsidRPr="00B357D7">
        <w:rPr>
          <w:lang w:val="fr-FR" w:eastAsia="ja-JP"/>
        </w:rPr>
        <w:t xml:space="preserve"> DHS de variétés de pois fourragers semi</w:t>
      </w:r>
      <w:r w:rsidR="00F56A94">
        <w:rPr>
          <w:lang w:val="fr-FR" w:eastAsia="ja-JP"/>
        </w:rPr>
        <w:noBreakHyphen/>
      </w:r>
      <w:r w:rsidR="003F7722" w:rsidRPr="00B357D7">
        <w:rPr>
          <w:lang w:val="fr-FR" w:eastAsia="ja-JP"/>
        </w:rPr>
        <w:t>feuillues (tableau</w:t>
      </w:r>
      <w:r w:rsidR="003608E2" w:rsidRPr="00B357D7">
        <w:rPr>
          <w:lang w:val="fr-FR" w:eastAsia="ja-JP"/>
        </w:rPr>
        <w:t> </w:t>
      </w:r>
      <w:r w:rsidR="003F7722" w:rsidRPr="00B357D7">
        <w:rPr>
          <w:lang w:val="fr-FR" w:eastAsia="ja-JP"/>
        </w:rPr>
        <w:t>2).</w:t>
      </w:r>
      <w:r w:rsidRPr="00B357D7">
        <w:rPr>
          <w:lang w:val="fr-FR" w:eastAsia="ja-JP"/>
        </w:rPr>
        <w:t xml:space="preserve"> </w:t>
      </w:r>
      <w:r w:rsidR="009D0C9C" w:rsidRPr="00B357D7">
        <w:rPr>
          <w:lang w:val="fr-FR" w:eastAsia="ja-JP"/>
        </w:rPr>
        <w:t xml:space="preserve"> </w:t>
      </w:r>
      <w:r w:rsidR="003F7722" w:rsidRPr="00B357D7">
        <w:rPr>
          <w:lang w:val="fr-FR" w:eastAsia="ja-JP"/>
        </w:rPr>
        <w:t>Il est à noter que les tolérances pour les caractères dont la n</w:t>
      </w:r>
      <w:r w:rsidR="002A3674">
        <w:rPr>
          <w:lang w:val="fr-FR" w:eastAsia="ja-JP"/>
        </w:rPr>
        <w:t>otation est de type MG/VG (21, 2</w:t>
      </w:r>
      <w:r w:rsidR="003F7722" w:rsidRPr="00B357D7">
        <w:rPr>
          <w:lang w:val="fr-FR" w:eastAsia="ja-JP"/>
        </w:rPr>
        <w:t>9 et 42) ne sont pas fondées sur les seuils calcul</w:t>
      </w:r>
      <w:r w:rsidR="00B357D7" w:rsidRPr="00B357D7">
        <w:rPr>
          <w:lang w:val="fr-FR" w:eastAsia="ja-JP"/>
        </w:rPr>
        <w:t>és.  To</w:t>
      </w:r>
      <w:r w:rsidR="003F7722" w:rsidRPr="00B357D7">
        <w:rPr>
          <w:lang w:val="fr-FR" w:eastAsia="ja-JP"/>
        </w:rPr>
        <w:t>utefois, ces calculs donnent effectivement confiance dans les tolérances actuellement utilisées.</w:t>
      </w:r>
    </w:p>
    <w:p w:rsidR="00AA7D33" w:rsidRPr="00B357D7" w:rsidRDefault="00AA7D33" w:rsidP="00F56A94">
      <w:pPr>
        <w:rPr>
          <w:lang w:val="fr-FR" w:eastAsia="ja-JP"/>
        </w:rPr>
      </w:pPr>
    </w:p>
    <w:p w:rsidR="009143C1" w:rsidRPr="00B357D7" w:rsidRDefault="003F7722" w:rsidP="00F56A94">
      <w:pPr>
        <w:widowControl w:val="0"/>
        <w:rPr>
          <w:szCs w:val="24"/>
          <w:lang w:val="fr-FR"/>
        </w:rPr>
      </w:pPr>
      <w:r w:rsidRPr="00B357D7">
        <w:rPr>
          <w:szCs w:val="24"/>
          <w:lang w:val="fr-FR"/>
        </w:rPr>
        <w:t>Tableau</w:t>
      </w:r>
      <w:r w:rsidR="003608E2" w:rsidRPr="00B357D7">
        <w:rPr>
          <w:szCs w:val="24"/>
          <w:lang w:val="fr-FR"/>
        </w:rPr>
        <w:t> </w:t>
      </w:r>
      <w:r w:rsidRPr="00B357D7">
        <w:rPr>
          <w:szCs w:val="24"/>
          <w:lang w:val="fr-FR"/>
        </w:rPr>
        <w:t xml:space="preserve">3.  </w:t>
      </w:r>
      <w:r w:rsidR="00F03D7F" w:rsidRPr="00B357D7">
        <w:rPr>
          <w:szCs w:val="24"/>
          <w:lang w:val="fr-FR"/>
        </w:rPr>
        <w:t>Nombre de fois exprimé en pourcentage,</w:t>
      </w:r>
      <w:r w:rsidRPr="00B357D7">
        <w:rPr>
          <w:szCs w:val="24"/>
          <w:lang w:val="fr-FR"/>
        </w:rPr>
        <w:t xml:space="preserve"> dans </w:t>
      </w:r>
      <w:r w:rsidR="00415D88" w:rsidRPr="00B357D7">
        <w:rPr>
          <w:szCs w:val="24"/>
          <w:lang w:val="fr-FR"/>
        </w:rPr>
        <w:t>le jeu</w:t>
      </w:r>
      <w:r w:rsidRPr="00B357D7">
        <w:rPr>
          <w:szCs w:val="24"/>
          <w:lang w:val="fr-FR"/>
        </w:rPr>
        <w:t xml:space="preserve"> de données relatif aux pois du </w:t>
      </w:r>
      <w:r w:rsidR="00F03D7F" w:rsidRPr="00B357D7">
        <w:rPr>
          <w:szCs w:val="24"/>
          <w:lang w:val="fr-FR"/>
        </w:rPr>
        <w:t>Royaume</w:t>
      </w:r>
      <w:r w:rsidR="00F56A94">
        <w:rPr>
          <w:szCs w:val="24"/>
          <w:lang w:val="fr-FR"/>
        </w:rPr>
        <w:noBreakHyphen/>
      </w:r>
      <w:r w:rsidR="00F03D7F" w:rsidRPr="00B357D7">
        <w:rPr>
          <w:szCs w:val="24"/>
          <w:lang w:val="fr-FR"/>
        </w:rPr>
        <w:t>Uni,</w:t>
      </w:r>
      <w:r w:rsidRPr="00B357D7">
        <w:rPr>
          <w:szCs w:val="24"/>
          <w:lang w:val="fr-FR"/>
        </w:rPr>
        <w:t xml:space="preserve"> que les seuils de première année ont indiqué qu</w:t>
      </w:r>
      <w:r w:rsidR="009143C1" w:rsidRPr="00B357D7">
        <w:rPr>
          <w:szCs w:val="24"/>
          <w:lang w:val="fr-FR"/>
        </w:rPr>
        <w:t>’</w:t>
      </w:r>
      <w:r w:rsidRPr="00B357D7">
        <w:rPr>
          <w:szCs w:val="24"/>
          <w:lang w:val="fr-FR"/>
        </w:rPr>
        <w:t>une variété serait distincte d</w:t>
      </w:r>
      <w:r w:rsidR="009143C1" w:rsidRPr="00B357D7">
        <w:rPr>
          <w:szCs w:val="24"/>
          <w:lang w:val="fr-FR"/>
        </w:rPr>
        <w:t>’</w:t>
      </w:r>
      <w:r w:rsidRPr="00B357D7">
        <w:rPr>
          <w:szCs w:val="24"/>
          <w:lang w:val="fr-FR"/>
        </w:rPr>
        <w:t>u</w:t>
      </w:r>
      <w:r w:rsidR="00F03D7F" w:rsidRPr="00B357D7">
        <w:rPr>
          <w:szCs w:val="24"/>
          <w:lang w:val="fr-FR"/>
        </w:rPr>
        <w:t xml:space="preserve">ne autre alors que la décision </w:t>
      </w:r>
      <w:r w:rsidRPr="00B357D7">
        <w:rPr>
          <w:szCs w:val="24"/>
          <w:lang w:val="fr-FR"/>
        </w:rPr>
        <w:t>suivante par l</w:t>
      </w:r>
      <w:r w:rsidR="009143C1" w:rsidRPr="00B357D7">
        <w:rPr>
          <w:szCs w:val="24"/>
          <w:lang w:val="fr-FR"/>
        </w:rPr>
        <w:t>’</w:t>
      </w:r>
      <w:r w:rsidRPr="00B357D7">
        <w:rPr>
          <w:szCs w:val="24"/>
          <w:lang w:val="fr-FR"/>
        </w:rPr>
        <w:t>analyse COYD a révélé qu</w:t>
      </w:r>
      <w:r w:rsidR="009143C1" w:rsidRPr="00B357D7">
        <w:rPr>
          <w:szCs w:val="24"/>
          <w:lang w:val="fr-FR"/>
        </w:rPr>
        <w:t>’</w:t>
      </w:r>
      <w:r w:rsidR="00415D88" w:rsidRPr="00B357D7">
        <w:rPr>
          <w:szCs w:val="24"/>
          <w:lang w:val="fr-FR"/>
        </w:rPr>
        <w:t>elle était non distincte dans le jeu de données</w:t>
      </w:r>
      <w:r w:rsidRPr="00B357D7">
        <w:rPr>
          <w:szCs w:val="24"/>
          <w:lang w:val="fr-FR"/>
        </w:rPr>
        <w:t xml:space="preserve"> relatif aux pois fourragers (faux positif)</w:t>
      </w:r>
    </w:p>
    <w:p w:rsidR="00680EB7" w:rsidRPr="00B357D7" w:rsidRDefault="00680EB7" w:rsidP="00F56A94">
      <w:pPr>
        <w:widowControl w:val="0"/>
        <w:rPr>
          <w:i/>
          <w:szCs w:val="24"/>
          <w:lang w:val="fr-FR"/>
        </w:rPr>
      </w:pPr>
    </w:p>
    <w:tbl>
      <w:tblPr>
        <w:tblStyle w:val="TableGrid"/>
        <w:tblW w:w="5000" w:type="pct"/>
        <w:tblBorders>
          <w:left w:val="none" w:sz="0" w:space="0" w:color="auto"/>
          <w:right w:val="none" w:sz="0" w:space="0" w:color="auto"/>
          <w:insideH w:val="none" w:sz="0" w:space="0" w:color="auto"/>
          <w:insideV w:val="none" w:sz="0" w:space="0" w:color="auto"/>
        </w:tblBorders>
        <w:tblCellMar>
          <w:left w:w="68" w:type="dxa"/>
          <w:right w:w="68" w:type="dxa"/>
        </w:tblCellMar>
        <w:tblLook w:val="04A0" w:firstRow="1" w:lastRow="0" w:firstColumn="1" w:lastColumn="0" w:noHBand="0" w:noVBand="1"/>
      </w:tblPr>
      <w:tblGrid>
        <w:gridCol w:w="1961"/>
        <w:gridCol w:w="1961"/>
        <w:gridCol w:w="2043"/>
        <w:gridCol w:w="2058"/>
        <w:gridCol w:w="1752"/>
      </w:tblGrid>
      <w:tr w:rsidR="00F03D7F" w:rsidRPr="00110CFB" w:rsidTr="00F56A94">
        <w:trPr>
          <w:cantSplit/>
        </w:trPr>
        <w:tc>
          <w:tcPr>
            <w:tcW w:w="1976" w:type="dxa"/>
            <w:tcBorders>
              <w:top w:val="single" w:sz="4" w:space="0" w:color="auto"/>
              <w:bottom w:val="single" w:sz="4" w:space="0" w:color="auto"/>
            </w:tcBorders>
          </w:tcPr>
          <w:p w:rsidR="00680EB7" w:rsidRPr="00B357D7" w:rsidRDefault="003F7722" w:rsidP="00F56A94">
            <w:pPr>
              <w:widowControl w:val="0"/>
              <w:jc w:val="center"/>
              <w:rPr>
                <w:szCs w:val="24"/>
                <w:lang w:val="fr-FR"/>
              </w:rPr>
            </w:pPr>
            <w:r w:rsidRPr="00B357D7">
              <w:rPr>
                <w:szCs w:val="24"/>
                <w:lang w:val="fr-FR"/>
              </w:rPr>
              <w:t>caractère</w:t>
            </w:r>
          </w:p>
        </w:tc>
        <w:tc>
          <w:tcPr>
            <w:tcW w:w="1980" w:type="dxa"/>
            <w:tcBorders>
              <w:top w:val="single" w:sz="4" w:space="0" w:color="auto"/>
              <w:bottom w:val="single" w:sz="4" w:space="0" w:color="auto"/>
            </w:tcBorders>
          </w:tcPr>
          <w:p w:rsidR="00680EB7" w:rsidRPr="00B357D7" w:rsidRDefault="003F7722" w:rsidP="00F56A94">
            <w:pPr>
              <w:widowControl w:val="0"/>
              <w:jc w:val="center"/>
              <w:rPr>
                <w:szCs w:val="24"/>
                <w:lang w:val="fr-FR"/>
              </w:rPr>
            </w:pPr>
            <w:r w:rsidRPr="00B357D7">
              <w:rPr>
                <w:szCs w:val="24"/>
                <w:lang w:val="fr-FR"/>
              </w:rPr>
              <w:t xml:space="preserve">Seuil calculé avec </w:t>
            </w:r>
            <w:proofErr w:type="spellStart"/>
            <w:r w:rsidRPr="00B357D7">
              <w:rPr>
                <w:szCs w:val="24"/>
                <w:lang w:val="fr-FR"/>
              </w:rPr>
              <w:t>pD</w:t>
            </w:r>
            <w:proofErr w:type="spellEnd"/>
            <w:r w:rsidRPr="00B357D7">
              <w:rPr>
                <w:szCs w:val="24"/>
                <w:lang w:val="fr-FR"/>
              </w:rPr>
              <w:t xml:space="preserve"> = 0,99</w:t>
            </w:r>
          </w:p>
        </w:tc>
        <w:tc>
          <w:tcPr>
            <w:tcW w:w="2063" w:type="dxa"/>
            <w:tcBorders>
              <w:top w:val="single" w:sz="4" w:space="0" w:color="auto"/>
              <w:bottom w:val="single" w:sz="4" w:space="0" w:color="auto"/>
            </w:tcBorders>
          </w:tcPr>
          <w:p w:rsidR="00680EB7" w:rsidRPr="00B357D7" w:rsidRDefault="003F7722" w:rsidP="00F56A94">
            <w:pPr>
              <w:widowControl w:val="0"/>
              <w:jc w:val="center"/>
              <w:rPr>
                <w:szCs w:val="24"/>
                <w:lang w:val="fr-FR"/>
              </w:rPr>
            </w:pPr>
            <w:r w:rsidRPr="00B357D7">
              <w:rPr>
                <w:szCs w:val="24"/>
                <w:lang w:val="fr-FR"/>
              </w:rPr>
              <w:t xml:space="preserve">Seuil calculé avec </w:t>
            </w:r>
            <w:proofErr w:type="spellStart"/>
            <w:r w:rsidRPr="00B357D7">
              <w:rPr>
                <w:szCs w:val="24"/>
                <w:lang w:val="fr-FR"/>
              </w:rPr>
              <w:t>pD</w:t>
            </w:r>
            <w:proofErr w:type="spellEnd"/>
            <w:r w:rsidRPr="00B357D7">
              <w:rPr>
                <w:szCs w:val="24"/>
                <w:lang w:val="fr-FR"/>
              </w:rPr>
              <w:t xml:space="preserve"> = 0,95</w:t>
            </w:r>
          </w:p>
        </w:tc>
        <w:tc>
          <w:tcPr>
            <w:tcW w:w="2078" w:type="dxa"/>
            <w:tcBorders>
              <w:top w:val="single" w:sz="4" w:space="0" w:color="auto"/>
              <w:bottom w:val="single" w:sz="4" w:space="0" w:color="auto"/>
            </w:tcBorders>
          </w:tcPr>
          <w:p w:rsidR="00680EB7" w:rsidRPr="00B357D7" w:rsidRDefault="003F7722" w:rsidP="00F56A94">
            <w:pPr>
              <w:widowControl w:val="0"/>
              <w:jc w:val="center"/>
              <w:rPr>
                <w:szCs w:val="24"/>
                <w:lang w:val="fr-FR"/>
              </w:rPr>
            </w:pPr>
            <w:r w:rsidRPr="00B357D7">
              <w:rPr>
                <w:szCs w:val="24"/>
                <w:lang w:val="fr-FR"/>
              </w:rPr>
              <w:t xml:space="preserve">Seuil calculé avec </w:t>
            </w:r>
            <w:proofErr w:type="spellStart"/>
            <w:r w:rsidRPr="00B357D7">
              <w:rPr>
                <w:szCs w:val="24"/>
                <w:lang w:val="fr-FR"/>
              </w:rPr>
              <w:t>pD</w:t>
            </w:r>
            <w:proofErr w:type="spellEnd"/>
            <w:r w:rsidRPr="00B357D7">
              <w:rPr>
                <w:szCs w:val="24"/>
                <w:lang w:val="fr-FR"/>
              </w:rPr>
              <w:t xml:space="preserve"> = 0,90</w:t>
            </w:r>
          </w:p>
        </w:tc>
        <w:tc>
          <w:tcPr>
            <w:tcW w:w="1758" w:type="dxa"/>
            <w:tcBorders>
              <w:top w:val="single" w:sz="4" w:space="0" w:color="auto"/>
              <w:bottom w:val="single" w:sz="4" w:space="0" w:color="auto"/>
            </w:tcBorders>
          </w:tcPr>
          <w:p w:rsidR="00680EB7" w:rsidRPr="00B357D7" w:rsidRDefault="00F03D7F" w:rsidP="00F56A94">
            <w:pPr>
              <w:widowControl w:val="0"/>
              <w:jc w:val="center"/>
              <w:rPr>
                <w:szCs w:val="24"/>
                <w:lang w:val="fr-FR" w:eastAsia="ja-JP"/>
              </w:rPr>
            </w:pPr>
            <w:r w:rsidRPr="00B357D7">
              <w:rPr>
                <w:szCs w:val="24"/>
                <w:lang w:val="fr-FR" w:eastAsia="ja-JP"/>
              </w:rPr>
              <w:t>Valeur de t</w:t>
            </w:r>
            <w:r w:rsidR="003F7722" w:rsidRPr="00B357D7">
              <w:rPr>
                <w:szCs w:val="24"/>
                <w:lang w:val="fr-FR" w:eastAsia="ja-JP"/>
              </w:rPr>
              <w:t>olérance actuelle du Royaume</w:t>
            </w:r>
            <w:r w:rsidR="00F56A94">
              <w:rPr>
                <w:szCs w:val="24"/>
                <w:lang w:val="fr-FR" w:eastAsia="ja-JP"/>
              </w:rPr>
              <w:noBreakHyphen/>
            </w:r>
            <w:r w:rsidR="003F7722" w:rsidRPr="00B357D7">
              <w:rPr>
                <w:szCs w:val="24"/>
                <w:lang w:val="fr-FR" w:eastAsia="ja-JP"/>
              </w:rPr>
              <w:t>Uni</w:t>
            </w:r>
          </w:p>
        </w:tc>
      </w:tr>
      <w:tr w:rsidR="00F03D7F" w:rsidRPr="00B357D7" w:rsidTr="00F56A94">
        <w:trPr>
          <w:cantSplit/>
        </w:trPr>
        <w:tc>
          <w:tcPr>
            <w:tcW w:w="1976" w:type="dxa"/>
            <w:tcBorders>
              <w:top w:val="single" w:sz="4" w:space="0" w:color="auto"/>
            </w:tcBorders>
          </w:tcPr>
          <w:p w:rsidR="00680EB7" w:rsidRPr="00B357D7" w:rsidRDefault="00680EB7" w:rsidP="00F56A94">
            <w:pPr>
              <w:widowControl w:val="0"/>
              <w:jc w:val="center"/>
              <w:rPr>
                <w:szCs w:val="24"/>
                <w:lang w:val="fr-FR"/>
              </w:rPr>
            </w:pPr>
            <w:r w:rsidRPr="00B357D7">
              <w:rPr>
                <w:szCs w:val="24"/>
                <w:lang w:val="fr-FR"/>
              </w:rPr>
              <w:t>5</w:t>
            </w:r>
          </w:p>
        </w:tc>
        <w:tc>
          <w:tcPr>
            <w:tcW w:w="1980" w:type="dxa"/>
            <w:tcBorders>
              <w:top w:val="single" w:sz="4" w:space="0" w:color="auto"/>
            </w:tcBorders>
          </w:tcPr>
          <w:p w:rsidR="00680EB7" w:rsidRPr="00B357D7" w:rsidRDefault="003F7722" w:rsidP="00F56A94">
            <w:pPr>
              <w:widowControl w:val="0"/>
              <w:jc w:val="center"/>
              <w:rPr>
                <w:szCs w:val="24"/>
                <w:lang w:val="fr-FR"/>
              </w:rPr>
            </w:pPr>
            <w:r w:rsidRPr="00B357D7">
              <w:rPr>
                <w:szCs w:val="24"/>
                <w:lang w:val="fr-FR"/>
              </w:rPr>
              <w:t>0,00%</w:t>
            </w:r>
          </w:p>
        </w:tc>
        <w:tc>
          <w:tcPr>
            <w:tcW w:w="2063" w:type="dxa"/>
            <w:tcBorders>
              <w:top w:val="single" w:sz="4" w:space="0" w:color="auto"/>
            </w:tcBorders>
          </w:tcPr>
          <w:p w:rsidR="00680EB7" w:rsidRPr="00B357D7" w:rsidRDefault="003F7722" w:rsidP="00F56A94">
            <w:pPr>
              <w:widowControl w:val="0"/>
              <w:jc w:val="center"/>
              <w:rPr>
                <w:szCs w:val="24"/>
                <w:lang w:val="fr-FR"/>
              </w:rPr>
            </w:pPr>
            <w:r w:rsidRPr="00B357D7">
              <w:rPr>
                <w:szCs w:val="24"/>
                <w:lang w:val="fr-FR"/>
              </w:rPr>
              <w:t>0,05%</w:t>
            </w:r>
          </w:p>
        </w:tc>
        <w:tc>
          <w:tcPr>
            <w:tcW w:w="2078" w:type="dxa"/>
            <w:tcBorders>
              <w:top w:val="single" w:sz="4" w:space="0" w:color="auto"/>
            </w:tcBorders>
          </w:tcPr>
          <w:p w:rsidR="00680EB7" w:rsidRPr="00B357D7" w:rsidRDefault="003F7722" w:rsidP="00F56A94">
            <w:pPr>
              <w:widowControl w:val="0"/>
              <w:jc w:val="center"/>
              <w:rPr>
                <w:szCs w:val="24"/>
                <w:lang w:val="fr-FR"/>
              </w:rPr>
            </w:pPr>
            <w:r w:rsidRPr="00B357D7">
              <w:rPr>
                <w:szCs w:val="24"/>
                <w:lang w:val="fr-FR"/>
              </w:rPr>
              <w:t>0,40%</w:t>
            </w:r>
          </w:p>
        </w:tc>
        <w:tc>
          <w:tcPr>
            <w:tcW w:w="1758" w:type="dxa"/>
            <w:tcBorders>
              <w:top w:val="single" w:sz="4" w:space="0" w:color="auto"/>
            </w:tcBorders>
          </w:tcPr>
          <w:p w:rsidR="00680EB7" w:rsidRPr="00B357D7" w:rsidRDefault="003F7722" w:rsidP="00F56A94">
            <w:pPr>
              <w:widowControl w:val="0"/>
              <w:jc w:val="center"/>
              <w:rPr>
                <w:szCs w:val="24"/>
                <w:lang w:val="fr-FR"/>
              </w:rPr>
            </w:pPr>
            <w:r w:rsidRPr="00B357D7">
              <w:rPr>
                <w:szCs w:val="24"/>
                <w:lang w:val="fr-FR"/>
              </w:rPr>
              <w:t>0,00%</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15</w:t>
            </w:r>
          </w:p>
        </w:tc>
        <w:tc>
          <w:tcPr>
            <w:tcW w:w="1980" w:type="dxa"/>
          </w:tcPr>
          <w:p w:rsidR="00680EB7" w:rsidRPr="00B357D7" w:rsidRDefault="003F7722" w:rsidP="00F56A94">
            <w:pPr>
              <w:widowControl w:val="0"/>
              <w:jc w:val="center"/>
              <w:rPr>
                <w:szCs w:val="24"/>
                <w:lang w:val="fr-FR"/>
              </w:rPr>
            </w:pPr>
            <w:r w:rsidRPr="00B357D7">
              <w:rPr>
                <w:szCs w:val="24"/>
                <w:lang w:val="fr-FR"/>
              </w:rPr>
              <w:t>0,07%</w:t>
            </w:r>
          </w:p>
        </w:tc>
        <w:tc>
          <w:tcPr>
            <w:tcW w:w="2063" w:type="dxa"/>
          </w:tcPr>
          <w:p w:rsidR="00680EB7" w:rsidRPr="00B357D7" w:rsidRDefault="003F7722" w:rsidP="00F56A94">
            <w:pPr>
              <w:widowControl w:val="0"/>
              <w:jc w:val="center"/>
              <w:rPr>
                <w:szCs w:val="24"/>
                <w:lang w:val="fr-FR"/>
              </w:rPr>
            </w:pPr>
            <w:r w:rsidRPr="00B357D7">
              <w:rPr>
                <w:szCs w:val="24"/>
                <w:lang w:val="fr-FR"/>
              </w:rPr>
              <w:t>0,62%</w:t>
            </w:r>
          </w:p>
        </w:tc>
        <w:tc>
          <w:tcPr>
            <w:tcW w:w="2078" w:type="dxa"/>
          </w:tcPr>
          <w:p w:rsidR="00680EB7" w:rsidRPr="00B357D7" w:rsidRDefault="003F7722" w:rsidP="00F56A94">
            <w:pPr>
              <w:widowControl w:val="0"/>
              <w:jc w:val="center"/>
              <w:rPr>
                <w:szCs w:val="24"/>
                <w:lang w:val="fr-FR"/>
              </w:rPr>
            </w:pPr>
            <w:r w:rsidRPr="00B357D7">
              <w:rPr>
                <w:szCs w:val="24"/>
                <w:lang w:val="fr-FR"/>
              </w:rPr>
              <w:t>1,34%</w:t>
            </w:r>
          </w:p>
        </w:tc>
        <w:tc>
          <w:tcPr>
            <w:tcW w:w="1758" w:type="dxa"/>
          </w:tcPr>
          <w:p w:rsidR="00680EB7" w:rsidRPr="00B357D7" w:rsidRDefault="003F7722" w:rsidP="00F56A94">
            <w:pPr>
              <w:widowControl w:val="0"/>
              <w:jc w:val="center"/>
              <w:rPr>
                <w:szCs w:val="24"/>
                <w:lang w:val="fr-FR"/>
              </w:rPr>
            </w:pPr>
            <w:r w:rsidRPr="00B357D7">
              <w:rPr>
                <w:szCs w:val="24"/>
                <w:lang w:val="fr-FR"/>
              </w:rPr>
              <w:t>0,04%</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16</w:t>
            </w:r>
          </w:p>
        </w:tc>
        <w:tc>
          <w:tcPr>
            <w:tcW w:w="1980" w:type="dxa"/>
          </w:tcPr>
          <w:p w:rsidR="00680EB7" w:rsidRPr="00B357D7" w:rsidRDefault="003F7722" w:rsidP="00F56A94">
            <w:pPr>
              <w:widowControl w:val="0"/>
              <w:jc w:val="center"/>
              <w:rPr>
                <w:szCs w:val="24"/>
                <w:lang w:val="fr-FR"/>
              </w:rPr>
            </w:pPr>
            <w:r w:rsidRPr="00B357D7">
              <w:rPr>
                <w:szCs w:val="24"/>
                <w:lang w:val="fr-FR"/>
              </w:rPr>
              <w:t>0,17%</w:t>
            </w:r>
          </w:p>
        </w:tc>
        <w:tc>
          <w:tcPr>
            <w:tcW w:w="2063" w:type="dxa"/>
          </w:tcPr>
          <w:p w:rsidR="00680EB7" w:rsidRPr="00B357D7" w:rsidRDefault="003F7722" w:rsidP="00F56A94">
            <w:pPr>
              <w:widowControl w:val="0"/>
              <w:jc w:val="center"/>
              <w:rPr>
                <w:szCs w:val="24"/>
                <w:lang w:val="fr-FR"/>
              </w:rPr>
            </w:pPr>
            <w:r w:rsidRPr="00B357D7">
              <w:rPr>
                <w:szCs w:val="24"/>
                <w:lang w:val="fr-FR"/>
              </w:rPr>
              <w:t>0,79%</w:t>
            </w:r>
          </w:p>
        </w:tc>
        <w:tc>
          <w:tcPr>
            <w:tcW w:w="2078" w:type="dxa"/>
          </w:tcPr>
          <w:p w:rsidR="00680EB7" w:rsidRPr="00B357D7" w:rsidRDefault="003F7722" w:rsidP="00F56A94">
            <w:pPr>
              <w:widowControl w:val="0"/>
              <w:jc w:val="center"/>
              <w:rPr>
                <w:szCs w:val="24"/>
                <w:lang w:val="fr-FR"/>
              </w:rPr>
            </w:pPr>
            <w:r w:rsidRPr="00B357D7">
              <w:rPr>
                <w:szCs w:val="24"/>
                <w:lang w:val="fr-FR"/>
              </w:rPr>
              <w:t>1,59%</w:t>
            </w:r>
          </w:p>
        </w:tc>
        <w:tc>
          <w:tcPr>
            <w:tcW w:w="1758" w:type="dxa"/>
          </w:tcPr>
          <w:p w:rsidR="00680EB7" w:rsidRPr="00B357D7" w:rsidRDefault="003F7722" w:rsidP="00F56A94">
            <w:pPr>
              <w:widowControl w:val="0"/>
              <w:jc w:val="center"/>
              <w:rPr>
                <w:szCs w:val="24"/>
                <w:lang w:val="fr-FR"/>
              </w:rPr>
            </w:pPr>
            <w:r w:rsidRPr="00B357D7">
              <w:rPr>
                <w:szCs w:val="24"/>
                <w:lang w:val="fr-FR"/>
              </w:rPr>
              <w:t>0,00%</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21</w:t>
            </w:r>
          </w:p>
        </w:tc>
        <w:tc>
          <w:tcPr>
            <w:tcW w:w="1980" w:type="dxa"/>
          </w:tcPr>
          <w:p w:rsidR="00680EB7" w:rsidRPr="00B357D7" w:rsidRDefault="003F7722" w:rsidP="00F56A94">
            <w:pPr>
              <w:widowControl w:val="0"/>
              <w:jc w:val="center"/>
              <w:rPr>
                <w:szCs w:val="24"/>
                <w:lang w:val="fr-FR"/>
              </w:rPr>
            </w:pPr>
            <w:r w:rsidRPr="00B357D7">
              <w:rPr>
                <w:szCs w:val="24"/>
                <w:lang w:val="fr-FR"/>
              </w:rPr>
              <w:t>0,01%</w:t>
            </w:r>
          </w:p>
        </w:tc>
        <w:tc>
          <w:tcPr>
            <w:tcW w:w="2063" w:type="dxa"/>
          </w:tcPr>
          <w:p w:rsidR="00680EB7" w:rsidRPr="00B357D7" w:rsidRDefault="003F7722" w:rsidP="00F56A94">
            <w:pPr>
              <w:widowControl w:val="0"/>
              <w:jc w:val="center"/>
              <w:rPr>
                <w:szCs w:val="24"/>
                <w:lang w:val="fr-FR"/>
              </w:rPr>
            </w:pPr>
            <w:r w:rsidRPr="00B357D7">
              <w:rPr>
                <w:szCs w:val="24"/>
                <w:lang w:val="fr-FR"/>
              </w:rPr>
              <w:t>0,18%</w:t>
            </w:r>
          </w:p>
        </w:tc>
        <w:tc>
          <w:tcPr>
            <w:tcW w:w="2078" w:type="dxa"/>
          </w:tcPr>
          <w:p w:rsidR="00680EB7" w:rsidRPr="00B357D7" w:rsidRDefault="003F7722" w:rsidP="00F56A94">
            <w:pPr>
              <w:widowControl w:val="0"/>
              <w:jc w:val="center"/>
              <w:rPr>
                <w:szCs w:val="24"/>
                <w:lang w:val="fr-FR"/>
              </w:rPr>
            </w:pPr>
            <w:r w:rsidRPr="00B357D7">
              <w:rPr>
                <w:szCs w:val="24"/>
                <w:lang w:val="fr-FR"/>
              </w:rPr>
              <w:t>1,34%</w:t>
            </w:r>
          </w:p>
        </w:tc>
        <w:tc>
          <w:tcPr>
            <w:tcW w:w="1758" w:type="dxa"/>
          </w:tcPr>
          <w:p w:rsidR="00680EB7" w:rsidRPr="00B357D7" w:rsidRDefault="003F7722" w:rsidP="00F56A94">
            <w:pPr>
              <w:widowControl w:val="0"/>
              <w:jc w:val="center"/>
              <w:rPr>
                <w:szCs w:val="24"/>
                <w:lang w:val="fr-FR"/>
              </w:rPr>
            </w:pPr>
            <w:r w:rsidRPr="00B357D7">
              <w:rPr>
                <w:szCs w:val="24"/>
                <w:lang w:val="fr-FR"/>
              </w:rPr>
              <w:t>0,00%</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22</w:t>
            </w:r>
          </w:p>
        </w:tc>
        <w:tc>
          <w:tcPr>
            <w:tcW w:w="1980" w:type="dxa"/>
          </w:tcPr>
          <w:p w:rsidR="00680EB7" w:rsidRPr="00B357D7" w:rsidRDefault="003F7722" w:rsidP="00F56A94">
            <w:pPr>
              <w:widowControl w:val="0"/>
              <w:jc w:val="center"/>
              <w:rPr>
                <w:szCs w:val="24"/>
                <w:lang w:val="fr-FR"/>
              </w:rPr>
            </w:pPr>
            <w:r w:rsidRPr="00B357D7">
              <w:rPr>
                <w:szCs w:val="24"/>
                <w:lang w:val="fr-FR"/>
              </w:rPr>
              <w:t>0,05%</w:t>
            </w:r>
          </w:p>
        </w:tc>
        <w:tc>
          <w:tcPr>
            <w:tcW w:w="2063" w:type="dxa"/>
          </w:tcPr>
          <w:p w:rsidR="00680EB7" w:rsidRPr="00B357D7" w:rsidRDefault="003F7722" w:rsidP="00F56A94">
            <w:pPr>
              <w:widowControl w:val="0"/>
              <w:jc w:val="center"/>
              <w:rPr>
                <w:szCs w:val="24"/>
                <w:lang w:val="fr-FR"/>
              </w:rPr>
            </w:pPr>
            <w:r w:rsidRPr="00B357D7">
              <w:rPr>
                <w:szCs w:val="24"/>
                <w:lang w:val="fr-FR"/>
              </w:rPr>
              <w:t>0,41%</w:t>
            </w:r>
          </w:p>
        </w:tc>
        <w:tc>
          <w:tcPr>
            <w:tcW w:w="2078" w:type="dxa"/>
          </w:tcPr>
          <w:p w:rsidR="00680EB7" w:rsidRPr="00B357D7" w:rsidRDefault="003F7722" w:rsidP="00F56A94">
            <w:pPr>
              <w:widowControl w:val="0"/>
              <w:jc w:val="center"/>
              <w:rPr>
                <w:szCs w:val="24"/>
                <w:lang w:val="fr-FR"/>
              </w:rPr>
            </w:pPr>
            <w:r w:rsidRPr="00B357D7">
              <w:rPr>
                <w:szCs w:val="24"/>
                <w:lang w:val="fr-FR"/>
              </w:rPr>
              <w:t>0,96%</w:t>
            </w:r>
          </w:p>
        </w:tc>
        <w:tc>
          <w:tcPr>
            <w:tcW w:w="1758" w:type="dxa"/>
          </w:tcPr>
          <w:p w:rsidR="00680EB7" w:rsidRPr="00B357D7" w:rsidRDefault="003F7722" w:rsidP="00F56A94">
            <w:pPr>
              <w:widowControl w:val="0"/>
              <w:jc w:val="center"/>
              <w:rPr>
                <w:szCs w:val="24"/>
                <w:lang w:val="fr-FR"/>
              </w:rPr>
            </w:pPr>
            <w:r w:rsidRPr="00B357D7">
              <w:rPr>
                <w:szCs w:val="24"/>
                <w:lang w:val="fr-FR"/>
              </w:rPr>
              <w:t>0,03%</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28</w:t>
            </w:r>
          </w:p>
        </w:tc>
        <w:tc>
          <w:tcPr>
            <w:tcW w:w="1980" w:type="dxa"/>
          </w:tcPr>
          <w:p w:rsidR="00680EB7" w:rsidRPr="00B357D7" w:rsidRDefault="003F7722" w:rsidP="00F56A94">
            <w:pPr>
              <w:widowControl w:val="0"/>
              <w:jc w:val="center"/>
              <w:rPr>
                <w:szCs w:val="24"/>
                <w:lang w:val="fr-FR"/>
              </w:rPr>
            </w:pPr>
            <w:r w:rsidRPr="00B357D7">
              <w:rPr>
                <w:szCs w:val="24"/>
                <w:lang w:val="fr-FR"/>
              </w:rPr>
              <w:t>0,04%</w:t>
            </w:r>
          </w:p>
        </w:tc>
        <w:tc>
          <w:tcPr>
            <w:tcW w:w="2063" w:type="dxa"/>
          </w:tcPr>
          <w:p w:rsidR="00680EB7" w:rsidRPr="00B357D7" w:rsidRDefault="003F7722" w:rsidP="00F56A94">
            <w:pPr>
              <w:widowControl w:val="0"/>
              <w:jc w:val="center"/>
              <w:rPr>
                <w:szCs w:val="24"/>
                <w:lang w:val="fr-FR"/>
              </w:rPr>
            </w:pPr>
            <w:r w:rsidRPr="00B357D7">
              <w:rPr>
                <w:szCs w:val="24"/>
                <w:lang w:val="fr-FR"/>
              </w:rPr>
              <w:t>0,54%</w:t>
            </w:r>
          </w:p>
        </w:tc>
        <w:tc>
          <w:tcPr>
            <w:tcW w:w="2078" w:type="dxa"/>
          </w:tcPr>
          <w:p w:rsidR="00680EB7" w:rsidRPr="00B357D7" w:rsidRDefault="003F7722" w:rsidP="00F56A94">
            <w:pPr>
              <w:widowControl w:val="0"/>
              <w:jc w:val="center"/>
              <w:rPr>
                <w:szCs w:val="24"/>
                <w:lang w:val="fr-FR"/>
              </w:rPr>
            </w:pPr>
            <w:r w:rsidRPr="00B357D7">
              <w:rPr>
                <w:szCs w:val="24"/>
                <w:lang w:val="fr-FR"/>
              </w:rPr>
              <w:t>1,17%</w:t>
            </w:r>
          </w:p>
        </w:tc>
        <w:tc>
          <w:tcPr>
            <w:tcW w:w="1758" w:type="dxa"/>
          </w:tcPr>
          <w:p w:rsidR="00680EB7" w:rsidRPr="00B357D7" w:rsidRDefault="003F7722" w:rsidP="00F56A94">
            <w:pPr>
              <w:widowControl w:val="0"/>
              <w:jc w:val="center"/>
              <w:rPr>
                <w:szCs w:val="24"/>
                <w:lang w:val="fr-FR"/>
              </w:rPr>
            </w:pPr>
            <w:r w:rsidRPr="00B357D7">
              <w:rPr>
                <w:szCs w:val="24"/>
                <w:lang w:val="fr-FR"/>
              </w:rPr>
              <w:t>0,00%</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29</w:t>
            </w:r>
          </w:p>
        </w:tc>
        <w:tc>
          <w:tcPr>
            <w:tcW w:w="1980" w:type="dxa"/>
          </w:tcPr>
          <w:p w:rsidR="00680EB7" w:rsidRPr="00B357D7" w:rsidRDefault="003F7722" w:rsidP="00F56A94">
            <w:pPr>
              <w:widowControl w:val="0"/>
              <w:jc w:val="center"/>
              <w:rPr>
                <w:szCs w:val="24"/>
                <w:lang w:val="fr-FR"/>
              </w:rPr>
            </w:pPr>
            <w:r w:rsidRPr="00B357D7">
              <w:rPr>
                <w:szCs w:val="24"/>
                <w:lang w:val="fr-FR"/>
              </w:rPr>
              <w:t>0,15%</w:t>
            </w:r>
          </w:p>
        </w:tc>
        <w:tc>
          <w:tcPr>
            <w:tcW w:w="2063" w:type="dxa"/>
          </w:tcPr>
          <w:p w:rsidR="00680EB7" w:rsidRPr="00B357D7" w:rsidRDefault="003F7722" w:rsidP="00F56A94">
            <w:pPr>
              <w:widowControl w:val="0"/>
              <w:jc w:val="center"/>
              <w:rPr>
                <w:szCs w:val="24"/>
                <w:lang w:val="fr-FR"/>
              </w:rPr>
            </w:pPr>
            <w:r w:rsidRPr="00B357D7">
              <w:rPr>
                <w:szCs w:val="24"/>
                <w:lang w:val="fr-FR"/>
              </w:rPr>
              <w:t>0,15%</w:t>
            </w:r>
          </w:p>
        </w:tc>
        <w:tc>
          <w:tcPr>
            <w:tcW w:w="2078" w:type="dxa"/>
          </w:tcPr>
          <w:p w:rsidR="00680EB7" w:rsidRPr="00B357D7" w:rsidRDefault="003F7722" w:rsidP="00F56A94">
            <w:pPr>
              <w:widowControl w:val="0"/>
              <w:jc w:val="center"/>
              <w:rPr>
                <w:szCs w:val="24"/>
                <w:lang w:val="fr-FR"/>
              </w:rPr>
            </w:pPr>
            <w:r w:rsidRPr="00B357D7">
              <w:rPr>
                <w:szCs w:val="24"/>
                <w:lang w:val="fr-FR"/>
              </w:rPr>
              <w:t>0,99%</w:t>
            </w:r>
          </w:p>
        </w:tc>
        <w:tc>
          <w:tcPr>
            <w:tcW w:w="1758" w:type="dxa"/>
          </w:tcPr>
          <w:p w:rsidR="00680EB7" w:rsidRPr="00B357D7" w:rsidRDefault="003F7722" w:rsidP="00F56A94">
            <w:pPr>
              <w:widowControl w:val="0"/>
              <w:jc w:val="center"/>
              <w:rPr>
                <w:szCs w:val="24"/>
                <w:lang w:val="fr-FR"/>
              </w:rPr>
            </w:pPr>
            <w:r w:rsidRPr="00B357D7">
              <w:rPr>
                <w:szCs w:val="24"/>
                <w:lang w:val="fr-FR"/>
              </w:rPr>
              <w:t>0,15%</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34</w:t>
            </w:r>
          </w:p>
        </w:tc>
        <w:tc>
          <w:tcPr>
            <w:tcW w:w="1980" w:type="dxa"/>
          </w:tcPr>
          <w:p w:rsidR="00680EB7" w:rsidRPr="00B357D7" w:rsidRDefault="003F7722" w:rsidP="00F56A94">
            <w:pPr>
              <w:widowControl w:val="0"/>
              <w:jc w:val="center"/>
              <w:rPr>
                <w:szCs w:val="24"/>
                <w:lang w:val="fr-FR"/>
              </w:rPr>
            </w:pPr>
            <w:r w:rsidRPr="00B357D7">
              <w:rPr>
                <w:szCs w:val="24"/>
                <w:lang w:val="fr-FR"/>
              </w:rPr>
              <w:t>0,03%</w:t>
            </w:r>
          </w:p>
        </w:tc>
        <w:tc>
          <w:tcPr>
            <w:tcW w:w="2063" w:type="dxa"/>
          </w:tcPr>
          <w:p w:rsidR="00680EB7" w:rsidRPr="00B357D7" w:rsidRDefault="003F7722" w:rsidP="00F56A94">
            <w:pPr>
              <w:widowControl w:val="0"/>
              <w:jc w:val="center"/>
              <w:rPr>
                <w:szCs w:val="24"/>
                <w:lang w:val="fr-FR"/>
              </w:rPr>
            </w:pPr>
            <w:r w:rsidRPr="00B357D7">
              <w:rPr>
                <w:szCs w:val="24"/>
                <w:lang w:val="fr-FR"/>
              </w:rPr>
              <w:t>0,40%</w:t>
            </w:r>
          </w:p>
        </w:tc>
        <w:tc>
          <w:tcPr>
            <w:tcW w:w="2078" w:type="dxa"/>
          </w:tcPr>
          <w:p w:rsidR="00680EB7" w:rsidRPr="00B357D7" w:rsidRDefault="003F7722" w:rsidP="00F56A94">
            <w:pPr>
              <w:widowControl w:val="0"/>
              <w:jc w:val="center"/>
              <w:rPr>
                <w:szCs w:val="24"/>
                <w:lang w:val="fr-FR"/>
              </w:rPr>
            </w:pPr>
            <w:r w:rsidRPr="00B357D7">
              <w:rPr>
                <w:szCs w:val="24"/>
                <w:lang w:val="fr-FR"/>
              </w:rPr>
              <w:t>1,05%</w:t>
            </w:r>
          </w:p>
        </w:tc>
        <w:tc>
          <w:tcPr>
            <w:tcW w:w="1758" w:type="dxa"/>
          </w:tcPr>
          <w:p w:rsidR="00680EB7" w:rsidRPr="00B357D7" w:rsidRDefault="003F7722" w:rsidP="00F56A94">
            <w:pPr>
              <w:widowControl w:val="0"/>
              <w:jc w:val="center"/>
              <w:rPr>
                <w:szCs w:val="24"/>
                <w:lang w:val="fr-FR"/>
              </w:rPr>
            </w:pPr>
            <w:r w:rsidRPr="00B357D7">
              <w:rPr>
                <w:szCs w:val="24"/>
                <w:lang w:val="fr-FR"/>
              </w:rPr>
              <w:t>0,07%</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37</w:t>
            </w:r>
          </w:p>
        </w:tc>
        <w:tc>
          <w:tcPr>
            <w:tcW w:w="1980" w:type="dxa"/>
          </w:tcPr>
          <w:p w:rsidR="00680EB7" w:rsidRPr="00B357D7" w:rsidRDefault="003F7722" w:rsidP="00F56A94">
            <w:pPr>
              <w:widowControl w:val="0"/>
              <w:jc w:val="center"/>
              <w:rPr>
                <w:szCs w:val="24"/>
                <w:lang w:val="fr-FR"/>
              </w:rPr>
            </w:pPr>
            <w:r w:rsidRPr="00B357D7">
              <w:rPr>
                <w:szCs w:val="24"/>
                <w:lang w:val="fr-FR"/>
              </w:rPr>
              <w:t>0,02%</w:t>
            </w:r>
          </w:p>
        </w:tc>
        <w:tc>
          <w:tcPr>
            <w:tcW w:w="2063" w:type="dxa"/>
          </w:tcPr>
          <w:p w:rsidR="00680EB7" w:rsidRPr="00B357D7" w:rsidRDefault="003F7722" w:rsidP="00F56A94">
            <w:pPr>
              <w:widowControl w:val="0"/>
              <w:jc w:val="center"/>
              <w:rPr>
                <w:szCs w:val="24"/>
                <w:lang w:val="fr-FR"/>
              </w:rPr>
            </w:pPr>
            <w:r w:rsidRPr="00B357D7">
              <w:rPr>
                <w:szCs w:val="24"/>
                <w:lang w:val="fr-FR"/>
              </w:rPr>
              <w:t>0,23%</w:t>
            </w:r>
          </w:p>
        </w:tc>
        <w:tc>
          <w:tcPr>
            <w:tcW w:w="2078" w:type="dxa"/>
          </w:tcPr>
          <w:p w:rsidR="00680EB7" w:rsidRPr="00B357D7" w:rsidRDefault="003F7722" w:rsidP="00F56A94">
            <w:pPr>
              <w:widowControl w:val="0"/>
              <w:jc w:val="center"/>
              <w:rPr>
                <w:szCs w:val="24"/>
                <w:lang w:val="fr-FR"/>
              </w:rPr>
            </w:pPr>
            <w:r w:rsidRPr="00B357D7">
              <w:rPr>
                <w:szCs w:val="24"/>
                <w:lang w:val="fr-FR"/>
              </w:rPr>
              <w:t>0,57%</w:t>
            </w:r>
          </w:p>
        </w:tc>
        <w:tc>
          <w:tcPr>
            <w:tcW w:w="1758" w:type="dxa"/>
          </w:tcPr>
          <w:p w:rsidR="00680EB7" w:rsidRPr="00B357D7" w:rsidRDefault="003F7722" w:rsidP="00F56A94">
            <w:pPr>
              <w:widowControl w:val="0"/>
              <w:jc w:val="center"/>
              <w:rPr>
                <w:szCs w:val="24"/>
                <w:lang w:val="fr-FR"/>
              </w:rPr>
            </w:pPr>
            <w:r w:rsidRPr="00B357D7">
              <w:rPr>
                <w:szCs w:val="24"/>
                <w:lang w:val="fr-FR"/>
              </w:rPr>
              <w:t>0,00%</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38</w:t>
            </w:r>
          </w:p>
        </w:tc>
        <w:tc>
          <w:tcPr>
            <w:tcW w:w="1980" w:type="dxa"/>
          </w:tcPr>
          <w:p w:rsidR="00680EB7" w:rsidRPr="00B357D7" w:rsidRDefault="003F7722" w:rsidP="00F56A94">
            <w:pPr>
              <w:widowControl w:val="0"/>
              <w:jc w:val="center"/>
              <w:rPr>
                <w:szCs w:val="24"/>
                <w:lang w:val="fr-FR"/>
              </w:rPr>
            </w:pPr>
            <w:r w:rsidRPr="00B357D7">
              <w:rPr>
                <w:szCs w:val="24"/>
                <w:lang w:val="fr-FR"/>
              </w:rPr>
              <w:t>0,04%</w:t>
            </w:r>
          </w:p>
        </w:tc>
        <w:tc>
          <w:tcPr>
            <w:tcW w:w="2063" w:type="dxa"/>
          </w:tcPr>
          <w:p w:rsidR="00680EB7" w:rsidRPr="00B357D7" w:rsidRDefault="003F7722" w:rsidP="00F56A94">
            <w:pPr>
              <w:widowControl w:val="0"/>
              <w:jc w:val="center"/>
              <w:rPr>
                <w:szCs w:val="24"/>
                <w:lang w:val="fr-FR"/>
              </w:rPr>
            </w:pPr>
            <w:r w:rsidRPr="00B357D7">
              <w:rPr>
                <w:szCs w:val="24"/>
                <w:lang w:val="fr-FR"/>
              </w:rPr>
              <w:t>0,58%</w:t>
            </w:r>
          </w:p>
        </w:tc>
        <w:tc>
          <w:tcPr>
            <w:tcW w:w="2078" w:type="dxa"/>
          </w:tcPr>
          <w:p w:rsidR="00680EB7" w:rsidRPr="00B357D7" w:rsidRDefault="003F7722" w:rsidP="00F56A94">
            <w:pPr>
              <w:widowControl w:val="0"/>
              <w:jc w:val="center"/>
              <w:rPr>
                <w:szCs w:val="24"/>
                <w:lang w:val="fr-FR"/>
              </w:rPr>
            </w:pPr>
            <w:r w:rsidRPr="00B357D7">
              <w:rPr>
                <w:szCs w:val="24"/>
                <w:lang w:val="fr-FR"/>
              </w:rPr>
              <w:t>1,17%</w:t>
            </w:r>
          </w:p>
        </w:tc>
        <w:tc>
          <w:tcPr>
            <w:tcW w:w="1758" w:type="dxa"/>
          </w:tcPr>
          <w:p w:rsidR="00680EB7" w:rsidRPr="00B357D7" w:rsidRDefault="003F7722" w:rsidP="00F56A94">
            <w:pPr>
              <w:widowControl w:val="0"/>
              <w:jc w:val="center"/>
              <w:rPr>
                <w:szCs w:val="24"/>
                <w:lang w:val="fr-FR"/>
              </w:rPr>
            </w:pPr>
            <w:r w:rsidRPr="00B357D7">
              <w:rPr>
                <w:szCs w:val="24"/>
                <w:lang w:val="fr-FR"/>
              </w:rPr>
              <w:t>0,05%</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42</w:t>
            </w:r>
          </w:p>
        </w:tc>
        <w:tc>
          <w:tcPr>
            <w:tcW w:w="1980" w:type="dxa"/>
          </w:tcPr>
          <w:p w:rsidR="00680EB7" w:rsidRPr="00B357D7" w:rsidRDefault="003F7722" w:rsidP="00F56A94">
            <w:pPr>
              <w:widowControl w:val="0"/>
              <w:jc w:val="center"/>
              <w:rPr>
                <w:szCs w:val="24"/>
                <w:lang w:val="fr-FR"/>
              </w:rPr>
            </w:pPr>
            <w:r w:rsidRPr="00B357D7">
              <w:rPr>
                <w:szCs w:val="24"/>
                <w:lang w:val="fr-FR"/>
              </w:rPr>
              <w:t>0,04%</w:t>
            </w:r>
          </w:p>
        </w:tc>
        <w:tc>
          <w:tcPr>
            <w:tcW w:w="2063" w:type="dxa"/>
          </w:tcPr>
          <w:p w:rsidR="00680EB7" w:rsidRPr="00B357D7" w:rsidRDefault="003F7722" w:rsidP="00F56A94">
            <w:pPr>
              <w:widowControl w:val="0"/>
              <w:jc w:val="center"/>
              <w:rPr>
                <w:szCs w:val="24"/>
                <w:lang w:val="fr-FR"/>
              </w:rPr>
            </w:pPr>
            <w:r w:rsidRPr="00B357D7">
              <w:rPr>
                <w:szCs w:val="24"/>
                <w:lang w:val="fr-FR"/>
              </w:rPr>
              <w:t>0,56%</w:t>
            </w:r>
          </w:p>
        </w:tc>
        <w:tc>
          <w:tcPr>
            <w:tcW w:w="2078" w:type="dxa"/>
          </w:tcPr>
          <w:p w:rsidR="00680EB7" w:rsidRPr="00B357D7" w:rsidRDefault="003F7722" w:rsidP="00F56A94">
            <w:pPr>
              <w:widowControl w:val="0"/>
              <w:jc w:val="center"/>
              <w:rPr>
                <w:szCs w:val="24"/>
                <w:lang w:val="fr-FR"/>
              </w:rPr>
            </w:pPr>
            <w:r w:rsidRPr="00B357D7">
              <w:rPr>
                <w:szCs w:val="24"/>
                <w:lang w:val="fr-FR"/>
              </w:rPr>
              <w:t>0,56%</w:t>
            </w:r>
          </w:p>
        </w:tc>
        <w:tc>
          <w:tcPr>
            <w:tcW w:w="1758" w:type="dxa"/>
          </w:tcPr>
          <w:p w:rsidR="00680EB7" w:rsidRPr="00B357D7" w:rsidRDefault="003F7722" w:rsidP="00F56A94">
            <w:pPr>
              <w:widowControl w:val="0"/>
              <w:jc w:val="center"/>
              <w:rPr>
                <w:szCs w:val="24"/>
                <w:lang w:val="fr-FR"/>
              </w:rPr>
            </w:pPr>
            <w:r w:rsidRPr="00B357D7">
              <w:rPr>
                <w:szCs w:val="24"/>
                <w:lang w:val="fr-FR"/>
              </w:rPr>
              <w:t>0,04%</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46</w:t>
            </w:r>
          </w:p>
        </w:tc>
        <w:tc>
          <w:tcPr>
            <w:tcW w:w="1980" w:type="dxa"/>
          </w:tcPr>
          <w:p w:rsidR="00680EB7" w:rsidRPr="00B357D7" w:rsidRDefault="003F7722" w:rsidP="00F56A94">
            <w:pPr>
              <w:widowControl w:val="0"/>
              <w:jc w:val="center"/>
              <w:rPr>
                <w:szCs w:val="24"/>
                <w:lang w:val="fr-FR"/>
              </w:rPr>
            </w:pPr>
            <w:r w:rsidRPr="00B357D7">
              <w:rPr>
                <w:szCs w:val="24"/>
                <w:lang w:val="fr-FR"/>
              </w:rPr>
              <w:t>0,03%</w:t>
            </w:r>
          </w:p>
        </w:tc>
        <w:tc>
          <w:tcPr>
            <w:tcW w:w="2063" w:type="dxa"/>
          </w:tcPr>
          <w:p w:rsidR="00680EB7" w:rsidRPr="00B357D7" w:rsidRDefault="003F7722" w:rsidP="00F56A94">
            <w:pPr>
              <w:widowControl w:val="0"/>
              <w:jc w:val="center"/>
              <w:rPr>
                <w:szCs w:val="24"/>
                <w:lang w:val="fr-FR"/>
              </w:rPr>
            </w:pPr>
            <w:r w:rsidRPr="00B357D7">
              <w:rPr>
                <w:szCs w:val="24"/>
                <w:lang w:val="fr-FR"/>
              </w:rPr>
              <w:t>0,33%</w:t>
            </w:r>
          </w:p>
        </w:tc>
        <w:tc>
          <w:tcPr>
            <w:tcW w:w="2078" w:type="dxa"/>
          </w:tcPr>
          <w:p w:rsidR="00680EB7" w:rsidRPr="00B357D7" w:rsidRDefault="003F7722" w:rsidP="00F56A94">
            <w:pPr>
              <w:widowControl w:val="0"/>
              <w:jc w:val="center"/>
              <w:rPr>
                <w:szCs w:val="24"/>
                <w:lang w:val="fr-FR"/>
              </w:rPr>
            </w:pPr>
            <w:r w:rsidRPr="00B357D7">
              <w:rPr>
                <w:szCs w:val="24"/>
                <w:lang w:val="fr-FR"/>
              </w:rPr>
              <w:t>0,82%</w:t>
            </w:r>
          </w:p>
        </w:tc>
        <w:tc>
          <w:tcPr>
            <w:tcW w:w="1758" w:type="dxa"/>
          </w:tcPr>
          <w:p w:rsidR="00680EB7" w:rsidRPr="00B357D7" w:rsidRDefault="003F7722" w:rsidP="00F56A94">
            <w:pPr>
              <w:widowControl w:val="0"/>
              <w:jc w:val="center"/>
              <w:rPr>
                <w:szCs w:val="24"/>
                <w:lang w:val="fr-FR"/>
              </w:rPr>
            </w:pPr>
            <w:r w:rsidRPr="00B357D7">
              <w:rPr>
                <w:szCs w:val="24"/>
                <w:lang w:val="fr-FR"/>
              </w:rPr>
              <w:t>0,00%</w:t>
            </w:r>
          </w:p>
        </w:tc>
      </w:tr>
      <w:tr w:rsidR="00F03D7F" w:rsidRPr="00B357D7" w:rsidTr="00F56A94">
        <w:trPr>
          <w:cantSplit/>
        </w:trPr>
        <w:tc>
          <w:tcPr>
            <w:tcW w:w="1976" w:type="dxa"/>
          </w:tcPr>
          <w:p w:rsidR="00680EB7" w:rsidRPr="00B357D7" w:rsidRDefault="00680EB7" w:rsidP="00F56A94">
            <w:pPr>
              <w:widowControl w:val="0"/>
              <w:jc w:val="center"/>
              <w:rPr>
                <w:szCs w:val="24"/>
                <w:lang w:val="fr-FR"/>
              </w:rPr>
            </w:pPr>
            <w:r w:rsidRPr="00B357D7">
              <w:rPr>
                <w:szCs w:val="24"/>
                <w:lang w:val="fr-FR"/>
              </w:rPr>
              <w:t>57</w:t>
            </w:r>
          </w:p>
        </w:tc>
        <w:tc>
          <w:tcPr>
            <w:tcW w:w="1980" w:type="dxa"/>
          </w:tcPr>
          <w:p w:rsidR="00680EB7" w:rsidRPr="00B357D7" w:rsidRDefault="003F7722" w:rsidP="00F56A94">
            <w:pPr>
              <w:widowControl w:val="0"/>
              <w:jc w:val="center"/>
              <w:rPr>
                <w:szCs w:val="24"/>
                <w:lang w:val="fr-FR"/>
              </w:rPr>
            </w:pPr>
            <w:r w:rsidRPr="00B357D7">
              <w:rPr>
                <w:szCs w:val="24"/>
                <w:lang w:val="fr-FR"/>
              </w:rPr>
              <w:t>0,00%</w:t>
            </w:r>
          </w:p>
        </w:tc>
        <w:tc>
          <w:tcPr>
            <w:tcW w:w="2063" w:type="dxa"/>
          </w:tcPr>
          <w:p w:rsidR="00680EB7" w:rsidRPr="00B357D7" w:rsidRDefault="003F7722" w:rsidP="00F56A94">
            <w:pPr>
              <w:widowControl w:val="0"/>
              <w:jc w:val="center"/>
              <w:rPr>
                <w:szCs w:val="24"/>
                <w:lang w:val="fr-FR"/>
              </w:rPr>
            </w:pPr>
            <w:r w:rsidRPr="00B357D7">
              <w:rPr>
                <w:szCs w:val="24"/>
                <w:lang w:val="fr-FR"/>
              </w:rPr>
              <w:t>0,23%</w:t>
            </w:r>
          </w:p>
        </w:tc>
        <w:tc>
          <w:tcPr>
            <w:tcW w:w="2078" w:type="dxa"/>
          </w:tcPr>
          <w:p w:rsidR="00680EB7" w:rsidRPr="00B357D7" w:rsidRDefault="003F7722" w:rsidP="00F56A94">
            <w:pPr>
              <w:widowControl w:val="0"/>
              <w:jc w:val="center"/>
              <w:rPr>
                <w:szCs w:val="24"/>
                <w:lang w:val="fr-FR"/>
              </w:rPr>
            </w:pPr>
            <w:r w:rsidRPr="00B357D7">
              <w:rPr>
                <w:szCs w:val="24"/>
                <w:lang w:val="fr-FR"/>
              </w:rPr>
              <w:t>0,72%</w:t>
            </w:r>
          </w:p>
        </w:tc>
        <w:tc>
          <w:tcPr>
            <w:tcW w:w="1758" w:type="dxa"/>
          </w:tcPr>
          <w:p w:rsidR="00680EB7" w:rsidRPr="00B357D7" w:rsidRDefault="003F7722" w:rsidP="00F56A94">
            <w:pPr>
              <w:widowControl w:val="0"/>
              <w:jc w:val="center"/>
              <w:rPr>
                <w:szCs w:val="24"/>
                <w:lang w:val="fr-FR"/>
              </w:rPr>
            </w:pPr>
            <w:r w:rsidRPr="00B357D7">
              <w:rPr>
                <w:szCs w:val="24"/>
                <w:lang w:val="fr-FR"/>
              </w:rPr>
              <w:t>0,08%</w:t>
            </w:r>
          </w:p>
        </w:tc>
      </w:tr>
    </w:tbl>
    <w:p w:rsidR="00AA7D33" w:rsidRPr="00B357D7" w:rsidRDefault="00AA7D33" w:rsidP="00F56A94">
      <w:pPr>
        <w:widowControl w:val="0"/>
        <w:rPr>
          <w:i/>
          <w:szCs w:val="24"/>
          <w:lang w:val="fr-FR"/>
        </w:rPr>
      </w:pPr>
    </w:p>
    <w:p w:rsidR="00AA7D33" w:rsidRPr="00B357D7" w:rsidRDefault="00AA7D33" w:rsidP="00F56A94">
      <w:pPr>
        <w:jc w:val="left"/>
        <w:rPr>
          <w:szCs w:val="24"/>
          <w:lang w:val="fr-FR"/>
        </w:rPr>
      </w:pPr>
    </w:p>
    <w:p w:rsidR="00AA7D33" w:rsidRPr="00B357D7" w:rsidRDefault="005D2551" w:rsidP="00F56A94">
      <w:pPr>
        <w:widowControl w:val="0"/>
        <w:rPr>
          <w:szCs w:val="24"/>
          <w:lang w:val="fr-FR"/>
        </w:rPr>
      </w:pPr>
      <w:r w:rsidRPr="00B357D7">
        <w:rPr>
          <w:szCs w:val="24"/>
          <w:lang w:val="fr-FR"/>
        </w:rPr>
        <w:t>Tableau</w:t>
      </w:r>
      <w:r w:rsidR="003608E2" w:rsidRPr="00B357D7">
        <w:rPr>
          <w:szCs w:val="24"/>
          <w:lang w:val="fr-FR"/>
        </w:rPr>
        <w:t> </w:t>
      </w:r>
      <w:r w:rsidRPr="00B357D7">
        <w:rPr>
          <w:szCs w:val="24"/>
          <w:lang w:val="fr-FR"/>
        </w:rPr>
        <w:t xml:space="preserve">4.  </w:t>
      </w:r>
      <w:r w:rsidR="00F03D7F" w:rsidRPr="00B357D7">
        <w:rPr>
          <w:szCs w:val="24"/>
          <w:lang w:val="fr-FR"/>
        </w:rPr>
        <w:t>Nombre de fois exprimé en pourcentage, dans le jeu de données relatif aux pois du Royaume</w:t>
      </w:r>
      <w:r w:rsidR="00F56A94">
        <w:rPr>
          <w:szCs w:val="24"/>
          <w:lang w:val="fr-FR"/>
        </w:rPr>
        <w:noBreakHyphen/>
      </w:r>
      <w:r w:rsidR="00F03D7F" w:rsidRPr="00B357D7">
        <w:rPr>
          <w:szCs w:val="24"/>
          <w:lang w:val="fr-FR"/>
        </w:rPr>
        <w:t>Uni, que les seuils de première année ont indiqué qu</w:t>
      </w:r>
      <w:r w:rsidR="009143C1" w:rsidRPr="00B357D7">
        <w:rPr>
          <w:szCs w:val="24"/>
          <w:lang w:val="fr-FR"/>
        </w:rPr>
        <w:t>’</w:t>
      </w:r>
      <w:r w:rsidR="00F03D7F" w:rsidRPr="00B357D7">
        <w:rPr>
          <w:szCs w:val="24"/>
          <w:lang w:val="fr-FR"/>
        </w:rPr>
        <w:t>une variété candidate serait non distincte d</w:t>
      </w:r>
      <w:r w:rsidR="009143C1" w:rsidRPr="00B357D7">
        <w:rPr>
          <w:szCs w:val="24"/>
          <w:lang w:val="fr-FR"/>
        </w:rPr>
        <w:t>’</w:t>
      </w:r>
      <w:r w:rsidR="00F03D7F" w:rsidRPr="00B357D7">
        <w:rPr>
          <w:szCs w:val="24"/>
          <w:lang w:val="fr-FR"/>
        </w:rPr>
        <w:t>une autre alors que la décision de l</w:t>
      </w:r>
      <w:r w:rsidR="009143C1" w:rsidRPr="00B357D7">
        <w:rPr>
          <w:szCs w:val="24"/>
          <w:lang w:val="fr-FR"/>
        </w:rPr>
        <w:t>’</w:t>
      </w:r>
      <w:r w:rsidR="00F03D7F" w:rsidRPr="00B357D7">
        <w:rPr>
          <w:szCs w:val="24"/>
          <w:lang w:val="fr-FR"/>
        </w:rPr>
        <w:t>année suivante a révélé qu</w:t>
      </w:r>
      <w:r w:rsidR="009143C1" w:rsidRPr="00B357D7">
        <w:rPr>
          <w:szCs w:val="24"/>
          <w:lang w:val="fr-FR"/>
        </w:rPr>
        <w:t>’</w:t>
      </w:r>
      <w:r w:rsidR="00F03D7F" w:rsidRPr="00B357D7">
        <w:rPr>
          <w:szCs w:val="24"/>
          <w:lang w:val="fr-FR"/>
        </w:rPr>
        <w:t>elle était distincte dans le jeu de données relatif aux pois fourragers (faux négatif)</w:t>
      </w:r>
    </w:p>
    <w:p w:rsidR="00680EB7" w:rsidRPr="00B357D7" w:rsidRDefault="00680EB7" w:rsidP="00F56A94">
      <w:pPr>
        <w:widowControl w:val="0"/>
        <w:rPr>
          <w:i/>
          <w:szCs w:val="24"/>
          <w:lang w:val="fr-FR"/>
        </w:rPr>
      </w:pPr>
    </w:p>
    <w:tbl>
      <w:tblPr>
        <w:tblStyle w:val="TableGrid"/>
        <w:tblW w:w="5000" w:type="pct"/>
        <w:tblBorders>
          <w:left w:val="none" w:sz="0" w:space="0" w:color="auto"/>
          <w:right w:val="none" w:sz="0" w:space="0" w:color="auto"/>
          <w:insideH w:val="none" w:sz="0" w:space="0" w:color="auto"/>
          <w:insideV w:val="none" w:sz="0" w:space="0" w:color="auto"/>
        </w:tblBorders>
        <w:tblCellMar>
          <w:left w:w="68" w:type="dxa"/>
          <w:right w:w="68" w:type="dxa"/>
        </w:tblCellMar>
        <w:tblLook w:val="04A0" w:firstRow="1" w:lastRow="0" w:firstColumn="1" w:lastColumn="0" w:noHBand="0" w:noVBand="1"/>
      </w:tblPr>
      <w:tblGrid>
        <w:gridCol w:w="1867"/>
        <w:gridCol w:w="1869"/>
        <w:gridCol w:w="2065"/>
        <w:gridCol w:w="1680"/>
        <w:gridCol w:w="2294"/>
      </w:tblGrid>
      <w:tr w:rsidR="00680EB7" w:rsidRPr="00110CFB" w:rsidTr="00F56A94">
        <w:trPr>
          <w:cantSplit/>
        </w:trPr>
        <w:tc>
          <w:tcPr>
            <w:tcW w:w="1881" w:type="dxa"/>
            <w:tcBorders>
              <w:top w:val="single" w:sz="4" w:space="0" w:color="auto"/>
              <w:bottom w:val="single" w:sz="4" w:space="0" w:color="auto"/>
            </w:tcBorders>
          </w:tcPr>
          <w:p w:rsidR="00680EB7" w:rsidRPr="00B357D7" w:rsidRDefault="005D2551" w:rsidP="00F56A94">
            <w:pPr>
              <w:widowControl w:val="0"/>
              <w:jc w:val="center"/>
              <w:rPr>
                <w:szCs w:val="24"/>
                <w:lang w:val="fr-FR"/>
              </w:rPr>
            </w:pPr>
            <w:r w:rsidRPr="00B357D7">
              <w:rPr>
                <w:szCs w:val="24"/>
                <w:lang w:val="fr-FR"/>
              </w:rPr>
              <w:t>Caractère</w:t>
            </w:r>
          </w:p>
        </w:tc>
        <w:tc>
          <w:tcPr>
            <w:tcW w:w="1886" w:type="dxa"/>
            <w:tcBorders>
              <w:top w:val="single" w:sz="4" w:space="0" w:color="auto"/>
              <w:bottom w:val="single" w:sz="4" w:space="0" w:color="auto"/>
            </w:tcBorders>
          </w:tcPr>
          <w:p w:rsidR="00680EB7" w:rsidRPr="00B357D7" w:rsidRDefault="005D2551" w:rsidP="00F56A94">
            <w:pPr>
              <w:widowControl w:val="0"/>
              <w:jc w:val="center"/>
              <w:rPr>
                <w:szCs w:val="24"/>
                <w:lang w:val="fr-FR"/>
              </w:rPr>
            </w:pPr>
            <w:r w:rsidRPr="00B357D7">
              <w:rPr>
                <w:szCs w:val="24"/>
                <w:lang w:val="fr-FR"/>
              </w:rPr>
              <w:t xml:space="preserve">Seuil calculé avec </w:t>
            </w:r>
            <w:proofErr w:type="spellStart"/>
            <w:r w:rsidRPr="00B357D7">
              <w:rPr>
                <w:szCs w:val="24"/>
                <w:lang w:val="fr-FR"/>
              </w:rPr>
              <w:t>pD</w:t>
            </w:r>
            <w:proofErr w:type="spellEnd"/>
            <w:r w:rsidRPr="00B357D7">
              <w:rPr>
                <w:szCs w:val="24"/>
                <w:lang w:val="fr-FR"/>
              </w:rPr>
              <w:t xml:space="preserve"> = 0,99</w:t>
            </w:r>
          </w:p>
        </w:tc>
        <w:tc>
          <w:tcPr>
            <w:tcW w:w="2085" w:type="dxa"/>
            <w:tcBorders>
              <w:top w:val="single" w:sz="4" w:space="0" w:color="auto"/>
              <w:bottom w:val="single" w:sz="4" w:space="0" w:color="auto"/>
            </w:tcBorders>
          </w:tcPr>
          <w:p w:rsidR="00680EB7" w:rsidRPr="00B357D7" w:rsidRDefault="005D2551" w:rsidP="00F56A94">
            <w:pPr>
              <w:widowControl w:val="0"/>
              <w:jc w:val="center"/>
              <w:rPr>
                <w:szCs w:val="24"/>
                <w:lang w:val="fr-FR"/>
              </w:rPr>
            </w:pPr>
            <w:r w:rsidRPr="00B357D7">
              <w:rPr>
                <w:szCs w:val="24"/>
                <w:lang w:val="fr-FR"/>
              </w:rPr>
              <w:t xml:space="preserve">Seuil calculé avec </w:t>
            </w:r>
            <w:proofErr w:type="spellStart"/>
            <w:r w:rsidRPr="00B357D7">
              <w:rPr>
                <w:szCs w:val="24"/>
                <w:lang w:val="fr-FR"/>
              </w:rPr>
              <w:t>pD</w:t>
            </w:r>
            <w:proofErr w:type="spellEnd"/>
            <w:r w:rsidRPr="00B357D7">
              <w:rPr>
                <w:szCs w:val="24"/>
                <w:lang w:val="fr-FR"/>
              </w:rPr>
              <w:t xml:space="preserve"> = 0,95</w:t>
            </w:r>
          </w:p>
        </w:tc>
        <w:tc>
          <w:tcPr>
            <w:tcW w:w="1694" w:type="dxa"/>
            <w:tcBorders>
              <w:top w:val="single" w:sz="4" w:space="0" w:color="auto"/>
              <w:bottom w:val="single" w:sz="4" w:space="0" w:color="auto"/>
            </w:tcBorders>
          </w:tcPr>
          <w:p w:rsidR="00680EB7" w:rsidRPr="00B357D7" w:rsidRDefault="005D2551" w:rsidP="00F56A94">
            <w:pPr>
              <w:widowControl w:val="0"/>
              <w:jc w:val="center"/>
              <w:rPr>
                <w:szCs w:val="24"/>
                <w:lang w:val="fr-FR"/>
              </w:rPr>
            </w:pPr>
            <w:r w:rsidRPr="00B357D7">
              <w:rPr>
                <w:szCs w:val="24"/>
                <w:lang w:val="fr-FR"/>
              </w:rPr>
              <w:t xml:space="preserve">Seuil calculé avec </w:t>
            </w:r>
            <w:proofErr w:type="spellStart"/>
            <w:r w:rsidRPr="00B357D7">
              <w:rPr>
                <w:szCs w:val="24"/>
                <w:lang w:val="fr-FR"/>
              </w:rPr>
              <w:t>pD</w:t>
            </w:r>
            <w:proofErr w:type="spellEnd"/>
            <w:r w:rsidRPr="00B357D7">
              <w:rPr>
                <w:szCs w:val="24"/>
                <w:lang w:val="fr-FR"/>
              </w:rPr>
              <w:t xml:space="preserve"> = 0,90</w:t>
            </w:r>
          </w:p>
        </w:tc>
        <w:tc>
          <w:tcPr>
            <w:tcW w:w="2309" w:type="dxa"/>
            <w:tcBorders>
              <w:top w:val="single" w:sz="4" w:space="0" w:color="auto"/>
              <w:bottom w:val="single" w:sz="4" w:space="0" w:color="auto"/>
            </w:tcBorders>
          </w:tcPr>
          <w:p w:rsidR="00680EB7" w:rsidRPr="00B357D7" w:rsidRDefault="00A24F91" w:rsidP="00F56A94">
            <w:pPr>
              <w:widowControl w:val="0"/>
              <w:jc w:val="center"/>
              <w:rPr>
                <w:szCs w:val="24"/>
                <w:lang w:val="fr-FR" w:eastAsia="ja-JP"/>
              </w:rPr>
            </w:pPr>
            <w:r w:rsidRPr="00B357D7">
              <w:rPr>
                <w:szCs w:val="24"/>
                <w:lang w:val="fr-FR" w:eastAsia="ja-JP"/>
              </w:rPr>
              <w:t>Valeur de t</w:t>
            </w:r>
            <w:r w:rsidR="005D2551" w:rsidRPr="00B357D7">
              <w:rPr>
                <w:szCs w:val="24"/>
                <w:lang w:val="fr-FR" w:eastAsia="ja-JP"/>
              </w:rPr>
              <w:t>olérance actuelle du Royaume</w:t>
            </w:r>
            <w:r w:rsidR="00F56A94">
              <w:rPr>
                <w:szCs w:val="24"/>
                <w:lang w:val="fr-FR" w:eastAsia="ja-JP"/>
              </w:rPr>
              <w:noBreakHyphen/>
            </w:r>
            <w:r w:rsidR="005D2551" w:rsidRPr="00B357D7">
              <w:rPr>
                <w:szCs w:val="24"/>
                <w:lang w:val="fr-FR" w:eastAsia="ja-JP"/>
              </w:rPr>
              <w:t>Uni</w:t>
            </w:r>
          </w:p>
        </w:tc>
      </w:tr>
      <w:tr w:rsidR="00680EB7" w:rsidRPr="00B357D7" w:rsidTr="00F56A94">
        <w:trPr>
          <w:cantSplit/>
        </w:trPr>
        <w:tc>
          <w:tcPr>
            <w:tcW w:w="1881" w:type="dxa"/>
            <w:tcBorders>
              <w:top w:val="single" w:sz="4" w:space="0" w:color="auto"/>
            </w:tcBorders>
          </w:tcPr>
          <w:p w:rsidR="00680EB7" w:rsidRPr="00B357D7" w:rsidRDefault="00680EB7" w:rsidP="00F56A94">
            <w:pPr>
              <w:widowControl w:val="0"/>
              <w:jc w:val="center"/>
              <w:rPr>
                <w:szCs w:val="24"/>
                <w:lang w:val="fr-FR"/>
              </w:rPr>
            </w:pPr>
            <w:r w:rsidRPr="00B357D7">
              <w:rPr>
                <w:szCs w:val="24"/>
                <w:lang w:val="fr-FR"/>
              </w:rPr>
              <w:t>5</w:t>
            </w:r>
          </w:p>
        </w:tc>
        <w:tc>
          <w:tcPr>
            <w:tcW w:w="1886" w:type="dxa"/>
            <w:tcBorders>
              <w:top w:val="single" w:sz="4" w:space="0" w:color="auto"/>
            </w:tcBorders>
          </w:tcPr>
          <w:p w:rsidR="00680EB7" w:rsidRPr="00B357D7" w:rsidRDefault="005D2551" w:rsidP="00F56A94">
            <w:pPr>
              <w:widowControl w:val="0"/>
              <w:jc w:val="center"/>
              <w:rPr>
                <w:szCs w:val="24"/>
                <w:lang w:val="fr-FR"/>
              </w:rPr>
            </w:pPr>
            <w:r w:rsidRPr="00B357D7">
              <w:rPr>
                <w:szCs w:val="24"/>
                <w:lang w:val="fr-FR"/>
              </w:rPr>
              <w:t>82,8%</w:t>
            </w:r>
          </w:p>
        </w:tc>
        <w:tc>
          <w:tcPr>
            <w:tcW w:w="2085" w:type="dxa"/>
            <w:tcBorders>
              <w:top w:val="single" w:sz="4" w:space="0" w:color="auto"/>
            </w:tcBorders>
          </w:tcPr>
          <w:p w:rsidR="00680EB7" w:rsidRPr="00B357D7" w:rsidRDefault="005D2551" w:rsidP="00F56A94">
            <w:pPr>
              <w:widowControl w:val="0"/>
              <w:jc w:val="center"/>
              <w:rPr>
                <w:szCs w:val="24"/>
                <w:lang w:val="fr-FR"/>
              </w:rPr>
            </w:pPr>
            <w:r w:rsidRPr="00B357D7">
              <w:rPr>
                <w:szCs w:val="24"/>
                <w:lang w:val="fr-FR"/>
              </w:rPr>
              <w:t>39,4%</w:t>
            </w:r>
          </w:p>
        </w:tc>
        <w:tc>
          <w:tcPr>
            <w:tcW w:w="1694" w:type="dxa"/>
            <w:tcBorders>
              <w:top w:val="single" w:sz="4" w:space="0" w:color="auto"/>
            </w:tcBorders>
          </w:tcPr>
          <w:p w:rsidR="00680EB7" w:rsidRPr="00B357D7" w:rsidRDefault="005D2551" w:rsidP="00F56A94">
            <w:pPr>
              <w:widowControl w:val="0"/>
              <w:jc w:val="center"/>
              <w:rPr>
                <w:szCs w:val="24"/>
                <w:lang w:val="fr-FR"/>
              </w:rPr>
            </w:pPr>
            <w:r w:rsidRPr="00B357D7">
              <w:rPr>
                <w:szCs w:val="24"/>
                <w:lang w:val="fr-FR"/>
              </w:rPr>
              <w:t>24,5%</w:t>
            </w:r>
          </w:p>
        </w:tc>
        <w:tc>
          <w:tcPr>
            <w:tcW w:w="2309" w:type="dxa"/>
            <w:tcBorders>
              <w:top w:val="single" w:sz="4" w:space="0" w:color="auto"/>
            </w:tcBorders>
          </w:tcPr>
          <w:p w:rsidR="00680EB7" w:rsidRPr="00B357D7" w:rsidRDefault="005D2551" w:rsidP="00F56A94">
            <w:pPr>
              <w:widowControl w:val="0"/>
              <w:jc w:val="center"/>
              <w:rPr>
                <w:szCs w:val="24"/>
                <w:lang w:val="fr-FR"/>
              </w:rPr>
            </w:pPr>
            <w:r w:rsidRPr="00B357D7">
              <w:rPr>
                <w:szCs w:val="24"/>
                <w:lang w:val="fr-FR"/>
              </w:rPr>
              <w:t>67,6%</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15</w:t>
            </w:r>
          </w:p>
        </w:tc>
        <w:tc>
          <w:tcPr>
            <w:tcW w:w="1886" w:type="dxa"/>
          </w:tcPr>
          <w:p w:rsidR="00680EB7" w:rsidRPr="00B357D7" w:rsidRDefault="005D2551" w:rsidP="00F56A94">
            <w:pPr>
              <w:widowControl w:val="0"/>
              <w:jc w:val="center"/>
              <w:rPr>
                <w:szCs w:val="24"/>
                <w:lang w:val="fr-FR"/>
              </w:rPr>
            </w:pPr>
            <w:r w:rsidRPr="00B357D7">
              <w:rPr>
                <w:szCs w:val="24"/>
                <w:lang w:val="fr-FR"/>
              </w:rPr>
              <w:t>86,8%</w:t>
            </w:r>
          </w:p>
        </w:tc>
        <w:tc>
          <w:tcPr>
            <w:tcW w:w="2085" w:type="dxa"/>
          </w:tcPr>
          <w:p w:rsidR="00680EB7" w:rsidRPr="00B357D7" w:rsidRDefault="005D2551" w:rsidP="00F56A94">
            <w:pPr>
              <w:widowControl w:val="0"/>
              <w:jc w:val="center"/>
              <w:rPr>
                <w:szCs w:val="24"/>
                <w:lang w:val="fr-FR"/>
              </w:rPr>
            </w:pPr>
            <w:r w:rsidRPr="00B357D7">
              <w:rPr>
                <w:szCs w:val="24"/>
                <w:lang w:val="fr-FR"/>
              </w:rPr>
              <w:t>66,6%</w:t>
            </w:r>
          </w:p>
        </w:tc>
        <w:tc>
          <w:tcPr>
            <w:tcW w:w="1694" w:type="dxa"/>
          </w:tcPr>
          <w:p w:rsidR="00680EB7" w:rsidRPr="00B357D7" w:rsidRDefault="005D2551" w:rsidP="00F56A94">
            <w:pPr>
              <w:widowControl w:val="0"/>
              <w:jc w:val="center"/>
              <w:rPr>
                <w:szCs w:val="24"/>
                <w:lang w:val="fr-FR"/>
              </w:rPr>
            </w:pPr>
            <w:r w:rsidRPr="00B357D7">
              <w:rPr>
                <w:szCs w:val="24"/>
                <w:lang w:val="fr-FR"/>
              </w:rPr>
              <w:t>54,3%</w:t>
            </w:r>
          </w:p>
        </w:tc>
        <w:tc>
          <w:tcPr>
            <w:tcW w:w="2309" w:type="dxa"/>
          </w:tcPr>
          <w:p w:rsidR="00680EB7" w:rsidRPr="00B357D7" w:rsidRDefault="005D2551" w:rsidP="00F56A94">
            <w:pPr>
              <w:widowControl w:val="0"/>
              <w:jc w:val="center"/>
              <w:rPr>
                <w:szCs w:val="24"/>
                <w:lang w:val="fr-FR"/>
              </w:rPr>
            </w:pPr>
            <w:r w:rsidRPr="00B357D7">
              <w:rPr>
                <w:szCs w:val="24"/>
                <w:lang w:val="fr-FR"/>
              </w:rPr>
              <w:t>90,1%</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16</w:t>
            </w:r>
          </w:p>
        </w:tc>
        <w:tc>
          <w:tcPr>
            <w:tcW w:w="1886" w:type="dxa"/>
          </w:tcPr>
          <w:p w:rsidR="00680EB7" w:rsidRPr="00B357D7" w:rsidRDefault="005D2551" w:rsidP="00F56A94">
            <w:pPr>
              <w:widowControl w:val="0"/>
              <w:jc w:val="center"/>
              <w:rPr>
                <w:szCs w:val="24"/>
                <w:lang w:val="fr-FR"/>
              </w:rPr>
            </w:pPr>
            <w:r w:rsidRPr="00B357D7">
              <w:rPr>
                <w:szCs w:val="24"/>
                <w:lang w:val="fr-FR"/>
              </w:rPr>
              <w:t>76,8%</w:t>
            </w:r>
          </w:p>
        </w:tc>
        <w:tc>
          <w:tcPr>
            <w:tcW w:w="2085" w:type="dxa"/>
          </w:tcPr>
          <w:p w:rsidR="00680EB7" w:rsidRPr="00B357D7" w:rsidRDefault="005D2551" w:rsidP="00F56A94">
            <w:pPr>
              <w:widowControl w:val="0"/>
              <w:jc w:val="center"/>
              <w:rPr>
                <w:szCs w:val="24"/>
                <w:lang w:val="fr-FR"/>
              </w:rPr>
            </w:pPr>
            <w:r w:rsidRPr="00B357D7">
              <w:rPr>
                <w:szCs w:val="24"/>
                <w:lang w:val="fr-FR"/>
              </w:rPr>
              <w:t>56,6%</w:t>
            </w:r>
          </w:p>
        </w:tc>
        <w:tc>
          <w:tcPr>
            <w:tcW w:w="1694" w:type="dxa"/>
          </w:tcPr>
          <w:p w:rsidR="00680EB7" w:rsidRPr="00B357D7" w:rsidRDefault="005D2551" w:rsidP="00F56A94">
            <w:pPr>
              <w:widowControl w:val="0"/>
              <w:jc w:val="center"/>
              <w:rPr>
                <w:szCs w:val="24"/>
                <w:lang w:val="fr-FR"/>
              </w:rPr>
            </w:pPr>
            <w:r w:rsidRPr="00B357D7">
              <w:rPr>
                <w:szCs w:val="24"/>
                <w:lang w:val="fr-FR"/>
              </w:rPr>
              <w:t>46,2%</w:t>
            </w:r>
          </w:p>
        </w:tc>
        <w:tc>
          <w:tcPr>
            <w:tcW w:w="2309" w:type="dxa"/>
          </w:tcPr>
          <w:p w:rsidR="00680EB7" w:rsidRPr="00B357D7" w:rsidRDefault="005D2551" w:rsidP="00F56A94">
            <w:pPr>
              <w:widowControl w:val="0"/>
              <w:jc w:val="center"/>
              <w:rPr>
                <w:szCs w:val="24"/>
                <w:lang w:val="fr-FR"/>
              </w:rPr>
            </w:pPr>
            <w:r w:rsidRPr="00B357D7">
              <w:rPr>
                <w:szCs w:val="24"/>
                <w:lang w:val="fr-FR"/>
              </w:rPr>
              <w:t>94,6%</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21</w:t>
            </w:r>
          </w:p>
        </w:tc>
        <w:tc>
          <w:tcPr>
            <w:tcW w:w="1886" w:type="dxa"/>
          </w:tcPr>
          <w:p w:rsidR="00680EB7" w:rsidRPr="00B357D7" w:rsidRDefault="005D2551" w:rsidP="00F56A94">
            <w:pPr>
              <w:widowControl w:val="0"/>
              <w:jc w:val="center"/>
              <w:rPr>
                <w:szCs w:val="24"/>
                <w:lang w:val="fr-FR"/>
              </w:rPr>
            </w:pPr>
            <w:r w:rsidRPr="00B357D7">
              <w:rPr>
                <w:szCs w:val="24"/>
                <w:lang w:val="fr-FR"/>
              </w:rPr>
              <w:t>81,0%</w:t>
            </w:r>
          </w:p>
        </w:tc>
        <w:tc>
          <w:tcPr>
            <w:tcW w:w="2085" w:type="dxa"/>
          </w:tcPr>
          <w:p w:rsidR="00680EB7" w:rsidRPr="00B357D7" w:rsidRDefault="005D2551" w:rsidP="00F56A94">
            <w:pPr>
              <w:widowControl w:val="0"/>
              <w:jc w:val="center"/>
              <w:rPr>
                <w:szCs w:val="24"/>
                <w:lang w:val="fr-FR"/>
              </w:rPr>
            </w:pPr>
            <w:r w:rsidRPr="00B357D7">
              <w:rPr>
                <w:szCs w:val="24"/>
                <w:lang w:val="fr-FR"/>
              </w:rPr>
              <w:t>60,8%</w:t>
            </w:r>
          </w:p>
        </w:tc>
        <w:tc>
          <w:tcPr>
            <w:tcW w:w="1694" w:type="dxa"/>
          </w:tcPr>
          <w:p w:rsidR="00680EB7" w:rsidRPr="00B357D7" w:rsidRDefault="005D2551" w:rsidP="00F56A94">
            <w:pPr>
              <w:widowControl w:val="0"/>
              <w:jc w:val="center"/>
              <w:rPr>
                <w:szCs w:val="24"/>
                <w:lang w:val="fr-FR"/>
              </w:rPr>
            </w:pPr>
            <w:r w:rsidRPr="00B357D7">
              <w:rPr>
                <w:szCs w:val="24"/>
                <w:lang w:val="fr-FR"/>
              </w:rPr>
              <w:t>34,6%</w:t>
            </w:r>
          </w:p>
        </w:tc>
        <w:tc>
          <w:tcPr>
            <w:tcW w:w="2309" w:type="dxa"/>
          </w:tcPr>
          <w:p w:rsidR="00680EB7" w:rsidRPr="00B357D7" w:rsidRDefault="005D2551" w:rsidP="00F56A94">
            <w:pPr>
              <w:widowControl w:val="0"/>
              <w:jc w:val="center"/>
              <w:rPr>
                <w:szCs w:val="24"/>
                <w:lang w:val="fr-FR"/>
              </w:rPr>
            </w:pPr>
            <w:r w:rsidRPr="00B357D7">
              <w:rPr>
                <w:szCs w:val="24"/>
                <w:lang w:val="fr-FR"/>
              </w:rPr>
              <w:t>88,8%</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22</w:t>
            </w:r>
          </w:p>
        </w:tc>
        <w:tc>
          <w:tcPr>
            <w:tcW w:w="1886" w:type="dxa"/>
          </w:tcPr>
          <w:p w:rsidR="00680EB7" w:rsidRPr="00B357D7" w:rsidRDefault="005D2551" w:rsidP="00F56A94">
            <w:pPr>
              <w:widowControl w:val="0"/>
              <w:jc w:val="center"/>
              <w:rPr>
                <w:szCs w:val="24"/>
                <w:lang w:val="fr-FR"/>
              </w:rPr>
            </w:pPr>
            <w:r w:rsidRPr="00B357D7">
              <w:rPr>
                <w:szCs w:val="24"/>
                <w:lang w:val="fr-FR"/>
              </w:rPr>
              <w:t>88,5%</w:t>
            </w:r>
          </w:p>
        </w:tc>
        <w:tc>
          <w:tcPr>
            <w:tcW w:w="2085" w:type="dxa"/>
          </w:tcPr>
          <w:p w:rsidR="00680EB7" w:rsidRPr="00B357D7" w:rsidRDefault="005D2551" w:rsidP="00F56A94">
            <w:pPr>
              <w:widowControl w:val="0"/>
              <w:jc w:val="center"/>
              <w:rPr>
                <w:szCs w:val="24"/>
                <w:lang w:val="fr-FR"/>
              </w:rPr>
            </w:pPr>
            <w:r w:rsidRPr="00B357D7">
              <w:rPr>
                <w:szCs w:val="24"/>
                <w:lang w:val="fr-FR"/>
              </w:rPr>
              <w:t>67,5%</w:t>
            </w:r>
          </w:p>
        </w:tc>
        <w:tc>
          <w:tcPr>
            <w:tcW w:w="1694" w:type="dxa"/>
          </w:tcPr>
          <w:p w:rsidR="00680EB7" w:rsidRPr="00B357D7" w:rsidRDefault="005D2551" w:rsidP="00F56A94">
            <w:pPr>
              <w:widowControl w:val="0"/>
              <w:jc w:val="center"/>
              <w:rPr>
                <w:szCs w:val="24"/>
                <w:lang w:val="fr-FR"/>
              </w:rPr>
            </w:pPr>
            <w:r w:rsidRPr="00B357D7">
              <w:rPr>
                <w:szCs w:val="24"/>
                <w:lang w:val="fr-FR"/>
              </w:rPr>
              <w:t>54,2%</w:t>
            </w:r>
          </w:p>
        </w:tc>
        <w:tc>
          <w:tcPr>
            <w:tcW w:w="2309" w:type="dxa"/>
          </w:tcPr>
          <w:p w:rsidR="00680EB7" w:rsidRPr="00B357D7" w:rsidRDefault="005D2551" w:rsidP="00F56A94">
            <w:pPr>
              <w:widowControl w:val="0"/>
              <w:jc w:val="center"/>
              <w:rPr>
                <w:szCs w:val="24"/>
                <w:lang w:val="fr-FR"/>
              </w:rPr>
            </w:pPr>
            <w:r w:rsidRPr="00B357D7">
              <w:rPr>
                <w:szCs w:val="24"/>
                <w:lang w:val="fr-FR"/>
              </w:rPr>
              <w:t>91,3%</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28</w:t>
            </w:r>
          </w:p>
        </w:tc>
        <w:tc>
          <w:tcPr>
            <w:tcW w:w="1886" w:type="dxa"/>
          </w:tcPr>
          <w:p w:rsidR="00680EB7" w:rsidRPr="00B357D7" w:rsidRDefault="005D2551" w:rsidP="00F56A94">
            <w:pPr>
              <w:widowControl w:val="0"/>
              <w:jc w:val="center"/>
              <w:rPr>
                <w:szCs w:val="24"/>
                <w:lang w:val="fr-FR"/>
              </w:rPr>
            </w:pPr>
            <w:r w:rsidRPr="00B357D7">
              <w:rPr>
                <w:szCs w:val="24"/>
                <w:lang w:val="fr-FR"/>
              </w:rPr>
              <w:t>89,3%</w:t>
            </w:r>
          </w:p>
        </w:tc>
        <w:tc>
          <w:tcPr>
            <w:tcW w:w="2085" w:type="dxa"/>
          </w:tcPr>
          <w:p w:rsidR="00680EB7" w:rsidRPr="00B357D7" w:rsidRDefault="005D2551" w:rsidP="00F56A94">
            <w:pPr>
              <w:widowControl w:val="0"/>
              <w:jc w:val="center"/>
              <w:rPr>
                <w:szCs w:val="24"/>
                <w:lang w:val="fr-FR"/>
              </w:rPr>
            </w:pPr>
            <w:r w:rsidRPr="00B357D7">
              <w:rPr>
                <w:szCs w:val="24"/>
                <w:lang w:val="fr-FR"/>
              </w:rPr>
              <w:t>65,4%</w:t>
            </w:r>
          </w:p>
        </w:tc>
        <w:tc>
          <w:tcPr>
            <w:tcW w:w="1694" w:type="dxa"/>
          </w:tcPr>
          <w:p w:rsidR="00680EB7" w:rsidRPr="00B357D7" w:rsidRDefault="005D2551" w:rsidP="00F56A94">
            <w:pPr>
              <w:widowControl w:val="0"/>
              <w:jc w:val="center"/>
              <w:rPr>
                <w:szCs w:val="24"/>
                <w:lang w:val="fr-FR"/>
              </w:rPr>
            </w:pPr>
            <w:r w:rsidRPr="00B357D7">
              <w:rPr>
                <w:szCs w:val="24"/>
                <w:lang w:val="fr-FR"/>
              </w:rPr>
              <w:t>51,7%</w:t>
            </w:r>
          </w:p>
        </w:tc>
        <w:tc>
          <w:tcPr>
            <w:tcW w:w="2309" w:type="dxa"/>
          </w:tcPr>
          <w:p w:rsidR="00680EB7" w:rsidRPr="00B357D7" w:rsidRDefault="005D2551" w:rsidP="00F56A94">
            <w:pPr>
              <w:widowControl w:val="0"/>
              <w:jc w:val="center"/>
              <w:rPr>
                <w:szCs w:val="24"/>
                <w:lang w:val="fr-FR"/>
              </w:rPr>
            </w:pPr>
            <w:r w:rsidRPr="00B357D7">
              <w:rPr>
                <w:szCs w:val="24"/>
                <w:lang w:val="fr-FR"/>
              </w:rPr>
              <w:t>99,9%</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29</w:t>
            </w:r>
          </w:p>
        </w:tc>
        <w:tc>
          <w:tcPr>
            <w:tcW w:w="1886" w:type="dxa"/>
          </w:tcPr>
          <w:p w:rsidR="00680EB7" w:rsidRPr="00B357D7" w:rsidRDefault="005D2551" w:rsidP="00F56A94">
            <w:pPr>
              <w:widowControl w:val="0"/>
              <w:jc w:val="center"/>
              <w:rPr>
                <w:szCs w:val="24"/>
                <w:lang w:val="fr-FR"/>
              </w:rPr>
            </w:pPr>
            <w:r w:rsidRPr="00B357D7">
              <w:rPr>
                <w:szCs w:val="24"/>
                <w:lang w:val="fr-FR"/>
              </w:rPr>
              <w:t>57,3%</w:t>
            </w:r>
          </w:p>
        </w:tc>
        <w:tc>
          <w:tcPr>
            <w:tcW w:w="2085" w:type="dxa"/>
          </w:tcPr>
          <w:p w:rsidR="00680EB7" w:rsidRPr="00B357D7" w:rsidRDefault="005D2551" w:rsidP="00F56A94">
            <w:pPr>
              <w:widowControl w:val="0"/>
              <w:jc w:val="center"/>
              <w:rPr>
                <w:szCs w:val="24"/>
                <w:lang w:val="fr-FR"/>
              </w:rPr>
            </w:pPr>
            <w:r w:rsidRPr="00B357D7">
              <w:rPr>
                <w:szCs w:val="24"/>
                <w:lang w:val="fr-FR"/>
              </w:rPr>
              <w:t>57,3%</w:t>
            </w:r>
          </w:p>
        </w:tc>
        <w:tc>
          <w:tcPr>
            <w:tcW w:w="1694" w:type="dxa"/>
          </w:tcPr>
          <w:p w:rsidR="00680EB7" w:rsidRPr="00B357D7" w:rsidRDefault="005D2551" w:rsidP="00F56A94">
            <w:pPr>
              <w:widowControl w:val="0"/>
              <w:jc w:val="center"/>
              <w:rPr>
                <w:szCs w:val="24"/>
                <w:lang w:val="fr-FR"/>
              </w:rPr>
            </w:pPr>
            <w:r w:rsidRPr="00B357D7">
              <w:rPr>
                <w:szCs w:val="24"/>
                <w:lang w:val="fr-FR"/>
              </w:rPr>
              <w:t>34,4%</w:t>
            </w:r>
          </w:p>
        </w:tc>
        <w:tc>
          <w:tcPr>
            <w:tcW w:w="2309" w:type="dxa"/>
          </w:tcPr>
          <w:p w:rsidR="00680EB7" w:rsidRPr="00B357D7" w:rsidRDefault="005D2551" w:rsidP="00F56A94">
            <w:pPr>
              <w:widowControl w:val="0"/>
              <w:jc w:val="center"/>
              <w:rPr>
                <w:szCs w:val="24"/>
                <w:lang w:val="fr-FR"/>
              </w:rPr>
            </w:pPr>
            <w:r w:rsidRPr="00B357D7">
              <w:rPr>
                <w:szCs w:val="24"/>
                <w:lang w:val="fr-FR"/>
              </w:rPr>
              <w:t>57,4%</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34</w:t>
            </w:r>
          </w:p>
        </w:tc>
        <w:tc>
          <w:tcPr>
            <w:tcW w:w="1886" w:type="dxa"/>
          </w:tcPr>
          <w:p w:rsidR="00680EB7" w:rsidRPr="00B357D7" w:rsidRDefault="005D2551" w:rsidP="00F56A94">
            <w:pPr>
              <w:widowControl w:val="0"/>
              <w:jc w:val="center"/>
              <w:rPr>
                <w:szCs w:val="24"/>
                <w:lang w:val="fr-FR"/>
              </w:rPr>
            </w:pPr>
            <w:r w:rsidRPr="00B357D7">
              <w:rPr>
                <w:szCs w:val="24"/>
                <w:lang w:val="fr-FR"/>
              </w:rPr>
              <w:t>84,7%</w:t>
            </w:r>
          </w:p>
        </w:tc>
        <w:tc>
          <w:tcPr>
            <w:tcW w:w="2085" w:type="dxa"/>
          </w:tcPr>
          <w:p w:rsidR="00680EB7" w:rsidRPr="00B357D7" w:rsidRDefault="005D2551" w:rsidP="00F56A94">
            <w:pPr>
              <w:widowControl w:val="0"/>
              <w:jc w:val="center"/>
              <w:rPr>
                <w:szCs w:val="24"/>
                <w:lang w:val="fr-FR"/>
              </w:rPr>
            </w:pPr>
            <w:r w:rsidRPr="00B357D7">
              <w:rPr>
                <w:szCs w:val="24"/>
                <w:lang w:val="fr-FR"/>
              </w:rPr>
              <w:t>59,4%</w:t>
            </w:r>
          </w:p>
        </w:tc>
        <w:tc>
          <w:tcPr>
            <w:tcW w:w="1694" w:type="dxa"/>
          </w:tcPr>
          <w:p w:rsidR="00680EB7" w:rsidRPr="00B357D7" w:rsidRDefault="005D2551" w:rsidP="00F56A94">
            <w:pPr>
              <w:widowControl w:val="0"/>
              <w:jc w:val="center"/>
              <w:rPr>
                <w:szCs w:val="24"/>
                <w:lang w:val="fr-FR"/>
              </w:rPr>
            </w:pPr>
            <w:r w:rsidRPr="00B357D7">
              <w:rPr>
                <w:szCs w:val="24"/>
                <w:lang w:val="fr-FR"/>
              </w:rPr>
              <w:t>46,2%</w:t>
            </w:r>
          </w:p>
        </w:tc>
        <w:tc>
          <w:tcPr>
            <w:tcW w:w="2309" w:type="dxa"/>
          </w:tcPr>
          <w:p w:rsidR="00680EB7" w:rsidRPr="00B357D7" w:rsidRDefault="005D2551" w:rsidP="00F56A94">
            <w:pPr>
              <w:widowControl w:val="0"/>
              <w:jc w:val="center"/>
              <w:rPr>
                <w:szCs w:val="24"/>
                <w:lang w:val="fr-FR"/>
              </w:rPr>
            </w:pPr>
            <w:r w:rsidRPr="00B357D7">
              <w:rPr>
                <w:szCs w:val="24"/>
                <w:lang w:val="fr-FR"/>
              </w:rPr>
              <w:t>75,6%</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37</w:t>
            </w:r>
          </w:p>
        </w:tc>
        <w:tc>
          <w:tcPr>
            <w:tcW w:w="1886" w:type="dxa"/>
          </w:tcPr>
          <w:p w:rsidR="00680EB7" w:rsidRPr="00B357D7" w:rsidRDefault="005D2551" w:rsidP="00F56A94">
            <w:pPr>
              <w:widowControl w:val="0"/>
              <w:jc w:val="center"/>
              <w:rPr>
                <w:szCs w:val="24"/>
                <w:lang w:val="fr-FR"/>
              </w:rPr>
            </w:pPr>
            <w:r w:rsidRPr="00B357D7">
              <w:rPr>
                <w:szCs w:val="24"/>
                <w:lang w:val="fr-FR"/>
              </w:rPr>
              <w:t>81,2%</w:t>
            </w:r>
          </w:p>
        </w:tc>
        <w:tc>
          <w:tcPr>
            <w:tcW w:w="2085" w:type="dxa"/>
          </w:tcPr>
          <w:p w:rsidR="00680EB7" w:rsidRPr="00B357D7" w:rsidRDefault="005D2551" w:rsidP="00F56A94">
            <w:pPr>
              <w:widowControl w:val="0"/>
              <w:jc w:val="center"/>
              <w:rPr>
                <w:szCs w:val="24"/>
                <w:lang w:val="fr-FR"/>
              </w:rPr>
            </w:pPr>
            <w:r w:rsidRPr="00B357D7">
              <w:rPr>
                <w:szCs w:val="24"/>
                <w:lang w:val="fr-FR"/>
              </w:rPr>
              <w:t>65,1%</w:t>
            </w:r>
          </w:p>
        </w:tc>
        <w:tc>
          <w:tcPr>
            <w:tcW w:w="1694" w:type="dxa"/>
          </w:tcPr>
          <w:p w:rsidR="00680EB7" w:rsidRPr="00B357D7" w:rsidRDefault="005D2551" w:rsidP="00F56A94">
            <w:pPr>
              <w:widowControl w:val="0"/>
              <w:jc w:val="center"/>
              <w:rPr>
                <w:szCs w:val="24"/>
                <w:lang w:val="fr-FR"/>
              </w:rPr>
            </w:pPr>
            <w:r w:rsidRPr="00B357D7">
              <w:rPr>
                <w:szCs w:val="24"/>
                <w:lang w:val="fr-FR"/>
              </w:rPr>
              <w:t>54,4%</w:t>
            </w:r>
          </w:p>
        </w:tc>
        <w:tc>
          <w:tcPr>
            <w:tcW w:w="2309" w:type="dxa"/>
          </w:tcPr>
          <w:p w:rsidR="00680EB7" w:rsidRPr="00B357D7" w:rsidRDefault="005D2551" w:rsidP="00F56A94">
            <w:pPr>
              <w:widowControl w:val="0"/>
              <w:jc w:val="center"/>
              <w:rPr>
                <w:szCs w:val="24"/>
                <w:lang w:val="fr-FR"/>
              </w:rPr>
            </w:pPr>
            <w:r w:rsidRPr="00B357D7">
              <w:rPr>
                <w:szCs w:val="24"/>
                <w:lang w:val="fr-FR"/>
              </w:rPr>
              <w:t>96,5%</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38</w:t>
            </w:r>
          </w:p>
        </w:tc>
        <w:tc>
          <w:tcPr>
            <w:tcW w:w="1886" w:type="dxa"/>
          </w:tcPr>
          <w:p w:rsidR="00680EB7" w:rsidRPr="00B357D7" w:rsidRDefault="005D2551" w:rsidP="00F56A94">
            <w:pPr>
              <w:widowControl w:val="0"/>
              <w:jc w:val="center"/>
              <w:rPr>
                <w:szCs w:val="24"/>
                <w:lang w:val="fr-FR"/>
              </w:rPr>
            </w:pPr>
            <w:r w:rsidRPr="00B357D7">
              <w:rPr>
                <w:szCs w:val="24"/>
                <w:lang w:val="fr-FR"/>
              </w:rPr>
              <w:t>77,1%</w:t>
            </w:r>
          </w:p>
        </w:tc>
        <w:tc>
          <w:tcPr>
            <w:tcW w:w="2085" w:type="dxa"/>
          </w:tcPr>
          <w:p w:rsidR="00680EB7" w:rsidRPr="00B357D7" w:rsidRDefault="005D2551" w:rsidP="00F56A94">
            <w:pPr>
              <w:widowControl w:val="0"/>
              <w:jc w:val="center"/>
              <w:rPr>
                <w:szCs w:val="24"/>
                <w:lang w:val="fr-FR"/>
              </w:rPr>
            </w:pPr>
            <w:r w:rsidRPr="00B357D7">
              <w:rPr>
                <w:szCs w:val="24"/>
                <w:lang w:val="fr-FR"/>
              </w:rPr>
              <w:t>57,1%</w:t>
            </w:r>
          </w:p>
        </w:tc>
        <w:tc>
          <w:tcPr>
            <w:tcW w:w="1694" w:type="dxa"/>
          </w:tcPr>
          <w:p w:rsidR="00680EB7" w:rsidRPr="00B357D7" w:rsidRDefault="005D2551" w:rsidP="00F56A94">
            <w:pPr>
              <w:widowControl w:val="0"/>
              <w:jc w:val="center"/>
              <w:rPr>
                <w:szCs w:val="24"/>
                <w:lang w:val="fr-FR"/>
              </w:rPr>
            </w:pPr>
            <w:r w:rsidRPr="00B357D7">
              <w:rPr>
                <w:szCs w:val="24"/>
                <w:lang w:val="fr-FR"/>
              </w:rPr>
              <w:t>47,4%</w:t>
            </w:r>
          </w:p>
        </w:tc>
        <w:tc>
          <w:tcPr>
            <w:tcW w:w="2309" w:type="dxa"/>
          </w:tcPr>
          <w:p w:rsidR="00680EB7" w:rsidRPr="00B357D7" w:rsidRDefault="005D2551" w:rsidP="00F56A94">
            <w:pPr>
              <w:widowControl w:val="0"/>
              <w:jc w:val="center"/>
              <w:rPr>
                <w:szCs w:val="24"/>
                <w:lang w:val="fr-FR"/>
              </w:rPr>
            </w:pPr>
            <w:r w:rsidRPr="00B357D7">
              <w:rPr>
                <w:szCs w:val="24"/>
                <w:lang w:val="fr-FR"/>
              </w:rPr>
              <w:t>76,2%</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42</w:t>
            </w:r>
          </w:p>
        </w:tc>
        <w:tc>
          <w:tcPr>
            <w:tcW w:w="1886" w:type="dxa"/>
          </w:tcPr>
          <w:p w:rsidR="00680EB7" w:rsidRPr="00B357D7" w:rsidRDefault="005D2551" w:rsidP="00F56A94">
            <w:pPr>
              <w:widowControl w:val="0"/>
              <w:jc w:val="center"/>
              <w:rPr>
                <w:szCs w:val="24"/>
                <w:lang w:val="fr-FR"/>
              </w:rPr>
            </w:pPr>
            <w:r w:rsidRPr="00B357D7">
              <w:rPr>
                <w:szCs w:val="24"/>
                <w:lang w:val="fr-FR"/>
              </w:rPr>
              <w:t>80,9%</w:t>
            </w:r>
          </w:p>
        </w:tc>
        <w:tc>
          <w:tcPr>
            <w:tcW w:w="2085" w:type="dxa"/>
          </w:tcPr>
          <w:p w:rsidR="00680EB7" w:rsidRPr="00B357D7" w:rsidRDefault="005D2551" w:rsidP="00F56A94">
            <w:pPr>
              <w:widowControl w:val="0"/>
              <w:jc w:val="center"/>
              <w:rPr>
                <w:szCs w:val="24"/>
                <w:lang w:val="fr-FR"/>
              </w:rPr>
            </w:pPr>
            <w:r w:rsidRPr="00B357D7">
              <w:rPr>
                <w:szCs w:val="24"/>
                <w:lang w:val="fr-FR"/>
              </w:rPr>
              <w:t>58,2%</w:t>
            </w:r>
          </w:p>
        </w:tc>
        <w:tc>
          <w:tcPr>
            <w:tcW w:w="1694" w:type="dxa"/>
          </w:tcPr>
          <w:p w:rsidR="00680EB7" w:rsidRPr="00B357D7" w:rsidRDefault="005D2551" w:rsidP="00F56A94">
            <w:pPr>
              <w:widowControl w:val="0"/>
              <w:jc w:val="center"/>
              <w:rPr>
                <w:szCs w:val="24"/>
                <w:lang w:val="fr-FR"/>
              </w:rPr>
            </w:pPr>
            <w:r w:rsidRPr="00B357D7">
              <w:rPr>
                <w:szCs w:val="24"/>
                <w:lang w:val="fr-FR"/>
              </w:rPr>
              <w:t>58,2%</w:t>
            </w:r>
          </w:p>
        </w:tc>
        <w:tc>
          <w:tcPr>
            <w:tcW w:w="2309" w:type="dxa"/>
          </w:tcPr>
          <w:p w:rsidR="00680EB7" w:rsidRPr="00B357D7" w:rsidRDefault="005D2551" w:rsidP="00F56A94">
            <w:pPr>
              <w:widowControl w:val="0"/>
              <w:jc w:val="center"/>
              <w:rPr>
                <w:szCs w:val="24"/>
                <w:lang w:val="fr-FR"/>
              </w:rPr>
            </w:pPr>
            <w:r w:rsidRPr="00B357D7">
              <w:rPr>
                <w:szCs w:val="24"/>
                <w:lang w:val="fr-FR"/>
              </w:rPr>
              <w:t>81,1%</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46</w:t>
            </w:r>
          </w:p>
        </w:tc>
        <w:tc>
          <w:tcPr>
            <w:tcW w:w="1886" w:type="dxa"/>
          </w:tcPr>
          <w:p w:rsidR="00680EB7" w:rsidRPr="00B357D7" w:rsidRDefault="005D2551" w:rsidP="00F56A94">
            <w:pPr>
              <w:widowControl w:val="0"/>
              <w:jc w:val="center"/>
              <w:rPr>
                <w:szCs w:val="24"/>
                <w:lang w:val="fr-FR"/>
              </w:rPr>
            </w:pPr>
            <w:r w:rsidRPr="00B357D7">
              <w:rPr>
                <w:szCs w:val="24"/>
                <w:lang w:val="fr-FR"/>
              </w:rPr>
              <w:t>66,7%</w:t>
            </w:r>
          </w:p>
        </w:tc>
        <w:tc>
          <w:tcPr>
            <w:tcW w:w="2085" w:type="dxa"/>
          </w:tcPr>
          <w:p w:rsidR="00680EB7" w:rsidRPr="00B357D7" w:rsidRDefault="005D2551" w:rsidP="00F56A94">
            <w:pPr>
              <w:widowControl w:val="0"/>
              <w:jc w:val="center"/>
              <w:rPr>
                <w:szCs w:val="24"/>
                <w:lang w:val="fr-FR"/>
              </w:rPr>
            </w:pPr>
            <w:r w:rsidRPr="00B357D7">
              <w:rPr>
                <w:szCs w:val="24"/>
                <w:lang w:val="fr-FR"/>
              </w:rPr>
              <w:t>44,1%</w:t>
            </w:r>
          </w:p>
        </w:tc>
        <w:tc>
          <w:tcPr>
            <w:tcW w:w="1694" w:type="dxa"/>
          </w:tcPr>
          <w:p w:rsidR="00680EB7" w:rsidRPr="00B357D7" w:rsidRDefault="005D2551" w:rsidP="00F56A94">
            <w:pPr>
              <w:widowControl w:val="0"/>
              <w:jc w:val="center"/>
              <w:rPr>
                <w:szCs w:val="24"/>
                <w:lang w:val="fr-FR"/>
              </w:rPr>
            </w:pPr>
            <w:r w:rsidRPr="00B357D7">
              <w:rPr>
                <w:szCs w:val="24"/>
                <w:lang w:val="fr-FR"/>
              </w:rPr>
              <w:t>34,2%</w:t>
            </w:r>
          </w:p>
        </w:tc>
        <w:tc>
          <w:tcPr>
            <w:tcW w:w="2309" w:type="dxa"/>
          </w:tcPr>
          <w:p w:rsidR="00680EB7" w:rsidRPr="00B357D7" w:rsidRDefault="005D2551" w:rsidP="00F56A94">
            <w:pPr>
              <w:widowControl w:val="0"/>
              <w:jc w:val="center"/>
              <w:rPr>
                <w:szCs w:val="24"/>
                <w:lang w:val="fr-FR"/>
              </w:rPr>
            </w:pPr>
            <w:r w:rsidRPr="00B357D7">
              <w:rPr>
                <w:szCs w:val="24"/>
                <w:lang w:val="fr-FR"/>
              </w:rPr>
              <w:t>97,5%</w:t>
            </w:r>
          </w:p>
        </w:tc>
      </w:tr>
      <w:tr w:rsidR="00680EB7" w:rsidRPr="00B357D7" w:rsidTr="00F56A94">
        <w:trPr>
          <w:cantSplit/>
        </w:trPr>
        <w:tc>
          <w:tcPr>
            <w:tcW w:w="1881" w:type="dxa"/>
          </w:tcPr>
          <w:p w:rsidR="00680EB7" w:rsidRPr="00B357D7" w:rsidRDefault="00680EB7" w:rsidP="00F56A94">
            <w:pPr>
              <w:widowControl w:val="0"/>
              <w:jc w:val="center"/>
              <w:rPr>
                <w:szCs w:val="24"/>
                <w:lang w:val="fr-FR"/>
              </w:rPr>
            </w:pPr>
            <w:r w:rsidRPr="00B357D7">
              <w:rPr>
                <w:szCs w:val="24"/>
                <w:lang w:val="fr-FR"/>
              </w:rPr>
              <w:t>57</w:t>
            </w:r>
          </w:p>
        </w:tc>
        <w:tc>
          <w:tcPr>
            <w:tcW w:w="1886" w:type="dxa"/>
          </w:tcPr>
          <w:p w:rsidR="00680EB7" w:rsidRPr="00B357D7" w:rsidRDefault="005D2551" w:rsidP="00F56A94">
            <w:pPr>
              <w:widowControl w:val="0"/>
              <w:jc w:val="center"/>
              <w:rPr>
                <w:szCs w:val="24"/>
                <w:lang w:val="fr-FR"/>
              </w:rPr>
            </w:pPr>
            <w:r w:rsidRPr="00B357D7">
              <w:rPr>
                <w:szCs w:val="24"/>
                <w:lang w:val="fr-FR"/>
              </w:rPr>
              <w:t>58,5%</w:t>
            </w:r>
          </w:p>
        </w:tc>
        <w:tc>
          <w:tcPr>
            <w:tcW w:w="2085" w:type="dxa"/>
          </w:tcPr>
          <w:p w:rsidR="00680EB7" w:rsidRPr="00B357D7" w:rsidRDefault="005D2551" w:rsidP="00F56A94">
            <w:pPr>
              <w:widowControl w:val="0"/>
              <w:jc w:val="center"/>
              <w:rPr>
                <w:szCs w:val="24"/>
                <w:lang w:val="fr-FR"/>
              </w:rPr>
            </w:pPr>
            <w:r w:rsidRPr="00B357D7">
              <w:rPr>
                <w:szCs w:val="24"/>
                <w:lang w:val="fr-FR"/>
              </w:rPr>
              <w:t>34,6%</w:t>
            </w:r>
          </w:p>
        </w:tc>
        <w:tc>
          <w:tcPr>
            <w:tcW w:w="1694" w:type="dxa"/>
          </w:tcPr>
          <w:p w:rsidR="00680EB7" w:rsidRPr="00B357D7" w:rsidRDefault="005D2551" w:rsidP="00F56A94">
            <w:pPr>
              <w:widowControl w:val="0"/>
              <w:jc w:val="center"/>
              <w:rPr>
                <w:szCs w:val="24"/>
                <w:lang w:val="fr-FR"/>
              </w:rPr>
            </w:pPr>
            <w:r w:rsidRPr="00B357D7">
              <w:rPr>
                <w:szCs w:val="24"/>
                <w:lang w:val="fr-FR"/>
              </w:rPr>
              <w:t>25,2%</w:t>
            </w:r>
          </w:p>
        </w:tc>
        <w:tc>
          <w:tcPr>
            <w:tcW w:w="2309" w:type="dxa"/>
          </w:tcPr>
          <w:p w:rsidR="00680EB7" w:rsidRPr="00B357D7" w:rsidRDefault="005D2551" w:rsidP="00F56A94">
            <w:pPr>
              <w:widowControl w:val="0"/>
              <w:jc w:val="center"/>
              <w:rPr>
                <w:szCs w:val="24"/>
                <w:lang w:val="fr-FR"/>
              </w:rPr>
            </w:pPr>
            <w:r w:rsidRPr="00B357D7">
              <w:rPr>
                <w:szCs w:val="24"/>
                <w:lang w:val="fr-FR"/>
              </w:rPr>
              <w:t>43,7%</w:t>
            </w:r>
          </w:p>
        </w:tc>
      </w:tr>
    </w:tbl>
    <w:p w:rsidR="00AA7D33" w:rsidRDefault="00AA7D33" w:rsidP="00F56A94">
      <w:pPr>
        <w:jc w:val="left"/>
        <w:rPr>
          <w:caps/>
          <w:lang w:val="fr-FR" w:eastAsia="ja-JP"/>
        </w:rPr>
      </w:pPr>
    </w:p>
    <w:p w:rsidR="00F56A94" w:rsidRPr="00B357D7" w:rsidRDefault="00F56A94" w:rsidP="00F56A94">
      <w:pPr>
        <w:jc w:val="left"/>
        <w:rPr>
          <w:caps/>
          <w:lang w:val="fr-FR" w:eastAsia="ja-JP"/>
        </w:rPr>
      </w:pPr>
    </w:p>
    <w:p w:rsidR="00AA7D33" w:rsidRPr="00B357D7" w:rsidRDefault="005D2551" w:rsidP="00F56A94">
      <w:pPr>
        <w:keepNext/>
        <w:rPr>
          <w:caps/>
          <w:lang w:val="fr-FR" w:eastAsia="ja-JP"/>
        </w:rPr>
      </w:pPr>
      <w:r w:rsidRPr="00B357D7">
        <w:rPr>
          <w:caps/>
          <w:lang w:val="fr-FR" w:eastAsia="ja-JP"/>
        </w:rPr>
        <w:lastRenderedPageBreak/>
        <w:t>CONCLUSIONS ET TRAVAUX FUTURS</w:t>
      </w:r>
    </w:p>
    <w:p w:rsidR="00AA7D33" w:rsidRPr="00B357D7" w:rsidRDefault="00AA7D33" w:rsidP="00F56A94">
      <w:pPr>
        <w:keepNext/>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5D2551" w:rsidRPr="00B357D7">
        <w:rPr>
          <w:lang w:val="fr-FR" w:eastAsia="ja-JP"/>
        </w:rPr>
        <w:t>La méthode proposée dans le document T</w:t>
      </w:r>
      <w:r w:rsidR="00415D88" w:rsidRPr="00B357D7">
        <w:rPr>
          <w:lang w:val="fr-FR" w:eastAsia="ja-JP"/>
        </w:rPr>
        <w:t>WC/33/20</w:t>
      </w:r>
      <w:r w:rsidR="003608E2" w:rsidRPr="00B357D7">
        <w:rPr>
          <w:lang w:val="fr-FR" w:eastAsia="ja-JP"/>
        </w:rPr>
        <w:t> </w:t>
      </w:r>
      <w:proofErr w:type="spellStart"/>
      <w:r w:rsidR="00415D88" w:rsidRPr="00B357D7">
        <w:rPr>
          <w:lang w:val="fr-FR" w:eastAsia="ja-JP"/>
        </w:rPr>
        <w:t>Rev</w:t>
      </w:r>
      <w:proofErr w:type="spellEnd"/>
      <w:r w:rsidR="00415D88" w:rsidRPr="00B357D7">
        <w:rPr>
          <w:lang w:val="fr-FR" w:eastAsia="ja-JP"/>
        </w:rPr>
        <w:t xml:space="preserve">. </w:t>
      </w:r>
      <w:proofErr w:type="gramStart"/>
      <w:r w:rsidR="00415D88" w:rsidRPr="00B357D7">
        <w:rPr>
          <w:lang w:val="fr-FR" w:eastAsia="ja-JP"/>
        </w:rPr>
        <w:t>a</w:t>
      </w:r>
      <w:proofErr w:type="gramEnd"/>
      <w:r w:rsidR="00415D88" w:rsidRPr="00B357D7">
        <w:rPr>
          <w:lang w:val="fr-FR" w:eastAsia="ja-JP"/>
        </w:rPr>
        <w:t xml:space="preserve"> été appliquée au jeu </w:t>
      </w:r>
      <w:r w:rsidR="005D2551" w:rsidRPr="00B357D7">
        <w:rPr>
          <w:lang w:val="fr-FR" w:eastAsia="ja-JP"/>
        </w:rPr>
        <w:t xml:space="preserve">de données </w:t>
      </w:r>
      <w:r w:rsidR="00A37982" w:rsidRPr="00B357D7">
        <w:rPr>
          <w:lang w:val="fr-FR" w:eastAsia="ja-JP"/>
        </w:rPr>
        <w:t>sur des pois fourragers d</w:t>
      </w:r>
      <w:r w:rsidR="005D2551" w:rsidRPr="00B357D7">
        <w:rPr>
          <w:lang w:val="fr-FR" w:eastAsia="ja-JP"/>
        </w:rPr>
        <w:t>u Royaume</w:t>
      </w:r>
      <w:r w:rsidR="00F56A94">
        <w:rPr>
          <w:lang w:val="fr-FR" w:eastAsia="ja-JP"/>
        </w:rPr>
        <w:noBreakHyphen/>
      </w:r>
      <w:r w:rsidR="005D2551" w:rsidRPr="00B357D7">
        <w:rPr>
          <w:lang w:val="fr-FR" w:eastAsia="ja-JP"/>
        </w:rPr>
        <w:t>Uni et les résultats obtenus évalu</w:t>
      </w:r>
      <w:r w:rsidR="00B357D7" w:rsidRPr="00B357D7">
        <w:rPr>
          <w:lang w:val="fr-FR" w:eastAsia="ja-JP"/>
        </w:rPr>
        <w:t>és.  Ce</w:t>
      </w:r>
      <w:r w:rsidR="005D2551" w:rsidRPr="00B357D7">
        <w:rPr>
          <w:lang w:val="fr-FR" w:eastAsia="ja-JP"/>
        </w:rPr>
        <w:t>ux</w:t>
      </w:r>
      <w:r w:rsidR="00F56A94">
        <w:rPr>
          <w:lang w:val="fr-FR" w:eastAsia="ja-JP"/>
        </w:rPr>
        <w:noBreakHyphen/>
      </w:r>
      <w:r w:rsidR="005D2551" w:rsidRPr="00B357D7">
        <w:rPr>
          <w:lang w:val="fr-FR" w:eastAsia="ja-JP"/>
        </w:rPr>
        <w:t>ci montrent comment différents risques peuvent être équilibrés pour choisir une valeur appropriée de probabilité de défaut pour le calcul des seui</w:t>
      </w:r>
      <w:r w:rsidR="00B357D7" w:rsidRPr="00B357D7">
        <w:rPr>
          <w:lang w:val="fr-FR" w:eastAsia="ja-JP"/>
        </w:rPr>
        <w:t>ls.  Su</w:t>
      </w:r>
      <w:r w:rsidR="005D2551" w:rsidRPr="00B357D7">
        <w:rPr>
          <w:lang w:val="fr-FR" w:eastAsia="ja-JP"/>
        </w:rPr>
        <w:t>r la base de ces résultats, le Royaume</w:t>
      </w:r>
      <w:r w:rsidR="00F56A94">
        <w:rPr>
          <w:lang w:val="fr-FR" w:eastAsia="ja-JP"/>
        </w:rPr>
        <w:noBreakHyphen/>
      </w:r>
      <w:r w:rsidR="005D2551" w:rsidRPr="00B357D7">
        <w:rPr>
          <w:lang w:val="fr-FR" w:eastAsia="ja-JP"/>
        </w:rPr>
        <w:t xml:space="preserve">Uni a désormais actualisé les </w:t>
      </w:r>
      <w:r w:rsidR="00A37982" w:rsidRPr="00B357D7">
        <w:rPr>
          <w:lang w:val="fr-FR" w:eastAsia="ja-JP"/>
        </w:rPr>
        <w:t>valeurs de tolérance</w:t>
      </w:r>
      <w:r w:rsidR="005D2551" w:rsidRPr="00B357D7">
        <w:rPr>
          <w:lang w:val="fr-FR" w:eastAsia="ja-JP"/>
        </w:rPr>
        <w:t xml:space="preserve"> de première année concernant les pois de sorte qu</w:t>
      </w:r>
      <w:r w:rsidR="009143C1" w:rsidRPr="00B357D7">
        <w:rPr>
          <w:lang w:val="fr-FR" w:eastAsia="ja-JP"/>
        </w:rPr>
        <w:t>’</w:t>
      </w:r>
      <w:r w:rsidR="005D2551" w:rsidRPr="00B357D7">
        <w:rPr>
          <w:lang w:val="fr-FR" w:eastAsia="ja-JP"/>
        </w:rPr>
        <w:t>elles ont maintenant une base plus transparente qu</w:t>
      </w:r>
      <w:r w:rsidR="009143C1" w:rsidRPr="00B357D7">
        <w:rPr>
          <w:lang w:val="fr-FR" w:eastAsia="ja-JP"/>
        </w:rPr>
        <w:t>’</w:t>
      </w:r>
      <w:r w:rsidR="005D2551" w:rsidRPr="00B357D7">
        <w:rPr>
          <w:lang w:val="fr-FR" w:eastAsia="ja-JP"/>
        </w:rPr>
        <w:t>auparava</w:t>
      </w:r>
      <w:r w:rsidR="00B357D7" w:rsidRPr="00B357D7">
        <w:rPr>
          <w:lang w:val="fr-FR" w:eastAsia="ja-JP"/>
        </w:rPr>
        <w:t>nt.  Da</w:t>
      </w:r>
      <w:r w:rsidR="005D2551" w:rsidRPr="00B357D7">
        <w:rPr>
          <w:lang w:val="fr-FR" w:eastAsia="ja-JP"/>
        </w:rPr>
        <w:t>ns le présent rapport nous nous sommes intéressés à l</w:t>
      </w:r>
      <w:r w:rsidR="009143C1" w:rsidRPr="00B357D7">
        <w:rPr>
          <w:lang w:val="fr-FR" w:eastAsia="ja-JP"/>
        </w:rPr>
        <w:t>’</w:t>
      </w:r>
      <w:r w:rsidR="005D2551" w:rsidRPr="00B357D7">
        <w:rPr>
          <w:lang w:val="fr-FR" w:eastAsia="ja-JP"/>
        </w:rPr>
        <w:t>efficacité de la méthode d</w:t>
      </w:r>
      <w:r w:rsidR="009143C1" w:rsidRPr="00B357D7">
        <w:rPr>
          <w:lang w:val="fr-FR" w:eastAsia="ja-JP"/>
        </w:rPr>
        <w:t>’</w:t>
      </w:r>
      <w:r w:rsidR="005D2551" w:rsidRPr="00B357D7">
        <w:rPr>
          <w:lang w:val="fr-FR" w:eastAsia="ja-JP"/>
        </w:rPr>
        <w:t>analyse caractère par caractère.</w:t>
      </w:r>
      <w:r w:rsidRPr="00B357D7">
        <w:rPr>
          <w:lang w:val="fr-FR" w:eastAsia="ja-JP"/>
        </w:rPr>
        <w:t xml:space="preserve"> </w:t>
      </w:r>
      <w:r w:rsidR="003608E2" w:rsidRPr="00B357D7">
        <w:rPr>
          <w:lang w:val="fr-FR" w:eastAsia="ja-JP"/>
        </w:rPr>
        <w:t xml:space="preserve"> </w:t>
      </w:r>
      <w:r w:rsidR="00D76723">
        <w:rPr>
          <w:lang w:val="fr-FR" w:eastAsia="ja-JP"/>
        </w:rPr>
        <w:t>À</w:t>
      </w:r>
      <w:r w:rsidR="005D2551" w:rsidRPr="00B357D7">
        <w:rPr>
          <w:lang w:val="fr-FR" w:eastAsia="ja-JP"/>
        </w:rPr>
        <w:t xml:space="preserve"> l</w:t>
      </w:r>
      <w:r w:rsidR="009143C1" w:rsidRPr="00B357D7">
        <w:rPr>
          <w:lang w:val="fr-FR" w:eastAsia="ja-JP"/>
        </w:rPr>
        <w:t>’</w:t>
      </w:r>
      <w:r w:rsidR="005D2551" w:rsidRPr="00B357D7">
        <w:rPr>
          <w:lang w:val="fr-FR" w:eastAsia="ja-JP"/>
        </w:rPr>
        <w:t>avenir, nous avons l</w:t>
      </w:r>
      <w:r w:rsidR="009143C1" w:rsidRPr="00B357D7">
        <w:rPr>
          <w:lang w:val="fr-FR" w:eastAsia="ja-JP"/>
        </w:rPr>
        <w:t>’</w:t>
      </w:r>
      <w:r w:rsidR="005D2551" w:rsidRPr="00B357D7">
        <w:rPr>
          <w:lang w:val="fr-FR" w:eastAsia="ja-JP"/>
        </w:rPr>
        <w:t>intention d</w:t>
      </w:r>
      <w:r w:rsidR="009143C1" w:rsidRPr="00B357D7">
        <w:rPr>
          <w:lang w:val="fr-FR" w:eastAsia="ja-JP"/>
        </w:rPr>
        <w:t>’</w:t>
      </w:r>
      <w:r w:rsidR="005D2551" w:rsidRPr="00B357D7">
        <w:rPr>
          <w:lang w:val="fr-FR" w:eastAsia="ja-JP"/>
        </w:rPr>
        <w:t>examiner l</w:t>
      </w:r>
      <w:r w:rsidR="009143C1" w:rsidRPr="00B357D7">
        <w:rPr>
          <w:lang w:val="fr-FR" w:eastAsia="ja-JP"/>
        </w:rPr>
        <w:t>’</w:t>
      </w:r>
      <w:r w:rsidR="005D2551" w:rsidRPr="00B357D7">
        <w:rPr>
          <w:lang w:val="fr-FR" w:eastAsia="ja-JP"/>
        </w:rPr>
        <w:t xml:space="preserve">effet sur des décisions </w:t>
      </w:r>
      <w:r w:rsidR="00A37982" w:rsidRPr="00B357D7">
        <w:rPr>
          <w:lang w:val="fr-FR" w:eastAsia="ja-JP"/>
        </w:rPr>
        <w:t xml:space="preserve">relatives à </w:t>
      </w:r>
      <w:r w:rsidR="005D2551" w:rsidRPr="00B357D7">
        <w:rPr>
          <w:lang w:val="fr-FR" w:eastAsia="ja-JP"/>
        </w:rPr>
        <w:t>de</w:t>
      </w:r>
      <w:r w:rsidR="00A37982" w:rsidRPr="00B357D7">
        <w:rPr>
          <w:lang w:val="fr-FR" w:eastAsia="ja-JP"/>
        </w:rPr>
        <w:t>s</w:t>
      </w:r>
      <w:r w:rsidR="005D2551" w:rsidRPr="00B357D7">
        <w:rPr>
          <w:lang w:val="fr-FR" w:eastAsia="ja-JP"/>
        </w:rPr>
        <w:t xml:space="preserve"> variété</w:t>
      </w:r>
      <w:r w:rsidR="00A37982" w:rsidRPr="00B357D7">
        <w:rPr>
          <w:lang w:val="fr-FR" w:eastAsia="ja-JP"/>
        </w:rPr>
        <w:t>s</w:t>
      </w:r>
      <w:r w:rsidR="005D2551" w:rsidRPr="00B357D7">
        <w:rPr>
          <w:lang w:val="fr-FR" w:eastAsia="ja-JP"/>
        </w:rPr>
        <w:t xml:space="preserve"> individuelle</w:t>
      </w:r>
      <w:r w:rsidR="00A37982" w:rsidRPr="00B357D7">
        <w:rPr>
          <w:lang w:val="fr-FR" w:eastAsia="ja-JP"/>
        </w:rPr>
        <w:t>s</w:t>
      </w:r>
      <w:r w:rsidR="005D2551" w:rsidRPr="00B357D7">
        <w:rPr>
          <w:lang w:val="fr-FR" w:eastAsia="ja-JP"/>
        </w:rPr>
        <w:t>.</w:t>
      </w:r>
    </w:p>
    <w:p w:rsidR="00AA7D33" w:rsidRPr="00B357D7" w:rsidRDefault="00AA7D33" w:rsidP="00F56A94">
      <w:pPr>
        <w:rPr>
          <w:lang w:val="fr-FR" w:eastAsia="ja-JP"/>
        </w:rPr>
      </w:pPr>
    </w:p>
    <w:p w:rsidR="009143C1"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415D88" w:rsidRPr="00B357D7">
        <w:rPr>
          <w:lang w:val="fr-FR" w:eastAsia="ja-JP"/>
        </w:rPr>
        <w:t xml:space="preserve">La méthode pourrait également être modifiée pour indiquer </w:t>
      </w:r>
      <w:r w:rsidR="00A37982" w:rsidRPr="00B357D7">
        <w:rPr>
          <w:lang w:val="fr-FR" w:eastAsia="ja-JP"/>
        </w:rPr>
        <w:t>rapidement</w:t>
      </w:r>
      <w:r w:rsidR="00415D88" w:rsidRPr="00B357D7">
        <w:rPr>
          <w:lang w:val="fr-FR" w:eastAsia="ja-JP"/>
        </w:rPr>
        <w:t xml:space="preserve"> si une </w:t>
      </w:r>
      <w:r w:rsidR="00A37982" w:rsidRPr="00B357D7">
        <w:rPr>
          <w:lang w:val="fr-FR" w:eastAsia="ja-JP"/>
        </w:rPr>
        <w:t xml:space="preserve">variété </w:t>
      </w:r>
      <w:r w:rsidR="00415D88" w:rsidRPr="00B357D7">
        <w:rPr>
          <w:lang w:val="fr-FR" w:eastAsia="ja-JP"/>
        </w:rPr>
        <w:t>candidate peut avoir des problèmes de distinction mais aussi pour fournir des orientations sur les variétés de référence les plus proch</w:t>
      </w:r>
      <w:r w:rsidR="00B357D7" w:rsidRPr="00B357D7">
        <w:rPr>
          <w:lang w:val="fr-FR" w:eastAsia="ja-JP"/>
        </w:rPr>
        <w:t>es.  To</w:t>
      </w:r>
      <w:r w:rsidR="00A37982" w:rsidRPr="00B357D7">
        <w:rPr>
          <w:lang w:val="fr-FR" w:eastAsia="ja-JP"/>
        </w:rPr>
        <w:t>us deux</w:t>
      </w:r>
      <w:r w:rsidR="00415D88" w:rsidRPr="00B357D7">
        <w:rPr>
          <w:lang w:val="fr-FR" w:eastAsia="ja-JP"/>
        </w:rPr>
        <w:t xml:space="preserve"> devrai</w:t>
      </w:r>
      <w:r w:rsidR="00A37982" w:rsidRPr="00B357D7">
        <w:rPr>
          <w:lang w:val="fr-FR" w:eastAsia="ja-JP"/>
        </w:rPr>
        <w:t>en</w:t>
      </w:r>
      <w:r w:rsidR="00415D88" w:rsidRPr="00B357D7">
        <w:rPr>
          <w:lang w:val="fr-FR" w:eastAsia="ja-JP"/>
        </w:rPr>
        <w:t>t</w:t>
      </w:r>
      <w:r w:rsidR="00A37982" w:rsidRPr="00B357D7">
        <w:rPr>
          <w:lang w:val="fr-FR" w:eastAsia="ja-JP"/>
        </w:rPr>
        <w:t xml:space="preserve"> servir les intérêts des</w:t>
      </w:r>
      <w:r w:rsidR="00415D88" w:rsidRPr="00B357D7">
        <w:rPr>
          <w:lang w:val="fr-FR" w:eastAsia="ja-JP"/>
        </w:rPr>
        <w:t xml:space="preserve"> utilisateurs de la méthode COYD.</w:t>
      </w:r>
    </w:p>
    <w:p w:rsidR="00AA7D33" w:rsidRPr="00B357D7" w:rsidRDefault="00AA7D33" w:rsidP="00F56A94">
      <w:pPr>
        <w:rPr>
          <w:lang w:val="fr-FR" w:eastAsia="ja-JP"/>
        </w:rPr>
      </w:pPr>
    </w:p>
    <w:p w:rsidR="00AA7D33" w:rsidRPr="00B357D7" w:rsidRDefault="00680EB7" w:rsidP="00F56A94">
      <w:pPr>
        <w:rPr>
          <w:lang w:val="fr-FR" w:eastAsia="ja-JP"/>
        </w:rPr>
      </w:pPr>
      <w:r w:rsidRPr="00B357D7">
        <w:rPr>
          <w:lang w:val="fr-FR"/>
        </w:rPr>
        <w:fldChar w:fldCharType="begin"/>
      </w:r>
      <w:r w:rsidRPr="00B357D7">
        <w:rPr>
          <w:lang w:val="fr-FR"/>
        </w:rPr>
        <w:instrText xml:space="preserve"> AUTONUM  </w:instrText>
      </w:r>
      <w:r w:rsidRPr="00B357D7">
        <w:rPr>
          <w:lang w:val="fr-FR"/>
        </w:rPr>
        <w:fldChar w:fldCharType="end"/>
      </w:r>
      <w:r w:rsidRPr="00B357D7">
        <w:rPr>
          <w:lang w:val="fr-FR" w:eastAsia="ja-JP"/>
        </w:rPr>
        <w:tab/>
      </w:r>
      <w:r w:rsidR="00415D88" w:rsidRPr="00B357D7">
        <w:rPr>
          <w:lang w:val="fr-FR" w:eastAsia="ja-JP"/>
        </w:rPr>
        <w:t>Nous espérons recevoir d</w:t>
      </w:r>
      <w:r w:rsidR="009143C1" w:rsidRPr="00B357D7">
        <w:rPr>
          <w:lang w:val="fr-FR" w:eastAsia="ja-JP"/>
        </w:rPr>
        <w:t>’</w:t>
      </w:r>
      <w:r w:rsidR="00415D88" w:rsidRPr="00B357D7">
        <w:rPr>
          <w:lang w:val="fr-FR" w:eastAsia="ja-JP"/>
        </w:rPr>
        <w:t>autres exemples de jeu de données pour pouvoir tester la nouvelle méthode sur d</w:t>
      </w:r>
      <w:r w:rsidR="009143C1" w:rsidRPr="00B357D7">
        <w:rPr>
          <w:lang w:val="fr-FR" w:eastAsia="ja-JP"/>
        </w:rPr>
        <w:t>’</w:t>
      </w:r>
      <w:r w:rsidR="00415D88" w:rsidRPr="00B357D7">
        <w:rPr>
          <w:lang w:val="fr-FR" w:eastAsia="ja-JP"/>
        </w:rPr>
        <w:t>autres plantes</w:t>
      </w:r>
      <w:r w:rsidR="00A37982" w:rsidRPr="00B357D7">
        <w:rPr>
          <w:lang w:val="fr-FR" w:eastAsia="ja-JP"/>
        </w:rPr>
        <w:t xml:space="preserve"> cultivé</w:t>
      </w:r>
      <w:r w:rsidR="00B357D7" w:rsidRPr="00B357D7">
        <w:rPr>
          <w:lang w:val="fr-FR" w:eastAsia="ja-JP"/>
        </w:rPr>
        <w:t>es.  No</w:t>
      </w:r>
      <w:r w:rsidR="00415D88" w:rsidRPr="00B357D7">
        <w:rPr>
          <w:lang w:val="fr-FR" w:eastAsia="ja-JP"/>
        </w:rPr>
        <w:t>us prévoyons également d</w:t>
      </w:r>
      <w:r w:rsidR="009143C1" w:rsidRPr="00B357D7">
        <w:rPr>
          <w:lang w:val="fr-FR" w:eastAsia="ja-JP"/>
        </w:rPr>
        <w:t>’</w:t>
      </w:r>
      <w:r w:rsidR="00415D88" w:rsidRPr="00B357D7">
        <w:rPr>
          <w:lang w:val="fr-FR" w:eastAsia="ja-JP"/>
        </w:rPr>
        <w:t>étudier les possibilités de logiciels aptes à faciliter la mise en œuvre.</w:t>
      </w:r>
    </w:p>
    <w:p w:rsidR="00AA7D33" w:rsidRPr="00B357D7" w:rsidRDefault="00AA7D33" w:rsidP="00F56A94">
      <w:pPr>
        <w:rPr>
          <w:lang w:val="fr-FR" w:eastAsia="ja-JP"/>
        </w:rPr>
      </w:pPr>
    </w:p>
    <w:p w:rsidR="00AA7D33" w:rsidRPr="00B357D7" w:rsidRDefault="00AA7D33" w:rsidP="00F56A94">
      <w:pPr>
        <w:rPr>
          <w:lang w:val="fr-FR" w:eastAsia="ja-JP"/>
        </w:rPr>
      </w:pPr>
    </w:p>
    <w:p w:rsidR="00AA7D33" w:rsidRPr="00B357D7" w:rsidRDefault="00AA7D33" w:rsidP="00F56A94">
      <w:pPr>
        <w:rPr>
          <w:lang w:val="fr-FR"/>
        </w:rPr>
      </w:pPr>
    </w:p>
    <w:p w:rsidR="00AA7D33" w:rsidRPr="00B357D7" w:rsidRDefault="00415D88" w:rsidP="00F56A94">
      <w:pPr>
        <w:jc w:val="right"/>
        <w:rPr>
          <w:lang w:val="fr-FR"/>
        </w:rPr>
      </w:pPr>
      <w:r w:rsidRPr="00B357D7">
        <w:rPr>
          <w:lang w:val="fr-FR"/>
        </w:rPr>
        <w:t>[Fin de l</w:t>
      </w:r>
      <w:r w:rsidR="009143C1" w:rsidRPr="00B357D7">
        <w:rPr>
          <w:lang w:val="fr-FR"/>
        </w:rPr>
        <w:t>’</w:t>
      </w:r>
      <w:r w:rsidRPr="00B357D7">
        <w:rPr>
          <w:lang w:val="fr-FR"/>
        </w:rPr>
        <w:t>annexe et du document]</w:t>
      </w:r>
    </w:p>
    <w:sectPr w:rsidR="00AA7D33" w:rsidRPr="00B357D7" w:rsidSect="008A18FF">
      <w:headerReference w:type="default" r:id="rId9"/>
      <w:headerReference w:type="first" r:id="rId10"/>
      <w:footerReference w:type="first" r:id="rId11"/>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88" w:rsidRDefault="00415D88" w:rsidP="006655D3">
      <w:r>
        <w:separator/>
      </w:r>
    </w:p>
    <w:p w:rsidR="00415D88" w:rsidRDefault="00415D88" w:rsidP="006655D3"/>
    <w:p w:rsidR="00415D88" w:rsidRDefault="00415D88" w:rsidP="006655D3"/>
  </w:endnote>
  <w:endnote w:type="continuationSeparator" w:id="0">
    <w:p w:rsidR="00415D88" w:rsidRDefault="00415D88" w:rsidP="006655D3">
      <w:r>
        <w:separator/>
      </w:r>
    </w:p>
    <w:p w:rsidR="00415D88" w:rsidRPr="00294751" w:rsidRDefault="00415D88">
      <w:pPr>
        <w:pStyle w:val="Footer"/>
        <w:spacing w:after="60"/>
        <w:rPr>
          <w:sz w:val="18"/>
          <w:lang w:val="fr-FR"/>
        </w:rPr>
      </w:pPr>
      <w:r w:rsidRPr="00294751">
        <w:rPr>
          <w:sz w:val="18"/>
          <w:lang w:val="fr-FR"/>
        </w:rPr>
        <w:t>[Suite de la note de la page précédente]</w:t>
      </w:r>
    </w:p>
    <w:p w:rsidR="00415D88" w:rsidRPr="00294751" w:rsidRDefault="00415D88" w:rsidP="006655D3">
      <w:pPr>
        <w:rPr>
          <w:lang w:val="fr-FR"/>
        </w:rPr>
      </w:pPr>
    </w:p>
    <w:p w:rsidR="00415D88" w:rsidRPr="00294751" w:rsidRDefault="00415D88" w:rsidP="006655D3">
      <w:pPr>
        <w:rPr>
          <w:lang w:val="fr-FR"/>
        </w:rPr>
      </w:pPr>
    </w:p>
  </w:endnote>
  <w:endnote w:type="continuationNotice" w:id="1">
    <w:p w:rsidR="00415D88" w:rsidRPr="00294751" w:rsidRDefault="00415D88" w:rsidP="006655D3">
      <w:pPr>
        <w:rPr>
          <w:lang w:val="fr-FR"/>
        </w:rPr>
      </w:pPr>
      <w:r w:rsidRPr="00294751">
        <w:rPr>
          <w:lang w:val="fr-FR"/>
        </w:rPr>
        <w:t>[Suite de la note page suivante]</w:t>
      </w:r>
    </w:p>
    <w:p w:rsidR="00415D88" w:rsidRPr="00294751" w:rsidRDefault="00415D88" w:rsidP="006655D3">
      <w:pPr>
        <w:rPr>
          <w:lang w:val="fr-FR"/>
        </w:rPr>
      </w:pPr>
    </w:p>
    <w:p w:rsidR="00415D88" w:rsidRPr="00294751" w:rsidRDefault="00415D8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8FF" w:rsidRPr="008A18FF" w:rsidRDefault="008A18FF" w:rsidP="008A18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88" w:rsidRDefault="00415D88" w:rsidP="006655D3">
      <w:r>
        <w:separator/>
      </w:r>
    </w:p>
  </w:footnote>
  <w:footnote w:type="continuationSeparator" w:id="0">
    <w:p w:rsidR="00415D88" w:rsidRDefault="00415D88" w:rsidP="006655D3">
      <w:r>
        <w:separator/>
      </w:r>
    </w:p>
  </w:footnote>
  <w:footnote w:type="continuationNotice" w:id="1">
    <w:p w:rsidR="00415D88" w:rsidRPr="00AB530F" w:rsidRDefault="00415D8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88" w:rsidRPr="00C5280D" w:rsidRDefault="00415D88" w:rsidP="00EB048E">
    <w:pPr>
      <w:pStyle w:val="Header"/>
      <w:rPr>
        <w:rStyle w:val="PageNumber"/>
        <w:lang w:val="en-US"/>
      </w:rPr>
    </w:pPr>
    <w:r>
      <w:rPr>
        <w:rStyle w:val="PageNumber"/>
        <w:lang w:val="en-US"/>
      </w:rPr>
      <w:t>TC/53/23</w:t>
    </w:r>
  </w:p>
  <w:p w:rsidR="00415D88" w:rsidRPr="00C5280D" w:rsidRDefault="00415D88" w:rsidP="00EB048E">
    <w:pPr>
      <w:pStyle w:val="Header"/>
      <w:rPr>
        <w:lang w:val="en-US"/>
      </w:rPr>
    </w:pPr>
    <w:proofErr w:type="gramStart"/>
    <w:r w:rsidRPr="00C5280D">
      <w:rPr>
        <w:lang w:val="en-US"/>
      </w:rPr>
      <w:t>page</w:t>
    </w:r>
    <w:proofErr w:type="gramEnd"/>
    <w:r w:rsidR="00D76723">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0CFB">
      <w:rPr>
        <w:rStyle w:val="PageNumber"/>
        <w:noProof/>
        <w:lang w:val="en-US"/>
      </w:rPr>
      <w:t>3</w:t>
    </w:r>
    <w:r w:rsidRPr="00C5280D">
      <w:rPr>
        <w:rStyle w:val="PageNumber"/>
        <w:lang w:val="en-US"/>
      </w:rPr>
      <w:fldChar w:fldCharType="end"/>
    </w:r>
  </w:p>
  <w:p w:rsidR="00415D88" w:rsidRPr="00C5280D" w:rsidRDefault="00415D8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88" w:rsidRPr="00C5280D" w:rsidRDefault="00415D88" w:rsidP="00EB048E">
    <w:pPr>
      <w:pStyle w:val="Header"/>
      <w:rPr>
        <w:rStyle w:val="PageNumber"/>
        <w:lang w:val="en-US"/>
      </w:rPr>
    </w:pPr>
    <w:r>
      <w:rPr>
        <w:rStyle w:val="PageNumber"/>
        <w:lang w:val="en-US"/>
      </w:rPr>
      <w:t>TC/53/23</w:t>
    </w:r>
  </w:p>
  <w:p w:rsidR="00415D88" w:rsidRPr="00C5280D" w:rsidRDefault="00415D88" w:rsidP="00EB048E">
    <w:pPr>
      <w:pStyle w:val="Header"/>
      <w:rPr>
        <w:lang w:val="en-US"/>
      </w:rPr>
    </w:pPr>
    <w:proofErr w:type="spellStart"/>
    <w:r>
      <w:rPr>
        <w:lang w:val="en-US"/>
      </w:rPr>
      <w:t>Annex</w:t>
    </w:r>
    <w:r w:rsidR="008A18FF">
      <w:rPr>
        <w:lang w:val="en-US"/>
      </w:rPr>
      <w:t>e</w:t>
    </w:r>
    <w:proofErr w:type="spellEnd"/>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10CFB">
      <w:rPr>
        <w:rStyle w:val="PageNumber"/>
        <w:noProof/>
        <w:lang w:val="en-US"/>
      </w:rPr>
      <w:t>5</w:t>
    </w:r>
    <w:r w:rsidRPr="00C5280D">
      <w:rPr>
        <w:rStyle w:val="PageNumber"/>
        <w:lang w:val="en-US"/>
      </w:rPr>
      <w:fldChar w:fldCharType="end"/>
    </w:r>
  </w:p>
  <w:p w:rsidR="00415D88" w:rsidRPr="00C5280D" w:rsidRDefault="00415D8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D88" w:rsidRPr="00C5280D" w:rsidRDefault="00415D88" w:rsidP="0042059A">
    <w:pPr>
      <w:pStyle w:val="Header"/>
      <w:rPr>
        <w:rStyle w:val="PageNumber"/>
        <w:lang w:val="en-US"/>
      </w:rPr>
    </w:pPr>
    <w:r>
      <w:rPr>
        <w:rStyle w:val="PageNumber"/>
        <w:lang w:val="en-US"/>
      </w:rPr>
      <w:t>TC/53/23</w:t>
    </w:r>
  </w:p>
  <w:p w:rsidR="00415D88" w:rsidRDefault="00415D88" w:rsidP="0042059A">
    <w:pPr>
      <w:pStyle w:val="Header"/>
      <w:rPr>
        <w:lang w:val="en-US"/>
      </w:rPr>
    </w:pPr>
  </w:p>
  <w:p w:rsidR="00415D88" w:rsidRDefault="00415D88" w:rsidP="0042059A">
    <w:pPr>
      <w:pStyle w:val="Header"/>
      <w:rPr>
        <w:lang w:val="en-US"/>
      </w:rPr>
    </w:pPr>
    <w:r>
      <w:rPr>
        <w:lang w:val="en-US"/>
      </w:rPr>
      <w:t>ANNEX</w:t>
    </w:r>
    <w:r w:rsidR="008A18FF">
      <w:rPr>
        <w:lang w:val="en-US"/>
      </w:rPr>
      <w:t>E</w:t>
    </w:r>
  </w:p>
  <w:p w:rsidR="00415D88" w:rsidRDefault="00415D88" w:rsidP="004205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Ad-hoc\Glossaires|TextBase TMs\WorkspaceFTS\Treaties &amp; Laws\WIPO Lex|TextBase TMs\WorkspaceFTS\Treaties &amp; Laws\WIPO Treaties|TextBase TMs\WorkspaceFTS\xLegacy\Treaties|TextBase TMs\WorkspaceFTS\UPOV\UPOV|TextBase TMs\WorkspaceFTS\xLegacy\UPOV|TextBase TMs\WorkspaceFTS\Administration &amp; Finance\Administration|TextBase TMs\WorkspaceFTS\Administration &amp; Finance\PBC|TextBase TMs\WorkspaceFTS\Ad-hoc\Assemblies|TextBase TMs\WorkspaceFTS\Brands, Designs &amp; DN\AMC|TextBase TMs\WorkspaceFTS\Brands, Designs &amp; DN\Brands|TextBase TMs\WorkspaceFTS\Brands, Designs &amp; DN\Hague|TextBase TMs\WorkspaceFTS\Brands, Designs &amp; DN\Lisbon|TextBase TMs\WorkspaceFTS\Brands, Designs &amp; DN\Madrid|TextBase TMs\WorkspaceFTS\UPOV\TGs"/>
    <w:docVar w:name="TextBaseURL" w:val="empty"/>
    <w:docVar w:name="UILng" w:val="en"/>
  </w:docVars>
  <w:rsids>
    <w:rsidRoot w:val="00486612"/>
    <w:rsid w:val="00010CF3"/>
    <w:rsid w:val="00011E27"/>
    <w:rsid w:val="000148BC"/>
    <w:rsid w:val="00024AB8"/>
    <w:rsid w:val="00030854"/>
    <w:rsid w:val="00036028"/>
    <w:rsid w:val="00044642"/>
    <w:rsid w:val="000446B9"/>
    <w:rsid w:val="00047E21"/>
    <w:rsid w:val="00050E16"/>
    <w:rsid w:val="00055B9E"/>
    <w:rsid w:val="000765BA"/>
    <w:rsid w:val="00076F15"/>
    <w:rsid w:val="00085505"/>
    <w:rsid w:val="000924BA"/>
    <w:rsid w:val="000A128F"/>
    <w:rsid w:val="000B1E50"/>
    <w:rsid w:val="000C4E25"/>
    <w:rsid w:val="000C7021"/>
    <w:rsid w:val="000D6BBC"/>
    <w:rsid w:val="000D7780"/>
    <w:rsid w:val="000E636A"/>
    <w:rsid w:val="000F2F11"/>
    <w:rsid w:val="00105929"/>
    <w:rsid w:val="00110C36"/>
    <w:rsid w:val="00110CFB"/>
    <w:rsid w:val="001131D5"/>
    <w:rsid w:val="00134170"/>
    <w:rsid w:val="00141BE7"/>
    <w:rsid w:val="00141DB8"/>
    <w:rsid w:val="00160F18"/>
    <w:rsid w:val="00172084"/>
    <w:rsid w:val="0017474A"/>
    <w:rsid w:val="001758C6"/>
    <w:rsid w:val="00182B99"/>
    <w:rsid w:val="001928F5"/>
    <w:rsid w:val="001F597D"/>
    <w:rsid w:val="00212D71"/>
    <w:rsid w:val="0021332C"/>
    <w:rsid w:val="00213982"/>
    <w:rsid w:val="0024416D"/>
    <w:rsid w:val="00246EA2"/>
    <w:rsid w:val="002473B1"/>
    <w:rsid w:val="00271911"/>
    <w:rsid w:val="002779E8"/>
    <w:rsid w:val="002800A0"/>
    <w:rsid w:val="002801B3"/>
    <w:rsid w:val="00281060"/>
    <w:rsid w:val="002940E8"/>
    <w:rsid w:val="00294751"/>
    <w:rsid w:val="002A3674"/>
    <w:rsid w:val="002A6E50"/>
    <w:rsid w:val="002B2439"/>
    <w:rsid w:val="002B4298"/>
    <w:rsid w:val="002B4448"/>
    <w:rsid w:val="002B5749"/>
    <w:rsid w:val="002C175F"/>
    <w:rsid w:val="002C256A"/>
    <w:rsid w:val="002C6251"/>
    <w:rsid w:val="002C7579"/>
    <w:rsid w:val="002D752B"/>
    <w:rsid w:val="002E213A"/>
    <w:rsid w:val="002E7953"/>
    <w:rsid w:val="00304827"/>
    <w:rsid w:val="00305A7F"/>
    <w:rsid w:val="00314D99"/>
    <w:rsid w:val="003152FE"/>
    <w:rsid w:val="00327436"/>
    <w:rsid w:val="00332485"/>
    <w:rsid w:val="003351CC"/>
    <w:rsid w:val="003372C3"/>
    <w:rsid w:val="00344BD6"/>
    <w:rsid w:val="0035528D"/>
    <w:rsid w:val="003608E2"/>
    <w:rsid w:val="00361821"/>
    <w:rsid w:val="00361E9E"/>
    <w:rsid w:val="00392C67"/>
    <w:rsid w:val="003972C2"/>
    <w:rsid w:val="003B435F"/>
    <w:rsid w:val="003C7FBE"/>
    <w:rsid w:val="003D227C"/>
    <w:rsid w:val="003D2B4D"/>
    <w:rsid w:val="003D5AE0"/>
    <w:rsid w:val="003F7019"/>
    <w:rsid w:val="003F7722"/>
    <w:rsid w:val="00415D88"/>
    <w:rsid w:val="004174C6"/>
    <w:rsid w:val="00417A9C"/>
    <w:rsid w:val="0042059A"/>
    <w:rsid w:val="00444A88"/>
    <w:rsid w:val="004657BD"/>
    <w:rsid w:val="00474DA4"/>
    <w:rsid w:val="00476B4D"/>
    <w:rsid w:val="004805FA"/>
    <w:rsid w:val="00486612"/>
    <w:rsid w:val="004935D2"/>
    <w:rsid w:val="004B1215"/>
    <w:rsid w:val="004D047D"/>
    <w:rsid w:val="004D330A"/>
    <w:rsid w:val="004F1E9E"/>
    <w:rsid w:val="004F305A"/>
    <w:rsid w:val="00512164"/>
    <w:rsid w:val="00520297"/>
    <w:rsid w:val="00522709"/>
    <w:rsid w:val="0053034F"/>
    <w:rsid w:val="005338F9"/>
    <w:rsid w:val="0054281C"/>
    <w:rsid w:val="00544059"/>
    <w:rsid w:val="00544581"/>
    <w:rsid w:val="00550581"/>
    <w:rsid w:val="0055268D"/>
    <w:rsid w:val="0057185E"/>
    <w:rsid w:val="00576BE4"/>
    <w:rsid w:val="005868F7"/>
    <w:rsid w:val="005A400A"/>
    <w:rsid w:val="005A65B7"/>
    <w:rsid w:val="005B3505"/>
    <w:rsid w:val="005B74CA"/>
    <w:rsid w:val="005C7C50"/>
    <w:rsid w:val="005D2551"/>
    <w:rsid w:val="005D27CE"/>
    <w:rsid w:val="005F2E0A"/>
    <w:rsid w:val="005F5ACA"/>
    <w:rsid w:val="005F7B92"/>
    <w:rsid w:val="006042AC"/>
    <w:rsid w:val="00607CA7"/>
    <w:rsid w:val="00612379"/>
    <w:rsid w:val="006153B6"/>
    <w:rsid w:val="0061555F"/>
    <w:rsid w:val="0063176E"/>
    <w:rsid w:val="00636CA6"/>
    <w:rsid w:val="00641200"/>
    <w:rsid w:val="00645CA8"/>
    <w:rsid w:val="006604F7"/>
    <w:rsid w:val="006642A4"/>
    <w:rsid w:val="006655D3"/>
    <w:rsid w:val="00667404"/>
    <w:rsid w:val="006754B0"/>
    <w:rsid w:val="00680EB7"/>
    <w:rsid w:val="00687EB4"/>
    <w:rsid w:val="00695C56"/>
    <w:rsid w:val="006A5CDE"/>
    <w:rsid w:val="006A644A"/>
    <w:rsid w:val="006B17D2"/>
    <w:rsid w:val="006C224E"/>
    <w:rsid w:val="006D613D"/>
    <w:rsid w:val="006D780A"/>
    <w:rsid w:val="006E0816"/>
    <w:rsid w:val="0071271E"/>
    <w:rsid w:val="00713FC4"/>
    <w:rsid w:val="00727B5E"/>
    <w:rsid w:val="00732DEC"/>
    <w:rsid w:val="00735491"/>
    <w:rsid w:val="00735BD5"/>
    <w:rsid w:val="00751613"/>
    <w:rsid w:val="007556F6"/>
    <w:rsid w:val="00756342"/>
    <w:rsid w:val="00760EEF"/>
    <w:rsid w:val="00761D22"/>
    <w:rsid w:val="007659E5"/>
    <w:rsid w:val="00775FBD"/>
    <w:rsid w:val="00777EE5"/>
    <w:rsid w:val="00784836"/>
    <w:rsid w:val="0079023E"/>
    <w:rsid w:val="007A2854"/>
    <w:rsid w:val="007C1D92"/>
    <w:rsid w:val="007C4C95"/>
    <w:rsid w:val="007C4CB9"/>
    <w:rsid w:val="007D0B9D"/>
    <w:rsid w:val="007D19B0"/>
    <w:rsid w:val="007D45F0"/>
    <w:rsid w:val="007F0481"/>
    <w:rsid w:val="007F498F"/>
    <w:rsid w:val="00805FDD"/>
    <w:rsid w:val="0080679D"/>
    <w:rsid w:val="008108B0"/>
    <w:rsid w:val="00811B20"/>
    <w:rsid w:val="008211B5"/>
    <w:rsid w:val="0082296E"/>
    <w:rsid w:val="00824099"/>
    <w:rsid w:val="008329F2"/>
    <w:rsid w:val="00846D7C"/>
    <w:rsid w:val="008644CA"/>
    <w:rsid w:val="00865426"/>
    <w:rsid w:val="008654B4"/>
    <w:rsid w:val="00867AC1"/>
    <w:rsid w:val="00881FDA"/>
    <w:rsid w:val="008858D9"/>
    <w:rsid w:val="00890DF8"/>
    <w:rsid w:val="008A18FF"/>
    <w:rsid w:val="008A743F"/>
    <w:rsid w:val="008B3300"/>
    <w:rsid w:val="008B7216"/>
    <w:rsid w:val="008C0970"/>
    <w:rsid w:val="008D0BC5"/>
    <w:rsid w:val="008D2CF7"/>
    <w:rsid w:val="008D3189"/>
    <w:rsid w:val="008E687A"/>
    <w:rsid w:val="00900C26"/>
    <w:rsid w:val="0090197F"/>
    <w:rsid w:val="00906DDC"/>
    <w:rsid w:val="009103CD"/>
    <w:rsid w:val="009143C1"/>
    <w:rsid w:val="009162E2"/>
    <w:rsid w:val="00934E09"/>
    <w:rsid w:val="00936253"/>
    <w:rsid w:val="00940D46"/>
    <w:rsid w:val="00940E51"/>
    <w:rsid w:val="0094138E"/>
    <w:rsid w:val="00942196"/>
    <w:rsid w:val="00947D5C"/>
    <w:rsid w:val="00952DD4"/>
    <w:rsid w:val="00965AE7"/>
    <w:rsid w:val="00970FED"/>
    <w:rsid w:val="00973A2C"/>
    <w:rsid w:val="00990B2A"/>
    <w:rsid w:val="00992D82"/>
    <w:rsid w:val="00997029"/>
    <w:rsid w:val="009A087F"/>
    <w:rsid w:val="009A7339"/>
    <w:rsid w:val="009B440E"/>
    <w:rsid w:val="009C1D27"/>
    <w:rsid w:val="009D0C9C"/>
    <w:rsid w:val="009D690D"/>
    <w:rsid w:val="009E65B6"/>
    <w:rsid w:val="00A110B3"/>
    <w:rsid w:val="00A24C10"/>
    <w:rsid w:val="00A24F91"/>
    <w:rsid w:val="00A37982"/>
    <w:rsid w:val="00A42AC3"/>
    <w:rsid w:val="00A430CF"/>
    <w:rsid w:val="00A54309"/>
    <w:rsid w:val="00A71F4A"/>
    <w:rsid w:val="00A8041A"/>
    <w:rsid w:val="00AA7D33"/>
    <w:rsid w:val="00AB2B93"/>
    <w:rsid w:val="00AB530F"/>
    <w:rsid w:val="00AB7E5B"/>
    <w:rsid w:val="00AC2883"/>
    <w:rsid w:val="00AE0EF1"/>
    <w:rsid w:val="00AE2937"/>
    <w:rsid w:val="00AE4C19"/>
    <w:rsid w:val="00B016B2"/>
    <w:rsid w:val="00B0388B"/>
    <w:rsid w:val="00B040FC"/>
    <w:rsid w:val="00B0620C"/>
    <w:rsid w:val="00B07301"/>
    <w:rsid w:val="00B11F3E"/>
    <w:rsid w:val="00B224DE"/>
    <w:rsid w:val="00B324D4"/>
    <w:rsid w:val="00B357D7"/>
    <w:rsid w:val="00B46575"/>
    <w:rsid w:val="00B46F84"/>
    <w:rsid w:val="00B53502"/>
    <w:rsid w:val="00B604D1"/>
    <w:rsid w:val="00B61777"/>
    <w:rsid w:val="00B64742"/>
    <w:rsid w:val="00B67E44"/>
    <w:rsid w:val="00B74A46"/>
    <w:rsid w:val="00B84BBD"/>
    <w:rsid w:val="00B972D6"/>
    <w:rsid w:val="00BA43FB"/>
    <w:rsid w:val="00BC127D"/>
    <w:rsid w:val="00BC1FE6"/>
    <w:rsid w:val="00BC20F5"/>
    <w:rsid w:val="00C061B6"/>
    <w:rsid w:val="00C10006"/>
    <w:rsid w:val="00C2446C"/>
    <w:rsid w:val="00C36AE5"/>
    <w:rsid w:val="00C41F17"/>
    <w:rsid w:val="00C4606D"/>
    <w:rsid w:val="00C527FA"/>
    <w:rsid w:val="00C5280D"/>
    <w:rsid w:val="00C53EB3"/>
    <w:rsid w:val="00C5791C"/>
    <w:rsid w:val="00C6260C"/>
    <w:rsid w:val="00C66290"/>
    <w:rsid w:val="00C72B7A"/>
    <w:rsid w:val="00C853AA"/>
    <w:rsid w:val="00C86D83"/>
    <w:rsid w:val="00C973F2"/>
    <w:rsid w:val="00CA304C"/>
    <w:rsid w:val="00CA774A"/>
    <w:rsid w:val="00CC11B0"/>
    <w:rsid w:val="00CC2841"/>
    <w:rsid w:val="00CD367C"/>
    <w:rsid w:val="00CF1330"/>
    <w:rsid w:val="00CF7E36"/>
    <w:rsid w:val="00D22DB2"/>
    <w:rsid w:val="00D3708D"/>
    <w:rsid w:val="00D40426"/>
    <w:rsid w:val="00D57C96"/>
    <w:rsid w:val="00D57D18"/>
    <w:rsid w:val="00D76723"/>
    <w:rsid w:val="00D91203"/>
    <w:rsid w:val="00D95174"/>
    <w:rsid w:val="00DA1099"/>
    <w:rsid w:val="00DA1DA3"/>
    <w:rsid w:val="00DA4223"/>
    <w:rsid w:val="00DA4973"/>
    <w:rsid w:val="00DA6F36"/>
    <w:rsid w:val="00DB596E"/>
    <w:rsid w:val="00DB613F"/>
    <w:rsid w:val="00DB7773"/>
    <w:rsid w:val="00DC00EA"/>
    <w:rsid w:val="00DC3802"/>
    <w:rsid w:val="00DD183B"/>
    <w:rsid w:val="00DE227B"/>
    <w:rsid w:val="00DF0645"/>
    <w:rsid w:val="00DF16E7"/>
    <w:rsid w:val="00E0177C"/>
    <w:rsid w:val="00E07D87"/>
    <w:rsid w:val="00E25C40"/>
    <w:rsid w:val="00E32F7E"/>
    <w:rsid w:val="00E5267B"/>
    <w:rsid w:val="00E63C0E"/>
    <w:rsid w:val="00E72D49"/>
    <w:rsid w:val="00E744B2"/>
    <w:rsid w:val="00E7593C"/>
    <w:rsid w:val="00E7678A"/>
    <w:rsid w:val="00E935F1"/>
    <w:rsid w:val="00E94A81"/>
    <w:rsid w:val="00EA0789"/>
    <w:rsid w:val="00EA1FFB"/>
    <w:rsid w:val="00EA41E2"/>
    <w:rsid w:val="00EB048E"/>
    <w:rsid w:val="00EB244B"/>
    <w:rsid w:val="00EB4E9C"/>
    <w:rsid w:val="00EB57EB"/>
    <w:rsid w:val="00EB774D"/>
    <w:rsid w:val="00EE34DF"/>
    <w:rsid w:val="00EE7211"/>
    <w:rsid w:val="00EF16C8"/>
    <w:rsid w:val="00EF2F89"/>
    <w:rsid w:val="00F012FA"/>
    <w:rsid w:val="00F030B4"/>
    <w:rsid w:val="00F03D7F"/>
    <w:rsid w:val="00F03E98"/>
    <w:rsid w:val="00F04F87"/>
    <w:rsid w:val="00F1237A"/>
    <w:rsid w:val="00F1744C"/>
    <w:rsid w:val="00F22CBD"/>
    <w:rsid w:val="00F272F1"/>
    <w:rsid w:val="00F3736F"/>
    <w:rsid w:val="00F433EF"/>
    <w:rsid w:val="00F45372"/>
    <w:rsid w:val="00F560F7"/>
    <w:rsid w:val="00F56A94"/>
    <w:rsid w:val="00F6334D"/>
    <w:rsid w:val="00F67C3A"/>
    <w:rsid w:val="00F850C1"/>
    <w:rsid w:val="00FA1375"/>
    <w:rsid w:val="00FA49AB"/>
    <w:rsid w:val="00FC642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F2E0A"/>
    <w:pPr>
      <w:keepNext/>
      <w:jc w:val="both"/>
      <w:outlineLvl w:val="0"/>
    </w:pPr>
    <w:rPr>
      <w:rFonts w:ascii="Arial"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56A94"/>
    <w:pPr>
      <w:tabs>
        <w:tab w:val="right" w:leader="dot" w:pos="9639"/>
      </w:tabs>
      <w:spacing w:after="24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80E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2E0A"/>
    <w:rPr>
      <w:rFonts w:ascii="Arial" w:hAnsi="Arial"/>
      <w:caps/>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F2E0A"/>
    <w:pPr>
      <w:keepNext/>
      <w:jc w:val="both"/>
      <w:outlineLvl w:val="0"/>
    </w:pPr>
    <w:rPr>
      <w:rFonts w:ascii="Arial" w:hAnsi="Arial"/>
      <w:caps/>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F56A94"/>
    <w:pPr>
      <w:tabs>
        <w:tab w:val="right" w:leader="dot" w:pos="9639"/>
      </w:tabs>
      <w:spacing w:after="24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680EB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F2E0A"/>
    <w:rPr>
      <w:rFonts w:ascii="Arial" w:hAnsi="Arial"/>
      <w:cap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3598</Words>
  <Characters>19410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TC/53/23</vt:lpstr>
    </vt:vector>
  </TitlesOfParts>
  <Company>UPOV</Company>
  <LinksUpToDate>false</LinksUpToDate>
  <CharactersWithSpaces>22963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TC/53/23</dc:title>
  <dc:creator>BESSE Ariane</dc:creator>
  <cp:keywords>ID/ko</cp:keywords>
  <cp:lastModifiedBy>GIACHINO Erika</cp:lastModifiedBy>
  <cp:revision>5</cp:revision>
  <cp:lastPrinted>2017-02-23T15:16:00Z</cp:lastPrinted>
  <dcterms:created xsi:type="dcterms:W3CDTF">2017-02-24T16:05:00Z</dcterms:created>
  <dcterms:modified xsi:type="dcterms:W3CDTF">2017-02-27T14:11:00Z</dcterms:modified>
</cp:coreProperties>
</file>