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14023" w:rsidRPr="00D14023" w:rsidTr="007E45F9">
        <w:tc>
          <w:tcPr>
            <w:tcW w:w="6522" w:type="dxa"/>
          </w:tcPr>
          <w:p w:rsidR="00D14023" w:rsidRPr="00D14023" w:rsidRDefault="00D14023" w:rsidP="007E45F9">
            <w:pPr>
              <w:rPr>
                <w:lang w:val="fr-FR"/>
              </w:rPr>
            </w:pPr>
            <w:bookmarkStart w:id="0" w:name="TitleOfDoc"/>
            <w:bookmarkEnd w:id="0"/>
            <w:r w:rsidRPr="00D14023">
              <w:rPr>
                <w:noProof/>
              </w:rPr>
              <w:drawing>
                <wp:inline distT="0" distB="0" distL="0" distR="0" wp14:anchorId="60BCD496" wp14:editId="473478ED">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14023" w:rsidRPr="00D14023" w:rsidRDefault="00D14023" w:rsidP="007E45F9">
            <w:pPr>
              <w:pStyle w:val="Lettrine"/>
              <w:rPr>
                <w:lang w:val="fr-FR"/>
              </w:rPr>
            </w:pPr>
            <w:r w:rsidRPr="00D14023">
              <w:rPr>
                <w:lang w:val="fr-FR"/>
              </w:rPr>
              <w:t>F</w:t>
            </w:r>
          </w:p>
        </w:tc>
      </w:tr>
      <w:tr w:rsidR="00D14023" w:rsidRPr="00C13077" w:rsidTr="007E45F9">
        <w:trPr>
          <w:trHeight w:val="219"/>
        </w:trPr>
        <w:tc>
          <w:tcPr>
            <w:tcW w:w="6522" w:type="dxa"/>
          </w:tcPr>
          <w:p w:rsidR="00D14023" w:rsidRPr="00D14023" w:rsidRDefault="00D14023" w:rsidP="007E45F9">
            <w:pPr>
              <w:pStyle w:val="upove"/>
              <w:rPr>
                <w:lang w:val="fr-FR"/>
              </w:rPr>
            </w:pPr>
            <w:r w:rsidRPr="00D14023">
              <w:rPr>
                <w:lang w:val="fr-FR"/>
              </w:rPr>
              <w:t>Union internationale pour la protection des obtentions végétales</w:t>
            </w:r>
          </w:p>
        </w:tc>
        <w:tc>
          <w:tcPr>
            <w:tcW w:w="3117" w:type="dxa"/>
          </w:tcPr>
          <w:p w:rsidR="00D14023" w:rsidRPr="00D14023" w:rsidRDefault="00D14023" w:rsidP="007E45F9">
            <w:pPr>
              <w:rPr>
                <w:lang w:val="fr-FR"/>
              </w:rPr>
            </w:pPr>
          </w:p>
        </w:tc>
      </w:tr>
    </w:tbl>
    <w:p w:rsidR="00D14023" w:rsidRPr="00D14023" w:rsidRDefault="00D14023" w:rsidP="00D14023">
      <w:pPr>
        <w:rPr>
          <w:lang w:val="fr-FR"/>
        </w:rPr>
      </w:pPr>
    </w:p>
    <w:p w:rsidR="00D14023" w:rsidRPr="00D14023" w:rsidRDefault="00D14023" w:rsidP="00D14023">
      <w:pPr>
        <w:rPr>
          <w:lang w:val="fr-FR"/>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D14023" w:rsidRPr="00C13077" w:rsidTr="007E45F9">
        <w:tc>
          <w:tcPr>
            <w:tcW w:w="6512" w:type="dxa"/>
          </w:tcPr>
          <w:p w:rsidR="00D14023" w:rsidRPr="00D14023" w:rsidRDefault="00D14023" w:rsidP="007E45F9">
            <w:pPr>
              <w:pStyle w:val="Sessiontc"/>
              <w:spacing w:line="240" w:lineRule="auto"/>
              <w:rPr>
                <w:lang w:val="fr-FR"/>
              </w:rPr>
            </w:pPr>
            <w:r w:rsidRPr="00D14023">
              <w:rPr>
                <w:lang w:val="fr-FR"/>
              </w:rPr>
              <w:t>Comité technique</w:t>
            </w:r>
          </w:p>
          <w:p w:rsidR="00D14023" w:rsidRPr="00D14023" w:rsidRDefault="00D14023" w:rsidP="007E45F9">
            <w:pPr>
              <w:pStyle w:val="Sessiontcplacedate"/>
              <w:rPr>
                <w:sz w:val="22"/>
                <w:lang w:val="fr-FR"/>
              </w:rPr>
            </w:pPr>
            <w:r w:rsidRPr="00D14023">
              <w:rPr>
                <w:lang w:val="fr-FR"/>
              </w:rPr>
              <w:t>Cinquante</w:t>
            </w:r>
            <w:r w:rsidR="00792874">
              <w:rPr>
                <w:lang w:val="fr-FR"/>
              </w:rPr>
              <w:noBreakHyphen/>
            </w:r>
            <w:r w:rsidRPr="00D14023">
              <w:rPr>
                <w:lang w:val="fr-FR"/>
              </w:rPr>
              <w:t>trois</w:t>
            </w:r>
            <w:r w:rsidR="00FB7E07">
              <w:rPr>
                <w:lang w:val="fr-FR"/>
              </w:rPr>
              <w:t>ième session</w:t>
            </w:r>
            <w:r w:rsidRPr="00D14023">
              <w:rPr>
                <w:lang w:val="fr-FR"/>
              </w:rPr>
              <w:br/>
              <w:t>Genève, 3</w:t>
            </w:r>
            <w:r w:rsidR="00792874">
              <w:rPr>
                <w:lang w:val="fr-FR"/>
              </w:rPr>
              <w:noBreakHyphen/>
            </w:r>
            <w:r w:rsidR="00FB7E07" w:rsidRPr="00D14023">
              <w:rPr>
                <w:lang w:val="fr-FR"/>
              </w:rPr>
              <w:t>5</w:t>
            </w:r>
            <w:r w:rsidR="00FB7E07">
              <w:rPr>
                <w:lang w:val="fr-FR"/>
              </w:rPr>
              <w:t> </w:t>
            </w:r>
            <w:r w:rsidR="00FB7E07" w:rsidRPr="00D14023">
              <w:rPr>
                <w:lang w:val="fr-FR"/>
              </w:rPr>
              <w:t>avril</w:t>
            </w:r>
            <w:r w:rsidR="00FB7E07">
              <w:rPr>
                <w:lang w:val="fr-FR"/>
              </w:rPr>
              <w:t> </w:t>
            </w:r>
            <w:r w:rsidR="00FB7E07" w:rsidRPr="00D14023">
              <w:rPr>
                <w:lang w:val="fr-FR"/>
              </w:rPr>
              <w:t>20</w:t>
            </w:r>
            <w:r w:rsidRPr="00D14023">
              <w:rPr>
                <w:lang w:val="fr-FR"/>
              </w:rPr>
              <w:t>17</w:t>
            </w:r>
          </w:p>
        </w:tc>
        <w:tc>
          <w:tcPr>
            <w:tcW w:w="3127" w:type="dxa"/>
          </w:tcPr>
          <w:p w:rsidR="00D14023" w:rsidRPr="00D14023" w:rsidRDefault="00D14023" w:rsidP="007E45F9">
            <w:pPr>
              <w:pStyle w:val="Doccode"/>
              <w:rPr>
                <w:lang w:val="fr-FR"/>
              </w:rPr>
            </w:pPr>
            <w:r w:rsidRPr="00D14023">
              <w:rPr>
                <w:lang w:val="fr-FR"/>
              </w:rPr>
              <w:t>TC/53/22</w:t>
            </w:r>
          </w:p>
          <w:p w:rsidR="00D14023" w:rsidRPr="00D14023" w:rsidRDefault="00D14023" w:rsidP="007E45F9">
            <w:pPr>
              <w:pStyle w:val="Docoriginal"/>
              <w:rPr>
                <w:lang w:val="fr-FR"/>
              </w:rPr>
            </w:pPr>
            <w:r w:rsidRPr="00D14023">
              <w:rPr>
                <w:lang w:val="fr-FR"/>
              </w:rPr>
              <w:t>Original</w:t>
            </w:r>
            <w:r w:rsidR="00FB7E07">
              <w:rPr>
                <w:lang w:val="fr-FR"/>
              </w:rPr>
              <w:t> :</w:t>
            </w:r>
            <w:r w:rsidRPr="00D14023">
              <w:rPr>
                <w:b w:val="0"/>
                <w:spacing w:val="0"/>
                <w:lang w:val="fr-FR"/>
              </w:rPr>
              <w:t xml:space="preserve"> anglais</w:t>
            </w:r>
          </w:p>
          <w:p w:rsidR="00D14023" w:rsidRPr="00D14023" w:rsidRDefault="00D14023" w:rsidP="00C13077">
            <w:pPr>
              <w:pStyle w:val="Docoriginal"/>
              <w:rPr>
                <w:lang w:val="fr-FR"/>
              </w:rPr>
            </w:pPr>
            <w:r w:rsidRPr="00D14023">
              <w:rPr>
                <w:lang w:val="fr-FR"/>
              </w:rPr>
              <w:t>Date</w:t>
            </w:r>
            <w:r w:rsidR="00FB7E07">
              <w:rPr>
                <w:lang w:val="fr-FR"/>
              </w:rPr>
              <w:t> :</w:t>
            </w:r>
            <w:r w:rsidRPr="00D14023">
              <w:rPr>
                <w:b w:val="0"/>
                <w:spacing w:val="0"/>
                <w:lang w:val="fr-FR"/>
              </w:rPr>
              <w:t xml:space="preserve"> </w:t>
            </w:r>
            <w:r w:rsidR="00C13077" w:rsidRPr="00C13077">
              <w:rPr>
                <w:b w:val="0"/>
                <w:spacing w:val="0"/>
                <w:lang w:val="fr-FR"/>
              </w:rPr>
              <w:t>22</w:t>
            </w:r>
            <w:r w:rsidRPr="00C13077">
              <w:rPr>
                <w:b w:val="0"/>
                <w:spacing w:val="0"/>
                <w:lang w:val="fr-FR"/>
              </w:rPr>
              <w:t> février 201</w:t>
            </w:r>
            <w:r w:rsidRPr="00D14023">
              <w:rPr>
                <w:b w:val="0"/>
                <w:spacing w:val="0"/>
                <w:lang w:val="fr-FR"/>
              </w:rPr>
              <w:t>7</w:t>
            </w:r>
          </w:p>
        </w:tc>
      </w:tr>
    </w:tbl>
    <w:p w:rsidR="00970A91" w:rsidRPr="00D14023" w:rsidRDefault="00FF71FC" w:rsidP="00360330">
      <w:pPr>
        <w:pStyle w:val="Titleofdoc0"/>
        <w:tabs>
          <w:tab w:val="left" w:pos="5760"/>
        </w:tabs>
        <w:spacing w:line="276" w:lineRule="auto"/>
        <w:rPr>
          <w:lang w:val="fr-FR"/>
        </w:rPr>
      </w:pPr>
      <w:r w:rsidRPr="00D14023">
        <w:rPr>
          <w:lang w:val="fr-FR"/>
        </w:rPr>
        <w:t>Questions concernant les descriptions variétales</w:t>
      </w:r>
    </w:p>
    <w:p w:rsidR="00970A91" w:rsidRPr="00D14023" w:rsidRDefault="00FF71FC" w:rsidP="00360330">
      <w:pPr>
        <w:pStyle w:val="preparedby1"/>
        <w:spacing w:line="276" w:lineRule="auto"/>
        <w:jc w:val="left"/>
        <w:rPr>
          <w:lang w:val="fr-FR"/>
        </w:rPr>
      </w:pPr>
      <w:bookmarkStart w:id="1" w:name="Prepared"/>
      <w:bookmarkEnd w:id="1"/>
      <w:r w:rsidRPr="00D14023">
        <w:rPr>
          <w:lang w:val="fr-FR"/>
        </w:rPr>
        <w:t>Document établi par le Bureau de l</w:t>
      </w:r>
      <w:r w:rsidR="00FB7E07">
        <w:rPr>
          <w:lang w:val="fr-FR"/>
        </w:rPr>
        <w:t>’</w:t>
      </w:r>
      <w:r w:rsidRPr="00D14023">
        <w:rPr>
          <w:lang w:val="fr-FR"/>
        </w:rPr>
        <w:t>Union</w:t>
      </w:r>
    </w:p>
    <w:p w:rsidR="00970A91" w:rsidRPr="00D14023" w:rsidRDefault="00FF71FC" w:rsidP="00360330">
      <w:pPr>
        <w:pStyle w:val="Disclaimer"/>
        <w:spacing w:line="276" w:lineRule="auto"/>
        <w:rPr>
          <w:lang w:val="fr-FR"/>
        </w:rPr>
      </w:pPr>
      <w:r w:rsidRPr="00D14023">
        <w:rPr>
          <w:lang w:val="fr-FR"/>
        </w:rPr>
        <w:t>Avertissement</w:t>
      </w:r>
      <w:r w:rsidR="00FB7E07">
        <w:rPr>
          <w:lang w:val="fr-FR"/>
        </w:rPr>
        <w:t> :</w:t>
      </w:r>
      <w:r w:rsidRPr="00D14023">
        <w:rPr>
          <w:lang w:val="fr-FR"/>
        </w:rPr>
        <w:t xml:space="preserve"> le présent document ne représente pas les principes ou les orientations de l</w:t>
      </w:r>
      <w:r w:rsidR="00FB7E07">
        <w:rPr>
          <w:lang w:val="fr-FR"/>
        </w:rPr>
        <w:t>’</w:t>
      </w:r>
      <w:r w:rsidRPr="00D14023">
        <w:rPr>
          <w:lang w:val="fr-FR"/>
        </w:rPr>
        <w:t>UPOV</w:t>
      </w:r>
    </w:p>
    <w:p w:rsidR="00970A91" w:rsidRPr="00DD4E33" w:rsidRDefault="00DD4E33" w:rsidP="00C13077">
      <w:pPr>
        <w:pStyle w:val="Heading1"/>
        <w:rPr>
          <w:lang w:val="fr-FR"/>
        </w:rPr>
      </w:pPr>
      <w:bookmarkStart w:id="2" w:name="_Toc418531189"/>
      <w:bookmarkStart w:id="3" w:name="_Toc475627021"/>
      <w:r w:rsidRPr="00DD4E33">
        <w:rPr>
          <w:lang w:val="fr-FR"/>
        </w:rPr>
        <w:t>Résumé</w:t>
      </w:r>
      <w:bookmarkEnd w:id="3"/>
    </w:p>
    <w:p w:rsidR="00970A91" w:rsidRPr="00D14023" w:rsidRDefault="00970A91" w:rsidP="00360330">
      <w:pPr>
        <w:spacing w:line="276" w:lineRule="auto"/>
        <w:rPr>
          <w:lang w:val="fr-FR"/>
        </w:rPr>
      </w:pPr>
    </w:p>
    <w:p w:rsidR="00970A91" w:rsidRPr="00D14023" w:rsidRDefault="009B511F" w:rsidP="00360330">
      <w:pPr>
        <w:spacing w:line="276" w:lineRule="auto"/>
        <w:rPr>
          <w:snapToGrid w:val="0"/>
          <w:lang w:val="fr-FR"/>
        </w:rPr>
      </w:pPr>
      <w:r w:rsidRPr="00D14023">
        <w:rPr>
          <w:snapToGrid w:val="0"/>
          <w:lang w:val="fr-FR"/>
        </w:rPr>
        <w:fldChar w:fldCharType="begin"/>
      </w:r>
      <w:r w:rsidRPr="00D14023">
        <w:rPr>
          <w:snapToGrid w:val="0"/>
          <w:lang w:val="fr-FR"/>
        </w:rPr>
        <w:instrText xml:space="preserve"> AUTONUM  </w:instrText>
      </w:r>
      <w:r w:rsidRPr="00D14023">
        <w:rPr>
          <w:snapToGrid w:val="0"/>
          <w:lang w:val="fr-FR"/>
        </w:rPr>
        <w:fldChar w:fldCharType="end"/>
      </w:r>
      <w:r w:rsidRPr="00D14023">
        <w:rPr>
          <w:snapToGrid w:val="0"/>
          <w:lang w:val="fr-FR"/>
        </w:rPr>
        <w:tab/>
      </w:r>
      <w:r w:rsidR="00FF71FC" w:rsidRPr="00D14023">
        <w:rPr>
          <w:snapToGrid w:val="0"/>
          <w:lang w:val="fr-FR"/>
        </w:rPr>
        <w:t>Le présent document a pour objet d</w:t>
      </w:r>
      <w:r w:rsidR="00FB7E07">
        <w:rPr>
          <w:snapToGrid w:val="0"/>
          <w:lang w:val="fr-FR"/>
        </w:rPr>
        <w:t>’</w:t>
      </w:r>
      <w:r w:rsidR="00FF71FC" w:rsidRPr="00D14023">
        <w:rPr>
          <w:snapToGrid w:val="0"/>
          <w:lang w:val="fr-FR"/>
        </w:rPr>
        <w:t>examiner les questions concernant le contrôle de la conformité du maintien de la variété et celles concernant les descriptions variétales, qui ont été soumises au Comité technique par le Comité administratif et juridique, ainsi que le rôle du matériel végétal utilisé comme base de l</w:t>
      </w:r>
      <w:r w:rsidR="00FB7E07">
        <w:rPr>
          <w:snapToGrid w:val="0"/>
          <w:lang w:val="fr-FR"/>
        </w:rPr>
        <w:t>’</w:t>
      </w:r>
      <w:r w:rsidR="00FF71FC" w:rsidRPr="00D14023">
        <w:rPr>
          <w:snapToGrid w:val="0"/>
          <w:lang w:val="fr-FR"/>
        </w:rPr>
        <w:t>examen DHS en relation avec ces questions.</w:t>
      </w:r>
    </w:p>
    <w:p w:rsidR="00970A91" w:rsidRPr="00D14023" w:rsidRDefault="00970A91" w:rsidP="00360330">
      <w:pPr>
        <w:spacing w:line="276" w:lineRule="auto"/>
        <w:rPr>
          <w:snapToGrid w:val="0"/>
          <w:lang w:val="fr-FR"/>
        </w:rPr>
      </w:pPr>
    </w:p>
    <w:p w:rsidR="00970A91" w:rsidRPr="00D14023" w:rsidRDefault="00196143" w:rsidP="00360330">
      <w:pPr>
        <w:pStyle w:val="DecisionParagraphs"/>
        <w:tabs>
          <w:tab w:val="left" w:pos="567"/>
          <w:tab w:val="left" w:pos="5954"/>
          <w:tab w:val="left" w:pos="6521"/>
        </w:tabs>
        <w:spacing w:line="276" w:lineRule="auto"/>
        <w:ind w:left="0"/>
        <w:rPr>
          <w:rFonts w:eastAsia="SimSun"/>
          <w:i w:val="0"/>
          <w:lang w:val="fr-FR"/>
        </w:rPr>
      </w:pPr>
      <w:r w:rsidRPr="00D14023">
        <w:rPr>
          <w:i w:val="0"/>
          <w:lang w:val="fr-FR"/>
        </w:rPr>
        <w:fldChar w:fldCharType="begin"/>
      </w:r>
      <w:r w:rsidRPr="00D14023">
        <w:rPr>
          <w:i w:val="0"/>
          <w:lang w:val="fr-FR"/>
        </w:rPr>
        <w:instrText xml:space="preserve"> AUTONUM  </w:instrText>
      </w:r>
      <w:r w:rsidRPr="00D14023">
        <w:rPr>
          <w:i w:val="0"/>
          <w:lang w:val="fr-FR"/>
        </w:rPr>
        <w:fldChar w:fldCharType="end"/>
      </w:r>
      <w:r w:rsidR="00D033F9" w:rsidRPr="00D14023">
        <w:rPr>
          <w:i w:val="0"/>
          <w:lang w:val="fr-FR"/>
        </w:rPr>
        <w:tab/>
      </w:r>
      <w:r w:rsidR="00F85E5B" w:rsidRPr="00D14023">
        <w:rPr>
          <w:i w:val="0"/>
          <w:lang w:val="fr-FR"/>
        </w:rPr>
        <w:t>Le</w:t>
      </w:r>
      <w:r w:rsidR="00FB7E07" w:rsidRPr="00FB7E07">
        <w:rPr>
          <w:i w:val="0"/>
          <w:lang w:val="fr-FR"/>
        </w:rPr>
        <w:t> TC</w:t>
      </w:r>
      <w:r w:rsidR="00F85E5B" w:rsidRPr="00D14023">
        <w:rPr>
          <w:i w:val="0"/>
          <w:lang w:val="fr-FR"/>
        </w:rPr>
        <w:t xml:space="preserve"> est invité à examiner si de nouvelles orientations concernant le rôle de la </w:t>
      </w:r>
      <w:r w:rsidR="00D033F9" w:rsidRPr="00D14023">
        <w:rPr>
          <w:i w:val="0"/>
          <w:lang w:val="fr-FR"/>
        </w:rPr>
        <w:t>description</w:t>
      </w:r>
      <w:r w:rsidR="00F85E5B" w:rsidRPr="00D14023">
        <w:rPr>
          <w:i w:val="0"/>
          <w:lang w:val="fr-FR"/>
        </w:rPr>
        <w:t xml:space="preserve"> variétale et du matériel végétal devrai</w:t>
      </w:r>
      <w:r w:rsidR="00DD4E33">
        <w:rPr>
          <w:i w:val="0"/>
          <w:lang w:val="fr-FR"/>
        </w:rPr>
        <w:t>ent</w:t>
      </w:r>
      <w:r w:rsidR="00F85E5B" w:rsidRPr="00D14023">
        <w:rPr>
          <w:i w:val="0"/>
          <w:lang w:val="fr-FR"/>
        </w:rPr>
        <w:t xml:space="preserve"> être </w:t>
      </w:r>
      <w:r w:rsidR="0035662C" w:rsidRPr="00D14023">
        <w:rPr>
          <w:i w:val="0"/>
          <w:lang w:val="fr-FR"/>
        </w:rPr>
        <w:t>élaborées</w:t>
      </w:r>
      <w:r w:rsidR="00F85E5B" w:rsidRPr="00D14023">
        <w:rPr>
          <w:i w:val="0"/>
          <w:lang w:val="fr-FR"/>
        </w:rPr>
        <w:t xml:space="preserve"> </w:t>
      </w:r>
      <w:r w:rsidR="00DC6B9F">
        <w:rPr>
          <w:i w:val="0"/>
          <w:lang w:val="fr-FR"/>
        </w:rPr>
        <w:t xml:space="preserve">en tenant </w:t>
      </w:r>
      <w:r w:rsidR="005770BB" w:rsidRPr="00D14023">
        <w:rPr>
          <w:i w:val="0"/>
          <w:lang w:val="fr-FR"/>
        </w:rPr>
        <w:t>compte</w:t>
      </w:r>
      <w:r w:rsidR="00F85E5B" w:rsidRPr="00D14023">
        <w:rPr>
          <w:i w:val="0"/>
          <w:lang w:val="fr-FR"/>
        </w:rPr>
        <w:t xml:space="preserve"> des éléments présentés au </w:t>
      </w:r>
      <w:r w:rsidR="00FB7E07" w:rsidRPr="00D14023">
        <w:rPr>
          <w:i w:val="0"/>
          <w:lang w:val="fr-FR"/>
        </w:rPr>
        <w:t>paragraphe</w:t>
      </w:r>
      <w:r w:rsidR="00FB7E07">
        <w:rPr>
          <w:i w:val="0"/>
          <w:lang w:val="fr-FR"/>
        </w:rPr>
        <w:t> </w:t>
      </w:r>
      <w:r w:rsidR="00FB7E07" w:rsidRPr="00D14023">
        <w:rPr>
          <w:i w:val="0"/>
          <w:lang w:val="fr-FR"/>
        </w:rPr>
        <w:t>2</w:t>
      </w:r>
      <w:r w:rsidR="00F85E5B" w:rsidRPr="00D14023">
        <w:rPr>
          <w:i w:val="0"/>
          <w:lang w:val="fr-FR"/>
        </w:rPr>
        <w:t>0 du présent document.</w:t>
      </w:r>
    </w:p>
    <w:p w:rsidR="00970A91" w:rsidRPr="00D14023" w:rsidRDefault="00970A91" w:rsidP="00360330">
      <w:pPr>
        <w:tabs>
          <w:tab w:val="left" w:pos="567"/>
        </w:tabs>
        <w:spacing w:line="276" w:lineRule="auto"/>
        <w:rPr>
          <w:rFonts w:cs="Arial"/>
          <w:lang w:val="fr-FR"/>
        </w:rPr>
      </w:pPr>
    </w:p>
    <w:p w:rsidR="00970A91" w:rsidRPr="00D14023" w:rsidRDefault="009B511F" w:rsidP="00360330">
      <w:pPr>
        <w:spacing w:line="276" w:lineRule="auto"/>
        <w:rPr>
          <w:rFonts w:cs="Arial"/>
          <w:lang w:val="fr-FR"/>
        </w:rPr>
      </w:pPr>
      <w:r w:rsidRPr="00D14023">
        <w:rPr>
          <w:rFonts w:cs="Arial"/>
          <w:lang w:val="fr-FR"/>
        </w:rPr>
        <w:fldChar w:fldCharType="begin"/>
      </w:r>
      <w:r w:rsidRPr="00D14023">
        <w:rPr>
          <w:rFonts w:cs="Arial"/>
          <w:lang w:val="fr-FR"/>
        </w:rPr>
        <w:instrText xml:space="preserve"> AUTONUM  </w:instrText>
      </w:r>
      <w:r w:rsidRPr="00D14023">
        <w:rPr>
          <w:rFonts w:cs="Arial"/>
          <w:lang w:val="fr-FR"/>
        </w:rPr>
        <w:fldChar w:fldCharType="end"/>
      </w:r>
      <w:r w:rsidRPr="00D14023">
        <w:rPr>
          <w:rFonts w:cs="Arial"/>
          <w:lang w:val="fr-FR"/>
        </w:rPr>
        <w:tab/>
      </w:r>
      <w:r w:rsidR="00F85E5B" w:rsidRPr="00D14023">
        <w:rPr>
          <w:rFonts w:cs="Arial"/>
          <w:lang w:val="fr-FR"/>
        </w:rPr>
        <w:t>Les abréviations suivantes sont utilisées dans le présent document</w:t>
      </w:r>
      <w:r w:rsidR="00FB7E07">
        <w:rPr>
          <w:rFonts w:cs="Arial"/>
          <w:lang w:val="fr-FR"/>
        </w:rPr>
        <w:t> :</w:t>
      </w:r>
    </w:p>
    <w:p w:rsidR="00970A91" w:rsidRPr="00D14023" w:rsidRDefault="00970A91" w:rsidP="00360330">
      <w:pPr>
        <w:spacing w:line="276" w:lineRule="auto"/>
        <w:ind w:left="1701" w:hanging="1134"/>
        <w:rPr>
          <w:rFonts w:cs="Arial"/>
          <w:lang w:val="fr-FR"/>
        </w:rPr>
      </w:pPr>
    </w:p>
    <w:p w:rsidR="00FB7E07" w:rsidRDefault="00F85E5B" w:rsidP="00360330">
      <w:pPr>
        <w:spacing w:line="276" w:lineRule="auto"/>
        <w:ind w:left="1701" w:hanging="1134"/>
        <w:rPr>
          <w:rFonts w:cs="Arial"/>
          <w:lang w:val="fr-FR"/>
        </w:rPr>
      </w:pPr>
      <w:r w:rsidRPr="00D14023">
        <w:rPr>
          <w:rFonts w:cs="Arial"/>
          <w:lang w:val="fr-FR"/>
        </w:rPr>
        <w:t>CAJ</w:t>
      </w:r>
      <w:r w:rsidR="00FB7E07">
        <w:rPr>
          <w:rFonts w:cs="Arial"/>
          <w:lang w:val="fr-FR"/>
        </w:rPr>
        <w:t> :</w:t>
      </w:r>
      <w:r w:rsidRPr="00D14023">
        <w:rPr>
          <w:rFonts w:cs="Arial"/>
          <w:lang w:val="fr-FR"/>
        </w:rPr>
        <w:t xml:space="preserve"> </w:t>
      </w:r>
      <w:r w:rsidRPr="00D14023">
        <w:rPr>
          <w:rFonts w:cs="Arial"/>
          <w:lang w:val="fr-FR"/>
        </w:rPr>
        <w:tab/>
        <w:t>Comité administratif et juridique</w:t>
      </w:r>
    </w:p>
    <w:p w:rsidR="00970A91" w:rsidRPr="00D14023" w:rsidRDefault="00F85E5B" w:rsidP="00360330">
      <w:pPr>
        <w:spacing w:line="276" w:lineRule="auto"/>
        <w:ind w:left="1701" w:hanging="1134"/>
        <w:rPr>
          <w:rFonts w:cs="Arial"/>
          <w:lang w:val="fr-FR"/>
        </w:rPr>
      </w:pPr>
      <w:r w:rsidRPr="00D14023">
        <w:rPr>
          <w:rFonts w:cs="Arial"/>
          <w:lang w:val="fr-FR"/>
        </w:rPr>
        <w:t>TC</w:t>
      </w:r>
      <w:r w:rsidR="00FB7E07">
        <w:rPr>
          <w:rFonts w:cs="Arial"/>
          <w:lang w:val="fr-FR"/>
        </w:rPr>
        <w:t> :</w:t>
      </w:r>
      <w:r w:rsidRPr="00D14023">
        <w:rPr>
          <w:rFonts w:cs="Arial"/>
          <w:lang w:val="fr-FR"/>
        </w:rPr>
        <w:t xml:space="preserve"> </w:t>
      </w:r>
      <w:r w:rsidRPr="00D14023">
        <w:rPr>
          <w:rFonts w:cs="Arial"/>
          <w:lang w:val="fr-FR"/>
        </w:rPr>
        <w:tab/>
        <w:t>Comité technique</w:t>
      </w:r>
    </w:p>
    <w:p w:rsidR="00970A91" w:rsidRPr="00D14023" w:rsidRDefault="00F85E5B" w:rsidP="00360330">
      <w:pPr>
        <w:spacing w:line="276" w:lineRule="auto"/>
        <w:ind w:left="1701" w:hanging="1134"/>
        <w:rPr>
          <w:rFonts w:cs="Arial"/>
          <w:lang w:val="fr-FR"/>
        </w:rPr>
      </w:pPr>
      <w:r w:rsidRPr="00D14023">
        <w:rPr>
          <w:rFonts w:cs="Arial"/>
          <w:lang w:val="fr-FR"/>
        </w:rPr>
        <w:t>TC</w:t>
      </w:r>
      <w:r w:rsidR="00792874">
        <w:rPr>
          <w:rFonts w:cs="Arial"/>
          <w:lang w:val="fr-FR"/>
        </w:rPr>
        <w:noBreakHyphen/>
      </w:r>
      <w:r w:rsidRPr="00D14023">
        <w:rPr>
          <w:rFonts w:cs="Arial"/>
          <w:lang w:val="fr-FR"/>
        </w:rPr>
        <w:t>EDC</w:t>
      </w:r>
      <w:r w:rsidR="00FB7E07">
        <w:rPr>
          <w:rFonts w:cs="Arial"/>
          <w:lang w:val="fr-FR"/>
        </w:rPr>
        <w:t> :</w:t>
      </w:r>
      <w:r w:rsidRPr="00D14023">
        <w:rPr>
          <w:rFonts w:cs="Arial"/>
          <w:lang w:val="fr-FR"/>
        </w:rPr>
        <w:t xml:space="preserve"> </w:t>
      </w:r>
      <w:r w:rsidRPr="00D14023">
        <w:rPr>
          <w:rFonts w:cs="Arial"/>
          <w:lang w:val="fr-FR"/>
        </w:rPr>
        <w:tab/>
        <w:t>Comité de rédaction élargi</w:t>
      </w:r>
    </w:p>
    <w:p w:rsidR="00970A91" w:rsidRPr="00D14023" w:rsidRDefault="00F85E5B" w:rsidP="00360330">
      <w:pPr>
        <w:spacing w:line="276" w:lineRule="auto"/>
        <w:ind w:left="1701" w:hanging="1134"/>
        <w:rPr>
          <w:rFonts w:cs="Arial"/>
          <w:lang w:val="fr-FR"/>
        </w:rPr>
      </w:pPr>
      <w:r w:rsidRPr="00D14023">
        <w:rPr>
          <w:rFonts w:cs="Arial"/>
          <w:lang w:val="fr-FR"/>
        </w:rPr>
        <w:t>TWA</w:t>
      </w:r>
      <w:r w:rsidR="00FB7E07">
        <w:rPr>
          <w:rFonts w:cs="Arial"/>
          <w:lang w:val="fr-FR"/>
        </w:rPr>
        <w:t> :</w:t>
      </w:r>
      <w:r w:rsidRPr="00D14023">
        <w:rPr>
          <w:rFonts w:cs="Arial"/>
          <w:lang w:val="fr-FR"/>
        </w:rPr>
        <w:t xml:space="preserve"> </w:t>
      </w:r>
      <w:r w:rsidRPr="00D14023">
        <w:rPr>
          <w:rFonts w:cs="Arial"/>
          <w:lang w:val="fr-FR"/>
        </w:rPr>
        <w:tab/>
        <w:t>Groupe de travail technique sur les plantes agricoles</w:t>
      </w:r>
    </w:p>
    <w:p w:rsidR="00970A91" w:rsidRPr="00D14023" w:rsidRDefault="00F85E5B" w:rsidP="00360330">
      <w:pPr>
        <w:spacing w:line="276" w:lineRule="auto"/>
        <w:ind w:left="1701" w:hanging="1134"/>
        <w:rPr>
          <w:rFonts w:cs="Arial"/>
          <w:lang w:val="fr-FR"/>
        </w:rPr>
      </w:pPr>
      <w:r w:rsidRPr="00D14023">
        <w:rPr>
          <w:rFonts w:cs="Arial"/>
          <w:lang w:val="fr-FR"/>
        </w:rPr>
        <w:t>TWC</w:t>
      </w:r>
      <w:r w:rsidR="00FB7E07">
        <w:rPr>
          <w:rFonts w:cs="Arial"/>
          <w:lang w:val="fr-FR"/>
        </w:rPr>
        <w:t> :</w:t>
      </w:r>
      <w:r w:rsidRPr="00D14023">
        <w:rPr>
          <w:rFonts w:cs="Arial"/>
          <w:lang w:val="fr-FR"/>
        </w:rPr>
        <w:t xml:space="preserve"> </w:t>
      </w:r>
      <w:r w:rsidRPr="00D14023">
        <w:rPr>
          <w:rFonts w:cs="Arial"/>
          <w:lang w:val="fr-FR"/>
        </w:rPr>
        <w:tab/>
      </w:r>
      <w:r w:rsidRPr="00C13077">
        <w:rPr>
          <w:rFonts w:cs="Arial"/>
          <w:spacing w:val="-4"/>
          <w:lang w:val="fr-FR"/>
        </w:rPr>
        <w:t>Groupe de travail technique sur les systèmes d</w:t>
      </w:r>
      <w:r w:rsidR="00FB7E07" w:rsidRPr="00C13077">
        <w:rPr>
          <w:rFonts w:cs="Arial"/>
          <w:spacing w:val="-4"/>
          <w:lang w:val="fr-FR"/>
        </w:rPr>
        <w:t>’</w:t>
      </w:r>
      <w:r w:rsidRPr="00C13077">
        <w:rPr>
          <w:rFonts w:cs="Arial"/>
          <w:spacing w:val="-4"/>
          <w:lang w:val="fr-FR"/>
        </w:rPr>
        <w:t>automatisation et les programmes d</w:t>
      </w:r>
      <w:r w:rsidR="00FB7E07" w:rsidRPr="00C13077">
        <w:rPr>
          <w:rFonts w:cs="Arial"/>
          <w:spacing w:val="-4"/>
          <w:lang w:val="fr-FR"/>
        </w:rPr>
        <w:t>’</w:t>
      </w:r>
      <w:r w:rsidRPr="00C13077">
        <w:rPr>
          <w:rFonts w:cs="Arial"/>
          <w:spacing w:val="-4"/>
          <w:lang w:val="fr-FR"/>
        </w:rPr>
        <w:t>ordinateur</w:t>
      </w:r>
    </w:p>
    <w:p w:rsidR="00FB7E07" w:rsidRDefault="00F85E5B" w:rsidP="00360330">
      <w:pPr>
        <w:spacing w:line="276" w:lineRule="auto"/>
        <w:ind w:left="1701" w:hanging="1134"/>
        <w:rPr>
          <w:rFonts w:cs="Arial"/>
          <w:lang w:val="fr-FR"/>
        </w:rPr>
      </w:pPr>
      <w:r w:rsidRPr="00D14023">
        <w:rPr>
          <w:rFonts w:cs="Arial"/>
          <w:lang w:val="fr-FR"/>
        </w:rPr>
        <w:t>TWF</w:t>
      </w:r>
      <w:r w:rsidR="00FB7E07">
        <w:rPr>
          <w:rFonts w:cs="Arial"/>
          <w:lang w:val="fr-FR"/>
        </w:rPr>
        <w:t> :</w:t>
      </w:r>
      <w:r w:rsidRPr="00D14023">
        <w:rPr>
          <w:rFonts w:cs="Arial"/>
          <w:lang w:val="fr-FR"/>
        </w:rPr>
        <w:t xml:space="preserve"> </w:t>
      </w:r>
      <w:r w:rsidRPr="00D14023">
        <w:rPr>
          <w:rFonts w:cs="Arial"/>
          <w:lang w:val="fr-FR"/>
        </w:rPr>
        <w:tab/>
        <w:t>Groupe de travail technique sur les plantes fruitières</w:t>
      </w:r>
    </w:p>
    <w:p w:rsidR="00FB7E07" w:rsidRDefault="00F85E5B" w:rsidP="00360330">
      <w:pPr>
        <w:spacing w:line="276" w:lineRule="auto"/>
        <w:ind w:left="1701" w:hanging="1134"/>
        <w:rPr>
          <w:rFonts w:cs="Arial"/>
          <w:lang w:val="fr-FR"/>
        </w:rPr>
      </w:pPr>
      <w:r w:rsidRPr="00D14023">
        <w:rPr>
          <w:rFonts w:cs="Arial"/>
          <w:lang w:val="fr-FR"/>
        </w:rPr>
        <w:t>TWO</w:t>
      </w:r>
      <w:r w:rsidR="00FB7E07">
        <w:rPr>
          <w:rFonts w:cs="Arial"/>
          <w:lang w:val="fr-FR"/>
        </w:rPr>
        <w:t> :</w:t>
      </w:r>
      <w:r w:rsidRPr="00D14023">
        <w:rPr>
          <w:rFonts w:cs="Arial"/>
          <w:lang w:val="fr-FR"/>
        </w:rPr>
        <w:t xml:space="preserve"> </w:t>
      </w:r>
      <w:r w:rsidRPr="00D14023">
        <w:rPr>
          <w:rFonts w:cs="Arial"/>
          <w:lang w:val="fr-FR"/>
        </w:rPr>
        <w:tab/>
        <w:t>Groupe de travail technique sur les plantes ornementales et les arbres forestiers</w:t>
      </w:r>
    </w:p>
    <w:p w:rsidR="00970A91" w:rsidRPr="00D14023" w:rsidRDefault="00F85E5B" w:rsidP="00360330">
      <w:pPr>
        <w:spacing w:line="276" w:lineRule="auto"/>
        <w:ind w:left="1701" w:hanging="1134"/>
        <w:rPr>
          <w:rFonts w:cs="Arial"/>
          <w:lang w:val="fr-FR"/>
        </w:rPr>
      </w:pPr>
      <w:r w:rsidRPr="00D14023">
        <w:rPr>
          <w:rFonts w:cs="Arial"/>
          <w:lang w:val="fr-FR"/>
        </w:rPr>
        <w:t>TWV</w:t>
      </w:r>
      <w:r w:rsidR="00FB7E07">
        <w:rPr>
          <w:rFonts w:cs="Arial"/>
          <w:lang w:val="fr-FR"/>
        </w:rPr>
        <w:t> :</w:t>
      </w:r>
      <w:r w:rsidRPr="00D14023">
        <w:rPr>
          <w:rFonts w:cs="Arial"/>
          <w:lang w:val="fr-FR"/>
        </w:rPr>
        <w:t xml:space="preserve"> </w:t>
      </w:r>
      <w:r w:rsidRPr="00D14023">
        <w:rPr>
          <w:rFonts w:cs="Arial"/>
          <w:lang w:val="fr-FR"/>
        </w:rPr>
        <w:tab/>
        <w:t>Groupe de travail technique sur les plantes potagères</w:t>
      </w:r>
    </w:p>
    <w:p w:rsidR="00970A91" w:rsidRPr="00D14023" w:rsidRDefault="00F85E5B" w:rsidP="00360330">
      <w:pPr>
        <w:spacing w:line="276" w:lineRule="auto"/>
        <w:ind w:firstLine="567"/>
        <w:rPr>
          <w:rFonts w:cs="Arial"/>
          <w:lang w:val="fr-FR"/>
        </w:rPr>
      </w:pPr>
      <w:r w:rsidRPr="00D14023">
        <w:rPr>
          <w:rFonts w:cs="Arial"/>
          <w:lang w:val="fr-FR"/>
        </w:rPr>
        <w:t>TWP</w:t>
      </w:r>
      <w:r w:rsidR="00FB7E07">
        <w:rPr>
          <w:rFonts w:cs="Arial"/>
          <w:lang w:val="fr-FR"/>
        </w:rPr>
        <w:t> :</w:t>
      </w:r>
      <w:r w:rsidRPr="00D14023">
        <w:rPr>
          <w:rFonts w:cs="Arial"/>
          <w:lang w:val="fr-FR"/>
        </w:rPr>
        <w:t xml:space="preserve"> </w:t>
      </w:r>
      <w:r w:rsidRPr="00D14023">
        <w:rPr>
          <w:rFonts w:cs="Arial"/>
          <w:lang w:val="fr-FR"/>
        </w:rPr>
        <w:tab/>
        <w:t>Groupe de travail technique</w:t>
      </w:r>
    </w:p>
    <w:p w:rsidR="00970A91" w:rsidRPr="00D14023" w:rsidRDefault="00970A91" w:rsidP="00360330">
      <w:pPr>
        <w:pStyle w:val="DecisionParagraphs"/>
        <w:tabs>
          <w:tab w:val="clear" w:pos="5387"/>
          <w:tab w:val="left" w:pos="567"/>
          <w:tab w:val="left" w:pos="1134"/>
          <w:tab w:val="left" w:pos="12333"/>
        </w:tabs>
        <w:spacing w:line="276" w:lineRule="auto"/>
        <w:ind w:left="0"/>
        <w:rPr>
          <w:rFonts w:eastAsia="SimSun"/>
          <w:i w:val="0"/>
          <w:lang w:val="fr-FR"/>
        </w:rPr>
      </w:pPr>
    </w:p>
    <w:p w:rsidR="00970A91" w:rsidRPr="00D14023" w:rsidRDefault="009B511F" w:rsidP="00360330">
      <w:pPr>
        <w:spacing w:line="276" w:lineRule="auto"/>
        <w:rPr>
          <w:snapToGrid w:val="0"/>
          <w:lang w:val="fr-FR"/>
        </w:rPr>
      </w:pPr>
      <w:r w:rsidRPr="00D14023">
        <w:rPr>
          <w:lang w:val="fr-FR"/>
        </w:rPr>
        <w:fldChar w:fldCharType="begin"/>
      </w:r>
      <w:r w:rsidRPr="00D14023">
        <w:rPr>
          <w:lang w:val="fr-FR"/>
        </w:rPr>
        <w:instrText xml:space="preserve"> AUTONUM  </w:instrText>
      </w:r>
      <w:r w:rsidRPr="00D14023">
        <w:rPr>
          <w:lang w:val="fr-FR"/>
        </w:rPr>
        <w:fldChar w:fldCharType="end"/>
      </w:r>
      <w:r w:rsidRPr="00D14023">
        <w:rPr>
          <w:lang w:val="fr-FR"/>
        </w:rPr>
        <w:tab/>
      </w:r>
      <w:r w:rsidR="00F85E5B" w:rsidRPr="00D14023">
        <w:rPr>
          <w:lang w:val="fr-FR"/>
        </w:rPr>
        <w:t>Le présent document est structuré comme suit</w:t>
      </w:r>
      <w:r w:rsidR="00FB7E07">
        <w:rPr>
          <w:lang w:val="fr-FR"/>
        </w:rPr>
        <w:t> :</w:t>
      </w:r>
    </w:p>
    <w:p w:rsidR="004438B1" w:rsidRDefault="009B511F">
      <w:pPr>
        <w:pStyle w:val="TOC1"/>
        <w:rPr>
          <w:rFonts w:asciiTheme="minorHAnsi" w:eastAsiaTheme="minorEastAsia" w:hAnsiTheme="minorHAnsi" w:cstheme="minorBidi"/>
          <w:caps w:val="0"/>
          <w:noProof/>
          <w:sz w:val="22"/>
          <w:szCs w:val="22"/>
        </w:rPr>
      </w:pPr>
      <w:r w:rsidRPr="00D14023">
        <w:rPr>
          <w:noProof/>
          <w:highlight w:val="yellow"/>
          <w:lang w:val="fr-FR"/>
        </w:rPr>
        <w:fldChar w:fldCharType="begin"/>
      </w:r>
      <w:r w:rsidRPr="00D14023">
        <w:rPr>
          <w:highlight w:val="yellow"/>
          <w:lang w:val="fr-FR"/>
        </w:rPr>
        <w:instrText xml:space="preserve"> TOC \o "1-3" \h \z \u </w:instrText>
      </w:r>
      <w:r w:rsidRPr="00D14023">
        <w:rPr>
          <w:noProof/>
          <w:highlight w:val="yellow"/>
          <w:lang w:val="fr-FR"/>
        </w:rPr>
        <w:fldChar w:fldCharType="separate"/>
      </w:r>
      <w:hyperlink w:anchor="_Toc475627021" w:history="1">
        <w:r w:rsidR="004438B1" w:rsidRPr="005B2A83">
          <w:rPr>
            <w:rStyle w:val="Hyperlink"/>
            <w:noProof/>
            <w:lang w:val="fr-FR"/>
          </w:rPr>
          <w:t>Résumé</w:t>
        </w:r>
        <w:r w:rsidR="004438B1">
          <w:rPr>
            <w:noProof/>
            <w:webHidden/>
          </w:rPr>
          <w:tab/>
        </w:r>
        <w:r w:rsidR="004438B1">
          <w:rPr>
            <w:noProof/>
            <w:webHidden/>
          </w:rPr>
          <w:fldChar w:fldCharType="begin"/>
        </w:r>
        <w:r w:rsidR="004438B1">
          <w:rPr>
            <w:noProof/>
            <w:webHidden/>
          </w:rPr>
          <w:instrText xml:space="preserve"> PAGEREF _Toc475627021 \h </w:instrText>
        </w:r>
        <w:r w:rsidR="004438B1">
          <w:rPr>
            <w:noProof/>
            <w:webHidden/>
          </w:rPr>
        </w:r>
        <w:r w:rsidR="004438B1">
          <w:rPr>
            <w:noProof/>
            <w:webHidden/>
          </w:rPr>
          <w:fldChar w:fldCharType="separate"/>
        </w:r>
        <w:r w:rsidR="004438B1">
          <w:rPr>
            <w:noProof/>
            <w:webHidden/>
          </w:rPr>
          <w:t>1</w:t>
        </w:r>
        <w:r w:rsidR="004438B1">
          <w:rPr>
            <w:noProof/>
            <w:webHidden/>
          </w:rPr>
          <w:fldChar w:fldCharType="end"/>
        </w:r>
      </w:hyperlink>
    </w:p>
    <w:p w:rsidR="004438B1" w:rsidRDefault="004438B1">
      <w:pPr>
        <w:pStyle w:val="TOC1"/>
        <w:rPr>
          <w:rFonts w:asciiTheme="minorHAnsi" w:eastAsiaTheme="minorEastAsia" w:hAnsiTheme="minorHAnsi" w:cstheme="minorBidi"/>
          <w:caps w:val="0"/>
          <w:noProof/>
          <w:sz w:val="22"/>
          <w:szCs w:val="22"/>
        </w:rPr>
      </w:pPr>
      <w:hyperlink w:anchor="_Toc475627022" w:history="1">
        <w:r w:rsidRPr="005B2A83">
          <w:rPr>
            <w:rStyle w:val="Hyperlink"/>
            <w:noProof/>
            <w:lang w:val="fr-FR"/>
          </w:rPr>
          <w:t>Contexte</w:t>
        </w:r>
        <w:r>
          <w:rPr>
            <w:noProof/>
            <w:webHidden/>
          </w:rPr>
          <w:tab/>
        </w:r>
        <w:r>
          <w:rPr>
            <w:noProof/>
            <w:webHidden/>
          </w:rPr>
          <w:fldChar w:fldCharType="begin"/>
        </w:r>
        <w:r>
          <w:rPr>
            <w:noProof/>
            <w:webHidden/>
          </w:rPr>
          <w:instrText xml:space="preserve"> PAGEREF _Toc475627022 \h </w:instrText>
        </w:r>
        <w:r>
          <w:rPr>
            <w:noProof/>
            <w:webHidden/>
          </w:rPr>
        </w:r>
        <w:r>
          <w:rPr>
            <w:noProof/>
            <w:webHidden/>
          </w:rPr>
          <w:fldChar w:fldCharType="separate"/>
        </w:r>
        <w:r>
          <w:rPr>
            <w:noProof/>
            <w:webHidden/>
          </w:rPr>
          <w:t>2</w:t>
        </w:r>
        <w:r>
          <w:rPr>
            <w:noProof/>
            <w:webHidden/>
          </w:rPr>
          <w:fldChar w:fldCharType="end"/>
        </w:r>
      </w:hyperlink>
    </w:p>
    <w:p w:rsidR="004438B1" w:rsidRDefault="004438B1">
      <w:pPr>
        <w:pStyle w:val="TOC1"/>
        <w:rPr>
          <w:rFonts w:asciiTheme="minorHAnsi" w:eastAsiaTheme="minorEastAsia" w:hAnsiTheme="minorHAnsi" w:cstheme="minorBidi"/>
          <w:caps w:val="0"/>
          <w:noProof/>
          <w:sz w:val="22"/>
          <w:szCs w:val="22"/>
        </w:rPr>
      </w:pPr>
      <w:hyperlink w:anchor="_Toc475627023" w:history="1">
        <w:r w:rsidRPr="005B2A83">
          <w:rPr>
            <w:rStyle w:val="Hyperlink"/>
            <w:noProof/>
            <w:lang w:val="fr-FR"/>
          </w:rPr>
          <w:t>Observations formulées par les groupes de travail techniques</w:t>
        </w:r>
        <w:r>
          <w:rPr>
            <w:noProof/>
            <w:webHidden/>
          </w:rPr>
          <w:tab/>
        </w:r>
        <w:r>
          <w:rPr>
            <w:noProof/>
            <w:webHidden/>
          </w:rPr>
          <w:fldChar w:fldCharType="begin"/>
        </w:r>
        <w:r>
          <w:rPr>
            <w:noProof/>
            <w:webHidden/>
          </w:rPr>
          <w:instrText xml:space="preserve"> PAGEREF _Toc475627023 \h </w:instrText>
        </w:r>
        <w:r>
          <w:rPr>
            <w:noProof/>
            <w:webHidden/>
          </w:rPr>
        </w:r>
        <w:r>
          <w:rPr>
            <w:noProof/>
            <w:webHidden/>
          </w:rPr>
          <w:fldChar w:fldCharType="separate"/>
        </w:r>
        <w:r>
          <w:rPr>
            <w:noProof/>
            <w:webHidden/>
          </w:rPr>
          <w:t>3</w:t>
        </w:r>
        <w:r>
          <w:rPr>
            <w:noProof/>
            <w:webHidden/>
          </w:rPr>
          <w:fldChar w:fldCharType="end"/>
        </w:r>
      </w:hyperlink>
    </w:p>
    <w:p w:rsidR="004438B1" w:rsidRDefault="004438B1">
      <w:pPr>
        <w:pStyle w:val="TOC2"/>
        <w:rPr>
          <w:rFonts w:asciiTheme="minorHAnsi" w:eastAsiaTheme="minorEastAsia" w:hAnsiTheme="minorHAnsi" w:cstheme="minorBidi"/>
          <w:smallCaps w:val="0"/>
          <w:noProof/>
          <w:sz w:val="22"/>
          <w:szCs w:val="22"/>
        </w:rPr>
      </w:pPr>
      <w:hyperlink w:anchor="_Toc475627024" w:history="1">
        <w:r w:rsidRPr="005B2A83">
          <w:rPr>
            <w:rStyle w:val="Hyperlink"/>
            <w:noProof/>
            <w:lang w:val="fr-FR"/>
          </w:rPr>
          <w:t>Groupe de travail technique sur les plantes ornementales et les arbres forestiers</w:t>
        </w:r>
        <w:r>
          <w:rPr>
            <w:noProof/>
            <w:webHidden/>
          </w:rPr>
          <w:tab/>
        </w:r>
        <w:r>
          <w:rPr>
            <w:noProof/>
            <w:webHidden/>
          </w:rPr>
          <w:fldChar w:fldCharType="begin"/>
        </w:r>
        <w:r>
          <w:rPr>
            <w:noProof/>
            <w:webHidden/>
          </w:rPr>
          <w:instrText xml:space="preserve"> PAGEREF _Toc475627024 \h </w:instrText>
        </w:r>
        <w:r>
          <w:rPr>
            <w:noProof/>
            <w:webHidden/>
          </w:rPr>
        </w:r>
        <w:r>
          <w:rPr>
            <w:noProof/>
            <w:webHidden/>
          </w:rPr>
          <w:fldChar w:fldCharType="separate"/>
        </w:r>
        <w:r>
          <w:rPr>
            <w:noProof/>
            <w:webHidden/>
          </w:rPr>
          <w:t>3</w:t>
        </w:r>
        <w:r>
          <w:rPr>
            <w:noProof/>
            <w:webHidden/>
          </w:rPr>
          <w:fldChar w:fldCharType="end"/>
        </w:r>
      </w:hyperlink>
    </w:p>
    <w:p w:rsidR="004438B1" w:rsidRDefault="004438B1">
      <w:pPr>
        <w:pStyle w:val="TOC2"/>
        <w:rPr>
          <w:rFonts w:asciiTheme="minorHAnsi" w:eastAsiaTheme="minorEastAsia" w:hAnsiTheme="minorHAnsi" w:cstheme="minorBidi"/>
          <w:smallCaps w:val="0"/>
          <w:noProof/>
          <w:sz w:val="22"/>
          <w:szCs w:val="22"/>
        </w:rPr>
      </w:pPr>
      <w:hyperlink w:anchor="_Toc475627025" w:history="1">
        <w:r w:rsidRPr="005B2A83">
          <w:rPr>
            <w:rStyle w:val="Hyperlink"/>
            <w:noProof/>
            <w:lang w:val="fr-FR"/>
          </w:rPr>
          <w:t>Groupe de travail technique sur les plantes potagères</w:t>
        </w:r>
        <w:r>
          <w:rPr>
            <w:noProof/>
            <w:webHidden/>
          </w:rPr>
          <w:tab/>
        </w:r>
        <w:r>
          <w:rPr>
            <w:noProof/>
            <w:webHidden/>
          </w:rPr>
          <w:fldChar w:fldCharType="begin"/>
        </w:r>
        <w:r>
          <w:rPr>
            <w:noProof/>
            <w:webHidden/>
          </w:rPr>
          <w:instrText xml:space="preserve"> PAGEREF _Toc475627025 \h </w:instrText>
        </w:r>
        <w:r>
          <w:rPr>
            <w:noProof/>
            <w:webHidden/>
          </w:rPr>
        </w:r>
        <w:r>
          <w:rPr>
            <w:noProof/>
            <w:webHidden/>
          </w:rPr>
          <w:fldChar w:fldCharType="separate"/>
        </w:r>
        <w:r>
          <w:rPr>
            <w:noProof/>
            <w:webHidden/>
          </w:rPr>
          <w:t>3</w:t>
        </w:r>
        <w:r>
          <w:rPr>
            <w:noProof/>
            <w:webHidden/>
          </w:rPr>
          <w:fldChar w:fldCharType="end"/>
        </w:r>
      </w:hyperlink>
    </w:p>
    <w:p w:rsidR="004438B1" w:rsidRDefault="004438B1">
      <w:pPr>
        <w:pStyle w:val="TOC2"/>
        <w:rPr>
          <w:rFonts w:asciiTheme="minorHAnsi" w:eastAsiaTheme="minorEastAsia" w:hAnsiTheme="minorHAnsi" w:cstheme="minorBidi"/>
          <w:smallCaps w:val="0"/>
          <w:noProof/>
          <w:sz w:val="22"/>
          <w:szCs w:val="22"/>
        </w:rPr>
      </w:pPr>
      <w:hyperlink w:anchor="_Toc475627026" w:history="1">
        <w:r w:rsidRPr="005B2A83">
          <w:rPr>
            <w:rStyle w:val="Hyperlink"/>
            <w:noProof/>
            <w:lang w:val="fr-FR"/>
          </w:rPr>
          <w:t>Groupe de travail technique sur les plantes agricoles</w:t>
        </w:r>
        <w:r>
          <w:rPr>
            <w:noProof/>
            <w:webHidden/>
          </w:rPr>
          <w:tab/>
        </w:r>
        <w:r>
          <w:rPr>
            <w:noProof/>
            <w:webHidden/>
          </w:rPr>
          <w:fldChar w:fldCharType="begin"/>
        </w:r>
        <w:r>
          <w:rPr>
            <w:noProof/>
            <w:webHidden/>
          </w:rPr>
          <w:instrText xml:space="preserve"> PAGEREF _Toc475627026 \h </w:instrText>
        </w:r>
        <w:r>
          <w:rPr>
            <w:noProof/>
            <w:webHidden/>
          </w:rPr>
        </w:r>
        <w:r>
          <w:rPr>
            <w:noProof/>
            <w:webHidden/>
          </w:rPr>
          <w:fldChar w:fldCharType="separate"/>
        </w:r>
        <w:r>
          <w:rPr>
            <w:noProof/>
            <w:webHidden/>
          </w:rPr>
          <w:t>4</w:t>
        </w:r>
        <w:r>
          <w:rPr>
            <w:noProof/>
            <w:webHidden/>
          </w:rPr>
          <w:fldChar w:fldCharType="end"/>
        </w:r>
      </w:hyperlink>
    </w:p>
    <w:p w:rsidR="004438B1" w:rsidRDefault="004438B1">
      <w:pPr>
        <w:pStyle w:val="TOC2"/>
        <w:rPr>
          <w:rFonts w:asciiTheme="minorHAnsi" w:eastAsiaTheme="minorEastAsia" w:hAnsiTheme="minorHAnsi" w:cstheme="minorBidi"/>
          <w:smallCaps w:val="0"/>
          <w:noProof/>
          <w:sz w:val="22"/>
          <w:szCs w:val="22"/>
        </w:rPr>
      </w:pPr>
      <w:hyperlink w:anchor="_Toc475627027" w:history="1">
        <w:r w:rsidRPr="005B2A83">
          <w:rPr>
            <w:rStyle w:val="Hyperlink"/>
            <w:noProof/>
            <w:lang w:val="fr-FR"/>
          </w:rPr>
          <w:t>Groupe de travail technique sur les plantes fruitières</w:t>
        </w:r>
        <w:r>
          <w:rPr>
            <w:noProof/>
            <w:webHidden/>
          </w:rPr>
          <w:tab/>
        </w:r>
        <w:r>
          <w:rPr>
            <w:noProof/>
            <w:webHidden/>
          </w:rPr>
          <w:fldChar w:fldCharType="begin"/>
        </w:r>
        <w:r>
          <w:rPr>
            <w:noProof/>
            <w:webHidden/>
          </w:rPr>
          <w:instrText xml:space="preserve"> PAGEREF _Toc475627027 \h </w:instrText>
        </w:r>
        <w:r>
          <w:rPr>
            <w:noProof/>
            <w:webHidden/>
          </w:rPr>
        </w:r>
        <w:r>
          <w:rPr>
            <w:noProof/>
            <w:webHidden/>
          </w:rPr>
          <w:fldChar w:fldCharType="separate"/>
        </w:r>
        <w:r>
          <w:rPr>
            <w:noProof/>
            <w:webHidden/>
          </w:rPr>
          <w:t>4</w:t>
        </w:r>
        <w:r>
          <w:rPr>
            <w:noProof/>
            <w:webHidden/>
          </w:rPr>
          <w:fldChar w:fldCharType="end"/>
        </w:r>
      </w:hyperlink>
    </w:p>
    <w:p w:rsidR="004438B1" w:rsidRDefault="004438B1">
      <w:pPr>
        <w:pStyle w:val="TOC1"/>
        <w:rPr>
          <w:rFonts w:asciiTheme="minorHAnsi" w:eastAsiaTheme="minorEastAsia" w:hAnsiTheme="minorHAnsi" w:cstheme="minorBidi"/>
          <w:caps w:val="0"/>
          <w:noProof/>
          <w:sz w:val="22"/>
          <w:szCs w:val="22"/>
        </w:rPr>
      </w:pPr>
      <w:hyperlink w:anchor="_Toc475627028" w:history="1">
        <w:r w:rsidRPr="005B2A83">
          <w:rPr>
            <w:rStyle w:val="Hyperlink"/>
            <w:noProof/>
            <w:lang w:val="fr-FR" w:eastAsia="ja-JP"/>
          </w:rPr>
          <w:t>Proposition</w:t>
        </w:r>
        <w:r>
          <w:rPr>
            <w:noProof/>
            <w:webHidden/>
          </w:rPr>
          <w:tab/>
        </w:r>
        <w:r>
          <w:rPr>
            <w:noProof/>
            <w:webHidden/>
          </w:rPr>
          <w:fldChar w:fldCharType="begin"/>
        </w:r>
        <w:r>
          <w:rPr>
            <w:noProof/>
            <w:webHidden/>
          </w:rPr>
          <w:instrText xml:space="preserve"> PAGEREF _Toc475627028 \h </w:instrText>
        </w:r>
        <w:r>
          <w:rPr>
            <w:noProof/>
            <w:webHidden/>
          </w:rPr>
        </w:r>
        <w:r>
          <w:rPr>
            <w:noProof/>
            <w:webHidden/>
          </w:rPr>
          <w:fldChar w:fldCharType="separate"/>
        </w:r>
        <w:r>
          <w:rPr>
            <w:noProof/>
            <w:webHidden/>
          </w:rPr>
          <w:t>4</w:t>
        </w:r>
        <w:r>
          <w:rPr>
            <w:noProof/>
            <w:webHidden/>
          </w:rPr>
          <w:fldChar w:fldCharType="end"/>
        </w:r>
      </w:hyperlink>
    </w:p>
    <w:p w:rsidR="00970A91" w:rsidRPr="00D14023" w:rsidRDefault="009B511F" w:rsidP="00360330">
      <w:pPr>
        <w:spacing w:line="276" w:lineRule="auto"/>
        <w:ind w:left="851" w:hanging="851"/>
        <w:rPr>
          <w:lang w:val="fr-FR"/>
        </w:rPr>
      </w:pPr>
      <w:r w:rsidRPr="00D14023">
        <w:rPr>
          <w:highlight w:val="yellow"/>
          <w:lang w:val="fr-FR"/>
        </w:rPr>
        <w:fldChar w:fldCharType="end"/>
      </w:r>
    </w:p>
    <w:p w:rsidR="00970A91" w:rsidRPr="00D14023" w:rsidRDefault="00F85E5B" w:rsidP="00360330">
      <w:pPr>
        <w:spacing w:line="276" w:lineRule="auto"/>
        <w:ind w:left="1134" w:hanging="1134"/>
        <w:rPr>
          <w:lang w:val="fr-FR"/>
        </w:rPr>
      </w:pPr>
      <w:r w:rsidRPr="00D14023">
        <w:rPr>
          <w:lang w:val="fr-FR"/>
        </w:rPr>
        <w:t>ANNEXE</w:t>
      </w:r>
      <w:r w:rsidRPr="00D14023">
        <w:rPr>
          <w:lang w:val="fr-FR"/>
        </w:rPr>
        <w:tab/>
      </w:r>
      <w:r w:rsidR="00C13077">
        <w:rPr>
          <w:lang w:val="fr-FR"/>
        </w:rPr>
        <w:t>B</w:t>
      </w:r>
      <w:r w:rsidR="00C13077" w:rsidRPr="00D14023">
        <w:rPr>
          <w:lang w:val="fr-FR"/>
        </w:rPr>
        <w:t>ut de la description variétale élaborée au moment de l</w:t>
      </w:r>
      <w:r w:rsidR="00C13077">
        <w:rPr>
          <w:lang w:val="fr-FR"/>
        </w:rPr>
        <w:t>’</w:t>
      </w:r>
      <w:r w:rsidR="00C13077" w:rsidRPr="00D14023">
        <w:rPr>
          <w:lang w:val="fr-FR"/>
        </w:rPr>
        <w:t>octroi du droit d</w:t>
      </w:r>
      <w:r w:rsidR="00C13077">
        <w:rPr>
          <w:lang w:val="fr-FR"/>
        </w:rPr>
        <w:t>’</w:t>
      </w:r>
      <w:r w:rsidR="00C13077" w:rsidRPr="00D14023">
        <w:rPr>
          <w:lang w:val="fr-FR"/>
        </w:rPr>
        <w:t>obtenteur et statut de la description variétale initiale, au regard de la vérification de la conformité du matériel végétal à une variété protégée aux fins de l</w:t>
      </w:r>
      <w:r w:rsidR="00C13077">
        <w:rPr>
          <w:lang w:val="fr-FR"/>
        </w:rPr>
        <w:t>’</w:t>
      </w:r>
      <w:r w:rsidR="00C13077" w:rsidRPr="00D14023">
        <w:rPr>
          <w:lang w:val="fr-FR"/>
        </w:rPr>
        <w:t>application du droit d</w:t>
      </w:r>
      <w:r w:rsidR="00C13077">
        <w:rPr>
          <w:lang w:val="fr-FR"/>
        </w:rPr>
        <w:t>’</w:t>
      </w:r>
      <w:r w:rsidR="00C13077" w:rsidRPr="00D14023">
        <w:rPr>
          <w:lang w:val="fr-FR"/>
        </w:rPr>
        <w:t>obtenteur</w:t>
      </w:r>
      <w:r w:rsidR="00C13077">
        <w:rPr>
          <w:lang w:val="fr-FR"/>
        </w:rPr>
        <w:t>.</w:t>
      </w:r>
    </w:p>
    <w:p w:rsidR="00DD4E33" w:rsidRPr="00C13077" w:rsidRDefault="00DD4E33" w:rsidP="00DD4E33">
      <w:pPr>
        <w:rPr>
          <w:lang w:val="fr-FR"/>
        </w:rPr>
      </w:pPr>
      <w:bookmarkStart w:id="4" w:name="_Toc418531190"/>
      <w:bookmarkEnd w:id="2"/>
    </w:p>
    <w:p w:rsidR="00970A91" w:rsidRPr="00D14023" w:rsidRDefault="00DD4E33" w:rsidP="00DD4E33">
      <w:pPr>
        <w:pStyle w:val="Heading1"/>
        <w:rPr>
          <w:lang w:val="fr-FR"/>
        </w:rPr>
      </w:pPr>
      <w:bookmarkStart w:id="5" w:name="_Toc475627022"/>
      <w:r w:rsidRPr="00D14023">
        <w:rPr>
          <w:lang w:val="fr-FR"/>
        </w:rPr>
        <w:t>Contexte</w:t>
      </w:r>
      <w:bookmarkEnd w:id="5"/>
    </w:p>
    <w:p w:rsidR="00970A91" w:rsidRPr="00D14023" w:rsidRDefault="00970A91" w:rsidP="00360330">
      <w:pPr>
        <w:spacing w:line="276" w:lineRule="auto"/>
        <w:rPr>
          <w:lang w:val="fr-FR"/>
        </w:rPr>
      </w:pPr>
    </w:p>
    <w:bookmarkStart w:id="6" w:name="_Toc440377316"/>
    <w:bookmarkEnd w:id="4"/>
    <w:p w:rsidR="00970A91" w:rsidRPr="00D14023" w:rsidRDefault="009B511F" w:rsidP="00360330">
      <w:pPr>
        <w:spacing w:line="276" w:lineRule="auto"/>
        <w:rPr>
          <w:lang w:val="fr-FR"/>
        </w:rPr>
      </w:pPr>
      <w:r w:rsidRPr="00D14023">
        <w:rPr>
          <w:rFonts w:cs="Arial"/>
          <w:lang w:val="fr-FR"/>
        </w:rPr>
        <w:fldChar w:fldCharType="begin"/>
      </w:r>
      <w:r w:rsidRPr="00D14023">
        <w:rPr>
          <w:rFonts w:cs="Arial"/>
          <w:lang w:val="fr-FR"/>
        </w:rPr>
        <w:instrText xml:space="preserve"> AUTONUM  </w:instrText>
      </w:r>
      <w:r w:rsidRPr="00D14023">
        <w:rPr>
          <w:rFonts w:cs="Arial"/>
          <w:lang w:val="fr-FR"/>
        </w:rPr>
        <w:fldChar w:fldCharType="end"/>
      </w:r>
      <w:r w:rsidRPr="00D14023">
        <w:rPr>
          <w:rFonts w:cs="Arial"/>
          <w:lang w:val="fr-FR"/>
        </w:rPr>
        <w:tab/>
      </w:r>
      <w:r w:rsidR="00AB3D4E" w:rsidRPr="00D14023">
        <w:rPr>
          <w:rFonts w:cs="Arial"/>
          <w:lang w:val="fr-FR"/>
        </w:rPr>
        <w:t xml:space="preserve">Les informations générales complètes sur cette question sont fournies dans le </w:t>
      </w:r>
      <w:r w:rsidR="00FB7E07" w:rsidRPr="00FB7E07">
        <w:rPr>
          <w:rFonts w:cs="Arial"/>
          <w:lang w:val="fr-FR"/>
        </w:rPr>
        <w:t>document TC</w:t>
      </w:r>
      <w:r w:rsidR="00AB3D4E" w:rsidRPr="00D14023">
        <w:rPr>
          <w:rFonts w:cs="Arial"/>
          <w:lang w:val="fr-FR"/>
        </w:rPr>
        <w:t xml:space="preserve">/52/21 intitulé </w:t>
      </w:r>
      <w:r w:rsidR="00D77E57">
        <w:rPr>
          <w:rFonts w:cs="Arial"/>
          <w:lang w:val="fr-FR"/>
        </w:rPr>
        <w:t>“</w:t>
      </w:r>
      <w:r w:rsidR="00AB3D4E" w:rsidRPr="00D14023">
        <w:rPr>
          <w:rFonts w:cs="Arial"/>
          <w:lang w:val="fr-FR"/>
        </w:rPr>
        <w:t>Questions concernant les descriptions variétales</w:t>
      </w:r>
      <w:r w:rsidR="00D77E57">
        <w:rPr>
          <w:rFonts w:cs="Arial"/>
          <w:lang w:val="fr-FR"/>
        </w:rPr>
        <w:t>”</w:t>
      </w:r>
      <w:r w:rsidR="00AB3D4E" w:rsidRPr="00D14023">
        <w:rPr>
          <w:rFonts w:cs="Arial"/>
          <w:lang w:val="fr-FR"/>
        </w:rPr>
        <w:t>.</w:t>
      </w:r>
    </w:p>
    <w:bookmarkEnd w:id="6"/>
    <w:p w:rsidR="00970A91" w:rsidRPr="00D14023" w:rsidRDefault="00970A91" w:rsidP="00360330">
      <w:pPr>
        <w:spacing w:line="276" w:lineRule="auto"/>
        <w:rPr>
          <w:rFonts w:cs="Arial"/>
          <w:lang w:val="fr-FR"/>
        </w:rPr>
      </w:pPr>
    </w:p>
    <w:p w:rsidR="00970A91" w:rsidRPr="00D14023" w:rsidRDefault="009B511F" w:rsidP="00360330">
      <w:pPr>
        <w:spacing w:line="276" w:lineRule="auto"/>
        <w:rPr>
          <w:lang w:val="fr-FR"/>
        </w:rPr>
      </w:pPr>
      <w:r w:rsidRPr="00D14023">
        <w:rPr>
          <w:lang w:val="fr-FR"/>
        </w:rPr>
        <w:fldChar w:fldCharType="begin"/>
      </w:r>
      <w:r w:rsidRPr="00D14023">
        <w:rPr>
          <w:lang w:val="fr-FR"/>
        </w:rPr>
        <w:instrText xml:space="preserve"> AUTONUM  </w:instrText>
      </w:r>
      <w:r w:rsidRPr="00D14023">
        <w:rPr>
          <w:lang w:val="fr-FR"/>
        </w:rPr>
        <w:fldChar w:fldCharType="end"/>
      </w:r>
      <w:r w:rsidRPr="00D14023">
        <w:rPr>
          <w:lang w:val="fr-FR"/>
        </w:rPr>
        <w:tab/>
      </w:r>
      <w:r w:rsidR="005770BB" w:rsidRPr="00D14023">
        <w:rPr>
          <w:lang w:val="fr-FR"/>
        </w:rPr>
        <w:t>Le Comité technique</w:t>
      </w:r>
      <w:r w:rsidR="00AB3D4E" w:rsidRPr="00D14023">
        <w:rPr>
          <w:lang w:val="fr-FR"/>
        </w:rPr>
        <w:t>, à sa cinquante</w:t>
      </w:r>
      <w:r w:rsidR="00792874">
        <w:rPr>
          <w:lang w:val="fr-FR"/>
        </w:rPr>
        <w:noBreakHyphen/>
      </w:r>
      <w:r w:rsidR="00AB3D4E" w:rsidRPr="00D14023">
        <w:rPr>
          <w:lang w:val="fr-FR"/>
        </w:rPr>
        <w:t>deux</w:t>
      </w:r>
      <w:r w:rsidR="00FB7E07">
        <w:rPr>
          <w:lang w:val="fr-FR"/>
        </w:rPr>
        <w:t>ième session</w:t>
      </w:r>
      <w:r w:rsidR="00AB3D4E" w:rsidRPr="00D14023">
        <w:rPr>
          <w:lang w:val="fr-FR"/>
        </w:rPr>
        <w:t>, tenue à Genève du 14 au 1</w:t>
      </w:r>
      <w:r w:rsidR="00FB7E07" w:rsidRPr="00D14023">
        <w:rPr>
          <w:lang w:val="fr-FR"/>
        </w:rPr>
        <w:t>6</w:t>
      </w:r>
      <w:r w:rsidR="00FB7E07">
        <w:rPr>
          <w:lang w:val="fr-FR"/>
        </w:rPr>
        <w:t> </w:t>
      </w:r>
      <w:r w:rsidR="00FB7E07" w:rsidRPr="00D14023">
        <w:rPr>
          <w:lang w:val="fr-FR"/>
        </w:rPr>
        <w:t>mars</w:t>
      </w:r>
      <w:r w:rsidR="00FB7E07">
        <w:rPr>
          <w:lang w:val="fr-FR"/>
        </w:rPr>
        <w:t> </w:t>
      </w:r>
      <w:r w:rsidR="00FB7E07" w:rsidRPr="00D14023">
        <w:rPr>
          <w:lang w:val="fr-FR"/>
        </w:rPr>
        <w:t>20</w:t>
      </w:r>
      <w:r w:rsidR="00AB3D4E" w:rsidRPr="00D14023">
        <w:rPr>
          <w:lang w:val="fr-FR"/>
        </w:rPr>
        <w:t>16, est convenu d</w:t>
      </w:r>
      <w:r w:rsidR="00FB7E07">
        <w:rPr>
          <w:lang w:val="fr-FR"/>
        </w:rPr>
        <w:t>’</w:t>
      </w:r>
      <w:r w:rsidR="00AB3D4E" w:rsidRPr="00D14023">
        <w:rPr>
          <w:lang w:val="fr-FR"/>
        </w:rPr>
        <w:t>inviter les experts à faire part aux TWP, à leurs sessions de 2016, de leurs données d</w:t>
      </w:r>
      <w:r w:rsidR="00FB7E07">
        <w:rPr>
          <w:lang w:val="fr-FR"/>
        </w:rPr>
        <w:t>’</w:t>
      </w:r>
      <w:r w:rsidR="00AB3D4E" w:rsidRPr="00D14023">
        <w:rPr>
          <w:lang w:val="fr-FR"/>
        </w:rPr>
        <w:t>expérience concernant le rôle du matériel végétal utilisé comme base de l</w:t>
      </w:r>
      <w:r w:rsidR="00FB7E07">
        <w:rPr>
          <w:lang w:val="fr-FR"/>
        </w:rPr>
        <w:t>’</w:t>
      </w:r>
      <w:r w:rsidR="00AB3D4E" w:rsidRPr="00D14023">
        <w:rPr>
          <w:lang w:val="fr-FR"/>
        </w:rPr>
        <w:t xml:space="preserve">examen DHS en relation avec les questions suivantes (voir le </w:t>
      </w:r>
      <w:r w:rsidR="00FB7E07" w:rsidRPr="00D14023">
        <w:rPr>
          <w:lang w:val="fr-FR"/>
        </w:rPr>
        <w:t>paragraphe</w:t>
      </w:r>
      <w:r w:rsidR="00FB7E07">
        <w:rPr>
          <w:lang w:val="fr-FR"/>
        </w:rPr>
        <w:t> </w:t>
      </w:r>
      <w:r w:rsidR="00FB7E07" w:rsidRPr="00D14023">
        <w:rPr>
          <w:lang w:val="fr-FR"/>
        </w:rPr>
        <w:t>1</w:t>
      </w:r>
      <w:r w:rsidR="00AB3D4E" w:rsidRPr="00D14023">
        <w:rPr>
          <w:lang w:val="fr-FR"/>
        </w:rPr>
        <w:t xml:space="preserve">42 du </w:t>
      </w:r>
      <w:r w:rsidR="00FB7E07" w:rsidRPr="00FB7E07">
        <w:rPr>
          <w:lang w:val="fr-FR"/>
        </w:rPr>
        <w:t>document TC</w:t>
      </w:r>
      <w:r w:rsidR="00AB3D4E" w:rsidRPr="00D14023">
        <w:rPr>
          <w:lang w:val="fr-FR"/>
        </w:rPr>
        <w:t>/52/29</w:t>
      </w:r>
      <w:r w:rsidR="00D77E57">
        <w:rPr>
          <w:lang w:val="fr-FR"/>
        </w:rPr>
        <w:t> </w:t>
      </w:r>
      <w:proofErr w:type="spellStart"/>
      <w:r w:rsidR="00AB3D4E" w:rsidRPr="00D14023">
        <w:rPr>
          <w:lang w:val="fr-FR"/>
        </w:rPr>
        <w:t>Rev</w:t>
      </w:r>
      <w:proofErr w:type="spellEnd"/>
      <w:r w:rsidR="00AB3D4E" w:rsidRPr="00D14023">
        <w:rPr>
          <w:lang w:val="fr-FR"/>
        </w:rPr>
        <w:t xml:space="preserve">. intitulé </w:t>
      </w:r>
      <w:r w:rsidR="00D77E57">
        <w:rPr>
          <w:lang w:val="fr-FR"/>
        </w:rPr>
        <w:t>“</w:t>
      </w:r>
      <w:r w:rsidR="00AB3D4E" w:rsidRPr="00D14023">
        <w:rPr>
          <w:lang w:val="fr-FR"/>
        </w:rPr>
        <w:t>Compte rendu révisé</w:t>
      </w:r>
      <w:r w:rsidR="00D77E57">
        <w:rPr>
          <w:lang w:val="fr-FR"/>
        </w:rPr>
        <w:t>”</w:t>
      </w:r>
      <w:r w:rsidR="00AB3D4E" w:rsidRPr="00D14023">
        <w:rPr>
          <w:lang w:val="fr-FR"/>
        </w:rPr>
        <w:t>)</w:t>
      </w:r>
      <w:r w:rsidR="00D77E57">
        <w:rPr>
          <w:lang w:val="fr-FR"/>
        </w:rPr>
        <w:t> :</w:t>
      </w:r>
    </w:p>
    <w:p w:rsidR="00970A91" w:rsidRPr="00D14023" w:rsidRDefault="00970A91" w:rsidP="00360330">
      <w:pPr>
        <w:spacing w:line="276" w:lineRule="auto"/>
        <w:rPr>
          <w:lang w:val="fr-FR"/>
        </w:rPr>
      </w:pPr>
    </w:p>
    <w:p w:rsidR="00FB7E07" w:rsidRDefault="009B511F" w:rsidP="00360330">
      <w:pPr>
        <w:spacing w:line="276" w:lineRule="auto"/>
        <w:rPr>
          <w:rFonts w:cs="Arial"/>
          <w:lang w:val="fr-FR"/>
        </w:rPr>
      </w:pPr>
      <w:r w:rsidRPr="00D14023">
        <w:rPr>
          <w:rFonts w:cs="Arial"/>
          <w:lang w:val="fr-FR"/>
        </w:rPr>
        <w:tab/>
      </w:r>
      <w:r w:rsidR="00AB3D4E" w:rsidRPr="00D14023">
        <w:rPr>
          <w:rFonts w:cs="Arial"/>
          <w:lang w:val="fr-FR"/>
        </w:rPr>
        <w:t>a)</w:t>
      </w:r>
      <w:r w:rsidR="00AB3D4E" w:rsidRPr="00D14023">
        <w:rPr>
          <w:rFonts w:cs="Arial"/>
          <w:lang w:val="fr-FR"/>
        </w:rPr>
        <w:tab/>
        <w:t>l</w:t>
      </w:r>
      <w:r w:rsidR="00FB7E07">
        <w:rPr>
          <w:rFonts w:cs="Arial"/>
          <w:lang w:val="fr-FR"/>
        </w:rPr>
        <w:t>’</w:t>
      </w:r>
      <w:r w:rsidR="00AB3D4E" w:rsidRPr="00D14023">
        <w:rPr>
          <w:rFonts w:cs="Arial"/>
          <w:lang w:val="fr-FR"/>
        </w:rPr>
        <w:t>utilisation des informations, des documents ou du matériel fournis par l</w:t>
      </w:r>
      <w:r w:rsidR="00FB7E07">
        <w:rPr>
          <w:rFonts w:cs="Arial"/>
          <w:lang w:val="fr-FR"/>
        </w:rPr>
        <w:t>’</w:t>
      </w:r>
      <w:r w:rsidR="00AB3D4E" w:rsidRPr="00D14023">
        <w:rPr>
          <w:rFonts w:cs="Arial"/>
          <w:lang w:val="fr-FR"/>
        </w:rPr>
        <w:t>obtenteur aux fins du contrôle du maintien de la variété, comme énoncé au paragraphe 15 du document CAJ</w:t>
      </w:r>
      <w:r w:rsidR="00792874">
        <w:rPr>
          <w:rFonts w:cs="Arial"/>
          <w:lang w:val="fr-FR"/>
        </w:rPr>
        <w:noBreakHyphen/>
      </w:r>
      <w:r w:rsidR="00AB3D4E" w:rsidRPr="00D14023">
        <w:rPr>
          <w:rFonts w:cs="Arial"/>
          <w:lang w:val="fr-FR"/>
        </w:rPr>
        <w:t>AG/13/8/4 “</w:t>
      </w:r>
      <w:proofErr w:type="spellStart"/>
      <w:r w:rsidR="00AB3D4E" w:rsidRPr="00D14023">
        <w:rPr>
          <w:rFonts w:cs="Arial"/>
          <w:i/>
          <w:lang w:val="fr-FR"/>
        </w:rPr>
        <w:t>Matters</w:t>
      </w:r>
      <w:proofErr w:type="spellEnd"/>
      <w:r w:rsidR="00AB3D4E" w:rsidRPr="00D14023">
        <w:rPr>
          <w:rFonts w:cs="Arial"/>
          <w:i/>
          <w:lang w:val="fr-FR"/>
        </w:rPr>
        <w:t xml:space="preserve"> </w:t>
      </w:r>
      <w:proofErr w:type="spellStart"/>
      <w:r w:rsidR="00AB3D4E" w:rsidRPr="00D14023">
        <w:rPr>
          <w:rFonts w:cs="Arial"/>
          <w:i/>
          <w:lang w:val="fr-FR"/>
        </w:rPr>
        <w:t>concerning</w:t>
      </w:r>
      <w:proofErr w:type="spellEnd"/>
      <w:r w:rsidR="00AB3D4E" w:rsidRPr="00D14023">
        <w:rPr>
          <w:rFonts w:cs="Arial"/>
          <w:i/>
          <w:lang w:val="fr-FR"/>
        </w:rPr>
        <w:t xml:space="preserve"> </w:t>
      </w:r>
      <w:proofErr w:type="spellStart"/>
      <w:r w:rsidR="00AB3D4E" w:rsidRPr="00D14023">
        <w:rPr>
          <w:rFonts w:cs="Arial"/>
          <w:i/>
          <w:lang w:val="fr-FR"/>
        </w:rPr>
        <w:t>cancellation</w:t>
      </w:r>
      <w:proofErr w:type="spellEnd"/>
      <w:r w:rsidR="00AB3D4E" w:rsidRPr="00D14023">
        <w:rPr>
          <w:rFonts w:cs="Arial"/>
          <w:i/>
          <w:lang w:val="fr-FR"/>
        </w:rPr>
        <w:t xml:space="preserve"> of the </w:t>
      </w:r>
      <w:proofErr w:type="spellStart"/>
      <w:r w:rsidR="00AB3D4E" w:rsidRPr="00D14023">
        <w:rPr>
          <w:rFonts w:cs="Arial"/>
          <w:i/>
          <w:lang w:val="fr-FR"/>
        </w:rPr>
        <w:t>breeder</w:t>
      </w:r>
      <w:r w:rsidR="00FB7E07">
        <w:rPr>
          <w:rFonts w:cs="Arial"/>
          <w:i/>
          <w:lang w:val="fr-FR"/>
        </w:rPr>
        <w:t>’</w:t>
      </w:r>
      <w:r w:rsidR="00AB3D4E" w:rsidRPr="00D14023">
        <w:rPr>
          <w:rFonts w:cs="Arial"/>
          <w:i/>
          <w:lang w:val="fr-FR"/>
        </w:rPr>
        <w:t>s</w:t>
      </w:r>
      <w:proofErr w:type="spellEnd"/>
      <w:r w:rsidR="00AB3D4E" w:rsidRPr="00D14023">
        <w:rPr>
          <w:rFonts w:cs="Arial"/>
          <w:i/>
          <w:lang w:val="fr-FR"/>
        </w:rPr>
        <w:t xml:space="preserve"> right</w:t>
      </w:r>
      <w:r w:rsidR="00AB3D4E" w:rsidRPr="00D14023">
        <w:rPr>
          <w:rFonts w:cs="Arial"/>
          <w:lang w:val="fr-FR"/>
        </w:rPr>
        <w:t>”, en précisant que les informations, les documents ou le matériel pourraient être conservés dans un autre pays;</w:t>
      </w:r>
    </w:p>
    <w:p w:rsidR="00970A91" w:rsidRPr="00D14023" w:rsidRDefault="00970A91" w:rsidP="00360330">
      <w:pPr>
        <w:tabs>
          <w:tab w:val="left" w:pos="7500"/>
        </w:tabs>
        <w:spacing w:line="276" w:lineRule="auto"/>
        <w:rPr>
          <w:rFonts w:cs="Arial"/>
          <w:lang w:val="fr-FR"/>
        </w:rPr>
      </w:pPr>
    </w:p>
    <w:p w:rsidR="00970A91" w:rsidRPr="00D14023" w:rsidRDefault="009B511F" w:rsidP="00360330">
      <w:pPr>
        <w:spacing w:line="276" w:lineRule="auto"/>
        <w:rPr>
          <w:rFonts w:cs="Arial"/>
          <w:lang w:val="fr-FR"/>
        </w:rPr>
      </w:pPr>
      <w:r w:rsidRPr="00D14023">
        <w:rPr>
          <w:rFonts w:cs="Arial"/>
          <w:lang w:val="fr-FR"/>
        </w:rPr>
        <w:tab/>
      </w:r>
      <w:r w:rsidR="00AB3D4E" w:rsidRPr="00D14023">
        <w:rPr>
          <w:rFonts w:cs="Arial"/>
          <w:lang w:val="fr-FR"/>
        </w:rPr>
        <w:t>b)</w:t>
      </w:r>
      <w:r w:rsidR="00AB3D4E" w:rsidRPr="00D14023">
        <w:rPr>
          <w:rFonts w:cs="Arial"/>
          <w:lang w:val="fr-FR"/>
        </w:rPr>
        <w:tab/>
        <w:t>l</w:t>
      </w:r>
      <w:r w:rsidR="00FB7E07">
        <w:rPr>
          <w:rFonts w:cs="Arial"/>
          <w:lang w:val="fr-FR"/>
        </w:rPr>
        <w:t>’</w:t>
      </w:r>
      <w:r w:rsidR="00AB3D4E" w:rsidRPr="00D14023">
        <w:rPr>
          <w:rFonts w:cs="Arial"/>
          <w:lang w:val="fr-FR"/>
        </w:rPr>
        <w:t>utilisation de principes directeurs d</w:t>
      </w:r>
      <w:r w:rsidR="00FB7E07">
        <w:rPr>
          <w:rFonts w:cs="Arial"/>
          <w:lang w:val="fr-FR"/>
        </w:rPr>
        <w:t>’</w:t>
      </w:r>
      <w:r w:rsidR="00AB3D4E" w:rsidRPr="00D14023">
        <w:rPr>
          <w:rFonts w:cs="Arial"/>
          <w:lang w:val="fr-FR"/>
        </w:rPr>
        <w:t>examen aux fins du contrôle du maintien de la variété qui se distinguaient des principes directeurs utilisés pour l</w:t>
      </w:r>
      <w:r w:rsidR="00FB7E07">
        <w:rPr>
          <w:rFonts w:cs="Arial"/>
          <w:lang w:val="fr-FR"/>
        </w:rPr>
        <w:t>’</w:t>
      </w:r>
      <w:r w:rsidR="00AB3D4E" w:rsidRPr="00D14023">
        <w:rPr>
          <w:rFonts w:cs="Arial"/>
          <w:lang w:val="fr-FR"/>
        </w:rPr>
        <w:t>examen de la distinction, de l</w:t>
      </w:r>
      <w:r w:rsidR="00FB7E07">
        <w:rPr>
          <w:rFonts w:cs="Arial"/>
          <w:lang w:val="fr-FR"/>
        </w:rPr>
        <w:t>’</w:t>
      </w:r>
      <w:r w:rsidR="00AB3D4E" w:rsidRPr="00D14023">
        <w:rPr>
          <w:rFonts w:cs="Arial"/>
          <w:lang w:val="fr-FR"/>
        </w:rPr>
        <w:t>homogénéité et de la stabilité (examen “DHS”);</w:t>
      </w:r>
    </w:p>
    <w:p w:rsidR="00970A91" w:rsidRPr="00D14023" w:rsidRDefault="00970A91" w:rsidP="00360330">
      <w:pPr>
        <w:spacing w:line="276" w:lineRule="auto"/>
        <w:ind w:left="567" w:right="567"/>
        <w:rPr>
          <w:lang w:val="fr-FR"/>
        </w:rPr>
      </w:pPr>
    </w:p>
    <w:p w:rsidR="00970A91" w:rsidRPr="00D14023" w:rsidRDefault="00AB3D4E" w:rsidP="00360330">
      <w:pPr>
        <w:spacing w:line="276" w:lineRule="auto"/>
        <w:ind w:firstLine="567"/>
        <w:rPr>
          <w:lang w:val="fr-FR"/>
        </w:rPr>
      </w:pPr>
      <w:r w:rsidRPr="00D14023">
        <w:rPr>
          <w:lang w:val="fr-FR"/>
        </w:rPr>
        <w:t>c)</w:t>
      </w:r>
      <w:r w:rsidRPr="00D14023">
        <w:rPr>
          <w:lang w:val="fr-FR"/>
        </w:rPr>
        <w:tab/>
        <w:t>le statut de la description variétale initiale, au regard de la vérification de la conformité du matériel végétal à une variété protégée, aux fins de</w:t>
      </w:r>
      <w:r w:rsidR="00D77E57">
        <w:rPr>
          <w:lang w:val="fr-FR"/>
        </w:rPr>
        <w:t> </w:t>
      </w:r>
      <w:r w:rsidRPr="00D14023">
        <w:rPr>
          <w:lang w:val="fr-FR"/>
        </w:rPr>
        <w:t>:</w:t>
      </w:r>
    </w:p>
    <w:p w:rsidR="00970A91" w:rsidRPr="00D14023" w:rsidRDefault="00970A91" w:rsidP="00360330">
      <w:pPr>
        <w:spacing w:line="276" w:lineRule="auto"/>
        <w:ind w:firstLine="567"/>
        <w:rPr>
          <w:lang w:val="fr-FR"/>
        </w:rPr>
      </w:pPr>
    </w:p>
    <w:p w:rsidR="00970A91" w:rsidRPr="00D14023" w:rsidRDefault="00AB3D4E" w:rsidP="00360330">
      <w:pPr>
        <w:spacing w:line="276" w:lineRule="auto"/>
        <w:ind w:left="1701" w:hanging="567"/>
        <w:rPr>
          <w:lang w:val="fr-FR"/>
        </w:rPr>
      </w:pPr>
      <w:r w:rsidRPr="00D14023">
        <w:rPr>
          <w:lang w:val="fr-FR"/>
        </w:rPr>
        <w:t>i)</w:t>
      </w:r>
      <w:r w:rsidRPr="00D14023">
        <w:rPr>
          <w:lang w:val="fr-FR"/>
        </w:rPr>
        <w:tab/>
        <w:t>vérifier le maintien de la variété (article 22 de l</w:t>
      </w:r>
      <w:r w:rsidR="00FB7E07">
        <w:rPr>
          <w:lang w:val="fr-FR"/>
        </w:rPr>
        <w:t>’</w:t>
      </w:r>
      <w:r w:rsidRPr="00D14023">
        <w:rPr>
          <w:lang w:val="fr-FR"/>
        </w:rPr>
        <w:t>Acte de 1991, article 10 de l</w:t>
      </w:r>
      <w:r w:rsidR="00FB7E07">
        <w:rPr>
          <w:lang w:val="fr-FR"/>
        </w:rPr>
        <w:t>’</w:t>
      </w:r>
      <w:r w:rsidRPr="00D14023">
        <w:rPr>
          <w:lang w:val="fr-FR"/>
        </w:rPr>
        <w:t>Acte de 1978);</w:t>
      </w:r>
    </w:p>
    <w:p w:rsidR="00FB7E07" w:rsidRDefault="00AB3D4E" w:rsidP="00C13077">
      <w:pPr>
        <w:spacing w:line="276" w:lineRule="auto"/>
        <w:ind w:left="1701" w:hanging="567"/>
        <w:rPr>
          <w:lang w:val="fr-FR"/>
        </w:rPr>
      </w:pPr>
      <w:r w:rsidRPr="00D14023">
        <w:rPr>
          <w:lang w:val="fr-FR"/>
        </w:rPr>
        <w:t>ii)</w:t>
      </w:r>
      <w:r w:rsidRPr="00D14023">
        <w:rPr>
          <w:lang w:val="fr-FR"/>
        </w:rPr>
        <w:tab/>
        <w:t>l</w:t>
      </w:r>
      <w:r w:rsidR="00FB7E07">
        <w:rPr>
          <w:lang w:val="fr-FR"/>
        </w:rPr>
        <w:t>’</w:t>
      </w:r>
      <w:r w:rsidRPr="00D14023">
        <w:rPr>
          <w:lang w:val="fr-FR"/>
        </w:rPr>
        <w:t>examen de la distinction, de l</w:t>
      </w:r>
      <w:r w:rsidR="00FB7E07">
        <w:rPr>
          <w:lang w:val="fr-FR"/>
        </w:rPr>
        <w:t>’</w:t>
      </w:r>
      <w:r w:rsidRPr="00D14023">
        <w:rPr>
          <w:lang w:val="fr-FR"/>
        </w:rPr>
        <w:t>homogénéité et de la stabilité (examen “DHS”) des variétés candidates;</w:t>
      </w:r>
    </w:p>
    <w:p w:rsidR="00970A91" w:rsidRPr="00D14023" w:rsidRDefault="00970A91" w:rsidP="00360330">
      <w:pPr>
        <w:spacing w:line="276" w:lineRule="auto"/>
        <w:ind w:left="567" w:right="567"/>
        <w:rPr>
          <w:lang w:val="fr-FR"/>
        </w:rPr>
      </w:pPr>
    </w:p>
    <w:p w:rsidR="00970A91" w:rsidRPr="00D14023" w:rsidRDefault="00AB3D4E" w:rsidP="00360330">
      <w:pPr>
        <w:spacing w:line="276" w:lineRule="auto"/>
        <w:ind w:right="567" w:firstLine="567"/>
        <w:rPr>
          <w:lang w:val="fr-FR"/>
        </w:rPr>
      </w:pPr>
      <w:r w:rsidRPr="00D14023">
        <w:rPr>
          <w:lang w:val="fr-FR"/>
        </w:rPr>
        <w:t>d)</w:t>
      </w:r>
      <w:r w:rsidRPr="00D14023">
        <w:rPr>
          <w:lang w:val="fr-FR"/>
        </w:rPr>
        <w:tab/>
        <w:t>le statut d</w:t>
      </w:r>
      <w:r w:rsidR="00FB7E07">
        <w:rPr>
          <w:lang w:val="fr-FR"/>
        </w:rPr>
        <w:t>’</w:t>
      </w:r>
      <w:r w:rsidRPr="00D14023">
        <w:rPr>
          <w:lang w:val="fr-FR"/>
        </w:rPr>
        <w:t>une description variétale modifiée fournie, par exemple, à la suite</w:t>
      </w:r>
      <w:r w:rsidR="00FB7E07">
        <w:rPr>
          <w:lang w:val="fr-FR"/>
        </w:rPr>
        <w:t> :</w:t>
      </w:r>
    </w:p>
    <w:p w:rsidR="00970A91" w:rsidRPr="00D14023" w:rsidRDefault="00970A91" w:rsidP="00360330">
      <w:pPr>
        <w:spacing w:line="276" w:lineRule="auto"/>
        <w:ind w:right="567" w:firstLine="567"/>
        <w:rPr>
          <w:lang w:val="fr-FR"/>
        </w:rPr>
      </w:pPr>
    </w:p>
    <w:p w:rsidR="00970A91" w:rsidRPr="00D14023" w:rsidRDefault="00AB3D4E" w:rsidP="00360330">
      <w:pPr>
        <w:spacing w:after="60" w:line="276" w:lineRule="auto"/>
        <w:ind w:left="1701" w:hanging="567"/>
        <w:rPr>
          <w:lang w:val="fr-FR"/>
        </w:rPr>
      </w:pPr>
      <w:r w:rsidRPr="00D14023">
        <w:rPr>
          <w:lang w:val="fr-FR"/>
        </w:rPr>
        <w:t>i)</w:t>
      </w:r>
      <w:r w:rsidRPr="00D14023">
        <w:rPr>
          <w:lang w:val="fr-FR"/>
        </w:rPr>
        <w:tab/>
        <w:t>d</w:t>
      </w:r>
      <w:r w:rsidR="00FB7E07">
        <w:rPr>
          <w:lang w:val="fr-FR"/>
        </w:rPr>
        <w:t>’</w:t>
      </w:r>
      <w:r w:rsidRPr="00D14023">
        <w:rPr>
          <w:lang w:val="fr-FR"/>
        </w:rPr>
        <w:t>un réétalonnage de l</w:t>
      </w:r>
      <w:r w:rsidR="00FB7E07">
        <w:rPr>
          <w:lang w:val="fr-FR"/>
        </w:rPr>
        <w:t>’</w:t>
      </w:r>
      <w:r w:rsidRPr="00D14023">
        <w:rPr>
          <w:lang w:val="fr-FR"/>
        </w:rPr>
        <w:t>échelle des principes directeurs d</w:t>
      </w:r>
      <w:r w:rsidR="00FB7E07">
        <w:rPr>
          <w:lang w:val="fr-FR"/>
        </w:rPr>
        <w:t>’</w:t>
      </w:r>
      <w:r w:rsidRPr="00D14023">
        <w:rPr>
          <w:lang w:val="fr-FR"/>
        </w:rPr>
        <w:t>examen (en particulier pour les caractères non signalés par un astérisque);</w:t>
      </w:r>
    </w:p>
    <w:p w:rsidR="00970A91" w:rsidRPr="00D14023" w:rsidRDefault="00AB3D4E" w:rsidP="00360330">
      <w:pPr>
        <w:spacing w:after="60" w:line="276" w:lineRule="auto"/>
        <w:ind w:left="1701" w:hanging="567"/>
        <w:rPr>
          <w:lang w:val="fr-FR"/>
        </w:rPr>
      </w:pPr>
      <w:r w:rsidRPr="00D14023">
        <w:rPr>
          <w:lang w:val="fr-FR"/>
        </w:rPr>
        <w:t>ii)</w:t>
      </w:r>
      <w:r w:rsidRPr="00D14023">
        <w:rPr>
          <w:lang w:val="fr-FR"/>
        </w:rPr>
        <w:tab/>
        <w:t>d</w:t>
      </w:r>
      <w:r w:rsidR="00FB7E07">
        <w:rPr>
          <w:lang w:val="fr-FR"/>
        </w:rPr>
        <w:t>’</w:t>
      </w:r>
      <w:r w:rsidRPr="00D14023">
        <w:rPr>
          <w:lang w:val="fr-FR"/>
        </w:rPr>
        <w:t>une variation due aux conditions environnementales des années d</w:t>
      </w:r>
      <w:r w:rsidR="00FB7E07">
        <w:rPr>
          <w:lang w:val="fr-FR"/>
        </w:rPr>
        <w:t>’</w:t>
      </w:r>
      <w:r w:rsidRPr="00D14023">
        <w:rPr>
          <w:lang w:val="fr-FR"/>
        </w:rPr>
        <w:t>essai pour les caractères influencés par le milieu;</w:t>
      </w:r>
    </w:p>
    <w:p w:rsidR="00970A91" w:rsidRPr="00D14023" w:rsidRDefault="00AB3D4E" w:rsidP="00360330">
      <w:pPr>
        <w:spacing w:after="60" w:line="276" w:lineRule="auto"/>
        <w:ind w:left="1701" w:hanging="567"/>
        <w:rPr>
          <w:lang w:val="fr-FR"/>
        </w:rPr>
      </w:pPr>
      <w:r w:rsidRPr="00D14023">
        <w:rPr>
          <w:lang w:val="fr-FR"/>
        </w:rPr>
        <w:t>iii)</w:t>
      </w:r>
      <w:r w:rsidRPr="00D14023">
        <w:rPr>
          <w:lang w:val="fr-FR"/>
        </w:rPr>
        <w:tab/>
        <w:t>d</w:t>
      </w:r>
      <w:r w:rsidR="00FB7E07">
        <w:rPr>
          <w:lang w:val="fr-FR"/>
        </w:rPr>
        <w:t>’</w:t>
      </w:r>
      <w:r w:rsidRPr="00D14023">
        <w:rPr>
          <w:lang w:val="fr-FR"/>
        </w:rPr>
        <w:t>une variation due à l</w:t>
      </w:r>
      <w:r w:rsidR="00FB7E07">
        <w:rPr>
          <w:lang w:val="fr-FR"/>
        </w:rPr>
        <w:t>’</w:t>
      </w:r>
      <w:r w:rsidRPr="00D14023">
        <w:rPr>
          <w:lang w:val="fr-FR"/>
        </w:rPr>
        <w:t xml:space="preserve">observation effectuée par différents experts; </w:t>
      </w:r>
      <w:r w:rsidR="00D77E57">
        <w:rPr>
          <w:lang w:val="fr-FR"/>
        </w:rPr>
        <w:t xml:space="preserve"> </w:t>
      </w:r>
      <w:r w:rsidRPr="00D14023">
        <w:rPr>
          <w:lang w:val="fr-FR"/>
        </w:rPr>
        <w:t>ou</w:t>
      </w:r>
    </w:p>
    <w:p w:rsidR="00FB7E07" w:rsidRDefault="00AB3D4E" w:rsidP="00360330">
      <w:pPr>
        <w:spacing w:line="276" w:lineRule="auto"/>
        <w:ind w:left="1701" w:hanging="567"/>
        <w:rPr>
          <w:lang w:val="fr-FR"/>
        </w:rPr>
      </w:pPr>
      <w:r w:rsidRPr="00D14023">
        <w:rPr>
          <w:lang w:val="fr-FR"/>
        </w:rPr>
        <w:t>iv)</w:t>
      </w:r>
      <w:r w:rsidRPr="00D14023">
        <w:rPr>
          <w:lang w:val="fr-FR"/>
        </w:rPr>
        <w:tab/>
        <w:t>de l</w:t>
      </w:r>
      <w:r w:rsidR="00FB7E07">
        <w:rPr>
          <w:lang w:val="fr-FR"/>
        </w:rPr>
        <w:t>’</w:t>
      </w:r>
      <w:r w:rsidRPr="00D14023">
        <w:rPr>
          <w:lang w:val="fr-FR"/>
        </w:rPr>
        <w:t>utilisation de différentes versions d</w:t>
      </w:r>
      <w:r w:rsidR="00FB7E07">
        <w:rPr>
          <w:lang w:val="fr-FR"/>
        </w:rPr>
        <w:t>’</w:t>
      </w:r>
      <w:r w:rsidRPr="00D14023">
        <w:rPr>
          <w:lang w:val="fr-FR"/>
        </w:rPr>
        <w:t xml:space="preserve">échelles (par exemple, différentes versions du code RHS des couleurs); </w:t>
      </w:r>
      <w:r w:rsidR="00D77E57">
        <w:rPr>
          <w:lang w:val="fr-FR"/>
        </w:rPr>
        <w:t xml:space="preserve"> </w:t>
      </w:r>
      <w:r w:rsidRPr="00D14023">
        <w:rPr>
          <w:lang w:val="fr-FR"/>
        </w:rPr>
        <w:t>et</w:t>
      </w:r>
    </w:p>
    <w:p w:rsidR="00970A91" w:rsidRPr="00D14023" w:rsidRDefault="00970A91" w:rsidP="00360330">
      <w:pPr>
        <w:spacing w:line="276" w:lineRule="auto"/>
        <w:ind w:left="567" w:right="567"/>
        <w:rPr>
          <w:lang w:val="fr-FR"/>
        </w:rPr>
      </w:pPr>
    </w:p>
    <w:p w:rsidR="00970A91" w:rsidRPr="00D14023" w:rsidRDefault="00AB3D4E" w:rsidP="00360330">
      <w:pPr>
        <w:spacing w:line="276" w:lineRule="auto"/>
        <w:ind w:left="567" w:right="567"/>
        <w:rPr>
          <w:lang w:val="fr-FR"/>
        </w:rPr>
      </w:pPr>
      <w:r w:rsidRPr="00D14023">
        <w:rPr>
          <w:lang w:val="fr-FR"/>
        </w:rPr>
        <w:t>e)</w:t>
      </w:r>
      <w:r w:rsidRPr="00D14023">
        <w:rPr>
          <w:lang w:val="fr-FR"/>
        </w:rPr>
        <w:tab/>
        <w:t>le cas où une erreur est décelée par la suite dans la description variétale initiale.</w:t>
      </w:r>
    </w:p>
    <w:p w:rsidR="00970A91" w:rsidRPr="00D14023" w:rsidRDefault="00970A91" w:rsidP="00360330">
      <w:pPr>
        <w:spacing w:line="276" w:lineRule="auto"/>
        <w:rPr>
          <w:lang w:val="fr-FR"/>
        </w:rPr>
      </w:pPr>
    </w:p>
    <w:p w:rsidR="00970A91" w:rsidRPr="00D14023" w:rsidRDefault="009B511F" w:rsidP="00360330">
      <w:pPr>
        <w:spacing w:line="276" w:lineRule="auto"/>
        <w:rPr>
          <w:lang w:val="fr-FR"/>
        </w:rPr>
      </w:pPr>
      <w:r w:rsidRPr="00D14023">
        <w:rPr>
          <w:lang w:val="fr-FR"/>
        </w:rPr>
        <w:fldChar w:fldCharType="begin"/>
      </w:r>
      <w:r w:rsidRPr="00D14023">
        <w:rPr>
          <w:lang w:val="fr-FR"/>
        </w:rPr>
        <w:instrText xml:space="preserve"> AUTONUM  </w:instrText>
      </w:r>
      <w:r w:rsidRPr="00D14023">
        <w:rPr>
          <w:lang w:val="fr-FR"/>
        </w:rPr>
        <w:fldChar w:fldCharType="end"/>
      </w:r>
      <w:r w:rsidRPr="00D14023">
        <w:rPr>
          <w:lang w:val="fr-FR"/>
        </w:rPr>
        <w:tab/>
      </w:r>
      <w:r w:rsidR="002C65F5" w:rsidRPr="00D14023">
        <w:rPr>
          <w:lang w:val="fr-FR"/>
        </w:rPr>
        <w:t>Le 1</w:t>
      </w:r>
      <w:r w:rsidR="00FB7E07" w:rsidRPr="00D14023">
        <w:rPr>
          <w:lang w:val="fr-FR"/>
        </w:rPr>
        <w:t>2</w:t>
      </w:r>
      <w:r w:rsidR="00FB7E07">
        <w:rPr>
          <w:lang w:val="fr-FR"/>
        </w:rPr>
        <w:t> </w:t>
      </w:r>
      <w:r w:rsidR="00FB7E07" w:rsidRPr="00D14023">
        <w:rPr>
          <w:lang w:val="fr-FR"/>
        </w:rPr>
        <w:t>avril</w:t>
      </w:r>
      <w:r w:rsidR="00FB7E07">
        <w:rPr>
          <w:lang w:val="fr-FR"/>
        </w:rPr>
        <w:t> </w:t>
      </w:r>
      <w:r w:rsidR="00FB7E07" w:rsidRPr="00D14023">
        <w:rPr>
          <w:lang w:val="fr-FR"/>
        </w:rPr>
        <w:t>20</w:t>
      </w:r>
      <w:r w:rsidR="002C65F5" w:rsidRPr="00D14023">
        <w:rPr>
          <w:lang w:val="fr-FR"/>
        </w:rPr>
        <w:t>16, au moyen de la circulaire E</w:t>
      </w:r>
      <w:r w:rsidR="00792874">
        <w:rPr>
          <w:lang w:val="fr-FR"/>
        </w:rPr>
        <w:noBreakHyphen/>
      </w:r>
      <w:r w:rsidR="002C65F5" w:rsidRPr="00D14023">
        <w:rPr>
          <w:lang w:val="fr-FR"/>
        </w:rPr>
        <w:t>16/095, le</w:t>
      </w:r>
      <w:r w:rsidR="00FB7E07" w:rsidRPr="00FB7E07">
        <w:rPr>
          <w:lang w:val="fr-FR"/>
        </w:rPr>
        <w:t> TC</w:t>
      </w:r>
      <w:r w:rsidR="002C65F5" w:rsidRPr="00D14023">
        <w:rPr>
          <w:lang w:val="fr-FR"/>
        </w:rPr>
        <w:t xml:space="preserve"> et les experts</w:t>
      </w:r>
      <w:r w:rsidR="00FB7E07" w:rsidRPr="00FB7E07">
        <w:rPr>
          <w:lang w:val="fr-FR"/>
        </w:rPr>
        <w:t xml:space="preserve"> des TWP</w:t>
      </w:r>
      <w:r w:rsidR="002C65F5" w:rsidRPr="00D14023">
        <w:rPr>
          <w:lang w:val="fr-FR"/>
        </w:rPr>
        <w:t xml:space="preserve"> ont été invités à présenter des exposés</w:t>
      </w:r>
      <w:r w:rsidR="00FB7E07" w:rsidRPr="00FB7E07">
        <w:rPr>
          <w:lang w:val="fr-FR"/>
        </w:rPr>
        <w:t xml:space="preserve"> aux TWP</w:t>
      </w:r>
      <w:r w:rsidR="002C65F5" w:rsidRPr="00D14023">
        <w:rPr>
          <w:lang w:val="fr-FR"/>
        </w:rPr>
        <w:t xml:space="preserve">, à leurs sessions </w:t>
      </w:r>
      <w:r w:rsidR="00FB7E07" w:rsidRPr="00D14023">
        <w:rPr>
          <w:lang w:val="fr-FR"/>
        </w:rPr>
        <w:t>de</w:t>
      </w:r>
      <w:r w:rsidR="00FB7E07">
        <w:rPr>
          <w:lang w:val="fr-FR"/>
        </w:rPr>
        <w:t> </w:t>
      </w:r>
      <w:r w:rsidR="00FB7E07" w:rsidRPr="00D14023">
        <w:rPr>
          <w:lang w:val="fr-FR"/>
        </w:rPr>
        <w:t>2016</w:t>
      </w:r>
      <w:r w:rsidR="002C65F5" w:rsidRPr="00D14023">
        <w:rPr>
          <w:lang w:val="fr-FR"/>
        </w:rPr>
        <w:t>, sur leurs données d</w:t>
      </w:r>
      <w:r w:rsidR="00FB7E07">
        <w:rPr>
          <w:lang w:val="fr-FR"/>
        </w:rPr>
        <w:t>’</w:t>
      </w:r>
      <w:r w:rsidR="002C65F5" w:rsidRPr="00D14023">
        <w:rPr>
          <w:lang w:val="fr-FR"/>
        </w:rPr>
        <w:t>expérience concernant le rôle du matériel végétal utilisé comme base de l</w:t>
      </w:r>
      <w:r w:rsidR="00FB7E07">
        <w:rPr>
          <w:lang w:val="fr-FR"/>
        </w:rPr>
        <w:t>’</w:t>
      </w:r>
      <w:r w:rsidR="002C65F5" w:rsidRPr="00D14023">
        <w:rPr>
          <w:lang w:val="fr-FR"/>
        </w:rPr>
        <w:t>examen DHS en relation avec les questions visées au paragraphe 6 du présent document.</w:t>
      </w:r>
    </w:p>
    <w:p w:rsidR="00970A91" w:rsidRPr="00D14023" w:rsidRDefault="00970A91" w:rsidP="00360330">
      <w:pPr>
        <w:spacing w:line="276" w:lineRule="auto"/>
        <w:rPr>
          <w:rFonts w:cs="Arial"/>
          <w:lang w:val="fr-FR"/>
        </w:rPr>
      </w:pPr>
    </w:p>
    <w:p w:rsidR="00970A91" w:rsidRPr="00D14023" w:rsidRDefault="00970A91" w:rsidP="00360330">
      <w:pPr>
        <w:spacing w:line="276" w:lineRule="auto"/>
        <w:rPr>
          <w:rFonts w:cs="Arial"/>
          <w:lang w:val="fr-FR"/>
        </w:rPr>
      </w:pPr>
    </w:p>
    <w:p w:rsidR="00FB7E07" w:rsidRDefault="00DD4E33" w:rsidP="00110700">
      <w:pPr>
        <w:pStyle w:val="Heading1"/>
        <w:keepLines/>
        <w:rPr>
          <w:lang w:val="fr-FR"/>
        </w:rPr>
      </w:pPr>
      <w:bookmarkStart w:id="7" w:name="_Toc475627023"/>
      <w:r>
        <w:rPr>
          <w:lang w:val="fr-FR"/>
        </w:rPr>
        <w:lastRenderedPageBreak/>
        <w:t>O</w:t>
      </w:r>
      <w:r w:rsidRPr="00D14023">
        <w:rPr>
          <w:lang w:val="fr-FR"/>
        </w:rPr>
        <w:t>bservations formulées par les groupes de travail techniques</w:t>
      </w:r>
      <w:bookmarkEnd w:id="7"/>
    </w:p>
    <w:p w:rsidR="00970A91" w:rsidRPr="00D14023" w:rsidRDefault="00970A91" w:rsidP="00110700">
      <w:pPr>
        <w:keepNext/>
        <w:keepLines/>
        <w:spacing w:line="276" w:lineRule="auto"/>
        <w:rPr>
          <w:lang w:val="fr-FR"/>
        </w:rPr>
      </w:pPr>
    </w:p>
    <w:p w:rsidR="00970A91" w:rsidRPr="00D14023" w:rsidRDefault="009B511F" w:rsidP="00110700">
      <w:pPr>
        <w:keepNext/>
        <w:keepLines/>
        <w:autoSpaceDE w:val="0"/>
        <w:autoSpaceDN w:val="0"/>
        <w:adjustRightInd w:val="0"/>
        <w:spacing w:line="276" w:lineRule="auto"/>
        <w:rPr>
          <w:snapToGrid w:val="0"/>
          <w:lang w:val="fr-FR"/>
        </w:rPr>
      </w:pPr>
      <w:r w:rsidRPr="00D14023">
        <w:rPr>
          <w:snapToGrid w:val="0"/>
          <w:lang w:val="fr-FR"/>
        </w:rPr>
        <w:fldChar w:fldCharType="begin"/>
      </w:r>
      <w:r w:rsidRPr="00D14023">
        <w:rPr>
          <w:snapToGrid w:val="0"/>
          <w:lang w:val="fr-FR"/>
        </w:rPr>
        <w:instrText xml:space="preserve"> AUTONUM  </w:instrText>
      </w:r>
      <w:r w:rsidRPr="00D14023">
        <w:rPr>
          <w:snapToGrid w:val="0"/>
          <w:lang w:val="fr-FR"/>
        </w:rPr>
        <w:fldChar w:fldCharType="end"/>
      </w:r>
      <w:r w:rsidRPr="00D14023">
        <w:rPr>
          <w:snapToGrid w:val="0"/>
          <w:lang w:val="fr-FR"/>
        </w:rPr>
        <w:tab/>
      </w:r>
      <w:r w:rsidR="00846BF8" w:rsidRPr="00D14023">
        <w:rPr>
          <w:snapToGrid w:val="0"/>
          <w:lang w:val="fr-FR"/>
        </w:rPr>
        <w:t>À</w:t>
      </w:r>
      <w:r w:rsidR="009A67F5" w:rsidRPr="00D14023">
        <w:rPr>
          <w:snapToGrid w:val="0"/>
          <w:lang w:val="fr-FR"/>
        </w:rPr>
        <w:t xml:space="preserve"> leurs</w:t>
      </w:r>
      <w:r w:rsidRPr="00D14023">
        <w:rPr>
          <w:snapToGrid w:val="0"/>
          <w:lang w:val="fr-FR"/>
        </w:rPr>
        <w:t xml:space="preserve"> sessions </w:t>
      </w:r>
      <w:r w:rsidR="00FB7E07" w:rsidRPr="00D14023">
        <w:rPr>
          <w:snapToGrid w:val="0"/>
          <w:lang w:val="fr-FR"/>
        </w:rPr>
        <w:t>de</w:t>
      </w:r>
      <w:r w:rsidR="00FB7E07">
        <w:rPr>
          <w:snapToGrid w:val="0"/>
          <w:lang w:val="fr-FR"/>
        </w:rPr>
        <w:t> </w:t>
      </w:r>
      <w:r w:rsidR="00FB7E07" w:rsidRPr="00D14023">
        <w:rPr>
          <w:snapToGrid w:val="0"/>
          <w:lang w:val="fr-FR"/>
        </w:rPr>
        <w:t>2016</w:t>
      </w:r>
      <w:r w:rsidRPr="00D14023">
        <w:rPr>
          <w:snapToGrid w:val="0"/>
          <w:lang w:val="fr-FR"/>
        </w:rPr>
        <w:t>,</w:t>
      </w:r>
      <w:r w:rsidR="00FB7E07" w:rsidRPr="00FB7E07">
        <w:rPr>
          <w:snapToGrid w:val="0"/>
          <w:lang w:val="fr-FR"/>
        </w:rPr>
        <w:t xml:space="preserve"> les TWC</w:t>
      </w:r>
      <w:r w:rsidRPr="00D14023">
        <w:rPr>
          <w:snapToGrid w:val="0"/>
          <w:lang w:val="fr-FR"/>
        </w:rPr>
        <w:t>, TW</w:t>
      </w:r>
      <w:r w:rsidR="00C71179" w:rsidRPr="00D14023">
        <w:rPr>
          <w:snapToGrid w:val="0"/>
          <w:lang w:val="fr-FR"/>
        </w:rPr>
        <w:t>O</w:t>
      </w:r>
      <w:r w:rsidRPr="00D14023">
        <w:rPr>
          <w:snapToGrid w:val="0"/>
          <w:lang w:val="fr-FR"/>
        </w:rPr>
        <w:t>, TW</w:t>
      </w:r>
      <w:r w:rsidR="00C71179" w:rsidRPr="00D14023">
        <w:rPr>
          <w:snapToGrid w:val="0"/>
          <w:lang w:val="fr-FR"/>
        </w:rPr>
        <w:t>V</w:t>
      </w:r>
      <w:r w:rsidRPr="00D14023">
        <w:rPr>
          <w:snapToGrid w:val="0"/>
          <w:lang w:val="fr-FR"/>
        </w:rPr>
        <w:t>, TW</w:t>
      </w:r>
      <w:r w:rsidR="00C71179" w:rsidRPr="00D14023">
        <w:rPr>
          <w:snapToGrid w:val="0"/>
          <w:lang w:val="fr-FR"/>
        </w:rPr>
        <w:t>A</w:t>
      </w:r>
      <w:r w:rsidRPr="00D14023">
        <w:rPr>
          <w:snapToGrid w:val="0"/>
          <w:lang w:val="fr-FR"/>
        </w:rPr>
        <w:t xml:space="preserve"> </w:t>
      </w:r>
      <w:r w:rsidR="009A67F5" w:rsidRPr="00D14023">
        <w:rPr>
          <w:snapToGrid w:val="0"/>
          <w:lang w:val="fr-FR"/>
        </w:rPr>
        <w:t>et</w:t>
      </w:r>
      <w:r w:rsidRPr="00D14023">
        <w:rPr>
          <w:snapToGrid w:val="0"/>
          <w:lang w:val="fr-FR"/>
        </w:rPr>
        <w:t xml:space="preserve"> TW</w:t>
      </w:r>
      <w:r w:rsidR="00C71179" w:rsidRPr="00D14023">
        <w:rPr>
          <w:snapToGrid w:val="0"/>
          <w:lang w:val="fr-FR"/>
        </w:rPr>
        <w:t>F</w:t>
      </w:r>
      <w:r w:rsidRPr="00D14023">
        <w:rPr>
          <w:snapToGrid w:val="0"/>
          <w:lang w:val="fr-FR"/>
        </w:rPr>
        <w:t xml:space="preserve"> </w:t>
      </w:r>
      <w:r w:rsidR="009A67F5" w:rsidRPr="00D14023">
        <w:rPr>
          <w:snapToGrid w:val="0"/>
          <w:lang w:val="fr-FR"/>
        </w:rPr>
        <w:t>ont examiné les</w:t>
      </w:r>
      <w:r w:rsidRPr="00D14023">
        <w:rPr>
          <w:snapToGrid w:val="0"/>
          <w:lang w:val="fr-FR"/>
        </w:rPr>
        <w:t xml:space="preserve"> documents TW</w:t>
      </w:r>
      <w:r w:rsidR="00C71179" w:rsidRPr="00D14023">
        <w:rPr>
          <w:snapToGrid w:val="0"/>
          <w:lang w:val="fr-FR"/>
        </w:rPr>
        <w:t>C</w:t>
      </w:r>
      <w:r w:rsidRPr="00D14023">
        <w:rPr>
          <w:snapToGrid w:val="0"/>
          <w:lang w:val="fr-FR"/>
        </w:rPr>
        <w:t>/</w:t>
      </w:r>
      <w:r w:rsidR="00C71179" w:rsidRPr="00D14023">
        <w:rPr>
          <w:snapToGrid w:val="0"/>
          <w:lang w:val="fr-FR"/>
        </w:rPr>
        <w:t>34</w:t>
      </w:r>
      <w:r w:rsidRPr="00D14023">
        <w:rPr>
          <w:snapToGrid w:val="0"/>
          <w:lang w:val="fr-FR"/>
        </w:rPr>
        <w:t>/</w:t>
      </w:r>
      <w:r w:rsidR="00C71179" w:rsidRPr="00D14023">
        <w:rPr>
          <w:snapToGrid w:val="0"/>
          <w:lang w:val="fr-FR"/>
        </w:rPr>
        <w:t>14</w:t>
      </w:r>
      <w:r w:rsidR="00810C74" w:rsidRPr="00D14023">
        <w:rPr>
          <w:snapToGrid w:val="0"/>
          <w:lang w:val="fr-FR"/>
        </w:rPr>
        <w:t>;</w:t>
      </w:r>
      <w:r w:rsidRPr="00D14023">
        <w:rPr>
          <w:snapToGrid w:val="0"/>
          <w:lang w:val="fr-FR"/>
        </w:rPr>
        <w:t xml:space="preserve"> </w:t>
      </w:r>
      <w:r w:rsidR="00D77E57">
        <w:rPr>
          <w:snapToGrid w:val="0"/>
          <w:lang w:val="fr-FR"/>
        </w:rPr>
        <w:t xml:space="preserve"> </w:t>
      </w:r>
      <w:r w:rsidRPr="00D14023">
        <w:rPr>
          <w:snapToGrid w:val="0"/>
          <w:lang w:val="fr-FR"/>
        </w:rPr>
        <w:t>TW</w:t>
      </w:r>
      <w:r w:rsidR="00C71179" w:rsidRPr="00D14023">
        <w:rPr>
          <w:snapToGrid w:val="0"/>
          <w:lang w:val="fr-FR"/>
        </w:rPr>
        <w:t>O</w:t>
      </w:r>
      <w:r w:rsidRPr="00D14023">
        <w:rPr>
          <w:snapToGrid w:val="0"/>
          <w:lang w:val="fr-FR"/>
        </w:rPr>
        <w:t>/</w:t>
      </w:r>
      <w:r w:rsidR="00C71179" w:rsidRPr="00D14023">
        <w:rPr>
          <w:snapToGrid w:val="0"/>
          <w:lang w:val="fr-FR"/>
        </w:rPr>
        <w:t>49</w:t>
      </w:r>
      <w:r w:rsidRPr="00D14023">
        <w:rPr>
          <w:snapToGrid w:val="0"/>
          <w:lang w:val="fr-FR"/>
        </w:rPr>
        <w:t>/</w:t>
      </w:r>
      <w:r w:rsidR="00C71179" w:rsidRPr="00D14023">
        <w:rPr>
          <w:snapToGrid w:val="0"/>
          <w:lang w:val="fr-FR"/>
        </w:rPr>
        <w:t>14</w:t>
      </w:r>
      <w:r w:rsidR="00810C74" w:rsidRPr="00D14023">
        <w:rPr>
          <w:snapToGrid w:val="0"/>
          <w:lang w:val="fr-FR"/>
        </w:rPr>
        <w:t xml:space="preserve"> </w:t>
      </w:r>
      <w:r w:rsidR="00846BF8" w:rsidRPr="00D14023">
        <w:rPr>
          <w:snapToGrid w:val="0"/>
          <w:lang w:val="fr-FR"/>
        </w:rPr>
        <w:t>et</w:t>
      </w:r>
      <w:r w:rsidR="00810C74" w:rsidRPr="00D14023">
        <w:rPr>
          <w:snapToGrid w:val="0"/>
          <w:lang w:val="fr-FR"/>
        </w:rPr>
        <w:t xml:space="preserve"> </w:t>
      </w:r>
      <w:r w:rsidR="00810C74" w:rsidRPr="00D14023">
        <w:rPr>
          <w:lang w:val="fr-FR"/>
        </w:rPr>
        <w:t>TWO/49/14</w:t>
      </w:r>
      <w:r w:rsidR="00D77E57">
        <w:rPr>
          <w:lang w:val="fr-FR"/>
        </w:rPr>
        <w:t> </w:t>
      </w:r>
      <w:proofErr w:type="spellStart"/>
      <w:r w:rsidR="00810C74" w:rsidRPr="00D14023">
        <w:rPr>
          <w:lang w:val="fr-FR"/>
        </w:rPr>
        <w:t>Add</w:t>
      </w:r>
      <w:proofErr w:type="spellEnd"/>
      <w:r w:rsidR="00810C74" w:rsidRPr="00D14023">
        <w:rPr>
          <w:lang w:val="fr-FR"/>
        </w:rPr>
        <w:t>.;</w:t>
      </w:r>
      <w:r w:rsidRPr="00D14023">
        <w:rPr>
          <w:snapToGrid w:val="0"/>
          <w:lang w:val="fr-FR"/>
        </w:rPr>
        <w:t xml:space="preserve"> </w:t>
      </w:r>
      <w:r w:rsidR="00D77E57">
        <w:rPr>
          <w:lang w:val="fr-FR"/>
        </w:rPr>
        <w:t xml:space="preserve"> </w:t>
      </w:r>
      <w:r w:rsidRPr="00D14023">
        <w:rPr>
          <w:snapToGrid w:val="0"/>
          <w:lang w:val="fr-FR"/>
        </w:rPr>
        <w:t>TW</w:t>
      </w:r>
      <w:r w:rsidR="00C71179" w:rsidRPr="00D14023">
        <w:rPr>
          <w:snapToGrid w:val="0"/>
          <w:lang w:val="fr-FR"/>
        </w:rPr>
        <w:t>V</w:t>
      </w:r>
      <w:r w:rsidRPr="00D14023">
        <w:rPr>
          <w:snapToGrid w:val="0"/>
          <w:lang w:val="fr-FR"/>
        </w:rPr>
        <w:t>/</w:t>
      </w:r>
      <w:r w:rsidR="00C71179" w:rsidRPr="00D14023">
        <w:rPr>
          <w:snapToGrid w:val="0"/>
          <w:lang w:val="fr-FR"/>
        </w:rPr>
        <w:t>50</w:t>
      </w:r>
      <w:r w:rsidRPr="00D14023">
        <w:rPr>
          <w:snapToGrid w:val="0"/>
          <w:lang w:val="fr-FR"/>
        </w:rPr>
        <w:t>/</w:t>
      </w:r>
      <w:r w:rsidR="00C71179" w:rsidRPr="00D14023">
        <w:rPr>
          <w:snapToGrid w:val="0"/>
          <w:lang w:val="fr-FR"/>
        </w:rPr>
        <w:t>14</w:t>
      </w:r>
      <w:r w:rsidR="00810C74" w:rsidRPr="00D14023">
        <w:rPr>
          <w:snapToGrid w:val="0"/>
          <w:lang w:val="fr-FR"/>
        </w:rPr>
        <w:t xml:space="preserve"> </w:t>
      </w:r>
      <w:r w:rsidR="00846BF8" w:rsidRPr="00D14023">
        <w:rPr>
          <w:lang w:val="fr-FR"/>
        </w:rPr>
        <w:t>et</w:t>
      </w:r>
      <w:r w:rsidR="00810C74" w:rsidRPr="00D14023">
        <w:rPr>
          <w:lang w:val="fr-FR"/>
        </w:rPr>
        <w:t xml:space="preserve"> TWV/50/14</w:t>
      </w:r>
      <w:r w:rsidR="00D77E57">
        <w:rPr>
          <w:lang w:val="fr-FR"/>
        </w:rPr>
        <w:t> </w:t>
      </w:r>
      <w:proofErr w:type="spellStart"/>
      <w:r w:rsidR="00810C74" w:rsidRPr="00D14023">
        <w:rPr>
          <w:lang w:val="fr-FR"/>
        </w:rPr>
        <w:t>Add</w:t>
      </w:r>
      <w:proofErr w:type="spellEnd"/>
      <w:r w:rsidR="00810C74" w:rsidRPr="00D14023">
        <w:rPr>
          <w:lang w:val="fr-FR"/>
        </w:rPr>
        <w:t>.;</w:t>
      </w:r>
      <w:r w:rsidRPr="00D14023">
        <w:rPr>
          <w:snapToGrid w:val="0"/>
          <w:lang w:val="fr-FR"/>
        </w:rPr>
        <w:t xml:space="preserve"> </w:t>
      </w:r>
      <w:r w:rsidR="00D77E57">
        <w:rPr>
          <w:lang w:val="fr-FR"/>
        </w:rPr>
        <w:t xml:space="preserve"> </w:t>
      </w:r>
      <w:r w:rsidRPr="00D14023">
        <w:rPr>
          <w:snapToGrid w:val="0"/>
          <w:lang w:val="fr-FR"/>
        </w:rPr>
        <w:t>TW</w:t>
      </w:r>
      <w:r w:rsidR="00C71179" w:rsidRPr="00D14023">
        <w:rPr>
          <w:snapToGrid w:val="0"/>
          <w:lang w:val="fr-FR"/>
        </w:rPr>
        <w:t>A</w:t>
      </w:r>
      <w:r w:rsidRPr="00D14023">
        <w:rPr>
          <w:snapToGrid w:val="0"/>
          <w:lang w:val="fr-FR"/>
        </w:rPr>
        <w:t>/</w:t>
      </w:r>
      <w:r w:rsidR="00C71179" w:rsidRPr="00D14023">
        <w:rPr>
          <w:snapToGrid w:val="0"/>
          <w:lang w:val="fr-FR"/>
        </w:rPr>
        <w:t>45</w:t>
      </w:r>
      <w:r w:rsidRPr="00D14023">
        <w:rPr>
          <w:snapToGrid w:val="0"/>
          <w:lang w:val="fr-FR"/>
        </w:rPr>
        <w:t>/</w:t>
      </w:r>
      <w:r w:rsidR="00C71179" w:rsidRPr="00D14023">
        <w:rPr>
          <w:snapToGrid w:val="0"/>
          <w:lang w:val="fr-FR"/>
        </w:rPr>
        <w:t>14</w:t>
      </w:r>
      <w:r w:rsidR="00810C74" w:rsidRPr="00D14023">
        <w:rPr>
          <w:snapToGrid w:val="0"/>
          <w:lang w:val="fr-FR"/>
        </w:rPr>
        <w:t>,</w:t>
      </w:r>
      <w:r w:rsidR="00C71179" w:rsidRPr="00D14023">
        <w:rPr>
          <w:snapToGrid w:val="0"/>
          <w:lang w:val="fr-FR"/>
        </w:rPr>
        <w:t xml:space="preserve"> </w:t>
      </w:r>
      <w:r w:rsidR="00810C74" w:rsidRPr="00D14023">
        <w:rPr>
          <w:lang w:val="fr-FR"/>
        </w:rPr>
        <w:t>TWA/45/14</w:t>
      </w:r>
      <w:r w:rsidR="00D77E57">
        <w:rPr>
          <w:lang w:val="fr-FR"/>
        </w:rPr>
        <w:t> </w:t>
      </w:r>
      <w:proofErr w:type="spellStart"/>
      <w:r w:rsidR="00810C74" w:rsidRPr="00D14023">
        <w:rPr>
          <w:lang w:val="fr-FR"/>
        </w:rPr>
        <w:t>Add</w:t>
      </w:r>
      <w:proofErr w:type="spellEnd"/>
      <w:r w:rsidR="00810C74" w:rsidRPr="00D14023">
        <w:rPr>
          <w:lang w:val="fr-FR"/>
        </w:rPr>
        <w:t xml:space="preserve">. </w:t>
      </w:r>
      <w:r w:rsidR="009A67F5" w:rsidRPr="00D14023">
        <w:rPr>
          <w:lang w:val="fr-FR"/>
        </w:rPr>
        <w:t>et</w:t>
      </w:r>
      <w:r w:rsidR="00846BF8" w:rsidRPr="00D14023">
        <w:rPr>
          <w:lang w:val="fr-FR"/>
        </w:rPr>
        <w:t xml:space="preserve"> TWA/45/14</w:t>
      </w:r>
      <w:r w:rsidR="00D77E57">
        <w:rPr>
          <w:lang w:val="fr-FR"/>
        </w:rPr>
        <w:t> </w:t>
      </w:r>
      <w:r w:rsidR="00846BF8" w:rsidRPr="00D14023">
        <w:rPr>
          <w:lang w:val="fr-FR"/>
        </w:rPr>
        <w:t>Add.2;</w:t>
      </w:r>
      <w:r w:rsidR="00D77E57">
        <w:rPr>
          <w:lang w:val="fr-FR"/>
        </w:rPr>
        <w:t xml:space="preserve"> </w:t>
      </w:r>
      <w:r w:rsidR="00846BF8" w:rsidRPr="00D14023">
        <w:rPr>
          <w:lang w:val="fr-FR"/>
        </w:rPr>
        <w:t xml:space="preserve"> et</w:t>
      </w:r>
      <w:r w:rsidR="009A67F5" w:rsidRPr="00D14023">
        <w:rPr>
          <w:snapToGrid w:val="0"/>
          <w:lang w:val="fr-FR"/>
        </w:rPr>
        <w:t xml:space="preserve"> </w:t>
      </w:r>
      <w:r w:rsidRPr="00D14023">
        <w:rPr>
          <w:snapToGrid w:val="0"/>
          <w:lang w:val="fr-FR"/>
        </w:rPr>
        <w:t>TW</w:t>
      </w:r>
      <w:r w:rsidR="00C71179" w:rsidRPr="00D14023">
        <w:rPr>
          <w:snapToGrid w:val="0"/>
          <w:lang w:val="fr-FR"/>
        </w:rPr>
        <w:t>F</w:t>
      </w:r>
      <w:r w:rsidRPr="00D14023">
        <w:rPr>
          <w:snapToGrid w:val="0"/>
          <w:lang w:val="fr-FR"/>
        </w:rPr>
        <w:t>/</w:t>
      </w:r>
      <w:r w:rsidR="00C71179" w:rsidRPr="00D14023">
        <w:rPr>
          <w:snapToGrid w:val="0"/>
          <w:lang w:val="fr-FR"/>
        </w:rPr>
        <w:t>47</w:t>
      </w:r>
      <w:r w:rsidRPr="00D14023">
        <w:rPr>
          <w:snapToGrid w:val="0"/>
          <w:lang w:val="fr-FR"/>
        </w:rPr>
        <w:t>/</w:t>
      </w:r>
      <w:r w:rsidR="00C71179" w:rsidRPr="00D14023">
        <w:rPr>
          <w:snapToGrid w:val="0"/>
          <w:lang w:val="fr-FR"/>
        </w:rPr>
        <w:t>14</w:t>
      </w:r>
      <w:r w:rsidR="00C71179" w:rsidRPr="00D14023">
        <w:rPr>
          <w:lang w:val="fr-FR"/>
        </w:rPr>
        <w:t xml:space="preserve"> </w:t>
      </w:r>
      <w:r w:rsidR="00846BF8" w:rsidRPr="00D14023">
        <w:rPr>
          <w:lang w:val="fr-FR"/>
        </w:rPr>
        <w:t>intitulé</w:t>
      </w:r>
      <w:r w:rsidR="00222D0D" w:rsidRPr="00D14023">
        <w:rPr>
          <w:lang w:val="fr-FR"/>
        </w:rPr>
        <w:t>s</w:t>
      </w:r>
      <w:r w:rsidR="00846BF8" w:rsidRPr="00D14023">
        <w:rPr>
          <w:lang w:val="fr-FR"/>
        </w:rPr>
        <w:t xml:space="preserve"> </w:t>
      </w:r>
      <w:r w:rsidRPr="00D14023">
        <w:rPr>
          <w:lang w:val="fr-FR"/>
        </w:rPr>
        <w:t>“</w:t>
      </w:r>
      <w:proofErr w:type="spellStart"/>
      <w:r w:rsidRPr="00C13077">
        <w:rPr>
          <w:i/>
          <w:lang w:val="fr-FR"/>
        </w:rPr>
        <w:t>Matters</w:t>
      </w:r>
      <w:proofErr w:type="spellEnd"/>
      <w:r w:rsidRPr="00C13077">
        <w:rPr>
          <w:i/>
          <w:lang w:val="fr-FR"/>
        </w:rPr>
        <w:t xml:space="preserve"> </w:t>
      </w:r>
      <w:proofErr w:type="spellStart"/>
      <w:r w:rsidRPr="00C13077">
        <w:rPr>
          <w:i/>
          <w:lang w:val="fr-FR"/>
        </w:rPr>
        <w:t>concerning</w:t>
      </w:r>
      <w:proofErr w:type="spellEnd"/>
      <w:r w:rsidRPr="00C13077">
        <w:rPr>
          <w:i/>
          <w:lang w:val="fr-FR"/>
        </w:rPr>
        <w:t xml:space="preserve"> </w:t>
      </w:r>
      <w:proofErr w:type="spellStart"/>
      <w:r w:rsidRPr="00C13077">
        <w:rPr>
          <w:i/>
          <w:lang w:val="fr-FR"/>
        </w:rPr>
        <w:t>variety</w:t>
      </w:r>
      <w:proofErr w:type="spellEnd"/>
      <w:r w:rsidRPr="00C13077">
        <w:rPr>
          <w:i/>
          <w:lang w:val="fr-FR"/>
        </w:rPr>
        <w:t xml:space="preserve"> descriptions</w:t>
      </w:r>
      <w:r w:rsidRPr="00D14023">
        <w:rPr>
          <w:lang w:val="fr-FR"/>
        </w:rPr>
        <w:t>”</w:t>
      </w:r>
      <w:r w:rsidRPr="00D14023">
        <w:rPr>
          <w:snapToGrid w:val="0"/>
          <w:lang w:val="fr-FR"/>
        </w:rPr>
        <w:t xml:space="preserve">, </w:t>
      </w:r>
      <w:r w:rsidR="009A67F5" w:rsidRPr="00D14023">
        <w:rPr>
          <w:snapToGrid w:val="0"/>
          <w:lang w:val="fr-FR"/>
        </w:rPr>
        <w:t>respectivement</w:t>
      </w:r>
      <w:r w:rsidRPr="00D14023">
        <w:rPr>
          <w:snapToGrid w:val="0"/>
          <w:lang w:val="fr-FR"/>
        </w:rPr>
        <w:t xml:space="preserve"> </w:t>
      </w:r>
      <w:r w:rsidRPr="00D14023">
        <w:rPr>
          <w:rFonts w:cs="Arial"/>
          <w:lang w:val="fr-FR"/>
        </w:rPr>
        <w:t>(</w:t>
      </w:r>
      <w:r w:rsidR="009A67F5" w:rsidRPr="00D14023">
        <w:rPr>
          <w:rFonts w:cs="Arial"/>
          <w:lang w:val="fr-FR"/>
        </w:rPr>
        <w:t>voir les</w:t>
      </w:r>
      <w:r w:rsidR="00037BB4" w:rsidRPr="00D14023">
        <w:rPr>
          <w:rFonts w:cs="Arial"/>
          <w:lang w:val="fr-FR"/>
        </w:rPr>
        <w:t> </w:t>
      </w:r>
      <w:r w:rsidR="00FB7E07" w:rsidRPr="00FB7E07">
        <w:rPr>
          <w:rFonts w:cs="Arial"/>
          <w:lang w:val="fr-FR"/>
        </w:rPr>
        <w:t xml:space="preserve">documents </w:t>
      </w:r>
      <w:r w:rsidR="00FB7E07" w:rsidRPr="00FB7E07">
        <w:rPr>
          <w:lang w:val="fr-FR" w:eastAsia="ja-JP"/>
        </w:rPr>
        <w:t>TW</w:t>
      </w:r>
      <w:r w:rsidR="00C71179" w:rsidRPr="00D14023">
        <w:rPr>
          <w:lang w:val="fr-FR" w:eastAsia="ja-JP"/>
        </w:rPr>
        <w:t>C/34/32</w:t>
      </w:r>
      <w:r w:rsidR="00222D0D" w:rsidRPr="00D14023">
        <w:rPr>
          <w:lang w:val="fr-FR" w:eastAsia="ja-JP"/>
        </w:rPr>
        <w:t>,</w:t>
      </w:r>
      <w:r w:rsidR="00C71179" w:rsidRPr="00D14023">
        <w:rPr>
          <w:lang w:val="fr-FR" w:eastAsia="ja-JP"/>
        </w:rPr>
        <w:t xml:space="preserve"> </w:t>
      </w:r>
      <w:r w:rsidR="00846BF8" w:rsidRPr="00D14023">
        <w:rPr>
          <w:lang w:val="fr-FR" w:eastAsia="ja-JP"/>
        </w:rPr>
        <w:t xml:space="preserve">intitulé </w:t>
      </w:r>
      <w:r w:rsidR="00C71179" w:rsidRPr="00D14023">
        <w:rPr>
          <w:lang w:val="fr-FR" w:eastAsia="ja-JP"/>
        </w:rPr>
        <w:t>“</w:t>
      </w:r>
      <w:r w:rsidR="00C71179" w:rsidRPr="00C13077">
        <w:rPr>
          <w:i/>
          <w:lang w:val="fr-FR" w:eastAsia="ja-JP"/>
        </w:rPr>
        <w:t>Report</w:t>
      </w:r>
      <w:r w:rsidR="00846BF8" w:rsidRPr="00D14023">
        <w:rPr>
          <w:lang w:val="fr-FR" w:eastAsia="ja-JP"/>
        </w:rPr>
        <w:t>” (</w:t>
      </w:r>
      <w:r w:rsidR="00FB7E07" w:rsidRPr="00D14023">
        <w:rPr>
          <w:lang w:val="fr-FR" w:eastAsia="ja-JP"/>
        </w:rPr>
        <w:t>paragraphes</w:t>
      </w:r>
      <w:r w:rsidR="00FB7E07">
        <w:rPr>
          <w:lang w:val="fr-FR" w:eastAsia="ja-JP"/>
        </w:rPr>
        <w:t> </w:t>
      </w:r>
      <w:r w:rsidR="00FB7E07" w:rsidRPr="00D14023">
        <w:rPr>
          <w:lang w:val="fr-FR" w:eastAsia="ja-JP"/>
        </w:rPr>
        <w:t>1</w:t>
      </w:r>
      <w:r w:rsidR="00C71179" w:rsidRPr="00D14023">
        <w:rPr>
          <w:lang w:val="fr-FR" w:eastAsia="ja-JP"/>
        </w:rPr>
        <w:t xml:space="preserve">02 </w:t>
      </w:r>
      <w:r w:rsidR="009A67F5" w:rsidRPr="00D14023">
        <w:rPr>
          <w:lang w:val="fr-FR" w:eastAsia="ja-JP"/>
        </w:rPr>
        <w:t>à</w:t>
      </w:r>
      <w:r w:rsidR="00C71179" w:rsidRPr="00D14023">
        <w:rPr>
          <w:lang w:val="fr-FR" w:eastAsia="ja-JP"/>
        </w:rPr>
        <w:t xml:space="preserve"> 105</w:t>
      </w:r>
      <w:r w:rsidR="00846BF8" w:rsidRPr="00D14023">
        <w:rPr>
          <w:lang w:val="fr-FR" w:eastAsia="ja-JP"/>
        </w:rPr>
        <w:t>)</w:t>
      </w:r>
      <w:r w:rsidRPr="00D14023">
        <w:rPr>
          <w:rFonts w:cs="Arial"/>
          <w:lang w:val="fr-FR"/>
        </w:rPr>
        <w:t xml:space="preserve">; </w:t>
      </w:r>
      <w:r w:rsidR="00D77E57">
        <w:rPr>
          <w:rFonts w:cs="Arial"/>
          <w:lang w:val="fr-FR"/>
        </w:rPr>
        <w:t xml:space="preserve"> </w:t>
      </w:r>
      <w:r w:rsidR="00C71179" w:rsidRPr="00D14023">
        <w:rPr>
          <w:lang w:val="fr-FR"/>
        </w:rPr>
        <w:t>TWO/49/25</w:t>
      </w:r>
      <w:r w:rsidR="00D77E57">
        <w:rPr>
          <w:lang w:val="fr-FR"/>
        </w:rPr>
        <w:t> </w:t>
      </w:r>
      <w:proofErr w:type="spellStart"/>
      <w:r w:rsidR="00C71179" w:rsidRPr="00D14023">
        <w:rPr>
          <w:lang w:val="fr-FR"/>
        </w:rPr>
        <w:t>Rev</w:t>
      </w:r>
      <w:proofErr w:type="spellEnd"/>
      <w:r w:rsidR="00C71179" w:rsidRPr="00D14023">
        <w:rPr>
          <w:lang w:val="fr-FR"/>
        </w:rPr>
        <w:t>.</w:t>
      </w:r>
      <w:r w:rsidR="00222D0D" w:rsidRPr="00D14023">
        <w:rPr>
          <w:lang w:val="fr-FR"/>
        </w:rPr>
        <w:t>,</w:t>
      </w:r>
      <w:r w:rsidR="00C71179" w:rsidRPr="00D14023">
        <w:rPr>
          <w:lang w:val="fr-FR"/>
        </w:rPr>
        <w:t xml:space="preserve"> </w:t>
      </w:r>
      <w:r w:rsidR="00222D0D" w:rsidRPr="00D14023">
        <w:rPr>
          <w:lang w:val="fr-FR"/>
        </w:rPr>
        <w:t>i</w:t>
      </w:r>
      <w:r w:rsidR="00846BF8" w:rsidRPr="00D14023">
        <w:rPr>
          <w:lang w:val="fr-FR"/>
        </w:rPr>
        <w:t xml:space="preserve">ntitulé </w:t>
      </w:r>
      <w:r w:rsidR="00C71179" w:rsidRPr="00D14023">
        <w:rPr>
          <w:lang w:val="fr-FR"/>
        </w:rPr>
        <w:t>“</w:t>
      </w:r>
      <w:proofErr w:type="spellStart"/>
      <w:r w:rsidR="00DA107E" w:rsidRPr="00C13077">
        <w:rPr>
          <w:i/>
          <w:lang w:val="fr-FR"/>
        </w:rPr>
        <w:t>Revised</w:t>
      </w:r>
      <w:proofErr w:type="spellEnd"/>
      <w:r w:rsidR="00DA107E" w:rsidRPr="00C13077">
        <w:rPr>
          <w:i/>
          <w:lang w:val="fr-FR"/>
        </w:rPr>
        <w:t xml:space="preserve"> report</w:t>
      </w:r>
      <w:r w:rsidR="00C71179" w:rsidRPr="00D14023">
        <w:rPr>
          <w:lang w:val="fr-FR"/>
        </w:rPr>
        <w:t xml:space="preserve">” </w:t>
      </w:r>
      <w:r w:rsidR="00846BF8" w:rsidRPr="00D14023">
        <w:rPr>
          <w:lang w:val="fr-FR"/>
        </w:rPr>
        <w:t>(</w:t>
      </w:r>
      <w:r w:rsidR="00FB7E07" w:rsidRPr="00D14023">
        <w:rPr>
          <w:lang w:val="fr-FR"/>
        </w:rPr>
        <w:t>paragraphes</w:t>
      </w:r>
      <w:r w:rsidR="00FB7E07">
        <w:rPr>
          <w:lang w:val="fr-FR"/>
        </w:rPr>
        <w:t> </w:t>
      </w:r>
      <w:r w:rsidR="00FB7E07" w:rsidRPr="00D14023">
        <w:rPr>
          <w:lang w:val="fr-FR"/>
        </w:rPr>
        <w:t>4</w:t>
      </w:r>
      <w:r w:rsidR="00C71179" w:rsidRPr="00D14023">
        <w:rPr>
          <w:lang w:val="fr-FR"/>
        </w:rPr>
        <w:t xml:space="preserve">7 </w:t>
      </w:r>
      <w:r w:rsidR="009A67F5" w:rsidRPr="00D14023">
        <w:rPr>
          <w:lang w:val="fr-FR"/>
        </w:rPr>
        <w:t>à</w:t>
      </w:r>
      <w:r w:rsidR="00C71179" w:rsidRPr="00D14023">
        <w:rPr>
          <w:lang w:val="fr-FR"/>
        </w:rPr>
        <w:t xml:space="preserve"> 52</w:t>
      </w:r>
      <w:r w:rsidR="00846BF8" w:rsidRPr="00D14023">
        <w:rPr>
          <w:lang w:val="fr-FR"/>
        </w:rPr>
        <w:t>)</w:t>
      </w:r>
      <w:r w:rsidRPr="00D14023">
        <w:rPr>
          <w:rFonts w:cs="Arial"/>
          <w:lang w:val="fr-FR"/>
        </w:rPr>
        <w:t xml:space="preserve">; </w:t>
      </w:r>
      <w:r w:rsidR="00D77E57">
        <w:rPr>
          <w:rFonts w:cs="Arial"/>
          <w:lang w:val="fr-FR"/>
        </w:rPr>
        <w:t xml:space="preserve"> </w:t>
      </w:r>
      <w:r w:rsidR="00C71179" w:rsidRPr="00D14023">
        <w:rPr>
          <w:lang w:val="fr-FR"/>
        </w:rPr>
        <w:t>TWV/50/25</w:t>
      </w:r>
      <w:r w:rsidR="00222D0D" w:rsidRPr="00D14023">
        <w:rPr>
          <w:lang w:val="fr-FR"/>
        </w:rPr>
        <w:t>,</w:t>
      </w:r>
      <w:r w:rsidR="00C71179" w:rsidRPr="00D14023">
        <w:rPr>
          <w:lang w:val="fr-FR"/>
        </w:rPr>
        <w:t xml:space="preserve"> </w:t>
      </w:r>
      <w:r w:rsidR="00846BF8" w:rsidRPr="00D14023">
        <w:rPr>
          <w:lang w:val="fr-FR"/>
        </w:rPr>
        <w:t xml:space="preserve">intitulé </w:t>
      </w:r>
      <w:r w:rsidR="00C71179" w:rsidRPr="00D14023">
        <w:rPr>
          <w:lang w:val="fr-FR"/>
        </w:rPr>
        <w:t>“</w:t>
      </w:r>
      <w:r w:rsidR="00C71179" w:rsidRPr="00C13077">
        <w:rPr>
          <w:i/>
          <w:lang w:val="fr-FR"/>
        </w:rPr>
        <w:t>Report</w:t>
      </w:r>
      <w:r w:rsidR="00C71179" w:rsidRPr="00D14023">
        <w:rPr>
          <w:lang w:val="fr-FR"/>
        </w:rPr>
        <w:t xml:space="preserve">” </w:t>
      </w:r>
      <w:r w:rsidR="00846BF8" w:rsidRPr="00D14023">
        <w:rPr>
          <w:lang w:val="fr-FR"/>
        </w:rPr>
        <w:t>(</w:t>
      </w:r>
      <w:r w:rsidR="00FB7E07" w:rsidRPr="00D14023">
        <w:rPr>
          <w:lang w:val="fr-FR"/>
        </w:rPr>
        <w:t>paragraphes</w:t>
      </w:r>
      <w:r w:rsidR="00FB7E07">
        <w:rPr>
          <w:lang w:val="fr-FR"/>
        </w:rPr>
        <w:t> </w:t>
      </w:r>
      <w:r w:rsidR="00FB7E07" w:rsidRPr="00D14023">
        <w:rPr>
          <w:lang w:val="fr-FR"/>
        </w:rPr>
        <w:t>6</w:t>
      </w:r>
      <w:r w:rsidR="00C71179" w:rsidRPr="00D14023">
        <w:rPr>
          <w:lang w:val="fr-FR"/>
        </w:rPr>
        <w:t xml:space="preserve">8 </w:t>
      </w:r>
      <w:r w:rsidR="009A67F5" w:rsidRPr="00D14023">
        <w:rPr>
          <w:lang w:val="fr-FR"/>
        </w:rPr>
        <w:t>à</w:t>
      </w:r>
      <w:r w:rsidR="00C71179" w:rsidRPr="00D14023">
        <w:rPr>
          <w:lang w:val="fr-FR"/>
        </w:rPr>
        <w:t xml:space="preserve"> 75</w:t>
      </w:r>
      <w:r w:rsidR="00846BF8" w:rsidRPr="00D14023">
        <w:rPr>
          <w:lang w:val="fr-FR"/>
        </w:rPr>
        <w:t>)</w:t>
      </w:r>
      <w:r w:rsidRPr="00D14023">
        <w:rPr>
          <w:rFonts w:cs="Arial"/>
          <w:lang w:val="fr-FR"/>
        </w:rPr>
        <w:t xml:space="preserve">; </w:t>
      </w:r>
      <w:r w:rsidR="00D77E57">
        <w:rPr>
          <w:rFonts w:cs="Arial"/>
          <w:lang w:val="fr-FR"/>
        </w:rPr>
        <w:t xml:space="preserve"> </w:t>
      </w:r>
      <w:r w:rsidR="00C71179" w:rsidRPr="00D14023">
        <w:rPr>
          <w:lang w:val="fr-FR"/>
        </w:rPr>
        <w:t>TWA/45/25</w:t>
      </w:r>
      <w:r w:rsidR="00222D0D" w:rsidRPr="00D14023">
        <w:rPr>
          <w:lang w:val="fr-FR"/>
        </w:rPr>
        <w:t>,</w:t>
      </w:r>
      <w:r w:rsidR="00846BF8" w:rsidRPr="00D14023">
        <w:rPr>
          <w:lang w:val="fr-FR"/>
        </w:rPr>
        <w:t xml:space="preserve"> intitulé</w:t>
      </w:r>
      <w:r w:rsidR="00C71179" w:rsidRPr="00D14023">
        <w:rPr>
          <w:lang w:val="fr-FR"/>
        </w:rPr>
        <w:t xml:space="preserve"> “</w:t>
      </w:r>
      <w:r w:rsidR="00C71179" w:rsidRPr="00C13077">
        <w:rPr>
          <w:i/>
          <w:lang w:val="fr-FR"/>
        </w:rPr>
        <w:t>Report</w:t>
      </w:r>
      <w:r w:rsidR="00846BF8" w:rsidRPr="00D14023">
        <w:rPr>
          <w:lang w:val="fr-FR"/>
        </w:rPr>
        <w:t>” (</w:t>
      </w:r>
      <w:r w:rsidR="00FB7E07" w:rsidRPr="00D14023">
        <w:rPr>
          <w:lang w:val="fr-FR"/>
        </w:rPr>
        <w:t>paragraphes</w:t>
      </w:r>
      <w:r w:rsidR="00FB7E07">
        <w:rPr>
          <w:lang w:val="fr-FR"/>
        </w:rPr>
        <w:t> </w:t>
      </w:r>
      <w:r w:rsidR="00FB7E07" w:rsidRPr="00D14023">
        <w:rPr>
          <w:lang w:val="fr-FR"/>
        </w:rPr>
        <w:t>5</w:t>
      </w:r>
      <w:r w:rsidR="00C71179" w:rsidRPr="00D14023">
        <w:rPr>
          <w:lang w:val="fr-FR"/>
        </w:rPr>
        <w:t xml:space="preserve">2 </w:t>
      </w:r>
      <w:r w:rsidR="009A67F5" w:rsidRPr="00D14023">
        <w:rPr>
          <w:lang w:val="fr-FR"/>
        </w:rPr>
        <w:t>à</w:t>
      </w:r>
      <w:r w:rsidR="00C71179" w:rsidRPr="00D14023">
        <w:rPr>
          <w:lang w:val="fr-FR"/>
        </w:rPr>
        <w:t xml:space="preserve"> 58</w:t>
      </w:r>
      <w:r w:rsidR="00846BF8" w:rsidRPr="00D14023">
        <w:rPr>
          <w:lang w:val="fr-FR"/>
        </w:rPr>
        <w:t>)</w:t>
      </w:r>
      <w:r w:rsidRPr="00D14023">
        <w:rPr>
          <w:rFonts w:cs="Arial"/>
          <w:lang w:val="fr-FR"/>
        </w:rPr>
        <w:t>;</w:t>
      </w:r>
      <w:r w:rsidR="00D77E57">
        <w:rPr>
          <w:rFonts w:cs="Arial"/>
          <w:lang w:val="fr-FR"/>
        </w:rPr>
        <w:t xml:space="preserve"> </w:t>
      </w:r>
      <w:r w:rsidRPr="00D14023">
        <w:rPr>
          <w:rFonts w:cs="Arial"/>
          <w:lang w:val="fr-FR"/>
        </w:rPr>
        <w:t xml:space="preserve"> </w:t>
      </w:r>
      <w:r w:rsidR="009A67F5" w:rsidRPr="00D14023">
        <w:rPr>
          <w:rFonts w:cs="Arial"/>
          <w:lang w:val="fr-FR"/>
        </w:rPr>
        <w:t>et</w:t>
      </w:r>
      <w:r w:rsidRPr="00D14023">
        <w:rPr>
          <w:rFonts w:cs="Arial"/>
          <w:lang w:val="fr-FR"/>
        </w:rPr>
        <w:t xml:space="preserve"> </w:t>
      </w:r>
      <w:r w:rsidR="00C71179" w:rsidRPr="00D14023">
        <w:rPr>
          <w:lang w:val="fr-FR"/>
        </w:rPr>
        <w:t>TWF/47/25</w:t>
      </w:r>
      <w:r w:rsidR="00222D0D" w:rsidRPr="00D14023">
        <w:rPr>
          <w:lang w:val="fr-FR"/>
        </w:rPr>
        <w:t>,</w:t>
      </w:r>
      <w:r w:rsidR="00C71179" w:rsidRPr="00D14023">
        <w:rPr>
          <w:lang w:val="fr-FR"/>
        </w:rPr>
        <w:t xml:space="preserve"> </w:t>
      </w:r>
      <w:r w:rsidR="00846BF8" w:rsidRPr="00D14023">
        <w:rPr>
          <w:lang w:val="fr-FR"/>
        </w:rPr>
        <w:t xml:space="preserve">intitulé </w:t>
      </w:r>
      <w:r w:rsidR="00C71179" w:rsidRPr="00D14023">
        <w:rPr>
          <w:lang w:val="fr-FR"/>
        </w:rPr>
        <w:t>“</w:t>
      </w:r>
      <w:r w:rsidR="00C71179" w:rsidRPr="00C13077">
        <w:rPr>
          <w:i/>
          <w:lang w:val="fr-FR"/>
        </w:rPr>
        <w:t>Report</w:t>
      </w:r>
      <w:r w:rsidR="00C71179" w:rsidRPr="00D14023">
        <w:rPr>
          <w:lang w:val="fr-FR"/>
        </w:rPr>
        <w:t xml:space="preserve">” </w:t>
      </w:r>
      <w:r w:rsidR="00846BF8" w:rsidRPr="00D14023">
        <w:rPr>
          <w:lang w:val="fr-FR"/>
        </w:rPr>
        <w:t>(</w:t>
      </w:r>
      <w:r w:rsidR="00C71179" w:rsidRPr="00D14023">
        <w:rPr>
          <w:lang w:val="fr-FR"/>
        </w:rPr>
        <w:t>paragraph</w:t>
      </w:r>
      <w:r w:rsidR="009A67F5" w:rsidRPr="00D14023">
        <w:rPr>
          <w:lang w:val="fr-FR"/>
        </w:rPr>
        <w:t>e</w:t>
      </w:r>
      <w:r w:rsidR="00C71179" w:rsidRPr="00D14023">
        <w:rPr>
          <w:lang w:val="fr-FR"/>
        </w:rPr>
        <w:t xml:space="preserve">s 56 </w:t>
      </w:r>
      <w:r w:rsidR="00DD4E33">
        <w:rPr>
          <w:lang w:val="fr-FR"/>
        </w:rPr>
        <w:t>à</w:t>
      </w:r>
      <w:r w:rsidR="00C71179" w:rsidRPr="00D14023">
        <w:rPr>
          <w:lang w:val="fr-FR"/>
        </w:rPr>
        <w:t xml:space="preserve"> 62</w:t>
      </w:r>
      <w:r w:rsidRPr="00D14023">
        <w:rPr>
          <w:rFonts w:cs="Arial"/>
          <w:lang w:val="fr-FR"/>
        </w:rPr>
        <w:t>)</w:t>
      </w:r>
      <w:r w:rsidR="00222D0D" w:rsidRPr="00D14023">
        <w:rPr>
          <w:rFonts w:cs="Arial"/>
          <w:lang w:val="fr-FR"/>
        </w:rPr>
        <w:t>)</w:t>
      </w:r>
      <w:r w:rsidRPr="00D14023">
        <w:rPr>
          <w:snapToGrid w:val="0"/>
          <w:lang w:val="fr-FR"/>
        </w:rPr>
        <w:t>.</w:t>
      </w:r>
    </w:p>
    <w:p w:rsidR="00970A91" w:rsidRPr="00D14023" w:rsidRDefault="00970A91" w:rsidP="00360330">
      <w:pPr>
        <w:spacing w:line="276" w:lineRule="auto"/>
        <w:rPr>
          <w:lang w:val="fr-FR"/>
        </w:rPr>
      </w:pPr>
    </w:p>
    <w:p w:rsidR="00970A91" w:rsidRPr="00D14023" w:rsidRDefault="002C65F5" w:rsidP="00360330">
      <w:pPr>
        <w:pStyle w:val="Heading2"/>
        <w:spacing w:line="276" w:lineRule="auto"/>
        <w:rPr>
          <w:lang w:val="fr-FR"/>
        </w:rPr>
      </w:pPr>
      <w:bookmarkStart w:id="8" w:name="_Toc475627024"/>
      <w:r w:rsidRPr="00D14023">
        <w:rPr>
          <w:lang w:val="fr-FR"/>
        </w:rPr>
        <w:t>Groupe de travail technique sur les plantes ornementales et les arbres forestiers</w:t>
      </w:r>
      <w:bookmarkEnd w:id="8"/>
    </w:p>
    <w:p w:rsidR="00970A91" w:rsidRPr="00D14023" w:rsidRDefault="00970A91" w:rsidP="00360330">
      <w:pPr>
        <w:spacing w:line="276" w:lineRule="auto"/>
        <w:rPr>
          <w:lang w:val="fr-FR"/>
        </w:rPr>
      </w:pPr>
    </w:p>
    <w:p w:rsidR="00970A91" w:rsidRPr="00D14023" w:rsidRDefault="005D3971" w:rsidP="00360330">
      <w:pPr>
        <w:spacing w:line="276" w:lineRule="auto"/>
        <w:rPr>
          <w:lang w:val="fr-FR"/>
        </w:rPr>
      </w:pPr>
      <w:r w:rsidRPr="00D14023">
        <w:rPr>
          <w:snapToGrid w:val="0"/>
          <w:lang w:val="fr-FR" w:eastAsia="ja-JP"/>
        </w:rPr>
        <w:fldChar w:fldCharType="begin"/>
      </w:r>
      <w:r w:rsidRPr="00D14023">
        <w:rPr>
          <w:snapToGrid w:val="0"/>
          <w:lang w:val="fr-FR" w:eastAsia="ja-JP"/>
        </w:rPr>
        <w:instrText xml:space="preserve"> AUTONUM  </w:instrText>
      </w:r>
      <w:r w:rsidRPr="00D14023">
        <w:rPr>
          <w:snapToGrid w:val="0"/>
          <w:lang w:val="fr-FR" w:eastAsia="ja-JP"/>
        </w:rPr>
        <w:fldChar w:fldCharType="end"/>
      </w:r>
      <w:r w:rsidRPr="00D14023">
        <w:rPr>
          <w:snapToGrid w:val="0"/>
          <w:lang w:val="fr-FR" w:eastAsia="ja-JP"/>
        </w:rPr>
        <w:tab/>
      </w:r>
      <w:r w:rsidR="002C65F5" w:rsidRPr="00D14023">
        <w:rPr>
          <w:snapToGrid w:val="0"/>
          <w:lang w:val="fr-FR" w:eastAsia="ja-JP"/>
        </w:rPr>
        <w:t>Le TWO, à sa quarante</w:t>
      </w:r>
      <w:r w:rsidR="00792874">
        <w:rPr>
          <w:snapToGrid w:val="0"/>
          <w:lang w:val="fr-FR" w:eastAsia="ja-JP"/>
        </w:rPr>
        <w:noBreakHyphen/>
      </w:r>
      <w:r w:rsidR="002C65F5" w:rsidRPr="00D14023">
        <w:rPr>
          <w:snapToGrid w:val="0"/>
          <w:lang w:val="fr-FR" w:eastAsia="ja-JP"/>
        </w:rPr>
        <w:t>neuv</w:t>
      </w:r>
      <w:r w:rsidR="00FB7E07">
        <w:rPr>
          <w:snapToGrid w:val="0"/>
          <w:lang w:val="fr-FR" w:eastAsia="ja-JP"/>
        </w:rPr>
        <w:t>ième session</w:t>
      </w:r>
      <w:r w:rsidR="0035662C" w:rsidRPr="00D14023">
        <w:rPr>
          <w:snapToGrid w:val="0"/>
          <w:lang w:val="fr-FR" w:eastAsia="ja-JP"/>
        </w:rPr>
        <w:t xml:space="preserve">, tenue à </w:t>
      </w:r>
      <w:proofErr w:type="spellStart"/>
      <w:r w:rsidR="0035662C" w:rsidRPr="00D14023">
        <w:rPr>
          <w:snapToGrid w:val="0"/>
          <w:lang w:val="fr-FR" w:eastAsia="ja-JP"/>
        </w:rPr>
        <w:t>Gimcheon</w:t>
      </w:r>
      <w:proofErr w:type="spellEnd"/>
      <w:r w:rsidR="002C65F5" w:rsidRPr="00D14023">
        <w:rPr>
          <w:snapToGrid w:val="0"/>
          <w:lang w:val="fr-FR" w:eastAsia="ja-JP"/>
        </w:rPr>
        <w:t xml:space="preserve"> </w:t>
      </w:r>
      <w:r w:rsidR="0035662C" w:rsidRPr="00D14023">
        <w:rPr>
          <w:snapToGrid w:val="0"/>
          <w:lang w:val="fr-FR" w:eastAsia="ja-JP"/>
        </w:rPr>
        <w:t>(</w:t>
      </w:r>
      <w:r w:rsidR="002C65F5" w:rsidRPr="00D14023">
        <w:rPr>
          <w:snapToGrid w:val="0"/>
          <w:lang w:val="fr-FR" w:eastAsia="ja-JP"/>
        </w:rPr>
        <w:t>République de Corée</w:t>
      </w:r>
      <w:r w:rsidR="0035662C" w:rsidRPr="00D14023">
        <w:rPr>
          <w:snapToGrid w:val="0"/>
          <w:lang w:val="fr-FR" w:eastAsia="ja-JP"/>
        </w:rPr>
        <w:t>)</w:t>
      </w:r>
      <w:r w:rsidR="002C65F5" w:rsidRPr="00D14023">
        <w:rPr>
          <w:snapToGrid w:val="0"/>
          <w:lang w:val="fr-FR" w:eastAsia="ja-JP"/>
        </w:rPr>
        <w:t xml:space="preserve">, a pris note des exposés </w:t>
      </w:r>
      <w:r w:rsidR="000C45EF" w:rsidRPr="00D14023">
        <w:rPr>
          <w:snapToGrid w:val="0"/>
          <w:lang w:val="fr-FR" w:eastAsia="ja-JP"/>
        </w:rPr>
        <w:t>ci</w:t>
      </w:r>
      <w:r w:rsidR="00792874">
        <w:rPr>
          <w:snapToGrid w:val="0"/>
          <w:lang w:val="fr-FR" w:eastAsia="ja-JP"/>
        </w:rPr>
        <w:noBreakHyphen/>
      </w:r>
      <w:r w:rsidR="000C45EF" w:rsidRPr="00D14023">
        <w:rPr>
          <w:snapToGrid w:val="0"/>
          <w:lang w:val="fr-FR" w:eastAsia="ja-JP"/>
        </w:rPr>
        <w:t xml:space="preserve">après </w:t>
      </w:r>
      <w:r w:rsidR="002C65F5" w:rsidRPr="00D14023">
        <w:rPr>
          <w:snapToGrid w:val="0"/>
          <w:lang w:val="fr-FR" w:eastAsia="ja-JP"/>
        </w:rPr>
        <w:t>présentés par les experts sur leurs données d</w:t>
      </w:r>
      <w:r w:rsidR="00FB7E07">
        <w:rPr>
          <w:snapToGrid w:val="0"/>
          <w:lang w:val="fr-FR" w:eastAsia="ja-JP"/>
        </w:rPr>
        <w:t>’</w:t>
      </w:r>
      <w:r w:rsidR="002C65F5" w:rsidRPr="00D14023">
        <w:rPr>
          <w:snapToGrid w:val="0"/>
          <w:lang w:val="fr-FR" w:eastAsia="ja-JP"/>
        </w:rPr>
        <w:t>expérience concernant le rôle du matériel végétal utilisé comme base de l</w:t>
      </w:r>
      <w:r w:rsidR="00FB7E07">
        <w:rPr>
          <w:snapToGrid w:val="0"/>
          <w:lang w:val="fr-FR" w:eastAsia="ja-JP"/>
        </w:rPr>
        <w:t>’</w:t>
      </w:r>
      <w:r w:rsidR="002C65F5" w:rsidRPr="00D14023">
        <w:rPr>
          <w:snapToGrid w:val="0"/>
          <w:lang w:val="fr-FR" w:eastAsia="ja-JP"/>
        </w:rPr>
        <w:t>examen DHS en relation avec les questions visées au paragraphe 6 du présent document</w:t>
      </w:r>
      <w:r w:rsidR="000C45EF" w:rsidRPr="00D14023">
        <w:rPr>
          <w:snapToGrid w:val="0"/>
          <w:lang w:val="fr-FR" w:eastAsia="ja-JP"/>
        </w:rPr>
        <w:t xml:space="preserve">, </w:t>
      </w:r>
      <w:r w:rsidR="00FB7E07">
        <w:rPr>
          <w:snapToGrid w:val="0"/>
          <w:lang w:val="fr-FR" w:eastAsia="ja-JP"/>
        </w:rPr>
        <w:t>à savoir</w:t>
      </w:r>
      <w:r w:rsidR="002C65F5" w:rsidRPr="00D14023">
        <w:rPr>
          <w:snapToGrid w:val="0"/>
          <w:lang w:val="fr-FR" w:eastAsia="ja-JP"/>
        </w:rPr>
        <w:t xml:space="preserve"> (</w:t>
      </w:r>
      <w:r w:rsidR="000C45EF" w:rsidRPr="00D14023">
        <w:rPr>
          <w:snapToGrid w:val="0"/>
          <w:lang w:val="fr-FR" w:eastAsia="ja-JP"/>
        </w:rPr>
        <w:t>selon l</w:t>
      </w:r>
      <w:r w:rsidR="00FB7E07">
        <w:rPr>
          <w:snapToGrid w:val="0"/>
          <w:lang w:val="fr-FR" w:eastAsia="ja-JP"/>
        </w:rPr>
        <w:t>’</w:t>
      </w:r>
      <w:r w:rsidR="000C45EF" w:rsidRPr="00D14023">
        <w:rPr>
          <w:snapToGrid w:val="0"/>
          <w:lang w:val="fr-FR" w:eastAsia="ja-JP"/>
        </w:rPr>
        <w:t>o</w:t>
      </w:r>
      <w:r w:rsidR="002C65F5" w:rsidRPr="00D14023">
        <w:rPr>
          <w:snapToGrid w:val="0"/>
          <w:lang w:val="fr-FR" w:eastAsia="ja-JP"/>
        </w:rPr>
        <w:t>rdre alphabétique</w:t>
      </w:r>
      <w:r w:rsidR="000C45EF" w:rsidRPr="00D14023">
        <w:rPr>
          <w:snapToGrid w:val="0"/>
          <w:lang w:val="fr-FR" w:eastAsia="ja-JP"/>
        </w:rPr>
        <w:t xml:space="preserve"> anglais</w:t>
      </w:r>
      <w:r w:rsidR="002C65F5" w:rsidRPr="00D14023">
        <w:rPr>
          <w:snapToGrid w:val="0"/>
          <w:lang w:val="fr-FR" w:eastAsia="ja-JP"/>
        </w:rPr>
        <w:t>)</w:t>
      </w:r>
      <w:r w:rsidR="00D77E57">
        <w:rPr>
          <w:snapToGrid w:val="0"/>
          <w:lang w:val="fr-FR" w:eastAsia="ja-JP"/>
        </w:rPr>
        <w:t> :</w:t>
      </w:r>
    </w:p>
    <w:p w:rsidR="005D3971" w:rsidRPr="00D14023" w:rsidRDefault="005D3971" w:rsidP="00360330">
      <w:pPr>
        <w:spacing w:line="276" w:lineRule="auto"/>
        <w:rPr>
          <w:lang w:val="fr-FR"/>
        </w:rPr>
      </w:pPr>
    </w:p>
    <w:tbl>
      <w:tblPr>
        <w:tblStyle w:val="TableGrid"/>
        <w:tblW w:w="962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7111"/>
      </w:tblGrid>
      <w:tr w:rsidR="00973B87" w:rsidRPr="00C13077" w:rsidTr="00D956A6">
        <w:tc>
          <w:tcPr>
            <w:tcW w:w="2518" w:type="dxa"/>
          </w:tcPr>
          <w:p w:rsidR="005D3971" w:rsidRPr="00D14023" w:rsidRDefault="002C65F5" w:rsidP="00360330">
            <w:pPr>
              <w:spacing w:line="276" w:lineRule="auto"/>
              <w:rPr>
                <w:rFonts w:eastAsia="SimSun"/>
                <w:lang w:val="fr-FR"/>
              </w:rPr>
            </w:pPr>
            <w:r w:rsidRPr="00D14023">
              <w:rPr>
                <w:rFonts w:eastAsia="SimSun"/>
                <w:lang w:val="fr-FR"/>
              </w:rPr>
              <w:t>Australie</w:t>
            </w:r>
          </w:p>
        </w:tc>
        <w:tc>
          <w:tcPr>
            <w:tcW w:w="7111" w:type="dxa"/>
          </w:tcPr>
          <w:p w:rsidR="005D3971" w:rsidRPr="00D14023" w:rsidRDefault="002C65F5" w:rsidP="00360330">
            <w:pPr>
              <w:spacing w:line="276" w:lineRule="auto"/>
              <w:rPr>
                <w:rFonts w:eastAsia="SimSun"/>
                <w:lang w:val="fr-FR"/>
              </w:rPr>
            </w:pPr>
            <w:r w:rsidRPr="00D14023">
              <w:rPr>
                <w:rFonts w:eastAsia="SimSun"/>
                <w:lang w:val="fr-FR"/>
              </w:rPr>
              <w:t>Rôle et fonctions des descriptions variétales en Australie</w:t>
            </w:r>
          </w:p>
        </w:tc>
      </w:tr>
      <w:tr w:rsidR="00973B87" w:rsidRPr="00C13077" w:rsidTr="00D956A6">
        <w:tc>
          <w:tcPr>
            <w:tcW w:w="2518" w:type="dxa"/>
          </w:tcPr>
          <w:p w:rsidR="005D3971" w:rsidRPr="00D14023" w:rsidRDefault="002C65F5" w:rsidP="00360330">
            <w:pPr>
              <w:spacing w:line="276" w:lineRule="auto"/>
              <w:rPr>
                <w:rFonts w:eastAsia="SimSun"/>
                <w:lang w:val="fr-FR"/>
              </w:rPr>
            </w:pPr>
            <w:r w:rsidRPr="00D14023">
              <w:rPr>
                <w:rFonts w:eastAsia="SimSun"/>
                <w:lang w:val="fr-FR"/>
              </w:rPr>
              <w:t>Union européenne</w:t>
            </w:r>
          </w:p>
        </w:tc>
        <w:tc>
          <w:tcPr>
            <w:tcW w:w="7111" w:type="dxa"/>
          </w:tcPr>
          <w:p w:rsidR="005D3971" w:rsidRPr="00D14023" w:rsidRDefault="002C65F5" w:rsidP="00360330">
            <w:pPr>
              <w:spacing w:line="276" w:lineRule="auto"/>
              <w:rPr>
                <w:rFonts w:eastAsia="SimSun"/>
                <w:lang w:val="fr-FR"/>
              </w:rPr>
            </w:pPr>
            <w:r w:rsidRPr="00D14023">
              <w:rPr>
                <w:rFonts w:eastAsia="SimSun"/>
                <w:lang w:val="fr-FR"/>
              </w:rPr>
              <w:t>Actualisation des descriptions variétales</w:t>
            </w:r>
            <w:r w:rsidR="00FB7E07">
              <w:rPr>
                <w:rFonts w:eastAsia="SimSun"/>
                <w:lang w:val="fr-FR"/>
              </w:rPr>
              <w:t xml:space="preserve"> – </w:t>
            </w:r>
            <w:r w:rsidRPr="00D14023">
              <w:rPr>
                <w:rFonts w:eastAsia="SimSun"/>
                <w:lang w:val="fr-FR"/>
              </w:rPr>
              <w:t>Résultat de l</w:t>
            </w:r>
            <w:r w:rsidR="00FB7E07">
              <w:rPr>
                <w:rFonts w:eastAsia="SimSun"/>
                <w:lang w:val="fr-FR"/>
              </w:rPr>
              <w:t>’</w:t>
            </w:r>
            <w:r w:rsidR="00C13077">
              <w:rPr>
                <w:rFonts w:eastAsia="SimSun"/>
                <w:lang w:val="fr-FR"/>
              </w:rPr>
              <w:t>étude</w:t>
            </w:r>
          </w:p>
        </w:tc>
      </w:tr>
      <w:tr w:rsidR="00973B87" w:rsidRPr="00C13077" w:rsidTr="00D956A6">
        <w:tc>
          <w:tcPr>
            <w:tcW w:w="2518" w:type="dxa"/>
          </w:tcPr>
          <w:p w:rsidR="005D3971" w:rsidRPr="00D14023" w:rsidRDefault="002C65F5" w:rsidP="00360330">
            <w:pPr>
              <w:spacing w:line="276" w:lineRule="auto"/>
              <w:rPr>
                <w:rFonts w:eastAsia="SimSun"/>
                <w:lang w:val="fr-FR"/>
              </w:rPr>
            </w:pPr>
            <w:r w:rsidRPr="00D14023">
              <w:rPr>
                <w:rFonts w:eastAsia="SimSun"/>
                <w:lang w:val="fr-FR"/>
              </w:rPr>
              <w:t>Allemagne</w:t>
            </w:r>
            <w:r w:rsidR="005D3971" w:rsidRPr="00D14023">
              <w:rPr>
                <w:rFonts w:eastAsia="SimSun"/>
                <w:lang w:val="fr-FR"/>
              </w:rPr>
              <w:t xml:space="preserve"> </w:t>
            </w:r>
          </w:p>
        </w:tc>
        <w:tc>
          <w:tcPr>
            <w:tcW w:w="7111" w:type="dxa"/>
          </w:tcPr>
          <w:p w:rsidR="000C45EF" w:rsidRPr="00D14023" w:rsidRDefault="002C65F5" w:rsidP="00DD4E33">
            <w:pPr>
              <w:spacing w:line="276" w:lineRule="auto"/>
              <w:rPr>
                <w:rFonts w:eastAsia="SimSun"/>
                <w:lang w:val="fr-FR"/>
              </w:rPr>
            </w:pPr>
            <w:r w:rsidRPr="00D14023">
              <w:rPr>
                <w:rFonts w:eastAsia="SimSun"/>
                <w:lang w:val="fr-FR"/>
              </w:rPr>
              <w:t>Rôle du matériel végétal utilisé comme base de l</w:t>
            </w:r>
            <w:r w:rsidR="00FB7E07">
              <w:rPr>
                <w:rFonts w:eastAsia="SimSun"/>
                <w:lang w:val="fr-FR"/>
              </w:rPr>
              <w:t>’</w:t>
            </w:r>
            <w:r w:rsidRPr="00D14023">
              <w:rPr>
                <w:rFonts w:eastAsia="SimSun"/>
                <w:lang w:val="fr-FR"/>
              </w:rPr>
              <w:t>examen</w:t>
            </w:r>
            <w:r w:rsidR="00D77E57">
              <w:rPr>
                <w:rFonts w:eastAsia="SimSun"/>
                <w:lang w:val="fr-FR"/>
              </w:rPr>
              <w:t> </w:t>
            </w:r>
            <w:r w:rsidRPr="00D14023">
              <w:rPr>
                <w:rFonts w:eastAsia="SimSun"/>
                <w:lang w:val="fr-FR"/>
              </w:rPr>
              <w:t>DHS</w:t>
            </w:r>
          </w:p>
        </w:tc>
      </w:tr>
    </w:tbl>
    <w:p w:rsidR="00DD4E33" w:rsidRDefault="00DD4E33" w:rsidP="00360330">
      <w:pPr>
        <w:pStyle w:val="ListParagraph"/>
        <w:spacing w:line="276" w:lineRule="auto"/>
        <w:ind w:left="0"/>
        <w:rPr>
          <w:snapToGrid w:val="0"/>
          <w:lang w:val="fr-FR" w:eastAsia="ja-JP"/>
        </w:rPr>
      </w:pPr>
    </w:p>
    <w:p w:rsidR="00970A91" w:rsidRPr="00D14023" w:rsidRDefault="005D3971" w:rsidP="00360330">
      <w:pPr>
        <w:pStyle w:val="ListParagraph"/>
        <w:spacing w:line="276" w:lineRule="auto"/>
        <w:ind w:left="0"/>
        <w:rPr>
          <w:lang w:val="fr-FR" w:eastAsia="en-GB"/>
        </w:rPr>
      </w:pPr>
      <w:r w:rsidRPr="00D14023">
        <w:rPr>
          <w:snapToGrid w:val="0"/>
          <w:lang w:val="fr-FR" w:eastAsia="ja-JP"/>
        </w:rPr>
        <w:fldChar w:fldCharType="begin"/>
      </w:r>
      <w:r w:rsidRPr="00D14023">
        <w:rPr>
          <w:snapToGrid w:val="0"/>
          <w:lang w:val="fr-FR" w:eastAsia="ja-JP"/>
        </w:rPr>
        <w:instrText xml:space="preserve"> AUTONUM  </w:instrText>
      </w:r>
      <w:r w:rsidRPr="00D14023">
        <w:rPr>
          <w:snapToGrid w:val="0"/>
          <w:lang w:val="fr-FR" w:eastAsia="ja-JP"/>
        </w:rPr>
        <w:fldChar w:fldCharType="end"/>
      </w:r>
      <w:r w:rsidRPr="00D14023">
        <w:rPr>
          <w:snapToGrid w:val="0"/>
          <w:lang w:val="fr-FR" w:eastAsia="ja-JP"/>
        </w:rPr>
        <w:tab/>
      </w:r>
      <w:r w:rsidR="002C65F5" w:rsidRPr="00D14023">
        <w:rPr>
          <w:snapToGrid w:val="0"/>
          <w:lang w:val="fr-FR" w:eastAsia="ja-JP"/>
        </w:rPr>
        <w:t>Le TWO a indiqué que les exposés des experts de l</w:t>
      </w:r>
      <w:r w:rsidR="00FB7E07">
        <w:rPr>
          <w:snapToGrid w:val="0"/>
          <w:lang w:val="fr-FR" w:eastAsia="ja-JP"/>
        </w:rPr>
        <w:t>’</w:t>
      </w:r>
      <w:r w:rsidR="002C65F5" w:rsidRPr="00D14023">
        <w:rPr>
          <w:snapToGrid w:val="0"/>
          <w:lang w:val="fr-FR" w:eastAsia="ja-JP"/>
        </w:rPr>
        <w:t>Union européenne et de l</w:t>
      </w:r>
      <w:r w:rsidR="00FB7E07">
        <w:rPr>
          <w:snapToGrid w:val="0"/>
          <w:lang w:val="fr-FR" w:eastAsia="ja-JP"/>
        </w:rPr>
        <w:t>’</w:t>
      </w:r>
      <w:r w:rsidR="002C65F5" w:rsidRPr="00D14023">
        <w:rPr>
          <w:snapToGrid w:val="0"/>
          <w:lang w:val="fr-FR" w:eastAsia="ja-JP"/>
        </w:rPr>
        <w:t xml:space="preserve">Allemagne étaient reproduits aux </w:t>
      </w:r>
      <w:r w:rsidR="00FB7E07" w:rsidRPr="00D14023">
        <w:rPr>
          <w:snapToGrid w:val="0"/>
          <w:lang w:val="fr-FR" w:eastAsia="ja-JP"/>
        </w:rPr>
        <w:t>annexes</w:t>
      </w:r>
      <w:r w:rsidR="00FB7E07">
        <w:rPr>
          <w:snapToGrid w:val="0"/>
          <w:lang w:val="fr-FR" w:eastAsia="ja-JP"/>
        </w:rPr>
        <w:t> </w:t>
      </w:r>
      <w:r w:rsidR="00FB7E07" w:rsidRPr="00D14023">
        <w:rPr>
          <w:snapToGrid w:val="0"/>
          <w:lang w:val="fr-FR" w:eastAsia="ja-JP"/>
        </w:rPr>
        <w:t>I</w:t>
      </w:r>
      <w:r w:rsidR="002C65F5" w:rsidRPr="00D14023">
        <w:rPr>
          <w:snapToGrid w:val="0"/>
          <w:lang w:val="fr-FR" w:eastAsia="ja-JP"/>
        </w:rPr>
        <w:t xml:space="preserve"> et II du document TWO/49/14</w:t>
      </w:r>
      <w:r w:rsidR="00D77E57">
        <w:rPr>
          <w:snapToGrid w:val="0"/>
          <w:lang w:val="fr-FR" w:eastAsia="ja-JP"/>
        </w:rPr>
        <w:t> </w:t>
      </w:r>
      <w:proofErr w:type="spellStart"/>
      <w:r w:rsidR="002C65F5" w:rsidRPr="00D14023">
        <w:rPr>
          <w:snapToGrid w:val="0"/>
          <w:lang w:val="fr-FR" w:eastAsia="ja-JP"/>
        </w:rPr>
        <w:t>A</w:t>
      </w:r>
      <w:r w:rsidR="00DD4E33" w:rsidRPr="00D14023">
        <w:rPr>
          <w:snapToGrid w:val="0"/>
          <w:lang w:val="fr-FR" w:eastAsia="ja-JP"/>
        </w:rPr>
        <w:t>dd</w:t>
      </w:r>
      <w:proofErr w:type="spellEnd"/>
      <w:r w:rsidR="00DD4E33">
        <w:rPr>
          <w:snapToGrid w:val="0"/>
          <w:lang w:val="fr-FR" w:eastAsia="ja-JP"/>
        </w:rPr>
        <w:t xml:space="preserve">.  </w:t>
      </w:r>
      <w:r w:rsidR="00DD4E33" w:rsidRPr="00FB7E07">
        <w:rPr>
          <w:lang w:val="fr-FR" w:eastAsia="en-GB"/>
        </w:rPr>
        <w:t>Le</w:t>
      </w:r>
      <w:r w:rsidR="00FB7E07" w:rsidRPr="00FB7E07">
        <w:rPr>
          <w:lang w:val="fr-FR" w:eastAsia="en-GB"/>
        </w:rPr>
        <w:t> TWO</w:t>
      </w:r>
      <w:r w:rsidR="00B53F4A" w:rsidRPr="00D14023">
        <w:rPr>
          <w:lang w:val="fr-FR" w:eastAsia="en-GB"/>
        </w:rPr>
        <w:t xml:space="preserve"> a indiqué que l</w:t>
      </w:r>
      <w:r w:rsidR="00FB7E07">
        <w:rPr>
          <w:lang w:val="fr-FR" w:eastAsia="en-GB"/>
        </w:rPr>
        <w:t>’</w:t>
      </w:r>
      <w:r w:rsidR="00B53F4A" w:rsidRPr="00D14023">
        <w:rPr>
          <w:lang w:val="fr-FR" w:eastAsia="en-GB"/>
        </w:rPr>
        <w:t>exposé présenté par l</w:t>
      </w:r>
      <w:r w:rsidR="00FB7E07">
        <w:rPr>
          <w:lang w:val="fr-FR" w:eastAsia="en-GB"/>
        </w:rPr>
        <w:t>’</w:t>
      </w:r>
      <w:r w:rsidR="00B53F4A" w:rsidRPr="00D14023">
        <w:rPr>
          <w:lang w:val="fr-FR" w:eastAsia="en-GB"/>
        </w:rPr>
        <w:t>expert de l</w:t>
      </w:r>
      <w:r w:rsidR="00FB7E07">
        <w:rPr>
          <w:lang w:val="fr-FR" w:eastAsia="en-GB"/>
        </w:rPr>
        <w:t>’</w:t>
      </w:r>
      <w:r w:rsidR="00B53F4A" w:rsidRPr="00D14023">
        <w:rPr>
          <w:lang w:val="fr-FR" w:eastAsia="en-GB"/>
        </w:rPr>
        <w:t>Australie serait mis à disposition en tant que document TWO/49/14</w:t>
      </w:r>
      <w:r w:rsidR="00D77E57">
        <w:rPr>
          <w:lang w:val="fr-FR" w:eastAsia="en-GB"/>
        </w:rPr>
        <w:t> </w:t>
      </w:r>
      <w:r w:rsidR="00B53F4A" w:rsidRPr="00D14023">
        <w:rPr>
          <w:lang w:val="fr-FR" w:eastAsia="en-GB"/>
        </w:rPr>
        <w:t>Add.2.</w:t>
      </w:r>
    </w:p>
    <w:p w:rsidR="00970A91" w:rsidRPr="00D14023" w:rsidRDefault="00970A91" w:rsidP="00360330">
      <w:pPr>
        <w:spacing w:line="276" w:lineRule="auto"/>
        <w:rPr>
          <w:lang w:val="fr-FR"/>
        </w:rPr>
      </w:pPr>
    </w:p>
    <w:p w:rsidR="00970A91" w:rsidRPr="00D14023" w:rsidRDefault="00B53F4A" w:rsidP="00360330">
      <w:pPr>
        <w:pStyle w:val="Heading2"/>
        <w:spacing w:line="276" w:lineRule="auto"/>
        <w:rPr>
          <w:rStyle w:val="Emphasis"/>
          <w:i w:val="0"/>
          <w:iCs w:val="0"/>
          <w:lang w:val="fr-FR"/>
        </w:rPr>
      </w:pPr>
      <w:bookmarkStart w:id="9" w:name="_Toc475627025"/>
      <w:r w:rsidRPr="00D14023">
        <w:rPr>
          <w:rStyle w:val="Emphasis"/>
          <w:i w:val="0"/>
          <w:iCs w:val="0"/>
          <w:lang w:val="fr-FR"/>
        </w:rPr>
        <w:t>Groupe de travail technique sur les plantes potagères</w:t>
      </w:r>
      <w:bookmarkEnd w:id="9"/>
    </w:p>
    <w:p w:rsidR="00970A91" w:rsidRPr="00D14023" w:rsidRDefault="00970A91" w:rsidP="00360330">
      <w:pPr>
        <w:spacing w:line="276" w:lineRule="auto"/>
        <w:rPr>
          <w:lang w:val="fr-FR"/>
        </w:rPr>
      </w:pPr>
    </w:p>
    <w:p w:rsidR="00970A91" w:rsidRPr="00D14023" w:rsidRDefault="00BB32AB" w:rsidP="00360330">
      <w:pPr>
        <w:spacing w:line="276" w:lineRule="auto"/>
        <w:rPr>
          <w:lang w:val="fr-FR"/>
        </w:rPr>
      </w:pPr>
      <w:r w:rsidRPr="00D14023">
        <w:rPr>
          <w:lang w:val="fr-FR"/>
        </w:rPr>
        <w:fldChar w:fldCharType="begin"/>
      </w:r>
      <w:r w:rsidRPr="00D14023">
        <w:rPr>
          <w:lang w:val="fr-FR"/>
        </w:rPr>
        <w:instrText xml:space="preserve"> AUTONUM  </w:instrText>
      </w:r>
      <w:r w:rsidRPr="00D14023">
        <w:rPr>
          <w:lang w:val="fr-FR"/>
        </w:rPr>
        <w:fldChar w:fldCharType="end"/>
      </w:r>
      <w:r w:rsidRPr="00D14023">
        <w:rPr>
          <w:lang w:val="fr-FR"/>
        </w:rPr>
        <w:tab/>
      </w:r>
      <w:r w:rsidR="00D05CB1" w:rsidRPr="00D14023">
        <w:rPr>
          <w:lang w:val="fr-FR"/>
        </w:rPr>
        <w:t>Le TWT, à sa cinquant</w:t>
      </w:r>
      <w:r w:rsidR="00FB7E07">
        <w:rPr>
          <w:lang w:val="fr-FR"/>
        </w:rPr>
        <w:t>ième session</w:t>
      </w:r>
      <w:r w:rsidR="00D05CB1" w:rsidRPr="00D14023">
        <w:rPr>
          <w:lang w:val="fr-FR"/>
        </w:rPr>
        <w:t>, tenue à Brno (République tchèque), a examiné les exposés ci</w:t>
      </w:r>
      <w:r w:rsidR="00792874">
        <w:rPr>
          <w:lang w:val="fr-FR"/>
        </w:rPr>
        <w:noBreakHyphen/>
      </w:r>
      <w:r w:rsidR="00D05CB1" w:rsidRPr="00D14023">
        <w:rPr>
          <w:lang w:val="fr-FR"/>
        </w:rPr>
        <w:t>après présentés par les experts sur leurs données d</w:t>
      </w:r>
      <w:r w:rsidR="00FB7E07">
        <w:rPr>
          <w:lang w:val="fr-FR"/>
        </w:rPr>
        <w:t>’</w:t>
      </w:r>
      <w:r w:rsidR="00D05CB1" w:rsidRPr="00D14023">
        <w:rPr>
          <w:lang w:val="fr-FR"/>
        </w:rPr>
        <w:t>expérience concernant le rôle du matériel végétal utilisé comme base de l</w:t>
      </w:r>
      <w:r w:rsidR="00FB7E07">
        <w:rPr>
          <w:lang w:val="fr-FR"/>
        </w:rPr>
        <w:t>’</w:t>
      </w:r>
      <w:r w:rsidR="00D05CB1" w:rsidRPr="00D14023">
        <w:rPr>
          <w:lang w:val="fr-FR"/>
        </w:rPr>
        <w:t>examen DHS en relation avec les questions visées au paragraphe 6 du présent document.</w:t>
      </w:r>
    </w:p>
    <w:p w:rsidR="00BB32AB" w:rsidRPr="00D14023" w:rsidRDefault="00BB32AB" w:rsidP="00360330">
      <w:pPr>
        <w:spacing w:line="276" w:lineRule="auto"/>
        <w:rPr>
          <w:lang w:val="fr-FR"/>
        </w:rPr>
      </w:pPr>
    </w:p>
    <w:tbl>
      <w:tblPr>
        <w:tblStyle w:val="TableGrid"/>
        <w:tblW w:w="962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7111"/>
      </w:tblGrid>
      <w:tr w:rsidR="00973B87" w:rsidRPr="00C13077" w:rsidTr="006475E5">
        <w:tc>
          <w:tcPr>
            <w:tcW w:w="2518" w:type="dxa"/>
          </w:tcPr>
          <w:p w:rsidR="00871F3A" w:rsidRPr="00D14023" w:rsidRDefault="00970A91" w:rsidP="00360330">
            <w:pPr>
              <w:spacing w:line="276" w:lineRule="auto"/>
              <w:rPr>
                <w:rFonts w:eastAsia="SimSun"/>
                <w:lang w:val="fr-FR"/>
              </w:rPr>
            </w:pPr>
            <w:r w:rsidRPr="00D14023">
              <w:rPr>
                <w:rFonts w:eastAsia="SimSun"/>
                <w:lang w:val="fr-FR"/>
              </w:rPr>
              <w:t>Union européenne</w:t>
            </w:r>
          </w:p>
        </w:tc>
        <w:tc>
          <w:tcPr>
            <w:tcW w:w="7111" w:type="dxa"/>
          </w:tcPr>
          <w:p w:rsidR="00871F3A" w:rsidRPr="00D14023" w:rsidRDefault="00970A91" w:rsidP="00360330">
            <w:pPr>
              <w:spacing w:line="276" w:lineRule="auto"/>
              <w:rPr>
                <w:rFonts w:eastAsia="SimSun"/>
                <w:lang w:val="fr-FR"/>
              </w:rPr>
            </w:pPr>
            <w:r w:rsidRPr="00D14023">
              <w:rPr>
                <w:rFonts w:eastAsia="SimSun"/>
                <w:lang w:val="fr-FR"/>
              </w:rPr>
              <w:t>Actualisation des descriptions variétales</w:t>
            </w:r>
            <w:r w:rsidR="00FB7E07">
              <w:rPr>
                <w:rFonts w:eastAsia="SimSun"/>
                <w:lang w:val="fr-FR"/>
              </w:rPr>
              <w:t xml:space="preserve"> – </w:t>
            </w:r>
            <w:r w:rsidRPr="00D14023">
              <w:rPr>
                <w:rFonts w:eastAsia="SimSun"/>
                <w:lang w:val="fr-FR"/>
              </w:rPr>
              <w:t>Résultat de l</w:t>
            </w:r>
            <w:r w:rsidR="00FB7E07">
              <w:rPr>
                <w:rFonts w:eastAsia="SimSun"/>
                <w:lang w:val="fr-FR"/>
              </w:rPr>
              <w:t>’</w:t>
            </w:r>
            <w:r w:rsidRPr="00D14023">
              <w:rPr>
                <w:rFonts w:eastAsia="SimSun"/>
                <w:lang w:val="fr-FR"/>
              </w:rPr>
              <w:t>étude</w:t>
            </w:r>
          </w:p>
        </w:tc>
      </w:tr>
      <w:tr w:rsidR="00973B87" w:rsidRPr="00C13077" w:rsidTr="006475E5">
        <w:tc>
          <w:tcPr>
            <w:tcW w:w="2518" w:type="dxa"/>
          </w:tcPr>
          <w:p w:rsidR="00871F3A" w:rsidRPr="00D14023" w:rsidRDefault="00970A91" w:rsidP="00360330">
            <w:pPr>
              <w:spacing w:line="276" w:lineRule="auto"/>
              <w:rPr>
                <w:rFonts w:eastAsia="SimSun"/>
                <w:lang w:val="fr-FR"/>
              </w:rPr>
            </w:pPr>
            <w:r w:rsidRPr="00D14023">
              <w:rPr>
                <w:rFonts w:eastAsia="SimSun"/>
                <w:lang w:val="fr-FR"/>
              </w:rPr>
              <w:t>France</w:t>
            </w:r>
            <w:r w:rsidR="00871F3A" w:rsidRPr="00D14023">
              <w:rPr>
                <w:rFonts w:eastAsia="SimSun"/>
                <w:lang w:val="fr-FR"/>
              </w:rPr>
              <w:t xml:space="preserve"> </w:t>
            </w:r>
          </w:p>
        </w:tc>
        <w:tc>
          <w:tcPr>
            <w:tcW w:w="7111" w:type="dxa"/>
          </w:tcPr>
          <w:p w:rsidR="00871F3A" w:rsidRPr="00D14023" w:rsidRDefault="00970A91" w:rsidP="00360330">
            <w:pPr>
              <w:spacing w:line="276" w:lineRule="auto"/>
              <w:rPr>
                <w:rFonts w:eastAsia="SimSun"/>
                <w:lang w:val="fr-FR"/>
              </w:rPr>
            </w:pPr>
            <w:r w:rsidRPr="00D14023">
              <w:rPr>
                <w:rFonts w:eastAsia="SimSun"/>
                <w:lang w:val="fr-FR"/>
              </w:rPr>
              <w:t>Descriptions variétale</w:t>
            </w:r>
            <w:r w:rsidR="00DD4E33">
              <w:rPr>
                <w:rFonts w:eastAsia="SimSun"/>
                <w:lang w:val="fr-FR"/>
              </w:rPr>
              <w:t xml:space="preserve">s </w:t>
            </w:r>
            <w:r w:rsidR="00FB7E07">
              <w:rPr>
                <w:rFonts w:eastAsia="SimSun"/>
                <w:lang w:val="fr-FR"/>
              </w:rPr>
              <w:t xml:space="preserve">– </w:t>
            </w:r>
            <w:r w:rsidRPr="00D14023">
              <w:rPr>
                <w:rFonts w:eastAsia="SimSun"/>
                <w:lang w:val="fr-FR"/>
              </w:rPr>
              <w:t>rôle du matériel végétal dans l</w:t>
            </w:r>
            <w:r w:rsidR="00FB7E07">
              <w:rPr>
                <w:rFonts w:eastAsia="SimSun"/>
                <w:lang w:val="fr-FR"/>
              </w:rPr>
              <w:t>’</w:t>
            </w:r>
            <w:r w:rsidRPr="00D14023">
              <w:rPr>
                <w:rFonts w:eastAsia="SimSun"/>
                <w:lang w:val="fr-FR"/>
              </w:rPr>
              <w:t>examen</w:t>
            </w:r>
            <w:r w:rsidR="00D77E57">
              <w:rPr>
                <w:rFonts w:eastAsia="SimSun"/>
                <w:lang w:val="fr-FR"/>
              </w:rPr>
              <w:t> </w:t>
            </w:r>
            <w:r w:rsidRPr="00D14023">
              <w:rPr>
                <w:rFonts w:eastAsia="SimSun"/>
                <w:lang w:val="fr-FR"/>
              </w:rPr>
              <w:t>DHS</w:t>
            </w:r>
          </w:p>
        </w:tc>
      </w:tr>
    </w:tbl>
    <w:p w:rsidR="00970A91" w:rsidRPr="00D14023" w:rsidRDefault="00970A91" w:rsidP="00360330">
      <w:pPr>
        <w:spacing w:line="276" w:lineRule="auto"/>
        <w:rPr>
          <w:lang w:val="fr-FR"/>
        </w:rPr>
      </w:pPr>
    </w:p>
    <w:p w:rsidR="00970A91" w:rsidRPr="00D14023" w:rsidRDefault="00BB32AB" w:rsidP="00360330">
      <w:pPr>
        <w:spacing w:line="276" w:lineRule="auto"/>
        <w:rPr>
          <w:lang w:val="fr-FR"/>
        </w:rPr>
      </w:pPr>
      <w:r w:rsidRPr="00D14023">
        <w:rPr>
          <w:szCs w:val="24"/>
          <w:lang w:val="fr-FR"/>
        </w:rPr>
        <w:fldChar w:fldCharType="begin"/>
      </w:r>
      <w:r w:rsidRPr="00D14023">
        <w:rPr>
          <w:szCs w:val="24"/>
          <w:lang w:val="fr-FR"/>
        </w:rPr>
        <w:instrText xml:space="preserve"> AUTONUM  </w:instrText>
      </w:r>
      <w:r w:rsidRPr="00D14023">
        <w:rPr>
          <w:szCs w:val="24"/>
          <w:lang w:val="fr-FR"/>
        </w:rPr>
        <w:fldChar w:fldCharType="end"/>
      </w:r>
      <w:r w:rsidRPr="00D14023">
        <w:rPr>
          <w:szCs w:val="24"/>
          <w:lang w:val="fr-FR"/>
        </w:rPr>
        <w:tab/>
      </w:r>
      <w:r w:rsidR="00970A91" w:rsidRPr="00D14023">
        <w:rPr>
          <w:szCs w:val="24"/>
          <w:lang w:val="fr-FR"/>
        </w:rPr>
        <w:t xml:space="preserve">Le TWV a indiqué que </w:t>
      </w:r>
      <w:r w:rsidR="00CB0EE3" w:rsidRPr="00D14023">
        <w:rPr>
          <w:szCs w:val="24"/>
          <w:lang w:val="fr-FR"/>
        </w:rPr>
        <w:t>les</w:t>
      </w:r>
      <w:r w:rsidR="00970A91" w:rsidRPr="00D14023">
        <w:rPr>
          <w:szCs w:val="24"/>
          <w:lang w:val="fr-FR"/>
        </w:rPr>
        <w:t xml:space="preserve"> exposés présentés par les experts de l</w:t>
      </w:r>
      <w:r w:rsidR="00FB7E07">
        <w:rPr>
          <w:szCs w:val="24"/>
          <w:lang w:val="fr-FR"/>
        </w:rPr>
        <w:t>’</w:t>
      </w:r>
      <w:r w:rsidR="00970A91" w:rsidRPr="00D14023">
        <w:rPr>
          <w:szCs w:val="24"/>
          <w:lang w:val="fr-FR"/>
        </w:rPr>
        <w:t xml:space="preserve">Union européenne et de la France </w:t>
      </w:r>
      <w:r w:rsidR="00CB0EE3" w:rsidRPr="00D14023">
        <w:rPr>
          <w:szCs w:val="24"/>
          <w:lang w:val="fr-FR"/>
        </w:rPr>
        <w:t>peuvent être consultés</w:t>
      </w:r>
      <w:r w:rsidR="00970A91" w:rsidRPr="00D14023">
        <w:rPr>
          <w:szCs w:val="24"/>
          <w:lang w:val="fr-FR"/>
        </w:rPr>
        <w:t xml:space="preserve"> dans le document TWV/50/14</w:t>
      </w:r>
      <w:r w:rsidR="00D77E57">
        <w:rPr>
          <w:szCs w:val="24"/>
          <w:lang w:val="fr-FR"/>
        </w:rPr>
        <w:t> </w:t>
      </w:r>
      <w:proofErr w:type="spellStart"/>
      <w:r w:rsidR="00970A91" w:rsidRPr="00D14023">
        <w:rPr>
          <w:szCs w:val="24"/>
          <w:lang w:val="fr-FR"/>
        </w:rPr>
        <w:t>A</w:t>
      </w:r>
      <w:r w:rsidR="00DD4E33" w:rsidRPr="00D14023">
        <w:rPr>
          <w:szCs w:val="24"/>
          <w:lang w:val="fr-FR"/>
        </w:rPr>
        <w:t>dd</w:t>
      </w:r>
      <w:proofErr w:type="spellEnd"/>
      <w:r w:rsidR="00DD4E33">
        <w:rPr>
          <w:szCs w:val="24"/>
          <w:lang w:val="fr-FR"/>
        </w:rPr>
        <w:t xml:space="preserve">.  </w:t>
      </w:r>
      <w:r w:rsidR="00DD4E33" w:rsidRPr="00FB7E07">
        <w:rPr>
          <w:lang w:val="fr-FR"/>
        </w:rPr>
        <w:t>Le</w:t>
      </w:r>
      <w:r w:rsidR="00FB7E07" w:rsidRPr="00FB7E07">
        <w:rPr>
          <w:lang w:val="fr-FR"/>
        </w:rPr>
        <w:t> TWV</w:t>
      </w:r>
      <w:r w:rsidR="00970A91" w:rsidRPr="00D14023">
        <w:rPr>
          <w:lang w:val="fr-FR"/>
        </w:rPr>
        <w:t xml:space="preserve"> est convenu qu</w:t>
      </w:r>
      <w:r w:rsidR="00FB7E07">
        <w:rPr>
          <w:lang w:val="fr-FR"/>
        </w:rPr>
        <w:t>’</w:t>
      </w:r>
      <w:r w:rsidR="00970A91" w:rsidRPr="00D14023">
        <w:rPr>
          <w:lang w:val="fr-FR"/>
        </w:rPr>
        <w:t>à des fins de recensement l</w:t>
      </w:r>
      <w:r w:rsidR="00FB7E07">
        <w:rPr>
          <w:lang w:val="fr-FR"/>
        </w:rPr>
        <w:t>’</w:t>
      </w:r>
      <w:r w:rsidR="00970A91" w:rsidRPr="00D14023">
        <w:rPr>
          <w:lang w:val="fr-FR"/>
        </w:rPr>
        <w:t>échantillon de référence était préféré, dans la mesure où la description variétale n</w:t>
      </w:r>
      <w:r w:rsidR="00FB7E07">
        <w:rPr>
          <w:lang w:val="fr-FR"/>
        </w:rPr>
        <w:t>’</w:t>
      </w:r>
      <w:r w:rsidR="00970A91" w:rsidRPr="00D14023">
        <w:rPr>
          <w:lang w:val="fr-FR"/>
        </w:rPr>
        <w:t>est qu</w:t>
      </w:r>
      <w:r w:rsidR="00FB7E07">
        <w:rPr>
          <w:lang w:val="fr-FR"/>
        </w:rPr>
        <w:t>’</w:t>
      </w:r>
      <w:r w:rsidR="00970A91" w:rsidRPr="00D14023">
        <w:rPr>
          <w:lang w:val="fr-FR"/>
        </w:rPr>
        <w:t>une source d</w:t>
      </w:r>
      <w:r w:rsidR="00FB7E07">
        <w:rPr>
          <w:lang w:val="fr-FR"/>
        </w:rPr>
        <w:t>’</w:t>
      </w:r>
      <w:r w:rsidR="00970A91" w:rsidRPr="00D14023">
        <w:rPr>
          <w:lang w:val="fr-FR"/>
        </w:rPr>
        <w:t>information qui peut être mise à jour en interne.</w:t>
      </w:r>
    </w:p>
    <w:p w:rsidR="00970A91" w:rsidRPr="00D14023" w:rsidRDefault="00970A91" w:rsidP="00360330">
      <w:pPr>
        <w:spacing w:line="276" w:lineRule="auto"/>
        <w:rPr>
          <w:lang w:val="fr-FR"/>
        </w:rPr>
      </w:pPr>
    </w:p>
    <w:p w:rsidR="00FB7E07" w:rsidRDefault="00BB32AB" w:rsidP="00360330">
      <w:pPr>
        <w:spacing w:line="276" w:lineRule="auto"/>
        <w:rPr>
          <w:lang w:val="fr-FR"/>
        </w:rPr>
      </w:pPr>
      <w:r w:rsidRPr="00D14023">
        <w:rPr>
          <w:szCs w:val="24"/>
          <w:lang w:val="fr-FR"/>
        </w:rPr>
        <w:fldChar w:fldCharType="begin"/>
      </w:r>
      <w:r w:rsidRPr="00D14023">
        <w:rPr>
          <w:szCs w:val="24"/>
          <w:lang w:val="fr-FR"/>
        </w:rPr>
        <w:instrText xml:space="preserve"> AUTONUM  </w:instrText>
      </w:r>
      <w:r w:rsidRPr="00D14023">
        <w:rPr>
          <w:szCs w:val="24"/>
          <w:lang w:val="fr-FR"/>
        </w:rPr>
        <w:fldChar w:fldCharType="end"/>
      </w:r>
      <w:r w:rsidRPr="00D14023">
        <w:rPr>
          <w:szCs w:val="24"/>
          <w:lang w:val="fr-FR"/>
        </w:rPr>
        <w:tab/>
      </w:r>
      <w:r w:rsidR="00982BE7" w:rsidRPr="00D14023">
        <w:rPr>
          <w:szCs w:val="24"/>
          <w:lang w:val="fr-FR"/>
        </w:rPr>
        <w:t>Le TWV est convenu qu</w:t>
      </w:r>
      <w:r w:rsidR="00FB7E07">
        <w:rPr>
          <w:szCs w:val="24"/>
          <w:lang w:val="fr-FR"/>
        </w:rPr>
        <w:t>’</w:t>
      </w:r>
      <w:r w:rsidR="00982BE7" w:rsidRPr="00D14023">
        <w:rPr>
          <w:szCs w:val="24"/>
          <w:lang w:val="fr-FR"/>
        </w:rPr>
        <w:t>il serait utile d</w:t>
      </w:r>
      <w:r w:rsidR="00FB7E07">
        <w:rPr>
          <w:szCs w:val="24"/>
          <w:lang w:val="fr-FR"/>
        </w:rPr>
        <w:t>’</w:t>
      </w:r>
      <w:r w:rsidR="00982BE7" w:rsidRPr="00D14023">
        <w:rPr>
          <w:szCs w:val="24"/>
          <w:lang w:val="fr-FR"/>
        </w:rPr>
        <w:t>adopter des principes directeurs pour l</w:t>
      </w:r>
      <w:r w:rsidR="00FB7E07">
        <w:rPr>
          <w:szCs w:val="24"/>
          <w:lang w:val="fr-FR"/>
        </w:rPr>
        <w:t>’</w:t>
      </w:r>
      <w:r w:rsidR="00982BE7" w:rsidRPr="00D14023">
        <w:rPr>
          <w:szCs w:val="24"/>
          <w:lang w:val="fr-FR"/>
        </w:rPr>
        <w:t xml:space="preserve">établissement des descriptions variétales et a indiqué que les informations figurant au </w:t>
      </w:r>
      <w:r w:rsidR="00FB7E07" w:rsidRPr="00D14023">
        <w:rPr>
          <w:szCs w:val="24"/>
          <w:lang w:val="fr-FR"/>
        </w:rPr>
        <w:t>paragraphe</w:t>
      </w:r>
      <w:r w:rsidR="00FB7E07">
        <w:rPr>
          <w:szCs w:val="24"/>
          <w:lang w:val="fr-FR"/>
        </w:rPr>
        <w:t> </w:t>
      </w:r>
      <w:r w:rsidR="00FB7E07" w:rsidRPr="00D14023">
        <w:rPr>
          <w:szCs w:val="24"/>
          <w:lang w:val="fr-FR"/>
        </w:rPr>
        <w:t>2</w:t>
      </w:r>
      <w:r w:rsidR="00982BE7" w:rsidRPr="00D14023">
        <w:rPr>
          <w:szCs w:val="24"/>
          <w:lang w:val="fr-FR"/>
        </w:rPr>
        <w:t>8 du document TWV/50/14, reproduites dans l</w:t>
      </w:r>
      <w:r w:rsidR="00FB7E07">
        <w:rPr>
          <w:szCs w:val="24"/>
          <w:lang w:val="fr-FR"/>
        </w:rPr>
        <w:t>’</w:t>
      </w:r>
      <w:r w:rsidR="00982BE7" w:rsidRPr="00D14023">
        <w:rPr>
          <w:szCs w:val="24"/>
          <w:lang w:val="fr-FR"/>
        </w:rPr>
        <w:t>annexe du présent document, et les conclusions fournies par l</w:t>
      </w:r>
      <w:r w:rsidR="00FB7E07">
        <w:rPr>
          <w:szCs w:val="24"/>
          <w:lang w:val="fr-FR"/>
        </w:rPr>
        <w:t>’</w:t>
      </w:r>
      <w:r w:rsidR="00982BE7" w:rsidRPr="00D14023">
        <w:rPr>
          <w:szCs w:val="24"/>
          <w:lang w:val="fr-FR"/>
        </w:rPr>
        <w:t>expert de l</w:t>
      </w:r>
      <w:r w:rsidR="00FB7E07">
        <w:rPr>
          <w:szCs w:val="24"/>
          <w:lang w:val="fr-FR"/>
        </w:rPr>
        <w:t>’</w:t>
      </w:r>
      <w:r w:rsidR="00982BE7" w:rsidRPr="00D14023">
        <w:rPr>
          <w:szCs w:val="24"/>
          <w:lang w:val="fr-FR"/>
        </w:rPr>
        <w:t>Union européenne dans le document TWV/50/14</w:t>
      </w:r>
      <w:r w:rsidR="00D77E57">
        <w:rPr>
          <w:szCs w:val="24"/>
          <w:lang w:val="fr-FR"/>
        </w:rPr>
        <w:t> </w:t>
      </w:r>
      <w:proofErr w:type="spellStart"/>
      <w:r w:rsidR="00982BE7" w:rsidRPr="00D14023">
        <w:rPr>
          <w:szCs w:val="24"/>
          <w:lang w:val="fr-FR"/>
        </w:rPr>
        <w:t>Add</w:t>
      </w:r>
      <w:proofErr w:type="spellEnd"/>
      <w:r w:rsidR="00982BE7" w:rsidRPr="00D14023">
        <w:rPr>
          <w:szCs w:val="24"/>
          <w:lang w:val="fr-FR"/>
        </w:rPr>
        <w:t>. (</w:t>
      </w:r>
      <w:proofErr w:type="gramStart"/>
      <w:r w:rsidR="004438B1">
        <w:rPr>
          <w:szCs w:val="24"/>
          <w:lang w:val="fr-FR"/>
        </w:rPr>
        <w:t>a</w:t>
      </w:r>
      <w:r w:rsidR="00FB7E07" w:rsidRPr="00D14023">
        <w:rPr>
          <w:szCs w:val="24"/>
          <w:lang w:val="fr-FR"/>
        </w:rPr>
        <w:t>nnexe</w:t>
      </w:r>
      <w:proofErr w:type="gramEnd"/>
      <w:r w:rsidR="00FB7E07">
        <w:rPr>
          <w:szCs w:val="24"/>
          <w:lang w:val="fr-FR"/>
        </w:rPr>
        <w:t> </w:t>
      </w:r>
      <w:r w:rsidR="00FB7E07" w:rsidRPr="00D14023">
        <w:rPr>
          <w:szCs w:val="24"/>
          <w:lang w:val="fr-FR"/>
        </w:rPr>
        <w:t>I</w:t>
      </w:r>
      <w:r w:rsidR="00982BE7" w:rsidRPr="00D14023">
        <w:rPr>
          <w:szCs w:val="24"/>
          <w:lang w:val="fr-FR"/>
        </w:rPr>
        <w:t>I, diapositive</w:t>
      </w:r>
      <w:r w:rsidR="00DD4E33">
        <w:rPr>
          <w:szCs w:val="24"/>
          <w:lang w:val="fr-FR"/>
        </w:rPr>
        <w:t> </w:t>
      </w:r>
      <w:r w:rsidR="00982BE7" w:rsidRPr="00D14023">
        <w:rPr>
          <w:szCs w:val="24"/>
          <w:lang w:val="fr-FR"/>
        </w:rPr>
        <w:t>19), reproduites ci</w:t>
      </w:r>
      <w:r w:rsidR="00792874">
        <w:rPr>
          <w:szCs w:val="24"/>
          <w:lang w:val="fr-FR"/>
        </w:rPr>
        <w:noBreakHyphen/>
      </w:r>
      <w:r w:rsidR="00982BE7" w:rsidRPr="00D14023">
        <w:rPr>
          <w:szCs w:val="24"/>
          <w:lang w:val="fr-FR"/>
        </w:rPr>
        <w:t>après, pourraient constituer une bonne base.</w:t>
      </w:r>
    </w:p>
    <w:p w:rsidR="00970A91" w:rsidRPr="00D14023" w:rsidRDefault="00970A91" w:rsidP="00360330">
      <w:pPr>
        <w:spacing w:line="276" w:lineRule="auto"/>
        <w:rPr>
          <w:lang w:val="fr-FR"/>
        </w:rPr>
      </w:pPr>
    </w:p>
    <w:p w:rsidR="00970A91" w:rsidRPr="00D14023" w:rsidRDefault="00566A84" w:rsidP="00360330">
      <w:pPr>
        <w:pStyle w:val="ListParagraph"/>
        <w:numPr>
          <w:ilvl w:val="0"/>
          <w:numId w:val="2"/>
        </w:numPr>
        <w:spacing w:line="276" w:lineRule="auto"/>
        <w:rPr>
          <w:lang w:val="fr-FR"/>
        </w:rPr>
      </w:pPr>
      <w:r w:rsidRPr="00D14023">
        <w:rPr>
          <w:lang w:val="fr-FR"/>
        </w:rPr>
        <w:t xml:space="preserve">Les notes de variétés </w:t>
      </w:r>
      <w:r w:rsidR="00DC6B9F">
        <w:rPr>
          <w:lang w:val="fr-FR"/>
        </w:rPr>
        <w:t>voisin</w:t>
      </w:r>
      <w:r w:rsidRPr="00D14023">
        <w:rPr>
          <w:lang w:val="fr-FR"/>
        </w:rPr>
        <w:t>es proviendront du même essai en culture que celui de la variété candidate</w:t>
      </w:r>
    </w:p>
    <w:p w:rsidR="00970A91" w:rsidRPr="00D14023" w:rsidRDefault="00566A84" w:rsidP="00360330">
      <w:pPr>
        <w:pStyle w:val="ListParagraph"/>
        <w:numPr>
          <w:ilvl w:val="0"/>
          <w:numId w:val="2"/>
        </w:numPr>
        <w:spacing w:line="276" w:lineRule="auto"/>
        <w:rPr>
          <w:lang w:val="fr-FR"/>
        </w:rPr>
      </w:pPr>
      <w:r w:rsidRPr="00D14023">
        <w:rPr>
          <w:lang w:val="fr-FR"/>
        </w:rPr>
        <w:t xml:space="preserve">Informer les parties concernées des modifications de la </w:t>
      </w:r>
      <w:r w:rsidR="00123FB0" w:rsidRPr="00D14023">
        <w:rPr>
          <w:lang w:val="fr-FR"/>
        </w:rPr>
        <w:t>description</w:t>
      </w:r>
      <w:r w:rsidRPr="00D14023">
        <w:rPr>
          <w:lang w:val="fr-FR"/>
        </w:rPr>
        <w:t xml:space="preserve"> variétale officielle</w:t>
      </w:r>
    </w:p>
    <w:p w:rsidR="00970A91" w:rsidRPr="00D14023" w:rsidRDefault="00302FC6" w:rsidP="00360330">
      <w:pPr>
        <w:pStyle w:val="ListParagraph"/>
        <w:numPr>
          <w:ilvl w:val="0"/>
          <w:numId w:val="2"/>
        </w:numPr>
        <w:spacing w:line="276" w:lineRule="auto"/>
        <w:rPr>
          <w:lang w:val="fr-FR"/>
        </w:rPr>
      </w:pPr>
      <w:r w:rsidRPr="00D14023">
        <w:rPr>
          <w:lang w:val="fr-FR"/>
        </w:rPr>
        <w:t>Accord</w:t>
      </w:r>
      <w:r w:rsidR="00DC6B9F">
        <w:rPr>
          <w:lang w:val="fr-FR"/>
        </w:rPr>
        <w:t xml:space="preserve"> sur les</w:t>
      </w:r>
      <w:r w:rsidRPr="00D14023">
        <w:rPr>
          <w:lang w:val="fr-FR"/>
        </w:rPr>
        <w:t xml:space="preserve"> données</w:t>
      </w:r>
      <w:r w:rsidR="00DC6B9F">
        <w:rPr>
          <w:lang w:val="fr-FR"/>
        </w:rPr>
        <w:t xml:space="preserve"> appelées à figurer dans les bases de données partagées</w:t>
      </w:r>
    </w:p>
    <w:p w:rsidR="00970A91" w:rsidRPr="00D14023" w:rsidRDefault="00970A91" w:rsidP="00360330">
      <w:pPr>
        <w:spacing w:line="276" w:lineRule="auto"/>
        <w:rPr>
          <w:lang w:val="fr-FR"/>
        </w:rPr>
      </w:pPr>
    </w:p>
    <w:p w:rsidR="00FB7E07" w:rsidRDefault="00BB32AB" w:rsidP="00360330">
      <w:pPr>
        <w:spacing w:line="276" w:lineRule="auto"/>
        <w:rPr>
          <w:lang w:val="fr-FR"/>
        </w:rPr>
      </w:pPr>
      <w:r w:rsidRPr="00D14023">
        <w:rPr>
          <w:szCs w:val="24"/>
          <w:lang w:val="fr-FR"/>
        </w:rPr>
        <w:fldChar w:fldCharType="begin"/>
      </w:r>
      <w:r w:rsidRPr="00D14023">
        <w:rPr>
          <w:szCs w:val="24"/>
          <w:lang w:val="fr-FR"/>
        </w:rPr>
        <w:instrText xml:space="preserve"> AUTONUM  </w:instrText>
      </w:r>
      <w:r w:rsidRPr="00D14023">
        <w:rPr>
          <w:szCs w:val="24"/>
          <w:lang w:val="fr-FR"/>
        </w:rPr>
        <w:fldChar w:fldCharType="end"/>
      </w:r>
      <w:r w:rsidRPr="00D14023">
        <w:rPr>
          <w:szCs w:val="24"/>
          <w:lang w:val="fr-FR"/>
        </w:rPr>
        <w:tab/>
      </w:r>
      <w:r w:rsidR="00302FC6" w:rsidRPr="00D14023">
        <w:rPr>
          <w:szCs w:val="24"/>
          <w:lang w:val="fr-FR"/>
        </w:rPr>
        <w:t>Le TWV a proposé au</w:t>
      </w:r>
      <w:r w:rsidR="00FB7E07" w:rsidRPr="00FB7E07">
        <w:rPr>
          <w:szCs w:val="24"/>
          <w:lang w:val="fr-FR"/>
        </w:rPr>
        <w:t> TC</w:t>
      </w:r>
      <w:r w:rsidR="00302FC6" w:rsidRPr="00D14023">
        <w:rPr>
          <w:szCs w:val="24"/>
          <w:lang w:val="fr-FR"/>
        </w:rPr>
        <w:t xml:space="preserve"> d</w:t>
      </w:r>
      <w:r w:rsidR="00FB7E07">
        <w:rPr>
          <w:szCs w:val="24"/>
          <w:lang w:val="fr-FR"/>
        </w:rPr>
        <w:t>’</w:t>
      </w:r>
      <w:r w:rsidR="00302FC6" w:rsidRPr="00D14023">
        <w:rPr>
          <w:szCs w:val="24"/>
          <w:lang w:val="fr-FR"/>
        </w:rPr>
        <w:t>examiner les principes directeurs disponibles sur la description variétale et de voir s</w:t>
      </w:r>
      <w:r w:rsidR="00FB7E07">
        <w:rPr>
          <w:szCs w:val="24"/>
          <w:lang w:val="fr-FR"/>
        </w:rPr>
        <w:t>’</w:t>
      </w:r>
      <w:r w:rsidR="00302FC6" w:rsidRPr="00D14023">
        <w:rPr>
          <w:szCs w:val="24"/>
          <w:lang w:val="fr-FR"/>
        </w:rPr>
        <w:t>il convient d</w:t>
      </w:r>
      <w:r w:rsidR="00FB7E07">
        <w:rPr>
          <w:szCs w:val="24"/>
          <w:lang w:val="fr-FR"/>
        </w:rPr>
        <w:t>’</w:t>
      </w:r>
      <w:r w:rsidR="00302FC6" w:rsidRPr="00D14023">
        <w:rPr>
          <w:szCs w:val="24"/>
          <w:lang w:val="fr-FR"/>
        </w:rPr>
        <w:t>élaborer de nouveaux principes directeurs sur le rôle des descriptions variétales et du matériel végétal.</w:t>
      </w:r>
    </w:p>
    <w:p w:rsidR="00970A91" w:rsidRPr="00D14023" w:rsidRDefault="00970A91" w:rsidP="00360330">
      <w:pPr>
        <w:spacing w:line="276" w:lineRule="auto"/>
        <w:rPr>
          <w:lang w:val="fr-FR"/>
        </w:rPr>
      </w:pPr>
    </w:p>
    <w:p w:rsidR="00970A91" w:rsidRPr="00D14023" w:rsidRDefault="00302FC6" w:rsidP="00110700">
      <w:pPr>
        <w:pStyle w:val="Heading2"/>
        <w:keepNext w:val="0"/>
        <w:spacing w:line="276" w:lineRule="auto"/>
        <w:rPr>
          <w:lang w:val="fr-FR"/>
        </w:rPr>
      </w:pPr>
      <w:bookmarkStart w:id="10" w:name="_Toc475627026"/>
      <w:r w:rsidRPr="00D14023">
        <w:rPr>
          <w:lang w:val="fr-FR"/>
        </w:rPr>
        <w:lastRenderedPageBreak/>
        <w:t>Groupe de travail technique sur les plantes agricoles</w:t>
      </w:r>
      <w:bookmarkEnd w:id="10"/>
    </w:p>
    <w:p w:rsidR="00970A91" w:rsidRPr="00D14023" w:rsidRDefault="00970A91" w:rsidP="00110700">
      <w:pPr>
        <w:spacing w:line="276" w:lineRule="auto"/>
        <w:rPr>
          <w:lang w:val="fr-FR"/>
        </w:rPr>
      </w:pPr>
    </w:p>
    <w:p w:rsidR="00970A91" w:rsidRPr="00D14023" w:rsidRDefault="00FF3165" w:rsidP="00110700">
      <w:pPr>
        <w:spacing w:line="276" w:lineRule="auto"/>
        <w:rPr>
          <w:lang w:val="fr-FR"/>
        </w:rPr>
      </w:pPr>
      <w:r w:rsidRPr="00D14023">
        <w:rPr>
          <w:snapToGrid w:val="0"/>
          <w:lang w:val="fr-FR" w:eastAsia="ja-JP"/>
        </w:rPr>
        <w:fldChar w:fldCharType="begin"/>
      </w:r>
      <w:r w:rsidRPr="00D14023">
        <w:rPr>
          <w:snapToGrid w:val="0"/>
          <w:lang w:val="fr-FR" w:eastAsia="ja-JP"/>
        </w:rPr>
        <w:instrText xml:space="preserve"> AUTONUM  </w:instrText>
      </w:r>
      <w:r w:rsidRPr="00D14023">
        <w:rPr>
          <w:snapToGrid w:val="0"/>
          <w:lang w:val="fr-FR" w:eastAsia="ja-JP"/>
        </w:rPr>
        <w:fldChar w:fldCharType="end"/>
      </w:r>
      <w:r w:rsidRPr="00D14023">
        <w:rPr>
          <w:snapToGrid w:val="0"/>
          <w:lang w:val="fr-FR" w:eastAsia="ja-JP"/>
        </w:rPr>
        <w:tab/>
      </w:r>
      <w:r w:rsidR="009B0E53" w:rsidRPr="00D14023">
        <w:rPr>
          <w:snapToGrid w:val="0"/>
          <w:lang w:val="fr-FR" w:eastAsia="ja-JP"/>
        </w:rPr>
        <w:t>Le TWA, à sa quarante</w:t>
      </w:r>
      <w:r w:rsidR="00792874">
        <w:rPr>
          <w:snapToGrid w:val="0"/>
          <w:lang w:val="fr-FR" w:eastAsia="ja-JP"/>
        </w:rPr>
        <w:noBreakHyphen/>
      </w:r>
      <w:r w:rsidR="009B0E53" w:rsidRPr="00D14023">
        <w:rPr>
          <w:snapToGrid w:val="0"/>
          <w:lang w:val="fr-FR" w:eastAsia="ja-JP"/>
        </w:rPr>
        <w:t>cinqu</w:t>
      </w:r>
      <w:r w:rsidR="00FB7E07">
        <w:rPr>
          <w:snapToGrid w:val="0"/>
          <w:lang w:val="fr-FR" w:eastAsia="ja-JP"/>
        </w:rPr>
        <w:t>ième session</w:t>
      </w:r>
      <w:r w:rsidR="009B0E53" w:rsidRPr="00D14023">
        <w:rPr>
          <w:snapToGrid w:val="0"/>
          <w:lang w:val="fr-FR" w:eastAsia="ja-JP"/>
        </w:rPr>
        <w:t xml:space="preserve">, tenue à Mexico, est </w:t>
      </w:r>
      <w:proofErr w:type="gramStart"/>
      <w:r w:rsidR="009B0E53" w:rsidRPr="00D14023">
        <w:rPr>
          <w:snapToGrid w:val="0"/>
          <w:lang w:val="fr-FR" w:eastAsia="ja-JP"/>
        </w:rPr>
        <w:t>convenu</w:t>
      </w:r>
      <w:proofErr w:type="gramEnd"/>
      <w:r w:rsidR="009B0E53" w:rsidRPr="00D14023">
        <w:rPr>
          <w:snapToGrid w:val="0"/>
          <w:lang w:val="fr-FR" w:eastAsia="ja-JP"/>
        </w:rPr>
        <w:t xml:space="preserve"> que la description variétale avait des limites en raison de son lien avec les circonstances de l</w:t>
      </w:r>
      <w:r w:rsidR="00FB7E07">
        <w:rPr>
          <w:snapToGrid w:val="0"/>
          <w:lang w:val="fr-FR" w:eastAsia="ja-JP"/>
        </w:rPr>
        <w:t>’</w:t>
      </w:r>
      <w:r w:rsidR="009B0E53" w:rsidRPr="00D14023">
        <w:rPr>
          <w:snapToGrid w:val="0"/>
          <w:lang w:val="fr-FR" w:eastAsia="ja-JP"/>
        </w:rPr>
        <w:t>examen DHS, mais qu</w:t>
      </w:r>
      <w:r w:rsidR="00FB7E07">
        <w:rPr>
          <w:snapToGrid w:val="0"/>
          <w:lang w:val="fr-FR" w:eastAsia="ja-JP"/>
        </w:rPr>
        <w:t>’</w:t>
      </w:r>
      <w:r w:rsidR="009B0E53" w:rsidRPr="00D14023">
        <w:rPr>
          <w:snapToGrid w:val="0"/>
          <w:lang w:val="fr-FR" w:eastAsia="ja-JP"/>
        </w:rPr>
        <w:t>elle était un élément important du système de protection des obtentions végétales.</w:t>
      </w:r>
    </w:p>
    <w:p w:rsidR="00970A91" w:rsidRPr="00D14023" w:rsidRDefault="00970A91" w:rsidP="00360330">
      <w:pPr>
        <w:spacing w:line="276" w:lineRule="auto"/>
        <w:rPr>
          <w:lang w:val="fr-FR"/>
        </w:rPr>
      </w:pPr>
    </w:p>
    <w:p w:rsidR="00FB7E07" w:rsidRDefault="00FF3165" w:rsidP="00360330">
      <w:pPr>
        <w:spacing w:line="276" w:lineRule="auto"/>
        <w:rPr>
          <w:snapToGrid w:val="0"/>
          <w:lang w:val="fr-FR" w:eastAsia="ja-JP"/>
        </w:rPr>
      </w:pPr>
      <w:r w:rsidRPr="00D14023">
        <w:rPr>
          <w:snapToGrid w:val="0"/>
          <w:lang w:val="fr-FR" w:eastAsia="ja-JP"/>
        </w:rPr>
        <w:fldChar w:fldCharType="begin"/>
      </w:r>
      <w:r w:rsidRPr="00D14023">
        <w:rPr>
          <w:snapToGrid w:val="0"/>
          <w:lang w:val="fr-FR" w:eastAsia="ja-JP"/>
        </w:rPr>
        <w:instrText xml:space="preserve"> AUTONUM  </w:instrText>
      </w:r>
      <w:r w:rsidRPr="00D14023">
        <w:rPr>
          <w:snapToGrid w:val="0"/>
          <w:lang w:val="fr-FR" w:eastAsia="ja-JP"/>
        </w:rPr>
        <w:fldChar w:fldCharType="end"/>
      </w:r>
      <w:r w:rsidRPr="00D14023">
        <w:rPr>
          <w:snapToGrid w:val="0"/>
          <w:lang w:val="fr-FR" w:eastAsia="ja-JP"/>
        </w:rPr>
        <w:tab/>
      </w:r>
      <w:r w:rsidR="007179D1" w:rsidRPr="00D14023">
        <w:rPr>
          <w:snapToGrid w:val="0"/>
          <w:lang w:val="fr-FR" w:eastAsia="ja-JP"/>
        </w:rPr>
        <w:t>Le TWA a pris note des exposés présentés par les experts sur leurs expériences concernant le rôle du matériel végétal utilisé comme base de l</w:t>
      </w:r>
      <w:r w:rsidR="00FB7E07">
        <w:rPr>
          <w:snapToGrid w:val="0"/>
          <w:lang w:val="fr-FR" w:eastAsia="ja-JP"/>
        </w:rPr>
        <w:t>’</w:t>
      </w:r>
      <w:r w:rsidR="007179D1" w:rsidRPr="00D14023">
        <w:rPr>
          <w:snapToGrid w:val="0"/>
          <w:lang w:val="fr-FR" w:eastAsia="ja-JP"/>
        </w:rPr>
        <w:t xml:space="preserve">examen DHS en relation avec les questions visées au paragraphe 6 du présent document, </w:t>
      </w:r>
      <w:r w:rsidR="00FB7E07">
        <w:rPr>
          <w:snapToGrid w:val="0"/>
          <w:lang w:val="fr-FR" w:eastAsia="ja-JP"/>
        </w:rPr>
        <w:t>à savoir</w:t>
      </w:r>
      <w:r w:rsidR="000C45EF" w:rsidRPr="00D14023">
        <w:rPr>
          <w:snapToGrid w:val="0"/>
          <w:lang w:val="fr-FR" w:eastAsia="ja-JP"/>
        </w:rPr>
        <w:t xml:space="preserve"> (selon l</w:t>
      </w:r>
      <w:r w:rsidR="00FB7E07">
        <w:rPr>
          <w:snapToGrid w:val="0"/>
          <w:lang w:val="fr-FR" w:eastAsia="ja-JP"/>
        </w:rPr>
        <w:t>’</w:t>
      </w:r>
      <w:r w:rsidR="000C45EF" w:rsidRPr="00D14023">
        <w:rPr>
          <w:snapToGrid w:val="0"/>
          <w:lang w:val="fr-FR" w:eastAsia="ja-JP"/>
        </w:rPr>
        <w:t>ordre alphabétique anglais)</w:t>
      </w:r>
      <w:r w:rsidR="00D77E57">
        <w:rPr>
          <w:snapToGrid w:val="0"/>
          <w:lang w:val="fr-FR" w:eastAsia="ja-JP"/>
        </w:rPr>
        <w:t> :</w:t>
      </w:r>
    </w:p>
    <w:p w:rsidR="00FF3165" w:rsidRPr="00D14023" w:rsidRDefault="00FF3165" w:rsidP="00360330">
      <w:pPr>
        <w:spacing w:line="276" w:lineRule="auto"/>
        <w:rPr>
          <w:lang w:val="fr-FR"/>
        </w:rPr>
      </w:pPr>
    </w:p>
    <w:tbl>
      <w:tblPr>
        <w:tblStyle w:val="TableGrid"/>
        <w:tblW w:w="9038"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6520"/>
      </w:tblGrid>
      <w:tr w:rsidR="00973B87" w:rsidRPr="00D14023" w:rsidTr="00037BB4">
        <w:tc>
          <w:tcPr>
            <w:tcW w:w="2518" w:type="dxa"/>
          </w:tcPr>
          <w:p w:rsidR="00FF3165" w:rsidRPr="00D14023" w:rsidRDefault="007179D1" w:rsidP="00360330">
            <w:pPr>
              <w:spacing w:line="276" w:lineRule="auto"/>
              <w:rPr>
                <w:rFonts w:eastAsia="SimSun"/>
                <w:lang w:val="fr-FR"/>
              </w:rPr>
            </w:pPr>
            <w:r w:rsidRPr="00D14023">
              <w:rPr>
                <w:rFonts w:eastAsia="SimSun"/>
                <w:lang w:val="fr-FR"/>
              </w:rPr>
              <w:t>Australie</w:t>
            </w:r>
          </w:p>
        </w:tc>
        <w:tc>
          <w:tcPr>
            <w:tcW w:w="6520" w:type="dxa"/>
          </w:tcPr>
          <w:p w:rsidR="00FF3165" w:rsidRPr="00D14023" w:rsidRDefault="00514F9A" w:rsidP="00360330">
            <w:pPr>
              <w:spacing w:line="276" w:lineRule="auto"/>
              <w:rPr>
                <w:rFonts w:eastAsia="SimSun"/>
                <w:lang w:val="fr-FR"/>
              </w:rPr>
            </w:pPr>
            <w:r w:rsidRPr="00D14023">
              <w:rPr>
                <w:rFonts w:eastAsia="SimSun"/>
                <w:lang w:val="fr-FR"/>
              </w:rPr>
              <w:t>Descriptions variétales en Australie</w:t>
            </w:r>
          </w:p>
        </w:tc>
      </w:tr>
      <w:tr w:rsidR="00973B87" w:rsidRPr="00C13077" w:rsidTr="00037BB4">
        <w:tc>
          <w:tcPr>
            <w:tcW w:w="2518" w:type="dxa"/>
          </w:tcPr>
          <w:p w:rsidR="00FF3165" w:rsidRPr="00D14023" w:rsidRDefault="00514F9A" w:rsidP="00360330">
            <w:pPr>
              <w:spacing w:line="276" w:lineRule="auto"/>
              <w:rPr>
                <w:rFonts w:eastAsia="SimSun"/>
                <w:lang w:val="fr-FR"/>
              </w:rPr>
            </w:pPr>
            <w:r w:rsidRPr="00D14023">
              <w:rPr>
                <w:rFonts w:eastAsia="SimSun"/>
                <w:lang w:val="fr-FR"/>
              </w:rPr>
              <w:t>Union européenne</w:t>
            </w:r>
          </w:p>
        </w:tc>
        <w:tc>
          <w:tcPr>
            <w:tcW w:w="6520" w:type="dxa"/>
          </w:tcPr>
          <w:p w:rsidR="00FF3165" w:rsidRPr="00D14023" w:rsidRDefault="00514F9A" w:rsidP="00360330">
            <w:pPr>
              <w:spacing w:line="276" w:lineRule="auto"/>
              <w:rPr>
                <w:rFonts w:eastAsia="SimSun"/>
                <w:lang w:val="fr-FR"/>
              </w:rPr>
            </w:pPr>
            <w:r w:rsidRPr="00D14023">
              <w:rPr>
                <w:rFonts w:eastAsia="SimSun"/>
                <w:lang w:val="fr-FR"/>
              </w:rPr>
              <w:t>Actualisation des descriptions variétales</w:t>
            </w:r>
            <w:r w:rsidR="00FB7E07">
              <w:rPr>
                <w:rFonts w:eastAsia="SimSun"/>
                <w:lang w:val="fr-FR"/>
              </w:rPr>
              <w:t xml:space="preserve"> – </w:t>
            </w:r>
            <w:r w:rsidRPr="00D14023">
              <w:rPr>
                <w:rFonts w:eastAsia="SimSun"/>
                <w:lang w:val="fr-FR"/>
              </w:rPr>
              <w:t>Résultat de l</w:t>
            </w:r>
            <w:r w:rsidR="00FB7E07">
              <w:rPr>
                <w:rFonts w:eastAsia="SimSun"/>
                <w:lang w:val="fr-FR"/>
              </w:rPr>
              <w:t>’</w:t>
            </w:r>
            <w:r w:rsidRPr="00D14023">
              <w:rPr>
                <w:rFonts w:eastAsia="SimSun"/>
                <w:lang w:val="fr-FR"/>
              </w:rPr>
              <w:t>étude</w:t>
            </w:r>
            <w:r w:rsidR="00FF3165" w:rsidRPr="00D14023">
              <w:rPr>
                <w:rFonts w:eastAsia="SimSun"/>
                <w:lang w:val="fr-FR"/>
              </w:rPr>
              <w:t xml:space="preserve"> </w:t>
            </w:r>
          </w:p>
        </w:tc>
      </w:tr>
      <w:tr w:rsidR="00973B87" w:rsidRPr="00C13077" w:rsidTr="00037BB4">
        <w:tc>
          <w:tcPr>
            <w:tcW w:w="2518" w:type="dxa"/>
          </w:tcPr>
          <w:p w:rsidR="00FF3165" w:rsidRPr="00D14023" w:rsidRDefault="00514F9A" w:rsidP="00360330">
            <w:pPr>
              <w:spacing w:line="276" w:lineRule="auto"/>
              <w:rPr>
                <w:rFonts w:eastAsia="SimSun"/>
                <w:lang w:val="fr-FR"/>
              </w:rPr>
            </w:pPr>
            <w:r w:rsidRPr="00D14023">
              <w:rPr>
                <w:rFonts w:eastAsia="SimSun"/>
                <w:lang w:val="fr-FR"/>
              </w:rPr>
              <w:t>Allemagne</w:t>
            </w:r>
          </w:p>
        </w:tc>
        <w:tc>
          <w:tcPr>
            <w:tcW w:w="6520" w:type="dxa"/>
          </w:tcPr>
          <w:p w:rsidR="00FF3165" w:rsidRPr="00D14023" w:rsidRDefault="0035662C" w:rsidP="00360330">
            <w:pPr>
              <w:spacing w:line="276" w:lineRule="auto"/>
              <w:rPr>
                <w:rFonts w:eastAsia="SimSun"/>
                <w:lang w:val="fr-FR"/>
              </w:rPr>
            </w:pPr>
            <w:r w:rsidRPr="00D14023">
              <w:rPr>
                <w:rFonts w:eastAsia="SimSun"/>
                <w:lang w:val="fr-FR"/>
              </w:rPr>
              <w:t>Élaboration</w:t>
            </w:r>
            <w:r w:rsidR="00514F9A" w:rsidRPr="00D14023">
              <w:rPr>
                <w:rFonts w:eastAsia="SimSun"/>
                <w:lang w:val="fr-FR"/>
              </w:rPr>
              <w:t xml:space="preserve"> et utilisation des descriptions variétales</w:t>
            </w:r>
          </w:p>
        </w:tc>
      </w:tr>
    </w:tbl>
    <w:p w:rsidR="00970A91" w:rsidRPr="00D14023" w:rsidRDefault="00970A91" w:rsidP="00360330">
      <w:pPr>
        <w:spacing w:line="276" w:lineRule="auto"/>
        <w:rPr>
          <w:lang w:val="fr-FR"/>
        </w:rPr>
      </w:pPr>
    </w:p>
    <w:p w:rsidR="00970A91" w:rsidRPr="00D14023" w:rsidRDefault="00FF3165" w:rsidP="00360330">
      <w:pPr>
        <w:pStyle w:val="ListParagraph"/>
        <w:spacing w:line="276" w:lineRule="auto"/>
        <w:ind w:left="0"/>
        <w:rPr>
          <w:lang w:val="fr-FR" w:eastAsia="en-GB"/>
        </w:rPr>
      </w:pPr>
      <w:r w:rsidRPr="00D14023">
        <w:rPr>
          <w:snapToGrid w:val="0"/>
          <w:lang w:val="fr-FR" w:eastAsia="ja-JP"/>
        </w:rPr>
        <w:fldChar w:fldCharType="begin"/>
      </w:r>
      <w:r w:rsidRPr="00D14023">
        <w:rPr>
          <w:snapToGrid w:val="0"/>
          <w:lang w:val="fr-FR" w:eastAsia="ja-JP"/>
        </w:rPr>
        <w:instrText xml:space="preserve"> AUTONUM  </w:instrText>
      </w:r>
      <w:r w:rsidRPr="00D14023">
        <w:rPr>
          <w:snapToGrid w:val="0"/>
          <w:lang w:val="fr-FR" w:eastAsia="ja-JP"/>
        </w:rPr>
        <w:fldChar w:fldCharType="end"/>
      </w:r>
      <w:r w:rsidRPr="00D14023">
        <w:rPr>
          <w:snapToGrid w:val="0"/>
          <w:lang w:val="fr-FR" w:eastAsia="ja-JP"/>
        </w:rPr>
        <w:tab/>
      </w:r>
      <w:r w:rsidR="00514F9A" w:rsidRPr="00D14023">
        <w:rPr>
          <w:snapToGrid w:val="0"/>
          <w:lang w:val="fr-FR" w:eastAsia="ja-JP"/>
        </w:rPr>
        <w:t>Le TWA a indiqué que les exposés présentés par les experts de l</w:t>
      </w:r>
      <w:r w:rsidR="00FB7E07">
        <w:rPr>
          <w:snapToGrid w:val="0"/>
          <w:lang w:val="fr-FR" w:eastAsia="ja-JP"/>
        </w:rPr>
        <w:t>’</w:t>
      </w:r>
      <w:r w:rsidR="00514F9A" w:rsidRPr="00D14023">
        <w:rPr>
          <w:snapToGrid w:val="0"/>
          <w:lang w:val="fr-FR" w:eastAsia="ja-JP"/>
        </w:rPr>
        <w:t>Union européenne et de l</w:t>
      </w:r>
      <w:r w:rsidR="00FB7E07">
        <w:rPr>
          <w:snapToGrid w:val="0"/>
          <w:lang w:val="fr-FR" w:eastAsia="ja-JP"/>
        </w:rPr>
        <w:t>’</w:t>
      </w:r>
      <w:r w:rsidR="00514F9A" w:rsidRPr="00D14023">
        <w:rPr>
          <w:snapToGrid w:val="0"/>
          <w:lang w:val="fr-FR" w:eastAsia="ja-JP"/>
        </w:rPr>
        <w:t xml:space="preserve">Allemagne pouvaient être consultés aux </w:t>
      </w:r>
      <w:r w:rsidR="00FB7E07" w:rsidRPr="00D14023">
        <w:rPr>
          <w:snapToGrid w:val="0"/>
          <w:lang w:val="fr-FR" w:eastAsia="ja-JP"/>
        </w:rPr>
        <w:t>annexes</w:t>
      </w:r>
      <w:r w:rsidR="00FB7E07">
        <w:rPr>
          <w:snapToGrid w:val="0"/>
          <w:lang w:val="fr-FR" w:eastAsia="ja-JP"/>
        </w:rPr>
        <w:t> </w:t>
      </w:r>
      <w:r w:rsidR="00FB7E07" w:rsidRPr="00D14023">
        <w:rPr>
          <w:snapToGrid w:val="0"/>
          <w:lang w:val="fr-FR" w:eastAsia="ja-JP"/>
        </w:rPr>
        <w:t>I</w:t>
      </w:r>
      <w:r w:rsidR="00DC6B9F">
        <w:rPr>
          <w:snapToGrid w:val="0"/>
          <w:lang w:val="fr-FR" w:eastAsia="ja-JP"/>
        </w:rPr>
        <w:t xml:space="preserve"> et </w:t>
      </w:r>
      <w:r w:rsidR="00514F9A" w:rsidRPr="00D14023">
        <w:rPr>
          <w:snapToGrid w:val="0"/>
          <w:lang w:val="fr-FR" w:eastAsia="ja-JP"/>
        </w:rPr>
        <w:t>II du document TWA/45/14</w:t>
      </w:r>
      <w:r w:rsidR="00D77E57">
        <w:rPr>
          <w:snapToGrid w:val="0"/>
          <w:lang w:val="fr-FR" w:eastAsia="ja-JP"/>
        </w:rPr>
        <w:t> </w:t>
      </w:r>
      <w:proofErr w:type="spellStart"/>
      <w:r w:rsidR="00514F9A" w:rsidRPr="00D14023">
        <w:rPr>
          <w:snapToGrid w:val="0"/>
          <w:lang w:val="fr-FR" w:eastAsia="ja-JP"/>
        </w:rPr>
        <w:t>Add</w:t>
      </w:r>
      <w:proofErr w:type="spellEnd"/>
      <w:r w:rsidR="00514F9A" w:rsidRPr="00D14023">
        <w:rPr>
          <w:snapToGrid w:val="0"/>
          <w:lang w:val="fr-FR" w:eastAsia="ja-JP"/>
        </w:rPr>
        <w:t>., et celui de l</w:t>
      </w:r>
      <w:r w:rsidR="00FB7E07">
        <w:rPr>
          <w:snapToGrid w:val="0"/>
          <w:lang w:val="fr-FR" w:eastAsia="ja-JP"/>
        </w:rPr>
        <w:t>’</w:t>
      </w:r>
      <w:r w:rsidR="00514F9A" w:rsidRPr="00D14023">
        <w:rPr>
          <w:snapToGrid w:val="0"/>
          <w:lang w:val="fr-FR" w:eastAsia="ja-JP"/>
        </w:rPr>
        <w:t>expert de l</w:t>
      </w:r>
      <w:r w:rsidR="00FB7E07">
        <w:rPr>
          <w:snapToGrid w:val="0"/>
          <w:lang w:val="fr-FR" w:eastAsia="ja-JP"/>
        </w:rPr>
        <w:t>’</w:t>
      </w:r>
      <w:r w:rsidR="00514F9A" w:rsidRPr="00D14023">
        <w:rPr>
          <w:snapToGrid w:val="0"/>
          <w:lang w:val="fr-FR" w:eastAsia="ja-JP"/>
        </w:rPr>
        <w:t>Australie</w:t>
      </w:r>
      <w:r w:rsidR="00DC6B9F">
        <w:rPr>
          <w:snapToGrid w:val="0"/>
          <w:lang w:val="fr-FR" w:eastAsia="ja-JP"/>
        </w:rPr>
        <w:t>,</w:t>
      </w:r>
      <w:r w:rsidR="00514F9A" w:rsidRPr="00D14023">
        <w:rPr>
          <w:snapToGrid w:val="0"/>
          <w:lang w:val="fr-FR" w:eastAsia="ja-JP"/>
        </w:rPr>
        <w:t xml:space="preserve"> </w:t>
      </w:r>
      <w:r w:rsidR="00CB0EE3" w:rsidRPr="00D14023">
        <w:rPr>
          <w:snapToGrid w:val="0"/>
          <w:lang w:val="fr-FR" w:eastAsia="ja-JP"/>
        </w:rPr>
        <w:t>à</w:t>
      </w:r>
      <w:r w:rsidR="00514F9A" w:rsidRPr="00D14023">
        <w:rPr>
          <w:snapToGrid w:val="0"/>
          <w:lang w:val="fr-FR" w:eastAsia="ja-JP"/>
        </w:rPr>
        <w:t xml:space="preserve"> l</w:t>
      </w:r>
      <w:r w:rsidR="00FB7E07">
        <w:rPr>
          <w:snapToGrid w:val="0"/>
          <w:lang w:val="fr-FR" w:eastAsia="ja-JP"/>
        </w:rPr>
        <w:t>’</w:t>
      </w:r>
      <w:r w:rsidR="00514F9A" w:rsidRPr="00D14023">
        <w:rPr>
          <w:snapToGrid w:val="0"/>
          <w:lang w:val="fr-FR" w:eastAsia="ja-JP"/>
        </w:rPr>
        <w:t>annexe du document TWA/45/14</w:t>
      </w:r>
      <w:r w:rsidR="00D77E57">
        <w:rPr>
          <w:snapToGrid w:val="0"/>
          <w:lang w:val="fr-FR" w:eastAsia="ja-JP"/>
        </w:rPr>
        <w:t> </w:t>
      </w:r>
      <w:r w:rsidR="00514F9A" w:rsidRPr="00D14023">
        <w:rPr>
          <w:snapToGrid w:val="0"/>
          <w:lang w:val="fr-FR" w:eastAsia="ja-JP"/>
        </w:rPr>
        <w:t>Add.2.</w:t>
      </w:r>
    </w:p>
    <w:p w:rsidR="00970A91" w:rsidRPr="00D14023" w:rsidRDefault="00970A91" w:rsidP="00360330">
      <w:pPr>
        <w:spacing w:line="276" w:lineRule="auto"/>
        <w:rPr>
          <w:lang w:val="fr-FR"/>
        </w:rPr>
      </w:pPr>
    </w:p>
    <w:p w:rsidR="00970A91" w:rsidRPr="00D14023" w:rsidRDefault="00514F9A" w:rsidP="00360330">
      <w:pPr>
        <w:pStyle w:val="Heading2"/>
        <w:spacing w:line="276" w:lineRule="auto"/>
        <w:rPr>
          <w:lang w:val="fr-FR"/>
        </w:rPr>
      </w:pPr>
      <w:bookmarkStart w:id="11" w:name="_Toc475627027"/>
      <w:r w:rsidRPr="00D14023">
        <w:rPr>
          <w:lang w:val="fr-FR"/>
        </w:rPr>
        <w:t>Groupe de travail technique sur les plantes fruitières</w:t>
      </w:r>
      <w:bookmarkEnd w:id="11"/>
    </w:p>
    <w:p w:rsidR="00970A91" w:rsidRPr="00D14023" w:rsidRDefault="00970A91" w:rsidP="00360330">
      <w:pPr>
        <w:keepNext/>
        <w:spacing w:line="276" w:lineRule="auto"/>
        <w:rPr>
          <w:lang w:val="fr-FR"/>
        </w:rPr>
      </w:pPr>
    </w:p>
    <w:p w:rsidR="00970A91" w:rsidRPr="00D14023" w:rsidRDefault="00966795" w:rsidP="00360330">
      <w:pPr>
        <w:spacing w:line="276" w:lineRule="auto"/>
        <w:rPr>
          <w:lang w:val="fr-FR"/>
        </w:rPr>
      </w:pPr>
      <w:r w:rsidRPr="00D14023">
        <w:rPr>
          <w:lang w:val="fr-FR"/>
        </w:rPr>
        <w:fldChar w:fldCharType="begin"/>
      </w:r>
      <w:r w:rsidRPr="00D14023">
        <w:rPr>
          <w:lang w:val="fr-FR"/>
        </w:rPr>
        <w:instrText xml:space="preserve"> AUTONUM  </w:instrText>
      </w:r>
      <w:r w:rsidRPr="00D14023">
        <w:rPr>
          <w:lang w:val="fr-FR"/>
        </w:rPr>
        <w:fldChar w:fldCharType="end"/>
      </w:r>
      <w:r w:rsidRPr="00D14023">
        <w:rPr>
          <w:lang w:val="fr-FR"/>
        </w:rPr>
        <w:tab/>
      </w:r>
      <w:r w:rsidR="00514F9A" w:rsidRPr="00D14023">
        <w:rPr>
          <w:lang w:val="fr-FR"/>
        </w:rPr>
        <w:t>Le TWF, à sa quarante</w:t>
      </w:r>
      <w:r w:rsidR="00792874">
        <w:rPr>
          <w:lang w:val="fr-FR"/>
        </w:rPr>
        <w:noBreakHyphen/>
      </w:r>
      <w:r w:rsidR="00514F9A" w:rsidRPr="00D14023">
        <w:rPr>
          <w:lang w:val="fr-FR"/>
        </w:rPr>
        <w:t>sept</w:t>
      </w:r>
      <w:r w:rsidR="00FB7E07">
        <w:rPr>
          <w:lang w:val="fr-FR"/>
        </w:rPr>
        <w:t>ième session</w:t>
      </w:r>
      <w:r w:rsidR="00514F9A" w:rsidRPr="00D14023">
        <w:rPr>
          <w:lang w:val="fr-FR"/>
        </w:rPr>
        <w:t xml:space="preserve">, tenue à Angers (France), a pris note des </w:t>
      </w:r>
      <w:r w:rsidR="00973B87" w:rsidRPr="00D14023">
        <w:rPr>
          <w:snapToGrid w:val="0"/>
          <w:lang w:val="fr-FR" w:eastAsia="ja-JP"/>
        </w:rPr>
        <w:t>exposés présentés par les experts sur leurs expériences concernant le rôle du matériel végétal utilisé comme base de l</w:t>
      </w:r>
      <w:r w:rsidR="00FB7E07">
        <w:rPr>
          <w:snapToGrid w:val="0"/>
          <w:lang w:val="fr-FR" w:eastAsia="ja-JP"/>
        </w:rPr>
        <w:t>’</w:t>
      </w:r>
      <w:r w:rsidR="00973B87" w:rsidRPr="00D14023">
        <w:rPr>
          <w:snapToGrid w:val="0"/>
          <w:lang w:val="fr-FR" w:eastAsia="ja-JP"/>
        </w:rPr>
        <w:t xml:space="preserve">examen DHS en relation avec les questions visées au paragraphe 6 du présent document, </w:t>
      </w:r>
      <w:r w:rsidR="00FB7E07">
        <w:rPr>
          <w:snapToGrid w:val="0"/>
          <w:lang w:val="fr-FR" w:eastAsia="ja-JP"/>
        </w:rPr>
        <w:t>à savoir :</w:t>
      </w:r>
    </w:p>
    <w:p w:rsidR="00966795" w:rsidRPr="00D14023" w:rsidRDefault="00966795" w:rsidP="00360330">
      <w:pPr>
        <w:spacing w:line="276" w:lineRule="auto"/>
        <w:rPr>
          <w:lang w:val="fr-FR"/>
        </w:rPr>
      </w:pPr>
    </w:p>
    <w:tbl>
      <w:tblPr>
        <w:tblStyle w:val="TableGrid"/>
        <w:tblW w:w="9038"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6520"/>
      </w:tblGrid>
      <w:tr w:rsidR="00973B87" w:rsidRPr="00C13077" w:rsidTr="00037BB4">
        <w:tc>
          <w:tcPr>
            <w:tcW w:w="2518" w:type="dxa"/>
          </w:tcPr>
          <w:p w:rsidR="0020041A" w:rsidRPr="00D14023" w:rsidRDefault="00514F9A" w:rsidP="00360330">
            <w:pPr>
              <w:spacing w:line="276" w:lineRule="auto"/>
              <w:rPr>
                <w:rFonts w:eastAsia="SimSun"/>
                <w:lang w:val="fr-FR"/>
              </w:rPr>
            </w:pPr>
            <w:r w:rsidRPr="00D14023">
              <w:rPr>
                <w:rFonts w:eastAsia="SimSun"/>
                <w:lang w:val="fr-FR"/>
              </w:rPr>
              <w:t>Union européenne</w:t>
            </w:r>
          </w:p>
        </w:tc>
        <w:tc>
          <w:tcPr>
            <w:tcW w:w="6520" w:type="dxa"/>
          </w:tcPr>
          <w:p w:rsidR="00123FB0" w:rsidRPr="00D14023" w:rsidRDefault="00123FB0" w:rsidP="00DD4E33">
            <w:pPr>
              <w:spacing w:line="276" w:lineRule="auto"/>
              <w:rPr>
                <w:rFonts w:eastAsia="SimSun"/>
                <w:lang w:val="fr-FR"/>
              </w:rPr>
            </w:pPr>
            <w:r w:rsidRPr="00D14023">
              <w:rPr>
                <w:rFonts w:eastAsia="SimSun"/>
                <w:lang w:val="fr-FR"/>
              </w:rPr>
              <w:t>Actualisation des descriptions variétales</w:t>
            </w:r>
            <w:r w:rsidR="00FB7E07">
              <w:rPr>
                <w:rFonts w:eastAsia="SimSun"/>
                <w:lang w:val="fr-FR"/>
              </w:rPr>
              <w:t xml:space="preserve"> – </w:t>
            </w:r>
            <w:r w:rsidRPr="00D14023">
              <w:rPr>
                <w:rFonts w:eastAsia="SimSun"/>
                <w:lang w:val="fr-FR"/>
              </w:rPr>
              <w:t>Résultat de l</w:t>
            </w:r>
            <w:r w:rsidR="00FB7E07">
              <w:rPr>
                <w:rFonts w:eastAsia="SimSun"/>
                <w:lang w:val="fr-FR"/>
              </w:rPr>
              <w:t>’</w:t>
            </w:r>
            <w:r w:rsidRPr="00D14023">
              <w:rPr>
                <w:rFonts w:eastAsia="SimSun"/>
                <w:lang w:val="fr-FR"/>
              </w:rPr>
              <w:t>étude</w:t>
            </w:r>
          </w:p>
        </w:tc>
      </w:tr>
      <w:tr w:rsidR="00973B87" w:rsidRPr="00C13077" w:rsidTr="00037BB4">
        <w:tc>
          <w:tcPr>
            <w:tcW w:w="2518" w:type="dxa"/>
          </w:tcPr>
          <w:p w:rsidR="0020041A" w:rsidRPr="00D14023" w:rsidRDefault="0020041A" w:rsidP="00360330">
            <w:pPr>
              <w:spacing w:line="276" w:lineRule="auto"/>
              <w:rPr>
                <w:rFonts w:eastAsia="SimSun"/>
                <w:lang w:val="fr-FR"/>
              </w:rPr>
            </w:pPr>
            <w:r w:rsidRPr="00D14023">
              <w:rPr>
                <w:rFonts w:eastAsia="SimSun"/>
                <w:lang w:val="fr-FR"/>
              </w:rPr>
              <w:t xml:space="preserve">France </w:t>
            </w:r>
          </w:p>
        </w:tc>
        <w:tc>
          <w:tcPr>
            <w:tcW w:w="6520" w:type="dxa"/>
          </w:tcPr>
          <w:p w:rsidR="0020041A" w:rsidRPr="00D14023" w:rsidRDefault="00123FB0" w:rsidP="00360330">
            <w:pPr>
              <w:spacing w:line="276" w:lineRule="auto"/>
              <w:rPr>
                <w:rFonts w:eastAsia="SimSun"/>
                <w:lang w:val="fr-FR"/>
              </w:rPr>
            </w:pPr>
            <w:r w:rsidRPr="00D14023">
              <w:rPr>
                <w:rFonts w:eastAsia="SimSun"/>
                <w:lang w:val="fr-FR"/>
              </w:rPr>
              <w:t>Rôle du matériel végétal utilisé comme base de l</w:t>
            </w:r>
            <w:r w:rsidR="00FB7E07">
              <w:rPr>
                <w:rFonts w:eastAsia="SimSun"/>
                <w:lang w:val="fr-FR"/>
              </w:rPr>
              <w:t>’</w:t>
            </w:r>
            <w:r w:rsidRPr="00D14023">
              <w:rPr>
                <w:rFonts w:eastAsia="SimSun"/>
                <w:lang w:val="fr-FR"/>
              </w:rPr>
              <w:t>examen</w:t>
            </w:r>
            <w:r w:rsidR="00D77E57">
              <w:rPr>
                <w:rFonts w:eastAsia="SimSun"/>
                <w:lang w:val="fr-FR"/>
              </w:rPr>
              <w:t> </w:t>
            </w:r>
            <w:r w:rsidRPr="00D14023">
              <w:rPr>
                <w:rFonts w:eastAsia="SimSun"/>
                <w:lang w:val="fr-FR"/>
              </w:rPr>
              <w:t>DHS pour les espèces fruitières</w:t>
            </w:r>
          </w:p>
        </w:tc>
      </w:tr>
    </w:tbl>
    <w:p w:rsidR="00970A91" w:rsidRPr="00D14023" w:rsidRDefault="00970A91" w:rsidP="00360330">
      <w:pPr>
        <w:spacing w:line="276" w:lineRule="auto"/>
        <w:rPr>
          <w:lang w:val="fr-FR"/>
        </w:rPr>
      </w:pPr>
    </w:p>
    <w:p w:rsidR="00970A91" w:rsidRPr="00D14023" w:rsidRDefault="00966795" w:rsidP="00360330">
      <w:pPr>
        <w:spacing w:line="276" w:lineRule="auto"/>
        <w:rPr>
          <w:rFonts w:eastAsiaTheme="minorEastAsia"/>
          <w:lang w:val="fr-FR" w:eastAsia="ja-JP"/>
        </w:rPr>
      </w:pPr>
      <w:r w:rsidRPr="00D14023">
        <w:rPr>
          <w:lang w:val="fr-FR"/>
        </w:rPr>
        <w:fldChar w:fldCharType="begin"/>
      </w:r>
      <w:r w:rsidRPr="00D14023">
        <w:rPr>
          <w:lang w:val="fr-FR"/>
        </w:rPr>
        <w:instrText xml:space="preserve"> AUTONUM  </w:instrText>
      </w:r>
      <w:r w:rsidRPr="00D14023">
        <w:rPr>
          <w:lang w:val="fr-FR"/>
        </w:rPr>
        <w:fldChar w:fldCharType="end"/>
      </w:r>
      <w:r w:rsidRPr="00D14023">
        <w:rPr>
          <w:lang w:val="fr-FR"/>
        </w:rPr>
        <w:tab/>
      </w:r>
      <w:r w:rsidR="00514F9A" w:rsidRPr="00D14023">
        <w:rPr>
          <w:lang w:val="fr-FR"/>
        </w:rPr>
        <w:t>Le TWF a indiqué que le texte des exposés ét</w:t>
      </w:r>
      <w:r w:rsidR="00A375A6" w:rsidRPr="00D14023">
        <w:rPr>
          <w:lang w:val="fr-FR"/>
        </w:rPr>
        <w:t>ait reproduit dans les annexes d</w:t>
      </w:r>
      <w:r w:rsidR="00514F9A" w:rsidRPr="00D14023">
        <w:rPr>
          <w:lang w:val="fr-FR"/>
        </w:rPr>
        <w:t>u document TWF/47/14</w:t>
      </w:r>
      <w:r w:rsidR="00D77E57">
        <w:rPr>
          <w:lang w:val="fr-FR"/>
        </w:rPr>
        <w:t> </w:t>
      </w:r>
      <w:proofErr w:type="spellStart"/>
      <w:r w:rsidR="00514F9A" w:rsidRPr="00D14023">
        <w:rPr>
          <w:lang w:val="fr-FR"/>
        </w:rPr>
        <w:t>Add</w:t>
      </w:r>
      <w:proofErr w:type="spellEnd"/>
      <w:r w:rsidR="00514F9A" w:rsidRPr="00D14023">
        <w:rPr>
          <w:lang w:val="fr-FR"/>
        </w:rPr>
        <w:t>.</w:t>
      </w:r>
    </w:p>
    <w:p w:rsidR="00970A91" w:rsidRPr="00D14023" w:rsidRDefault="00970A91" w:rsidP="00360330">
      <w:pPr>
        <w:spacing w:line="276" w:lineRule="auto"/>
        <w:rPr>
          <w:rFonts w:eastAsiaTheme="minorEastAsia"/>
          <w:lang w:val="fr-FR" w:eastAsia="ja-JP"/>
        </w:rPr>
      </w:pPr>
    </w:p>
    <w:p w:rsidR="00970A91" w:rsidRPr="00D14023" w:rsidRDefault="00970A91" w:rsidP="00360330">
      <w:pPr>
        <w:spacing w:line="276" w:lineRule="auto"/>
        <w:rPr>
          <w:rFonts w:eastAsiaTheme="minorEastAsia"/>
          <w:lang w:val="fr-FR" w:eastAsia="ja-JP"/>
        </w:rPr>
      </w:pPr>
    </w:p>
    <w:p w:rsidR="00970A91" w:rsidRPr="00D14023" w:rsidRDefault="00514F9A" w:rsidP="00360330">
      <w:pPr>
        <w:pStyle w:val="Heading1"/>
        <w:spacing w:line="276" w:lineRule="auto"/>
        <w:rPr>
          <w:rFonts w:eastAsiaTheme="minorEastAsia"/>
          <w:lang w:val="fr-FR" w:eastAsia="ja-JP"/>
        </w:rPr>
      </w:pPr>
      <w:bookmarkStart w:id="12" w:name="_Toc475627028"/>
      <w:r w:rsidRPr="00D14023">
        <w:rPr>
          <w:rFonts w:eastAsiaTheme="minorEastAsia"/>
          <w:lang w:val="fr-FR" w:eastAsia="ja-JP"/>
        </w:rPr>
        <w:t>Proposition</w:t>
      </w:r>
      <w:bookmarkEnd w:id="12"/>
    </w:p>
    <w:p w:rsidR="00970A91" w:rsidRPr="00D14023" w:rsidRDefault="00970A91" w:rsidP="00360330">
      <w:pPr>
        <w:spacing w:line="276" w:lineRule="auto"/>
        <w:rPr>
          <w:rFonts w:cs="Arial"/>
          <w:lang w:val="fr-FR"/>
        </w:rPr>
      </w:pPr>
    </w:p>
    <w:p w:rsidR="00970A91" w:rsidRPr="00D14023" w:rsidRDefault="00874430" w:rsidP="00360330">
      <w:pPr>
        <w:spacing w:line="276" w:lineRule="auto"/>
        <w:rPr>
          <w:rFonts w:cs="Arial"/>
          <w:lang w:val="fr-FR"/>
        </w:rPr>
      </w:pPr>
      <w:r w:rsidRPr="00D14023">
        <w:rPr>
          <w:rFonts w:cs="Arial"/>
          <w:lang w:val="fr-FR"/>
        </w:rPr>
        <w:fldChar w:fldCharType="begin"/>
      </w:r>
      <w:r w:rsidRPr="00D14023">
        <w:rPr>
          <w:rFonts w:cs="Arial"/>
          <w:lang w:val="fr-FR"/>
        </w:rPr>
        <w:instrText xml:space="preserve"> AUTONUM  </w:instrText>
      </w:r>
      <w:r w:rsidRPr="00D14023">
        <w:rPr>
          <w:rFonts w:cs="Arial"/>
          <w:lang w:val="fr-FR"/>
        </w:rPr>
        <w:fldChar w:fldCharType="end"/>
      </w:r>
      <w:r w:rsidRPr="00D14023">
        <w:rPr>
          <w:rFonts w:cs="Arial"/>
          <w:lang w:val="fr-FR"/>
        </w:rPr>
        <w:tab/>
      </w:r>
      <w:r w:rsidR="00932E53" w:rsidRPr="00D14023">
        <w:rPr>
          <w:rFonts w:cs="Arial"/>
          <w:lang w:val="fr-FR"/>
        </w:rPr>
        <w:t>Sur la base des observations formulées par les TWP à leurs sessions en 2016, il est proposé que le</w:t>
      </w:r>
      <w:r w:rsidR="00FB7E07" w:rsidRPr="00FB7E07">
        <w:rPr>
          <w:rFonts w:cs="Arial"/>
          <w:lang w:val="fr-FR"/>
        </w:rPr>
        <w:t> TC</w:t>
      </w:r>
      <w:r w:rsidR="00932E53" w:rsidRPr="00D14023">
        <w:rPr>
          <w:rFonts w:cs="Arial"/>
          <w:lang w:val="fr-FR"/>
        </w:rPr>
        <w:t xml:space="preserve"> examine s</w:t>
      </w:r>
      <w:r w:rsidR="00FB7E07">
        <w:rPr>
          <w:rFonts w:cs="Arial"/>
          <w:lang w:val="fr-FR"/>
        </w:rPr>
        <w:t>’</w:t>
      </w:r>
      <w:r w:rsidR="00932E53" w:rsidRPr="00D14023">
        <w:rPr>
          <w:rFonts w:cs="Arial"/>
          <w:lang w:val="fr-FR"/>
        </w:rPr>
        <w:t>il convient d</w:t>
      </w:r>
      <w:r w:rsidR="00FB7E07">
        <w:rPr>
          <w:rFonts w:cs="Arial"/>
          <w:lang w:val="fr-FR"/>
        </w:rPr>
        <w:t>’</w:t>
      </w:r>
      <w:r w:rsidR="00932E53" w:rsidRPr="00D14023">
        <w:rPr>
          <w:rFonts w:cs="Arial"/>
          <w:lang w:val="fr-FR"/>
        </w:rPr>
        <w:t>élaborer de nouve</w:t>
      </w:r>
      <w:r w:rsidR="00DC6B9F">
        <w:rPr>
          <w:rFonts w:cs="Arial"/>
          <w:lang w:val="fr-FR"/>
        </w:rPr>
        <w:t>lles orientations</w:t>
      </w:r>
      <w:r w:rsidR="00932E53" w:rsidRPr="00D14023">
        <w:rPr>
          <w:rFonts w:cs="Arial"/>
          <w:lang w:val="fr-FR"/>
        </w:rPr>
        <w:t xml:space="preserve"> sur le rôle des descriptions variétales et du matériel végétal, </w:t>
      </w:r>
      <w:r w:rsidR="00DC6B9F">
        <w:rPr>
          <w:rFonts w:cs="Arial"/>
          <w:lang w:val="fr-FR"/>
        </w:rPr>
        <w:t xml:space="preserve">en tenant </w:t>
      </w:r>
      <w:r w:rsidR="00932E53" w:rsidRPr="00D14023">
        <w:rPr>
          <w:rFonts w:cs="Arial"/>
          <w:lang w:val="fr-FR"/>
        </w:rPr>
        <w:t>compte</w:t>
      </w:r>
      <w:r w:rsidR="00DC6B9F">
        <w:rPr>
          <w:rFonts w:cs="Arial"/>
          <w:lang w:val="fr-FR"/>
        </w:rPr>
        <w:t xml:space="preserve"> 1) </w:t>
      </w:r>
      <w:r w:rsidR="00932E53" w:rsidRPr="00D14023">
        <w:rPr>
          <w:rFonts w:cs="Arial"/>
          <w:lang w:val="fr-FR"/>
        </w:rPr>
        <w:t>du but de la description variétale élaborée au moment de l</w:t>
      </w:r>
      <w:r w:rsidR="00FB7E07">
        <w:rPr>
          <w:rFonts w:cs="Arial"/>
          <w:lang w:val="fr-FR"/>
        </w:rPr>
        <w:t>’</w:t>
      </w:r>
      <w:r w:rsidR="00932E53" w:rsidRPr="00D14023">
        <w:rPr>
          <w:rFonts w:cs="Arial"/>
          <w:lang w:val="fr-FR"/>
        </w:rPr>
        <w:t>octroi du droit d</w:t>
      </w:r>
      <w:r w:rsidR="00FB7E07">
        <w:rPr>
          <w:rFonts w:cs="Arial"/>
          <w:lang w:val="fr-FR"/>
        </w:rPr>
        <w:t>’</w:t>
      </w:r>
      <w:r w:rsidR="00932E53" w:rsidRPr="00D14023">
        <w:rPr>
          <w:rFonts w:cs="Arial"/>
          <w:lang w:val="fr-FR"/>
        </w:rPr>
        <w:t xml:space="preserve">obtenteur; </w:t>
      </w:r>
      <w:r w:rsidR="00D77E57">
        <w:rPr>
          <w:rFonts w:cs="Arial"/>
          <w:lang w:val="fr-FR"/>
        </w:rPr>
        <w:t xml:space="preserve"> </w:t>
      </w:r>
      <w:r w:rsidR="00DC6B9F">
        <w:rPr>
          <w:rFonts w:cs="Arial"/>
          <w:lang w:val="fr-FR"/>
        </w:rPr>
        <w:t>2) </w:t>
      </w:r>
      <w:r w:rsidR="00932E53" w:rsidRPr="00D14023">
        <w:rPr>
          <w:rFonts w:cs="Arial"/>
          <w:lang w:val="fr-FR"/>
        </w:rPr>
        <w:t>du statut de la description variétale initiale, au regard de la vérification de la conformité du matériel végétal à une variété protégée aux fins de la défense du droit d</w:t>
      </w:r>
      <w:r w:rsidR="00FB7E07">
        <w:rPr>
          <w:rFonts w:cs="Arial"/>
          <w:lang w:val="fr-FR"/>
        </w:rPr>
        <w:t>’</w:t>
      </w:r>
      <w:r w:rsidR="00932E53" w:rsidRPr="00D14023">
        <w:rPr>
          <w:rFonts w:cs="Arial"/>
          <w:lang w:val="fr-FR"/>
        </w:rPr>
        <w:t xml:space="preserve">obtenteur; </w:t>
      </w:r>
      <w:r w:rsidR="00D77E57">
        <w:rPr>
          <w:rFonts w:cs="Arial"/>
          <w:lang w:val="fr-FR"/>
        </w:rPr>
        <w:t xml:space="preserve"> </w:t>
      </w:r>
      <w:r w:rsidR="00DC6B9F">
        <w:rPr>
          <w:rFonts w:cs="Arial"/>
          <w:lang w:val="fr-FR"/>
        </w:rPr>
        <w:t>et 3) </w:t>
      </w:r>
      <w:r w:rsidR="00932E53" w:rsidRPr="00D14023">
        <w:rPr>
          <w:rFonts w:cs="Arial"/>
          <w:lang w:val="fr-FR"/>
        </w:rPr>
        <w:t>des conclusions arrêtées par l</w:t>
      </w:r>
      <w:r w:rsidR="00FB7E07">
        <w:rPr>
          <w:rFonts w:cs="Arial"/>
          <w:lang w:val="fr-FR"/>
        </w:rPr>
        <w:t>’</w:t>
      </w:r>
      <w:r w:rsidR="00932E53" w:rsidRPr="00D14023">
        <w:rPr>
          <w:rFonts w:cs="Arial"/>
          <w:lang w:val="fr-FR"/>
        </w:rPr>
        <w:t>expert de l</w:t>
      </w:r>
      <w:r w:rsidR="00FB7E07">
        <w:rPr>
          <w:rFonts w:cs="Arial"/>
          <w:lang w:val="fr-FR"/>
        </w:rPr>
        <w:t>’</w:t>
      </w:r>
      <w:r w:rsidR="00932E53" w:rsidRPr="00D14023">
        <w:rPr>
          <w:rFonts w:cs="Arial"/>
          <w:lang w:val="fr-FR"/>
        </w:rPr>
        <w:t>Union européenne dans le document TWV/50/14</w:t>
      </w:r>
      <w:r w:rsidR="00D77E57">
        <w:rPr>
          <w:rFonts w:cs="Arial"/>
          <w:lang w:val="fr-FR"/>
        </w:rPr>
        <w:t> </w:t>
      </w:r>
      <w:proofErr w:type="spellStart"/>
      <w:r w:rsidR="00932E53" w:rsidRPr="00D14023">
        <w:rPr>
          <w:rFonts w:cs="Arial"/>
          <w:lang w:val="fr-FR"/>
        </w:rPr>
        <w:t>Add</w:t>
      </w:r>
      <w:proofErr w:type="spellEnd"/>
      <w:r w:rsidR="00932E53" w:rsidRPr="00D14023">
        <w:rPr>
          <w:rFonts w:cs="Arial"/>
          <w:lang w:val="fr-FR"/>
        </w:rPr>
        <w:t>. (</w:t>
      </w:r>
      <w:r w:rsidR="00FB7E07" w:rsidRPr="00D14023">
        <w:rPr>
          <w:rFonts w:cs="Arial"/>
          <w:lang w:val="fr-FR"/>
        </w:rPr>
        <w:t>annexe</w:t>
      </w:r>
      <w:r w:rsidR="00FB7E07">
        <w:rPr>
          <w:rFonts w:cs="Arial"/>
          <w:lang w:val="fr-FR"/>
        </w:rPr>
        <w:t> </w:t>
      </w:r>
      <w:r w:rsidR="00FB7E07" w:rsidRPr="00D14023">
        <w:rPr>
          <w:rFonts w:cs="Arial"/>
          <w:lang w:val="fr-FR"/>
        </w:rPr>
        <w:t>I</w:t>
      </w:r>
      <w:r w:rsidR="00932E53" w:rsidRPr="00D14023">
        <w:rPr>
          <w:rFonts w:cs="Arial"/>
          <w:lang w:val="fr-FR"/>
        </w:rPr>
        <w:t>I, diapositive</w:t>
      </w:r>
      <w:r w:rsidR="00DD4E33">
        <w:rPr>
          <w:rFonts w:cs="Arial"/>
          <w:lang w:val="fr-FR"/>
        </w:rPr>
        <w:t> </w:t>
      </w:r>
      <w:r w:rsidR="00932E53" w:rsidRPr="00D14023">
        <w:rPr>
          <w:rFonts w:cs="Arial"/>
          <w:lang w:val="fr-FR"/>
        </w:rPr>
        <w:t>19), notamment</w:t>
      </w:r>
      <w:r w:rsidR="00D77E57">
        <w:rPr>
          <w:rFonts w:cs="Arial"/>
          <w:lang w:val="fr-FR"/>
        </w:rPr>
        <w:t> </w:t>
      </w:r>
      <w:r w:rsidR="00932E53" w:rsidRPr="00D14023">
        <w:rPr>
          <w:rFonts w:cs="Arial"/>
          <w:lang w:val="fr-FR"/>
        </w:rPr>
        <w:t>:</w:t>
      </w:r>
    </w:p>
    <w:p w:rsidR="00970A91" w:rsidRPr="00D14023" w:rsidRDefault="00970A91" w:rsidP="00360330">
      <w:pPr>
        <w:spacing w:line="276" w:lineRule="auto"/>
        <w:rPr>
          <w:lang w:val="fr-FR"/>
        </w:rPr>
      </w:pPr>
    </w:p>
    <w:p w:rsidR="00123FB0" w:rsidRPr="00D14023" w:rsidRDefault="00123FB0" w:rsidP="00360330">
      <w:pPr>
        <w:pStyle w:val="ListParagraph"/>
        <w:numPr>
          <w:ilvl w:val="0"/>
          <w:numId w:val="2"/>
        </w:numPr>
        <w:spacing w:line="276" w:lineRule="auto"/>
        <w:rPr>
          <w:lang w:val="fr-FR"/>
        </w:rPr>
      </w:pPr>
      <w:r w:rsidRPr="00D14023">
        <w:rPr>
          <w:lang w:val="fr-FR"/>
        </w:rPr>
        <w:t xml:space="preserve">Les notes de variétés </w:t>
      </w:r>
      <w:r w:rsidR="00DC6B9F">
        <w:rPr>
          <w:lang w:val="fr-FR"/>
        </w:rPr>
        <w:t>voisine</w:t>
      </w:r>
      <w:r w:rsidRPr="00D14023">
        <w:rPr>
          <w:lang w:val="fr-FR"/>
        </w:rPr>
        <w:t>s proviendront du même essai en culture que celui de la variété candidate</w:t>
      </w:r>
    </w:p>
    <w:p w:rsidR="00123FB0" w:rsidRPr="00D14023" w:rsidRDefault="00123FB0" w:rsidP="00360330">
      <w:pPr>
        <w:pStyle w:val="ListParagraph"/>
        <w:numPr>
          <w:ilvl w:val="0"/>
          <w:numId w:val="2"/>
        </w:numPr>
        <w:spacing w:line="276" w:lineRule="auto"/>
        <w:rPr>
          <w:lang w:val="fr-FR"/>
        </w:rPr>
      </w:pPr>
      <w:r w:rsidRPr="00D14023">
        <w:rPr>
          <w:lang w:val="fr-FR"/>
        </w:rPr>
        <w:t>Informer les parties concernées des modifications de la description variétale officielle</w:t>
      </w:r>
    </w:p>
    <w:p w:rsidR="00123FB0" w:rsidRPr="00D14023" w:rsidRDefault="00DC6B9F" w:rsidP="00360330">
      <w:pPr>
        <w:pStyle w:val="ListParagraph"/>
        <w:numPr>
          <w:ilvl w:val="0"/>
          <w:numId w:val="2"/>
        </w:numPr>
        <w:spacing w:line="276" w:lineRule="auto"/>
        <w:rPr>
          <w:lang w:val="fr-FR"/>
        </w:rPr>
      </w:pPr>
      <w:r w:rsidRPr="00D14023">
        <w:rPr>
          <w:lang w:val="fr-FR"/>
        </w:rPr>
        <w:t>Accord</w:t>
      </w:r>
      <w:r>
        <w:rPr>
          <w:lang w:val="fr-FR"/>
        </w:rPr>
        <w:t xml:space="preserve"> sur les</w:t>
      </w:r>
      <w:r w:rsidRPr="00D14023">
        <w:rPr>
          <w:lang w:val="fr-FR"/>
        </w:rPr>
        <w:t xml:space="preserve"> données</w:t>
      </w:r>
      <w:r>
        <w:rPr>
          <w:lang w:val="fr-FR"/>
        </w:rPr>
        <w:t xml:space="preserve"> appelées à figurer dans les bases de données partagées</w:t>
      </w:r>
    </w:p>
    <w:p w:rsidR="00970A91" w:rsidRPr="00DD4E33" w:rsidRDefault="00970A91" w:rsidP="00360330">
      <w:pPr>
        <w:spacing w:line="276" w:lineRule="auto"/>
        <w:rPr>
          <w:rFonts w:cs="Arial"/>
          <w:lang w:val="fr-FR"/>
        </w:rPr>
      </w:pPr>
    </w:p>
    <w:p w:rsidR="00970A91" w:rsidRPr="00D14023" w:rsidRDefault="009B511F" w:rsidP="00360330">
      <w:pPr>
        <w:pStyle w:val="DecisionParagraphs"/>
        <w:tabs>
          <w:tab w:val="left" w:pos="5954"/>
          <w:tab w:val="left" w:pos="6521"/>
        </w:tabs>
        <w:spacing w:line="276" w:lineRule="auto"/>
        <w:rPr>
          <w:rFonts w:eastAsia="SimSun"/>
          <w:lang w:val="fr-FR"/>
        </w:rPr>
      </w:pPr>
      <w:r w:rsidRPr="00D14023">
        <w:rPr>
          <w:lang w:val="fr-FR"/>
        </w:rPr>
        <w:fldChar w:fldCharType="begin"/>
      </w:r>
      <w:r w:rsidRPr="00D14023">
        <w:rPr>
          <w:lang w:val="fr-FR"/>
        </w:rPr>
        <w:instrText xml:space="preserve"> AUTONUM  </w:instrText>
      </w:r>
      <w:r w:rsidRPr="00D14023">
        <w:rPr>
          <w:lang w:val="fr-FR"/>
        </w:rPr>
        <w:fldChar w:fldCharType="end"/>
      </w:r>
      <w:r w:rsidRPr="00D14023">
        <w:rPr>
          <w:lang w:val="fr-FR"/>
        </w:rPr>
        <w:tab/>
      </w:r>
      <w:r w:rsidR="0035662C" w:rsidRPr="00D14023">
        <w:rPr>
          <w:lang w:val="fr-FR"/>
        </w:rPr>
        <w:t>Le</w:t>
      </w:r>
      <w:r w:rsidR="00FB7E07" w:rsidRPr="00FB7E07">
        <w:rPr>
          <w:lang w:val="fr-FR"/>
        </w:rPr>
        <w:t> TC</w:t>
      </w:r>
      <w:r w:rsidR="0035662C" w:rsidRPr="00D14023">
        <w:rPr>
          <w:lang w:val="fr-FR"/>
        </w:rPr>
        <w:t xml:space="preserve"> est invité à examiner si de nouvelles orientations concernant le rôle de la description variétale et du matériel végétal devraient être élaborées </w:t>
      </w:r>
      <w:r w:rsidR="00DC6B9F">
        <w:rPr>
          <w:lang w:val="fr-FR"/>
        </w:rPr>
        <w:t xml:space="preserve">en tenant </w:t>
      </w:r>
      <w:r w:rsidR="0035662C" w:rsidRPr="00D14023">
        <w:rPr>
          <w:lang w:val="fr-FR"/>
        </w:rPr>
        <w:t>compte</w:t>
      </w:r>
      <w:r w:rsidR="00DC6B9F">
        <w:rPr>
          <w:lang w:val="fr-FR"/>
        </w:rPr>
        <w:t xml:space="preserve"> </w:t>
      </w:r>
      <w:r w:rsidR="0035662C" w:rsidRPr="00D14023">
        <w:rPr>
          <w:lang w:val="fr-FR"/>
        </w:rPr>
        <w:t xml:space="preserve">des éléments </w:t>
      </w:r>
      <w:r w:rsidR="000A6852" w:rsidRPr="000A6852">
        <w:rPr>
          <w:lang w:val="fr-FR"/>
        </w:rPr>
        <w:t xml:space="preserve">présentés </w:t>
      </w:r>
      <w:r w:rsidR="0035662C" w:rsidRPr="00D14023">
        <w:rPr>
          <w:lang w:val="fr-FR"/>
        </w:rPr>
        <w:t xml:space="preserve">au </w:t>
      </w:r>
      <w:r w:rsidR="00FB7E07" w:rsidRPr="00D14023">
        <w:rPr>
          <w:lang w:val="fr-FR"/>
        </w:rPr>
        <w:t>paragraphe</w:t>
      </w:r>
      <w:r w:rsidR="00FB7E07">
        <w:rPr>
          <w:lang w:val="fr-FR"/>
        </w:rPr>
        <w:t> </w:t>
      </w:r>
      <w:r w:rsidR="00FB7E07" w:rsidRPr="00D14023">
        <w:rPr>
          <w:lang w:val="fr-FR"/>
        </w:rPr>
        <w:t>2</w:t>
      </w:r>
      <w:r w:rsidR="0035662C" w:rsidRPr="00D14023">
        <w:rPr>
          <w:lang w:val="fr-FR"/>
        </w:rPr>
        <w:t>0 du présent document</w:t>
      </w:r>
      <w:r w:rsidRPr="00D14023">
        <w:rPr>
          <w:lang w:val="fr-FR"/>
        </w:rPr>
        <w:t>.</w:t>
      </w:r>
    </w:p>
    <w:p w:rsidR="00970A91" w:rsidRPr="00DD4E33" w:rsidRDefault="00970A91" w:rsidP="00360330">
      <w:pPr>
        <w:spacing w:line="276" w:lineRule="auto"/>
        <w:rPr>
          <w:lang w:val="fr-FR"/>
        </w:rPr>
      </w:pPr>
    </w:p>
    <w:p w:rsidR="00DD4E33" w:rsidRDefault="00932E53" w:rsidP="001409EA">
      <w:pPr>
        <w:spacing w:line="276" w:lineRule="auto"/>
        <w:jc w:val="right"/>
        <w:rPr>
          <w:lang w:val="fr-FR"/>
        </w:rPr>
      </w:pPr>
      <w:r w:rsidRPr="00D14023">
        <w:rPr>
          <w:lang w:val="fr-FR"/>
        </w:rPr>
        <w:t>[L</w:t>
      </w:r>
      <w:r w:rsidR="00FB7E07">
        <w:rPr>
          <w:lang w:val="fr-FR"/>
        </w:rPr>
        <w:t>’</w:t>
      </w:r>
      <w:r w:rsidRPr="00D14023">
        <w:rPr>
          <w:lang w:val="fr-FR"/>
        </w:rPr>
        <w:t>annexe suit]</w:t>
      </w:r>
    </w:p>
    <w:p w:rsidR="00DD4E33" w:rsidRPr="00D14023" w:rsidRDefault="00DD4E33" w:rsidP="00DD4E33">
      <w:pPr>
        <w:spacing w:line="276" w:lineRule="auto"/>
        <w:rPr>
          <w:lang w:val="fr-FR"/>
        </w:rPr>
        <w:sectPr w:rsidR="00DD4E33" w:rsidRPr="00D14023" w:rsidSect="001409EA">
          <w:headerReference w:type="even" r:id="rId9"/>
          <w:headerReference w:type="default" r:id="rId10"/>
          <w:footerReference w:type="even" r:id="rId11"/>
          <w:footerReference w:type="default" r:id="rId12"/>
          <w:headerReference w:type="first" r:id="rId13"/>
          <w:footerReference w:type="first" r:id="rId14"/>
          <w:pgSz w:w="11907" w:h="16840" w:code="9"/>
          <w:pgMar w:top="510" w:right="1134" w:bottom="1134" w:left="1134" w:header="510" w:footer="680" w:gutter="0"/>
          <w:cols w:space="720"/>
          <w:titlePg/>
          <w:docGrid w:linePitch="272"/>
        </w:sectPr>
      </w:pPr>
    </w:p>
    <w:p w:rsidR="00970A91" w:rsidRPr="00D14023" w:rsidRDefault="00970A91" w:rsidP="00DD4E33">
      <w:pPr>
        <w:spacing w:line="276" w:lineRule="auto"/>
        <w:jc w:val="center"/>
        <w:rPr>
          <w:lang w:val="fr-FR"/>
        </w:rPr>
      </w:pPr>
    </w:p>
    <w:p w:rsidR="00970A91" w:rsidRPr="00D14023" w:rsidRDefault="00D033F9" w:rsidP="00360330">
      <w:pPr>
        <w:spacing w:line="276" w:lineRule="auto"/>
        <w:jc w:val="center"/>
        <w:rPr>
          <w:lang w:val="fr-FR"/>
        </w:rPr>
      </w:pPr>
      <w:r w:rsidRPr="00D14023">
        <w:rPr>
          <w:lang w:val="fr-FR"/>
        </w:rPr>
        <w:t>BUT DE LA DESCRIPTION VARIÉTALE ÉLABORÉE AU MOMENT DE L</w:t>
      </w:r>
      <w:r w:rsidR="00FB7E07">
        <w:rPr>
          <w:lang w:val="fr-FR"/>
        </w:rPr>
        <w:t>’</w:t>
      </w:r>
      <w:r w:rsidRPr="00D14023">
        <w:rPr>
          <w:lang w:val="fr-FR"/>
        </w:rPr>
        <w:t>OCTROI DU DROIT D</w:t>
      </w:r>
      <w:r w:rsidR="00FB7E07">
        <w:rPr>
          <w:lang w:val="fr-FR"/>
        </w:rPr>
        <w:t>’</w:t>
      </w:r>
      <w:r w:rsidRPr="00D14023">
        <w:rPr>
          <w:lang w:val="fr-FR"/>
        </w:rPr>
        <w:t>OBTENTEUR ET STATUT DE LA DESCRIPTION VARIÉTALE INITIALE, AU REGARD DE LA VÉRIFICATION DE LA CONFORMITÉ DU MATÉRIEL VÉGÉTAL À UNE VARIÉTÉ PROTÉGÉE AUX FINS DE L</w:t>
      </w:r>
      <w:r w:rsidR="00FB7E07">
        <w:rPr>
          <w:lang w:val="fr-FR"/>
        </w:rPr>
        <w:t>’</w:t>
      </w:r>
      <w:r w:rsidRPr="00D14023">
        <w:rPr>
          <w:lang w:val="fr-FR"/>
        </w:rPr>
        <w:t>APPLICATION DU DROIT D</w:t>
      </w:r>
      <w:r w:rsidR="00FB7E07">
        <w:rPr>
          <w:lang w:val="fr-FR"/>
        </w:rPr>
        <w:t>’</w:t>
      </w:r>
      <w:r w:rsidRPr="00D14023">
        <w:rPr>
          <w:lang w:val="fr-FR"/>
        </w:rPr>
        <w:t>OBTENTEUR</w:t>
      </w:r>
    </w:p>
    <w:p w:rsidR="00970A91" w:rsidRPr="00D14023" w:rsidRDefault="00970A91" w:rsidP="00360330">
      <w:pPr>
        <w:spacing w:line="276" w:lineRule="auto"/>
        <w:rPr>
          <w:lang w:val="fr-FR"/>
        </w:rPr>
      </w:pPr>
    </w:p>
    <w:p w:rsidR="00970A91" w:rsidRPr="00D14023" w:rsidRDefault="0064430E" w:rsidP="00360330">
      <w:pPr>
        <w:spacing w:line="276" w:lineRule="auto"/>
        <w:rPr>
          <w:lang w:val="fr-FR"/>
        </w:rPr>
      </w:pPr>
      <w:r w:rsidRPr="00D14023">
        <w:rPr>
          <w:lang w:val="fr-FR"/>
        </w:rPr>
        <w:t>Le CAJ, à sa soixante</w:t>
      </w:r>
      <w:r w:rsidR="00FB7E07">
        <w:rPr>
          <w:lang w:val="fr-FR"/>
        </w:rPr>
        <w:t> et onzième session</w:t>
      </w:r>
      <w:r w:rsidRPr="00D14023">
        <w:rPr>
          <w:lang w:val="fr-FR"/>
        </w:rPr>
        <w:t>, a souscrit à la conclusion adoptée par le CAJ</w:t>
      </w:r>
      <w:r w:rsidR="00792874">
        <w:rPr>
          <w:lang w:val="fr-FR"/>
        </w:rPr>
        <w:noBreakHyphen/>
      </w:r>
      <w:r w:rsidRPr="00D14023">
        <w:rPr>
          <w:lang w:val="fr-FR"/>
        </w:rPr>
        <w:t>AG, à sa neuv</w:t>
      </w:r>
      <w:r w:rsidR="00FB7E07">
        <w:rPr>
          <w:lang w:val="fr-FR"/>
        </w:rPr>
        <w:t>ième session</w:t>
      </w:r>
      <w:r w:rsidRPr="00D14023">
        <w:rPr>
          <w:lang w:val="fr-FR"/>
        </w:rPr>
        <w:t>, sur</w:t>
      </w:r>
      <w:r w:rsidR="00D77E57">
        <w:rPr>
          <w:lang w:val="fr-FR"/>
        </w:rPr>
        <w:t> </w:t>
      </w:r>
      <w:r w:rsidRPr="00D14023">
        <w:rPr>
          <w:lang w:val="fr-FR"/>
        </w:rPr>
        <w:t>:</w:t>
      </w:r>
    </w:p>
    <w:p w:rsidR="00970A91" w:rsidRPr="00D14023" w:rsidRDefault="00970A91" w:rsidP="00360330">
      <w:pPr>
        <w:spacing w:line="276" w:lineRule="auto"/>
        <w:rPr>
          <w:lang w:val="fr-FR"/>
        </w:rPr>
      </w:pPr>
    </w:p>
    <w:p w:rsidR="00970A91" w:rsidRPr="00D14023" w:rsidRDefault="00490A3C" w:rsidP="00360330">
      <w:pPr>
        <w:spacing w:line="276" w:lineRule="auto"/>
        <w:rPr>
          <w:lang w:val="fr-FR"/>
        </w:rPr>
      </w:pPr>
      <w:r w:rsidRPr="00D14023">
        <w:rPr>
          <w:lang w:val="fr-FR"/>
        </w:rPr>
        <w:tab/>
      </w:r>
      <w:r w:rsidR="0064430E" w:rsidRPr="00D14023">
        <w:rPr>
          <w:lang w:val="fr-FR"/>
        </w:rPr>
        <w:t>i)</w:t>
      </w:r>
      <w:r w:rsidR="00DD4E33">
        <w:rPr>
          <w:lang w:val="fr-FR"/>
        </w:rPr>
        <w:tab/>
      </w:r>
      <w:r w:rsidR="0064430E" w:rsidRPr="00D14023">
        <w:rPr>
          <w:lang w:val="fr-FR"/>
        </w:rPr>
        <w:t>Le ou les buts de la description variétale élaborée au moment de l</w:t>
      </w:r>
      <w:r w:rsidR="00FB7E07">
        <w:rPr>
          <w:lang w:val="fr-FR"/>
        </w:rPr>
        <w:t>’</w:t>
      </w:r>
      <w:r w:rsidR="0064430E" w:rsidRPr="00D14023">
        <w:rPr>
          <w:lang w:val="fr-FR"/>
        </w:rPr>
        <w:t>octroi du droit d</w:t>
      </w:r>
      <w:r w:rsidR="00FB7E07">
        <w:rPr>
          <w:lang w:val="fr-FR"/>
        </w:rPr>
        <w:t>’</w:t>
      </w:r>
      <w:r w:rsidR="0064430E" w:rsidRPr="00D14023">
        <w:rPr>
          <w:lang w:val="fr-FR"/>
        </w:rPr>
        <w:t>obtenteur (description variétale initiale), comme indiqué ci</w:t>
      </w:r>
      <w:r w:rsidR="00792874">
        <w:rPr>
          <w:lang w:val="fr-FR"/>
        </w:rPr>
        <w:noBreakHyphen/>
      </w:r>
      <w:r w:rsidR="0064430E" w:rsidRPr="00D14023">
        <w:rPr>
          <w:lang w:val="fr-FR"/>
        </w:rPr>
        <w:t>après</w:t>
      </w:r>
      <w:r w:rsidR="00D77E57">
        <w:rPr>
          <w:lang w:val="fr-FR"/>
        </w:rPr>
        <w:t> </w:t>
      </w:r>
      <w:r w:rsidR="0064430E" w:rsidRPr="00D14023">
        <w:rPr>
          <w:lang w:val="fr-FR"/>
        </w:rPr>
        <w:t>:</w:t>
      </w:r>
    </w:p>
    <w:p w:rsidR="00970A91" w:rsidRPr="00D14023" w:rsidRDefault="00970A91" w:rsidP="00360330">
      <w:pPr>
        <w:spacing w:line="276" w:lineRule="auto"/>
        <w:rPr>
          <w:lang w:val="fr-FR"/>
        </w:rPr>
      </w:pPr>
    </w:p>
    <w:p w:rsidR="00970A91" w:rsidRPr="00D14023" w:rsidRDefault="0064430E" w:rsidP="00360330">
      <w:pPr>
        <w:spacing w:line="276" w:lineRule="auto"/>
        <w:rPr>
          <w:lang w:val="fr-FR"/>
        </w:rPr>
      </w:pPr>
      <w:r w:rsidRPr="00D14023">
        <w:rPr>
          <w:lang w:val="fr-FR"/>
        </w:rPr>
        <w:t>Le CAJ</w:t>
      </w:r>
      <w:r w:rsidR="00792874">
        <w:rPr>
          <w:lang w:val="fr-FR"/>
        </w:rPr>
        <w:noBreakHyphen/>
      </w:r>
      <w:r w:rsidRPr="00D14023">
        <w:rPr>
          <w:lang w:val="fr-FR"/>
        </w:rPr>
        <w:t xml:space="preserve">AG est convenu que, sur la base de la </w:t>
      </w:r>
      <w:r w:rsidR="00FB7E07" w:rsidRPr="00D14023">
        <w:rPr>
          <w:lang w:val="fr-FR"/>
        </w:rPr>
        <w:t>section</w:t>
      </w:r>
      <w:r w:rsidR="00FB7E07">
        <w:rPr>
          <w:lang w:val="fr-FR"/>
        </w:rPr>
        <w:t> </w:t>
      </w:r>
      <w:r w:rsidR="00FB7E07" w:rsidRPr="00D14023">
        <w:rPr>
          <w:lang w:val="fr-FR"/>
        </w:rPr>
        <w:t>6</w:t>
      </w:r>
      <w:r w:rsidRPr="00D14023">
        <w:rPr>
          <w:lang w:val="fr-FR"/>
        </w:rPr>
        <w:t xml:space="preserve"> du “Rapport UPOV d</w:t>
      </w:r>
      <w:r w:rsidR="00FB7E07">
        <w:rPr>
          <w:lang w:val="fr-FR"/>
        </w:rPr>
        <w:t>’</w:t>
      </w:r>
      <w:r w:rsidRPr="00D14023">
        <w:rPr>
          <w:lang w:val="fr-FR"/>
        </w:rPr>
        <w:t>examen technique et Formulaire UPOV de description variétale” du document TGP/5 “Expérience et coopération en matière d</w:t>
      </w:r>
      <w:r w:rsidR="00FB7E07">
        <w:rPr>
          <w:lang w:val="fr-FR"/>
        </w:rPr>
        <w:t>’</w:t>
      </w:r>
      <w:r w:rsidRPr="00D14023">
        <w:rPr>
          <w:lang w:val="fr-FR"/>
        </w:rPr>
        <w:t>examen</w:t>
      </w:r>
      <w:r w:rsidR="00D77E57">
        <w:rPr>
          <w:lang w:val="fr-FR"/>
        </w:rPr>
        <w:t> </w:t>
      </w:r>
      <w:r w:rsidRPr="00D14023">
        <w:rPr>
          <w:lang w:val="fr-FR"/>
        </w:rPr>
        <w:t>DHS”, le but de la description variétale élaborée au moment de l</w:t>
      </w:r>
      <w:r w:rsidR="00FB7E07">
        <w:rPr>
          <w:lang w:val="fr-FR"/>
        </w:rPr>
        <w:t>’</w:t>
      </w:r>
      <w:r w:rsidRPr="00D14023">
        <w:rPr>
          <w:lang w:val="fr-FR"/>
        </w:rPr>
        <w:t>octroi du droit d</w:t>
      </w:r>
      <w:r w:rsidR="00FB7E07">
        <w:rPr>
          <w:lang w:val="fr-FR"/>
        </w:rPr>
        <w:t>’</w:t>
      </w:r>
      <w:r w:rsidRPr="00D14023">
        <w:rPr>
          <w:lang w:val="fr-FR"/>
        </w:rPr>
        <w:t>obtenteur (description variétale initiale) pourrait être résumé comme suit</w:t>
      </w:r>
      <w:r w:rsidR="00FB7E07">
        <w:rPr>
          <w:lang w:val="fr-FR"/>
        </w:rPr>
        <w:t> :</w:t>
      </w:r>
    </w:p>
    <w:p w:rsidR="00970A91" w:rsidRPr="00D14023" w:rsidRDefault="00970A91" w:rsidP="00DF3110">
      <w:pPr>
        <w:spacing w:line="276" w:lineRule="auto"/>
        <w:ind w:right="567"/>
        <w:rPr>
          <w:lang w:val="fr-FR"/>
        </w:rPr>
      </w:pPr>
    </w:p>
    <w:p w:rsidR="00970A91" w:rsidRPr="00D14023" w:rsidRDefault="0064430E" w:rsidP="00360330">
      <w:pPr>
        <w:keepNext/>
        <w:spacing w:line="276" w:lineRule="auto"/>
        <w:ind w:left="1134" w:right="567"/>
        <w:rPr>
          <w:lang w:val="fr-FR"/>
        </w:rPr>
      </w:pPr>
      <w:r w:rsidRPr="00D14023">
        <w:rPr>
          <w:lang w:val="fr-FR"/>
        </w:rPr>
        <w:t>a)</w:t>
      </w:r>
      <w:r w:rsidRPr="00D14023">
        <w:rPr>
          <w:lang w:val="fr-FR"/>
        </w:rPr>
        <w:tab/>
        <w:t>décrire les caractères de la variété;  et</w:t>
      </w:r>
    </w:p>
    <w:p w:rsidR="00FB7E07" w:rsidRDefault="0064430E" w:rsidP="004438B1">
      <w:pPr>
        <w:spacing w:line="276" w:lineRule="auto"/>
        <w:ind w:left="1701" w:right="567" w:hanging="567"/>
        <w:rPr>
          <w:lang w:val="fr-FR"/>
        </w:rPr>
      </w:pPr>
      <w:r w:rsidRPr="00D14023">
        <w:rPr>
          <w:lang w:val="fr-FR"/>
        </w:rPr>
        <w:t>b)</w:t>
      </w:r>
      <w:r w:rsidRPr="00D14023">
        <w:rPr>
          <w:lang w:val="fr-FR"/>
        </w:rPr>
        <w:tab/>
        <w:t>identifier les variétés voisines et les différences par rapport à ces variétés, et en dresser la liste;</w:t>
      </w:r>
    </w:p>
    <w:p w:rsidR="00970A91" w:rsidRPr="00D14023" w:rsidRDefault="0064430E" w:rsidP="00360330">
      <w:pPr>
        <w:spacing w:line="276" w:lineRule="auto"/>
        <w:ind w:left="2835" w:right="567" w:hanging="1134"/>
        <w:rPr>
          <w:lang w:val="fr-FR"/>
        </w:rPr>
      </w:pPr>
      <w:proofErr w:type="gramStart"/>
      <w:r w:rsidRPr="00D14023">
        <w:rPr>
          <w:lang w:val="fr-FR"/>
        </w:rPr>
        <w:t>avec</w:t>
      </w:r>
      <w:proofErr w:type="gramEnd"/>
      <w:r w:rsidRPr="00D14023">
        <w:rPr>
          <w:lang w:val="fr-FR"/>
        </w:rPr>
        <w:t xml:space="preserve"> les informations sur la base pour a) et b), </w:t>
      </w:r>
      <w:r w:rsidR="00FB7E07">
        <w:rPr>
          <w:lang w:val="fr-FR"/>
        </w:rPr>
        <w:t>à savoir :</w:t>
      </w:r>
    </w:p>
    <w:p w:rsidR="00970A91" w:rsidRPr="004438B1" w:rsidRDefault="0064430E" w:rsidP="004438B1">
      <w:pPr>
        <w:pStyle w:val="ListParagraph"/>
        <w:numPr>
          <w:ilvl w:val="2"/>
          <w:numId w:val="4"/>
        </w:numPr>
        <w:ind w:left="2268" w:right="567" w:hanging="567"/>
        <w:rPr>
          <w:rFonts w:cs="Arial"/>
          <w:lang w:val="fr-FR"/>
        </w:rPr>
      </w:pPr>
      <w:r w:rsidRPr="004438B1">
        <w:rPr>
          <w:rFonts w:cs="Arial"/>
          <w:lang w:val="fr-FR"/>
        </w:rPr>
        <w:t>Date et référence du document contenant les principes directeurs d</w:t>
      </w:r>
      <w:r w:rsidR="00FB7E07" w:rsidRPr="004438B1">
        <w:rPr>
          <w:rFonts w:cs="Arial"/>
          <w:lang w:val="fr-FR"/>
        </w:rPr>
        <w:t>’</w:t>
      </w:r>
      <w:r w:rsidRPr="004438B1">
        <w:rPr>
          <w:rFonts w:cs="Arial"/>
          <w:lang w:val="fr-FR"/>
        </w:rPr>
        <w:t>examen de l</w:t>
      </w:r>
      <w:r w:rsidR="00FB7E07" w:rsidRPr="004438B1">
        <w:rPr>
          <w:rFonts w:cs="Arial"/>
          <w:lang w:val="fr-FR"/>
        </w:rPr>
        <w:t>’</w:t>
      </w:r>
      <w:r w:rsidRPr="004438B1">
        <w:rPr>
          <w:rFonts w:cs="Arial"/>
          <w:lang w:val="fr-FR"/>
        </w:rPr>
        <w:t>UPOV;</w:t>
      </w:r>
    </w:p>
    <w:p w:rsidR="00970A91" w:rsidRPr="004438B1" w:rsidRDefault="0064430E" w:rsidP="004438B1">
      <w:pPr>
        <w:pStyle w:val="ListParagraph"/>
        <w:numPr>
          <w:ilvl w:val="2"/>
          <w:numId w:val="4"/>
        </w:numPr>
        <w:ind w:left="2268" w:right="567" w:hanging="567"/>
        <w:rPr>
          <w:rFonts w:cs="Arial"/>
          <w:lang w:val="fr-FR"/>
        </w:rPr>
      </w:pPr>
      <w:r w:rsidRPr="004438B1">
        <w:rPr>
          <w:rFonts w:cs="Arial"/>
          <w:lang w:val="fr-FR"/>
        </w:rPr>
        <w:t>Date ou référence des principes directeurs du service ayant établi le rapport d</w:t>
      </w:r>
      <w:r w:rsidR="00FB7E07" w:rsidRPr="004438B1">
        <w:rPr>
          <w:rFonts w:cs="Arial"/>
          <w:lang w:val="fr-FR"/>
        </w:rPr>
        <w:t>’</w:t>
      </w:r>
      <w:r w:rsidRPr="004438B1">
        <w:rPr>
          <w:rFonts w:cs="Arial"/>
          <w:lang w:val="fr-FR"/>
        </w:rPr>
        <w:t>examen;</w:t>
      </w:r>
    </w:p>
    <w:p w:rsidR="00970A91" w:rsidRPr="004438B1" w:rsidRDefault="0064430E" w:rsidP="004438B1">
      <w:pPr>
        <w:pStyle w:val="ListParagraph"/>
        <w:numPr>
          <w:ilvl w:val="2"/>
          <w:numId w:val="4"/>
        </w:numPr>
        <w:ind w:left="1701" w:right="567" w:firstLine="0"/>
        <w:rPr>
          <w:rFonts w:cs="Arial"/>
          <w:lang w:val="fr-FR"/>
        </w:rPr>
      </w:pPr>
      <w:r w:rsidRPr="004438B1">
        <w:rPr>
          <w:rFonts w:cs="Arial"/>
          <w:lang w:val="fr-FR"/>
        </w:rPr>
        <w:t>Service ayant établi le rapport d</w:t>
      </w:r>
      <w:r w:rsidR="00FB7E07" w:rsidRPr="004438B1">
        <w:rPr>
          <w:rFonts w:cs="Arial"/>
          <w:lang w:val="fr-FR"/>
        </w:rPr>
        <w:t>’</w:t>
      </w:r>
      <w:r w:rsidRPr="004438B1">
        <w:rPr>
          <w:rFonts w:cs="Arial"/>
          <w:lang w:val="fr-FR"/>
        </w:rPr>
        <w:t>examen;</w:t>
      </w:r>
    </w:p>
    <w:p w:rsidR="00970A91" w:rsidRPr="004438B1" w:rsidRDefault="0064430E" w:rsidP="004438B1">
      <w:pPr>
        <w:pStyle w:val="ListParagraph"/>
        <w:numPr>
          <w:ilvl w:val="2"/>
          <w:numId w:val="4"/>
        </w:numPr>
        <w:ind w:left="1701" w:right="567" w:firstLine="0"/>
        <w:rPr>
          <w:rFonts w:cs="Arial"/>
          <w:lang w:val="fr-FR"/>
        </w:rPr>
      </w:pPr>
      <w:r w:rsidRPr="004438B1">
        <w:rPr>
          <w:rFonts w:cs="Arial"/>
          <w:lang w:val="fr-FR"/>
        </w:rPr>
        <w:t>Station(s) et lieu(x) d</w:t>
      </w:r>
      <w:r w:rsidR="00FB7E07" w:rsidRPr="004438B1">
        <w:rPr>
          <w:rFonts w:cs="Arial"/>
          <w:lang w:val="fr-FR"/>
        </w:rPr>
        <w:t>’</w:t>
      </w:r>
      <w:r w:rsidRPr="004438B1">
        <w:rPr>
          <w:rFonts w:cs="Arial"/>
          <w:lang w:val="fr-FR"/>
        </w:rPr>
        <w:t>examen;</w:t>
      </w:r>
    </w:p>
    <w:p w:rsidR="00970A91" w:rsidRPr="004438B1" w:rsidRDefault="0064430E" w:rsidP="004438B1">
      <w:pPr>
        <w:pStyle w:val="ListParagraph"/>
        <w:numPr>
          <w:ilvl w:val="2"/>
          <w:numId w:val="4"/>
        </w:numPr>
        <w:ind w:left="1701" w:right="567" w:firstLine="0"/>
        <w:rPr>
          <w:rFonts w:cs="Arial"/>
          <w:lang w:val="fr-FR"/>
        </w:rPr>
      </w:pPr>
      <w:r w:rsidRPr="004438B1">
        <w:rPr>
          <w:rFonts w:cs="Arial"/>
          <w:lang w:val="fr-FR"/>
        </w:rPr>
        <w:t>Période d</w:t>
      </w:r>
      <w:r w:rsidR="00FB7E07" w:rsidRPr="004438B1">
        <w:rPr>
          <w:rFonts w:cs="Arial"/>
          <w:lang w:val="fr-FR"/>
        </w:rPr>
        <w:t>’</w:t>
      </w:r>
      <w:r w:rsidRPr="004438B1">
        <w:rPr>
          <w:rFonts w:cs="Arial"/>
          <w:lang w:val="fr-FR"/>
        </w:rPr>
        <w:t>examen;</w:t>
      </w:r>
    </w:p>
    <w:p w:rsidR="00970A91" w:rsidRPr="004438B1" w:rsidRDefault="0064430E" w:rsidP="004438B1">
      <w:pPr>
        <w:pStyle w:val="ListParagraph"/>
        <w:numPr>
          <w:ilvl w:val="2"/>
          <w:numId w:val="4"/>
        </w:numPr>
        <w:ind w:left="1701" w:right="567" w:firstLine="0"/>
        <w:rPr>
          <w:rFonts w:cs="Arial"/>
          <w:lang w:val="fr-FR"/>
        </w:rPr>
      </w:pPr>
      <w:r w:rsidRPr="004438B1">
        <w:rPr>
          <w:rFonts w:cs="Arial"/>
          <w:lang w:val="fr-FR"/>
        </w:rPr>
        <w:t>Date et lieu de publication du document;</w:t>
      </w:r>
    </w:p>
    <w:p w:rsidR="00970A91" w:rsidRPr="004438B1" w:rsidRDefault="0064430E" w:rsidP="004438B1">
      <w:pPr>
        <w:pStyle w:val="ListParagraph"/>
        <w:numPr>
          <w:ilvl w:val="2"/>
          <w:numId w:val="4"/>
        </w:numPr>
        <w:ind w:left="1701" w:right="567" w:firstLine="0"/>
        <w:rPr>
          <w:rFonts w:cs="Arial"/>
          <w:lang w:val="fr-FR"/>
        </w:rPr>
      </w:pPr>
      <w:r w:rsidRPr="004438B1">
        <w:rPr>
          <w:rFonts w:cs="Arial"/>
          <w:lang w:val="fr-FR"/>
        </w:rPr>
        <w:t>Groupe</w:t>
      </w:r>
      <w:r w:rsidR="00FB7E07" w:rsidRPr="004438B1">
        <w:rPr>
          <w:rFonts w:cs="Arial"/>
          <w:lang w:val="fr-FR"/>
        </w:rPr>
        <w:t> :</w:t>
      </w:r>
      <w:r w:rsidRPr="004438B1">
        <w:rPr>
          <w:rFonts w:cs="Arial"/>
          <w:lang w:val="fr-FR"/>
        </w:rPr>
        <w:t xml:space="preserve"> (tableau</w:t>
      </w:r>
      <w:r w:rsidR="00FB7E07" w:rsidRPr="004438B1">
        <w:rPr>
          <w:rFonts w:cs="Arial"/>
          <w:lang w:val="fr-FR"/>
        </w:rPr>
        <w:t> :</w:t>
      </w:r>
      <w:r w:rsidRPr="004438B1">
        <w:rPr>
          <w:rFonts w:cs="Arial"/>
          <w:lang w:val="fr-FR"/>
        </w:rPr>
        <w:t xml:space="preserve"> caractères;  niveaux d</w:t>
      </w:r>
      <w:r w:rsidR="00FB7E07" w:rsidRPr="004438B1">
        <w:rPr>
          <w:rFonts w:cs="Arial"/>
          <w:lang w:val="fr-FR"/>
        </w:rPr>
        <w:t>’</w:t>
      </w:r>
      <w:r w:rsidRPr="004438B1">
        <w:rPr>
          <w:rFonts w:cs="Arial"/>
          <w:lang w:val="fr-FR"/>
        </w:rPr>
        <w:t>expression;  note;  observations);</w:t>
      </w:r>
    </w:p>
    <w:p w:rsidR="00970A91" w:rsidRPr="004438B1" w:rsidRDefault="0064430E" w:rsidP="004438B1">
      <w:pPr>
        <w:pStyle w:val="ListParagraph"/>
        <w:numPr>
          <w:ilvl w:val="2"/>
          <w:numId w:val="4"/>
        </w:numPr>
        <w:ind w:left="1701" w:right="567" w:firstLine="0"/>
        <w:rPr>
          <w:rFonts w:cs="Arial"/>
          <w:lang w:val="fr-FR"/>
        </w:rPr>
      </w:pPr>
      <w:r w:rsidRPr="004438B1">
        <w:rPr>
          <w:rFonts w:cs="Arial"/>
          <w:lang w:val="fr-FR"/>
        </w:rPr>
        <w:t>Renseignements complémentaires;</w:t>
      </w:r>
    </w:p>
    <w:p w:rsidR="00970A91" w:rsidRPr="004438B1" w:rsidRDefault="00490A3C" w:rsidP="004438B1">
      <w:pPr>
        <w:ind w:left="1701" w:right="567"/>
        <w:rPr>
          <w:lang w:val="fr-FR"/>
        </w:rPr>
      </w:pPr>
      <w:r w:rsidRPr="004438B1">
        <w:rPr>
          <w:rFonts w:cs="Arial"/>
          <w:lang w:val="fr-FR"/>
        </w:rPr>
        <w:tab/>
      </w:r>
      <w:r w:rsidR="0064430E" w:rsidRPr="004438B1">
        <w:rPr>
          <w:lang w:val="fr-FR"/>
        </w:rPr>
        <w:t>a)</w:t>
      </w:r>
      <w:r w:rsidR="0064430E" w:rsidRPr="004438B1">
        <w:rPr>
          <w:lang w:val="fr-FR"/>
        </w:rPr>
        <w:tab/>
        <w:t>Données additionnelles;</w:t>
      </w:r>
    </w:p>
    <w:p w:rsidR="00970A91" w:rsidRPr="004438B1" w:rsidRDefault="00490A3C" w:rsidP="00360330">
      <w:pPr>
        <w:tabs>
          <w:tab w:val="left" w:pos="2268"/>
          <w:tab w:val="left" w:pos="2835"/>
        </w:tabs>
        <w:spacing w:line="276" w:lineRule="auto"/>
        <w:ind w:left="1701" w:right="567"/>
        <w:rPr>
          <w:lang w:val="fr-FR"/>
        </w:rPr>
      </w:pPr>
      <w:r w:rsidRPr="004438B1">
        <w:rPr>
          <w:lang w:val="fr-FR"/>
        </w:rPr>
        <w:tab/>
      </w:r>
      <w:r w:rsidR="0064430E" w:rsidRPr="004438B1">
        <w:rPr>
          <w:lang w:val="fr-FR"/>
        </w:rPr>
        <w:t>b)</w:t>
      </w:r>
      <w:r w:rsidR="0064430E" w:rsidRPr="004438B1">
        <w:rPr>
          <w:lang w:val="fr-FR"/>
        </w:rPr>
        <w:tab/>
        <w:t>Photographie (le cas échéant);</w:t>
      </w:r>
    </w:p>
    <w:p w:rsidR="00970A91" w:rsidRPr="004438B1" w:rsidRDefault="00490A3C" w:rsidP="00360330">
      <w:pPr>
        <w:tabs>
          <w:tab w:val="left" w:pos="2268"/>
          <w:tab w:val="left" w:pos="2835"/>
        </w:tabs>
        <w:spacing w:line="276" w:lineRule="auto"/>
        <w:ind w:left="1701" w:right="567"/>
        <w:rPr>
          <w:lang w:val="fr-FR"/>
        </w:rPr>
      </w:pPr>
      <w:r w:rsidRPr="004438B1">
        <w:rPr>
          <w:lang w:val="fr-FR"/>
        </w:rPr>
        <w:tab/>
      </w:r>
      <w:r w:rsidR="0064430E" w:rsidRPr="004438B1">
        <w:rPr>
          <w:lang w:val="fr-FR"/>
        </w:rPr>
        <w:t>c)</w:t>
      </w:r>
      <w:r w:rsidR="0064430E" w:rsidRPr="004438B1">
        <w:rPr>
          <w:lang w:val="fr-FR"/>
        </w:rPr>
        <w:tab/>
        <w:t>Version du code RHS des couleurs utilisée (le cas échéant);</w:t>
      </w:r>
    </w:p>
    <w:p w:rsidR="00970A91" w:rsidRPr="004438B1" w:rsidRDefault="00490A3C" w:rsidP="00360330">
      <w:pPr>
        <w:tabs>
          <w:tab w:val="left" w:pos="2268"/>
          <w:tab w:val="left" w:pos="2835"/>
        </w:tabs>
        <w:spacing w:line="276" w:lineRule="auto"/>
        <w:ind w:left="1701" w:right="567"/>
        <w:rPr>
          <w:lang w:val="fr-FR"/>
        </w:rPr>
      </w:pPr>
      <w:r w:rsidRPr="004438B1">
        <w:rPr>
          <w:lang w:val="fr-FR"/>
        </w:rPr>
        <w:tab/>
      </w:r>
      <w:r w:rsidR="0064430E" w:rsidRPr="004438B1">
        <w:rPr>
          <w:lang w:val="fr-FR"/>
        </w:rPr>
        <w:t>d)</w:t>
      </w:r>
      <w:r w:rsidR="0064430E" w:rsidRPr="004438B1">
        <w:rPr>
          <w:lang w:val="fr-FR"/>
        </w:rPr>
        <w:tab/>
        <w:t>Observations.</w:t>
      </w:r>
    </w:p>
    <w:p w:rsidR="00970A91" w:rsidRPr="004438B1" w:rsidRDefault="00970A91" w:rsidP="00360330">
      <w:pPr>
        <w:spacing w:line="276" w:lineRule="auto"/>
        <w:rPr>
          <w:lang w:val="fr-FR"/>
        </w:rPr>
      </w:pPr>
    </w:p>
    <w:p w:rsidR="00970A91" w:rsidRPr="00D14023" w:rsidRDefault="0064430E" w:rsidP="00360330">
      <w:pPr>
        <w:spacing w:line="276" w:lineRule="auto"/>
        <w:ind w:left="567"/>
        <w:rPr>
          <w:lang w:val="fr-FR"/>
        </w:rPr>
      </w:pPr>
      <w:proofErr w:type="gramStart"/>
      <w:r w:rsidRPr="00D14023">
        <w:rPr>
          <w:lang w:val="fr-FR"/>
        </w:rPr>
        <w:t>et</w:t>
      </w:r>
      <w:proofErr w:type="gramEnd"/>
    </w:p>
    <w:p w:rsidR="00970A91" w:rsidRPr="00D14023" w:rsidRDefault="00970A91" w:rsidP="00360330">
      <w:pPr>
        <w:spacing w:line="276" w:lineRule="auto"/>
        <w:rPr>
          <w:lang w:val="fr-FR"/>
        </w:rPr>
      </w:pPr>
    </w:p>
    <w:p w:rsidR="00970A91" w:rsidRPr="00D14023" w:rsidRDefault="00490A3C" w:rsidP="00360330">
      <w:pPr>
        <w:spacing w:line="276" w:lineRule="auto"/>
        <w:rPr>
          <w:lang w:val="fr-FR"/>
        </w:rPr>
      </w:pPr>
      <w:r w:rsidRPr="00D14023">
        <w:rPr>
          <w:lang w:val="fr-FR"/>
        </w:rPr>
        <w:tab/>
      </w:r>
      <w:r w:rsidR="0064430E" w:rsidRPr="00D14023">
        <w:rPr>
          <w:lang w:val="fr-FR"/>
        </w:rPr>
        <w:t>ii)</w:t>
      </w:r>
      <w:r w:rsidR="00DD4E33">
        <w:rPr>
          <w:lang w:val="fr-FR"/>
        </w:rPr>
        <w:tab/>
      </w:r>
      <w:r w:rsidR="0064430E" w:rsidRPr="00D14023">
        <w:rPr>
          <w:lang w:val="fr-FR"/>
        </w:rPr>
        <w:t>Le statut de la description variétale initiale, au regard de la vérification de la conformité du matériel végétal à une variété protégée aux fins de la défense des droits d</w:t>
      </w:r>
      <w:r w:rsidR="00FB7E07">
        <w:rPr>
          <w:lang w:val="fr-FR"/>
        </w:rPr>
        <w:t>’</w:t>
      </w:r>
      <w:r w:rsidR="0064430E" w:rsidRPr="00D14023">
        <w:rPr>
          <w:lang w:val="fr-FR"/>
        </w:rPr>
        <w:t>obtenteur, comme indiqué ci</w:t>
      </w:r>
      <w:r w:rsidR="00792874">
        <w:rPr>
          <w:lang w:val="fr-FR"/>
        </w:rPr>
        <w:noBreakHyphen/>
      </w:r>
      <w:r w:rsidR="0064430E" w:rsidRPr="00D14023">
        <w:rPr>
          <w:lang w:val="fr-FR"/>
        </w:rPr>
        <w:t>après</w:t>
      </w:r>
      <w:r w:rsidR="00D77E57">
        <w:rPr>
          <w:lang w:val="fr-FR"/>
        </w:rPr>
        <w:t> </w:t>
      </w:r>
      <w:r w:rsidR="0064430E" w:rsidRPr="00D14023">
        <w:rPr>
          <w:lang w:val="fr-FR"/>
        </w:rPr>
        <w:t>:</w:t>
      </w:r>
    </w:p>
    <w:p w:rsidR="00970A91" w:rsidRPr="00D14023" w:rsidRDefault="00970A91" w:rsidP="00360330">
      <w:pPr>
        <w:spacing w:line="276" w:lineRule="auto"/>
        <w:rPr>
          <w:lang w:val="fr-FR"/>
        </w:rPr>
      </w:pPr>
    </w:p>
    <w:p w:rsidR="00FB7E07" w:rsidRDefault="007F2B09" w:rsidP="00360330">
      <w:pPr>
        <w:spacing w:line="276" w:lineRule="auto"/>
        <w:rPr>
          <w:snapToGrid w:val="0"/>
          <w:spacing w:val="-2"/>
          <w:szCs w:val="18"/>
          <w:lang w:val="fr-FR"/>
        </w:rPr>
      </w:pPr>
      <w:r w:rsidRPr="00D14023">
        <w:rPr>
          <w:snapToGrid w:val="0"/>
          <w:spacing w:val="-2"/>
          <w:szCs w:val="18"/>
          <w:lang w:val="fr-FR"/>
        </w:rPr>
        <w:t>Le CAJ</w:t>
      </w:r>
      <w:r w:rsidR="00792874">
        <w:rPr>
          <w:snapToGrid w:val="0"/>
          <w:spacing w:val="-2"/>
          <w:szCs w:val="18"/>
          <w:lang w:val="fr-FR"/>
        </w:rPr>
        <w:noBreakHyphen/>
      </w:r>
      <w:r w:rsidRPr="00D14023">
        <w:rPr>
          <w:snapToGrid w:val="0"/>
          <w:spacing w:val="-2"/>
          <w:szCs w:val="18"/>
          <w:lang w:val="fr-FR"/>
        </w:rPr>
        <w:t>AG a examiné le statut de la description variétale initiale, au regard de la vérification du matériel végétal d</w:t>
      </w:r>
      <w:r w:rsidR="00FB7E07">
        <w:rPr>
          <w:snapToGrid w:val="0"/>
          <w:spacing w:val="-2"/>
          <w:szCs w:val="18"/>
          <w:lang w:val="fr-FR"/>
        </w:rPr>
        <w:t>’</w:t>
      </w:r>
      <w:r w:rsidRPr="00D14023">
        <w:rPr>
          <w:snapToGrid w:val="0"/>
          <w:spacing w:val="-2"/>
          <w:szCs w:val="18"/>
          <w:lang w:val="fr-FR"/>
        </w:rPr>
        <w:t>une variété protégée aux fins de la défense du droit d</w:t>
      </w:r>
      <w:r w:rsidR="00FB7E07">
        <w:rPr>
          <w:snapToGrid w:val="0"/>
          <w:spacing w:val="-2"/>
          <w:szCs w:val="18"/>
          <w:lang w:val="fr-FR"/>
        </w:rPr>
        <w:t>’</w:t>
      </w:r>
      <w:r w:rsidRPr="00D14023">
        <w:rPr>
          <w:snapToGrid w:val="0"/>
          <w:spacing w:val="-2"/>
          <w:szCs w:val="18"/>
          <w:lang w:val="fr-FR"/>
        </w:rPr>
        <w:t>obtenteur et a noté que les orientations de l</w:t>
      </w:r>
      <w:r w:rsidR="00FB7E07">
        <w:rPr>
          <w:snapToGrid w:val="0"/>
          <w:spacing w:val="-2"/>
          <w:szCs w:val="18"/>
          <w:lang w:val="fr-FR"/>
        </w:rPr>
        <w:t>’</w:t>
      </w:r>
      <w:r w:rsidRPr="00D14023">
        <w:rPr>
          <w:snapToGrid w:val="0"/>
          <w:spacing w:val="-2"/>
          <w:szCs w:val="18"/>
          <w:lang w:val="fr-FR"/>
        </w:rPr>
        <w:t>UPOV sur la défense des droits d</w:t>
      </w:r>
      <w:r w:rsidR="00FB7E07">
        <w:rPr>
          <w:snapToGrid w:val="0"/>
          <w:spacing w:val="-2"/>
          <w:szCs w:val="18"/>
          <w:lang w:val="fr-FR"/>
        </w:rPr>
        <w:t>’</w:t>
      </w:r>
      <w:r w:rsidRPr="00D14023">
        <w:rPr>
          <w:snapToGrid w:val="0"/>
          <w:spacing w:val="-2"/>
          <w:szCs w:val="18"/>
          <w:lang w:val="fr-FR"/>
        </w:rPr>
        <w:t>obtenteur figurant dans le document UPOV/EXN/ENF/1 “Notes explicatives sur la défense des droits d</w:t>
      </w:r>
      <w:r w:rsidR="00FB7E07">
        <w:rPr>
          <w:snapToGrid w:val="0"/>
          <w:spacing w:val="-2"/>
          <w:szCs w:val="18"/>
          <w:lang w:val="fr-FR"/>
        </w:rPr>
        <w:t>’</w:t>
      </w:r>
      <w:r w:rsidRPr="00D14023">
        <w:rPr>
          <w:snapToGrid w:val="0"/>
          <w:spacing w:val="-2"/>
          <w:szCs w:val="18"/>
          <w:lang w:val="fr-FR"/>
        </w:rPr>
        <w:t xml:space="preserve">obtenteur selon la </w:t>
      </w:r>
      <w:r w:rsidR="00FB7E07">
        <w:rPr>
          <w:snapToGrid w:val="0"/>
          <w:spacing w:val="-2"/>
          <w:szCs w:val="18"/>
          <w:lang w:val="fr-FR"/>
        </w:rPr>
        <w:t>Convention UPOV</w:t>
      </w:r>
      <w:r w:rsidRPr="00D14023">
        <w:rPr>
          <w:snapToGrid w:val="0"/>
          <w:spacing w:val="-2"/>
          <w:szCs w:val="18"/>
          <w:lang w:val="fr-FR"/>
        </w:rPr>
        <w:t>” expliquent ce qui suit</w:t>
      </w:r>
      <w:r w:rsidR="00FB7E07">
        <w:rPr>
          <w:snapToGrid w:val="0"/>
          <w:spacing w:val="-2"/>
          <w:szCs w:val="18"/>
          <w:lang w:val="fr-FR"/>
        </w:rPr>
        <w:t> :</w:t>
      </w:r>
    </w:p>
    <w:p w:rsidR="00970A91" w:rsidRPr="00D14023" w:rsidRDefault="00970A91" w:rsidP="00360330">
      <w:pPr>
        <w:pStyle w:val="ListParagraph"/>
        <w:spacing w:line="276" w:lineRule="auto"/>
        <w:ind w:left="0"/>
        <w:rPr>
          <w:snapToGrid w:val="0"/>
          <w:szCs w:val="18"/>
          <w:lang w:val="fr-FR"/>
        </w:rPr>
      </w:pPr>
    </w:p>
    <w:p w:rsidR="00FB7E07" w:rsidRDefault="007F2B09" w:rsidP="00360330">
      <w:pPr>
        <w:pStyle w:val="ListParagraph"/>
        <w:spacing w:line="276" w:lineRule="auto"/>
        <w:ind w:left="567" w:right="567"/>
        <w:rPr>
          <w:rFonts w:cs="Arial"/>
          <w:snapToGrid w:val="0"/>
          <w:szCs w:val="18"/>
          <w:lang w:val="fr-FR"/>
        </w:rPr>
      </w:pPr>
      <w:r w:rsidRPr="00D14023">
        <w:rPr>
          <w:rFonts w:cs="Arial"/>
          <w:snapToGrid w:val="0"/>
          <w:szCs w:val="18"/>
          <w:lang w:val="fr-FR"/>
        </w:rPr>
        <w:t>“SECTION</w:t>
      </w:r>
      <w:r w:rsidR="00DD4E33">
        <w:rPr>
          <w:rFonts w:cs="Arial"/>
          <w:snapToGrid w:val="0"/>
          <w:szCs w:val="18"/>
          <w:lang w:val="fr-FR"/>
        </w:rPr>
        <w:t> </w:t>
      </w:r>
      <w:r w:rsidRPr="00D14023">
        <w:rPr>
          <w:rFonts w:cs="Arial"/>
          <w:snapToGrid w:val="0"/>
          <w:szCs w:val="18"/>
          <w:lang w:val="fr-FR"/>
        </w:rPr>
        <w:t>II</w:t>
      </w:r>
      <w:r w:rsidR="00FB7E07">
        <w:rPr>
          <w:rFonts w:cs="Arial"/>
          <w:snapToGrid w:val="0"/>
          <w:szCs w:val="18"/>
          <w:lang w:val="fr-FR"/>
        </w:rPr>
        <w:t> :</w:t>
      </w:r>
      <w:r w:rsidRPr="00D14023">
        <w:rPr>
          <w:rFonts w:cs="Arial"/>
          <w:snapToGrid w:val="0"/>
          <w:szCs w:val="18"/>
          <w:lang w:val="fr-FR"/>
        </w:rPr>
        <w:t xml:space="preserve"> Quelques mesures possibles pour la défense des droits d</w:t>
      </w:r>
      <w:r w:rsidR="00FB7E07">
        <w:rPr>
          <w:rFonts w:cs="Arial"/>
          <w:snapToGrid w:val="0"/>
          <w:szCs w:val="18"/>
          <w:lang w:val="fr-FR"/>
        </w:rPr>
        <w:t>’</w:t>
      </w:r>
      <w:r w:rsidRPr="00D14023">
        <w:rPr>
          <w:rFonts w:cs="Arial"/>
          <w:snapToGrid w:val="0"/>
          <w:szCs w:val="18"/>
          <w:lang w:val="fr-FR"/>
        </w:rPr>
        <w:t>obtenteur</w:t>
      </w:r>
    </w:p>
    <w:p w:rsidR="00970A91" w:rsidRPr="00D14023" w:rsidRDefault="00970A91" w:rsidP="00360330">
      <w:pPr>
        <w:pStyle w:val="ListParagraph"/>
        <w:spacing w:line="276" w:lineRule="auto"/>
        <w:ind w:left="567" w:right="567"/>
        <w:rPr>
          <w:rFonts w:cs="Arial"/>
          <w:snapToGrid w:val="0"/>
          <w:szCs w:val="18"/>
          <w:lang w:val="fr-FR"/>
        </w:rPr>
      </w:pPr>
    </w:p>
    <w:p w:rsidR="00970A91" w:rsidRPr="00D14023" w:rsidRDefault="007F2B09" w:rsidP="00360330">
      <w:pPr>
        <w:pStyle w:val="ListParagraph"/>
        <w:spacing w:line="276" w:lineRule="auto"/>
        <w:ind w:left="567" w:right="567"/>
        <w:rPr>
          <w:rFonts w:cs="Arial"/>
          <w:snapToGrid w:val="0"/>
          <w:szCs w:val="18"/>
          <w:lang w:val="fr-FR"/>
        </w:rPr>
      </w:pPr>
      <w:r w:rsidRPr="00D14023">
        <w:rPr>
          <w:rFonts w:cs="Arial"/>
          <w:snapToGrid w:val="0"/>
          <w:szCs w:val="18"/>
          <w:lang w:val="fr-FR"/>
        </w:rPr>
        <w:t>“S</w:t>
      </w:r>
      <w:r w:rsidR="00FB7E07">
        <w:rPr>
          <w:rFonts w:cs="Arial"/>
          <w:snapToGrid w:val="0"/>
          <w:szCs w:val="18"/>
          <w:lang w:val="fr-FR"/>
        </w:rPr>
        <w:t>’</w:t>
      </w:r>
      <w:r w:rsidRPr="00D14023">
        <w:rPr>
          <w:rFonts w:cs="Arial"/>
          <w:snapToGrid w:val="0"/>
          <w:szCs w:val="18"/>
          <w:lang w:val="fr-FR"/>
        </w:rPr>
        <w:t xml:space="preserve">il est vrai que la </w:t>
      </w:r>
      <w:r w:rsidR="00FB7E07">
        <w:rPr>
          <w:rFonts w:cs="Arial"/>
          <w:snapToGrid w:val="0"/>
          <w:szCs w:val="18"/>
          <w:lang w:val="fr-FR"/>
        </w:rPr>
        <w:t>Convention UPOV</w:t>
      </w:r>
      <w:r w:rsidRPr="00D14023">
        <w:rPr>
          <w:rFonts w:cs="Arial"/>
          <w:snapToGrid w:val="0"/>
          <w:szCs w:val="18"/>
          <w:lang w:val="fr-FR"/>
        </w:rPr>
        <w:t xml:space="preserve"> exige des membres de l</w:t>
      </w:r>
      <w:r w:rsidR="00FB7E07">
        <w:rPr>
          <w:rFonts w:cs="Arial"/>
          <w:snapToGrid w:val="0"/>
          <w:szCs w:val="18"/>
          <w:lang w:val="fr-FR"/>
        </w:rPr>
        <w:t>’</w:t>
      </w:r>
      <w:r w:rsidRPr="00D14023">
        <w:rPr>
          <w:rFonts w:cs="Arial"/>
          <w:snapToGrid w:val="0"/>
          <w:szCs w:val="18"/>
          <w:lang w:val="fr-FR"/>
        </w:rPr>
        <w:t>Union que ceux</w:t>
      </w:r>
      <w:r w:rsidR="00792874">
        <w:rPr>
          <w:rFonts w:cs="Arial"/>
          <w:snapToGrid w:val="0"/>
          <w:szCs w:val="18"/>
          <w:lang w:val="fr-FR"/>
        </w:rPr>
        <w:noBreakHyphen/>
      </w:r>
      <w:r w:rsidRPr="00D14023">
        <w:rPr>
          <w:rFonts w:cs="Arial"/>
          <w:snapToGrid w:val="0"/>
          <w:szCs w:val="18"/>
          <w:lang w:val="fr-FR"/>
        </w:rPr>
        <w:t>ci prévoient les recours légaux appropriés permettant de défendre efficacement les droits d</w:t>
      </w:r>
      <w:r w:rsidR="00FB7E07">
        <w:rPr>
          <w:rFonts w:cs="Arial"/>
          <w:snapToGrid w:val="0"/>
          <w:szCs w:val="18"/>
          <w:lang w:val="fr-FR"/>
        </w:rPr>
        <w:t>’</w:t>
      </w:r>
      <w:r w:rsidRPr="00D14023">
        <w:rPr>
          <w:rFonts w:cs="Arial"/>
          <w:snapToGrid w:val="0"/>
          <w:szCs w:val="18"/>
          <w:lang w:val="fr-FR"/>
        </w:rPr>
        <w:t>obtenteur, il n</w:t>
      </w:r>
      <w:r w:rsidR="00FB7E07">
        <w:rPr>
          <w:rFonts w:cs="Arial"/>
          <w:snapToGrid w:val="0"/>
          <w:szCs w:val="18"/>
          <w:lang w:val="fr-FR"/>
        </w:rPr>
        <w:t>’</w:t>
      </w:r>
      <w:r w:rsidRPr="00D14023">
        <w:rPr>
          <w:rFonts w:cs="Arial"/>
          <w:snapToGrid w:val="0"/>
          <w:szCs w:val="18"/>
          <w:lang w:val="fr-FR"/>
        </w:rPr>
        <w:t>en reste pas moins que c</w:t>
      </w:r>
      <w:r w:rsidR="00FB7E07">
        <w:rPr>
          <w:rFonts w:cs="Arial"/>
          <w:snapToGrid w:val="0"/>
          <w:szCs w:val="18"/>
          <w:lang w:val="fr-FR"/>
        </w:rPr>
        <w:t>’</w:t>
      </w:r>
      <w:r w:rsidRPr="00D14023">
        <w:rPr>
          <w:rFonts w:cs="Arial"/>
          <w:snapToGrid w:val="0"/>
          <w:szCs w:val="18"/>
          <w:lang w:val="fr-FR"/>
        </w:rPr>
        <w:t>est aux obtenteurs qu</w:t>
      </w:r>
      <w:r w:rsidR="00FB7E07">
        <w:rPr>
          <w:rFonts w:cs="Arial"/>
          <w:snapToGrid w:val="0"/>
          <w:szCs w:val="18"/>
          <w:lang w:val="fr-FR"/>
        </w:rPr>
        <w:t>’</w:t>
      </w:r>
      <w:r w:rsidRPr="00D14023">
        <w:rPr>
          <w:rFonts w:cs="Arial"/>
          <w:snapToGrid w:val="0"/>
          <w:szCs w:val="18"/>
          <w:lang w:val="fr-FR"/>
        </w:rPr>
        <w:t>il incombe de défendre leurs droits.”</w:t>
      </w:r>
    </w:p>
    <w:p w:rsidR="00970A91" w:rsidRPr="00D14023" w:rsidRDefault="00970A91" w:rsidP="00360330">
      <w:pPr>
        <w:pStyle w:val="ListParagraph"/>
        <w:spacing w:line="276" w:lineRule="auto"/>
        <w:ind w:left="0"/>
        <w:rPr>
          <w:rFonts w:cs="Arial"/>
          <w:snapToGrid w:val="0"/>
          <w:szCs w:val="18"/>
          <w:lang w:val="fr-FR"/>
        </w:rPr>
      </w:pPr>
    </w:p>
    <w:p w:rsidR="00970A91" w:rsidRPr="00D14023" w:rsidRDefault="007F2B09" w:rsidP="00360330">
      <w:pPr>
        <w:spacing w:line="276" w:lineRule="auto"/>
        <w:rPr>
          <w:rFonts w:cs="Arial"/>
          <w:snapToGrid w:val="0"/>
          <w:szCs w:val="18"/>
          <w:lang w:val="fr-FR"/>
        </w:rPr>
      </w:pPr>
      <w:r w:rsidRPr="00D14023">
        <w:rPr>
          <w:rFonts w:cs="Arial"/>
          <w:snapToGrid w:val="0"/>
          <w:szCs w:val="18"/>
          <w:lang w:val="fr-FR"/>
        </w:rPr>
        <w:t>Le CAJ</w:t>
      </w:r>
      <w:r w:rsidR="00792874">
        <w:rPr>
          <w:rFonts w:cs="Arial"/>
          <w:snapToGrid w:val="0"/>
          <w:szCs w:val="18"/>
          <w:lang w:val="fr-FR"/>
        </w:rPr>
        <w:noBreakHyphen/>
      </w:r>
      <w:r w:rsidRPr="00D14023">
        <w:rPr>
          <w:rFonts w:cs="Arial"/>
          <w:snapToGrid w:val="0"/>
          <w:szCs w:val="18"/>
          <w:lang w:val="fr-FR"/>
        </w:rPr>
        <w:t>AG est convenu que, s</w:t>
      </w:r>
      <w:r w:rsidR="00FB7E07">
        <w:rPr>
          <w:rFonts w:cs="Arial"/>
          <w:snapToGrid w:val="0"/>
          <w:szCs w:val="18"/>
          <w:lang w:val="fr-FR"/>
        </w:rPr>
        <w:t>’</w:t>
      </w:r>
      <w:r w:rsidRPr="00D14023">
        <w:rPr>
          <w:rFonts w:cs="Arial"/>
          <w:snapToGrid w:val="0"/>
          <w:szCs w:val="18"/>
          <w:lang w:val="fr-FR"/>
        </w:rPr>
        <w:t>agissant de l</w:t>
      </w:r>
      <w:r w:rsidR="00FB7E07">
        <w:rPr>
          <w:rFonts w:cs="Arial"/>
          <w:snapToGrid w:val="0"/>
          <w:szCs w:val="18"/>
          <w:lang w:val="fr-FR"/>
        </w:rPr>
        <w:t>’</w:t>
      </w:r>
      <w:r w:rsidRPr="00D14023">
        <w:rPr>
          <w:rFonts w:cs="Arial"/>
          <w:snapToGrid w:val="0"/>
          <w:szCs w:val="18"/>
          <w:lang w:val="fr-FR"/>
        </w:rPr>
        <w:t xml:space="preserve">utilisation de la description variétale initiale, il y avait lieu de rappeler que la description des caractères de la variété et la base de la distinction de la variété la plus </w:t>
      </w:r>
      <w:r w:rsidRPr="00D14023">
        <w:rPr>
          <w:rFonts w:cs="Arial"/>
          <w:snapToGrid w:val="0"/>
          <w:szCs w:val="18"/>
          <w:lang w:val="fr-FR"/>
        </w:rPr>
        <w:lastRenderedPageBreak/>
        <w:t>semblable étaient liées aux circonstances de l</w:t>
      </w:r>
      <w:r w:rsidR="00FB7E07">
        <w:rPr>
          <w:rFonts w:cs="Arial"/>
          <w:snapToGrid w:val="0"/>
          <w:szCs w:val="18"/>
          <w:lang w:val="fr-FR"/>
        </w:rPr>
        <w:t>’</w:t>
      </w:r>
      <w:r w:rsidRPr="00D14023">
        <w:rPr>
          <w:rFonts w:cs="Arial"/>
          <w:snapToGrid w:val="0"/>
          <w:szCs w:val="18"/>
          <w:lang w:val="fr-FR"/>
        </w:rPr>
        <w:t>examen</w:t>
      </w:r>
      <w:r w:rsidR="00D77E57">
        <w:rPr>
          <w:rFonts w:cs="Arial"/>
          <w:snapToGrid w:val="0"/>
          <w:szCs w:val="18"/>
          <w:lang w:val="fr-FR"/>
        </w:rPr>
        <w:t> </w:t>
      </w:r>
      <w:r w:rsidRPr="00D14023">
        <w:rPr>
          <w:rFonts w:cs="Arial"/>
          <w:snapToGrid w:val="0"/>
          <w:szCs w:val="18"/>
          <w:lang w:val="fr-FR"/>
        </w:rPr>
        <w:t xml:space="preserve">DHS comme indiqué dans le </w:t>
      </w:r>
      <w:r w:rsidR="00FB7E07" w:rsidRPr="00D14023">
        <w:rPr>
          <w:rFonts w:cs="Arial"/>
          <w:snapToGrid w:val="0"/>
          <w:szCs w:val="18"/>
          <w:lang w:val="fr-FR"/>
        </w:rPr>
        <w:t>paragraphe</w:t>
      </w:r>
      <w:r w:rsidR="00FB7E07">
        <w:rPr>
          <w:rFonts w:cs="Arial"/>
          <w:snapToGrid w:val="0"/>
          <w:szCs w:val="18"/>
          <w:lang w:val="fr-FR"/>
        </w:rPr>
        <w:t> </w:t>
      </w:r>
      <w:r w:rsidR="00FB7E07" w:rsidRPr="00D14023">
        <w:rPr>
          <w:rFonts w:cs="Arial"/>
          <w:snapToGrid w:val="0"/>
          <w:szCs w:val="18"/>
          <w:lang w:val="fr-FR"/>
        </w:rPr>
        <w:t>1</w:t>
      </w:r>
      <w:r w:rsidRPr="00D14023">
        <w:rPr>
          <w:rFonts w:cs="Arial"/>
          <w:snapToGrid w:val="0"/>
          <w:szCs w:val="18"/>
          <w:lang w:val="fr-FR"/>
        </w:rPr>
        <w:t xml:space="preserve">0.c) du document, </w:t>
      </w:r>
      <w:r w:rsidR="00FB7E07">
        <w:rPr>
          <w:rFonts w:cs="Arial"/>
          <w:snapToGrid w:val="0"/>
          <w:szCs w:val="18"/>
          <w:lang w:val="fr-FR"/>
        </w:rPr>
        <w:t>à savoir :</w:t>
      </w:r>
    </w:p>
    <w:p w:rsidR="00970A91" w:rsidRPr="00D14023" w:rsidRDefault="00970A91" w:rsidP="009C3321">
      <w:pPr>
        <w:spacing w:line="276" w:lineRule="auto"/>
        <w:ind w:right="567"/>
        <w:rPr>
          <w:rFonts w:cs="Arial"/>
          <w:snapToGrid w:val="0"/>
          <w:szCs w:val="18"/>
          <w:lang w:val="fr-FR"/>
        </w:rPr>
      </w:pPr>
    </w:p>
    <w:p w:rsidR="00970A91" w:rsidRPr="00D14023" w:rsidRDefault="007F2B09" w:rsidP="004438B1">
      <w:pPr>
        <w:pStyle w:val="ListParagraph"/>
        <w:keepNext/>
        <w:numPr>
          <w:ilvl w:val="2"/>
          <w:numId w:val="1"/>
        </w:numPr>
        <w:tabs>
          <w:tab w:val="left" w:pos="1701"/>
        </w:tabs>
        <w:spacing w:line="276" w:lineRule="auto"/>
        <w:ind w:left="1701" w:right="567" w:hanging="567"/>
        <w:rPr>
          <w:rFonts w:cs="Arial"/>
          <w:szCs w:val="18"/>
          <w:lang w:val="fr-FR"/>
        </w:rPr>
      </w:pPr>
      <w:r w:rsidRPr="00D14023">
        <w:rPr>
          <w:rFonts w:cs="Arial"/>
          <w:szCs w:val="18"/>
          <w:lang w:val="fr-FR"/>
        </w:rPr>
        <w:t>Date et référence du document contenant les principes directeurs d</w:t>
      </w:r>
      <w:r w:rsidR="00FB7E07">
        <w:rPr>
          <w:rFonts w:cs="Arial"/>
          <w:szCs w:val="18"/>
          <w:lang w:val="fr-FR"/>
        </w:rPr>
        <w:t>’</w:t>
      </w:r>
      <w:r w:rsidRPr="00D14023">
        <w:rPr>
          <w:rFonts w:cs="Arial"/>
          <w:szCs w:val="18"/>
          <w:lang w:val="fr-FR"/>
        </w:rPr>
        <w:t>examen de l</w:t>
      </w:r>
      <w:r w:rsidR="00FB7E07">
        <w:rPr>
          <w:rFonts w:cs="Arial"/>
          <w:szCs w:val="18"/>
          <w:lang w:val="fr-FR"/>
        </w:rPr>
        <w:t>’</w:t>
      </w:r>
      <w:r w:rsidRPr="00D14023">
        <w:rPr>
          <w:rFonts w:cs="Arial"/>
          <w:szCs w:val="18"/>
          <w:lang w:val="fr-FR"/>
        </w:rPr>
        <w:t>UPOV;</w:t>
      </w:r>
    </w:p>
    <w:p w:rsidR="00970A91" w:rsidRPr="00D14023" w:rsidRDefault="007F2B09" w:rsidP="004438B1">
      <w:pPr>
        <w:pStyle w:val="ListParagraph"/>
        <w:numPr>
          <w:ilvl w:val="2"/>
          <w:numId w:val="1"/>
        </w:numPr>
        <w:tabs>
          <w:tab w:val="left" w:pos="1701"/>
          <w:tab w:val="left" w:pos="5103"/>
        </w:tabs>
        <w:spacing w:line="276" w:lineRule="auto"/>
        <w:ind w:left="1701" w:right="567" w:hanging="567"/>
        <w:rPr>
          <w:rFonts w:cs="Arial"/>
          <w:szCs w:val="18"/>
          <w:lang w:val="fr-FR"/>
        </w:rPr>
      </w:pPr>
      <w:r w:rsidRPr="00D14023">
        <w:rPr>
          <w:rFonts w:cs="Arial"/>
          <w:szCs w:val="18"/>
          <w:lang w:val="fr-FR"/>
        </w:rPr>
        <w:t>Date ou référence des principes directeurs du service ayant établi le rapport d</w:t>
      </w:r>
      <w:r w:rsidR="00FB7E07">
        <w:rPr>
          <w:rFonts w:cs="Arial"/>
          <w:szCs w:val="18"/>
          <w:lang w:val="fr-FR"/>
        </w:rPr>
        <w:t>’</w:t>
      </w:r>
      <w:r w:rsidRPr="00D14023">
        <w:rPr>
          <w:rFonts w:cs="Arial"/>
          <w:szCs w:val="18"/>
          <w:lang w:val="fr-FR"/>
        </w:rPr>
        <w:t>examen;</w:t>
      </w:r>
    </w:p>
    <w:p w:rsidR="00970A91" w:rsidRPr="00D14023" w:rsidRDefault="007F2B09" w:rsidP="00360330">
      <w:pPr>
        <w:pStyle w:val="ListParagraph"/>
        <w:numPr>
          <w:ilvl w:val="2"/>
          <w:numId w:val="1"/>
        </w:numPr>
        <w:tabs>
          <w:tab w:val="left" w:pos="1134"/>
          <w:tab w:val="left" w:pos="1701"/>
          <w:tab w:val="left" w:pos="5103"/>
        </w:tabs>
        <w:spacing w:line="276" w:lineRule="auto"/>
        <w:ind w:left="1134" w:right="567" w:firstLine="0"/>
        <w:rPr>
          <w:rFonts w:cs="Arial"/>
          <w:szCs w:val="18"/>
          <w:lang w:val="fr-FR"/>
        </w:rPr>
      </w:pPr>
      <w:r w:rsidRPr="00D14023">
        <w:rPr>
          <w:rFonts w:cs="Arial"/>
          <w:szCs w:val="18"/>
          <w:lang w:val="fr-FR"/>
        </w:rPr>
        <w:t>Service ayant établi le rapport d</w:t>
      </w:r>
      <w:r w:rsidR="00FB7E07">
        <w:rPr>
          <w:rFonts w:cs="Arial"/>
          <w:szCs w:val="18"/>
          <w:lang w:val="fr-FR"/>
        </w:rPr>
        <w:t>’</w:t>
      </w:r>
      <w:r w:rsidRPr="00D14023">
        <w:rPr>
          <w:rFonts w:cs="Arial"/>
          <w:szCs w:val="18"/>
          <w:lang w:val="fr-FR"/>
        </w:rPr>
        <w:t>examen;</w:t>
      </w:r>
    </w:p>
    <w:p w:rsidR="00970A91" w:rsidRPr="00D14023" w:rsidRDefault="007F2B09" w:rsidP="00360330">
      <w:pPr>
        <w:pStyle w:val="ListParagraph"/>
        <w:numPr>
          <w:ilvl w:val="2"/>
          <w:numId w:val="1"/>
        </w:numPr>
        <w:tabs>
          <w:tab w:val="left" w:pos="1134"/>
          <w:tab w:val="left" w:pos="1701"/>
          <w:tab w:val="left" w:pos="5103"/>
        </w:tabs>
        <w:spacing w:line="276" w:lineRule="auto"/>
        <w:ind w:left="1134" w:right="567" w:firstLine="0"/>
        <w:rPr>
          <w:rFonts w:cs="Arial"/>
          <w:szCs w:val="18"/>
          <w:lang w:val="fr-FR"/>
        </w:rPr>
      </w:pPr>
      <w:r w:rsidRPr="00D14023">
        <w:rPr>
          <w:rFonts w:cs="Arial"/>
          <w:szCs w:val="18"/>
          <w:lang w:val="fr-FR"/>
        </w:rPr>
        <w:t>Station(s) et lieu(x) d</w:t>
      </w:r>
      <w:r w:rsidR="00FB7E07">
        <w:rPr>
          <w:rFonts w:cs="Arial"/>
          <w:szCs w:val="18"/>
          <w:lang w:val="fr-FR"/>
        </w:rPr>
        <w:t>’</w:t>
      </w:r>
      <w:r w:rsidRPr="00D14023">
        <w:rPr>
          <w:rFonts w:cs="Arial"/>
          <w:szCs w:val="18"/>
          <w:lang w:val="fr-FR"/>
        </w:rPr>
        <w:t>examen;</w:t>
      </w:r>
    </w:p>
    <w:p w:rsidR="00970A91" w:rsidRPr="00D14023" w:rsidRDefault="007F2B09" w:rsidP="00360330">
      <w:pPr>
        <w:pStyle w:val="ListParagraph"/>
        <w:numPr>
          <w:ilvl w:val="2"/>
          <w:numId w:val="1"/>
        </w:numPr>
        <w:tabs>
          <w:tab w:val="left" w:pos="1134"/>
          <w:tab w:val="left" w:pos="1701"/>
          <w:tab w:val="left" w:pos="5103"/>
        </w:tabs>
        <w:spacing w:line="276" w:lineRule="auto"/>
        <w:ind w:left="1134" w:right="567" w:firstLine="0"/>
        <w:rPr>
          <w:rFonts w:cs="Arial"/>
          <w:szCs w:val="18"/>
          <w:lang w:val="fr-FR"/>
        </w:rPr>
      </w:pPr>
      <w:r w:rsidRPr="00D14023">
        <w:rPr>
          <w:rFonts w:cs="Arial"/>
          <w:szCs w:val="18"/>
          <w:lang w:val="fr-FR"/>
        </w:rPr>
        <w:t>Période d</w:t>
      </w:r>
      <w:r w:rsidR="00FB7E07">
        <w:rPr>
          <w:rFonts w:cs="Arial"/>
          <w:szCs w:val="18"/>
          <w:lang w:val="fr-FR"/>
        </w:rPr>
        <w:t>’</w:t>
      </w:r>
      <w:r w:rsidRPr="00D14023">
        <w:rPr>
          <w:rFonts w:cs="Arial"/>
          <w:szCs w:val="18"/>
          <w:lang w:val="fr-FR"/>
        </w:rPr>
        <w:t>examen;</w:t>
      </w:r>
    </w:p>
    <w:p w:rsidR="00970A91" w:rsidRPr="00D14023" w:rsidRDefault="007F2B09" w:rsidP="00360330">
      <w:pPr>
        <w:pStyle w:val="ListParagraph"/>
        <w:numPr>
          <w:ilvl w:val="2"/>
          <w:numId w:val="1"/>
        </w:numPr>
        <w:tabs>
          <w:tab w:val="left" w:pos="1134"/>
          <w:tab w:val="left" w:pos="1701"/>
          <w:tab w:val="left" w:pos="5103"/>
        </w:tabs>
        <w:spacing w:line="276" w:lineRule="auto"/>
        <w:ind w:left="1134" w:right="567" w:firstLine="0"/>
        <w:rPr>
          <w:rFonts w:cs="Arial"/>
          <w:szCs w:val="18"/>
          <w:lang w:val="fr-FR"/>
        </w:rPr>
      </w:pPr>
      <w:r w:rsidRPr="00D14023">
        <w:rPr>
          <w:rFonts w:cs="Arial"/>
          <w:szCs w:val="18"/>
          <w:lang w:val="fr-FR"/>
        </w:rPr>
        <w:t>Date et lieu de publication du document;</w:t>
      </w:r>
    </w:p>
    <w:p w:rsidR="00970A91" w:rsidRDefault="007F2B09" w:rsidP="00360330">
      <w:pPr>
        <w:pStyle w:val="ListParagraph"/>
        <w:numPr>
          <w:ilvl w:val="2"/>
          <w:numId w:val="1"/>
        </w:numPr>
        <w:tabs>
          <w:tab w:val="left" w:pos="1134"/>
          <w:tab w:val="left" w:pos="1701"/>
        </w:tabs>
        <w:spacing w:line="276" w:lineRule="auto"/>
        <w:ind w:left="1134" w:right="567" w:firstLine="0"/>
        <w:rPr>
          <w:rFonts w:cs="Arial"/>
          <w:szCs w:val="18"/>
          <w:lang w:val="fr-FR"/>
        </w:rPr>
      </w:pPr>
      <w:r w:rsidRPr="00D14023">
        <w:rPr>
          <w:rFonts w:cs="Arial"/>
          <w:szCs w:val="18"/>
          <w:lang w:val="fr-FR"/>
        </w:rPr>
        <w:t>Groupe</w:t>
      </w:r>
      <w:r w:rsidR="00FB7E07">
        <w:rPr>
          <w:rFonts w:cs="Arial"/>
          <w:szCs w:val="18"/>
          <w:lang w:val="fr-FR"/>
        </w:rPr>
        <w:t> :</w:t>
      </w:r>
      <w:r w:rsidRPr="00D14023">
        <w:rPr>
          <w:rFonts w:cs="Arial"/>
          <w:szCs w:val="18"/>
          <w:lang w:val="fr-FR"/>
        </w:rPr>
        <w:t xml:space="preserve"> (tableau</w:t>
      </w:r>
      <w:r w:rsidR="00FB7E07">
        <w:rPr>
          <w:rFonts w:cs="Arial"/>
          <w:szCs w:val="18"/>
          <w:lang w:val="fr-FR"/>
        </w:rPr>
        <w:t> :</w:t>
      </w:r>
      <w:r w:rsidRPr="00D14023">
        <w:rPr>
          <w:rFonts w:cs="Arial"/>
          <w:szCs w:val="18"/>
          <w:lang w:val="fr-FR"/>
        </w:rPr>
        <w:t xml:space="preserve"> caractères;  niveaux d</w:t>
      </w:r>
      <w:r w:rsidR="00FB7E07">
        <w:rPr>
          <w:rFonts w:cs="Arial"/>
          <w:szCs w:val="18"/>
          <w:lang w:val="fr-FR"/>
        </w:rPr>
        <w:t>’</w:t>
      </w:r>
      <w:r w:rsidRPr="00D14023">
        <w:rPr>
          <w:rFonts w:cs="Arial"/>
          <w:szCs w:val="18"/>
          <w:lang w:val="fr-FR"/>
        </w:rPr>
        <w:t>ex</w:t>
      </w:r>
      <w:r w:rsidR="004438B1">
        <w:rPr>
          <w:rFonts w:cs="Arial"/>
          <w:szCs w:val="18"/>
          <w:lang w:val="fr-FR"/>
        </w:rPr>
        <w:t>pression;  note;  observations).</w:t>
      </w:r>
      <w:bookmarkStart w:id="13" w:name="_GoBack"/>
      <w:bookmarkEnd w:id="13"/>
    </w:p>
    <w:p w:rsidR="004438B1" w:rsidRPr="00D14023" w:rsidRDefault="004438B1" w:rsidP="004438B1">
      <w:pPr>
        <w:pStyle w:val="ListParagraph"/>
        <w:tabs>
          <w:tab w:val="left" w:pos="1134"/>
          <w:tab w:val="left" w:pos="1701"/>
        </w:tabs>
        <w:spacing w:line="276" w:lineRule="auto"/>
        <w:ind w:left="1134" w:right="567"/>
        <w:rPr>
          <w:rFonts w:cs="Arial"/>
          <w:szCs w:val="18"/>
          <w:lang w:val="fr-FR"/>
        </w:rPr>
      </w:pPr>
    </w:p>
    <w:p w:rsidR="00970A91" w:rsidRPr="00D14023" w:rsidRDefault="00123FB0" w:rsidP="00360330">
      <w:pPr>
        <w:pStyle w:val="ListParagraph"/>
        <w:keepNext/>
        <w:numPr>
          <w:ilvl w:val="2"/>
          <w:numId w:val="1"/>
        </w:numPr>
        <w:tabs>
          <w:tab w:val="left" w:pos="1134"/>
          <w:tab w:val="left" w:pos="1701"/>
        </w:tabs>
        <w:spacing w:line="276" w:lineRule="auto"/>
        <w:ind w:left="1134" w:right="567" w:firstLine="0"/>
        <w:rPr>
          <w:rFonts w:cs="Arial"/>
          <w:szCs w:val="18"/>
          <w:lang w:val="fr-FR"/>
        </w:rPr>
      </w:pPr>
      <w:r w:rsidRPr="00D14023">
        <w:rPr>
          <w:rFonts w:cs="Arial"/>
          <w:szCs w:val="18"/>
          <w:lang w:val="fr-FR"/>
        </w:rPr>
        <w:t>Informations supplémentaires</w:t>
      </w:r>
      <w:r w:rsidR="00D77E57">
        <w:rPr>
          <w:rFonts w:cs="Arial"/>
          <w:szCs w:val="18"/>
          <w:lang w:val="fr-FR"/>
        </w:rPr>
        <w:t> </w:t>
      </w:r>
      <w:r w:rsidR="007F2B09" w:rsidRPr="00D14023">
        <w:rPr>
          <w:rFonts w:cs="Arial"/>
          <w:szCs w:val="18"/>
          <w:lang w:val="fr-FR"/>
        </w:rPr>
        <w:t>:</w:t>
      </w:r>
    </w:p>
    <w:p w:rsidR="00970A91" w:rsidRPr="00D14023" w:rsidRDefault="00490A3C" w:rsidP="00360330">
      <w:pPr>
        <w:keepNext/>
        <w:tabs>
          <w:tab w:val="left" w:pos="1134"/>
          <w:tab w:val="left" w:pos="1701"/>
          <w:tab w:val="left" w:pos="2268"/>
          <w:tab w:val="left" w:pos="2835"/>
        </w:tabs>
        <w:spacing w:line="276" w:lineRule="auto"/>
        <w:ind w:left="1134" w:right="567"/>
        <w:rPr>
          <w:rFonts w:cs="Arial"/>
          <w:szCs w:val="18"/>
          <w:lang w:val="fr-FR"/>
        </w:rPr>
      </w:pPr>
      <w:r w:rsidRPr="00D14023">
        <w:rPr>
          <w:rFonts w:cs="Arial"/>
          <w:szCs w:val="18"/>
          <w:lang w:val="fr-FR"/>
        </w:rPr>
        <w:tab/>
      </w:r>
      <w:r w:rsidR="007F2B09" w:rsidRPr="00D14023">
        <w:rPr>
          <w:rFonts w:cs="Arial"/>
          <w:szCs w:val="18"/>
          <w:lang w:val="fr-FR"/>
        </w:rPr>
        <w:t>a)</w:t>
      </w:r>
      <w:r w:rsidR="00123FB0" w:rsidRPr="00D14023">
        <w:rPr>
          <w:rFonts w:cs="Arial"/>
          <w:szCs w:val="18"/>
          <w:lang w:val="fr-FR"/>
        </w:rPr>
        <w:tab/>
      </w:r>
      <w:r w:rsidR="007F2B09" w:rsidRPr="00D14023">
        <w:rPr>
          <w:rFonts w:cs="Arial"/>
          <w:szCs w:val="18"/>
          <w:lang w:val="fr-FR"/>
        </w:rPr>
        <w:t>Données additionnelles</w:t>
      </w:r>
      <w:r w:rsidR="00FB7E07">
        <w:rPr>
          <w:rFonts w:cs="Arial"/>
          <w:szCs w:val="18"/>
          <w:lang w:val="fr-FR"/>
        </w:rPr>
        <w:t> :</w:t>
      </w:r>
    </w:p>
    <w:p w:rsidR="00970A91" w:rsidRPr="00D14023" w:rsidRDefault="00490A3C" w:rsidP="00360330">
      <w:pPr>
        <w:keepNext/>
        <w:tabs>
          <w:tab w:val="left" w:pos="1134"/>
          <w:tab w:val="left" w:pos="1701"/>
          <w:tab w:val="left" w:pos="2268"/>
          <w:tab w:val="left" w:pos="2835"/>
        </w:tabs>
        <w:spacing w:line="276" w:lineRule="auto"/>
        <w:ind w:left="1134" w:right="567"/>
        <w:rPr>
          <w:rFonts w:cs="Arial"/>
          <w:szCs w:val="18"/>
          <w:lang w:val="fr-FR"/>
        </w:rPr>
      </w:pPr>
      <w:r w:rsidRPr="00D14023">
        <w:rPr>
          <w:rFonts w:cs="Arial"/>
          <w:szCs w:val="18"/>
          <w:lang w:val="fr-FR"/>
        </w:rPr>
        <w:tab/>
      </w:r>
      <w:r w:rsidR="007F2B09" w:rsidRPr="00D14023">
        <w:rPr>
          <w:rFonts w:cs="Arial"/>
          <w:szCs w:val="18"/>
          <w:lang w:val="fr-FR"/>
        </w:rPr>
        <w:t>b)</w:t>
      </w:r>
      <w:r w:rsidR="007F2B09" w:rsidRPr="00D14023">
        <w:rPr>
          <w:rFonts w:cs="Arial"/>
          <w:szCs w:val="18"/>
          <w:lang w:val="fr-FR"/>
        </w:rPr>
        <w:tab/>
        <w:t>Photographie (le cas échéant);</w:t>
      </w:r>
    </w:p>
    <w:p w:rsidR="00970A91" w:rsidRPr="00D14023" w:rsidRDefault="00490A3C" w:rsidP="00360330">
      <w:pPr>
        <w:keepNext/>
        <w:tabs>
          <w:tab w:val="left" w:pos="1134"/>
          <w:tab w:val="left" w:pos="1701"/>
          <w:tab w:val="left" w:pos="2268"/>
          <w:tab w:val="left" w:pos="2835"/>
        </w:tabs>
        <w:spacing w:line="276" w:lineRule="auto"/>
        <w:ind w:left="1134" w:right="567"/>
        <w:rPr>
          <w:rFonts w:cs="Arial"/>
          <w:szCs w:val="18"/>
          <w:lang w:val="fr-FR"/>
        </w:rPr>
      </w:pPr>
      <w:r w:rsidRPr="00D14023">
        <w:rPr>
          <w:rFonts w:cs="Arial"/>
          <w:szCs w:val="18"/>
          <w:lang w:val="fr-FR"/>
        </w:rPr>
        <w:tab/>
      </w:r>
      <w:r w:rsidR="007F2B09" w:rsidRPr="00D14023">
        <w:rPr>
          <w:rFonts w:cs="Arial"/>
          <w:szCs w:val="18"/>
          <w:lang w:val="fr-FR"/>
        </w:rPr>
        <w:t>c)</w:t>
      </w:r>
      <w:r w:rsidR="007F2B09" w:rsidRPr="00D14023">
        <w:rPr>
          <w:rFonts w:cs="Arial"/>
          <w:szCs w:val="18"/>
          <w:lang w:val="fr-FR"/>
        </w:rPr>
        <w:tab/>
        <w:t>Version du code de couleur RHS utilisée (selon qu</w:t>
      </w:r>
      <w:r w:rsidR="00FB7E07">
        <w:rPr>
          <w:rFonts w:cs="Arial"/>
          <w:szCs w:val="18"/>
          <w:lang w:val="fr-FR"/>
        </w:rPr>
        <w:t>’</w:t>
      </w:r>
      <w:r w:rsidR="007F2B09" w:rsidRPr="00D14023">
        <w:rPr>
          <w:rFonts w:cs="Arial"/>
          <w:szCs w:val="18"/>
          <w:lang w:val="fr-FR"/>
        </w:rPr>
        <w:t>il convient);</w:t>
      </w:r>
    </w:p>
    <w:p w:rsidR="00970A91" w:rsidRPr="00D14023" w:rsidRDefault="00490A3C" w:rsidP="00360330">
      <w:pPr>
        <w:keepNext/>
        <w:tabs>
          <w:tab w:val="left" w:pos="284"/>
          <w:tab w:val="left" w:pos="1134"/>
          <w:tab w:val="left" w:pos="1701"/>
          <w:tab w:val="left" w:pos="2268"/>
          <w:tab w:val="left" w:pos="2835"/>
        </w:tabs>
        <w:spacing w:line="276" w:lineRule="auto"/>
        <w:ind w:left="1134" w:right="567"/>
        <w:rPr>
          <w:rFonts w:cs="Arial"/>
          <w:szCs w:val="18"/>
          <w:lang w:val="fr-FR"/>
        </w:rPr>
      </w:pPr>
      <w:r w:rsidRPr="00D14023">
        <w:rPr>
          <w:rFonts w:cs="Arial"/>
          <w:szCs w:val="18"/>
          <w:lang w:val="fr-FR"/>
        </w:rPr>
        <w:tab/>
      </w:r>
      <w:r w:rsidR="007F2B09" w:rsidRPr="00D14023">
        <w:rPr>
          <w:rFonts w:cs="Arial"/>
          <w:szCs w:val="18"/>
          <w:lang w:val="fr-FR"/>
        </w:rPr>
        <w:t>d)</w:t>
      </w:r>
      <w:r w:rsidR="007F2B09" w:rsidRPr="00D14023">
        <w:rPr>
          <w:rFonts w:cs="Arial"/>
          <w:szCs w:val="18"/>
          <w:lang w:val="fr-FR"/>
        </w:rPr>
        <w:tab/>
        <w:t>Remarques.</w:t>
      </w:r>
    </w:p>
    <w:p w:rsidR="00970A91" w:rsidRPr="00D14023" w:rsidRDefault="00970A91" w:rsidP="00360330">
      <w:pPr>
        <w:spacing w:line="276" w:lineRule="auto"/>
        <w:jc w:val="right"/>
        <w:rPr>
          <w:lang w:val="fr-FR"/>
        </w:rPr>
      </w:pPr>
    </w:p>
    <w:p w:rsidR="00970A91" w:rsidRPr="00D14023" w:rsidRDefault="00970A91" w:rsidP="00360330">
      <w:pPr>
        <w:spacing w:line="276" w:lineRule="auto"/>
        <w:jc w:val="right"/>
        <w:rPr>
          <w:lang w:val="fr-FR"/>
        </w:rPr>
      </w:pPr>
    </w:p>
    <w:p w:rsidR="00FB7E07" w:rsidRDefault="00FB7E07" w:rsidP="00360330">
      <w:pPr>
        <w:spacing w:line="276" w:lineRule="auto"/>
        <w:jc w:val="right"/>
        <w:rPr>
          <w:lang w:val="fr-FR"/>
        </w:rPr>
      </w:pPr>
    </w:p>
    <w:p w:rsidR="00050E16" w:rsidRPr="00D14023" w:rsidRDefault="007F2B09" w:rsidP="00360330">
      <w:pPr>
        <w:spacing w:line="276" w:lineRule="auto"/>
        <w:jc w:val="right"/>
        <w:rPr>
          <w:lang w:val="fr-FR"/>
        </w:rPr>
      </w:pPr>
      <w:r w:rsidRPr="00D14023">
        <w:rPr>
          <w:lang w:val="fr-FR"/>
        </w:rPr>
        <w:t>[Fin de l</w:t>
      </w:r>
      <w:r w:rsidR="00FB7E07">
        <w:rPr>
          <w:lang w:val="fr-FR"/>
        </w:rPr>
        <w:t>’</w:t>
      </w:r>
      <w:r w:rsidRPr="00D14023">
        <w:rPr>
          <w:lang w:val="fr-FR"/>
        </w:rPr>
        <w:t>annexe et du document]</w:t>
      </w:r>
    </w:p>
    <w:sectPr w:rsidR="00050E16" w:rsidRPr="00D14023" w:rsidSect="001409EA">
      <w:headerReference w:type="default" r:id="rId15"/>
      <w:headerReference w:type="first" r:id="rId16"/>
      <w:footerReference w:type="first" r:id="rId17"/>
      <w:pgSz w:w="11907" w:h="16840" w:code="9"/>
      <w:pgMar w:top="510" w:right="1134" w:bottom="1134" w:left="1134" w:header="510" w:footer="68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6612" w:rsidRDefault="00486612" w:rsidP="006655D3">
      <w:r>
        <w:separator/>
      </w:r>
    </w:p>
    <w:p w:rsidR="00486612" w:rsidRDefault="00486612" w:rsidP="006655D3"/>
    <w:p w:rsidR="00486612" w:rsidRDefault="00486612" w:rsidP="006655D3"/>
  </w:endnote>
  <w:endnote w:type="continuationSeparator" w:id="0">
    <w:p w:rsidR="00486612" w:rsidRDefault="00486612" w:rsidP="006655D3">
      <w:r>
        <w:separator/>
      </w:r>
    </w:p>
    <w:p w:rsidR="00486612" w:rsidRPr="00294751" w:rsidRDefault="00486612">
      <w:pPr>
        <w:pStyle w:val="Footer"/>
        <w:spacing w:after="60"/>
        <w:rPr>
          <w:sz w:val="18"/>
          <w:lang w:val="fr-FR"/>
        </w:rPr>
      </w:pPr>
      <w:r w:rsidRPr="00294751">
        <w:rPr>
          <w:sz w:val="18"/>
          <w:lang w:val="fr-FR"/>
        </w:rPr>
        <w:t>[Suite de la note de la page précédente]</w:t>
      </w:r>
    </w:p>
    <w:p w:rsidR="00486612" w:rsidRPr="00294751" w:rsidRDefault="00486612" w:rsidP="006655D3">
      <w:pPr>
        <w:rPr>
          <w:lang w:val="fr-FR"/>
        </w:rPr>
      </w:pPr>
    </w:p>
    <w:p w:rsidR="00486612" w:rsidRPr="00294751" w:rsidRDefault="00486612" w:rsidP="006655D3">
      <w:pPr>
        <w:rPr>
          <w:lang w:val="fr-FR"/>
        </w:rPr>
      </w:pPr>
    </w:p>
  </w:endnote>
  <w:endnote w:type="continuationNotice" w:id="1">
    <w:p w:rsidR="00486612" w:rsidRPr="00294751" w:rsidRDefault="00486612" w:rsidP="006655D3">
      <w:pPr>
        <w:rPr>
          <w:lang w:val="fr-FR"/>
        </w:rPr>
      </w:pPr>
      <w:r w:rsidRPr="00294751">
        <w:rPr>
          <w:lang w:val="fr-FR"/>
        </w:rPr>
        <w:t>[Suite de la note page suivante]</w:t>
      </w:r>
    </w:p>
    <w:p w:rsidR="00486612" w:rsidRPr="00294751" w:rsidRDefault="00486612" w:rsidP="006655D3">
      <w:pPr>
        <w:rPr>
          <w:lang w:val="fr-FR"/>
        </w:rPr>
      </w:pPr>
    </w:p>
    <w:p w:rsidR="00486612" w:rsidRPr="00294751" w:rsidRDefault="00486612"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B09" w:rsidRDefault="007F2B0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B09" w:rsidRDefault="007F2B0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9EA" w:rsidRPr="00110700" w:rsidRDefault="001409EA" w:rsidP="0011070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9EA" w:rsidRPr="001409EA" w:rsidRDefault="001409EA" w:rsidP="001409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6612" w:rsidRDefault="00486612" w:rsidP="006655D3">
      <w:r>
        <w:separator/>
      </w:r>
    </w:p>
  </w:footnote>
  <w:footnote w:type="continuationSeparator" w:id="0">
    <w:p w:rsidR="00486612" w:rsidRDefault="00486612" w:rsidP="006655D3">
      <w:r>
        <w:separator/>
      </w:r>
    </w:p>
  </w:footnote>
  <w:footnote w:type="continuationNotice" w:id="1">
    <w:p w:rsidR="00486612" w:rsidRPr="00AB530F" w:rsidRDefault="00486612"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B09" w:rsidRDefault="007F2B0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B99" w:rsidRPr="00C5280D" w:rsidRDefault="00B604D1" w:rsidP="00EB048E">
    <w:pPr>
      <w:pStyle w:val="Header"/>
      <w:rPr>
        <w:rStyle w:val="PageNumber"/>
        <w:lang w:val="en-US"/>
      </w:rPr>
    </w:pPr>
    <w:r>
      <w:rPr>
        <w:rStyle w:val="PageNumber"/>
        <w:lang w:val="en-US"/>
      </w:rPr>
      <w:t>TC/53/22</w:t>
    </w:r>
  </w:p>
  <w:p w:rsidR="00182B99" w:rsidRPr="00C5280D" w:rsidRDefault="00182B99" w:rsidP="00EB048E">
    <w:pPr>
      <w:pStyle w:val="Header"/>
      <w:rPr>
        <w:lang w:val="en-US"/>
      </w:rPr>
    </w:pPr>
    <w:proofErr w:type="gramStart"/>
    <w:r w:rsidRPr="00C5280D">
      <w:rPr>
        <w:lang w:val="en-US"/>
      </w:rPr>
      <w:t>page</w:t>
    </w:r>
    <w:proofErr w:type="gramEnd"/>
    <w:r w:rsidR="00DD4E33">
      <w:rPr>
        <w:lang w:val="en-US"/>
      </w:rPr>
      <w:t>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4438B1">
      <w:rPr>
        <w:rStyle w:val="PageNumber"/>
        <w:noProof/>
        <w:lang w:val="en-US"/>
      </w:rPr>
      <w:t>2</w:t>
    </w:r>
    <w:r w:rsidRPr="00C5280D">
      <w:rPr>
        <w:rStyle w:val="PageNumber"/>
        <w:lang w:val="en-US"/>
      </w:rPr>
      <w:fldChar w:fldCharType="end"/>
    </w:r>
  </w:p>
  <w:p w:rsidR="00182B99" w:rsidRPr="00C5280D" w:rsidRDefault="00182B99" w:rsidP="006655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B09" w:rsidRDefault="007F2B0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A3C" w:rsidRPr="00C5280D" w:rsidRDefault="00490A3C" w:rsidP="00EB048E">
    <w:pPr>
      <w:pStyle w:val="Header"/>
      <w:rPr>
        <w:rStyle w:val="PageNumber"/>
        <w:lang w:val="en-US"/>
      </w:rPr>
    </w:pPr>
    <w:r>
      <w:rPr>
        <w:rStyle w:val="PageNumber"/>
        <w:lang w:val="en-US"/>
      </w:rPr>
      <w:t>TC/53/22</w:t>
    </w:r>
  </w:p>
  <w:p w:rsidR="00490A3C" w:rsidRPr="00C5280D" w:rsidRDefault="00490A3C" w:rsidP="00EB048E">
    <w:pPr>
      <w:pStyle w:val="Header"/>
      <w:rPr>
        <w:lang w:val="en-US"/>
      </w:rPr>
    </w:pPr>
    <w:proofErr w:type="spellStart"/>
    <w:r>
      <w:rPr>
        <w:lang w:val="en-US"/>
      </w:rPr>
      <w:t>Annex</w:t>
    </w:r>
    <w:r w:rsidR="00DD4E33">
      <w:rPr>
        <w:lang w:val="en-US"/>
      </w:rPr>
      <w:t>e</w:t>
    </w:r>
    <w:proofErr w:type="spellEnd"/>
    <w:r>
      <w:rPr>
        <w:lang w:val="en-US"/>
      </w:rPr>
      <w:t xml:space="preserve">, </w:t>
    </w:r>
    <w:r w:rsidRPr="00C5280D">
      <w:rPr>
        <w:lang w:val="en-US"/>
      </w:rPr>
      <w:t>page</w:t>
    </w:r>
    <w:r w:rsidR="00DD4E33">
      <w:rPr>
        <w:lang w:val="en-US"/>
      </w:rPr>
      <w:t>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4438B1">
      <w:rPr>
        <w:rStyle w:val="PageNumber"/>
        <w:noProof/>
        <w:lang w:val="en-US"/>
      </w:rPr>
      <w:t>2</w:t>
    </w:r>
    <w:r w:rsidRPr="00C5280D">
      <w:rPr>
        <w:rStyle w:val="PageNumber"/>
        <w:lang w:val="en-US"/>
      </w:rPr>
      <w:fldChar w:fldCharType="end"/>
    </w:r>
  </w:p>
  <w:p w:rsidR="00490A3C" w:rsidRPr="00C5280D" w:rsidRDefault="00490A3C" w:rsidP="006655D3"/>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A3C" w:rsidRDefault="00490A3C">
    <w:pPr>
      <w:pStyle w:val="Header"/>
      <w:rPr>
        <w:lang w:val="en-US"/>
      </w:rPr>
    </w:pPr>
    <w:r>
      <w:rPr>
        <w:lang w:val="en-US"/>
      </w:rPr>
      <w:t>TC/53/22</w:t>
    </w:r>
  </w:p>
  <w:p w:rsidR="00490A3C" w:rsidRDefault="00490A3C">
    <w:pPr>
      <w:pStyle w:val="Header"/>
      <w:rPr>
        <w:lang w:val="en-US"/>
      </w:rPr>
    </w:pPr>
  </w:p>
  <w:p w:rsidR="00490A3C" w:rsidRDefault="00490A3C">
    <w:pPr>
      <w:pStyle w:val="Header"/>
      <w:rPr>
        <w:lang w:val="en-US"/>
      </w:rPr>
    </w:pPr>
    <w:r>
      <w:rPr>
        <w:lang w:val="en-US"/>
      </w:rPr>
      <w:t>ANNEX</w:t>
    </w:r>
    <w:r w:rsidR="00DD4E33">
      <w:rPr>
        <w:lang w:val="en-US"/>
      </w:rPr>
      <w:t>E</w:t>
    </w:r>
  </w:p>
  <w:p w:rsidR="00490A3C" w:rsidRPr="00490A3C" w:rsidRDefault="00490A3C">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A638F6"/>
    <w:multiLevelType w:val="hybridMultilevel"/>
    <w:tmpl w:val="0194E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4F0370"/>
    <w:multiLevelType w:val="hybridMultilevel"/>
    <w:tmpl w:val="B2B68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0D81BB2"/>
    <w:multiLevelType w:val="hybridMultilevel"/>
    <w:tmpl w:val="7A520EFE"/>
    <w:lvl w:ilvl="0" w:tplc="04090001">
      <w:start w:val="1"/>
      <w:numFmt w:val="bullet"/>
      <w:lvlText w:val=""/>
      <w:lvlJc w:val="left"/>
      <w:pPr>
        <w:ind w:left="2985" w:hanging="360"/>
      </w:pPr>
      <w:rPr>
        <w:rFonts w:ascii="Symbol" w:hAnsi="Symbol" w:hint="default"/>
      </w:rPr>
    </w:lvl>
    <w:lvl w:ilvl="1" w:tplc="04090003" w:tentative="1">
      <w:start w:val="1"/>
      <w:numFmt w:val="bullet"/>
      <w:lvlText w:val="o"/>
      <w:lvlJc w:val="left"/>
      <w:pPr>
        <w:ind w:left="3705" w:hanging="360"/>
      </w:pPr>
      <w:rPr>
        <w:rFonts w:ascii="Courier New" w:hAnsi="Courier New" w:cs="Courier New" w:hint="default"/>
      </w:rPr>
    </w:lvl>
    <w:lvl w:ilvl="2" w:tplc="04090005" w:tentative="1">
      <w:start w:val="1"/>
      <w:numFmt w:val="bullet"/>
      <w:lvlText w:val=""/>
      <w:lvlJc w:val="left"/>
      <w:pPr>
        <w:ind w:left="4425" w:hanging="360"/>
      </w:pPr>
      <w:rPr>
        <w:rFonts w:ascii="Wingdings" w:hAnsi="Wingdings" w:hint="default"/>
      </w:rPr>
    </w:lvl>
    <w:lvl w:ilvl="3" w:tplc="04090001" w:tentative="1">
      <w:start w:val="1"/>
      <w:numFmt w:val="bullet"/>
      <w:lvlText w:val=""/>
      <w:lvlJc w:val="left"/>
      <w:pPr>
        <w:ind w:left="5145" w:hanging="360"/>
      </w:pPr>
      <w:rPr>
        <w:rFonts w:ascii="Symbol" w:hAnsi="Symbol" w:hint="default"/>
      </w:rPr>
    </w:lvl>
    <w:lvl w:ilvl="4" w:tplc="04090003" w:tentative="1">
      <w:start w:val="1"/>
      <w:numFmt w:val="bullet"/>
      <w:lvlText w:val="o"/>
      <w:lvlJc w:val="left"/>
      <w:pPr>
        <w:ind w:left="5865" w:hanging="360"/>
      </w:pPr>
      <w:rPr>
        <w:rFonts w:ascii="Courier New" w:hAnsi="Courier New" w:cs="Courier New" w:hint="default"/>
      </w:rPr>
    </w:lvl>
    <w:lvl w:ilvl="5" w:tplc="04090005" w:tentative="1">
      <w:start w:val="1"/>
      <w:numFmt w:val="bullet"/>
      <w:lvlText w:val=""/>
      <w:lvlJc w:val="left"/>
      <w:pPr>
        <w:ind w:left="6585" w:hanging="360"/>
      </w:pPr>
      <w:rPr>
        <w:rFonts w:ascii="Wingdings" w:hAnsi="Wingdings" w:hint="default"/>
      </w:rPr>
    </w:lvl>
    <w:lvl w:ilvl="6" w:tplc="04090001" w:tentative="1">
      <w:start w:val="1"/>
      <w:numFmt w:val="bullet"/>
      <w:lvlText w:val=""/>
      <w:lvlJc w:val="left"/>
      <w:pPr>
        <w:ind w:left="7305" w:hanging="360"/>
      </w:pPr>
      <w:rPr>
        <w:rFonts w:ascii="Symbol" w:hAnsi="Symbol" w:hint="default"/>
      </w:rPr>
    </w:lvl>
    <w:lvl w:ilvl="7" w:tplc="04090003" w:tentative="1">
      <w:start w:val="1"/>
      <w:numFmt w:val="bullet"/>
      <w:lvlText w:val="o"/>
      <w:lvlJc w:val="left"/>
      <w:pPr>
        <w:ind w:left="8025" w:hanging="360"/>
      </w:pPr>
      <w:rPr>
        <w:rFonts w:ascii="Courier New" w:hAnsi="Courier New" w:cs="Courier New" w:hint="default"/>
      </w:rPr>
    </w:lvl>
    <w:lvl w:ilvl="8" w:tplc="04090005" w:tentative="1">
      <w:start w:val="1"/>
      <w:numFmt w:val="bullet"/>
      <w:lvlText w:val=""/>
      <w:lvlJc w:val="left"/>
      <w:pPr>
        <w:ind w:left="8745" w:hanging="360"/>
      </w:pPr>
      <w:rPr>
        <w:rFonts w:ascii="Wingdings" w:hAnsi="Wingdings" w:hint="default"/>
      </w:rPr>
    </w:lvl>
  </w:abstractNum>
  <w:abstractNum w:abstractNumId="3">
    <w:nsid w:val="7B5C4B81"/>
    <w:multiLevelType w:val="hybridMultilevel"/>
    <w:tmpl w:val="EB4C88FC"/>
    <w:lvl w:ilvl="0" w:tplc="01C2BD9E">
      <w:start w:val="1"/>
      <w:numFmt w:val="bullet"/>
      <w:lvlText w:val=""/>
      <w:lvlJc w:val="left"/>
      <w:pPr>
        <w:ind w:left="185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TRADTERM|WIPONew"/>
    <w:docVar w:name="TermBaseURL" w:val="empty"/>
    <w:docVar w:name="TextBases" w:val="TextBase TMs\WorkspaceFTS\Ad-hoc\Glossaire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xLegacy\Treaties|TextBase TMs\WorkspaceFTS\UPOV\UPOV|TextBase TMs\WorkspaceFTS\xLegacy\UPOV|TextBase TMs\WorkspaceFTS\Administration &amp; Finance\Administration|TextBase TMs\WorkspaceFTS\Administration &amp; Finance\PBC|TextBase TMs\WorkspaceFTS\Ad-hoc\Assemblies|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UPOV\TGs|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
    <w:docVar w:name="TextBaseURL" w:val="empty"/>
    <w:docVar w:name="UILng" w:val="en"/>
  </w:docVars>
  <w:rsids>
    <w:rsidRoot w:val="00486612"/>
    <w:rsid w:val="00010CF3"/>
    <w:rsid w:val="00011E27"/>
    <w:rsid w:val="000148BC"/>
    <w:rsid w:val="00024AB8"/>
    <w:rsid w:val="00030854"/>
    <w:rsid w:val="00036028"/>
    <w:rsid w:val="00037BB4"/>
    <w:rsid w:val="00044642"/>
    <w:rsid w:val="000446B9"/>
    <w:rsid w:val="00047E21"/>
    <w:rsid w:val="00050E16"/>
    <w:rsid w:val="000765BA"/>
    <w:rsid w:val="00076F15"/>
    <w:rsid w:val="00085505"/>
    <w:rsid w:val="000A128F"/>
    <w:rsid w:val="000A6852"/>
    <w:rsid w:val="000B1E50"/>
    <w:rsid w:val="000C45EF"/>
    <w:rsid w:val="000C4E25"/>
    <w:rsid w:val="000C7021"/>
    <w:rsid w:val="000D6BBC"/>
    <w:rsid w:val="000D7780"/>
    <w:rsid w:val="000E636A"/>
    <w:rsid w:val="000F2F11"/>
    <w:rsid w:val="00105929"/>
    <w:rsid w:val="00110700"/>
    <w:rsid w:val="00110C36"/>
    <w:rsid w:val="001131D5"/>
    <w:rsid w:val="00114EC9"/>
    <w:rsid w:val="00123FB0"/>
    <w:rsid w:val="001409EA"/>
    <w:rsid w:val="00141DB8"/>
    <w:rsid w:val="00160F18"/>
    <w:rsid w:val="00172084"/>
    <w:rsid w:val="0017474A"/>
    <w:rsid w:val="001758C6"/>
    <w:rsid w:val="00176ED3"/>
    <w:rsid w:val="00182B99"/>
    <w:rsid w:val="00196143"/>
    <w:rsid w:val="001A1BBF"/>
    <w:rsid w:val="001B4C9A"/>
    <w:rsid w:val="001D5FDE"/>
    <w:rsid w:val="001F5399"/>
    <w:rsid w:val="0020041A"/>
    <w:rsid w:val="00212D71"/>
    <w:rsid w:val="0021332C"/>
    <w:rsid w:val="00213982"/>
    <w:rsid w:val="00222D0D"/>
    <w:rsid w:val="0024416D"/>
    <w:rsid w:val="00271911"/>
    <w:rsid w:val="002800A0"/>
    <w:rsid w:val="002801B3"/>
    <w:rsid w:val="00281060"/>
    <w:rsid w:val="00293482"/>
    <w:rsid w:val="002940E8"/>
    <w:rsid w:val="00294751"/>
    <w:rsid w:val="002A2C4F"/>
    <w:rsid w:val="002A6E50"/>
    <w:rsid w:val="002A7865"/>
    <w:rsid w:val="002B321C"/>
    <w:rsid w:val="002B4298"/>
    <w:rsid w:val="002C175F"/>
    <w:rsid w:val="002C256A"/>
    <w:rsid w:val="002C65F5"/>
    <w:rsid w:val="00302FC6"/>
    <w:rsid w:val="00304827"/>
    <w:rsid w:val="00305A7F"/>
    <w:rsid w:val="003152FE"/>
    <w:rsid w:val="00327436"/>
    <w:rsid w:val="00344BD6"/>
    <w:rsid w:val="0035528D"/>
    <w:rsid w:val="0035662C"/>
    <w:rsid w:val="00360330"/>
    <w:rsid w:val="00361821"/>
    <w:rsid w:val="00361E9E"/>
    <w:rsid w:val="003C7FBE"/>
    <w:rsid w:val="003D227C"/>
    <w:rsid w:val="003D2B4D"/>
    <w:rsid w:val="004174C6"/>
    <w:rsid w:val="00417A9C"/>
    <w:rsid w:val="00420191"/>
    <w:rsid w:val="004438B1"/>
    <w:rsid w:val="00444A88"/>
    <w:rsid w:val="004467A3"/>
    <w:rsid w:val="004657BD"/>
    <w:rsid w:val="00466830"/>
    <w:rsid w:val="00474DA4"/>
    <w:rsid w:val="00476B4D"/>
    <w:rsid w:val="004805FA"/>
    <w:rsid w:val="00486612"/>
    <w:rsid w:val="00490A3C"/>
    <w:rsid w:val="004935D2"/>
    <w:rsid w:val="004B1215"/>
    <w:rsid w:val="004D047D"/>
    <w:rsid w:val="004D330A"/>
    <w:rsid w:val="004F1E9E"/>
    <w:rsid w:val="004F2B3E"/>
    <w:rsid w:val="004F305A"/>
    <w:rsid w:val="00512164"/>
    <w:rsid w:val="00514F9A"/>
    <w:rsid w:val="00520297"/>
    <w:rsid w:val="005338F9"/>
    <w:rsid w:val="0054281C"/>
    <w:rsid w:val="00544581"/>
    <w:rsid w:val="00550581"/>
    <w:rsid w:val="0055268D"/>
    <w:rsid w:val="00566A84"/>
    <w:rsid w:val="00576BE4"/>
    <w:rsid w:val="005770BB"/>
    <w:rsid w:val="005A400A"/>
    <w:rsid w:val="005C7C50"/>
    <w:rsid w:val="005D3971"/>
    <w:rsid w:val="005F5ACA"/>
    <w:rsid w:val="005F7B92"/>
    <w:rsid w:val="00607CA7"/>
    <w:rsid w:val="00612379"/>
    <w:rsid w:val="006128F5"/>
    <w:rsid w:val="006153B6"/>
    <w:rsid w:val="0061555F"/>
    <w:rsid w:val="00636CA6"/>
    <w:rsid w:val="006411AA"/>
    <w:rsid w:val="00641200"/>
    <w:rsid w:val="0064336D"/>
    <w:rsid w:val="0064430E"/>
    <w:rsid w:val="00645CA8"/>
    <w:rsid w:val="006604F7"/>
    <w:rsid w:val="006655D3"/>
    <w:rsid w:val="00667404"/>
    <w:rsid w:val="00674AF8"/>
    <w:rsid w:val="00687EB4"/>
    <w:rsid w:val="00695C56"/>
    <w:rsid w:val="006A5CDE"/>
    <w:rsid w:val="006A644A"/>
    <w:rsid w:val="006B0731"/>
    <w:rsid w:val="006B17D2"/>
    <w:rsid w:val="006B4BD0"/>
    <w:rsid w:val="006C224E"/>
    <w:rsid w:val="006C55B7"/>
    <w:rsid w:val="006D780A"/>
    <w:rsid w:val="006E0816"/>
    <w:rsid w:val="006E6ACE"/>
    <w:rsid w:val="0071271E"/>
    <w:rsid w:val="007179D1"/>
    <w:rsid w:val="00732DEC"/>
    <w:rsid w:val="00735491"/>
    <w:rsid w:val="00735BD5"/>
    <w:rsid w:val="00751613"/>
    <w:rsid w:val="007556F6"/>
    <w:rsid w:val="00760EEF"/>
    <w:rsid w:val="007659E5"/>
    <w:rsid w:val="00775FBD"/>
    <w:rsid w:val="00777EE5"/>
    <w:rsid w:val="00784836"/>
    <w:rsid w:val="0079023E"/>
    <w:rsid w:val="00792874"/>
    <w:rsid w:val="007A2854"/>
    <w:rsid w:val="007C1D92"/>
    <w:rsid w:val="007C475A"/>
    <w:rsid w:val="007C4CB9"/>
    <w:rsid w:val="007D0B9D"/>
    <w:rsid w:val="007D19B0"/>
    <w:rsid w:val="007F0481"/>
    <w:rsid w:val="007F2B09"/>
    <w:rsid w:val="007F498F"/>
    <w:rsid w:val="0080679D"/>
    <w:rsid w:val="008108B0"/>
    <w:rsid w:val="00810C74"/>
    <w:rsid w:val="00811B20"/>
    <w:rsid w:val="008211B5"/>
    <w:rsid w:val="0082296E"/>
    <w:rsid w:val="00824099"/>
    <w:rsid w:val="00846BF8"/>
    <w:rsid w:val="00846D7C"/>
    <w:rsid w:val="00850A0A"/>
    <w:rsid w:val="00864502"/>
    <w:rsid w:val="00867AC1"/>
    <w:rsid w:val="00871F3A"/>
    <w:rsid w:val="00874430"/>
    <w:rsid w:val="008858D9"/>
    <w:rsid w:val="00890DF8"/>
    <w:rsid w:val="00894B80"/>
    <w:rsid w:val="008A743F"/>
    <w:rsid w:val="008C0970"/>
    <w:rsid w:val="008D0BC5"/>
    <w:rsid w:val="008D2CF7"/>
    <w:rsid w:val="00900C26"/>
    <w:rsid w:val="0090197F"/>
    <w:rsid w:val="00906DDC"/>
    <w:rsid w:val="009103CD"/>
    <w:rsid w:val="009162E2"/>
    <w:rsid w:val="00924FA1"/>
    <w:rsid w:val="00927BD0"/>
    <w:rsid w:val="00932E53"/>
    <w:rsid w:val="00934E09"/>
    <w:rsid w:val="00936253"/>
    <w:rsid w:val="00940D46"/>
    <w:rsid w:val="00952DD4"/>
    <w:rsid w:val="00965AE7"/>
    <w:rsid w:val="00966795"/>
    <w:rsid w:val="00970A91"/>
    <w:rsid w:val="00970FED"/>
    <w:rsid w:val="00973B87"/>
    <w:rsid w:val="00982BE7"/>
    <w:rsid w:val="00990B2A"/>
    <w:rsid w:val="00992D82"/>
    <w:rsid w:val="00997029"/>
    <w:rsid w:val="009A67F5"/>
    <w:rsid w:val="009A7339"/>
    <w:rsid w:val="009B0E53"/>
    <w:rsid w:val="009B440E"/>
    <w:rsid w:val="009B511F"/>
    <w:rsid w:val="009C3321"/>
    <w:rsid w:val="009D690D"/>
    <w:rsid w:val="009E65B6"/>
    <w:rsid w:val="00A24C10"/>
    <w:rsid w:val="00A375A6"/>
    <w:rsid w:val="00A42AC3"/>
    <w:rsid w:val="00A430CF"/>
    <w:rsid w:val="00A54309"/>
    <w:rsid w:val="00A71F4A"/>
    <w:rsid w:val="00A83186"/>
    <w:rsid w:val="00A95C68"/>
    <w:rsid w:val="00AB2B93"/>
    <w:rsid w:val="00AB3D4E"/>
    <w:rsid w:val="00AB530F"/>
    <w:rsid w:val="00AB67B1"/>
    <w:rsid w:val="00AB7E5B"/>
    <w:rsid w:val="00AC2883"/>
    <w:rsid w:val="00AE0EF1"/>
    <w:rsid w:val="00AE2937"/>
    <w:rsid w:val="00AE4C19"/>
    <w:rsid w:val="00B040FC"/>
    <w:rsid w:val="00B07301"/>
    <w:rsid w:val="00B11F3E"/>
    <w:rsid w:val="00B224DE"/>
    <w:rsid w:val="00B324D4"/>
    <w:rsid w:val="00B33E7E"/>
    <w:rsid w:val="00B4476B"/>
    <w:rsid w:val="00B46575"/>
    <w:rsid w:val="00B53502"/>
    <w:rsid w:val="00B53F4A"/>
    <w:rsid w:val="00B604D1"/>
    <w:rsid w:val="00B61777"/>
    <w:rsid w:val="00B84BBD"/>
    <w:rsid w:val="00BA43FB"/>
    <w:rsid w:val="00BB32AB"/>
    <w:rsid w:val="00BC127D"/>
    <w:rsid w:val="00BC1FE6"/>
    <w:rsid w:val="00C061B6"/>
    <w:rsid w:val="00C13077"/>
    <w:rsid w:val="00C2446C"/>
    <w:rsid w:val="00C3317D"/>
    <w:rsid w:val="00C36AE5"/>
    <w:rsid w:val="00C41F17"/>
    <w:rsid w:val="00C527FA"/>
    <w:rsid w:val="00C5280D"/>
    <w:rsid w:val="00C535B2"/>
    <w:rsid w:val="00C53EB3"/>
    <w:rsid w:val="00C5791C"/>
    <w:rsid w:val="00C66290"/>
    <w:rsid w:val="00C71179"/>
    <w:rsid w:val="00C72B7A"/>
    <w:rsid w:val="00C86D83"/>
    <w:rsid w:val="00C973F2"/>
    <w:rsid w:val="00CA304C"/>
    <w:rsid w:val="00CA774A"/>
    <w:rsid w:val="00CB0EE3"/>
    <w:rsid w:val="00CB132F"/>
    <w:rsid w:val="00CC11B0"/>
    <w:rsid w:val="00CC2841"/>
    <w:rsid w:val="00CE6453"/>
    <w:rsid w:val="00CF1330"/>
    <w:rsid w:val="00CF6B7F"/>
    <w:rsid w:val="00CF7E36"/>
    <w:rsid w:val="00D033F9"/>
    <w:rsid w:val="00D05CB1"/>
    <w:rsid w:val="00D10D5F"/>
    <w:rsid w:val="00D14023"/>
    <w:rsid w:val="00D22DB2"/>
    <w:rsid w:val="00D3708D"/>
    <w:rsid w:val="00D40426"/>
    <w:rsid w:val="00D57C96"/>
    <w:rsid w:val="00D57D18"/>
    <w:rsid w:val="00D77E57"/>
    <w:rsid w:val="00D91203"/>
    <w:rsid w:val="00D95174"/>
    <w:rsid w:val="00DA107E"/>
    <w:rsid w:val="00DA4973"/>
    <w:rsid w:val="00DA59DF"/>
    <w:rsid w:val="00DA6F36"/>
    <w:rsid w:val="00DB596E"/>
    <w:rsid w:val="00DB7773"/>
    <w:rsid w:val="00DC00EA"/>
    <w:rsid w:val="00DC3802"/>
    <w:rsid w:val="00DC6B9F"/>
    <w:rsid w:val="00DD4E33"/>
    <w:rsid w:val="00DF18D1"/>
    <w:rsid w:val="00DF3110"/>
    <w:rsid w:val="00E07D87"/>
    <w:rsid w:val="00E32F7E"/>
    <w:rsid w:val="00E5267B"/>
    <w:rsid w:val="00E63C0E"/>
    <w:rsid w:val="00E72D49"/>
    <w:rsid w:val="00E744B2"/>
    <w:rsid w:val="00E7593C"/>
    <w:rsid w:val="00E7678A"/>
    <w:rsid w:val="00E935F1"/>
    <w:rsid w:val="00E94A81"/>
    <w:rsid w:val="00EA0789"/>
    <w:rsid w:val="00EA1FFB"/>
    <w:rsid w:val="00EB048E"/>
    <w:rsid w:val="00EB4E9C"/>
    <w:rsid w:val="00EC3009"/>
    <w:rsid w:val="00EE34DF"/>
    <w:rsid w:val="00EF16C8"/>
    <w:rsid w:val="00EF2F89"/>
    <w:rsid w:val="00F030B4"/>
    <w:rsid w:val="00F03E98"/>
    <w:rsid w:val="00F10BB1"/>
    <w:rsid w:val="00F1237A"/>
    <w:rsid w:val="00F22CBD"/>
    <w:rsid w:val="00F272F1"/>
    <w:rsid w:val="00F45372"/>
    <w:rsid w:val="00F560F7"/>
    <w:rsid w:val="00F6334D"/>
    <w:rsid w:val="00F850C1"/>
    <w:rsid w:val="00F85E5B"/>
    <w:rsid w:val="00F86C15"/>
    <w:rsid w:val="00FA1375"/>
    <w:rsid w:val="00FA49AB"/>
    <w:rsid w:val="00FB7E07"/>
    <w:rsid w:val="00FE39C7"/>
    <w:rsid w:val="00FF3165"/>
    <w:rsid w:val="00FF4D07"/>
    <w:rsid w:val="00FF71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aliases w:val="COMMON NAME,common"/>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2A2C4F"/>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04827"/>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04827"/>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037BB4"/>
    <w:pPr>
      <w:tabs>
        <w:tab w:val="right" w:leader="dot" w:pos="9639"/>
      </w:tabs>
      <w:spacing w:before="120"/>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1Char">
    <w:name w:val="Heading 1 Char"/>
    <w:aliases w:val="COMMON NAME Char,common Char"/>
    <w:basedOn w:val="DefaultParagraphFont"/>
    <w:link w:val="Heading1"/>
    <w:rsid w:val="009B511F"/>
    <w:rPr>
      <w:rFonts w:ascii="Arial" w:hAnsi="Arial"/>
      <w:caps/>
    </w:rPr>
  </w:style>
  <w:style w:type="paragraph" w:styleId="ListParagraph">
    <w:name w:val="List Paragraph"/>
    <w:basedOn w:val="Normal"/>
    <w:uiPriority w:val="34"/>
    <w:qFormat/>
    <w:rsid w:val="009B511F"/>
    <w:pPr>
      <w:ind w:left="720"/>
      <w:contextualSpacing/>
    </w:pPr>
  </w:style>
  <w:style w:type="character" w:styleId="Emphasis">
    <w:name w:val="Emphasis"/>
    <w:basedOn w:val="DefaultParagraphFont"/>
    <w:qFormat/>
    <w:rsid w:val="009B511F"/>
    <w:rPr>
      <w:i/>
      <w:iCs/>
    </w:rPr>
  </w:style>
  <w:style w:type="table" w:styleId="TableGrid">
    <w:name w:val="Table Grid"/>
    <w:basedOn w:val="TableNormal"/>
    <w:rsid w:val="009B51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9B511F"/>
    <w:rPr>
      <w:rFonts w:ascii="Arial" w:hAnsi="Arial"/>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aliases w:val="COMMON NAME,common"/>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2A2C4F"/>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04827"/>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04827"/>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037BB4"/>
    <w:pPr>
      <w:tabs>
        <w:tab w:val="right" w:leader="dot" w:pos="9639"/>
      </w:tabs>
      <w:spacing w:before="120"/>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1Char">
    <w:name w:val="Heading 1 Char"/>
    <w:aliases w:val="COMMON NAME Char,common Char"/>
    <w:basedOn w:val="DefaultParagraphFont"/>
    <w:link w:val="Heading1"/>
    <w:rsid w:val="009B511F"/>
    <w:rPr>
      <w:rFonts w:ascii="Arial" w:hAnsi="Arial"/>
      <w:caps/>
    </w:rPr>
  </w:style>
  <w:style w:type="paragraph" w:styleId="ListParagraph">
    <w:name w:val="List Paragraph"/>
    <w:basedOn w:val="Normal"/>
    <w:uiPriority w:val="34"/>
    <w:qFormat/>
    <w:rsid w:val="009B511F"/>
    <w:pPr>
      <w:ind w:left="720"/>
      <w:contextualSpacing/>
    </w:pPr>
  </w:style>
  <w:style w:type="character" w:styleId="Emphasis">
    <w:name w:val="Emphasis"/>
    <w:basedOn w:val="DefaultParagraphFont"/>
    <w:qFormat/>
    <w:rsid w:val="009B511F"/>
    <w:rPr>
      <w:i/>
      <w:iCs/>
    </w:rPr>
  </w:style>
  <w:style w:type="table" w:styleId="TableGrid">
    <w:name w:val="Table Grid"/>
    <w:basedOn w:val="TableNormal"/>
    <w:rsid w:val="009B51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9B511F"/>
    <w:rPr>
      <w:rFonts w:ascii="Arial" w:hAnsi="Arial"/>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6</Pages>
  <Words>2271</Words>
  <Characters>13218</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TC/53</vt:lpstr>
    </vt:vector>
  </TitlesOfParts>
  <Company>UPOV</Company>
  <LinksUpToDate>false</LinksUpToDate>
  <CharactersWithSpaces>15459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TC/53</dc:title>
  <dc:creator>BESSE Ariane</dc:creator>
  <cp:keywords>ID/ko</cp:keywords>
  <cp:lastModifiedBy>GIACHINO Erika</cp:lastModifiedBy>
  <cp:revision>5</cp:revision>
  <cp:lastPrinted>2017-02-20T10:40:00Z</cp:lastPrinted>
  <dcterms:created xsi:type="dcterms:W3CDTF">2017-02-22T09:04:00Z</dcterms:created>
  <dcterms:modified xsi:type="dcterms:W3CDTF">2017-02-23T14:35:00Z</dcterms:modified>
</cp:coreProperties>
</file>