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A1A31" w:rsidRPr="00B4646C" w:rsidTr="00D340E2">
        <w:tc>
          <w:tcPr>
            <w:tcW w:w="6522" w:type="dxa"/>
          </w:tcPr>
          <w:p w:rsidR="000A1A31" w:rsidRPr="00B4646C" w:rsidRDefault="000A1A31" w:rsidP="00D340E2">
            <w:pPr>
              <w:rPr>
                <w:lang w:val="fr-FR"/>
              </w:rPr>
            </w:pPr>
            <w:bookmarkStart w:id="0" w:name="TitleOfDoc"/>
            <w:bookmarkEnd w:id="0"/>
            <w:r w:rsidRPr="00B4646C">
              <w:rPr>
                <w:noProof/>
              </w:rPr>
              <w:drawing>
                <wp:inline distT="0" distB="0" distL="0" distR="0" wp14:anchorId="7CC9100B" wp14:editId="48797A8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A1A31" w:rsidRPr="00B4646C" w:rsidRDefault="000A1A31" w:rsidP="00D340E2">
            <w:pPr>
              <w:pStyle w:val="Lettrine"/>
              <w:rPr>
                <w:lang w:val="fr-FR"/>
              </w:rPr>
            </w:pPr>
            <w:r w:rsidRPr="00B4646C">
              <w:rPr>
                <w:lang w:val="fr-FR"/>
              </w:rPr>
              <w:t>F</w:t>
            </w:r>
          </w:p>
        </w:tc>
      </w:tr>
      <w:tr w:rsidR="000A1A31" w:rsidRPr="00AE1723" w:rsidTr="00D340E2">
        <w:trPr>
          <w:trHeight w:val="219"/>
        </w:trPr>
        <w:tc>
          <w:tcPr>
            <w:tcW w:w="6522" w:type="dxa"/>
          </w:tcPr>
          <w:p w:rsidR="000A1A31" w:rsidRPr="00B4646C" w:rsidRDefault="000A1A31" w:rsidP="00D340E2">
            <w:pPr>
              <w:pStyle w:val="upove"/>
              <w:rPr>
                <w:lang w:val="fr-FR"/>
              </w:rPr>
            </w:pPr>
            <w:r w:rsidRPr="00B4646C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A1A31" w:rsidRPr="00B4646C" w:rsidRDefault="000A1A31" w:rsidP="00D340E2">
            <w:pPr>
              <w:rPr>
                <w:lang w:val="fr-FR"/>
              </w:rPr>
            </w:pPr>
          </w:p>
        </w:tc>
      </w:tr>
    </w:tbl>
    <w:p w:rsidR="000A1A31" w:rsidRPr="00B4646C" w:rsidRDefault="000A1A31" w:rsidP="000A1A31">
      <w:pPr>
        <w:rPr>
          <w:lang w:val="fr-FR"/>
        </w:rPr>
      </w:pPr>
    </w:p>
    <w:p w:rsidR="000A1A31" w:rsidRPr="00B4646C" w:rsidRDefault="000A1A31" w:rsidP="000A1A31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A1A31" w:rsidRPr="00AE1723" w:rsidTr="00D340E2">
        <w:tc>
          <w:tcPr>
            <w:tcW w:w="6512" w:type="dxa"/>
          </w:tcPr>
          <w:p w:rsidR="000A1A31" w:rsidRPr="00B4646C" w:rsidRDefault="000A1A31" w:rsidP="00D340E2">
            <w:pPr>
              <w:pStyle w:val="Sessiontc"/>
              <w:spacing w:line="240" w:lineRule="auto"/>
              <w:rPr>
                <w:lang w:val="fr-FR"/>
              </w:rPr>
            </w:pPr>
            <w:r w:rsidRPr="00B4646C">
              <w:rPr>
                <w:lang w:val="fr-FR"/>
              </w:rPr>
              <w:t>Comité technique</w:t>
            </w:r>
          </w:p>
          <w:p w:rsidR="000A1A31" w:rsidRPr="00B4646C" w:rsidRDefault="000A1A31" w:rsidP="00D340E2">
            <w:pPr>
              <w:pStyle w:val="Sessiontcplacedate"/>
              <w:rPr>
                <w:sz w:val="22"/>
                <w:lang w:val="fr-FR"/>
              </w:rPr>
            </w:pPr>
            <w:r w:rsidRPr="00B4646C">
              <w:rPr>
                <w:lang w:val="fr-FR"/>
              </w:rPr>
              <w:t>Cinquante</w:t>
            </w:r>
            <w:r w:rsidR="007D55A8">
              <w:rPr>
                <w:lang w:val="fr-FR"/>
              </w:rPr>
              <w:noBreakHyphen/>
            </w:r>
            <w:r w:rsidRPr="00B4646C">
              <w:rPr>
                <w:lang w:val="fr-FR"/>
              </w:rPr>
              <w:t>troisième session</w:t>
            </w:r>
            <w:r w:rsidRPr="00B4646C">
              <w:rPr>
                <w:lang w:val="fr-FR"/>
              </w:rPr>
              <w:br/>
              <w:t>Genève, 3 – 5 avril 2017</w:t>
            </w:r>
          </w:p>
        </w:tc>
        <w:tc>
          <w:tcPr>
            <w:tcW w:w="3127" w:type="dxa"/>
          </w:tcPr>
          <w:p w:rsidR="000A1A31" w:rsidRPr="00B4646C" w:rsidRDefault="000A1A31" w:rsidP="00D340E2">
            <w:pPr>
              <w:pStyle w:val="Doccode"/>
              <w:rPr>
                <w:lang w:val="fr-FR"/>
              </w:rPr>
            </w:pPr>
            <w:r w:rsidRPr="00B4646C">
              <w:rPr>
                <w:lang w:val="fr-FR"/>
              </w:rPr>
              <w:t>TC/53/12</w:t>
            </w:r>
          </w:p>
          <w:p w:rsidR="000A1A31" w:rsidRPr="00B4646C" w:rsidRDefault="000A1A31" w:rsidP="00D340E2">
            <w:pPr>
              <w:pStyle w:val="Docoriginal"/>
              <w:rPr>
                <w:lang w:val="fr-FR"/>
              </w:rPr>
            </w:pPr>
            <w:r w:rsidRPr="00B4646C">
              <w:rPr>
                <w:lang w:val="fr-FR"/>
              </w:rPr>
              <w:t>Original :</w:t>
            </w:r>
            <w:r w:rsidRPr="00B4646C">
              <w:rPr>
                <w:b w:val="0"/>
                <w:spacing w:val="0"/>
                <w:lang w:val="fr-FR"/>
              </w:rPr>
              <w:t xml:space="preserve"> anglais</w:t>
            </w:r>
          </w:p>
          <w:p w:rsidR="000A1A31" w:rsidRPr="00B4646C" w:rsidRDefault="000A1A31" w:rsidP="00AE1723">
            <w:pPr>
              <w:pStyle w:val="Docoriginal"/>
              <w:rPr>
                <w:lang w:val="fr-FR"/>
              </w:rPr>
            </w:pPr>
            <w:r w:rsidRPr="00B4646C">
              <w:rPr>
                <w:lang w:val="fr-FR"/>
              </w:rPr>
              <w:t>Date :</w:t>
            </w:r>
            <w:r w:rsidRPr="00B4646C">
              <w:rPr>
                <w:b w:val="0"/>
                <w:spacing w:val="0"/>
                <w:lang w:val="fr-FR"/>
              </w:rPr>
              <w:t xml:space="preserve"> </w:t>
            </w:r>
            <w:r w:rsidR="00AE1723" w:rsidRPr="00AE1723">
              <w:rPr>
                <w:b w:val="0"/>
                <w:spacing w:val="0"/>
                <w:lang w:val="fr-FR"/>
              </w:rPr>
              <w:t>8</w:t>
            </w:r>
            <w:r w:rsidRPr="00AE1723">
              <w:rPr>
                <w:b w:val="0"/>
                <w:spacing w:val="0"/>
                <w:lang w:val="fr-FR"/>
              </w:rPr>
              <w:t> mars 2017</w:t>
            </w:r>
          </w:p>
        </w:tc>
      </w:tr>
    </w:tbl>
    <w:p w:rsidR="000D7780" w:rsidRPr="007D55A8" w:rsidRDefault="007D55A8" w:rsidP="007D55A8">
      <w:pPr>
        <w:pStyle w:val="Titleofdoc0"/>
        <w:tabs>
          <w:tab w:val="left" w:pos="5760"/>
        </w:tabs>
        <w:rPr>
          <w:rFonts w:cs="Arial"/>
          <w:snapToGrid w:val="0"/>
          <w:lang w:val="fr-FR"/>
        </w:rPr>
      </w:pPr>
      <w:r w:rsidRPr="007D55A8">
        <w:rPr>
          <w:rFonts w:cs="Arial"/>
          <w:snapToGrid w:val="0"/>
          <w:lang w:val="fr-FR"/>
        </w:rPr>
        <w:t>Dénominations variétales</w:t>
      </w:r>
    </w:p>
    <w:p w:rsidR="006A644A" w:rsidRPr="00B4646C" w:rsidRDefault="00AE0EF1" w:rsidP="006A644A">
      <w:pPr>
        <w:pStyle w:val="preparedby1"/>
        <w:jc w:val="left"/>
        <w:rPr>
          <w:lang w:val="fr-FR"/>
        </w:rPr>
      </w:pPr>
      <w:bookmarkStart w:id="1" w:name="Prepared"/>
      <w:bookmarkEnd w:id="1"/>
      <w:r w:rsidRPr="00B4646C">
        <w:rPr>
          <w:lang w:val="fr-FR"/>
        </w:rPr>
        <w:t xml:space="preserve">Document </w:t>
      </w:r>
      <w:r w:rsidR="00E30432" w:rsidRPr="00B4646C">
        <w:rPr>
          <w:lang w:val="fr-FR"/>
        </w:rPr>
        <w:t>établi par le Bureau de l</w:t>
      </w:r>
      <w:r w:rsidR="000A1A31" w:rsidRPr="00B4646C">
        <w:rPr>
          <w:lang w:val="fr-FR"/>
        </w:rPr>
        <w:t>’</w:t>
      </w:r>
      <w:r w:rsidR="00E30432" w:rsidRPr="00B4646C">
        <w:rPr>
          <w:lang w:val="fr-FR"/>
        </w:rPr>
        <w:t>Union</w:t>
      </w:r>
    </w:p>
    <w:p w:rsidR="00050E16" w:rsidRPr="00B4646C" w:rsidRDefault="00E30432" w:rsidP="006A644A">
      <w:pPr>
        <w:pStyle w:val="Disclaimer"/>
        <w:rPr>
          <w:lang w:val="fr-FR"/>
        </w:rPr>
      </w:pPr>
      <w:r w:rsidRPr="00B4646C">
        <w:rPr>
          <w:lang w:val="fr-FR"/>
        </w:rPr>
        <w:t>Avertissement</w:t>
      </w:r>
      <w:r w:rsidR="000A1A31" w:rsidRPr="00B4646C">
        <w:rPr>
          <w:lang w:val="fr-FR"/>
        </w:rPr>
        <w:t> :</w:t>
      </w:r>
      <w:r w:rsidRPr="00B4646C">
        <w:rPr>
          <w:lang w:val="fr-FR"/>
        </w:rPr>
        <w:t xml:space="preserve"> le présent document ne représente pas les principes ou les orientations de l</w:t>
      </w:r>
      <w:r w:rsidR="000A1A31" w:rsidRPr="00B4646C">
        <w:rPr>
          <w:lang w:val="fr-FR"/>
        </w:rPr>
        <w:t>’</w:t>
      </w:r>
      <w:r w:rsidRPr="00B4646C">
        <w:rPr>
          <w:lang w:val="fr-FR"/>
        </w:rPr>
        <w:t>UPOV</w:t>
      </w:r>
    </w:p>
    <w:p w:rsidR="00A77F35" w:rsidRPr="00B4646C" w:rsidRDefault="00F60FF9" w:rsidP="002777DA">
      <w:pPr>
        <w:pStyle w:val="Heading1"/>
        <w:rPr>
          <w:rFonts w:eastAsia="MS Mincho"/>
          <w:lang w:val="fr-FR"/>
        </w:rPr>
      </w:pPr>
      <w:bookmarkStart w:id="2" w:name="_Toc477357829"/>
      <w:r>
        <w:rPr>
          <w:rFonts w:eastAsia="MS Mincho"/>
          <w:lang w:val="fr-FR"/>
        </w:rPr>
        <w:t>R</w:t>
      </w:r>
      <w:r w:rsidR="00E30432" w:rsidRPr="00B4646C">
        <w:rPr>
          <w:rFonts w:eastAsia="MS Mincho"/>
          <w:lang w:val="fr-FR"/>
        </w:rPr>
        <w:t>éSUMé</w:t>
      </w:r>
      <w:bookmarkEnd w:id="2"/>
    </w:p>
    <w:p w:rsidR="00A77F35" w:rsidRPr="00B4646C" w:rsidRDefault="00A77F35" w:rsidP="002777DA">
      <w:pPr>
        <w:rPr>
          <w:rFonts w:eastAsia="MS Mincho"/>
          <w:lang w:val="fr-FR" w:eastAsia="ja-JP"/>
        </w:rPr>
      </w:pPr>
    </w:p>
    <w:p w:rsidR="00A77F35" w:rsidRPr="00B4646C" w:rsidRDefault="00A77F35" w:rsidP="002777DA">
      <w:pPr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fldChar w:fldCharType="begin"/>
      </w:r>
      <w:r w:rsidRPr="00B4646C">
        <w:rPr>
          <w:rFonts w:cs="Arial"/>
          <w:snapToGrid w:val="0"/>
          <w:lang w:val="fr-FR"/>
        </w:rPr>
        <w:instrText xml:space="preserve"> AUTONUM  </w:instrText>
      </w:r>
      <w:r w:rsidRPr="00B4646C">
        <w:rPr>
          <w:rFonts w:cs="Arial"/>
          <w:snapToGrid w:val="0"/>
          <w:lang w:val="fr-FR"/>
        </w:rPr>
        <w:fldChar w:fldCharType="end"/>
      </w:r>
      <w:r w:rsidRPr="00B4646C">
        <w:rPr>
          <w:rFonts w:cs="Arial"/>
          <w:snapToGrid w:val="0"/>
          <w:lang w:val="fr-FR"/>
        </w:rPr>
        <w:tab/>
      </w:r>
      <w:r w:rsidR="00E30432" w:rsidRPr="00B4646C">
        <w:rPr>
          <w:rFonts w:cs="Arial"/>
          <w:snapToGrid w:val="0"/>
          <w:lang w:val="fr-FR"/>
        </w:rPr>
        <w:t>Le présent document a pour objet de faire rapport sur les travaux concernant la possibilité d</w:t>
      </w:r>
      <w:r w:rsidR="000A1A31" w:rsidRPr="00B4646C">
        <w:rPr>
          <w:rFonts w:cs="Arial"/>
          <w:snapToGrid w:val="0"/>
          <w:lang w:val="fr-FR"/>
        </w:rPr>
        <w:t>’</w:t>
      </w:r>
      <w:r w:rsidR="00E30432" w:rsidRPr="00B4646C">
        <w:rPr>
          <w:rFonts w:cs="Arial"/>
          <w:snapToGrid w:val="0"/>
          <w:lang w:val="fr-FR"/>
        </w:rPr>
        <w:t>élaboration d</w:t>
      </w:r>
      <w:r w:rsidR="000A1A31" w:rsidRPr="00B4646C">
        <w:rPr>
          <w:rFonts w:cs="Arial"/>
          <w:snapToGrid w:val="0"/>
          <w:lang w:val="fr-FR"/>
        </w:rPr>
        <w:t>’</w:t>
      </w:r>
      <w:r w:rsidR="00E30432" w:rsidRPr="00B4646C">
        <w:rPr>
          <w:rFonts w:cs="Arial"/>
          <w:snapToGrid w:val="0"/>
          <w:lang w:val="fr-FR"/>
        </w:rPr>
        <w:t>un moteur de recherche de similitudes de l</w:t>
      </w:r>
      <w:r w:rsidR="000A1A31" w:rsidRPr="00B4646C">
        <w:rPr>
          <w:rFonts w:cs="Arial"/>
          <w:snapToGrid w:val="0"/>
          <w:lang w:val="fr-FR"/>
        </w:rPr>
        <w:t>’</w:t>
      </w:r>
      <w:r w:rsidR="00E30432" w:rsidRPr="00B4646C">
        <w:rPr>
          <w:rFonts w:cs="Arial"/>
          <w:snapToGrid w:val="0"/>
          <w:lang w:val="fr-FR"/>
        </w:rPr>
        <w:t xml:space="preserve">UPOV aux fins de la dénomination variétale et la révision éventuelle du document UPOV/INF/12 “Notes explicatives concernant les dénominations variétales en vertu de la </w:t>
      </w:r>
      <w:r w:rsidR="000A1A31" w:rsidRPr="00B4646C">
        <w:rPr>
          <w:rFonts w:cs="Arial"/>
          <w:snapToGrid w:val="0"/>
          <w:lang w:val="fr-FR"/>
        </w:rPr>
        <w:t>Convention UPOV</w:t>
      </w:r>
      <w:r w:rsidR="00E30432" w:rsidRPr="00B4646C">
        <w:rPr>
          <w:rFonts w:cs="Arial"/>
          <w:snapToGrid w:val="0"/>
          <w:lang w:val="fr-FR"/>
        </w:rPr>
        <w:t>”.</w:t>
      </w:r>
    </w:p>
    <w:p w:rsidR="00A77F35" w:rsidRPr="00B4646C" w:rsidRDefault="00A77F35" w:rsidP="002777DA">
      <w:pPr>
        <w:rPr>
          <w:rFonts w:cs="Arial"/>
          <w:snapToGrid w:val="0"/>
          <w:lang w:val="fr-FR" w:eastAsia="ja-JP"/>
        </w:rPr>
      </w:pPr>
    </w:p>
    <w:p w:rsidR="00C36E91" w:rsidRPr="00B4646C" w:rsidRDefault="00A77F35" w:rsidP="002777DA">
      <w:pPr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fldChar w:fldCharType="begin"/>
      </w:r>
      <w:r w:rsidRPr="00B4646C">
        <w:rPr>
          <w:rFonts w:cs="Arial"/>
          <w:snapToGrid w:val="0"/>
          <w:lang w:val="fr-FR"/>
        </w:rPr>
        <w:instrText xml:space="preserve"> AUTONUM  </w:instrText>
      </w:r>
      <w:r w:rsidRPr="00B4646C">
        <w:rPr>
          <w:rFonts w:cs="Arial"/>
          <w:snapToGrid w:val="0"/>
          <w:lang w:val="fr-FR"/>
        </w:rPr>
        <w:fldChar w:fldCharType="end"/>
      </w:r>
      <w:r w:rsidRPr="00B4646C">
        <w:rPr>
          <w:rFonts w:cs="Arial"/>
          <w:snapToGrid w:val="0"/>
          <w:lang w:val="fr-FR"/>
        </w:rPr>
        <w:tab/>
      </w:r>
      <w:r w:rsidR="00C36E91" w:rsidRPr="00B4646C">
        <w:rPr>
          <w:rFonts w:cs="Arial"/>
          <w:snapToGrid w:val="0"/>
          <w:lang w:val="fr-FR"/>
        </w:rPr>
        <w:t>Le</w:t>
      </w:r>
      <w:r w:rsidR="000A1A31" w:rsidRPr="00B4646C">
        <w:rPr>
          <w:rFonts w:cs="Arial"/>
          <w:snapToGrid w:val="0"/>
          <w:lang w:val="fr-FR"/>
        </w:rPr>
        <w:t> TC</w:t>
      </w:r>
      <w:r w:rsidR="00C36E91" w:rsidRPr="00B4646C">
        <w:rPr>
          <w:rFonts w:cs="Arial"/>
          <w:snapToGrid w:val="0"/>
          <w:lang w:val="fr-FR"/>
        </w:rPr>
        <w:t xml:space="preserve"> est invité à prendre note</w:t>
      </w:r>
      <w:r w:rsidR="00AE1723">
        <w:rPr>
          <w:rFonts w:cs="Arial"/>
          <w:snapToGrid w:val="0"/>
          <w:lang w:val="fr-FR"/>
        </w:rPr>
        <w:t xml:space="preserve"> : </w:t>
      </w: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</w:p>
    <w:p w:rsidR="00C36E91" w:rsidRPr="00B4646C" w:rsidRDefault="00C36E91" w:rsidP="002777DA">
      <w:pPr>
        <w:ind w:firstLine="567"/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t>a)</w:t>
      </w:r>
      <w:r w:rsidRPr="00B4646C">
        <w:rPr>
          <w:rFonts w:cs="Arial"/>
          <w:snapToGrid w:val="0"/>
          <w:lang w:val="fr-FR"/>
        </w:rPr>
        <w:tab/>
        <w:t xml:space="preserve">des faits nouveaux concernant la révision éventuelle du document UPOV/INF/12 “Notes explicatives concernant les dénominations variétales en vertu de la </w:t>
      </w:r>
      <w:r w:rsidR="000A1A31" w:rsidRPr="00B4646C">
        <w:rPr>
          <w:rFonts w:cs="Arial"/>
          <w:snapToGrid w:val="0"/>
          <w:lang w:val="fr-FR"/>
        </w:rPr>
        <w:t>Convention UPOV</w:t>
      </w:r>
      <w:r w:rsidRPr="00B4646C">
        <w:rPr>
          <w:rFonts w:cs="Arial"/>
          <w:snapToGrid w:val="0"/>
          <w:lang w:val="fr-FR"/>
        </w:rPr>
        <w:t xml:space="preserve">”, dont il est rendu compte aux </w:t>
      </w:r>
      <w:r w:rsidR="000A1A31" w:rsidRPr="00B4646C">
        <w:rPr>
          <w:rFonts w:cs="Arial"/>
          <w:snapToGrid w:val="0"/>
          <w:lang w:val="fr-FR"/>
        </w:rPr>
        <w:t>paragraphes 6</w:t>
      </w:r>
      <w:r w:rsidR="00AE1723">
        <w:rPr>
          <w:rFonts w:cs="Arial"/>
          <w:snapToGrid w:val="0"/>
          <w:lang w:val="fr-FR"/>
        </w:rPr>
        <w:t xml:space="preserve"> à 11 du présent document;</w:t>
      </w: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tab/>
        <w:t>b)</w:t>
      </w:r>
      <w:r w:rsidRPr="00B4646C">
        <w:rPr>
          <w:rFonts w:cs="Arial"/>
          <w:snapToGrid w:val="0"/>
          <w:lang w:val="fr-FR"/>
        </w:rPr>
        <w:tab/>
        <w:t>des faits nouveaux concernant l</w:t>
      </w:r>
      <w:r w:rsidR="000A1A31" w:rsidRPr="00B4646C">
        <w:rPr>
          <w:rFonts w:cs="Arial"/>
          <w:snapToGrid w:val="0"/>
          <w:lang w:val="fr-FR"/>
        </w:rPr>
        <w:t>’</w:t>
      </w:r>
      <w:r w:rsidR="00AE1723">
        <w:rPr>
          <w:rFonts w:cs="Arial"/>
          <w:snapToGrid w:val="0"/>
          <w:lang w:val="fr-FR"/>
        </w:rPr>
        <w:t xml:space="preserve">élaboration </w:t>
      </w:r>
      <w:r w:rsidRPr="00B4646C">
        <w:rPr>
          <w:rFonts w:cs="Arial"/>
          <w:snapToGrid w:val="0"/>
          <w:lang w:val="fr-FR"/>
        </w:rPr>
        <w:t>d</w:t>
      </w:r>
      <w:r w:rsidR="000A1A31" w:rsidRPr="00B4646C">
        <w:rPr>
          <w:rFonts w:cs="Arial"/>
          <w:snapToGrid w:val="0"/>
          <w:lang w:val="fr-FR"/>
        </w:rPr>
        <w:t>’</w:t>
      </w:r>
      <w:r w:rsidRPr="00B4646C">
        <w:rPr>
          <w:rFonts w:cs="Arial"/>
          <w:snapToGrid w:val="0"/>
          <w:lang w:val="fr-FR"/>
        </w:rPr>
        <w:t>un moteur de recherche de similitudes de l</w:t>
      </w:r>
      <w:r w:rsidR="000A1A31" w:rsidRPr="00B4646C">
        <w:rPr>
          <w:rFonts w:cs="Arial"/>
          <w:snapToGrid w:val="0"/>
          <w:lang w:val="fr-FR"/>
        </w:rPr>
        <w:t>’</w:t>
      </w:r>
      <w:r w:rsidRPr="00B4646C">
        <w:rPr>
          <w:rFonts w:cs="Arial"/>
          <w:snapToGrid w:val="0"/>
          <w:lang w:val="fr-FR"/>
        </w:rPr>
        <w:t xml:space="preserve">UPOV aux fins de la dénomination variétale, dont il est rendu compte aux </w:t>
      </w:r>
      <w:r w:rsidR="000A1A31" w:rsidRPr="00B4646C">
        <w:rPr>
          <w:rFonts w:cs="Arial"/>
          <w:snapToGrid w:val="0"/>
          <w:lang w:val="fr-FR"/>
        </w:rPr>
        <w:t>paragraphes 1</w:t>
      </w:r>
      <w:r w:rsidR="00AE1723">
        <w:rPr>
          <w:rFonts w:cs="Arial"/>
          <w:snapToGrid w:val="0"/>
          <w:lang w:val="fr-FR"/>
        </w:rPr>
        <w:t>3 à 18 du présent document;</w:t>
      </w: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tab/>
        <w:t>c)</w:t>
      </w:r>
      <w:r w:rsidRPr="00B4646C">
        <w:rPr>
          <w:rFonts w:cs="Arial"/>
          <w:snapToGrid w:val="0"/>
          <w:lang w:val="fr-FR"/>
        </w:rPr>
        <w:tab/>
        <w:t>des faits nouveaux concernant l</w:t>
      </w:r>
      <w:r w:rsidR="000A1A31" w:rsidRPr="00B4646C">
        <w:rPr>
          <w:rFonts w:cs="Arial"/>
          <w:snapToGrid w:val="0"/>
          <w:lang w:val="fr-FR"/>
        </w:rPr>
        <w:t>’</w:t>
      </w:r>
      <w:r w:rsidRPr="00B4646C">
        <w:rPr>
          <w:rFonts w:cs="Arial"/>
          <w:snapToGrid w:val="0"/>
          <w:lang w:val="fr-FR"/>
        </w:rPr>
        <w:t xml:space="preserve">éventuel élargissement du contenu de la base de données PLUTO, dont il est rendu compte aux </w:t>
      </w:r>
      <w:r w:rsidR="000A1A31" w:rsidRPr="00B4646C">
        <w:rPr>
          <w:rFonts w:cs="Arial"/>
          <w:snapToGrid w:val="0"/>
          <w:lang w:val="fr-FR"/>
        </w:rPr>
        <w:t>paragraphes 1</w:t>
      </w:r>
      <w:r w:rsidR="00AE1723">
        <w:rPr>
          <w:rFonts w:cs="Arial"/>
          <w:snapToGrid w:val="0"/>
          <w:lang w:val="fr-FR"/>
        </w:rPr>
        <w:t>9 à 23 du présent document;</w:t>
      </w: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tab/>
        <w:t>d)</w:t>
      </w:r>
      <w:r w:rsidRPr="00B4646C">
        <w:rPr>
          <w:rFonts w:cs="Arial"/>
          <w:snapToGrid w:val="0"/>
          <w:lang w:val="fr-FR"/>
        </w:rPr>
        <w:tab/>
        <w:t xml:space="preserve">des faits nouveaux concernant les termes non acceptables, dont il est rendu compte aux </w:t>
      </w:r>
      <w:r w:rsidR="000A1A31" w:rsidRPr="00B4646C">
        <w:rPr>
          <w:rFonts w:cs="Arial"/>
          <w:snapToGrid w:val="0"/>
          <w:lang w:val="fr-FR"/>
        </w:rPr>
        <w:t>paragraphes 2</w:t>
      </w:r>
      <w:r w:rsidR="00AE1723">
        <w:rPr>
          <w:rFonts w:cs="Arial"/>
          <w:snapToGrid w:val="0"/>
          <w:lang w:val="fr-FR"/>
        </w:rPr>
        <w:t>4 à 28 du présent document;</w:t>
      </w: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</w:p>
    <w:p w:rsidR="000A1A31" w:rsidRPr="00B4646C" w:rsidRDefault="00C36E91" w:rsidP="002777DA">
      <w:pPr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tab/>
        <w:t>e)</w:t>
      </w:r>
      <w:r w:rsidRPr="00B4646C">
        <w:rPr>
          <w:rFonts w:cs="Arial"/>
          <w:snapToGrid w:val="0"/>
          <w:lang w:val="fr-FR"/>
        </w:rPr>
        <w:tab/>
        <w:t>que la troisième réunion du WG</w:t>
      </w:r>
      <w:r w:rsidR="007D55A8">
        <w:rPr>
          <w:rFonts w:cs="Arial"/>
          <w:snapToGrid w:val="0"/>
          <w:lang w:val="fr-FR"/>
        </w:rPr>
        <w:noBreakHyphen/>
      </w:r>
      <w:r w:rsidRPr="00B4646C">
        <w:rPr>
          <w:rFonts w:cs="Arial"/>
          <w:snapToGrid w:val="0"/>
          <w:lang w:val="fr-FR"/>
        </w:rPr>
        <w:t xml:space="preserve">DEN se tiendra à Genève le </w:t>
      </w:r>
      <w:r w:rsidR="000A1A31" w:rsidRPr="00B4646C">
        <w:rPr>
          <w:rFonts w:cs="Arial"/>
          <w:snapToGrid w:val="0"/>
          <w:lang w:val="fr-FR"/>
        </w:rPr>
        <w:t>7 avril 20</w:t>
      </w:r>
      <w:r w:rsidRPr="00B4646C">
        <w:rPr>
          <w:rFonts w:cs="Arial"/>
          <w:snapToGrid w:val="0"/>
          <w:lang w:val="fr-FR"/>
        </w:rPr>
        <w:t>17</w:t>
      </w:r>
      <w:r w:rsidR="00AE1723">
        <w:rPr>
          <w:rFonts w:cs="Arial"/>
          <w:snapToGrid w:val="0"/>
          <w:lang w:val="fr-FR"/>
        </w:rPr>
        <w:t xml:space="preserve">;  </w:t>
      </w:r>
      <w:r w:rsidRPr="00B4646C">
        <w:rPr>
          <w:rFonts w:cs="Arial"/>
          <w:snapToGrid w:val="0"/>
          <w:lang w:val="fr-FR"/>
        </w:rPr>
        <w:t>et</w:t>
      </w:r>
    </w:p>
    <w:p w:rsidR="00C36E91" w:rsidRPr="00B4646C" w:rsidRDefault="00C36E91" w:rsidP="002777DA">
      <w:pPr>
        <w:rPr>
          <w:rFonts w:cs="Arial"/>
          <w:snapToGrid w:val="0"/>
          <w:lang w:val="fr-FR"/>
        </w:rPr>
      </w:pPr>
    </w:p>
    <w:p w:rsidR="00C56013" w:rsidRPr="00B4646C" w:rsidRDefault="00C36E91" w:rsidP="002777DA">
      <w:pPr>
        <w:rPr>
          <w:rFonts w:cs="Arial"/>
          <w:snapToGrid w:val="0"/>
          <w:lang w:val="fr-FR" w:eastAsia="ja-JP"/>
        </w:rPr>
      </w:pPr>
      <w:r w:rsidRPr="00B4646C">
        <w:rPr>
          <w:rFonts w:cs="Arial"/>
          <w:snapToGrid w:val="0"/>
          <w:lang w:val="fr-FR"/>
        </w:rPr>
        <w:tab/>
        <w:t>f)</w:t>
      </w:r>
      <w:r w:rsidRPr="00B4646C">
        <w:rPr>
          <w:rFonts w:cs="Arial"/>
          <w:snapToGrid w:val="0"/>
          <w:lang w:val="fr-FR"/>
        </w:rPr>
        <w:tab/>
        <w:t>du projet d</w:t>
      </w:r>
      <w:r w:rsidR="000A1A31" w:rsidRPr="00B4646C">
        <w:rPr>
          <w:rFonts w:cs="Arial"/>
          <w:snapToGrid w:val="0"/>
          <w:lang w:val="fr-FR"/>
        </w:rPr>
        <w:t>’</w:t>
      </w:r>
      <w:r w:rsidRPr="00B4646C">
        <w:rPr>
          <w:rFonts w:cs="Arial"/>
          <w:snapToGrid w:val="0"/>
          <w:lang w:val="fr-FR"/>
        </w:rPr>
        <w:t>ordre du jour de la troisième réunion du WG</w:t>
      </w:r>
      <w:r w:rsidR="007D55A8">
        <w:rPr>
          <w:rFonts w:cs="Arial"/>
          <w:snapToGrid w:val="0"/>
          <w:lang w:val="fr-FR"/>
        </w:rPr>
        <w:noBreakHyphen/>
      </w:r>
      <w:r w:rsidRPr="00B4646C">
        <w:rPr>
          <w:rFonts w:cs="Arial"/>
          <w:snapToGrid w:val="0"/>
          <w:lang w:val="fr-FR"/>
        </w:rPr>
        <w:t xml:space="preserve">DEN qui figure au </w:t>
      </w:r>
      <w:r w:rsidR="000A1A31" w:rsidRPr="00B4646C">
        <w:rPr>
          <w:rFonts w:cs="Arial"/>
          <w:snapToGrid w:val="0"/>
          <w:lang w:val="fr-FR"/>
        </w:rPr>
        <w:t>paragraphe 3</w:t>
      </w:r>
      <w:r w:rsidRPr="00B4646C">
        <w:rPr>
          <w:rFonts w:cs="Arial"/>
          <w:snapToGrid w:val="0"/>
          <w:lang w:val="fr-FR"/>
        </w:rPr>
        <w:t>0 du présent document.</w:t>
      </w:r>
    </w:p>
    <w:p w:rsidR="009778E0" w:rsidRPr="00B4646C" w:rsidRDefault="009778E0" w:rsidP="002777DA">
      <w:pPr>
        <w:rPr>
          <w:rFonts w:cs="Arial"/>
          <w:snapToGrid w:val="0"/>
          <w:lang w:val="fr-FR" w:eastAsia="ja-JP"/>
        </w:rPr>
      </w:pPr>
    </w:p>
    <w:p w:rsidR="00A77F35" w:rsidRPr="00B4646C" w:rsidRDefault="00A77F35" w:rsidP="002777DA">
      <w:pPr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fldChar w:fldCharType="begin"/>
      </w:r>
      <w:r w:rsidRPr="00B4646C">
        <w:rPr>
          <w:rFonts w:cs="Arial"/>
          <w:snapToGrid w:val="0"/>
          <w:lang w:val="fr-FR"/>
        </w:rPr>
        <w:instrText xml:space="preserve"> AUTONUM  </w:instrText>
      </w:r>
      <w:r w:rsidRPr="00B4646C">
        <w:rPr>
          <w:rFonts w:cs="Arial"/>
          <w:snapToGrid w:val="0"/>
          <w:lang w:val="fr-FR"/>
        </w:rPr>
        <w:fldChar w:fldCharType="end"/>
      </w:r>
      <w:r w:rsidRPr="00B4646C">
        <w:rPr>
          <w:rFonts w:cs="Arial"/>
          <w:snapToGrid w:val="0"/>
          <w:lang w:val="fr-FR"/>
        </w:rPr>
        <w:tab/>
      </w:r>
      <w:r w:rsidR="00AF7CBD" w:rsidRPr="00B4646C">
        <w:rPr>
          <w:rFonts w:cs="Arial"/>
          <w:snapToGrid w:val="0"/>
          <w:lang w:val="fr-FR"/>
        </w:rPr>
        <w:t>Les abréviations ci</w:t>
      </w:r>
      <w:r w:rsidR="007D55A8">
        <w:rPr>
          <w:rFonts w:cs="Arial"/>
          <w:snapToGrid w:val="0"/>
          <w:lang w:val="fr-FR"/>
        </w:rPr>
        <w:noBreakHyphen/>
      </w:r>
      <w:r w:rsidR="00AF7CBD" w:rsidRPr="00B4646C">
        <w:rPr>
          <w:rFonts w:cs="Arial"/>
          <w:snapToGrid w:val="0"/>
          <w:lang w:val="fr-FR"/>
        </w:rPr>
        <w:t>après sont utilisées dans le présent document</w:t>
      </w:r>
      <w:r w:rsidR="000A1A31" w:rsidRPr="00B4646C">
        <w:rPr>
          <w:rFonts w:cs="Arial"/>
          <w:snapToGrid w:val="0"/>
          <w:lang w:val="fr-FR"/>
        </w:rPr>
        <w:t> :</w:t>
      </w:r>
    </w:p>
    <w:p w:rsidR="00A77F35" w:rsidRPr="00B4646C" w:rsidRDefault="00A77F35" w:rsidP="002777DA">
      <w:pPr>
        <w:rPr>
          <w:rFonts w:cs="Arial"/>
          <w:snapToGrid w:val="0"/>
          <w:lang w:val="fr-FR"/>
        </w:rPr>
      </w:pPr>
    </w:p>
    <w:p w:rsidR="000A1A31" w:rsidRPr="00B4646C" w:rsidRDefault="00A77F35" w:rsidP="002777DA">
      <w:pPr>
        <w:ind w:left="567"/>
        <w:rPr>
          <w:rFonts w:cs="Arial"/>
          <w:snapToGrid w:val="0"/>
          <w:color w:val="000000"/>
          <w:lang w:val="fr-FR"/>
        </w:rPr>
      </w:pPr>
      <w:r w:rsidRPr="00B4646C">
        <w:rPr>
          <w:rFonts w:cs="Arial"/>
          <w:snapToGrid w:val="0"/>
          <w:color w:val="000000"/>
          <w:lang w:val="fr-FR"/>
        </w:rPr>
        <w:t>CAJ</w:t>
      </w:r>
      <w:r w:rsidR="000A1A31" w:rsidRPr="00B4646C">
        <w:rPr>
          <w:rFonts w:cs="Arial"/>
          <w:snapToGrid w:val="0"/>
          <w:color w:val="000000"/>
          <w:lang w:val="fr-FR"/>
        </w:rPr>
        <w:t> :</w:t>
      </w:r>
      <w:r w:rsidRPr="00B4646C">
        <w:rPr>
          <w:rFonts w:cs="Arial"/>
          <w:snapToGrid w:val="0"/>
          <w:color w:val="000000"/>
          <w:lang w:val="fr-FR"/>
        </w:rPr>
        <w:t xml:space="preserve"> </w:t>
      </w:r>
      <w:r w:rsidR="00AF7CBD" w:rsidRPr="00B4646C">
        <w:rPr>
          <w:rFonts w:cs="Arial"/>
          <w:snapToGrid w:val="0"/>
          <w:color w:val="000000"/>
          <w:lang w:val="fr-FR" w:eastAsia="ja-JP"/>
        </w:rPr>
        <w:tab/>
      </w:r>
      <w:r w:rsidR="007D55A8">
        <w:rPr>
          <w:rFonts w:cs="Arial"/>
          <w:snapToGrid w:val="0"/>
          <w:color w:val="000000"/>
          <w:lang w:val="fr-FR" w:eastAsia="ja-JP"/>
        </w:rPr>
        <w:tab/>
      </w:r>
      <w:r w:rsidR="00AF7CBD" w:rsidRPr="00B4646C">
        <w:rPr>
          <w:rFonts w:cs="Arial"/>
          <w:snapToGrid w:val="0"/>
          <w:color w:val="000000"/>
          <w:lang w:val="fr-FR" w:eastAsia="ja-JP"/>
        </w:rPr>
        <w:t>Comité administratif et juridique</w:t>
      </w:r>
    </w:p>
    <w:p w:rsidR="000A1A31" w:rsidRPr="00B4646C" w:rsidRDefault="00A77F35" w:rsidP="002777DA">
      <w:pPr>
        <w:ind w:left="567"/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t>CAJ</w:t>
      </w:r>
      <w:r w:rsidR="007D55A8">
        <w:rPr>
          <w:rFonts w:cs="Arial"/>
          <w:snapToGrid w:val="0"/>
          <w:lang w:val="fr-FR"/>
        </w:rPr>
        <w:noBreakHyphen/>
      </w:r>
      <w:r w:rsidRPr="00B4646C">
        <w:rPr>
          <w:rFonts w:cs="Arial"/>
          <w:snapToGrid w:val="0"/>
          <w:lang w:val="fr-FR"/>
        </w:rPr>
        <w:t>AG</w:t>
      </w:r>
      <w:r w:rsidR="000A1A31" w:rsidRPr="00B4646C">
        <w:rPr>
          <w:rFonts w:cs="Arial"/>
          <w:snapToGrid w:val="0"/>
          <w:lang w:val="fr-FR"/>
        </w:rPr>
        <w:t> :</w:t>
      </w:r>
      <w:r w:rsidRPr="00B4646C">
        <w:rPr>
          <w:rFonts w:cs="Arial"/>
          <w:snapToGrid w:val="0"/>
          <w:lang w:val="fr-FR"/>
        </w:rPr>
        <w:t xml:space="preserve"> </w:t>
      </w:r>
      <w:r w:rsidRPr="00B4646C">
        <w:rPr>
          <w:rFonts w:cs="Arial"/>
          <w:snapToGrid w:val="0"/>
          <w:lang w:val="fr-FR" w:eastAsia="ja-JP"/>
        </w:rPr>
        <w:tab/>
      </w:r>
      <w:r w:rsidR="00AF7CBD" w:rsidRPr="00B4646C">
        <w:rPr>
          <w:rFonts w:cs="Arial"/>
          <w:snapToGrid w:val="0"/>
          <w:lang w:val="fr-FR" w:eastAsia="ja-JP"/>
        </w:rPr>
        <w:t>Groupe consultatif du Comité administratif et juridique</w:t>
      </w:r>
    </w:p>
    <w:p w:rsidR="00A77F35" w:rsidRPr="00B4646C" w:rsidRDefault="00A77F35" w:rsidP="002777DA">
      <w:pPr>
        <w:ind w:left="567"/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t>TC</w:t>
      </w:r>
      <w:r w:rsidR="000A1A31" w:rsidRPr="00B4646C">
        <w:rPr>
          <w:rFonts w:cs="Arial"/>
          <w:snapToGrid w:val="0"/>
          <w:lang w:val="fr-FR"/>
        </w:rPr>
        <w:t> :</w:t>
      </w:r>
      <w:r w:rsidRPr="00B4646C">
        <w:rPr>
          <w:rFonts w:cs="Arial"/>
          <w:snapToGrid w:val="0"/>
          <w:lang w:val="fr-FR"/>
        </w:rPr>
        <w:t xml:space="preserve"> </w:t>
      </w:r>
      <w:r w:rsidRPr="00B4646C">
        <w:rPr>
          <w:rFonts w:cs="Arial"/>
          <w:snapToGrid w:val="0"/>
          <w:lang w:val="fr-FR" w:eastAsia="ja-JP"/>
        </w:rPr>
        <w:tab/>
      </w:r>
      <w:r w:rsidRPr="00B4646C">
        <w:rPr>
          <w:rFonts w:cs="Arial"/>
          <w:snapToGrid w:val="0"/>
          <w:lang w:val="fr-FR" w:eastAsia="ja-JP"/>
        </w:rPr>
        <w:tab/>
      </w:r>
      <w:r w:rsidR="00AF7CBD" w:rsidRPr="00B4646C">
        <w:rPr>
          <w:rFonts w:cs="Arial"/>
          <w:snapToGrid w:val="0"/>
          <w:lang w:val="fr-FR" w:eastAsia="ja-JP"/>
        </w:rPr>
        <w:t>Comité technique</w:t>
      </w:r>
    </w:p>
    <w:p w:rsidR="000A1A31" w:rsidRPr="00B4646C" w:rsidRDefault="00A77F35" w:rsidP="002777DA">
      <w:pPr>
        <w:keepNext/>
        <w:ind w:left="1701" w:hanging="1134"/>
        <w:rPr>
          <w:snapToGrid w:val="0"/>
          <w:lang w:val="fr-FR" w:eastAsia="ja-JP"/>
        </w:rPr>
      </w:pPr>
      <w:r w:rsidRPr="00B4646C">
        <w:rPr>
          <w:snapToGrid w:val="0"/>
          <w:lang w:val="fr-FR" w:eastAsia="ja-JP"/>
        </w:rPr>
        <w:t>WG</w:t>
      </w:r>
      <w:r w:rsidR="007D55A8">
        <w:rPr>
          <w:snapToGrid w:val="0"/>
          <w:lang w:val="fr-FR" w:eastAsia="ja-JP"/>
        </w:rPr>
        <w:noBreakHyphen/>
      </w:r>
      <w:r w:rsidRPr="00B4646C">
        <w:rPr>
          <w:snapToGrid w:val="0"/>
          <w:lang w:val="fr-FR" w:eastAsia="ja-JP"/>
        </w:rPr>
        <w:t>DST</w:t>
      </w:r>
      <w:r w:rsidR="000A1A31" w:rsidRPr="00B4646C">
        <w:rPr>
          <w:snapToGrid w:val="0"/>
          <w:lang w:val="fr-FR" w:eastAsia="ja-JP"/>
        </w:rPr>
        <w:t> :</w:t>
      </w:r>
      <w:r w:rsidR="006D71EB" w:rsidRPr="00B4646C">
        <w:rPr>
          <w:snapToGrid w:val="0"/>
          <w:lang w:val="fr-FR" w:eastAsia="ja-JP"/>
        </w:rPr>
        <w:t xml:space="preserve"> </w:t>
      </w:r>
      <w:r w:rsidRPr="00B4646C">
        <w:rPr>
          <w:snapToGrid w:val="0"/>
          <w:lang w:val="fr-FR" w:eastAsia="ja-JP"/>
        </w:rPr>
        <w:tab/>
      </w:r>
      <w:r w:rsidR="00AF7CBD" w:rsidRPr="00B4646C">
        <w:rPr>
          <w:snapToGrid w:val="0"/>
          <w:lang w:val="fr-FR" w:eastAsia="ja-JP"/>
        </w:rPr>
        <w:t>Groupe de travail sur l</w:t>
      </w:r>
      <w:r w:rsidR="000A1A31" w:rsidRPr="00B4646C">
        <w:rPr>
          <w:snapToGrid w:val="0"/>
          <w:lang w:val="fr-FR" w:eastAsia="ja-JP"/>
        </w:rPr>
        <w:t>’</w:t>
      </w:r>
      <w:r w:rsidR="00AF7CBD" w:rsidRPr="00B4646C">
        <w:rPr>
          <w:snapToGrid w:val="0"/>
          <w:lang w:val="fr-FR" w:eastAsia="ja-JP"/>
        </w:rPr>
        <w:t>élaboration d</w:t>
      </w:r>
      <w:r w:rsidR="000A1A31" w:rsidRPr="00B4646C">
        <w:rPr>
          <w:snapToGrid w:val="0"/>
          <w:lang w:val="fr-FR" w:eastAsia="ja-JP"/>
        </w:rPr>
        <w:t>’</w:t>
      </w:r>
      <w:r w:rsidR="00AF7CBD" w:rsidRPr="00B4646C">
        <w:rPr>
          <w:snapToGrid w:val="0"/>
          <w:lang w:val="fr-FR" w:eastAsia="ja-JP"/>
        </w:rPr>
        <w:t>un moteur de recherche de similitudes de l</w:t>
      </w:r>
      <w:r w:rsidR="000A1A31" w:rsidRPr="00B4646C">
        <w:rPr>
          <w:snapToGrid w:val="0"/>
          <w:lang w:val="fr-FR" w:eastAsia="ja-JP"/>
        </w:rPr>
        <w:t>’</w:t>
      </w:r>
      <w:r w:rsidR="00AF7CBD" w:rsidRPr="00B4646C">
        <w:rPr>
          <w:snapToGrid w:val="0"/>
          <w:lang w:val="fr-FR" w:eastAsia="ja-JP"/>
        </w:rPr>
        <w:t>UPOV aux fins de la dénomination variétale</w:t>
      </w:r>
    </w:p>
    <w:p w:rsidR="00A77F35" w:rsidRPr="00B4646C" w:rsidRDefault="00A77F35" w:rsidP="002777DA">
      <w:pPr>
        <w:keepNext/>
        <w:ind w:left="567"/>
        <w:rPr>
          <w:snapToGrid w:val="0"/>
          <w:lang w:val="fr-FR" w:eastAsia="ja-JP"/>
        </w:rPr>
      </w:pPr>
      <w:r w:rsidRPr="00B4646C">
        <w:rPr>
          <w:snapToGrid w:val="0"/>
          <w:lang w:val="fr-FR" w:eastAsia="ja-JP"/>
        </w:rPr>
        <w:t>WG</w:t>
      </w:r>
      <w:r w:rsidR="007D55A8">
        <w:rPr>
          <w:snapToGrid w:val="0"/>
          <w:lang w:val="fr-FR" w:eastAsia="ja-JP"/>
        </w:rPr>
        <w:noBreakHyphen/>
      </w:r>
      <w:r w:rsidRPr="00B4646C">
        <w:rPr>
          <w:snapToGrid w:val="0"/>
          <w:lang w:val="fr-FR" w:eastAsia="ja-JP"/>
        </w:rPr>
        <w:t>DEN</w:t>
      </w:r>
      <w:r w:rsidR="000A1A31" w:rsidRPr="00B4646C">
        <w:rPr>
          <w:snapToGrid w:val="0"/>
          <w:lang w:val="fr-FR" w:eastAsia="ja-JP"/>
        </w:rPr>
        <w:t> :</w:t>
      </w:r>
      <w:r w:rsidR="006D71EB" w:rsidRPr="00B4646C">
        <w:rPr>
          <w:snapToGrid w:val="0"/>
          <w:lang w:val="fr-FR" w:eastAsia="ja-JP"/>
        </w:rPr>
        <w:t xml:space="preserve"> </w:t>
      </w:r>
      <w:r w:rsidRPr="00B4646C">
        <w:rPr>
          <w:snapToGrid w:val="0"/>
          <w:lang w:val="fr-FR" w:eastAsia="ja-JP"/>
        </w:rPr>
        <w:tab/>
      </w:r>
      <w:r w:rsidR="00AF7CBD" w:rsidRPr="00B4646C">
        <w:rPr>
          <w:snapToGrid w:val="0"/>
          <w:lang w:val="fr-FR" w:eastAsia="ja-JP"/>
        </w:rPr>
        <w:t>Groupe de travail sur les dénominations variétales</w:t>
      </w:r>
    </w:p>
    <w:p w:rsidR="00A77F35" w:rsidRPr="00B4646C" w:rsidRDefault="00A77F35" w:rsidP="002777DA">
      <w:pPr>
        <w:rPr>
          <w:lang w:val="fr-FR"/>
        </w:rPr>
      </w:pPr>
    </w:p>
    <w:p w:rsidR="00A77F35" w:rsidRPr="00B4646C" w:rsidRDefault="00A77F35" w:rsidP="002777DA">
      <w:pPr>
        <w:jc w:val="left"/>
        <w:rPr>
          <w:rFonts w:cs="Arial"/>
          <w:snapToGrid w:val="0"/>
          <w:lang w:val="fr-FR"/>
        </w:rPr>
      </w:pPr>
      <w:r w:rsidRPr="00B4646C">
        <w:rPr>
          <w:rFonts w:cs="Arial"/>
          <w:snapToGrid w:val="0"/>
          <w:lang w:val="fr-FR"/>
        </w:rPr>
        <w:br w:type="page"/>
      </w:r>
    </w:p>
    <w:p w:rsidR="00A77F35" w:rsidRPr="00B4646C" w:rsidRDefault="00A77F35" w:rsidP="002777DA">
      <w:pPr>
        <w:keepNext/>
        <w:rPr>
          <w:rFonts w:cs="Arial"/>
          <w:snapToGrid w:val="0"/>
          <w:lang w:val="fr-FR" w:eastAsia="ja-JP"/>
        </w:rPr>
      </w:pPr>
      <w:r w:rsidRPr="00B4646C">
        <w:rPr>
          <w:rFonts w:cs="Arial"/>
          <w:snapToGrid w:val="0"/>
          <w:lang w:val="fr-FR"/>
        </w:rPr>
        <w:lastRenderedPageBreak/>
        <w:fldChar w:fldCharType="begin"/>
      </w:r>
      <w:r w:rsidRPr="00B4646C">
        <w:rPr>
          <w:rFonts w:cs="Arial"/>
          <w:snapToGrid w:val="0"/>
          <w:lang w:val="fr-FR"/>
        </w:rPr>
        <w:instrText xml:space="preserve"> AUTONUM  </w:instrText>
      </w:r>
      <w:r w:rsidRPr="00B4646C">
        <w:rPr>
          <w:rFonts w:cs="Arial"/>
          <w:snapToGrid w:val="0"/>
          <w:lang w:val="fr-FR"/>
        </w:rPr>
        <w:fldChar w:fldCharType="end"/>
      </w:r>
      <w:r w:rsidRPr="00B4646C">
        <w:rPr>
          <w:rFonts w:cs="Arial"/>
          <w:snapToGrid w:val="0"/>
          <w:lang w:val="fr-FR"/>
        </w:rPr>
        <w:tab/>
      </w:r>
      <w:r w:rsidR="0052418E" w:rsidRPr="00B4646C">
        <w:rPr>
          <w:rFonts w:cs="Arial"/>
          <w:snapToGrid w:val="0"/>
          <w:lang w:val="fr-FR"/>
        </w:rPr>
        <w:t>La structure du présent document est la suivante</w:t>
      </w:r>
      <w:r w:rsidR="000A1A31" w:rsidRPr="00B4646C">
        <w:rPr>
          <w:rFonts w:cs="Arial"/>
          <w:snapToGrid w:val="0"/>
          <w:lang w:val="fr-FR"/>
        </w:rPr>
        <w:t> :</w:t>
      </w:r>
    </w:p>
    <w:p w:rsidR="00A77F35" w:rsidRPr="00B4646C" w:rsidRDefault="00A77F35" w:rsidP="002777DA">
      <w:pPr>
        <w:rPr>
          <w:rFonts w:cs="Arial"/>
          <w:snapToGrid w:val="0"/>
          <w:lang w:val="fr-FR" w:eastAsia="ja-JP"/>
        </w:rPr>
      </w:pPr>
    </w:p>
    <w:p w:rsidR="00AF25F1" w:rsidRDefault="00A77F35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r w:rsidRPr="00B4646C">
        <w:rPr>
          <w:rFonts w:cs="Arial"/>
          <w:bCs/>
          <w:snapToGrid w:val="0"/>
          <w:lang w:val="fr-FR"/>
        </w:rPr>
        <w:fldChar w:fldCharType="begin"/>
      </w:r>
      <w:r w:rsidRPr="00B4646C">
        <w:rPr>
          <w:rFonts w:cs="Arial"/>
          <w:snapToGrid w:val="0"/>
          <w:lang w:val="fr-FR"/>
        </w:rPr>
        <w:instrText xml:space="preserve"> TOC \o "1-3" \h \z \u </w:instrText>
      </w:r>
      <w:r w:rsidRPr="00B4646C">
        <w:rPr>
          <w:rFonts w:cs="Arial"/>
          <w:bCs/>
          <w:snapToGrid w:val="0"/>
          <w:lang w:val="fr-FR"/>
        </w:rPr>
        <w:fldChar w:fldCharType="separate"/>
      </w:r>
      <w:hyperlink w:anchor="_Toc477357829" w:history="1">
        <w:r w:rsidR="00AF25F1" w:rsidRPr="00CC1605">
          <w:rPr>
            <w:rStyle w:val="Hyperlink"/>
            <w:rFonts w:eastAsia="MS Mincho"/>
            <w:noProof/>
            <w:lang w:val="fr-FR"/>
          </w:rPr>
          <w:t>RéSUMé</w:t>
        </w:r>
        <w:r w:rsidR="00AF25F1">
          <w:rPr>
            <w:noProof/>
            <w:webHidden/>
          </w:rPr>
          <w:tab/>
        </w:r>
        <w:r w:rsidR="00AF25F1">
          <w:rPr>
            <w:noProof/>
            <w:webHidden/>
          </w:rPr>
          <w:fldChar w:fldCharType="begin"/>
        </w:r>
        <w:r w:rsidR="00AF25F1">
          <w:rPr>
            <w:noProof/>
            <w:webHidden/>
          </w:rPr>
          <w:instrText xml:space="preserve"> PAGEREF _Toc477357829 \h </w:instrText>
        </w:r>
        <w:r w:rsidR="00AF25F1">
          <w:rPr>
            <w:noProof/>
            <w:webHidden/>
          </w:rPr>
        </w:r>
        <w:r w:rsidR="00AF25F1">
          <w:rPr>
            <w:noProof/>
            <w:webHidden/>
          </w:rPr>
          <w:fldChar w:fldCharType="separate"/>
        </w:r>
        <w:r w:rsidR="00AF25F1">
          <w:rPr>
            <w:noProof/>
            <w:webHidden/>
          </w:rPr>
          <w:t>1</w:t>
        </w:r>
        <w:r w:rsidR="00AF25F1">
          <w:rPr>
            <w:noProof/>
            <w:webHidden/>
          </w:rPr>
          <w:fldChar w:fldCharType="end"/>
        </w:r>
      </w:hyperlink>
    </w:p>
    <w:p w:rsidR="00AF25F1" w:rsidRDefault="00E2030F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hyperlink w:anchor="_Toc477357830" w:history="1">
        <w:r w:rsidR="00AF25F1" w:rsidRPr="00CC1605">
          <w:rPr>
            <w:rStyle w:val="Hyperlink"/>
            <w:noProof/>
            <w:lang w:val="fr-FR"/>
          </w:rPr>
          <w:t>Révision éventuelle du document UPOV/INF/12 “Notes explicatives concernant les dénominations variétales en vertu de la Convention UPOV”</w:t>
        </w:r>
        <w:r w:rsidR="00AF25F1">
          <w:rPr>
            <w:noProof/>
            <w:webHidden/>
          </w:rPr>
          <w:tab/>
        </w:r>
        <w:r w:rsidR="00AF25F1">
          <w:rPr>
            <w:noProof/>
            <w:webHidden/>
          </w:rPr>
          <w:fldChar w:fldCharType="begin"/>
        </w:r>
        <w:r w:rsidR="00AF25F1">
          <w:rPr>
            <w:noProof/>
            <w:webHidden/>
          </w:rPr>
          <w:instrText xml:space="preserve"> PAGEREF _Toc477357830 \h </w:instrText>
        </w:r>
        <w:r w:rsidR="00AF25F1">
          <w:rPr>
            <w:noProof/>
            <w:webHidden/>
          </w:rPr>
        </w:r>
        <w:r w:rsidR="00AF25F1">
          <w:rPr>
            <w:noProof/>
            <w:webHidden/>
          </w:rPr>
          <w:fldChar w:fldCharType="separate"/>
        </w:r>
        <w:r w:rsidR="00AF25F1">
          <w:rPr>
            <w:noProof/>
            <w:webHidden/>
          </w:rPr>
          <w:t>2</w:t>
        </w:r>
        <w:r w:rsidR="00AF25F1">
          <w:rPr>
            <w:noProof/>
            <w:webHidden/>
          </w:rPr>
          <w:fldChar w:fldCharType="end"/>
        </w:r>
      </w:hyperlink>
    </w:p>
    <w:p w:rsidR="00AF25F1" w:rsidRDefault="00E2030F">
      <w:pPr>
        <w:pStyle w:val="TOC2"/>
        <w:rPr>
          <w:rFonts w:asciiTheme="minorHAnsi" w:hAnsiTheme="minorHAnsi" w:cstheme="minorBidi"/>
          <w:smallCaps w:val="0"/>
          <w:sz w:val="22"/>
          <w:szCs w:val="22"/>
        </w:rPr>
      </w:pPr>
      <w:hyperlink w:anchor="_Toc477357831" w:history="1">
        <w:r w:rsidR="00AF25F1" w:rsidRPr="00CC1605">
          <w:rPr>
            <w:rStyle w:val="Hyperlink"/>
            <w:snapToGrid w:val="0"/>
            <w:lang w:val="fr-FR" w:eastAsia="ja-JP"/>
          </w:rPr>
          <w:t>Rappel</w:t>
        </w:r>
        <w:r w:rsidR="00AF25F1">
          <w:rPr>
            <w:webHidden/>
          </w:rPr>
          <w:tab/>
        </w:r>
        <w:r w:rsidR="00AF25F1">
          <w:rPr>
            <w:webHidden/>
          </w:rPr>
          <w:fldChar w:fldCharType="begin"/>
        </w:r>
        <w:r w:rsidR="00AF25F1">
          <w:rPr>
            <w:webHidden/>
          </w:rPr>
          <w:instrText xml:space="preserve"> PAGEREF _Toc477357831 \h </w:instrText>
        </w:r>
        <w:r w:rsidR="00AF25F1">
          <w:rPr>
            <w:webHidden/>
          </w:rPr>
        </w:r>
        <w:r w:rsidR="00AF25F1">
          <w:rPr>
            <w:webHidden/>
          </w:rPr>
          <w:fldChar w:fldCharType="separate"/>
        </w:r>
        <w:r w:rsidR="00AF25F1">
          <w:rPr>
            <w:webHidden/>
          </w:rPr>
          <w:t>2</w:t>
        </w:r>
        <w:r w:rsidR="00AF25F1">
          <w:rPr>
            <w:webHidden/>
          </w:rPr>
          <w:fldChar w:fldCharType="end"/>
        </w:r>
      </w:hyperlink>
    </w:p>
    <w:p w:rsidR="00AF25F1" w:rsidRDefault="00E2030F">
      <w:pPr>
        <w:pStyle w:val="TOC2"/>
        <w:rPr>
          <w:rFonts w:asciiTheme="minorHAnsi" w:hAnsiTheme="minorHAnsi" w:cstheme="minorBidi"/>
          <w:smallCaps w:val="0"/>
          <w:sz w:val="22"/>
          <w:szCs w:val="22"/>
        </w:rPr>
      </w:pPr>
      <w:hyperlink w:anchor="_Toc477357832" w:history="1">
        <w:r w:rsidR="00AF25F1" w:rsidRPr="00CC1605">
          <w:rPr>
            <w:rStyle w:val="Hyperlink"/>
            <w:snapToGrid w:val="0"/>
            <w:lang w:val="fr-FR" w:eastAsia="ja-JP"/>
          </w:rPr>
          <w:t>Faits nouveaux en 2016</w:t>
        </w:r>
        <w:r w:rsidR="00AF25F1">
          <w:rPr>
            <w:webHidden/>
          </w:rPr>
          <w:tab/>
        </w:r>
        <w:r w:rsidR="00AF25F1">
          <w:rPr>
            <w:webHidden/>
          </w:rPr>
          <w:fldChar w:fldCharType="begin"/>
        </w:r>
        <w:r w:rsidR="00AF25F1">
          <w:rPr>
            <w:webHidden/>
          </w:rPr>
          <w:instrText xml:space="preserve"> PAGEREF _Toc477357832 \h </w:instrText>
        </w:r>
        <w:r w:rsidR="00AF25F1">
          <w:rPr>
            <w:webHidden/>
          </w:rPr>
        </w:r>
        <w:r w:rsidR="00AF25F1">
          <w:rPr>
            <w:webHidden/>
          </w:rPr>
          <w:fldChar w:fldCharType="separate"/>
        </w:r>
        <w:r w:rsidR="00AF25F1">
          <w:rPr>
            <w:webHidden/>
          </w:rPr>
          <w:t>2</w:t>
        </w:r>
        <w:r w:rsidR="00AF25F1">
          <w:rPr>
            <w:webHidden/>
          </w:rPr>
          <w:fldChar w:fldCharType="end"/>
        </w:r>
      </w:hyperlink>
    </w:p>
    <w:p w:rsidR="00AF25F1" w:rsidRDefault="00E2030F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hyperlink w:anchor="_Toc477357833" w:history="1">
        <w:r w:rsidR="00AF25F1" w:rsidRPr="00CC1605">
          <w:rPr>
            <w:rStyle w:val="Hyperlink"/>
            <w:noProof/>
            <w:lang w:val="fr-FR"/>
          </w:rPr>
          <w:t>Possibilité d’élaboration d’un moteur de recherche de similitudes de l’UPOV aux fins de la dénomination variétale</w:t>
        </w:r>
        <w:r w:rsidR="00AF25F1">
          <w:rPr>
            <w:noProof/>
            <w:webHidden/>
          </w:rPr>
          <w:tab/>
        </w:r>
        <w:r w:rsidR="00AF25F1">
          <w:rPr>
            <w:noProof/>
            <w:webHidden/>
          </w:rPr>
          <w:fldChar w:fldCharType="begin"/>
        </w:r>
        <w:r w:rsidR="00AF25F1">
          <w:rPr>
            <w:noProof/>
            <w:webHidden/>
          </w:rPr>
          <w:instrText xml:space="preserve"> PAGEREF _Toc477357833 \h </w:instrText>
        </w:r>
        <w:r w:rsidR="00AF25F1">
          <w:rPr>
            <w:noProof/>
            <w:webHidden/>
          </w:rPr>
        </w:r>
        <w:r w:rsidR="00AF25F1">
          <w:rPr>
            <w:noProof/>
            <w:webHidden/>
          </w:rPr>
          <w:fldChar w:fldCharType="separate"/>
        </w:r>
        <w:r w:rsidR="00AF25F1">
          <w:rPr>
            <w:noProof/>
            <w:webHidden/>
          </w:rPr>
          <w:t>3</w:t>
        </w:r>
        <w:r w:rsidR="00AF25F1">
          <w:rPr>
            <w:noProof/>
            <w:webHidden/>
          </w:rPr>
          <w:fldChar w:fldCharType="end"/>
        </w:r>
      </w:hyperlink>
    </w:p>
    <w:p w:rsidR="00AF25F1" w:rsidRDefault="00E2030F">
      <w:pPr>
        <w:pStyle w:val="TOC2"/>
        <w:rPr>
          <w:rFonts w:asciiTheme="minorHAnsi" w:hAnsiTheme="minorHAnsi" w:cstheme="minorBidi"/>
          <w:smallCaps w:val="0"/>
          <w:sz w:val="22"/>
          <w:szCs w:val="22"/>
        </w:rPr>
      </w:pPr>
      <w:hyperlink w:anchor="_Toc477357834" w:history="1">
        <w:r w:rsidR="00AF25F1" w:rsidRPr="00CC1605">
          <w:rPr>
            <w:rStyle w:val="Hyperlink"/>
            <w:lang w:val="fr-FR" w:eastAsia="ja-JP"/>
          </w:rPr>
          <w:t>Rappel</w:t>
        </w:r>
        <w:r w:rsidR="00AF25F1">
          <w:rPr>
            <w:webHidden/>
          </w:rPr>
          <w:tab/>
        </w:r>
        <w:r w:rsidR="00AF25F1">
          <w:rPr>
            <w:webHidden/>
          </w:rPr>
          <w:fldChar w:fldCharType="begin"/>
        </w:r>
        <w:r w:rsidR="00AF25F1">
          <w:rPr>
            <w:webHidden/>
          </w:rPr>
          <w:instrText xml:space="preserve"> PAGEREF _Toc477357834 \h </w:instrText>
        </w:r>
        <w:r w:rsidR="00AF25F1">
          <w:rPr>
            <w:webHidden/>
          </w:rPr>
        </w:r>
        <w:r w:rsidR="00AF25F1">
          <w:rPr>
            <w:webHidden/>
          </w:rPr>
          <w:fldChar w:fldCharType="separate"/>
        </w:r>
        <w:r w:rsidR="00AF25F1">
          <w:rPr>
            <w:webHidden/>
          </w:rPr>
          <w:t>3</w:t>
        </w:r>
        <w:r w:rsidR="00AF25F1">
          <w:rPr>
            <w:webHidden/>
          </w:rPr>
          <w:fldChar w:fldCharType="end"/>
        </w:r>
      </w:hyperlink>
    </w:p>
    <w:p w:rsidR="00AF25F1" w:rsidRDefault="00E2030F">
      <w:pPr>
        <w:pStyle w:val="TOC2"/>
        <w:rPr>
          <w:rFonts w:asciiTheme="minorHAnsi" w:hAnsiTheme="minorHAnsi" w:cstheme="minorBidi"/>
          <w:smallCaps w:val="0"/>
          <w:sz w:val="22"/>
          <w:szCs w:val="22"/>
        </w:rPr>
      </w:pPr>
      <w:hyperlink w:anchor="_Toc477357835" w:history="1">
        <w:r w:rsidR="00AF25F1" w:rsidRPr="00CC1605">
          <w:rPr>
            <w:rStyle w:val="Hyperlink"/>
            <w:lang w:val="fr-FR" w:eastAsia="ja-JP"/>
          </w:rPr>
          <w:t>Faits nouveaux en 2016</w:t>
        </w:r>
        <w:r w:rsidR="00AF25F1">
          <w:rPr>
            <w:webHidden/>
          </w:rPr>
          <w:tab/>
        </w:r>
        <w:r w:rsidR="00AF25F1">
          <w:rPr>
            <w:webHidden/>
          </w:rPr>
          <w:fldChar w:fldCharType="begin"/>
        </w:r>
        <w:r w:rsidR="00AF25F1">
          <w:rPr>
            <w:webHidden/>
          </w:rPr>
          <w:instrText xml:space="preserve"> PAGEREF _Toc477357835 \h </w:instrText>
        </w:r>
        <w:r w:rsidR="00AF25F1">
          <w:rPr>
            <w:webHidden/>
          </w:rPr>
        </w:r>
        <w:r w:rsidR="00AF25F1">
          <w:rPr>
            <w:webHidden/>
          </w:rPr>
          <w:fldChar w:fldCharType="separate"/>
        </w:r>
        <w:r w:rsidR="00AF25F1">
          <w:rPr>
            <w:webHidden/>
          </w:rPr>
          <w:t>3</w:t>
        </w:r>
        <w:r w:rsidR="00AF25F1">
          <w:rPr>
            <w:webHidden/>
          </w:rPr>
          <w:fldChar w:fldCharType="end"/>
        </w:r>
      </w:hyperlink>
    </w:p>
    <w:p w:rsidR="00AF25F1" w:rsidRDefault="00E2030F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hyperlink w:anchor="_Toc477357836" w:history="1">
        <w:r w:rsidR="00AF25F1" w:rsidRPr="00CC1605">
          <w:rPr>
            <w:rStyle w:val="Hyperlink"/>
            <w:rFonts w:cs="Arial"/>
            <w:noProof/>
            <w:snapToGrid w:val="0"/>
            <w:lang w:val="fr-FR" w:eastAsia="ja-JP"/>
          </w:rPr>
          <w:t>Élargissement du contenu de la base de données PLUTO</w:t>
        </w:r>
        <w:r w:rsidR="00AF25F1">
          <w:rPr>
            <w:noProof/>
            <w:webHidden/>
          </w:rPr>
          <w:tab/>
        </w:r>
        <w:r w:rsidR="00AF25F1">
          <w:rPr>
            <w:noProof/>
            <w:webHidden/>
          </w:rPr>
          <w:fldChar w:fldCharType="begin"/>
        </w:r>
        <w:r w:rsidR="00AF25F1">
          <w:rPr>
            <w:noProof/>
            <w:webHidden/>
          </w:rPr>
          <w:instrText xml:space="preserve"> PAGEREF _Toc477357836 \h </w:instrText>
        </w:r>
        <w:r w:rsidR="00AF25F1">
          <w:rPr>
            <w:noProof/>
            <w:webHidden/>
          </w:rPr>
        </w:r>
        <w:r w:rsidR="00AF25F1">
          <w:rPr>
            <w:noProof/>
            <w:webHidden/>
          </w:rPr>
          <w:fldChar w:fldCharType="separate"/>
        </w:r>
        <w:r w:rsidR="00AF25F1">
          <w:rPr>
            <w:noProof/>
            <w:webHidden/>
          </w:rPr>
          <w:t>3</w:t>
        </w:r>
        <w:r w:rsidR="00AF25F1">
          <w:rPr>
            <w:noProof/>
            <w:webHidden/>
          </w:rPr>
          <w:fldChar w:fldCharType="end"/>
        </w:r>
      </w:hyperlink>
    </w:p>
    <w:p w:rsidR="00AF25F1" w:rsidRDefault="00E2030F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hyperlink w:anchor="_Toc477357837" w:history="1">
        <w:r w:rsidR="00AF25F1" w:rsidRPr="00CC1605">
          <w:rPr>
            <w:rStyle w:val="Hyperlink"/>
            <w:rFonts w:cs="Arial"/>
            <w:noProof/>
            <w:snapToGrid w:val="0"/>
            <w:lang w:val="fr-FR" w:eastAsia="ja-JP"/>
          </w:rPr>
          <w:t>Termes non acceptables</w:t>
        </w:r>
        <w:r w:rsidR="00AF25F1">
          <w:rPr>
            <w:noProof/>
            <w:webHidden/>
          </w:rPr>
          <w:tab/>
        </w:r>
        <w:r w:rsidR="00AF25F1">
          <w:rPr>
            <w:noProof/>
            <w:webHidden/>
          </w:rPr>
          <w:fldChar w:fldCharType="begin"/>
        </w:r>
        <w:r w:rsidR="00AF25F1">
          <w:rPr>
            <w:noProof/>
            <w:webHidden/>
          </w:rPr>
          <w:instrText xml:space="preserve"> PAGEREF _Toc477357837 \h </w:instrText>
        </w:r>
        <w:r w:rsidR="00AF25F1">
          <w:rPr>
            <w:noProof/>
            <w:webHidden/>
          </w:rPr>
        </w:r>
        <w:r w:rsidR="00AF25F1">
          <w:rPr>
            <w:noProof/>
            <w:webHidden/>
          </w:rPr>
          <w:fldChar w:fldCharType="separate"/>
        </w:r>
        <w:r w:rsidR="00AF25F1">
          <w:rPr>
            <w:noProof/>
            <w:webHidden/>
          </w:rPr>
          <w:t>4</w:t>
        </w:r>
        <w:r w:rsidR="00AF25F1">
          <w:rPr>
            <w:noProof/>
            <w:webHidden/>
          </w:rPr>
          <w:fldChar w:fldCharType="end"/>
        </w:r>
      </w:hyperlink>
    </w:p>
    <w:p w:rsidR="00AF25F1" w:rsidRDefault="00E2030F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hyperlink w:anchor="_Toc477357838" w:history="1">
        <w:r w:rsidR="00AF25F1" w:rsidRPr="00CC1605">
          <w:rPr>
            <w:rStyle w:val="Hyperlink"/>
            <w:noProof/>
            <w:lang w:val="fr-FR"/>
          </w:rPr>
          <w:t>Date et programme de la prochaine réunion</w:t>
        </w:r>
        <w:r w:rsidR="00AF25F1">
          <w:rPr>
            <w:noProof/>
            <w:webHidden/>
          </w:rPr>
          <w:tab/>
        </w:r>
        <w:r w:rsidR="00AF25F1">
          <w:rPr>
            <w:noProof/>
            <w:webHidden/>
          </w:rPr>
          <w:fldChar w:fldCharType="begin"/>
        </w:r>
        <w:r w:rsidR="00AF25F1">
          <w:rPr>
            <w:noProof/>
            <w:webHidden/>
          </w:rPr>
          <w:instrText xml:space="preserve"> PAGEREF _Toc477357838 \h </w:instrText>
        </w:r>
        <w:r w:rsidR="00AF25F1">
          <w:rPr>
            <w:noProof/>
            <w:webHidden/>
          </w:rPr>
        </w:r>
        <w:r w:rsidR="00AF25F1">
          <w:rPr>
            <w:noProof/>
            <w:webHidden/>
          </w:rPr>
          <w:fldChar w:fldCharType="separate"/>
        </w:r>
        <w:r w:rsidR="00AF25F1">
          <w:rPr>
            <w:noProof/>
            <w:webHidden/>
          </w:rPr>
          <w:t>4</w:t>
        </w:r>
        <w:r w:rsidR="00AF25F1">
          <w:rPr>
            <w:noProof/>
            <w:webHidden/>
          </w:rPr>
          <w:fldChar w:fldCharType="end"/>
        </w:r>
      </w:hyperlink>
    </w:p>
    <w:p w:rsidR="00A77F35" w:rsidRPr="00B4646C" w:rsidRDefault="00A77F35" w:rsidP="002777DA">
      <w:pPr>
        <w:rPr>
          <w:rFonts w:cs="Arial"/>
          <w:snapToGrid w:val="0"/>
          <w:lang w:val="fr-FR" w:eastAsia="ja-JP"/>
        </w:rPr>
      </w:pPr>
      <w:r w:rsidRPr="00B4646C">
        <w:rPr>
          <w:rFonts w:cs="Arial"/>
          <w:snapToGrid w:val="0"/>
          <w:lang w:val="fr-FR"/>
        </w:rPr>
        <w:fldChar w:fldCharType="end"/>
      </w:r>
    </w:p>
    <w:p w:rsidR="00AC7372" w:rsidRPr="00B4646C" w:rsidRDefault="00AC7372" w:rsidP="002777DA">
      <w:pPr>
        <w:rPr>
          <w:rFonts w:cs="Arial"/>
          <w:snapToGrid w:val="0"/>
          <w:lang w:val="fr-FR" w:eastAsia="ja-JP"/>
        </w:rPr>
      </w:pPr>
    </w:p>
    <w:p w:rsidR="00A77F35" w:rsidRPr="00B4646C" w:rsidRDefault="0052418E" w:rsidP="002777DA">
      <w:pPr>
        <w:pStyle w:val="Heading1"/>
        <w:rPr>
          <w:lang w:val="fr-FR"/>
        </w:rPr>
      </w:pPr>
      <w:bookmarkStart w:id="3" w:name="_Toc477357830"/>
      <w:r w:rsidRPr="00B4646C">
        <w:rPr>
          <w:lang w:val="fr-FR"/>
        </w:rPr>
        <w:t xml:space="preserve">Révision éventuelle du document UPOV/INF/12 “Notes explicatives concernant les dénominations variétales en vertu de la </w:t>
      </w:r>
      <w:r w:rsidR="000A1A31" w:rsidRPr="00B4646C">
        <w:rPr>
          <w:lang w:val="fr-FR"/>
        </w:rPr>
        <w:t>Convention UPOV</w:t>
      </w:r>
      <w:r w:rsidRPr="00B4646C">
        <w:rPr>
          <w:lang w:val="fr-FR"/>
        </w:rPr>
        <w:t>”</w:t>
      </w:r>
      <w:bookmarkEnd w:id="3"/>
    </w:p>
    <w:p w:rsidR="00652658" w:rsidRPr="00B4646C" w:rsidRDefault="00652658" w:rsidP="002777DA">
      <w:pPr>
        <w:keepNext/>
        <w:rPr>
          <w:snapToGrid w:val="0"/>
          <w:lang w:val="fr-FR" w:eastAsia="ja-JP"/>
        </w:rPr>
      </w:pPr>
    </w:p>
    <w:p w:rsidR="00C1015D" w:rsidRPr="00B4646C" w:rsidRDefault="0052418E" w:rsidP="002777DA">
      <w:pPr>
        <w:pStyle w:val="Heading2"/>
        <w:rPr>
          <w:snapToGrid w:val="0"/>
          <w:lang w:val="fr-FR" w:eastAsia="ja-JP"/>
        </w:rPr>
      </w:pPr>
      <w:bookmarkStart w:id="4" w:name="_Toc477357831"/>
      <w:r w:rsidRPr="00B4646C">
        <w:rPr>
          <w:snapToGrid w:val="0"/>
          <w:lang w:val="fr-FR" w:eastAsia="ja-JP"/>
        </w:rPr>
        <w:t>Rappel</w:t>
      </w:r>
      <w:bookmarkEnd w:id="4"/>
    </w:p>
    <w:p w:rsidR="00626CBE" w:rsidRPr="00B4646C" w:rsidRDefault="00626CBE" w:rsidP="002777DA">
      <w:pPr>
        <w:keepNext/>
        <w:rPr>
          <w:snapToGrid w:val="0"/>
          <w:lang w:val="fr-FR" w:eastAsia="ja-JP"/>
        </w:rPr>
      </w:pPr>
    </w:p>
    <w:p w:rsidR="00E85A98" w:rsidRPr="00B4646C" w:rsidRDefault="00626CBE" w:rsidP="002777DA">
      <w:pPr>
        <w:rPr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52418E" w:rsidRPr="00B4646C">
        <w:rPr>
          <w:lang w:val="fr-FR"/>
        </w:rPr>
        <w:t xml:space="preserve">Les informations générales sur cette question </w:t>
      </w:r>
      <w:r w:rsidR="007849B5">
        <w:rPr>
          <w:lang w:val="fr-FR"/>
        </w:rPr>
        <w:t>figurent aux paragraphes 5 et 16 à</w:t>
      </w:r>
      <w:r w:rsidR="007849B5" w:rsidRPr="00AE1723">
        <w:rPr>
          <w:lang w:val="fr-FR"/>
        </w:rPr>
        <w:t> 26 du</w:t>
      </w:r>
      <w:r w:rsidR="0052418E" w:rsidRPr="00B4646C">
        <w:rPr>
          <w:lang w:val="fr-FR"/>
        </w:rPr>
        <w:t xml:space="preserve"> </w:t>
      </w:r>
      <w:r w:rsidR="000A1A31" w:rsidRPr="00B4646C">
        <w:rPr>
          <w:lang w:val="fr-FR" w:eastAsia="ja-JP"/>
        </w:rPr>
        <w:t>document TC</w:t>
      </w:r>
      <w:r w:rsidRPr="00B4646C">
        <w:rPr>
          <w:lang w:val="fr-FR" w:eastAsia="ja-JP"/>
        </w:rPr>
        <w:t>/52/12 “</w:t>
      </w:r>
      <w:r w:rsidR="00044E68" w:rsidRPr="00B4646C">
        <w:rPr>
          <w:lang w:val="fr-FR" w:eastAsia="ja-JP"/>
        </w:rPr>
        <w:t>Dénominations variétales</w:t>
      </w:r>
      <w:r w:rsidRPr="00B4646C">
        <w:rPr>
          <w:lang w:val="fr-FR" w:eastAsia="ja-JP"/>
        </w:rPr>
        <w:t>”.</w:t>
      </w:r>
    </w:p>
    <w:p w:rsidR="00E85A98" w:rsidRPr="00B4646C" w:rsidRDefault="00E85A98" w:rsidP="002777DA">
      <w:pPr>
        <w:rPr>
          <w:lang w:val="fr-FR" w:eastAsia="ja-JP"/>
        </w:rPr>
      </w:pPr>
    </w:p>
    <w:p w:rsidR="00E85A98" w:rsidRPr="00B4646C" w:rsidRDefault="00E85A98" w:rsidP="002777DA">
      <w:pPr>
        <w:rPr>
          <w:lang w:val="fr-FR" w:eastAsia="ja-JP"/>
        </w:rPr>
      </w:pPr>
    </w:p>
    <w:p w:rsidR="00C1015D" w:rsidRPr="00B4646C" w:rsidRDefault="00972BDF" w:rsidP="002777DA">
      <w:pPr>
        <w:pStyle w:val="Heading2"/>
        <w:rPr>
          <w:snapToGrid w:val="0"/>
          <w:lang w:val="fr-FR" w:eastAsia="ja-JP"/>
        </w:rPr>
      </w:pPr>
      <w:bookmarkStart w:id="5" w:name="_Toc477357832"/>
      <w:r w:rsidRPr="00B4646C">
        <w:rPr>
          <w:snapToGrid w:val="0"/>
          <w:lang w:val="fr-FR" w:eastAsia="ja-JP"/>
        </w:rPr>
        <w:t xml:space="preserve">Faits nouveaux </w:t>
      </w:r>
      <w:r w:rsidR="000A1A31" w:rsidRPr="00B4646C">
        <w:rPr>
          <w:snapToGrid w:val="0"/>
          <w:lang w:val="fr-FR" w:eastAsia="ja-JP"/>
        </w:rPr>
        <w:t>en 2016</w:t>
      </w:r>
      <w:bookmarkEnd w:id="5"/>
    </w:p>
    <w:p w:rsidR="00C1015D" w:rsidRPr="00B4646C" w:rsidRDefault="00C1015D" w:rsidP="002777DA">
      <w:pPr>
        <w:keepNext/>
        <w:rPr>
          <w:snapToGrid w:val="0"/>
          <w:lang w:val="fr-FR" w:eastAsia="ja-JP"/>
        </w:rPr>
      </w:pPr>
    </w:p>
    <w:p w:rsidR="00A77F35" w:rsidRPr="00B4646C" w:rsidRDefault="00A77F35" w:rsidP="002777DA">
      <w:pPr>
        <w:rPr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972BDF" w:rsidRPr="00B4646C">
        <w:rPr>
          <w:lang w:val="fr-FR"/>
        </w:rPr>
        <w:t>À sa première réunion tenue à Genève le 1</w:t>
      </w:r>
      <w:r w:rsidR="000A1A31" w:rsidRPr="00B4646C">
        <w:rPr>
          <w:lang w:val="fr-FR"/>
        </w:rPr>
        <w:t>8 mars 20</w:t>
      </w:r>
      <w:r w:rsidR="00972BDF" w:rsidRPr="00B4646C">
        <w:rPr>
          <w:lang w:val="fr-FR"/>
        </w:rPr>
        <w:t>16, le WG</w:t>
      </w:r>
      <w:r w:rsidR="007D55A8">
        <w:rPr>
          <w:lang w:val="fr-FR"/>
        </w:rPr>
        <w:noBreakHyphen/>
      </w:r>
      <w:r w:rsidR="00972BDF" w:rsidRPr="00B4646C">
        <w:rPr>
          <w:lang w:val="fr-FR"/>
        </w:rPr>
        <w:t xml:space="preserve">DEN a </w:t>
      </w:r>
      <w:r w:rsidR="00B71A5F" w:rsidRPr="00B4646C">
        <w:rPr>
          <w:lang w:val="fr-FR"/>
        </w:rPr>
        <w:t>examiné</w:t>
      </w:r>
      <w:r w:rsidR="00972BDF" w:rsidRPr="00B4646C">
        <w:rPr>
          <w:lang w:val="fr-FR"/>
        </w:rPr>
        <w:t xml:space="preserve"> les documents UPOV/WG</w:t>
      </w:r>
      <w:r w:rsidR="007D55A8">
        <w:rPr>
          <w:lang w:val="fr-FR"/>
        </w:rPr>
        <w:noBreakHyphen/>
      </w:r>
      <w:r w:rsidR="00972BDF" w:rsidRPr="00B4646C">
        <w:rPr>
          <w:lang w:val="fr-FR"/>
        </w:rPr>
        <w:t>DEN/1/2 “</w:t>
      </w:r>
      <w:proofErr w:type="spellStart"/>
      <w:r w:rsidR="00B71A5F" w:rsidRPr="00AF25F1">
        <w:rPr>
          <w:i/>
          <w:lang w:val="fr-FR"/>
        </w:rPr>
        <w:t>Revision</w:t>
      </w:r>
      <w:proofErr w:type="spellEnd"/>
      <w:r w:rsidR="00B71A5F" w:rsidRPr="00AF25F1">
        <w:rPr>
          <w:i/>
          <w:lang w:val="fr-FR"/>
        </w:rPr>
        <w:t xml:space="preserve"> of Document</w:t>
      </w:r>
      <w:r w:rsidR="00972BDF" w:rsidRPr="00AF25F1">
        <w:rPr>
          <w:i/>
          <w:lang w:val="fr-FR"/>
        </w:rPr>
        <w:t xml:space="preserve"> UPOV/INF/12/5 </w:t>
      </w:r>
      <w:r w:rsidR="000A1A31" w:rsidRPr="00AF25F1">
        <w:rPr>
          <w:i/>
          <w:lang w:val="fr-FR"/>
        </w:rPr>
        <w:t>‘</w:t>
      </w:r>
      <w:proofErr w:type="spellStart"/>
      <w:r w:rsidR="00B71A5F" w:rsidRPr="00AF25F1">
        <w:rPr>
          <w:i/>
          <w:lang w:val="fr-FR"/>
        </w:rPr>
        <w:t>Explanatory</w:t>
      </w:r>
      <w:proofErr w:type="spellEnd"/>
      <w:r w:rsidR="00B71A5F" w:rsidRPr="00AF25F1">
        <w:rPr>
          <w:i/>
          <w:lang w:val="fr-FR"/>
        </w:rPr>
        <w:t xml:space="preserve"> Notes on </w:t>
      </w:r>
      <w:proofErr w:type="spellStart"/>
      <w:r w:rsidR="00B71A5F" w:rsidRPr="00AF25F1">
        <w:rPr>
          <w:i/>
          <w:lang w:val="fr-FR"/>
        </w:rPr>
        <w:t>Variety</w:t>
      </w:r>
      <w:proofErr w:type="spellEnd"/>
      <w:r w:rsidR="00B71A5F" w:rsidRPr="00AF25F1">
        <w:rPr>
          <w:i/>
          <w:lang w:val="fr-FR"/>
        </w:rPr>
        <w:t xml:space="preserve"> </w:t>
      </w:r>
      <w:proofErr w:type="spellStart"/>
      <w:r w:rsidR="00B71A5F" w:rsidRPr="00AF25F1">
        <w:rPr>
          <w:i/>
          <w:lang w:val="fr-FR"/>
        </w:rPr>
        <w:t>Denominations</w:t>
      </w:r>
      <w:proofErr w:type="spellEnd"/>
      <w:r w:rsidR="00B71A5F" w:rsidRPr="00AF25F1">
        <w:rPr>
          <w:i/>
          <w:lang w:val="fr-FR"/>
        </w:rPr>
        <w:t xml:space="preserve"> </w:t>
      </w:r>
      <w:proofErr w:type="spellStart"/>
      <w:r w:rsidR="00B71A5F" w:rsidRPr="00AF25F1">
        <w:rPr>
          <w:i/>
          <w:lang w:val="fr-FR"/>
        </w:rPr>
        <w:t>under</w:t>
      </w:r>
      <w:proofErr w:type="spellEnd"/>
      <w:r w:rsidR="00B71A5F" w:rsidRPr="00AF25F1">
        <w:rPr>
          <w:i/>
          <w:lang w:val="fr-FR"/>
        </w:rPr>
        <w:t xml:space="preserve"> the UPOV Convention</w:t>
      </w:r>
      <w:r w:rsidR="000A1A31" w:rsidRPr="00B4646C">
        <w:rPr>
          <w:lang w:val="fr-FR"/>
        </w:rPr>
        <w:t>’</w:t>
      </w:r>
      <w:r w:rsidR="00972BDF" w:rsidRPr="00B4646C">
        <w:rPr>
          <w:lang w:val="fr-FR"/>
        </w:rPr>
        <w:t>” et UPOV/INF/12/6 </w:t>
      </w:r>
      <w:proofErr w:type="spellStart"/>
      <w:r w:rsidR="00972BDF" w:rsidRPr="00B4646C">
        <w:rPr>
          <w:lang w:val="fr-FR"/>
        </w:rPr>
        <w:t>Draft</w:t>
      </w:r>
      <w:proofErr w:type="spellEnd"/>
      <w:r w:rsidR="00972BDF" w:rsidRPr="00B4646C">
        <w:rPr>
          <w:lang w:val="fr-FR"/>
        </w:rPr>
        <w:t> 1 “</w:t>
      </w:r>
      <w:r w:rsidR="00972BDF" w:rsidRPr="00AF25F1">
        <w:rPr>
          <w:i/>
          <w:lang w:val="fr-FR"/>
        </w:rPr>
        <w:t xml:space="preserve">Notes explicatives concernant les dénominations variétales en vertu de la </w:t>
      </w:r>
      <w:r w:rsidR="000A1A31" w:rsidRPr="00AF25F1">
        <w:rPr>
          <w:i/>
          <w:lang w:val="fr-FR"/>
        </w:rPr>
        <w:t>Convention UPOV</w:t>
      </w:r>
      <w:r w:rsidR="00972BDF" w:rsidRPr="00B4646C">
        <w:rPr>
          <w:lang w:val="fr-FR"/>
        </w:rPr>
        <w:t>”</w:t>
      </w:r>
      <w:r w:rsidRPr="00B4646C">
        <w:rPr>
          <w:rFonts w:cs="Arial"/>
          <w:snapToGrid w:val="0"/>
          <w:lang w:val="fr-FR" w:eastAsia="ja-JP"/>
        </w:rPr>
        <w:t xml:space="preserve"> (</w:t>
      </w:r>
      <w:r w:rsidR="00972BDF" w:rsidRPr="00B4646C">
        <w:rPr>
          <w:rFonts w:cs="Arial"/>
          <w:snapToGrid w:val="0"/>
          <w:lang w:val="fr-FR" w:eastAsia="ja-JP"/>
        </w:rPr>
        <w:t xml:space="preserve">voir le </w:t>
      </w:r>
      <w:r w:rsidR="000A1A31" w:rsidRPr="00B4646C">
        <w:rPr>
          <w:rFonts w:cs="Arial"/>
          <w:snapToGrid w:val="0"/>
          <w:lang w:val="fr-FR" w:eastAsia="ja-JP"/>
        </w:rPr>
        <w:t>paragraphe 4</w:t>
      </w:r>
      <w:r w:rsidR="00972BDF" w:rsidRPr="00B4646C">
        <w:rPr>
          <w:rFonts w:cs="Arial"/>
          <w:snapToGrid w:val="0"/>
          <w:lang w:val="fr-FR" w:eastAsia="ja-JP"/>
        </w:rPr>
        <w:t xml:space="preserve"> du</w:t>
      </w:r>
      <w:r w:rsidRPr="00B4646C">
        <w:rPr>
          <w:rFonts w:cs="Arial"/>
          <w:snapToGrid w:val="0"/>
          <w:lang w:val="fr-FR" w:eastAsia="ja-JP"/>
        </w:rPr>
        <w:t xml:space="preserve"> document WG</w:t>
      </w:r>
      <w:r w:rsidR="007D55A8">
        <w:rPr>
          <w:rFonts w:cs="Arial"/>
          <w:snapToGrid w:val="0"/>
          <w:lang w:val="fr-FR" w:eastAsia="ja-JP"/>
        </w:rPr>
        <w:noBreakHyphen/>
      </w:r>
      <w:r w:rsidRPr="00B4646C">
        <w:rPr>
          <w:rFonts w:cs="Arial"/>
          <w:snapToGrid w:val="0"/>
          <w:lang w:val="fr-FR" w:eastAsia="ja-JP"/>
        </w:rPr>
        <w:t>DEN/1/6 “</w:t>
      </w:r>
      <w:r w:rsidRPr="00AF25F1">
        <w:rPr>
          <w:rFonts w:cs="Arial"/>
          <w:i/>
          <w:snapToGrid w:val="0"/>
          <w:lang w:val="fr-FR" w:eastAsia="ja-JP"/>
        </w:rPr>
        <w:t>Report</w:t>
      </w:r>
      <w:r w:rsidRPr="00B4646C">
        <w:rPr>
          <w:rFonts w:cs="Arial"/>
          <w:snapToGrid w:val="0"/>
          <w:lang w:val="fr-FR" w:eastAsia="ja-JP"/>
        </w:rPr>
        <w:t>”)</w:t>
      </w:r>
      <w:r w:rsidRPr="00B4646C">
        <w:rPr>
          <w:lang w:val="fr-FR" w:eastAsia="ja-JP"/>
        </w:rPr>
        <w:t>.</w:t>
      </w:r>
    </w:p>
    <w:p w:rsidR="00A77F35" w:rsidRPr="00B4646C" w:rsidRDefault="00A77F35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</w:p>
    <w:p w:rsidR="00A77F35" w:rsidRPr="00B4646C" w:rsidRDefault="00A77F35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B4646C">
        <w:rPr>
          <w:szCs w:val="24"/>
          <w:lang w:val="fr-FR" w:eastAsia="ja-JP"/>
        </w:rPr>
        <w:fldChar w:fldCharType="begin"/>
      </w:r>
      <w:r w:rsidRPr="00B4646C">
        <w:rPr>
          <w:szCs w:val="24"/>
          <w:lang w:val="fr-FR" w:eastAsia="ja-JP"/>
        </w:rPr>
        <w:instrText xml:space="preserve"> AUTONUM  </w:instrText>
      </w:r>
      <w:r w:rsidRPr="00B4646C">
        <w:rPr>
          <w:szCs w:val="24"/>
          <w:lang w:val="fr-FR" w:eastAsia="ja-JP"/>
        </w:rPr>
        <w:fldChar w:fldCharType="end"/>
      </w:r>
      <w:r w:rsidRPr="00B4646C">
        <w:rPr>
          <w:szCs w:val="24"/>
          <w:lang w:val="fr-FR" w:eastAsia="ja-JP"/>
        </w:rPr>
        <w:tab/>
      </w:r>
      <w:r w:rsidR="00972BDF" w:rsidRPr="00B4646C">
        <w:rPr>
          <w:szCs w:val="24"/>
          <w:lang w:val="fr-FR" w:eastAsia="ja-JP"/>
        </w:rPr>
        <w:t>Le</w:t>
      </w:r>
      <w:r w:rsidRPr="00B4646C">
        <w:rPr>
          <w:szCs w:val="24"/>
          <w:lang w:val="fr-FR" w:eastAsia="ja-JP"/>
        </w:rPr>
        <w:t xml:space="preserve"> 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 xml:space="preserve">DEN </w:t>
      </w:r>
      <w:r w:rsidR="00972BDF" w:rsidRPr="00B4646C">
        <w:rPr>
          <w:szCs w:val="24"/>
          <w:lang w:val="fr-FR" w:eastAsia="ja-JP"/>
        </w:rPr>
        <w:t>est convenu de demander au Bureau de l</w:t>
      </w:r>
      <w:r w:rsidR="000A1A31" w:rsidRPr="00B4646C">
        <w:rPr>
          <w:szCs w:val="24"/>
          <w:lang w:val="fr-FR" w:eastAsia="ja-JP"/>
        </w:rPr>
        <w:t>’</w:t>
      </w:r>
      <w:r w:rsidR="00972BDF" w:rsidRPr="00B4646C">
        <w:rPr>
          <w:szCs w:val="24"/>
          <w:lang w:val="fr-FR" w:eastAsia="ja-JP"/>
        </w:rPr>
        <w:t>Union d</w:t>
      </w:r>
      <w:r w:rsidR="000A1A31" w:rsidRPr="00B4646C">
        <w:rPr>
          <w:szCs w:val="24"/>
          <w:lang w:val="fr-FR" w:eastAsia="ja-JP"/>
        </w:rPr>
        <w:t>’</w:t>
      </w:r>
      <w:r w:rsidR="00972BDF" w:rsidRPr="00B4646C">
        <w:rPr>
          <w:szCs w:val="24"/>
          <w:lang w:val="fr-FR" w:eastAsia="ja-JP"/>
        </w:rPr>
        <w:t xml:space="preserve">élaborer une nouvelle version du </w:t>
      </w:r>
      <w:r w:rsidR="000A1A31" w:rsidRPr="00B4646C">
        <w:rPr>
          <w:szCs w:val="24"/>
          <w:lang w:val="fr-FR" w:eastAsia="ja-JP"/>
        </w:rPr>
        <w:t>document UP</w:t>
      </w:r>
      <w:r w:rsidRPr="00B4646C">
        <w:rPr>
          <w:szCs w:val="24"/>
          <w:lang w:val="fr-FR" w:eastAsia="ja-JP"/>
        </w:rPr>
        <w:t>OV</w:t>
      </w:r>
      <w:r w:rsidR="007849B5">
        <w:rPr>
          <w:szCs w:val="24"/>
          <w:lang w:val="fr-FR" w:eastAsia="ja-JP"/>
        </w:rPr>
        <w:t>/INF/12 (document UPOV/INF/12/6 </w:t>
      </w:r>
      <w:proofErr w:type="spellStart"/>
      <w:r w:rsidRPr="00B4646C">
        <w:rPr>
          <w:szCs w:val="24"/>
          <w:lang w:val="fr-FR" w:eastAsia="ja-JP"/>
        </w:rPr>
        <w:t>Draft</w:t>
      </w:r>
      <w:proofErr w:type="spellEnd"/>
      <w:r w:rsidR="007D55A8">
        <w:rPr>
          <w:szCs w:val="24"/>
          <w:lang w:val="fr-FR" w:eastAsia="ja-JP"/>
        </w:rPr>
        <w:t> </w:t>
      </w:r>
      <w:r w:rsidRPr="00B4646C">
        <w:rPr>
          <w:szCs w:val="24"/>
          <w:lang w:val="fr-FR" w:eastAsia="ja-JP"/>
        </w:rPr>
        <w:t xml:space="preserve">2) </w:t>
      </w:r>
      <w:r w:rsidR="00972BDF" w:rsidRPr="00B4646C">
        <w:rPr>
          <w:szCs w:val="24"/>
          <w:lang w:val="fr-FR" w:eastAsia="ja-JP"/>
        </w:rPr>
        <w:t>pour examen lors de sa deuxième réuni</w:t>
      </w:r>
      <w:r w:rsidR="00B4646C" w:rsidRPr="00B4646C">
        <w:rPr>
          <w:szCs w:val="24"/>
          <w:lang w:val="fr-FR" w:eastAsia="ja-JP"/>
        </w:rPr>
        <w:t>on.  Ce</w:t>
      </w:r>
      <w:r w:rsidR="00972BDF" w:rsidRPr="00B4646C">
        <w:rPr>
          <w:szCs w:val="24"/>
          <w:lang w:val="fr-FR" w:eastAsia="ja-JP"/>
        </w:rPr>
        <w:t xml:space="preserve"> document reprendrait les conclusions auxquelles a abouti le WG</w:t>
      </w:r>
      <w:r w:rsidR="007D55A8">
        <w:rPr>
          <w:szCs w:val="24"/>
          <w:lang w:val="fr-FR" w:eastAsia="ja-JP"/>
        </w:rPr>
        <w:noBreakHyphen/>
      </w:r>
      <w:r w:rsidR="00972BDF" w:rsidRPr="00B4646C">
        <w:rPr>
          <w:szCs w:val="24"/>
          <w:lang w:val="fr-FR" w:eastAsia="ja-JP"/>
        </w:rPr>
        <w:t>DEN lors de sa première réunion ainsi que les observations reçues au sujet des questions identifiées par le WG</w:t>
      </w:r>
      <w:r w:rsidR="007D55A8">
        <w:rPr>
          <w:szCs w:val="24"/>
          <w:lang w:val="fr-FR" w:eastAsia="ja-JP"/>
        </w:rPr>
        <w:noBreakHyphen/>
      </w:r>
      <w:r w:rsidR="00972BDF" w:rsidRPr="00B4646C">
        <w:rPr>
          <w:szCs w:val="24"/>
          <w:lang w:val="fr-FR" w:eastAsia="ja-JP"/>
        </w:rPr>
        <w:t>DEN lors de sa première réunion comme pouvant faire l</w:t>
      </w:r>
      <w:r w:rsidR="000A1A31" w:rsidRPr="00B4646C">
        <w:rPr>
          <w:szCs w:val="24"/>
          <w:lang w:val="fr-FR" w:eastAsia="ja-JP"/>
        </w:rPr>
        <w:t>’</w:t>
      </w:r>
      <w:r w:rsidR="00972BDF" w:rsidRPr="00B4646C">
        <w:rPr>
          <w:szCs w:val="24"/>
          <w:lang w:val="fr-FR" w:eastAsia="ja-JP"/>
        </w:rPr>
        <w:t>objet de nouvelles observations</w:t>
      </w:r>
      <w:r w:rsidRPr="00B4646C">
        <w:rPr>
          <w:szCs w:val="24"/>
          <w:lang w:val="fr-FR" w:eastAsia="ja-JP"/>
        </w:rPr>
        <w:t xml:space="preserve"> </w:t>
      </w:r>
      <w:r w:rsidRPr="00B4646C">
        <w:rPr>
          <w:rFonts w:cs="Arial"/>
          <w:snapToGrid w:val="0"/>
          <w:lang w:val="fr-FR" w:eastAsia="ja-JP"/>
        </w:rPr>
        <w:t>(</w:t>
      </w:r>
      <w:r w:rsidR="00972BDF" w:rsidRPr="00B4646C">
        <w:rPr>
          <w:rFonts w:cs="Arial"/>
          <w:snapToGrid w:val="0"/>
          <w:lang w:val="fr-FR" w:eastAsia="ja-JP"/>
        </w:rPr>
        <w:t>voir le paragraphe 49 du</w:t>
      </w:r>
      <w:r w:rsidRPr="00B4646C">
        <w:rPr>
          <w:rFonts w:cs="Arial"/>
          <w:snapToGrid w:val="0"/>
          <w:lang w:val="fr-FR" w:eastAsia="ja-JP"/>
        </w:rPr>
        <w:t xml:space="preserve"> document WG</w:t>
      </w:r>
      <w:r w:rsidR="007D55A8">
        <w:rPr>
          <w:rFonts w:cs="Arial"/>
          <w:snapToGrid w:val="0"/>
          <w:lang w:val="fr-FR" w:eastAsia="ja-JP"/>
        </w:rPr>
        <w:noBreakHyphen/>
      </w:r>
      <w:r w:rsidRPr="00B4646C">
        <w:rPr>
          <w:rFonts w:cs="Arial"/>
          <w:snapToGrid w:val="0"/>
          <w:lang w:val="fr-FR" w:eastAsia="ja-JP"/>
        </w:rPr>
        <w:t>DEN/1/6)</w:t>
      </w:r>
      <w:r w:rsidRPr="00B4646C">
        <w:rPr>
          <w:lang w:val="fr-FR" w:eastAsia="ja-JP"/>
        </w:rPr>
        <w:t>.</w:t>
      </w:r>
    </w:p>
    <w:p w:rsidR="00A77F35" w:rsidRPr="00B4646C" w:rsidRDefault="00A77F35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</w:p>
    <w:p w:rsidR="00A77F35" w:rsidRPr="00B4646C" w:rsidRDefault="00A77F35" w:rsidP="002777DA">
      <w:pPr>
        <w:rPr>
          <w:szCs w:val="24"/>
          <w:lang w:val="fr-FR" w:eastAsia="ja-JP"/>
        </w:rPr>
      </w:pPr>
      <w:r w:rsidRPr="00B4646C">
        <w:rPr>
          <w:szCs w:val="24"/>
          <w:lang w:val="fr-FR" w:eastAsia="ja-JP"/>
        </w:rPr>
        <w:fldChar w:fldCharType="begin"/>
      </w:r>
      <w:r w:rsidRPr="00B4646C">
        <w:rPr>
          <w:szCs w:val="24"/>
          <w:lang w:val="fr-FR" w:eastAsia="ja-JP"/>
        </w:rPr>
        <w:instrText xml:space="preserve"> AUTONUM  </w:instrText>
      </w:r>
      <w:r w:rsidRPr="00B4646C">
        <w:rPr>
          <w:szCs w:val="24"/>
          <w:lang w:val="fr-FR" w:eastAsia="ja-JP"/>
        </w:rPr>
        <w:fldChar w:fldCharType="end"/>
      </w:r>
      <w:r w:rsidRPr="00B4646C">
        <w:rPr>
          <w:szCs w:val="24"/>
          <w:lang w:val="fr-FR" w:eastAsia="ja-JP"/>
        </w:rPr>
        <w:tab/>
      </w:r>
      <w:r w:rsidR="002072BA" w:rsidRPr="00B4646C">
        <w:rPr>
          <w:szCs w:val="24"/>
          <w:lang w:val="fr-FR" w:eastAsia="ja-JP"/>
        </w:rPr>
        <w:t>Le 1</w:t>
      </w:r>
      <w:r w:rsidR="000A1A31" w:rsidRPr="00B4646C">
        <w:rPr>
          <w:szCs w:val="24"/>
          <w:lang w:val="fr-FR" w:eastAsia="ja-JP"/>
        </w:rPr>
        <w:t>3 avril 20</w:t>
      </w:r>
      <w:r w:rsidR="00E85A98" w:rsidRPr="00B4646C">
        <w:rPr>
          <w:szCs w:val="24"/>
          <w:lang w:val="fr-FR" w:eastAsia="ja-JP"/>
        </w:rPr>
        <w:t xml:space="preserve">16, </w:t>
      </w:r>
      <w:r w:rsidR="002072BA" w:rsidRPr="00B4646C">
        <w:rPr>
          <w:szCs w:val="24"/>
          <w:lang w:val="fr-FR" w:eastAsia="ja-JP"/>
        </w:rPr>
        <w:t>le Bureau de l</w:t>
      </w:r>
      <w:r w:rsidR="000A1A31" w:rsidRPr="00B4646C">
        <w:rPr>
          <w:szCs w:val="24"/>
          <w:lang w:val="fr-FR" w:eastAsia="ja-JP"/>
        </w:rPr>
        <w:t>’</w:t>
      </w:r>
      <w:r w:rsidR="002072BA" w:rsidRPr="00B4646C">
        <w:rPr>
          <w:szCs w:val="24"/>
          <w:lang w:val="fr-FR" w:eastAsia="ja-JP"/>
        </w:rPr>
        <w:t>Union a diffusé la circulaire E</w:t>
      </w:r>
      <w:r w:rsidR="007D55A8">
        <w:rPr>
          <w:szCs w:val="24"/>
          <w:lang w:val="fr-FR" w:eastAsia="ja-JP"/>
        </w:rPr>
        <w:noBreakHyphen/>
      </w:r>
      <w:r w:rsidR="002072BA" w:rsidRPr="00B4646C">
        <w:rPr>
          <w:szCs w:val="24"/>
          <w:lang w:val="fr-FR" w:eastAsia="ja-JP"/>
        </w:rPr>
        <w:t>16/088 invitant les experts à fournir des informations supplémentaires sur les sujets suivants, comme indiqué dans le document UPOV/WG</w:t>
      </w:r>
      <w:r w:rsidR="007D55A8">
        <w:rPr>
          <w:szCs w:val="24"/>
          <w:lang w:val="fr-FR" w:eastAsia="ja-JP"/>
        </w:rPr>
        <w:noBreakHyphen/>
      </w:r>
      <w:r w:rsidR="002072BA" w:rsidRPr="00B4646C">
        <w:rPr>
          <w:szCs w:val="24"/>
          <w:lang w:val="fr-FR" w:eastAsia="ja-JP"/>
        </w:rPr>
        <w:t>DEN/1/6</w:t>
      </w:r>
      <w:r w:rsidRPr="00B4646C">
        <w:rPr>
          <w:rFonts w:cs="Arial"/>
          <w:snapToGrid w:val="0"/>
          <w:lang w:val="fr-FR" w:eastAsia="ja-JP"/>
        </w:rPr>
        <w:t xml:space="preserve"> (</w:t>
      </w:r>
      <w:r w:rsidR="002072BA" w:rsidRPr="00B4646C">
        <w:rPr>
          <w:rFonts w:cs="Arial"/>
          <w:snapToGrid w:val="0"/>
          <w:lang w:val="fr-FR" w:eastAsia="ja-JP"/>
        </w:rPr>
        <w:t xml:space="preserve">voir le </w:t>
      </w:r>
      <w:r w:rsidR="000A1A31" w:rsidRPr="00B4646C">
        <w:rPr>
          <w:rFonts w:cs="Arial"/>
          <w:snapToGrid w:val="0"/>
          <w:lang w:val="fr-FR" w:eastAsia="ja-JP"/>
        </w:rPr>
        <w:t>paragraphe 1</w:t>
      </w:r>
      <w:r w:rsidR="002072BA" w:rsidRPr="00B4646C">
        <w:rPr>
          <w:rFonts w:cs="Arial"/>
          <w:snapToGrid w:val="0"/>
          <w:lang w:val="fr-FR" w:eastAsia="ja-JP"/>
        </w:rPr>
        <w:t xml:space="preserve">3 du </w:t>
      </w:r>
      <w:r w:rsidR="000A1A31" w:rsidRPr="00B4646C">
        <w:rPr>
          <w:rFonts w:cs="Arial"/>
          <w:snapToGrid w:val="0"/>
          <w:lang w:val="fr-FR" w:eastAsia="ja-JP"/>
        </w:rPr>
        <w:t>document CA</w:t>
      </w:r>
      <w:r w:rsidRPr="00B4646C">
        <w:rPr>
          <w:rFonts w:cs="Arial"/>
          <w:snapToGrid w:val="0"/>
          <w:lang w:val="fr-FR" w:eastAsia="ja-JP"/>
        </w:rPr>
        <w:t>J/73/3</w:t>
      </w:r>
      <w:r w:rsidR="00E85A98" w:rsidRPr="00B4646C">
        <w:rPr>
          <w:rFonts w:cs="Arial"/>
          <w:snapToGrid w:val="0"/>
          <w:lang w:val="fr-FR" w:eastAsia="ja-JP"/>
        </w:rPr>
        <w:t xml:space="preserve"> “</w:t>
      </w:r>
      <w:r w:rsidR="002072BA" w:rsidRPr="00B4646C">
        <w:rPr>
          <w:rFonts w:cs="Arial"/>
          <w:snapToGrid w:val="0"/>
          <w:lang w:val="fr-FR" w:eastAsia="ja-JP"/>
        </w:rPr>
        <w:t>Dénominations variétales</w:t>
      </w:r>
      <w:r w:rsidR="00E85A98" w:rsidRPr="00B4646C">
        <w:rPr>
          <w:rFonts w:cs="Arial"/>
          <w:snapToGrid w:val="0"/>
          <w:lang w:val="fr-FR" w:eastAsia="ja-JP"/>
        </w:rPr>
        <w:t>”</w:t>
      </w:r>
      <w:r w:rsidRPr="00B4646C">
        <w:rPr>
          <w:rFonts w:cs="Arial"/>
          <w:snapToGrid w:val="0"/>
          <w:lang w:val="fr-FR" w:eastAsia="ja-JP"/>
        </w:rPr>
        <w:t>)</w:t>
      </w:r>
      <w:r w:rsidR="000A1A31" w:rsidRPr="00B4646C">
        <w:rPr>
          <w:rFonts w:cs="Arial"/>
          <w:snapToGrid w:val="0"/>
          <w:lang w:val="fr-FR" w:eastAsia="ja-JP"/>
        </w:rPr>
        <w:t> :</w:t>
      </w:r>
    </w:p>
    <w:p w:rsidR="00A77F35" w:rsidRPr="00B4646C" w:rsidRDefault="00A77F35" w:rsidP="002777DA">
      <w:pPr>
        <w:rPr>
          <w:lang w:val="fr-FR" w:eastAsia="ja-JP"/>
        </w:rPr>
      </w:pPr>
    </w:p>
    <w:p w:rsidR="00A77F35" w:rsidRPr="00B4646C" w:rsidRDefault="007D55A8" w:rsidP="002777DA">
      <w:pPr>
        <w:ind w:left="851" w:right="567" w:hanging="284"/>
        <w:rPr>
          <w:sz w:val="18"/>
          <w:lang w:val="fr-FR" w:eastAsia="ja-JP"/>
        </w:rPr>
      </w:pPr>
      <w:r>
        <w:rPr>
          <w:sz w:val="18"/>
          <w:lang w:val="fr-FR" w:eastAsia="ja-JP"/>
        </w:rPr>
        <w:noBreakHyphen/>
      </w:r>
      <w:r w:rsidR="00A77F35" w:rsidRPr="00B4646C">
        <w:rPr>
          <w:sz w:val="18"/>
          <w:lang w:val="fr-FR" w:eastAsia="ja-JP"/>
        </w:rPr>
        <w:tab/>
      </w:r>
      <w:r w:rsidR="00421132" w:rsidRPr="00B4646C">
        <w:rPr>
          <w:sz w:val="18"/>
          <w:lang w:val="fr-FR" w:eastAsia="ja-JP"/>
        </w:rPr>
        <w:t>fournir des exemples de cas acceptables de dénominations variétales composées uniquement de termes descriptifs</w:t>
      </w:r>
      <w:r w:rsidR="00A77F35" w:rsidRPr="00B4646C">
        <w:rPr>
          <w:sz w:val="18"/>
          <w:lang w:val="fr-FR" w:eastAsia="ja-JP"/>
        </w:rPr>
        <w:t>;</w:t>
      </w:r>
    </w:p>
    <w:p w:rsidR="00A77F35" w:rsidRPr="00B4646C" w:rsidRDefault="00A77F35" w:rsidP="002777DA">
      <w:pPr>
        <w:ind w:left="851" w:right="567" w:hanging="284"/>
        <w:rPr>
          <w:sz w:val="18"/>
          <w:lang w:val="fr-FR" w:eastAsia="ja-JP"/>
        </w:rPr>
      </w:pPr>
    </w:p>
    <w:p w:rsidR="00A77F35" w:rsidRPr="00B4646C" w:rsidRDefault="007D55A8" w:rsidP="002777DA">
      <w:pPr>
        <w:ind w:left="851" w:right="567" w:hanging="284"/>
        <w:rPr>
          <w:sz w:val="18"/>
          <w:lang w:val="fr-FR" w:eastAsia="ja-JP"/>
        </w:rPr>
      </w:pPr>
      <w:r>
        <w:rPr>
          <w:sz w:val="18"/>
          <w:lang w:val="fr-FR" w:eastAsia="ja-JP"/>
        </w:rPr>
        <w:noBreakHyphen/>
      </w:r>
      <w:r w:rsidR="00A77F35" w:rsidRPr="00B4646C">
        <w:rPr>
          <w:sz w:val="18"/>
          <w:lang w:val="fr-FR" w:eastAsia="ja-JP"/>
        </w:rPr>
        <w:tab/>
      </w:r>
      <w:proofErr w:type="gramStart"/>
      <w:r w:rsidR="00421132" w:rsidRPr="00B4646C">
        <w:rPr>
          <w:sz w:val="18"/>
          <w:lang w:val="fr-FR" w:eastAsia="ja-JP"/>
        </w:rPr>
        <w:t>proposer</w:t>
      </w:r>
      <w:proofErr w:type="gramEnd"/>
      <w:r w:rsidR="00421132" w:rsidRPr="00B4646C">
        <w:rPr>
          <w:sz w:val="18"/>
          <w:lang w:val="fr-FR" w:eastAsia="ja-JP"/>
        </w:rPr>
        <w:t xml:space="preserve"> des exemples d</w:t>
      </w:r>
      <w:r w:rsidR="000A1A31" w:rsidRPr="00B4646C">
        <w:rPr>
          <w:sz w:val="18"/>
          <w:lang w:val="fr-FR" w:eastAsia="ja-JP"/>
        </w:rPr>
        <w:t>’</w:t>
      </w:r>
      <w:r w:rsidR="00421132" w:rsidRPr="00B4646C">
        <w:rPr>
          <w:sz w:val="18"/>
          <w:lang w:val="fr-FR" w:eastAsia="ja-JP"/>
        </w:rPr>
        <w:t>utilisation acceptable et non acceptable des superlatifs et comparatifs</w:t>
      </w:r>
      <w:r w:rsidR="00A77F35" w:rsidRPr="00B4646C">
        <w:rPr>
          <w:sz w:val="18"/>
          <w:lang w:val="fr-FR" w:eastAsia="ja-JP"/>
        </w:rPr>
        <w:t>;</w:t>
      </w:r>
    </w:p>
    <w:p w:rsidR="00A77F35" w:rsidRPr="00B4646C" w:rsidRDefault="00A77F35" w:rsidP="002777DA">
      <w:pPr>
        <w:ind w:left="851" w:right="567" w:hanging="284"/>
        <w:rPr>
          <w:sz w:val="18"/>
          <w:lang w:val="fr-FR" w:eastAsia="ja-JP"/>
        </w:rPr>
      </w:pPr>
    </w:p>
    <w:p w:rsidR="00A77F35" w:rsidRPr="00B4646C" w:rsidRDefault="007D55A8" w:rsidP="002777DA">
      <w:pPr>
        <w:ind w:left="851" w:right="567" w:hanging="284"/>
        <w:rPr>
          <w:sz w:val="18"/>
          <w:lang w:val="fr-FR" w:eastAsia="ja-JP"/>
        </w:rPr>
      </w:pPr>
      <w:r>
        <w:rPr>
          <w:sz w:val="18"/>
          <w:lang w:val="fr-FR" w:eastAsia="ja-JP"/>
        </w:rPr>
        <w:noBreakHyphen/>
      </w:r>
      <w:r w:rsidR="00A77F35" w:rsidRPr="00B4646C">
        <w:rPr>
          <w:sz w:val="18"/>
          <w:lang w:val="fr-FR" w:eastAsia="ja-JP"/>
        </w:rPr>
        <w:tab/>
      </w:r>
      <w:proofErr w:type="gramStart"/>
      <w:r w:rsidR="00421132" w:rsidRPr="00B4646C">
        <w:rPr>
          <w:sz w:val="18"/>
          <w:lang w:val="fr-FR" w:eastAsia="ja-JP"/>
        </w:rPr>
        <w:t>donner</w:t>
      </w:r>
      <w:proofErr w:type="gramEnd"/>
      <w:r w:rsidR="00421132" w:rsidRPr="00B4646C">
        <w:rPr>
          <w:sz w:val="18"/>
          <w:lang w:val="fr-FR" w:eastAsia="ja-JP"/>
        </w:rPr>
        <w:t xml:space="preserve"> des exemples et des informations sur l</w:t>
      </w:r>
      <w:r w:rsidR="000A1A31" w:rsidRPr="00B4646C">
        <w:rPr>
          <w:sz w:val="18"/>
          <w:lang w:val="fr-FR" w:eastAsia="ja-JP"/>
        </w:rPr>
        <w:t>’</w:t>
      </w:r>
      <w:r w:rsidR="00421132" w:rsidRPr="00B4646C">
        <w:rPr>
          <w:sz w:val="18"/>
          <w:lang w:val="fr-FR" w:eastAsia="ja-JP"/>
        </w:rPr>
        <w:t>utilisation de préfixes pour identifier l</w:t>
      </w:r>
      <w:r w:rsidR="000A1A31" w:rsidRPr="00B4646C">
        <w:rPr>
          <w:sz w:val="18"/>
          <w:lang w:val="fr-FR" w:eastAsia="ja-JP"/>
        </w:rPr>
        <w:t>’</w:t>
      </w:r>
      <w:r w:rsidR="00421132" w:rsidRPr="00B4646C">
        <w:rPr>
          <w:sz w:val="18"/>
          <w:lang w:val="fr-FR" w:eastAsia="ja-JP"/>
        </w:rPr>
        <w:t>obtenteur et sur les questions auxquelles cela pourrait donner lieu</w:t>
      </w:r>
      <w:r w:rsidR="00A77F35" w:rsidRPr="00B4646C">
        <w:rPr>
          <w:sz w:val="18"/>
          <w:lang w:val="fr-FR" w:eastAsia="ja-JP"/>
        </w:rPr>
        <w:t>;</w:t>
      </w:r>
    </w:p>
    <w:p w:rsidR="00A77F35" w:rsidRPr="00B4646C" w:rsidRDefault="00A77F35" w:rsidP="002777DA">
      <w:pPr>
        <w:ind w:left="851" w:right="567" w:hanging="284"/>
        <w:rPr>
          <w:sz w:val="18"/>
          <w:lang w:val="fr-FR" w:eastAsia="ja-JP"/>
        </w:rPr>
      </w:pPr>
    </w:p>
    <w:p w:rsidR="00A77F35" w:rsidRPr="00B4646C" w:rsidRDefault="007D55A8" w:rsidP="002777DA">
      <w:pPr>
        <w:ind w:left="851" w:right="567" w:hanging="284"/>
        <w:rPr>
          <w:sz w:val="18"/>
          <w:lang w:val="fr-FR" w:eastAsia="ja-JP"/>
        </w:rPr>
      </w:pPr>
      <w:r>
        <w:rPr>
          <w:sz w:val="18"/>
          <w:lang w:val="fr-FR" w:eastAsia="ja-JP"/>
        </w:rPr>
        <w:noBreakHyphen/>
      </w:r>
      <w:r w:rsidR="00A77F35" w:rsidRPr="00B4646C">
        <w:rPr>
          <w:sz w:val="18"/>
          <w:lang w:val="fr-FR" w:eastAsia="ja-JP"/>
        </w:rPr>
        <w:tab/>
      </w:r>
      <w:proofErr w:type="gramStart"/>
      <w:r w:rsidR="00421132" w:rsidRPr="00B4646C">
        <w:rPr>
          <w:sz w:val="18"/>
          <w:lang w:val="fr-FR" w:eastAsia="ja-JP"/>
        </w:rPr>
        <w:t>formuler</w:t>
      </w:r>
      <w:proofErr w:type="gramEnd"/>
      <w:r w:rsidR="00421132" w:rsidRPr="00B4646C">
        <w:rPr>
          <w:sz w:val="18"/>
          <w:lang w:val="fr-FR" w:eastAsia="ja-JP"/>
        </w:rPr>
        <w:t xml:space="preserve"> des propositions concernant une éventuelle révision des classes de dénominations variétales</w:t>
      </w:r>
      <w:r w:rsidR="00A77F35" w:rsidRPr="00B4646C">
        <w:rPr>
          <w:sz w:val="18"/>
          <w:lang w:val="fr-FR" w:eastAsia="ja-JP"/>
        </w:rPr>
        <w:t>;</w:t>
      </w:r>
    </w:p>
    <w:p w:rsidR="00A77F35" w:rsidRPr="00B4646C" w:rsidRDefault="00A77F35" w:rsidP="002777DA">
      <w:pPr>
        <w:ind w:left="851" w:right="567" w:hanging="284"/>
        <w:rPr>
          <w:sz w:val="18"/>
          <w:lang w:val="fr-FR" w:eastAsia="ja-JP"/>
        </w:rPr>
      </w:pPr>
    </w:p>
    <w:p w:rsidR="00A77F35" w:rsidRPr="00B4646C" w:rsidRDefault="007D55A8" w:rsidP="002777DA">
      <w:pPr>
        <w:ind w:left="851" w:right="567" w:hanging="284"/>
        <w:rPr>
          <w:sz w:val="18"/>
          <w:lang w:val="fr-FR" w:eastAsia="ja-JP"/>
        </w:rPr>
      </w:pPr>
      <w:r>
        <w:rPr>
          <w:sz w:val="18"/>
          <w:lang w:val="fr-FR" w:eastAsia="ja-JP"/>
        </w:rPr>
        <w:noBreakHyphen/>
      </w:r>
      <w:r w:rsidR="00A77F35" w:rsidRPr="00B4646C">
        <w:rPr>
          <w:sz w:val="18"/>
          <w:lang w:val="fr-FR" w:eastAsia="ja-JP"/>
        </w:rPr>
        <w:tab/>
      </w:r>
      <w:r w:rsidR="00E06E86" w:rsidRPr="00B4646C">
        <w:rPr>
          <w:sz w:val="18"/>
          <w:lang w:val="fr-FR" w:eastAsia="ja-JP"/>
        </w:rPr>
        <w:t>présenter des observations/propositions concernant la section 4.a), en lien avec leurs pratiques en matière de recherche et leurs mesures relatives aux droits antérieurs</w:t>
      </w:r>
      <w:r w:rsidR="00A77F35" w:rsidRPr="00B4646C">
        <w:rPr>
          <w:sz w:val="18"/>
          <w:lang w:val="fr-FR" w:eastAsia="ja-JP"/>
        </w:rPr>
        <w:t xml:space="preserve">; </w:t>
      </w:r>
      <w:r w:rsidR="00421132" w:rsidRPr="00B4646C">
        <w:rPr>
          <w:sz w:val="18"/>
          <w:lang w:val="fr-FR" w:eastAsia="ja-JP"/>
        </w:rPr>
        <w:t xml:space="preserve"> et</w:t>
      </w:r>
    </w:p>
    <w:p w:rsidR="00A77F35" w:rsidRPr="00B4646C" w:rsidRDefault="00A77F35" w:rsidP="002777DA">
      <w:pPr>
        <w:ind w:left="851" w:right="567" w:hanging="284"/>
        <w:rPr>
          <w:sz w:val="18"/>
          <w:lang w:val="fr-FR" w:eastAsia="ja-JP"/>
        </w:rPr>
      </w:pPr>
    </w:p>
    <w:p w:rsidR="00A77F35" w:rsidRPr="00B4646C" w:rsidRDefault="007D55A8" w:rsidP="002777DA">
      <w:pPr>
        <w:ind w:left="851" w:right="567" w:hanging="284"/>
        <w:rPr>
          <w:sz w:val="18"/>
          <w:lang w:val="fr-FR" w:eastAsia="ja-JP"/>
        </w:rPr>
      </w:pPr>
      <w:r>
        <w:rPr>
          <w:sz w:val="18"/>
          <w:lang w:val="fr-FR" w:eastAsia="ja-JP"/>
        </w:rPr>
        <w:noBreakHyphen/>
      </w:r>
      <w:r w:rsidR="00A77F35" w:rsidRPr="00B4646C">
        <w:rPr>
          <w:sz w:val="18"/>
          <w:lang w:val="fr-FR" w:eastAsia="ja-JP"/>
        </w:rPr>
        <w:tab/>
      </w:r>
      <w:r w:rsidR="00421132" w:rsidRPr="00B4646C">
        <w:rPr>
          <w:sz w:val="18"/>
          <w:lang w:val="fr-FR" w:eastAsia="ja-JP"/>
        </w:rPr>
        <w:t>fournir des informations au sujet des cas dans lesquels la dénomination acceptée dans la première demande n</w:t>
      </w:r>
      <w:r w:rsidR="000A1A31" w:rsidRPr="00B4646C">
        <w:rPr>
          <w:sz w:val="18"/>
          <w:lang w:val="fr-FR" w:eastAsia="ja-JP"/>
        </w:rPr>
        <w:t>’</w:t>
      </w:r>
      <w:r w:rsidR="00421132" w:rsidRPr="00B4646C">
        <w:rPr>
          <w:sz w:val="18"/>
          <w:lang w:val="fr-FR" w:eastAsia="ja-JP"/>
        </w:rPr>
        <w:t>était pas la dénomination utilisée par d</w:t>
      </w:r>
      <w:r w:rsidR="000A1A31" w:rsidRPr="00B4646C">
        <w:rPr>
          <w:sz w:val="18"/>
          <w:lang w:val="fr-FR" w:eastAsia="ja-JP"/>
        </w:rPr>
        <w:t>’</w:t>
      </w:r>
      <w:r w:rsidR="00421132" w:rsidRPr="00B4646C">
        <w:rPr>
          <w:sz w:val="18"/>
          <w:lang w:val="fr-FR" w:eastAsia="ja-JP"/>
        </w:rPr>
        <w:t>autres autorités quand une dénomination différente avait été acceptée par une deuxième autorité</w:t>
      </w:r>
      <w:r w:rsidR="00A77F35" w:rsidRPr="00B4646C">
        <w:rPr>
          <w:sz w:val="18"/>
          <w:lang w:val="fr-FR" w:eastAsia="ja-JP"/>
        </w:rPr>
        <w:t>.</w:t>
      </w:r>
    </w:p>
    <w:p w:rsidR="00A77F35" w:rsidRPr="00B4646C" w:rsidRDefault="00A77F35" w:rsidP="002777DA">
      <w:pPr>
        <w:ind w:left="851" w:hanging="284"/>
        <w:rPr>
          <w:lang w:val="fr-FR" w:eastAsia="ja-JP"/>
        </w:rPr>
      </w:pPr>
    </w:p>
    <w:p w:rsidR="00A77F35" w:rsidRPr="00B4646C" w:rsidRDefault="00A77F35" w:rsidP="002777DA">
      <w:pPr>
        <w:rPr>
          <w:snapToGrid w:val="0"/>
          <w:lang w:val="fr-FR" w:eastAsia="ja-JP"/>
        </w:rPr>
      </w:pPr>
      <w:r w:rsidRPr="00B4646C">
        <w:rPr>
          <w:snapToGrid w:val="0"/>
          <w:lang w:val="fr-FR"/>
        </w:rPr>
        <w:lastRenderedPageBreak/>
        <w:fldChar w:fldCharType="begin"/>
      </w:r>
      <w:r w:rsidRPr="00B4646C">
        <w:rPr>
          <w:snapToGrid w:val="0"/>
          <w:lang w:val="fr-FR"/>
        </w:rPr>
        <w:instrText xml:space="preserve"> AUTONUM  </w:instrText>
      </w:r>
      <w:r w:rsidRPr="00B4646C">
        <w:rPr>
          <w:snapToGrid w:val="0"/>
          <w:lang w:val="fr-FR"/>
        </w:rPr>
        <w:fldChar w:fldCharType="end"/>
      </w:r>
      <w:r w:rsidRPr="00B4646C">
        <w:rPr>
          <w:lang w:val="fr-FR"/>
        </w:rPr>
        <w:tab/>
      </w:r>
      <w:r w:rsidR="00D81F0A" w:rsidRPr="00B4646C">
        <w:rPr>
          <w:lang w:val="fr-FR"/>
        </w:rPr>
        <w:t>À sa soixante</w:t>
      </w:r>
      <w:r w:rsidR="007D55A8">
        <w:rPr>
          <w:lang w:val="fr-FR"/>
        </w:rPr>
        <w:noBreakHyphen/>
      </w:r>
      <w:r w:rsidR="00D81F0A" w:rsidRPr="00B4646C">
        <w:rPr>
          <w:lang w:val="fr-FR"/>
        </w:rPr>
        <w:t>treiz</w:t>
      </w:r>
      <w:r w:rsidR="000A1A31" w:rsidRPr="00B4646C">
        <w:rPr>
          <w:lang w:val="fr-FR"/>
        </w:rPr>
        <w:t>ième session</w:t>
      </w:r>
      <w:r w:rsidR="00D81F0A" w:rsidRPr="00B4646C">
        <w:rPr>
          <w:lang w:val="fr-FR"/>
        </w:rPr>
        <w:t xml:space="preserve"> tenue à Genève le 2</w:t>
      </w:r>
      <w:r w:rsidR="000A1A31" w:rsidRPr="00B4646C">
        <w:rPr>
          <w:lang w:val="fr-FR"/>
        </w:rPr>
        <w:t>5 octobre 20</w:t>
      </w:r>
      <w:r w:rsidR="00D81F0A" w:rsidRPr="00B4646C">
        <w:rPr>
          <w:lang w:val="fr-FR"/>
        </w:rPr>
        <w:t>16,</w:t>
      </w:r>
      <w:r w:rsidR="000A1A31" w:rsidRPr="00B4646C">
        <w:rPr>
          <w:lang w:val="fr-FR"/>
        </w:rPr>
        <w:t xml:space="preserve"> le CAJ</w:t>
      </w:r>
      <w:r w:rsidR="00D81F0A" w:rsidRPr="00B4646C">
        <w:rPr>
          <w:lang w:val="fr-FR"/>
        </w:rPr>
        <w:t xml:space="preserve"> a pris note des travaux du Groupe de travail sur les dénominations variétales (WG</w:t>
      </w:r>
      <w:r w:rsidR="007D55A8">
        <w:rPr>
          <w:lang w:val="fr-FR"/>
        </w:rPr>
        <w:noBreakHyphen/>
      </w:r>
      <w:r w:rsidR="00D81F0A" w:rsidRPr="00B4646C">
        <w:rPr>
          <w:lang w:val="fr-FR"/>
        </w:rPr>
        <w:t xml:space="preserve">DEN) concernant la révision du document UPOV/INF/12 “Notes explicatives concernant les dénominations variétales en vertu de la </w:t>
      </w:r>
      <w:r w:rsidR="000A1A31" w:rsidRPr="00B4646C">
        <w:rPr>
          <w:lang w:val="fr-FR"/>
        </w:rPr>
        <w:t>Convention UPOV</w:t>
      </w:r>
      <w:r w:rsidR="00D81F0A" w:rsidRPr="00B4646C">
        <w:rPr>
          <w:lang w:val="fr-FR"/>
        </w:rPr>
        <w:t>”</w:t>
      </w:r>
      <w:r w:rsidRPr="00B4646C">
        <w:rPr>
          <w:snapToGrid w:val="0"/>
          <w:lang w:val="fr-FR" w:eastAsia="ja-JP"/>
        </w:rPr>
        <w:t xml:space="preserve"> (</w:t>
      </w:r>
      <w:r w:rsidR="00D81F0A" w:rsidRPr="00B4646C">
        <w:rPr>
          <w:snapToGrid w:val="0"/>
          <w:lang w:val="fr-FR" w:eastAsia="ja-JP"/>
        </w:rPr>
        <w:t xml:space="preserve">voir le </w:t>
      </w:r>
      <w:r w:rsidR="000A1A31" w:rsidRPr="00B4646C">
        <w:rPr>
          <w:snapToGrid w:val="0"/>
          <w:lang w:val="fr-FR" w:eastAsia="ja-JP"/>
        </w:rPr>
        <w:t>paragraphe 2</w:t>
      </w:r>
      <w:r w:rsidR="00D81F0A" w:rsidRPr="00B4646C">
        <w:rPr>
          <w:snapToGrid w:val="0"/>
          <w:lang w:val="fr-FR" w:eastAsia="ja-JP"/>
        </w:rPr>
        <w:t>5 du</w:t>
      </w:r>
      <w:r w:rsidRPr="00B4646C">
        <w:rPr>
          <w:snapToGrid w:val="0"/>
          <w:lang w:val="fr-FR" w:eastAsia="ja-JP"/>
        </w:rPr>
        <w:t xml:space="preserve"> document CAJ/73/10</w:t>
      </w:r>
      <w:r w:rsidR="00E85A98" w:rsidRPr="00B4646C">
        <w:rPr>
          <w:snapToGrid w:val="0"/>
          <w:lang w:val="fr-FR" w:eastAsia="ja-JP"/>
        </w:rPr>
        <w:t xml:space="preserve"> “</w:t>
      </w:r>
      <w:r w:rsidR="00D81F0A" w:rsidRPr="00B4646C">
        <w:rPr>
          <w:snapToGrid w:val="0"/>
          <w:lang w:val="fr-FR" w:eastAsia="ja-JP"/>
        </w:rPr>
        <w:t>Compte rendu des conclusions</w:t>
      </w:r>
      <w:r w:rsidR="00E85A98" w:rsidRPr="00B4646C">
        <w:rPr>
          <w:snapToGrid w:val="0"/>
          <w:lang w:val="fr-FR" w:eastAsia="ja-JP"/>
        </w:rPr>
        <w:t>”</w:t>
      </w:r>
      <w:r w:rsidRPr="00B4646C">
        <w:rPr>
          <w:snapToGrid w:val="0"/>
          <w:lang w:val="fr-FR" w:eastAsia="ja-JP"/>
        </w:rPr>
        <w:t>).</w:t>
      </w:r>
    </w:p>
    <w:p w:rsidR="005E1B17" w:rsidRPr="00B4646C" w:rsidRDefault="005E1B17" w:rsidP="002777DA">
      <w:pPr>
        <w:rPr>
          <w:spacing w:val="-2"/>
          <w:lang w:val="fr-FR" w:eastAsia="ja-JP"/>
        </w:rPr>
      </w:pPr>
    </w:p>
    <w:p w:rsidR="00A77F35" w:rsidRPr="00B4646C" w:rsidRDefault="00A77F35" w:rsidP="002777DA">
      <w:pPr>
        <w:rPr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D81F0A" w:rsidRPr="00B4646C">
        <w:rPr>
          <w:lang w:val="fr-FR"/>
        </w:rPr>
        <w:t>À sa deuxième réunion tenue à Genève le 2</w:t>
      </w:r>
      <w:r w:rsidR="000A1A31" w:rsidRPr="00B4646C">
        <w:rPr>
          <w:lang w:val="fr-FR"/>
        </w:rPr>
        <w:t>5 octobre 20</w:t>
      </w:r>
      <w:r w:rsidR="00D81F0A" w:rsidRPr="00B4646C">
        <w:rPr>
          <w:lang w:val="fr-FR"/>
        </w:rPr>
        <w:t>16, le WG</w:t>
      </w:r>
      <w:r w:rsidR="007D55A8">
        <w:rPr>
          <w:lang w:val="fr-FR"/>
        </w:rPr>
        <w:noBreakHyphen/>
      </w:r>
      <w:r w:rsidR="00D81F0A" w:rsidRPr="00B4646C">
        <w:rPr>
          <w:lang w:val="fr-FR"/>
        </w:rPr>
        <w:t xml:space="preserve">DEN a </w:t>
      </w:r>
      <w:r w:rsidR="00B71A5F" w:rsidRPr="00B4646C">
        <w:rPr>
          <w:lang w:val="fr-FR"/>
        </w:rPr>
        <w:t>examiné</w:t>
      </w:r>
      <w:r w:rsidR="00D81F0A" w:rsidRPr="00B4646C">
        <w:rPr>
          <w:lang w:val="fr-FR"/>
        </w:rPr>
        <w:t xml:space="preserve"> les documents UPOV/WG</w:t>
      </w:r>
      <w:r w:rsidR="007D55A8">
        <w:rPr>
          <w:lang w:val="fr-FR"/>
        </w:rPr>
        <w:noBreakHyphen/>
      </w:r>
      <w:r w:rsidR="00D81F0A" w:rsidRPr="00B4646C">
        <w:rPr>
          <w:lang w:val="fr-FR"/>
        </w:rPr>
        <w:t>DEN/2/2 “</w:t>
      </w:r>
      <w:proofErr w:type="spellStart"/>
      <w:r w:rsidR="00B71A5F" w:rsidRPr="00AF25F1">
        <w:rPr>
          <w:i/>
          <w:lang w:val="fr-FR"/>
        </w:rPr>
        <w:t>Revision</w:t>
      </w:r>
      <w:proofErr w:type="spellEnd"/>
      <w:r w:rsidR="00B71A5F" w:rsidRPr="00AF25F1">
        <w:rPr>
          <w:i/>
          <w:lang w:val="fr-FR"/>
        </w:rPr>
        <w:t xml:space="preserve"> of Document UPOV/INF/12/5 </w:t>
      </w:r>
      <w:r w:rsidR="000A1A31" w:rsidRPr="00AF25F1">
        <w:rPr>
          <w:i/>
          <w:lang w:val="fr-FR"/>
        </w:rPr>
        <w:t>‘</w:t>
      </w:r>
      <w:proofErr w:type="spellStart"/>
      <w:r w:rsidR="00B71A5F" w:rsidRPr="00AF25F1">
        <w:rPr>
          <w:i/>
          <w:lang w:val="fr-FR"/>
        </w:rPr>
        <w:t>Explanatory</w:t>
      </w:r>
      <w:proofErr w:type="spellEnd"/>
      <w:r w:rsidR="00B71A5F" w:rsidRPr="00AF25F1">
        <w:rPr>
          <w:i/>
          <w:lang w:val="fr-FR"/>
        </w:rPr>
        <w:t xml:space="preserve"> Notes on </w:t>
      </w:r>
      <w:proofErr w:type="spellStart"/>
      <w:r w:rsidR="00B71A5F" w:rsidRPr="00AF25F1">
        <w:rPr>
          <w:i/>
          <w:lang w:val="fr-FR"/>
        </w:rPr>
        <w:t>Variety</w:t>
      </w:r>
      <w:proofErr w:type="spellEnd"/>
      <w:r w:rsidR="00B71A5F" w:rsidRPr="00AF25F1">
        <w:rPr>
          <w:i/>
          <w:lang w:val="fr-FR"/>
        </w:rPr>
        <w:t xml:space="preserve"> </w:t>
      </w:r>
      <w:proofErr w:type="spellStart"/>
      <w:r w:rsidR="00B71A5F" w:rsidRPr="00AF25F1">
        <w:rPr>
          <w:i/>
          <w:lang w:val="fr-FR"/>
        </w:rPr>
        <w:t>Denominations</w:t>
      </w:r>
      <w:proofErr w:type="spellEnd"/>
      <w:r w:rsidR="00B71A5F" w:rsidRPr="00AF25F1">
        <w:rPr>
          <w:i/>
          <w:lang w:val="fr-FR"/>
        </w:rPr>
        <w:t xml:space="preserve"> </w:t>
      </w:r>
      <w:proofErr w:type="spellStart"/>
      <w:r w:rsidR="00B71A5F" w:rsidRPr="00AF25F1">
        <w:rPr>
          <w:i/>
          <w:lang w:val="fr-FR"/>
        </w:rPr>
        <w:t>under</w:t>
      </w:r>
      <w:proofErr w:type="spellEnd"/>
      <w:r w:rsidR="00B71A5F" w:rsidRPr="00AF25F1">
        <w:rPr>
          <w:i/>
          <w:lang w:val="fr-FR"/>
        </w:rPr>
        <w:t xml:space="preserve"> the UPOV Convention</w:t>
      </w:r>
      <w:r w:rsidR="000A1A31" w:rsidRPr="00B4646C">
        <w:rPr>
          <w:lang w:val="fr-FR"/>
        </w:rPr>
        <w:t>’</w:t>
      </w:r>
      <w:r w:rsidR="00D81F0A" w:rsidRPr="00B4646C">
        <w:rPr>
          <w:lang w:val="fr-FR"/>
        </w:rPr>
        <w:t>” et UPOV/INF/12/6 </w:t>
      </w:r>
      <w:proofErr w:type="spellStart"/>
      <w:r w:rsidR="00D81F0A" w:rsidRPr="00B4646C">
        <w:rPr>
          <w:lang w:val="fr-FR"/>
        </w:rPr>
        <w:t>Draft</w:t>
      </w:r>
      <w:proofErr w:type="spellEnd"/>
      <w:r w:rsidR="00D81F0A" w:rsidRPr="00B4646C">
        <w:rPr>
          <w:lang w:val="fr-FR"/>
        </w:rPr>
        <w:t xml:space="preserve"> 2 “Notes explicatives concernant les dénominations variétales en vertu de la </w:t>
      </w:r>
      <w:r w:rsidR="000A1A31" w:rsidRPr="00B4646C">
        <w:rPr>
          <w:lang w:val="fr-FR"/>
        </w:rPr>
        <w:t>Convention UPOV</w:t>
      </w:r>
      <w:r w:rsidR="00D81F0A" w:rsidRPr="00B4646C">
        <w:rPr>
          <w:lang w:val="fr-FR"/>
        </w:rPr>
        <w:t>”</w:t>
      </w:r>
      <w:r w:rsidR="000507F2" w:rsidRPr="00B4646C">
        <w:rPr>
          <w:iCs/>
          <w:spacing w:val="-4"/>
          <w:lang w:val="fr-FR" w:eastAsia="ja-JP"/>
        </w:rPr>
        <w:t xml:space="preserve">, </w:t>
      </w:r>
      <w:r w:rsidR="00D81F0A" w:rsidRPr="00B4646C">
        <w:rPr>
          <w:iCs/>
          <w:spacing w:val="-4"/>
          <w:lang w:val="fr-FR" w:eastAsia="ja-JP"/>
        </w:rPr>
        <w:t>contenant les conclusions auxquelles a abouti le WG</w:t>
      </w:r>
      <w:r w:rsidR="007D55A8">
        <w:rPr>
          <w:iCs/>
          <w:spacing w:val="-4"/>
          <w:lang w:val="fr-FR" w:eastAsia="ja-JP"/>
        </w:rPr>
        <w:noBreakHyphen/>
      </w:r>
      <w:r w:rsidR="00D81F0A" w:rsidRPr="00B4646C">
        <w:rPr>
          <w:iCs/>
          <w:spacing w:val="-4"/>
          <w:lang w:val="fr-FR" w:eastAsia="ja-JP"/>
        </w:rPr>
        <w:t xml:space="preserve">DEN lors de sa première réunion ainsi que les observations reçues en réponse à la </w:t>
      </w:r>
      <w:r w:rsidR="00D81F0A" w:rsidRPr="00B4646C">
        <w:rPr>
          <w:szCs w:val="24"/>
          <w:lang w:val="fr-FR" w:eastAsia="ja-JP"/>
        </w:rPr>
        <w:t>circulaire E</w:t>
      </w:r>
      <w:r w:rsidR="007D55A8">
        <w:rPr>
          <w:szCs w:val="24"/>
          <w:lang w:val="fr-FR" w:eastAsia="ja-JP"/>
        </w:rPr>
        <w:noBreakHyphen/>
      </w:r>
      <w:r w:rsidR="00D81F0A" w:rsidRPr="00B4646C">
        <w:rPr>
          <w:szCs w:val="24"/>
          <w:lang w:val="fr-FR" w:eastAsia="ja-JP"/>
        </w:rPr>
        <w:t>16/088 au sujet des questions identifiées par le WG</w:t>
      </w:r>
      <w:r w:rsidR="007D55A8">
        <w:rPr>
          <w:szCs w:val="24"/>
          <w:lang w:val="fr-FR" w:eastAsia="ja-JP"/>
        </w:rPr>
        <w:noBreakHyphen/>
      </w:r>
      <w:r w:rsidR="00D81F0A" w:rsidRPr="00B4646C">
        <w:rPr>
          <w:szCs w:val="24"/>
          <w:lang w:val="fr-FR" w:eastAsia="ja-JP"/>
        </w:rPr>
        <w:t>DEN lors de sa première réunion comme pouvant faire l</w:t>
      </w:r>
      <w:r w:rsidR="000A1A31" w:rsidRPr="00B4646C">
        <w:rPr>
          <w:szCs w:val="24"/>
          <w:lang w:val="fr-FR" w:eastAsia="ja-JP"/>
        </w:rPr>
        <w:t>’</w:t>
      </w:r>
      <w:r w:rsidR="00D81F0A" w:rsidRPr="00B4646C">
        <w:rPr>
          <w:szCs w:val="24"/>
          <w:lang w:val="fr-FR" w:eastAsia="ja-JP"/>
        </w:rPr>
        <w:t>objet de nouvelles observations</w:t>
      </w:r>
      <w:r w:rsidR="008B6E65" w:rsidRPr="00B4646C">
        <w:rPr>
          <w:szCs w:val="24"/>
          <w:lang w:val="fr-FR" w:eastAsia="ja-JP"/>
        </w:rPr>
        <w:t xml:space="preserve"> (</w:t>
      </w:r>
      <w:r w:rsidR="00D81F0A" w:rsidRPr="00B4646C">
        <w:rPr>
          <w:szCs w:val="24"/>
          <w:lang w:val="fr-FR" w:eastAsia="ja-JP"/>
        </w:rPr>
        <w:t xml:space="preserve">voir les </w:t>
      </w:r>
      <w:r w:rsidR="000A1A31" w:rsidRPr="00B4646C">
        <w:rPr>
          <w:szCs w:val="24"/>
          <w:lang w:val="fr-FR" w:eastAsia="ja-JP"/>
        </w:rPr>
        <w:t>paragraphes 7</w:t>
      </w:r>
      <w:r w:rsidR="00D81F0A" w:rsidRPr="00B4646C">
        <w:rPr>
          <w:szCs w:val="24"/>
          <w:lang w:val="fr-FR" w:eastAsia="ja-JP"/>
        </w:rPr>
        <w:t xml:space="preserve"> et 8 du présent document</w:t>
      </w:r>
      <w:r w:rsidR="000507F2" w:rsidRPr="00B4646C">
        <w:rPr>
          <w:szCs w:val="24"/>
          <w:lang w:val="fr-FR" w:eastAsia="ja-JP"/>
        </w:rPr>
        <w:t>)</w:t>
      </w:r>
      <w:r w:rsidR="00C1015D" w:rsidRPr="00B4646C">
        <w:rPr>
          <w:lang w:val="fr-FR" w:eastAsia="ja-JP"/>
        </w:rPr>
        <w:t>.</w:t>
      </w:r>
    </w:p>
    <w:p w:rsidR="00A77F35" w:rsidRPr="00B4646C" w:rsidRDefault="00A77F35" w:rsidP="002777DA">
      <w:pPr>
        <w:rPr>
          <w:spacing w:val="-2"/>
          <w:lang w:val="fr-FR" w:eastAsia="ja-JP"/>
        </w:rPr>
      </w:pPr>
    </w:p>
    <w:p w:rsidR="000A1A31" w:rsidRPr="00B4646C" w:rsidRDefault="00A77F35" w:rsidP="002777DA">
      <w:pPr>
        <w:rPr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D81F0A" w:rsidRPr="00B4646C">
        <w:rPr>
          <w:lang w:val="fr-FR"/>
        </w:rPr>
        <w:t>Le</w:t>
      </w:r>
      <w:r w:rsidRPr="00B4646C">
        <w:rPr>
          <w:lang w:val="fr-FR"/>
        </w:rPr>
        <w:t xml:space="preserve"> </w:t>
      </w:r>
      <w:r w:rsidRPr="00B4646C">
        <w:rPr>
          <w:lang w:val="fr-FR" w:eastAsia="ja-JP"/>
        </w:rPr>
        <w:t>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 xml:space="preserve">DEN </w:t>
      </w:r>
      <w:r w:rsidR="00D81F0A" w:rsidRPr="00B4646C">
        <w:rPr>
          <w:lang w:val="fr-FR" w:eastAsia="ja-JP"/>
        </w:rPr>
        <w:t xml:space="preserve">a examiné le </w:t>
      </w:r>
      <w:r w:rsidRPr="00B4646C">
        <w:rPr>
          <w:lang w:val="fr-FR" w:eastAsia="ja-JP"/>
        </w:rPr>
        <w:t xml:space="preserve">document </w:t>
      </w:r>
      <w:r w:rsidRPr="00B4646C">
        <w:rPr>
          <w:szCs w:val="24"/>
          <w:lang w:val="fr-FR" w:eastAsia="ja-JP"/>
        </w:rPr>
        <w:t xml:space="preserve">UPOV/INF/12/6 </w:t>
      </w:r>
      <w:proofErr w:type="spellStart"/>
      <w:r w:rsidRPr="00B4646C">
        <w:rPr>
          <w:lang w:val="fr-FR" w:eastAsia="ja-JP"/>
        </w:rPr>
        <w:t>Draft</w:t>
      </w:r>
      <w:proofErr w:type="spellEnd"/>
      <w:r w:rsidR="007D55A8">
        <w:rPr>
          <w:lang w:val="fr-FR" w:eastAsia="ja-JP"/>
        </w:rPr>
        <w:t> </w:t>
      </w:r>
      <w:r w:rsidRPr="00B4646C">
        <w:rPr>
          <w:lang w:val="fr-FR" w:eastAsia="ja-JP"/>
        </w:rPr>
        <w:t>2</w:t>
      </w:r>
      <w:r w:rsidRPr="00B4646C">
        <w:rPr>
          <w:szCs w:val="24"/>
          <w:lang w:val="fr-FR" w:eastAsia="ja-JP"/>
        </w:rPr>
        <w:t xml:space="preserve"> </w:t>
      </w:r>
      <w:r w:rsidR="00D81F0A" w:rsidRPr="00B4646C">
        <w:rPr>
          <w:szCs w:val="24"/>
          <w:lang w:val="fr-FR" w:eastAsia="ja-JP"/>
        </w:rPr>
        <w:t>jusqu</w:t>
      </w:r>
      <w:r w:rsidR="000A1A31" w:rsidRPr="00B4646C">
        <w:rPr>
          <w:szCs w:val="24"/>
          <w:lang w:val="fr-FR" w:eastAsia="ja-JP"/>
        </w:rPr>
        <w:t>’</w:t>
      </w:r>
      <w:r w:rsidR="00D81F0A" w:rsidRPr="00B4646C">
        <w:rPr>
          <w:szCs w:val="24"/>
          <w:lang w:val="fr-FR" w:eastAsia="ja-JP"/>
        </w:rPr>
        <w:t xml:space="preserve">à la </w:t>
      </w:r>
      <w:r w:rsidR="000A1A31" w:rsidRPr="00B4646C">
        <w:rPr>
          <w:szCs w:val="24"/>
          <w:lang w:val="fr-FR" w:eastAsia="ja-JP"/>
        </w:rPr>
        <w:t>section 2</w:t>
      </w:r>
      <w:r w:rsidR="009F07B4" w:rsidRPr="00B4646C">
        <w:rPr>
          <w:szCs w:val="24"/>
          <w:lang w:val="fr-FR" w:eastAsia="ja-JP"/>
        </w:rPr>
        <w:t>.3.3</w:t>
      </w:r>
      <w:r w:rsidR="00D81F0A" w:rsidRPr="00B4646C">
        <w:rPr>
          <w:szCs w:val="24"/>
          <w:lang w:val="fr-FR" w:eastAsia="ja-JP"/>
        </w:rPr>
        <w:t>.</w:t>
      </w:r>
      <w:r w:rsidR="00AE1723">
        <w:rPr>
          <w:szCs w:val="24"/>
          <w:lang w:val="fr-FR" w:eastAsia="ja-JP"/>
        </w:rPr>
        <w:t xml:space="preserve">a) </w:t>
      </w:r>
      <w:r w:rsidR="00B55EFD" w:rsidRPr="00B4646C">
        <w:rPr>
          <w:szCs w:val="24"/>
          <w:lang w:val="fr-FR" w:eastAsia="ja-JP"/>
        </w:rPr>
        <w:t>et est convenu d</w:t>
      </w:r>
      <w:r w:rsidR="000A1A31" w:rsidRPr="00B4646C">
        <w:rPr>
          <w:szCs w:val="24"/>
          <w:lang w:val="fr-FR" w:eastAsia="ja-JP"/>
        </w:rPr>
        <w:t>’</w:t>
      </w:r>
      <w:r w:rsidR="00B55EFD" w:rsidRPr="00B4646C">
        <w:rPr>
          <w:szCs w:val="24"/>
          <w:lang w:val="fr-FR" w:eastAsia="ja-JP"/>
        </w:rPr>
        <w:t>examiner le reste du document</w:t>
      </w:r>
      <w:r w:rsidR="009F07B4" w:rsidRPr="00B4646C">
        <w:rPr>
          <w:szCs w:val="24"/>
          <w:lang w:val="fr-FR" w:eastAsia="ja-JP"/>
        </w:rPr>
        <w:t xml:space="preserve"> UPOV/INF/12/6 </w:t>
      </w:r>
      <w:proofErr w:type="spellStart"/>
      <w:r w:rsidR="009F07B4" w:rsidRPr="00B4646C">
        <w:rPr>
          <w:szCs w:val="24"/>
          <w:lang w:val="fr-FR" w:eastAsia="ja-JP"/>
        </w:rPr>
        <w:t>Draft</w:t>
      </w:r>
      <w:proofErr w:type="spellEnd"/>
      <w:r w:rsidR="007D55A8">
        <w:rPr>
          <w:szCs w:val="24"/>
          <w:lang w:val="fr-FR" w:eastAsia="ja-JP"/>
        </w:rPr>
        <w:t> </w:t>
      </w:r>
      <w:r w:rsidR="009F07B4" w:rsidRPr="00B4646C">
        <w:rPr>
          <w:szCs w:val="24"/>
          <w:lang w:val="fr-FR" w:eastAsia="ja-JP"/>
        </w:rPr>
        <w:t xml:space="preserve">2 </w:t>
      </w:r>
      <w:r w:rsidR="00B55EFD" w:rsidRPr="00B4646C">
        <w:rPr>
          <w:szCs w:val="24"/>
          <w:lang w:val="fr-FR" w:eastAsia="ja-JP"/>
        </w:rPr>
        <w:t xml:space="preserve">à partir de la </w:t>
      </w:r>
      <w:r w:rsidR="000A1A31" w:rsidRPr="00B4646C">
        <w:rPr>
          <w:szCs w:val="24"/>
          <w:lang w:val="fr-FR" w:eastAsia="ja-JP"/>
        </w:rPr>
        <w:t>section 2</w:t>
      </w:r>
      <w:r w:rsidR="009F07B4" w:rsidRPr="00B4646C">
        <w:rPr>
          <w:szCs w:val="24"/>
          <w:lang w:val="fr-FR" w:eastAsia="ja-JP"/>
        </w:rPr>
        <w:t>.3.3</w:t>
      </w:r>
      <w:r w:rsidR="00B55EFD" w:rsidRPr="00B4646C">
        <w:rPr>
          <w:szCs w:val="24"/>
          <w:lang w:val="fr-FR" w:eastAsia="ja-JP"/>
        </w:rPr>
        <w:t>.</w:t>
      </w:r>
      <w:r w:rsidR="009F07B4" w:rsidRPr="00B4646C">
        <w:rPr>
          <w:szCs w:val="24"/>
          <w:lang w:val="fr-FR" w:eastAsia="ja-JP"/>
        </w:rPr>
        <w:t xml:space="preserve">b) </w:t>
      </w:r>
      <w:r w:rsidR="00B55EFD" w:rsidRPr="00B4646C">
        <w:rPr>
          <w:szCs w:val="24"/>
          <w:lang w:val="fr-FR" w:eastAsia="ja-JP"/>
        </w:rPr>
        <w:t>à sa troisième réunion</w:t>
      </w:r>
      <w:r w:rsidR="00AE1723">
        <w:rPr>
          <w:szCs w:val="24"/>
          <w:lang w:val="fr-FR" w:eastAsia="ja-JP"/>
        </w:rPr>
        <w:t>, qui se</w:t>
      </w:r>
      <w:r w:rsidR="00B55EFD" w:rsidRPr="00B4646C">
        <w:rPr>
          <w:szCs w:val="24"/>
          <w:lang w:val="fr-FR" w:eastAsia="ja-JP"/>
        </w:rPr>
        <w:t xml:space="preserve"> </w:t>
      </w:r>
      <w:r w:rsidR="00AE1723" w:rsidRPr="00B4646C">
        <w:rPr>
          <w:rFonts w:cs="Arial"/>
          <w:snapToGrid w:val="0"/>
          <w:lang w:val="fr-FR"/>
        </w:rPr>
        <w:t xml:space="preserve">tiendra à Genève </w:t>
      </w:r>
      <w:r w:rsidR="00E2030F" w:rsidRPr="00B4646C">
        <w:rPr>
          <w:rFonts w:cs="Arial"/>
          <w:lang w:val="fr-FR" w:eastAsia="ja-JP"/>
        </w:rPr>
        <w:t>dans la matinée du</w:t>
      </w:r>
      <w:bookmarkStart w:id="6" w:name="_GoBack"/>
      <w:bookmarkEnd w:id="6"/>
      <w:r w:rsidR="00AE1723">
        <w:rPr>
          <w:rFonts w:cs="Arial"/>
          <w:snapToGrid w:val="0"/>
          <w:lang w:val="fr-FR"/>
        </w:rPr>
        <w:t xml:space="preserve"> </w:t>
      </w:r>
      <w:r w:rsidR="00AE1723" w:rsidRPr="00B4646C">
        <w:rPr>
          <w:rFonts w:cs="Arial"/>
          <w:snapToGrid w:val="0"/>
          <w:lang w:val="fr-FR"/>
        </w:rPr>
        <w:t>7 avril 2017</w:t>
      </w:r>
      <w:r w:rsidR="00AE1723">
        <w:rPr>
          <w:rFonts w:cs="Arial"/>
          <w:snapToGrid w:val="0"/>
          <w:lang w:val="fr-FR"/>
        </w:rPr>
        <w:t xml:space="preserve">, </w:t>
      </w:r>
      <w:r w:rsidR="00B55EFD" w:rsidRPr="00B4646C">
        <w:rPr>
          <w:szCs w:val="24"/>
          <w:lang w:val="fr-FR" w:eastAsia="ja-JP"/>
        </w:rPr>
        <w:t>et d</w:t>
      </w:r>
      <w:r w:rsidR="000A1A31" w:rsidRPr="00B4646C">
        <w:rPr>
          <w:szCs w:val="24"/>
          <w:lang w:val="fr-FR" w:eastAsia="ja-JP"/>
        </w:rPr>
        <w:t>’</w:t>
      </w:r>
      <w:r w:rsidR="00B55EFD" w:rsidRPr="00B4646C">
        <w:rPr>
          <w:szCs w:val="24"/>
          <w:lang w:val="fr-FR" w:eastAsia="ja-JP"/>
        </w:rPr>
        <w:t xml:space="preserve">utiliser le </w:t>
      </w:r>
      <w:r w:rsidR="009F07B4" w:rsidRPr="00B4646C">
        <w:rPr>
          <w:szCs w:val="24"/>
          <w:lang w:val="fr-FR" w:eastAsia="ja-JP"/>
        </w:rPr>
        <w:t xml:space="preserve">document UPOV/INF/12/6 </w:t>
      </w:r>
      <w:proofErr w:type="spellStart"/>
      <w:r w:rsidR="009F07B4" w:rsidRPr="00B4646C">
        <w:rPr>
          <w:szCs w:val="24"/>
          <w:lang w:val="fr-FR" w:eastAsia="ja-JP"/>
        </w:rPr>
        <w:t>Draft</w:t>
      </w:r>
      <w:proofErr w:type="spellEnd"/>
      <w:r w:rsidR="007D55A8">
        <w:rPr>
          <w:szCs w:val="24"/>
          <w:lang w:val="fr-FR" w:eastAsia="ja-JP"/>
        </w:rPr>
        <w:t> </w:t>
      </w:r>
      <w:r w:rsidR="009F07B4" w:rsidRPr="00B4646C">
        <w:rPr>
          <w:szCs w:val="24"/>
          <w:lang w:val="fr-FR" w:eastAsia="ja-JP"/>
        </w:rPr>
        <w:t xml:space="preserve">2 </w:t>
      </w:r>
      <w:r w:rsidR="00B55EFD" w:rsidRPr="00B4646C">
        <w:rPr>
          <w:szCs w:val="24"/>
          <w:lang w:val="fr-FR" w:eastAsia="ja-JP"/>
        </w:rPr>
        <w:t>comme base pour l</w:t>
      </w:r>
      <w:r w:rsidR="000A1A31" w:rsidRPr="00B4646C">
        <w:rPr>
          <w:szCs w:val="24"/>
          <w:lang w:val="fr-FR" w:eastAsia="ja-JP"/>
        </w:rPr>
        <w:t>’</w:t>
      </w:r>
      <w:r w:rsidR="00B55EFD" w:rsidRPr="00B4646C">
        <w:rPr>
          <w:szCs w:val="24"/>
          <w:lang w:val="fr-FR" w:eastAsia="ja-JP"/>
        </w:rPr>
        <w:t>examen, afin d</w:t>
      </w:r>
      <w:r w:rsidR="000A1A31" w:rsidRPr="00B4646C">
        <w:rPr>
          <w:szCs w:val="24"/>
          <w:lang w:val="fr-FR" w:eastAsia="ja-JP"/>
        </w:rPr>
        <w:t>’</w:t>
      </w:r>
      <w:r w:rsidR="00B55EFD" w:rsidRPr="00B4646C">
        <w:rPr>
          <w:szCs w:val="24"/>
          <w:lang w:val="fr-FR" w:eastAsia="ja-JP"/>
        </w:rPr>
        <w:t>éviter toute confusion</w:t>
      </w:r>
      <w:r w:rsidRPr="00B4646C">
        <w:rPr>
          <w:szCs w:val="24"/>
          <w:lang w:val="fr-FR" w:eastAsia="ja-JP"/>
        </w:rPr>
        <w:t>.</w:t>
      </w:r>
    </w:p>
    <w:p w:rsidR="00E85A98" w:rsidRPr="00B4646C" w:rsidRDefault="00E85A98" w:rsidP="002777DA">
      <w:pPr>
        <w:rPr>
          <w:lang w:val="fr-FR" w:eastAsia="ja-JP"/>
        </w:rPr>
      </w:pPr>
    </w:p>
    <w:p w:rsidR="002F74EB" w:rsidRPr="00B4646C" w:rsidRDefault="002F74EB" w:rsidP="002777DA">
      <w:pPr>
        <w:rPr>
          <w:lang w:val="fr-FR" w:eastAsia="ja-JP"/>
        </w:rPr>
      </w:pPr>
    </w:p>
    <w:p w:rsidR="00E85A98" w:rsidRPr="00B4646C" w:rsidRDefault="00F60FF9" w:rsidP="002777DA">
      <w:pPr>
        <w:pStyle w:val="Heading1"/>
        <w:rPr>
          <w:lang w:val="fr-FR"/>
        </w:rPr>
      </w:pPr>
      <w:bookmarkStart w:id="7" w:name="_Toc477357833"/>
      <w:r>
        <w:rPr>
          <w:lang w:val="fr-FR"/>
        </w:rPr>
        <w:t>P</w:t>
      </w:r>
      <w:r w:rsidR="00B71A5F" w:rsidRPr="00B4646C">
        <w:rPr>
          <w:lang w:val="fr-FR"/>
        </w:rPr>
        <w:t>ossibilité d</w:t>
      </w:r>
      <w:r w:rsidR="000A1A31" w:rsidRPr="00B4646C">
        <w:rPr>
          <w:lang w:val="fr-FR"/>
        </w:rPr>
        <w:t>’</w:t>
      </w:r>
      <w:r w:rsidR="00B71A5F" w:rsidRPr="00B4646C">
        <w:rPr>
          <w:lang w:val="fr-FR"/>
        </w:rPr>
        <w:t>élaboration d</w:t>
      </w:r>
      <w:r w:rsidR="000A1A31" w:rsidRPr="00B4646C">
        <w:rPr>
          <w:lang w:val="fr-FR"/>
        </w:rPr>
        <w:t>’</w:t>
      </w:r>
      <w:r w:rsidR="00B71A5F" w:rsidRPr="00B4646C">
        <w:rPr>
          <w:lang w:val="fr-FR"/>
        </w:rPr>
        <w:t>un moteur de recherche de similitudes de l</w:t>
      </w:r>
      <w:r w:rsidR="000A1A31" w:rsidRPr="00B4646C">
        <w:rPr>
          <w:lang w:val="fr-FR"/>
        </w:rPr>
        <w:t>’</w:t>
      </w:r>
      <w:r w:rsidR="00B71A5F" w:rsidRPr="00B4646C">
        <w:rPr>
          <w:lang w:val="fr-FR"/>
        </w:rPr>
        <w:t>UPOV aux fins de la dénomination variétale</w:t>
      </w:r>
      <w:bookmarkEnd w:id="7"/>
    </w:p>
    <w:p w:rsidR="00E85A98" w:rsidRPr="00B4646C" w:rsidRDefault="00E85A98" w:rsidP="002777DA">
      <w:pPr>
        <w:rPr>
          <w:lang w:val="fr-FR" w:eastAsia="ja-JP"/>
        </w:rPr>
      </w:pPr>
    </w:p>
    <w:p w:rsidR="00E85A98" w:rsidRPr="00B4646C" w:rsidRDefault="00B71A5F" w:rsidP="002777DA">
      <w:pPr>
        <w:pStyle w:val="Heading2"/>
        <w:rPr>
          <w:lang w:val="fr-FR" w:eastAsia="ja-JP"/>
        </w:rPr>
      </w:pPr>
      <w:bookmarkStart w:id="8" w:name="_Toc477357834"/>
      <w:r w:rsidRPr="00B4646C">
        <w:rPr>
          <w:lang w:val="fr-FR" w:eastAsia="ja-JP"/>
        </w:rPr>
        <w:t>Rappel</w:t>
      </w:r>
      <w:bookmarkEnd w:id="8"/>
    </w:p>
    <w:p w:rsidR="00E85A98" w:rsidRPr="00B4646C" w:rsidRDefault="00E85A98" w:rsidP="002777DA">
      <w:pPr>
        <w:rPr>
          <w:lang w:val="fr-FR" w:eastAsia="ja-JP"/>
        </w:rPr>
      </w:pPr>
    </w:p>
    <w:p w:rsidR="00E85A98" w:rsidRPr="00B4646C" w:rsidRDefault="00E85A98" w:rsidP="002777DA">
      <w:pPr>
        <w:rPr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B71A5F" w:rsidRPr="00B4646C">
        <w:rPr>
          <w:lang w:val="fr-FR"/>
        </w:rPr>
        <w:t>Les information</w:t>
      </w:r>
      <w:r w:rsidR="007849B5">
        <w:rPr>
          <w:lang w:val="fr-FR"/>
        </w:rPr>
        <w:t>s générales sur cette question figurent</w:t>
      </w:r>
      <w:r w:rsidR="00B71A5F" w:rsidRPr="00B4646C">
        <w:rPr>
          <w:lang w:val="fr-FR"/>
        </w:rPr>
        <w:t xml:space="preserve"> </w:t>
      </w:r>
      <w:r w:rsidR="007849B5" w:rsidRPr="00B4646C">
        <w:rPr>
          <w:lang w:val="fr-FR" w:eastAsia="ja-JP"/>
        </w:rPr>
        <w:t xml:space="preserve">aux paragraphes 5 </w:t>
      </w:r>
      <w:r w:rsidR="007849B5">
        <w:rPr>
          <w:lang w:val="fr-FR" w:eastAsia="ja-JP"/>
        </w:rPr>
        <w:t>à </w:t>
      </w:r>
      <w:r w:rsidR="007849B5" w:rsidRPr="00B4646C">
        <w:rPr>
          <w:lang w:val="fr-FR" w:eastAsia="ja-JP"/>
        </w:rPr>
        <w:t>15</w:t>
      </w:r>
      <w:r w:rsidR="007849B5">
        <w:rPr>
          <w:lang w:val="fr-FR" w:eastAsia="ja-JP"/>
        </w:rPr>
        <w:t xml:space="preserve"> du </w:t>
      </w:r>
      <w:r w:rsidR="000A1A31" w:rsidRPr="00B4646C">
        <w:rPr>
          <w:lang w:val="fr-FR" w:eastAsia="ja-JP"/>
        </w:rPr>
        <w:t>document TC</w:t>
      </w:r>
      <w:r w:rsidR="00B71A5F" w:rsidRPr="00B4646C">
        <w:rPr>
          <w:lang w:val="fr-FR" w:eastAsia="ja-JP"/>
        </w:rPr>
        <w:t>/52/12 “Dénominations variétales”</w:t>
      </w:r>
      <w:r w:rsidRPr="00B4646C">
        <w:rPr>
          <w:lang w:val="fr-FR" w:eastAsia="ja-JP"/>
        </w:rPr>
        <w:t>.</w:t>
      </w:r>
    </w:p>
    <w:p w:rsidR="00E85A98" w:rsidRPr="00B4646C" w:rsidRDefault="00E85A98" w:rsidP="002777DA">
      <w:pPr>
        <w:rPr>
          <w:lang w:val="fr-FR" w:eastAsia="ja-JP"/>
        </w:rPr>
      </w:pPr>
    </w:p>
    <w:p w:rsidR="00E85A98" w:rsidRPr="00B4646C" w:rsidRDefault="00E85A98" w:rsidP="002777DA">
      <w:pPr>
        <w:rPr>
          <w:lang w:val="fr-FR" w:eastAsia="ja-JP"/>
        </w:rPr>
      </w:pPr>
    </w:p>
    <w:p w:rsidR="00E85A98" w:rsidRPr="00B4646C" w:rsidRDefault="00B71A5F" w:rsidP="002777DA">
      <w:pPr>
        <w:pStyle w:val="Heading2"/>
        <w:rPr>
          <w:lang w:val="fr-FR" w:eastAsia="ja-JP"/>
        </w:rPr>
      </w:pPr>
      <w:bookmarkStart w:id="9" w:name="_Toc477357835"/>
      <w:r w:rsidRPr="00B4646C">
        <w:rPr>
          <w:lang w:val="fr-FR" w:eastAsia="ja-JP"/>
        </w:rPr>
        <w:t xml:space="preserve">Faits nouveaux </w:t>
      </w:r>
      <w:r w:rsidR="000A1A31" w:rsidRPr="00B4646C">
        <w:rPr>
          <w:lang w:val="fr-FR" w:eastAsia="ja-JP"/>
        </w:rPr>
        <w:t>en 2016</w:t>
      </w:r>
      <w:bookmarkEnd w:id="9"/>
    </w:p>
    <w:p w:rsidR="00E85A98" w:rsidRPr="00B4646C" w:rsidRDefault="00E85A98" w:rsidP="002777DA">
      <w:pPr>
        <w:rPr>
          <w:szCs w:val="24"/>
          <w:lang w:val="fr-FR" w:eastAsia="ja-JP"/>
        </w:rPr>
      </w:pPr>
    </w:p>
    <w:p w:rsidR="00E85A98" w:rsidRPr="00AF25F1" w:rsidRDefault="00E85A98" w:rsidP="002777DA">
      <w:pPr>
        <w:rPr>
          <w:spacing w:val="-2"/>
          <w:szCs w:val="24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B71A5F" w:rsidRPr="00AF25F1">
        <w:rPr>
          <w:lang w:val="fr-FR"/>
        </w:rPr>
        <w:t>À sa première réunion tenue à Genève le 1</w:t>
      </w:r>
      <w:r w:rsidR="000A1A31" w:rsidRPr="00AF25F1">
        <w:rPr>
          <w:lang w:val="fr-FR"/>
        </w:rPr>
        <w:t>8 mars 20</w:t>
      </w:r>
      <w:r w:rsidR="00B71A5F" w:rsidRPr="00AF25F1">
        <w:rPr>
          <w:lang w:val="fr-FR"/>
        </w:rPr>
        <w:t>16, le WG</w:t>
      </w:r>
      <w:r w:rsidR="007D55A8" w:rsidRPr="00AF25F1">
        <w:rPr>
          <w:lang w:val="fr-FR"/>
        </w:rPr>
        <w:noBreakHyphen/>
      </w:r>
      <w:r w:rsidR="00B71A5F" w:rsidRPr="00AF25F1">
        <w:rPr>
          <w:lang w:val="fr-FR"/>
        </w:rPr>
        <w:t>DEN a examiné le document UPOV/WG</w:t>
      </w:r>
      <w:r w:rsidR="007D55A8" w:rsidRPr="00AF25F1">
        <w:rPr>
          <w:lang w:val="fr-FR"/>
        </w:rPr>
        <w:noBreakHyphen/>
      </w:r>
      <w:r w:rsidR="00B71A5F" w:rsidRPr="00AF25F1">
        <w:rPr>
          <w:lang w:val="fr-FR"/>
        </w:rPr>
        <w:t>DEN/1/3 “</w:t>
      </w:r>
      <w:r w:rsidR="0037285E" w:rsidRPr="00AF25F1">
        <w:rPr>
          <w:i/>
          <w:lang w:val="fr-FR"/>
        </w:rPr>
        <w:t xml:space="preserve">UPOV </w:t>
      </w:r>
      <w:proofErr w:type="spellStart"/>
      <w:r w:rsidR="0037285E" w:rsidRPr="00AF25F1">
        <w:rPr>
          <w:i/>
          <w:lang w:val="fr-FR"/>
        </w:rPr>
        <w:t>Denomination</w:t>
      </w:r>
      <w:proofErr w:type="spellEnd"/>
      <w:r w:rsidR="0037285E" w:rsidRPr="00AF25F1">
        <w:rPr>
          <w:i/>
          <w:lang w:val="fr-FR"/>
        </w:rPr>
        <w:t xml:space="preserve"> </w:t>
      </w:r>
      <w:proofErr w:type="spellStart"/>
      <w:r w:rsidR="0037285E" w:rsidRPr="00AF25F1">
        <w:rPr>
          <w:i/>
          <w:lang w:val="fr-FR"/>
        </w:rPr>
        <w:t>Similarity</w:t>
      </w:r>
      <w:proofErr w:type="spellEnd"/>
      <w:r w:rsidR="0037285E" w:rsidRPr="00AF25F1">
        <w:rPr>
          <w:i/>
          <w:lang w:val="fr-FR"/>
        </w:rPr>
        <w:t xml:space="preserve"> </w:t>
      </w:r>
      <w:proofErr w:type="spellStart"/>
      <w:r w:rsidR="0037285E" w:rsidRPr="00AF25F1">
        <w:rPr>
          <w:i/>
          <w:lang w:val="fr-FR"/>
        </w:rPr>
        <w:t>Search</w:t>
      </w:r>
      <w:proofErr w:type="spellEnd"/>
      <w:r w:rsidR="0037285E" w:rsidRPr="00AF25F1">
        <w:rPr>
          <w:i/>
          <w:lang w:val="fr-FR"/>
        </w:rPr>
        <w:t xml:space="preserve"> </w:t>
      </w:r>
      <w:proofErr w:type="spellStart"/>
      <w:r w:rsidR="0037285E" w:rsidRPr="00AF25F1">
        <w:rPr>
          <w:i/>
          <w:lang w:val="fr-FR"/>
        </w:rPr>
        <w:t>Tool</w:t>
      </w:r>
      <w:proofErr w:type="spellEnd"/>
      <w:r w:rsidR="00B71A5F" w:rsidRPr="00AF25F1">
        <w:rPr>
          <w:lang w:val="fr-FR"/>
        </w:rPr>
        <w:t>”</w:t>
      </w:r>
      <w:r w:rsidR="00B71A5F" w:rsidRPr="00AF25F1">
        <w:rPr>
          <w:rFonts w:cs="Arial"/>
          <w:snapToGrid w:val="0"/>
          <w:lang w:val="fr-FR" w:eastAsia="ja-JP"/>
        </w:rPr>
        <w:t xml:space="preserve"> (voir les </w:t>
      </w:r>
      <w:r w:rsidR="000A1A31" w:rsidRPr="00AF25F1">
        <w:rPr>
          <w:rFonts w:cs="Arial"/>
          <w:snapToGrid w:val="0"/>
          <w:lang w:val="fr-FR" w:eastAsia="ja-JP"/>
        </w:rPr>
        <w:t>paragraphes 5</w:t>
      </w:r>
      <w:r w:rsidR="00AF25F1" w:rsidRPr="00AF25F1">
        <w:rPr>
          <w:rFonts w:cs="Arial"/>
          <w:snapToGrid w:val="0"/>
          <w:lang w:val="fr-FR" w:eastAsia="ja-JP"/>
        </w:rPr>
        <w:t>0 à 53 du</w:t>
      </w:r>
      <w:r w:rsidR="00AF25F1">
        <w:rPr>
          <w:rFonts w:cs="Arial"/>
          <w:snapToGrid w:val="0"/>
          <w:spacing w:val="-2"/>
          <w:lang w:val="fr-FR" w:eastAsia="ja-JP"/>
        </w:rPr>
        <w:t xml:space="preserve"> document </w:t>
      </w:r>
      <w:r w:rsidR="00B71A5F" w:rsidRPr="00AF25F1">
        <w:rPr>
          <w:rFonts w:cs="Arial"/>
          <w:snapToGrid w:val="0"/>
          <w:spacing w:val="-2"/>
          <w:lang w:val="fr-FR" w:eastAsia="ja-JP"/>
        </w:rPr>
        <w:t>WG</w:t>
      </w:r>
      <w:r w:rsidR="007D55A8" w:rsidRPr="00AF25F1">
        <w:rPr>
          <w:rFonts w:cs="Arial"/>
          <w:snapToGrid w:val="0"/>
          <w:spacing w:val="-2"/>
          <w:lang w:val="fr-FR" w:eastAsia="ja-JP"/>
        </w:rPr>
        <w:noBreakHyphen/>
      </w:r>
      <w:r w:rsidR="00B71A5F" w:rsidRPr="00AF25F1">
        <w:rPr>
          <w:rFonts w:cs="Arial"/>
          <w:snapToGrid w:val="0"/>
          <w:spacing w:val="-2"/>
          <w:lang w:val="fr-FR" w:eastAsia="ja-JP"/>
        </w:rPr>
        <w:t>DEN/1/6 “</w:t>
      </w:r>
      <w:r w:rsidR="00B71A5F" w:rsidRPr="00AF25F1">
        <w:rPr>
          <w:rFonts w:cs="Arial"/>
          <w:i/>
          <w:snapToGrid w:val="0"/>
          <w:spacing w:val="-2"/>
          <w:lang w:val="fr-FR" w:eastAsia="ja-JP"/>
        </w:rPr>
        <w:t>Report</w:t>
      </w:r>
      <w:r w:rsidR="00B71A5F" w:rsidRPr="00AF25F1">
        <w:rPr>
          <w:rFonts w:cs="Arial"/>
          <w:snapToGrid w:val="0"/>
          <w:spacing w:val="-2"/>
          <w:lang w:val="fr-FR" w:eastAsia="ja-JP"/>
        </w:rPr>
        <w:t>”)</w:t>
      </w:r>
      <w:r w:rsidR="00B71A5F" w:rsidRPr="00AF25F1">
        <w:rPr>
          <w:spacing w:val="-2"/>
          <w:lang w:val="fr-FR" w:eastAsia="ja-JP"/>
        </w:rPr>
        <w:t>.</w:t>
      </w:r>
    </w:p>
    <w:p w:rsidR="000A1A31" w:rsidRPr="00B4646C" w:rsidRDefault="000A1A31" w:rsidP="002777DA">
      <w:pPr>
        <w:autoSpaceDE w:val="0"/>
        <w:autoSpaceDN w:val="0"/>
        <w:adjustRightInd w:val="0"/>
        <w:rPr>
          <w:szCs w:val="24"/>
          <w:lang w:val="fr-FR" w:eastAsia="ja-JP"/>
        </w:rPr>
      </w:pP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B71A5F" w:rsidRPr="00B4646C">
        <w:rPr>
          <w:lang w:val="fr-FR"/>
        </w:rPr>
        <w:t xml:space="preserve">À sa première réunion, le </w:t>
      </w:r>
      <w:r w:rsidRPr="00B4646C">
        <w:rPr>
          <w:lang w:val="fr-FR" w:eastAsia="ja-JP"/>
        </w:rPr>
        <w:t>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DEN</w:t>
      </w:r>
      <w:r w:rsidR="00B71A5F" w:rsidRPr="00B4646C">
        <w:rPr>
          <w:lang w:val="fr-FR" w:eastAsia="ja-JP"/>
        </w:rPr>
        <w:t xml:space="preserve"> a pris note </w:t>
      </w:r>
      <w:r w:rsidR="0037285E" w:rsidRPr="00B4646C">
        <w:rPr>
          <w:lang w:val="fr-FR" w:eastAsia="ja-JP"/>
        </w:rPr>
        <w:t>de</w:t>
      </w:r>
      <w:r w:rsidR="007849B5">
        <w:rPr>
          <w:lang w:val="fr-FR" w:eastAsia="ja-JP"/>
        </w:rPr>
        <w:t>s faits nouveaux intervenus au sein</w:t>
      </w:r>
      <w:r w:rsidR="0037285E" w:rsidRPr="00B4646C">
        <w:rPr>
          <w:lang w:val="fr-FR" w:eastAsia="ja-JP"/>
        </w:rPr>
        <w:t xml:space="preserve"> du</w:t>
      </w:r>
      <w:r w:rsidR="00B71A5F" w:rsidRPr="00B4646C">
        <w:rPr>
          <w:lang w:val="fr-FR" w:eastAsia="ja-JP"/>
        </w:rPr>
        <w:t xml:space="preserve"> </w:t>
      </w:r>
      <w:r w:rsidR="00B71A5F" w:rsidRPr="00B4646C">
        <w:rPr>
          <w:snapToGrid w:val="0"/>
          <w:lang w:val="fr-FR" w:eastAsia="ja-JP"/>
        </w:rPr>
        <w:t>Groupe de travail sur l</w:t>
      </w:r>
      <w:r w:rsidR="000A1A31" w:rsidRPr="00B4646C">
        <w:rPr>
          <w:snapToGrid w:val="0"/>
          <w:lang w:val="fr-FR" w:eastAsia="ja-JP"/>
        </w:rPr>
        <w:t>’</w:t>
      </w:r>
      <w:r w:rsidR="00B71A5F" w:rsidRPr="00B4646C">
        <w:rPr>
          <w:snapToGrid w:val="0"/>
          <w:lang w:val="fr-FR" w:eastAsia="ja-JP"/>
        </w:rPr>
        <w:t>élaboration d</w:t>
      </w:r>
      <w:r w:rsidR="000A1A31" w:rsidRPr="00B4646C">
        <w:rPr>
          <w:snapToGrid w:val="0"/>
          <w:lang w:val="fr-FR" w:eastAsia="ja-JP"/>
        </w:rPr>
        <w:t>’</w:t>
      </w:r>
      <w:r w:rsidR="00B71A5F" w:rsidRPr="00B4646C">
        <w:rPr>
          <w:snapToGrid w:val="0"/>
          <w:lang w:val="fr-FR" w:eastAsia="ja-JP"/>
        </w:rPr>
        <w:t>un moteur de recherche de similitudes de l</w:t>
      </w:r>
      <w:r w:rsidR="000A1A31" w:rsidRPr="00B4646C">
        <w:rPr>
          <w:snapToGrid w:val="0"/>
          <w:lang w:val="fr-FR" w:eastAsia="ja-JP"/>
        </w:rPr>
        <w:t>’</w:t>
      </w:r>
      <w:r w:rsidR="00B71A5F" w:rsidRPr="00B4646C">
        <w:rPr>
          <w:snapToGrid w:val="0"/>
          <w:lang w:val="fr-FR" w:eastAsia="ja-JP"/>
        </w:rPr>
        <w:t>UPOV aux fins de la dénomination variétale</w:t>
      </w:r>
      <w:r w:rsidR="00B71A5F" w:rsidRPr="00B4646C">
        <w:rPr>
          <w:lang w:val="fr-FR" w:eastAsia="ja-JP"/>
        </w:rPr>
        <w:t xml:space="preserve"> </w:t>
      </w:r>
      <w:r w:rsidRPr="00B4646C">
        <w:rPr>
          <w:lang w:val="fr-FR" w:eastAsia="ja-JP"/>
        </w:rPr>
        <w:t>(WG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DST).</w:t>
      </w:r>
    </w:p>
    <w:p w:rsidR="008B6E65" w:rsidRPr="00B4646C" w:rsidRDefault="008B6E65" w:rsidP="002777DA">
      <w:pPr>
        <w:rPr>
          <w:szCs w:val="24"/>
          <w:lang w:val="fr-FR" w:eastAsia="ja-JP"/>
        </w:rPr>
      </w:pPr>
    </w:p>
    <w:p w:rsidR="000A1A31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37285E" w:rsidRPr="00B4646C">
        <w:rPr>
          <w:lang w:val="fr-FR"/>
        </w:rPr>
        <w:t>À sa première réunion, le</w:t>
      </w:r>
      <w:r w:rsidRPr="00B4646C">
        <w:rPr>
          <w:lang w:val="fr-FR"/>
        </w:rPr>
        <w:t xml:space="preserve"> </w:t>
      </w:r>
      <w:r w:rsidRPr="00B4646C">
        <w:rPr>
          <w:lang w:val="fr-FR" w:eastAsia="ja-JP"/>
        </w:rPr>
        <w:t>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DEN</w:t>
      </w:r>
      <w:r w:rsidR="0037285E" w:rsidRPr="00B4646C">
        <w:rPr>
          <w:lang w:val="fr-FR" w:eastAsia="ja-JP"/>
        </w:rPr>
        <w:t xml:space="preserve"> a noté qu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 xml:space="preserve">il était prévu de créer une </w:t>
      </w:r>
      <w:r w:rsidR="000A1A31" w:rsidRPr="00B4646C">
        <w:rPr>
          <w:lang w:val="fr-FR" w:eastAsia="ja-JP"/>
        </w:rPr>
        <w:t>page W</w:t>
      </w:r>
      <w:r w:rsidR="0037285E" w:rsidRPr="00B4646C">
        <w:rPr>
          <w:lang w:val="fr-FR" w:eastAsia="ja-JP"/>
        </w:rPr>
        <w:t>eb visant à comparer les résultats de recherche de l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>algorithme révisé et les outils de recherche existants</w:t>
      </w:r>
      <w:r w:rsidR="002F74EB" w:rsidRPr="00B4646C">
        <w:rPr>
          <w:lang w:val="fr-FR" w:eastAsia="ja-JP"/>
        </w:rPr>
        <w:t xml:space="preserve"> </w:t>
      </w:r>
      <w:r w:rsidR="0037285E" w:rsidRPr="00B4646C">
        <w:rPr>
          <w:lang w:val="fr-FR" w:eastAsia="ja-JP"/>
        </w:rPr>
        <w:t>de la base de données PLUTO d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 xml:space="preserve">ici à la fin du mois de </w:t>
      </w:r>
      <w:r w:rsidR="000A1A31" w:rsidRPr="00B4646C">
        <w:rPr>
          <w:lang w:val="fr-FR" w:eastAsia="ja-JP"/>
        </w:rPr>
        <w:t>mars 20</w:t>
      </w:r>
      <w:r w:rsidR="0037285E" w:rsidRPr="00B4646C">
        <w:rPr>
          <w:lang w:val="fr-FR" w:eastAsia="ja-JP"/>
        </w:rPr>
        <w:t>16.  Une circulaire serait adressée au WG</w:t>
      </w:r>
      <w:r w:rsidR="007D55A8">
        <w:rPr>
          <w:lang w:val="fr-FR" w:eastAsia="ja-JP"/>
        </w:rPr>
        <w:noBreakHyphen/>
      </w:r>
      <w:r w:rsidR="0037285E" w:rsidRPr="00B4646C">
        <w:rPr>
          <w:lang w:val="fr-FR" w:eastAsia="ja-JP"/>
        </w:rPr>
        <w:t>DEN, invitant les experts à évaluer l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 xml:space="preserve">algorithme révisé et à faire part de leurs observations pour la fin du mois de </w:t>
      </w:r>
      <w:r w:rsidR="000A1A31" w:rsidRPr="00B4646C">
        <w:rPr>
          <w:lang w:val="fr-FR" w:eastAsia="ja-JP"/>
        </w:rPr>
        <w:t>juin 20</w:t>
      </w:r>
      <w:r w:rsidR="0037285E" w:rsidRPr="00B4646C">
        <w:rPr>
          <w:lang w:val="fr-FR" w:eastAsia="ja-JP"/>
        </w:rPr>
        <w:t>16.</w:t>
      </w: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lang w:val="fr-FR" w:eastAsia="ja-JP"/>
        </w:rPr>
      </w:pP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37285E" w:rsidRPr="00B4646C">
        <w:rPr>
          <w:lang w:val="fr-FR"/>
        </w:rPr>
        <w:t>À sa première réunion, le</w:t>
      </w:r>
      <w:r w:rsidRPr="00B4646C">
        <w:rPr>
          <w:lang w:val="fr-FR"/>
        </w:rPr>
        <w:t xml:space="preserve"> </w:t>
      </w:r>
      <w:r w:rsidRPr="00B4646C">
        <w:rPr>
          <w:lang w:val="fr-FR" w:eastAsia="ja-JP"/>
        </w:rPr>
        <w:t>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DEN</w:t>
      </w:r>
      <w:r w:rsidR="0037285E" w:rsidRPr="00B4646C">
        <w:rPr>
          <w:lang w:val="fr-FR" w:eastAsia="ja-JP"/>
        </w:rPr>
        <w:t xml:space="preserve"> est convenu d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>examiner, lors de sa deuxième réunion, les résultats de l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>évaluation et les observations reçues, et de déterminer s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>il serait opportun de demander aux experts d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>adapter l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>algorithme révisé afin de le rendre plus performant.</w:t>
      </w:r>
    </w:p>
    <w:p w:rsidR="002F74EB" w:rsidRPr="00B4646C" w:rsidRDefault="002F74EB" w:rsidP="002777DA">
      <w:pPr>
        <w:rPr>
          <w:szCs w:val="24"/>
          <w:lang w:val="fr-FR" w:eastAsia="ja-JP"/>
        </w:rPr>
      </w:pPr>
    </w:p>
    <w:p w:rsidR="00E85A98" w:rsidRPr="00B4646C" w:rsidRDefault="00E85A98" w:rsidP="002777DA">
      <w:pPr>
        <w:rPr>
          <w:snapToGrid w:val="0"/>
          <w:lang w:val="fr-FR" w:eastAsia="ja-JP"/>
        </w:rPr>
      </w:pPr>
      <w:r w:rsidRPr="00B4646C">
        <w:rPr>
          <w:snapToGrid w:val="0"/>
          <w:lang w:val="fr-FR"/>
        </w:rPr>
        <w:fldChar w:fldCharType="begin"/>
      </w:r>
      <w:r w:rsidRPr="00B4646C">
        <w:rPr>
          <w:snapToGrid w:val="0"/>
          <w:lang w:val="fr-FR"/>
        </w:rPr>
        <w:instrText xml:space="preserve"> AUTONUM  </w:instrText>
      </w:r>
      <w:r w:rsidRPr="00B4646C">
        <w:rPr>
          <w:snapToGrid w:val="0"/>
          <w:lang w:val="fr-FR"/>
        </w:rPr>
        <w:fldChar w:fldCharType="end"/>
      </w:r>
      <w:r w:rsidRPr="00B4646C">
        <w:rPr>
          <w:lang w:val="fr-FR"/>
        </w:rPr>
        <w:tab/>
      </w:r>
      <w:r w:rsidR="0037285E" w:rsidRPr="00B4646C">
        <w:rPr>
          <w:lang w:val="fr-FR"/>
        </w:rPr>
        <w:t>À sa soixante</w:t>
      </w:r>
      <w:r w:rsidR="007D55A8">
        <w:rPr>
          <w:lang w:val="fr-FR"/>
        </w:rPr>
        <w:noBreakHyphen/>
      </w:r>
      <w:r w:rsidR="0037285E" w:rsidRPr="00B4646C">
        <w:rPr>
          <w:lang w:val="fr-FR"/>
        </w:rPr>
        <w:t>treiz</w:t>
      </w:r>
      <w:r w:rsidR="000A1A31" w:rsidRPr="00B4646C">
        <w:rPr>
          <w:lang w:val="fr-FR"/>
        </w:rPr>
        <w:t>ième session</w:t>
      </w:r>
      <w:r w:rsidR="0037285E" w:rsidRPr="00B4646C">
        <w:rPr>
          <w:lang w:val="fr-FR"/>
        </w:rPr>
        <w:t>,</w:t>
      </w:r>
      <w:r w:rsidR="000A1A31" w:rsidRPr="00B4646C">
        <w:rPr>
          <w:lang w:val="fr-FR"/>
        </w:rPr>
        <w:t xml:space="preserve"> le CAJ</w:t>
      </w:r>
      <w:r w:rsidR="0037285E" w:rsidRPr="00B4646C">
        <w:rPr>
          <w:lang w:val="fr-FR"/>
        </w:rPr>
        <w:t xml:space="preserve"> a pris note des travaux du WG</w:t>
      </w:r>
      <w:r w:rsidR="007D55A8">
        <w:rPr>
          <w:lang w:val="fr-FR"/>
        </w:rPr>
        <w:noBreakHyphen/>
      </w:r>
      <w:r w:rsidR="0037285E" w:rsidRPr="00B4646C">
        <w:rPr>
          <w:lang w:val="fr-FR"/>
        </w:rPr>
        <w:t>DEN concernant la possibilité d</w:t>
      </w:r>
      <w:r w:rsidR="000A1A31" w:rsidRPr="00B4646C">
        <w:rPr>
          <w:lang w:val="fr-FR"/>
        </w:rPr>
        <w:t>’</w:t>
      </w:r>
      <w:r w:rsidR="0037285E" w:rsidRPr="00B4646C">
        <w:rPr>
          <w:lang w:val="fr-FR"/>
        </w:rPr>
        <w:t>élaboration d</w:t>
      </w:r>
      <w:r w:rsidR="000A1A31" w:rsidRPr="00B4646C">
        <w:rPr>
          <w:lang w:val="fr-FR"/>
        </w:rPr>
        <w:t>’</w:t>
      </w:r>
      <w:r w:rsidR="0037285E" w:rsidRPr="00B4646C">
        <w:rPr>
          <w:lang w:val="fr-FR"/>
        </w:rPr>
        <w:t>un moteur de recherche de similitudes de l</w:t>
      </w:r>
      <w:r w:rsidR="000A1A31" w:rsidRPr="00B4646C">
        <w:rPr>
          <w:lang w:val="fr-FR"/>
        </w:rPr>
        <w:t>’</w:t>
      </w:r>
      <w:r w:rsidR="0037285E" w:rsidRPr="00B4646C">
        <w:rPr>
          <w:lang w:val="fr-FR"/>
        </w:rPr>
        <w:t>UPOV aux fins de la dénomination variétale</w:t>
      </w:r>
      <w:r w:rsidRPr="00B4646C">
        <w:rPr>
          <w:snapToGrid w:val="0"/>
          <w:lang w:val="fr-FR" w:eastAsia="ja-JP"/>
        </w:rPr>
        <w:t xml:space="preserve"> (</w:t>
      </w:r>
      <w:r w:rsidR="00AF25F1">
        <w:rPr>
          <w:snapToGrid w:val="0"/>
          <w:lang w:val="fr-FR" w:eastAsia="ja-JP"/>
        </w:rPr>
        <w:t>voir l</w:t>
      </w:r>
      <w:r w:rsidR="0037285E" w:rsidRPr="00B4646C">
        <w:rPr>
          <w:snapToGrid w:val="0"/>
          <w:lang w:val="fr-FR" w:eastAsia="ja-JP"/>
        </w:rPr>
        <w:t xml:space="preserve">e </w:t>
      </w:r>
      <w:r w:rsidR="000A1A31" w:rsidRPr="00B4646C">
        <w:rPr>
          <w:snapToGrid w:val="0"/>
          <w:lang w:val="fr-FR" w:eastAsia="ja-JP"/>
        </w:rPr>
        <w:t>paragraphe 2</w:t>
      </w:r>
      <w:r w:rsidR="0037285E" w:rsidRPr="00B4646C">
        <w:rPr>
          <w:snapToGrid w:val="0"/>
          <w:lang w:val="fr-FR" w:eastAsia="ja-JP"/>
        </w:rPr>
        <w:t>7 du</w:t>
      </w:r>
      <w:r w:rsidRPr="00B4646C">
        <w:rPr>
          <w:snapToGrid w:val="0"/>
          <w:lang w:val="fr-FR" w:eastAsia="ja-JP"/>
        </w:rPr>
        <w:t xml:space="preserve"> document CAJ/73/10 “</w:t>
      </w:r>
      <w:r w:rsidR="0037285E" w:rsidRPr="00B4646C">
        <w:rPr>
          <w:snapToGrid w:val="0"/>
          <w:lang w:val="fr-FR" w:eastAsia="ja-JP"/>
        </w:rPr>
        <w:t>Compte rendu des conclusions</w:t>
      </w:r>
      <w:r w:rsidRPr="00B4646C">
        <w:rPr>
          <w:snapToGrid w:val="0"/>
          <w:lang w:val="fr-FR" w:eastAsia="ja-JP"/>
        </w:rPr>
        <w:t>”).</w:t>
      </w: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lang w:val="fr-FR" w:eastAsia="ja-JP"/>
        </w:rPr>
      </w:pPr>
    </w:p>
    <w:p w:rsidR="000A1A31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napToGrid w:val="0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37285E" w:rsidRPr="00B4646C">
        <w:rPr>
          <w:lang w:val="fr-FR"/>
        </w:rPr>
        <w:t>À sa deuxième réunion tenue à Genève le 2</w:t>
      </w:r>
      <w:r w:rsidR="000A1A31" w:rsidRPr="00B4646C">
        <w:rPr>
          <w:lang w:val="fr-FR"/>
        </w:rPr>
        <w:t>5 octobre 20</w:t>
      </w:r>
      <w:r w:rsidR="0037285E" w:rsidRPr="00B4646C">
        <w:rPr>
          <w:lang w:val="fr-FR"/>
        </w:rPr>
        <w:t xml:space="preserve">16, le </w:t>
      </w:r>
      <w:r w:rsidRPr="00B4646C">
        <w:rPr>
          <w:lang w:val="fr-FR" w:eastAsia="ja-JP"/>
        </w:rPr>
        <w:t>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DEN</w:t>
      </w:r>
      <w:r w:rsidR="0037285E" w:rsidRPr="00B4646C">
        <w:rPr>
          <w:lang w:val="fr-FR" w:eastAsia="ja-JP"/>
        </w:rPr>
        <w:t xml:space="preserve"> n</w:t>
      </w:r>
      <w:r w:rsidR="000A1A31" w:rsidRPr="00B4646C">
        <w:rPr>
          <w:lang w:val="fr-FR" w:eastAsia="ja-JP"/>
        </w:rPr>
        <w:t>’</w:t>
      </w:r>
      <w:r w:rsidR="0037285E" w:rsidRPr="00B4646C">
        <w:rPr>
          <w:lang w:val="fr-FR" w:eastAsia="ja-JP"/>
        </w:rPr>
        <w:t>a pas examiné le</w:t>
      </w:r>
      <w:r w:rsidRPr="00B4646C">
        <w:rPr>
          <w:lang w:val="fr-FR" w:eastAsia="ja-JP"/>
        </w:rPr>
        <w:t xml:space="preserve"> document 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 xml:space="preserve">DEN/2/3 </w:t>
      </w:r>
      <w:r w:rsidRPr="00B4646C">
        <w:rPr>
          <w:szCs w:val="24"/>
          <w:lang w:val="fr-FR" w:eastAsia="ja-JP"/>
        </w:rPr>
        <w:t>“</w:t>
      </w:r>
      <w:r w:rsidRPr="00AF25F1">
        <w:rPr>
          <w:i/>
          <w:szCs w:val="24"/>
          <w:lang w:val="fr-FR" w:eastAsia="ja-JP"/>
        </w:rPr>
        <w:t xml:space="preserve">UPOV </w:t>
      </w:r>
      <w:proofErr w:type="spellStart"/>
      <w:r w:rsidRPr="00AF25F1">
        <w:rPr>
          <w:i/>
          <w:szCs w:val="24"/>
          <w:lang w:val="fr-FR" w:eastAsia="ja-JP"/>
        </w:rPr>
        <w:t>Denomination</w:t>
      </w:r>
      <w:proofErr w:type="spellEnd"/>
      <w:r w:rsidRPr="00AF25F1">
        <w:rPr>
          <w:i/>
          <w:szCs w:val="24"/>
          <w:lang w:val="fr-FR" w:eastAsia="ja-JP"/>
        </w:rPr>
        <w:t xml:space="preserve"> </w:t>
      </w:r>
      <w:proofErr w:type="spellStart"/>
      <w:r w:rsidRPr="00AF25F1">
        <w:rPr>
          <w:i/>
          <w:szCs w:val="24"/>
          <w:lang w:val="fr-FR" w:eastAsia="ja-JP"/>
        </w:rPr>
        <w:t>Similarity</w:t>
      </w:r>
      <w:proofErr w:type="spellEnd"/>
      <w:r w:rsidRPr="00AF25F1">
        <w:rPr>
          <w:i/>
          <w:szCs w:val="24"/>
          <w:lang w:val="fr-FR" w:eastAsia="ja-JP"/>
        </w:rPr>
        <w:t xml:space="preserve"> </w:t>
      </w:r>
      <w:proofErr w:type="spellStart"/>
      <w:r w:rsidRPr="00AF25F1">
        <w:rPr>
          <w:i/>
          <w:szCs w:val="24"/>
          <w:lang w:val="fr-FR" w:eastAsia="ja-JP"/>
        </w:rPr>
        <w:t>Search</w:t>
      </w:r>
      <w:proofErr w:type="spellEnd"/>
      <w:r w:rsidRPr="00AF25F1">
        <w:rPr>
          <w:i/>
          <w:szCs w:val="24"/>
          <w:lang w:val="fr-FR" w:eastAsia="ja-JP"/>
        </w:rPr>
        <w:t xml:space="preserve"> </w:t>
      </w:r>
      <w:proofErr w:type="spellStart"/>
      <w:r w:rsidRPr="00AF25F1">
        <w:rPr>
          <w:i/>
          <w:szCs w:val="24"/>
          <w:lang w:val="fr-FR" w:eastAsia="ja-JP"/>
        </w:rPr>
        <w:t>Tool</w:t>
      </w:r>
      <w:proofErr w:type="spellEnd"/>
      <w:r w:rsidRPr="00B4646C">
        <w:rPr>
          <w:szCs w:val="24"/>
          <w:lang w:val="fr-FR" w:eastAsia="ja-JP"/>
        </w:rPr>
        <w:t>”</w:t>
      </w:r>
      <w:r w:rsidR="0037285E" w:rsidRPr="00B4646C">
        <w:rPr>
          <w:szCs w:val="24"/>
          <w:lang w:val="fr-FR" w:eastAsia="ja-JP"/>
        </w:rPr>
        <w:t>.  Il l</w:t>
      </w:r>
      <w:r w:rsidR="000A1A31" w:rsidRPr="00B4646C">
        <w:rPr>
          <w:szCs w:val="24"/>
          <w:lang w:val="fr-FR" w:eastAsia="ja-JP"/>
        </w:rPr>
        <w:t>’</w:t>
      </w:r>
      <w:r w:rsidR="0037285E" w:rsidRPr="00B4646C">
        <w:rPr>
          <w:szCs w:val="24"/>
          <w:lang w:val="fr-FR" w:eastAsia="ja-JP"/>
        </w:rPr>
        <w:t>examinera à sa troisième réunion ou à une réunion ultérieure</w:t>
      </w:r>
      <w:r w:rsidR="00F75565" w:rsidRPr="00B4646C">
        <w:rPr>
          <w:snapToGrid w:val="0"/>
          <w:lang w:val="fr-FR" w:eastAsia="ja-JP"/>
        </w:rPr>
        <w:t>.</w:t>
      </w:r>
    </w:p>
    <w:p w:rsidR="00E85A98" w:rsidRPr="00B4646C" w:rsidRDefault="00E85A98" w:rsidP="002777DA">
      <w:pPr>
        <w:rPr>
          <w:lang w:val="fr-FR" w:eastAsia="ja-JP"/>
        </w:rPr>
      </w:pPr>
    </w:p>
    <w:p w:rsidR="00AC7372" w:rsidRPr="00B4646C" w:rsidRDefault="00AC7372" w:rsidP="002777DA">
      <w:pPr>
        <w:rPr>
          <w:lang w:val="fr-FR" w:eastAsia="ja-JP"/>
        </w:rPr>
      </w:pPr>
    </w:p>
    <w:p w:rsidR="00E85A98" w:rsidRPr="00B4646C" w:rsidRDefault="00F60FF9" w:rsidP="002777DA">
      <w:pPr>
        <w:pStyle w:val="Heading1"/>
        <w:rPr>
          <w:lang w:val="fr-FR"/>
        </w:rPr>
      </w:pPr>
      <w:bookmarkStart w:id="10" w:name="_Toc477357836"/>
      <w:r>
        <w:rPr>
          <w:rFonts w:cs="Arial"/>
          <w:snapToGrid w:val="0"/>
          <w:lang w:val="fr-FR" w:eastAsia="ja-JP"/>
        </w:rPr>
        <w:t>É</w:t>
      </w:r>
      <w:r w:rsidR="00E06E86" w:rsidRPr="00B4646C">
        <w:rPr>
          <w:rFonts w:cs="Arial"/>
          <w:snapToGrid w:val="0"/>
          <w:lang w:val="fr-FR" w:eastAsia="ja-JP"/>
        </w:rPr>
        <w:t>largissement du contenu de la base de données PLUTO</w:t>
      </w:r>
      <w:bookmarkEnd w:id="10"/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</w:p>
    <w:p w:rsidR="00E85A98" w:rsidRPr="00B4646C" w:rsidRDefault="00C56013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BC6F67" w:rsidRPr="00B4646C">
        <w:rPr>
          <w:lang w:val="fr-FR"/>
        </w:rPr>
        <w:t xml:space="preserve">À sa deuxième réunion tenue à Genève le </w:t>
      </w:r>
      <w:r w:rsidR="00AE1723">
        <w:rPr>
          <w:lang w:val="fr-FR"/>
        </w:rPr>
        <w:t>6 juin 2015</w:t>
      </w:r>
      <w:r w:rsidR="00BC6F67" w:rsidRPr="00B4646C">
        <w:rPr>
          <w:lang w:val="fr-FR"/>
        </w:rPr>
        <w:t xml:space="preserve">, le </w:t>
      </w:r>
      <w:r w:rsidR="00E85A98" w:rsidRPr="00B4646C">
        <w:rPr>
          <w:szCs w:val="24"/>
          <w:lang w:val="fr-FR" w:eastAsia="ja-JP"/>
        </w:rPr>
        <w:t>WG</w:t>
      </w:r>
      <w:r w:rsidR="007D55A8">
        <w:rPr>
          <w:szCs w:val="24"/>
          <w:lang w:val="fr-FR" w:eastAsia="ja-JP"/>
        </w:rPr>
        <w:noBreakHyphen/>
      </w:r>
      <w:r w:rsidR="00E85A98" w:rsidRPr="00B4646C">
        <w:rPr>
          <w:szCs w:val="24"/>
          <w:lang w:val="fr-FR" w:eastAsia="ja-JP"/>
        </w:rPr>
        <w:t>DST</w:t>
      </w:r>
      <w:r w:rsidR="00BC6F67" w:rsidRPr="00B4646C">
        <w:rPr>
          <w:szCs w:val="24"/>
          <w:lang w:val="fr-FR" w:eastAsia="ja-JP"/>
        </w:rPr>
        <w:t xml:space="preserve"> est convenu de recommander </w:t>
      </w:r>
      <w:r w:rsidR="0005453A" w:rsidRPr="00B4646C">
        <w:rPr>
          <w:szCs w:val="24"/>
          <w:lang w:val="fr-FR" w:eastAsia="ja-JP"/>
        </w:rPr>
        <w:t>d</w:t>
      </w:r>
      <w:r w:rsidR="007849B5">
        <w:rPr>
          <w:szCs w:val="24"/>
          <w:lang w:val="fr-FR" w:eastAsia="ja-JP"/>
        </w:rPr>
        <w:t>’</w:t>
      </w:r>
      <w:r w:rsidR="0005453A" w:rsidRPr="00B4646C">
        <w:rPr>
          <w:szCs w:val="24"/>
          <w:lang w:val="fr-FR" w:eastAsia="ja-JP"/>
        </w:rPr>
        <w:t>éviter de réutiliser des dénominations dans tous les c</w:t>
      </w:r>
      <w:r w:rsidR="00B4646C" w:rsidRPr="00B4646C">
        <w:rPr>
          <w:szCs w:val="24"/>
          <w:lang w:val="fr-FR" w:eastAsia="ja-JP"/>
        </w:rPr>
        <w:t xml:space="preserve">as.  À </w:t>
      </w:r>
      <w:r w:rsidR="0005453A" w:rsidRPr="00B4646C">
        <w:rPr>
          <w:szCs w:val="24"/>
          <w:lang w:val="fr-FR" w:eastAsia="ja-JP"/>
        </w:rPr>
        <w:t>cet égard, le WG</w:t>
      </w:r>
      <w:r w:rsidR="007D55A8">
        <w:rPr>
          <w:szCs w:val="24"/>
          <w:lang w:val="fr-FR" w:eastAsia="ja-JP"/>
        </w:rPr>
        <w:noBreakHyphen/>
      </w:r>
      <w:r w:rsidR="0005453A" w:rsidRPr="00B4646C">
        <w:rPr>
          <w:szCs w:val="24"/>
          <w:lang w:val="fr-FR" w:eastAsia="ja-JP"/>
        </w:rPr>
        <w:t>DST est convenu d</w:t>
      </w:r>
      <w:r w:rsidR="000A1A31" w:rsidRPr="00B4646C">
        <w:rPr>
          <w:szCs w:val="24"/>
          <w:lang w:val="fr-FR" w:eastAsia="ja-JP"/>
        </w:rPr>
        <w:t>’</w:t>
      </w:r>
      <w:r w:rsidR="0005453A" w:rsidRPr="00B4646C">
        <w:rPr>
          <w:szCs w:val="24"/>
          <w:lang w:val="fr-FR" w:eastAsia="ja-JP"/>
        </w:rPr>
        <w:t>inviter le CAJ à examiner s</w:t>
      </w:r>
      <w:r w:rsidR="000A1A31" w:rsidRPr="00B4646C">
        <w:rPr>
          <w:szCs w:val="24"/>
          <w:lang w:val="fr-FR" w:eastAsia="ja-JP"/>
        </w:rPr>
        <w:t>’</w:t>
      </w:r>
      <w:r w:rsidR="0005453A" w:rsidRPr="00B4646C">
        <w:rPr>
          <w:szCs w:val="24"/>
          <w:lang w:val="fr-FR" w:eastAsia="ja-JP"/>
        </w:rPr>
        <w:t>il convient d</w:t>
      </w:r>
      <w:r w:rsidR="000A1A31" w:rsidRPr="00B4646C">
        <w:rPr>
          <w:szCs w:val="24"/>
          <w:lang w:val="fr-FR" w:eastAsia="ja-JP"/>
        </w:rPr>
        <w:t>’</w:t>
      </w:r>
      <w:r w:rsidR="0005453A" w:rsidRPr="00B4646C">
        <w:rPr>
          <w:szCs w:val="24"/>
          <w:lang w:val="fr-FR" w:eastAsia="ja-JP"/>
        </w:rPr>
        <w:t xml:space="preserve">élargir le contenu de la base de données PLUTO à toutes les variétés reconnues, </w:t>
      </w:r>
      <w:r w:rsidR="000A1A31" w:rsidRPr="00B4646C">
        <w:rPr>
          <w:szCs w:val="24"/>
          <w:lang w:val="fr-FR" w:eastAsia="ja-JP"/>
        </w:rPr>
        <w:t>y compris</w:t>
      </w:r>
      <w:r w:rsidR="0005453A" w:rsidRPr="00B4646C">
        <w:rPr>
          <w:szCs w:val="24"/>
          <w:lang w:val="fr-FR" w:eastAsia="ja-JP"/>
        </w:rPr>
        <w:t xml:space="preserve"> celles qui n</w:t>
      </w:r>
      <w:r w:rsidR="000A1A31" w:rsidRPr="00B4646C">
        <w:rPr>
          <w:szCs w:val="24"/>
          <w:lang w:val="fr-FR" w:eastAsia="ja-JP"/>
        </w:rPr>
        <w:t>’</w:t>
      </w:r>
      <w:r w:rsidR="0005453A" w:rsidRPr="00B4646C">
        <w:rPr>
          <w:szCs w:val="24"/>
          <w:lang w:val="fr-FR" w:eastAsia="ja-JP"/>
        </w:rPr>
        <w:t>ont pas été enregistrées ou protégées, ou ne le sont plus</w:t>
      </w:r>
      <w:r w:rsidR="00E85A98" w:rsidRPr="00B4646C">
        <w:rPr>
          <w:szCs w:val="24"/>
          <w:lang w:val="fr-FR" w:eastAsia="ja-JP"/>
        </w:rPr>
        <w:t xml:space="preserve"> (</w:t>
      </w:r>
      <w:r w:rsidR="0005453A" w:rsidRPr="00B4646C">
        <w:rPr>
          <w:szCs w:val="24"/>
          <w:lang w:val="fr-FR" w:eastAsia="ja-JP"/>
        </w:rPr>
        <w:t xml:space="preserve">voir le </w:t>
      </w:r>
      <w:r w:rsidR="000A1A31" w:rsidRPr="00B4646C">
        <w:rPr>
          <w:szCs w:val="24"/>
          <w:lang w:val="fr-FR" w:eastAsia="ja-JP"/>
        </w:rPr>
        <w:t>paragraphe 3</w:t>
      </w:r>
      <w:r w:rsidR="0005453A" w:rsidRPr="00B4646C">
        <w:rPr>
          <w:szCs w:val="24"/>
          <w:lang w:val="fr-FR" w:eastAsia="ja-JP"/>
        </w:rPr>
        <w:t>0 du</w:t>
      </w:r>
      <w:r w:rsidR="002A35F3" w:rsidRPr="00B4646C">
        <w:rPr>
          <w:szCs w:val="24"/>
          <w:lang w:val="fr-FR" w:eastAsia="ja-JP"/>
        </w:rPr>
        <w:t> </w:t>
      </w:r>
      <w:r w:rsidR="000A1A31" w:rsidRPr="00B4646C">
        <w:rPr>
          <w:szCs w:val="24"/>
          <w:lang w:val="fr-FR" w:eastAsia="ja-JP"/>
        </w:rPr>
        <w:t>document UP</w:t>
      </w:r>
      <w:r w:rsidR="00E85A98" w:rsidRPr="00B4646C">
        <w:rPr>
          <w:szCs w:val="24"/>
          <w:lang w:val="fr-FR" w:eastAsia="ja-JP"/>
        </w:rPr>
        <w:t>OV/WG</w:t>
      </w:r>
      <w:r w:rsidR="007D55A8">
        <w:rPr>
          <w:szCs w:val="24"/>
          <w:lang w:val="fr-FR" w:eastAsia="ja-JP"/>
        </w:rPr>
        <w:noBreakHyphen/>
      </w:r>
      <w:r w:rsidR="00E85A98" w:rsidRPr="00B4646C">
        <w:rPr>
          <w:szCs w:val="24"/>
          <w:lang w:val="fr-FR" w:eastAsia="ja-JP"/>
        </w:rPr>
        <w:t>DST/2/6 “</w:t>
      </w:r>
      <w:r w:rsidR="00E85A98" w:rsidRPr="00AF25F1">
        <w:rPr>
          <w:i/>
          <w:szCs w:val="24"/>
          <w:lang w:val="fr-FR" w:eastAsia="ja-JP"/>
        </w:rPr>
        <w:t>Report</w:t>
      </w:r>
      <w:r w:rsidR="00E85A98" w:rsidRPr="00B4646C">
        <w:rPr>
          <w:szCs w:val="24"/>
          <w:lang w:val="fr-FR" w:eastAsia="ja-JP"/>
        </w:rPr>
        <w:t>”).</w:t>
      </w: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B4646C">
        <w:rPr>
          <w:lang w:val="fr-FR"/>
        </w:rPr>
        <w:lastRenderedPageBreak/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05453A" w:rsidRPr="00B4646C">
        <w:rPr>
          <w:lang w:val="fr-FR"/>
        </w:rPr>
        <w:t>À sa première réunion, le</w:t>
      </w:r>
      <w:r w:rsidRPr="00B4646C">
        <w:rPr>
          <w:lang w:val="fr-FR"/>
        </w:rPr>
        <w:t xml:space="preserve"> </w:t>
      </w:r>
      <w:r w:rsidRPr="00B4646C">
        <w:rPr>
          <w:lang w:val="fr-FR" w:eastAsia="ja-JP"/>
        </w:rPr>
        <w:t>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DEN</w:t>
      </w:r>
      <w:r w:rsidRPr="00B4646C">
        <w:rPr>
          <w:lang w:val="fr-FR"/>
        </w:rPr>
        <w:t xml:space="preserve"> </w:t>
      </w:r>
      <w:r w:rsidR="0005453A" w:rsidRPr="00B4646C">
        <w:rPr>
          <w:lang w:val="fr-FR" w:eastAsia="ja-JP"/>
        </w:rPr>
        <w:t>a examiné le</w:t>
      </w:r>
      <w:r w:rsidRPr="00B4646C">
        <w:rPr>
          <w:lang w:val="fr-FR" w:eastAsia="ja-JP"/>
        </w:rPr>
        <w:t xml:space="preserve"> </w:t>
      </w:r>
      <w:r w:rsidRPr="00B4646C">
        <w:rPr>
          <w:lang w:val="fr-FR"/>
        </w:rPr>
        <w:t xml:space="preserve">document </w:t>
      </w:r>
      <w:r w:rsidRPr="00B4646C">
        <w:rPr>
          <w:szCs w:val="24"/>
          <w:lang w:val="fr-FR" w:eastAsia="ja-JP"/>
        </w:rPr>
        <w:t>UPOV/WG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>DEN/1/4 “</w:t>
      </w:r>
      <w:r w:rsidRPr="00AF25F1">
        <w:rPr>
          <w:i/>
          <w:szCs w:val="24"/>
          <w:lang w:val="fr-FR" w:eastAsia="ja-JP"/>
        </w:rPr>
        <w:t xml:space="preserve">Expansion of the Content of the PLUTO </w:t>
      </w:r>
      <w:proofErr w:type="spellStart"/>
      <w:r w:rsidRPr="00AF25F1">
        <w:rPr>
          <w:i/>
          <w:szCs w:val="24"/>
          <w:lang w:val="fr-FR" w:eastAsia="ja-JP"/>
        </w:rPr>
        <w:t>Database</w:t>
      </w:r>
      <w:proofErr w:type="spellEnd"/>
      <w:r w:rsidRPr="00B4646C">
        <w:rPr>
          <w:szCs w:val="24"/>
          <w:lang w:val="fr-FR" w:eastAsia="ja-JP"/>
        </w:rPr>
        <w:t>” (</w:t>
      </w:r>
      <w:r w:rsidR="0005453A" w:rsidRPr="00B4646C">
        <w:rPr>
          <w:szCs w:val="24"/>
          <w:lang w:val="fr-FR" w:eastAsia="ja-JP"/>
        </w:rPr>
        <w:t xml:space="preserve">voir les </w:t>
      </w:r>
      <w:r w:rsidR="000A1A31" w:rsidRPr="00B4646C">
        <w:rPr>
          <w:szCs w:val="24"/>
          <w:lang w:val="fr-FR" w:eastAsia="ja-JP"/>
        </w:rPr>
        <w:t>paragraphes 5</w:t>
      </w:r>
      <w:r w:rsidR="0005453A" w:rsidRPr="00B4646C">
        <w:rPr>
          <w:szCs w:val="24"/>
          <w:lang w:val="fr-FR" w:eastAsia="ja-JP"/>
        </w:rPr>
        <w:t>4 et 55 du</w:t>
      </w:r>
      <w:r w:rsidRPr="00B4646C">
        <w:rPr>
          <w:szCs w:val="24"/>
          <w:lang w:val="fr-FR" w:eastAsia="ja-JP"/>
        </w:rPr>
        <w:t xml:space="preserve"> document 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>DEN/1/6).</w:t>
      </w: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05453A" w:rsidRPr="00B4646C">
        <w:rPr>
          <w:lang w:val="fr-FR"/>
        </w:rPr>
        <w:t xml:space="preserve">Le </w:t>
      </w:r>
      <w:r w:rsidRPr="00B4646C">
        <w:rPr>
          <w:lang w:val="fr-FR" w:eastAsia="ja-JP"/>
        </w:rPr>
        <w:t>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 xml:space="preserve">DEN </w:t>
      </w:r>
      <w:r w:rsidR="0005453A" w:rsidRPr="00B4646C">
        <w:rPr>
          <w:lang w:val="fr-FR" w:eastAsia="ja-JP"/>
        </w:rPr>
        <w:t>est convenu de reporter à sa deuxième réunion, ou à une réunion ultérieure, l</w:t>
      </w:r>
      <w:r w:rsidR="000A1A31" w:rsidRPr="00B4646C">
        <w:rPr>
          <w:lang w:val="fr-FR" w:eastAsia="ja-JP"/>
        </w:rPr>
        <w:t>’</w:t>
      </w:r>
      <w:r w:rsidR="0005453A" w:rsidRPr="00B4646C">
        <w:rPr>
          <w:lang w:val="fr-FR" w:eastAsia="ja-JP"/>
        </w:rPr>
        <w:t>examen des questions figurant dans le document</w:t>
      </w:r>
      <w:r w:rsidR="0005453A" w:rsidRPr="00B4646C">
        <w:rPr>
          <w:szCs w:val="24"/>
          <w:lang w:val="fr-FR" w:eastAsia="ja-JP"/>
        </w:rPr>
        <w:t xml:space="preserve"> UPOV/WG</w:t>
      </w:r>
      <w:r w:rsidR="007D55A8">
        <w:rPr>
          <w:szCs w:val="24"/>
          <w:lang w:val="fr-FR" w:eastAsia="ja-JP"/>
        </w:rPr>
        <w:noBreakHyphen/>
      </w:r>
      <w:r w:rsidR="0005453A" w:rsidRPr="00B4646C">
        <w:rPr>
          <w:szCs w:val="24"/>
          <w:lang w:val="fr-FR" w:eastAsia="ja-JP"/>
        </w:rPr>
        <w:t>DEN/1/4</w:t>
      </w:r>
      <w:r w:rsidRPr="00B4646C">
        <w:rPr>
          <w:szCs w:val="24"/>
          <w:lang w:val="fr-FR" w:eastAsia="ja-JP"/>
        </w:rPr>
        <w:t>.</w:t>
      </w: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</w:p>
    <w:p w:rsidR="00E85A98" w:rsidRPr="00B4646C" w:rsidRDefault="00E85A98" w:rsidP="002777DA">
      <w:pPr>
        <w:rPr>
          <w:snapToGrid w:val="0"/>
          <w:lang w:val="fr-FR" w:eastAsia="ja-JP"/>
        </w:rPr>
      </w:pPr>
      <w:r w:rsidRPr="00B4646C">
        <w:rPr>
          <w:snapToGrid w:val="0"/>
          <w:lang w:val="fr-FR"/>
        </w:rPr>
        <w:fldChar w:fldCharType="begin"/>
      </w:r>
      <w:r w:rsidRPr="00B4646C">
        <w:rPr>
          <w:snapToGrid w:val="0"/>
          <w:lang w:val="fr-FR"/>
        </w:rPr>
        <w:instrText xml:space="preserve"> AUTONUM  </w:instrText>
      </w:r>
      <w:r w:rsidRPr="00B4646C">
        <w:rPr>
          <w:snapToGrid w:val="0"/>
          <w:lang w:val="fr-FR"/>
        </w:rPr>
        <w:fldChar w:fldCharType="end"/>
      </w:r>
      <w:r w:rsidRPr="00B4646C">
        <w:rPr>
          <w:lang w:val="fr-FR"/>
        </w:rPr>
        <w:tab/>
      </w:r>
      <w:r w:rsidR="00A94ABA" w:rsidRPr="00B4646C">
        <w:rPr>
          <w:lang w:val="fr-FR"/>
        </w:rPr>
        <w:t>À sa soixante</w:t>
      </w:r>
      <w:r w:rsidR="007D55A8">
        <w:rPr>
          <w:lang w:val="fr-FR"/>
        </w:rPr>
        <w:noBreakHyphen/>
      </w:r>
      <w:r w:rsidR="00A94ABA" w:rsidRPr="00B4646C">
        <w:rPr>
          <w:lang w:val="fr-FR"/>
        </w:rPr>
        <w:t>treiz</w:t>
      </w:r>
      <w:r w:rsidR="000A1A31" w:rsidRPr="00B4646C">
        <w:rPr>
          <w:lang w:val="fr-FR"/>
        </w:rPr>
        <w:t>ième session</w:t>
      </w:r>
      <w:r w:rsidR="00A94ABA" w:rsidRPr="00B4646C">
        <w:rPr>
          <w:lang w:val="fr-FR"/>
        </w:rPr>
        <w:t>,</w:t>
      </w:r>
      <w:r w:rsidR="000A1A31" w:rsidRPr="00B4646C">
        <w:rPr>
          <w:lang w:val="fr-FR"/>
        </w:rPr>
        <w:t xml:space="preserve"> le CAJ</w:t>
      </w:r>
      <w:r w:rsidR="00A94ABA" w:rsidRPr="00B4646C">
        <w:rPr>
          <w:lang w:val="fr-FR"/>
        </w:rPr>
        <w:t xml:space="preserve"> a pris note des travaux du </w:t>
      </w:r>
      <w:r w:rsidRPr="00B4646C">
        <w:rPr>
          <w:snapToGrid w:val="0"/>
          <w:lang w:val="fr-FR" w:eastAsia="ja-JP"/>
        </w:rPr>
        <w:t>WG</w:t>
      </w:r>
      <w:r w:rsidR="007D55A8">
        <w:rPr>
          <w:snapToGrid w:val="0"/>
          <w:lang w:val="fr-FR" w:eastAsia="ja-JP"/>
        </w:rPr>
        <w:noBreakHyphen/>
      </w:r>
      <w:r w:rsidR="00A94ABA" w:rsidRPr="00B4646C">
        <w:rPr>
          <w:snapToGrid w:val="0"/>
          <w:lang w:val="fr-FR" w:eastAsia="ja-JP"/>
        </w:rPr>
        <w:t>DEN au sujet de l</w:t>
      </w:r>
      <w:r w:rsidR="000A1A31" w:rsidRPr="00B4646C">
        <w:rPr>
          <w:snapToGrid w:val="0"/>
          <w:lang w:val="fr-FR" w:eastAsia="ja-JP"/>
        </w:rPr>
        <w:t>’</w:t>
      </w:r>
      <w:r w:rsidR="00A94ABA" w:rsidRPr="00B4646C">
        <w:rPr>
          <w:snapToGrid w:val="0"/>
          <w:lang w:val="fr-FR" w:eastAsia="ja-JP"/>
        </w:rPr>
        <w:t xml:space="preserve">élargissement du contenu de la base de données </w:t>
      </w:r>
      <w:r w:rsidRPr="00B4646C">
        <w:rPr>
          <w:snapToGrid w:val="0"/>
          <w:lang w:val="fr-FR" w:eastAsia="ja-JP"/>
        </w:rPr>
        <w:t>PLUTO (</w:t>
      </w:r>
      <w:r w:rsidR="00A94ABA" w:rsidRPr="00B4646C">
        <w:rPr>
          <w:snapToGrid w:val="0"/>
          <w:lang w:val="fr-FR" w:eastAsia="ja-JP"/>
        </w:rPr>
        <w:t xml:space="preserve">voir le </w:t>
      </w:r>
      <w:r w:rsidR="000A1A31" w:rsidRPr="00B4646C">
        <w:rPr>
          <w:snapToGrid w:val="0"/>
          <w:lang w:val="fr-FR" w:eastAsia="ja-JP"/>
        </w:rPr>
        <w:t>paragraphe 2</w:t>
      </w:r>
      <w:r w:rsidR="00A94ABA" w:rsidRPr="00B4646C">
        <w:rPr>
          <w:snapToGrid w:val="0"/>
          <w:lang w:val="fr-FR" w:eastAsia="ja-JP"/>
        </w:rPr>
        <w:t xml:space="preserve">8 du </w:t>
      </w:r>
      <w:r w:rsidRPr="00B4646C">
        <w:rPr>
          <w:snapToGrid w:val="0"/>
          <w:lang w:val="fr-FR" w:eastAsia="ja-JP"/>
        </w:rPr>
        <w:t>document CAJ/73/10</w:t>
      </w:r>
      <w:r w:rsidR="00AE1723">
        <w:rPr>
          <w:snapToGrid w:val="0"/>
          <w:lang w:val="fr-FR" w:eastAsia="ja-JP"/>
        </w:rPr>
        <w:t xml:space="preserve"> </w:t>
      </w:r>
      <w:r w:rsidR="00AE1723" w:rsidRPr="00B4646C">
        <w:rPr>
          <w:szCs w:val="24"/>
          <w:lang w:val="fr-FR" w:eastAsia="ja-JP"/>
        </w:rPr>
        <w:t>“</w:t>
      </w:r>
      <w:r w:rsidR="00AE1723" w:rsidRPr="00AE1723">
        <w:rPr>
          <w:lang w:val="fr-FR"/>
        </w:rPr>
        <w:t>Compte rendu des conclusions</w:t>
      </w:r>
      <w:r w:rsidR="00AE1723" w:rsidRPr="00B4646C">
        <w:rPr>
          <w:szCs w:val="24"/>
          <w:lang w:val="fr-FR" w:eastAsia="ja-JP"/>
        </w:rPr>
        <w:t>”</w:t>
      </w:r>
      <w:r w:rsidRPr="00B4646C">
        <w:rPr>
          <w:snapToGrid w:val="0"/>
          <w:lang w:val="fr-FR" w:eastAsia="ja-JP"/>
        </w:rPr>
        <w:t>).</w:t>
      </w: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napToGrid w:val="0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A94ABA" w:rsidRPr="00B4646C">
        <w:rPr>
          <w:lang w:val="fr-FR"/>
        </w:rPr>
        <w:t>À sa deuxième réunion, le</w:t>
      </w:r>
      <w:r w:rsidRPr="00B4646C">
        <w:rPr>
          <w:lang w:val="fr-FR" w:eastAsia="ja-JP"/>
        </w:rPr>
        <w:t xml:space="preserve"> 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DEN</w:t>
      </w:r>
      <w:r w:rsidR="00A94ABA" w:rsidRPr="00B4646C">
        <w:rPr>
          <w:lang w:val="fr-FR" w:eastAsia="ja-JP"/>
        </w:rPr>
        <w:t xml:space="preserve"> n</w:t>
      </w:r>
      <w:r w:rsidR="000A1A31" w:rsidRPr="00B4646C">
        <w:rPr>
          <w:lang w:val="fr-FR" w:eastAsia="ja-JP"/>
        </w:rPr>
        <w:t>’</w:t>
      </w:r>
      <w:r w:rsidR="00A94ABA" w:rsidRPr="00B4646C">
        <w:rPr>
          <w:lang w:val="fr-FR" w:eastAsia="ja-JP"/>
        </w:rPr>
        <w:t xml:space="preserve">a pas examiné le </w:t>
      </w:r>
      <w:r w:rsidR="000A1A31" w:rsidRPr="00B4646C">
        <w:rPr>
          <w:lang w:val="fr-FR"/>
        </w:rPr>
        <w:t xml:space="preserve">document </w:t>
      </w:r>
      <w:r w:rsidR="000A1A31" w:rsidRPr="00B4646C">
        <w:rPr>
          <w:szCs w:val="24"/>
          <w:lang w:val="fr-FR" w:eastAsia="ja-JP"/>
        </w:rPr>
        <w:t>UP</w:t>
      </w:r>
      <w:r w:rsidRPr="00B4646C">
        <w:rPr>
          <w:szCs w:val="24"/>
          <w:lang w:val="fr-FR" w:eastAsia="ja-JP"/>
        </w:rPr>
        <w:t>OV/WG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>DEN/1/4</w:t>
      </w:r>
      <w:r w:rsidRPr="00B4646C">
        <w:rPr>
          <w:snapToGrid w:val="0"/>
          <w:lang w:val="fr-FR" w:eastAsia="ja-JP"/>
        </w:rPr>
        <w:t xml:space="preserve">.  </w:t>
      </w:r>
      <w:r w:rsidR="00A94ABA" w:rsidRPr="00B4646C">
        <w:rPr>
          <w:snapToGrid w:val="0"/>
          <w:lang w:val="fr-FR" w:eastAsia="ja-JP"/>
        </w:rPr>
        <w:t>Il l</w:t>
      </w:r>
      <w:r w:rsidR="000A1A31" w:rsidRPr="00B4646C">
        <w:rPr>
          <w:snapToGrid w:val="0"/>
          <w:lang w:val="fr-FR" w:eastAsia="ja-JP"/>
        </w:rPr>
        <w:t>’</w:t>
      </w:r>
      <w:r w:rsidR="00A94ABA" w:rsidRPr="00B4646C">
        <w:rPr>
          <w:snapToGrid w:val="0"/>
          <w:lang w:val="fr-FR" w:eastAsia="ja-JP"/>
        </w:rPr>
        <w:t>ex</w:t>
      </w:r>
      <w:r w:rsidR="00AE1723">
        <w:rPr>
          <w:snapToGrid w:val="0"/>
          <w:lang w:val="fr-FR" w:eastAsia="ja-JP"/>
        </w:rPr>
        <w:t>aminera à sa troisième réunion</w:t>
      </w:r>
      <w:r w:rsidRPr="00B4646C">
        <w:rPr>
          <w:snapToGrid w:val="0"/>
          <w:lang w:val="fr-FR" w:eastAsia="ja-JP"/>
        </w:rPr>
        <w:t>.</w:t>
      </w:r>
    </w:p>
    <w:p w:rsidR="00E85A98" w:rsidRPr="00B4646C" w:rsidRDefault="00E85A98" w:rsidP="002777DA">
      <w:pPr>
        <w:pStyle w:val="Heading1"/>
        <w:rPr>
          <w:lang w:val="fr-FR" w:eastAsia="ja-JP"/>
        </w:rPr>
      </w:pPr>
    </w:p>
    <w:p w:rsidR="00A70250" w:rsidRPr="00B4646C" w:rsidRDefault="00A70250" w:rsidP="002777DA">
      <w:pPr>
        <w:rPr>
          <w:lang w:val="fr-FR" w:eastAsia="ja-JP"/>
        </w:rPr>
      </w:pPr>
    </w:p>
    <w:p w:rsidR="00E85A98" w:rsidRPr="00B4646C" w:rsidRDefault="00F60FF9" w:rsidP="002777DA">
      <w:pPr>
        <w:pStyle w:val="Heading1"/>
        <w:rPr>
          <w:lang w:val="fr-FR"/>
        </w:rPr>
      </w:pPr>
      <w:bookmarkStart w:id="11" w:name="_Toc477357837"/>
      <w:r>
        <w:rPr>
          <w:rFonts w:cs="Arial"/>
          <w:snapToGrid w:val="0"/>
          <w:lang w:val="fr-FR" w:eastAsia="ja-JP"/>
        </w:rPr>
        <w:t>T</w:t>
      </w:r>
      <w:r w:rsidR="00E06E86" w:rsidRPr="00B4646C">
        <w:rPr>
          <w:rFonts w:cs="Arial"/>
          <w:snapToGrid w:val="0"/>
          <w:lang w:val="fr-FR" w:eastAsia="ja-JP"/>
        </w:rPr>
        <w:t>ermes non acceptables</w:t>
      </w:r>
      <w:bookmarkEnd w:id="11"/>
    </w:p>
    <w:p w:rsidR="00E85A98" w:rsidRPr="00B4646C" w:rsidRDefault="00E85A98" w:rsidP="002777DA">
      <w:pPr>
        <w:pStyle w:val="ListParagraph"/>
        <w:keepNext/>
        <w:autoSpaceDE w:val="0"/>
        <w:autoSpaceDN w:val="0"/>
        <w:adjustRightInd w:val="0"/>
        <w:ind w:left="0"/>
        <w:contextualSpacing w:val="0"/>
        <w:jc w:val="left"/>
        <w:rPr>
          <w:szCs w:val="24"/>
          <w:lang w:val="fr-FR" w:eastAsia="ja-JP"/>
        </w:rPr>
      </w:pPr>
    </w:p>
    <w:p w:rsidR="00E85A98" w:rsidRPr="00B4646C" w:rsidRDefault="00E85A98" w:rsidP="002777DA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5F5552" w:rsidRPr="00B4646C">
        <w:rPr>
          <w:lang w:val="fr-FR"/>
        </w:rPr>
        <w:t>À sa deuxième réunion, le</w:t>
      </w:r>
      <w:r w:rsidRPr="00B4646C">
        <w:rPr>
          <w:szCs w:val="24"/>
          <w:lang w:val="fr-FR" w:eastAsia="ja-JP"/>
        </w:rPr>
        <w:t xml:space="preserve"> 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>DST</w:t>
      </w:r>
      <w:r w:rsidR="005F5552" w:rsidRPr="00B4646C">
        <w:rPr>
          <w:szCs w:val="24"/>
          <w:lang w:val="fr-FR" w:eastAsia="ja-JP"/>
        </w:rPr>
        <w:t xml:space="preserve"> est convenu d</w:t>
      </w:r>
      <w:r w:rsidR="000A1A31" w:rsidRPr="00B4646C">
        <w:rPr>
          <w:szCs w:val="24"/>
          <w:lang w:val="fr-FR" w:eastAsia="ja-JP"/>
        </w:rPr>
        <w:t>’</w:t>
      </w:r>
      <w:r w:rsidR="005F5552" w:rsidRPr="00B4646C">
        <w:rPr>
          <w:szCs w:val="24"/>
          <w:lang w:val="fr-FR" w:eastAsia="ja-JP"/>
        </w:rPr>
        <w:t>inviter</w:t>
      </w:r>
      <w:r w:rsidR="000A1A31" w:rsidRPr="00B4646C">
        <w:rPr>
          <w:szCs w:val="24"/>
          <w:lang w:val="fr-FR" w:eastAsia="ja-JP"/>
        </w:rPr>
        <w:t xml:space="preserve"> le CAJ</w:t>
      </w:r>
      <w:r w:rsidR="005F5552" w:rsidRPr="00B4646C">
        <w:rPr>
          <w:szCs w:val="24"/>
          <w:lang w:val="fr-FR" w:eastAsia="ja-JP"/>
        </w:rPr>
        <w:t xml:space="preserve"> à examiner s</w:t>
      </w:r>
      <w:r w:rsidR="000A1A31" w:rsidRPr="00B4646C">
        <w:rPr>
          <w:szCs w:val="24"/>
          <w:lang w:val="fr-FR" w:eastAsia="ja-JP"/>
        </w:rPr>
        <w:t>’</w:t>
      </w:r>
      <w:r w:rsidR="005F5552" w:rsidRPr="00B4646C">
        <w:rPr>
          <w:szCs w:val="24"/>
          <w:lang w:val="fr-FR" w:eastAsia="ja-JP"/>
        </w:rPr>
        <w:t>il était justifié d</w:t>
      </w:r>
      <w:r w:rsidR="000A1A31" w:rsidRPr="00B4646C">
        <w:rPr>
          <w:szCs w:val="24"/>
          <w:lang w:val="fr-FR" w:eastAsia="ja-JP"/>
        </w:rPr>
        <w:t>’</w:t>
      </w:r>
      <w:r w:rsidR="005F5552" w:rsidRPr="00B4646C">
        <w:rPr>
          <w:szCs w:val="24"/>
          <w:lang w:val="fr-FR" w:eastAsia="ja-JP"/>
        </w:rPr>
        <w:t>établir une liste de termes non acceptables dans les dénominations variétales, comme fonction supplémentaire du moteur de recherche de similitudes de l</w:t>
      </w:r>
      <w:r w:rsidR="000A1A31" w:rsidRPr="00B4646C">
        <w:rPr>
          <w:szCs w:val="24"/>
          <w:lang w:val="fr-FR" w:eastAsia="ja-JP"/>
        </w:rPr>
        <w:t>’</w:t>
      </w:r>
      <w:r w:rsidR="005F5552" w:rsidRPr="00B4646C">
        <w:rPr>
          <w:szCs w:val="24"/>
          <w:lang w:val="fr-FR" w:eastAsia="ja-JP"/>
        </w:rPr>
        <w:t>UPOV aux fins de la dénomination variétale</w:t>
      </w:r>
      <w:r w:rsidRPr="00B4646C">
        <w:rPr>
          <w:szCs w:val="24"/>
          <w:lang w:val="fr-FR" w:eastAsia="ja-JP"/>
        </w:rPr>
        <w:t xml:space="preserve"> (</w:t>
      </w:r>
      <w:r w:rsidR="005F5552" w:rsidRPr="00B4646C">
        <w:rPr>
          <w:szCs w:val="24"/>
          <w:lang w:val="fr-FR" w:eastAsia="ja-JP"/>
        </w:rPr>
        <w:t xml:space="preserve">voir le </w:t>
      </w:r>
      <w:r w:rsidR="000A1A31" w:rsidRPr="00B4646C">
        <w:rPr>
          <w:szCs w:val="24"/>
          <w:lang w:val="fr-FR" w:eastAsia="ja-JP"/>
        </w:rPr>
        <w:t>paragraphe 1</w:t>
      </w:r>
      <w:r w:rsidR="005F5552" w:rsidRPr="00B4646C">
        <w:rPr>
          <w:szCs w:val="24"/>
          <w:lang w:val="fr-FR" w:eastAsia="ja-JP"/>
        </w:rPr>
        <w:t>2 du</w:t>
      </w:r>
      <w:r w:rsidRPr="00B4646C">
        <w:rPr>
          <w:szCs w:val="24"/>
          <w:lang w:val="fr-FR" w:eastAsia="ja-JP"/>
        </w:rPr>
        <w:t xml:space="preserve"> document UPOV/WG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>DST/2/6 “</w:t>
      </w:r>
      <w:r w:rsidRPr="00AF25F1">
        <w:rPr>
          <w:i/>
          <w:szCs w:val="24"/>
          <w:lang w:val="fr-FR" w:eastAsia="ja-JP"/>
        </w:rPr>
        <w:t>Report</w:t>
      </w:r>
      <w:r w:rsidRPr="00B4646C">
        <w:rPr>
          <w:szCs w:val="24"/>
          <w:lang w:val="fr-FR" w:eastAsia="ja-JP"/>
        </w:rPr>
        <w:t>”).</w:t>
      </w:r>
    </w:p>
    <w:p w:rsidR="00E85A98" w:rsidRPr="00B4646C" w:rsidRDefault="00E85A98" w:rsidP="002777DA">
      <w:pPr>
        <w:pStyle w:val="ListParagraph"/>
        <w:keepNext/>
        <w:autoSpaceDE w:val="0"/>
        <w:autoSpaceDN w:val="0"/>
        <w:adjustRightInd w:val="0"/>
        <w:ind w:left="0"/>
        <w:contextualSpacing w:val="0"/>
        <w:jc w:val="left"/>
        <w:rPr>
          <w:szCs w:val="24"/>
          <w:lang w:val="fr-FR" w:eastAsia="ja-JP"/>
        </w:rPr>
      </w:pP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5F5552" w:rsidRPr="00B4646C">
        <w:rPr>
          <w:lang w:val="fr-FR"/>
        </w:rPr>
        <w:t>À sa première réunion, le</w:t>
      </w:r>
      <w:r w:rsidRPr="00B4646C">
        <w:rPr>
          <w:lang w:val="fr-FR"/>
        </w:rPr>
        <w:t xml:space="preserve"> </w:t>
      </w:r>
      <w:r w:rsidRPr="00B4646C">
        <w:rPr>
          <w:lang w:val="fr-FR" w:eastAsia="ja-JP"/>
        </w:rPr>
        <w:t>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DEN</w:t>
      </w:r>
      <w:r w:rsidRPr="00B4646C">
        <w:rPr>
          <w:lang w:val="fr-FR"/>
        </w:rPr>
        <w:t xml:space="preserve"> </w:t>
      </w:r>
      <w:r w:rsidR="005F5552" w:rsidRPr="00B4646C">
        <w:rPr>
          <w:lang w:val="fr-FR"/>
        </w:rPr>
        <w:t>a examiné le</w:t>
      </w:r>
      <w:r w:rsidRPr="00B4646C">
        <w:rPr>
          <w:lang w:val="fr-FR" w:eastAsia="ja-JP"/>
        </w:rPr>
        <w:t xml:space="preserve"> </w:t>
      </w:r>
      <w:r w:rsidRPr="00B4646C">
        <w:rPr>
          <w:lang w:val="fr-FR"/>
        </w:rPr>
        <w:t xml:space="preserve">document </w:t>
      </w:r>
      <w:r w:rsidRPr="00B4646C">
        <w:rPr>
          <w:szCs w:val="24"/>
          <w:lang w:val="fr-FR" w:eastAsia="ja-JP"/>
        </w:rPr>
        <w:t>UPOV/WG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>DEN/1/5 “</w:t>
      </w:r>
      <w:r w:rsidRPr="00AF25F1">
        <w:rPr>
          <w:i/>
          <w:szCs w:val="24"/>
          <w:lang w:val="fr-FR" w:eastAsia="ja-JP"/>
        </w:rPr>
        <w:t>Non</w:t>
      </w:r>
      <w:r w:rsidR="007D55A8" w:rsidRPr="00AF25F1">
        <w:rPr>
          <w:i/>
          <w:szCs w:val="24"/>
          <w:lang w:val="fr-FR" w:eastAsia="ja-JP"/>
        </w:rPr>
        <w:noBreakHyphen/>
      </w:r>
      <w:r w:rsidRPr="00AF25F1">
        <w:rPr>
          <w:i/>
          <w:szCs w:val="24"/>
          <w:lang w:val="fr-FR" w:eastAsia="ja-JP"/>
        </w:rPr>
        <w:t xml:space="preserve">Acceptable </w:t>
      </w:r>
      <w:proofErr w:type="spellStart"/>
      <w:r w:rsidRPr="00AF25F1">
        <w:rPr>
          <w:i/>
          <w:szCs w:val="24"/>
          <w:lang w:val="fr-FR" w:eastAsia="ja-JP"/>
        </w:rPr>
        <w:t>Terms</w:t>
      </w:r>
      <w:proofErr w:type="spellEnd"/>
      <w:r w:rsidRPr="00B4646C">
        <w:rPr>
          <w:szCs w:val="24"/>
          <w:lang w:val="fr-FR" w:eastAsia="ja-JP"/>
        </w:rPr>
        <w:t xml:space="preserve">” </w:t>
      </w:r>
      <w:r w:rsidR="005F5552" w:rsidRPr="00B4646C">
        <w:rPr>
          <w:szCs w:val="24"/>
          <w:lang w:val="fr-FR" w:eastAsia="ja-JP"/>
        </w:rPr>
        <w:t>et a pris note des faits nouveaux dont il est rendu compte dans ce document</w:t>
      </w:r>
      <w:r w:rsidRPr="00B4646C">
        <w:rPr>
          <w:szCs w:val="24"/>
          <w:lang w:val="fr-FR" w:eastAsia="ja-JP"/>
        </w:rPr>
        <w:t xml:space="preserve"> (</w:t>
      </w:r>
      <w:r w:rsidR="005F5552" w:rsidRPr="00B4646C">
        <w:rPr>
          <w:szCs w:val="24"/>
          <w:lang w:val="fr-FR" w:eastAsia="ja-JP"/>
        </w:rPr>
        <w:t xml:space="preserve">voir les </w:t>
      </w:r>
      <w:r w:rsidR="000A1A31" w:rsidRPr="00B4646C">
        <w:rPr>
          <w:szCs w:val="24"/>
          <w:lang w:val="fr-FR" w:eastAsia="ja-JP"/>
        </w:rPr>
        <w:t>paragraphes 5</w:t>
      </w:r>
      <w:r w:rsidR="005F5552" w:rsidRPr="00B4646C">
        <w:rPr>
          <w:szCs w:val="24"/>
          <w:lang w:val="fr-FR" w:eastAsia="ja-JP"/>
        </w:rPr>
        <w:t>6 à 58 du</w:t>
      </w:r>
      <w:r w:rsidRPr="00B4646C">
        <w:rPr>
          <w:szCs w:val="24"/>
          <w:lang w:val="fr-FR" w:eastAsia="ja-JP"/>
        </w:rPr>
        <w:t xml:space="preserve"> document 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>DEN/1/6).</w:t>
      </w:r>
    </w:p>
    <w:p w:rsidR="008B6E65" w:rsidRPr="00B4646C" w:rsidRDefault="008B6E65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lang w:val="fr-FR"/>
        </w:rPr>
      </w:pP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0C4D1F" w:rsidRPr="00B4646C">
        <w:rPr>
          <w:lang w:val="fr-FR"/>
        </w:rPr>
        <w:t>Le WG</w:t>
      </w:r>
      <w:r w:rsidR="007D55A8">
        <w:rPr>
          <w:lang w:val="fr-FR"/>
        </w:rPr>
        <w:noBreakHyphen/>
      </w:r>
      <w:r w:rsidR="000C4D1F" w:rsidRPr="00B4646C">
        <w:rPr>
          <w:lang w:val="fr-FR"/>
        </w:rPr>
        <w:t>DEN est convenu de reporter à sa deuxième réunion, ou à une réunion ultérieure, l</w:t>
      </w:r>
      <w:r w:rsidR="000A1A31" w:rsidRPr="00B4646C">
        <w:rPr>
          <w:lang w:val="fr-FR"/>
        </w:rPr>
        <w:t>’</w:t>
      </w:r>
      <w:r w:rsidR="000C4D1F" w:rsidRPr="00B4646C">
        <w:rPr>
          <w:lang w:val="fr-FR"/>
        </w:rPr>
        <w:t>examen de l</w:t>
      </w:r>
      <w:r w:rsidR="000A1A31" w:rsidRPr="00B4646C">
        <w:rPr>
          <w:lang w:val="fr-FR"/>
        </w:rPr>
        <w:t>’</w:t>
      </w:r>
      <w:r w:rsidR="000C4D1F" w:rsidRPr="00B4646C">
        <w:rPr>
          <w:lang w:val="fr-FR"/>
        </w:rPr>
        <w:t>éventualité d</w:t>
      </w:r>
      <w:r w:rsidR="000A1A31" w:rsidRPr="00B4646C">
        <w:rPr>
          <w:lang w:val="fr-FR"/>
        </w:rPr>
        <w:t>’</w:t>
      </w:r>
      <w:r w:rsidR="000C4D1F" w:rsidRPr="00B4646C">
        <w:rPr>
          <w:lang w:val="fr-FR"/>
        </w:rPr>
        <w:t>un sondage destiné aux membres de l</w:t>
      </w:r>
      <w:r w:rsidR="000A1A31" w:rsidRPr="00B4646C">
        <w:rPr>
          <w:lang w:val="fr-FR"/>
        </w:rPr>
        <w:t>’</w:t>
      </w:r>
      <w:r w:rsidR="000C4D1F" w:rsidRPr="00B4646C">
        <w:rPr>
          <w:lang w:val="fr-FR"/>
        </w:rPr>
        <w:t>Union au sujet des noms botaniques et communs des genres ayant un sens plus large.</w:t>
      </w: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</w:p>
    <w:p w:rsidR="00E85A98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0C4D1F" w:rsidRPr="00B4646C">
        <w:rPr>
          <w:lang w:val="fr-FR"/>
        </w:rPr>
        <w:t>Le WG</w:t>
      </w:r>
      <w:r w:rsidR="007D55A8">
        <w:rPr>
          <w:lang w:val="fr-FR"/>
        </w:rPr>
        <w:noBreakHyphen/>
      </w:r>
      <w:r w:rsidR="000C4D1F" w:rsidRPr="00B4646C">
        <w:rPr>
          <w:lang w:val="fr-FR"/>
        </w:rPr>
        <w:t>DEN est convenu de reporter à sa deuxième réunion, ou à une réunion ultérieure, l</w:t>
      </w:r>
      <w:r w:rsidR="000A1A31" w:rsidRPr="00B4646C">
        <w:rPr>
          <w:lang w:val="fr-FR"/>
        </w:rPr>
        <w:t>’</w:t>
      </w:r>
      <w:r w:rsidR="000C4D1F" w:rsidRPr="00B4646C">
        <w:rPr>
          <w:lang w:val="fr-FR"/>
        </w:rPr>
        <w:t>enquête concernant une liste de comparatifs ou superlatifs communs.</w:t>
      </w:r>
    </w:p>
    <w:p w:rsidR="00E85A98" w:rsidRPr="00B4646C" w:rsidRDefault="00E85A98" w:rsidP="002777DA">
      <w:pPr>
        <w:rPr>
          <w:lang w:val="fr-FR" w:eastAsia="ja-JP"/>
        </w:rPr>
      </w:pPr>
    </w:p>
    <w:p w:rsidR="000A1A31" w:rsidRPr="00B4646C" w:rsidRDefault="00E85A98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snapToGrid w:val="0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0C4D1F" w:rsidRPr="00B4646C">
        <w:rPr>
          <w:lang w:val="fr-FR"/>
        </w:rPr>
        <w:t>À sa deuxième réunion, le</w:t>
      </w:r>
      <w:r w:rsidRPr="00B4646C">
        <w:rPr>
          <w:lang w:val="fr-FR" w:eastAsia="ja-JP"/>
        </w:rPr>
        <w:t xml:space="preserve"> WG</w:t>
      </w:r>
      <w:r w:rsidR="007D55A8">
        <w:rPr>
          <w:lang w:val="fr-FR" w:eastAsia="ja-JP"/>
        </w:rPr>
        <w:noBreakHyphen/>
      </w:r>
      <w:r w:rsidRPr="00B4646C">
        <w:rPr>
          <w:lang w:val="fr-FR" w:eastAsia="ja-JP"/>
        </w:rPr>
        <w:t>DEN</w:t>
      </w:r>
      <w:r w:rsidR="000C4D1F" w:rsidRPr="00B4646C">
        <w:rPr>
          <w:lang w:val="fr-FR" w:eastAsia="ja-JP"/>
        </w:rPr>
        <w:t xml:space="preserve"> n</w:t>
      </w:r>
      <w:r w:rsidR="000A1A31" w:rsidRPr="00B4646C">
        <w:rPr>
          <w:lang w:val="fr-FR" w:eastAsia="ja-JP"/>
        </w:rPr>
        <w:t>’</w:t>
      </w:r>
      <w:r w:rsidR="000C4D1F" w:rsidRPr="00B4646C">
        <w:rPr>
          <w:lang w:val="fr-FR" w:eastAsia="ja-JP"/>
        </w:rPr>
        <w:t xml:space="preserve">a pas examiné le </w:t>
      </w:r>
      <w:r w:rsidRPr="00B4646C">
        <w:rPr>
          <w:lang w:val="fr-FR"/>
        </w:rPr>
        <w:t xml:space="preserve">document </w:t>
      </w:r>
      <w:r w:rsidRPr="00B4646C">
        <w:rPr>
          <w:szCs w:val="24"/>
          <w:lang w:val="fr-FR" w:eastAsia="ja-JP"/>
        </w:rPr>
        <w:t>UPOV/WG</w:t>
      </w:r>
      <w:r w:rsidR="007D55A8">
        <w:rPr>
          <w:szCs w:val="24"/>
          <w:lang w:val="fr-FR" w:eastAsia="ja-JP"/>
        </w:rPr>
        <w:noBreakHyphen/>
      </w:r>
      <w:r w:rsidRPr="00B4646C">
        <w:rPr>
          <w:szCs w:val="24"/>
          <w:lang w:val="fr-FR" w:eastAsia="ja-JP"/>
        </w:rPr>
        <w:t>DEN/1/5</w:t>
      </w:r>
      <w:r w:rsidRPr="00B4646C">
        <w:rPr>
          <w:snapToGrid w:val="0"/>
          <w:lang w:val="fr-FR" w:eastAsia="ja-JP"/>
        </w:rPr>
        <w:t xml:space="preserve">.  </w:t>
      </w:r>
      <w:r w:rsidR="000C4D1F" w:rsidRPr="00B4646C">
        <w:rPr>
          <w:snapToGrid w:val="0"/>
          <w:lang w:val="fr-FR" w:eastAsia="ja-JP"/>
        </w:rPr>
        <w:t>Il l</w:t>
      </w:r>
      <w:r w:rsidR="000A1A31" w:rsidRPr="00B4646C">
        <w:rPr>
          <w:snapToGrid w:val="0"/>
          <w:lang w:val="fr-FR" w:eastAsia="ja-JP"/>
        </w:rPr>
        <w:t>’</w:t>
      </w:r>
      <w:r w:rsidR="000C4D1F" w:rsidRPr="00B4646C">
        <w:rPr>
          <w:snapToGrid w:val="0"/>
          <w:lang w:val="fr-FR" w:eastAsia="ja-JP"/>
        </w:rPr>
        <w:t>examinera à sa troisième réunion</w:t>
      </w:r>
      <w:r w:rsidR="00F75565" w:rsidRPr="00B4646C">
        <w:rPr>
          <w:snapToGrid w:val="0"/>
          <w:lang w:val="fr-FR" w:eastAsia="ja-JP"/>
        </w:rPr>
        <w:t>.</w:t>
      </w:r>
    </w:p>
    <w:p w:rsidR="001D4CA1" w:rsidRPr="00B4646C" w:rsidRDefault="001D4CA1" w:rsidP="002777DA">
      <w:pPr>
        <w:pStyle w:val="ListParagraph"/>
        <w:autoSpaceDE w:val="0"/>
        <w:autoSpaceDN w:val="0"/>
        <w:adjustRightInd w:val="0"/>
        <w:ind w:left="0"/>
        <w:contextualSpacing w:val="0"/>
        <w:rPr>
          <w:lang w:val="fr-FR" w:eastAsia="ja-JP"/>
        </w:rPr>
      </w:pPr>
    </w:p>
    <w:p w:rsidR="00A70250" w:rsidRPr="00B4646C" w:rsidRDefault="00A70250" w:rsidP="002777DA">
      <w:pPr>
        <w:pStyle w:val="Heading1"/>
        <w:rPr>
          <w:lang w:val="fr-FR"/>
        </w:rPr>
      </w:pPr>
    </w:p>
    <w:p w:rsidR="00A77F35" w:rsidRPr="00B4646C" w:rsidRDefault="00A77F35" w:rsidP="002777DA">
      <w:pPr>
        <w:pStyle w:val="Heading1"/>
        <w:rPr>
          <w:lang w:val="fr-FR"/>
        </w:rPr>
      </w:pPr>
      <w:bookmarkStart w:id="12" w:name="_Toc477357838"/>
      <w:r w:rsidRPr="00B4646C">
        <w:rPr>
          <w:lang w:val="fr-FR"/>
        </w:rPr>
        <w:t xml:space="preserve">Date </w:t>
      </w:r>
      <w:r w:rsidR="001162CC" w:rsidRPr="00B4646C">
        <w:rPr>
          <w:lang w:val="fr-FR"/>
        </w:rPr>
        <w:t>et programme de la prochaine réunion</w:t>
      </w:r>
      <w:bookmarkEnd w:id="12"/>
    </w:p>
    <w:p w:rsidR="00A77F35" w:rsidRPr="00B4646C" w:rsidRDefault="00A77F35" w:rsidP="002777DA">
      <w:pPr>
        <w:keepNext/>
        <w:rPr>
          <w:color w:val="000000" w:themeColor="text1"/>
          <w:lang w:val="fr-FR" w:eastAsia="ja-JP"/>
        </w:rPr>
      </w:pPr>
    </w:p>
    <w:p w:rsidR="00A77F35" w:rsidRPr="00B4646C" w:rsidRDefault="00A77F35" w:rsidP="002777DA">
      <w:pPr>
        <w:rPr>
          <w:color w:val="000000" w:themeColor="text1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1162CC" w:rsidRPr="00B4646C">
        <w:rPr>
          <w:lang w:val="fr-FR"/>
        </w:rPr>
        <w:t>À sa deuxième réunion, le</w:t>
      </w:r>
      <w:r w:rsidRPr="00B4646C">
        <w:rPr>
          <w:rFonts w:cs="Arial"/>
          <w:lang w:val="fr-FR"/>
        </w:rPr>
        <w:t xml:space="preserve"> </w:t>
      </w:r>
      <w:r w:rsidRPr="00B4646C">
        <w:rPr>
          <w:rFonts w:cs="Arial"/>
          <w:lang w:val="fr-FR" w:eastAsia="ja-JP"/>
        </w:rPr>
        <w:t>WG</w:t>
      </w:r>
      <w:r w:rsidR="007D55A8">
        <w:rPr>
          <w:rFonts w:cs="Arial"/>
          <w:lang w:val="fr-FR" w:eastAsia="ja-JP"/>
        </w:rPr>
        <w:noBreakHyphen/>
      </w:r>
      <w:r w:rsidRPr="00B4646C">
        <w:rPr>
          <w:rFonts w:cs="Arial"/>
          <w:lang w:val="fr-FR" w:eastAsia="ja-JP"/>
        </w:rPr>
        <w:t>DEN</w:t>
      </w:r>
      <w:r w:rsidR="001162CC" w:rsidRPr="00B4646C">
        <w:rPr>
          <w:rFonts w:cs="Arial"/>
          <w:lang w:val="fr-FR" w:eastAsia="ja-JP"/>
        </w:rPr>
        <w:t xml:space="preserve"> est convenu que sa troisième réunion se tiendrait à Genève, dans la matinée du </w:t>
      </w:r>
      <w:r w:rsidR="000A1A31" w:rsidRPr="00B4646C">
        <w:rPr>
          <w:rFonts w:cs="Arial"/>
          <w:lang w:val="fr-FR" w:eastAsia="ja-JP"/>
        </w:rPr>
        <w:t>7 avril 20</w:t>
      </w:r>
      <w:r w:rsidR="001162CC" w:rsidRPr="00B4646C">
        <w:rPr>
          <w:rFonts w:cs="Arial"/>
          <w:lang w:val="fr-FR" w:eastAsia="ja-JP"/>
        </w:rPr>
        <w:t>17</w:t>
      </w:r>
      <w:r w:rsidR="00E85A98" w:rsidRPr="00B4646C">
        <w:rPr>
          <w:color w:val="000000" w:themeColor="text1"/>
          <w:lang w:val="fr-FR" w:eastAsia="ja-JP"/>
        </w:rPr>
        <w:t>.</w:t>
      </w:r>
    </w:p>
    <w:p w:rsidR="00A77F35" w:rsidRPr="00B4646C" w:rsidRDefault="00A77F35" w:rsidP="002777DA">
      <w:pPr>
        <w:rPr>
          <w:color w:val="000000" w:themeColor="text1"/>
          <w:lang w:val="fr-FR" w:eastAsia="ja-JP"/>
        </w:rPr>
      </w:pPr>
    </w:p>
    <w:p w:rsidR="00A77F35" w:rsidRPr="00B4646C" w:rsidRDefault="00A77F35" w:rsidP="002777DA">
      <w:pPr>
        <w:rPr>
          <w:color w:val="000000" w:themeColor="text1"/>
          <w:lang w:val="fr-FR" w:eastAsia="ja-JP"/>
        </w:rPr>
      </w:pPr>
      <w:r w:rsidRPr="00B4646C">
        <w:rPr>
          <w:lang w:val="fr-FR"/>
        </w:rPr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r w:rsidR="001162CC" w:rsidRPr="00B4646C">
        <w:rPr>
          <w:lang w:val="fr-FR"/>
        </w:rPr>
        <w:t>Le programme ci</w:t>
      </w:r>
      <w:r w:rsidR="007D55A8">
        <w:rPr>
          <w:lang w:val="fr-FR"/>
        </w:rPr>
        <w:noBreakHyphen/>
      </w:r>
      <w:r w:rsidR="001162CC" w:rsidRPr="00B4646C">
        <w:rPr>
          <w:lang w:val="fr-FR"/>
        </w:rPr>
        <w:t>après a été approuvé pour la troisième réunion du</w:t>
      </w:r>
      <w:r w:rsidRPr="00B4646C">
        <w:rPr>
          <w:lang w:val="fr-FR"/>
        </w:rPr>
        <w:t xml:space="preserve"> </w:t>
      </w:r>
      <w:r w:rsidR="001162CC" w:rsidRPr="00B4646C">
        <w:rPr>
          <w:rFonts w:cs="Arial"/>
          <w:lang w:val="fr-FR" w:eastAsia="ja-JP"/>
        </w:rPr>
        <w:t>WG</w:t>
      </w:r>
      <w:r w:rsidR="007D55A8">
        <w:rPr>
          <w:rFonts w:cs="Arial"/>
          <w:lang w:val="fr-FR" w:eastAsia="ja-JP"/>
        </w:rPr>
        <w:noBreakHyphen/>
      </w:r>
      <w:r w:rsidR="001162CC" w:rsidRPr="00B4646C">
        <w:rPr>
          <w:rFonts w:cs="Arial"/>
          <w:lang w:val="fr-FR" w:eastAsia="ja-JP"/>
        </w:rPr>
        <w:t>DEN</w:t>
      </w:r>
      <w:r w:rsidR="000A1A31" w:rsidRPr="00B4646C">
        <w:rPr>
          <w:rFonts w:cs="Arial"/>
          <w:lang w:val="fr-FR" w:eastAsia="ja-JP"/>
        </w:rPr>
        <w:t> :</w:t>
      </w:r>
    </w:p>
    <w:p w:rsidR="00A77F35" w:rsidRPr="00B4646C" w:rsidRDefault="00A77F35" w:rsidP="002777DA">
      <w:pPr>
        <w:ind w:left="540"/>
        <w:rPr>
          <w:color w:val="000000" w:themeColor="text1"/>
          <w:lang w:val="fr-FR" w:eastAsia="ja-JP"/>
        </w:rPr>
      </w:pPr>
    </w:p>
    <w:p w:rsidR="000A1A31" w:rsidRPr="00B4646C" w:rsidRDefault="00A77F35" w:rsidP="00277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567"/>
        <w:contextualSpacing w:val="0"/>
        <w:jc w:val="left"/>
        <w:rPr>
          <w:szCs w:val="24"/>
          <w:lang w:val="fr-FR"/>
        </w:rPr>
      </w:pPr>
      <w:r w:rsidRPr="00B4646C">
        <w:rPr>
          <w:szCs w:val="24"/>
          <w:lang w:val="fr-FR"/>
        </w:rPr>
        <w:t>O</w:t>
      </w:r>
      <w:r w:rsidR="001162CC" w:rsidRPr="00B4646C">
        <w:rPr>
          <w:szCs w:val="24"/>
          <w:lang w:val="fr-FR"/>
        </w:rPr>
        <w:t xml:space="preserve">uverture de la </w:t>
      </w:r>
      <w:r w:rsidR="00AE1723" w:rsidRPr="00B4646C">
        <w:rPr>
          <w:snapToGrid w:val="0"/>
          <w:lang w:val="fr-FR" w:eastAsia="ja-JP"/>
        </w:rPr>
        <w:t>réunion</w:t>
      </w:r>
    </w:p>
    <w:p w:rsidR="00A77F35" w:rsidRPr="00B4646C" w:rsidRDefault="00A77F35" w:rsidP="00277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567"/>
        <w:contextualSpacing w:val="0"/>
        <w:jc w:val="left"/>
        <w:rPr>
          <w:szCs w:val="24"/>
          <w:lang w:val="fr-FR"/>
        </w:rPr>
      </w:pPr>
      <w:r w:rsidRPr="00B4646C">
        <w:rPr>
          <w:szCs w:val="24"/>
          <w:lang w:val="fr-FR"/>
        </w:rPr>
        <w:t xml:space="preserve">Adoption </w:t>
      </w:r>
      <w:r w:rsidR="001162CC" w:rsidRPr="00B4646C">
        <w:rPr>
          <w:szCs w:val="24"/>
          <w:lang w:val="fr-FR"/>
        </w:rPr>
        <w:t>de l</w:t>
      </w:r>
      <w:r w:rsidR="000A1A31" w:rsidRPr="00B4646C">
        <w:rPr>
          <w:szCs w:val="24"/>
          <w:lang w:val="fr-FR"/>
        </w:rPr>
        <w:t>’</w:t>
      </w:r>
      <w:r w:rsidR="001162CC" w:rsidRPr="00B4646C">
        <w:rPr>
          <w:szCs w:val="24"/>
          <w:lang w:val="fr-FR"/>
        </w:rPr>
        <w:t>ordre du jour</w:t>
      </w:r>
    </w:p>
    <w:p w:rsidR="00A77F35" w:rsidRPr="00B4646C" w:rsidRDefault="001162CC" w:rsidP="00277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567"/>
        <w:contextualSpacing w:val="0"/>
        <w:rPr>
          <w:szCs w:val="24"/>
          <w:lang w:val="fr-FR" w:eastAsia="ja-JP"/>
        </w:rPr>
      </w:pPr>
      <w:r w:rsidRPr="00B4646C">
        <w:rPr>
          <w:szCs w:val="24"/>
          <w:lang w:val="fr-FR" w:eastAsia="ja-JP"/>
        </w:rPr>
        <w:t>Révision du</w:t>
      </w:r>
      <w:r w:rsidR="00A77F35" w:rsidRPr="00B4646C">
        <w:rPr>
          <w:szCs w:val="24"/>
          <w:lang w:val="fr-FR" w:eastAsia="ja-JP"/>
        </w:rPr>
        <w:t xml:space="preserve"> document UPOV/INF/12/5 “</w:t>
      </w:r>
      <w:r w:rsidRPr="00B4646C">
        <w:rPr>
          <w:lang w:val="fr-FR"/>
        </w:rPr>
        <w:t xml:space="preserve">Notes explicatives concernant les dénominations variétales en vertu de la </w:t>
      </w:r>
      <w:r w:rsidR="000A1A31" w:rsidRPr="00B4646C">
        <w:rPr>
          <w:lang w:val="fr-FR"/>
        </w:rPr>
        <w:t>Convention UPOV</w:t>
      </w:r>
      <w:r w:rsidR="00A77F35" w:rsidRPr="00B4646C">
        <w:rPr>
          <w:szCs w:val="24"/>
          <w:lang w:val="fr-FR" w:eastAsia="ja-JP"/>
        </w:rPr>
        <w:t>”</w:t>
      </w:r>
    </w:p>
    <w:p w:rsidR="00A77F35" w:rsidRPr="00B4646C" w:rsidRDefault="001162CC" w:rsidP="00277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567"/>
        <w:contextualSpacing w:val="0"/>
        <w:jc w:val="left"/>
        <w:rPr>
          <w:szCs w:val="24"/>
          <w:lang w:val="fr-FR"/>
        </w:rPr>
      </w:pPr>
      <w:r w:rsidRPr="00B4646C">
        <w:rPr>
          <w:snapToGrid w:val="0"/>
          <w:lang w:val="fr-FR" w:eastAsia="ja-JP"/>
        </w:rPr>
        <w:t>Moteur de recherche de similitudes de l</w:t>
      </w:r>
      <w:r w:rsidR="000A1A31" w:rsidRPr="00B4646C">
        <w:rPr>
          <w:snapToGrid w:val="0"/>
          <w:lang w:val="fr-FR" w:eastAsia="ja-JP"/>
        </w:rPr>
        <w:t>’</w:t>
      </w:r>
      <w:r w:rsidRPr="00B4646C">
        <w:rPr>
          <w:snapToGrid w:val="0"/>
          <w:lang w:val="fr-FR" w:eastAsia="ja-JP"/>
        </w:rPr>
        <w:t>UPOV aux fins de la dénomination variétale</w:t>
      </w:r>
    </w:p>
    <w:p w:rsidR="00A77F35" w:rsidRPr="00B4646C" w:rsidRDefault="001162CC" w:rsidP="00277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567"/>
        <w:contextualSpacing w:val="0"/>
        <w:jc w:val="left"/>
        <w:rPr>
          <w:szCs w:val="24"/>
          <w:lang w:val="fr-FR"/>
        </w:rPr>
      </w:pPr>
      <w:r w:rsidRPr="00B4646C">
        <w:rPr>
          <w:szCs w:val="24"/>
          <w:lang w:val="fr-FR"/>
        </w:rPr>
        <w:t>Élargissement du contenu de la base de données PLUTO</w:t>
      </w:r>
    </w:p>
    <w:p w:rsidR="00A77F35" w:rsidRPr="00B4646C" w:rsidRDefault="001162CC" w:rsidP="002777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567"/>
        <w:contextualSpacing w:val="0"/>
        <w:jc w:val="left"/>
        <w:rPr>
          <w:szCs w:val="24"/>
          <w:lang w:val="fr-FR"/>
        </w:rPr>
      </w:pPr>
      <w:r w:rsidRPr="00B4646C">
        <w:rPr>
          <w:szCs w:val="24"/>
          <w:lang w:val="fr-FR"/>
        </w:rPr>
        <w:t>Termes non acceptables</w:t>
      </w:r>
    </w:p>
    <w:p w:rsidR="00A77F35" w:rsidRPr="00B4646C" w:rsidRDefault="001162CC" w:rsidP="002777D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134" w:hanging="567"/>
        <w:contextualSpacing w:val="0"/>
        <w:jc w:val="left"/>
        <w:rPr>
          <w:szCs w:val="24"/>
          <w:lang w:val="fr-FR" w:eastAsia="ja-JP"/>
        </w:rPr>
      </w:pPr>
      <w:r w:rsidRPr="00B4646C">
        <w:rPr>
          <w:lang w:val="fr-FR"/>
        </w:rPr>
        <w:t>Date, lieu et programme de la prochaine réunion</w:t>
      </w:r>
    </w:p>
    <w:p w:rsidR="00A77F35" w:rsidRPr="00B4646C" w:rsidRDefault="00A77F35" w:rsidP="002777DA">
      <w:pPr>
        <w:rPr>
          <w:lang w:val="fr-FR" w:eastAsia="ja-JP"/>
        </w:rPr>
      </w:pPr>
    </w:p>
    <w:p w:rsidR="00583366" w:rsidRPr="00B4646C" w:rsidRDefault="00583366" w:rsidP="002777DA">
      <w:pPr>
        <w:rPr>
          <w:lang w:val="fr-FR" w:eastAsia="ja-JP"/>
        </w:rPr>
      </w:pPr>
    </w:p>
    <w:bookmarkStart w:id="13" w:name="_Toc382388626"/>
    <w:p w:rsidR="008660AB" w:rsidRPr="00B4646C" w:rsidRDefault="00A77F35" w:rsidP="002777DA">
      <w:pPr>
        <w:pStyle w:val="DecisionParagraphs"/>
        <w:keepNext/>
        <w:keepLines/>
        <w:rPr>
          <w:lang w:val="fr-FR"/>
        </w:rPr>
      </w:pPr>
      <w:r w:rsidRPr="00B4646C">
        <w:rPr>
          <w:lang w:val="fr-FR"/>
        </w:rPr>
        <w:lastRenderedPageBreak/>
        <w:fldChar w:fldCharType="begin"/>
      </w:r>
      <w:r w:rsidRPr="00B4646C">
        <w:rPr>
          <w:lang w:val="fr-FR"/>
        </w:rPr>
        <w:instrText xml:space="preserve"> AUTONUM  </w:instrText>
      </w:r>
      <w:r w:rsidRPr="00B4646C">
        <w:rPr>
          <w:lang w:val="fr-FR"/>
        </w:rPr>
        <w:fldChar w:fldCharType="end"/>
      </w:r>
      <w:r w:rsidRPr="00B4646C">
        <w:rPr>
          <w:lang w:val="fr-FR"/>
        </w:rPr>
        <w:tab/>
      </w:r>
      <w:bookmarkEnd w:id="13"/>
      <w:r w:rsidR="008660AB" w:rsidRPr="00B4646C">
        <w:rPr>
          <w:lang w:val="fr-FR"/>
        </w:rPr>
        <w:t>Le</w:t>
      </w:r>
      <w:r w:rsidR="000A1A31" w:rsidRPr="00B4646C">
        <w:rPr>
          <w:lang w:val="fr-FR"/>
        </w:rPr>
        <w:t> TC</w:t>
      </w:r>
      <w:r w:rsidR="008660AB" w:rsidRPr="00B4646C">
        <w:rPr>
          <w:lang w:val="fr-FR"/>
        </w:rPr>
        <w:t xml:space="preserve"> est invité à prendre note</w:t>
      </w:r>
      <w:r w:rsidR="00AF25F1">
        <w:rPr>
          <w:lang w:val="fr-FR"/>
        </w:rPr>
        <w:t xml:space="preserve"> :</w:t>
      </w:r>
    </w:p>
    <w:p w:rsidR="008660AB" w:rsidRPr="00B4646C" w:rsidRDefault="008660AB" w:rsidP="002777DA">
      <w:pPr>
        <w:pStyle w:val="DecisionParagraphs"/>
        <w:keepNext/>
        <w:keepLines/>
        <w:rPr>
          <w:lang w:val="fr-FR"/>
        </w:rPr>
      </w:pPr>
    </w:p>
    <w:p w:rsidR="008660AB" w:rsidRPr="00B4646C" w:rsidRDefault="007D55A8" w:rsidP="002777DA">
      <w:pPr>
        <w:pStyle w:val="DecisionParagraphs"/>
        <w:keepNext/>
        <w:keepLines/>
        <w:tabs>
          <w:tab w:val="left" w:pos="5954"/>
        </w:tabs>
        <w:rPr>
          <w:lang w:val="fr-FR"/>
        </w:rPr>
      </w:pPr>
      <w:r>
        <w:rPr>
          <w:lang w:val="fr-FR"/>
        </w:rPr>
        <w:tab/>
      </w:r>
      <w:r w:rsidR="008660AB" w:rsidRPr="00B4646C">
        <w:rPr>
          <w:lang w:val="fr-FR"/>
        </w:rPr>
        <w:t>a)</w:t>
      </w:r>
      <w:r w:rsidR="008660AB" w:rsidRPr="00B4646C">
        <w:rPr>
          <w:lang w:val="fr-FR"/>
        </w:rPr>
        <w:tab/>
        <w:t xml:space="preserve">des faits nouveaux concernant la révision éventuelle du document UPOV/INF/12 “Notes explicatives concernant les dénominations variétales en vertu de la </w:t>
      </w:r>
      <w:r w:rsidR="000A1A31" w:rsidRPr="00B4646C">
        <w:rPr>
          <w:lang w:val="fr-FR"/>
        </w:rPr>
        <w:t>Convention UPOV</w:t>
      </w:r>
      <w:r w:rsidR="008660AB" w:rsidRPr="00B4646C">
        <w:rPr>
          <w:lang w:val="fr-FR"/>
        </w:rPr>
        <w:t xml:space="preserve">”, dont il est rendu compte aux </w:t>
      </w:r>
      <w:r w:rsidR="000A1A31" w:rsidRPr="00B4646C">
        <w:rPr>
          <w:lang w:val="fr-FR"/>
        </w:rPr>
        <w:t>paragraphes 6</w:t>
      </w:r>
      <w:r w:rsidR="008660AB" w:rsidRPr="00B4646C">
        <w:rPr>
          <w:lang w:val="fr-FR"/>
        </w:rPr>
        <w:t xml:space="preserve"> à 11 du présent document</w:t>
      </w:r>
      <w:r w:rsidR="00AF25F1">
        <w:rPr>
          <w:lang w:val="fr-FR"/>
        </w:rPr>
        <w:t>;</w:t>
      </w:r>
    </w:p>
    <w:p w:rsidR="008660AB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</w:p>
    <w:p w:rsidR="008660AB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  <w:r w:rsidRPr="00B4646C">
        <w:rPr>
          <w:lang w:val="fr-FR"/>
        </w:rPr>
        <w:tab/>
        <w:t>b)</w:t>
      </w:r>
      <w:r w:rsidRPr="00B4646C">
        <w:rPr>
          <w:lang w:val="fr-FR"/>
        </w:rPr>
        <w:tab/>
        <w:t>des faits nouveaux concernant l</w:t>
      </w:r>
      <w:r w:rsidR="000A1A31" w:rsidRPr="00B4646C">
        <w:rPr>
          <w:lang w:val="fr-FR"/>
        </w:rPr>
        <w:t>’</w:t>
      </w:r>
      <w:r w:rsidR="00AF25F1">
        <w:rPr>
          <w:lang w:val="fr-FR"/>
        </w:rPr>
        <w:t xml:space="preserve">élaboration </w:t>
      </w:r>
      <w:r w:rsidRPr="00B4646C">
        <w:rPr>
          <w:lang w:val="fr-FR"/>
        </w:rPr>
        <w:t>d</w:t>
      </w:r>
      <w:r w:rsidR="000A1A31" w:rsidRPr="00B4646C">
        <w:rPr>
          <w:lang w:val="fr-FR"/>
        </w:rPr>
        <w:t>’</w:t>
      </w:r>
      <w:r w:rsidRPr="00B4646C">
        <w:rPr>
          <w:lang w:val="fr-FR"/>
        </w:rPr>
        <w:t>un moteur de recherche de similitudes de l</w:t>
      </w:r>
      <w:r w:rsidR="000A1A31" w:rsidRPr="00B4646C">
        <w:rPr>
          <w:lang w:val="fr-FR"/>
        </w:rPr>
        <w:t>’</w:t>
      </w:r>
      <w:r w:rsidRPr="00B4646C">
        <w:rPr>
          <w:lang w:val="fr-FR"/>
        </w:rPr>
        <w:t xml:space="preserve">UPOV aux fins de la dénomination variétale, dont il est rendu compte aux </w:t>
      </w:r>
      <w:r w:rsidR="000A1A31" w:rsidRPr="00B4646C">
        <w:rPr>
          <w:lang w:val="fr-FR"/>
        </w:rPr>
        <w:t>paragraphes 1</w:t>
      </w:r>
      <w:r w:rsidR="00AF25F1">
        <w:rPr>
          <w:lang w:val="fr-FR"/>
        </w:rPr>
        <w:t>3 à 18 du présent document;</w:t>
      </w:r>
    </w:p>
    <w:p w:rsidR="008660AB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</w:p>
    <w:p w:rsidR="008660AB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  <w:r w:rsidRPr="00B4646C">
        <w:rPr>
          <w:lang w:val="fr-FR"/>
        </w:rPr>
        <w:tab/>
        <w:t>c)</w:t>
      </w:r>
      <w:r w:rsidRPr="00B4646C">
        <w:rPr>
          <w:lang w:val="fr-FR"/>
        </w:rPr>
        <w:tab/>
      </w:r>
      <w:r w:rsidRPr="00AF25F1">
        <w:rPr>
          <w:lang w:val="fr-FR"/>
        </w:rPr>
        <w:t>des faits nouveaux concernant l</w:t>
      </w:r>
      <w:r w:rsidR="000A1A31" w:rsidRPr="00AF25F1">
        <w:rPr>
          <w:lang w:val="fr-FR"/>
        </w:rPr>
        <w:t>’</w:t>
      </w:r>
      <w:r w:rsidRPr="00AF25F1">
        <w:rPr>
          <w:lang w:val="fr-FR"/>
        </w:rPr>
        <w:t xml:space="preserve">éventuel élargissement du contenu de la base de données PLUTO, dont il est rendu compte aux </w:t>
      </w:r>
      <w:r w:rsidR="000A1A31" w:rsidRPr="00AF25F1">
        <w:rPr>
          <w:lang w:val="fr-FR"/>
        </w:rPr>
        <w:t>paragraphes</w:t>
      </w:r>
      <w:r w:rsidR="00AF25F1">
        <w:rPr>
          <w:lang w:val="fr-FR"/>
        </w:rPr>
        <w:t> </w:t>
      </w:r>
      <w:r w:rsidR="000A1A31" w:rsidRPr="00AF25F1">
        <w:rPr>
          <w:lang w:val="fr-FR"/>
        </w:rPr>
        <w:t>1</w:t>
      </w:r>
      <w:r w:rsidR="00AF25F1" w:rsidRPr="00AF25F1">
        <w:rPr>
          <w:lang w:val="fr-FR"/>
        </w:rPr>
        <w:t>9</w:t>
      </w:r>
      <w:r w:rsidR="00AF25F1">
        <w:rPr>
          <w:lang w:val="fr-FR"/>
        </w:rPr>
        <w:t> </w:t>
      </w:r>
      <w:r w:rsidR="00AF25F1" w:rsidRPr="00AF25F1">
        <w:rPr>
          <w:lang w:val="fr-FR"/>
        </w:rPr>
        <w:t>à</w:t>
      </w:r>
      <w:r w:rsidR="00AF25F1">
        <w:rPr>
          <w:lang w:val="fr-FR"/>
        </w:rPr>
        <w:t> </w:t>
      </w:r>
      <w:r w:rsidR="00AF25F1" w:rsidRPr="00AF25F1">
        <w:rPr>
          <w:lang w:val="fr-FR"/>
        </w:rPr>
        <w:t>23 du présent document;</w:t>
      </w:r>
    </w:p>
    <w:p w:rsidR="008660AB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</w:p>
    <w:p w:rsidR="008660AB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  <w:r w:rsidRPr="00B4646C">
        <w:rPr>
          <w:lang w:val="fr-FR"/>
        </w:rPr>
        <w:tab/>
        <w:t>d)</w:t>
      </w:r>
      <w:r w:rsidRPr="00B4646C">
        <w:rPr>
          <w:lang w:val="fr-FR"/>
        </w:rPr>
        <w:tab/>
        <w:t xml:space="preserve">des faits nouveaux concernant les termes non acceptables, dont il est rendu compte aux </w:t>
      </w:r>
      <w:r w:rsidR="000A1A31" w:rsidRPr="00B4646C">
        <w:rPr>
          <w:lang w:val="fr-FR"/>
        </w:rPr>
        <w:t>paragraphes 2</w:t>
      </w:r>
      <w:r w:rsidR="00AF25F1">
        <w:rPr>
          <w:lang w:val="fr-FR"/>
        </w:rPr>
        <w:t>4 à 28 du présent document;</w:t>
      </w:r>
    </w:p>
    <w:p w:rsidR="008660AB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</w:p>
    <w:p w:rsidR="000A1A31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  <w:r w:rsidRPr="00B4646C">
        <w:rPr>
          <w:lang w:val="fr-FR"/>
        </w:rPr>
        <w:tab/>
        <w:t>e)</w:t>
      </w:r>
      <w:r w:rsidRPr="00B4646C">
        <w:rPr>
          <w:lang w:val="fr-FR"/>
        </w:rPr>
        <w:tab/>
        <w:t>que la troisième réunion du WG</w:t>
      </w:r>
      <w:r w:rsidR="007D55A8">
        <w:rPr>
          <w:lang w:val="fr-FR"/>
        </w:rPr>
        <w:noBreakHyphen/>
      </w:r>
      <w:r w:rsidRPr="00B4646C">
        <w:rPr>
          <w:lang w:val="fr-FR"/>
        </w:rPr>
        <w:t xml:space="preserve">DEN se tiendra à Genève le </w:t>
      </w:r>
      <w:r w:rsidR="000A1A31" w:rsidRPr="00B4646C">
        <w:rPr>
          <w:lang w:val="fr-FR"/>
        </w:rPr>
        <w:t>7 avril 20</w:t>
      </w:r>
      <w:r w:rsidRPr="00B4646C">
        <w:rPr>
          <w:lang w:val="fr-FR"/>
        </w:rPr>
        <w:t>17</w:t>
      </w:r>
      <w:r w:rsidR="00AF25F1">
        <w:rPr>
          <w:lang w:val="fr-FR"/>
        </w:rPr>
        <w:t xml:space="preserve">;  </w:t>
      </w:r>
      <w:r w:rsidRPr="00B4646C">
        <w:rPr>
          <w:lang w:val="fr-FR"/>
        </w:rPr>
        <w:t>et</w:t>
      </w:r>
    </w:p>
    <w:p w:rsidR="008660AB" w:rsidRPr="00B4646C" w:rsidRDefault="008660AB" w:rsidP="002777DA">
      <w:pPr>
        <w:pStyle w:val="DecisionParagraphs"/>
        <w:tabs>
          <w:tab w:val="left" w:pos="5954"/>
        </w:tabs>
        <w:rPr>
          <w:lang w:val="fr-FR"/>
        </w:rPr>
      </w:pPr>
    </w:p>
    <w:p w:rsidR="00A77F35" w:rsidRPr="00B4646C" w:rsidRDefault="008660AB" w:rsidP="002777DA">
      <w:pPr>
        <w:pStyle w:val="DecisionParagraphs"/>
        <w:tabs>
          <w:tab w:val="left" w:pos="5954"/>
        </w:tabs>
        <w:rPr>
          <w:lang w:val="fr-FR" w:eastAsia="ja-JP"/>
        </w:rPr>
      </w:pPr>
      <w:r w:rsidRPr="00B4646C">
        <w:rPr>
          <w:lang w:val="fr-FR"/>
        </w:rPr>
        <w:tab/>
        <w:t>f)</w:t>
      </w:r>
      <w:r w:rsidRPr="00B4646C">
        <w:rPr>
          <w:lang w:val="fr-FR"/>
        </w:rPr>
        <w:tab/>
        <w:t>du projet d</w:t>
      </w:r>
      <w:r w:rsidR="000A1A31" w:rsidRPr="00B4646C">
        <w:rPr>
          <w:lang w:val="fr-FR"/>
        </w:rPr>
        <w:t>’</w:t>
      </w:r>
      <w:r w:rsidRPr="00B4646C">
        <w:rPr>
          <w:lang w:val="fr-FR"/>
        </w:rPr>
        <w:t>ordre du jour de la troisième réunion du WG</w:t>
      </w:r>
      <w:r w:rsidR="007D55A8">
        <w:rPr>
          <w:lang w:val="fr-FR"/>
        </w:rPr>
        <w:noBreakHyphen/>
      </w:r>
      <w:r w:rsidRPr="00B4646C">
        <w:rPr>
          <w:lang w:val="fr-FR"/>
        </w:rPr>
        <w:t xml:space="preserve">DEN qui figure au </w:t>
      </w:r>
      <w:r w:rsidR="000A1A31" w:rsidRPr="00B4646C">
        <w:rPr>
          <w:lang w:val="fr-FR"/>
        </w:rPr>
        <w:t>paragraphe 3</w:t>
      </w:r>
      <w:r w:rsidRPr="00B4646C">
        <w:rPr>
          <w:lang w:val="fr-FR"/>
        </w:rPr>
        <w:t>0 du présent document.</w:t>
      </w:r>
    </w:p>
    <w:p w:rsidR="00A77F35" w:rsidRPr="00B4646C" w:rsidRDefault="00A77F35" w:rsidP="002777DA">
      <w:pPr>
        <w:tabs>
          <w:tab w:val="left" w:pos="5954"/>
        </w:tabs>
        <w:rPr>
          <w:lang w:val="fr-FR"/>
        </w:rPr>
      </w:pPr>
    </w:p>
    <w:p w:rsidR="00A77F35" w:rsidRPr="00B4646C" w:rsidRDefault="00A77F35" w:rsidP="002777DA">
      <w:pPr>
        <w:rPr>
          <w:lang w:val="fr-FR"/>
        </w:rPr>
      </w:pPr>
    </w:p>
    <w:p w:rsidR="005E1B17" w:rsidRPr="00B4646C" w:rsidRDefault="005E1B17" w:rsidP="002777DA">
      <w:pPr>
        <w:rPr>
          <w:lang w:val="fr-FR"/>
        </w:rPr>
      </w:pPr>
    </w:p>
    <w:p w:rsidR="007D55A8" w:rsidRPr="00B4646C" w:rsidRDefault="00A77F35" w:rsidP="002777DA">
      <w:pPr>
        <w:jc w:val="right"/>
        <w:rPr>
          <w:lang w:val="fr-FR"/>
        </w:rPr>
      </w:pPr>
      <w:r w:rsidRPr="00B4646C">
        <w:rPr>
          <w:lang w:val="fr-FR"/>
        </w:rPr>
        <w:t>[</w:t>
      </w:r>
      <w:r w:rsidR="008660AB" w:rsidRPr="00B4646C">
        <w:rPr>
          <w:lang w:val="fr-FR" w:eastAsia="ja-JP"/>
        </w:rPr>
        <w:t>Fin du</w:t>
      </w:r>
      <w:r w:rsidR="00583366" w:rsidRPr="00B4646C">
        <w:rPr>
          <w:lang w:val="fr-FR" w:eastAsia="ja-JP"/>
        </w:rPr>
        <w:t xml:space="preserve"> document</w:t>
      </w:r>
      <w:r w:rsidRPr="00B4646C">
        <w:rPr>
          <w:lang w:val="fr-FR"/>
        </w:rPr>
        <w:t>]</w:t>
      </w:r>
    </w:p>
    <w:sectPr w:rsidR="007D55A8" w:rsidRPr="00B4646C" w:rsidSect="000A1A31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CC" w:rsidRDefault="001162CC" w:rsidP="006655D3">
      <w:r>
        <w:separator/>
      </w:r>
    </w:p>
    <w:p w:rsidR="001162CC" w:rsidRDefault="001162CC" w:rsidP="006655D3"/>
    <w:p w:rsidR="001162CC" w:rsidRDefault="001162CC" w:rsidP="006655D3"/>
  </w:endnote>
  <w:endnote w:type="continuationSeparator" w:id="0">
    <w:p w:rsidR="001162CC" w:rsidRDefault="001162CC" w:rsidP="006655D3">
      <w:r>
        <w:separator/>
      </w:r>
    </w:p>
    <w:p w:rsidR="001162CC" w:rsidRPr="00294751" w:rsidRDefault="001162C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162CC" w:rsidRPr="00294751" w:rsidRDefault="001162CC" w:rsidP="006655D3">
      <w:pPr>
        <w:rPr>
          <w:lang w:val="fr-FR"/>
        </w:rPr>
      </w:pPr>
    </w:p>
    <w:p w:rsidR="001162CC" w:rsidRPr="00294751" w:rsidRDefault="001162CC" w:rsidP="006655D3">
      <w:pPr>
        <w:rPr>
          <w:lang w:val="fr-FR"/>
        </w:rPr>
      </w:pPr>
    </w:p>
  </w:endnote>
  <w:endnote w:type="continuationNotice" w:id="1">
    <w:p w:rsidR="001162CC" w:rsidRPr="00294751" w:rsidRDefault="001162C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162CC" w:rsidRPr="00294751" w:rsidRDefault="001162CC" w:rsidP="006655D3">
      <w:pPr>
        <w:rPr>
          <w:lang w:val="fr-FR"/>
        </w:rPr>
      </w:pPr>
    </w:p>
    <w:p w:rsidR="001162CC" w:rsidRPr="00294751" w:rsidRDefault="001162C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CC" w:rsidRDefault="001162CC" w:rsidP="006655D3">
      <w:r>
        <w:separator/>
      </w:r>
    </w:p>
  </w:footnote>
  <w:footnote w:type="continuationSeparator" w:id="0">
    <w:p w:rsidR="001162CC" w:rsidRDefault="001162CC" w:rsidP="006655D3">
      <w:r>
        <w:separator/>
      </w:r>
    </w:p>
  </w:footnote>
  <w:footnote w:type="continuationNotice" w:id="1">
    <w:p w:rsidR="001162CC" w:rsidRPr="00AB530F" w:rsidRDefault="001162C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CC" w:rsidRPr="00C5280D" w:rsidRDefault="001162C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TC/53/12</w:t>
    </w:r>
  </w:p>
  <w:p w:rsidR="001162CC" w:rsidRPr="00C5280D" w:rsidRDefault="001162C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7D55A8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2030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162CC" w:rsidRPr="00C5280D" w:rsidRDefault="001162C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2"/>
    <w:rsid w:val="00010CF3"/>
    <w:rsid w:val="00011E27"/>
    <w:rsid w:val="000148BC"/>
    <w:rsid w:val="00024AB8"/>
    <w:rsid w:val="0002604A"/>
    <w:rsid w:val="00030854"/>
    <w:rsid w:val="00036028"/>
    <w:rsid w:val="00044642"/>
    <w:rsid w:val="000446B9"/>
    <w:rsid w:val="00044E68"/>
    <w:rsid w:val="00047E21"/>
    <w:rsid w:val="000507F2"/>
    <w:rsid w:val="00050E16"/>
    <w:rsid w:val="0005453A"/>
    <w:rsid w:val="00085505"/>
    <w:rsid w:val="000A128F"/>
    <w:rsid w:val="000A1A31"/>
    <w:rsid w:val="000C4D1F"/>
    <w:rsid w:val="000C4E25"/>
    <w:rsid w:val="000C7021"/>
    <w:rsid w:val="000D6BBC"/>
    <w:rsid w:val="000D7780"/>
    <w:rsid w:val="000E4AAF"/>
    <w:rsid w:val="000E636A"/>
    <w:rsid w:val="000F2F11"/>
    <w:rsid w:val="00105929"/>
    <w:rsid w:val="00110C36"/>
    <w:rsid w:val="001131D5"/>
    <w:rsid w:val="001162CC"/>
    <w:rsid w:val="00134C4D"/>
    <w:rsid w:val="00141DB8"/>
    <w:rsid w:val="00160F18"/>
    <w:rsid w:val="00172084"/>
    <w:rsid w:val="0017474A"/>
    <w:rsid w:val="001758C6"/>
    <w:rsid w:val="00182B99"/>
    <w:rsid w:val="001D4CA1"/>
    <w:rsid w:val="001E767D"/>
    <w:rsid w:val="002072BA"/>
    <w:rsid w:val="0021332C"/>
    <w:rsid w:val="00213982"/>
    <w:rsid w:val="00225576"/>
    <w:rsid w:val="0024416D"/>
    <w:rsid w:val="0025316A"/>
    <w:rsid w:val="00271911"/>
    <w:rsid w:val="002777DA"/>
    <w:rsid w:val="002800A0"/>
    <w:rsid w:val="002801B3"/>
    <w:rsid w:val="00281060"/>
    <w:rsid w:val="002940E8"/>
    <w:rsid w:val="00294751"/>
    <w:rsid w:val="002A35F3"/>
    <w:rsid w:val="002A6E50"/>
    <w:rsid w:val="002B4298"/>
    <w:rsid w:val="002C175F"/>
    <w:rsid w:val="002C256A"/>
    <w:rsid w:val="002F74EB"/>
    <w:rsid w:val="00304827"/>
    <w:rsid w:val="0030520D"/>
    <w:rsid w:val="00305A7F"/>
    <w:rsid w:val="003152FE"/>
    <w:rsid w:val="00323697"/>
    <w:rsid w:val="00327436"/>
    <w:rsid w:val="00344BD6"/>
    <w:rsid w:val="0035528D"/>
    <w:rsid w:val="00361821"/>
    <w:rsid w:val="00361E9E"/>
    <w:rsid w:val="0037285E"/>
    <w:rsid w:val="003A0000"/>
    <w:rsid w:val="003C7FBE"/>
    <w:rsid w:val="003D227C"/>
    <w:rsid w:val="003D2B4D"/>
    <w:rsid w:val="003F1B2C"/>
    <w:rsid w:val="00417A9C"/>
    <w:rsid w:val="00421132"/>
    <w:rsid w:val="004354B6"/>
    <w:rsid w:val="00441C70"/>
    <w:rsid w:val="00444A88"/>
    <w:rsid w:val="00474DA4"/>
    <w:rsid w:val="00476B4D"/>
    <w:rsid w:val="004805FA"/>
    <w:rsid w:val="00486612"/>
    <w:rsid w:val="004935D2"/>
    <w:rsid w:val="004959D9"/>
    <w:rsid w:val="004B1215"/>
    <w:rsid w:val="004D047D"/>
    <w:rsid w:val="004D330A"/>
    <w:rsid w:val="004F1E9E"/>
    <w:rsid w:val="004F305A"/>
    <w:rsid w:val="00512164"/>
    <w:rsid w:val="00520297"/>
    <w:rsid w:val="0052418E"/>
    <w:rsid w:val="005306C1"/>
    <w:rsid w:val="005338F9"/>
    <w:rsid w:val="0054281C"/>
    <w:rsid w:val="00544581"/>
    <w:rsid w:val="00550581"/>
    <w:rsid w:val="005513DB"/>
    <w:rsid w:val="0055268D"/>
    <w:rsid w:val="00576BE4"/>
    <w:rsid w:val="00583366"/>
    <w:rsid w:val="00591CED"/>
    <w:rsid w:val="005A1E6C"/>
    <w:rsid w:val="005A400A"/>
    <w:rsid w:val="005C31E3"/>
    <w:rsid w:val="005C7C50"/>
    <w:rsid w:val="005E1B17"/>
    <w:rsid w:val="005E6DD4"/>
    <w:rsid w:val="005F5552"/>
    <w:rsid w:val="005F5ACA"/>
    <w:rsid w:val="005F7B92"/>
    <w:rsid w:val="00612379"/>
    <w:rsid w:val="006153B6"/>
    <w:rsid w:val="0061555F"/>
    <w:rsid w:val="00626CBE"/>
    <w:rsid w:val="00636CA6"/>
    <w:rsid w:val="00641200"/>
    <w:rsid w:val="00645CA8"/>
    <w:rsid w:val="00652658"/>
    <w:rsid w:val="006604F7"/>
    <w:rsid w:val="006655D3"/>
    <w:rsid w:val="00667404"/>
    <w:rsid w:val="00687EB4"/>
    <w:rsid w:val="0069532E"/>
    <w:rsid w:val="00695C56"/>
    <w:rsid w:val="006A5CDE"/>
    <w:rsid w:val="006A644A"/>
    <w:rsid w:val="006B17D2"/>
    <w:rsid w:val="006B508F"/>
    <w:rsid w:val="006C224E"/>
    <w:rsid w:val="006D71EB"/>
    <w:rsid w:val="006D780A"/>
    <w:rsid w:val="006E0816"/>
    <w:rsid w:val="0071271E"/>
    <w:rsid w:val="00722E44"/>
    <w:rsid w:val="00732DEC"/>
    <w:rsid w:val="00735491"/>
    <w:rsid w:val="00735BD5"/>
    <w:rsid w:val="00751613"/>
    <w:rsid w:val="007556F6"/>
    <w:rsid w:val="00757A46"/>
    <w:rsid w:val="00760EEF"/>
    <w:rsid w:val="007659E5"/>
    <w:rsid w:val="00772E6B"/>
    <w:rsid w:val="00775FBD"/>
    <w:rsid w:val="00777EE5"/>
    <w:rsid w:val="00784836"/>
    <w:rsid w:val="007849B5"/>
    <w:rsid w:val="0079023E"/>
    <w:rsid w:val="00794CAF"/>
    <w:rsid w:val="007A2854"/>
    <w:rsid w:val="007C1D92"/>
    <w:rsid w:val="007C4CB9"/>
    <w:rsid w:val="007D0B9D"/>
    <w:rsid w:val="007D19B0"/>
    <w:rsid w:val="007D55A8"/>
    <w:rsid w:val="007F498F"/>
    <w:rsid w:val="0080679D"/>
    <w:rsid w:val="008108B0"/>
    <w:rsid w:val="00811B20"/>
    <w:rsid w:val="008211B5"/>
    <w:rsid w:val="0082296E"/>
    <w:rsid w:val="00823AF9"/>
    <w:rsid w:val="00824099"/>
    <w:rsid w:val="0083570C"/>
    <w:rsid w:val="00846D7C"/>
    <w:rsid w:val="008660AB"/>
    <w:rsid w:val="00867AC1"/>
    <w:rsid w:val="00890DF8"/>
    <w:rsid w:val="008A743F"/>
    <w:rsid w:val="008B6E65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1166"/>
    <w:rsid w:val="00952DD4"/>
    <w:rsid w:val="00965AE7"/>
    <w:rsid w:val="00970FED"/>
    <w:rsid w:val="00972BDF"/>
    <w:rsid w:val="009778E0"/>
    <w:rsid w:val="0098315B"/>
    <w:rsid w:val="00990B2A"/>
    <w:rsid w:val="00992D82"/>
    <w:rsid w:val="00994326"/>
    <w:rsid w:val="00995330"/>
    <w:rsid w:val="00997029"/>
    <w:rsid w:val="009A7339"/>
    <w:rsid w:val="009B440E"/>
    <w:rsid w:val="009D690D"/>
    <w:rsid w:val="009E65B6"/>
    <w:rsid w:val="009F07B4"/>
    <w:rsid w:val="00A00CEA"/>
    <w:rsid w:val="00A24C10"/>
    <w:rsid w:val="00A36722"/>
    <w:rsid w:val="00A42AC3"/>
    <w:rsid w:val="00A430CF"/>
    <w:rsid w:val="00A54309"/>
    <w:rsid w:val="00A70250"/>
    <w:rsid w:val="00A77F35"/>
    <w:rsid w:val="00A94ABA"/>
    <w:rsid w:val="00AB2B93"/>
    <w:rsid w:val="00AB530F"/>
    <w:rsid w:val="00AB7E5B"/>
    <w:rsid w:val="00AC2883"/>
    <w:rsid w:val="00AC7372"/>
    <w:rsid w:val="00AD3B21"/>
    <w:rsid w:val="00AE0EF1"/>
    <w:rsid w:val="00AE1723"/>
    <w:rsid w:val="00AE2937"/>
    <w:rsid w:val="00AE4C19"/>
    <w:rsid w:val="00AF25F1"/>
    <w:rsid w:val="00AF7CBD"/>
    <w:rsid w:val="00B07301"/>
    <w:rsid w:val="00B11F3E"/>
    <w:rsid w:val="00B224DE"/>
    <w:rsid w:val="00B324D4"/>
    <w:rsid w:val="00B4646C"/>
    <w:rsid w:val="00B46575"/>
    <w:rsid w:val="00B53502"/>
    <w:rsid w:val="00B55EFD"/>
    <w:rsid w:val="00B60B06"/>
    <w:rsid w:val="00B61777"/>
    <w:rsid w:val="00B71A5F"/>
    <w:rsid w:val="00B84BBD"/>
    <w:rsid w:val="00BA43FB"/>
    <w:rsid w:val="00BA561D"/>
    <w:rsid w:val="00BC127D"/>
    <w:rsid w:val="00BC1FE6"/>
    <w:rsid w:val="00BC3CC5"/>
    <w:rsid w:val="00BC6F67"/>
    <w:rsid w:val="00C061B6"/>
    <w:rsid w:val="00C1015D"/>
    <w:rsid w:val="00C1300A"/>
    <w:rsid w:val="00C13C70"/>
    <w:rsid w:val="00C2446C"/>
    <w:rsid w:val="00C36AE5"/>
    <w:rsid w:val="00C36E91"/>
    <w:rsid w:val="00C41F17"/>
    <w:rsid w:val="00C527FA"/>
    <w:rsid w:val="00C5280D"/>
    <w:rsid w:val="00C53EB3"/>
    <w:rsid w:val="00C56013"/>
    <w:rsid w:val="00C5791C"/>
    <w:rsid w:val="00C66290"/>
    <w:rsid w:val="00C72B7A"/>
    <w:rsid w:val="00C86D83"/>
    <w:rsid w:val="00C973F2"/>
    <w:rsid w:val="00CA304C"/>
    <w:rsid w:val="00CA774A"/>
    <w:rsid w:val="00CC11B0"/>
    <w:rsid w:val="00CC2841"/>
    <w:rsid w:val="00CF1330"/>
    <w:rsid w:val="00CF7E36"/>
    <w:rsid w:val="00D004FF"/>
    <w:rsid w:val="00D22DB2"/>
    <w:rsid w:val="00D3708D"/>
    <w:rsid w:val="00D40426"/>
    <w:rsid w:val="00D57C96"/>
    <w:rsid w:val="00D57D18"/>
    <w:rsid w:val="00D8005F"/>
    <w:rsid w:val="00D81F0A"/>
    <w:rsid w:val="00D86C42"/>
    <w:rsid w:val="00D87529"/>
    <w:rsid w:val="00D91203"/>
    <w:rsid w:val="00D95174"/>
    <w:rsid w:val="00DA4973"/>
    <w:rsid w:val="00DA6F36"/>
    <w:rsid w:val="00DB596E"/>
    <w:rsid w:val="00DB7773"/>
    <w:rsid w:val="00DC00EA"/>
    <w:rsid w:val="00DC3802"/>
    <w:rsid w:val="00E06E86"/>
    <w:rsid w:val="00E07D87"/>
    <w:rsid w:val="00E2030F"/>
    <w:rsid w:val="00E30432"/>
    <w:rsid w:val="00E32F7E"/>
    <w:rsid w:val="00E5267B"/>
    <w:rsid w:val="00E63C0E"/>
    <w:rsid w:val="00E72D49"/>
    <w:rsid w:val="00E744B2"/>
    <w:rsid w:val="00E7593C"/>
    <w:rsid w:val="00E7678A"/>
    <w:rsid w:val="00E85A98"/>
    <w:rsid w:val="00E935F1"/>
    <w:rsid w:val="00E94A81"/>
    <w:rsid w:val="00EA0789"/>
    <w:rsid w:val="00EA1FFB"/>
    <w:rsid w:val="00EB048E"/>
    <w:rsid w:val="00EB4E9C"/>
    <w:rsid w:val="00EE34DF"/>
    <w:rsid w:val="00EF2F89"/>
    <w:rsid w:val="00F01B1F"/>
    <w:rsid w:val="00F030B4"/>
    <w:rsid w:val="00F03E98"/>
    <w:rsid w:val="00F1237A"/>
    <w:rsid w:val="00F22CBD"/>
    <w:rsid w:val="00F272F1"/>
    <w:rsid w:val="00F45372"/>
    <w:rsid w:val="00F560F7"/>
    <w:rsid w:val="00F60FF9"/>
    <w:rsid w:val="00F6334D"/>
    <w:rsid w:val="00F7556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E1B17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2A35F3"/>
    <w:pPr>
      <w:tabs>
        <w:tab w:val="right" w:leader="dot" w:pos="9639"/>
      </w:tabs>
      <w:spacing w:before="120" w:after="120"/>
      <w:ind w:left="567" w:right="1134" w:hanging="284"/>
      <w:contextualSpacing/>
    </w:pPr>
    <w:rPr>
      <w:rFonts w:ascii="Arial" w:hAnsi="Arial"/>
      <w:smallCaps/>
      <w:noProof/>
    </w:rPr>
  </w:style>
  <w:style w:type="paragraph" w:styleId="TOC3">
    <w:name w:val="toc 3"/>
    <w:next w:val="Normal"/>
    <w:autoRedefine/>
    <w:uiPriority w:val="39"/>
    <w:rsid w:val="00757A46"/>
    <w:pPr>
      <w:tabs>
        <w:tab w:val="right" w:leader="dot" w:pos="9639"/>
      </w:tabs>
      <w:spacing w:before="120"/>
      <w:ind w:left="1728" w:right="850" w:hanging="288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A35F3"/>
    <w:pPr>
      <w:tabs>
        <w:tab w:val="right" w:leader="dot" w:pos="9639"/>
      </w:tabs>
      <w:spacing w:after="120"/>
      <w:ind w:right="1134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77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E1B17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2A35F3"/>
    <w:pPr>
      <w:tabs>
        <w:tab w:val="right" w:leader="dot" w:pos="9639"/>
      </w:tabs>
      <w:spacing w:before="120" w:after="120"/>
      <w:ind w:left="567" w:right="1134" w:hanging="284"/>
      <w:contextualSpacing/>
    </w:pPr>
    <w:rPr>
      <w:rFonts w:ascii="Arial" w:hAnsi="Arial"/>
      <w:smallCaps/>
      <w:noProof/>
    </w:rPr>
  </w:style>
  <w:style w:type="paragraph" w:styleId="TOC3">
    <w:name w:val="toc 3"/>
    <w:next w:val="Normal"/>
    <w:autoRedefine/>
    <w:uiPriority w:val="39"/>
    <w:rsid w:val="00757A46"/>
    <w:pPr>
      <w:tabs>
        <w:tab w:val="right" w:leader="dot" w:pos="9639"/>
      </w:tabs>
      <w:spacing w:before="120"/>
      <w:ind w:left="1728" w:right="850" w:hanging="288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A35F3"/>
    <w:pPr>
      <w:tabs>
        <w:tab w:val="right" w:leader="dot" w:pos="9639"/>
      </w:tabs>
      <w:spacing w:after="120"/>
      <w:ind w:right="1134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7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1B79-8995-47AF-A78C-4DDF3BA9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1928</Words>
  <Characters>11351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TC/53</vt:lpstr>
      <vt:lpstr>TC/53</vt:lpstr>
    </vt:vector>
  </TitlesOfParts>
  <Company>UPOV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BESSE Ariane</dc:creator>
  <cp:keywords>MP/ko</cp:keywords>
  <cp:lastModifiedBy>GIACHINO Erika</cp:lastModifiedBy>
  <cp:revision>4</cp:revision>
  <cp:lastPrinted>2017-03-15T06:44:00Z</cp:lastPrinted>
  <dcterms:created xsi:type="dcterms:W3CDTF">2017-03-15T14:26:00Z</dcterms:created>
  <dcterms:modified xsi:type="dcterms:W3CDTF">2017-03-15T15:31:00Z</dcterms:modified>
</cp:coreProperties>
</file>